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仿宋" w:hAnsi="仿宋" w:eastAsia="仿宋" w:cs="仿宋"/>
          <w:bCs/>
          <w:sz w:val="52"/>
          <w:szCs w:val="52"/>
        </w:rPr>
      </w:pPr>
      <w:r>
        <w:rPr>
          <w:rFonts w:hint="eastAsia" w:ascii="仿宋" w:hAnsi="仿宋" w:eastAsia="仿宋" w:cs="仿宋"/>
          <w:bCs/>
          <w:sz w:val="52"/>
          <w:szCs w:val="52"/>
        </w:rPr>
        <w:t xml:space="preserve"> </w:t>
      </w:r>
    </w:p>
    <w:p>
      <w:pPr>
        <w:spacing w:line="560" w:lineRule="exact"/>
        <w:jc w:val="center"/>
        <w:rPr>
          <w:rFonts w:ascii="仿宋" w:hAnsi="仿宋" w:eastAsia="仿宋" w:cs="仿宋"/>
          <w:b/>
          <w:sz w:val="52"/>
          <w:szCs w:val="52"/>
        </w:rPr>
      </w:pPr>
      <w:r>
        <w:rPr>
          <w:rFonts w:hint="eastAsia" w:ascii="仿宋" w:hAnsi="仿宋" w:eastAsia="仿宋" w:cs="仿宋"/>
          <w:b/>
          <w:sz w:val="52"/>
          <w:szCs w:val="52"/>
        </w:rPr>
        <w:t>塔什库尔干塔吉克自治县塔什库尔干乡萨热吉勒尕村村容村貌提升项目公开招标文件</w:t>
      </w:r>
    </w:p>
    <w:p>
      <w:pPr>
        <w:pStyle w:val="26"/>
        <w:rPr>
          <w:rFonts w:ascii="仿宋" w:hAnsi="仿宋" w:eastAsia="仿宋" w:cs="仿宋"/>
          <w:bCs/>
          <w:sz w:val="52"/>
          <w:szCs w:val="52"/>
        </w:rPr>
      </w:pPr>
      <w:r>
        <w:rPr>
          <w:rFonts w:hint="eastAsia" w:ascii="仿宋" w:hAnsi="仿宋" w:eastAsia="仿宋" w:cs="仿宋"/>
          <w:bCs/>
          <w:sz w:val="52"/>
          <w:szCs w:val="52"/>
        </w:rPr>
        <w:t xml:space="preserve">  </w:t>
      </w:r>
    </w:p>
    <w:p>
      <w:pPr>
        <w:pStyle w:val="26"/>
        <w:rPr>
          <w:rFonts w:ascii="仿宋" w:hAnsi="仿宋" w:eastAsia="仿宋" w:cs="仿宋"/>
        </w:rPr>
      </w:pPr>
      <w:r>
        <w:rPr>
          <w:rFonts w:hint="eastAsia" w:ascii="仿宋" w:hAnsi="仿宋" w:eastAsia="仿宋" w:cs="仿宋"/>
          <w:bCs/>
          <w:sz w:val="52"/>
          <w:szCs w:val="52"/>
        </w:rPr>
        <w:t xml:space="preserve">        </w:t>
      </w:r>
    </w:p>
    <w:p>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（项 目 编 号：0634-254XZKSQH012）</w:t>
      </w:r>
    </w:p>
    <w:p>
      <w:pPr>
        <w:spacing w:line="240" w:lineRule="atLeast"/>
        <w:rPr>
          <w:rFonts w:ascii="仿宋" w:hAnsi="仿宋" w:eastAsia="仿宋" w:cs="仿宋"/>
          <w:b/>
          <w:sz w:val="28"/>
        </w:rPr>
      </w:pPr>
    </w:p>
    <w:p>
      <w:pPr>
        <w:spacing w:line="240" w:lineRule="atLeast"/>
        <w:ind w:left="2095" w:leftChars="998" w:firstLine="1778" w:firstLineChars="342"/>
        <w:rPr>
          <w:rFonts w:ascii="仿宋" w:hAnsi="仿宋" w:eastAsia="仿宋" w:cs="仿宋"/>
          <w:b/>
          <w:sz w:val="52"/>
        </w:rPr>
      </w:pPr>
      <w:r>
        <w:rPr>
          <w:rFonts w:hint="eastAsia" w:ascii="仿宋" w:hAnsi="仿宋" w:eastAsia="仿宋" w:cs="仿宋"/>
          <w:b/>
          <w:sz w:val="52"/>
        </w:rPr>
        <w:t>(第一册)</w:t>
      </w:r>
    </w:p>
    <w:p>
      <w:pPr>
        <w:pStyle w:val="2"/>
        <w:rPr>
          <w:rFonts w:ascii="仿宋" w:hAnsi="仿宋" w:eastAsia="仿宋" w:cs="仿宋"/>
        </w:rPr>
      </w:pPr>
    </w:p>
    <w:p>
      <w:pPr>
        <w:rPr>
          <w:rFonts w:ascii="仿宋" w:hAnsi="仿宋" w:eastAsia="仿宋" w:cs="仿宋"/>
        </w:rPr>
      </w:pPr>
    </w:p>
    <w:p>
      <w:pPr>
        <w:rPr>
          <w:rFonts w:ascii="仿宋" w:hAnsi="仿宋" w:eastAsia="仿宋" w:cs="仿宋"/>
        </w:rPr>
      </w:pPr>
    </w:p>
    <w:p>
      <w:pPr>
        <w:spacing w:line="430" w:lineRule="exact"/>
        <w:ind w:firstLine="1800" w:firstLineChars="600"/>
        <w:rPr>
          <w:rFonts w:ascii="仿宋" w:hAnsi="仿宋" w:eastAsia="仿宋" w:cs="仿宋"/>
          <w:sz w:val="30"/>
          <w:szCs w:val="30"/>
          <w:highlight w:val="yellow"/>
        </w:rPr>
      </w:pPr>
    </w:p>
    <w:p>
      <w:pPr>
        <w:pStyle w:val="30"/>
        <w:spacing w:beforeAutospacing="0" w:afterAutospacing="0" w:line="360" w:lineRule="exact"/>
        <w:ind w:firstLine="1800" w:firstLineChars="600"/>
        <w:rPr>
          <w:rFonts w:ascii="仿宋" w:hAnsi="仿宋" w:eastAsia="仿宋" w:cs="仿宋"/>
          <w:b/>
          <w:bCs/>
          <w:sz w:val="30"/>
          <w:szCs w:val="30"/>
        </w:rPr>
      </w:pPr>
      <w:r>
        <w:rPr>
          <w:rFonts w:hint="eastAsia" w:ascii="仿宋" w:hAnsi="仿宋" w:eastAsia="仿宋" w:cs="仿宋"/>
          <w:b/>
          <w:bCs/>
          <w:sz w:val="30"/>
          <w:szCs w:val="30"/>
        </w:rPr>
        <w:t>采购单位：塔什库尔干塔吉克自治县塔什库尔干乡</w:t>
      </w:r>
    </w:p>
    <w:p>
      <w:pPr>
        <w:pStyle w:val="30"/>
        <w:spacing w:beforeAutospacing="0" w:afterAutospacing="0" w:line="360" w:lineRule="exact"/>
        <w:ind w:firstLine="1800" w:firstLineChars="600"/>
        <w:rPr>
          <w:rFonts w:ascii="仿宋" w:hAnsi="仿宋" w:eastAsia="仿宋" w:cs="仿宋"/>
          <w:b/>
          <w:bCs/>
          <w:kern w:val="2"/>
          <w:sz w:val="30"/>
          <w:szCs w:val="30"/>
        </w:rPr>
      </w:pPr>
      <w:r>
        <w:rPr>
          <w:rFonts w:hint="eastAsia" w:ascii="仿宋" w:hAnsi="仿宋" w:eastAsia="仿宋" w:cs="仿宋"/>
          <w:b/>
          <w:bCs/>
          <w:kern w:val="2"/>
          <w:sz w:val="30"/>
          <w:szCs w:val="30"/>
        </w:rPr>
        <w:t>联 系 人：李乡长</w:t>
      </w:r>
    </w:p>
    <w:p>
      <w:pPr>
        <w:spacing w:line="430" w:lineRule="exact"/>
        <w:ind w:firstLine="1800" w:firstLineChars="600"/>
        <w:rPr>
          <w:rFonts w:ascii="仿宋" w:hAnsi="仿宋" w:eastAsia="仿宋" w:cs="仿宋"/>
          <w:sz w:val="30"/>
          <w:szCs w:val="30"/>
        </w:rPr>
      </w:pPr>
      <w:r>
        <w:rPr>
          <w:rFonts w:hint="eastAsia" w:ascii="仿宋" w:hAnsi="仿宋" w:eastAsia="仿宋" w:cs="仿宋"/>
          <w:b/>
          <w:bCs/>
          <w:sz w:val="30"/>
          <w:szCs w:val="30"/>
        </w:rPr>
        <w:t>联系电话：15199897597</w:t>
      </w:r>
    </w:p>
    <w:p>
      <w:pPr>
        <w:pStyle w:val="26"/>
        <w:rPr>
          <w:rFonts w:ascii="仿宋" w:hAnsi="仿宋" w:eastAsia="仿宋" w:cs="仿宋"/>
          <w:b/>
          <w:bCs/>
          <w:sz w:val="30"/>
          <w:szCs w:val="30"/>
        </w:rPr>
      </w:pPr>
    </w:p>
    <w:p>
      <w:pPr>
        <w:pStyle w:val="30"/>
        <w:spacing w:beforeAutospacing="0" w:afterAutospacing="0" w:line="360" w:lineRule="exact"/>
        <w:ind w:firstLine="1800" w:firstLineChars="600"/>
        <w:rPr>
          <w:rFonts w:ascii="仿宋" w:hAnsi="仿宋" w:eastAsia="仿宋" w:cs="仿宋"/>
          <w:b/>
          <w:bCs/>
          <w:sz w:val="30"/>
          <w:szCs w:val="30"/>
        </w:rPr>
      </w:pPr>
      <w:bookmarkStart w:id="0" w:name="_Toc8272"/>
      <w:bookmarkStart w:id="1" w:name="_Toc31178"/>
      <w:bookmarkStart w:id="2" w:name="_Toc2510"/>
      <w:bookmarkStart w:id="3" w:name="_Toc15055"/>
      <w:bookmarkStart w:id="4" w:name="_Toc18867"/>
      <w:bookmarkStart w:id="5" w:name="_Toc5471"/>
      <w:bookmarkStart w:id="6" w:name="_Toc26793"/>
      <w:bookmarkStart w:id="7" w:name="_Toc1687"/>
      <w:bookmarkStart w:id="8" w:name="_Toc13334"/>
    </w:p>
    <w:p>
      <w:pPr>
        <w:pStyle w:val="30"/>
        <w:spacing w:beforeAutospacing="0" w:afterAutospacing="0" w:line="360" w:lineRule="exact"/>
        <w:ind w:firstLine="1800" w:firstLineChars="600"/>
        <w:rPr>
          <w:rFonts w:ascii="仿宋" w:hAnsi="仿宋" w:eastAsia="仿宋" w:cs="仿宋"/>
          <w:b/>
          <w:bCs/>
          <w:sz w:val="30"/>
          <w:szCs w:val="30"/>
        </w:rPr>
      </w:pPr>
      <w:r>
        <w:rPr>
          <w:rFonts w:hint="eastAsia" w:ascii="仿宋" w:hAnsi="仿宋" w:eastAsia="仿宋" w:cs="仿宋"/>
          <w:b/>
          <w:bCs/>
          <w:sz w:val="30"/>
          <w:szCs w:val="30"/>
        </w:rPr>
        <w:t xml:space="preserve">采购代理机构：新疆招标有限公司  </w:t>
      </w:r>
    </w:p>
    <w:p>
      <w:pPr>
        <w:pStyle w:val="30"/>
        <w:spacing w:beforeAutospacing="0" w:afterAutospacing="0" w:line="360" w:lineRule="exact"/>
        <w:ind w:firstLine="1800" w:firstLineChars="600"/>
        <w:rPr>
          <w:rFonts w:ascii="仿宋" w:hAnsi="仿宋" w:eastAsia="仿宋" w:cs="仿宋"/>
          <w:b/>
          <w:bCs/>
          <w:sz w:val="30"/>
          <w:szCs w:val="30"/>
        </w:rPr>
      </w:pPr>
      <w:r>
        <w:rPr>
          <w:rFonts w:hint="eastAsia" w:ascii="仿宋" w:hAnsi="仿宋" w:eastAsia="仿宋" w:cs="仿宋"/>
          <w:b/>
          <w:bCs/>
          <w:sz w:val="30"/>
          <w:szCs w:val="30"/>
        </w:rPr>
        <w:t>联 系 人：姚健、李龙涛</w:t>
      </w:r>
    </w:p>
    <w:p>
      <w:pPr>
        <w:pStyle w:val="30"/>
        <w:spacing w:beforeAutospacing="0" w:afterAutospacing="0" w:line="360" w:lineRule="exact"/>
        <w:ind w:firstLine="1800" w:firstLineChars="600"/>
        <w:rPr>
          <w:rFonts w:ascii="仿宋" w:hAnsi="仿宋" w:eastAsia="仿宋" w:cs="仿宋"/>
          <w:b/>
          <w:bCs/>
          <w:sz w:val="30"/>
          <w:szCs w:val="30"/>
        </w:rPr>
      </w:pPr>
      <w:r>
        <w:rPr>
          <w:rFonts w:hint="eastAsia" w:ascii="仿宋" w:hAnsi="仿宋" w:eastAsia="仿宋" w:cs="仿宋"/>
          <w:b/>
          <w:bCs/>
          <w:sz w:val="30"/>
          <w:szCs w:val="30"/>
        </w:rPr>
        <w:t>联系电话：13109925658、16689976999</w:t>
      </w:r>
    </w:p>
    <w:p>
      <w:pPr>
        <w:spacing w:line="360" w:lineRule="auto"/>
        <w:ind w:firstLine="1800" w:firstLineChars="600"/>
        <w:rPr>
          <w:rFonts w:ascii="仿宋" w:hAnsi="仿宋" w:eastAsia="仿宋" w:cs="仿宋"/>
          <w:sz w:val="30"/>
          <w:szCs w:val="30"/>
        </w:rPr>
      </w:pPr>
    </w:p>
    <w:p>
      <w:pPr>
        <w:spacing w:line="360" w:lineRule="auto"/>
        <w:ind w:firstLine="5400" w:firstLineChars="1800"/>
        <w:rPr>
          <w:rFonts w:ascii="仿宋" w:hAnsi="仿宋" w:eastAsia="仿宋" w:cs="仿宋"/>
          <w:b/>
          <w:bCs/>
          <w:sz w:val="30"/>
          <w:szCs w:val="30"/>
        </w:rPr>
      </w:pPr>
      <w:r>
        <w:rPr>
          <w:rFonts w:hint="eastAsia" w:ascii="仿宋" w:hAnsi="仿宋" w:eastAsia="仿宋" w:cs="仿宋"/>
          <w:b/>
          <w:bCs/>
          <w:sz w:val="30"/>
          <w:szCs w:val="30"/>
        </w:rPr>
        <w:t>发出日期：2025年3月</w:t>
      </w:r>
    </w:p>
    <w:p>
      <w:pPr>
        <w:spacing w:line="240" w:lineRule="atLeast"/>
        <w:ind w:left="1079" w:leftChars="257" w:hanging="540"/>
        <w:jc w:val="center"/>
        <w:rPr>
          <w:rFonts w:ascii="仿宋" w:hAnsi="仿宋" w:eastAsia="仿宋" w:cs="仿宋"/>
          <w:b/>
          <w:sz w:val="32"/>
        </w:rPr>
      </w:pPr>
    </w:p>
    <w:p>
      <w:pPr>
        <w:spacing w:line="240" w:lineRule="atLeast"/>
        <w:ind w:left="1079" w:leftChars="257" w:hanging="540"/>
        <w:jc w:val="center"/>
        <w:rPr>
          <w:rFonts w:ascii="仿宋" w:hAnsi="仿宋" w:eastAsia="仿宋" w:cs="仿宋"/>
          <w:b/>
          <w:sz w:val="32"/>
        </w:rPr>
      </w:pPr>
    </w:p>
    <w:p>
      <w:pPr>
        <w:spacing w:line="240" w:lineRule="atLeast"/>
        <w:ind w:left="1079" w:leftChars="257" w:hanging="540"/>
        <w:jc w:val="center"/>
        <w:rPr>
          <w:rFonts w:ascii="仿宋" w:hAnsi="仿宋" w:eastAsia="仿宋" w:cs="仿宋"/>
          <w:b/>
          <w:sz w:val="32"/>
        </w:rPr>
      </w:pPr>
    </w:p>
    <w:p>
      <w:pPr>
        <w:spacing w:line="240" w:lineRule="atLeast"/>
        <w:ind w:left="1079" w:leftChars="257" w:hanging="540"/>
        <w:jc w:val="center"/>
        <w:rPr>
          <w:rFonts w:ascii="仿宋" w:hAnsi="仿宋" w:eastAsia="仿宋" w:cs="仿宋"/>
          <w:b/>
          <w:sz w:val="32"/>
        </w:rPr>
      </w:pPr>
    </w:p>
    <w:p>
      <w:pPr>
        <w:spacing w:line="240" w:lineRule="atLeast"/>
        <w:ind w:left="1079" w:leftChars="257" w:hanging="540"/>
        <w:jc w:val="center"/>
        <w:rPr>
          <w:rFonts w:ascii="仿宋" w:hAnsi="仿宋" w:eastAsia="仿宋" w:cs="仿宋"/>
          <w:b/>
          <w:sz w:val="32"/>
        </w:rPr>
      </w:pPr>
      <w:r>
        <w:rPr>
          <w:rFonts w:hint="eastAsia" w:ascii="仿宋" w:hAnsi="仿宋" w:eastAsia="仿宋" w:cs="仿宋"/>
          <w:b/>
          <w:sz w:val="32"/>
        </w:rPr>
        <w:t>目  录</w:t>
      </w:r>
    </w:p>
    <w:p>
      <w:pPr>
        <w:pStyle w:val="24"/>
        <w:tabs>
          <w:tab w:val="right" w:leader="dot" w:pos="9786"/>
        </w:tabs>
        <w:rPr>
          <w:rFonts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"1-3" \h \u </w:instrText>
      </w:r>
      <w:r>
        <w:rPr>
          <w:rFonts w:hint="eastAsia" w:ascii="仿宋" w:hAnsi="仿宋" w:eastAsia="仿宋" w:cs="仿宋"/>
        </w:rPr>
        <w:fldChar w:fldCharType="separate"/>
      </w:r>
      <w:r>
        <w:fldChar w:fldCharType="begin"/>
      </w:r>
      <w:r>
        <w:instrText xml:space="preserve"> HYPERLINK \l "_Toc29113" </w:instrText>
      </w:r>
      <w:r>
        <w:fldChar w:fldCharType="separate"/>
      </w:r>
      <w:r>
        <w:rPr>
          <w:rFonts w:hint="eastAsia" w:ascii="仿宋" w:hAnsi="仿宋" w:eastAsia="仿宋" w:cs="仿宋"/>
          <w:kern w:val="0"/>
          <w:szCs w:val="44"/>
        </w:rPr>
        <w:t>第一章</w:t>
      </w:r>
      <w:r>
        <w:rPr>
          <w:rFonts w:hint="eastAsia" w:ascii="仿宋" w:hAnsi="仿宋" w:eastAsia="仿宋" w:cs="仿宋"/>
          <w:szCs w:val="44"/>
        </w:rPr>
        <w:t xml:space="preserve">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_Toc29113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rPr>
          <w:rFonts w:ascii="仿宋" w:hAnsi="仿宋" w:eastAsia="仿宋" w:cs="仿宋"/>
        </w:rPr>
      </w:pPr>
      <w:r>
        <w:fldChar w:fldCharType="begin"/>
      </w:r>
      <w:r>
        <w:instrText xml:space="preserve"> HYPERLINK \l "_Toc3977" </w:instrText>
      </w:r>
      <w:r>
        <w:fldChar w:fldCharType="separate"/>
      </w:r>
      <w:r>
        <w:rPr>
          <w:rFonts w:hint="eastAsia" w:ascii="仿宋" w:hAnsi="仿宋" w:eastAsia="仿宋" w:cs="仿宋"/>
        </w:rPr>
        <w:t>一   总 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_Toc3977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"_Toc30658" </w:instrText>
      </w:r>
      <w:r>
        <w:fldChar w:fldCharType="separate"/>
      </w:r>
      <w:r>
        <w:rPr>
          <w:rFonts w:hint="eastAsia" w:ascii="仿宋" w:hAnsi="仿宋" w:eastAsia="仿宋" w:cs="仿宋"/>
        </w:rPr>
        <w:t>1.采购人、采购代理机构及投标人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_Toc30658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"_Toc20103" </w:instrText>
      </w:r>
      <w:r>
        <w:fldChar w:fldCharType="separate"/>
      </w:r>
      <w:r>
        <w:rPr>
          <w:rFonts w:hint="eastAsia" w:ascii="仿宋" w:hAnsi="仿宋" w:eastAsia="仿宋" w:cs="仿宋"/>
        </w:rPr>
        <w:t>2.资金来源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_Toc20103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"_Toc24214" </w:instrText>
      </w:r>
      <w:r>
        <w:fldChar w:fldCharType="separate"/>
      </w:r>
      <w:r>
        <w:rPr>
          <w:rFonts w:hint="eastAsia" w:ascii="仿宋" w:hAnsi="仿宋" w:eastAsia="仿宋" w:cs="仿宋"/>
        </w:rPr>
        <w:t>3.投标费用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_Toc24214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"_Toc26945" </w:instrText>
      </w:r>
      <w:r>
        <w:fldChar w:fldCharType="separate"/>
      </w:r>
      <w:r>
        <w:rPr>
          <w:rFonts w:hint="eastAsia" w:ascii="仿宋" w:hAnsi="仿宋" w:eastAsia="仿宋" w:cs="仿宋"/>
        </w:rPr>
        <w:t>4.适用法律</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_Toc26945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rPr>
          <w:rFonts w:ascii="仿宋" w:hAnsi="仿宋" w:eastAsia="仿宋" w:cs="仿宋"/>
        </w:rPr>
      </w:pPr>
      <w:r>
        <w:fldChar w:fldCharType="begin"/>
      </w:r>
      <w:r>
        <w:instrText xml:space="preserve"> HYPERLINK \l "_Toc28905" </w:instrText>
      </w:r>
      <w:r>
        <w:fldChar w:fldCharType="separate"/>
      </w:r>
      <w:r>
        <w:rPr>
          <w:rFonts w:hint="eastAsia" w:ascii="仿宋" w:hAnsi="仿宋" w:eastAsia="仿宋" w:cs="仿宋"/>
        </w:rPr>
        <w:t>二   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_Toc28905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"_Toc6762" </w:instrText>
      </w:r>
      <w:r>
        <w:fldChar w:fldCharType="separate"/>
      </w:r>
      <w:r>
        <w:rPr>
          <w:rFonts w:hint="eastAsia" w:ascii="仿宋" w:hAnsi="仿宋" w:eastAsia="仿宋" w:cs="仿宋"/>
        </w:rPr>
        <w:t>5.招标文件构成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_Toc6762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"_Toc30248" </w:instrText>
      </w:r>
      <w:r>
        <w:fldChar w:fldCharType="separate"/>
      </w:r>
      <w:r>
        <w:rPr>
          <w:rFonts w:hint="eastAsia" w:ascii="仿宋" w:hAnsi="仿宋" w:eastAsia="仿宋" w:cs="仿宋"/>
        </w:rPr>
        <w:t>6.招标文件的澄清与修改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_Toc30248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"_Toc19742" </w:instrText>
      </w:r>
      <w:r>
        <w:fldChar w:fldCharType="separate"/>
      </w:r>
      <w:r>
        <w:rPr>
          <w:rFonts w:hint="eastAsia" w:ascii="仿宋" w:hAnsi="仿宋" w:eastAsia="仿宋" w:cs="仿宋"/>
        </w:rPr>
        <w:t>7. 投标截止时间的顺延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_Toc19742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rPr>
          <w:rFonts w:ascii="仿宋" w:hAnsi="仿宋" w:eastAsia="仿宋" w:cs="仿宋"/>
        </w:rPr>
      </w:pPr>
      <w:r>
        <w:fldChar w:fldCharType="begin"/>
      </w:r>
      <w:r>
        <w:instrText xml:space="preserve"> HYPERLINK \l "_Toc28891" </w:instrText>
      </w:r>
      <w:r>
        <w:fldChar w:fldCharType="separate"/>
      </w:r>
      <w:r>
        <w:rPr>
          <w:rFonts w:hint="eastAsia" w:ascii="仿宋" w:hAnsi="仿宋" w:eastAsia="仿宋" w:cs="仿宋"/>
        </w:rPr>
        <w:t>三   投标文件的编制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_Toc28891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"_Toc5686" </w:instrText>
      </w:r>
      <w:r>
        <w:fldChar w:fldCharType="separate"/>
      </w:r>
      <w:r>
        <w:rPr>
          <w:rFonts w:hint="eastAsia" w:ascii="仿宋" w:hAnsi="仿宋" w:eastAsia="仿宋" w:cs="仿宋"/>
        </w:rPr>
        <w:t>8.投标范围及投标文件中标准和计量单位的使用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_Toc5686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"_Toc5410" </w:instrText>
      </w:r>
      <w:r>
        <w:fldChar w:fldCharType="separate"/>
      </w:r>
      <w:r>
        <w:rPr>
          <w:rFonts w:hint="eastAsia" w:ascii="仿宋" w:hAnsi="仿宋" w:eastAsia="仿宋" w:cs="仿宋"/>
        </w:rPr>
        <w:t>9.投标文件构成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_Toc5410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"_Toc10580" </w:instrText>
      </w:r>
      <w:r>
        <w:fldChar w:fldCharType="separate"/>
      </w:r>
      <w:r>
        <w:rPr>
          <w:rFonts w:hint="eastAsia" w:ascii="仿宋" w:hAnsi="仿宋" w:eastAsia="仿宋" w:cs="仿宋"/>
        </w:rPr>
        <w:t>10.证明投标标的的合格性和符合招标文件规定的技术文件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_Toc10580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"_Toc24594" </w:instrText>
      </w:r>
      <w:r>
        <w:fldChar w:fldCharType="separate"/>
      </w:r>
      <w:r>
        <w:rPr>
          <w:rFonts w:hint="eastAsia" w:ascii="仿宋" w:hAnsi="仿宋" w:eastAsia="仿宋" w:cs="仿宋"/>
        </w:rPr>
        <w:t>11.投标报价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_Toc24594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"_Toc16123" </w:instrText>
      </w:r>
      <w:r>
        <w:fldChar w:fldCharType="separate"/>
      </w:r>
      <w:r>
        <w:rPr>
          <w:rFonts w:hint="eastAsia" w:ascii="仿宋" w:hAnsi="仿宋" w:eastAsia="仿宋" w:cs="仿宋"/>
        </w:rPr>
        <w:t>12.投标保证金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_Toc16123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"_Toc20684" </w:instrText>
      </w:r>
      <w:r>
        <w:fldChar w:fldCharType="separate"/>
      </w:r>
      <w:r>
        <w:rPr>
          <w:rFonts w:hint="eastAsia" w:ascii="仿宋" w:hAnsi="仿宋" w:eastAsia="仿宋" w:cs="仿宋"/>
        </w:rPr>
        <w:t>13.投标有效期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_Toc20684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"_Toc28127" </w:instrText>
      </w:r>
      <w:r>
        <w:fldChar w:fldCharType="separate"/>
      </w:r>
      <w:r>
        <w:rPr>
          <w:rFonts w:hint="eastAsia" w:ascii="仿宋" w:hAnsi="仿宋" w:eastAsia="仿宋" w:cs="仿宋"/>
        </w:rPr>
        <w:t>14.投标文件的签署及规定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_Toc28127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rPr>
          <w:rFonts w:ascii="仿宋" w:hAnsi="仿宋" w:eastAsia="仿宋" w:cs="仿宋"/>
        </w:rPr>
      </w:pPr>
      <w:r>
        <w:fldChar w:fldCharType="begin"/>
      </w:r>
      <w:r>
        <w:instrText xml:space="preserve"> HYPERLINK \l "_Toc8070" </w:instrText>
      </w:r>
      <w:r>
        <w:fldChar w:fldCharType="separate"/>
      </w:r>
      <w:r>
        <w:rPr>
          <w:rFonts w:hint="eastAsia" w:ascii="仿宋" w:hAnsi="仿宋" w:eastAsia="仿宋" w:cs="仿宋"/>
        </w:rPr>
        <w:t>四   投标文件的递交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_Toc8070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"_Toc11937" </w:instrText>
      </w:r>
      <w:r>
        <w:fldChar w:fldCharType="separate"/>
      </w:r>
      <w:r>
        <w:rPr>
          <w:rFonts w:hint="eastAsia" w:ascii="仿宋" w:hAnsi="仿宋" w:eastAsia="仿宋" w:cs="仿宋"/>
        </w:rPr>
        <w:t>15.投标文件的密封和标记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_Toc11937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"_Toc6414" </w:instrText>
      </w:r>
      <w:r>
        <w:fldChar w:fldCharType="separate"/>
      </w:r>
      <w:r>
        <w:rPr>
          <w:rFonts w:hint="eastAsia" w:ascii="仿宋" w:hAnsi="仿宋" w:eastAsia="仿宋" w:cs="仿宋"/>
        </w:rPr>
        <w:t>16.投标截止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_Toc6414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"_Toc18105" </w:instrText>
      </w:r>
      <w:r>
        <w:fldChar w:fldCharType="separate"/>
      </w:r>
      <w:r>
        <w:rPr>
          <w:rFonts w:hint="eastAsia" w:ascii="仿宋" w:hAnsi="仿宋" w:eastAsia="仿宋" w:cs="仿宋"/>
        </w:rPr>
        <w:t>17.投标文件的接收、修改与撤回</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_Toc18105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rPr>
          <w:rFonts w:ascii="仿宋" w:hAnsi="仿宋" w:eastAsia="仿宋" w:cs="仿宋"/>
        </w:rPr>
      </w:pPr>
      <w:r>
        <w:fldChar w:fldCharType="begin"/>
      </w:r>
      <w:r>
        <w:instrText xml:space="preserve"> HYPERLINK \l "_Toc6737" </w:instrText>
      </w:r>
      <w:r>
        <w:fldChar w:fldCharType="separate"/>
      </w:r>
      <w:r>
        <w:rPr>
          <w:rFonts w:hint="eastAsia" w:ascii="仿宋" w:hAnsi="仿宋" w:eastAsia="仿宋" w:cs="仿宋"/>
        </w:rPr>
        <w:t>五   开标及评标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_Toc6737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"_Toc24428" </w:instrText>
      </w:r>
      <w:r>
        <w:fldChar w:fldCharType="separate"/>
      </w:r>
      <w:r>
        <w:rPr>
          <w:rFonts w:hint="eastAsia" w:ascii="仿宋" w:hAnsi="仿宋" w:eastAsia="仿宋" w:cs="仿宋"/>
        </w:rPr>
        <w:t>18. 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_Toc24428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"_Toc3940" </w:instrText>
      </w:r>
      <w:r>
        <w:fldChar w:fldCharType="separate"/>
      </w:r>
      <w:r>
        <w:rPr>
          <w:rFonts w:hint="eastAsia" w:ascii="仿宋" w:hAnsi="仿宋" w:eastAsia="仿宋" w:cs="仿宋"/>
        </w:rPr>
        <w:t>19.资格审查及组建评标委员会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_Toc3940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"_Toc1238" </w:instrText>
      </w:r>
      <w:r>
        <w:fldChar w:fldCharType="separate"/>
      </w:r>
      <w:r>
        <w:rPr>
          <w:rFonts w:hint="eastAsia" w:ascii="仿宋" w:hAnsi="仿宋" w:eastAsia="仿宋" w:cs="仿宋"/>
        </w:rPr>
        <w:t>20.投标文件符合性审查与澄清</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_Toc1238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"_Toc19169" </w:instrText>
      </w:r>
      <w:r>
        <w:fldChar w:fldCharType="separate"/>
      </w:r>
      <w:r>
        <w:rPr>
          <w:rFonts w:hint="eastAsia" w:ascii="仿宋" w:hAnsi="仿宋" w:eastAsia="仿宋" w:cs="仿宋"/>
        </w:rPr>
        <w:t>21.投标偏离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_Toc19169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"_Toc8784" </w:instrText>
      </w:r>
      <w:r>
        <w:fldChar w:fldCharType="separate"/>
      </w:r>
      <w:r>
        <w:rPr>
          <w:rFonts w:hint="eastAsia" w:ascii="仿宋" w:hAnsi="仿宋" w:eastAsia="仿宋" w:cs="仿宋"/>
        </w:rPr>
        <w:t>22.投标无效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_Toc8784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"_Toc2364" </w:instrText>
      </w:r>
      <w:r>
        <w:fldChar w:fldCharType="separate"/>
      </w:r>
      <w:r>
        <w:rPr>
          <w:rFonts w:hint="eastAsia" w:ascii="仿宋" w:hAnsi="仿宋" w:eastAsia="仿宋" w:cs="仿宋"/>
        </w:rPr>
        <w:t>23.废标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_Toc2364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"_Toc3832" </w:instrText>
      </w:r>
      <w:r>
        <w:fldChar w:fldCharType="separate"/>
      </w:r>
      <w:r>
        <w:rPr>
          <w:rFonts w:hint="eastAsia" w:ascii="仿宋" w:hAnsi="仿宋" w:eastAsia="仿宋" w:cs="仿宋"/>
        </w:rPr>
        <w:t>24.比较与评价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_Toc3832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"_Toc1975" </w:instrText>
      </w:r>
      <w:r>
        <w:fldChar w:fldCharType="separate"/>
      </w:r>
      <w:r>
        <w:rPr>
          <w:rFonts w:hint="eastAsia" w:ascii="仿宋" w:hAnsi="仿宋" w:eastAsia="仿宋" w:cs="仿宋"/>
        </w:rPr>
        <w:t>25.保密原则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_Toc1975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rPr>
          <w:rFonts w:ascii="仿宋" w:hAnsi="仿宋" w:eastAsia="仿宋" w:cs="仿宋"/>
        </w:rPr>
      </w:pPr>
      <w:r>
        <w:fldChar w:fldCharType="begin"/>
      </w:r>
      <w:r>
        <w:instrText xml:space="preserve"> HYPERLINK \l "_Toc4952" </w:instrText>
      </w:r>
      <w:r>
        <w:fldChar w:fldCharType="separate"/>
      </w:r>
      <w:r>
        <w:rPr>
          <w:rFonts w:hint="eastAsia" w:ascii="仿宋" w:hAnsi="仿宋" w:eastAsia="仿宋" w:cs="仿宋"/>
        </w:rPr>
        <w:t>六   确定中标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_Toc4952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"_Toc5071" </w:instrText>
      </w:r>
      <w:r>
        <w:fldChar w:fldCharType="separate"/>
      </w:r>
      <w:r>
        <w:rPr>
          <w:rFonts w:hint="eastAsia" w:ascii="仿宋" w:hAnsi="仿宋" w:eastAsia="仿宋" w:cs="仿宋"/>
        </w:rPr>
        <w:t>26.中标候选人的确定原则及标准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_Toc5071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"_Toc22922" </w:instrText>
      </w:r>
      <w:r>
        <w:fldChar w:fldCharType="separate"/>
      </w:r>
      <w:r>
        <w:rPr>
          <w:rFonts w:hint="eastAsia" w:ascii="仿宋" w:hAnsi="仿宋" w:eastAsia="仿宋" w:cs="仿宋"/>
        </w:rPr>
        <w:t>27.确定中标候选人和中标人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_Toc22922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"_Toc24424" </w:instrText>
      </w:r>
      <w:r>
        <w:fldChar w:fldCharType="separate"/>
      </w:r>
      <w:r>
        <w:rPr>
          <w:rFonts w:hint="eastAsia" w:ascii="仿宋" w:hAnsi="仿宋" w:eastAsia="仿宋" w:cs="仿宋"/>
        </w:rPr>
        <w:t>28.采购任务取消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_Toc24424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"_Toc847" </w:instrText>
      </w:r>
      <w:r>
        <w:fldChar w:fldCharType="separate"/>
      </w:r>
      <w:r>
        <w:rPr>
          <w:rFonts w:hint="eastAsia" w:ascii="仿宋" w:hAnsi="仿宋" w:eastAsia="仿宋" w:cs="仿宋"/>
        </w:rPr>
        <w:t>29.中标通知书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_Toc847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"_Toc1792" </w:instrText>
      </w:r>
      <w:r>
        <w:fldChar w:fldCharType="separate"/>
      </w:r>
      <w:r>
        <w:rPr>
          <w:rFonts w:hint="eastAsia" w:ascii="仿宋" w:hAnsi="仿宋" w:eastAsia="仿宋" w:cs="仿宋"/>
        </w:rPr>
        <w:t>30.签订合同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_Toc1792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"_Toc15851" </w:instrText>
      </w:r>
      <w:r>
        <w:fldChar w:fldCharType="separate"/>
      </w:r>
      <w:r>
        <w:rPr>
          <w:rFonts w:hint="eastAsia" w:ascii="仿宋" w:hAnsi="仿宋" w:eastAsia="仿宋" w:cs="仿宋"/>
        </w:rPr>
        <w:t>31.履约保证金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_Toc15851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"_Toc25251" </w:instrText>
      </w:r>
      <w:r>
        <w:fldChar w:fldCharType="separate"/>
      </w:r>
      <w:r>
        <w:rPr>
          <w:rFonts w:hint="eastAsia" w:ascii="仿宋" w:hAnsi="仿宋" w:eastAsia="仿宋" w:cs="仿宋"/>
        </w:rPr>
        <w:t>32.中标服务费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_Toc25251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"_Toc10688" </w:instrText>
      </w:r>
      <w:r>
        <w:fldChar w:fldCharType="separate"/>
      </w:r>
      <w:r>
        <w:rPr>
          <w:rFonts w:hint="eastAsia" w:ascii="仿宋" w:hAnsi="仿宋" w:eastAsia="仿宋" w:cs="仿宋"/>
        </w:rPr>
        <w:t>33.政府采购信用担保</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_Toc10688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"_Toc16263" </w:instrText>
      </w:r>
      <w:r>
        <w:fldChar w:fldCharType="separate"/>
      </w:r>
      <w:r>
        <w:rPr>
          <w:rFonts w:hint="eastAsia" w:ascii="仿宋" w:hAnsi="仿宋" w:eastAsia="仿宋" w:cs="仿宋"/>
        </w:rPr>
        <w:t>34.廉洁自律规定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_Toc16263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"_Toc23562" </w:instrText>
      </w:r>
      <w:r>
        <w:fldChar w:fldCharType="separate"/>
      </w:r>
      <w:r>
        <w:rPr>
          <w:rFonts w:hint="eastAsia" w:ascii="仿宋" w:hAnsi="仿宋" w:eastAsia="仿宋" w:cs="仿宋"/>
        </w:rPr>
        <w:t>35.人员回避</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_Toc23562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"_Toc20336" </w:instrText>
      </w:r>
      <w:r>
        <w:fldChar w:fldCharType="separate"/>
      </w:r>
      <w:r>
        <w:rPr>
          <w:rFonts w:hint="eastAsia" w:ascii="仿宋" w:hAnsi="仿宋" w:eastAsia="仿宋" w:cs="仿宋"/>
          <w:kern w:val="0"/>
        </w:rPr>
        <w:t>36.质疑与接收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_Toc20336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pPr>
        <w:pStyle w:val="24"/>
        <w:tabs>
          <w:tab w:val="right" w:leader="dot" w:pos="9786"/>
        </w:tabs>
        <w:rPr>
          <w:rFonts w:ascii="仿宋" w:hAnsi="仿宋" w:eastAsia="仿宋" w:cs="仿宋"/>
        </w:rPr>
      </w:pPr>
      <w:r>
        <w:fldChar w:fldCharType="begin"/>
      </w:r>
      <w:r>
        <w:instrText xml:space="preserve"> HYPERLINK \l "_Toc13090" </w:instrText>
      </w:r>
      <w:r>
        <w:fldChar w:fldCharType="separate"/>
      </w:r>
      <w:r>
        <w:rPr>
          <w:rFonts w:hint="eastAsia" w:ascii="仿宋" w:hAnsi="仿宋" w:eastAsia="仿宋" w:cs="仿宋"/>
          <w:kern w:val="0"/>
          <w:szCs w:val="44"/>
        </w:rPr>
        <w:t>第二章</w:t>
      </w:r>
      <w:r>
        <w:rPr>
          <w:rFonts w:hint="eastAsia" w:ascii="仿宋" w:hAnsi="仿宋" w:eastAsia="仿宋" w:cs="仿宋"/>
          <w:szCs w:val="44"/>
        </w:rPr>
        <w:t xml:space="preserve">  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_Toc13090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rPr>
          <w:rFonts w:ascii="仿宋" w:hAnsi="仿宋" w:eastAsia="仿宋" w:cs="仿宋"/>
        </w:rPr>
      </w:pPr>
      <w:r>
        <w:fldChar w:fldCharType="begin"/>
      </w:r>
      <w:r>
        <w:instrText xml:space="preserve"> HYPERLINK \l "_Toc17486" </w:instrText>
      </w:r>
      <w:r>
        <w:fldChar w:fldCharType="separate"/>
      </w:r>
      <w:r>
        <w:rPr>
          <w:rFonts w:hint="eastAsia" w:ascii="仿宋" w:hAnsi="仿宋" w:eastAsia="仿宋" w:cs="仿宋"/>
        </w:rPr>
        <w:t>第一部分 开标一览表及资格证明文件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_Toc17486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"_Toc14899" </w:instrText>
      </w:r>
      <w:r>
        <w:fldChar w:fldCharType="separate"/>
      </w:r>
      <w:r>
        <w:rPr>
          <w:rFonts w:hint="eastAsia" w:ascii="仿宋" w:hAnsi="仿宋" w:eastAsia="仿宋" w:cs="仿宋"/>
        </w:rPr>
        <w:t>1  开标一览表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_Toc14899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"_Toc438" </w:instrText>
      </w:r>
      <w:r>
        <w:fldChar w:fldCharType="separate"/>
      </w:r>
      <w:r>
        <w:rPr>
          <w:rFonts w:hint="eastAsia" w:ascii="仿宋" w:hAnsi="仿宋" w:eastAsia="仿宋" w:cs="仿宋"/>
          <w:kern w:val="0"/>
          <w:szCs w:val="20"/>
        </w:rPr>
        <w:t>2  法人或者非法人组织的营业执照等证明文件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_Toc438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"_Toc32588" </w:instrText>
      </w:r>
      <w:r>
        <w:fldChar w:fldCharType="separate"/>
      </w:r>
      <w:r>
        <w:rPr>
          <w:rFonts w:hint="eastAsia" w:ascii="仿宋" w:hAnsi="仿宋" w:eastAsia="仿宋" w:cs="仿宋"/>
        </w:rPr>
        <w:t>3  法定代表人身份证明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_Toc32588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"_Toc23323" </w:instrText>
      </w:r>
      <w:r>
        <w:fldChar w:fldCharType="separate"/>
      </w:r>
      <w:r>
        <w:rPr>
          <w:rFonts w:hint="eastAsia" w:ascii="仿宋" w:hAnsi="仿宋" w:eastAsia="仿宋" w:cs="仿宋"/>
        </w:rPr>
        <w:t>4  法定代表人授权委托书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_Toc23323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"_Toc5928" </w:instrText>
      </w:r>
      <w:r>
        <w:fldChar w:fldCharType="separate"/>
      </w:r>
      <w:r>
        <w:rPr>
          <w:rFonts w:hint="eastAsia" w:ascii="仿宋" w:hAnsi="仿宋" w:eastAsia="仿宋" w:cs="仿宋"/>
          <w:kern w:val="0"/>
          <w:szCs w:val="20"/>
        </w:rPr>
        <w:t>5  投标保证金缴纳凭证</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_Toc5928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"_Toc19712" </w:instrText>
      </w:r>
      <w:r>
        <w:fldChar w:fldCharType="separate"/>
      </w:r>
      <w:r>
        <w:rPr>
          <w:rFonts w:hint="eastAsia" w:ascii="仿宋" w:hAnsi="仿宋" w:eastAsia="仿宋" w:cs="仿宋"/>
          <w:kern w:val="0"/>
          <w:szCs w:val="20"/>
        </w:rPr>
        <w:t>6  社会保障资金的缴纳记录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_Toc19712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"_Toc9263" </w:instrText>
      </w:r>
      <w:r>
        <w:fldChar w:fldCharType="separate"/>
      </w:r>
      <w:r>
        <w:rPr>
          <w:rFonts w:hint="eastAsia" w:ascii="仿宋" w:hAnsi="仿宋" w:eastAsia="仿宋" w:cs="仿宋"/>
        </w:rPr>
        <w:t>7  良好的商业信誉和健全的财务会计制度证明材料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_Toc9263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"_Toc20592" </w:instrText>
      </w:r>
      <w:r>
        <w:fldChar w:fldCharType="separate"/>
      </w:r>
      <w:r>
        <w:rPr>
          <w:rFonts w:hint="eastAsia" w:ascii="仿宋" w:hAnsi="仿宋" w:eastAsia="仿宋" w:cs="仿宋"/>
        </w:rPr>
        <w:t>8  依法缴纳税收的证明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_Toc20592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"_Toc8820" </w:instrText>
      </w:r>
      <w:r>
        <w:fldChar w:fldCharType="separate"/>
      </w:r>
      <w:r>
        <w:rPr>
          <w:rFonts w:hint="eastAsia" w:ascii="仿宋" w:hAnsi="仿宋" w:eastAsia="仿宋" w:cs="仿宋"/>
        </w:rPr>
        <w:t>9  参加政府采购活动前3年内在经营活动中没有重大违法记录的承诺书及反商业受贿承诺书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_Toc8820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"_Toc9088" </w:instrText>
      </w:r>
      <w:r>
        <w:fldChar w:fldCharType="separate"/>
      </w:r>
      <w:r>
        <w:rPr>
          <w:rFonts w:hint="eastAsia" w:ascii="仿宋" w:hAnsi="仿宋" w:eastAsia="仿宋" w:cs="仿宋"/>
        </w:rPr>
        <w:t>11 投标人须知资料表要求的其他资格证明文件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_Toc9088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rPr>
          <w:rFonts w:ascii="仿宋" w:hAnsi="仿宋" w:eastAsia="仿宋" w:cs="仿宋"/>
        </w:rPr>
      </w:pPr>
      <w:r>
        <w:fldChar w:fldCharType="begin"/>
      </w:r>
      <w:r>
        <w:instrText xml:space="preserve"> HYPERLINK \l "_Toc2243" </w:instrText>
      </w:r>
      <w:r>
        <w:fldChar w:fldCharType="separate"/>
      </w:r>
      <w:r>
        <w:rPr>
          <w:rFonts w:hint="eastAsia" w:ascii="仿宋" w:hAnsi="仿宋" w:eastAsia="仿宋" w:cs="仿宋"/>
          <w:kern w:val="0"/>
          <w:szCs w:val="20"/>
        </w:rPr>
        <w:t>第二部分 商务及技术文件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_Toc2243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"_Toc30384" </w:instrText>
      </w:r>
      <w:r>
        <w:fldChar w:fldCharType="separate"/>
      </w:r>
      <w:r>
        <w:rPr>
          <w:rFonts w:hint="eastAsia" w:ascii="仿宋" w:hAnsi="仿宋" w:eastAsia="仿宋" w:cs="仿宋"/>
        </w:rPr>
        <w:t>1  投标书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_Toc30384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"_Toc3836" </w:instrText>
      </w:r>
      <w:r>
        <w:fldChar w:fldCharType="separate"/>
      </w:r>
      <w:r>
        <w:rPr>
          <w:rFonts w:hint="eastAsia" w:ascii="仿宋" w:hAnsi="仿宋" w:eastAsia="仿宋" w:cs="仿宋"/>
        </w:rPr>
        <w:t>2  投标分项报价表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_Toc3836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"_Toc11861" </w:instrText>
      </w:r>
      <w:r>
        <w:fldChar w:fldCharType="separate"/>
      </w:r>
      <w:r>
        <w:rPr>
          <w:rFonts w:hint="eastAsia" w:ascii="仿宋" w:hAnsi="仿宋" w:eastAsia="仿宋" w:cs="仿宋"/>
        </w:rPr>
        <w:t>3 货物说明一览表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_Toc11861 \h </w:instrText>
      </w:r>
      <w:r>
        <w:rPr>
          <w:rFonts w:hint="eastAsia" w:ascii="仿宋" w:hAnsi="仿宋" w:eastAsia="仿宋" w:cs="仿宋"/>
        </w:rPr>
        <w:fldChar w:fldCharType="separate"/>
      </w:r>
      <w:r>
        <w:rPr>
          <w:rFonts w:hint="eastAsia" w:ascii="仿宋" w:hAnsi="仿宋" w:eastAsia="仿宋" w:cs="仿宋"/>
        </w:rPr>
        <w:t>28</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"_Toc11330" </w:instrText>
      </w:r>
      <w:r>
        <w:fldChar w:fldCharType="separate"/>
      </w:r>
      <w:r>
        <w:rPr>
          <w:rFonts w:hint="eastAsia" w:ascii="仿宋" w:hAnsi="仿宋" w:eastAsia="仿宋" w:cs="仿宋"/>
        </w:rPr>
        <w:t>4 技术规格偏离表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_Toc11330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"_Toc8322" </w:instrText>
      </w:r>
      <w:r>
        <w:fldChar w:fldCharType="separate"/>
      </w:r>
      <w:r>
        <w:rPr>
          <w:rFonts w:hint="eastAsia" w:ascii="仿宋" w:hAnsi="仿宋" w:eastAsia="仿宋" w:cs="仿宋"/>
          <w:kern w:val="0"/>
          <w:szCs w:val="20"/>
        </w:rPr>
        <w:t>5  商务条款偏离表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_Toc8322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"_Toc13271" </w:instrText>
      </w:r>
      <w:r>
        <w:fldChar w:fldCharType="separate"/>
      </w:r>
      <w:r>
        <w:rPr>
          <w:rFonts w:hint="eastAsia" w:ascii="仿宋" w:hAnsi="仿宋" w:eastAsia="仿宋" w:cs="仿宋"/>
        </w:rPr>
        <w:t>6   中小企业声明函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_Toc13271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"_Toc15113" </w:instrText>
      </w:r>
      <w:r>
        <w:fldChar w:fldCharType="separate"/>
      </w:r>
      <w:r>
        <w:rPr>
          <w:rFonts w:hint="eastAsia" w:ascii="仿宋" w:hAnsi="仿宋" w:eastAsia="仿宋" w:cs="仿宋"/>
        </w:rPr>
        <w:t>6-1  中小企业声明函（货物）</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_Toc15113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"_Toc28053" </w:instrText>
      </w:r>
      <w:r>
        <w:fldChar w:fldCharType="separate"/>
      </w:r>
      <w:r>
        <w:rPr>
          <w:rFonts w:hint="eastAsia" w:ascii="仿宋" w:hAnsi="仿宋" w:eastAsia="仿宋" w:cs="仿宋"/>
        </w:rPr>
        <w:t>6-2   残疾人福利性单位声明函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_Toc28053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pPr>
        <w:pStyle w:val="28"/>
        <w:tabs>
          <w:tab w:val="right" w:leader="dot" w:pos="9786"/>
        </w:tabs>
        <w:ind w:firstLine="420" w:firstLineChars="200"/>
        <w:rPr>
          <w:rFonts w:ascii="仿宋" w:hAnsi="仿宋" w:eastAsia="仿宋" w:cs="仿宋"/>
        </w:rPr>
      </w:pPr>
      <w:r>
        <w:fldChar w:fldCharType="begin"/>
      </w:r>
      <w:r>
        <w:instrText xml:space="preserve"> HYPERLINK \l "_Toc6778" </w:instrText>
      </w:r>
      <w:r>
        <w:fldChar w:fldCharType="separate"/>
      </w:r>
      <w:r>
        <w:rPr>
          <w:rFonts w:hint="eastAsia" w:ascii="仿宋" w:hAnsi="仿宋" w:eastAsia="仿宋" w:cs="仿宋"/>
        </w:rPr>
        <w:t>6-3 制造商企业（单位）类型声明函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_Toc6778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"_Toc12127" </w:instrText>
      </w:r>
      <w:r>
        <w:fldChar w:fldCharType="separate"/>
      </w:r>
      <w:r>
        <w:rPr>
          <w:rFonts w:hint="eastAsia" w:ascii="仿宋" w:hAnsi="仿宋" w:eastAsia="仿宋" w:cs="仿宋"/>
        </w:rPr>
        <w:t>7  投标文件还应包括第五章、综合评分表的所有技术文件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_Toc12127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"_Toc8798" </w:instrText>
      </w:r>
      <w:r>
        <w:fldChar w:fldCharType="separate"/>
      </w:r>
      <w:r>
        <w:rPr>
          <w:rFonts w:hint="eastAsia" w:ascii="仿宋" w:hAnsi="仿宋" w:eastAsia="仿宋" w:cs="仿宋"/>
        </w:rPr>
        <w:t>8   投标人关联单位的说明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_Toc8798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"_Toc26379" </w:instrText>
      </w:r>
      <w:r>
        <w:fldChar w:fldCharType="separate"/>
      </w:r>
      <w:r>
        <w:rPr>
          <w:rFonts w:hint="eastAsia" w:ascii="仿宋" w:hAnsi="仿宋" w:eastAsia="仿宋" w:cs="仿宋"/>
        </w:rPr>
        <w:t>9 其他有利于投标人的文件或证明材料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_Toc26379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rPr>
        <w:fldChar w:fldCharType="end"/>
      </w:r>
    </w:p>
    <w:p>
      <w:pPr>
        <w:pStyle w:val="16"/>
        <w:tabs>
          <w:tab w:val="right" w:leader="dot" w:pos="9786"/>
          <w:tab w:val="clear" w:pos="1260"/>
          <w:tab w:val="clear" w:pos="8630"/>
        </w:tabs>
        <w:rPr>
          <w:rFonts w:ascii="仿宋" w:hAnsi="仿宋" w:eastAsia="仿宋" w:cs="仿宋"/>
        </w:rPr>
      </w:pPr>
      <w:r>
        <w:fldChar w:fldCharType="begin"/>
      </w:r>
      <w:r>
        <w:instrText xml:space="preserve"> HYPERLINK \l "_Toc26615" </w:instrText>
      </w:r>
      <w:r>
        <w:fldChar w:fldCharType="separate"/>
      </w:r>
      <w:r>
        <w:rPr>
          <w:rFonts w:hint="eastAsia" w:ascii="仿宋" w:hAnsi="仿宋" w:eastAsia="仿宋" w:cs="仿宋"/>
        </w:rPr>
        <w:t>10 对本项目投标文件（投标文件）中资料真实性的承诺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_Toc26615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rPr>
        <w:fldChar w:fldCharType="end"/>
      </w:r>
    </w:p>
    <w:p>
      <w:pPr>
        <w:pStyle w:val="24"/>
        <w:tabs>
          <w:tab w:val="right" w:leader="dot" w:pos="9786"/>
        </w:tabs>
        <w:rPr>
          <w:rFonts w:ascii="仿宋" w:hAnsi="仿宋" w:eastAsia="仿宋" w:cs="仿宋"/>
        </w:rPr>
      </w:pPr>
      <w:r>
        <w:fldChar w:fldCharType="begin"/>
      </w:r>
      <w:r>
        <w:instrText xml:space="preserve"> HYPERLINK \l "_Toc16520" </w:instrText>
      </w:r>
      <w:r>
        <w:fldChar w:fldCharType="separate"/>
      </w:r>
      <w:r>
        <w:rPr>
          <w:rFonts w:hint="eastAsia" w:ascii="仿宋" w:hAnsi="仿宋" w:eastAsia="仿宋" w:cs="仿宋"/>
          <w:szCs w:val="44"/>
        </w:rPr>
        <w:t>第三章 投标邀请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_Toc16520 \h </w:instrText>
      </w:r>
      <w:r>
        <w:rPr>
          <w:rFonts w:hint="eastAsia" w:ascii="仿宋" w:hAnsi="仿宋" w:eastAsia="仿宋" w:cs="仿宋"/>
        </w:rPr>
        <w:fldChar w:fldCharType="separate"/>
      </w:r>
      <w:r>
        <w:rPr>
          <w:rFonts w:hint="eastAsia" w:ascii="仿宋" w:hAnsi="仿宋" w:eastAsia="仿宋" w:cs="仿宋"/>
        </w:rPr>
        <w:t>37</w:t>
      </w:r>
      <w:r>
        <w:rPr>
          <w:rFonts w:hint="eastAsia" w:ascii="仿宋" w:hAnsi="仿宋" w:eastAsia="仿宋" w:cs="仿宋"/>
        </w:rPr>
        <w:fldChar w:fldCharType="end"/>
      </w:r>
      <w:r>
        <w:rPr>
          <w:rFonts w:hint="eastAsia" w:ascii="仿宋" w:hAnsi="仿宋" w:eastAsia="仿宋" w:cs="仿宋"/>
        </w:rPr>
        <w:fldChar w:fldCharType="end"/>
      </w:r>
    </w:p>
    <w:p>
      <w:pPr>
        <w:pStyle w:val="24"/>
        <w:tabs>
          <w:tab w:val="right" w:leader="dot" w:pos="9786"/>
        </w:tabs>
        <w:rPr>
          <w:rFonts w:ascii="仿宋" w:hAnsi="仿宋" w:eastAsia="仿宋" w:cs="仿宋"/>
        </w:rPr>
      </w:pPr>
      <w:r>
        <w:fldChar w:fldCharType="begin"/>
      </w:r>
      <w:r>
        <w:instrText xml:space="preserve"> HYPERLINK \l "_Toc3146" </w:instrText>
      </w:r>
      <w:r>
        <w:fldChar w:fldCharType="separate"/>
      </w:r>
      <w:r>
        <w:rPr>
          <w:rFonts w:hint="eastAsia" w:ascii="仿宋" w:hAnsi="仿宋" w:eastAsia="仿宋" w:cs="仿宋"/>
          <w:szCs w:val="44"/>
        </w:rPr>
        <w:t>第四章  投标人须知资料表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_Toc3146 \h </w:instrText>
      </w:r>
      <w:r>
        <w:rPr>
          <w:rFonts w:hint="eastAsia" w:ascii="仿宋" w:hAnsi="仿宋" w:eastAsia="仿宋" w:cs="仿宋"/>
        </w:rPr>
        <w:fldChar w:fldCharType="separate"/>
      </w:r>
      <w:r>
        <w:rPr>
          <w:rFonts w:hint="eastAsia" w:ascii="仿宋" w:hAnsi="仿宋" w:eastAsia="仿宋" w:cs="仿宋"/>
        </w:rPr>
        <w:t>41</w:t>
      </w:r>
      <w:r>
        <w:rPr>
          <w:rFonts w:hint="eastAsia" w:ascii="仿宋" w:hAnsi="仿宋" w:eastAsia="仿宋" w:cs="仿宋"/>
        </w:rPr>
        <w:fldChar w:fldCharType="end"/>
      </w:r>
      <w:r>
        <w:rPr>
          <w:rFonts w:hint="eastAsia" w:ascii="仿宋" w:hAnsi="仿宋" w:eastAsia="仿宋" w:cs="仿宋"/>
        </w:rPr>
        <w:fldChar w:fldCharType="end"/>
      </w:r>
    </w:p>
    <w:p>
      <w:pPr>
        <w:pStyle w:val="24"/>
        <w:tabs>
          <w:tab w:val="right" w:leader="dot" w:pos="9786"/>
        </w:tabs>
        <w:rPr>
          <w:rFonts w:ascii="仿宋" w:hAnsi="仿宋" w:eastAsia="仿宋" w:cs="仿宋"/>
        </w:rPr>
      </w:pPr>
      <w:r>
        <w:fldChar w:fldCharType="begin"/>
      </w:r>
      <w:r>
        <w:instrText xml:space="preserve"> HYPERLINK \l "_Toc12881" </w:instrText>
      </w:r>
      <w:r>
        <w:fldChar w:fldCharType="separate"/>
      </w:r>
      <w:r>
        <w:rPr>
          <w:rFonts w:hint="eastAsia" w:ascii="仿宋" w:hAnsi="仿宋" w:eastAsia="仿宋" w:cs="仿宋"/>
          <w:szCs w:val="36"/>
        </w:rPr>
        <w:t>第五章 货物需求一览表及技术规格</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_Toc12881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rPr>
        <w:fldChar w:fldCharType="end"/>
      </w:r>
    </w:p>
    <w:p>
      <w:pPr>
        <w:pStyle w:val="24"/>
        <w:tabs>
          <w:tab w:val="right" w:leader="dot" w:pos="9786"/>
        </w:tabs>
        <w:rPr>
          <w:rFonts w:ascii="仿宋" w:hAnsi="仿宋" w:eastAsia="仿宋" w:cs="仿宋"/>
        </w:rPr>
      </w:pPr>
      <w:r>
        <w:fldChar w:fldCharType="begin"/>
      </w:r>
      <w:r>
        <w:instrText xml:space="preserve"> HYPERLINK \l "_Toc18247" </w:instrText>
      </w:r>
      <w:r>
        <w:fldChar w:fldCharType="separate"/>
      </w:r>
      <w:r>
        <w:rPr>
          <w:rFonts w:hint="eastAsia" w:ascii="仿宋" w:hAnsi="仿宋" w:eastAsia="仿宋" w:cs="仿宋"/>
          <w:szCs w:val="32"/>
        </w:rPr>
        <w:t>第六章  评标方法和标准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_Toc18247 \h </w:instrText>
      </w:r>
      <w:r>
        <w:rPr>
          <w:rFonts w:hint="eastAsia" w:ascii="仿宋" w:hAnsi="仿宋" w:eastAsia="仿宋" w:cs="仿宋"/>
        </w:rPr>
        <w:fldChar w:fldCharType="separate"/>
      </w:r>
      <w:r>
        <w:rPr>
          <w:rFonts w:hint="eastAsia" w:ascii="仿宋" w:hAnsi="仿宋" w:eastAsia="仿宋" w:cs="仿宋"/>
        </w:rPr>
        <w:t>54</w:t>
      </w:r>
      <w:r>
        <w:rPr>
          <w:rFonts w:hint="eastAsia" w:ascii="仿宋" w:hAnsi="仿宋" w:eastAsia="仿宋" w:cs="仿宋"/>
        </w:rPr>
        <w:fldChar w:fldCharType="end"/>
      </w:r>
      <w:r>
        <w:rPr>
          <w:rFonts w:hint="eastAsia" w:ascii="仿宋" w:hAnsi="仿宋" w:eastAsia="仿宋" w:cs="仿宋"/>
        </w:rPr>
        <w:fldChar w:fldCharType="end"/>
      </w:r>
    </w:p>
    <w:p>
      <w:pPr>
        <w:pStyle w:val="24"/>
        <w:tabs>
          <w:tab w:val="right" w:leader="dot" w:pos="9786"/>
        </w:tabs>
        <w:rPr>
          <w:rFonts w:ascii="仿宋" w:hAnsi="仿宋" w:eastAsia="仿宋" w:cs="仿宋"/>
        </w:rPr>
      </w:pPr>
      <w:r>
        <w:fldChar w:fldCharType="begin"/>
      </w:r>
      <w:r>
        <w:instrText xml:space="preserve"> HYPERLINK \l "_Toc19057" </w:instrText>
      </w:r>
      <w:r>
        <w:fldChar w:fldCharType="separate"/>
      </w:r>
      <w:r>
        <w:rPr>
          <w:rFonts w:hint="eastAsia" w:ascii="仿宋" w:hAnsi="仿宋" w:eastAsia="仿宋" w:cs="仿宋"/>
          <w:szCs w:val="44"/>
        </w:rPr>
        <w:t>第七章  政府采购合同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_Toc19057 \h </w:instrText>
      </w:r>
      <w:r>
        <w:rPr>
          <w:rFonts w:hint="eastAsia" w:ascii="仿宋" w:hAnsi="仿宋" w:eastAsia="仿宋" w:cs="仿宋"/>
        </w:rPr>
        <w:fldChar w:fldCharType="separate"/>
      </w:r>
      <w:r>
        <w:rPr>
          <w:rFonts w:hint="eastAsia" w:ascii="仿宋" w:hAnsi="仿宋" w:eastAsia="仿宋" w:cs="仿宋"/>
        </w:rPr>
        <w:t>67</w:t>
      </w:r>
      <w:r>
        <w:rPr>
          <w:rFonts w:hint="eastAsia" w:ascii="仿宋" w:hAnsi="仿宋" w:eastAsia="仿宋" w:cs="仿宋"/>
        </w:rPr>
        <w:fldChar w:fldCharType="end"/>
      </w:r>
      <w:r>
        <w:rPr>
          <w:rFonts w:hint="eastAsia" w:ascii="仿宋" w:hAnsi="仿宋" w:eastAsia="仿宋" w:cs="仿宋"/>
        </w:rPr>
        <w:fldChar w:fldCharType="end"/>
      </w:r>
    </w:p>
    <w:p>
      <w:pPr>
        <w:pStyle w:val="26"/>
        <w:rPr>
          <w:rFonts w:ascii="仿宋" w:hAnsi="仿宋" w:eastAsia="仿宋" w:cs="仿宋"/>
        </w:rPr>
      </w:pPr>
      <w:r>
        <w:rPr>
          <w:rFonts w:hint="eastAsia" w:ascii="仿宋" w:hAnsi="仿宋" w:eastAsia="仿宋" w:cs="仿宋"/>
        </w:rPr>
        <w:fldChar w:fldCharType="end"/>
      </w:r>
    </w:p>
    <w:p>
      <w:pPr>
        <w:rPr>
          <w:rFonts w:ascii="仿宋" w:hAnsi="仿宋" w:eastAsia="仿宋" w:cs="仿宋"/>
        </w:rPr>
      </w:pPr>
    </w:p>
    <w:p>
      <w:pPr>
        <w:pStyle w:val="88"/>
        <w:rPr>
          <w:rFonts w:ascii="仿宋" w:hAnsi="仿宋" w:eastAsia="仿宋" w:cs="仿宋"/>
        </w:rPr>
      </w:pPr>
      <w:bookmarkStart w:id="9" w:name="_Toc13803"/>
    </w:p>
    <w:p>
      <w:pPr>
        <w:pStyle w:val="88"/>
        <w:rPr>
          <w:rFonts w:ascii="仿宋" w:hAnsi="仿宋" w:eastAsia="仿宋" w:cs="仿宋"/>
        </w:rPr>
      </w:pPr>
    </w:p>
    <w:p>
      <w:pPr>
        <w:pStyle w:val="88"/>
        <w:rPr>
          <w:rFonts w:ascii="仿宋" w:hAnsi="仿宋" w:eastAsia="仿宋" w:cs="仿宋"/>
        </w:rPr>
      </w:pPr>
    </w:p>
    <w:p>
      <w:pPr>
        <w:pStyle w:val="88"/>
        <w:rPr>
          <w:rFonts w:ascii="仿宋" w:hAnsi="仿宋" w:eastAsia="仿宋" w:cs="仿宋"/>
        </w:rPr>
      </w:pPr>
    </w:p>
    <w:p>
      <w:pPr>
        <w:pStyle w:val="88"/>
        <w:rPr>
          <w:rFonts w:ascii="仿宋" w:hAnsi="仿宋" w:eastAsia="仿宋" w:cs="仿宋"/>
        </w:rPr>
      </w:pPr>
    </w:p>
    <w:p>
      <w:pPr>
        <w:pStyle w:val="88"/>
        <w:rPr>
          <w:rFonts w:ascii="仿宋" w:hAnsi="仿宋" w:eastAsia="仿宋" w:cs="仿宋"/>
        </w:rPr>
      </w:pPr>
    </w:p>
    <w:p>
      <w:pPr>
        <w:pStyle w:val="5"/>
        <w:tabs>
          <w:tab w:val="left" w:pos="0"/>
        </w:tabs>
        <w:spacing w:before="0" w:after="0" w:line="240" w:lineRule="atLeast"/>
        <w:jc w:val="both"/>
        <w:rPr>
          <w:rFonts w:ascii="仿宋" w:hAnsi="仿宋" w:eastAsia="仿宋" w:cs="仿宋"/>
          <w:kern w:val="0"/>
          <w:sz w:val="44"/>
          <w:szCs w:val="44"/>
        </w:rPr>
        <w:sectPr>
          <w:headerReference r:id="rId3" w:type="default"/>
          <w:footerReference r:id="rId4" w:type="default"/>
          <w:pgSz w:w="11906" w:h="16838"/>
          <w:pgMar w:top="1043" w:right="1060" w:bottom="1043" w:left="1060" w:header="851" w:footer="992" w:gutter="0"/>
          <w:pgNumType w:start="1"/>
          <w:cols w:space="720" w:num="1"/>
          <w:docGrid w:type="linesAndChars" w:linePitch="312" w:charSpace="0"/>
        </w:sectPr>
      </w:pPr>
      <w:bookmarkStart w:id="10" w:name="_Toc11726"/>
    </w:p>
    <w:bookmarkEnd w:id="9"/>
    <w:bookmarkEnd w:id="10"/>
    <w:p>
      <w:pPr>
        <w:pStyle w:val="5"/>
        <w:tabs>
          <w:tab w:val="left" w:pos="0"/>
        </w:tabs>
        <w:spacing w:before="0" w:after="0" w:line="240" w:lineRule="atLeast"/>
        <w:textAlignment w:val="baseline"/>
        <w:rPr>
          <w:rFonts w:ascii="仿宋" w:hAnsi="仿宋" w:eastAsia="仿宋" w:cs="仿宋"/>
          <w:b w:val="0"/>
          <w:sz w:val="20"/>
        </w:rPr>
      </w:pPr>
      <w:bookmarkStart w:id="11" w:name="_Toc749"/>
      <w:bookmarkStart w:id="12" w:name="_Toc29113"/>
      <w:bookmarkStart w:id="13" w:name="_Toc32568"/>
      <w:bookmarkStart w:id="14" w:name="_Toc23583"/>
      <w:bookmarkStart w:id="15" w:name="_Toc27266"/>
      <w:bookmarkStart w:id="16" w:name="_Toc8923"/>
      <w:bookmarkStart w:id="17" w:name="_Toc7794"/>
      <w:bookmarkStart w:id="18" w:name="_Toc17317"/>
      <w:bookmarkStart w:id="19" w:name="_Toc25393"/>
      <w:bookmarkStart w:id="20" w:name="_Toc4823"/>
      <w:bookmarkStart w:id="21" w:name="_Toc5160"/>
      <w:r>
        <w:rPr>
          <w:rFonts w:hint="eastAsia" w:ascii="仿宋" w:hAnsi="仿宋" w:eastAsia="仿宋" w:cs="仿宋"/>
          <w:kern w:val="0"/>
          <w:sz w:val="44"/>
          <w:szCs w:val="44"/>
        </w:rPr>
        <w:t>第一章</w:t>
      </w:r>
      <w:r>
        <w:rPr>
          <w:rFonts w:hint="eastAsia" w:ascii="仿宋" w:hAnsi="仿宋" w:eastAsia="仿宋" w:cs="仿宋"/>
          <w:sz w:val="44"/>
          <w:szCs w:val="44"/>
        </w:rPr>
        <w:t xml:space="preserve">  </w:t>
      </w:r>
      <w:bookmarkStart w:id="22" w:name="_Toc515647756"/>
      <w:r>
        <w:rPr>
          <w:rFonts w:hint="eastAsia" w:ascii="仿宋" w:hAnsi="仿宋" w:eastAsia="仿宋" w:cs="仿宋"/>
          <w:sz w:val="44"/>
          <w:szCs w:val="44"/>
        </w:rPr>
        <w:t>投标人须知</w:t>
      </w:r>
      <w:bookmarkEnd w:id="11"/>
      <w:bookmarkEnd w:id="12"/>
      <w:bookmarkEnd w:id="13"/>
      <w:bookmarkEnd w:id="14"/>
      <w:bookmarkEnd w:id="15"/>
      <w:bookmarkEnd w:id="16"/>
      <w:bookmarkEnd w:id="17"/>
      <w:bookmarkEnd w:id="18"/>
      <w:bookmarkEnd w:id="19"/>
      <w:bookmarkEnd w:id="20"/>
      <w:bookmarkEnd w:id="21"/>
      <w:bookmarkEnd w:id="22"/>
    </w:p>
    <w:p>
      <w:pPr>
        <w:pStyle w:val="6"/>
        <w:spacing w:before="0" w:line="240" w:lineRule="atLeast"/>
        <w:ind w:left="1078" w:leftChars="257" w:hanging="539"/>
        <w:textAlignment w:val="baseline"/>
        <w:rPr>
          <w:rFonts w:ascii="仿宋" w:hAnsi="仿宋" w:eastAsia="仿宋" w:cs="仿宋"/>
          <w:b w:val="0"/>
          <w:sz w:val="24"/>
        </w:rPr>
      </w:pPr>
      <w:bookmarkStart w:id="23" w:name="_Toc515647757"/>
      <w:bookmarkStart w:id="24" w:name="_Toc520356143"/>
      <w:bookmarkStart w:id="25" w:name="_Toc216582805"/>
      <w:bookmarkStart w:id="26" w:name="_Toc22145"/>
      <w:bookmarkStart w:id="27" w:name="_Toc13870"/>
      <w:bookmarkStart w:id="28" w:name="_Toc7364"/>
      <w:bookmarkStart w:id="29" w:name="_Toc9514"/>
      <w:bookmarkStart w:id="30" w:name="_Toc28131"/>
      <w:bookmarkStart w:id="31" w:name="_Toc4895"/>
      <w:bookmarkStart w:id="32" w:name="_Toc28279"/>
      <w:bookmarkStart w:id="33" w:name="_Toc27848"/>
      <w:bookmarkStart w:id="34" w:name="_Toc1988"/>
      <w:bookmarkStart w:id="35" w:name="_Toc24426"/>
      <w:bookmarkStart w:id="36" w:name="_Toc21215"/>
      <w:bookmarkStart w:id="37" w:name="_Toc18007"/>
      <w:bookmarkStart w:id="38" w:name="_Toc21015"/>
      <w:bookmarkStart w:id="39" w:name="_Toc28649"/>
      <w:bookmarkStart w:id="40" w:name="_Toc3977"/>
      <w:bookmarkStart w:id="41" w:name="_Toc17202"/>
      <w:r>
        <w:rPr>
          <w:rFonts w:hint="eastAsia" w:ascii="仿宋" w:hAnsi="仿宋" w:eastAsia="仿宋" w:cs="仿宋"/>
          <w:sz w:val="28"/>
        </w:rPr>
        <w:t xml:space="preserve">一   </w:t>
      </w:r>
      <w:bookmarkEnd w:id="23"/>
      <w:bookmarkEnd w:id="24"/>
      <w:bookmarkEnd w:id="25"/>
      <w:r>
        <w:rPr>
          <w:rFonts w:hint="eastAsia" w:ascii="仿宋" w:hAnsi="仿宋" w:eastAsia="仿宋" w:cs="仿宋"/>
          <w:sz w:val="28"/>
        </w:rPr>
        <w:t>总 则</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pPr>
        <w:pStyle w:val="7"/>
        <w:spacing w:before="0" w:after="0" w:line="288" w:lineRule="auto"/>
        <w:textAlignment w:val="baseline"/>
        <w:rPr>
          <w:rFonts w:ascii="仿宋" w:hAnsi="仿宋" w:eastAsia="仿宋" w:cs="仿宋"/>
        </w:rPr>
      </w:pPr>
      <w:bookmarkStart w:id="42" w:name="_Toc520356144"/>
      <w:bookmarkStart w:id="43" w:name="_Toc702"/>
      <w:bookmarkStart w:id="44" w:name="_Toc568"/>
      <w:bookmarkStart w:id="45" w:name="_Toc5999"/>
      <w:bookmarkStart w:id="46" w:name="_Toc6990"/>
      <w:bookmarkStart w:id="47" w:name="_Toc484"/>
      <w:bookmarkStart w:id="48" w:name="_Toc30658"/>
      <w:bookmarkStart w:id="49" w:name="_Toc11245"/>
      <w:bookmarkStart w:id="50" w:name="_Toc32623"/>
      <w:bookmarkStart w:id="51" w:name="_Toc9357"/>
      <w:bookmarkStart w:id="52" w:name="_Toc17376"/>
      <w:bookmarkStart w:id="53" w:name="_Toc32189"/>
      <w:bookmarkStart w:id="54" w:name="_Toc20172"/>
      <w:bookmarkStart w:id="55" w:name="_Toc14500"/>
      <w:bookmarkStart w:id="56" w:name="_Toc24114"/>
      <w:bookmarkStart w:id="57" w:name="_Toc515647758"/>
      <w:bookmarkStart w:id="58" w:name="_Toc19622"/>
      <w:bookmarkStart w:id="59" w:name="_Toc16352"/>
      <w:r>
        <w:rPr>
          <w:rFonts w:hint="eastAsia" w:ascii="仿宋" w:hAnsi="仿宋" w:eastAsia="仿宋" w:cs="仿宋"/>
        </w:rPr>
        <w:t>1.采购人、采购代理机构及</w:t>
      </w:r>
      <w:bookmarkEnd w:id="42"/>
      <w:r>
        <w:rPr>
          <w:rFonts w:hint="eastAsia" w:ascii="仿宋" w:hAnsi="仿宋" w:eastAsia="仿宋" w:cs="仿宋"/>
        </w:rPr>
        <w:t>投标人</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numPr>
          <w:ilvl w:val="1"/>
          <w:numId w:val="3"/>
        </w:numPr>
        <w:tabs>
          <w:tab w:val="left" w:pos="0"/>
        </w:tabs>
        <w:spacing w:line="288" w:lineRule="auto"/>
        <w:ind w:hanging="898"/>
        <w:textAlignment w:val="baseline"/>
        <w:rPr>
          <w:rFonts w:ascii="仿宋" w:hAnsi="仿宋" w:eastAsia="仿宋" w:cs="仿宋"/>
          <w:sz w:val="24"/>
        </w:rPr>
      </w:pPr>
      <w:r>
        <w:rPr>
          <w:rFonts w:hint="eastAsia" w:ascii="仿宋" w:hAnsi="仿宋" w:eastAsia="仿宋" w:cs="仿宋"/>
          <w:sz w:val="24"/>
        </w:rPr>
        <w:t>采购人：是指依法开展政府采购活动的国家机关、事业单位、团体组织。</w:t>
      </w:r>
    </w:p>
    <w:p>
      <w:pPr>
        <w:tabs>
          <w:tab w:val="left" w:pos="0"/>
        </w:tabs>
        <w:spacing w:line="288" w:lineRule="auto"/>
        <w:ind w:left="900"/>
        <w:textAlignment w:val="baseline"/>
        <w:rPr>
          <w:rFonts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sz w:val="24"/>
          <w:u w:val="single" w:color="000000"/>
        </w:rPr>
        <w:t>投标人须知资料表</w:t>
      </w:r>
      <w:r>
        <w:rPr>
          <w:rFonts w:hint="eastAsia" w:ascii="仿宋" w:hAnsi="仿宋" w:eastAsia="仿宋" w:cs="仿宋"/>
          <w:sz w:val="24"/>
        </w:rPr>
        <w:t>。</w:t>
      </w:r>
    </w:p>
    <w:p>
      <w:pPr>
        <w:numPr>
          <w:ilvl w:val="1"/>
          <w:numId w:val="3"/>
        </w:numPr>
        <w:tabs>
          <w:tab w:val="left" w:pos="0"/>
        </w:tabs>
        <w:spacing w:line="288" w:lineRule="auto"/>
        <w:ind w:hanging="898"/>
        <w:textAlignment w:val="baseline"/>
        <w:rPr>
          <w:rFonts w:ascii="仿宋" w:hAnsi="仿宋" w:eastAsia="仿宋" w:cs="仿宋"/>
          <w:sz w:val="24"/>
        </w:rPr>
      </w:pPr>
      <w:r>
        <w:rPr>
          <w:rFonts w:hint="eastAsia" w:ascii="仿宋" w:hAnsi="仿宋" w:eastAsia="仿宋" w:cs="仿宋"/>
          <w:sz w:val="24"/>
        </w:rPr>
        <w:t>采购代理机构：是指在集中采购机构或从事采购代理业务的社会中介机构。本项目的采购代理机构见</w:t>
      </w:r>
      <w:r>
        <w:rPr>
          <w:rFonts w:hint="eastAsia" w:ascii="仿宋" w:hAnsi="仿宋" w:eastAsia="仿宋" w:cs="仿宋"/>
          <w:sz w:val="24"/>
          <w:u w:val="single" w:color="000000"/>
        </w:rPr>
        <w:t>投标人须知资料表</w:t>
      </w:r>
      <w:r>
        <w:rPr>
          <w:rFonts w:hint="eastAsia" w:ascii="仿宋" w:hAnsi="仿宋" w:eastAsia="仿宋" w:cs="仿宋"/>
          <w:sz w:val="24"/>
        </w:rPr>
        <w:t>。</w:t>
      </w:r>
    </w:p>
    <w:p>
      <w:pPr>
        <w:numPr>
          <w:ilvl w:val="1"/>
          <w:numId w:val="3"/>
        </w:numPr>
        <w:spacing w:line="288" w:lineRule="auto"/>
        <w:ind w:hangingChars="375"/>
        <w:textAlignment w:val="baseline"/>
        <w:rPr>
          <w:rFonts w:ascii="仿宋" w:hAnsi="仿宋" w:eastAsia="仿宋" w:cs="仿宋"/>
          <w:sz w:val="24"/>
        </w:rPr>
      </w:pPr>
      <w:r>
        <w:rPr>
          <w:rFonts w:hint="eastAsia" w:ascii="仿宋" w:hAnsi="仿宋" w:eastAsia="仿宋" w:cs="仿宋"/>
          <w:sz w:val="24"/>
        </w:rPr>
        <w:t>投标人：是指向采购人提供货物、工程或者服务的法人、非法人组织或者自然人。本项目的投标人及其投标货物须满足以下条件：</w:t>
      </w:r>
    </w:p>
    <w:p>
      <w:pPr>
        <w:spacing w:line="288" w:lineRule="auto"/>
        <w:ind w:left="850" w:hanging="849" w:hangingChars="354"/>
        <w:textAlignment w:val="baseline"/>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在中华人民共和国境内注册，能够独立承担民事责任，有生产或供应能力的本国投标人。</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1.3.2  具备《中华人民共和国政府采购法》第二十二条关于投标人条件的规定，遵守本项目采购人本级和上级财政部门政府采购的有关规定。</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1.3.3   以采购代理机构认可的方式获得了本项目的招标文件。</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1.3.4   提供符合</w:t>
      </w:r>
      <w:r>
        <w:rPr>
          <w:rFonts w:hint="eastAsia" w:ascii="仿宋" w:hAnsi="仿宋" w:eastAsia="仿宋" w:cs="仿宋"/>
          <w:sz w:val="24"/>
          <w:u w:val="single" w:color="000000"/>
        </w:rPr>
        <w:t>投标人须知资料表</w:t>
      </w:r>
      <w:r>
        <w:rPr>
          <w:rFonts w:hint="eastAsia" w:ascii="仿宋" w:hAnsi="仿宋" w:eastAsia="仿宋" w:cs="仿宋"/>
          <w:sz w:val="24"/>
        </w:rPr>
        <w:t>中规定的资格证明文件。</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color="000000"/>
        </w:rPr>
        <w:t>投标人须知资料表</w:t>
      </w:r>
      <w:r>
        <w:rPr>
          <w:rFonts w:hint="eastAsia" w:ascii="仿宋" w:hAnsi="仿宋" w:eastAsia="仿宋" w:cs="仿宋"/>
          <w:sz w:val="24"/>
        </w:rPr>
        <w:t>中写明允许采购进口产品，投标人应保证所投产品可履行合法报通关手续进入中国关境内。</w:t>
      </w:r>
    </w:p>
    <w:p>
      <w:pPr>
        <w:spacing w:line="288" w:lineRule="auto"/>
        <w:ind w:left="898" w:leftChars="428"/>
        <w:textAlignment w:val="baseline"/>
        <w:rPr>
          <w:rFonts w:ascii="仿宋" w:hAnsi="仿宋" w:eastAsia="仿宋" w:cs="仿宋"/>
          <w:sz w:val="24"/>
        </w:rPr>
      </w:pPr>
      <w:r>
        <w:rPr>
          <w:rFonts w:hint="eastAsia" w:ascii="仿宋" w:hAnsi="仿宋" w:eastAsia="仿宋" w:cs="仿宋"/>
          <w:sz w:val="24"/>
        </w:rPr>
        <w:t>若</w:t>
      </w:r>
      <w:r>
        <w:rPr>
          <w:rFonts w:hint="eastAsia" w:ascii="仿宋" w:hAnsi="仿宋" w:eastAsia="仿宋" w:cs="仿宋"/>
          <w:sz w:val="24"/>
          <w:u w:val="single" w:color="000000"/>
        </w:rPr>
        <w:t>投标人须知资料表</w:t>
      </w:r>
      <w:r>
        <w:rPr>
          <w:rFonts w:hint="eastAsia" w:ascii="仿宋" w:hAnsi="仿宋" w:eastAsia="仿宋" w:cs="仿宋"/>
          <w:sz w:val="24"/>
        </w:rPr>
        <w:t>中未写明允许采购进口产品，如投标人所投产品为进口产品，其投标将被认定为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840" w:hanging="840" w:hangingChars="350"/>
        <w:textAlignment w:val="baseline"/>
        <w:rPr>
          <w:rFonts w:ascii="仿宋" w:hAnsi="仿宋" w:eastAsia="仿宋" w:cs="仿宋"/>
          <w:sz w:val="24"/>
        </w:rPr>
      </w:pPr>
      <w:r>
        <w:rPr>
          <w:rFonts w:hint="eastAsia" w:ascii="仿宋" w:hAnsi="仿宋" w:eastAsia="仿宋" w:cs="仿宋"/>
          <w:sz w:val="24"/>
        </w:rPr>
        <w:t>1.3.6  若</w:t>
      </w:r>
      <w:r>
        <w:rPr>
          <w:rFonts w:hint="eastAsia" w:ascii="仿宋" w:hAnsi="仿宋" w:eastAsia="仿宋" w:cs="仿宋"/>
          <w:sz w:val="24"/>
          <w:u w:val="single" w:color="000000"/>
        </w:rPr>
        <w:t>投标人须知资料表</w:t>
      </w:r>
      <w:r>
        <w:rPr>
          <w:rFonts w:hint="eastAsia" w:ascii="仿宋" w:hAnsi="仿宋" w:eastAsia="仿宋" w:cs="仿宋"/>
          <w:sz w:val="24"/>
        </w:rPr>
        <w:t>中写明专门面向中小企业采购的，如投标人为非中小企业且所投产品为非中小企业产品，其投标将被认定为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color="000000"/>
        </w:rPr>
        <w:t>投标人须知资料表</w:t>
      </w:r>
      <w:r>
        <w:rPr>
          <w:rFonts w:hint="eastAsia" w:ascii="仿宋" w:hAnsi="仿宋" w:eastAsia="仿宋" w:cs="仿宋"/>
          <w:sz w:val="24"/>
        </w:rPr>
        <w:t>中允许联合体投标，对联合体规定如下：</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1.4.1   两个以上投标人可以组成一个投标联合体，以一个投标人的身份投标。</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1.4.3   采购人根据采购项目对投标人的特殊要求，联合体中至少应当有一方符合相关规定。</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联合体各方应签订共同投标协议，明确约定联合体各方承担的工作和相应的责任，并将共同投标协议连同作为投标文件第一部分的内容提交。</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1.4.6  联合体中有同类资质的投标人按照联合体分工承担相同工作的，按照较低的资质等级确定联合体的资质等级。</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1.4.7  以联合体形式参加政府采购活动的，联合体各方不得再单独参加或者与其他投标人另外组成联合体参加本项目投标，否则相关投标将被认定为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color="000000"/>
        </w:rPr>
        <w:t>投标人须知资料表</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1.5    单位负责人为同一人或者存在直接控股、管理关系的不同投标人，其相关投标将被认定为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1.6    为本项目提供过整体设计、规范编制或者项目管理、监理、检测等服务的投标人，不得再参加本项目上述服务以外的其他采购活动。否则其投标将被认定为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1.7</w:t>
      </w:r>
      <w:r>
        <w:rPr>
          <w:rFonts w:hint="eastAsia" w:ascii="仿宋" w:hAnsi="仿宋" w:eastAsia="仿宋" w:cs="仿宋"/>
          <w:sz w:val="24"/>
        </w:rPr>
        <w:tab/>
      </w:r>
      <w:r>
        <w:rPr>
          <w:rFonts w:hint="eastAsia" w:ascii="仿宋" w:hAnsi="仿宋" w:eastAsia="仿宋" w:cs="仿宋"/>
          <w:sz w:val="24"/>
        </w:rPr>
        <w:t>投标人在投标过程中不得向采购人提供、给予任何有价值的物品，影响其正常决策行为。一经发现，其将被认定为</w:t>
      </w:r>
      <w:r>
        <w:rPr>
          <w:rFonts w:hint="eastAsia" w:ascii="仿宋" w:hAnsi="仿宋" w:eastAsia="仿宋" w:cs="仿宋"/>
          <w:b/>
          <w:bCs/>
          <w:sz w:val="24"/>
        </w:rPr>
        <w:t>投标无效</w:t>
      </w:r>
      <w:r>
        <w:rPr>
          <w:rFonts w:hint="eastAsia" w:ascii="仿宋" w:hAnsi="仿宋" w:eastAsia="仿宋" w:cs="仿宋"/>
          <w:sz w:val="24"/>
        </w:rPr>
        <w:t>。</w:t>
      </w:r>
    </w:p>
    <w:p>
      <w:pPr>
        <w:pStyle w:val="7"/>
        <w:spacing w:before="0" w:after="0" w:line="288" w:lineRule="auto"/>
        <w:textAlignment w:val="baseline"/>
        <w:rPr>
          <w:rFonts w:ascii="仿宋" w:hAnsi="仿宋" w:eastAsia="仿宋" w:cs="仿宋"/>
        </w:rPr>
      </w:pPr>
      <w:bookmarkStart w:id="60" w:name="_Toc515647759"/>
      <w:bookmarkStart w:id="61" w:name="_Toc18623"/>
      <w:bookmarkStart w:id="62" w:name="_Toc4315"/>
      <w:bookmarkStart w:id="63" w:name="_Toc5286"/>
      <w:bookmarkStart w:id="64" w:name="_Toc14117"/>
      <w:bookmarkStart w:id="65" w:name="_Toc8874"/>
      <w:bookmarkStart w:id="66" w:name="_Toc25043"/>
      <w:bookmarkStart w:id="67" w:name="_Toc4322"/>
      <w:bookmarkStart w:id="68" w:name="_Toc25813"/>
      <w:bookmarkStart w:id="69" w:name="_Toc14658"/>
      <w:bookmarkStart w:id="70" w:name="_Toc12139"/>
      <w:bookmarkStart w:id="71" w:name="_Toc7361"/>
      <w:bookmarkStart w:id="72" w:name="_Toc17808"/>
      <w:bookmarkStart w:id="73" w:name="_Toc28178"/>
      <w:bookmarkStart w:id="74" w:name="_Toc21316"/>
      <w:bookmarkStart w:id="75" w:name="_Toc20103"/>
      <w:bookmarkStart w:id="76" w:name="_Toc9749"/>
      <w:r>
        <w:rPr>
          <w:rFonts w:hint="eastAsia" w:ascii="仿宋" w:hAnsi="仿宋" w:eastAsia="仿宋" w:cs="仿宋"/>
        </w:rPr>
        <w:t>2.资金来源</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2.1    本项目的采购人已获得足以支付本次招标后所签订的合同项下的资金（包括财政性资金和本项目采购中无法与财政性资金分割的非财政性资金）。</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sz w:val="24"/>
          <w:u w:val="single" w:color="000000"/>
        </w:rPr>
        <w:t>见投标人须知资料表</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2.3    投标人报价超过招标文件规定的预算金额或者分项、分包最高限价的，其投标将被认定为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7"/>
        <w:spacing w:before="0" w:after="0" w:line="288" w:lineRule="auto"/>
        <w:textAlignment w:val="baseline"/>
        <w:rPr>
          <w:rFonts w:ascii="仿宋" w:hAnsi="仿宋" w:eastAsia="仿宋" w:cs="仿宋"/>
        </w:rPr>
      </w:pPr>
      <w:bookmarkStart w:id="77" w:name="_Toc13235"/>
      <w:bookmarkStart w:id="78" w:name="_Toc20526"/>
      <w:bookmarkStart w:id="79" w:name="_Toc245"/>
      <w:bookmarkStart w:id="80" w:name="_Toc24214"/>
      <w:bookmarkStart w:id="81" w:name="_Toc520356145"/>
      <w:bookmarkStart w:id="82" w:name="_Toc17722"/>
      <w:bookmarkStart w:id="83" w:name="_Toc25643"/>
      <w:bookmarkStart w:id="84" w:name="_Toc31962"/>
      <w:bookmarkStart w:id="85" w:name="_Toc26014"/>
      <w:bookmarkStart w:id="86" w:name="_Toc13828"/>
      <w:bookmarkStart w:id="87" w:name="_Toc15936"/>
      <w:bookmarkStart w:id="88" w:name="_Toc12066"/>
      <w:bookmarkStart w:id="89" w:name="_Toc26702"/>
      <w:bookmarkStart w:id="90" w:name="_Toc22584"/>
      <w:bookmarkStart w:id="91" w:name="_Toc2094"/>
      <w:bookmarkStart w:id="92" w:name="_Toc515647760"/>
      <w:bookmarkStart w:id="93" w:name="_Toc20548"/>
      <w:bookmarkStart w:id="94" w:name="_Toc31923"/>
      <w:r>
        <w:rPr>
          <w:rFonts w:hint="eastAsia" w:ascii="仿宋" w:hAnsi="仿宋" w:eastAsia="仿宋" w:cs="仿宋"/>
        </w:rPr>
        <w:t>3.投标费用</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不论投标的结果如何，投标人应承担所有与准备和参加投标有关的费用。</w:t>
      </w:r>
    </w:p>
    <w:p>
      <w:pPr>
        <w:pStyle w:val="7"/>
        <w:spacing w:before="0" w:after="0" w:line="288" w:lineRule="auto"/>
        <w:textAlignment w:val="baseline"/>
        <w:rPr>
          <w:rFonts w:ascii="仿宋" w:hAnsi="仿宋" w:eastAsia="仿宋" w:cs="仿宋"/>
        </w:rPr>
      </w:pPr>
      <w:bookmarkStart w:id="95" w:name="_Toc3200"/>
      <w:bookmarkStart w:id="96" w:name="_Toc28727"/>
      <w:bookmarkStart w:id="97" w:name="_Toc31798"/>
      <w:bookmarkStart w:id="98" w:name="_Toc32665"/>
      <w:bookmarkStart w:id="99" w:name="_Toc25102"/>
      <w:bookmarkStart w:id="100" w:name="_Toc4463"/>
      <w:bookmarkStart w:id="101" w:name="_Toc3354"/>
      <w:bookmarkStart w:id="102" w:name="_Toc18730"/>
      <w:bookmarkStart w:id="103" w:name="_Toc21790"/>
      <w:bookmarkStart w:id="104" w:name="_Toc10040"/>
      <w:bookmarkStart w:id="105" w:name="_Toc22881"/>
      <w:bookmarkStart w:id="106" w:name="_Toc515647761"/>
      <w:bookmarkStart w:id="107" w:name="_Toc20058"/>
      <w:bookmarkStart w:id="108" w:name="_Toc28041"/>
      <w:bookmarkStart w:id="109" w:name="_Toc24113"/>
      <w:bookmarkStart w:id="110" w:name="_Toc26945"/>
      <w:bookmarkStart w:id="111" w:name="_Toc6116"/>
      <w:r>
        <w:rPr>
          <w:rFonts w:hint="eastAsia" w:ascii="仿宋" w:hAnsi="仿宋" w:eastAsia="仿宋" w:cs="仿宋"/>
        </w:rPr>
        <w:t>4.适用法律</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widowControl/>
        <w:jc w:val="center"/>
        <w:rPr>
          <w:rFonts w:ascii="仿宋" w:hAnsi="仿宋" w:eastAsia="仿宋" w:cs="仿宋"/>
          <w:b/>
          <w:kern w:val="0"/>
          <w:sz w:val="28"/>
          <w:szCs w:val="20"/>
        </w:rPr>
      </w:pPr>
      <w:bookmarkStart w:id="112" w:name="_Toc4365"/>
      <w:bookmarkStart w:id="113" w:name="_Toc28572"/>
      <w:bookmarkStart w:id="114" w:name="_Toc19184"/>
      <w:bookmarkStart w:id="115" w:name="_Toc1733"/>
      <w:bookmarkStart w:id="116" w:name="_Toc21566"/>
      <w:bookmarkStart w:id="117" w:name="_Toc14410"/>
      <w:bookmarkStart w:id="118" w:name="_Toc8117"/>
      <w:bookmarkStart w:id="119" w:name="_Toc10643"/>
      <w:bookmarkStart w:id="120" w:name="_Toc515647762"/>
      <w:bookmarkStart w:id="121" w:name="_Toc28905"/>
      <w:bookmarkStart w:id="122" w:name="_Toc5673"/>
      <w:bookmarkStart w:id="123" w:name="_Toc30891"/>
      <w:bookmarkStart w:id="124" w:name="_Toc520356146"/>
      <w:bookmarkStart w:id="125" w:name="_Toc17538"/>
      <w:bookmarkStart w:id="126" w:name="_Toc6944"/>
      <w:bookmarkStart w:id="127" w:name="_Toc29969"/>
      <w:bookmarkStart w:id="128" w:name="_Toc4063"/>
      <w:bookmarkStart w:id="129" w:name="_Toc216582806"/>
      <w:r>
        <w:rPr>
          <w:rFonts w:hint="eastAsia" w:ascii="仿宋" w:hAnsi="仿宋" w:eastAsia="仿宋" w:cs="仿宋"/>
          <w:b/>
          <w:sz w:val="28"/>
        </w:rPr>
        <w:t>二   招标文件</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pStyle w:val="7"/>
        <w:spacing w:before="0" w:after="0" w:line="288" w:lineRule="auto"/>
        <w:textAlignment w:val="baseline"/>
        <w:rPr>
          <w:rFonts w:ascii="仿宋" w:hAnsi="仿宋" w:eastAsia="仿宋" w:cs="仿宋"/>
        </w:rPr>
      </w:pPr>
      <w:bookmarkStart w:id="130" w:name="_Toc14084"/>
      <w:bookmarkStart w:id="131" w:name="_Toc26759"/>
      <w:bookmarkStart w:id="132" w:name="_Toc22031"/>
      <w:bookmarkStart w:id="133" w:name="_Toc5824"/>
      <w:bookmarkStart w:id="134" w:name="_Toc1617"/>
      <w:bookmarkStart w:id="135" w:name="_Toc4671"/>
      <w:bookmarkStart w:id="136" w:name="_Toc25743"/>
      <w:bookmarkStart w:id="137" w:name="_Toc481"/>
      <w:bookmarkStart w:id="138" w:name="_Toc6246"/>
      <w:bookmarkStart w:id="139" w:name="_Toc515647763"/>
      <w:bookmarkStart w:id="140" w:name="_Toc520356147"/>
      <w:bookmarkStart w:id="141" w:name="_Toc5326"/>
      <w:bookmarkStart w:id="142" w:name="_Toc11582"/>
      <w:bookmarkStart w:id="143" w:name="_Toc6762"/>
      <w:bookmarkStart w:id="144" w:name="_Toc17225"/>
      <w:bookmarkStart w:id="145" w:name="_Toc22748"/>
      <w:bookmarkStart w:id="146" w:name="_Toc28647"/>
      <w:bookmarkStart w:id="147" w:name="_Toc14637"/>
      <w:r>
        <w:rPr>
          <w:rFonts w:hint="eastAsia" w:ascii="仿宋" w:hAnsi="仿宋" w:eastAsia="仿宋" w:cs="仿宋"/>
        </w:rPr>
        <w:t>5.招标文件构成</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rPr>
        <w:t>招标文件分为三册共7章，内容如下：</w:t>
      </w:r>
    </w:p>
    <w:p>
      <w:pPr>
        <w:spacing w:line="288" w:lineRule="auto"/>
        <w:ind w:left="1078" w:leftChars="428" w:hanging="180" w:hangingChars="75"/>
        <w:textAlignment w:val="baseline"/>
        <w:rPr>
          <w:rFonts w:ascii="仿宋" w:hAnsi="仿宋" w:eastAsia="仿宋" w:cs="仿宋"/>
          <w:sz w:val="24"/>
        </w:rPr>
      </w:pPr>
      <w:r>
        <w:rPr>
          <w:rFonts w:hint="eastAsia" w:ascii="仿宋" w:hAnsi="仿宋" w:eastAsia="仿宋" w:cs="仿宋"/>
          <w:sz w:val="24"/>
        </w:rPr>
        <w:t>第一册</w:t>
      </w:r>
    </w:p>
    <w:p>
      <w:pPr>
        <w:numPr>
          <w:ilvl w:val="0"/>
          <w:numId w:val="4"/>
        </w:numPr>
        <w:tabs>
          <w:tab w:val="left" w:pos="0"/>
        </w:tabs>
        <w:spacing w:line="288" w:lineRule="auto"/>
        <w:ind w:hanging="829"/>
        <w:textAlignment w:val="baseline"/>
        <w:rPr>
          <w:rFonts w:ascii="仿宋" w:hAnsi="仿宋" w:eastAsia="仿宋" w:cs="仿宋"/>
          <w:sz w:val="24"/>
        </w:rPr>
      </w:pPr>
      <w:r>
        <w:rPr>
          <w:rFonts w:hint="eastAsia" w:ascii="仿宋" w:hAnsi="仿宋" w:eastAsia="仿宋" w:cs="仿宋"/>
          <w:sz w:val="24"/>
        </w:rPr>
        <w:t xml:space="preserve"> 投标人须知</w:t>
      </w:r>
    </w:p>
    <w:p>
      <w:pPr>
        <w:numPr>
          <w:ilvl w:val="0"/>
          <w:numId w:val="4"/>
        </w:num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 xml:space="preserve"> 投标文件格式</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第二册</w:t>
      </w:r>
    </w:p>
    <w:p>
      <w:pPr>
        <w:numPr>
          <w:ilvl w:val="0"/>
          <w:numId w:val="4"/>
        </w:num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 xml:space="preserve"> 投标邀请</w:t>
      </w:r>
    </w:p>
    <w:p>
      <w:pPr>
        <w:numPr>
          <w:ilvl w:val="0"/>
          <w:numId w:val="4"/>
        </w:num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 xml:space="preserve"> 投标人须知资料表</w:t>
      </w:r>
    </w:p>
    <w:p>
      <w:pPr>
        <w:numPr>
          <w:ilvl w:val="0"/>
          <w:numId w:val="4"/>
        </w:num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 xml:space="preserve"> 货物需求一览表及技术规格</w:t>
      </w:r>
    </w:p>
    <w:p>
      <w:pPr>
        <w:numPr>
          <w:ilvl w:val="0"/>
          <w:numId w:val="4"/>
        </w:num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 xml:space="preserve"> 评标方法和标准</w:t>
      </w:r>
    </w:p>
    <w:p>
      <w:pPr>
        <w:spacing w:line="288" w:lineRule="auto"/>
        <w:ind w:left="901"/>
        <w:textAlignment w:val="baseline"/>
        <w:rPr>
          <w:rFonts w:ascii="仿宋" w:hAnsi="仿宋" w:eastAsia="仿宋" w:cs="仿宋"/>
          <w:sz w:val="24"/>
        </w:rPr>
      </w:pPr>
      <w:r>
        <w:rPr>
          <w:rFonts w:hint="eastAsia" w:ascii="仿宋" w:hAnsi="仿宋" w:eastAsia="仿宋" w:cs="仿宋"/>
          <w:sz w:val="24"/>
        </w:rPr>
        <w:t>第三册</w:t>
      </w:r>
    </w:p>
    <w:p>
      <w:pPr>
        <w:numPr>
          <w:ilvl w:val="0"/>
          <w:numId w:val="4"/>
        </w:numPr>
        <w:spacing w:line="288" w:lineRule="auto"/>
        <w:ind w:left="718" w:leftChars="342" w:firstLine="240" w:firstLineChars="100"/>
        <w:textAlignment w:val="baseline"/>
        <w:rPr>
          <w:rFonts w:ascii="仿宋" w:hAnsi="仿宋" w:eastAsia="仿宋" w:cs="仿宋"/>
          <w:sz w:val="24"/>
        </w:rPr>
      </w:pPr>
      <w:r>
        <w:rPr>
          <w:rFonts w:hint="eastAsia" w:ascii="仿宋" w:hAnsi="仿宋" w:eastAsia="仿宋" w:cs="仿宋"/>
          <w:sz w:val="24"/>
        </w:rPr>
        <w:t>政府采购合同格式</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5.2</w:t>
      </w:r>
      <w:r>
        <w:rPr>
          <w:rFonts w:hint="eastAsia" w:ascii="仿宋" w:hAnsi="仿宋" w:eastAsia="仿宋" w:cs="仿宋"/>
          <w:sz w:val="24"/>
        </w:rPr>
        <w:tab/>
      </w:r>
      <w:r>
        <w:rPr>
          <w:rFonts w:hint="eastAsia" w:ascii="仿宋" w:hAnsi="仿宋" w:eastAsia="仿宋" w:cs="仿宋"/>
          <w:sz w:val="24"/>
        </w:rPr>
        <w:t>如本文件的前后内容不一致，以最后描述为准。</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7"/>
        <w:spacing w:before="0" w:after="0" w:line="288" w:lineRule="auto"/>
        <w:textAlignment w:val="baseline"/>
        <w:rPr>
          <w:rFonts w:ascii="仿宋" w:hAnsi="仿宋" w:eastAsia="仿宋" w:cs="仿宋"/>
        </w:rPr>
      </w:pPr>
      <w:bookmarkStart w:id="148" w:name="_Toc520356148"/>
      <w:bookmarkStart w:id="149" w:name="_Toc515904805"/>
      <w:bookmarkStart w:id="150" w:name="_Toc12578"/>
      <w:bookmarkStart w:id="151" w:name="_Toc9232"/>
      <w:bookmarkStart w:id="152" w:name="_Toc10625"/>
      <w:bookmarkStart w:id="153" w:name="_Toc1922"/>
      <w:bookmarkStart w:id="154" w:name="_Toc4284"/>
      <w:bookmarkStart w:id="155" w:name="_Toc2703"/>
      <w:bookmarkStart w:id="156" w:name="_Toc4118"/>
      <w:bookmarkStart w:id="157" w:name="_Toc26044"/>
      <w:bookmarkStart w:id="158" w:name="_Toc18698"/>
      <w:bookmarkStart w:id="159" w:name="_Toc18688"/>
      <w:bookmarkStart w:id="160" w:name="_Toc27562"/>
      <w:bookmarkStart w:id="161" w:name="_Toc20175"/>
      <w:bookmarkStart w:id="162" w:name="_Toc1925"/>
      <w:bookmarkStart w:id="163" w:name="_Toc30248"/>
      <w:bookmarkStart w:id="164" w:name="_Toc3154"/>
      <w:bookmarkStart w:id="165" w:name="_Toc7323"/>
      <w:r>
        <w:rPr>
          <w:rFonts w:hint="eastAsia" w:ascii="仿宋" w:hAnsi="仿宋" w:eastAsia="仿宋" w:cs="仿宋"/>
        </w:rPr>
        <w:t>6.招标文件的澄清</w:t>
      </w:r>
      <w:bookmarkEnd w:id="148"/>
      <w:bookmarkEnd w:id="149"/>
      <w:r>
        <w:rPr>
          <w:rFonts w:hint="eastAsia" w:ascii="仿宋" w:hAnsi="仿宋" w:eastAsia="仿宋" w:cs="仿宋"/>
        </w:rPr>
        <w:t>与修改</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pPr>
        <w:pStyle w:val="9"/>
        <w:spacing w:line="288" w:lineRule="auto"/>
        <w:ind w:left="840" w:hanging="840" w:hangingChars="350"/>
        <w:textAlignment w:val="baseline"/>
        <w:rPr>
          <w:rFonts w:ascii="仿宋" w:hAnsi="仿宋" w:eastAsia="仿宋" w:cs="仿宋"/>
          <w:szCs w:val="24"/>
        </w:rPr>
      </w:pPr>
      <w:r>
        <w:rPr>
          <w:rFonts w:hint="eastAsia" w:ascii="仿宋" w:hAnsi="仿宋" w:eastAsia="仿宋" w:cs="仿宋"/>
          <w:szCs w:val="24"/>
        </w:rPr>
        <w:t>6.1    为了保证对招标文件的澄清和修改满足法律的时限要求，任何要求对招标文件进行澄清的投标人，均应在投标截止期十五日前，以书面形式将澄清要求通知采购人或采购代理机构。</w:t>
      </w:r>
    </w:p>
    <w:p>
      <w:pPr>
        <w:pStyle w:val="9"/>
        <w:spacing w:line="288" w:lineRule="auto"/>
        <w:ind w:left="840" w:hanging="840" w:hangingChars="350"/>
        <w:textAlignment w:val="baseline"/>
        <w:rPr>
          <w:rFonts w:ascii="仿宋" w:hAnsi="仿宋" w:eastAsia="仿宋" w:cs="仿宋"/>
          <w:szCs w:val="24"/>
        </w:rPr>
      </w:pPr>
      <w:bookmarkStart w:id="166" w:name="_Toc520356149"/>
      <w:bookmarkStart w:id="167" w:name="_Toc515904806"/>
      <w:bookmarkStart w:id="168" w:name="_Ref467378678"/>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9"/>
        <w:spacing w:line="288" w:lineRule="auto"/>
        <w:ind w:left="840" w:hanging="840" w:hangingChars="350"/>
        <w:textAlignment w:val="baseline"/>
        <w:rPr>
          <w:rFonts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7"/>
        <w:tabs>
          <w:tab w:val="left" w:pos="900"/>
        </w:tabs>
        <w:spacing w:before="0" w:after="0" w:line="288" w:lineRule="auto"/>
        <w:textAlignment w:val="baseline"/>
        <w:rPr>
          <w:rFonts w:ascii="仿宋" w:hAnsi="仿宋" w:eastAsia="仿宋" w:cs="仿宋"/>
        </w:rPr>
      </w:pPr>
      <w:bookmarkStart w:id="169" w:name="_Toc19742"/>
      <w:bookmarkStart w:id="170" w:name="_Toc21993"/>
      <w:bookmarkStart w:id="171" w:name="_Toc330"/>
      <w:bookmarkStart w:id="172" w:name="_Toc14569"/>
      <w:bookmarkStart w:id="173" w:name="_Toc7775"/>
      <w:bookmarkStart w:id="174" w:name="_Toc23166"/>
      <w:bookmarkStart w:id="175" w:name="_Toc2744"/>
      <w:bookmarkStart w:id="176" w:name="_Toc12448"/>
      <w:bookmarkStart w:id="177" w:name="_Toc25461"/>
      <w:bookmarkStart w:id="178" w:name="_Toc22642"/>
      <w:bookmarkStart w:id="179" w:name="_Toc25635"/>
      <w:bookmarkStart w:id="180" w:name="_Toc31409"/>
      <w:bookmarkStart w:id="181" w:name="_Toc4653"/>
      <w:bookmarkStart w:id="182" w:name="_Toc25416"/>
      <w:bookmarkStart w:id="183" w:name="_Toc19841"/>
      <w:bookmarkStart w:id="184" w:name="_Toc32689"/>
      <w:r>
        <w:rPr>
          <w:rFonts w:hint="eastAsia" w:ascii="仿宋" w:hAnsi="仿宋" w:eastAsia="仿宋" w:cs="仿宋"/>
        </w:rPr>
        <w:t>7</w:t>
      </w:r>
      <w:bookmarkEnd w:id="166"/>
      <w:bookmarkEnd w:id="167"/>
      <w:bookmarkEnd w:id="168"/>
      <w:r>
        <w:rPr>
          <w:rFonts w:hint="eastAsia" w:ascii="仿宋" w:hAnsi="仿宋" w:eastAsia="仿宋" w:cs="仿宋"/>
        </w:rPr>
        <w:t>. 投标截止时间的顺延</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为使投标人准备投标时有足够的时间对招标文件的澄清或者修改部分进行研究，采购人将依法决定是否顺延投标截止时间。</w:t>
      </w:r>
    </w:p>
    <w:p>
      <w:pPr>
        <w:pStyle w:val="6"/>
        <w:tabs>
          <w:tab w:val="left" w:pos="900"/>
        </w:tabs>
        <w:spacing w:before="0" w:line="288" w:lineRule="auto"/>
        <w:ind w:left="1079" w:leftChars="257" w:hanging="540"/>
        <w:textAlignment w:val="baseline"/>
        <w:rPr>
          <w:rFonts w:ascii="仿宋" w:hAnsi="仿宋" w:eastAsia="仿宋" w:cs="仿宋"/>
          <w:b w:val="0"/>
          <w:sz w:val="24"/>
        </w:rPr>
      </w:pPr>
      <w:bookmarkStart w:id="185" w:name="_Toc516367020"/>
      <w:bookmarkStart w:id="186" w:name="_Toc520356150"/>
      <w:bookmarkStart w:id="187" w:name="_Toc515647766"/>
      <w:bookmarkStart w:id="188" w:name="_Toc22175"/>
      <w:bookmarkStart w:id="189" w:name="_Toc8537"/>
      <w:bookmarkStart w:id="190" w:name="_Toc31039"/>
      <w:bookmarkStart w:id="191" w:name="_Toc19696"/>
      <w:bookmarkStart w:id="192" w:name="_Toc30808"/>
      <w:bookmarkStart w:id="193" w:name="_Toc9953"/>
      <w:bookmarkStart w:id="194" w:name="_Toc28891"/>
      <w:bookmarkStart w:id="195" w:name="_Toc216582807"/>
      <w:bookmarkStart w:id="196" w:name="_Toc8381"/>
      <w:bookmarkStart w:id="197" w:name="_Toc12340"/>
      <w:bookmarkStart w:id="198" w:name="_Toc7636"/>
      <w:bookmarkStart w:id="199" w:name="_Toc25866"/>
      <w:bookmarkStart w:id="200" w:name="_Toc14530"/>
      <w:bookmarkStart w:id="201" w:name="_Toc15802"/>
      <w:bookmarkStart w:id="202" w:name="_Toc12310"/>
      <w:bookmarkStart w:id="203" w:name="_Toc23336"/>
      <w:bookmarkStart w:id="204" w:name="_Toc28472"/>
      <w:r>
        <w:rPr>
          <w:rFonts w:hint="eastAsia" w:ascii="仿宋" w:hAnsi="仿宋" w:eastAsia="仿宋" w:cs="仿宋"/>
          <w:sz w:val="28"/>
        </w:rPr>
        <w:t>三   投标文件</w:t>
      </w:r>
      <w:bookmarkEnd w:id="185"/>
      <w:r>
        <w:rPr>
          <w:rFonts w:hint="eastAsia" w:ascii="仿宋" w:hAnsi="仿宋" w:eastAsia="仿宋" w:cs="仿宋"/>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pPr>
        <w:pStyle w:val="7"/>
        <w:tabs>
          <w:tab w:val="left" w:pos="900"/>
        </w:tabs>
        <w:spacing w:before="0" w:after="0" w:line="288" w:lineRule="auto"/>
        <w:textAlignment w:val="baseline"/>
        <w:rPr>
          <w:rFonts w:ascii="仿宋" w:hAnsi="仿宋" w:eastAsia="仿宋" w:cs="仿宋"/>
        </w:rPr>
      </w:pPr>
      <w:bookmarkStart w:id="205" w:name="_Toc28188"/>
      <w:bookmarkStart w:id="206" w:name="_Toc516367021"/>
      <w:bookmarkStart w:id="207" w:name="_Toc515647767"/>
      <w:bookmarkStart w:id="208" w:name="_Toc7786"/>
      <w:bookmarkStart w:id="209" w:name="_Toc15590"/>
      <w:bookmarkStart w:id="210" w:name="_Toc6680"/>
      <w:bookmarkStart w:id="211" w:name="_Toc8749"/>
      <w:bookmarkStart w:id="212" w:name="_Toc5686"/>
      <w:bookmarkStart w:id="213" w:name="_Toc10758"/>
      <w:bookmarkStart w:id="214" w:name="_Toc11023"/>
      <w:bookmarkStart w:id="215" w:name="_Toc2259"/>
      <w:bookmarkStart w:id="216" w:name="_Toc11230"/>
      <w:bookmarkStart w:id="217" w:name="_Toc28725"/>
      <w:bookmarkStart w:id="218" w:name="_Toc28034"/>
      <w:bookmarkStart w:id="219" w:name="_Toc30570"/>
      <w:bookmarkStart w:id="220" w:name="_Toc520356151"/>
      <w:bookmarkStart w:id="221" w:name="_Toc15952"/>
      <w:bookmarkStart w:id="222" w:name="_Toc3553"/>
      <w:bookmarkStart w:id="223" w:name="_Toc27410"/>
      <w:r>
        <w:rPr>
          <w:rFonts w:hint="eastAsia" w:ascii="仿宋" w:hAnsi="仿宋" w:eastAsia="仿宋" w:cs="仿宋"/>
        </w:rPr>
        <w:t>8.投标范围及投标文件中标准和计量单位的使用</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项目有分包的，投标人可对招标文件其中某一个或几个分包货物进行投标，除非在</w:t>
      </w:r>
      <w:r>
        <w:rPr>
          <w:rFonts w:hint="eastAsia" w:ascii="仿宋" w:hAnsi="仿宋" w:eastAsia="仿宋" w:cs="仿宋"/>
          <w:sz w:val="24"/>
          <w:u w:val="single" w:color="000000"/>
        </w:rPr>
        <w:t>投标人须知资料表</w:t>
      </w:r>
      <w:r>
        <w:rPr>
          <w:rFonts w:hint="eastAsia" w:ascii="仿宋" w:hAnsi="仿宋" w:eastAsia="仿宋" w:cs="仿宋"/>
          <w:sz w:val="24"/>
        </w:rPr>
        <w:t>中另有规定。</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8.2     投标人应当对所投分包招标文件中“服务需求”所列的所有内容进行投标，如仅响应某一包中的部分内容，其该包投标将被认定为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8.3     无论招标文件第5章货物需求一览表及技术规格中是否要求，投标人所投货物均应符合国家强制性标准。</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8.4     除招标文件中有特殊要求外，投标文件中所使用的计量单位，应采用中华人民共和国法定计量单位。</w:t>
      </w:r>
    </w:p>
    <w:p>
      <w:pPr>
        <w:pStyle w:val="7"/>
        <w:tabs>
          <w:tab w:val="left" w:pos="900"/>
        </w:tabs>
        <w:spacing w:before="0" w:after="0" w:line="288" w:lineRule="auto"/>
        <w:textAlignment w:val="baseline"/>
        <w:rPr>
          <w:rFonts w:ascii="仿宋" w:hAnsi="仿宋" w:eastAsia="仿宋" w:cs="仿宋"/>
        </w:rPr>
      </w:pPr>
      <w:bookmarkStart w:id="224" w:name="_Ref467306676"/>
      <w:bookmarkStart w:id="225" w:name="_Toc516367022"/>
      <w:bookmarkStart w:id="226" w:name="_Ref467306195"/>
      <w:bookmarkStart w:id="227" w:name="_Toc9826"/>
      <w:bookmarkStart w:id="228" w:name="_Toc515647768"/>
      <w:bookmarkStart w:id="229" w:name="_Toc17949"/>
      <w:bookmarkStart w:id="230" w:name="_Toc9389"/>
      <w:bookmarkStart w:id="231" w:name="_Toc9237"/>
      <w:bookmarkStart w:id="232" w:name="_Toc10364"/>
      <w:bookmarkStart w:id="233" w:name="_Toc22989"/>
      <w:bookmarkStart w:id="234" w:name="_Toc21249"/>
      <w:bookmarkStart w:id="235" w:name="_Toc8545"/>
      <w:bookmarkStart w:id="236" w:name="_Toc520356152"/>
      <w:bookmarkStart w:id="237" w:name="_Toc9822"/>
      <w:bookmarkStart w:id="238" w:name="_Toc18627"/>
      <w:bookmarkStart w:id="239" w:name="_Toc6112"/>
      <w:bookmarkStart w:id="240" w:name="_Toc28307"/>
      <w:bookmarkStart w:id="241" w:name="_Toc13854"/>
      <w:bookmarkStart w:id="242" w:name="_Toc5410"/>
      <w:bookmarkStart w:id="243" w:name="_Toc17979"/>
      <w:bookmarkStart w:id="244" w:name="_Toc18692"/>
      <w:r>
        <w:rPr>
          <w:rFonts w:hint="eastAsia" w:ascii="仿宋" w:hAnsi="仿宋" w:eastAsia="仿宋" w:cs="仿宋"/>
        </w:rPr>
        <w:t>9.投标文件</w:t>
      </w:r>
      <w:bookmarkEnd w:id="224"/>
      <w:bookmarkEnd w:id="225"/>
      <w:bookmarkEnd w:id="226"/>
      <w:r>
        <w:rPr>
          <w:rFonts w:hint="eastAsia" w:ascii="仿宋" w:hAnsi="仿宋" w:eastAsia="仿宋" w:cs="仿宋"/>
        </w:rPr>
        <w:t>构成</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9.1    投标人应完整地按招标文件提供的投标文件格式及要求编写投标文件，投标单位须</w:t>
      </w:r>
    </w:p>
    <w:p>
      <w:pPr>
        <w:spacing w:line="288" w:lineRule="auto"/>
        <w:ind w:left="898" w:leftChars="342" w:hanging="180" w:hangingChars="75"/>
        <w:textAlignment w:val="baseline"/>
        <w:rPr>
          <w:rFonts w:ascii="仿宋" w:hAnsi="仿宋" w:eastAsia="仿宋" w:cs="仿宋"/>
          <w:sz w:val="24"/>
        </w:rPr>
      </w:pPr>
      <w:r>
        <w:rPr>
          <w:rFonts w:hint="eastAsia" w:ascii="仿宋" w:hAnsi="仿宋" w:eastAsia="仿宋" w:cs="仿宋"/>
          <w:sz w:val="24"/>
        </w:rPr>
        <w:t>在投标截止时间前完成在系统上递交电子投标文件。投标单位的电子投标文件是经</w:t>
      </w:r>
    </w:p>
    <w:p>
      <w:pPr>
        <w:spacing w:line="288" w:lineRule="auto"/>
        <w:ind w:left="898" w:leftChars="342" w:hanging="180" w:hangingChars="75"/>
        <w:textAlignment w:val="baseline"/>
        <w:rPr>
          <w:rFonts w:ascii="仿宋" w:hAnsi="仿宋" w:eastAsia="仿宋" w:cs="仿宋"/>
          <w:sz w:val="24"/>
        </w:rPr>
      </w:pPr>
      <w:r>
        <w:rPr>
          <w:rFonts w:hint="eastAsia" w:ascii="仿宋" w:hAnsi="仿宋" w:eastAsia="仿宋" w:cs="仿宋"/>
          <w:sz w:val="24"/>
        </w:rPr>
        <w:t>过 CA 证书加密后上传提交的，任何单位或个人均无法在投标截止时间(即投标时间)</w:t>
      </w:r>
    </w:p>
    <w:p>
      <w:pPr>
        <w:spacing w:line="288" w:lineRule="auto"/>
        <w:ind w:left="898" w:leftChars="342" w:hanging="180" w:hangingChars="75"/>
        <w:textAlignment w:val="baseline"/>
        <w:rPr>
          <w:rFonts w:ascii="仿宋" w:hAnsi="仿宋" w:eastAsia="仿宋" w:cs="仿宋"/>
          <w:sz w:val="24"/>
        </w:rPr>
      </w:pPr>
      <w:r>
        <w:rPr>
          <w:rFonts w:hint="eastAsia" w:ascii="仿宋" w:hAnsi="仿宋" w:eastAsia="仿宋" w:cs="仿宋"/>
          <w:sz w:val="24"/>
        </w:rPr>
        <w:t>之前查看或篡改，不存在泄密风险。（严格按照政采云电子投标流程制作并上传电</w:t>
      </w:r>
    </w:p>
    <w:p>
      <w:pPr>
        <w:spacing w:line="288" w:lineRule="auto"/>
        <w:ind w:left="898" w:leftChars="342" w:hanging="180" w:hangingChars="75"/>
        <w:textAlignment w:val="baseline"/>
        <w:rPr>
          <w:rFonts w:ascii="仿宋" w:hAnsi="仿宋" w:eastAsia="仿宋" w:cs="仿宋"/>
          <w:sz w:val="24"/>
        </w:rPr>
      </w:pPr>
      <w:r>
        <w:rPr>
          <w:rFonts w:hint="eastAsia" w:ascii="仿宋" w:hAnsi="仿宋" w:eastAsia="仿宋" w:cs="仿宋"/>
          <w:sz w:val="24"/>
        </w:rPr>
        <w:t>子投标文件）</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9.2 上述文件应按照招标文件规定的格式填写、签署和盖章招标文件中的格式供参考，投标文件中的内容可自行调整但应包括格式内的所有内容。</w:t>
      </w:r>
    </w:p>
    <w:p>
      <w:pPr>
        <w:pStyle w:val="7"/>
        <w:tabs>
          <w:tab w:val="left" w:pos="900"/>
        </w:tabs>
        <w:spacing w:before="0" w:after="0" w:line="288" w:lineRule="auto"/>
        <w:textAlignment w:val="baseline"/>
        <w:rPr>
          <w:rFonts w:ascii="仿宋" w:hAnsi="仿宋" w:eastAsia="仿宋" w:cs="仿宋"/>
        </w:rPr>
      </w:pPr>
      <w:bookmarkStart w:id="245" w:name="_Toc22816"/>
      <w:bookmarkStart w:id="246" w:name="_Toc13143"/>
      <w:bookmarkStart w:id="247" w:name="_Toc10580"/>
      <w:bookmarkStart w:id="248" w:name="_Toc3494"/>
      <w:bookmarkStart w:id="249" w:name="_Toc2550"/>
      <w:bookmarkStart w:id="250" w:name="_Toc22144"/>
      <w:bookmarkStart w:id="251" w:name="_Toc21436"/>
      <w:bookmarkStart w:id="252" w:name="_Toc2871"/>
      <w:bookmarkStart w:id="253" w:name="_Toc6889"/>
      <w:bookmarkStart w:id="254" w:name="_Toc7354"/>
      <w:bookmarkStart w:id="255" w:name="_Toc5539"/>
      <w:bookmarkStart w:id="256" w:name="_Toc11721"/>
      <w:bookmarkStart w:id="257" w:name="_Toc515647769"/>
      <w:bookmarkStart w:id="258" w:name="_Toc520356153"/>
      <w:bookmarkStart w:id="259" w:name="_Toc30942"/>
      <w:bookmarkStart w:id="260" w:name="_Toc17771"/>
      <w:bookmarkStart w:id="261" w:name="_Toc516367023"/>
      <w:bookmarkStart w:id="262" w:name="_Toc4601"/>
      <w:bookmarkStart w:id="263" w:name="_Toc10379"/>
      <w:r>
        <w:rPr>
          <w:rFonts w:hint="eastAsia" w:ascii="仿宋" w:hAnsi="仿宋" w:eastAsia="仿宋" w:cs="仿宋"/>
        </w:rPr>
        <w:t>10.证明投标标的的合格性和符合招标文件规定的技术文件</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rPr>
        <w:t>投标人应提交证明文件，证明其投标内容符合招标文件规定。该证明文件是投标文件的一部分。</w:t>
      </w:r>
    </w:p>
    <w:p>
      <w:pPr>
        <w:spacing w:line="288" w:lineRule="auto"/>
        <w:ind w:left="900" w:hanging="900" w:hangingChars="375"/>
        <w:textAlignment w:val="baseline"/>
        <w:rPr>
          <w:rFonts w:ascii="仿宋" w:hAnsi="仿宋" w:eastAsia="仿宋" w:cs="仿宋"/>
          <w:sz w:val="24"/>
        </w:rPr>
      </w:pPr>
      <w:bookmarkStart w:id="264"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264"/>
      <w:r>
        <w:rPr>
          <w:rFonts w:hint="eastAsia" w:ascii="仿宋" w:hAnsi="仿宋" w:eastAsia="仿宋" w:cs="仿宋"/>
          <w:sz w:val="24"/>
        </w:rPr>
        <w:t>它包括：</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10.2.1</w:t>
      </w:r>
      <w:r>
        <w:rPr>
          <w:rFonts w:hint="eastAsia" w:ascii="仿宋" w:hAnsi="仿宋" w:eastAsia="仿宋" w:cs="仿宋"/>
          <w:sz w:val="24"/>
        </w:rPr>
        <w:tab/>
      </w:r>
      <w:r>
        <w:rPr>
          <w:rFonts w:hint="eastAsia" w:ascii="仿宋" w:hAnsi="仿宋" w:eastAsia="仿宋" w:cs="仿宋"/>
          <w:sz w:val="24"/>
        </w:rPr>
        <w:t>货物主要技术指标和性能的详细说明；</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10.2.2</w:t>
      </w:r>
      <w:r>
        <w:rPr>
          <w:rFonts w:hint="eastAsia" w:ascii="仿宋" w:hAnsi="仿宋" w:eastAsia="仿宋" w:cs="仿宋"/>
          <w:sz w:val="24"/>
        </w:rPr>
        <w:tab/>
      </w:r>
      <w:r>
        <w:rPr>
          <w:rFonts w:hint="eastAsia" w:ascii="仿宋" w:hAnsi="仿宋" w:eastAsia="仿宋" w:cs="仿宋"/>
          <w:sz w:val="24"/>
        </w:rPr>
        <w:t>货物从买方开始使用至招标文件规定的保质期内正常、连续地使用所必须的备件和专用工具清单，包括备件和专用工具的货源及现行价格；</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10.2.3</w:t>
      </w:r>
      <w:r>
        <w:rPr>
          <w:rFonts w:hint="eastAsia" w:ascii="仿宋" w:hAnsi="仿宋" w:eastAsia="仿宋" w:cs="仿宋"/>
          <w:sz w:val="24"/>
        </w:rPr>
        <w:tab/>
      </w:r>
      <w:r>
        <w:rPr>
          <w:rFonts w:hint="eastAsia" w:ascii="仿宋" w:hAnsi="仿宋" w:eastAsia="仿宋" w:cs="仿宋"/>
          <w:sz w:val="24"/>
        </w:rPr>
        <w:t>对照招标文件技术规格，逐条说明所提供货物及伴随的工程和服务已对招标文件的技术规格做出了实质性的响应，或申明与技术规格条文的偏差和例外。</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10.3</w:t>
      </w:r>
      <w:r>
        <w:rPr>
          <w:rFonts w:hint="eastAsia" w:ascii="仿宋" w:hAnsi="仿宋" w:eastAsia="仿宋" w:cs="仿宋"/>
          <w:sz w:val="24"/>
        </w:rPr>
        <w:tab/>
      </w:r>
      <w:r>
        <w:rPr>
          <w:rFonts w:hint="eastAsia" w:ascii="仿宋" w:hAnsi="仿宋" w:eastAsia="仿宋" w:cs="仿宋"/>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pStyle w:val="7"/>
        <w:spacing w:before="0" w:after="0" w:line="288" w:lineRule="auto"/>
        <w:textAlignment w:val="baseline"/>
        <w:rPr>
          <w:rFonts w:ascii="仿宋" w:hAnsi="仿宋" w:eastAsia="仿宋" w:cs="仿宋"/>
        </w:rPr>
      </w:pPr>
      <w:bookmarkStart w:id="265" w:name="_Toc28319"/>
      <w:bookmarkStart w:id="266" w:name="_Toc1965"/>
      <w:bookmarkStart w:id="267" w:name="_Toc6623"/>
      <w:bookmarkStart w:id="268" w:name="_Toc12590"/>
      <w:bookmarkStart w:id="269" w:name="_Toc520356155"/>
      <w:bookmarkStart w:id="270" w:name="_Toc21898"/>
      <w:bookmarkStart w:id="271" w:name="_Toc25539"/>
      <w:bookmarkStart w:id="272" w:name="_Toc23231"/>
      <w:bookmarkStart w:id="273" w:name="_Toc13077"/>
      <w:bookmarkStart w:id="274" w:name="_Toc24594"/>
      <w:bookmarkStart w:id="275" w:name="_Toc9907"/>
      <w:bookmarkStart w:id="276" w:name="_Toc21624"/>
      <w:bookmarkStart w:id="277" w:name="_Toc2248"/>
      <w:bookmarkStart w:id="278" w:name="_Toc1082"/>
      <w:bookmarkStart w:id="279" w:name="_Toc14959"/>
      <w:bookmarkStart w:id="280" w:name="_Toc515647770"/>
      <w:bookmarkStart w:id="281" w:name="_Toc19624"/>
      <w:bookmarkStart w:id="282" w:name="_Toc2418"/>
      <w:r>
        <w:rPr>
          <w:rFonts w:hint="eastAsia" w:ascii="仿宋" w:hAnsi="仿宋" w:eastAsia="仿宋" w:cs="仿宋"/>
        </w:rPr>
        <w:t>11.投标报价</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rPr>
        <w:t>投标人应在投标分项报价表上标明投标货物及相关服务的单价（如适用）和总价，并由法定代表人或其授权代表签署。</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投标分项报价表上的价格应按下列方式填写：</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11.3.1  投标货物（包括备品备件、专用工具等）的出厂价（包括已在中国国内的进口货物完税后的仓库交货价、展室交货价或货架交货价），投标货物安装、调试、检验、技术服务和培训等费用；</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11.3.2  货物运至最终目的地的运输费和保险费用。</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11.5</w:t>
      </w:r>
      <w:r>
        <w:rPr>
          <w:rFonts w:hint="eastAsia" w:ascii="仿宋" w:hAnsi="仿宋" w:eastAsia="仿宋" w:cs="仿宋"/>
          <w:sz w:val="24"/>
        </w:rPr>
        <w:tab/>
      </w:r>
      <w:r>
        <w:rPr>
          <w:rFonts w:hint="eastAsia" w:ascii="仿宋" w:hAnsi="仿宋" w:eastAsia="仿宋" w:cs="仿宋"/>
          <w:sz w:val="24"/>
        </w:rPr>
        <w:t>每种货物只能有一个投标报价。采购人不接受具有附加条件的报价。</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11.6    投标文件中应写明投标产品的产地、数量/面积、养护服务期、供货期，未明确写明的其投标将被认定为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7"/>
        <w:spacing w:before="0" w:after="0" w:line="288" w:lineRule="auto"/>
        <w:textAlignment w:val="baseline"/>
        <w:rPr>
          <w:rFonts w:ascii="仿宋" w:hAnsi="仿宋" w:eastAsia="仿宋" w:cs="仿宋"/>
        </w:rPr>
      </w:pPr>
      <w:bookmarkStart w:id="283" w:name="_Toc1823"/>
      <w:bookmarkStart w:id="284" w:name="_Toc17357"/>
      <w:bookmarkStart w:id="285" w:name="_Toc22212"/>
      <w:bookmarkStart w:id="286" w:name="_Toc27024"/>
      <w:bookmarkStart w:id="287" w:name="_Toc19688"/>
      <w:bookmarkStart w:id="288" w:name="_Toc29572"/>
      <w:bookmarkStart w:id="289" w:name="_Toc11514"/>
      <w:bookmarkStart w:id="290" w:name="_Toc520356156"/>
      <w:bookmarkStart w:id="291" w:name="_Toc17296"/>
      <w:bookmarkStart w:id="292" w:name="_Toc16123"/>
      <w:bookmarkStart w:id="293" w:name="_Toc515647771"/>
      <w:bookmarkStart w:id="294" w:name="_Toc17068"/>
      <w:bookmarkStart w:id="295" w:name="_Toc31739"/>
      <w:bookmarkStart w:id="296" w:name="_Toc13084"/>
      <w:bookmarkStart w:id="297" w:name="_Toc8651"/>
      <w:bookmarkStart w:id="298" w:name="_Ref467306513"/>
      <w:bookmarkStart w:id="299" w:name="_Toc2961"/>
      <w:bookmarkStart w:id="300" w:name="_Toc17788"/>
      <w:bookmarkStart w:id="301" w:name="_Toc2856"/>
      <w:r>
        <w:rPr>
          <w:rFonts w:hint="eastAsia" w:ascii="仿宋" w:hAnsi="仿宋" w:eastAsia="仿宋" w:cs="仿宋"/>
        </w:rPr>
        <w:t>12.投标保证金</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pPr>
        <w:spacing w:line="288" w:lineRule="auto"/>
        <w:ind w:left="900" w:hanging="900" w:hangingChars="375"/>
        <w:textAlignment w:val="baseline"/>
        <w:rPr>
          <w:rFonts w:ascii="仿宋" w:hAnsi="仿宋" w:eastAsia="仿宋" w:cs="仿宋"/>
          <w:sz w:val="24"/>
        </w:rPr>
      </w:pPr>
      <w:bookmarkStart w:id="302"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rPr>
        <w:t>投标人应提交</w:t>
      </w:r>
      <w:r>
        <w:rPr>
          <w:rFonts w:hint="eastAsia" w:ascii="仿宋" w:hAnsi="仿宋" w:eastAsia="仿宋" w:cs="仿宋"/>
          <w:sz w:val="24"/>
          <w:u w:val="single" w:color="000000"/>
        </w:rPr>
        <w:t>投标人须知资料表</w:t>
      </w:r>
      <w:r>
        <w:rPr>
          <w:rFonts w:hint="eastAsia" w:ascii="仿宋" w:hAnsi="仿宋" w:eastAsia="仿宋" w:cs="仿宋"/>
          <w:sz w:val="24"/>
        </w:rPr>
        <w:t>中规定的投标保证金</w:t>
      </w:r>
      <w:bookmarkEnd w:id="302"/>
      <w:r>
        <w:rPr>
          <w:rFonts w:hint="eastAsia" w:ascii="仿宋" w:hAnsi="仿宋" w:eastAsia="仿宋" w:cs="仿宋"/>
          <w:sz w:val="24"/>
        </w:rPr>
        <w:t>，并作为其投标的一部分。</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sz w:val="24"/>
        </w:rPr>
        <w:t>投标人存在下列情形的，投标保证金不予退还：</w:t>
      </w:r>
    </w:p>
    <w:p>
      <w:pPr>
        <w:pStyle w:val="17"/>
        <w:tabs>
          <w:tab w:val="left" w:pos="2240"/>
        </w:tabs>
        <w:spacing w:line="288" w:lineRule="auto"/>
        <w:ind w:left="1079" w:leftChars="371" w:hanging="300" w:hangingChars="125"/>
        <w:textAlignment w:val="baseline"/>
        <w:rPr>
          <w:rFonts w:ascii="仿宋" w:hAnsi="仿宋" w:eastAsia="仿宋" w:cs="仿宋"/>
          <w:sz w:val="24"/>
        </w:rPr>
      </w:pPr>
      <w:r>
        <w:rPr>
          <w:rFonts w:hint="eastAsia" w:ascii="仿宋" w:hAnsi="仿宋" w:eastAsia="仿宋" w:cs="仿宋"/>
          <w:sz w:val="24"/>
        </w:rPr>
        <w:t>（1）在投标有效期内，撤销投标的；</w:t>
      </w:r>
    </w:p>
    <w:p>
      <w:pPr>
        <w:pStyle w:val="17"/>
        <w:tabs>
          <w:tab w:val="left" w:pos="2240"/>
        </w:tabs>
        <w:spacing w:line="288" w:lineRule="auto"/>
        <w:ind w:left="1079" w:leftChars="371" w:hanging="300" w:hangingChars="125"/>
        <w:textAlignment w:val="baseline"/>
        <w:rPr>
          <w:rFonts w:ascii="仿宋" w:hAnsi="仿宋" w:eastAsia="仿宋" w:cs="仿宋"/>
          <w:sz w:val="24"/>
        </w:rPr>
      </w:pPr>
      <w:r>
        <w:rPr>
          <w:rFonts w:hint="eastAsia" w:ascii="仿宋" w:hAnsi="仿宋" w:eastAsia="仿宋" w:cs="仿宋"/>
          <w:sz w:val="24"/>
        </w:rPr>
        <w:t>（2）中标后不按本须知第30条的规定与采购人签订合同的；</w:t>
      </w:r>
    </w:p>
    <w:p>
      <w:pPr>
        <w:pStyle w:val="17"/>
        <w:tabs>
          <w:tab w:val="left" w:pos="2240"/>
        </w:tabs>
        <w:spacing w:line="288" w:lineRule="auto"/>
        <w:ind w:left="1079" w:leftChars="371" w:hanging="300" w:hangingChars="125"/>
        <w:textAlignment w:val="baseline"/>
        <w:rPr>
          <w:rFonts w:ascii="仿宋" w:hAnsi="仿宋" w:eastAsia="仿宋" w:cs="仿宋"/>
          <w:sz w:val="24"/>
        </w:rPr>
      </w:pPr>
      <w:r>
        <w:rPr>
          <w:rFonts w:hint="eastAsia" w:ascii="仿宋" w:hAnsi="仿宋" w:eastAsia="仿宋" w:cs="仿宋"/>
          <w:sz w:val="24"/>
        </w:rPr>
        <w:t>（3）中标后不按本须知第31条的规定提交履约保证金的；</w:t>
      </w:r>
    </w:p>
    <w:p>
      <w:pPr>
        <w:pStyle w:val="17"/>
        <w:tabs>
          <w:tab w:val="left" w:pos="2240"/>
        </w:tabs>
        <w:spacing w:line="288" w:lineRule="auto"/>
        <w:ind w:left="1079" w:leftChars="371" w:hanging="300" w:hangingChars="125"/>
        <w:textAlignment w:val="baseline"/>
        <w:rPr>
          <w:rFonts w:ascii="仿宋" w:hAnsi="仿宋" w:eastAsia="仿宋" w:cs="仿宋"/>
          <w:sz w:val="24"/>
        </w:rPr>
      </w:pPr>
      <w:r>
        <w:rPr>
          <w:rFonts w:hint="eastAsia" w:ascii="仿宋" w:hAnsi="仿宋" w:eastAsia="仿宋" w:cs="仿宋"/>
          <w:sz w:val="24"/>
        </w:rPr>
        <w:t>（4）中标后不按本须知第32条的规定缴纳中标服务费的；</w:t>
      </w:r>
    </w:p>
    <w:p>
      <w:pPr>
        <w:pStyle w:val="17"/>
        <w:tabs>
          <w:tab w:val="left" w:pos="2240"/>
        </w:tabs>
        <w:spacing w:line="288" w:lineRule="auto"/>
        <w:ind w:left="1079" w:leftChars="371" w:hanging="300" w:hangingChars="125"/>
        <w:textAlignment w:val="baseline"/>
        <w:rPr>
          <w:rFonts w:ascii="仿宋" w:hAnsi="仿宋" w:eastAsia="仿宋" w:cs="仿宋"/>
          <w:sz w:val="24"/>
        </w:rPr>
      </w:pPr>
      <w:r>
        <w:rPr>
          <w:rFonts w:hint="eastAsia" w:ascii="仿宋" w:hAnsi="仿宋" w:eastAsia="仿宋" w:cs="仿宋"/>
          <w:sz w:val="24"/>
        </w:rPr>
        <w:t>（5）存在其他违法违规行为的。</w:t>
      </w:r>
    </w:p>
    <w:p>
      <w:pPr>
        <w:spacing w:line="288" w:lineRule="auto"/>
        <w:ind w:left="900" w:hanging="900" w:hangingChars="375"/>
        <w:textAlignment w:val="baseline"/>
        <w:rPr>
          <w:rFonts w:ascii="仿宋" w:hAnsi="仿宋" w:eastAsia="仿宋" w:cs="仿宋"/>
          <w:sz w:val="24"/>
        </w:rPr>
      </w:pPr>
      <w:bookmarkStart w:id="303" w:name="_Ref467306336"/>
      <w:r>
        <w:rPr>
          <w:rFonts w:hint="eastAsia" w:ascii="仿宋" w:hAnsi="仿宋" w:eastAsia="仿宋" w:cs="仿宋"/>
          <w:sz w:val="24"/>
        </w:rPr>
        <w:t>12.3</w:t>
      </w:r>
      <w:r>
        <w:rPr>
          <w:rFonts w:hint="eastAsia" w:ascii="仿宋" w:hAnsi="仿宋" w:eastAsia="仿宋" w:cs="仿宋"/>
          <w:sz w:val="24"/>
        </w:rPr>
        <w:tab/>
      </w:r>
      <w:bookmarkEnd w:id="303"/>
      <w:r>
        <w:rPr>
          <w:rFonts w:hint="eastAsia" w:ascii="仿宋" w:hAnsi="仿宋" w:eastAsia="仿宋" w:cs="仿宋"/>
          <w:sz w:val="24"/>
        </w:rPr>
        <w:t>政府采购信用担保试点范围内的项目，接受符合财政部门规定的政府采购投标担保函原件。</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rPr>
        <w:t>投标人未按本须知规定提交投标保证金的，其投标将被认定为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textAlignment w:val="baseline"/>
        <w:rPr>
          <w:rFonts w:ascii="仿宋" w:hAnsi="仿宋" w:eastAsia="仿宋" w:cs="仿宋"/>
          <w:sz w:val="24"/>
        </w:rPr>
      </w:pPr>
      <w:r>
        <w:rPr>
          <w:rFonts w:hint="eastAsia" w:ascii="仿宋" w:hAnsi="仿宋" w:eastAsia="仿宋" w:cs="仿宋"/>
          <w:sz w:val="24"/>
        </w:rPr>
        <w:t>12.4.1  采用电汇形式的，一般可以实时入账。</w:t>
      </w:r>
    </w:p>
    <w:p>
      <w:pPr>
        <w:spacing w:line="288" w:lineRule="auto"/>
        <w:ind w:left="960" w:hanging="960" w:hangingChars="400"/>
        <w:jc w:val="left"/>
        <w:textAlignment w:val="baseline"/>
        <w:rPr>
          <w:rFonts w:ascii="仿宋" w:hAnsi="仿宋" w:eastAsia="仿宋" w:cs="仿宋"/>
          <w:sz w:val="24"/>
        </w:rPr>
      </w:pPr>
      <w:r>
        <w:rPr>
          <w:rFonts w:hint="eastAsia" w:ascii="仿宋" w:hAnsi="仿宋" w:eastAsia="仿宋" w:cs="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投标保证金的退还</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12.6.1  中标人应在与采购人签订合同之日起5个工作日内，及时联系保证金收受机构办理投标保证金无息退还手续。</w:t>
      </w:r>
    </w:p>
    <w:p>
      <w:pPr>
        <w:spacing w:line="288" w:lineRule="auto"/>
        <w:ind w:left="960" w:hanging="960" w:hangingChars="400"/>
        <w:textAlignment w:val="baseline"/>
        <w:rPr>
          <w:rFonts w:ascii="仿宋" w:hAnsi="仿宋" w:eastAsia="仿宋" w:cs="仿宋"/>
          <w:sz w:val="24"/>
        </w:rPr>
      </w:pPr>
      <w:r>
        <w:rPr>
          <w:rFonts w:hint="eastAsia" w:ascii="仿宋" w:hAnsi="仿宋" w:eastAsia="仿宋" w:cs="仿宋"/>
          <w:sz w:val="24"/>
        </w:rPr>
        <w:t>12.6.2  未中标投标人的投标保证金将在中标通知书发出之日暨中标结果公告公布之日起5个工作日内无息退还。投标人应及时联系保证金收受机构办理退还投标保证金手续。</w:t>
      </w:r>
    </w:p>
    <w:p>
      <w:pPr>
        <w:spacing w:line="288" w:lineRule="auto"/>
        <w:textAlignment w:val="baseline"/>
        <w:rPr>
          <w:rFonts w:ascii="仿宋" w:hAnsi="仿宋" w:eastAsia="仿宋" w:cs="仿宋"/>
          <w:sz w:val="24"/>
        </w:rPr>
      </w:pPr>
      <w:r>
        <w:rPr>
          <w:rFonts w:hint="eastAsia" w:ascii="仿宋" w:hAnsi="仿宋" w:eastAsia="仿宋" w:cs="仿宋"/>
          <w:sz w:val="24"/>
        </w:rPr>
        <w:t>12.6.3  政府采购投标担保函不予退回。</w:t>
      </w:r>
    </w:p>
    <w:p>
      <w:pPr>
        <w:spacing w:line="288" w:lineRule="auto"/>
        <w:ind w:left="960" w:right="-121" w:hanging="960" w:hangingChars="400"/>
        <w:jc w:val="left"/>
        <w:textAlignment w:val="baseline"/>
        <w:rPr>
          <w:rFonts w:ascii="仿宋" w:hAnsi="仿宋" w:eastAsia="仿宋" w:cs="仿宋"/>
          <w:sz w:val="24"/>
        </w:rPr>
      </w:pPr>
      <w:r>
        <w:rPr>
          <w:rFonts w:hint="eastAsia" w:ascii="仿宋" w:hAnsi="仿宋" w:eastAsia="仿宋" w:cs="仿宋"/>
          <w:sz w:val="24"/>
        </w:rPr>
        <w:t>12.7    因投标人自身原因导致无法及时退还的，采购人或采购代理机构将不承担相应责任。</w:t>
      </w:r>
    </w:p>
    <w:p>
      <w:pPr>
        <w:pStyle w:val="7"/>
        <w:spacing w:before="0" w:after="0" w:line="288" w:lineRule="auto"/>
        <w:textAlignment w:val="baseline"/>
        <w:rPr>
          <w:rFonts w:ascii="仿宋" w:hAnsi="仿宋" w:eastAsia="仿宋" w:cs="仿宋"/>
        </w:rPr>
      </w:pPr>
      <w:bookmarkStart w:id="304" w:name="_Toc15069"/>
      <w:bookmarkStart w:id="305" w:name="_Toc9445"/>
      <w:bookmarkStart w:id="306" w:name="_Toc26844"/>
      <w:bookmarkStart w:id="307" w:name="_Toc23117"/>
      <w:bookmarkStart w:id="308" w:name="_Toc17879"/>
      <w:bookmarkStart w:id="309" w:name="_Toc30629"/>
      <w:bookmarkStart w:id="310" w:name="_Toc19849"/>
      <w:bookmarkStart w:id="311" w:name="_Toc22901"/>
      <w:bookmarkStart w:id="312" w:name="_Toc32236"/>
      <w:bookmarkStart w:id="313" w:name="_Toc2130"/>
      <w:bookmarkStart w:id="314" w:name="_Toc520356157"/>
      <w:bookmarkStart w:id="315" w:name="_Toc14721"/>
      <w:bookmarkStart w:id="316" w:name="_Toc20684"/>
      <w:bookmarkStart w:id="317" w:name="_Toc23590"/>
      <w:bookmarkStart w:id="318" w:name="_Toc15117"/>
      <w:bookmarkStart w:id="319" w:name="_Toc515647772"/>
      <w:bookmarkStart w:id="320" w:name="_Toc32569"/>
      <w:bookmarkStart w:id="321" w:name="_Toc27579"/>
      <w:r>
        <w:rPr>
          <w:rFonts w:hint="eastAsia" w:ascii="仿宋" w:hAnsi="仿宋" w:eastAsia="仿宋" w:cs="仿宋"/>
        </w:rPr>
        <w:t>13.投标有效期</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color="000000"/>
        </w:rPr>
        <w:t>投标人须知资料表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7"/>
        <w:spacing w:before="0" w:after="0" w:line="288" w:lineRule="auto"/>
        <w:textAlignment w:val="baseline"/>
        <w:rPr>
          <w:rFonts w:ascii="仿宋" w:hAnsi="仿宋" w:eastAsia="仿宋" w:cs="仿宋"/>
        </w:rPr>
      </w:pPr>
      <w:bookmarkStart w:id="322" w:name="_Toc22416"/>
      <w:bookmarkStart w:id="323" w:name="_Toc28127"/>
      <w:bookmarkStart w:id="324" w:name="_Toc23542"/>
      <w:r>
        <w:rPr>
          <w:rFonts w:hint="eastAsia" w:ascii="仿宋" w:hAnsi="仿宋" w:eastAsia="仿宋" w:cs="仿宋"/>
        </w:rPr>
        <w:t>14.投标文件的签署及规定</w:t>
      </w:r>
      <w:bookmarkEnd w:id="322"/>
      <w:bookmarkEnd w:id="323"/>
      <w:bookmarkEnd w:id="324"/>
    </w:p>
    <w:p>
      <w:pPr>
        <w:spacing w:line="288" w:lineRule="auto"/>
        <w:ind w:left="904" w:hanging="900" w:hangingChars="375"/>
        <w:textAlignment w:val="baseline"/>
        <w:rPr>
          <w:rFonts w:ascii="仿宋" w:hAnsi="仿宋" w:eastAsia="仿宋" w:cs="仿宋"/>
          <w:b/>
          <w:sz w:val="24"/>
        </w:rPr>
      </w:pPr>
      <w:r>
        <w:rPr>
          <w:rFonts w:hint="eastAsia" w:ascii="仿宋" w:hAnsi="仿宋" w:eastAsia="仿宋" w:cs="仿宋"/>
          <w:b/>
          <w:sz w:val="24"/>
        </w:rPr>
        <w:t>14.1 投标人应按投标人须知资料表中的规定，准备和递交（加密上传）电子投标文件。</w:t>
      </w:r>
    </w:p>
    <w:p>
      <w:pPr>
        <w:spacing w:line="288" w:lineRule="auto"/>
        <w:ind w:left="904" w:hanging="900" w:hangingChars="375"/>
        <w:textAlignment w:val="baseline"/>
        <w:rPr>
          <w:rFonts w:ascii="仿宋" w:hAnsi="仿宋" w:eastAsia="仿宋" w:cs="仿宋"/>
          <w:b/>
          <w:sz w:val="24"/>
        </w:rPr>
      </w:pPr>
      <w:r>
        <w:rPr>
          <w:rFonts w:hint="eastAsia" w:ascii="仿宋" w:hAnsi="仿宋" w:eastAsia="仿宋" w:cs="仿宋"/>
          <w:b/>
          <w:sz w:val="24"/>
        </w:rPr>
        <w:t>14.2 所有投标文件应按照招标文件规定的格式填写、签署和盖章。</w:t>
      </w:r>
    </w:p>
    <w:p>
      <w:pPr>
        <w:spacing w:line="288" w:lineRule="auto"/>
        <w:ind w:left="904" w:hanging="900" w:hangingChars="375"/>
        <w:textAlignment w:val="baseline"/>
        <w:rPr>
          <w:rFonts w:ascii="仿宋" w:hAnsi="仿宋" w:eastAsia="仿宋" w:cs="仿宋"/>
          <w:b/>
          <w:sz w:val="24"/>
        </w:rPr>
      </w:pPr>
      <w:r>
        <w:rPr>
          <w:rFonts w:hint="eastAsia" w:ascii="仿宋" w:hAnsi="仿宋" w:eastAsia="仿宋" w:cs="仿宋"/>
          <w:b/>
          <w:sz w:val="24"/>
        </w:rPr>
        <w:t>14.3 投标文件因字迹潦草、表达不清所引起的后果由投标人负责。</w:t>
      </w:r>
    </w:p>
    <w:p>
      <w:pPr>
        <w:pStyle w:val="88"/>
        <w:rPr>
          <w:rFonts w:ascii="仿宋" w:hAnsi="仿宋" w:eastAsia="仿宋" w:cs="仿宋"/>
        </w:rPr>
      </w:pPr>
      <w:bookmarkStart w:id="325" w:name="_Toc25700"/>
      <w:bookmarkStart w:id="326" w:name="_Toc7920"/>
      <w:bookmarkStart w:id="327" w:name="_Toc22843"/>
      <w:bookmarkStart w:id="328" w:name="_Toc11483"/>
      <w:bookmarkStart w:id="329" w:name="_Toc9509"/>
      <w:bookmarkStart w:id="330" w:name="_Toc27533"/>
      <w:bookmarkStart w:id="331" w:name="_Toc5332"/>
      <w:bookmarkStart w:id="332" w:name="_Toc16865"/>
      <w:bookmarkStart w:id="333" w:name="_Toc25200"/>
      <w:bookmarkStart w:id="334" w:name="_Toc25925"/>
      <w:bookmarkStart w:id="335" w:name="_Toc11179"/>
      <w:bookmarkStart w:id="336" w:name="_Toc216582808"/>
      <w:bookmarkStart w:id="337" w:name="_Toc515647774"/>
      <w:bookmarkStart w:id="338" w:name="_Toc31447"/>
      <w:bookmarkStart w:id="339" w:name="_Toc22560"/>
      <w:bookmarkStart w:id="340" w:name="_Toc520356159"/>
    </w:p>
    <w:p>
      <w:pPr>
        <w:pStyle w:val="6"/>
        <w:spacing w:before="0" w:line="288" w:lineRule="auto"/>
        <w:ind w:left="1079" w:leftChars="257" w:hanging="540"/>
        <w:textAlignment w:val="baseline"/>
        <w:rPr>
          <w:rFonts w:ascii="仿宋" w:hAnsi="仿宋" w:eastAsia="仿宋" w:cs="仿宋"/>
          <w:sz w:val="24"/>
        </w:rPr>
      </w:pPr>
      <w:bookmarkStart w:id="341" w:name="_Toc8070"/>
      <w:bookmarkStart w:id="342" w:name="_Toc13702"/>
      <w:bookmarkStart w:id="343" w:name="_Toc12193"/>
      <w:r>
        <w:rPr>
          <w:rFonts w:hint="eastAsia" w:ascii="仿宋" w:hAnsi="仿宋" w:eastAsia="仿宋" w:cs="仿宋"/>
          <w:sz w:val="24"/>
        </w:rPr>
        <w:t>四   投标文件的递交</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7"/>
        <w:tabs>
          <w:tab w:val="left" w:pos="900"/>
        </w:tabs>
        <w:spacing w:before="0" w:after="0" w:line="288" w:lineRule="auto"/>
        <w:textAlignment w:val="baseline"/>
        <w:rPr>
          <w:rFonts w:ascii="仿宋" w:hAnsi="仿宋" w:eastAsia="仿宋" w:cs="仿宋"/>
        </w:rPr>
      </w:pPr>
      <w:bookmarkStart w:id="344" w:name="_Toc18877"/>
      <w:bookmarkStart w:id="345" w:name="_Toc15077"/>
      <w:bookmarkStart w:id="346" w:name="_Toc14162"/>
      <w:bookmarkStart w:id="347" w:name="_Toc6343"/>
      <w:bookmarkStart w:id="348" w:name="_Toc32131"/>
      <w:bookmarkStart w:id="349" w:name="_Toc32337"/>
      <w:bookmarkStart w:id="350" w:name="_Toc26195"/>
      <w:bookmarkStart w:id="351" w:name="_Toc515647775"/>
      <w:bookmarkStart w:id="352" w:name="_Toc520356160"/>
      <w:bookmarkStart w:id="353" w:name="_Toc21645"/>
      <w:bookmarkStart w:id="354" w:name="_Toc632"/>
      <w:bookmarkStart w:id="355" w:name="_Toc11937"/>
      <w:bookmarkStart w:id="356" w:name="_Toc26374"/>
      <w:r>
        <w:rPr>
          <w:rFonts w:hint="eastAsia" w:ascii="仿宋" w:hAnsi="仿宋" w:eastAsia="仿宋" w:cs="仿宋"/>
        </w:rPr>
        <w:t>15.投标文件的密封和标记</w:t>
      </w:r>
      <w:bookmarkEnd w:id="344"/>
      <w:bookmarkEnd w:id="345"/>
      <w:bookmarkEnd w:id="346"/>
      <w:bookmarkEnd w:id="347"/>
      <w:bookmarkEnd w:id="348"/>
      <w:bookmarkEnd w:id="349"/>
      <w:bookmarkEnd w:id="350"/>
      <w:bookmarkEnd w:id="351"/>
      <w:bookmarkEnd w:id="352"/>
      <w:bookmarkEnd w:id="353"/>
      <w:bookmarkEnd w:id="354"/>
      <w:bookmarkEnd w:id="355"/>
      <w:bookmarkEnd w:id="356"/>
    </w:p>
    <w:p>
      <w:pPr>
        <w:tabs>
          <w:tab w:val="left" w:pos="-200"/>
          <w:tab w:val="left" w:pos="5580"/>
        </w:tabs>
        <w:spacing w:line="240" w:lineRule="atLeast"/>
        <w:ind w:left="960" w:hanging="960" w:hangingChars="400"/>
        <w:jc w:val="left"/>
        <w:rPr>
          <w:rFonts w:ascii="仿宋" w:hAnsi="仿宋" w:eastAsia="仿宋" w:cs="仿宋"/>
          <w:b/>
          <w:bCs/>
          <w:sz w:val="24"/>
        </w:rPr>
      </w:pPr>
      <w:r>
        <w:rPr>
          <w:rFonts w:hint="eastAsia" w:ascii="仿宋" w:hAnsi="仿宋" w:eastAsia="仿宋" w:cs="仿宋"/>
          <w:sz w:val="24"/>
        </w:rPr>
        <w:t xml:space="preserve">15.1    </w:t>
      </w:r>
      <w:r>
        <w:rPr>
          <w:rFonts w:hint="eastAsia" w:ascii="仿宋" w:hAnsi="仿宋" w:eastAsia="仿宋" w:cs="仿宋"/>
          <w:b/>
          <w:bCs/>
          <w:sz w:val="24"/>
        </w:rPr>
        <w:t>投标人应完整地按招标文件提供的投标文件格式及要求编写投标文件， 投标人须在投标截止时间前完成在新疆政采云平台https://www.zcygov.cn 系统上递交电子投标文件。投标人的电子投标文件是经过CA证书加密后上传提交的，任何单位或个人均无法在投标截止时间之前查看或篡改，不存在泄密风险。（严格按照政采云电子投标流程制作并上传电子投标文件）</w:t>
      </w:r>
    </w:p>
    <w:p>
      <w:pPr>
        <w:spacing w:line="288" w:lineRule="auto"/>
        <w:ind w:left="900" w:hanging="900" w:hangingChars="375"/>
        <w:textAlignment w:val="baseline"/>
        <w:rPr>
          <w:rFonts w:ascii="仿宋" w:hAnsi="仿宋" w:eastAsia="仿宋" w:cs="仿宋"/>
          <w:sz w:val="24"/>
        </w:rPr>
      </w:pPr>
      <w:bookmarkStart w:id="357" w:name="_Toc28106"/>
      <w:r>
        <w:rPr>
          <w:rFonts w:hint="eastAsia" w:ascii="仿宋" w:hAnsi="仿宋" w:eastAsia="仿宋" w:cs="仿宋"/>
          <w:sz w:val="24"/>
        </w:rPr>
        <w:t xml:space="preserve">15.2   </w:t>
      </w:r>
      <w:bookmarkEnd w:id="357"/>
      <w:r>
        <w:rPr>
          <w:rFonts w:hint="eastAsia" w:ascii="仿宋" w:hAnsi="仿宋" w:eastAsia="仿宋" w:cs="仿宋"/>
          <w:sz w:val="24"/>
        </w:rPr>
        <w:t>投标人因自身原因导致电子投标文件无法导入电子评标系统的，该投标文件视为</w:t>
      </w:r>
      <w:r>
        <w:rPr>
          <w:rFonts w:hint="eastAsia" w:ascii="仿宋" w:hAnsi="仿宋" w:eastAsia="仿宋" w:cs="仿宋"/>
          <w:b/>
          <w:bCs/>
          <w:sz w:val="24"/>
        </w:rPr>
        <w:t>无效文件。</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15.3    电子投标文件具有法律效力,与其他形式的投标文件在内容和格式上等同，若投标文件与招标文件要求不一致，其内容影响成交结果时，责任由投标人自行承担。</w:t>
      </w:r>
    </w:p>
    <w:p>
      <w:pPr>
        <w:pStyle w:val="7"/>
        <w:tabs>
          <w:tab w:val="left" w:pos="900"/>
        </w:tabs>
        <w:spacing w:before="0" w:after="0" w:line="288" w:lineRule="auto"/>
        <w:textAlignment w:val="baseline"/>
        <w:rPr>
          <w:rFonts w:ascii="仿宋" w:hAnsi="仿宋" w:eastAsia="仿宋" w:cs="仿宋"/>
        </w:rPr>
      </w:pPr>
      <w:bookmarkStart w:id="358" w:name="_Toc1456"/>
      <w:bookmarkStart w:id="359" w:name="_Toc17361"/>
      <w:bookmarkStart w:id="360" w:name="_Toc9840"/>
      <w:bookmarkStart w:id="361" w:name="_Toc520356161"/>
      <w:bookmarkStart w:id="362" w:name="_Toc27547"/>
      <w:bookmarkStart w:id="363" w:name="_Toc24017"/>
      <w:bookmarkStart w:id="364" w:name="_Toc515647776"/>
      <w:bookmarkStart w:id="365" w:name="_Toc30360"/>
      <w:bookmarkStart w:id="366" w:name="_Toc29756"/>
      <w:bookmarkStart w:id="367" w:name="_Toc12751"/>
      <w:bookmarkStart w:id="368" w:name="_Toc6414"/>
      <w:bookmarkStart w:id="369" w:name="_Toc28170"/>
      <w:bookmarkStart w:id="370" w:name="_Toc12867"/>
      <w:r>
        <w:rPr>
          <w:rFonts w:hint="eastAsia" w:ascii="仿宋" w:hAnsi="仿宋" w:eastAsia="仿宋" w:cs="仿宋"/>
        </w:rPr>
        <w:t>16.投标截止</w:t>
      </w:r>
      <w:bookmarkEnd w:id="358"/>
      <w:bookmarkEnd w:id="359"/>
      <w:bookmarkEnd w:id="360"/>
      <w:bookmarkEnd w:id="361"/>
      <w:bookmarkEnd w:id="362"/>
      <w:bookmarkEnd w:id="363"/>
      <w:bookmarkEnd w:id="364"/>
      <w:bookmarkEnd w:id="365"/>
      <w:bookmarkEnd w:id="366"/>
      <w:bookmarkEnd w:id="367"/>
      <w:bookmarkEnd w:id="368"/>
      <w:bookmarkEnd w:id="369"/>
      <w:bookmarkEnd w:id="370"/>
    </w:p>
    <w:p>
      <w:pPr>
        <w:spacing w:line="240" w:lineRule="atLeast"/>
        <w:ind w:left="900" w:hanging="900" w:hangingChars="375"/>
        <w:rPr>
          <w:rFonts w:ascii="仿宋" w:hAnsi="仿宋" w:eastAsia="仿宋" w:cs="仿宋"/>
          <w:b/>
          <w:bCs/>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rPr>
        <w:t>投标人应在</w:t>
      </w:r>
      <w:r>
        <w:rPr>
          <w:rFonts w:hint="eastAsia" w:ascii="仿宋" w:hAnsi="仿宋" w:eastAsia="仿宋" w:cs="仿宋"/>
          <w:b/>
          <w:bCs/>
          <w:sz w:val="24"/>
          <w:u w:val="single"/>
        </w:rPr>
        <w:t>投标人须知资料表</w:t>
      </w:r>
      <w:r>
        <w:rPr>
          <w:rFonts w:hint="eastAsia" w:ascii="仿宋" w:hAnsi="仿宋" w:eastAsia="仿宋" w:cs="仿宋"/>
          <w:sz w:val="24"/>
        </w:rPr>
        <w:t>中规定的截止时间前，将投标文件递交到招标公告中规定的地点。</w:t>
      </w:r>
      <w:r>
        <w:rPr>
          <w:rFonts w:hint="eastAsia" w:ascii="仿宋" w:hAnsi="仿宋" w:eastAsia="仿宋" w:cs="仿宋"/>
          <w:b/>
          <w:bCs/>
          <w:sz w:val="24"/>
        </w:rPr>
        <w:t>解密时间30分钟，逾期未解密的视为投标无效。</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sz w:val="24"/>
        </w:rPr>
        <w:t>采购人和采购代理机构有权按本须知的规定，延迟投标截止时间。在此情况下，采购人、采购代理机构和投标人受投标截止时间制约的所有权利和义务均应延长至新的截止时间。</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16.3</w:t>
      </w:r>
      <w:r>
        <w:rPr>
          <w:rFonts w:hint="eastAsia" w:ascii="仿宋" w:hAnsi="仿宋" w:eastAsia="仿宋" w:cs="仿宋"/>
          <w:sz w:val="24"/>
        </w:rPr>
        <w:tab/>
      </w:r>
      <w:r>
        <w:rPr>
          <w:rFonts w:hint="eastAsia" w:ascii="仿宋" w:hAnsi="仿宋" w:eastAsia="仿宋" w:cs="仿宋"/>
          <w:sz w:val="24"/>
        </w:rPr>
        <w:t>采购人和采购代理机构将拒绝接收在投标截止时间后上传的投标文件</w:t>
      </w:r>
    </w:p>
    <w:p>
      <w:pPr>
        <w:pStyle w:val="7"/>
        <w:spacing w:before="0" w:after="0" w:line="240" w:lineRule="atLeast"/>
        <w:rPr>
          <w:rFonts w:ascii="仿宋" w:hAnsi="仿宋" w:eastAsia="仿宋" w:cs="仿宋"/>
        </w:rPr>
      </w:pPr>
      <w:bookmarkStart w:id="371" w:name="_Toc515647777"/>
      <w:bookmarkStart w:id="372" w:name="_Toc24275"/>
      <w:bookmarkStart w:id="373" w:name="_Toc18537"/>
      <w:bookmarkStart w:id="374" w:name="_Toc11458"/>
      <w:bookmarkStart w:id="375" w:name="_Toc24785"/>
      <w:bookmarkStart w:id="376" w:name="_Toc9987"/>
      <w:bookmarkStart w:id="377" w:name="_Toc22207"/>
      <w:bookmarkStart w:id="378" w:name="_Toc520356162"/>
      <w:bookmarkStart w:id="379" w:name="_Toc3829"/>
      <w:bookmarkStart w:id="380" w:name="_Toc1625"/>
      <w:bookmarkStart w:id="381" w:name="_Toc21703"/>
      <w:bookmarkStart w:id="382" w:name="_Toc18105"/>
      <w:bookmarkStart w:id="383" w:name="_Toc31670"/>
      <w:r>
        <w:rPr>
          <w:rFonts w:hint="eastAsia" w:ascii="仿宋" w:hAnsi="仿宋" w:eastAsia="仿宋" w:cs="仿宋"/>
        </w:rPr>
        <w:t>17.投标文件的接收、修改与撤回</w:t>
      </w:r>
      <w:bookmarkEnd w:id="371"/>
      <w:bookmarkEnd w:id="372"/>
      <w:bookmarkEnd w:id="373"/>
      <w:bookmarkEnd w:id="374"/>
      <w:bookmarkEnd w:id="375"/>
      <w:bookmarkEnd w:id="376"/>
      <w:bookmarkEnd w:id="377"/>
      <w:bookmarkEnd w:id="378"/>
      <w:bookmarkEnd w:id="379"/>
      <w:bookmarkEnd w:id="380"/>
      <w:bookmarkEnd w:id="381"/>
      <w:bookmarkEnd w:id="382"/>
      <w:bookmarkEnd w:id="383"/>
    </w:p>
    <w:p>
      <w:pPr>
        <w:spacing w:line="240" w:lineRule="atLeast"/>
        <w:ind w:left="900" w:hanging="900" w:hangingChars="375"/>
        <w:rPr>
          <w:rFonts w:ascii="仿宋" w:hAnsi="仿宋" w:eastAsia="仿宋" w:cs="仿宋"/>
          <w:b/>
        </w:rPr>
      </w:pPr>
      <w:r>
        <w:rPr>
          <w:rFonts w:hint="eastAsia" w:ascii="仿宋" w:hAnsi="仿宋" w:eastAsia="仿宋" w:cs="仿宋"/>
          <w:sz w:val="24"/>
        </w:rPr>
        <w:t>17.1</w:t>
      </w:r>
      <w:r>
        <w:rPr>
          <w:rFonts w:hint="eastAsia" w:ascii="仿宋" w:hAnsi="仿宋" w:eastAsia="仿宋" w:cs="仿宋"/>
          <w:sz w:val="24"/>
        </w:rPr>
        <w:tab/>
      </w:r>
      <w:r>
        <w:rPr>
          <w:rFonts w:hint="eastAsia" w:ascii="仿宋" w:hAnsi="仿宋" w:eastAsia="仿宋" w:cs="仿宋"/>
          <w:sz w:val="24"/>
        </w:rPr>
        <w:t>在投标截止时间后上传投标文件的，采购人和采购代理机构将</w:t>
      </w:r>
      <w:r>
        <w:rPr>
          <w:rFonts w:hint="eastAsia" w:ascii="仿宋" w:hAnsi="仿宋" w:eastAsia="仿宋" w:cs="仿宋"/>
          <w:b/>
          <w:bCs/>
          <w:sz w:val="24"/>
        </w:rPr>
        <w:t>拒绝接收</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17.2</w:t>
      </w:r>
      <w:r>
        <w:rPr>
          <w:rFonts w:hint="eastAsia" w:ascii="仿宋" w:hAnsi="仿宋" w:eastAsia="仿宋" w:cs="仿宋"/>
          <w:sz w:val="24"/>
        </w:rPr>
        <w:tab/>
      </w:r>
      <w:r>
        <w:rPr>
          <w:rFonts w:hint="eastAsia" w:ascii="仿宋" w:hAnsi="仿宋" w:eastAsia="仿宋" w:cs="仿宋"/>
          <w:sz w:val="24"/>
        </w:rPr>
        <w:t>采购人或者采购代理机构收到投标文件后，应当如实记载投标文件的送达时间和密封情况。</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17.3</w:t>
      </w:r>
      <w:r>
        <w:rPr>
          <w:rFonts w:hint="eastAsia" w:ascii="仿宋" w:hAnsi="仿宋" w:eastAsia="仿宋" w:cs="仿宋"/>
          <w:sz w:val="24"/>
        </w:rPr>
        <w:tab/>
      </w:r>
      <w:r>
        <w:rPr>
          <w:rFonts w:hint="eastAsia" w:ascii="仿宋" w:hAnsi="仿宋" w:eastAsia="仿宋" w:cs="仿宋"/>
          <w:sz w:val="24"/>
        </w:rPr>
        <w:t>递交投标文件以后，如果投标人要进行修改或撤回投标，须提出书面申请并在投标截止时间前上传至</w:t>
      </w:r>
      <w:r>
        <w:rPr>
          <w:rFonts w:hint="eastAsia" w:ascii="仿宋" w:hAnsi="仿宋" w:eastAsia="仿宋" w:cs="仿宋"/>
          <w:b/>
          <w:bCs/>
          <w:sz w:val="24"/>
        </w:rPr>
        <w:t>新疆政采云平台https://www.zcygov.cn</w:t>
      </w:r>
      <w:r>
        <w:rPr>
          <w:rFonts w:hint="eastAsia" w:ascii="仿宋" w:hAnsi="仿宋" w:eastAsia="仿宋" w:cs="仿宋"/>
          <w:sz w:val="24"/>
        </w:rPr>
        <w:t>，投标人对投标文件的修改或撤回通知应按本须知规定编制、密封、标记。采购人和采购代理机构将予以接收，并视为投标文件的组成部分。</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17.4</w:t>
      </w:r>
      <w:r>
        <w:rPr>
          <w:rFonts w:hint="eastAsia" w:ascii="仿宋" w:hAnsi="仿宋" w:eastAsia="仿宋" w:cs="仿宋"/>
          <w:sz w:val="24"/>
        </w:rPr>
        <w:tab/>
      </w:r>
      <w:r>
        <w:rPr>
          <w:rFonts w:hint="eastAsia" w:ascii="仿宋" w:hAnsi="仿宋" w:eastAsia="仿宋" w:cs="仿宋"/>
          <w:sz w:val="24"/>
        </w:rPr>
        <w:t>在投标截止期之后，采购人和采购代理机构不接受投标人主动对其投标文件做任何修改。</w:t>
      </w:r>
    </w:p>
    <w:p>
      <w:pPr>
        <w:spacing w:line="288" w:lineRule="auto"/>
        <w:ind w:left="900" w:hanging="900" w:hangingChars="375"/>
        <w:textAlignment w:val="baseline"/>
        <w:rPr>
          <w:rFonts w:ascii="仿宋" w:hAnsi="仿宋" w:eastAsia="仿宋" w:cs="仿宋"/>
          <w:sz w:val="24"/>
        </w:rPr>
      </w:pPr>
      <w:bookmarkStart w:id="384" w:name="_Toc19583"/>
      <w:bookmarkStart w:id="385" w:name="_Toc13495"/>
      <w:bookmarkStart w:id="386" w:name="_Toc26872"/>
      <w:r>
        <w:rPr>
          <w:rFonts w:hint="eastAsia" w:ascii="仿宋" w:hAnsi="仿宋" w:eastAsia="仿宋" w:cs="仿宋"/>
          <w:sz w:val="24"/>
        </w:rPr>
        <w:t>17.5</w:t>
      </w:r>
      <w:r>
        <w:rPr>
          <w:rFonts w:hint="eastAsia" w:ascii="仿宋" w:hAnsi="仿宋" w:eastAsia="仿宋" w:cs="仿宋"/>
          <w:sz w:val="24"/>
        </w:rPr>
        <w:tab/>
      </w:r>
      <w:r>
        <w:rPr>
          <w:rFonts w:hint="eastAsia" w:ascii="仿宋" w:hAnsi="仿宋" w:eastAsia="仿宋" w:cs="仿宋"/>
          <w:sz w:val="24"/>
        </w:rPr>
        <w:t>采购人和采购代理机构对所接收投标文件概不退回。</w:t>
      </w:r>
      <w:bookmarkEnd w:id="384"/>
      <w:bookmarkEnd w:id="385"/>
      <w:bookmarkEnd w:id="386"/>
    </w:p>
    <w:p>
      <w:pPr>
        <w:pStyle w:val="88"/>
        <w:rPr>
          <w:rFonts w:ascii="仿宋" w:hAnsi="仿宋" w:eastAsia="仿宋" w:cs="仿宋"/>
        </w:rPr>
      </w:pPr>
      <w:bookmarkStart w:id="387" w:name="_Toc4683"/>
      <w:bookmarkStart w:id="388" w:name="_Toc28398"/>
      <w:bookmarkStart w:id="389" w:name="_Toc26876"/>
      <w:bookmarkStart w:id="390" w:name="_Toc28581"/>
      <w:bookmarkStart w:id="391" w:name="_Toc26891"/>
      <w:bookmarkStart w:id="392" w:name="_Toc12436"/>
      <w:bookmarkStart w:id="393" w:name="_Toc20246"/>
      <w:bookmarkStart w:id="394" w:name="_Toc515647778"/>
      <w:bookmarkStart w:id="395" w:name="_Toc6326"/>
      <w:bookmarkStart w:id="396" w:name="_Toc520356163"/>
      <w:bookmarkStart w:id="397" w:name="_Toc25610"/>
      <w:bookmarkStart w:id="398" w:name="_Toc22638"/>
      <w:bookmarkStart w:id="399" w:name="_Toc8462"/>
      <w:bookmarkStart w:id="400" w:name="_Toc27778"/>
      <w:bookmarkStart w:id="401" w:name="_Toc5077"/>
      <w:bookmarkStart w:id="402" w:name="_Toc216582809"/>
      <w:bookmarkStart w:id="403" w:name="_Toc515647780"/>
      <w:bookmarkStart w:id="404" w:name="_Toc31290"/>
      <w:bookmarkStart w:id="405" w:name="_Toc21372"/>
      <w:bookmarkStart w:id="406" w:name="_Toc19296"/>
    </w:p>
    <w:p>
      <w:pPr>
        <w:pStyle w:val="6"/>
        <w:spacing w:before="0" w:line="288" w:lineRule="auto"/>
        <w:ind w:left="1079" w:leftChars="257" w:hanging="540"/>
        <w:textAlignment w:val="baseline"/>
        <w:rPr>
          <w:rFonts w:ascii="仿宋" w:hAnsi="仿宋" w:eastAsia="仿宋" w:cs="仿宋"/>
        </w:rPr>
      </w:pPr>
      <w:bookmarkStart w:id="407" w:name="_Toc2696"/>
      <w:bookmarkStart w:id="408" w:name="_Toc6737"/>
      <w:bookmarkStart w:id="409" w:name="_Toc17322"/>
      <w:r>
        <w:rPr>
          <w:rFonts w:hint="eastAsia" w:ascii="仿宋" w:hAnsi="仿宋" w:eastAsia="仿宋" w:cs="仿宋"/>
          <w:sz w:val="24"/>
        </w:rPr>
        <w:t>五   开标及评标</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7"/>
      <w:bookmarkEnd w:id="408"/>
      <w:bookmarkEnd w:id="409"/>
    </w:p>
    <w:p>
      <w:pPr>
        <w:pStyle w:val="7"/>
        <w:numPr>
          <w:ilvl w:val="0"/>
          <w:numId w:val="5"/>
        </w:numPr>
        <w:spacing w:line="288" w:lineRule="auto"/>
        <w:textAlignment w:val="baseline"/>
        <w:rPr>
          <w:rFonts w:ascii="仿宋" w:hAnsi="仿宋" w:eastAsia="仿宋" w:cs="仿宋"/>
        </w:rPr>
      </w:pPr>
      <w:bookmarkStart w:id="410" w:name="_Toc433"/>
      <w:bookmarkStart w:id="411" w:name="_Toc520356164"/>
      <w:bookmarkStart w:id="412" w:name="_Toc21932"/>
      <w:bookmarkStart w:id="413" w:name="_Toc515647779"/>
      <w:bookmarkStart w:id="414" w:name="_Toc22221"/>
      <w:bookmarkStart w:id="415" w:name="_Toc17235"/>
      <w:bookmarkStart w:id="416" w:name="_Toc32258"/>
      <w:bookmarkStart w:id="417" w:name="_Toc18521"/>
      <w:bookmarkStart w:id="418" w:name="_Toc11395"/>
      <w:bookmarkStart w:id="419" w:name="_Toc2870"/>
      <w:bookmarkStart w:id="420" w:name="_Toc28774"/>
      <w:bookmarkStart w:id="421" w:name="_Toc17257"/>
      <w:bookmarkStart w:id="422" w:name="_Toc15239"/>
      <w:bookmarkStart w:id="423" w:name="_Toc6310"/>
      <w:bookmarkStart w:id="424" w:name="_Toc24428"/>
      <w:bookmarkStart w:id="425" w:name="_Toc21582"/>
      <w:bookmarkStart w:id="426" w:name="_Toc25345"/>
      <w:bookmarkStart w:id="427" w:name="_Toc7186"/>
      <w:r>
        <w:rPr>
          <w:rFonts w:hint="eastAsia" w:ascii="仿宋" w:hAnsi="仿宋" w:eastAsia="仿宋" w:cs="仿宋"/>
        </w:rPr>
        <w:t>开标</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numPr>
          <w:ilvl w:val="1"/>
          <w:numId w:val="5"/>
        </w:num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采购人和采购代理机构将按</w:t>
      </w:r>
      <w:r>
        <w:rPr>
          <w:rFonts w:hint="eastAsia" w:ascii="仿宋" w:hAnsi="仿宋" w:eastAsia="仿宋" w:cs="仿宋"/>
          <w:sz w:val="24"/>
          <w:u w:val="single" w:color="000000"/>
        </w:rPr>
        <w:t>投标人须知资料表</w:t>
      </w:r>
      <w:r>
        <w:rPr>
          <w:rFonts w:hint="eastAsia" w:ascii="仿宋" w:hAnsi="仿宋" w:eastAsia="仿宋" w:cs="仿宋"/>
          <w:sz w:val="24"/>
        </w:rPr>
        <w:t>中规定的开标时间和地点组织公开开标并邀请所有投标人代表参加。</w:t>
      </w:r>
    </w:p>
    <w:p>
      <w:pPr>
        <w:spacing w:line="288" w:lineRule="auto"/>
        <w:ind w:left="735" w:leftChars="350" w:firstLine="120" w:firstLineChars="50"/>
        <w:textAlignment w:val="baseline"/>
        <w:rPr>
          <w:rFonts w:ascii="仿宋" w:hAnsi="仿宋" w:eastAsia="仿宋" w:cs="仿宋"/>
          <w:sz w:val="24"/>
        </w:rPr>
      </w:pPr>
      <w:r>
        <w:rPr>
          <w:rFonts w:hint="eastAsia" w:ascii="仿宋" w:hAnsi="仿宋" w:eastAsia="仿宋" w:cs="仿宋"/>
          <w:sz w:val="24"/>
        </w:rPr>
        <w:t>投标人不足3家的，不得开标。</w:t>
      </w:r>
    </w:p>
    <w:p>
      <w:pPr>
        <w:spacing w:line="288" w:lineRule="auto"/>
        <w:ind w:left="960" w:hanging="960" w:hangingChars="400"/>
        <w:textAlignment w:val="baseline"/>
        <w:rPr>
          <w:rFonts w:ascii="仿宋" w:hAnsi="仿宋" w:eastAsia="仿宋" w:cs="仿宋"/>
          <w:sz w:val="24"/>
        </w:rPr>
      </w:pPr>
      <w:r>
        <w:rPr>
          <w:rFonts w:hint="eastAsia" w:ascii="仿宋" w:hAnsi="仿宋" w:eastAsia="仿宋" w:cs="仿宋"/>
          <w:sz w:val="24"/>
        </w:rPr>
        <w:t xml:space="preserve">18.2   </w:t>
      </w:r>
      <w:r>
        <w:rPr>
          <w:rFonts w:hint="eastAsia" w:ascii="仿宋" w:hAnsi="仿宋" w:eastAsia="仿宋" w:cs="仿宋"/>
          <w:b/>
          <w:bCs/>
          <w:sz w:val="24"/>
        </w:rPr>
        <w:t>开标时，由代理机构工作人员点击投标文件解密流程，解密时间为30分钟。解密时间截止后经记录，由采购人或采购代理机构开启开标一览表，宣读投标人名称、投标价格及招标文件规定的内容。对于投标人在投标截止期前递交的投标声明，在开标时当众宣读，评标时有效。未宣读投标价格、价格折扣等实质内容，评标时不予承认。逾期未解密的视为投标无效</w:t>
      </w:r>
      <w:r>
        <w:rPr>
          <w:rFonts w:hint="eastAsia" w:ascii="仿宋" w:hAnsi="仿宋" w:eastAsia="仿宋" w:cs="仿宋"/>
          <w:sz w:val="24"/>
        </w:rPr>
        <w:t>。</w:t>
      </w:r>
    </w:p>
    <w:p>
      <w:pPr>
        <w:widowControl/>
        <w:ind w:left="960" w:hanging="960" w:hangingChars="400"/>
        <w:jc w:val="left"/>
        <w:rPr>
          <w:rFonts w:ascii="仿宋" w:hAnsi="仿宋" w:eastAsia="仿宋" w:cs="仿宋"/>
          <w:sz w:val="24"/>
        </w:rPr>
      </w:pPr>
      <w:r>
        <w:rPr>
          <w:rFonts w:hint="eastAsia" w:ascii="仿宋" w:hAnsi="仿宋" w:eastAsia="仿宋" w:cs="仿宋"/>
          <w:sz w:val="24"/>
        </w:rPr>
        <w:t>18.3   采购人或采购代理机构将对开标过程进行记录，由参加开标的各投标人代表和相关工作人员签字确认，并存档备查。</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18.4    投标人代表对开标过程和开标记录有疑义，以及认为采购人、采购代理机构相关工作人员有需要回避的情形的，应当场提出询问或者回避申请。</w:t>
      </w:r>
    </w:p>
    <w:p>
      <w:pPr>
        <w:pStyle w:val="7"/>
        <w:spacing w:before="0" w:after="0" w:line="288" w:lineRule="auto"/>
        <w:textAlignment w:val="baseline"/>
        <w:rPr>
          <w:rFonts w:ascii="仿宋" w:hAnsi="仿宋" w:eastAsia="仿宋" w:cs="仿宋"/>
        </w:rPr>
      </w:pPr>
      <w:bookmarkStart w:id="428" w:name="_Toc1947"/>
      <w:bookmarkStart w:id="429" w:name="_Toc1719"/>
      <w:bookmarkStart w:id="430" w:name="_Toc9590"/>
      <w:bookmarkStart w:id="431" w:name="_Toc11574"/>
      <w:bookmarkStart w:id="432" w:name="_Toc30404"/>
      <w:bookmarkStart w:id="433" w:name="_Toc10635"/>
      <w:bookmarkStart w:id="434" w:name="_Toc16060"/>
      <w:bookmarkStart w:id="435" w:name="_Toc13177"/>
      <w:bookmarkStart w:id="436" w:name="_Toc3319"/>
      <w:bookmarkStart w:id="437" w:name="_Toc14377"/>
      <w:bookmarkStart w:id="438" w:name="_Toc3739"/>
      <w:bookmarkStart w:id="439" w:name="_Toc10173"/>
      <w:bookmarkStart w:id="440" w:name="_Toc3940"/>
      <w:r>
        <w:rPr>
          <w:rFonts w:hint="eastAsia" w:ascii="仿宋" w:hAnsi="仿宋" w:eastAsia="仿宋" w:cs="仿宋"/>
        </w:rPr>
        <w:t>19.资格审查及组建评标委员会</w:t>
      </w:r>
      <w:bookmarkEnd w:id="403"/>
      <w:bookmarkEnd w:id="404"/>
      <w:bookmarkEnd w:id="405"/>
      <w:bookmarkEnd w:id="406"/>
      <w:bookmarkEnd w:id="428"/>
      <w:bookmarkEnd w:id="429"/>
      <w:bookmarkEnd w:id="430"/>
      <w:bookmarkEnd w:id="431"/>
      <w:bookmarkEnd w:id="432"/>
      <w:bookmarkEnd w:id="433"/>
      <w:bookmarkEnd w:id="434"/>
      <w:bookmarkEnd w:id="435"/>
      <w:bookmarkEnd w:id="436"/>
      <w:bookmarkEnd w:id="437"/>
      <w:bookmarkEnd w:id="438"/>
      <w:bookmarkEnd w:id="439"/>
      <w:bookmarkEnd w:id="440"/>
    </w:p>
    <w:p>
      <w:pPr>
        <w:spacing w:line="288" w:lineRule="auto"/>
        <w:ind w:left="960" w:hanging="960" w:hangingChars="400"/>
        <w:textAlignment w:val="baseline"/>
        <w:rPr>
          <w:rFonts w:ascii="仿宋" w:hAnsi="仿宋" w:eastAsia="仿宋" w:cs="仿宋"/>
          <w:sz w:val="24"/>
        </w:rPr>
      </w:pPr>
      <w:r>
        <w:rPr>
          <w:rFonts w:hint="eastAsia" w:ascii="仿宋" w:hAnsi="仿宋" w:eastAsia="仿宋" w:cs="仿宋"/>
          <w:sz w:val="24"/>
        </w:rPr>
        <w:t>19.1    采购人或采购代理机构依据法律法规和招标文件中规定的内容，对投标人的资格进行审查，未通过资格审查的投标人不进入评标；通过资格审查的投标人少于不足三家的，不得评标。</w:t>
      </w:r>
    </w:p>
    <w:p>
      <w:pPr>
        <w:spacing w:line="240" w:lineRule="atLeast"/>
        <w:ind w:left="857" w:leftChars="2" w:hanging="853"/>
        <w:rPr>
          <w:rFonts w:ascii="仿宋" w:hAnsi="仿宋" w:eastAsia="仿宋" w:cs="仿宋"/>
          <w:sz w:val="24"/>
        </w:rPr>
      </w:pPr>
      <w:r>
        <w:rPr>
          <w:rFonts w:hint="eastAsia" w:ascii="仿宋" w:hAnsi="仿宋" w:eastAsia="仿宋" w:cs="仿宋"/>
          <w:sz w:val="24"/>
        </w:rPr>
        <w:t xml:space="preserve">19.2   </w:t>
      </w:r>
      <w:bookmarkStart w:id="441" w:name="_Toc520356166"/>
      <w:r>
        <w:rPr>
          <w:rFonts w:hint="eastAsia" w:ascii="仿宋" w:hAnsi="仿宋" w:eastAsia="仿宋" w:cs="仿宋"/>
          <w:sz w:val="24"/>
        </w:rPr>
        <w:t>采购人或采购代理机构将在开标前1个工作日至投标截止后1小时的期间内查询投标人的信用记录。投标人存在不良信用记录的，其投标将被认定为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857" w:leftChars="2" w:hanging="853"/>
        <w:rPr>
          <w:rFonts w:ascii="仿宋" w:hAnsi="仿宋" w:eastAsia="仿宋" w:cs="仿宋"/>
          <w:sz w:val="24"/>
        </w:rPr>
      </w:pPr>
      <w:r>
        <w:rPr>
          <w:rFonts w:hint="eastAsia" w:ascii="仿宋" w:hAnsi="仿宋" w:eastAsia="仿宋" w:cs="仿宋"/>
          <w:sz w:val="24"/>
        </w:rPr>
        <w:t>19.2.1 不良信用记录指：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p>
    <w:p>
      <w:pPr>
        <w:spacing w:line="240" w:lineRule="atLeast"/>
        <w:ind w:left="968" w:leftChars="458" w:hanging="7" w:hangingChars="3"/>
        <w:rPr>
          <w:rFonts w:ascii="仿宋" w:hAnsi="仿宋" w:eastAsia="仿宋" w:cs="仿宋"/>
          <w:sz w:val="24"/>
        </w:rPr>
      </w:pPr>
      <w:r>
        <w:rPr>
          <w:rFonts w:hint="eastAsia" w:ascii="仿宋" w:hAnsi="仿宋" w:eastAsia="仿宋" w:cs="仿宋"/>
          <w:sz w:val="24"/>
        </w:rPr>
        <w:t>以联合体形式参加投标的，联合体任何成员存在以上不良信用记录的，联合体投标将被认定为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857" w:leftChars="2" w:hanging="853"/>
        <w:rPr>
          <w:rFonts w:ascii="仿宋" w:hAnsi="仿宋" w:eastAsia="仿宋" w:cs="仿宋"/>
          <w:sz w:val="24"/>
        </w:rPr>
      </w:pPr>
      <w:r>
        <w:rPr>
          <w:rFonts w:hint="eastAsia" w:ascii="仿宋" w:hAnsi="仿宋" w:eastAsia="仿宋" w:cs="仿宋"/>
        </w:rPr>
        <w:t xml:space="preserve">19.2.2 </w:t>
      </w:r>
      <w:r>
        <w:rPr>
          <w:rFonts w:hint="eastAsia" w:ascii="仿宋" w:hAnsi="仿宋" w:eastAsia="仿宋" w:cs="仿宋"/>
          <w:sz w:val="24"/>
        </w:rPr>
        <w:t>查询及记录方式：采购人或采购代理机构经办人将查询网页打印、签字并存档备查。投标人不良信用记录以采购人或采购代理机构查询结果为准。</w:t>
      </w:r>
    </w:p>
    <w:p>
      <w:pPr>
        <w:spacing w:line="240" w:lineRule="atLeast"/>
        <w:ind w:firstLine="960" w:firstLineChars="400"/>
        <w:rPr>
          <w:rFonts w:ascii="仿宋" w:hAnsi="仿宋" w:eastAsia="仿宋" w:cs="仿宋"/>
          <w:sz w:val="24"/>
        </w:rPr>
      </w:pPr>
      <w:r>
        <w:rPr>
          <w:rFonts w:hint="eastAsia" w:ascii="仿宋" w:hAnsi="仿宋" w:eastAsia="仿宋" w:cs="仿宋"/>
          <w:sz w:val="24"/>
        </w:rPr>
        <w:t>在本招标文件规定的查询时间之后，网站信息发生的任何变更均不再作为评标依据。</w:t>
      </w:r>
    </w:p>
    <w:p>
      <w:pPr>
        <w:spacing w:line="240" w:lineRule="atLeast"/>
        <w:ind w:left="968" w:leftChars="458" w:hanging="7" w:hangingChars="3"/>
        <w:rPr>
          <w:rFonts w:ascii="仿宋" w:hAnsi="仿宋" w:eastAsia="仿宋" w:cs="仿宋"/>
          <w:sz w:val="24"/>
        </w:rPr>
      </w:pPr>
      <w:r>
        <w:rPr>
          <w:rFonts w:hint="eastAsia" w:ascii="仿宋" w:hAnsi="仿宋" w:eastAsia="仿宋" w:cs="仿宋"/>
          <w:sz w:val="24"/>
        </w:rPr>
        <w:t>投标人自行提供的与网站信息不一致的其他证明材料亦不作为资格审查依据。</w:t>
      </w:r>
    </w:p>
    <w:p>
      <w:pPr>
        <w:pStyle w:val="26"/>
        <w:ind w:left="960" w:hanging="960" w:hangingChars="400"/>
        <w:rPr>
          <w:rFonts w:ascii="仿宋" w:hAnsi="仿宋" w:eastAsia="仿宋" w:cs="仿宋"/>
          <w:color w:val="FF0000"/>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按照《中华人民共和国政府采购法》、《中华人民共和国政府采购法实施条例》及本项目本级和上级财政部门的有关规定依法组建的评标委员会，负责评标工作。</w:t>
      </w:r>
      <w:r>
        <w:rPr>
          <w:rFonts w:hint="eastAsia" w:ascii="仿宋" w:hAnsi="仿宋" w:eastAsia="仿宋" w:cs="仿宋"/>
          <w:b/>
          <w:bCs/>
          <w:color w:val="FF0000"/>
          <w:sz w:val="24"/>
          <w:u w:val="single"/>
        </w:rPr>
        <w:t>本项目评标委员会由</w:t>
      </w:r>
      <w:r>
        <w:rPr>
          <w:rFonts w:hint="eastAsia" w:ascii="仿宋" w:hAnsi="仿宋" w:eastAsia="仿宋" w:cs="仿宋"/>
          <w:b/>
          <w:bCs/>
          <w:color w:val="00B0F0"/>
          <w:sz w:val="24"/>
          <w:u w:val="single"/>
        </w:rPr>
        <w:t>5人</w:t>
      </w:r>
      <w:r>
        <w:rPr>
          <w:rFonts w:hint="eastAsia" w:ascii="仿宋" w:hAnsi="仿宋" w:eastAsia="仿宋" w:cs="仿宋"/>
          <w:b/>
          <w:bCs/>
          <w:color w:val="FF0000"/>
          <w:sz w:val="24"/>
          <w:u w:val="single"/>
        </w:rPr>
        <w:t>单数组成，其中：业主代表</w:t>
      </w:r>
      <w:r>
        <w:rPr>
          <w:rFonts w:hint="eastAsia" w:ascii="仿宋" w:hAnsi="仿宋" w:eastAsia="仿宋" w:cs="仿宋"/>
          <w:b/>
          <w:bCs/>
          <w:color w:val="00B0F0"/>
          <w:sz w:val="24"/>
          <w:u w:val="single"/>
        </w:rPr>
        <w:t>1人</w:t>
      </w:r>
      <w:r>
        <w:rPr>
          <w:rFonts w:hint="eastAsia" w:ascii="仿宋" w:hAnsi="仿宋" w:eastAsia="仿宋" w:cs="仿宋"/>
          <w:b/>
          <w:bCs/>
          <w:color w:val="FF0000"/>
          <w:sz w:val="24"/>
          <w:u w:val="single"/>
        </w:rPr>
        <w:t>，评委</w:t>
      </w:r>
      <w:r>
        <w:rPr>
          <w:rFonts w:hint="eastAsia" w:ascii="仿宋" w:hAnsi="仿宋" w:eastAsia="仿宋" w:cs="仿宋"/>
          <w:b/>
          <w:bCs/>
          <w:color w:val="00B0F0"/>
          <w:sz w:val="24"/>
          <w:u w:val="single"/>
        </w:rPr>
        <w:t>4人</w:t>
      </w:r>
      <w:r>
        <w:rPr>
          <w:rFonts w:hint="eastAsia" w:ascii="仿宋" w:hAnsi="仿宋" w:eastAsia="仿宋" w:cs="仿宋"/>
          <w:b/>
          <w:bCs/>
          <w:color w:val="FF0000"/>
          <w:sz w:val="24"/>
          <w:u w:val="single"/>
        </w:rPr>
        <w:t>（政采云专家库随机抽取）。</w:t>
      </w:r>
    </w:p>
    <w:p>
      <w:pPr>
        <w:pStyle w:val="26"/>
        <w:rPr>
          <w:rFonts w:ascii="仿宋" w:hAnsi="仿宋" w:eastAsia="仿宋" w:cs="仿宋"/>
        </w:rPr>
      </w:pPr>
    </w:p>
    <w:p>
      <w:pPr>
        <w:pStyle w:val="7"/>
        <w:spacing w:before="0" w:after="0" w:line="288" w:lineRule="auto"/>
        <w:textAlignment w:val="baseline"/>
        <w:rPr>
          <w:rFonts w:ascii="仿宋" w:hAnsi="仿宋" w:eastAsia="仿宋" w:cs="仿宋"/>
          <w:b w:val="0"/>
          <w:bCs/>
          <w:bdr w:val="single" w:color="auto" w:sz="4" w:space="0"/>
        </w:rPr>
      </w:pPr>
      <w:bookmarkStart w:id="442" w:name="_Toc515647781"/>
      <w:bookmarkStart w:id="443" w:name="_Toc28479"/>
      <w:bookmarkStart w:id="444" w:name="_Toc6973"/>
      <w:bookmarkStart w:id="445" w:name="_Toc29906"/>
      <w:bookmarkStart w:id="446" w:name="_Toc26332"/>
      <w:bookmarkStart w:id="447" w:name="_Toc12297"/>
      <w:bookmarkStart w:id="448" w:name="_Toc25418"/>
      <w:bookmarkStart w:id="449" w:name="_Toc20899"/>
      <w:bookmarkStart w:id="450" w:name="_Toc13960"/>
      <w:bookmarkStart w:id="451" w:name="_Toc5695"/>
      <w:bookmarkStart w:id="452" w:name="_Toc4341"/>
      <w:bookmarkStart w:id="453" w:name="_Toc1238"/>
      <w:bookmarkStart w:id="454" w:name="_Toc21183"/>
      <w:bookmarkStart w:id="455" w:name="_Toc19949"/>
      <w:bookmarkStart w:id="456" w:name="_Toc23586"/>
      <w:bookmarkStart w:id="457" w:name="_Toc30633"/>
      <w:bookmarkStart w:id="458" w:name="_Toc2541"/>
      <w:r>
        <w:rPr>
          <w:rFonts w:hint="eastAsia" w:ascii="仿宋" w:hAnsi="仿宋" w:eastAsia="仿宋" w:cs="仿宋"/>
        </w:rPr>
        <w:t>20.投标文件</w:t>
      </w:r>
      <w:bookmarkEnd w:id="441"/>
      <w:r>
        <w:rPr>
          <w:rFonts w:hint="eastAsia" w:ascii="仿宋" w:hAnsi="仿宋" w:eastAsia="仿宋" w:cs="仿宋"/>
        </w:rPr>
        <w:t>符合性审查与澄清</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20.1   符合性审查是指依据招标文件的规定，从投标文件的有效性和完整性对招标文件的响应程度进行审查，以确定是否对招标文件的实质性要求做出响应。</w:t>
      </w:r>
      <w:bookmarkStart w:id="459" w:name="_Hlt522424701"/>
      <w:bookmarkEnd w:id="459"/>
      <w:bookmarkStart w:id="460" w:name="_Toc520356167"/>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20.2.2  投标人的的澄清、说明或补正将作为投标文件的一部分。</w:t>
      </w:r>
    </w:p>
    <w:p>
      <w:pPr>
        <w:spacing w:line="288" w:lineRule="auto"/>
        <w:ind w:left="904" w:hanging="900" w:hangingChars="375"/>
        <w:textAlignment w:val="baseline"/>
        <w:rPr>
          <w:rFonts w:ascii="仿宋" w:hAnsi="仿宋" w:eastAsia="仿宋" w:cs="仿宋"/>
          <w:b/>
          <w:bCs/>
          <w:sz w:val="24"/>
        </w:rPr>
      </w:pPr>
      <w:r>
        <w:rPr>
          <w:rFonts w:hint="eastAsia" w:ascii="仿宋" w:hAnsi="仿宋" w:eastAsia="仿宋" w:cs="仿宋"/>
          <w:b/>
          <w:bCs/>
          <w:sz w:val="24"/>
        </w:rPr>
        <w:t>20.3  投标文件报价出现前后不一致的，按照下列规定修正：</w:t>
      </w:r>
    </w:p>
    <w:p>
      <w:pPr>
        <w:spacing w:line="288" w:lineRule="auto"/>
        <w:ind w:left="1020" w:hanging="1020" w:hangingChars="425"/>
        <w:textAlignment w:val="baseline"/>
        <w:rPr>
          <w:rFonts w:ascii="仿宋" w:hAnsi="仿宋" w:eastAsia="仿宋" w:cs="仿宋"/>
          <w:sz w:val="24"/>
        </w:rPr>
      </w:pPr>
      <w:r>
        <w:rPr>
          <w:rFonts w:hint="eastAsia" w:ascii="仿宋" w:hAnsi="仿宋" w:eastAsia="仿宋" w:cs="仿宋"/>
          <w:sz w:val="24"/>
        </w:rPr>
        <w:t>　　   （一）投标文件中开标一览表（报价表）内容与投标文件中相应内容不一致的，以开标一览表（报价表）为准；</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　　   （二）大写金额和小写金额不一致的，以大写金额为准；</w:t>
      </w:r>
    </w:p>
    <w:p>
      <w:pPr>
        <w:spacing w:line="288" w:lineRule="auto"/>
        <w:ind w:left="1020" w:hanging="1020" w:hangingChars="425"/>
        <w:textAlignment w:val="baseline"/>
        <w:rPr>
          <w:rFonts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　   　（四）总价金额与按单价汇总金额不一致的，以单价金额计算结果为准。</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735" w:leftChars="350" w:firstLine="120" w:firstLineChars="50"/>
        <w:textAlignment w:val="baseline"/>
        <w:rPr>
          <w:rFonts w:ascii="仿宋" w:hAnsi="仿宋" w:eastAsia="仿宋" w:cs="仿宋"/>
          <w:sz w:val="24"/>
        </w:rPr>
      </w:pPr>
      <w:r>
        <w:rPr>
          <w:rFonts w:hint="eastAsia" w:ascii="仿宋" w:hAnsi="仿宋" w:eastAsia="仿宋" w:cs="仿宋"/>
          <w:sz w:val="24"/>
        </w:rPr>
        <w:t>对不同文字文本投标文件的解释发生异议的，以中文文本为准。</w:t>
      </w:r>
    </w:p>
    <w:p>
      <w:pPr>
        <w:spacing w:line="288" w:lineRule="auto"/>
        <w:ind w:left="904" w:hanging="900" w:hangingChars="375"/>
        <w:textAlignment w:val="baseline"/>
        <w:rPr>
          <w:rFonts w:ascii="仿宋" w:hAnsi="仿宋" w:eastAsia="仿宋" w:cs="仿宋"/>
          <w:b/>
          <w:bCs/>
          <w:sz w:val="24"/>
        </w:rPr>
      </w:pPr>
      <w:r>
        <w:rPr>
          <w:rFonts w:hint="eastAsia" w:ascii="仿宋" w:hAnsi="仿宋" w:eastAsia="仿宋" w:cs="仿宋"/>
          <w:b/>
          <w:bCs/>
          <w:sz w:val="24"/>
        </w:rPr>
        <w:t>20.4   如一个分包内只有一种产品，不同投标人所投产品为同一品牌的，按如下方式处理：</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pPr>
        <w:spacing w:line="288" w:lineRule="auto"/>
        <w:ind w:left="900" w:hanging="900" w:hangingChars="375"/>
        <w:textAlignment w:val="baseline"/>
        <w:rPr>
          <w:rFonts w:ascii="仿宋" w:hAnsi="仿宋" w:eastAsia="仿宋" w:cs="仿宋"/>
          <w:b/>
          <w:bCs/>
          <w:sz w:val="24"/>
        </w:rPr>
      </w:pPr>
      <w:r>
        <w:rPr>
          <w:rFonts w:hint="eastAsia" w:ascii="仿宋" w:hAnsi="仿宋" w:eastAsia="仿宋" w:cs="仿宋"/>
          <w:sz w:val="24"/>
        </w:rPr>
        <w:t xml:space="preserve">20.5   </w:t>
      </w:r>
      <w:r>
        <w:rPr>
          <w:rFonts w:hint="eastAsia" w:ascii="仿宋" w:hAnsi="仿宋" w:eastAsia="仿宋" w:cs="仿宋"/>
          <w:b/>
          <w:bCs/>
          <w:sz w:val="24"/>
        </w:rPr>
        <w:t>如一个分包内包含多种产品的，采购人或采购代理机构将在</w:t>
      </w:r>
      <w:r>
        <w:rPr>
          <w:rFonts w:hint="eastAsia" w:ascii="仿宋" w:hAnsi="仿宋" w:eastAsia="仿宋" w:cs="仿宋"/>
          <w:b/>
          <w:bCs/>
          <w:sz w:val="24"/>
          <w:u w:val="single" w:color="000000"/>
        </w:rPr>
        <w:t>投标人须知资料表</w:t>
      </w:r>
      <w:r>
        <w:rPr>
          <w:rFonts w:hint="eastAsia" w:ascii="仿宋" w:hAnsi="仿宋" w:eastAsia="仿宋" w:cs="仿宋"/>
          <w:b/>
          <w:bCs/>
          <w:sz w:val="24"/>
        </w:rPr>
        <w:t>中载明核心产品，多家投标人提供的核心产品品牌相同的，按第20.4条规定处理。</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20.6   投标人所投产品如被列入财政部与国家主管部门颁发的节能产品目录或环境标志产品目录，应提供相关证明，在评标时予以优先采购，具体优先采购办法见第六章评标方法和标准。</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 xml:space="preserve">        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7"/>
        <w:spacing w:before="0" w:after="0" w:line="288" w:lineRule="auto"/>
        <w:textAlignment w:val="baseline"/>
        <w:rPr>
          <w:rFonts w:ascii="仿宋" w:hAnsi="仿宋" w:eastAsia="仿宋" w:cs="仿宋"/>
        </w:rPr>
      </w:pPr>
      <w:bookmarkStart w:id="461" w:name="_Toc12839"/>
      <w:bookmarkStart w:id="462" w:name="_Toc5986"/>
      <w:bookmarkStart w:id="463" w:name="_Toc25623"/>
      <w:bookmarkStart w:id="464" w:name="_Toc515647782"/>
      <w:bookmarkStart w:id="465" w:name="_Toc15064"/>
      <w:bookmarkStart w:id="466" w:name="_Toc15628"/>
      <w:bookmarkStart w:id="467" w:name="_Toc8063"/>
      <w:bookmarkStart w:id="468" w:name="_Toc19169"/>
      <w:bookmarkStart w:id="469" w:name="_Toc9469"/>
      <w:bookmarkStart w:id="470" w:name="_Toc5230"/>
      <w:bookmarkStart w:id="471" w:name="_Toc5666"/>
      <w:bookmarkStart w:id="472" w:name="_Toc6364"/>
      <w:bookmarkStart w:id="473" w:name="_Toc19326"/>
      <w:bookmarkStart w:id="474" w:name="_Toc6003"/>
      <w:bookmarkStart w:id="475" w:name="_Toc18529"/>
      <w:bookmarkStart w:id="476" w:name="_Toc24227"/>
      <w:bookmarkStart w:id="477" w:name="_Toc17153"/>
      <w:r>
        <w:rPr>
          <w:rFonts w:hint="eastAsia" w:ascii="仿宋" w:hAnsi="仿宋" w:eastAsia="仿宋" w:cs="仿宋"/>
        </w:rPr>
        <w:t>21.投标偏离</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pPr>
        <w:spacing w:line="288" w:lineRule="auto"/>
        <w:ind w:left="847" w:leftChars="99" w:hanging="640" w:hangingChars="267"/>
        <w:textAlignment w:val="baseline"/>
        <w:rPr>
          <w:rFonts w:ascii="仿宋" w:hAnsi="仿宋" w:eastAsia="仿宋" w:cs="仿宋"/>
          <w:sz w:val="24"/>
        </w:rPr>
      </w:pPr>
      <w:r>
        <w:rPr>
          <w:rFonts w:hint="eastAsia" w:ascii="仿宋" w:hAnsi="仿宋" w:eastAsia="仿宋" w:cs="仿宋"/>
          <w:sz w:val="24"/>
        </w:rPr>
        <w:t xml:space="preserve">     评标委员会可以接受投标文件中不构成实质性偏离的不正规或不一致。</w:t>
      </w:r>
    </w:p>
    <w:p>
      <w:pPr>
        <w:pStyle w:val="7"/>
        <w:spacing w:before="0" w:after="0" w:line="288" w:lineRule="auto"/>
        <w:textAlignment w:val="baseline"/>
        <w:rPr>
          <w:rFonts w:ascii="仿宋" w:hAnsi="仿宋" w:eastAsia="仿宋" w:cs="仿宋"/>
        </w:rPr>
      </w:pPr>
      <w:bookmarkStart w:id="478" w:name="_Toc515647783"/>
      <w:bookmarkStart w:id="479" w:name="_Toc6092"/>
      <w:bookmarkStart w:id="480" w:name="_Toc5894"/>
      <w:bookmarkStart w:id="481" w:name="_Toc7006"/>
      <w:bookmarkStart w:id="482" w:name="_Toc17567"/>
      <w:bookmarkStart w:id="483" w:name="_Toc8784"/>
      <w:bookmarkStart w:id="484" w:name="_Toc21189"/>
      <w:bookmarkStart w:id="485" w:name="_Toc21597"/>
      <w:bookmarkStart w:id="486" w:name="_Toc16152"/>
      <w:bookmarkStart w:id="487" w:name="_Toc506"/>
      <w:bookmarkStart w:id="488" w:name="_Toc21694"/>
      <w:bookmarkStart w:id="489" w:name="_Toc18719"/>
      <w:bookmarkStart w:id="490" w:name="_Toc21314"/>
      <w:bookmarkStart w:id="491" w:name="_Toc15752"/>
      <w:bookmarkStart w:id="492" w:name="_Toc4950"/>
      <w:bookmarkStart w:id="493" w:name="_Toc23936"/>
      <w:bookmarkStart w:id="494" w:name="_Toc32270"/>
      <w:r>
        <w:rPr>
          <w:rFonts w:hint="eastAsia" w:ascii="仿宋" w:hAnsi="仿宋" w:eastAsia="仿宋" w:cs="仿宋"/>
        </w:rPr>
        <w:t>22.投标</w:t>
      </w:r>
      <w:bookmarkEnd w:id="478"/>
      <w:r>
        <w:rPr>
          <w:rFonts w:hint="eastAsia" w:ascii="仿宋" w:hAnsi="仿宋" w:eastAsia="仿宋" w:cs="仿宋"/>
        </w:rPr>
        <w:t>无效</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pPr>
        <w:spacing w:line="288" w:lineRule="auto"/>
        <w:ind w:left="852" w:leftChars="-23" w:hanging="900" w:hangingChars="375"/>
        <w:textAlignment w:val="baseline"/>
        <w:rPr>
          <w:rFonts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sz w:val="24"/>
        </w:rPr>
        <w:t>投标无效</w:t>
      </w:r>
      <w:r>
        <w:rPr>
          <w:rFonts w:hint="eastAsia" w:ascii="仿宋" w:hAnsi="仿宋" w:eastAsia="仿宋" w:cs="仿宋"/>
          <w:sz w:val="24"/>
        </w:rPr>
        <w:t>。投标人不得通过修正或撤销不符合要求的偏离，从而使其投标成为实质上响应的投标。</w:t>
      </w:r>
    </w:p>
    <w:p>
      <w:pPr>
        <w:spacing w:line="288" w:lineRule="auto"/>
        <w:ind w:left="791" w:leftChars="377"/>
        <w:textAlignment w:val="baseline"/>
        <w:rPr>
          <w:rFonts w:ascii="仿宋" w:hAnsi="仿宋" w:eastAsia="仿宋" w:cs="仿宋"/>
          <w:sz w:val="24"/>
        </w:rPr>
      </w:pPr>
      <w:r>
        <w:rPr>
          <w:rFonts w:hint="eastAsia" w:ascii="仿宋" w:hAnsi="仿宋" w:eastAsia="仿宋" w:cs="仿宋"/>
          <w:sz w:val="24"/>
        </w:rPr>
        <w:t>评标委员会决定投标的响应性只根据招标文件要求、投标文件内容及财政主管部门指定相关信息发布媒体。</w:t>
      </w:r>
    </w:p>
    <w:p>
      <w:pPr>
        <w:spacing w:line="288" w:lineRule="auto"/>
        <w:ind w:left="900" w:hanging="900" w:hangingChars="375"/>
        <w:textAlignment w:val="baseline"/>
        <w:rPr>
          <w:rFonts w:ascii="仿宋" w:hAnsi="仿宋" w:eastAsia="仿宋" w:cs="仿宋"/>
          <w:b/>
          <w:bCs/>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b/>
          <w:bCs/>
          <w:sz w:val="24"/>
        </w:rPr>
        <w:t>如发现下列情况之一的，其投标将被认定为投标无效：（以下情形应当在招标文件中规定，并以醒目的方式标明）</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（1）未按招标文件规定的形式和金额提交投标保证金的；</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（2）未按照招标文件规定要求签署、盖章的；</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（3）未满足招标文件中技术条款的实质性要求；</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（4）与其他投标人串通投标，或者与招标人串通投标；</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（5）属于招标文件规定的其他</w:t>
      </w:r>
      <w:r>
        <w:rPr>
          <w:rFonts w:hint="eastAsia" w:ascii="仿宋" w:hAnsi="仿宋" w:eastAsia="仿宋" w:cs="仿宋"/>
          <w:b/>
          <w:bCs/>
          <w:sz w:val="24"/>
        </w:rPr>
        <w:t>投标无效</w:t>
      </w:r>
      <w:r>
        <w:rPr>
          <w:rFonts w:hint="eastAsia" w:ascii="仿宋" w:hAnsi="仿宋" w:eastAsia="仿宋" w:cs="仿宋"/>
          <w:sz w:val="24"/>
        </w:rPr>
        <w:t>情形；</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（6）评标委员会认为投标人的报价明显低于其他通过符合性检查投标人的报价，有可能影响履约的，且投标人未按照规定证明其报价合理性的；</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（7）投标文件含有采购人不能接受的附加条件的；</w:t>
      </w:r>
    </w:p>
    <w:p>
      <w:pPr>
        <w:spacing w:line="288" w:lineRule="auto"/>
        <w:ind w:left="1080" w:leftChars="429" w:hanging="180"/>
        <w:textAlignment w:val="baseline"/>
        <w:rPr>
          <w:rFonts w:ascii="仿宋" w:hAnsi="仿宋" w:eastAsia="仿宋" w:cs="仿宋"/>
          <w:b/>
          <w:sz w:val="24"/>
        </w:rPr>
      </w:pPr>
      <w:r>
        <w:rPr>
          <w:rFonts w:hint="eastAsia" w:ascii="仿宋" w:hAnsi="仿宋" w:eastAsia="仿宋" w:cs="仿宋"/>
          <w:b/>
          <w:sz w:val="24"/>
        </w:rPr>
        <w:t>（8）</w:t>
      </w:r>
      <w:r>
        <w:rPr>
          <w:rFonts w:hint="eastAsia" w:ascii="仿宋" w:hAnsi="仿宋" w:eastAsia="仿宋" w:cs="仿宋"/>
          <w:sz w:val="24"/>
        </w:rPr>
        <w:t>不符合法规和招标文件中规定的其他实质性要求的。</w:t>
      </w:r>
      <w:bookmarkStart w:id="495" w:name="_Toc22941"/>
      <w:bookmarkStart w:id="496" w:name="_Toc13652"/>
      <w:bookmarkStart w:id="497" w:name="_Toc1001"/>
      <w:bookmarkStart w:id="498" w:name="_Toc8521"/>
      <w:bookmarkStart w:id="499" w:name="_Toc515647784"/>
    </w:p>
    <w:p>
      <w:pPr>
        <w:spacing w:line="288" w:lineRule="auto"/>
        <w:ind w:left="900" w:leftChars="429"/>
        <w:textAlignment w:val="baseline"/>
        <w:rPr>
          <w:rFonts w:ascii="仿宋" w:hAnsi="仿宋" w:eastAsia="仿宋" w:cs="仿宋"/>
          <w:sz w:val="24"/>
        </w:rPr>
      </w:pPr>
      <w:r>
        <w:rPr>
          <w:rFonts w:hint="eastAsia" w:ascii="仿宋" w:hAnsi="仿宋" w:eastAsia="仿宋" w:cs="仿宋"/>
          <w:sz w:val="24"/>
        </w:rPr>
        <w:t xml:space="preserve">有下列情形之一的，视为投标人串通投标，其投标无效：  </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 xml:space="preserve">（1）不同投标人的投标文件由同一单位或者个人编制；  </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 xml:space="preserve">（2）不同投标人委托同一单位或者个人办理投标事宜； </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（3）不同投标人的投标文件载明的项目管理成员或者联系人员为同一人； </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（4） 不同投标人的投标文件异常一致或者投标报价呈规律性差异； </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（5） 不同投标人的投标文件相互混装；</w:t>
      </w:r>
    </w:p>
    <w:p>
      <w:pPr>
        <w:spacing w:line="288" w:lineRule="auto"/>
        <w:ind w:left="1080" w:leftChars="429" w:hanging="180"/>
        <w:textAlignment w:val="baseline"/>
        <w:rPr>
          <w:rFonts w:ascii="仿宋" w:hAnsi="仿宋" w:eastAsia="仿宋" w:cs="仿宋"/>
          <w:sz w:val="24"/>
        </w:rPr>
      </w:pPr>
      <w:r>
        <w:rPr>
          <w:rFonts w:hint="eastAsia" w:ascii="仿宋" w:hAnsi="仿宋" w:eastAsia="仿宋" w:cs="仿宋"/>
          <w:sz w:val="24"/>
        </w:rPr>
        <w:t xml:space="preserve">（6）不同投标人的投标保证金从同一单位或者个人的账户转出。 </w:t>
      </w:r>
    </w:p>
    <w:p>
      <w:pPr>
        <w:pStyle w:val="7"/>
        <w:spacing w:before="0" w:after="0" w:line="288" w:lineRule="auto"/>
        <w:textAlignment w:val="baseline"/>
        <w:rPr>
          <w:rFonts w:ascii="仿宋" w:hAnsi="仿宋" w:eastAsia="仿宋" w:cs="仿宋"/>
        </w:rPr>
      </w:pPr>
      <w:bookmarkStart w:id="500" w:name="_Toc520356168"/>
      <w:bookmarkStart w:id="501" w:name="_Toc5875"/>
      <w:bookmarkStart w:id="502" w:name="_Toc1201"/>
      <w:bookmarkStart w:id="503" w:name="_Toc18723"/>
      <w:bookmarkStart w:id="504" w:name="_Toc515647785"/>
      <w:bookmarkStart w:id="505" w:name="_Toc29670"/>
      <w:bookmarkStart w:id="506" w:name="_Toc11401"/>
      <w:bookmarkStart w:id="507" w:name="_Toc2364"/>
      <w:bookmarkStart w:id="508" w:name="_Toc15293"/>
      <w:bookmarkStart w:id="509" w:name="_Toc20227"/>
      <w:bookmarkStart w:id="510" w:name="_Toc14242"/>
      <w:bookmarkStart w:id="511" w:name="_Toc23673"/>
      <w:bookmarkStart w:id="512" w:name="_Toc15050"/>
      <w:bookmarkStart w:id="513" w:name="_Toc17546"/>
      <w:bookmarkStart w:id="514" w:name="_Toc9615"/>
      <w:bookmarkStart w:id="515" w:name="_Toc8424"/>
      <w:bookmarkStart w:id="516" w:name="_Toc31728"/>
      <w:bookmarkStart w:id="517" w:name="_Toc9378"/>
      <w:r>
        <w:rPr>
          <w:rFonts w:hint="eastAsia" w:ascii="仿宋" w:hAnsi="仿宋" w:eastAsia="仿宋" w:cs="仿宋"/>
        </w:rPr>
        <w:t>2</w:t>
      </w:r>
      <w:bookmarkEnd w:id="500"/>
      <w:r>
        <w:rPr>
          <w:rFonts w:hint="eastAsia" w:ascii="仿宋" w:hAnsi="仿宋" w:eastAsia="仿宋" w:cs="仿宋"/>
        </w:rPr>
        <w:t>3.废标</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pPr>
        <w:spacing w:line="288" w:lineRule="auto"/>
        <w:ind w:left="897" w:leftChars="399" w:hanging="60" w:hangingChars="25"/>
        <w:textAlignment w:val="baseline"/>
        <w:rPr>
          <w:rFonts w:ascii="仿宋" w:hAnsi="仿宋" w:eastAsia="仿宋" w:cs="仿宋"/>
          <w:sz w:val="24"/>
        </w:rPr>
      </w:pPr>
      <w:r>
        <w:rPr>
          <w:rFonts w:hint="eastAsia" w:ascii="仿宋" w:hAnsi="仿宋" w:eastAsia="仿宋" w:cs="仿宋"/>
          <w:sz w:val="24"/>
        </w:rPr>
        <w:t xml:space="preserve">出现下列情形之一，将导致项目废标： </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（1）符合专业条件的投标人或者对招标文件做实质性响应的投标人不足三家；</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（2）出现影响采购公正的违法、违规行为的；</w:t>
      </w:r>
    </w:p>
    <w:p>
      <w:pPr>
        <w:spacing w:line="288" w:lineRule="auto"/>
        <w:ind w:firstLine="840" w:firstLineChars="350"/>
        <w:textAlignment w:val="baseline"/>
        <w:rPr>
          <w:rFonts w:ascii="仿宋" w:hAnsi="仿宋" w:eastAsia="仿宋" w:cs="仿宋"/>
          <w:sz w:val="24"/>
        </w:rPr>
      </w:pPr>
      <w:r>
        <w:rPr>
          <w:rFonts w:hint="eastAsia" w:ascii="仿宋" w:hAnsi="仿宋" w:eastAsia="仿宋" w:cs="仿宋"/>
          <w:sz w:val="24"/>
        </w:rPr>
        <w:t>（3）投标人的报价均超过了采购预算，采购人不能支付的；</w:t>
      </w:r>
    </w:p>
    <w:p>
      <w:pPr>
        <w:spacing w:line="288" w:lineRule="auto"/>
        <w:ind w:firstLine="840" w:firstLineChars="350"/>
        <w:textAlignment w:val="baseline"/>
        <w:rPr>
          <w:rFonts w:ascii="仿宋" w:hAnsi="仿宋" w:eastAsia="仿宋" w:cs="仿宋"/>
          <w:sz w:val="24"/>
        </w:rPr>
      </w:pPr>
      <w:r>
        <w:rPr>
          <w:rFonts w:hint="eastAsia" w:ascii="仿宋" w:hAnsi="仿宋" w:eastAsia="仿宋" w:cs="仿宋"/>
          <w:sz w:val="24"/>
        </w:rPr>
        <w:t xml:space="preserve">（4）因重大变故，采购任务取消的。   </w:t>
      </w:r>
    </w:p>
    <w:p>
      <w:pPr>
        <w:spacing w:line="288" w:lineRule="auto"/>
        <w:ind w:left="1080" w:leftChars="429" w:hanging="180"/>
        <w:textAlignment w:val="baseline"/>
        <w:rPr>
          <w:rFonts w:ascii="仿宋" w:hAnsi="仿宋" w:eastAsia="仿宋" w:cs="仿宋"/>
          <w:sz w:val="24"/>
        </w:rPr>
      </w:pPr>
    </w:p>
    <w:p>
      <w:pPr>
        <w:pStyle w:val="7"/>
        <w:spacing w:before="0" w:after="0" w:line="288" w:lineRule="auto"/>
        <w:textAlignment w:val="baseline"/>
        <w:rPr>
          <w:rFonts w:ascii="仿宋" w:hAnsi="仿宋" w:eastAsia="仿宋" w:cs="仿宋"/>
        </w:rPr>
      </w:pPr>
      <w:bookmarkStart w:id="518" w:name="_Toc893"/>
      <w:bookmarkStart w:id="519" w:name="_Toc3832"/>
      <w:r>
        <w:rPr>
          <w:rFonts w:hint="eastAsia" w:ascii="仿宋" w:hAnsi="仿宋" w:eastAsia="仿宋" w:cs="仿宋"/>
        </w:rPr>
        <w:t>24.</w:t>
      </w:r>
      <w:bookmarkEnd w:id="460"/>
      <w:r>
        <w:rPr>
          <w:rFonts w:hint="eastAsia" w:ascii="仿宋" w:hAnsi="仿宋" w:eastAsia="仿宋" w:cs="仿宋"/>
        </w:rPr>
        <w:t>比较与评价</w:t>
      </w:r>
      <w:bookmarkEnd w:id="495"/>
      <w:bookmarkEnd w:id="496"/>
      <w:bookmarkEnd w:id="497"/>
      <w:bookmarkEnd w:id="498"/>
      <w:bookmarkEnd w:id="499"/>
      <w:bookmarkEnd w:id="518"/>
      <w:bookmarkEnd w:id="519"/>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24.1</w:t>
      </w:r>
      <w:r>
        <w:rPr>
          <w:rFonts w:hint="eastAsia" w:ascii="仿宋" w:hAnsi="仿宋" w:eastAsia="仿宋" w:cs="仿宋"/>
          <w:sz w:val="24"/>
        </w:rPr>
        <w:tab/>
      </w:r>
      <w:r>
        <w:rPr>
          <w:rFonts w:hint="eastAsia" w:ascii="仿宋" w:hAnsi="仿宋" w:eastAsia="仿宋" w:cs="仿宋"/>
          <w:sz w:val="24"/>
        </w:rPr>
        <w:t>经符合性审查合格的投标文件，评标委员会将根据招标文件确定的评标方法和标准，对其投标文件作进一步的比较和评价。</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 xml:space="preserve">24.2  </w:t>
      </w:r>
      <w:r>
        <w:rPr>
          <w:rFonts w:hint="eastAsia" w:ascii="仿宋" w:hAnsi="仿宋" w:eastAsia="仿宋" w:cs="仿宋"/>
          <w:sz w:val="24"/>
        </w:rPr>
        <w:tab/>
      </w:r>
      <w:r>
        <w:rPr>
          <w:rFonts w:hint="eastAsia" w:ascii="仿宋" w:hAnsi="仿宋" w:eastAsia="仿宋" w:cs="仿宋"/>
          <w:sz w:val="24"/>
        </w:rPr>
        <w:t>评标严格按照招标文件的要求和条件进行。根据实际情况，在</w:t>
      </w:r>
      <w:r>
        <w:rPr>
          <w:rFonts w:hint="eastAsia" w:ascii="仿宋" w:hAnsi="仿宋" w:eastAsia="仿宋" w:cs="仿宋"/>
          <w:sz w:val="24"/>
          <w:u w:val="single" w:color="000000"/>
        </w:rPr>
        <w:t>投标人须知资料表</w:t>
      </w:r>
      <w:r>
        <w:rPr>
          <w:rFonts w:hint="eastAsia" w:ascii="仿宋" w:hAnsi="仿宋" w:eastAsia="仿宋" w:cs="仿宋"/>
          <w:sz w:val="24"/>
        </w:rPr>
        <w:t>中规定采用下列一种评标方法，详细评标标准见招标文件第六章：</w:t>
      </w:r>
    </w:p>
    <w:p>
      <w:pPr>
        <w:pStyle w:val="17"/>
        <w:spacing w:line="288" w:lineRule="auto"/>
        <w:ind w:left="899" w:leftChars="342" w:hanging="181"/>
        <w:textAlignment w:val="baseline"/>
        <w:rPr>
          <w:rFonts w:ascii="仿宋" w:hAnsi="仿宋" w:eastAsia="仿宋" w:cs="仿宋"/>
          <w:sz w:val="24"/>
          <w:szCs w:val="24"/>
        </w:rPr>
      </w:pPr>
      <w:r>
        <w:rPr>
          <w:rFonts w:hint="eastAsia" w:ascii="仿宋" w:hAnsi="仿宋" w:eastAsia="仿宋" w:cs="仿宋"/>
          <w:sz w:val="24"/>
          <w:szCs w:val="24"/>
        </w:rPr>
        <w:t>（1）最低评标价法，是指投标文件满足招标文件全部实质性要求，且投标报价最低的投标人为中标候选人的评标方法。</w:t>
      </w:r>
    </w:p>
    <w:p>
      <w:pPr>
        <w:pStyle w:val="17"/>
        <w:spacing w:line="288" w:lineRule="auto"/>
        <w:ind w:left="898" w:leftChars="342" w:hanging="180"/>
        <w:textAlignment w:val="baseline"/>
        <w:rPr>
          <w:rFonts w:ascii="仿宋" w:hAnsi="仿宋" w:eastAsia="仿宋" w:cs="仿宋"/>
          <w:sz w:val="24"/>
          <w:szCs w:val="24"/>
        </w:rPr>
      </w:pPr>
      <w:r>
        <w:rPr>
          <w:rFonts w:hint="eastAsia" w:ascii="仿宋" w:hAnsi="仿宋" w:eastAsia="仿宋" w:cs="仿宋"/>
          <w:sz w:val="24"/>
          <w:szCs w:val="24"/>
        </w:rPr>
        <w:t>（2）综合评分法，是指投标文件满足招标文件全部实质性要求，且按照评审因素的量化指标评审得分最高的投标人为中标候选人的评标方法。</w:t>
      </w:r>
    </w:p>
    <w:p>
      <w:pPr>
        <w:pStyle w:val="17"/>
        <w:spacing w:line="288" w:lineRule="auto"/>
        <w:ind w:left="720" w:hanging="720" w:hangingChars="300"/>
        <w:textAlignment w:val="baseline"/>
        <w:rPr>
          <w:rFonts w:ascii="仿宋" w:hAnsi="仿宋" w:eastAsia="仿宋" w:cs="仿宋"/>
          <w:sz w:val="24"/>
          <w:szCs w:val="24"/>
        </w:rPr>
      </w:pPr>
      <w:r>
        <w:rPr>
          <w:rFonts w:hint="eastAsia" w:ascii="仿宋" w:hAnsi="仿宋" w:eastAsia="仿宋" w:cs="仿宋"/>
          <w:sz w:val="24"/>
          <w:szCs w:val="24"/>
        </w:rPr>
        <w:t>24.3  根据《政府采购促进中小企业发展管理办法》(财库「2020]46号)、《关于进一步加大政府采购支持中小企业力度的通知》(财库[2022]19号)《关于落实好政府采购支持中小企业发展的通知》（新财购〔2022〕22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p>
    <w:p>
      <w:pPr>
        <w:pStyle w:val="7"/>
        <w:spacing w:before="0" w:after="0" w:line="288" w:lineRule="auto"/>
        <w:textAlignment w:val="baseline"/>
        <w:rPr>
          <w:rFonts w:ascii="仿宋" w:hAnsi="仿宋" w:eastAsia="仿宋" w:cs="仿宋"/>
        </w:rPr>
      </w:pPr>
      <w:bookmarkStart w:id="520" w:name="_Toc31289"/>
      <w:bookmarkStart w:id="521" w:name="_Toc20311"/>
      <w:bookmarkStart w:id="522" w:name="_Toc30606"/>
      <w:bookmarkStart w:id="523" w:name="_Toc1975"/>
      <w:bookmarkStart w:id="524" w:name="_Toc27384"/>
      <w:bookmarkStart w:id="525" w:name="_Toc10707"/>
      <w:bookmarkStart w:id="526" w:name="_Toc8893"/>
      <w:bookmarkStart w:id="527" w:name="_Toc515647786"/>
      <w:bookmarkStart w:id="528" w:name="_Toc24972"/>
      <w:bookmarkStart w:id="529" w:name="_Toc11699"/>
      <w:bookmarkStart w:id="530" w:name="_Toc24769"/>
      <w:bookmarkStart w:id="531" w:name="_Toc30826"/>
      <w:bookmarkStart w:id="532" w:name="_Toc16912"/>
      <w:bookmarkStart w:id="533" w:name="_Toc12228"/>
      <w:bookmarkStart w:id="534" w:name="_Toc19908"/>
      <w:bookmarkStart w:id="535" w:name="_Toc13265"/>
      <w:bookmarkStart w:id="536" w:name="_Toc11175"/>
      <w:bookmarkStart w:id="537" w:name="_Toc520356169"/>
      <w:r>
        <w:rPr>
          <w:rFonts w:hint="eastAsia" w:ascii="仿宋" w:hAnsi="仿宋" w:eastAsia="仿宋" w:cs="仿宋"/>
        </w:rPr>
        <w:t>25.保密原则</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bookmarkStart w:id="538" w:name="_Toc515647787"/>
      <w:bookmarkStart w:id="539" w:name="_Toc12143"/>
      <w:bookmarkStart w:id="540" w:name="_Toc2153"/>
      <w:bookmarkStart w:id="541" w:name="_Toc216582810"/>
      <w:bookmarkStart w:id="542" w:name="_Toc23904"/>
    </w:p>
    <w:p>
      <w:pPr>
        <w:pStyle w:val="6"/>
        <w:spacing w:before="0" w:line="288" w:lineRule="auto"/>
        <w:ind w:left="1257" w:leftChars="599" w:firstLine="2500" w:firstLineChars="1042"/>
        <w:jc w:val="both"/>
        <w:textAlignment w:val="baseline"/>
        <w:rPr>
          <w:rFonts w:ascii="仿宋" w:hAnsi="仿宋" w:eastAsia="仿宋" w:cs="仿宋"/>
          <w:sz w:val="24"/>
        </w:rPr>
      </w:pPr>
      <w:bookmarkStart w:id="543" w:name="_Toc4952"/>
      <w:bookmarkStart w:id="544" w:name="_Toc11673"/>
      <w:bookmarkStart w:id="545" w:name="_Toc8872"/>
      <w:bookmarkStart w:id="546" w:name="_Toc19969"/>
      <w:bookmarkStart w:id="547" w:name="_Toc4031"/>
      <w:bookmarkStart w:id="548" w:name="_Toc31457"/>
      <w:bookmarkStart w:id="549" w:name="_Toc2098"/>
      <w:bookmarkStart w:id="550" w:name="_Toc31174"/>
      <w:bookmarkStart w:id="551" w:name="_Toc6207"/>
      <w:bookmarkStart w:id="552" w:name="_Toc31413"/>
      <w:bookmarkStart w:id="553" w:name="_Toc13388"/>
      <w:bookmarkStart w:id="554" w:name="_Toc17670"/>
      <w:bookmarkStart w:id="555" w:name="_Toc29576"/>
      <w:r>
        <w:rPr>
          <w:rFonts w:hint="eastAsia" w:ascii="仿宋" w:hAnsi="仿宋" w:eastAsia="仿宋" w:cs="仿宋"/>
          <w:sz w:val="24"/>
        </w:rPr>
        <w:t xml:space="preserve">六   </w:t>
      </w:r>
      <w:bookmarkEnd w:id="537"/>
      <w:r>
        <w:rPr>
          <w:rFonts w:hint="eastAsia" w:ascii="仿宋" w:hAnsi="仿宋" w:eastAsia="仿宋" w:cs="仿宋"/>
          <w:sz w:val="24"/>
        </w:rPr>
        <w:t>确定中标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pPr>
        <w:pStyle w:val="9"/>
        <w:spacing w:line="288" w:lineRule="auto"/>
        <w:textAlignment w:val="baseline"/>
        <w:rPr>
          <w:rFonts w:ascii="仿宋" w:hAnsi="仿宋" w:eastAsia="仿宋" w:cs="仿宋"/>
        </w:rPr>
      </w:pPr>
    </w:p>
    <w:p>
      <w:pPr>
        <w:pStyle w:val="7"/>
        <w:spacing w:before="0" w:after="0" w:line="288" w:lineRule="auto"/>
        <w:textAlignment w:val="baseline"/>
        <w:rPr>
          <w:rFonts w:ascii="仿宋" w:hAnsi="仿宋" w:eastAsia="仿宋" w:cs="仿宋"/>
        </w:rPr>
      </w:pPr>
      <w:bookmarkStart w:id="556" w:name="_Toc25225"/>
      <w:bookmarkStart w:id="557" w:name="_Toc13522"/>
      <w:bookmarkStart w:id="558" w:name="_Toc23762"/>
      <w:bookmarkStart w:id="559" w:name="_Toc23502"/>
      <w:bookmarkStart w:id="560" w:name="_Toc30908"/>
      <w:bookmarkStart w:id="561" w:name="_Toc30765"/>
      <w:bookmarkStart w:id="562" w:name="_Toc23617"/>
      <w:bookmarkStart w:id="563" w:name="_Toc520356170"/>
      <w:bookmarkStart w:id="564" w:name="_Toc23538"/>
      <w:bookmarkStart w:id="565" w:name="_Toc30556"/>
      <w:bookmarkStart w:id="566" w:name="_Toc5071"/>
      <w:bookmarkStart w:id="567" w:name="_Ref467307010"/>
      <w:bookmarkStart w:id="568" w:name="_Toc11587"/>
      <w:bookmarkStart w:id="569" w:name="_Toc28066"/>
      <w:bookmarkStart w:id="570" w:name="_Toc286"/>
      <w:bookmarkStart w:id="571" w:name="_Toc32399"/>
      <w:bookmarkStart w:id="572" w:name="_Toc29826"/>
      <w:bookmarkStart w:id="573" w:name="_Toc13121"/>
      <w:bookmarkStart w:id="574" w:name="_Toc515647788"/>
      <w:r>
        <w:rPr>
          <w:rFonts w:hint="eastAsia" w:ascii="仿宋" w:hAnsi="仿宋" w:eastAsia="仿宋" w:cs="仿宋"/>
        </w:rPr>
        <w:t>26.中标候选人的确定原则及标准</w:t>
      </w:r>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除第28条规定外，对实质上响应招标文件的投标人按下列方法进行排序，确定投标候选人：</w:t>
      </w:r>
    </w:p>
    <w:p>
      <w:pPr>
        <w:spacing w:line="288" w:lineRule="auto"/>
        <w:ind w:left="901"/>
        <w:textAlignment w:val="baseline"/>
        <w:rPr>
          <w:rFonts w:ascii="仿宋" w:hAnsi="仿宋" w:eastAsia="仿宋" w:cs="仿宋"/>
          <w:sz w:val="24"/>
        </w:rPr>
      </w:pPr>
      <w:bookmarkStart w:id="575" w:name="_Toc520356171"/>
      <w:bookmarkStart w:id="576" w:name="_Toc515647789"/>
      <w:r>
        <w:rPr>
          <w:rFonts w:hint="eastAsia" w:ascii="仿宋" w:hAnsi="仿宋" w:eastAsia="仿宋" w:cs="仿宋"/>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288" w:lineRule="auto"/>
        <w:ind w:left="901"/>
        <w:textAlignment w:val="baseline"/>
        <w:rPr>
          <w:rFonts w:ascii="仿宋" w:hAnsi="仿宋" w:eastAsia="仿宋" w:cs="仿宋"/>
          <w:sz w:val="24"/>
        </w:rPr>
      </w:pPr>
      <w:r>
        <w:rPr>
          <w:rFonts w:hint="eastAsia" w:ascii="仿宋" w:hAnsi="仿宋" w:eastAsia="仿宋" w:cs="仿宋"/>
          <w:sz w:val="24"/>
        </w:rPr>
        <w:t>（2）采用综合评分法的，评标结果按评审后得分由高到低顺序排列。得分相同的，按修正和扣除后的投标报价由低到高顺序排列。得分与投标报价均相同的处理方式详见招标文件第6章。</w:t>
      </w:r>
    </w:p>
    <w:p>
      <w:pPr>
        <w:pStyle w:val="7"/>
        <w:tabs>
          <w:tab w:val="left" w:pos="900"/>
        </w:tabs>
        <w:spacing w:before="0" w:after="0" w:line="288" w:lineRule="auto"/>
        <w:textAlignment w:val="baseline"/>
        <w:rPr>
          <w:rFonts w:ascii="仿宋" w:hAnsi="仿宋" w:eastAsia="仿宋" w:cs="仿宋"/>
        </w:rPr>
      </w:pPr>
      <w:bookmarkStart w:id="577" w:name="_Toc22922"/>
      <w:bookmarkStart w:id="578" w:name="_Toc28903"/>
      <w:bookmarkStart w:id="579" w:name="_Toc1493"/>
      <w:bookmarkStart w:id="580" w:name="_Toc28266"/>
      <w:bookmarkStart w:id="581" w:name="_Toc5219"/>
      <w:bookmarkStart w:id="582" w:name="_Toc23951"/>
      <w:bookmarkStart w:id="583" w:name="_Toc19950"/>
      <w:bookmarkStart w:id="584" w:name="_Toc9653"/>
      <w:bookmarkStart w:id="585" w:name="_Toc10359"/>
      <w:bookmarkStart w:id="586" w:name="_Toc15415"/>
      <w:bookmarkStart w:id="587" w:name="_Toc17755"/>
      <w:bookmarkStart w:id="588" w:name="_Toc8300"/>
      <w:bookmarkStart w:id="589" w:name="_Toc22105"/>
      <w:bookmarkStart w:id="590" w:name="_Toc14469"/>
      <w:bookmarkStart w:id="591" w:name="_Toc19685"/>
      <w:bookmarkStart w:id="592" w:name="_Toc20480"/>
      <w:r>
        <w:rPr>
          <w:rFonts w:hint="eastAsia" w:ascii="仿宋" w:hAnsi="仿宋" w:eastAsia="仿宋" w:cs="仿宋"/>
        </w:rPr>
        <w:t>27</w:t>
      </w:r>
      <w:bookmarkEnd w:id="575"/>
      <w:r>
        <w:rPr>
          <w:rFonts w:hint="eastAsia" w:ascii="仿宋" w:hAnsi="仿宋" w:eastAsia="仿宋" w:cs="仿宋"/>
        </w:rPr>
        <w:t>.确定中标候选人和中标人</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评标委员会将根据评标标准，按</w:t>
      </w:r>
      <w:r>
        <w:rPr>
          <w:rFonts w:hint="eastAsia" w:ascii="仿宋" w:hAnsi="仿宋" w:eastAsia="仿宋" w:cs="仿宋"/>
          <w:sz w:val="24"/>
          <w:u w:val="single" w:color="000000"/>
        </w:rPr>
        <w:t>投标人须知资料表中</w:t>
      </w:r>
      <w:r>
        <w:rPr>
          <w:rFonts w:hint="eastAsia" w:ascii="仿宋" w:hAnsi="仿宋" w:eastAsia="仿宋" w:cs="仿宋"/>
          <w:sz w:val="24"/>
        </w:rPr>
        <w:t>规定数量推荐中标候选人；或根据采购人的委托，直接确定中标人。</w:t>
      </w:r>
    </w:p>
    <w:p>
      <w:pPr>
        <w:pStyle w:val="7"/>
        <w:tabs>
          <w:tab w:val="left" w:pos="900"/>
        </w:tabs>
        <w:spacing w:before="0" w:after="0" w:line="288" w:lineRule="auto"/>
        <w:textAlignment w:val="baseline"/>
        <w:rPr>
          <w:rFonts w:ascii="仿宋" w:hAnsi="仿宋" w:eastAsia="仿宋" w:cs="仿宋"/>
        </w:rPr>
      </w:pPr>
      <w:bookmarkStart w:id="593" w:name="_Toc520356173"/>
      <w:bookmarkStart w:id="594" w:name="_Ref467306874"/>
      <w:bookmarkStart w:id="595" w:name="_Toc8389"/>
      <w:bookmarkStart w:id="596" w:name="_Toc515647790"/>
      <w:bookmarkStart w:id="597" w:name="_Toc27049"/>
      <w:bookmarkStart w:id="598" w:name="_Toc25549"/>
      <w:bookmarkStart w:id="599" w:name="_Toc19331"/>
      <w:bookmarkStart w:id="600" w:name="_Toc28621"/>
      <w:bookmarkStart w:id="601" w:name="_Toc7783"/>
      <w:bookmarkStart w:id="602" w:name="_Toc32749"/>
      <w:bookmarkStart w:id="603" w:name="_Toc13782"/>
      <w:bookmarkStart w:id="604" w:name="_Toc28562"/>
      <w:bookmarkStart w:id="605" w:name="_Toc24424"/>
      <w:bookmarkStart w:id="606" w:name="_Toc5444"/>
      <w:bookmarkStart w:id="607" w:name="_Toc26160"/>
      <w:bookmarkStart w:id="608" w:name="_Toc11867"/>
      <w:bookmarkStart w:id="609" w:name="_Toc26197"/>
      <w:bookmarkStart w:id="610" w:name="_Toc8958"/>
      <w:bookmarkStart w:id="611" w:name="_Toc6582"/>
      <w:r>
        <w:rPr>
          <w:rFonts w:hint="eastAsia" w:ascii="仿宋" w:hAnsi="仿宋" w:eastAsia="仿宋" w:cs="仿宋"/>
        </w:rPr>
        <w:t>28.</w:t>
      </w:r>
      <w:bookmarkEnd w:id="593"/>
      <w:bookmarkEnd w:id="594"/>
      <w:r>
        <w:rPr>
          <w:rFonts w:hint="eastAsia" w:ascii="仿宋" w:hAnsi="仿宋" w:eastAsia="仿宋" w:cs="仿宋"/>
        </w:rPr>
        <w:t>采购任务取消</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因重大变故采购任务取消时，采购人有权拒绝任何投标人中标，且对受影响的投标人不承担任何责任。</w:t>
      </w:r>
      <w:bookmarkStart w:id="612" w:name="_Toc520356174"/>
    </w:p>
    <w:p>
      <w:pPr>
        <w:pStyle w:val="7"/>
        <w:spacing w:before="0" w:after="0" w:line="288" w:lineRule="auto"/>
        <w:textAlignment w:val="baseline"/>
        <w:rPr>
          <w:rFonts w:ascii="仿宋" w:hAnsi="仿宋" w:eastAsia="仿宋" w:cs="仿宋"/>
        </w:rPr>
      </w:pPr>
      <w:bookmarkStart w:id="613" w:name="_Toc25468"/>
      <w:bookmarkStart w:id="614" w:name="_Toc20703"/>
      <w:bookmarkStart w:id="615" w:name="_Toc31099"/>
      <w:bookmarkStart w:id="616" w:name="_Toc31992"/>
      <w:bookmarkStart w:id="617" w:name="_Toc30170"/>
      <w:bookmarkStart w:id="618" w:name="_Toc22190"/>
      <w:bookmarkStart w:id="619" w:name="_Toc10164"/>
      <w:bookmarkStart w:id="620" w:name="_Toc5808"/>
      <w:bookmarkStart w:id="621" w:name="_Toc5136"/>
      <w:bookmarkStart w:id="622" w:name="_Toc13508"/>
      <w:bookmarkStart w:id="623" w:name="_Toc18506"/>
      <w:bookmarkStart w:id="624" w:name="_Toc2614"/>
      <w:bookmarkStart w:id="625" w:name="_Toc3276"/>
      <w:bookmarkStart w:id="626" w:name="_Toc31142"/>
      <w:bookmarkStart w:id="627" w:name="_Toc31281"/>
      <w:bookmarkStart w:id="628" w:name="_Toc515647791"/>
      <w:bookmarkStart w:id="629" w:name="_Toc847"/>
      <w:r>
        <w:rPr>
          <w:rFonts w:hint="eastAsia" w:ascii="仿宋" w:hAnsi="仿宋" w:eastAsia="仿宋" w:cs="仿宋"/>
        </w:rPr>
        <w:t>29.中标通知书</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pPr>
        <w:spacing w:line="288" w:lineRule="auto"/>
        <w:ind w:left="900" w:hanging="900" w:hangingChars="375"/>
        <w:textAlignment w:val="baseline"/>
        <w:rPr>
          <w:rFonts w:ascii="仿宋" w:hAnsi="仿宋" w:eastAsia="仿宋" w:cs="仿宋"/>
          <w:color w:val="auto"/>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w:t>
      </w:r>
      <w:r>
        <w:rPr>
          <w:rFonts w:hint="eastAsia" w:ascii="仿宋" w:hAnsi="仿宋" w:eastAsia="仿宋" w:cs="仿宋"/>
          <w:color w:val="auto"/>
          <w:sz w:val="24"/>
          <w:shd w:val="clear" w:fill="FF0000"/>
        </w:rPr>
        <w:t>布中标公告，公示</w:t>
      </w:r>
      <w:r>
        <w:rPr>
          <w:rFonts w:hint="eastAsia" w:ascii="仿宋" w:hAnsi="仿宋" w:eastAsia="仿宋" w:cs="仿宋"/>
          <w:color w:val="auto"/>
          <w:sz w:val="24"/>
          <w:shd w:val="clear" w:fill="FF0000"/>
          <w:lang w:eastAsia="zh-CN"/>
        </w:rPr>
        <w:t>同时</w:t>
      </w:r>
      <w:r>
        <w:rPr>
          <w:rFonts w:hint="eastAsia" w:ascii="仿宋" w:hAnsi="仿宋" w:eastAsia="仿宋" w:cs="仿宋"/>
          <w:color w:val="auto"/>
          <w:sz w:val="24"/>
        </w:rPr>
        <w:t>向中标人发出中标通知书。</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pPr>
        <w:pStyle w:val="7"/>
        <w:spacing w:before="0" w:after="0" w:line="288" w:lineRule="auto"/>
        <w:textAlignment w:val="baseline"/>
        <w:rPr>
          <w:rFonts w:ascii="仿宋" w:hAnsi="仿宋" w:eastAsia="仿宋" w:cs="仿宋"/>
        </w:rPr>
      </w:pPr>
      <w:bookmarkStart w:id="630" w:name="_Toc19020"/>
      <w:bookmarkStart w:id="631" w:name="_Toc1792"/>
      <w:bookmarkStart w:id="632" w:name="_Toc27557"/>
      <w:bookmarkStart w:id="633" w:name="_Ref467307062"/>
      <w:bookmarkStart w:id="634" w:name="_Toc29585"/>
      <w:bookmarkStart w:id="635" w:name="_Toc11701"/>
      <w:bookmarkStart w:id="636" w:name="_Toc14795"/>
      <w:bookmarkStart w:id="637" w:name="_Toc515647792"/>
      <w:bookmarkStart w:id="638" w:name="_Toc28367"/>
      <w:bookmarkStart w:id="639" w:name="_Toc32036"/>
      <w:bookmarkStart w:id="640" w:name="_Toc31080"/>
      <w:bookmarkStart w:id="641" w:name="_Ref467306978"/>
      <w:bookmarkStart w:id="642" w:name="_Ref467306377"/>
      <w:bookmarkStart w:id="643" w:name="_Toc17224"/>
      <w:bookmarkStart w:id="644" w:name="_Toc10227"/>
      <w:bookmarkStart w:id="645" w:name="_Ref467307204"/>
      <w:bookmarkStart w:id="646" w:name="_Toc7779"/>
      <w:bookmarkStart w:id="647" w:name="_Toc28520"/>
      <w:bookmarkStart w:id="648" w:name="_Toc24763"/>
      <w:bookmarkStart w:id="649" w:name="_Toc24939"/>
      <w:bookmarkStart w:id="650" w:name="_Toc790"/>
      <w:bookmarkStart w:id="651" w:name="_Toc520356175"/>
      <w:r>
        <w:rPr>
          <w:rFonts w:hint="eastAsia" w:ascii="仿宋" w:hAnsi="仿宋" w:eastAsia="仿宋" w:cs="仿宋"/>
        </w:rPr>
        <w:t>30.签订合同</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中标人应当自发出中标通知书之日起30日内，与采购人签订合同。</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652" w:name="_Ref467306425"/>
      <w:bookmarkStart w:id="653" w:name="_Ref467307090"/>
      <w:bookmarkStart w:id="654" w:name="_Toc520356176"/>
      <w:r>
        <w:rPr>
          <w:rFonts w:hint="eastAsia" w:ascii="仿宋" w:hAnsi="仿宋" w:eastAsia="仿宋" w:cs="仿宋"/>
          <w:sz w:val="24"/>
        </w:rPr>
        <w:t>招标文件、中标人的投标文件及其澄清文件等，均为签订合同的依据。</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30.3   中标人拒绝与采购人签订合同的，采购人可以按照评审报告推荐的中标候选人名单排序，确定下一中标候选人为中标人，也可以重新开展政府采购活动。</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pPr>
        <w:pStyle w:val="7"/>
        <w:spacing w:before="0" w:after="0" w:line="288" w:lineRule="auto"/>
        <w:textAlignment w:val="baseline"/>
        <w:rPr>
          <w:rFonts w:ascii="仿宋" w:hAnsi="仿宋" w:eastAsia="仿宋" w:cs="仿宋"/>
        </w:rPr>
      </w:pPr>
      <w:bookmarkStart w:id="655" w:name="_Toc11523"/>
      <w:bookmarkStart w:id="656" w:name="_Toc25751"/>
      <w:bookmarkStart w:id="657" w:name="_Toc14080"/>
      <w:bookmarkStart w:id="658" w:name="_Toc13900"/>
      <w:bookmarkStart w:id="659" w:name="_Toc22555"/>
      <w:bookmarkStart w:id="660" w:name="_Toc11116"/>
      <w:bookmarkStart w:id="661" w:name="_Toc7188"/>
      <w:bookmarkStart w:id="662" w:name="_Toc16785"/>
      <w:bookmarkStart w:id="663" w:name="_Toc16031"/>
      <w:bookmarkStart w:id="664" w:name="_Toc515647793"/>
      <w:bookmarkStart w:id="665" w:name="_Toc11553"/>
      <w:bookmarkStart w:id="666" w:name="_Toc27954"/>
      <w:bookmarkStart w:id="667" w:name="_Toc29549"/>
      <w:bookmarkStart w:id="668" w:name="_Toc5487"/>
      <w:bookmarkStart w:id="669" w:name="_Toc10395"/>
      <w:bookmarkStart w:id="670" w:name="_Toc15851"/>
      <w:bookmarkStart w:id="671" w:name="_Toc25154"/>
      <w:r>
        <w:rPr>
          <w:rFonts w:hint="eastAsia" w:ascii="仿宋" w:hAnsi="仿宋" w:eastAsia="仿宋" w:cs="仿宋"/>
        </w:rPr>
        <w:t>31.履约保证金</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color="000000"/>
        </w:rPr>
        <w:t>投标人须知资料表</w:t>
      </w:r>
      <w:r>
        <w:rPr>
          <w:rFonts w:hint="eastAsia" w:ascii="仿宋" w:hAnsi="仿宋" w:eastAsia="仿宋" w:cs="仿宋"/>
          <w:sz w:val="24"/>
        </w:rPr>
        <w:t>规定向采购人缴纳履约保证金。</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31.2   如果中标人没有按照上述履约保证金的规定执行，将视为放弃中标资格，中标人的投标保证金将不予退还。在此情况下，采购人可确定下一候选人为中标人，也可以重新开展采购活动。</w:t>
      </w:r>
    </w:p>
    <w:p>
      <w:pPr>
        <w:pStyle w:val="7"/>
        <w:spacing w:before="0" w:after="0" w:line="288" w:lineRule="auto"/>
        <w:textAlignment w:val="baseline"/>
        <w:rPr>
          <w:rFonts w:ascii="仿宋" w:hAnsi="仿宋" w:eastAsia="仿宋" w:cs="仿宋"/>
        </w:rPr>
      </w:pPr>
      <w:bookmarkStart w:id="672" w:name="_Toc3090"/>
      <w:bookmarkStart w:id="673" w:name="_Toc515647794"/>
      <w:bookmarkStart w:id="674" w:name="_Toc7922"/>
      <w:bookmarkStart w:id="675" w:name="_Toc30049"/>
      <w:bookmarkStart w:id="676" w:name="_Toc4524"/>
      <w:bookmarkStart w:id="677" w:name="_Toc27777"/>
      <w:bookmarkStart w:id="678" w:name="_Toc25251"/>
      <w:bookmarkStart w:id="679" w:name="_Toc17038"/>
      <w:bookmarkStart w:id="680" w:name="_Toc29408"/>
      <w:bookmarkStart w:id="681" w:name="_Toc19288"/>
      <w:bookmarkStart w:id="682" w:name="_Toc31936"/>
      <w:bookmarkStart w:id="683" w:name="_Toc11875"/>
      <w:bookmarkStart w:id="684" w:name="_Toc10961"/>
      <w:bookmarkStart w:id="685" w:name="_Toc15895"/>
      <w:bookmarkStart w:id="686" w:name="_Toc7750"/>
      <w:bookmarkStart w:id="687" w:name="_Toc24667"/>
      <w:bookmarkStart w:id="688" w:name="_Toc12106"/>
      <w:r>
        <w:rPr>
          <w:rFonts w:hint="eastAsia" w:ascii="仿宋" w:hAnsi="仿宋" w:eastAsia="仿宋" w:cs="仿宋"/>
        </w:rPr>
        <w:t>32.中标服务费</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pPr>
        <w:spacing w:line="288" w:lineRule="auto"/>
        <w:ind w:left="840" w:leftChars="200" w:hanging="420" w:hangingChars="175"/>
        <w:textAlignment w:val="baseline"/>
        <w:rPr>
          <w:rFonts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color="000000"/>
        </w:rPr>
        <w:t>投标须知资料表</w:t>
      </w:r>
      <w:r>
        <w:rPr>
          <w:rFonts w:hint="eastAsia" w:ascii="仿宋" w:hAnsi="仿宋" w:eastAsia="仿宋" w:cs="仿宋"/>
          <w:sz w:val="24"/>
        </w:rPr>
        <w:t>规定，向采购代理机构支付中标服务费。</w:t>
      </w:r>
    </w:p>
    <w:p>
      <w:pPr>
        <w:pStyle w:val="7"/>
        <w:spacing w:before="0" w:after="0" w:line="288" w:lineRule="auto"/>
        <w:textAlignment w:val="baseline"/>
        <w:rPr>
          <w:rFonts w:ascii="仿宋" w:hAnsi="仿宋" w:eastAsia="仿宋" w:cs="仿宋"/>
        </w:rPr>
      </w:pPr>
      <w:bookmarkStart w:id="689" w:name="_Toc28457"/>
      <w:bookmarkStart w:id="690" w:name="_Toc13588"/>
      <w:bookmarkStart w:id="691" w:name="_Toc24674"/>
      <w:bookmarkStart w:id="692" w:name="_Toc29312"/>
      <w:bookmarkStart w:id="693" w:name="_Toc14390"/>
      <w:bookmarkStart w:id="694" w:name="_Toc16714"/>
      <w:bookmarkStart w:id="695" w:name="_Toc7049"/>
      <w:bookmarkStart w:id="696" w:name="_Toc10688"/>
      <w:bookmarkStart w:id="697" w:name="_Toc16253"/>
      <w:bookmarkStart w:id="698" w:name="_Toc24553"/>
      <w:bookmarkStart w:id="699" w:name="_Toc17196"/>
      <w:bookmarkStart w:id="700" w:name="_Toc11408"/>
      <w:bookmarkStart w:id="701" w:name="_Toc12385"/>
      <w:bookmarkStart w:id="702" w:name="_Toc515647795"/>
      <w:bookmarkStart w:id="703" w:name="_Toc30722"/>
      <w:bookmarkStart w:id="704" w:name="_Toc6923"/>
      <w:bookmarkStart w:id="705" w:name="_Toc3954"/>
      <w:r>
        <w:rPr>
          <w:rFonts w:hint="eastAsia" w:ascii="仿宋" w:hAnsi="仿宋" w:eastAsia="仿宋" w:cs="仿宋"/>
        </w:rPr>
        <w:t>33.政府采购信用担保</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color="000000"/>
        </w:rPr>
        <w:t>投标人须知资料表</w:t>
      </w:r>
      <w:r>
        <w:rPr>
          <w:rFonts w:hint="eastAsia" w:ascii="仿宋" w:hAnsi="仿宋" w:eastAsia="仿宋" w:cs="仿宋"/>
          <w:sz w:val="24"/>
        </w:rPr>
        <w:t>。</w:t>
      </w:r>
    </w:p>
    <w:p>
      <w:pPr>
        <w:spacing w:line="288" w:lineRule="auto"/>
        <w:ind w:left="850" w:hanging="849" w:hangingChars="354"/>
        <w:textAlignment w:val="baseline"/>
        <w:rPr>
          <w:rFonts w:ascii="仿宋" w:hAnsi="仿宋" w:eastAsia="仿宋" w:cs="仿宋"/>
          <w:sz w:val="24"/>
        </w:rPr>
      </w:pPr>
      <w:r>
        <w:rPr>
          <w:rFonts w:hint="eastAsia" w:ascii="仿宋" w:hAnsi="仿宋" w:eastAsia="仿宋" w:cs="仿宋"/>
          <w:sz w:val="24"/>
        </w:rPr>
        <w:t>33.2   如属于政府采购信用担保试点范围内，中小型企业投标人可以自由按照财政部门的规定，采用投标担保、履约担保和融资担保。</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33.2.1 投标人递交的投标担保函和履约担保函应符合本招标文件的规定。</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33.2.2 中标人可以采取融资担保的形式为政府采购项目履约进行融资。</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33.2.3 合格的政府采购专业信用担保机构名单见</w:t>
      </w:r>
      <w:r>
        <w:rPr>
          <w:rFonts w:hint="eastAsia" w:ascii="仿宋" w:hAnsi="仿宋" w:eastAsia="仿宋" w:cs="仿宋"/>
          <w:sz w:val="24"/>
          <w:u w:val="single" w:color="000000"/>
        </w:rPr>
        <w:t>投标人须知资料表</w:t>
      </w:r>
      <w:r>
        <w:rPr>
          <w:rFonts w:hint="eastAsia" w:ascii="仿宋" w:hAnsi="仿宋" w:eastAsia="仿宋" w:cs="仿宋"/>
          <w:sz w:val="24"/>
        </w:rPr>
        <w:t>。</w:t>
      </w:r>
    </w:p>
    <w:p>
      <w:pPr>
        <w:pStyle w:val="7"/>
        <w:spacing w:before="0" w:after="0" w:line="288" w:lineRule="auto"/>
        <w:textAlignment w:val="baseline"/>
        <w:rPr>
          <w:rFonts w:ascii="仿宋" w:hAnsi="仿宋" w:eastAsia="仿宋" w:cs="仿宋"/>
        </w:rPr>
      </w:pPr>
      <w:bookmarkStart w:id="706" w:name="_Toc26323"/>
      <w:bookmarkStart w:id="707" w:name="_Toc23999"/>
      <w:bookmarkStart w:id="708" w:name="_Toc515647796"/>
      <w:bookmarkStart w:id="709" w:name="_Toc27852"/>
      <w:bookmarkStart w:id="710" w:name="_Toc16263"/>
      <w:bookmarkStart w:id="711" w:name="_Toc2133"/>
      <w:bookmarkStart w:id="712" w:name="_Toc20713"/>
      <w:bookmarkStart w:id="713" w:name="_Toc7"/>
      <w:bookmarkStart w:id="714" w:name="_Toc6716"/>
      <w:bookmarkStart w:id="715" w:name="_Toc9688"/>
      <w:bookmarkStart w:id="716" w:name="_Toc27198"/>
      <w:bookmarkStart w:id="717" w:name="_Toc28024"/>
      <w:bookmarkStart w:id="718" w:name="_Toc22070"/>
      <w:bookmarkStart w:id="719" w:name="_Toc25513"/>
      <w:bookmarkStart w:id="720" w:name="_Toc21223"/>
      <w:bookmarkStart w:id="721" w:name="_Toc9817"/>
      <w:bookmarkStart w:id="722" w:name="_Toc27816"/>
      <w:r>
        <w:rPr>
          <w:rFonts w:hint="eastAsia" w:ascii="仿宋" w:hAnsi="仿宋" w:eastAsia="仿宋" w:cs="仿宋"/>
        </w:rPr>
        <w:t>34.廉洁自律规定</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采购代理机构工作人员不得以不正当手段获取政府采购代理业务，不得与采购人、投标人恶意串通操纵政府采购活动。</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34.2   采购代理机构工作人员不得接受采购人或者投标人组织的宴请、旅游、娱乐，不得收受礼品、现金、有价证券等，不得向采购人或者投标人报销应当由个人承担的费用。</w:t>
      </w:r>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34.3   为强化采购代理机构内部监督机制，投标人可按</w:t>
      </w:r>
      <w:r>
        <w:rPr>
          <w:rFonts w:hint="eastAsia" w:ascii="仿宋" w:hAnsi="仿宋" w:eastAsia="仿宋" w:cs="仿宋"/>
          <w:sz w:val="24"/>
          <w:u w:val="single" w:color="000000"/>
        </w:rPr>
        <w:t>投标人须知资料表中的</w:t>
      </w:r>
      <w:r>
        <w:rPr>
          <w:rFonts w:hint="eastAsia" w:ascii="仿宋" w:hAnsi="仿宋" w:eastAsia="仿宋" w:cs="仿宋"/>
          <w:sz w:val="24"/>
        </w:rPr>
        <w:t>监督电话和邮箱，反映采购代理机构的廉洁自律等问题。</w:t>
      </w:r>
    </w:p>
    <w:p>
      <w:pPr>
        <w:pStyle w:val="7"/>
        <w:spacing w:before="0" w:after="0" w:line="288" w:lineRule="auto"/>
        <w:textAlignment w:val="baseline"/>
        <w:rPr>
          <w:rFonts w:ascii="仿宋" w:hAnsi="仿宋" w:eastAsia="仿宋" w:cs="仿宋"/>
        </w:rPr>
      </w:pPr>
      <w:bookmarkStart w:id="723" w:name="_Toc5381"/>
      <w:bookmarkStart w:id="724" w:name="_Toc25480"/>
      <w:bookmarkStart w:id="725" w:name="_Toc6874"/>
      <w:bookmarkStart w:id="726" w:name="_Toc3888"/>
      <w:bookmarkStart w:id="727" w:name="_Toc31644"/>
      <w:bookmarkStart w:id="728" w:name="_Toc1541"/>
      <w:bookmarkStart w:id="729" w:name="_Toc10437"/>
      <w:bookmarkStart w:id="730" w:name="_Toc18027"/>
      <w:bookmarkStart w:id="731" w:name="_Toc7508"/>
      <w:bookmarkStart w:id="732" w:name="_Toc10376"/>
      <w:bookmarkStart w:id="733" w:name="_Toc24038"/>
      <w:bookmarkStart w:id="734" w:name="_Toc14897"/>
      <w:bookmarkStart w:id="735" w:name="_Toc515647797"/>
      <w:bookmarkStart w:id="736" w:name="_Toc23562"/>
      <w:bookmarkStart w:id="737" w:name="_Toc11586"/>
      <w:bookmarkStart w:id="738" w:name="_Toc13483"/>
      <w:bookmarkStart w:id="739" w:name="_Toc22285"/>
      <w:r>
        <w:rPr>
          <w:rFonts w:hint="eastAsia" w:ascii="仿宋" w:hAnsi="仿宋" w:eastAsia="仿宋" w:cs="仿宋"/>
        </w:rPr>
        <w:t>35.人员回避</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p>
    <w:p>
      <w:pPr>
        <w:spacing w:line="288" w:lineRule="auto"/>
        <w:ind w:left="900" w:hanging="900" w:hangingChars="375"/>
        <w:textAlignment w:val="baseline"/>
        <w:rPr>
          <w:rFonts w:ascii="仿宋" w:hAnsi="仿宋" w:eastAsia="仿宋" w:cs="仿宋"/>
          <w:sz w:val="24"/>
        </w:rPr>
      </w:pPr>
      <w:r>
        <w:rPr>
          <w:rFonts w:hint="eastAsia" w:ascii="仿宋" w:hAnsi="仿宋" w:eastAsia="仿宋" w:cs="仿宋"/>
          <w:sz w:val="24"/>
        </w:rPr>
        <w:t xml:space="preserve">       投标人认为采购人员及其相关人员有法律法规所列与其他投标人有利害关系的，可以向采购人或采购代理机构书面提出回避申请，并说明理由。</w:t>
      </w:r>
    </w:p>
    <w:p>
      <w:pPr>
        <w:pStyle w:val="7"/>
        <w:spacing w:before="0" w:after="0" w:line="340" w:lineRule="exact"/>
        <w:rPr>
          <w:rFonts w:ascii="仿宋" w:hAnsi="仿宋" w:eastAsia="仿宋" w:cs="仿宋"/>
          <w:szCs w:val="24"/>
        </w:rPr>
      </w:pPr>
      <w:bookmarkStart w:id="740" w:name="_Toc16862"/>
      <w:bookmarkStart w:id="741" w:name="_Toc29480"/>
      <w:bookmarkStart w:id="742" w:name="_Toc20336"/>
      <w:bookmarkStart w:id="743" w:name="_Toc4413"/>
      <w:bookmarkStart w:id="744" w:name="_Toc518923103"/>
      <w:bookmarkStart w:id="745" w:name="_Toc23678"/>
      <w:bookmarkStart w:id="746" w:name="_Toc30751"/>
      <w:bookmarkStart w:id="747" w:name="_Toc23883"/>
      <w:bookmarkStart w:id="748" w:name="_Toc3083"/>
      <w:r>
        <w:rPr>
          <w:rFonts w:hint="eastAsia" w:ascii="仿宋" w:hAnsi="仿宋" w:eastAsia="仿宋" w:cs="仿宋"/>
          <w:szCs w:val="24"/>
        </w:rPr>
        <w:t>36.质疑与接收</w:t>
      </w:r>
      <w:bookmarkEnd w:id="740"/>
      <w:bookmarkEnd w:id="741"/>
      <w:bookmarkEnd w:id="742"/>
      <w:bookmarkEnd w:id="743"/>
    </w:p>
    <w:p>
      <w:pPr>
        <w:spacing w:line="340" w:lineRule="exact"/>
        <w:ind w:left="900" w:hanging="900" w:hangingChars="375"/>
        <w:rPr>
          <w:rFonts w:ascii="仿宋" w:hAnsi="仿宋" w:eastAsia="仿宋" w:cs="仿宋"/>
          <w:sz w:val="24"/>
        </w:rPr>
      </w:pPr>
      <w:r>
        <w:rPr>
          <w:rFonts w:hint="eastAsia" w:ascii="仿宋" w:hAnsi="仿宋" w:eastAsia="仿宋" w:cs="仿宋"/>
          <w:sz w:val="24"/>
        </w:rPr>
        <w:t>36.1    投标人认为招标文件、招标过程和成交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36.2    质疑投标人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投标人将依法承担不利后果。</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36.3    采购代理机构质疑函接收部门、联系电话和通讯地址, 见投标人须知资料表。</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36.4   本采购文件中所称质疑及答复，是指参加本次采购活动的投标人对政府采购活动中的采购文件、采购过程和成交结果向采购方提出质疑，采购方答复质疑的行为。</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36.4.1  投标人认为采购文件、采购过程和成交结果使自己的权益受到损害的，可以在知道或者应知其权益受到损害之日起7个工作日内，以书面形式向采购方提出质疑。投标人应知其权益受到损害之日，是指：</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（一）对可以质疑的采购文件提出质疑的，为收到采购文件之日或者采购文件公告期限届满之日；</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（二）对采购过程提出质疑的，为各采购程序环节结束之日；</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（三）对成交结果提出质疑的，为成交结果公告期限届满之日。</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36.4.2   对可以质疑的采购文件提出质疑的，质疑人为参与本项目的报价方或潜在报价方。可质疑的文件为采购公告以及采购文件（包括属于其组成部分的澄清、修改、补充文件和评审标准、合同文本等）。</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36.4.3  对采购过程和成交结果提出质疑的，质疑人为直接参与本项目的报价方。采购过程,即从采购项目信息公告发布起到成交结果公告止，包括采购文件的发出、提交投标文件、投标文件开启、评审等各个采购程序环节。</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36.5  提出质疑应当符合下列条件：</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（一）质疑主体应当符合有关规定；</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（二）在质疑法定期限内提出；</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（三）属于可以提出质疑的政府采购事项受理范围和本项目采购人的管辖权范围；</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（四）政府采购法律、法规、规章规定的其他条件。</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36.5.1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36.5.2  质疑人所提供的证明材料应当具有真实性、合法性以及与质疑事项的关联性和证明力，否则不能作为认定该质疑事项成立的依据。</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36.5.3   质疑人提出质疑时应当提交质疑函。质疑函包括下列内容：</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（一）提出质疑的质疑人的名称、地址、邮编、联系人及联系电话等；</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（二）质疑项目的名称、编号；</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（三）质疑事项；</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（四）事实依据和证明材料；</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（五）法律依据；</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（六）提出质疑的日期。</w:t>
      </w:r>
    </w:p>
    <w:p>
      <w:pPr>
        <w:spacing w:line="340" w:lineRule="exact"/>
        <w:ind w:left="957" w:leftChars="456" w:firstLine="60" w:firstLineChars="25"/>
        <w:jc w:val="left"/>
        <w:rPr>
          <w:rFonts w:ascii="仿宋" w:hAnsi="仿宋" w:eastAsia="仿宋" w:cs="仿宋"/>
          <w:sz w:val="24"/>
        </w:rPr>
      </w:pPr>
      <w:r>
        <w:rPr>
          <w:rFonts w:hint="eastAsia" w:ascii="仿宋" w:hAnsi="仿宋" w:eastAsia="仿宋" w:cs="仿宋"/>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36.5.4 质疑人可以委托代理人进行质疑。代理人应当提交授权委托书。授权委托书应当载明委托代理的具体权限、期限和相关事项。</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36.6  质疑的审查和受理</w:t>
      </w:r>
    </w:p>
    <w:p>
      <w:pPr>
        <w:spacing w:line="340" w:lineRule="exact"/>
        <w:rPr>
          <w:rFonts w:ascii="仿宋" w:hAnsi="仿宋" w:eastAsia="仿宋" w:cs="仿宋"/>
          <w:sz w:val="24"/>
        </w:rPr>
      </w:pPr>
      <w:r>
        <w:rPr>
          <w:rFonts w:hint="eastAsia" w:ascii="仿宋" w:hAnsi="仿宋" w:eastAsia="仿宋" w:cs="仿宋"/>
          <w:sz w:val="24"/>
        </w:rPr>
        <w:t>36.6.1 采购方在收到质疑函后应当及时审查是否符合质疑受理条件，对符合质疑受理条件的，及时予以受理。</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36.6.2  对不符合质疑受理条件的，分别按照下列不同情形予以处理：</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（一）质疑函内容不符合规定的，告知质疑人进行修改并重新提出质疑。修改后质疑事项仍不具体、不明确或者最终递交质疑函的时间超过质疑法定期限的，不予受理；</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（二）质疑主体不符合有关规定的，告知质疑人不予受理；</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（三）超过质疑法定期限提出质疑的，告知质疑人不予受理；</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（四）对不属于可以提出质疑的政府采购事项提出质疑的，告知质疑人不予受理；</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（五）质疑不属于本项目采购方管辖的，告知质疑人向有管辖权的采购人提出质疑；</w:t>
      </w:r>
    </w:p>
    <w:p>
      <w:pPr>
        <w:spacing w:line="340" w:lineRule="exact"/>
        <w:ind w:left="898" w:leftChars="228" w:hanging="420" w:hangingChars="175"/>
        <w:rPr>
          <w:rFonts w:ascii="仿宋" w:hAnsi="仿宋" w:eastAsia="仿宋" w:cs="仿宋"/>
          <w:sz w:val="24"/>
        </w:rPr>
      </w:pPr>
      <w:r>
        <w:rPr>
          <w:rFonts w:hint="eastAsia" w:ascii="仿宋" w:hAnsi="仿宋" w:eastAsia="仿宋" w:cs="仿宋"/>
          <w:sz w:val="24"/>
        </w:rPr>
        <w:t>（六）质疑不符合其他条件的，告知质疑人不予受理。</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36.7   质疑的处理和答复</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36.7.1  采购方受理质疑后，将及时把质疑函发送给被质疑人，并要求其在一定限期内提交书面答复，同时提供有关证据、依据和相关材料。</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36.7.2  对于质疑事项中涉及的问题较多、情况比较复杂的，为了全面查清事实、取得充分的证据，采购方认为有必要时，可以进行调查取证或者组织质证。</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36.7.3  对评审过程、成交结果提出质疑的，采购方可以组织原评审委员会协助答复质疑。</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36.7.4  质疑处理过程中，质疑人书面申请撤回质疑的，将终止质疑处理程序。</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36.7.5 质疑人拒绝配合采购方依法对质疑进行调查处理的，采购方将按质疑人自动撤回质疑处理；被质疑人拒绝配合采购方依法对质疑进行调查处理的，采购方将视同其认可质疑事项。</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36.7.6 质疑人拒绝配合采购方依法对质疑进行调查处理的，采购方将按质疑人自动撤回质疑处理；被质疑人拒绝配合采购方依法对质疑进行调查处理的，采购方将视同其认可质疑事项。</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36.7.7  采购方将在正式受理质疑后7个工作日内作出答复。</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 xml:space="preserve">  质疑答复应当包括下列内容：</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（一）质疑人的姓名或者名称；</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（二）收到质疑函的日期、质疑项目名称及编号；</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（三）质疑事项、质疑答复的具体内容、事实依据和法律依据；</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（四）告知质疑</w:t>
      </w:r>
      <w:r>
        <w:rPr>
          <w:rFonts w:hint="eastAsia" w:ascii="仿宋" w:hAnsi="仿宋" w:eastAsia="仿宋" w:cs="仿宋"/>
          <w:sz w:val="24"/>
          <w:lang w:eastAsia="zh-CN"/>
        </w:rPr>
        <w:t>投标人</w:t>
      </w:r>
      <w:r>
        <w:rPr>
          <w:rFonts w:hint="eastAsia" w:ascii="仿宋" w:hAnsi="仿宋" w:eastAsia="仿宋" w:cs="仿宋"/>
          <w:sz w:val="24"/>
        </w:rPr>
        <w:t>依法投诉的权利；</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（五）质疑答复人名称；</w:t>
      </w:r>
    </w:p>
    <w:p>
      <w:pPr>
        <w:spacing w:line="340" w:lineRule="exact"/>
        <w:ind w:left="898" w:leftChars="342" w:hanging="180" w:hangingChars="75"/>
        <w:rPr>
          <w:rFonts w:ascii="仿宋" w:hAnsi="仿宋" w:eastAsia="仿宋" w:cs="仿宋"/>
          <w:sz w:val="24"/>
        </w:rPr>
      </w:pPr>
      <w:r>
        <w:rPr>
          <w:rFonts w:hint="eastAsia" w:ascii="仿宋" w:hAnsi="仿宋" w:eastAsia="仿宋" w:cs="仿宋"/>
          <w:sz w:val="24"/>
        </w:rPr>
        <w:t>（六）答复质疑的日期。</w:t>
      </w:r>
    </w:p>
    <w:p>
      <w:pPr>
        <w:spacing w:line="340" w:lineRule="exact"/>
        <w:ind w:left="904" w:hanging="900" w:hangingChars="375"/>
        <w:jc w:val="center"/>
        <w:rPr>
          <w:rFonts w:ascii="仿宋" w:hAnsi="仿宋" w:eastAsia="仿宋" w:cs="仿宋"/>
          <w:sz w:val="24"/>
        </w:rPr>
      </w:pPr>
      <w:r>
        <w:rPr>
          <w:rFonts w:hint="eastAsia" w:ascii="仿宋" w:hAnsi="仿宋" w:eastAsia="仿宋" w:cs="仿宋"/>
          <w:b/>
          <w:bCs/>
          <w:sz w:val="24"/>
        </w:rPr>
        <w:t>质疑函范本</w:t>
      </w:r>
    </w:p>
    <w:p>
      <w:pPr>
        <w:spacing w:line="340" w:lineRule="exact"/>
        <w:ind w:left="900" w:hanging="900" w:hangingChars="375"/>
        <w:rPr>
          <w:rFonts w:ascii="仿宋" w:hAnsi="仿宋" w:eastAsia="仿宋" w:cs="仿宋"/>
          <w:sz w:val="24"/>
        </w:rPr>
      </w:pPr>
      <w:r>
        <w:rPr>
          <w:rFonts w:hint="eastAsia" w:ascii="仿宋" w:hAnsi="仿宋" w:eastAsia="仿宋" w:cs="仿宋"/>
          <w:sz w:val="24"/>
        </w:rPr>
        <w:t>一、质疑</w:t>
      </w:r>
      <w:r>
        <w:rPr>
          <w:rFonts w:hint="eastAsia" w:ascii="仿宋" w:hAnsi="仿宋" w:eastAsia="仿宋" w:cs="仿宋"/>
          <w:sz w:val="24"/>
          <w:lang w:eastAsia="zh-CN"/>
        </w:rPr>
        <w:t>投标人</w:t>
      </w:r>
      <w:r>
        <w:rPr>
          <w:rFonts w:hint="eastAsia" w:ascii="仿宋" w:hAnsi="仿宋" w:eastAsia="仿宋" w:cs="仿宋"/>
          <w:sz w:val="24"/>
        </w:rPr>
        <w:t>基本信息</w:t>
      </w:r>
    </w:p>
    <w:p>
      <w:pPr>
        <w:spacing w:line="340" w:lineRule="exact"/>
        <w:ind w:left="900" w:hanging="900" w:hangingChars="375"/>
        <w:rPr>
          <w:rFonts w:ascii="仿宋" w:hAnsi="仿宋" w:eastAsia="仿宋" w:cs="仿宋"/>
          <w:sz w:val="24"/>
        </w:rPr>
      </w:pPr>
      <w:r>
        <w:rPr>
          <w:rFonts w:hint="eastAsia" w:ascii="仿宋" w:hAnsi="仿宋" w:eastAsia="仿宋" w:cs="仿宋"/>
          <w:sz w:val="24"/>
        </w:rPr>
        <w:t>质疑</w:t>
      </w:r>
      <w:r>
        <w:rPr>
          <w:rFonts w:hint="eastAsia" w:ascii="仿宋" w:hAnsi="仿宋" w:eastAsia="仿宋" w:cs="仿宋"/>
          <w:sz w:val="24"/>
          <w:lang w:eastAsia="zh-CN"/>
        </w:rPr>
        <w:t>投标人</w:t>
      </w:r>
      <w:r>
        <w:rPr>
          <w:rFonts w:hint="eastAsia" w:ascii="仿宋" w:hAnsi="仿宋" w:eastAsia="仿宋" w:cs="仿宋"/>
          <w:sz w:val="24"/>
        </w:rPr>
        <w:t>：</w:t>
      </w:r>
    </w:p>
    <w:p>
      <w:pPr>
        <w:spacing w:line="340" w:lineRule="exact"/>
        <w:ind w:left="900" w:hanging="900" w:hangingChars="375"/>
        <w:rPr>
          <w:rFonts w:ascii="仿宋" w:hAnsi="仿宋" w:eastAsia="仿宋" w:cs="仿宋"/>
          <w:sz w:val="24"/>
        </w:rPr>
      </w:pPr>
      <w:r>
        <w:rPr>
          <w:rFonts w:hint="eastAsia" w:ascii="仿宋" w:hAnsi="仿宋" w:eastAsia="仿宋" w:cs="仿宋"/>
          <w:sz w:val="24"/>
        </w:rPr>
        <w:t>地址：邮编：</w:t>
      </w:r>
    </w:p>
    <w:p>
      <w:pPr>
        <w:spacing w:line="340" w:lineRule="exact"/>
        <w:ind w:left="900" w:hanging="900" w:hangingChars="375"/>
        <w:rPr>
          <w:rFonts w:ascii="仿宋" w:hAnsi="仿宋" w:eastAsia="仿宋" w:cs="仿宋"/>
          <w:sz w:val="24"/>
        </w:rPr>
      </w:pPr>
      <w:r>
        <w:rPr>
          <w:rFonts w:hint="eastAsia" w:ascii="仿宋" w:hAnsi="仿宋" w:eastAsia="仿宋" w:cs="仿宋"/>
          <w:sz w:val="24"/>
        </w:rPr>
        <w:t>联系人：联系电话：</w:t>
      </w:r>
    </w:p>
    <w:p>
      <w:pPr>
        <w:spacing w:line="340" w:lineRule="exact"/>
        <w:ind w:left="900" w:hanging="900" w:hangingChars="375"/>
        <w:rPr>
          <w:rFonts w:ascii="仿宋" w:hAnsi="仿宋" w:eastAsia="仿宋" w:cs="仿宋"/>
          <w:sz w:val="24"/>
        </w:rPr>
      </w:pPr>
      <w:r>
        <w:rPr>
          <w:rFonts w:hint="eastAsia" w:ascii="仿宋" w:hAnsi="仿宋" w:eastAsia="仿宋" w:cs="仿宋"/>
          <w:sz w:val="24"/>
        </w:rPr>
        <w:t>授权代表：</w:t>
      </w:r>
    </w:p>
    <w:p>
      <w:pPr>
        <w:spacing w:line="340" w:lineRule="exact"/>
        <w:ind w:left="900" w:hanging="900" w:hangingChars="375"/>
        <w:rPr>
          <w:rFonts w:ascii="仿宋" w:hAnsi="仿宋" w:eastAsia="仿宋" w:cs="仿宋"/>
          <w:sz w:val="24"/>
        </w:rPr>
      </w:pPr>
      <w:r>
        <w:rPr>
          <w:rFonts w:hint="eastAsia" w:ascii="仿宋" w:hAnsi="仿宋" w:eastAsia="仿宋" w:cs="仿宋"/>
          <w:sz w:val="24"/>
        </w:rPr>
        <w:t>联系电话：</w:t>
      </w:r>
    </w:p>
    <w:p>
      <w:pPr>
        <w:spacing w:line="340" w:lineRule="exact"/>
        <w:ind w:left="900" w:hanging="900" w:hangingChars="375"/>
        <w:rPr>
          <w:rFonts w:ascii="仿宋" w:hAnsi="仿宋" w:eastAsia="仿宋" w:cs="仿宋"/>
          <w:sz w:val="24"/>
        </w:rPr>
      </w:pPr>
      <w:r>
        <w:rPr>
          <w:rFonts w:hint="eastAsia" w:ascii="仿宋" w:hAnsi="仿宋" w:eastAsia="仿宋" w:cs="仿宋"/>
          <w:sz w:val="24"/>
        </w:rPr>
        <w:t>地址：邮编：</w:t>
      </w:r>
    </w:p>
    <w:p>
      <w:pPr>
        <w:spacing w:line="340" w:lineRule="exact"/>
        <w:ind w:left="900" w:hanging="900" w:hangingChars="375"/>
        <w:rPr>
          <w:rFonts w:ascii="仿宋" w:hAnsi="仿宋" w:eastAsia="仿宋" w:cs="仿宋"/>
          <w:sz w:val="24"/>
        </w:rPr>
      </w:pPr>
      <w:r>
        <w:rPr>
          <w:rFonts w:hint="eastAsia" w:ascii="仿宋" w:hAnsi="仿宋" w:eastAsia="仿宋" w:cs="仿宋"/>
          <w:sz w:val="24"/>
        </w:rPr>
        <w:t>二、质疑项目基本情况</w:t>
      </w:r>
    </w:p>
    <w:p>
      <w:pPr>
        <w:spacing w:line="340" w:lineRule="exact"/>
        <w:ind w:left="900" w:hanging="900" w:hangingChars="375"/>
        <w:rPr>
          <w:rFonts w:ascii="仿宋" w:hAnsi="仿宋" w:eastAsia="仿宋" w:cs="仿宋"/>
          <w:sz w:val="24"/>
        </w:rPr>
      </w:pPr>
      <w:r>
        <w:rPr>
          <w:rFonts w:hint="eastAsia" w:ascii="仿宋" w:hAnsi="仿宋" w:eastAsia="仿宋" w:cs="仿宋"/>
          <w:sz w:val="24"/>
        </w:rPr>
        <w:t>质疑项目的名称：</w:t>
      </w:r>
    </w:p>
    <w:p>
      <w:pPr>
        <w:spacing w:line="340" w:lineRule="exact"/>
        <w:ind w:left="900" w:hanging="900" w:hangingChars="375"/>
        <w:rPr>
          <w:rFonts w:ascii="仿宋" w:hAnsi="仿宋" w:eastAsia="仿宋" w:cs="仿宋"/>
          <w:sz w:val="24"/>
        </w:rPr>
      </w:pPr>
      <w:r>
        <w:rPr>
          <w:rFonts w:hint="eastAsia" w:ascii="仿宋" w:hAnsi="仿宋" w:eastAsia="仿宋" w:cs="仿宋"/>
          <w:sz w:val="24"/>
        </w:rPr>
        <w:t>质疑项目的编号：包号：</w:t>
      </w:r>
    </w:p>
    <w:p>
      <w:pPr>
        <w:spacing w:line="340" w:lineRule="exact"/>
        <w:ind w:left="900" w:hanging="900" w:hangingChars="375"/>
        <w:rPr>
          <w:rFonts w:ascii="仿宋" w:hAnsi="仿宋" w:eastAsia="仿宋" w:cs="仿宋"/>
          <w:sz w:val="24"/>
        </w:rPr>
      </w:pPr>
      <w:r>
        <w:rPr>
          <w:rFonts w:hint="eastAsia" w:ascii="仿宋" w:hAnsi="仿宋" w:eastAsia="仿宋" w:cs="仿宋"/>
          <w:sz w:val="24"/>
        </w:rPr>
        <w:t>采购人名称：</w:t>
      </w:r>
    </w:p>
    <w:p>
      <w:pPr>
        <w:spacing w:line="340" w:lineRule="exact"/>
        <w:ind w:left="900" w:hanging="900" w:hangingChars="375"/>
        <w:rPr>
          <w:rFonts w:ascii="仿宋" w:hAnsi="仿宋" w:eastAsia="仿宋" w:cs="仿宋"/>
          <w:sz w:val="24"/>
        </w:rPr>
      </w:pPr>
      <w:r>
        <w:rPr>
          <w:rFonts w:hint="eastAsia" w:ascii="仿宋" w:hAnsi="仿宋" w:eastAsia="仿宋" w:cs="仿宋"/>
          <w:sz w:val="24"/>
        </w:rPr>
        <w:t>采购文件获取日期：</w:t>
      </w:r>
    </w:p>
    <w:p>
      <w:pPr>
        <w:spacing w:line="340" w:lineRule="exact"/>
        <w:ind w:left="900" w:hanging="900" w:hangingChars="375"/>
        <w:rPr>
          <w:rFonts w:ascii="仿宋" w:hAnsi="仿宋" w:eastAsia="仿宋" w:cs="仿宋"/>
          <w:sz w:val="24"/>
        </w:rPr>
      </w:pPr>
      <w:r>
        <w:rPr>
          <w:rFonts w:hint="eastAsia" w:ascii="仿宋" w:hAnsi="仿宋" w:eastAsia="仿宋" w:cs="仿宋"/>
          <w:sz w:val="24"/>
        </w:rPr>
        <w:t>三、质疑事项具体内容</w:t>
      </w:r>
    </w:p>
    <w:p>
      <w:pPr>
        <w:spacing w:line="340" w:lineRule="exact"/>
        <w:ind w:left="900" w:hanging="900" w:hangingChars="375"/>
        <w:rPr>
          <w:rFonts w:ascii="仿宋" w:hAnsi="仿宋" w:eastAsia="仿宋" w:cs="仿宋"/>
          <w:sz w:val="24"/>
        </w:rPr>
      </w:pPr>
      <w:r>
        <w:rPr>
          <w:rFonts w:hint="eastAsia" w:ascii="仿宋" w:hAnsi="仿宋" w:eastAsia="仿宋" w:cs="仿宋"/>
          <w:sz w:val="24"/>
        </w:rPr>
        <w:t>质疑事项1：</w:t>
      </w:r>
    </w:p>
    <w:p>
      <w:pPr>
        <w:spacing w:line="340" w:lineRule="exact"/>
        <w:ind w:left="900" w:hanging="900" w:hangingChars="375"/>
        <w:rPr>
          <w:rFonts w:ascii="仿宋" w:hAnsi="仿宋" w:eastAsia="仿宋" w:cs="仿宋"/>
          <w:sz w:val="24"/>
        </w:rPr>
      </w:pPr>
      <w:r>
        <w:rPr>
          <w:rFonts w:hint="eastAsia" w:ascii="仿宋" w:hAnsi="仿宋" w:eastAsia="仿宋" w:cs="仿宋"/>
          <w:sz w:val="24"/>
        </w:rPr>
        <w:t>事实依据：</w:t>
      </w:r>
    </w:p>
    <w:p>
      <w:pPr>
        <w:spacing w:line="340" w:lineRule="exact"/>
        <w:ind w:left="900" w:hanging="900" w:hangingChars="375"/>
        <w:rPr>
          <w:rFonts w:ascii="仿宋" w:hAnsi="仿宋" w:eastAsia="仿宋" w:cs="仿宋"/>
          <w:sz w:val="24"/>
        </w:rPr>
      </w:pPr>
    </w:p>
    <w:p>
      <w:pPr>
        <w:spacing w:line="340" w:lineRule="exact"/>
        <w:ind w:left="900" w:hanging="900" w:hangingChars="375"/>
        <w:rPr>
          <w:rFonts w:ascii="仿宋" w:hAnsi="仿宋" w:eastAsia="仿宋" w:cs="仿宋"/>
          <w:sz w:val="24"/>
        </w:rPr>
      </w:pPr>
      <w:r>
        <w:rPr>
          <w:rFonts w:hint="eastAsia" w:ascii="仿宋" w:hAnsi="仿宋" w:eastAsia="仿宋" w:cs="仿宋"/>
          <w:sz w:val="24"/>
        </w:rPr>
        <w:t>法律依据：</w:t>
      </w:r>
    </w:p>
    <w:p>
      <w:pPr>
        <w:spacing w:line="340" w:lineRule="exact"/>
        <w:ind w:left="900" w:hanging="900" w:hangingChars="375"/>
        <w:rPr>
          <w:rFonts w:ascii="仿宋" w:hAnsi="仿宋" w:eastAsia="仿宋" w:cs="仿宋"/>
          <w:sz w:val="24"/>
        </w:rPr>
      </w:pPr>
    </w:p>
    <w:p>
      <w:pPr>
        <w:spacing w:line="340" w:lineRule="exact"/>
        <w:ind w:left="900" w:hanging="900" w:hangingChars="375"/>
        <w:rPr>
          <w:rFonts w:ascii="仿宋" w:hAnsi="仿宋" w:eastAsia="仿宋" w:cs="仿宋"/>
          <w:sz w:val="24"/>
        </w:rPr>
      </w:pPr>
      <w:r>
        <w:rPr>
          <w:rFonts w:hint="eastAsia" w:ascii="仿宋" w:hAnsi="仿宋" w:eastAsia="仿宋" w:cs="仿宋"/>
          <w:sz w:val="24"/>
        </w:rPr>
        <w:t>质疑事项2</w:t>
      </w:r>
    </w:p>
    <w:p>
      <w:pPr>
        <w:spacing w:line="340" w:lineRule="exact"/>
        <w:ind w:left="900" w:hanging="900" w:hangingChars="375"/>
        <w:rPr>
          <w:rFonts w:ascii="仿宋" w:hAnsi="仿宋" w:eastAsia="仿宋" w:cs="仿宋"/>
          <w:sz w:val="24"/>
        </w:rPr>
      </w:pPr>
      <w:r>
        <w:rPr>
          <w:rFonts w:hint="eastAsia" w:ascii="仿宋" w:hAnsi="仿宋" w:eastAsia="仿宋" w:cs="仿宋"/>
          <w:sz w:val="24"/>
        </w:rPr>
        <w:t>……</w:t>
      </w:r>
    </w:p>
    <w:p>
      <w:pPr>
        <w:spacing w:line="340" w:lineRule="exact"/>
        <w:ind w:left="900" w:hanging="900" w:hangingChars="375"/>
        <w:rPr>
          <w:rFonts w:ascii="仿宋" w:hAnsi="仿宋" w:eastAsia="仿宋" w:cs="仿宋"/>
          <w:sz w:val="24"/>
        </w:rPr>
      </w:pPr>
      <w:r>
        <w:rPr>
          <w:rFonts w:hint="eastAsia" w:ascii="仿宋" w:hAnsi="仿宋" w:eastAsia="仿宋" w:cs="仿宋"/>
          <w:sz w:val="24"/>
        </w:rPr>
        <w:t>四、与质疑事项相关的质疑请求</w:t>
      </w:r>
    </w:p>
    <w:p>
      <w:pPr>
        <w:spacing w:line="340" w:lineRule="exact"/>
        <w:ind w:left="900" w:hanging="900" w:hangingChars="375"/>
        <w:rPr>
          <w:rFonts w:ascii="仿宋" w:hAnsi="仿宋" w:eastAsia="仿宋" w:cs="仿宋"/>
          <w:sz w:val="24"/>
        </w:rPr>
      </w:pPr>
      <w:r>
        <w:rPr>
          <w:rFonts w:hint="eastAsia" w:ascii="仿宋" w:hAnsi="仿宋" w:eastAsia="仿宋" w:cs="仿宋"/>
          <w:sz w:val="24"/>
        </w:rPr>
        <w:t>请求：</w:t>
      </w:r>
    </w:p>
    <w:p>
      <w:pPr>
        <w:spacing w:line="340" w:lineRule="exact"/>
        <w:ind w:left="900" w:hanging="900" w:hangingChars="375"/>
        <w:rPr>
          <w:rFonts w:ascii="仿宋" w:hAnsi="仿宋" w:eastAsia="仿宋" w:cs="仿宋"/>
          <w:sz w:val="24"/>
        </w:rPr>
      </w:pPr>
      <w:r>
        <w:rPr>
          <w:rFonts w:hint="eastAsia" w:ascii="仿宋" w:hAnsi="仿宋" w:eastAsia="仿宋" w:cs="仿宋"/>
          <w:sz w:val="24"/>
        </w:rPr>
        <w:t>签字(签章)：公章：</w:t>
      </w:r>
    </w:p>
    <w:p>
      <w:pPr>
        <w:spacing w:line="340" w:lineRule="exact"/>
        <w:ind w:left="900" w:hanging="900" w:hangingChars="375"/>
        <w:rPr>
          <w:rFonts w:ascii="仿宋" w:hAnsi="仿宋" w:eastAsia="仿宋" w:cs="仿宋"/>
          <w:sz w:val="24"/>
        </w:rPr>
      </w:pPr>
      <w:r>
        <w:rPr>
          <w:rFonts w:hint="eastAsia" w:ascii="仿宋" w:hAnsi="仿宋" w:eastAsia="仿宋" w:cs="仿宋"/>
          <w:sz w:val="24"/>
        </w:rPr>
        <w:t>日期：</w:t>
      </w:r>
    </w:p>
    <w:p>
      <w:pPr>
        <w:spacing w:line="340" w:lineRule="exact"/>
        <w:ind w:left="900" w:hanging="900" w:hangingChars="375"/>
        <w:rPr>
          <w:rFonts w:ascii="仿宋" w:hAnsi="仿宋" w:eastAsia="仿宋" w:cs="仿宋"/>
          <w:sz w:val="24"/>
        </w:rPr>
      </w:pPr>
    </w:p>
    <w:p>
      <w:pPr>
        <w:spacing w:line="340" w:lineRule="exact"/>
        <w:ind w:left="900" w:hanging="900" w:hangingChars="375"/>
        <w:rPr>
          <w:rFonts w:ascii="仿宋" w:hAnsi="仿宋" w:eastAsia="仿宋" w:cs="仿宋"/>
          <w:sz w:val="24"/>
        </w:rPr>
      </w:pPr>
    </w:p>
    <w:p>
      <w:pPr>
        <w:spacing w:line="340" w:lineRule="exact"/>
        <w:ind w:left="900" w:hanging="900" w:hangingChars="375"/>
        <w:rPr>
          <w:rFonts w:ascii="仿宋" w:hAnsi="仿宋" w:eastAsia="仿宋" w:cs="仿宋"/>
          <w:sz w:val="24"/>
        </w:rPr>
      </w:pPr>
      <w:r>
        <w:rPr>
          <w:rFonts w:hint="eastAsia" w:ascii="仿宋" w:hAnsi="仿宋" w:eastAsia="仿宋" w:cs="仿宋"/>
          <w:sz w:val="24"/>
        </w:rPr>
        <w:t>质疑函制作说明：</w:t>
      </w:r>
    </w:p>
    <w:p>
      <w:pPr>
        <w:spacing w:line="340" w:lineRule="exact"/>
        <w:ind w:left="900" w:hanging="900" w:hangingChars="375"/>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eastAsia="zh-CN"/>
        </w:rPr>
        <w:t>投标人</w:t>
      </w:r>
      <w:r>
        <w:rPr>
          <w:rFonts w:hint="eastAsia" w:ascii="仿宋" w:hAnsi="仿宋" w:eastAsia="仿宋" w:cs="仿宋"/>
          <w:sz w:val="24"/>
        </w:rPr>
        <w:t xml:space="preserve">提出质疑时，应提交质疑函和必要的证明材料。 </w:t>
      </w:r>
    </w:p>
    <w:p>
      <w:pPr>
        <w:spacing w:line="340" w:lineRule="exact"/>
        <w:ind w:left="900" w:hanging="900" w:hangingChars="375"/>
        <w:rPr>
          <w:rFonts w:ascii="仿宋" w:hAnsi="仿宋" w:eastAsia="仿宋" w:cs="仿宋"/>
          <w:sz w:val="24"/>
        </w:rPr>
      </w:pPr>
      <w:r>
        <w:rPr>
          <w:rFonts w:hint="eastAsia" w:ascii="仿宋" w:hAnsi="仿宋" w:eastAsia="仿宋" w:cs="仿宋"/>
          <w:sz w:val="24"/>
        </w:rPr>
        <w:t>2.质疑</w:t>
      </w:r>
      <w:r>
        <w:rPr>
          <w:rFonts w:hint="eastAsia" w:ascii="仿宋" w:hAnsi="仿宋" w:eastAsia="仿宋" w:cs="仿宋"/>
          <w:sz w:val="24"/>
          <w:lang w:eastAsia="zh-CN"/>
        </w:rPr>
        <w:t>投标人</w:t>
      </w:r>
      <w:r>
        <w:rPr>
          <w:rFonts w:hint="eastAsia" w:ascii="仿宋" w:hAnsi="仿宋" w:eastAsia="仿宋" w:cs="仿宋"/>
          <w:sz w:val="24"/>
        </w:rPr>
        <w:t>若委托代理人进行质疑的，质疑函应按要求列明“授权代表”的有关内容，并在附件中提交由质疑</w:t>
      </w:r>
      <w:r>
        <w:rPr>
          <w:rFonts w:hint="eastAsia" w:ascii="仿宋" w:hAnsi="仿宋" w:eastAsia="仿宋" w:cs="仿宋"/>
          <w:sz w:val="24"/>
          <w:lang w:eastAsia="zh-CN"/>
        </w:rPr>
        <w:t>投标人</w:t>
      </w:r>
      <w:r>
        <w:rPr>
          <w:rFonts w:hint="eastAsia" w:ascii="仿宋" w:hAnsi="仿宋" w:eastAsia="仿宋" w:cs="仿宋"/>
          <w:sz w:val="24"/>
        </w:rPr>
        <w:t>签署的授权委托书。授权委托书应载明代理人的姓名或者名称、代理事项、具体权限、期限和相关事项。</w:t>
      </w:r>
    </w:p>
    <w:p>
      <w:pPr>
        <w:spacing w:line="340" w:lineRule="exact"/>
        <w:ind w:left="900" w:hanging="900" w:hangingChars="375"/>
        <w:rPr>
          <w:rFonts w:ascii="仿宋" w:hAnsi="仿宋" w:eastAsia="仿宋" w:cs="仿宋"/>
          <w:sz w:val="24"/>
        </w:rPr>
      </w:pPr>
      <w:r>
        <w:rPr>
          <w:rFonts w:hint="eastAsia" w:ascii="仿宋" w:hAnsi="仿宋" w:eastAsia="仿宋" w:cs="仿宋"/>
          <w:sz w:val="24"/>
        </w:rPr>
        <w:t>3.质疑</w:t>
      </w:r>
      <w:r>
        <w:rPr>
          <w:rFonts w:hint="eastAsia" w:ascii="仿宋" w:hAnsi="仿宋" w:eastAsia="仿宋" w:cs="仿宋"/>
          <w:sz w:val="24"/>
          <w:lang w:eastAsia="zh-CN"/>
        </w:rPr>
        <w:t>投标人</w:t>
      </w:r>
      <w:r>
        <w:rPr>
          <w:rFonts w:hint="eastAsia" w:ascii="仿宋" w:hAnsi="仿宋" w:eastAsia="仿宋" w:cs="仿宋"/>
          <w:sz w:val="24"/>
        </w:rPr>
        <w:t>若对项目的某一分包进行质疑，质疑函中应列明具体分包号。</w:t>
      </w:r>
    </w:p>
    <w:p>
      <w:pPr>
        <w:spacing w:line="340" w:lineRule="exact"/>
        <w:ind w:left="900" w:hanging="900" w:hangingChars="375"/>
        <w:rPr>
          <w:rFonts w:ascii="仿宋" w:hAnsi="仿宋" w:eastAsia="仿宋" w:cs="仿宋"/>
          <w:sz w:val="24"/>
        </w:rPr>
      </w:pPr>
      <w:r>
        <w:rPr>
          <w:rFonts w:hint="eastAsia" w:ascii="仿宋" w:hAnsi="仿宋" w:eastAsia="仿宋" w:cs="仿宋"/>
          <w:sz w:val="24"/>
        </w:rPr>
        <w:t>4.质疑函的质疑事项应具体、明确，并有必要的事实依据和法律依据。</w:t>
      </w:r>
    </w:p>
    <w:p>
      <w:pPr>
        <w:spacing w:line="340" w:lineRule="exact"/>
        <w:ind w:left="900" w:hanging="900" w:hangingChars="375"/>
        <w:rPr>
          <w:rFonts w:ascii="仿宋" w:hAnsi="仿宋" w:eastAsia="仿宋" w:cs="仿宋"/>
          <w:sz w:val="24"/>
        </w:rPr>
      </w:pPr>
      <w:r>
        <w:rPr>
          <w:rFonts w:hint="eastAsia" w:ascii="仿宋" w:hAnsi="仿宋" w:eastAsia="仿宋" w:cs="仿宋"/>
          <w:sz w:val="24"/>
        </w:rPr>
        <w:t>5.质疑函的质疑请求应与质疑事项相关。</w:t>
      </w:r>
    </w:p>
    <w:p>
      <w:pPr>
        <w:spacing w:line="340" w:lineRule="exact"/>
        <w:ind w:left="900" w:hanging="900" w:hangingChars="375"/>
        <w:rPr>
          <w:rFonts w:ascii="仿宋" w:hAnsi="仿宋" w:eastAsia="仿宋" w:cs="仿宋"/>
          <w:sz w:val="24"/>
        </w:rPr>
      </w:pPr>
      <w:r>
        <w:rPr>
          <w:rFonts w:hint="eastAsia" w:ascii="仿宋" w:hAnsi="仿宋" w:eastAsia="仿宋" w:cs="仿宋"/>
          <w:sz w:val="24"/>
        </w:rPr>
        <w:t>6.质疑</w:t>
      </w:r>
      <w:r>
        <w:rPr>
          <w:rFonts w:hint="eastAsia" w:ascii="仿宋" w:hAnsi="仿宋" w:eastAsia="仿宋" w:cs="仿宋"/>
          <w:sz w:val="24"/>
          <w:lang w:eastAsia="zh-CN"/>
        </w:rPr>
        <w:t>投标人</w:t>
      </w:r>
      <w:r>
        <w:rPr>
          <w:rFonts w:hint="eastAsia" w:ascii="仿宋" w:hAnsi="仿宋" w:eastAsia="仿宋" w:cs="仿宋"/>
          <w:sz w:val="24"/>
        </w:rPr>
        <w:t>为自然人的，质疑函应由本人签字；质疑</w:t>
      </w:r>
      <w:r>
        <w:rPr>
          <w:rFonts w:hint="eastAsia" w:ascii="仿宋" w:hAnsi="仿宋" w:eastAsia="仿宋" w:cs="仿宋"/>
          <w:sz w:val="24"/>
          <w:lang w:eastAsia="zh-CN"/>
        </w:rPr>
        <w:t>投标人</w:t>
      </w:r>
      <w:r>
        <w:rPr>
          <w:rFonts w:hint="eastAsia" w:ascii="仿宋" w:hAnsi="仿宋" w:eastAsia="仿宋" w:cs="仿宋"/>
          <w:sz w:val="24"/>
        </w:rPr>
        <w:t>为法人或者其他组织的，质疑函应由法定代表人、主要负责人，或者其授权代表签字或者盖章，并加盖公章。</w:t>
      </w:r>
    </w:p>
    <w:p>
      <w:pPr>
        <w:spacing w:line="240" w:lineRule="atLeast"/>
        <w:ind w:left="1079" w:leftChars="257" w:hanging="540"/>
        <w:rPr>
          <w:rFonts w:ascii="仿宋" w:hAnsi="仿宋" w:eastAsia="仿宋" w:cs="仿宋"/>
        </w:rPr>
      </w:pPr>
      <w:r>
        <w:rPr>
          <w:rFonts w:hint="eastAsia" w:ascii="仿宋" w:hAnsi="仿宋" w:eastAsia="仿宋" w:cs="仿宋"/>
          <w:sz w:val="24"/>
        </w:rPr>
        <w:br w:type="page"/>
      </w:r>
    </w:p>
    <w:p>
      <w:pPr>
        <w:spacing w:line="240" w:lineRule="atLeast"/>
        <w:ind w:left="1079" w:leftChars="257" w:hanging="540"/>
        <w:rPr>
          <w:rFonts w:ascii="仿宋" w:hAnsi="仿宋" w:eastAsia="仿宋" w:cs="仿宋"/>
        </w:rPr>
      </w:pPr>
      <w:r>
        <w:rPr>
          <w:rFonts w:hint="eastAsia" w:ascii="仿宋" w:hAnsi="仿宋" w:eastAsia="仿宋" w:cs="仿宋"/>
        </w:rPr>
        <w:t>附件1：履约保证金保函（格式）</w:t>
      </w:r>
      <w:bookmarkEnd w:id="744"/>
      <w:bookmarkEnd w:id="745"/>
      <w:bookmarkEnd w:id="746"/>
      <w:bookmarkEnd w:id="747"/>
      <w:bookmarkEnd w:id="748"/>
    </w:p>
    <w:p>
      <w:pPr>
        <w:pStyle w:val="17"/>
        <w:spacing w:line="240" w:lineRule="atLeast"/>
        <w:ind w:left="1079" w:leftChars="257" w:hanging="540"/>
        <w:jc w:val="center"/>
        <w:rPr>
          <w:rFonts w:ascii="仿宋" w:hAnsi="仿宋" w:eastAsia="仿宋" w:cs="仿宋"/>
          <w:b/>
          <w:sz w:val="24"/>
        </w:rPr>
      </w:pPr>
      <w:r>
        <w:rPr>
          <w:rFonts w:hint="eastAsia" w:ascii="仿宋" w:hAnsi="仿宋" w:eastAsia="仿宋" w:cs="仿宋"/>
          <w:b/>
          <w:sz w:val="24"/>
        </w:rPr>
        <w:t>（中标后开具）</w:t>
      </w:r>
    </w:p>
    <w:p>
      <w:pPr>
        <w:pStyle w:val="17"/>
        <w:spacing w:line="240" w:lineRule="atLeast"/>
        <w:ind w:left="1079" w:leftChars="257" w:hanging="540"/>
        <w:rPr>
          <w:rFonts w:ascii="仿宋" w:hAnsi="仿宋" w:eastAsia="仿宋" w:cs="仿宋"/>
          <w:b/>
          <w:sz w:val="24"/>
        </w:rPr>
      </w:pPr>
    </w:p>
    <w:p>
      <w:pPr>
        <w:pStyle w:val="17"/>
        <w:spacing w:line="240" w:lineRule="atLeast"/>
        <w:ind w:left="1079" w:leftChars="257" w:hanging="540"/>
        <w:rPr>
          <w:rFonts w:ascii="仿宋" w:hAnsi="仿宋" w:eastAsia="仿宋" w:cs="仿宋"/>
          <w:b/>
          <w:sz w:val="24"/>
        </w:rPr>
      </w:pPr>
      <w:r>
        <w:rPr>
          <w:rFonts w:hint="eastAsia" w:ascii="仿宋" w:hAnsi="仿宋" w:eastAsia="仿宋" w:cs="仿宋"/>
          <w:b/>
          <w:sz w:val="24"/>
        </w:rPr>
        <w:t xml:space="preserve">                       </w:t>
      </w:r>
    </w:p>
    <w:p>
      <w:pPr>
        <w:pStyle w:val="17"/>
        <w:spacing w:line="240" w:lineRule="atLeast"/>
        <w:rPr>
          <w:rFonts w:ascii="仿宋" w:hAnsi="仿宋" w:eastAsia="仿宋" w:cs="仿宋"/>
          <w:sz w:val="24"/>
          <w:szCs w:val="24"/>
        </w:rPr>
      </w:pPr>
      <w:r>
        <w:rPr>
          <w:rFonts w:hint="eastAsia" w:ascii="仿宋" w:hAnsi="仿宋" w:eastAsia="仿宋" w:cs="仿宋"/>
          <w:sz w:val="24"/>
          <w:szCs w:val="24"/>
        </w:rPr>
        <w:t>致: (</w:t>
      </w:r>
      <w:r>
        <w:rPr>
          <w:rFonts w:hint="eastAsia" w:ascii="仿宋" w:hAnsi="仿宋" w:eastAsia="仿宋" w:cs="仿宋"/>
          <w:i/>
          <w:sz w:val="24"/>
          <w:szCs w:val="24"/>
          <w:u w:val="single"/>
        </w:rPr>
        <w:t>买方名称</w:t>
      </w:r>
      <w:r>
        <w:rPr>
          <w:rFonts w:hint="eastAsia" w:ascii="仿宋" w:hAnsi="仿宋" w:eastAsia="仿宋" w:cs="仿宋"/>
          <w:sz w:val="24"/>
          <w:szCs w:val="24"/>
        </w:rPr>
        <w:t>)</w:t>
      </w:r>
    </w:p>
    <w:p>
      <w:pPr>
        <w:pStyle w:val="17"/>
        <w:spacing w:line="240" w:lineRule="atLeast"/>
        <w:ind w:left="1079" w:leftChars="257" w:hanging="540"/>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号合同履约保函</w:t>
      </w:r>
    </w:p>
    <w:p>
      <w:pPr>
        <w:pStyle w:val="17"/>
        <w:spacing w:line="240" w:lineRule="atLeast"/>
        <w:ind w:left="1079" w:leftChars="257" w:hanging="540"/>
        <w:jc w:val="center"/>
        <w:rPr>
          <w:rFonts w:ascii="仿宋" w:hAnsi="仿宋" w:eastAsia="仿宋" w:cs="仿宋"/>
          <w:sz w:val="24"/>
          <w:szCs w:val="24"/>
        </w:rPr>
      </w:pPr>
    </w:p>
    <w:p>
      <w:pPr>
        <w:pStyle w:val="17"/>
        <w:spacing w:line="240" w:lineRule="atLeast"/>
        <w:ind w:firstLine="600" w:firstLineChars="250"/>
        <w:rPr>
          <w:rFonts w:ascii="仿宋" w:hAnsi="仿宋" w:eastAsia="仿宋" w:cs="仿宋"/>
          <w:sz w:val="24"/>
          <w:szCs w:val="24"/>
        </w:rPr>
      </w:pPr>
      <w:r>
        <w:rPr>
          <w:rFonts w:hint="eastAsia" w:ascii="仿宋" w:hAnsi="仿宋" w:eastAsia="仿宋" w:cs="仿宋"/>
          <w:sz w:val="24"/>
          <w:szCs w:val="24"/>
        </w:rPr>
        <w:t>本保函作为贵方与(</w:t>
      </w:r>
      <w:r>
        <w:rPr>
          <w:rFonts w:hint="eastAsia" w:ascii="仿宋" w:hAnsi="仿宋" w:eastAsia="仿宋" w:cs="仿宋"/>
          <w:i/>
          <w:sz w:val="24"/>
          <w:szCs w:val="24"/>
          <w:u w:val="single"/>
        </w:rPr>
        <w:t>卖方名称</w:t>
      </w:r>
      <w:r>
        <w:rPr>
          <w:rFonts w:hint="eastAsia" w:ascii="仿宋" w:hAnsi="仿宋" w:eastAsia="仿宋" w:cs="仿宋"/>
          <w:sz w:val="24"/>
          <w:szCs w:val="24"/>
        </w:rPr>
        <w:t>)(以下简称卖方)于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日就</w:t>
      </w:r>
      <w:r>
        <w:rPr>
          <w:rFonts w:hint="eastAsia" w:ascii="仿宋" w:hAnsi="仿宋" w:eastAsia="仿宋" w:cs="仿宋"/>
          <w:sz w:val="24"/>
          <w:szCs w:val="24"/>
          <w:u w:val="single"/>
        </w:rPr>
        <w:t xml:space="preserve">      </w:t>
      </w:r>
      <w:r>
        <w:rPr>
          <w:rFonts w:hint="eastAsia" w:ascii="仿宋" w:hAnsi="仿宋" w:eastAsia="仿宋" w:cs="仿宋"/>
          <w:sz w:val="24"/>
          <w:szCs w:val="24"/>
        </w:rPr>
        <w:t>项目(以下简称项目)项下提供(</w:t>
      </w:r>
      <w:r>
        <w:rPr>
          <w:rFonts w:hint="eastAsia" w:ascii="仿宋" w:hAnsi="仿宋" w:eastAsia="仿宋" w:cs="仿宋"/>
          <w:i/>
          <w:sz w:val="24"/>
          <w:szCs w:val="24"/>
          <w:u w:val="single"/>
        </w:rPr>
        <w:t>货物名称</w:t>
      </w:r>
      <w:r>
        <w:rPr>
          <w:rFonts w:hint="eastAsia" w:ascii="仿宋" w:hAnsi="仿宋" w:eastAsia="仿宋" w:cs="仿宋"/>
          <w:sz w:val="24"/>
          <w:szCs w:val="24"/>
        </w:rPr>
        <w:t>)(以下简称货物)签订的(</w:t>
      </w:r>
      <w:r>
        <w:rPr>
          <w:rFonts w:hint="eastAsia" w:ascii="仿宋" w:hAnsi="仿宋" w:eastAsia="仿宋" w:cs="仿宋"/>
          <w:i/>
          <w:sz w:val="24"/>
          <w:szCs w:val="24"/>
          <w:u w:val="single"/>
        </w:rPr>
        <w:t>合同号</w:t>
      </w:r>
      <w:r>
        <w:rPr>
          <w:rFonts w:hint="eastAsia" w:ascii="仿宋" w:hAnsi="仿宋" w:eastAsia="仿宋" w:cs="仿宋"/>
          <w:sz w:val="24"/>
          <w:szCs w:val="24"/>
        </w:rPr>
        <w:t>)号合同的履约保函。</w:t>
      </w:r>
    </w:p>
    <w:p>
      <w:pPr>
        <w:pStyle w:val="17"/>
        <w:spacing w:line="240" w:lineRule="atLeast"/>
        <w:ind w:firstLine="540" w:firstLineChars="225"/>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i/>
          <w:sz w:val="24"/>
          <w:szCs w:val="24"/>
          <w:u w:val="single"/>
        </w:rPr>
        <w:t>出具保函的银行名称</w:t>
      </w:r>
      <w:r>
        <w:rPr>
          <w:rFonts w:hint="eastAsia" w:ascii="仿宋" w:hAnsi="仿宋" w:eastAsia="仿宋" w:cs="仿宋"/>
          <w:sz w:val="24"/>
          <w:szCs w:val="24"/>
        </w:rPr>
        <w:t>)(以下简称银行)无条件地、不可撤销地具结保证本行、其继承人和受让人无追索地向贵方以(</w:t>
      </w:r>
      <w:r>
        <w:rPr>
          <w:rFonts w:hint="eastAsia" w:ascii="仿宋" w:hAnsi="仿宋" w:eastAsia="仿宋" w:cs="仿宋"/>
          <w:i/>
          <w:sz w:val="24"/>
          <w:szCs w:val="24"/>
          <w:u w:val="single"/>
        </w:rPr>
        <w:t>货币名称</w:t>
      </w:r>
      <w:r>
        <w:rPr>
          <w:rFonts w:hint="eastAsia" w:ascii="仿宋" w:hAnsi="仿宋" w:eastAsia="仿宋" w:cs="仿宋"/>
          <w:sz w:val="24"/>
          <w:szCs w:val="24"/>
        </w:rPr>
        <w:t>)支付总额不超过(</w:t>
      </w:r>
      <w:r>
        <w:rPr>
          <w:rFonts w:hint="eastAsia" w:ascii="仿宋" w:hAnsi="仿宋" w:eastAsia="仿宋" w:cs="仿宋"/>
          <w:i/>
          <w:sz w:val="24"/>
          <w:szCs w:val="24"/>
          <w:u w:val="single"/>
        </w:rPr>
        <w:t>货币数量</w:t>
      </w:r>
      <w:r>
        <w:rPr>
          <w:rFonts w:hint="eastAsia" w:ascii="仿宋" w:hAnsi="仿宋" w:eastAsia="仿宋" w:cs="仿宋"/>
          <w:sz w:val="24"/>
          <w:szCs w:val="24"/>
        </w:rPr>
        <w:t>),即相当于合同价格的</w:t>
      </w:r>
      <w:r>
        <w:rPr>
          <w:rFonts w:hint="eastAsia" w:ascii="仿宋" w:hAnsi="仿宋" w:eastAsia="仿宋" w:cs="仿宋"/>
          <w:sz w:val="24"/>
          <w:szCs w:val="24"/>
          <w:u w:val="single"/>
        </w:rPr>
        <w:t xml:space="preserve">     </w:t>
      </w:r>
      <w:r>
        <w:rPr>
          <w:rFonts w:hint="eastAsia" w:ascii="仿宋" w:hAnsi="仿宋" w:eastAsia="仿宋" w:cs="仿宋"/>
          <w:sz w:val="24"/>
          <w:szCs w:val="24"/>
        </w:rPr>
        <w:t>%,并以此约定如下:</w:t>
      </w:r>
    </w:p>
    <w:p>
      <w:pPr>
        <w:pStyle w:val="17"/>
        <w:spacing w:line="240" w:lineRule="atLeast"/>
        <w:ind w:left="539" w:leftChars="257"/>
        <w:rPr>
          <w:rFonts w:ascii="仿宋" w:hAnsi="仿宋" w:eastAsia="仿宋" w:cs="仿宋"/>
          <w:sz w:val="24"/>
          <w:szCs w:val="24"/>
        </w:rPr>
      </w:pPr>
      <w:r>
        <w:rPr>
          <w:rFonts w:hint="eastAsia" w:ascii="仿宋" w:hAnsi="仿宋" w:eastAsia="仿宋" w:cs="仿宋"/>
          <w:sz w:val="24"/>
          <w:szCs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7"/>
        <w:spacing w:line="240" w:lineRule="atLeast"/>
        <w:ind w:left="540"/>
        <w:rPr>
          <w:rFonts w:ascii="仿宋" w:hAnsi="仿宋" w:eastAsia="仿宋" w:cs="仿宋"/>
          <w:sz w:val="24"/>
          <w:szCs w:val="24"/>
        </w:rPr>
      </w:pPr>
      <w:r>
        <w:rPr>
          <w:rFonts w:hint="eastAsia" w:ascii="仿宋" w:hAnsi="仿宋" w:eastAsia="仿宋" w:cs="仿宋"/>
          <w:sz w:val="24"/>
          <w:szCs w:val="24"/>
        </w:rPr>
        <w:t>2.本保函项下的任何支付应为免税和净值。对于现有或将来的税收、关税、收费、费用扣减或预提税款，不论这些款项是何种性质和由谁征收，都不应从本保函项下的支付中扣除。</w:t>
      </w:r>
    </w:p>
    <w:p>
      <w:pPr>
        <w:pStyle w:val="17"/>
        <w:spacing w:line="240" w:lineRule="atLeast"/>
        <w:ind w:left="540"/>
        <w:rPr>
          <w:rFonts w:ascii="仿宋" w:hAnsi="仿宋" w:eastAsia="仿宋" w:cs="仿宋"/>
          <w:sz w:val="24"/>
          <w:szCs w:val="24"/>
        </w:rPr>
      </w:pPr>
      <w:r>
        <w:rPr>
          <w:rFonts w:hint="eastAsia" w:ascii="仿宋" w:hAnsi="仿宋" w:eastAsia="仿宋" w:cs="仿宋"/>
          <w:sz w:val="24"/>
          <w:szCs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7"/>
        <w:spacing w:line="240" w:lineRule="atLeast"/>
        <w:ind w:left="1079" w:leftChars="257" w:hanging="540"/>
        <w:rPr>
          <w:rFonts w:ascii="仿宋" w:hAnsi="仿宋" w:eastAsia="仿宋" w:cs="仿宋"/>
          <w:sz w:val="24"/>
          <w:szCs w:val="24"/>
        </w:rPr>
      </w:pPr>
      <w:bookmarkStart w:id="749" w:name="_Toc1076"/>
      <w:bookmarkStart w:id="750" w:name="_Toc6985"/>
      <w:r>
        <w:rPr>
          <w:rFonts w:hint="eastAsia" w:ascii="仿宋" w:hAnsi="仿宋" w:eastAsia="仿宋" w:cs="仿宋"/>
          <w:sz w:val="24"/>
          <w:szCs w:val="24"/>
        </w:rPr>
        <w:t>4.本保函在本合同规定的保证期期满前完全有效。</w:t>
      </w:r>
      <w:bookmarkEnd w:id="749"/>
      <w:bookmarkEnd w:id="750"/>
    </w:p>
    <w:p>
      <w:pPr>
        <w:pStyle w:val="17"/>
        <w:spacing w:line="240" w:lineRule="atLeast"/>
        <w:ind w:left="1079" w:leftChars="257" w:hanging="540"/>
        <w:rPr>
          <w:rFonts w:ascii="仿宋" w:hAnsi="仿宋" w:eastAsia="仿宋" w:cs="仿宋"/>
          <w:sz w:val="24"/>
          <w:szCs w:val="24"/>
        </w:rPr>
      </w:pPr>
    </w:p>
    <w:p>
      <w:pPr>
        <w:pStyle w:val="17"/>
        <w:spacing w:line="240" w:lineRule="atLeast"/>
        <w:ind w:left="1079" w:leftChars="257" w:hanging="540"/>
        <w:rPr>
          <w:rFonts w:ascii="仿宋" w:hAnsi="仿宋" w:eastAsia="仿宋" w:cs="仿宋"/>
          <w:sz w:val="24"/>
          <w:szCs w:val="24"/>
        </w:rPr>
      </w:pPr>
      <w:r>
        <w:rPr>
          <w:rFonts w:hint="eastAsia" w:ascii="仿宋" w:hAnsi="仿宋" w:eastAsia="仿宋" w:cs="仿宋"/>
          <w:sz w:val="24"/>
          <w:szCs w:val="24"/>
        </w:rPr>
        <w:t>谨启</w:t>
      </w:r>
    </w:p>
    <w:p>
      <w:pPr>
        <w:pStyle w:val="17"/>
        <w:spacing w:line="240" w:lineRule="atLeast"/>
        <w:ind w:left="1079" w:leftChars="257" w:hanging="540"/>
        <w:rPr>
          <w:rFonts w:ascii="仿宋" w:hAnsi="仿宋" w:eastAsia="仿宋" w:cs="仿宋"/>
          <w:sz w:val="24"/>
          <w:szCs w:val="24"/>
        </w:rPr>
      </w:pPr>
      <w:r>
        <w:rPr>
          <w:rFonts w:hint="eastAsia" w:ascii="仿宋" w:hAnsi="仿宋" w:eastAsia="仿宋" w:cs="仿宋"/>
          <w:sz w:val="24"/>
          <w:szCs w:val="24"/>
        </w:rPr>
        <w:t>出具保函银行名称：</w:t>
      </w:r>
      <w:r>
        <w:rPr>
          <w:rFonts w:hint="eastAsia" w:ascii="仿宋" w:hAnsi="仿宋" w:eastAsia="仿宋" w:cs="仿宋"/>
          <w:sz w:val="24"/>
          <w:szCs w:val="24"/>
          <w:u w:val="single"/>
        </w:rPr>
        <w:t xml:space="preserve">                             </w:t>
      </w:r>
    </w:p>
    <w:p>
      <w:pPr>
        <w:pStyle w:val="17"/>
        <w:spacing w:line="240" w:lineRule="atLeast"/>
        <w:ind w:left="1079" w:leftChars="257" w:hanging="540"/>
        <w:rPr>
          <w:rFonts w:ascii="仿宋" w:hAnsi="仿宋" w:eastAsia="仿宋" w:cs="仿宋"/>
          <w:sz w:val="24"/>
          <w:szCs w:val="24"/>
          <w:u w:val="single"/>
        </w:rPr>
      </w:pPr>
      <w:r>
        <w:rPr>
          <w:rFonts w:hint="eastAsia" w:ascii="仿宋" w:hAnsi="仿宋" w:eastAsia="仿宋" w:cs="仿宋"/>
          <w:sz w:val="24"/>
          <w:szCs w:val="24"/>
        </w:rPr>
        <w:t>签字人姓名和职务：</w:t>
      </w:r>
      <w:r>
        <w:rPr>
          <w:rFonts w:hint="eastAsia" w:ascii="仿宋" w:hAnsi="仿宋" w:eastAsia="仿宋" w:cs="仿宋"/>
          <w:sz w:val="24"/>
          <w:szCs w:val="24"/>
          <w:u w:val="single"/>
        </w:rPr>
        <w:t xml:space="preserve">                             </w:t>
      </w:r>
    </w:p>
    <w:p>
      <w:pPr>
        <w:pStyle w:val="17"/>
        <w:spacing w:line="240" w:lineRule="atLeast"/>
        <w:ind w:left="1079" w:leftChars="257" w:hanging="540"/>
        <w:rPr>
          <w:rFonts w:ascii="仿宋" w:hAnsi="仿宋" w:eastAsia="仿宋" w:cs="仿宋"/>
          <w:sz w:val="24"/>
          <w:szCs w:val="24"/>
        </w:rPr>
      </w:pPr>
      <w:r>
        <w:rPr>
          <w:rFonts w:hint="eastAsia" w:ascii="仿宋" w:hAnsi="仿宋" w:eastAsia="仿宋" w:cs="仿宋"/>
          <w:sz w:val="24"/>
          <w:szCs w:val="24"/>
        </w:rPr>
        <w:t>签字人签名或签章：</w:t>
      </w:r>
      <w:r>
        <w:rPr>
          <w:rFonts w:hint="eastAsia" w:ascii="仿宋" w:hAnsi="仿宋" w:eastAsia="仿宋" w:cs="仿宋"/>
          <w:sz w:val="24"/>
          <w:szCs w:val="24"/>
          <w:u w:val="single"/>
        </w:rPr>
        <w:t xml:space="preserve">                                   </w:t>
      </w:r>
    </w:p>
    <w:p>
      <w:pPr>
        <w:pStyle w:val="17"/>
        <w:spacing w:line="240" w:lineRule="atLeast"/>
        <w:ind w:left="1079" w:leftChars="257" w:hanging="540"/>
        <w:rPr>
          <w:rFonts w:ascii="仿宋" w:hAnsi="仿宋" w:eastAsia="仿宋" w:cs="仿宋"/>
          <w:sz w:val="24"/>
          <w:szCs w:val="24"/>
          <w:u w:val="single"/>
        </w:rPr>
      </w:pPr>
      <w:r>
        <w:rPr>
          <w:rFonts w:hint="eastAsia" w:ascii="仿宋" w:hAnsi="仿宋" w:eastAsia="仿宋" w:cs="仿宋"/>
          <w:sz w:val="24"/>
          <w:szCs w:val="24"/>
        </w:rPr>
        <w:t>公章：</w:t>
      </w:r>
      <w:r>
        <w:rPr>
          <w:rFonts w:hint="eastAsia" w:ascii="仿宋" w:hAnsi="仿宋" w:eastAsia="仿宋" w:cs="仿宋"/>
          <w:sz w:val="24"/>
          <w:szCs w:val="24"/>
          <w:u w:val="single"/>
        </w:rPr>
        <w:t xml:space="preserve">                                         </w:t>
      </w:r>
    </w:p>
    <w:p>
      <w:pPr>
        <w:pStyle w:val="3"/>
        <w:ind w:firstLine="240"/>
        <w:rPr>
          <w:rFonts w:ascii="仿宋" w:hAnsi="仿宋" w:eastAsia="仿宋" w:cs="仿宋"/>
        </w:rPr>
      </w:pPr>
    </w:p>
    <w:p>
      <w:pPr>
        <w:pStyle w:val="3"/>
        <w:ind w:firstLine="240"/>
        <w:rPr>
          <w:rFonts w:ascii="仿宋" w:hAnsi="仿宋" w:eastAsia="仿宋" w:cs="仿宋"/>
        </w:rPr>
      </w:pPr>
    </w:p>
    <w:p>
      <w:pPr>
        <w:pStyle w:val="3"/>
        <w:ind w:firstLine="240"/>
        <w:rPr>
          <w:rFonts w:ascii="仿宋" w:hAnsi="仿宋" w:eastAsia="仿宋" w:cs="仿宋"/>
        </w:rPr>
      </w:pPr>
    </w:p>
    <w:p>
      <w:pPr>
        <w:pStyle w:val="3"/>
        <w:ind w:firstLine="240"/>
        <w:rPr>
          <w:rFonts w:ascii="仿宋" w:hAnsi="仿宋" w:eastAsia="仿宋" w:cs="仿宋"/>
        </w:rPr>
      </w:pPr>
    </w:p>
    <w:p>
      <w:pPr>
        <w:pStyle w:val="3"/>
        <w:ind w:firstLine="240"/>
        <w:rPr>
          <w:rFonts w:ascii="仿宋" w:hAnsi="仿宋" w:eastAsia="仿宋" w:cs="仿宋"/>
        </w:rPr>
      </w:pPr>
    </w:p>
    <w:p>
      <w:pPr>
        <w:pStyle w:val="3"/>
        <w:ind w:firstLine="240"/>
        <w:rPr>
          <w:rFonts w:ascii="仿宋" w:hAnsi="仿宋" w:eastAsia="仿宋" w:cs="仿宋"/>
        </w:rPr>
      </w:pPr>
    </w:p>
    <w:p>
      <w:pPr>
        <w:pStyle w:val="3"/>
        <w:ind w:firstLine="240"/>
        <w:rPr>
          <w:rFonts w:ascii="仿宋" w:hAnsi="仿宋" w:eastAsia="仿宋" w:cs="仿宋"/>
        </w:rPr>
      </w:pPr>
    </w:p>
    <w:p>
      <w:pPr>
        <w:rPr>
          <w:rFonts w:ascii="仿宋" w:hAnsi="仿宋" w:eastAsia="仿宋" w:cs="仿宋"/>
        </w:rPr>
      </w:pPr>
    </w:p>
    <w:p>
      <w:pPr>
        <w:pStyle w:val="26"/>
        <w:rPr>
          <w:rFonts w:ascii="仿宋" w:hAnsi="仿宋" w:eastAsia="仿宋" w:cs="仿宋"/>
        </w:rPr>
      </w:pPr>
    </w:p>
    <w:p>
      <w:pPr>
        <w:pStyle w:val="2"/>
        <w:rPr>
          <w:rFonts w:ascii="仿宋" w:hAnsi="仿宋" w:eastAsia="仿宋" w:cs="仿宋"/>
        </w:rPr>
      </w:pPr>
    </w:p>
    <w:p>
      <w:pPr>
        <w:pStyle w:val="3"/>
        <w:ind w:firstLine="240"/>
        <w:rPr>
          <w:rFonts w:ascii="仿宋" w:hAnsi="仿宋" w:eastAsia="仿宋" w:cs="仿宋"/>
        </w:rPr>
      </w:pPr>
    </w:p>
    <w:p>
      <w:pPr>
        <w:rPr>
          <w:rFonts w:ascii="仿宋" w:hAnsi="仿宋" w:eastAsia="仿宋" w:cs="仿宋"/>
        </w:rPr>
      </w:pPr>
    </w:p>
    <w:p>
      <w:pPr>
        <w:pStyle w:val="26"/>
        <w:rPr>
          <w:rFonts w:ascii="仿宋" w:hAnsi="仿宋" w:eastAsia="仿宋" w:cs="仿宋"/>
        </w:rPr>
      </w:pPr>
    </w:p>
    <w:p>
      <w:pPr>
        <w:spacing w:line="240" w:lineRule="atLeast"/>
        <w:ind w:left="1079" w:leftChars="257" w:hanging="540"/>
        <w:rPr>
          <w:rFonts w:ascii="仿宋" w:hAnsi="仿宋" w:eastAsia="仿宋" w:cs="仿宋"/>
        </w:rPr>
      </w:pPr>
      <w:bookmarkStart w:id="751" w:name="_Toc16707"/>
      <w:bookmarkStart w:id="752" w:name="_Toc518923104"/>
      <w:bookmarkStart w:id="753" w:name="_Toc21744"/>
      <w:bookmarkStart w:id="754" w:name="_Toc27581"/>
      <w:bookmarkStart w:id="755" w:name="_Toc27788"/>
      <w:bookmarkStart w:id="756" w:name="_Toc22540"/>
    </w:p>
    <w:p>
      <w:pPr>
        <w:spacing w:line="240" w:lineRule="atLeast"/>
        <w:ind w:left="1079" w:leftChars="257" w:hanging="540"/>
        <w:rPr>
          <w:rFonts w:ascii="仿宋" w:hAnsi="仿宋" w:eastAsia="仿宋" w:cs="仿宋"/>
        </w:rPr>
      </w:pPr>
      <w:r>
        <w:rPr>
          <w:rFonts w:hint="eastAsia" w:ascii="仿宋" w:hAnsi="仿宋" w:eastAsia="仿宋" w:cs="仿宋"/>
        </w:rPr>
        <w:t>附件2：履约担保函格式</w:t>
      </w:r>
      <w:bookmarkEnd w:id="751"/>
      <w:bookmarkEnd w:id="752"/>
      <w:bookmarkEnd w:id="753"/>
      <w:bookmarkEnd w:id="754"/>
      <w:bookmarkEnd w:id="755"/>
      <w:bookmarkEnd w:id="756"/>
    </w:p>
    <w:p>
      <w:pPr>
        <w:spacing w:line="240" w:lineRule="atLeast"/>
        <w:ind w:left="1079" w:leftChars="257" w:hanging="540"/>
        <w:rPr>
          <w:rFonts w:ascii="仿宋" w:hAnsi="仿宋" w:eastAsia="仿宋" w:cs="仿宋"/>
        </w:rPr>
      </w:pPr>
      <w:bookmarkStart w:id="757" w:name="_Toc32574"/>
      <w:bookmarkStart w:id="758" w:name="_Toc13962"/>
      <w:bookmarkStart w:id="759" w:name="_Toc9735"/>
      <w:bookmarkStart w:id="760" w:name="_Toc515647801"/>
      <w:bookmarkStart w:id="761" w:name="_Toc7209"/>
      <w:bookmarkStart w:id="762" w:name="_Toc162"/>
      <w:r>
        <w:rPr>
          <w:rFonts w:hint="eastAsia" w:ascii="仿宋" w:hAnsi="仿宋" w:eastAsia="仿宋" w:cs="仿宋"/>
        </w:rPr>
        <w:t>（采用政府采购信用担保形式时使用）</w:t>
      </w:r>
      <w:bookmarkEnd w:id="757"/>
      <w:bookmarkEnd w:id="758"/>
      <w:bookmarkEnd w:id="759"/>
      <w:bookmarkEnd w:id="760"/>
      <w:bookmarkEnd w:id="761"/>
      <w:bookmarkEnd w:id="762"/>
    </w:p>
    <w:p>
      <w:pPr>
        <w:spacing w:line="240" w:lineRule="atLeast"/>
        <w:ind w:left="1079" w:leftChars="257" w:hanging="540"/>
        <w:rPr>
          <w:rFonts w:ascii="仿宋" w:hAnsi="仿宋" w:eastAsia="仿宋" w:cs="仿宋"/>
          <w:b/>
          <w:kern w:val="0"/>
          <w:sz w:val="24"/>
          <w:szCs w:val="20"/>
        </w:rPr>
      </w:pPr>
    </w:p>
    <w:p>
      <w:pPr>
        <w:jc w:val="center"/>
        <w:rPr>
          <w:rFonts w:ascii="仿宋" w:hAnsi="仿宋" w:eastAsia="仿宋" w:cs="仿宋"/>
          <w:sz w:val="24"/>
        </w:rPr>
      </w:pPr>
      <w:r>
        <w:rPr>
          <w:rFonts w:hint="eastAsia" w:ascii="仿宋" w:hAnsi="仿宋" w:eastAsia="仿宋" w:cs="仿宋"/>
          <w:sz w:val="24"/>
        </w:rPr>
        <w:t>政府采购履约担保函（项目用）</w:t>
      </w:r>
    </w:p>
    <w:p>
      <w:pPr>
        <w:rPr>
          <w:rFonts w:ascii="仿宋" w:hAnsi="仿宋" w:eastAsia="仿宋" w:cs="仿宋"/>
          <w:sz w:val="24"/>
        </w:rPr>
      </w:pPr>
      <w:r>
        <w:rPr>
          <w:rFonts w:hint="eastAsia" w:ascii="仿宋" w:hAnsi="仿宋" w:eastAsia="仿宋" w:cs="仿宋"/>
          <w:sz w:val="24"/>
        </w:rPr>
        <w:t xml:space="preserve">                                                   编号：</w:t>
      </w: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pPr>
        <w:rPr>
          <w:rFonts w:ascii="仿宋" w:hAnsi="仿宋" w:eastAsia="仿宋" w:cs="仿宋"/>
          <w:sz w:val="24"/>
        </w:rPr>
      </w:pPr>
    </w:p>
    <w:p>
      <w:pPr>
        <w:ind w:firstLine="480" w:firstLineChars="200"/>
        <w:rPr>
          <w:rFonts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w:t>
      </w:r>
      <w:r>
        <w:rPr>
          <w:rFonts w:hint="eastAsia" w:ascii="仿宋" w:hAnsi="仿宋" w:eastAsia="仿宋" w:cs="仿宋"/>
          <w:sz w:val="24"/>
          <w:lang w:eastAsia="zh-CN"/>
        </w:rPr>
        <w:t>投标人</w:t>
      </w:r>
      <w:r>
        <w:rPr>
          <w:rFonts w:hint="eastAsia" w:ascii="仿宋" w:hAnsi="仿宋" w:eastAsia="仿宋" w:cs="仿宋"/>
          <w:sz w:val="24"/>
        </w:rPr>
        <w:t>）于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w:t>
      </w:r>
      <w:r>
        <w:rPr>
          <w:rFonts w:hint="eastAsia" w:ascii="仿宋" w:hAnsi="仿宋" w:eastAsia="仿宋" w:cs="仿宋"/>
          <w:sz w:val="24"/>
          <w:lang w:eastAsia="zh-CN"/>
        </w:rPr>
        <w:t>投标人</w:t>
      </w:r>
      <w:r>
        <w:rPr>
          <w:rFonts w:hint="eastAsia" w:ascii="仿宋" w:hAnsi="仿宋" w:eastAsia="仿宋" w:cs="仿宋"/>
          <w:sz w:val="24"/>
        </w:rPr>
        <w:t>应在</w:t>
      </w:r>
      <w:r>
        <w:rPr>
          <w:rFonts w:hint="eastAsia" w:ascii="仿宋" w:hAnsi="仿宋" w:eastAsia="仿宋" w:cs="仿宋"/>
          <w:sz w:val="24"/>
          <w:u w:val="single"/>
        </w:rPr>
        <w:t xml:space="preserve">    </w:t>
      </w:r>
      <w:r>
        <w:rPr>
          <w:rFonts w:hint="eastAsia" w:ascii="仿宋" w:hAnsi="仿宋" w:eastAsia="仿宋" w:cs="仿宋"/>
          <w:sz w:val="24"/>
        </w:rPr>
        <w:t>年</w:t>
      </w:r>
    </w:p>
    <w:p>
      <w:pPr>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w:t>
      </w:r>
      <w:r>
        <w:rPr>
          <w:rFonts w:hint="eastAsia" w:ascii="仿宋" w:hAnsi="仿宋" w:eastAsia="仿宋" w:cs="仿宋"/>
          <w:sz w:val="24"/>
          <w:lang w:eastAsia="zh-CN"/>
        </w:rPr>
        <w:t>投标人</w:t>
      </w:r>
      <w:r>
        <w:rPr>
          <w:rFonts w:hint="eastAsia" w:ascii="仿宋" w:hAnsi="仿宋" w:eastAsia="仿宋" w:cs="仿宋"/>
          <w:sz w:val="24"/>
        </w:rPr>
        <w:t>的申请，我方以保证的方式向你方提供如下履约保证金担保：</w:t>
      </w:r>
    </w:p>
    <w:p>
      <w:pPr>
        <w:ind w:firstLine="480" w:firstLineChars="200"/>
        <w:rPr>
          <w:rFonts w:ascii="仿宋" w:hAnsi="仿宋" w:eastAsia="仿宋" w:cs="仿宋"/>
          <w:sz w:val="24"/>
        </w:rPr>
      </w:pPr>
      <w:bookmarkStart w:id="763" w:name="_Toc16807"/>
      <w:r>
        <w:rPr>
          <w:rFonts w:hint="eastAsia" w:ascii="仿宋" w:hAnsi="仿宋" w:eastAsia="仿宋" w:cs="仿宋"/>
          <w:sz w:val="24"/>
        </w:rPr>
        <w:t>一、保证责任的情形及保证金额</w:t>
      </w:r>
      <w:bookmarkEnd w:id="763"/>
    </w:p>
    <w:p>
      <w:pPr>
        <w:ind w:firstLine="480" w:firstLineChars="200"/>
        <w:rPr>
          <w:rFonts w:ascii="仿宋" w:hAnsi="仿宋" w:eastAsia="仿宋" w:cs="仿宋"/>
          <w:sz w:val="24"/>
        </w:rPr>
      </w:pPr>
      <w:r>
        <w:rPr>
          <w:rFonts w:hint="eastAsia" w:ascii="仿宋" w:hAnsi="仿宋" w:eastAsia="仿宋" w:cs="仿宋"/>
          <w:sz w:val="24"/>
        </w:rPr>
        <w:t>（一）在</w:t>
      </w:r>
      <w:r>
        <w:rPr>
          <w:rFonts w:hint="eastAsia" w:ascii="仿宋" w:hAnsi="仿宋" w:eastAsia="仿宋" w:cs="仿宋"/>
          <w:sz w:val="24"/>
          <w:lang w:eastAsia="zh-CN"/>
        </w:rPr>
        <w:t>投标人</w:t>
      </w:r>
      <w:r>
        <w:rPr>
          <w:rFonts w:hint="eastAsia" w:ascii="仿宋" w:hAnsi="仿宋" w:eastAsia="仿宋" w:cs="仿宋"/>
          <w:sz w:val="24"/>
        </w:rPr>
        <w:t>出现下列情形之一时，我方承担保证责任：</w:t>
      </w:r>
    </w:p>
    <w:p>
      <w:pPr>
        <w:ind w:firstLine="480" w:firstLineChars="200"/>
        <w:rPr>
          <w:rFonts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pPr>
        <w:rPr>
          <w:rFonts w:ascii="仿宋" w:hAnsi="仿宋" w:eastAsia="仿宋" w:cs="仿宋"/>
          <w:sz w:val="24"/>
        </w:rPr>
      </w:pPr>
      <w:r>
        <w:rPr>
          <w:rFonts w:hint="eastAsia" w:ascii="仿宋" w:hAnsi="仿宋" w:eastAsia="仿宋" w:cs="仿宋"/>
          <w:sz w:val="24"/>
        </w:rPr>
        <w:t>　　</w:t>
      </w:r>
      <w:bookmarkStart w:id="764" w:name="_Toc806"/>
      <w:bookmarkStart w:id="765" w:name="_Toc2434"/>
      <w:bookmarkStart w:id="766" w:name="_Toc30650"/>
      <w:r>
        <w:rPr>
          <w:rFonts w:hint="eastAsia" w:ascii="仿宋" w:hAnsi="仿宋" w:eastAsia="仿宋" w:cs="仿宋"/>
          <w:sz w:val="24"/>
        </w:rPr>
        <w:t>2．主合同约定的应当缴纳履约保证金的情形:</w:t>
      </w:r>
      <w:bookmarkEnd w:id="764"/>
      <w:bookmarkEnd w:id="765"/>
      <w:bookmarkEnd w:id="766"/>
      <w:r>
        <w:rPr>
          <w:rFonts w:hint="eastAsia" w:ascii="仿宋" w:hAnsi="仿宋" w:eastAsia="仿宋" w:cs="仿宋"/>
          <w:sz w:val="24"/>
        </w:rPr>
        <w:t xml:space="preserve"> </w:t>
      </w:r>
    </w:p>
    <w:p>
      <w:pPr>
        <w:ind w:firstLine="480" w:firstLineChars="200"/>
        <w:rPr>
          <w:rFonts w:ascii="仿宋" w:hAnsi="仿宋" w:eastAsia="仿宋" w:cs="仿宋"/>
          <w:sz w:val="24"/>
        </w:rPr>
      </w:pPr>
      <w:r>
        <w:rPr>
          <w:rFonts w:hint="eastAsia" w:ascii="仿宋" w:hAnsi="仿宋" w:eastAsia="仿宋" w:cs="仿宋"/>
          <w:sz w:val="24"/>
        </w:rPr>
        <w:t>（1）未按主合同约定的质量、数量和期限供应货物/提供服务/完成工程的；</w:t>
      </w:r>
    </w:p>
    <w:p>
      <w:pPr>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pPr>
        <w:ind w:firstLine="480" w:firstLineChars="200"/>
        <w:rPr>
          <w:rFonts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pPr>
        <w:ind w:firstLine="480" w:firstLineChars="200"/>
        <w:rPr>
          <w:rFonts w:ascii="仿宋" w:hAnsi="仿宋" w:eastAsia="仿宋" w:cs="仿宋"/>
          <w:sz w:val="24"/>
        </w:rPr>
      </w:pPr>
      <w:bookmarkStart w:id="767" w:name="_Toc16733"/>
      <w:r>
        <w:rPr>
          <w:rFonts w:hint="eastAsia" w:ascii="仿宋" w:hAnsi="仿宋" w:eastAsia="仿宋" w:cs="仿宋"/>
          <w:sz w:val="24"/>
        </w:rPr>
        <w:t>二、保证的方式及保证期间</w:t>
      </w:r>
      <w:bookmarkEnd w:id="767"/>
    </w:p>
    <w:p>
      <w:pPr>
        <w:ind w:firstLine="480" w:firstLineChars="200"/>
        <w:rPr>
          <w:rFonts w:ascii="仿宋" w:hAnsi="仿宋" w:eastAsia="仿宋" w:cs="仿宋"/>
          <w:sz w:val="24"/>
        </w:rPr>
      </w:pPr>
      <w:r>
        <w:rPr>
          <w:rFonts w:hint="eastAsia" w:ascii="仿宋" w:hAnsi="仿宋" w:eastAsia="仿宋" w:cs="仿宋"/>
          <w:sz w:val="24"/>
        </w:rPr>
        <w:t>我方保证的方式为：连带责任保证。</w:t>
      </w:r>
    </w:p>
    <w:p>
      <w:pPr>
        <w:ind w:firstLine="480" w:firstLineChars="200"/>
        <w:rPr>
          <w:rFonts w:ascii="仿宋" w:hAnsi="仿宋" w:eastAsia="仿宋" w:cs="仿宋"/>
          <w:sz w:val="24"/>
        </w:rPr>
      </w:pPr>
      <w:r>
        <w:rPr>
          <w:rFonts w:hint="eastAsia" w:ascii="仿宋" w:hAnsi="仿宋" w:eastAsia="仿宋" w:cs="仿宋"/>
          <w:sz w:val="24"/>
        </w:rPr>
        <w:t>我方保证的期间为：自本合同生效之日起至</w:t>
      </w:r>
      <w:r>
        <w:rPr>
          <w:rFonts w:hint="eastAsia" w:ascii="仿宋" w:hAnsi="仿宋" w:eastAsia="仿宋" w:cs="仿宋"/>
          <w:sz w:val="24"/>
          <w:lang w:eastAsia="zh-CN"/>
        </w:rPr>
        <w:t>投标人</w:t>
      </w:r>
      <w:r>
        <w:rPr>
          <w:rFonts w:hint="eastAsia" w:ascii="仿宋" w:hAnsi="仿宋" w:eastAsia="仿宋" w:cs="仿宋"/>
          <w:sz w:val="24"/>
        </w:rPr>
        <w:t>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pPr>
        <w:ind w:firstLine="480" w:firstLineChars="200"/>
        <w:rPr>
          <w:rFonts w:ascii="仿宋" w:hAnsi="仿宋" w:eastAsia="仿宋" w:cs="仿宋"/>
          <w:sz w:val="24"/>
        </w:rPr>
      </w:pPr>
      <w:r>
        <w:rPr>
          <w:rFonts w:hint="eastAsia" w:ascii="仿宋" w:hAnsi="仿宋" w:eastAsia="仿宋" w:cs="仿宋"/>
          <w:sz w:val="24"/>
        </w:rPr>
        <w:t>如果</w:t>
      </w:r>
      <w:r>
        <w:rPr>
          <w:rFonts w:hint="eastAsia" w:ascii="仿宋" w:hAnsi="仿宋" w:eastAsia="仿宋" w:cs="仿宋"/>
          <w:sz w:val="24"/>
          <w:lang w:eastAsia="zh-CN"/>
        </w:rPr>
        <w:t>投标人</w:t>
      </w:r>
      <w:r>
        <w:rPr>
          <w:rFonts w:hint="eastAsia" w:ascii="仿宋" w:hAnsi="仿宋" w:eastAsia="仿宋" w:cs="仿宋"/>
          <w:sz w:val="24"/>
        </w:rPr>
        <w:t>未按主合同约定向贵方供应货物/提供服务/完成工程的，由我方在保证金额内向你方支付上述款项。</w:t>
      </w:r>
    </w:p>
    <w:p>
      <w:pPr>
        <w:ind w:firstLine="480" w:firstLineChars="200"/>
        <w:rPr>
          <w:rFonts w:ascii="仿宋" w:hAnsi="仿宋" w:eastAsia="仿宋" w:cs="仿宋"/>
          <w:sz w:val="24"/>
        </w:rPr>
      </w:pPr>
      <w:bookmarkStart w:id="768" w:name="_Toc19668"/>
      <w:r>
        <w:rPr>
          <w:rFonts w:hint="eastAsia" w:ascii="仿宋" w:hAnsi="仿宋" w:eastAsia="仿宋" w:cs="仿宋"/>
          <w:sz w:val="24"/>
        </w:rPr>
        <w:t>三、承担保证责任的程序</w:t>
      </w:r>
      <w:bookmarkEnd w:id="768"/>
    </w:p>
    <w:p>
      <w:pPr>
        <w:ind w:firstLine="480" w:firstLineChars="200"/>
        <w:rPr>
          <w:rFonts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w:t>
      </w:r>
      <w:r>
        <w:rPr>
          <w:rFonts w:hint="eastAsia" w:ascii="仿宋" w:hAnsi="仿宋" w:eastAsia="仿宋" w:cs="仿宋"/>
          <w:sz w:val="24"/>
          <w:lang w:eastAsia="zh-CN"/>
        </w:rPr>
        <w:t>投标人</w:t>
      </w:r>
      <w:r>
        <w:rPr>
          <w:rFonts w:hint="eastAsia" w:ascii="仿宋" w:hAnsi="仿宋" w:eastAsia="仿宋" w:cs="仿宋"/>
          <w:sz w:val="24"/>
        </w:rPr>
        <w:t>违约事实的证明材料。</w:t>
      </w:r>
    </w:p>
    <w:p>
      <w:pPr>
        <w:ind w:firstLine="480" w:firstLineChars="200"/>
        <w:rPr>
          <w:rFonts w:ascii="仿宋" w:hAnsi="仿宋" w:eastAsia="仿宋" w:cs="仿宋"/>
          <w:sz w:val="24"/>
        </w:rPr>
      </w:pPr>
      <w:r>
        <w:rPr>
          <w:rFonts w:hint="eastAsia" w:ascii="仿宋" w:hAnsi="仿宋" w:eastAsia="仿宋" w:cs="仿宋"/>
          <w:sz w:val="24"/>
        </w:rPr>
        <w:t>如果你方与</w:t>
      </w:r>
      <w:r>
        <w:rPr>
          <w:rFonts w:hint="eastAsia" w:ascii="仿宋" w:hAnsi="仿宋" w:eastAsia="仿宋" w:cs="仿宋"/>
          <w:sz w:val="24"/>
          <w:lang w:eastAsia="zh-CN"/>
        </w:rPr>
        <w:t>投标人</w:t>
      </w:r>
      <w:r>
        <w:rPr>
          <w:rFonts w:hint="eastAsia" w:ascii="仿宋" w:hAnsi="仿宋" w:eastAsia="仿宋" w:cs="仿宋"/>
          <w:sz w:val="24"/>
        </w:rPr>
        <w:t>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pPr>
        <w:ind w:firstLine="480" w:firstLineChars="200"/>
        <w:rPr>
          <w:rFonts w:ascii="仿宋" w:hAnsi="仿宋" w:eastAsia="仿宋" w:cs="仿宋"/>
          <w:sz w:val="24"/>
        </w:rPr>
      </w:pPr>
      <w:bookmarkStart w:id="769" w:name="_Toc11641"/>
      <w:r>
        <w:rPr>
          <w:rFonts w:hint="eastAsia" w:ascii="仿宋" w:hAnsi="仿宋" w:eastAsia="仿宋" w:cs="仿宋"/>
          <w:sz w:val="24"/>
        </w:rPr>
        <w:t>四、保证责任的终止</w:t>
      </w:r>
      <w:bookmarkEnd w:id="769"/>
    </w:p>
    <w:p>
      <w:pPr>
        <w:ind w:firstLine="480" w:firstLineChars="200"/>
        <w:rPr>
          <w:rFonts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pPr>
        <w:ind w:firstLine="480" w:firstLineChars="200"/>
        <w:rPr>
          <w:rFonts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pPr>
        <w:ind w:firstLine="480" w:firstLineChars="200"/>
        <w:rPr>
          <w:rFonts w:ascii="仿宋" w:hAnsi="仿宋" w:eastAsia="仿宋" w:cs="仿宋"/>
          <w:sz w:val="24"/>
        </w:rPr>
      </w:pPr>
      <w:r>
        <w:rPr>
          <w:rFonts w:hint="eastAsia" w:ascii="仿宋" w:hAnsi="仿宋" w:eastAsia="仿宋" w:cs="仿宋"/>
          <w:sz w:val="24"/>
        </w:rPr>
        <w:t>4．你方与</w:t>
      </w:r>
      <w:r>
        <w:rPr>
          <w:rFonts w:hint="eastAsia" w:ascii="仿宋" w:hAnsi="仿宋" w:eastAsia="仿宋" w:cs="仿宋"/>
          <w:sz w:val="24"/>
          <w:lang w:eastAsia="zh-CN"/>
        </w:rPr>
        <w:t>投标人</w:t>
      </w:r>
      <w:r>
        <w:rPr>
          <w:rFonts w:hint="eastAsia" w:ascii="仿宋" w:hAnsi="仿宋" w:eastAsia="仿宋" w:cs="仿宋"/>
          <w:sz w:val="24"/>
        </w:rPr>
        <w:t>修改主合同，加重我方保证责任的，我方对加重部分不承担保证责任，但该等修改事先经我方书面同意的除外；你方与</w:t>
      </w:r>
      <w:r>
        <w:rPr>
          <w:rFonts w:hint="eastAsia" w:ascii="仿宋" w:hAnsi="仿宋" w:eastAsia="仿宋" w:cs="仿宋"/>
          <w:sz w:val="24"/>
          <w:lang w:eastAsia="zh-CN"/>
        </w:rPr>
        <w:t>投标人</w:t>
      </w:r>
      <w:r>
        <w:rPr>
          <w:rFonts w:hint="eastAsia" w:ascii="仿宋" w:hAnsi="仿宋" w:eastAsia="仿宋" w:cs="仿宋"/>
          <w:sz w:val="24"/>
        </w:rPr>
        <w:t>修改主合同履行期限，我方保证期间仍依修改前的履行期限计算，但该等修改事先经我方书面同意的除外。</w:t>
      </w:r>
    </w:p>
    <w:p>
      <w:pPr>
        <w:ind w:firstLine="480" w:firstLineChars="200"/>
        <w:rPr>
          <w:rFonts w:ascii="仿宋" w:hAnsi="仿宋" w:eastAsia="仿宋" w:cs="仿宋"/>
          <w:sz w:val="24"/>
        </w:rPr>
      </w:pPr>
      <w:bookmarkStart w:id="770" w:name="_Toc3542"/>
      <w:r>
        <w:rPr>
          <w:rFonts w:hint="eastAsia" w:ascii="仿宋" w:hAnsi="仿宋" w:eastAsia="仿宋" w:cs="仿宋"/>
          <w:sz w:val="24"/>
        </w:rPr>
        <w:t>五、免责条款</w:t>
      </w:r>
      <w:bookmarkEnd w:id="770"/>
    </w:p>
    <w:p>
      <w:pPr>
        <w:ind w:firstLine="480" w:firstLineChars="200"/>
        <w:rPr>
          <w:rFonts w:ascii="仿宋" w:hAnsi="仿宋" w:eastAsia="仿宋" w:cs="仿宋"/>
          <w:sz w:val="24"/>
        </w:rPr>
      </w:pPr>
      <w:r>
        <w:rPr>
          <w:rFonts w:hint="eastAsia" w:ascii="仿宋" w:hAnsi="仿宋" w:eastAsia="仿宋" w:cs="仿宋"/>
          <w:sz w:val="24"/>
        </w:rPr>
        <w:t>1．因你方违反主合同约定致使</w:t>
      </w:r>
      <w:r>
        <w:rPr>
          <w:rFonts w:hint="eastAsia" w:ascii="仿宋" w:hAnsi="仿宋" w:eastAsia="仿宋" w:cs="仿宋"/>
          <w:sz w:val="24"/>
          <w:lang w:eastAsia="zh-CN"/>
        </w:rPr>
        <w:t>投标人</w:t>
      </w:r>
      <w:r>
        <w:rPr>
          <w:rFonts w:hint="eastAsia" w:ascii="仿宋" w:hAnsi="仿宋" w:eastAsia="仿宋" w:cs="仿宋"/>
          <w:sz w:val="24"/>
        </w:rPr>
        <w:t>不能履行义务的，我方不承担保证责任。</w:t>
      </w:r>
    </w:p>
    <w:p>
      <w:pPr>
        <w:ind w:firstLine="480" w:firstLineChars="200"/>
        <w:rPr>
          <w:rFonts w:ascii="仿宋" w:hAnsi="仿宋" w:eastAsia="仿宋" w:cs="仿宋"/>
          <w:sz w:val="24"/>
        </w:rPr>
      </w:pPr>
      <w:r>
        <w:rPr>
          <w:rFonts w:hint="eastAsia" w:ascii="仿宋" w:hAnsi="仿宋" w:eastAsia="仿宋" w:cs="仿宋"/>
          <w:sz w:val="24"/>
        </w:rPr>
        <w:t>2．依照法律法规的规定或你方与</w:t>
      </w:r>
      <w:r>
        <w:rPr>
          <w:rFonts w:hint="eastAsia" w:ascii="仿宋" w:hAnsi="仿宋" w:eastAsia="仿宋" w:cs="仿宋"/>
          <w:sz w:val="24"/>
          <w:lang w:eastAsia="zh-CN"/>
        </w:rPr>
        <w:t>投标人</w:t>
      </w:r>
      <w:r>
        <w:rPr>
          <w:rFonts w:hint="eastAsia" w:ascii="仿宋" w:hAnsi="仿宋" w:eastAsia="仿宋" w:cs="仿宋"/>
          <w:sz w:val="24"/>
        </w:rPr>
        <w:t>的另行约定，全部或者部分免除</w:t>
      </w:r>
      <w:r>
        <w:rPr>
          <w:rFonts w:hint="eastAsia" w:ascii="仿宋" w:hAnsi="仿宋" w:eastAsia="仿宋" w:cs="仿宋"/>
          <w:sz w:val="24"/>
          <w:lang w:eastAsia="zh-CN"/>
        </w:rPr>
        <w:t>投标人</w:t>
      </w:r>
      <w:r>
        <w:rPr>
          <w:rFonts w:hint="eastAsia" w:ascii="仿宋" w:hAnsi="仿宋" w:eastAsia="仿宋" w:cs="仿宋"/>
          <w:sz w:val="24"/>
        </w:rPr>
        <w:t>应缴纳的保证金义务的，我方亦免除相应的保证责任。</w:t>
      </w:r>
    </w:p>
    <w:p>
      <w:pPr>
        <w:ind w:firstLine="480" w:firstLineChars="200"/>
        <w:rPr>
          <w:rFonts w:ascii="仿宋" w:hAnsi="仿宋" w:eastAsia="仿宋" w:cs="仿宋"/>
          <w:sz w:val="24"/>
        </w:rPr>
      </w:pPr>
      <w:r>
        <w:rPr>
          <w:rFonts w:hint="eastAsia" w:ascii="仿宋" w:hAnsi="仿宋" w:eastAsia="仿宋" w:cs="仿宋"/>
          <w:sz w:val="24"/>
        </w:rPr>
        <w:t>3．因不可抗力造成</w:t>
      </w:r>
      <w:r>
        <w:rPr>
          <w:rFonts w:hint="eastAsia" w:ascii="仿宋" w:hAnsi="仿宋" w:eastAsia="仿宋" w:cs="仿宋"/>
          <w:sz w:val="24"/>
          <w:lang w:eastAsia="zh-CN"/>
        </w:rPr>
        <w:t>投标人</w:t>
      </w:r>
      <w:r>
        <w:rPr>
          <w:rFonts w:hint="eastAsia" w:ascii="仿宋" w:hAnsi="仿宋" w:eastAsia="仿宋" w:cs="仿宋"/>
          <w:sz w:val="24"/>
        </w:rPr>
        <w:t>不能履行供货义务的，我方不承担保证责任。</w:t>
      </w:r>
    </w:p>
    <w:p>
      <w:pPr>
        <w:ind w:firstLine="480" w:firstLineChars="200"/>
        <w:rPr>
          <w:rFonts w:ascii="仿宋" w:hAnsi="仿宋" w:eastAsia="仿宋" w:cs="仿宋"/>
          <w:sz w:val="24"/>
        </w:rPr>
      </w:pPr>
      <w:bookmarkStart w:id="771" w:name="_Toc908"/>
      <w:r>
        <w:rPr>
          <w:rFonts w:hint="eastAsia" w:ascii="仿宋" w:hAnsi="仿宋" w:eastAsia="仿宋" w:cs="仿宋"/>
          <w:sz w:val="24"/>
        </w:rPr>
        <w:t>六、争议的解决</w:t>
      </w:r>
      <w:bookmarkEnd w:id="771"/>
    </w:p>
    <w:p>
      <w:pPr>
        <w:ind w:firstLine="480" w:firstLineChars="200"/>
        <w:rPr>
          <w:rFonts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pPr>
        <w:ind w:firstLine="480" w:firstLineChars="200"/>
        <w:rPr>
          <w:rFonts w:ascii="仿宋" w:hAnsi="仿宋" w:eastAsia="仿宋" w:cs="仿宋"/>
          <w:sz w:val="24"/>
        </w:rPr>
      </w:pPr>
      <w:bookmarkStart w:id="772" w:name="_Toc17651"/>
      <w:r>
        <w:rPr>
          <w:rFonts w:hint="eastAsia" w:ascii="仿宋" w:hAnsi="仿宋" w:eastAsia="仿宋" w:cs="仿宋"/>
          <w:sz w:val="24"/>
        </w:rPr>
        <w:t>七、保函的生效</w:t>
      </w:r>
      <w:bookmarkEnd w:id="772"/>
    </w:p>
    <w:p>
      <w:pPr>
        <w:ind w:firstLine="480" w:firstLineChars="200"/>
        <w:rPr>
          <w:rFonts w:ascii="仿宋" w:hAnsi="仿宋" w:eastAsia="仿宋" w:cs="仿宋"/>
          <w:sz w:val="24"/>
        </w:rPr>
      </w:pPr>
      <w:r>
        <w:rPr>
          <w:rFonts w:hint="eastAsia" w:ascii="仿宋" w:hAnsi="仿宋" w:eastAsia="仿宋" w:cs="仿宋"/>
          <w:sz w:val="24"/>
        </w:rPr>
        <w:t>本保函自我方加盖公章之日起生效。</w:t>
      </w:r>
    </w:p>
    <w:p>
      <w:pPr>
        <w:pStyle w:val="26"/>
        <w:rPr>
          <w:rFonts w:ascii="仿宋" w:hAnsi="仿宋" w:eastAsia="仿宋" w:cs="仿宋"/>
          <w:sz w:val="24"/>
        </w:rPr>
      </w:pPr>
    </w:p>
    <w:p>
      <w:pPr>
        <w:pStyle w:val="2"/>
        <w:rPr>
          <w:rFonts w:ascii="仿宋" w:hAnsi="仿宋" w:eastAsia="仿宋" w:cs="仿宋"/>
        </w:rPr>
      </w:pPr>
    </w:p>
    <w:p>
      <w:pPr>
        <w:rPr>
          <w:rFonts w:ascii="仿宋" w:hAnsi="仿宋" w:eastAsia="仿宋" w:cs="仿宋"/>
          <w:sz w:val="24"/>
        </w:rPr>
      </w:pPr>
    </w:p>
    <w:p>
      <w:pPr>
        <w:rPr>
          <w:rFonts w:ascii="仿宋" w:hAnsi="仿宋" w:eastAsia="仿宋" w:cs="仿宋"/>
          <w:sz w:val="24"/>
        </w:rPr>
      </w:pPr>
      <w:r>
        <w:rPr>
          <w:rFonts w:hint="eastAsia" w:ascii="仿宋" w:hAnsi="仿宋" w:eastAsia="仿宋" w:cs="仿宋"/>
          <w:sz w:val="24"/>
        </w:rPr>
        <w:t xml:space="preserve">                                      </w:t>
      </w:r>
    </w:p>
    <w:p>
      <w:pPr>
        <w:ind w:firstLine="5400" w:firstLineChars="2250"/>
        <w:rPr>
          <w:rFonts w:ascii="仿宋" w:hAnsi="仿宋" w:eastAsia="仿宋" w:cs="仿宋"/>
          <w:sz w:val="24"/>
        </w:rPr>
      </w:pPr>
      <w:r>
        <w:rPr>
          <w:rFonts w:hint="eastAsia" w:ascii="仿宋" w:hAnsi="仿宋" w:eastAsia="仿宋" w:cs="仿宋"/>
          <w:sz w:val="24"/>
        </w:rPr>
        <w:t>保证人：（公章）</w:t>
      </w:r>
    </w:p>
    <w:p>
      <w:pPr>
        <w:rPr>
          <w:rFonts w:ascii="仿宋" w:hAnsi="仿宋" w:eastAsia="仿宋" w:cs="仿宋"/>
          <w:sz w:val="24"/>
        </w:rPr>
      </w:pPr>
      <w:r>
        <w:rPr>
          <w:rFonts w:hint="eastAsia" w:ascii="仿宋" w:hAnsi="仿宋" w:eastAsia="仿宋" w:cs="仿宋"/>
          <w:sz w:val="24"/>
        </w:rPr>
        <w:t xml:space="preserve">                   </w:t>
      </w:r>
    </w:p>
    <w:p>
      <w:pPr>
        <w:rPr>
          <w:rFonts w:ascii="仿宋" w:hAnsi="仿宋" w:eastAsia="仿宋" w:cs="仿宋"/>
          <w:sz w:val="24"/>
        </w:rPr>
      </w:pPr>
      <w:r>
        <w:rPr>
          <w:rFonts w:hint="eastAsia" w:ascii="仿宋" w:hAnsi="仿宋" w:eastAsia="仿宋" w:cs="仿宋"/>
          <w:sz w:val="24"/>
        </w:rPr>
        <w:t xml:space="preserve">                                                   年     月      日</w:t>
      </w:r>
    </w:p>
    <w:p>
      <w:pPr>
        <w:rPr>
          <w:rFonts w:ascii="仿宋" w:hAnsi="仿宋" w:eastAsia="仿宋" w:cs="仿宋"/>
          <w:sz w:val="24"/>
        </w:rPr>
      </w:pPr>
    </w:p>
    <w:p>
      <w:pPr>
        <w:pStyle w:val="3"/>
        <w:ind w:firstLine="0" w:firstLineChars="0"/>
        <w:rPr>
          <w:rFonts w:ascii="仿宋" w:hAnsi="仿宋" w:eastAsia="仿宋" w:cs="仿宋"/>
          <w:b/>
          <w:kern w:val="0"/>
          <w:sz w:val="44"/>
          <w:szCs w:val="44"/>
        </w:rPr>
      </w:pPr>
    </w:p>
    <w:p>
      <w:pPr>
        <w:tabs>
          <w:tab w:val="left" w:pos="0"/>
        </w:tabs>
        <w:spacing w:line="240" w:lineRule="atLeast"/>
        <w:textAlignment w:val="baseline"/>
        <w:rPr>
          <w:rFonts w:ascii="仿宋" w:hAnsi="仿宋" w:eastAsia="仿宋" w:cs="仿宋"/>
          <w:b/>
          <w:kern w:val="0"/>
          <w:sz w:val="44"/>
          <w:szCs w:val="44"/>
        </w:rPr>
      </w:pPr>
    </w:p>
    <w:p>
      <w:pPr>
        <w:pStyle w:val="34"/>
        <w:ind w:firstLine="883"/>
        <w:rPr>
          <w:rFonts w:ascii="仿宋" w:hAnsi="仿宋" w:eastAsia="仿宋" w:cs="仿宋"/>
          <w:b/>
          <w:kern w:val="0"/>
          <w:sz w:val="44"/>
          <w:szCs w:val="44"/>
        </w:rPr>
      </w:pPr>
    </w:p>
    <w:p>
      <w:pPr>
        <w:pStyle w:val="9"/>
        <w:rPr>
          <w:rFonts w:ascii="仿宋" w:hAnsi="仿宋" w:eastAsia="仿宋" w:cs="仿宋"/>
          <w:b/>
          <w:sz w:val="44"/>
          <w:szCs w:val="44"/>
        </w:rPr>
      </w:pPr>
    </w:p>
    <w:p>
      <w:pPr>
        <w:pStyle w:val="11"/>
        <w:rPr>
          <w:rFonts w:ascii="仿宋" w:hAnsi="仿宋" w:eastAsia="仿宋" w:cs="仿宋"/>
          <w:b/>
          <w:kern w:val="0"/>
          <w:sz w:val="44"/>
          <w:szCs w:val="44"/>
        </w:rPr>
      </w:pPr>
    </w:p>
    <w:p>
      <w:pPr>
        <w:rPr>
          <w:rFonts w:ascii="仿宋" w:hAnsi="仿宋" w:eastAsia="仿宋" w:cs="仿宋"/>
          <w:b/>
          <w:kern w:val="0"/>
          <w:sz w:val="44"/>
          <w:szCs w:val="44"/>
        </w:rPr>
      </w:pPr>
    </w:p>
    <w:p>
      <w:pPr>
        <w:pStyle w:val="34"/>
        <w:ind w:firstLine="883"/>
        <w:rPr>
          <w:rFonts w:ascii="仿宋" w:hAnsi="仿宋" w:eastAsia="仿宋" w:cs="仿宋"/>
          <w:b/>
          <w:kern w:val="0"/>
          <w:sz w:val="44"/>
          <w:szCs w:val="44"/>
        </w:rPr>
      </w:pPr>
    </w:p>
    <w:p>
      <w:pPr>
        <w:pStyle w:val="3"/>
        <w:ind w:firstLine="442"/>
        <w:rPr>
          <w:rFonts w:ascii="仿宋" w:hAnsi="仿宋" w:eastAsia="仿宋" w:cs="仿宋"/>
          <w:b/>
          <w:kern w:val="0"/>
          <w:sz w:val="44"/>
          <w:szCs w:val="44"/>
        </w:rPr>
      </w:pPr>
    </w:p>
    <w:p>
      <w:pPr>
        <w:rPr>
          <w:rFonts w:ascii="仿宋" w:hAnsi="仿宋" w:eastAsia="仿宋" w:cs="仿宋"/>
          <w:b/>
          <w:kern w:val="0"/>
          <w:sz w:val="44"/>
          <w:szCs w:val="44"/>
        </w:rPr>
      </w:pPr>
    </w:p>
    <w:p>
      <w:pPr>
        <w:pStyle w:val="26"/>
        <w:rPr>
          <w:rFonts w:ascii="仿宋" w:hAnsi="仿宋" w:eastAsia="仿宋" w:cs="仿宋"/>
          <w:b/>
          <w:kern w:val="0"/>
          <w:sz w:val="44"/>
          <w:szCs w:val="44"/>
        </w:rPr>
      </w:pPr>
    </w:p>
    <w:p>
      <w:pPr>
        <w:pStyle w:val="2"/>
        <w:rPr>
          <w:rFonts w:ascii="仿宋" w:hAnsi="仿宋" w:eastAsia="仿宋" w:cs="仿宋"/>
          <w:b/>
          <w:kern w:val="0"/>
          <w:sz w:val="44"/>
          <w:szCs w:val="44"/>
        </w:rPr>
      </w:pPr>
    </w:p>
    <w:p>
      <w:pPr>
        <w:rPr>
          <w:rFonts w:ascii="仿宋" w:hAnsi="仿宋" w:eastAsia="仿宋" w:cs="仿宋"/>
          <w:b/>
          <w:kern w:val="0"/>
          <w:sz w:val="44"/>
          <w:szCs w:val="44"/>
        </w:rPr>
      </w:pPr>
    </w:p>
    <w:bookmarkEnd w:id="0"/>
    <w:bookmarkEnd w:id="1"/>
    <w:bookmarkEnd w:id="2"/>
    <w:bookmarkEnd w:id="3"/>
    <w:bookmarkEnd w:id="4"/>
    <w:bookmarkEnd w:id="5"/>
    <w:bookmarkEnd w:id="6"/>
    <w:bookmarkEnd w:id="7"/>
    <w:bookmarkEnd w:id="8"/>
    <w:p>
      <w:pPr>
        <w:widowControl/>
        <w:jc w:val="left"/>
        <w:rPr>
          <w:rFonts w:ascii="仿宋" w:hAnsi="仿宋" w:eastAsia="仿宋" w:cs="仿宋"/>
          <w:b/>
          <w:kern w:val="0"/>
          <w:sz w:val="44"/>
          <w:szCs w:val="44"/>
        </w:rPr>
      </w:pPr>
      <w:bookmarkStart w:id="773" w:name="_Toc13090"/>
      <w:bookmarkStart w:id="774" w:name="_Toc24454"/>
      <w:bookmarkStart w:id="775" w:name="_Toc8096"/>
      <w:bookmarkStart w:id="776" w:name="_Toc25831"/>
      <w:bookmarkStart w:id="777" w:name="_Toc2603"/>
      <w:bookmarkStart w:id="778" w:name="_Toc1405"/>
      <w:bookmarkStart w:id="779" w:name="_Toc10488"/>
      <w:bookmarkStart w:id="780" w:name="_Toc20439"/>
      <w:bookmarkStart w:id="781" w:name="_Toc512937850"/>
      <w:bookmarkStart w:id="782" w:name="_Toc216582823"/>
      <w:bookmarkStart w:id="783" w:name="_Toc515647830"/>
      <w:bookmarkStart w:id="784" w:name="_Toc507399903"/>
      <w:bookmarkStart w:id="785" w:name="_Toc31583"/>
      <w:r>
        <w:rPr>
          <w:rFonts w:hint="eastAsia" w:ascii="仿宋" w:hAnsi="仿宋" w:eastAsia="仿宋" w:cs="仿宋"/>
          <w:kern w:val="0"/>
          <w:sz w:val="44"/>
          <w:szCs w:val="44"/>
        </w:rPr>
        <w:br w:type="page"/>
      </w:r>
    </w:p>
    <w:p>
      <w:pPr>
        <w:pStyle w:val="5"/>
        <w:tabs>
          <w:tab w:val="left" w:pos="0"/>
        </w:tabs>
        <w:spacing w:before="0" w:after="0" w:line="240" w:lineRule="atLeast"/>
        <w:textAlignment w:val="baseline"/>
        <w:rPr>
          <w:rFonts w:ascii="仿宋" w:hAnsi="仿宋" w:eastAsia="仿宋" w:cs="仿宋"/>
          <w:sz w:val="44"/>
          <w:szCs w:val="44"/>
        </w:rPr>
      </w:pPr>
      <w:r>
        <w:rPr>
          <w:rFonts w:hint="eastAsia" w:ascii="仿宋" w:hAnsi="仿宋" w:eastAsia="仿宋" w:cs="仿宋"/>
          <w:kern w:val="0"/>
          <w:sz w:val="44"/>
          <w:szCs w:val="44"/>
        </w:rPr>
        <w:t>第二章</w:t>
      </w:r>
      <w:r>
        <w:rPr>
          <w:rFonts w:hint="eastAsia" w:ascii="仿宋" w:hAnsi="仿宋" w:eastAsia="仿宋" w:cs="仿宋"/>
          <w:sz w:val="44"/>
          <w:szCs w:val="44"/>
        </w:rPr>
        <w:t xml:space="preserve">  投标文件格式</w:t>
      </w:r>
      <w:bookmarkEnd w:id="773"/>
      <w:bookmarkEnd w:id="774"/>
      <w:bookmarkEnd w:id="775"/>
      <w:bookmarkEnd w:id="776"/>
      <w:bookmarkEnd w:id="777"/>
    </w:p>
    <w:p>
      <w:pPr>
        <w:textAlignment w:val="baseline"/>
        <w:rPr>
          <w:rFonts w:ascii="仿宋" w:hAnsi="仿宋" w:eastAsia="仿宋" w:cs="仿宋"/>
          <w:sz w:val="20"/>
        </w:rPr>
      </w:pPr>
    </w:p>
    <w:p>
      <w:pPr>
        <w:pStyle w:val="88"/>
        <w:rPr>
          <w:rFonts w:ascii="仿宋" w:hAnsi="仿宋" w:eastAsia="仿宋" w:cs="仿宋"/>
        </w:rPr>
      </w:pPr>
      <w:bookmarkStart w:id="786" w:name="_Toc15142"/>
      <w:bookmarkStart w:id="787" w:name="_Toc518923107"/>
    </w:p>
    <w:p>
      <w:pPr>
        <w:pStyle w:val="6"/>
        <w:spacing w:before="0" w:line="240" w:lineRule="atLeast"/>
        <w:ind w:left="1079" w:leftChars="257" w:hanging="540"/>
        <w:textAlignment w:val="baseline"/>
        <w:rPr>
          <w:rFonts w:ascii="仿宋" w:hAnsi="仿宋" w:eastAsia="仿宋" w:cs="仿宋"/>
          <w:sz w:val="24"/>
        </w:rPr>
      </w:pPr>
      <w:bookmarkStart w:id="788" w:name="_Toc13309"/>
      <w:bookmarkStart w:id="789" w:name="_Toc15037"/>
      <w:bookmarkStart w:id="790" w:name="_Toc11730"/>
      <w:bookmarkStart w:id="791" w:name="_Toc17486"/>
      <w:bookmarkStart w:id="792" w:name="_Toc7162"/>
      <w:bookmarkStart w:id="793" w:name="_Toc11201"/>
      <w:bookmarkStart w:id="794" w:name="_Toc10047"/>
      <w:bookmarkStart w:id="795" w:name="_Toc14363"/>
      <w:bookmarkStart w:id="796" w:name="_Toc21312"/>
      <w:bookmarkStart w:id="797" w:name="_Toc13868"/>
      <w:bookmarkStart w:id="798" w:name="_Toc11722"/>
      <w:bookmarkStart w:id="799" w:name="_Toc24822"/>
      <w:bookmarkStart w:id="800" w:name="_Toc8875"/>
      <w:bookmarkStart w:id="801" w:name="_Toc15435"/>
      <w:r>
        <w:rPr>
          <w:rFonts w:hint="eastAsia" w:ascii="仿宋" w:hAnsi="仿宋" w:eastAsia="仿宋" w:cs="仿宋"/>
          <w:sz w:val="24"/>
        </w:rPr>
        <w:t>第一部分 开标一览表及资格证明文件</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pPr>
        <w:spacing w:line="288" w:lineRule="auto"/>
        <w:textAlignment w:val="baseline"/>
        <w:rPr>
          <w:rFonts w:ascii="仿宋" w:hAnsi="仿宋" w:eastAsia="仿宋" w:cs="仿宋"/>
          <w:sz w:val="24"/>
        </w:rPr>
      </w:pPr>
    </w:p>
    <w:p>
      <w:pPr>
        <w:spacing w:line="240" w:lineRule="atLeast"/>
        <w:ind w:left="708" w:hanging="708" w:hangingChars="295"/>
        <w:jc w:val="center"/>
        <w:textAlignment w:val="baseline"/>
        <w:rPr>
          <w:rFonts w:ascii="仿宋" w:hAnsi="仿宋" w:eastAsia="仿宋" w:cs="仿宋"/>
          <w:sz w:val="24"/>
        </w:rPr>
      </w:pPr>
    </w:p>
    <w:p>
      <w:pPr>
        <w:pStyle w:val="17"/>
        <w:spacing w:line="288" w:lineRule="auto"/>
        <w:ind w:firstLine="480" w:firstLineChars="200"/>
        <w:jc w:val="left"/>
        <w:textAlignment w:val="baseline"/>
        <w:rPr>
          <w:rFonts w:ascii="仿宋" w:hAnsi="仿宋" w:eastAsia="仿宋" w:cs="仿宋"/>
          <w:sz w:val="24"/>
        </w:rPr>
      </w:pPr>
      <w:r>
        <w:rPr>
          <w:rFonts w:hint="eastAsia" w:ascii="仿宋" w:hAnsi="仿宋" w:eastAsia="仿宋" w:cs="仿宋"/>
          <w:sz w:val="24"/>
        </w:rPr>
        <w:t>1、开标一览表</w:t>
      </w:r>
    </w:p>
    <w:p>
      <w:pPr>
        <w:pStyle w:val="17"/>
        <w:spacing w:line="288" w:lineRule="auto"/>
        <w:ind w:firstLine="480" w:firstLineChars="200"/>
        <w:jc w:val="left"/>
        <w:textAlignment w:val="baseline"/>
        <w:rPr>
          <w:rFonts w:ascii="仿宋" w:hAnsi="仿宋" w:eastAsia="仿宋" w:cs="仿宋"/>
          <w:sz w:val="24"/>
        </w:rPr>
      </w:pPr>
      <w:r>
        <w:rPr>
          <w:rFonts w:hint="eastAsia" w:ascii="仿宋" w:hAnsi="仿宋" w:eastAsia="仿宋" w:cs="仿宋"/>
          <w:sz w:val="24"/>
        </w:rPr>
        <w:t>2、企业三证合一的法人营业执照或含二维码的营业执照；</w:t>
      </w:r>
    </w:p>
    <w:p>
      <w:pPr>
        <w:pStyle w:val="17"/>
        <w:spacing w:line="288" w:lineRule="auto"/>
        <w:ind w:firstLine="480" w:firstLineChars="200"/>
        <w:jc w:val="left"/>
        <w:textAlignment w:val="baseline"/>
        <w:rPr>
          <w:rFonts w:ascii="仿宋" w:hAnsi="仿宋" w:eastAsia="仿宋" w:cs="仿宋"/>
          <w:sz w:val="24"/>
        </w:rPr>
      </w:pPr>
      <w:r>
        <w:rPr>
          <w:rFonts w:hint="eastAsia" w:ascii="仿宋" w:hAnsi="仿宋" w:eastAsia="仿宋" w:cs="仿宋"/>
          <w:sz w:val="24"/>
        </w:rPr>
        <w:t>3、法定代表人资格证明及授权书、被授权人身份证(法定代表人投标需提供法定代表人身份证)；</w:t>
      </w:r>
    </w:p>
    <w:p>
      <w:pPr>
        <w:pStyle w:val="17"/>
        <w:spacing w:line="288" w:lineRule="auto"/>
        <w:ind w:firstLine="480" w:firstLineChars="200"/>
        <w:jc w:val="left"/>
        <w:textAlignment w:val="baseline"/>
        <w:rPr>
          <w:rFonts w:ascii="仿宋" w:hAnsi="仿宋" w:eastAsia="仿宋" w:cs="仿宋"/>
          <w:sz w:val="24"/>
        </w:rPr>
      </w:pPr>
      <w:r>
        <w:rPr>
          <w:rFonts w:hint="eastAsia" w:ascii="仿宋" w:hAnsi="仿宋" w:eastAsia="仿宋" w:cs="仿宋"/>
          <w:sz w:val="24"/>
        </w:rPr>
        <w:t>4、提供近两年内任意一年的财务审计报告（新成立的公司可提供近一个月的银行资信证明）；</w:t>
      </w:r>
    </w:p>
    <w:p>
      <w:pPr>
        <w:pStyle w:val="17"/>
        <w:spacing w:line="288" w:lineRule="auto"/>
        <w:ind w:firstLine="480" w:firstLineChars="200"/>
        <w:jc w:val="left"/>
        <w:textAlignment w:val="baseline"/>
        <w:rPr>
          <w:rFonts w:ascii="仿宋" w:hAnsi="仿宋" w:eastAsia="仿宋" w:cs="仿宋"/>
          <w:sz w:val="24"/>
        </w:rPr>
      </w:pPr>
      <w:r>
        <w:rPr>
          <w:rFonts w:hint="eastAsia" w:ascii="仿宋" w:hAnsi="仿宋" w:eastAsia="仿宋" w:cs="仿宋"/>
          <w:sz w:val="24"/>
        </w:rPr>
        <w:t>5、投标人依法缴纳近 3个月内其中任意1个月的社会保险凭据；</w:t>
      </w:r>
    </w:p>
    <w:p>
      <w:pPr>
        <w:spacing w:line="240" w:lineRule="atLeast"/>
        <w:ind w:firstLine="480" w:firstLineChars="200"/>
        <w:jc w:val="left"/>
        <w:rPr>
          <w:rFonts w:ascii="仿宋" w:hAnsi="仿宋" w:eastAsia="仿宋" w:cs="仿宋"/>
          <w:sz w:val="24"/>
        </w:rPr>
      </w:pPr>
      <w:r>
        <w:rPr>
          <w:rFonts w:hint="eastAsia" w:ascii="仿宋" w:hAnsi="仿宋" w:eastAsia="仿宋" w:cs="仿宋"/>
          <w:sz w:val="24"/>
        </w:rPr>
        <w:t>6、投标人提供税务部门出具的近3个月内其中任意1个月的完税证明（零申报需加盖税务机关鲜章）；</w:t>
      </w:r>
    </w:p>
    <w:p>
      <w:pPr>
        <w:pStyle w:val="17"/>
        <w:spacing w:line="288" w:lineRule="auto"/>
        <w:ind w:firstLine="480" w:firstLineChars="200"/>
        <w:jc w:val="left"/>
        <w:textAlignment w:val="baseline"/>
        <w:rPr>
          <w:rFonts w:ascii="仿宋" w:hAnsi="仿宋" w:eastAsia="仿宋" w:cs="仿宋"/>
          <w:sz w:val="24"/>
        </w:rPr>
      </w:pPr>
      <w:r>
        <w:rPr>
          <w:rFonts w:hint="eastAsia" w:ascii="仿宋" w:hAnsi="仿宋" w:eastAsia="仿宋" w:cs="仿宋"/>
          <w:sz w:val="24"/>
        </w:rPr>
        <w:t>7、根据《财政部关于在政府采购活动中查询及使用信用记录有关问题的通知》（财库﹝2016﹞125 号）的要求，凡拟参加本次招标项目的投标人，如在“信用中国”网站被列入失信被执行人、重大税收违法失信主体(信用中国首页-点击信用服务-查询、网页打印)、中国政府采购网严重违法失信行为记录名单的（尚在处罚期内的），将拒绝其参加本次招标活动（由代理机构现场查询核实）；</w:t>
      </w:r>
    </w:p>
    <w:p>
      <w:pPr>
        <w:pStyle w:val="17"/>
        <w:spacing w:line="288" w:lineRule="auto"/>
        <w:ind w:firstLine="480" w:firstLineChars="200"/>
        <w:jc w:val="left"/>
        <w:textAlignment w:val="baseline"/>
        <w:rPr>
          <w:rFonts w:ascii="仿宋" w:hAnsi="仿宋" w:eastAsia="仿宋" w:cs="仿宋"/>
          <w:sz w:val="24"/>
        </w:rPr>
      </w:pPr>
      <w:r>
        <w:rPr>
          <w:rFonts w:hint="eastAsia" w:ascii="仿宋" w:hAnsi="仿宋" w:eastAsia="仿宋" w:cs="仿宋"/>
          <w:sz w:val="24"/>
        </w:rPr>
        <w:t>8、在参加政府采购活动中前三年内无重大违法记录的声明书；</w:t>
      </w:r>
    </w:p>
    <w:p>
      <w:pPr>
        <w:pStyle w:val="17"/>
        <w:spacing w:line="288" w:lineRule="auto"/>
        <w:ind w:firstLine="480" w:firstLineChars="200"/>
        <w:jc w:val="left"/>
        <w:textAlignment w:val="baseline"/>
        <w:rPr>
          <w:rFonts w:ascii="仿宋" w:hAnsi="仿宋" w:eastAsia="仿宋" w:cs="仿宋"/>
          <w:sz w:val="24"/>
          <w:szCs w:val="22"/>
        </w:rPr>
      </w:pPr>
      <w:r>
        <w:rPr>
          <w:rFonts w:hint="eastAsia" w:ascii="仿宋" w:hAnsi="仿宋" w:eastAsia="仿宋" w:cs="仿宋"/>
          <w:sz w:val="24"/>
        </w:rPr>
        <w:t>9、</w:t>
      </w:r>
      <w:r>
        <w:rPr>
          <w:rFonts w:hint="eastAsia" w:ascii="仿宋" w:hAnsi="仿宋" w:eastAsia="仿宋" w:cs="仿宋"/>
          <w:sz w:val="24"/>
          <w:szCs w:val="22"/>
        </w:rPr>
        <w:t>提供针对本次项目《反商业贿赂承诺书》；</w:t>
      </w:r>
    </w:p>
    <w:p>
      <w:pPr>
        <w:pStyle w:val="17"/>
        <w:spacing w:line="288" w:lineRule="auto"/>
        <w:ind w:firstLine="480" w:firstLineChars="200"/>
        <w:jc w:val="left"/>
        <w:textAlignment w:val="baseline"/>
        <w:rPr>
          <w:rFonts w:ascii="仿宋" w:hAnsi="仿宋" w:eastAsia="仿宋" w:cs="仿宋"/>
          <w:sz w:val="24"/>
          <w:szCs w:val="22"/>
        </w:rPr>
      </w:pPr>
      <w:r>
        <w:rPr>
          <w:rFonts w:hint="eastAsia" w:ascii="仿宋" w:hAnsi="仿宋" w:eastAsia="仿宋" w:cs="仿宋"/>
          <w:sz w:val="24"/>
          <w:szCs w:val="22"/>
        </w:rPr>
        <w:t>10、投标保证金缴纳凭证；</w:t>
      </w:r>
    </w:p>
    <w:p>
      <w:pPr>
        <w:spacing w:line="240" w:lineRule="atLeast"/>
        <w:ind w:firstLine="480" w:firstLineChars="200"/>
        <w:jc w:val="left"/>
        <w:rPr>
          <w:rFonts w:ascii="仿宋" w:hAnsi="仿宋" w:eastAsia="仿宋" w:cs="仿宋"/>
          <w:sz w:val="24"/>
        </w:rPr>
      </w:pPr>
      <w:r>
        <w:rPr>
          <w:rFonts w:hint="eastAsia" w:ascii="仿宋" w:hAnsi="仿宋" w:eastAsia="仿宋" w:cs="仿宋"/>
          <w:sz w:val="24"/>
        </w:rPr>
        <w:t>11、</w:t>
      </w:r>
      <w:r>
        <w:rPr>
          <w:rFonts w:hint="eastAsia" w:ascii="仿宋" w:hAnsi="仿宋" w:eastAsia="仿宋" w:cs="仿宋"/>
          <w:sz w:val="24"/>
          <w:lang w:eastAsia="zh-CN"/>
        </w:rPr>
        <w:t>投标人</w:t>
      </w:r>
      <w:r>
        <w:rPr>
          <w:rFonts w:hint="eastAsia" w:ascii="仿宋" w:hAnsi="仿宋" w:eastAsia="仿宋" w:cs="仿宋"/>
          <w:sz w:val="24"/>
        </w:rPr>
        <w:t>应为中小企业，提供《中小企业声明函》。</w:t>
      </w:r>
    </w:p>
    <w:p>
      <w:pPr>
        <w:pStyle w:val="26"/>
        <w:rPr>
          <w:rFonts w:ascii="仿宋" w:hAnsi="仿宋" w:eastAsia="仿宋" w:cs="仿宋"/>
          <w:sz w:val="24"/>
        </w:rPr>
      </w:pPr>
    </w:p>
    <w:p>
      <w:pPr>
        <w:pStyle w:val="26"/>
        <w:rPr>
          <w:rFonts w:ascii="仿宋" w:hAnsi="仿宋" w:eastAsia="仿宋" w:cs="仿宋"/>
          <w:sz w:val="24"/>
        </w:rPr>
      </w:pPr>
    </w:p>
    <w:p>
      <w:pPr>
        <w:pStyle w:val="2"/>
        <w:rPr>
          <w:rFonts w:ascii="仿宋" w:hAnsi="仿宋" w:eastAsia="仿宋" w:cs="仿宋"/>
        </w:rPr>
      </w:pPr>
    </w:p>
    <w:p>
      <w:pPr>
        <w:rPr>
          <w:rFonts w:ascii="仿宋" w:hAnsi="仿宋" w:eastAsia="仿宋" w:cs="仿宋"/>
        </w:rPr>
      </w:pPr>
      <w:bookmarkStart w:id="802" w:name="_Toc32488"/>
      <w:bookmarkStart w:id="803" w:name="_Toc14899"/>
      <w:bookmarkStart w:id="804" w:name="_Toc12481"/>
      <w:bookmarkStart w:id="805" w:name="_Toc19180"/>
      <w:bookmarkStart w:id="806" w:name="_Toc18565"/>
      <w:bookmarkStart w:id="807" w:name="_Toc9428"/>
      <w:bookmarkStart w:id="808" w:name="_Toc29905"/>
      <w:bookmarkStart w:id="809" w:name="_Toc14309"/>
      <w:bookmarkStart w:id="810" w:name="_Toc14603"/>
      <w:bookmarkStart w:id="811" w:name="_Toc16568"/>
      <w:bookmarkStart w:id="812" w:name="_Toc2495"/>
      <w:bookmarkStart w:id="813" w:name="_Toc30524"/>
      <w:bookmarkStart w:id="814" w:name="_Toc4959"/>
      <w:bookmarkStart w:id="815" w:name="_Toc20950"/>
      <w:bookmarkStart w:id="816" w:name="_Toc2776"/>
      <w:bookmarkStart w:id="817" w:name="_Toc24557"/>
      <w:bookmarkStart w:id="818" w:name="_Toc515647804"/>
      <w:bookmarkStart w:id="819" w:name="_Toc9159"/>
      <w:r>
        <w:rPr>
          <w:rFonts w:hint="eastAsia" w:ascii="仿宋" w:hAnsi="仿宋" w:eastAsia="仿宋" w:cs="仿宋"/>
        </w:rPr>
        <w:br w:type="page"/>
      </w:r>
    </w:p>
    <w:p>
      <w:pPr>
        <w:pStyle w:val="7"/>
        <w:widowControl/>
        <w:spacing w:before="0" w:after="0" w:line="288" w:lineRule="auto"/>
        <w:ind w:left="1078" w:leftChars="257" w:hanging="539"/>
        <w:jc w:val="center"/>
        <w:textAlignment w:val="baseline"/>
        <w:rPr>
          <w:rFonts w:ascii="仿宋" w:hAnsi="仿宋" w:eastAsia="仿宋" w:cs="仿宋"/>
          <w:u w:val="none"/>
        </w:rPr>
      </w:pPr>
      <w:r>
        <w:rPr>
          <w:rFonts w:hint="eastAsia" w:ascii="仿宋" w:hAnsi="仿宋" w:eastAsia="仿宋" w:cs="仿宋"/>
          <w:u w:val="none"/>
        </w:rPr>
        <w:t>1  开标一览表</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pPr>
        <w:pStyle w:val="17"/>
        <w:tabs>
          <w:tab w:val="left" w:pos="5580"/>
        </w:tabs>
        <w:spacing w:line="288" w:lineRule="auto"/>
        <w:ind w:left="268" w:leftChars="128"/>
        <w:textAlignment w:val="baseline"/>
        <w:rPr>
          <w:rFonts w:ascii="仿宋" w:hAnsi="仿宋" w:eastAsia="仿宋" w:cs="仿宋"/>
          <w:sz w:val="24"/>
        </w:rPr>
      </w:pPr>
    </w:p>
    <w:p>
      <w:pPr>
        <w:pStyle w:val="17"/>
        <w:tabs>
          <w:tab w:val="left" w:pos="5580"/>
        </w:tabs>
        <w:spacing w:line="288" w:lineRule="auto"/>
        <w:ind w:left="268" w:leftChars="128"/>
        <w:textAlignment w:val="baseline"/>
        <w:rPr>
          <w:rFonts w:ascii="仿宋" w:hAnsi="仿宋" w:eastAsia="仿宋" w:cs="仿宋"/>
          <w:sz w:val="24"/>
          <w:szCs w:val="24"/>
        </w:rPr>
      </w:pPr>
    </w:p>
    <w:p>
      <w:pPr>
        <w:pStyle w:val="26"/>
        <w:spacing w:line="288" w:lineRule="auto"/>
        <w:textAlignment w:val="baseline"/>
        <w:rPr>
          <w:rFonts w:ascii="仿宋" w:hAnsi="仿宋" w:eastAsia="仿宋" w:cs="仿宋"/>
          <w:sz w:val="24"/>
        </w:rPr>
      </w:pPr>
      <w:bookmarkStart w:id="820" w:name="_Hlt520356241"/>
      <w:bookmarkEnd w:id="820"/>
      <w:r>
        <w:rPr>
          <w:rFonts w:hint="eastAsia" w:ascii="仿宋" w:hAnsi="仿宋" w:eastAsia="仿宋" w:cs="仿宋"/>
          <w:sz w:val="24"/>
        </w:rPr>
        <w:t>项目名称：</w:t>
      </w:r>
    </w:p>
    <w:p>
      <w:pPr>
        <w:pStyle w:val="26"/>
        <w:spacing w:line="288" w:lineRule="auto"/>
        <w:textAlignment w:val="baseline"/>
        <w:rPr>
          <w:rFonts w:ascii="仿宋" w:hAnsi="仿宋" w:eastAsia="仿宋" w:cs="仿宋"/>
          <w:sz w:val="24"/>
        </w:rPr>
      </w:pPr>
      <w:r>
        <w:rPr>
          <w:rFonts w:hint="eastAsia" w:ascii="仿宋" w:hAnsi="仿宋" w:eastAsia="仿宋" w:cs="仿宋"/>
          <w:sz w:val="24"/>
        </w:rPr>
        <w:t>项目编号：</w:t>
      </w:r>
    </w:p>
    <w:p>
      <w:pPr>
        <w:pStyle w:val="26"/>
        <w:spacing w:line="288" w:lineRule="auto"/>
        <w:textAlignment w:val="baseline"/>
        <w:rPr>
          <w:rFonts w:ascii="仿宋" w:hAnsi="仿宋" w:eastAsia="仿宋" w:cs="仿宋"/>
          <w:sz w:val="24"/>
        </w:rPr>
      </w:pPr>
      <w:r>
        <w:rPr>
          <w:rFonts w:hint="eastAsia" w:ascii="仿宋" w:hAnsi="仿宋" w:eastAsia="仿宋" w:cs="仿宋"/>
          <w:sz w:val="24"/>
        </w:rPr>
        <w:t xml:space="preserve">标    段: </w:t>
      </w:r>
    </w:p>
    <w:p>
      <w:pPr>
        <w:pStyle w:val="26"/>
        <w:jc w:val="center"/>
        <w:textAlignment w:val="baseline"/>
        <w:rPr>
          <w:rFonts w:ascii="仿宋" w:hAnsi="仿宋" w:eastAsia="仿宋" w:cs="仿宋"/>
          <w:sz w:val="24"/>
        </w:rPr>
      </w:pPr>
      <w:r>
        <w:rPr>
          <w:rFonts w:hint="eastAsia" w:ascii="仿宋" w:hAnsi="仿宋" w:eastAsia="仿宋" w:cs="仿宋"/>
        </w:rPr>
        <w:t xml:space="preserve">                                                                    单位：人民币元</w:t>
      </w:r>
    </w:p>
    <w:p>
      <w:pPr>
        <w:pStyle w:val="26"/>
        <w:textAlignment w:val="baseline"/>
        <w:rPr>
          <w:rFonts w:ascii="仿宋" w:hAnsi="仿宋" w:eastAsia="仿宋" w:cs="仿宋"/>
        </w:rPr>
      </w:pPr>
    </w:p>
    <w:tbl>
      <w:tblPr>
        <w:tblStyle w:val="35"/>
        <w:tblpPr w:leftFromText="180" w:rightFromText="180" w:vertAnchor="text" w:horzAnchor="page" w:tblpX="1170" w:tblpY="82"/>
        <w:tblOverlap w:val="never"/>
        <w:tblW w:w="10423" w:type="dxa"/>
        <w:tblInd w:w="0" w:type="dxa"/>
        <w:tblLayout w:type="fixed"/>
        <w:tblCellMar>
          <w:top w:w="15" w:type="dxa"/>
          <w:left w:w="15" w:type="dxa"/>
          <w:bottom w:w="15" w:type="dxa"/>
          <w:right w:w="15" w:type="dxa"/>
        </w:tblCellMar>
      </w:tblPr>
      <w:tblGrid>
        <w:gridCol w:w="2094"/>
        <w:gridCol w:w="2291"/>
        <w:gridCol w:w="1413"/>
        <w:gridCol w:w="823"/>
        <w:gridCol w:w="1512"/>
        <w:gridCol w:w="1145"/>
        <w:gridCol w:w="1145"/>
      </w:tblGrid>
      <w:tr>
        <w:tblPrEx>
          <w:tblCellMar>
            <w:top w:w="15" w:type="dxa"/>
            <w:left w:w="15" w:type="dxa"/>
            <w:bottom w:w="15" w:type="dxa"/>
            <w:right w:w="15" w:type="dxa"/>
          </w:tblCellMar>
        </w:tblPrEx>
        <w:trPr>
          <w:trHeight w:val="1364" w:hRule="atLeast"/>
        </w:trPr>
        <w:tc>
          <w:tcPr>
            <w:tcW w:w="209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right="-199" w:firstLine="480" w:firstLineChars="200"/>
              <w:rPr>
                <w:rFonts w:ascii="仿宋" w:hAnsi="仿宋" w:eastAsia="仿宋" w:cs="仿宋"/>
                <w:sz w:val="24"/>
                <w:highlight w:val="yellow"/>
              </w:rPr>
            </w:pPr>
            <w:r>
              <w:rPr>
                <w:rFonts w:hint="eastAsia" w:ascii="仿宋" w:hAnsi="仿宋" w:eastAsia="仿宋" w:cs="仿宋"/>
                <w:sz w:val="24"/>
              </w:rPr>
              <w:t>项目名称</w:t>
            </w:r>
          </w:p>
        </w:tc>
        <w:tc>
          <w:tcPr>
            <w:tcW w:w="2291"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right="-199" w:firstLine="240" w:firstLineChars="100"/>
              <w:rPr>
                <w:rFonts w:ascii="仿宋" w:hAnsi="仿宋" w:eastAsia="仿宋" w:cs="仿宋"/>
                <w:kern w:val="0"/>
                <w:sz w:val="24"/>
                <w:highlight w:val="yellow"/>
              </w:rPr>
            </w:pPr>
            <w:r>
              <w:rPr>
                <w:rFonts w:hint="eastAsia" w:ascii="仿宋" w:hAnsi="仿宋" w:eastAsia="仿宋" w:cs="仿宋"/>
                <w:sz w:val="24"/>
              </w:rPr>
              <w:t>投标报价</w:t>
            </w:r>
          </w:p>
        </w:tc>
        <w:tc>
          <w:tcPr>
            <w:tcW w:w="141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right="-199"/>
              <w:rPr>
                <w:rFonts w:ascii="仿宋" w:hAnsi="仿宋" w:eastAsia="仿宋" w:cs="仿宋"/>
                <w:sz w:val="24"/>
                <w:highlight w:val="yellow"/>
              </w:rPr>
            </w:pPr>
            <w:r>
              <w:rPr>
                <w:rFonts w:hint="eastAsia" w:ascii="仿宋" w:hAnsi="仿宋" w:eastAsia="仿宋" w:cs="仿宋"/>
                <w:sz w:val="24"/>
              </w:rPr>
              <w:t>投标保证金</w:t>
            </w:r>
          </w:p>
        </w:tc>
        <w:tc>
          <w:tcPr>
            <w:tcW w:w="82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center"/>
              <w:rPr>
                <w:rFonts w:ascii="仿宋" w:hAnsi="仿宋" w:eastAsia="仿宋" w:cs="仿宋"/>
                <w:kern w:val="0"/>
                <w:sz w:val="24"/>
                <w:highlight w:val="yellow"/>
              </w:rPr>
            </w:pPr>
            <w:r>
              <w:rPr>
                <w:rFonts w:hint="eastAsia" w:ascii="仿宋" w:hAnsi="仿宋" w:eastAsia="仿宋" w:cs="仿宋"/>
                <w:sz w:val="24"/>
              </w:rPr>
              <w:t>质保期</w:t>
            </w:r>
          </w:p>
        </w:tc>
        <w:tc>
          <w:tcPr>
            <w:tcW w:w="15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firstLine="240" w:firstLineChars="100"/>
              <w:rPr>
                <w:rFonts w:ascii="仿宋" w:hAnsi="仿宋" w:eastAsia="仿宋" w:cs="仿宋"/>
                <w:sz w:val="24"/>
                <w:highlight w:val="yellow"/>
              </w:rPr>
            </w:pPr>
            <w:r>
              <w:rPr>
                <w:rFonts w:hint="eastAsia" w:ascii="仿宋" w:hAnsi="仿宋" w:eastAsia="仿宋" w:cs="仿宋"/>
                <w:sz w:val="24"/>
              </w:rPr>
              <w:t>交货地点</w:t>
            </w:r>
          </w:p>
        </w:tc>
        <w:tc>
          <w:tcPr>
            <w:tcW w:w="11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firstLine="240" w:firstLineChars="100"/>
              <w:rPr>
                <w:rFonts w:hint="eastAsia" w:ascii="仿宋" w:hAnsi="仿宋" w:eastAsia="仿宋" w:cs="仿宋"/>
                <w:sz w:val="24"/>
                <w:lang w:eastAsia="zh-CN"/>
              </w:rPr>
            </w:pPr>
            <w:r>
              <w:rPr>
                <w:rFonts w:hint="eastAsia" w:ascii="仿宋" w:hAnsi="仿宋" w:eastAsia="仿宋" w:cs="仿宋"/>
                <w:color w:val="auto"/>
                <w:sz w:val="24"/>
                <w:shd w:val="clear" w:fill="FF0000"/>
                <w:lang w:eastAsia="zh-CN"/>
              </w:rPr>
              <w:t>交付期</w:t>
            </w:r>
          </w:p>
        </w:tc>
        <w:tc>
          <w:tcPr>
            <w:tcW w:w="11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firstLine="240" w:firstLineChars="100"/>
              <w:rPr>
                <w:rFonts w:ascii="仿宋" w:hAnsi="仿宋" w:eastAsia="仿宋" w:cs="仿宋"/>
                <w:sz w:val="24"/>
                <w:highlight w:val="yellow"/>
              </w:rPr>
            </w:pPr>
            <w:r>
              <w:rPr>
                <w:rFonts w:hint="eastAsia" w:ascii="仿宋" w:hAnsi="仿宋" w:eastAsia="仿宋" w:cs="仿宋"/>
                <w:sz w:val="24"/>
              </w:rPr>
              <w:t>备注</w:t>
            </w:r>
          </w:p>
        </w:tc>
      </w:tr>
      <w:tr>
        <w:tblPrEx>
          <w:tblCellMar>
            <w:top w:w="15" w:type="dxa"/>
            <w:left w:w="15" w:type="dxa"/>
            <w:bottom w:w="15" w:type="dxa"/>
            <w:right w:w="15" w:type="dxa"/>
          </w:tblCellMar>
        </w:tblPrEx>
        <w:trPr>
          <w:trHeight w:val="1441" w:hRule="atLeast"/>
        </w:trPr>
        <w:tc>
          <w:tcPr>
            <w:tcW w:w="2094"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rPr>
                <w:rFonts w:ascii="仿宋" w:hAnsi="仿宋" w:eastAsia="仿宋" w:cs="仿宋"/>
                <w:sz w:val="18"/>
                <w:highlight w:val="yellow"/>
              </w:rPr>
            </w:pPr>
          </w:p>
        </w:tc>
        <w:tc>
          <w:tcPr>
            <w:tcW w:w="2291"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rPr>
            </w:pPr>
            <w:r>
              <w:rPr>
                <w:rFonts w:hint="eastAsia" w:ascii="仿宋" w:hAnsi="仿宋" w:eastAsia="仿宋" w:cs="仿宋"/>
              </w:rPr>
              <w:t>大写：</w:t>
            </w:r>
          </w:p>
          <w:p>
            <w:pPr>
              <w:pStyle w:val="26"/>
              <w:rPr>
                <w:rFonts w:ascii="仿宋" w:hAnsi="仿宋" w:eastAsia="仿宋" w:cs="仿宋"/>
              </w:rPr>
            </w:pPr>
          </w:p>
          <w:p>
            <w:pPr>
              <w:tabs>
                <w:tab w:val="left" w:pos="5580"/>
              </w:tabs>
              <w:spacing w:line="240" w:lineRule="atLeast"/>
              <w:jc w:val="left"/>
              <w:rPr>
                <w:rFonts w:ascii="仿宋" w:hAnsi="仿宋" w:eastAsia="仿宋" w:cs="仿宋"/>
                <w:kern w:val="0"/>
                <w:sz w:val="24"/>
                <w:highlight w:val="yellow"/>
              </w:rPr>
            </w:pPr>
            <w:r>
              <w:rPr>
                <w:rFonts w:hint="eastAsia" w:ascii="仿宋" w:hAnsi="仿宋" w:eastAsia="仿宋" w:cs="仿宋"/>
              </w:rPr>
              <w:t>小写：</w:t>
            </w:r>
          </w:p>
        </w:tc>
        <w:tc>
          <w:tcPr>
            <w:tcW w:w="141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ascii="仿宋" w:hAnsi="仿宋" w:eastAsia="仿宋" w:cs="仿宋"/>
                <w:kern w:val="0"/>
                <w:sz w:val="24"/>
                <w:highlight w:val="yellow"/>
              </w:rPr>
            </w:pPr>
          </w:p>
        </w:tc>
        <w:tc>
          <w:tcPr>
            <w:tcW w:w="823"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rPr>
                <w:rFonts w:ascii="仿宋" w:hAnsi="仿宋" w:eastAsia="仿宋" w:cs="仿宋"/>
                <w:kern w:val="0"/>
                <w:sz w:val="24"/>
                <w:highlight w:val="yellow"/>
              </w:rPr>
            </w:pPr>
          </w:p>
        </w:tc>
        <w:tc>
          <w:tcPr>
            <w:tcW w:w="1512"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rPr>
                <w:rFonts w:ascii="仿宋" w:hAnsi="仿宋" w:eastAsia="仿宋" w:cs="仿宋"/>
                <w:kern w:val="0"/>
                <w:sz w:val="24"/>
                <w:highlight w:val="yellow"/>
              </w:rPr>
            </w:pPr>
          </w:p>
        </w:tc>
        <w:tc>
          <w:tcPr>
            <w:tcW w:w="11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rPr>
                <w:rFonts w:ascii="仿宋" w:hAnsi="仿宋" w:eastAsia="仿宋" w:cs="仿宋"/>
                <w:kern w:val="0"/>
                <w:sz w:val="24"/>
                <w:highlight w:val="yellow"/>
              </w:rPr>
            </w:pPr>
          </w:p>
        </w:tc>
        <w:tc>
          <w:tcPr>
            <w:tcW w:w="1145" w:type="dxa"/>
            <w:tcBorders>
              <w:top w:val="single" w:color="auto" w:sz="4" w:space="0"/>
              <w:left w:val="single" w:color="auto" w:sz="4" w:space="0"/>
              <w:bottom w:val="single" w:color="auto" w:sz="4" w:space="0"/>
              <w:right w:val="single" w:color="auto" w:sz="4" w:space="0"/>
            </w:tcBorders>
            <w:vAlign w:val="center"/>
          </w:tcPr>
          <w:p>
            <w:pPr>
              <w:tabs>
                <w:tab w:val="left" w:pos="5580"/>
              </w:tabs>
              <w:spacing w:line="240" w:lineRule="atLeast"/>
              <w:rPr>
                <w:rFonts w:ascii="仿宋" w:hAnsi="仿宋" w:eastAsia="仿宋" w:cs="仿宋"/>
                <w:kern w:val="0"/>
                <w:sz w:val="24"/>
                <w:highlight w:val="yellow"/>
              </w:rPr>
            </w:pPr>
          </w:p>
        </w:tc>
      </w:tr>
    </w:tbl>
    <w:p>
      <w:pPr>
        <w:pStyle w:val="26"/>
        <w:jc w:val="both"/>
        <w:textAlignment w:val="baseline"/>
        <w:rPr>
          <w:rFonts w:ascii="仿宋" w:hAnsi="仿宋" w:eastAsia="仿宋" w:cs="仿宋"/>
          <w:sz w:val="24"/>
        </w:rPr>
      </w:pPr>
    </w:p>
    <w:p>
      <w:pPr>
        <w:pStyle w:val="26"/>
        <w:jc w:val="both"/>
        <w:textAlignment w:val="baseline"/>
        <w:rPr>
          <w:rFonts w:ascii="仿宋" w:hAnsi="仿宋" w:eastAsia="仿宋" w:cs="仿宋"/>
          <w:sz w:val="24"/>
        </w:rPr>
      </w:pPr>
      <w:r>
        <w:rPr>
          <w:rFonts w:hint="eastAsia" w:ascii="仿宋" w:hAnsi="仿宋" w:eastAsia="仿宋" w:cs="仿宋"/>
          <w:sz w:val="24"/>
        </w:rPr>
        <w:t>注：</w:t>
      </w:r>
    </w:p>
    <w:p>
      <w:pPr>
        <w:pStyle w:val="26"/>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 xml:space="preserve">1. “开标一览表”中的报价包含招标文件中规定的所有采购货物且数量一致，报价应是最终用户验收合格后的总价，包括货物运输、保险、代理、安装调试、培训、税费及提供服务产生的一切费用等与本项目有关的一切费用。 </w:t>
      </w:r>
    </w:p>
    <w:p>
      <w:pPr>
        <w:spacing w:line="360" w:lineRule="auto"/>
        <w:ind w:firstLine="470" w:firstLineChars="196"/>
        <w:jc w:val="left"/>
        <w:textAlignment w:val="baseline"/>
        <w:rPr>
          <w:rFonts w:ascii="仿宋" w:hAnsi="仿宋" w:eastAsia="仿宋" w:cs="仿宋"/>
          <w:sz w:val="24"/>
        </w:rPr>
      </w:pPr>
      <w:bookmarkStart w:id="821" w:name="_Toc677"/>
      <w:bookmarkStart w:id="822" w:name="_Toc13226"/>
      <w:bookmarkStart w:id="823" w:name="_Toc32608"/>
      <w:bookmarkStart w:id="824" w:name="_Toc4333"/>
      <w:bookmarkStart w:id="825" w:name="_Toc2616"/>
      <w:bookmarkStart w:id="826" w:name="_Toc31653"/>
      <w:r>
        <w:rPr>
          <w:rFonts w:hint="eastAsia" w:ascii="仿宋" w:hAnsi="仿宋" w:eastAsia="仿宋" w:cs="仿宋"/>
          <w:sz w:val="24"/>
        </w:rPr>
        <w:t>2.“开标一览表”为多页的，每页均需加盖投标人公章。</w:t>
      </w:r>
      <w:bookmarkEnd w:id="821"/>
      <w:bookmarkEnd w:id="822"/>
      <w:bookmarkEnd w:id="823"/>
      <w:bookmarkEnd w:id="824"/>
      <w:bookmarkEnd w:id="825"/>
      <w:bookmarkEnd w:id="826"/>
    </w:p>
    <w:p>
      <w:pPr>
        <w:spacing w:line="360" w:lineRule="auto"/>
        <w:ind w:firstLine="470" w:firstLineChars="196"/>
        <w:jc w:val="left"/>
        <w:textAlignment w:val="baseline"/>
        <w:rPr>
          <w:rFonts w:ascii="仿宋" w:hAnsi="仿宋" w:eastAsia="仿宋" w:cs="仿宋"/>
          <w:sz w:val="24"/>
        </w:rPr>
      </w:pPr>
      <w:bookmarkStart w:id="827" w:name="_Toc24080"/>
      <w:bookmarkStart w:id="828" w:name="_Toc24640"/>
      <w:bookmarkStart w:id="829" w:name="_Toc16295"/>
      <w:bookmarkStart w:id="830" w:name="_Toc18302"/>
      <w:bookmarkStart w:id="831" w:name="_Toc4215"/>
      <w:bookmarkStart w:id="832" w:name="_Toc7822"/>
    </w:p>
    <w:p>
      <w:pPr>
        <w:spacing w:line="360" w:lineRule="auto"/>
        <w:ind w:firstLine="470" w:firstLineChars="196"/>
        <w:jc w:val="left"/>
        <w:textAlignment w:val="baseline"/>
        <w:rPr>
          <w:rFonts w:ascii="仿宋" w:hAnsi="仿宋" w:eastAsia="仿宋" w:cs="仿宋"/>
          <w:sz w:val="24"/>
        </w:rPr>
      </w:pPr>
      <w:r>
        <w:rPr>
          <w:rFonts w:hint="eastAsia" w:ascii="仿宋" w:hAnsi="仿宋" w:eastAsia="仿宋" w:cs="仿宋"/>
          <w:sz w:val="24"/>
        </w:rPr>
        <w:t>投标人名称：XXXX（单位公章）</w:t>
      </w:r>
      <w:bookmarkEnd w:id="827"/>
      <w:bookmarkEnd w:id="828"/>
      <w:bookmarkEnd w:id="829"/>
      <w:bookmarkEnd w:id="830"/>
      <w:bookmarkEnd w:id="831"/>
      <w:bookmarkEnd w:id="832"/>
    </w:p>
    <w:p>
      <w:pPr>
        <w:spacing w:line="360" w:lineRule="auto"/>
        <w:ind w:firstLine="470" w:firstLineChars="196"/>
        <w:jc w:val="left"/>
        <w:textAlignment w:val="baseline"/>
        <w:rPr>
          <w:rFonts w:ascii="仿宋" w:hAnsi="仿宋" w:eastAsia="仿宋" w:cs="仿宋"/>
          <w:sz w:val="24"/>
        </w:rPr>
      </w:pPr>
      <w:bookmarkStart w:id="833" w:name="_Toc5153"/>
      <w:bookmarkStart w:id="834" w:name="_Toc21779"/>
      <w:bookmarkStart w:id="835" w:name="_Toc15175"/>
      <w:bookmarkStart w:id="836" w:name="_Toc18063"/>
      <w:bookmarkStart w:id="837" w:name="_Toc18382"/>
      <w:bookmarkStart w:id="838" w:name="_Toc16819"/>
      <w:r>
        <w:rPr>
          <w:rFonts w:hint="eastAsia" w:ascii="仿宋" w:hAnsi="仿宋" w:eastAsia="仿宋" w:cs="仿宋"/>
          <w:sz w:val="24"/>
        </w:rPr>
        <w:t>法定代表人或授权代表人（签字或签章）：XXXX</w:t>
      </w:r>
      <w:bookmarkEnd w:id="833"/>
      <w:bookmarkEnd w:id="834"/>
      <w:bookmarkEnd w:id="835"/>
      <w:bookmarkEnd w:id="836"/>
      <w:bookmarkEnd w:id="837"/>
      <w:bookmarkEnd w:id="838"/>
    </w:p>
    <w:p>
      <w:pPr>
        <w:spacing w:line="360" w:lineRule="auto"/>
        <w:ind w:firstLine="470" w:firstLineChars="196"/>
        <w:jc w:val="left"/>
        <w:textAlignment w:val="baseline"/>
        <w:rPr>
          <w:rFonts w:ascii="仿宋" w:hAnsi="仿宋" w:eastAsia="仿宋" w:cs="仿宋"/>
          <w:sz w:val="20"/>
        </w:rPr>
      </w:pPr>
      <w:bookmarkStart w:id="839" w:name="_Toc6832"/>
      <w:bookmarkStart w:id="840" w:name="_Toc30952"/>
      <w:bookmarkStart w:id="841" w:name="_Toc1937"/>
      <w:bookmarkStart w:id="842" w:name="_Toc28391"/>
      <w:bookmarkStart w:id="843" w:name="_Toc488"/>
      <w:bookmarkStart w:id="844" w:name="_Toc26447"/>
      <w:r>
        <w:rPr>
          <w:rFonts w:hint="eastAsia" w:ascii="仿宋" w:hAnsi="仿宋" w:eastAsia="仿宋" w:cs="仿宋"/>
          <w:sz w:val="24"/>
        </w:rPr>
        <w:t>投标日期：XXXX年XXXX月XXXX日</w:t>
      </w:r>
      <w:bookmarkEnd w:id="839"/>
      <w:bookmarkEnd w:id="840"/>
      <w:bookmarkEnd w:id="841"/>
      <w:bookmarkEnd w:id="842"/>
      <w:bookmarkEnd w:id="843"/>
      <w:bookmarkEnd w:id="844"/>
      <w:bookmarkStart w:id="845" w:name="_Toc17577"/>
      <w:bookmarkStart w:id="846" w:name="_Toc608"/>
      <w:bookmarkStart w:id="847" w:name="_Toc29899"/>
      <w:bookmarkStart w:id="848" w:name="_Toc515647805"/>
    </w:p>
    <w:p>
      <w:pPr>
        <w:widowControl/>
        <w:jc w:val="left"/>
        <w:rPr>
          <w:rFonts w:ascii="仿宋" w:hAnsi="仿宋" w:eastAsia="仿宋" w:cs="仿宋"/>
          <w:b/>
          <w:kern w:val="0"/>
          <w:sz w:val="24"/>
          <w:szCs w:val="20"/>
        </w:rPr>
      </w:pPr>
      <w:bookmarkStart w:id="849" w:name="_Toc438"/>
      <w:bookmarkStart w:id="850" w:name="_Toc12928"/>
      <w:bookmarkStart w:id="851" w:name="_Toc9524"/>
      <w:bookmarkStart w:id="852" w:name="_Toc15059"/>
      <w:bookmarkStart w:id="853" w:name="_Toc6477"/>
      <w:bookmarkStart w:id="854" w:name="_Toc32172"/>
      <w:bookmarkStart w:id="855" w:name="_Toc14381"/>
      <w:bookmarkStart w:id="856" w:name="_Toc3097"/>
      <w:bookmarkStart w:id="857" w:name="_Toc18942"/>
      <w:bookmarkStart w:id="858" w:name="_Toc18028"/>
      <w:bookmarkStart w:id="859" w:name="_Toc22243"/>
      <w:bookmarkStart w:id="860" w:name="_Toc28853"/>
      <w:bookmarkStart w:id="861" w:name="_Toc7771"/>
      <w:bookmarkStart w:id="862" w:name="_Toc2685"/>
      <w:r>
        <w:rPr>
          <w:rFonts w:hint="eastAsia" w:ascii="仿宋" w:hAnsi="仿宋" w:eastAsia="仿宋" w:cs="仿宋"/>
        </w:rPr>
        <w:br w:type="page"/>
      </w:r>
    </w:p>
    <w:p>
      <w:pPr>
        <w:pStyle w:val="17"/>
        <w:tabs>
          <w:tab w:val="left" w:pos="5580"/>
        </w:tabs>
        <w:spacing w:line="288" w:lineRule="auto"/>
        <w:ind w:left="1079" w:leftChars="257" w:hanging="540"/>
        <w:jc w:val="center"/>
        <w:textAlignment w:val="baseline"/>
        <w:rPr>
          <w:rFonts w:ascii="仿宋" w:hAnsi="仿宋" w:eastAsia="仿宋" w:cs="仿宋"/>
          <w:b/>
          <w:bCs/>
          <w:sz w:val="24"/>
          <w:szCs w:val="24"/>
        </w:rPr>
      </w:pPr>
      <w:r>
        <w:rPr>
          <w:rFonts w:hint="eastAsia" w:ascii="仿宋" w:hAnsi="仿宋" w:eastAsia="仿宋" w:cs="仿宋"/>
          <w:b/>
          <w:bCs/>
          <w:sz w:val="24"/>
          <w:szCs w:val="24"/>
        </w:rPr>
        <w:t xml:space="preserve">2  </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rFonts w:hint="eastAsia" w:ascii="仿宋" w:hAnsi="仿宋" w:eastAsia="仿宋" w:cs="仿宋"/>
          <w:b/>
          <w:bCs/>
          <w:sz w:val="24"/>
          <w:szCs w:val="24"/>
        </w:rPr>
        <w:t>企业三证合一的法人营业执照或含二维码的营业执照</w:t>
      </w:r>
    </w:p>
    <w:p>
      <w:pPr>
        <w:pStyle w:val="17"/>
        <w:tabs>
          <w:tab w:val="left" w:pos="5580"/>
        </w:tabs>
        <w:spacing w:line="288" w:lineRule="auto"/>
        <w:textAlignment w:val="baseline"/>
        <w:rPr>
          <w:rFonts w:ascii="仿宋" w:hAnsi="仿宋" w:eastAsia="仿宋" w:cs="仿宋"/>
          <w:b/>
          <w:sz w:val="24"/>
        </w:rPr>
      </w:pP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说明：1.提供有效的营业执照等证明文件复印件，复印件上应加盖本单位章。</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2. 投标人为自然人的，应提供身份证明的复印件。</w:t>
      </w:r>
    </w:p>
    <w:p>
      <w:pPr>
        <w:pStyle w:val="17"/>
        <w:tabs>
          <w:tab w:val="left" w:pos="5580"/>
        </w:tabs>
        <w:spacing w:line="240" w:lineRule="atLeast"/>
        <w:ind w:left="1079" w:leftChars="257" w:hanging="540"/>
        <w:rPr>
          <w:rFonts w:ascii="仿宋" w:hAnsi="仿宋" w:eastAsia="仿宋" w:cs="仿宋"/>
          <w:sz w:val="24"/>
        </w:rPr>
      </w:pPr>
      <w:r>
        <w:rPr>
          <w:rFonts w:hint="eastAsia" w:ascii="仿宋" w:hAnsi="仿宋" w:eastAsia="仿宋" w:cs="仿宋"/>
          <w:sz w:val="24"/>
        </w:rPr>
        <w:t xml:space="preserve">    </w:t>
      </w:r>
    </w:p>
    <w:p>
      <w:pPr>
        <w:pStyle w:val="17"/>
        <w:tabs>
          <w:tab w:val="left" w:pos="5580"/>
        </w:tabs>
        <w:spacing w:line="288" w:lineRule="auto"/>
        <w:textAlignment w:val="baseline"/>
        <w:rPr>
          <w:rFonts w:ascii="仿宋" w:hAnsi="仿宋" w:eastAsia="仿宋" w:cs="仿宋"/>
          <w:sz w:val="24"/>
        </w:rPr>
      </w:pPr>
    </w:p>
    <w:p>
      <w:pPr>
        <w:widowControl/>
        <w:jc w:val="left"/>
        <w:rPr>
          <w:rFonts w:ascii="仿宋" w:hAnsi="仿宋" w:eastAsia="仿宋" w:cs="仿宋"/>
          <w:b/>
          <w:kern w:val="0"/>
          <w:sz w:val="24"/>
          <w:szCs w:val="20"/>
        </w:rPr>
      </w:pPr>
      <w:bookmarkStart w:id="863" w:name="_Toc26259"/>
      <w:bookmarkStart w:id="864" w:name="_Toc31591"/>
      <w:bookmarkStart w:id="865" w:name="_Toc13066"/>
      <w:bookmarkStart w:id="866" w:name="_Toc29158"/>
      <w:bookmarkStart w:id="867" w:name="_Toc32588"/>
      <w:bookmarkStart w:id="868" w:name="_Toc26563"/>
      <w:bookmarkStart w:id="869" w:name="_Toc15096"/>
      <w:bookmarkStart w:id="870" w:name="_Toc25159"/>
      <w:bookmarkStart w:id="871" w:name="_Toc14172"/>
      <w:bookmarkStart w:id="872" w:name="_Toc1578"/>
      <w:bookmarkStart w:id="873" w:name="_Toc3865"/>
      <w:bookmarkStart w:id="874" w:name="_Toc3498"/>
      <w:bookmarkStart w:id="875" w:name="_Toc8196"/>
      <w:bookmarkStart w:id="876" w:name="_Toc7999"/>
      <w:bookmarkStart w:id="877" w:name="_Toc23004_WPSOffice_Level2"/>
      <w:bookmarkStart w:id="878" w:name="_Toc12767"/>
      <w:bookmarkStart w:id="879" w:name="_Toc21673"/>
      <w:r>
        <w:rPr>
          <w:rFonts w:hint="eastAsia" w:ascii="仿宋" w:hAnsi="仿宋" w:eastAsia="仿宋" w:cs="仿宋"/>
        </w:rPr>
        <w:br w:type="page"/>
      </w:r>
    </w:p>
    <w:p>
      <w:pPr>
        <w:widowControl/>
        <w:jc w:val="center"/>
        <w:rPr>
          <w:rFonts w:ascii="仿宋" w:hAnsi="仿宋" w:eastAsia="仿宋" w:cs="仿宋"/>
        </w:rPr>
      </w:pPr>
      <w:r>
        <w:rPr>
          <w:rFonts w:hint="eastAsia" w:ascii="仿宋" w:hAnsi="仿宋" w:eastAsia="仿宋" w:cs="仿宋"/>
          <w:b/>
          <w:sz w:val="24"/>
        </w:rPr>
        <w:t>3  法定代表人身份证明</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pPr>
        <w:spacing w:line="360" w:lineRule="auto"/>
        <w:ind w:firstLine="240" w:firstLineChars="100"/>
        <w:textAlignment w:val="baseline"/>
        <w:rPr>
          <w:rFonts w:ascii="仿宋" w:hAnsi="仿宋" w:eastAsia="仿宋" w:cs="仿宋"/>
          <w:sz w:val="24"/>
          <w:szCs w:val="20"/>
        </w:rPr>
      </w:pPr>
      <w:r>
        <w:rPr>
          <w:rFonts w:hint="eastAsia" w:ascii="仿宋" w:hAnsi="仿宋" w:eastAsia="仿宋" w:cs="仿宋"/>
          <w:sz w:val="24"/>
          <w:szCs w:val="20"/>
        </w:rPr>
        <w:t xml:space="preserve"> </w:t>
      </w:r>
      <w:r>
        <w:rPr>
          <w:rFonts w:hint="eastAsia" w:ascii="仿宋" w:hAnsi="仿宋" w:eastAsia="仿宋" w:cs="仿宋"/>
          <w:sz w:val="24"/>
          <w:szCs w:val="20"/>
          <w:u w:val="single" w:color="000000"/>
        </w:rPr>
        <w:t xml:space="preserve">      </w:t>
      </w:r>
      <w:r>
        <w:rPr>
          <w:rFonts w:hint="eastAsia" w:ascii="仿宋" w:hAnsi="仿宋" w:eastAsia="仿宋" w:cs="仿宋"/>
          <w:sz w:val="24"/>
          <w:szCs w:val="20"/>
        </w:rPr>
        <w:t>同志，现任我单位</w:t>
      </w:r>
      <w:r>
        <w:rPr>
          <w:rFonts w:hint="eastAsia" w:ascii="仿宋" w:hAnsi="仿宋" w:eastAsia="仿宋" w:cs="仿宋"/>
          <w:sz w:val="24"/>
          <w:szCs w:val="20"/>
          <w:u w:val="single" w:color="000000"/>
        </w:rPr>
        <w:t xml:space="preserve">          职</w:t>
      </w:r>
      <w:r>
        <w:rPr>
          <w:rFonts w:hint="eastAsia" w:ascii="仿宋" w:hAnsi="仿宋" w:eastAsia="仿宋" w:cs="仿宋"/>
          <w:sz w:val="24"/>
          <w:szCs w:val="20"/>
        </w:rPr>
        <w:t>务，为法定代表人，特此证明。</w:t>
      </w:r>
    </w:p>
    <w:p>
      <w:pPr>
        <w:spacing w:line="360" w:lineRule="auto"/>
        <w:ind w:firstLine="240" w:firstLineChars="100"/>
        <w:textAlignment w:val="baseline"/>
        <w:rPr>
          <w:rFonts w:ascii="仿宋" w:hAnsi="仿宋" w:eastAsia="仿宋" w:cs="仿宋"/>
          <w:sz w:val="24"/>
          <w:szCs w:val="20"/>
        </w:rPr>
      </w:pPr>
      <w:r>
        <w:rPr>
          <w:rFonts w:hint="eastAsia" w:ascii="仿宋" w:hAnsi="仿宋" w:eastAsia="仿宋" w:cs="仿宋"/>
          <w:sz w:val="24"/>
          <w:szCs w:val="20"/>
        </w:rPr>
        <w:t xml:space="preserve">签发日期：                  单位：          </w:t>
      </w:r>
    </w:p>
    <w:p>
      <w:pPr>
        <w:spacing w:line="360" w:lineRule="auto"/>
        <w:ind w:firstLine="240" w:firstLineChars="100"/>
        <w:textAlignment w:val="baseline"/>
        <w:rPr>
          <w:rFonts w:ascii="仿宋" w:hAnsi="仿宋" w:eastAsia="仿宋" w:cs="仿宋"/>
          <w:sz w:val="24"/>
          <w:szCs w:val="20"/>
        </w:rPr>
      </w:pPr>
      <w:r>
        <w:rPr>
          <w:rFonts w:hint="eastAsia" w:ascii="仿宋" w:hAnsi="仿宋" w:eastAsia="仿宋" w:cs="仿宋"/>
          <w:sz w:val="24"/>
          <w:szCs w:val="20"/>
        </w:rPr>
        <w:t>附：代表人性别：            年龄：           身份证号码：</w:t>
      </w:r>
    </w:p>
    <w:p>
      <w:pPr>
        <w:spacing w:line="360" w:lineRule="auto"/>
        <w:ind w:firstLine="240" w:firstLineChars="100"/>
        <w:textAlignment w:val="baseline"/>
        <w:rPr>
          <w:rFonts w:ascii="仿宋" w:hAnsi="仿宋" w:eastAsia="仿宋" w:cs="仿宋"/>
          <w:sz w:val="24"/>
          <w:szCs w:val="20"/>
        </w:rPr>
      </w:pPr>
      <w:r>
        <w:rPr>
          <w:rFonts w:hint="eastAsia" w:ascii="仿宋" w:hAnsi="仿宋" w:eastAsia="仿宋" w:cs="仿宋"/>
          <w:sz w:val="24"/>
          <w:szCs w:val="20"/>
        </w:rPr>
        <w:t>联系电话：</w:t>
      </w:r>
    </w:p>
    <w:p>
      <w:pPr>
        <w:spacing w:line="360" w:lineRule="auto"/>
        <w:ind w:firstLine="240" w:firstLineChars="100"/>
        <w:textAlignment w:val="baseline"/>
        <w:rPr>
          <w:rFonts w:ascii="仿宋" w:hAnsi="仿宋" w:eastAsia="仿宋" w:cs="仿宋"/>
          <w:sz w:val="24"/>
          <w:szCs w:val="20"/>
        </w:rPr>
      </w:pPr>
      <w:r>
        <w:rPr>
          <w:rFonts w:hint="eastAsia" w:ascii="仿宋" w:hAnsi="仿宋" w:eastAsia="仿宋" w:cs="仿宋"/>
          <w:sz w:val="24"/>
          <w:szCs w:val="20"/>
        </w:rPr>
        <w:t>营业执照号码：              经济性质：</w:t>
      </w:r>
    </w:p>
    <w:p>
      <w:pPr>
        <w:spacing w:line="360" w:lineRule="auto"/>
        <w:textAlignment w:val="baseline"/>
        <w:rPr>
          <w:rFonts w:ascii="仿宋" w:hAnsi="仿宋" w:eastAsia="仿宋" w:cs="仿宋"/>
          <w:sz w:val="24"/>
          <w:szCs w:val="20"/>
        </w:rPr>
      </w:pPr>
      <w:r>
        <w:rPr>
          <w:rFonts w:hint="eastAsia" w:ascii="仿宋" w:hAnsi="仿宋" w:eastAsia="仿宋" w:cs="仿宋"/>
          <w:sz w:val="24"/>
          <w:szCs w:val="20"/>
        </w:rPr>
        <w:t>说明：</w:t>
      </w:r>
    </w:p>
    <w:p>
      <w:pPr>
        <w:spacing w:line="360" w:lineRule="auto"/>
        <w:ind w:firstLine="240" w:firstLineChars="100"/>
        <w:textAlignment w:val="baseline"/>
        <w:rPr>
          <w:rFonts w:ascii="仿宋" w:hAnsi="仿宋" w:eastAsia="仿宋" w:cs="仿宋"/>
          <w:sz w:val="24"/>
          <w:szCs w:val="20"/>
        </w:rPr>
      </w:pPr>
      <w:r>
        <w:rPr>
          <w:rFonts w:hint="eastAsia" w:ascii="仿宋" w:hAnsi="仿宋" w:eastAsia="仿宋" w:cs="仿宋"/>
          <w:sz w:val="24"/>
          <w:szCs w:val="20"/>
        </w:rPr>
        <w:t>1、法定代表人为企业事业单位、国家机关、社会团体的主要行政负责人。</w:t>
      </w:r>
    </w:p>
    <w:p>
      <w:pPr>
        <w:spacing w:line="360" w:lineRule="auto"/>
        <w:textAlignment w:val="baseline"/>
        <w:rPr>
          <w:rFonts w:ascii="仿宋" w:hAnsi="仿宋" w:eastAsia="仿宋" w:cs="仿宋"/>
          <w:sz w:val="24"/>
          <w:szCs w:val="20"/>
        </w:rPr>
      </w:pPr>
      <w:r>
        <w:rPr>
          <w:rFonts w:hint="eastAsia" w:ascii="仿宋" w:hAnsi="仿宋" w:eastAsia="仿宋" w:cs="仿宋"/>
          <w:sz w:val="24"/>
          <w:szCs w:val="20"/>
        </w:rPr>
        <w:t xml:space="preserve">  2、内容必须填写真实、清楚、涂改无效，不得转让。</w:t>
      </w:r>
    </w:p>
    <w:p>
      <w:pPr>
        <w:spacing w:line="360" w:lineRule="auto"/>
        <w:ind w:firstLine="240" w:firstLineChars="100"/>
        <w:textAlignment w:val="baseline"/>
        <w:rPr>
          <w:rFonts w:ascii="仿宋" w:hAnsi="仿宋" w:eastAsia="仿宋" w:cs="仿宋"/>
          <w:sz w:val="24"/>
          <w:szCs w:val="20"/>
        </w:rPr>
      </w:pPr>
      <w:r>
        <w:rPr>
          <w:rFonts w:hint="eastAsia" w:ascii="仿宋" w:hAnsi="仿宋" w:eastAsia="仿宋" w:cs="仿宋"/>
          <w:sz w:val="24"/>
          <w:szCs w:val="20"/>
        </w:rPr>
        <w:t>3、将此证明书原件提交采购代理机构作为投标文件附件。</w:t>
      </w:r>
    </w:p>
    <w:p>
      <w:pPr>
        <w:spacing w:line="360" w:lineRule="auto"/>
        <w:textAlignment w:val="baseline"/>
        <w:rPr>
          <w:rFonts w:ascii="仿宋" w:hAnsi="仿宋" w:eastAsia="仿宋" w:cs="仿宋"/>
          <w:sz w:val="24"/>
          <w:szCs w:val="20"/>
        </w:rPr>
      </w:pPr>
      <w:r>
        <w:rPr>
          <w:rFonts w:hint="eastAsia" w:ascii="仿宋" w:hAnsi="仿宋" w:eastAsia="仿宋" w:cs="仿宋"/>
          <w:sz w:val="24"/>
          <w:szCs w:val="20"/>
        </w:rPr>
        <w:t xml:space="preserve">  (为避免废标，请</w:t>
      </w:r>
      <w:r>
        <w:rPr>
          <w:rFonts w:hint="eastAsia" w:ascii="仿宋" w:hAnsi="仿宋" w:eastAsia="仿宋" w:cs="仿宋"/>
          <w:sz w:val="24"/>
          <w:szCs w:val="20"/>
          <w:lang w:eastAsia="zh-CN"/>
        </w:rPr>
        <w:t>投标人</w:t>
      </w:r>
      <w:r>
        <w:rPr>
          <w:rFonts w:hint="eastAsia" w:ascii="仿宋" w:hAnsi="仿宋" w:eastAsia="仿宋" w:cs="仿宋"/>
          <w:sz w:val="24"/>
          <w:szCs w:val="20"/>
        </w:rPr>
        <w:t>务必提供本附件)</w:t>
      </w:r>
    </w:p>
    <w:p>
      <w:pPr>
        <w:spacing w:line="360" w:lineRule="auto"/>
        <w:textAlignment w:val="baseline"/>
        <w:rPr>
          <w:rFonts w:ascii="仿宋" w:hAnsi="仿宋" w:eastAsia="仿宋" w:cs="仿宋"/>
          <w:sz w:val="24"/>
          <w:szCs w:val="20"/>
        </w:rPr>
      </w:pPr>
      <w:r>
        <w:rPr>
          <w:rFonts w:hint="eastAsia" w:ascii="仿宋" w:hAnsi="仿宋" w:eastAsia="仿宋" w:cs="仿宋"/>
          <w:sz w:val="24"/>
          <w:szCs w:val="20"/>
        </w:rPr>
        <mc:AlternateContent>
          <mc:Choice Requires="wps">
            <w:drawing>
              <wp:anchor distT="0" distB="0" distL="114300" distR="114300" simplePos="0" relativeHeight="251667456"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_x0000_s1026" o:spid="_x0000_s1026" o:spt="176" type="#_x0000_t176" style="position:absolute;left:0pt;margin-left:12.15pt;margin-top:0.85pt;height:124.75pt;width:183.75pt;z-index:251667456;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Vk69dYAAAAIAQAADwAAAAAAAAABACAAAAAiAAAAZHJzL2Rvd25y&#10;ZXYueG1sUEsBAhQAFAAAAAgAh07iQJu9VN85AgAAbgQAAA4AAAAAAAAAAQAgAAAAJQEAAGRycy9l&#10;Mm9Eb2MueG1sUEsFBgAAAAAGAAYAWQEAANA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仿宋" w:hAnsi="仿宋" w:eastAsia="仿宋" w:cs="仿宋"/>
          <w:sz w:val="24"/>
          <w:szCs w:val="20"/>
        </w:rPr>
        <mc:AlternateContent>
          <mc:Choice Requires="wps">
            <w:drawing>
              <wp:anchor distT="0" distB="0" distL="114300" distR="114300" simplePos="0" relativeHeight="251668480"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9"/>
                            </w:pPr>
                          </w:p>
                          <w:p>
                            <w:pPr>
                              <w:pStyle w:val="9"/>
                            </w:pPr>
                          </w:p>
                          <w:p>
                            <w:pPr>
                              <w:pStyle w:val="9"/>
                            </w:pPr>
                          </w:p>
                          <w:p>
                            <w:pPr>
                              <w:pStyle w:val="9"/>
                            </w:pPr>
                          </w:p>
                        </w:txbxContent>
                      </wps:txbx>
                      <wps:bodyPr wrap="square" upright="1"/>
                    </wps:wsp>
                  </a:graphicData>
                </a:graphic>
              </wp:anchor>
            </w:drawing>
          </mc:Choice>
          <mc:Fallback>
            <w:pict>
              <v:roundrect id="_x0000_s1026" o:spid="_x0000_s1026" o:spt="2" style="position:absolute;left:0pt;margin-left:229.8pt;margin-top:2.25pt;height:122.6pt;width:205.5pt;z-index:251668480;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8vY1/aAAAACQEAAA8AAAAAAAAAAQAgAAAAIgAAAGRycy9kb3du&#10;cmV2LnhtbFBLAQIUABQAAAAIAIdO4kAI6kVeNgIAAHYEAAAOAAAAAAAAAAEAIAAAACkBAABkcnMv&#10;ZTJvRG9jLnhtbFBLBQYAAAAABgAGAFkBAADRBQ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9"/>
                      </w:pPr>
                    </w:p>
                    <w:p>
                      <w:pPr>
                        <w:pStyle w:val="9"/>
                      </w:pPr>
                    </w:p>
                    <w:p>
                      <w:pPr>
                        <w:pStyle w:val="9"/>
                      </w:pPr>
                    </w:p>
                    <w:p>
                      <w:pPr>
                        <w:pStyle w:val="9"/>
                      </w:pPr>
                    </w:p>
                  </w:txbxContent>
                </v:textbox>
              </v:roundrect>
            </w:pict>
          </mc:Fallback>
        </mc:AlternateContent>
      </w:r>
    </w:p>
    <w:p>
      <w:pPr>
        <w:spacing w:line="360" w:lineRule="auto"/>
        <w:textAlignment w:val="baseline"/>
        <w:rPr>
          <w:rFonts w:ascii="仿宋" w:hAnsi="仿宋" w:eastAsia="仿宋" w:cs="仿宋"/>
          <w:sz w:val="24"/>
          <w:szCs w:val="20"/>
        </w:rPr>
      </w:pPr>
    </w:p>
    <w:p>
      <w:pPr>
        <w:spacing w:line="360" w:lineRule="auto"/>
        <w:textAlignment w:val="baseline"/>
        <w:rPr>
          <w:rFonts w:ascii="仿宋" w:hAnsi="仿宋" w:eastAsia="仿宋" w:cs="仿宋"/>
          <w:sz w:val="24"/>
          <w:szCs w:val="20"/>
        </w:rPr>
      </w:pPr>
    </w:p>
    <w:p>
      <w:pPr>
        <w:tabs>
          <w:tab w:val="left" w:pos="654"/>
          <w:tab w:val="left" w:pos="1734"/>
          <w:tab w:val="left" w:pos="2814"/>
          <w:tab w:val="left" w:pos="3894"/>
          <w:tab w:val="left" w:pos="5334"/>
          <w:tab w:val="left" w:pos="6414"/>
          <w:tab w:val="left" w:pos="7254"/>
          <w:tab w:val="left" w:pos="8574"/>
          <w:tab w:val="left" w:pos="9654"/>
        </w:tabs>
        <w:spacing w:line="360" w:lineRule="auto"/>
        <w:textAlignment w:val="baseline"/>
        <w:rPr>
          <w:rFonts w:ascii="仿宋" w:hAnsi="仿宋" w:eastAsia="仿宋" w:cs="仿宋"/>
          <w:sz w:val="24"/>
          <w:szCs w:val="20"/>
        </w:rPr>
      </w:pPr>
    </w:p>
    <w:p>
      <w:pPr>
        <w:spacing w:line="360" w:lineRule="auto"/>
        <w:ind w:right="246"/>
        <w:textAlignment w:val="baseline"/>
        <w:rPr>
          <w:rFonts w:ascii="仿宋" w:hAnsi="仿宋" w:eastAsia="仿宋" w:cs="仿宋"/>
          <w:sz w:val="24"/>
          <w:szCs w:val="20"/>
        </w:rPr>
      </w:pPr>
    </w:p>
    <w:p>
      <w:pPr>
        <w:spacing w:line="360" w:lineRule="auto"/>
        <w:ind w:right="246" w:firstLine="784" w:firstLineChars="327"/>
        <w:textAlignment w:val="baseline"/>
        <w:rPr>
          <w:rFonts w:ascii="仿宋" w:hAnsi="仿宋" w:eastAsia="仿宋" w:cs="仿宋"/>
          <w:sz w:val="24"/>
          <w:szCs w:val="20"/>
        </w:rPr>
      </w:pPr>
    </w:p>
    <w:p>
      <w:pPr>
        <w:spacing w:line="360" w:lineRule="auto"/>
        <w:ind w:right="246" w:firstLine="784" w:firstLineChars="327"/>
        <w:textAlignment w:val="baseline"/>
        <w:rPr>
          <w:rFonts w:ascii="仿宋" w:hAnsi="仿宋" w:eastAsia="仿宋" w:cs="仿宋"/>
          <w:sz w:val="24"/>
          <w:szCs w:val="20"/>
        </w:rPr>
      </w:pPr>
    </w:p>
    <w:p>
      <w:pPr>
        <w:spacing w:line="360" w:lineRule="auto"/>
        <w:ind w:right="246" w:firstLine="784" w:firstLineChars="327"/>
        <w:textAlignment w:val="baseline"/>
        <w:rPr>
          <w:rFonts w:ascii="仿宋" w:hAnsi="仿宋" w:eastAsia="仿宋" w:cs="仿宋"/>
          <w:sz w:val="24"/>
          <w:szCs w:val="20"/>
        </w:rPr>
      </w:pPr>
      <w:r>
        <w:rPr>
          <w:rFonts w:hint="eastAsia" w:ascii="仿宋" w:hAnsi="仿宋" w:eastAsia="仿宋" w:cs="仿宋"/>
          <w:sz w:val="24"/>
          <w:szCs w:val="20"/>
          <w:lang w:eastAsia="zh-CN"/>
        </w:rPr>
        <w:t>投标人</w:t>
      </w:r>
      <w:r>
        <w:rPr>
          <w:rFonts w:hint="eastAsia" w:ascii="仿宋" w:hAnsi="仿宋" w:eastAsia="仿宋" w:cs="仿宋"/>
          <w:sz w:val="24"/>
          <w:szCs w:val="20"/>
        </w:rPr>
        <w:t xml:space="preserve">（盖章）：                              </w:t>
      </w:r>
    </w:p>
    <w:p>
      <w:pPr>
        <w:snapToGrid w:val="0"/>
        <w:spacing w:line="360" w:lineRule="auto"/>
        <w:ind w:firstLine="784" w:firstLineChars="327"/>
        <w:textAlignment w:val="baseline"/>
        <w:rPr>
          <w:rFonts w:ascii="仿宋" w:hAnsi="仿宋" w:eastAsia="仿宋" w:cs="仿宋"/>
          <w:sz w:val="24"/>
          <w:szCs w:val="20"/>
        </w:rPr>
      </w:pPr>
      <w:r>
        <w:rPr>
          <w:rFonts w:hint="eastAsia" w:ascii="仿宋" w:hAnsi="仿宋" w:eastAsia="仿宋" w:cs="仿宋"/>
          <w:sz w:val="24"/>
          <w:szCs w:val="20"/>
        </w:rPr>
        <w:t xml:space="preserve">法定代表人（签字或签章）：                    </w:t>
      </w:r>
    </w:p>
    <w:p>
      <w:pPr>
        <w:snapToGrid w:val="0"/>
        <w:spacing w:line="360" w:lineRule="auto"/>
        <w:ind w:firstLine="784" w:firstLineChars="327"/>
        <w:textAlignment w:val="baseline"/>
        <w:rPr>
          <w:rFonts w:ascii="仿宋" w:hAnsi="仿宋" w:eastAsia="仿宋" w:cs="仿宋"/>
          <w:sz w:val="24"/>
          <w:szCs w:val="20"/>
        </w:rPr>
      </w:pPr>
      <w:r>
        <w:rPr>
          <w:rFonts w:hint="eastAsia" w:ascii="仿宋" w:hAnsi="仿宋" w:eastAsia="仿宋" w:cs="仿宋"/>
          <w:sz w:val="24"/>
          <w:szCs w:val="20"/>
        </w:rPr>
        <w:t xml:space="preserve">日期：                                       </w:t>
      </w:r>
      <w:bookmarkStart w:id="880" w:name="_Toc6391"/>
      <w:bookmarkStart w:id="881" w:name="_Toc28191"/>
      <w:bookmarkStart w:id="882" w:name="_Toc19476"/>
      <w:bookmarkStart w:id="883" w:name="_Toc1302"/>
      <w:bookmarkStart w:id="884" w:name="_Toc30696"/>
      <w:bookmarkStart w:id="885" w:name="_Toc6725"/>
    </w:p>
    <w:p>
      <w:pPr>
        <w:widowControl/>
        <w:jc w:val="left"/>
        <w:rPr>
          <w:rFonts w:ascii="仿宋" w:hAnsi="仿宋" w:eastAsia="仿宋" w:cs="仿宋"/>
          <w:b/>
          <w:kern w:val="0"/>
          <w:sz w:val="24"/>
          <w:szCs w:val="20"/>
        </w:rPr>
      </w:pPr>
      <w:bookmarkStart w:id="886" w:name="_Toc23323"/>
      <w:r>
        <w:rPr>
          <w:rFonts w:hint="eastAsia" w:ascii="仿宋" w:hAnsi="仿宋" w:eastAsia="仿宋" w:cs="仿宋"/>
        </w:rPr>
        <w:br w:type="page"/>
      </w:r>
    </w:p>
    <w:p>
      <w:pPr>
        <w:pStyle w:val="7"/>
        <w:widowControl/>
        <w:spacing w:before="0" w:after="0" w:line="288" w:lineRule="auto"/>
        <w:ind w:left="1078" w:leftChars="257" w:hanging="539"/>
        <w:jc w:val="center"/>
        <w:textAlignment w:val="baseline"/>
        <w:rPr>
          <w:rFonts w:ascii="仿宋" w:hAnsi="仿宋" w:eastAsia="仿宋" w:cs="仿宋"/>
          <w:u w:val="none"/>
        </w:rPr>
      </w:pPr>
      <w:r>
        <w:rPr>
          <w:rFonts w:hint="eastAsia" w:ascii="仿宋" w:hAnsi="仿宋" w:eastAsia="仿宋" w:cs="仿宋"/>
          <w:u w:val="none"/>
        </w:rPr>
        <w:t xml:space="preserve">  法定代表人授权委托书</w:t>
      </w:r>
      <w:bookmarkEnd w:id="880"/>
      <w:bookmarkEnd w:id="881"/>
      <w:bookmarkEnd w:id="882"/>
      <w:bookmarkEnd w:id="883"/>
      <w:bookmarkEnd w:id="884"/>
      <w:bookmarkEnd w:id="885"/>
      <w:bookmarkEnd w:id="886"/>
    </w:p>
    <w:p>
      <w:pPr>
        <w:pStyle w:val="17"/>
        <w:tabs>
          <w:tab w:val="left" w:pos="5580"/>
        </w:tabs>
        <w:spacing w:line="240" w:lineRule="atLeast"/>
        <w:ind w:firstLine="480" w:firstLineChars="200"/>
        <w:textAlignment w:val="baseline"/>
        <w:rPr>
          <w:rFonts w:ascii="仿宋" w:hAnsi="仿宋" w:eastAsia="仿宋" w:cs="仿宋"/>
          <w:sz w:val="24"/>
        </w:rPr>
      </w:pPr>
    </w:p>
    <w:p>
      <w:pPr>
        <w:pStyle w:val="17"/>
        <w:tabs>
          <w:tab w:val="left" w:pos="5580"/>
        </w:tabs>
        <w:spacing w:line="560" w:lineRule="exact"/>
        <w:ind w:firstLine="480" w:firstLineChars="200"/>
        <w:textAlignment w:val="baseline"/>
        <w:rPr>
          <w:rFonts w:ascii="仿宋" w:hAnsi="仿宋" w:eastAsia="仿宋" w:cs="仿宋"/>
          <w:sz w:val="24"/>
        </w:rPr>
      </w:pPr>
      <w:r>
        <w:rPr>
          <w:rFonts w:hint="eastAsia" w:ascii="仿宋" w:hAnsi="仿宋" w:eastAsia="仿宋" w:cs="仿宋"/>
          <w:sz w:val="24"/>
        </w:rPr>
        <w:t xml:space="preserve"> 本授权书声明：注册于（国家或地区的名称）的（</w:t>
      </w:r>
      <w:r>
        <w:rPr>
          <w:rFonts w:hint="eastAsia" w:ascii="仿宋" w:hAnsi="仿宋" w:eastAsia="仿宋" w:cs="仿宋"/>
          <w:sz w:val="24"/>
          <w:lang w:eastAsia="zh-CN"/>
        </w:rPr>
        <w:t>投标人</w:t>
      </w:r>
      <w:r>
        <w:rPr>
          <w:rFonts w:hint="eastAsia" w:ascii="仿宋" w:hAnsi="仿宋" w:eastAsia="仿宋" w:cs="仿宋"/>
          <w:sz w:val="24"/>
        </w:rPr>
        <w:t>）的在下面签字的（法人代表姓名、职务）代表我单位授权（单位名称）的在下面签字的（被授权人的姓名、职务）为我单位的合法代理人，就（项 目 名 称、 项目编号）公开招标，以我单位名义处理一切与之有关的事务。</w:t>
      </w:r>
      <w:r>
        <w:rPr>
          <w:rFonts w:hint="eastAsia" w:ascii="仿宋" w:hAnsi="仿宋" w:eastAsia="仿宋" w:cs="仿宋"/>
          <w:sz w:val="24"/>
        </w:rPr>
        <w:cr/>
      </w:r>
      <w:r>
        <w:rPr>
          <w:rFonts w:hint="eastAsia" w:ascii="仿宋" w:hAnsi="仿宋" w:eastAsia="仿宋" w:cs="仿宋"/>
          <w:sz w:val="24"/>
        </w:rPr>
        <w:t>　　</w:t>
      </w:r>
    </w:p>
    <w:p>
      <w:pPr>
        <w:pStyle w:val="17"/>
        <w:tabs>
          <w:tab w:val="left" w:pos="5580"/>
        </w:tabs>
        <w:spacing w:line="240" w:lineRule="atLeast"/>
        <w:ind w:left="1154" w:leftChars="485" w:hanging="136" w:hangingChars="57"/>
        <w:textAlignment w:val="baseline"/>
        <w:rPr>
          <w:rFonts w:ascii="仿宋" w:hAnsi="仿宋" w:eastAsia="仿宋" w:cs="仿宋"/>
          <w:sz w:val="24"/>
        </w:rPr>
      </w:pPr>
      <w:r>
        <w:rPr>
          <w:rFonts w:hint="eastAsia" w:ascii="仿宋" w:hAnsi="仿宋" w:eastAsia="仿宋" w:cs="仿宋"/>
          <w:sz w:val="24"/>
        </w:rPr>
        <w:t>本授权书于           年     月     日签字生效,特此声明。</w:t>
      </w:r>
      <w:r>
        <w:rPr>
          <w:rFonts w:hint="eastAsia" w:ascii="仿宋" w:hAnsi="仿宋" w:eastAsia="仿宋" w:cs="仿宋"/>
          <w:sz w:val="24"/>
        </w:rPr>
        <w:cr/>
      </w:r>
    </w:p>
    <w:p>
      <w:pPr>
        <w:pStyle w:val="17"/>
        <w:tabs>
          <w:tab w:val="left" w:pos="5580"/>
        </w:tabs>
        <w:spacing w:line="240" w:lineRule="atLeast"/>
        <w:ind w:left="1079" w:leftChars="257" w:hanging="540"/>
        <w:textAlignment w:val="baseline"/>
        <w:rPr>
          <w:rFonts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9504" behindDoc="0" locked="0" layoutInCell="1" allowOverlap="1">
                <wp:simplePos x="0" y="0"/>
                <wp:positionH relativeFrom="column">
                  <wp:posOffset>343535</wp:posOffset>
                </wp:positionH>
                <wp:positionV relativeFrom="paragraph">
                  <wp:posOffset>6350</wp:posOffset>
                </wp:positionV>
                <wp:extent cx="2317750" cy="1143000"/>
                <wp:effectExtent l="4445" t="5080" r="20955" b="13970"/>
                <wp:wrapNone/>
                <wp:docPr id="4" name="流程图: 可选过程 4"/>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r>
                              <w:rPr>
                                <w:rFonts w:hint="eastAsia" w:hAnsi="宋体"/>
                              </w:rPr>
                              <w:t>授权委托人身份证复印件正面</w:t>
                            </w:r>
                          </w:p>
                        </w:txbxContent>
                      </wps:txbx>
                      <wps:bodyPr wrap="square" upright="1"/>
                    </wps:wsp>
                  </a:graphicData>
                </a:graphic>
              </wp:anchor>
            </w:drawing>
          </mc:Choice>
          <mc:Fallback>
            <w:pict>
              <v:shape id="_x0000_s1026" o:spid="_x0000_s1026" o:spt="176" type="#_x0000_t176" style="position:absolute;left:0pt;margin-left:27.05pt;margin-top:0.5pt;height:90pt;width:182.5pt;z-index:251669504;mso-width-relative:page;mso-height-relative:page;" fillcolor="#FFFFFF" filled="t" stroked="t" coordsize="21600,21600" o:gfxdata="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Z9U9m0gAAAAgBAAAPAAAAAAAAAAEAIAAAACIAAABkcnMvZG93bnJl&#10;di54bWxQSwECFAAUAAAACACHTuJAIHBWyzwCAABsBAAADgAAAAAAAAABACAAAAAhAQAAZHJzL2Uy&#10;b0RvYy54bWxQSwUGAAAAAAYABgBZAQAAzwUAAAAA&#10;">
                <v:fill on="t" focussize="0,0"/>
                <v:stroke color="#000000" joinstyle="miter"/>
                <v:imagedata o:title=""/>
                <o:lock v:ext="edit" aspectratio="f"/>
                <v:textbox>
                  <w:txbxContent>
                    <w:p>
                      <w:pPr>
                        <w:jc w:val="center"/>
                        <w:rPr>
                          <w:rFonts w:hAnsi="宋体"/>
                        </w:rPr>
                      </w:pPr>
                    </w:p>
                    <w:p>
                      <w:pPr>
                        <w:jc w:val="center"/>
                        <w:rPr>
                          <w:rFonts w:hAnsi="宋体"/>
                        </w:rPr>
                      </w:pPr>
                    </w:p>
                    <w:p>
                      <w:r>
                        <w:rPr>
                          <w:rFonts w:hint="eastAsia" w:hAnsi="宋体"/>
                        </w:rPr>
                        <w:t>授权委托人身份证复印件正面</w:t>
                      </w:r>
                    </w:p>
                  </w:txbxContent>
                </v:textbox>
              </v:shape>
            </w:pict>
          </mc:Fallback>
        </mc:AlternateContent>
      </w:r>
      <w:r>
        <w:rPr>
          <w:rFonts w:hint="eastAsia" w:ascii="仿宋" w:hAnsi="仿宋" w:eastAsia="仿宋" w:cs="仿宋"/>
          <w:sz w:val="24"/>
        </w:rPr>
        <mc:AlternateContent>
          <mc:Choice Requires="wps">
            <w:drawing>
              <wp:anchor distT="0" distB="0" distL="114300" distR="114300" simplePos="0" relativeHeight="251670528" behindDoc="0" locked="0" layoutInCell="1" allowOverlap="1">
                <wp:simplePos x="0" y="0"/>
                <wp:positionH relativeFrom="column">
                  <wp:posOffset>2810510</wp:posOffset>
                </wp:positionH>
                <wp:positionV relativeFrom="paragraph">
                  <wp:posOffset>15875</wp:posOffset>
                </wp:positionV>
                <wp:extent cx="2478405" cy="1158240"/>
                <wp:effectExtent l="7620" t="7620" r="9525" b="15240"/>
                <wp:wrapNone/>
                <wp:docPr id="2" name="圆角矩形 2"/>
                <wp:cNvGraphicFramePr/>
                <a:graphic xmlns:a="http://schemas.openxmlformats.org/drawingml/2006/main">
                  <a:graphicData uri="http://schemas.microsoft.com/office/word/2010/wordprocessingShape">
                    <wps:wsp>
                      <wps:cNvSpPr/>
                      <wps:spPr>
                        <a:xfrm>
                          <a:off x="0" y="0"/>
                          <a:ext cx="247840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授权委托人身份证复印件反面</w:t>
                            </w:r>
                          </w:p>
                          <w:p/>
                        </w:txbxContent>
                      </wps:txbx>
                      <wps:bodyPr wrap="square" upright="1"/>
                    </wps:wsp>
                  </a:graphicData>
                </a:graphic>
              </wp:anchor>
            </w:drawing>
          </mc:Choice>
          <mc:Fallback>
            <w:pict>
              <v:roundrect id="_x0000_s1026" o:spid="_x0000_s1026" o:spt="2" style="position:absolute;left:0pt;margin-left:221.3pt;margin-top:1.25pt;height:91.2pt;width:195.15pt;z-index:251670528;mso-width-relative:page;mso-height-relative:page;" fillcolor="#FFFFFF" filled="t" stroked="t" coordsize="21600,21600" arcsize="0.166666666666667" o:gfxdata="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UOIorbAAAACQEAAA8AAAAAAAAAAQAgAAAAIgAAAGRycy9kb3du&#10;cmV2LnhtbFBLAQIUABQAAAAIAIdO4kCovlQLNQIAAHQEAAAOAAAAAAAAAAEAIAAAACoBAABkcnMv&#10;ZTJvRG9jLnhtbFBLBQYAAAAABgAGAFkBAADRBQ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授权委托人身份证复印件反面</w:t>
                      </w:r>
                    </w:p>
                    <w:p/>
                  </w:txbxContent>
                </v:textbox>
              </v:roundrect>
            </w:pict>
          </mc:Fallback>
        </mc:AlternateContent>
      </w:r>
    </w:p>
    <w:p>
      <w:pPr>
        <w:pStyle w:val="17"/>
        <w:tabs>
          <w:tab w:val="left" w:pos="5580"/>
        </w:tabs>
        <w:spacing w:line="240" w:lineRule="atLeast"/>
        <w:ind w:left="1079" w:leftChars="257" w:hanging="540"/>
        <w:textAlignment w:val="baseline"/>
        <w:rPr>
          <w:rFonts w:ascii="仿宋" w:hAnsi="仿宋" w:eastAsia="仿宋" w:cs="仿宋"/>
          <w:sz w:val="24"/>
        </w:rPr>
      </w:pPr>
      <w:r>
        <w:rPr>
          <w:rFonts w:hint="eastAsia" w:ascii="仿宋" w:hAnsi="仿宋" w:eastAsia="仿宋" w:cs="仿宋"/>
          <w:sz w:val="24"/>
        </w:rPr>
        <w:t xml:space="preserve"> </w:t>
      </w:r>
    </w:p>
    <w:p>
      <w:pPr>
        <w:pStyle w:val="17"/>
        <w:tabs>
          <w:tab w:val="left" w:pos="5580"/>
        </w:tabs>
        <w:spacing w:line="240" w:lineRule="atLeast"/>
        <w:ind w:left="1079" w:leftChars="257" w:hanging="540"/>
        <w:textAlignment w:val="baseline"/>
        <w:rPr>
          <w:rFonts w:ascii="仿宋" w:hAnsi="仿宋" w:eastAsia="仿宋" w:cs="仿宋"/>
          <w:sz w:val="24"/>
        </w:rPr>
      </w:pPr>
    </w:p>
    <w:p>
      <w:pPr>
        <w:pStyle w:val="17"/>
        <w:tabs>
          <w:tab w:val="left" w:pos="5580"/>
        </w:tabs>
        <w:spacing w:line="240" w:lineRule="atLeast"/>
        <w:ind w:left="1079" w:leftChars="257" w:hanging="540"/>
        <w:textAlignment w:val="baseline"/>
        <w:rPr>
          <w:rFonts w:ascii="仿宋" w:hAnsi="仿宋" w:eastAsia="仿宋" w:cs="仿宋"/>
          <w:sz w:val="24"/>
        </w:rPr>
      </w:pPr>
    </w:p>
    <w:p>
      <w:pPr>
        <w:pStyle w:val="17"/>
        <w:tabs>
          <w:tab w:val="left" w:pos="5580"/>
        </w:tabs>
        <w:spacing w:line="240" w:lineRule="atLeast"/>
        <w:ind w:left="1079" w:leftChars="257" w:hanging="540"/>
        <w:textAlignment w:val="baseline"/>
        <w:rPr>
          <w:rFonts w:ascii="仿宋" w:hAnsi="仿宋" w:eastAsia="仿宋" w:cs="仿宋"/>
          <w:sz w:val="24"/>
        </w:rPr>
      </w:pPr>
    </w:p>
    <w:p>
      <w:pPr>
        <w:pStyle w:val="17"/>
        <w:tabs>
          <w:tab w:val="left" w:pos="5580"/>
        </w:tabs>
        <w:spacing w:line="240" w:lineRule="atLeast"/>
        <w:ind w:left="1079" w:leftChars="257" w:hanging="540"/>
        <w:textAlignment w:val="baseline"/>
        <w:rPr>
          <w:rFonts w:ascii="仿宋" w:hAnsi="仿宋" w:eastAsia="仿宋" w:cs="仿宋"/>
          <w:sz w:val="24"/>
        </w:rPr>
      </w:pPr>
    </w:p>
    <w:p>
      <w:pPr>
        <w:pStyle w:val="17"/>
        <w:tabs>
          <w:tab w:val="left" w:pos="5580"/>
        </w:tabs>
        <w:spacing w:line="560" w:lineRule="exact"/>
        <w:ind w:left="1078" w:leftChars="257" w:hanging="539"/>
        <w:textAlignment w:val="baseline"/>
        <w:rPr>
          <w:rFonts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72576" behindDoc="0" locked="0" layoutInCell="1" allowOverlap="1">
                <wp:simplePos x="0" y="0"/>
                <wp:positionH relativeFrom="column">
                  <wp:posOffset>2813050</wp:posOffset>
                </wp:positionH>
                <wp:positionV relativeFrom="paragraph">
                  <wp:posOffset>103505</wp:posOffset>
                </wp:positionV>
                <wp:extent cx="2566670" cy="1057910"/>
                <wp:effectExtent l="7620" t="7620" r="16510" b="20320"/>
                <wp:wrapNone/>
                <wp:docPr id="9" name="圆角矩形 9"/>
                <wp:cNvGraphicFramePr/>
                <a:graphic xmlns:a="http://schemas.openxmlformats.org/drawingml/2006/main">
                  <a:graphicData uri="http://schemas.microsoft.com/office/word/2010/wordprocessingShape">
                    <wps:wsp>
                      <wps:cNvSpPr/>
                      <wps:spPr>
                        <a:xfrm>
                          <a:off x="0" y="0"/>
                          <a:ext cx="2566670" cy="10579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wps:txbx>
                      <wps:bodyPr wrap="square" upright="1"/>
                    </wps:wsp>
                  </a:graphicData>
                </a:graphic>
              </wp:anchor>
            </w:drawing>
          </mc:Choice>
          <mc:Fallback>
            <w:pict>
              <v:roundrect id="_x0000_s1026" o:spid="_x0000_s1026" o:spt="2" style="position:absolute;left:0pt;margin-left:221.5pt;margin-top:8.15pt;height:83.3pt;width:202.1pt;z-index:251672576;mso-width-relative:page;mso-height-relative:page;" fillcolor="#FFFFFF" filled="t" stroked="t" coordsize="21600,21600" arcsize="0.166666666666667" o:gfxdata="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oDx2NsAAAAKAQAADwAAAAAAAAABACAAAAAiAAAAZHJzL2Rvd25y&#10;ZXYueG1sUEsBAhQAFAAAAAgAh07iQCpPeTs0AgAAdAQAAA4AAAAAAAAAAQAgAAAAKgEAAGRycy9l&#10;Mm9Eb2MueG1sUEsFBgAAAAAGAAYAWQEAANAFAAAAAA==&#10;">
                <v:fill on="t" focussize="0,0"/>
                <v:stroke weight="1.25pt" color="#808080" joinstyle="round"/>
                <v:imagedata o:title=""/>
                <o:lock v:ext="edit" aspectratio="f"/>
                <v:textbo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v:textbox>
              </v:roundrect>
            </w:pict>
          </mc:Fallback>
        </mc:AlternateContent>
      </w:r>
      <w:r>
        <w:rPr>
          <w:rFonts w:hint="eastAsia" w:ascii="仿宋" w:hAnsi="仿宋" w:eastAsia="仿宋" w:cs="仿宋"/>
          <w:sz w:val="24"/>
        </w:rPr>
        <mc:AlternateContent>
          <mc:Choice Requires="wps">
            <w:drawing>
              <wp:anchor distT="0" distB="0" distL="114300" distR="114300" simplePos="0" relativeHeight="251671552" behindDoc="0" locked="0" layoutInCell="1" allowOverlap="1">
                <wp:simplePos x="0" y="0"/>
                <wp:positionH relativeFrom="column">
                  <wp:posOffset>261620</wp:posOffset>
                </wp:positionH>
                <wp:positionV relativeFrom="paragraph">
                  <wp:posOffset>97155</wp:posOffset>
                </wp:positionV>
                <wp:extent cx="2372995" cy="1085215"/>
                <wp:effectExtent l="7620" t="7620" r="19685" b="12065"/>
                <wp:wrapNone/>
                <wp:docPr id="5" name="圆角矩形 5"/>
                <wp:cNvGraphicFramePr/>
                <a:graphic xmlns:a="http://schemas.openxmlformats.org/drawingml/2006/main">
                  <a:graphicData uri="http://schemas.microsoft.com/office/word/2010/wordprocessingShape">
                    <wps:wsp>
                      <wps:cNvSpPr/>
                      <wps:spPr>
                        <a:xfrm>
                          <a:off x="0" y="0"/>
                          <a:ext cx="2372995" cy="108521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wps:txbx>
                      <wps:bodyPr wrap="square" upright="1"/>
                    </wps:wsp>
                  </a:graphicData>
                </a:graphic>
              </wp:anchor>
            </w:drawing>
          </mc:Choice>
          <mc:Fallback>
            <w:pict>
              <v:roundrect id="_x0000_s1026" o:spid="_x0000_s1026" o:spt="2" style="position:absolute;left:0pt;margin-left:20.6pt;margin-top:7.65pt;height:85.45pt;width:186.85pt;z-index:251671552;mso-width-relative:page;mso-height-relative:page;" fillcolor="#FFFFFF" filled="t" stroked="t" coordsize="21600,21600" arcsize="0.166666666666667" o:gfxdata="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R1MCNoAAAAJAQAADwAAAAAAAAABACAAAAAiAAAAZHJzL2Rvd25y&#10;ZXYueG1sUEsBAhQAFAAAAAgAh07iQI+cpfY1AgAAdAQAAA4AAAAAAAAAAQAgAAAAKQEAAGRycy9l&#10;Mm9Eb2MueG1sUEsFBgAAAAAGAAYAWQEAANA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v:textbox>
              </v:roundrect>
            </w:pict>
          </mc:Fallback>
        </mc:AlternateContent>
      </w:r>
      <w:r>
        <w:rPr>
          <w:rFonts w:hint="eastAsia" w:ascii="仿宋" w:hAnsi="仿宋" w:eastAsia="仿宋" w:cs="仿宋"/>
          <w:sz w:val="24"/>
          <w:lang w:eastAsia="zh-CN"/>
        </w:rPr>
        <w:t>投标人</w:t>
      </w:r>
      <w:r>
        <w:rPr>
          <w:rFonts w:hint="eastAsia" w:ascii="仿宋" w:hAnsi="仿宋" w:eastAsia="仿宋" w:cs="仿宋"/>
          <w:sz w:val="24"/>
        </w:rPr>
        <w:t xml:space="preserve">（盖单位章）;                           </w:t>
      </w:r>
    </w:p>
    <w:p>
      <w:pPr>
        <w:pStyle w:val="17"/>
        <w:tabs>
          <w:tab w:val="left" w:pos="5580"/>
        </w:tabs>
        <w:spacing w:line="560" w:lineRule="exact"/>
        <w:ind w:left="1078" w:leftChars="257" w:hanging="539"/>
        <w:textAlignment w:val="baseline"/>
        <w:rPr>
          <w:rFonts w:ascii="仿宋" w:hAnsi="仿宋" w:eastAsia="仿宋" w:cs="仿宋"/>
          <w:sz w:val="24"/>
          <w:u w:val="single"/>
        </w:rPr>
      </w:pPr>
      <w:r>
        <w:rPr>
          <w:rFonts w:hint="eastAsia" w:ascii="仿宋" w:hAnsi="仿宋" w:eastAsia="仿宋" w:cs="仿宋"/>
          <w:sz w:val="24"/>
        </w:rPr>
        <w:t>法定代表人（签字或签章）：</w:t>
      </w:r>
    </w:p>
    <w:p>
      <w:pPr>
        <w:pStyle w:val="17"/>
        <w:tabs>
          <w:tab w:val="left" w:pos="5580"/>
        </w:tabs>
        <w:spacing w:line="560" w:lineRule="exact"/>
        <w:ind w:left="1078" w:leftChars="257" w:hanging="539"/>
        <w:textAlignment w:val="baseline"/>
        <w:rPr>
          <w:rFonts w:ascii="仿宋" w:hAnsi="仿宋" w:eastAsia="仿宋" w:cs="仿宋"/>
          <w:sz w:val="24"/>
        </w:rPr>
      </w:pPr>
      <w:r>
        <w:rPr>
          <w:rFonts w:hint="eastAsia" w:ascii="仿宋" w:hAnsi="仿宋" w:eastAsia="仿宋" w:cs="仿宋"/>
          <w:sz w:val="24"/>
        </w:rPr>
        <w:t xml:space="preserve">身份证号码： </w:t>
      </w:r>
    </w:p>
    <w:p>
      <w:pPr>
        <w:pStyle w:val="17"/>
        <w:tabs>
          <w:tab w:val="left" w:pos="5580"/>
        </w:tabs>
        <w:spacing w:line="560" w:lineRule="exact"/>
        <w:ind w:left="1078" w:leftChars="257" w:hanging="539"/>
        <w:textAlignment w:val="baseline"/>
        <w:rPr>
          <w:rFonts w:ascii="仿宋" w:hAnsi="仿宋" w:eastAsia="仿宋" w:cs="仿宋"/>
          <w:sz w:val="24"/>
        </w:rPr>
      </w:pPr>
      <w:r>
        <w:rPr>
          <w:rFonts w:hint="eastAsia" w:ascii="仿宋" w:hAnsi="仿宋" w:eastAsia="仿宋" w:cs="仿宋"/>
          <w:sz w:val="24"/>
        </w:rPr>
        <w:t>委托代理人（签字或签章）：</w:t>
      </w:r>
    </w:p>
    <w:p>
      <w:pPr>
        <w:pStyle w:val="17"/>
        <w:tabs>
          <w:tab w:val="left" w:pos="5580"/>
        </w:tabs>
        <w:spacing w:line="560" w:lineRule="exact"/>
        <w:ind w:left="1078" w:leftChars="257" w:hanging="539"/>
        <w:textAlignment w:val="baseline"/>
        <w:rPr>
          <w:rFonts w:ascii="仿宋" w:hAnsi="仿宋" w:eastAsia="仿宋" w:cs="仿宋"/>
          <w:sz w:val="24"/>
        </w:rPr>
      </w:pPr>
      <w:r>
        <w:rPr>
          <w:rFonts w:hint="eastAsia" w:ascii="仿宋" w:hAnsi="仿宋" w:eastAsia="仿宋" w:cs="仿宋"/>
          <w:sz w:val="24"/>
        </w:rPr>
        <w:t>身份证号码：</w:t>
      </w:r>
    </w:p>
    <w:p>
      <w:pPr>
        <w:pStyle w:val="17"/>
        <w:tabs>
          <w:tab w:val="left" w:pos="5580"/>
        </w:tabs>
        <w:spacing w:line="560" w:lineRule="exact"/>
        <w:ind w:left="1078" w:leftChars="257" w:hanging="539"/>
        <w:textAlignment w:val="baseline"/>
        <w:rPr>
          <w:rFonts w:ascii="仿宋" w:hAnsi="仿宋" w:eastAsia="仿宋" w:cs="仿宋"/>
          <w:sz w:val="24"/>
        </w:rPr>
      </w:pPr>
      <w:r>
        <w:rPr>
          <w:rFonts w:hint="eastAsia" w:ascii="仿宋" w:hAnsi="仿宋" w:eastAsia="仿宋" w:cs="仿宋"/>
          <w:sz w:val="24"/>
        </w:rPr>
        <w:t>详细通讯地址：</w:t>
      </w:r>
    </w:p>
    <w:p>
      <w:pPr>
        <w:pStyle w:val="17"/>
        <w:tabs>
          <w:tab w:val="left" w:pos="5580"/>
        </w:tabs>
        <w:spacing w:line="560" w:lineRule="exact"/>
        <w:ind w:left="1078" w:leftChars="257" w:hanging="539"/>
        <w:textAlignment w:val="baseline"/>
        <w:rPr>
          <w:rFonts w:ascii="仿宋" w:hAnsi="仿宋" w:eastAsia="仿宋" w:cs="仿宋"/>
          <w:sz w:val="24"/>
        </w:rPr>
      </w:pPr>
      <w:r>
        <w:rPr>
          <w:rFonts w:hint="eastAsia" w:ascii="仿宋" w:hAnsi="仿宋" w:eastAsia="仿宋" w:cs="仿宋"/>
          <w:sz w:val="24"/>
        </w:rPr>
        <w:t>邮 政 编 码 ：</w:t>
      </w:r>
    </w:p>
    <w:p>
      <w:pPr>
        <w:pStyle w:val="17"/>
        <w:tabs>
          <w:tab w:val="left" w:pos="5580"/>
        </w:tabs>
        <w:spacing w:line="560" w:lineRule="exact"/>
        <w:ind w:left="1078" w:leftChars="257" w:hanging="539"/>
        <w:textAlignment w:val="baseline"/>
        <w:rPr>
          <w:rFonts w:ascii="仿宋" w:hAnsi="仿宋" w:eastAsia="仿宋" w:cs="仿宋"/>
          <w:sz w:val="24"/>
        </w:rPr>
      </w:pPr>
      <w:r>
        <w:rPr>
          <w:rFonts w:hint="eastAsia" w:ascii="仿宋" w:hAnsi="仿宋" w:eastAsia="仿宋" w:cs="仿宋"/>
          <w:sz w:val="24"/>
        </w:rPr>
        <w:t>传　　　　真：</w:t>
      </w:r>
    </w:p>
    <w:p>
      <w:pPr>
        <w:pStyle w:val="17"/>
        <w:tabs>
          <w:tab w:val="left" w:pos="5580"/>
        </w:tabs>
        <w:spacing w:line="560" w:lineRule="exact"/>
        <w:ind w:left="1078" w:leftChars="257" w:hanging="539"/>
        <w:textAlignment w:val="baseline"/>
        <w:rPr>
          <w:rFonts w:ascii="仿宋" w:hAnsi="仿宋" w:eastAsia="仿宋" w:cs="仿宋"/>
          <w:sz w:val="24"/>
        </w:rPr>
      </w:pPr>
      <w:r>
        <w:rPr>
          <w:rFonts w:hint="eastAsia" w:ascii="仿宋" w:hAnsi="仿宋" w:eastAsia="仿宋" w:cs="仿宋"/>
          <w:sz w:val="24"/>
        </w:rPr>
        <w:t>电　　　　话：</w:t>
      </w:r>
      <w:bookmarkStart w:id="887" w:name="_Toc7039"/>
      <w:bookmarkEnd w:id="887"/>
      <w:bookmarkStart w:id="888" w:name="_Toc32520"/>
      <w:bookmarkEnd w:id="888"/>
      <w:bookmarkStart w:id="889" w:name="_Toc515647808"/>
      <w:bookmarkEnd w:id="889"/>
      <w:bookmarkStart w:id="890" w:name="_Toc18130"/>
      <w:bookmarkEnd w:id="890"/>
      <w:bookmarkStart w:id="891" w:name="_Toc5928"/>
      <w:bookmarkStart w:id="892" w:name="_Toc19958"/>
      <w:bookmarkStart w:id="893" w:name="_Toc28642"/>
      <w:bookmarkStart w:id="894" w:name="_Toc29966"/>
    </w:p>
    <w:p>
      <w:pPr>
        <w:widowControl/>
        <w:jc w:val="center"/>
        <w:rPr>
          <w:rFonts w:ascii="仿宋" w:hAnsi="仿宋" w:eastAsia="仿宋" w:cs="仿宋"/>
          <w:b/>
          <w:kern w:val="0"/>
          <w:sz w:val="24"/>
          <w:szCs w:val="20"/>
        </w:rPr>
      </w:pPr>
      <w:r>
        <w:rPr>
          <w:rFonts w:hint="eastAsia" w:ascii="仿宋" w:hAnsi="仿宋" w:eastAsia="仿宋" w:cs="仿宋"/>
          <w:sz w:val="24"/>
        </w:rPr>
        <w:br w:type="page"/>
      </w:r>
      <w:r>
        <w:rPr>
          <w:rFonts w:hint="eastAsia" w:ascii="仿宋" w:hAnsi="仿宋" w:eastAsia="仿宋" w:cs="仿宋"/>
          <w:b/>
          <w:kern w:val="0"/>
          <w:sz w:val="24"/>
          <w:szCs w:val="20"/>
        </w:rPr>
        <w:t>4  提供近两年内任意一年的财务审计报告（新成立的公司可提供近一个月的银行资信证明）；</w:t>
      </w:r>
    </w:p>
    <w:p>
      <w:pPr>
        <w:widowControl/>
        <w:jc w:val="center"/>
        <w:rPr>
          <w:rFonts w:ascii="仿宋" w:hAnsi="仿宋" w:eastAsia="仿宋" w:cs="仿宋"/>
          <w:b/>
          <w:kern w:val="0"/>
          <w:sz w:val="24"/>
          <w:szCs w:val="20"/>
        </w:rPr>
      </w:pPr>
    </w:p>
    <w:p>
      <w:pPr>
        <w:widowControl/>
        <w:jc w:val="left"/>
        <w:rPr>
          <w:rFonts w:ascii="仿宋" w:hAnsi="仿宋" w:eastAsia="仿宋" w:cs="仿宋"/>
          <w:b/>
          <w:kern w:val="0"/>
          <w:sz w:val="24"/>
          <w:szCs w:val="20"/>
        </w:rPr>
      </w:pPr>
      <w:r>
        <w:rPr>
          <w:rFonts w:hint="eastAsia" w:ascii="仿宋" w:hAnsi="仿宋" w:eastAsia="仿宋" w:cs="仿宋"/>
          <w:b/>
          <w:kern w:val="0"/>
          <w:sz w:val="24"/>
          <w:szCs w:val="20"/>
        </w:rPr>
        <w:t>5投标企业依法缴纳近 3个月内其中任意1个月的社会保险凭据；</w:t>
      </w:r>
    </w:p>
    <w:p>
      <w:pPr>
        <w:widowControl/>
        <w:jc w:val="left"/>
        <w:rPr>
          <w:rFonts w:ascii="仿宋" w:hAnsi="仿宋" w:eastAsia="仿宋" w:cs="仿宋"/>
          <w:b/>
          <w:kern w:val="0"/>
          <w:sz w:val="24"/>
          <w:szCs w:val="20"/>
        </w:rPr>
      </w:pPr>
    </w:p>
    <w:p>
      <w:pPr>
        <w:widowControl/>
        <w:jc w:val="left"/>
        <w:rPr>
          <w:rFonts w:ascii="仿宋" w:hAnsi="仿宋" w:eastAsia="仿宋" w:cs="仿宋"/>
          <w:b/>
          <w:kern w:val="0"/>
          <w:sz w:val="24"/>
          <w:szCs w:val="20"/>
        </w:rPr>
      </w:pPr>
      <w:r>
        <w:rPr>
          <w:rFonts w:hint="eastAsia" w:ascii="仿宋" w:hAnsi="仿宋" w:eastAsia="仿宋" w:cs="仿宋"/>
          <w:b/>
          <w:kern w:val="0"/>
          <w:sz w:val="24"/>
          <w:szCs w:val="20"/>
        </w:rPr>
        <w:t>6根据《财政部关于在政府采购活动中查询及使用信用记录有关问题的通知》（财库﹝2016﹞125号）的要求，凡拟参加本次招标项目的</w:t>
      </w:r>
      <w:r>
        <w:rPr>
          <w:rFonts w:hint="eastAsia" w:ascii="仿宋" w:hAnsi="仿宋" w:eastAsia="仿宋" w:cs="仿宋"/>
          <w:b/>
          <w:kern w:val="0"/>
          <w:sz w:val="24"/>
          <w:szCs w:val="20"/>
          <w:lang w:eastAsia="zh-CN"/>
        </w:rPr>
        <w:t>投标人</w:t>
      </w:r>
      <w:r>
        <w:rPr>
          <w:rFonts w:hint="eastAsia" w:ascii="仿宋" w:hAnsi="仿宋" w:eastAsia="仿宋" w:cs="仿宋"/>
          <w:b/>
          <w:kern w:val="0"/>
          <w:sz w:val="24"/>
          <w:szCs w:val="20"/>
        </w:rPr>
        <w:t>，如在“信用中国”网站（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由代理机构现场查询核实）；</w:t>
      </w:r>
    </w:p>
    <w:p>
      <w:pPr>
        <w:widowControl/>
        <w:jc w:val="left"/>
        <w:rPr>
          <w:rFonts w:ascii="仿宋" w:hAnsi="仿宋" w:eastAsia="仿宋" w:cs="仿宋"/>
          <w:b/>
          <w:kern w:val="0"/>
          <w:sz w:val="24"/>
          <w:szCs w:val="20"/>
        </w:rPr>
      </w:pPr>
    </w:p>
    <w:p>
      <w:pPr>
        <w:widowControl/>
        <w:jc w:val="left"/>
        <w:rPr>
          <w:rFonts w:ascii="仿宋" w:hAnsi="仿宋" w:eastAsia="仿宋" w:cs="仿宋"/>
          <w:b/>
          <w:kern w:val="0"/>
          <w:sz w:val="24"/>
          <w:szCs w:val="20"/>
        </w:rPr>
      </w:pPr>
      <w:r>
        <w:rPr>
          <w:rFonts w:hint="eastAsia" w:ascii="仿宋" w:hAnsi="仿宋" w:eastAsia="仿宋" w:cs="仿宋"/>
          <w:b/>
          <w:kern w:val="0"/>
          <w:sz w:val="24"/>
          <w:szCs w:val="20"/>
        </w:rPr>
        <w:t>7 在参加政府采购活动中前三年内无重大违法记录的声明书；</w:t>
      </w:r>
    </w:p>
    <w:p>
      <w:pPr>
        <w:widowControl/>
        <w:jc w:val="left"/>
        <w:rPr>
          <w:rFonts w:ascii="仿宋" w:hAnsi="仿宋" w:eastAsia="仿宋" w:cs="仿宋"/>
          <w:b/>
          <w:kern w:val="0"/>
          <w:sz w:val="24"/>
          <w:szCs w:val="20"/>
        </w:rPr>
      </w:pPr>
    </w:p>
    <w:p>
      <w:pPr>
        <w:widowControl/>
        <w:jc w:val="left"/>
        <w:rPr>
          <w:rFonts w:ascii="仿宋" w:hAnsi="仿宋" w:eastAsia="仿宋" w:cs="仿宋"/>
          <w:b/>
          <w:kern w:val="0"/>
          <w:sz w:val="24"/>
          <w:szCs w:val="20"/>
        </w:rPr>
      </w:pPr>
      <w:r>
        <w:rPr>
          <w:rFonts w:hint="eastAsia" w:ascii="仿宋" w:hAnsi="仿宋" w:eastAsia="仿宋" w:cs="仿宋"/>
          <w:b/>
          <w:kern w:val="0"/>
          <w:sz w:val="24"/>
          <w:szCs w:val="20"/>
        </w:rPr>
        <w:t>8提供针对本次项目《反商业贿赂承诺书》；</w:t>
      </w:r>
    </w:p>
    <w:p>
      <w:pPr>
        <w:widowControl/>
        <w:jc w:val="left"/>
        <w:rPr>
          <w:rFonts w:ascii="仿宋" w:hAnsi="仿宋" w:eastAsia="仿宋" w:cs="仿宋"/>
          <w:b/>
          <w:kern w:val="0"/>
          <w:sz w:val="24"/>
          <w:szCs w:val="20"/>
        </w:rPr>
      </w:pPr>
    </w:p>
    <w:p>
      <w:pPr>
        <w:widowControl/>
        <w:jc w:val="left"/>
        <w:rPr>
          <w:rFonts w:ascii="仿宋" w:hAnsi="仿宋" w:eastAsia="仿宋" w:cs="仿宋"/>
          <w:b/>
          <w:kern w:val="0"/>
          <w:sz w:val="24"/>
          <w:szCs w:val="20"/>
        </w:rPr>
      </w:pPr>
    </w:p>
    <w:p>
      <w:pPr>
        <w:widowControl/>
        <w:jc w:val="center"/>
        <w:rPr>
          <w:rFonts w:ascii="仿宋" w:hAnsi="仿宋" w:eastAsia="仿宋" w:cs="仿宋"/>
          <w:b/>
          <w:kern w:val="0"/>
          <w:sz w:val="24"/>
          <w:szCs w:val="20"/>
        </w:rPr>
      </w:pPr>
      <w:r>
        <w:rPr>
          <w:rFonts w:hint="eastAsia" w:ascii="仿宋" w:hAnsi="仿宋" w:eastAsia="仿宋" w:cs="仿宋"/>
          <w:b/>
          <w:kern w:val="0"/>
          <w:sz w:val="24"/>
          <w:szCs w:val="20"/>
        </w:rPr>
        <w:t>9投标保证金缴纳凭证</w:t>
      </w:r>
    </w:p>
    <w:bookmarkEnd w:id="891"/>
    <w:bookmarkEnd w:id="892"/>
    <w:bookmarkEnd w:id="893"/>
    <w:bookmarkEnd w:id="894"/>
    <w:p>
      <w:pPr>
        <w:pStyle w:val="30"/>
        <w:widowControl/>
        <w:spacing w:beforeAutospacing="0" w:afterAutospacing="0" w:line="360" w:lineRule="auto"/>
        <w:ind w:left="147" w:firstLine="480" w:firstLineChars="200"/>
        <w:rPr>
          <w:rFonts w:ascii="仿宋" w:hAnsi="仿宋" w:eastAsia="仿宋" w:cs="仿宋"/>
        </w:rPr>
      </w:pPr>
      <w:r>
        <w:rPr>
          <w:rFonts w:hint="eastAsia" w:ascii="仿宋" w:hAnsi="仿宋" w:eastAsia="仿宋" w:cs="仿宋"/>
        </w:rPr>
        <w:t>投标保证金应当以支票、汇票、本票或者金融机构、担保机构出具的保函等非现金形式提交。投标人未按照招标文件要求提交投标保证金的，投标无效。</w:t>
      </w:r>
      <w:bookmarkStart w:id="895" w:name="_Toc494296665"/>
      <w:bookmarkStart w:id="896" w:name="_Toc494296991"/>
      <w:r>
        <w:rPr>
          <w:rFonts w:hint="eastAsia" w:ascii="仿宋" w:hAnsi="仿宋" w:eastAsia="仿宋" w:cs="仿宋"/>
        </w:rPr>
        <w:t>投标人可将本项目保证金缴纳凭证体现在本部分中，复印件上应加盖本单位章；使用银行保函等其他投标担保函的，应将担保函复印件，体现在本部分中；如采用政府采购信用担保形式的，应使用以下模板,将复印件体现在本部分中。</w:t>
      </w:r>
      <w:bookmarkEnd w:id="895"/>
      <w:bookmarkEnd w:id="896"/>
    </w:p>
    <w:p>
      <w:pPr>
        <w:jc w:val="center"/>
        <w:rPr>
          <w:rFonts w:ascii="仿宋" w:hAnsi="仿宋" w:eastAsia="仿宋" w:cs="仿宋"/>
          <w:sz w:val="28"/>
          <w:szCs w:val="28"/>
        </w:rPr>
      </w:pPr>
      <w:r>
        <w:rPr>
          <w:rFonts w:hint="eastAsia" w:ascii="仿宋" w:hAnsi="仿宋" w:eastAsia="仿宋" w:cs="仿宋"/>
          <w:sz w:val="28"/>
          <w:szCs w:val="28"/>
        </w:rPr>
        <w:t>政府采购投标担保函 （项目用）</w:t>
      </w:r>
    </w:p>
    <w:p>
      <w:pPr>
        <w:ind w:firstLine="6720" w:firstLineChars="3200"/>
        <w:rPr>
          <w:rFonts w:ascii="仿宋" w:hAnsi="仿宋" w:eastAsia="仿宋" w:cs="仿宋"/>
        </w:rPr>
      </w:pPr>
      <w:r>
        <w:rPr>
          <w:rFonts w:hint="eastAsia" w:ascii="仿宋" w:hAnsi="仿宋" w:eastAsia="仿宋" w:cs="仿宋"/>
        </w:rPr>
        <w:t>编号：</w:t>
      </w:r>
    </w:p>
    <w:p>
      <w:pPr>
        <w:tabs>
          <w:tab w:val="left" w:pos="6669"/>
        </w:tabs>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rPr>
        <w:t>（采购人或采购代理机构）：</w:t>
      </w:r>
      <w:r>
        <w:rPr>
          <w:rFonts w:hint="eastAsia" w:ascii="仿宋" w:hAnsi="仿宋" w:eastAsia="仿宋" w:cs="仿宋"/>
        </w:rPr>
        <w:tab/>
      </w:r>
    </w:p>
    <w:p>
      <w:pPr>
        <w:rPr>
          <w:rFonts w:ascii="仿宋" w:hAnsi="仿宋" w:eastAsia="仿宋" w:cs="仿宋"/>
        </w:rPr>
      </w:pPr>
    </w:p>
    <w:p>
      <w:pPr>
        <w:ind w:firstLine="420" w:firstLineChars="200"/>
        <w:rPr>
          <w:rFonts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（以下简称“投标人”）拟参加编号为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rPr>
          <w:rFonts w:ascii="仿宋" w:hAnsi="仿宋" w:eastAsia="仿宋" w:cs="仿宋"/>
        </w:rPr>
      </w:pPr>
      <w:r>
        <w:rPr>
          <w:rFonts w:hint="eastAsia" w:ascii="仿宋" w:hAnsi="仿宋" w:eastAsia="仿宋" w:cs="仿宋"/>
        </w:rPr>
        <w:t>项目（以下简称“本项目”）投标，根据本项目招标文件，</w:t>
      </w:r>
      <w:r>
        <w:rPr>
          <w:rFonts w:hint="eastAsia" w:ascii="仿宋" w:hAnsi="仿宋" w:eastAsia="仿宋" w:cs="仿宋"/>
          <w:lang w:eastAsia="zh-CN"/>
        </w:rPr>
        <w:t>投标人</w:t>
      </w:r>
      <w:r>
        <w:rPr>
          <w:rFonts w:hint="eastAsia" w:ascii="仿宋" w:hAnsi="仿宋" w:eastAsia="仿宋" w:cs="仿宋"/>
        </w:rPr>
        <w:t>参加投标时应向你方交纳投标保证金，且可以投标担保函的形式交纳投标保证金。应</w:t>
      </w:r>
      <w:r>
        <w:rPr>
          <w:rFonts w:hint="eastAsia" w:ascii="仿宋" w:hAnsi="仿宋" w:eastAsia="仿宋" w:cs="仿宋"/>
          <w:lang w:eastAsia="zh-CN"/>
        </w:rPr>
        <w:t>投标人</w:t>
      </w:r>
      <w:r>
        <w:rPr>
          <w:rFonts w:hint="eastAsia" w:ascii="仿宋" w:hAnsi="仿宋" w:eastAsia="仿宋" w:cs="仿宋"/>
        </w:rPr>
        <w:t>的申请，我方以保证的方式向你方提供如下投标保证金担保：</w:t>
      </w:r>
    </w:p>
    <w:p>
      <w:pPr>
        <w:ind w:firstLine="420" w:firstLineChars="200"/>
        <w:rPr>
          <w:rFonts w:ascii="仿宋" w:hAnsi="仿宋" w:eastAsia="仿宋" w:cs="仿宋"/>
        </w:rPr>
      </w:pPr>
      <w:r>
        <w:rPr>
          <w:rFonts w:hint="eastAsia" w:ascii="仿宋" w:hAnsi="仿宋" w:eastAsia="仿宋" w:cs="仿宋"/>
        </w:rPr>
        <w:t>一、保证责任的情形及保证金额</w:t>
      </w:r>
    </w:p>
    <w:p>
      <w:pPr>
        <w:ind w:firstLine="210" w:firstLineChars="100"/>
        <w:rPr>
          <w:rFonts w:ascii="仿宋" w:hAnsi="仿宋" w:eastAsia="仿宋" w:cs="仿宋"/>
        </w:rPr>
      </w:pPr>
      <w:r>
        <w:rPr>
          <w:rFonts w:hint="eastAsia" w:ascii="仿宋" w:hAnsi="仿宋" w:eastAsia="仿宋" w:cs="仿宋"/>
        </w:rPr>
        <w:t>（一）在投标人出现下列情形之一时，我方承担保证责任：</w:t>
      </w:r>
    </w:p>
    <w:p>
      <w:pPr>
        <w:ind w:firstLine="420" w:firstLineChars="200"/>
        <w:rPr>
          <w:rFonts w:ascii="仿宋" w:hAnsi="仿宋" w:eastAsia="仿宋" w:cs="仿宋"/>
        </w:rPr>
      </w:pPr>
      <w:r>
        <w:rPr>
          <w:rFonts w:hint="eastAsia" w:ascii="仿宋" w:hAnsi="仿宋" w:eastAsia="仿宋" w:cs="仿宋"/>
        </w:rPr>
        <w:t>1．中标后投标人无正当理由不与采购人或者采购代理机构签订《政府采购合同》；</w:t>
      </w:r>
    </w:p>
    <w:p>
      <w:pPr>
        <w:ind w:firstLine="420" w:firstLineChars="200"/>
        <w:rPr>
          <w:rFonts w:ascii="仿宋" w:hAnsi="仿宋" w:eastAsia="仿宋" w:cs="仿宋"/>
        </w:rPr>
      </w:pPr>
      <w:r>
        <w:rPr>
          <w:rFonts w:hint="eastAsia" w:ascii="仿宋" w:hAnsi="仿宋" w:eastAsia="仿宋" w:cs="仿宋"/>
        </w:rPr>
        <w:t>2．招标文件规定的投标人应当缴纳保证金的其他情形。</w:t>
      </w:r>
    </w:p>
    <w:p>
      <w:pPr>
        <w:ind w:firstLine="210" w:firstLineChars="100"/>
        <w:rPr>
          <w:rFonts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ind w:firstLine="420" w:firstLineChars="200"/>
        <w:rPr>
          <w:rFonts w:ascii="仿宋" w:hAnsi="仿宋" w:eastAsia="仿宋" w:cs="仿宋"/>
        </w:rPr>
      </w:pPr>
      <w:r>
        <w:rPr>
          <w:rFonts w:hint="eastAsia" w:ascii="仿宋" w:hAnsi="仿宋" w:eastAsia="仿宋" w:cs="仿宋"/>
        </w:rPr>
        <w:t>二、保证的方式及保证期间</w:t>
      </w:r>
    </w:p>
    <w:p>
      <w:pPr>
        <w:ind w:firstLine="420" w:firstLineChars="200"/>
        <w:rPr>
          <w:rFonts w:ascii="仿宋" w:hAnsi="仿宋" w:eastAsia="仿宋" w:cs="仿宋"/>
        </w:rPr>
      </w:pPr>
      <w:r>
        <w:rPr>
          <w:rFonts w:hint="eastAsia" w:ascii="仿宋" w:hAnsi="仿宋" w:eastAsia="仿宋" w:cs="仿宋"/>
        </w:rPr>
        <w:t>我方保证的方式为：连带责任保证。</w:t>
      </w:r>
    </w:p>
    <w:p>
      <w:pPr>
        <w:ind w:firstLine="420" w:firstLineChars="200"/>
        <w:rPr>
          <w:rFonts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ind w:firstLine="420" w:firstLineChars="200"/>
        <w:rPr>
          <w:rFonts w:ascii="仿宋" w:hAnsi="仿宋" w:eastAsia="仿宋" w:cs="仿宋"/>
        </w:rPr>
      </w:pPr>
      <w:r>
        <w:rPr>
          <w:rFonts w:hint="eastAsia" w:ascii="仿宋" w:hAnsi="仿宋" w:eastAsia="仿宋" w:cs="仿宋"/>
        </w:rPr>
        <w:t>三、承担保证责任的程序</w:t>
      </w:r>
    </w:p>
    <w:p>
      <w:pPr>
        <w:ind w:firstLine="420" w:firstLineChars="200"/>
        <w:rPr>
          <w:rFonts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个工作日内进行审查，符合应承担保证责任情形的，我方应按照你方的要求代投标人向你方支付投标保证金。</w:t>
      </w:r>
    </w:p>
    <w:p>
      <w:pPr>
        <w:ind w:firstLine="420" w:firstLineChars="200"/>
        <w:rPr>
          <w:rFonts w:ascii="仿宋" w:hAnsi="仿宋" w:eastAsia="仿宋" w:cs="仿宋"/>
        </w:rPr>
      </w:pPr>
      <w:r>
        <w:rPr>
          <w:rFonts w:hint="eastAsia" w:ascii="仿宋" w:hAnsi="仿宋" w:eastAsia="仿宋" w:cs="仿宋"/>
        </w:rPr>
        <w:t>四、保证责任的终止</w:t>
      </w:r>
    </w:p>
    <w:p>
      <w:pPr>
        <w:ind w:firstLine="420" w:firstLineChars="200"/>
        <w:rPr>
          <w:rFonts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ind w:firstLine="420" w:firstLineChars="200"/>
        <w:rPr>
          <w:rFonts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ind w:firstLine="420" w:firstLineChars="200"/>
        <w:rPr>
          <w:rFonts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ind w:firstLine="420" w:firstLineChars="200"/>
        <w:rPr>
          <w:rFonts w:ascii="仿宋" w:hAnsi="仿宋" w:eastAsia="仿宋" w:cs="仿宋"/>
        </w:rPr>
      </w:pPr>
      <w:r>
        <w:rPr>
          <w:rFonts w:hint="eastAsia" w:ascii="仿宋" w:hAnsi="仿宋" w:eastAsia="仿宋" w:cs="仿宋"/>
        </w:rPr>
        <w:t>五、免责条款</w:t>
      </w:r>
    </w:p>
    <w:p>
      <w:pPr>
        <w:ind w:firstLine="420" w:firstLineChars="200"/>
        <w:rPr>
          <w:rFonts w:ascii="仿宋" w:hAnsi="仿宋" w:eastAsia="仿宋" w:cs="仿宋"/>
        </w:rPr>
      </w:pPr>
      <w:r>
        <w:rPr>
          <w:rFonts w:hint="eastAsia" w:ascii="仿宋" w:hAnsi="仿宋" w:eastAsia="仿宋" w:cs="仿宋"/>
        </w:rPr>
        <w:t>1．依照法律规定或你方与投标人的另行约定，全部或者部分免除投标人投标保证金义务时，我方亦免除相应的保证责任。</w:t>
      </w:r>
    </w:p>
    <w:p>
      <w:pPr>
        <w:ind w:firstLine="420" w:firstLineChars="200"/>
        <w:rPr>
          <w:rFonts w:ascii="仿宋" w:hAnsi="仿宋" w:eastAsia="仿宋" w:cs="仿宋"/>
        </w:rPr>
      </w:pPr>
      <w:r>
        <w:rPr>
          <w:rFonts w:hint="eastAsia" w:ascii="仿宋" w:hAnsi="仿宋" w:eastAsia="仿宋" w:cs="仿宋"/>
        </w:rPr>
        <w:t>2．因你方原因致使投标人发生本保函第一条第（一）款约定情形的，我方不承担保证责任。</w:t>
      </w:r>
    </w:p>
    <w:p>
      <w:pPr>
        <w:ind w:firstLine="420" w:firstLineChars="200"/>
        <w:rPr>
          <w:rFonts w:ascii="仿宋" w:hAnsi="仿宋" w:eastAsia="仿宋" w:cs="仿宋"/>
        </w:rPr>
      </w:pPr>
      <w:r>
        <w:rPr>
          <w:rFonts w:hint="eastAsia" w:ascii="仿宋" w:hAnsi="仿宋" w:eastAsia="仿宋" w:cs="仿宋"/>
        </w:rPr>
        <w:t>3．因不可抗力造成投标人发生本保函第一条约定情形的，我方不承担保证责任。</w:t>
      </w:r>
    </w:p>
    <w:p>
      <w:pPr>
        <w:ind w:firstLine="420" w:firstLineChars="200"/>
        <w:rPr>
          <w:rFonts w:ascii="仿宋" w:hAnsi="仿宋" w:eastAsia="仿宋" w:cs="仿宋"/>
        </w:rPr>
      </w:pPr>
      <w:r>
        <w:rPr>
          <w:rFonts w:hint="eastAsia" w:ascii="仿宋" w:hAnsi="仿宋" w:eastAsia="仿宋" w:cs="仿宋"/>
        </w:rPr>
        <w:t>4．你方或其他有权机关对招标文件进行任何澄清或修改，加重我方保证责任的，我方对加重部分不承担保证责任，但该澄清或修改经我方事先书面同意的除外。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rPr>
      </w:pPr>
      <w:r>
        <w:rPr>
          <w:rFonts w:hint="eastAsia" w:ascii="仿宋" w:hAnsi="仿宋" w:eastAsia="仿宋" w:cs="仿宋"/>
        </w:rPr>
        <w:t>六、争议的解决</w:t>
      </w:r>
    </w:p>
    <w:p>
      <w:pPr>
        <w:ind w:firstLine="420" w:firstLineChars="200"/>
        <w:rPr>
          <w:rFonts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ind w:firstLine="420" w:firstLineChars="200"/>
        <w:rPr>
          <w:rFonts w:ascii="仿宋" w:hAnsi="仿宋" w:eastAsia="仿宋" w:cs="仿宋"/>
        </w:rPr>
      </w:pPr>
      <w:r>
        <w:rPr>
          <w:rFonts w:hint="eastAsia" w:ascii="仿宋" w:hAnsi="仿宋" w:eastAsia="仿宋" w:cs="仿宋"/>
        </w:rPr>
        <w:t>七、保函的生效</w:t>
      </w:r>
    </w:p>
    <w:p>
      <w:pPr>
        <w:ind w:firstLine="420" w:firstLineChars="200"/>
        <w:rPr>
          <w:rFonts w:ascii="仿宋" w:hAnsi="仿宋" w:eastAsia="仿宋" w:cs="仿宋"/>
        </w:rPr>
      </w:pPr>
      <w:r>
        <w:rPr>
          <w:rFonts w:hint="eastAsia" w:ascii="仿宋" w:hAnsi="仿宋" w:eastAsia="仿宋" w:cs="仿宋"/>
        </w:rPr>
        <w:t>本保函自我方加盖公章之日起生效。</w:t>
      </w:r>
    </w:p>
    <w:p>
      <w:pPr>
        <w:ind w:firstLine="5040" w:firstLineChars="2400"/>
        <w:rPr>
          <w:rFonts w:ascii="仿宋" w:hAnsi="仿宋" w:eastAsia="仿宋" w:cs="仿宋"/>
        </w:rPr>
        <w:sectPr>
          <w:headerReference r:id="rId5" w:type="default"/>
          <w:footerReference r:id="rId6" w:type="default"/>
          <w:pgSz w:w="11906" w:h="16838"/>
          <w:pgMar w:top="1100" w:right="1060" w:bottom="1100" w:left="1060" w:header="851" w:footer="992" w:gutter="0"/>
          <w:pgNumType w:start="1"/>
          <w:cols w:space="720" w:num="1"/>
          <w:docGrid w:type="linesAndChars" w:linePitch="312" w:charSpace="0"/>
        </w:sectPr>
      </w:pPr>
      <w:r>
        <w:rPr>
          <w:rFonts w:hint="eastAsia" w:ascii="仿宋" w:hAnsi="仿宋" w:eastAsia="仿宋" w:cs="仿宋"/>
        </w:rPr>
        <w:t>保证人：（公章）        年     月      日</w:t>
      </w:r>
    </w:p>
    <w:p>
      <w:pPr>
        <w:widowControl/>
        <w:jc w:val="left"/>
        <w:rPr>
          <w:rFonts w:ascii="仿宋" w:hAnsi="仿宋" w:eastAsia="仿宋" w:cs="仿宋"/>
          <w:b/>
          <w:kern w:val="0"/>
          <w:sz w:val="24"/>
          <w:szCs w:val="20"/>
        </w:rPr>
      </w:pPr>
      <w:bookmarkStart w:id="897" w:name="_Toc11340"/>
      <w:bookmarkStart w:id="898" w:name="_Toc25801"/>
      <w:bookmarkStart w:id="899" w:name="_Toc18306"/>
      <w:bookmarkStart w:id="900" w:name="_Toc4689"/>
      <w:bookmarkStart w:id="901" w:name="_Toc21347"/>
      <w:bookmarkStart w:id="902" w:name="_Toc2180"/>
      <w:bookmarkStart w:id="903" w:name="_Toc11464"/>
      <w:bookmarkStart w:id="904" w:name="_Toc29051"/>
      <w:bookmarkStart w:id="905" w:name="_Toc4680"/>
      <w:bookmarkStart w:id="906" w:name="_Toc22388"/>
      <w:bookmarkStart w:id="907" w:name="_Toc12799"/>
      <w:bookmarkStart w:id="908" w:name="_Toc9088"/>
      <w:bookmarkStart w:id="909" w:name="_Toc3659"/>
      <w:bookmarkStart w:id="910" w:name="_Toc2815"/>
    </w:p>
    <w:p>
      <w:pPr>
        <w:pStyle w:val="7"/>
        <w:widowControl/>
        <w:spacing w:before="0" w:after="0" w:line="288" w:lineRule="auto"/>
        <w:jc w:val="center"/>
        <w:textAlignment w:val="baseline"/>
        <w:rPr>
          <w:rFonts w:ascii="仿宋" w:hAnsi="仿宋" w:eastAsia="仿宋" w:cs="仿宋"/>
          <w:u w:val="none"/>
        </w:rPr>
      </w:pPr>
      <w:r>
        <w:rPr>
          <w:rFonts w:hint="eastAsia" w:ascii="仿宋" w:hAnsi="仿宋" w:eastAsia="仿宋" w:cs="仿宋"/>
          <w:u w:val="none"/>
        </w:rPr>
        <w:t>10  投标人须知资料表要求的其他资格证明文件</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p>
    <w:p>
      <w:pPr>
        <w:pStyle w:val="17"/>
        <w:tabs>
          <w:tab w:val="left" w:pos="5580"/>
        </w:tabs>
        <w:spacing w:line="288" w:lineRule="auto"/>
        <w:ind w:left="1079" w:leftChars="257" w:hanging="540"/>
        <w:rPr>
          <w:rFonts w:ascii="仿宋" w:hAnsi="仿宋" w:eastAsia="仿宋" w:cs="仿宋"/>
          <w:sz w:val="24"/>
        </w:rPr>
      </w:pPr>
    </w:p>
    <w:p>
      <w:pPr>
        <w:pStyle w:val="17"/>
        <w:tabs>
          <w:tab w:val="left" w:pos="5580"/>
        </w:tabs>
        <w:spacing w:line="560" w:lineRule="exact"/>
        <w:ind w:left="1079" w:leftChars="257" w:hanging="540"/>
        <w:rPr>
          <w:rFonts w:ascii="仿宋" w:hAnsi="仿宋" w:eastAsia="仿宋" w:cs="仿宋"/>
          <w:sz w:val="24"/>
        </w:rPr>
      </w:pPr>
      <w:r>
        <w:rPr>
          <w:rFonts w:hint="eastAsia" w:ascii="仿宋" w:hAnsi="仿宋" w:eastAsia="仿宋" w:cs="仿宋"/>
          <w:sz w:val="24"/>
        </w:rPr>
        <w:t>说明：1.应提供</w:t>
      </w:r>
      <w:r>
        <w:rPr>
          <w:rFonts w:hint="eastAsia" w:ascii="仿宋" w:hAnsi="仿宋" w:eastAsia="仿宋" w:cs="仿宋"/>
          <w:sz w:val="24"/>
          <w:u w:val="single"/>
        </w:rPr>
        <w:t>投标人须知资料表</w:t>
      </w:r>
      <w:r>
        <w:rPr>
          <w:rFonts w:hint="eastAsia" w:ascii="仿宋" w:hAnsi="仿宋" w:eastAsia="仿宋" w:cs="仿宋"/>
          <w:sz w:val="24"/>
        </w:rPr>
        <w:t>要求的其他资格证明文件。</w:t>
      </w:r>
    </w:p>
    <w:p>
      <w:pPr>
        <w:pStyle w:val="17"/>
        <w:tabs>
          <w:tab w:val="left" w:pos="5580"/>
        </w:tabs>
        <w:spacing w:line="560" w:lineRule="exact"/>
        <w:ind w:left="1079" w:leftChars="257" w:hanging="540"/>
        <w:rPr>
          <w:rFonts w:ascii="仿宋" w:hAnsi="仿宋" w:eastAsia="仿宋" w:cs="仿宋"/>
          <w:sz w:val="24"/>
        </w:rPr>
      </w:pPr>
      <w:r>
        <w:rPr>
          <w:rFonts w:hint="eastAsia" w:ascii="仿宋" w:hAnsi="仿宋" w:eastAsia="仿宋" w:cs="仿宋"/>
          <w:sz w:val="24"/>
        </w:rPr>
        <w:t xml:space="preserve">      2.复印件上应加盖本单位章（自然人投标的无需盖章，需要签字）。</w:t>
      </w:r>
    </w:p>
    <w:p>
      <w:pPr>
        <w:pStyle w:val="17"/>
        <w:tabs>
          <w:tab w:val="left" w:pos="5580"/>
        </w:tabs>
        <w:spacing w:line="560" w:lineRule="exact"/>
        <w:ind w:left="1260" w:leftChars="344" w:hanging="538"/>
        <w:rPr>
          <w:rFonts w:ascii="仿宋" w:hAnsi="仿宋" w:eastAsia="仿宋" w:cs="仿宋"/>
          <w:sz w:val="24"/>
        </w:rPr>
      </w:pPr>
      <w:r>
        <w:rPr>
          <w:rFonts w:hint="eastAsia" w:ascii="仿宋" w:hAnsi="仿宋" w:eastAsia="仿宋" w:cs="仿宋"/>
          <w:sz w:val="24"/>
        </w:rPr>
        <w:t xml:space="preserve">    </w:t>
      </w:r>
    </w:p>
    <w:p>
      <w:pPr>
        <w:pStyle w:val="26"/>
        <w:numPr>
          <w:ilvl w:val="0"/>
          <w:numId w:val="6"/>
        </w:numPr>
        <w:rPr>
          <w:rFonts w:ascii="仿宋" w:hAnsi="仿宋" w:eastAsia="仿宋" w:cs="仿宋"/>
        </w:rPr>
        <w:sectPr>
          <w:headerReference r:id="rId7" w:type="default"/>
          <w:footerReference r:id="rId8" w:type="default"/>
          <w:pgSz w:w="11906" w:h="16838"/>
          <w:pgMar w:top="1440" w:right="1797" w:bottom="1440" w:left="1797" w:header="851" w:footer="992" w:gutter="0"/>
          <w:cols w:space="720" w:num="1"/>
          <w:docGrid w:type="linesAndChars" w:linePitch="312" w:charSpace="0"/>
        </w:sectPr>
      </w:pPr>
    </w:p>
    <w:p>
      <w:pPr>
        <w:pStyle w:val="17"/>
        <w:tabs>
          <w:tab w:val="left" w:pos="5580"/>
        </w:tabs>
        <w:snapToGrid w:val="0"/>
        <w:spacing w:line="288" w:lineRule="auto"/>
        <w:jc w:val="center"/>
        <w:textAlignment w:val="baseline"/>
        <w:outlineLvl w:val="1"/>
        <w:rPr>
          <w:rFonts w:ascii="仿宋" w:hAnsi="仿宋" w:eastAsia="仿宋" w:cs="仿宋"/>
          <w:sz w:val="24"/>
        </w:rPr>
      </w:pPr>
      <w:bookmarkStart w:id="911" w:name="_Toc6294"/>
      <w:bookmarkStart w:id="912" w:name="_Toc2184"/>
      <w:bookmarkStart w:id="913" w:name="_Toc14404"/>
      <w:bookmarkStart w:id="914" w:name="_Toc2243"/>
      <w:r>
        <w:rPr>
          <w:rFonts w:hint="eastAsia" w:ascii="仿宋" w:hAnsi="仿宋" w:eastAsia="仿宋" w:cs="仿宋"/>
          <w:b/>
          <w:kern w:val="0"/>
          <w:sz w:val="24"/>
        </w:rPr>
        <w:t>第二部分 商务及技术文件</w:t>
      </w:r>
      <w:bookmarkEnd w:id="911"/>
      <w:bookmarkEnd w:id="912"/>
      <w:bookmarkEnd w:id="913"/>
      <w:bookmarkEnd w:id="914"/>
    </w:p>
    <w:p>
      <w:pPr>
        <w:pStyle w:val="17"/>
        <w:snapToGrid w:val="0"/>
        <w:spacing w:line="560" w:lineRule="exact"/>
        <w:ind w:left="1080" w:leftChars="257" w:hanging="540"/>
        <w:jc w:val="left"/>
        <w:textAlignment w:val="baseline"/>
        <w:rPr>
          <w:rFonts w:ascii="仿宋" w:hAnsi="仿宋" w:eastAsia="仿宋" w:cs="仿宋"/>
          <w:sz w:val="24"/>
          <w:szCs w:val="24"/>
        </w:rPr>
      </w:pPr>
      <w:r>
        <w:rPr>
          <w:rFonts w:hint="eastAsia" w:ascii="仿宋" w:hAnsi="仿宋" w:eastAsia="仿宋" w:cs="仿宋"/>
          <w:sz w:val="24"/>
          <w:szCs w:val="24"/>
        </w:rPr>
        <w:t>1、投标书</w:t>
      </w:r>
    </w:p>
    <w:p>
      <w:pPr>
        <w:pStyle w:val="17"/>
        <w:snapToGrid w:val="0"/>
        <w:spacing w:line="560" w:lineRule="exact"/>
        <w:ind w:left="1080" w:leftChars="257" w:hanging="540"/>
        <w:jc w:val="left"/>
        <w:textAlignment w:val="baseline"/>
        <w:rPr>
          <w:rFonts w:ascii="仿宋" w:hAnsi="仿宋" w:eastAsia="仿宋" w:cs="仿宋"/>
          <w:sz w:val="24"/>
          <w:szCs w:val="24"/>
        </w:rPr>
      </w:pPr>
      <w:r>
        <w:rPr>
          <w:rFonts w:hint="eastAsia" w:ascii="仿宋" w:hAnsi="仿宋" w:eastAsia="仿宋" w:cs="仿宋"/>
          <w:sz w:val="24"/>
          <w:szCs w:val="24"/>
        </w:rPr>
        <w:t>2、投标分项报价表</w:t>
      </w:r>
    </w:p>
    <w:p>
      <w:pPr>
        <w:pStyle w:val="17"/>
        <w:snapToGrid w:val="0"/>
        <w:spacing w:line="560" w:lineRule="exact"/>
        <w:ind w:left="1080" w:leftChars="257" w:hanging="540"/>
        <w:jc w:val="left"/>
        <w:textAlignment w:val="baseline"/>
        <w:rPr>
          <w:rFonts w:ascii="仿宋" w:hAnsi="仿宋" w:eastAsia="仿宋" w:cs="仿宋"/>
          <w:sz w:val="24"/>
          <w:szCs w:val="24"/>
        </w:rPr>
      </w:pPr>
      <w:r>
        <w:rPr>
          <w:rFonts w:hint="eastAsia" w:ascii="仿宋" w:hAnsi="仿宋" w:eastAsia="仿宋" w:cs="仿宋"/>
          <w:sz w:val="24"/>
          <w:szCs w:val="24"/>
        </w:rPr>
        <w:t>3、货物说明一览表</w:t>
      </w:r>
    </w:p>
    <w:p>
      <w:pPr>
        <w:pStyle w:val="17"/>
        <w:snapToGrid w:val="0"/>
        <w:spacing w:line="560" w:lineRule="exact"/>
        <w:ind w:left="1080" w:leftChars="257" w:hanging="540"/>
        <w:jc w:val="left"/>
        <w:textAlignment w:val="baseline"/>
        <w:rPr>
          <w:rFonts w:ascii="仿宋" w:hAnsi="仿宋" w:eastAsia="仿宋" w:cs="仿宋"/>
          <w:sz w:val="24"/>
          <w:szCs w:val="24"/>
        </w:rPr>
      </w:pPr>
      <w:r>
        <w:rPr>
          <w:rFonts w:hint="eastAsia" w:ascii="仿宋" w:hAnsi="仿宋" w:eastAsia="仿宋" w:cs="仿宋"/>
          <w:sz w:val="24"/>
          <w:szCs w:val="24"/>
        </w:rPr>
        <w:t>4、技术规格偏离表</w:t>
      </w:r>
    </w:p>
    <w:p>
      <w:pPr>
        <w:pStyle w:val="17"/>
        <w:snapToGrid w:val="0"/>
        <w:spacing w:line="560" w:lineRule="exact"/>
        <w:ind w:left="1080" w:leftChars="257" w:hanging="540"/>
        <w:jc w:val="left"/>
        <w:textAlignment w:val="baseline"/>
        <w:rPr>
          <w:rFonts w:ascii="仿宋" w:hAnsi="仿宋" w:eastAsia="仿宋" w:cs="仿宋"/>
          <w:sz w:val="24"/>
          <w:szCs w:val="24"/>
        </w:rPr>
      </w:pPr>
      <w:r>
        <w:rPr>
          <w:rFonts w:hint="eastAsia" w:ascii="仿宋" w:hAnsi="仿宋" w:eastAsia="仿宋" w:cs="仿宋"/>
          <w:sz w:val="24"/>
          <w:szCs w:val="24"/>
        </w:rPr>
        <w:t>5、商务条款偏离表</w:t>
      </w:r>
    </w:p>
    <w:p>
      <w:pPr>
        <w:pStyle w:val="17"/>
        <w:snapToGrid w:val="0"/>
        <w:spacing w:line="560" w:lineRule="exact"/>
        <w:ind w:left="1080" w:leftChars="257" w:hanging="540"/>
        <w:jc w:val="left"/>
        <w:textAlignment w:val="baseline"/>
        <w:rPr>
          <w:rFonts w:ascii="仿宋" w:hAnsi="仿宋" w:eastAsia="仿宋" w:cs="仿宋"/>
          <w:sz w:val="24"/>
          <w:szCs w:val="24"/>
        </w:rPr>
      </w:pPr>
      <w:r>
        <w:rPr>
          <w:rFonts w:hint="eastAsia" w:ascii="仿宋" w:hAnsi="仿宋" w:eastAsia="仿宋" w:cs="仿宋"/>
          <w:sz w:val="24"/>
          <w:szCs w:val="24"/>
        </w:rPr>
        <w:t>6、《中小企业声明函》</w:t>
      </w:r>
    </w:p>
    <w:p>
      <w:pPr>
        <w:pStyle w:val="17"/>
        <w:snapToGrid w:val="0"/>
        <w:spacing w:line="560" w:lineRule="exact"/>
        <w:ind w:left="1080" w:leftChars="257" w:hanging="540"/>
        <w:jc w:val="left"/>
        <w:textAlignment w:val="baseline"/>
        <w:rPr>
          <w:rFonts w:ascii="仿宋" w:hAnsi="仿宋" w:eastAsia="仿宋" w:cs="仿宋"/>
          <w:sz w:val="24"/>
          <w:szCs w:val="24"/>
        </w:rPr>
      </w:pPr>
      <w:r>
        <w:rPr>
          <w:rFonts w:hint="eastAsia" w:ascii="仿宋" w:hAnsi="仿宋" w:eastAsia="仿宋" w:cs="仿宋"/>
          <w:sz w:val="24"/>
          <w:szCs w:val="24"/>
        </w:rPr>
        <w:t>6-1《残疾人福利性单位声明函》</w:t>
      </w:r>
    </w:p>
    <w:p>
      <w:pPr>
        <w:pStyle w:val="17"/>
        <w:snapToGrid w:val="0"/>
        <w:spacing w:line="560" w:lineRule="exact"/>
        <w:ind w:left="1080" w:leftChars="257" w:hanging="540"/>
        <w:jc w:val="left"/>
        <w:textAlignment w:val="baseline"/>
        <w:rPr>
          <w:rFonts w:ascii="仿宋" w:hAnsi="仿宋" w:eastAsia="仿宋" w:cs="仿宋"/>
          <w:sz w:val="24"/>
          <w:szCs w:val="24"/>
        </w:rPr>
      </w:pPr>
      <w:r>
        <w:rPr>
          <w:rFonts w:hint="eastAsia" w:ascii="仿宋" w:hAnsi="仿宋" w:eastAsia="仿宋" w:cs="仿宋"/>
          <w:sz w:val="24"/>
          <w:szCs w:val="24"/>
        </w:rPr>
        <w:t>6-2</w:t>
      </w:r>
      <w:r>
        <w:rPr>
          <w:rFonts w:hint="eastAsia" w:ascii="仿宋" w:hAnsi="仿宋" w:eastAsia="仿宋" w:cs="仿宋"/>
          <w:spacing w:val="-1"/>
          <w:sz w:val="24"/>
          <w:szCs w:val="24"/>
        </w:rPr>
        <w:t>《制造商投标人企业（单位）类型声明函》</w:t>
      </w:r>
    </w:p>
    <w:p>
      <w:pPr>
        <w:pStyle w:val="17"/>
        <w:snapToGrid w:val="0"/>
        <w:spacing w:line="560" w:lineRule="exact"/>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7、投标人关联单位的说明（格式自拟）</w:t>
      </w:r>
    </w:p>
    <w:p>
      <w:pPr>
        <w:pStyle w:val="17"/>
        <w:snapToGrid w:val="0"/>
        <w:spacing w:line="560" w:lineRule="exact"/>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8、其他有利于投标人的文件或证明材料</w:t>
      </w:r>
    </w:p>
    <w:p>
      <w:pPr>
        <w:pStyle w:val="17"/>
        <w:snapToGrid w:val="0"/>
        <w:spacing w:line="560" w:lineRule="exact"/>
        <w:ind w:firstLine="480" w:firstLineChars="200"/>
        <w:jc w:val="left"/>
        <w:textAlignment w:val="baseline"/>
        <w:rPr>
          <w:rFonts w:ascii="仿宋" w:hAnsi="仿宋" w:eastAsia="仿宋" w:cs="仿宋"/>
          <w:sz w:val="24"/>
          <w:szCs w:val="24"/>
        </w:rPr>
      </w:pPr>
      <w:r>
        <w:rPr>
          <w:rFonts w:hint="eastAsia" w:ascii="仿宋" w:hAnsi="仿宋" w:eastAsia="仿宋" w:cs="仿宋"/>
          <w:sz w:val="24"/>
          <w:szCs w:val="24"/>
        </w:rPr>
        <w:t>9、对本项目投标文件（投标文件）中资料真实性的承诺</w:t>
      </w:r>
    </w:p>
    <w:p>
      <w:pPr>
        <w:pStyle w:val="17"/>
        <w:snapToGrid w:val="0"/>
        <w:textAlignment w:val="baseline"/>
        <w:rPr>
          <w:rFonts w:ascii="仿宋" w:hAnsi="仿宋" w:eastAsia="仿宋" w:cs="仿宋"/>
          <w:sz w:val="24"/>
          <w:szCs w:val="24"/>
          <w:highlight w:val="yellow"/>
        </w:rPr>
      </w:pPr>
    </w:p>
    <w:p>
      <w:pPr>
        <w:widowControl/>
        <w:jc w:val="left"/>
        <w:rPr>
          <w:rFonts w:ascii="仿宋" w:hAnsi="仿宋" w:eastAsia="仿宋" w:cs="仿宋"/>
          <w:b/>
          <w:kern w:val="0"/>
          <w:sz w:val="24"/>
          <w:szCs w:val="20"/>
        </w:rPr>
      </w:pPr>
      <w:bookmarkStart w:id="915" w:name="_Toc18920"/>
      <w:bookmarkStart w:id="916" w:name="_Toc3618"/>
      <w:bookmarkStart w:id="917" w:name="_Toc24743"/>
      <w:bookmarkStart w:id="918" w:name="_Toc17635"/>
      <w:bookmarkStart w:id="919" w:name="_Toc31410"/>
      <w:bookmarkStart w:id="920" w:name="_Toc30384"/>
      <w:bookmarkStart w:id="921" w:name="_Toc14062"/>
      <w:bookmarkStart w:id="922" w:name="_Toc21159"/>
      <w:bookmarkStart w:id="923" w:name="_Toc31638"/>
      <w:bookmarkStart w:id="924" w:name="_Toc25733"/>
      <w:bookmarkStart w:id="925" w:name="_Toc28670"/>
      <w:bookmarkStart w:id="926" w:name="_Toc25213"/>
      <w:r>
        <w:rPr>
          <w:rFonts w:hint="eastAsia" w:ascii="仿宋" w:hAnsi="仿宋" w:eastAsia="仿宋" w:cs="仿宋"/>
          <w:sz w:val="24"/>
        </w:rPr>
        <w:br w:type="page"/>
      </w:r>
    </w:p>
    <w:p>
      <w:pPr>
        <w:pStyle w:val="6"/>
        <w:spacing w:before="0" w:line="288" w:lineRule="auto"/>
        <w:ind w:firstLine="3614" w:firstLineChars="1500"/>
        <w:jc w:val="both"/>
        <w:rPr>
          <w:rFonts w:ascii="仿宋" w:hAnsi="仿宋" w:eastAsia="仿宋" w:cs="仿宋"/>
          <w:sz w:val="24"/>
        </w:rPr>
      </w:pPr>
      <w:r>
        <w:rPr>
          <w:rFonts w:hint="eastAsia" w:ascii="仿宋" w:hAnsi="仿宋" w:eastAsia="仿宋" w:cs="仿宋"/>
          <w:sz w:val="24"/>
        </w:rPr>
        <w:t>1  投标书</w:t>
      </w:r>
      <w:bookmarkEnd w:id="915"/>
      <w:bookmarkEnd w:id="916"/>
      <w:bookmarkEnd w:id="917"/>
      <w:bookmarkEnd w:id="918"/>
      <w:bookmarkEnd w:id="919"/>
      <w:bookmarkEnd w:id="920"/>
      <w:bookmarkEnd w:id="921"/>
      <w:bookmarkEnd w:id="922"/>
      <w:bookmarkEnd w:id="923"/>
      <w:bookmarkEnd w:id="924"/>
      <w:bookmarkEnd w:id="925"/>
      <w:bookmarkEnd w:id="926"/>
    </w:p>
    <w:p>
      <w:pPr>
        <w:tabs>
          <w:tab w:val="left" w:pos="5580"/>
        </w:tabs>
        <w:snapToGrid w:val="0"/>
        <w:spacing w:line="360" w:lineRule="exact"/>
        <w:ind w:left="1080" w:leftChars="257" w:hanging="540"/>
        <w:textAlignment w:val="baseline"/>
        <w:rPr>
          <w:rFonts w:ascii="仿宋" w:hAnsi="仿宋" w:eastAsia="仿宋" w:cs="仿宋"/>
          <w:sz w:val="32"/>
          <w:szCs w:val="32"/>
        </w:rPr>
      </w:pPr>
    </w:p>
    <w:p>
      <w:pPr>
        <w:tabs>
          <w:tab w:val="left" w:pos="5580"/>
        </w:tabs>
        <w:snapToGrid w:val="0"/>
        <w:spacing w:line="360" w:lineRule="exact"/>
        <w:ind w:left="1080" w:hanging="1080"/>
        <w:textAlignment w:val="baseline"/>
        <w:rPr>
          <w:rFonts w:ascii="仿宋" w:hAnsi="仿宋" w:eastAsia="仿宋" w:cs="仿宋"/>
          <w:color w:val="000000"/>
          <w:sz w:val="24"/>
        </w:rPr>
      </w:pPr>
      <w:r>
        <w:rPr>
          <w:rFonts w:hint="eastAsia" w:ascii="仿宋" w:hAnsi="仿宋" w:eastAsia="仿宋" w:cs="仿宋"/>
          <w:color w:val="000000"/>
          <w:sz w:val="24"/>
        </w:rPr>
        <w:t>致：</w:t>
      </w:r>
      <w:r>
        <w:rPr>
          <w:rFonts w:hint="eastAsia" w:ascii="仿宋" w:hAnsi="仿宋" w:eastAsia="仿宋" w:cs="仿宋"/>
          <w:color w:val="000000"/>
          <w:sz w:val="24"/>
          <w:u w:val="single" w:color="000000"/>
        </w:rPr>
        <w:t xml:space="preserve"> （采购人名称）</w:t>
      </w:r>
    </w:p>
    <w:p>
      <w:pPr>
        <w:pStyle w:val="17"/>
        <w:tabs>
          <w:tab w:val="left" w:pos="720"/>
          <w:tab w:val="left" w:pos="900"/>
        </w:tabs>
        <w:snapToGrid w:val="0"/>
        <w:spacing w:line="360" w:lineRule="exact"/>
        <w:ind w:firstLine="480" w:firstLineChars="200"/>
        <w:textAlignment w:val="baseline"/>
        <w:rPr>
          <w:rFonts w:ascii="仿宋" w:hAnsi="仿宋" w:eastAsia="仿宋" w:cs="仿宋"/>
          <w:color w:val="000000"/>
          <w:sz w:val="24"/>
          <w:u w:val="single" w:color="000000"/>
        </w:rPr>
      </w:pPr>
      <w:r>
        <w:rPr>
          <w:rFonts w:hint="eastAsia" w:ascii="仿宋" w:hAnsi="仿宋" w:eastAsia="仿宋" w:cs="仿宋"/>
          <w:color w:val="000000"/>
          <w:sz w:val="24"/>
          <w:u w:val="single" w:color="000000"/>
        </w:rPr>
        <w:t>根据贵方(项目名称)项目的投标邀请(招标编号),签字代表(姓名、职务)经正式授权并代表投标人（名称、地址）上传投标文件，并以         形式出具的金额为人民币　　　　元的投标保证金。</w:t>
      </w:r>
    </w:p>
    <w:p>
      <w:pPr>
        <w:pStyle w:val="17"/>
        <w:tabs>
          <w:tab w:val="left" w:pos="5580"/>
        </w:tabs>
        <w:snapToGrid w:val="0"/>
        <w:spacing w:line="360" w:lineRule="exac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据此，签字代表宣布同意如下：</w:t>
      </w:r>
    </w:p>
    <w:p>
      <w:pPr>
        <w:pStyle w:val="17"/>
        <w:tabs>
          <w:tab w:val="left" w:pos="5580"/>
        </w:tabs>
        <w:snapToGrid w:val="0"/>
        <w:spacing w:line="360" w:lineRule="exact"/>
        <w:ind w:firstLine="480" w:firstLineChars="200"/>
        <w:textAlignment w:val="baseline"/>
        <w:rPr>
          <w:rFonts w:ascii="仿宋" w:hAnsi="仿宋" w:eastAsia="仿宋" w:cs="仿宋"/>
          <w:color w:val="000000"/>
          <w:sz w:val="24"/>
          <w:u w:val="single" w:color="000000"/>
        </w:rPr>
      </w:pPr>
      <w:r>
        <w:rPr>
          <w:rFonts w:hint="eastAsia" w:ascii="仿宋" w:hAnsi="仿宋" w:eastAsia="仿宋" w:cs="仿宋"/>
          <w:color w:val="000000"/>
          <w:sz w:val="24"/>
        </w:rPr>
        <w:t>（1）附投标价格表中规定的应提供货物的投标总价详见开标一览表。</w:t>
      </w:r>
    </w:p>
    <w:p>
      <w:pPr>
        <w:pStyle w:val="17"/>
        <w:tabs>
          <w:tab w:val="left" w:pos="5580"/>
        </w:tabs>
        <w:snapToGrid w:val="0"/>
        <w:spacing w:line="360" w:lineRule="exac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（2）本投标有效期为自投标截止之日起</w:t>
      </w:r>
      <w:r>
        <w:rPr>
          <w:rFonts w:hint="eastAsia" w:ascii="仿宋" w:hAnsi="仿宋" w:eastAsia="仿宋" w:cs="仿宋"/>
          <w:color w:val="000000"/>
          <w:sz w:val="24"/>
          <w:u w:val="single" w:color="000000"/>
        </w:rPr>
        <w:t xml:space="preserve">     </w:t>
      </w:r>
      <w:r>
        <w:rPr>
          <w:rFonts w:hint="eastAsia" w:ascii="仿宋" w:hAnsi="仿宋" w:eastAsia="仿宋" w:cs="仿宋"/>
          <w:color w:val="000000"/>
          <w:sz w:val="24"/>
        </w:rPr>
        <w:t>个日历日。</w:t>
      </w:r>
    </w:p>
    <w:p>
      <w:pPr>
        <w:pStyle w:val="17"/>
        <w:tabs>
          <w:tab w:val="left" w:pos="5580"/>
        </w:tabs>
        <w:snapToGrid w:val="0"/>
        <w:spacing w:line="360" w:lineRule="exac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（3）联合体中的大中型企业和其他自然人、法人或者非法人组织，与联合体中的小型、微型企业之间</w:t>
      </w:r>
      <w:r>
        <w:rPr>
          <w:rFonts w:hint="eastAsia" w:ascii="仿宋" w:hAnsi="仿宋" w:eastAsia="仿宋" w:cs="仿宋"/>
          <w:color w:val="000000"/>
          <w:sz w:val="24"/>
          <w:u w:val="single" w:color="000000"/>
        </w:rPr>
        <w:t xml:space="preserve">     （</w:t>
      </w:r>
      <w:r>
        <w:rPr>
          <w:rFonts w:hint="eastAsia" w:ascii="仿宋" w:hAnsi="仿宋" w:eastAsia="仿宋" w:cs="仿宋"/>
          <w:color w:val="000000"/>
          <w:sz w:val="24"/>
        </w:rPr>
        <w:t>存在、不存在）投资关系（如果是联合体的话）。</w:t>
      </w:r>
    </w:p>
    <w:p>
      <w:pPr>
        <w:pStyle w:val="17"/>
        <w:tabs>
          <w:tab w:val="left" w:pos="5580"/>
        </w:tabs>
        <w:snapToGrid w:val="0"/>
        <w:spacing w:line="360" w:lineRule="exac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（4）已详细审查全部招标文件，包括所有补充通知（如果有的话），完全理解并同意放弃对这方面有不明、误解和质疑的权力。</w:t>
      </w:r>
    </w:p>
    <w:p>
      <w:pPr>
        <w:pStyle w:val="17"/>
        <w:tabs>
          <w:tab w:val="left" w:pos="5580"/>
        </w:tabs>
        <w:snapToGrid w:val="0"/>
        <w:spacing w:line="360" w:lineRule="exact"/>
        <w:ind w:left="1080" w:leftChars="257" w:hanging="540"/>
        <w:textAlignment w:val="baseline"/>
        <w:rPr>
          <w:rFonts w:ascii="仿宋" w:hAnsi="仿宋" w:eastAsia="仿宋" w:cs="仿宋"/>
          <w:color w:val="000000"/>
          <w:sz w:val="24"/>
        </w:rPr>
      </w:pPr>
      <w:r>
        <w:rPr>
          <w:rFonts w:hint="eastAsia" w:ascii="仿宋" w:hAnsi="仿宋" w:eastAsia="仿宋" w:cs="仿宋"/>
          <w:color w:val="000000"/>
          <w:sz w:val="24"/>
        </w:rPr>
        <w:t>（5）在规定的开标时间后，遵守招标文件中有关保证金的规定。</w:t>
      </w:r>
    </w:p>
    <w:p>
      <w:pPr>
        <w:pStyle w:val="17"/>
        <w:tabs>
          <w:tab w:val="left" w:pos="5580"/>
        </w:tabs>
        <w:snapToGrid w:val="0"/>
        <w:spacing w:line="360" w:lineRule="exac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（6）我方不是为本项目提供整体设计、规范编制或者项目管理、监理、检测等服务的</w:t>
      </w:r>
      <w:r>
        <w:rPr>
          <w:rFonts w:hint="eastAsia" w:ascii="仿宋" w:hAnsi="仿宋" w:eastAsia="仿宋" w:cs="仿宋"/>
          <w:color w:val="000000"/>
          <w:sz w:val="24"/>
          <w:lang w:eastAsia="zh-CN"/>
        </w:rPr>
        <w:t>投标人</w:t>
      </w:r>
      <w:r>
        <w:rPr>
          <w:rFonts w:hint="eastAsia" w:ascii="仿宋" w:hAnsi="仿宋" w:eastAsia="仿宋" w:cs="仿宋"/>
          <w:color w:val="000000"/>
          <w:sz w:val="24"/>
        </w:rPr>
        <w:t>，我方不是采购代理机构的附属机构。</w:t>
      </w:r>
    </w:p>
    <w:p>
      <w:pPr>
        <w:pStyle w:val="17"/>
        <w:tabs>
          <w:tab w:val="left" w:pos="5580"/>
        </w:tabs>
        <w:snapToGrid w:val="0"/>
        <w:spacing w:line="360" w:lineRule="exac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（7）在领取中标通知书的同时按招标文件规定的形式，向贵方一次性支付中标服务费。</w:t>
      </w:r>
    </w:p>
    <w:p>
      <w:pPr>
        <w:pStyle w:val="17"/>
        <w:tabs>
          <w:tab w:val="left" w:pos="5580"/>
        </w:tabs>
        <w:snapToGrid w:val="0"/>
        <w:spacing w:line="360" w:lineRule="exac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（8）按照贵方可能要求，提供与其投标有关的一切数据或资料，完全理解贵方不一定接受最低价的投标或收到的任何投标。</w:t>
      </w:r>
    </w:p>
    <w:p>
      <w:pPr>
        <w:pStyle w:val="17"/>
        <w:tabs>
          <w:tab w:val="left" w:pos="5580"/>
        </w:tabs>
        <w:snapToGrid w:val="0"/>
        <w:spacing w:line="360" w:lineRule="exac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（9）在中标公示期过后7个工作日内领取中标通知书，不领取中标通知书视为自动放弃中标资格，采购人可依法进行相应处罚。</w:t>
      </w:r>
    </w:p>
    <w:p>
      <w:pPr>
        <w:pStyle w:val="17"/>
        <w:tabs>
          <w:tab w:val="left" w:pos="5580"/>
        </w:tabs>
        <w:snapToGrid w:val="0"/>
        <w:spacing w:line="360" w:lineRule="exac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（10）按照招标文件的规定履行合同责任和义务。</w:t>
      </w:r>
    </w:p>
    <w:p>
      <w:pPr>
        <w:pStyle w:val="17"/>
        <w:tabs>
          <w:tab w:val="left" w:pos="5580"/>
        </w:tabs>
        <w:snapToGrid w:val="0"/>
        <w:spacing w:line="320" w:lineRule="exact"/>
        <w:ind w:left="359" w:leftChars="68" w:hanging="216" w:hangingChars="90"/>
        <w:textAlignment w:val="baseline"/>
        <w:rPr>
          <w:rFonts w:ascii="仿宋" w:hAnsi="仿宋" w:eastAsia="仿宋" w:cs="仿宋"/>
          <w:color w:val="000000"/>
          <w:sz w:val="24"/>
        </w:rPr>
      </w:pPr>
      <w:r>
        <w:rPr>
          <w:rFonts w:hint="eastAsia" w:ascii="仿宋" w:hAnsi="仿宋" w:eastAsia="仿宋" w:cs="仿宋"/>
          <w:color w:val="000000"/>
          <w:sz w:val="24"/>
        </w:rPr>
        <w:t xml:space="preserve">    与本投标有关的一切正式往来信函请寄：</w:t>
      </w: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r>
        <w:rPr>
          <w:rFonts w:hint="eastAsia" w:ascii="仿宋" w:hAnsi="仿宋" w:eastAsia="仿宋" w:cs="仿宋"/>
          <w:color w:val="000000"/>
          <w:sz w:val="24"/>
        </w:rPr>
        <w:t>地址</w:t>
      </w:r>
      <w:r>
        <w:rPr>
          <w:rFonts w:hint="eastAsia" w:ascii="仿宋" w:hAnsi="仿宋" w:eastAsia="仿宋" w:cs="仿宋"/>
          <w:color w:val="000000"/>
          <w:sz w:val="24"/>
          <w:u w:val="single" w:color="000000"/>
        </w:rPr>
        <w:t xml:space="preserve">                         </w:t>
      </w:r>
      <w:r>
        <w:rPr>
          <w:rFonts w:hint="eastAsia" w:ascii="仿宋" w:hAnsi="仿宋" w:eastAsia="仿宋" w:cs="仿宋"/>
          <w:color w:val="000000"/>
          <w:sz w:val="24"/>
        </w:rPr>
        <w:t xml:space="preserve">     传真</w:t>
      </w:r>
      <w:r>
        <w:rPr>
          <w:rFonts w:hint="eastAsia" w:ascii="仿宋" w:hAnsi="仿宋" w:eastAsia="仿宋" w:cs="仿宋"/>
          <w:color w:val="000000"/>
          <w:sz w:val="24"/>
          <w:u w:val="single" w:color="000000"/>
        </w:rPr>
        <w:t xml:space="preserve">                             </w:t>
      </w: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p>
    <w:p>
      <w:pPr>
        <w:pStyle w:val="17"/>
        <w:tabs>
          <w:tab w:val="left" w:pos="5580"/>
        </w:tabs>
        <w:snapToGrid w:val="0"/>
        <w:spacing w:line="320" w:lineRule="exact"/>
        <w:ind w:left="1080" w:leftChars="257" w:hanging="540"/>
        <w:textAlignment w:val="baseline"/>
        <w:rPr>
          <w:rFonts w:ascii="仿宋" w:hAnsi="仿宋" w:eastAsia="仿宋" w:cs="仿宋"/>
          <w:b/>
          <w:color w:val="000000"/>
          <w:sz w:val="24"/>
        </w:rPr>
      </w:pPr>
      <w:r>
        <w:rPr>
          <w:rFonts w:hint="eastAsia" w:ascii="仿宋" w:hAnsi="仿宋" w:eastAsia="仿宋" w:cs="仿宋"/>
          <w:color w:val="000000"/>
          <w:sz w:val="24"/>
        </w:rPr>
        <w:t>电话</w:t>
      </w:r>
      <w:r>
        <w:rPr>
          <w:rFonts w:hint="eastAsia" w:ascii="仿宋" w:hAnsi="仿宋" w:eastAsia="仿宋" w:cs="仿宋"/>
          <w:color w:val="000000"/>
          <w:sz w:val="24"/>
          <w:u w:val="single" w:color="000000"/>
        </w:rPr>
        <w:t xml:space="preserve">                         </w:t>
      </w:r>
      <w:r>
        <w:rPr>
          <w:rFonts w:hint="eastAsia" w:ascii="仿宋" w:hAnsi="仿宋" w:eastAsia="仿宋" w:cs="仿宋"/>
          <w:color w:val="000000"/>
          <w:sz w:val="24"/>
        </w:rPr>
        <w:t xml:space="preserve">     电子函件</w:t>
      </w:r>
      <w:r>
        <w:rPr>
          <w:rFonts w:hint="eastAsia" w:ascii="仿宋" w:hAnsi="仿宋" w:eastAsia="仿宋" w:cs="仿宋"/>
          <w:color w:val="000000"/>
          <w:sz w:val="24"/>
          <w:u w:val="single" w:color="000000"/>
        </w:rPr>
        <w:t xml:space="preserve">                         </w:t>
      </w: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r>
        <w:rPr>
          <w:rFonts w:hint="eastAsia" w:ascii="仿宋" w:hAnsi="仿宋" w:eastAsia="仿宋" w:cs="仿宋"/>
          <w:color w:val="000000"/>
          <w:sz w:val="24"/>
        </w:rPr>
        <w:t>法定代表人（或企业负责人）或其委托代理人（签字或签章）</w:t>
      </w:r>
      <w:r>
        <w:rPr>
          <w:rFonts w:hint="eastAsia" w:ascii="仿宋" w:hAnsi="仿宋" w:eastAsia="仿宋" w:cs="仿宋"/>
          <w:color w:val="000000"/>
          <w:sz w:val="24"/>
          <w:u w:val="single" w:color="000000"/>
        </w:rPr>
        <w:t xml:space="preserve">               </w:t>
      </w: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r>
        <w:rPr>
          <w:rFonts w:hint="eastAsia" w:ascii="仿宋" w:hAnsi="仿宋" w:eastAsia="仿宋" w:cs="仿宋"/>
          <w:color w:val="000000"/>
          <w:sz w:val="24"/>
        </w:rPr>
        <w:t>投标人名称（全称）</w:t>
      </w:r>
      <w:r>
        <w:rPr>
          <w:rFonts w:hint="eastAsia" w:ascii="仿宋" w:hAnsi="仿宋" w:eastAsia="仿宋" w:cs="仿宋"/>
          <w:color w:val="000000"/>
          <w:sz w:val="24"/>
          <w:u w:val="single" w:color="000000"/>
        </w:rPr>
        <w:t xml:space="preserve">                        </w:t>
      </w: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r>
        <w:rPr>
          <w:rFonts w:hint="eastAsia" w:ascii="仿宋" w:hAnsi="仿宋" w:eastAsia="仿宋" w:cs="仿宋"/>
          <w:color w:val="000000"/>
          <w:sz w:val="24"/>
        </w:rPr>
        <w:t>投标人开户银行（全称）</w:t>
      </w:r>
      <w:r>
        <w:rPr>
          <w:rFonts w:hint="eastAsia" w:ascii="仿宋" w:hAnsi="仿宋" w:eastAsia="仿宋" w:cs="仿宋"/>
          <w:color w:val="000000"/>
          <w:sz w:val="24"/>
          <w:u w:val="single" w:color="000000"/>
        </w:rPr>
        <w:t xml:space="preserve">                    </w:t>
      </w: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r>
        <w:rPr>
          <w:rFonts w:hint="eastAsia" w:ascii="仿宋" w:hAnsi="仿宋" w:eastAsia="仿宋" w:cs="仿宋"/>
          <w:color w:val="000000"/>
          <w:sz w:val="24"/>
        </w:rPr>
        <w:t>投标人银行帐号</w:t>
      </w:r>
      <w:r>
        <w:rPr>
          <w:rFonts w:hint="eastAsia" w:ascii="仿宋" w:hAnsi="仿宋" w:eastAsia="仿宋" w:cs="仿宋"/>
          <w:color w:val="000000"/>
          <w:sz w:val="24"/>
          <w:u w:val="single" w:color="000000"/>
        </w:rPr>
        <w:t xml:space="preserve">                            </w:t>
      </w: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r>
        <w:rPr>
          <w:rFonts w:hint="eastAsia" w:ascii="仿宋" w:hAnsi="仿宋" w:eastAsia="仿宋" w:cs="仿宋"/>
          <w:color w:val="000000"/>
          <w:sz w:val="24"/>
        </w:rPr>
        <w:t>投标人单位章</w:t>
      </w:r>
      <w:r>
        <w:rPr>
          <w:rFonts w:hint="eastAsia" w:ascii="仿宋" w:hAnsi="仿宋" w:eastAsia="仿宋" w:cs="仿宋"/>
          <w:color w:val="000000"/>
          <w:sz w:val="24"/>
          <w:u w:val="single" w:color="000000"/>
        </w:rPr>
        <w:t xml:space="preserve">                              </w:t>
      </w:r>
    </w:p>
    <w:p>
      <w:pPr>
        <w:pStyle w:val="17"/>
        <w:tabs>
          <w:tab w:val="left" w:pos="5580"/>
        </w:tabs>
        <w:snapToGrid w:val="0"/>
        <w:spacing w:line="320" w:lineRule="exact"/>
        <w:ind w:left="1080" w:leftChars="257" w:hanging="540"/>
        <w:textAlignment w:val="baseline"/>
        <w:rPr>
          <w:rFonts w:ascii="仿宋" w:hAnsi="仿宋" w:eastAsia="仿宋" w:cs="仿宋"/>
          <w:color w:val="000000"/>
          <w:sz w:val="24"/>
        </w:rPr>
      </w:pPr>
    </w:p>
    <w:p>
      <w:pPr>
        <w:pStyle w:val="17"/>
        <w:tabs>
          <w:tab w:val="left" w:pos="5580"/>
        </w:tabs>
        <w:snapToGrid w:val="0"/>
        <w:spacing w:line="320" w:lineRule="exact"/>
        <w:ind w:left="1080" w:leftChars="257" w:hanging="540"/>
        <w:textAlignment w:val="baseline"/>
        <w:rPr>
          <w:rFonts w:ascii="仿宋" w:hAnsi="仿宋" w:eastAsia="仿宋" w:cs="仿宋"/>
          <w:b/>
          <w:sz w:val="24"/>
        </w:rPr>
      </w:pPr>
      <w:r>
        <w:rPr>
          <w:rFonts w:hint="eastAsia" w:ascii="仿宋" w:hAnsi="仿宋" w:eastAsia="仿宋" w:cs="仿宋"/>
          <w:color w:val="000000"/>
          <w:sz w:val="24"/>
        </w:rPr>
        <w:t>日期</w:t>
      </w:r>
      <w:r>
        <w:rPr>
          <w:rFonts w:hint="eastAsia" w:ascii="仿宋" w:hAnsi="仿宋" w:eastAsia="仿宋" w:cs="仿宋"/>
          <w:color w:val="000000"/>
          <w:sz w:val="24"/>
          <w:u w:val="single" w:color="000000"/>
        </w:rPr>
        <w:t xml:space="preserve">                    </w:t>
      </w:r>
      <w:bookmarkStart w:id="927" w:name="_Toc30989"/>
      <w:bookmarkStart w:id="928" w:name="_Toc7944"/>
      <w:bookmarkStart w:id="929" w:name="_Toc14734"/>
      <w:bookmarkStart w:id="930" w:name="_Toc12977"/>
      <w:bookmarkStart w:id="931" w:name="_Toc31304"/>
      <w:bookmarkStart w:id="932" w:name="_Toc5579"/>
      <w:bookmarkStart w:id="933" w:name="_Toc22551"/>
      <w:bookmarkStart w:id="934" w:name="_Toc8833"/>
      <w:bookmarkStart w:id="935" w:name="_Toc13793"/>
      <w:r>
        <w:rPr>
          <w:rFonts w:hint="eastAsia" w:ascii="仿宋" w:hAnsi="仿宋" w:eastAsia="仿宋" w:cs="仿宋"/>
          <w:color w:val="000000"/>
          <w:sz w:val="24"/>
          <w:u w:val="single" w:color="000000"/>
        </w:rPr>
        <w:t xml:space="preserve">                  </w:t>
      </w:r>
    </w:p>
    <w:p>
      <w:pPr>
        <w:pStyle w:val="88"/>
        <w:rPr>
          <w:rFonts w:ascii="仿宋" w:hAnsi="仿宋" w:eastAsia="仿宋" w:cs="仿宋"/>
        </w:rPr>
      </w:pPr>
      <w:bookmarkStart w:id="936" w:name="_Toc8569"/>
      <w:bookmarkStart w:id="937" w:name="_Toc19621"/>
    </w:p>
    <w:p>
      <w:pPr>
        <w:pStyle w:val="6"/>
        <w:spacing w:before="0" w:line="288" w:lineRule="auto"/>
        <w:rPr>
          <w:rFonts w:ascii="仿宋" w:hAnsi="仿宋" w:eastAsia="仿宋" w:cs="仿宋"/>
          <w:sz w:val="24"/>
        </w:rPr>
      </w:pPr>
      <w:bookmarkStart w:id="938" w:name="_Toc3836"/>
      <w:r>
        <w:rPr>
          <w:rFonts w:hint="eastAsia" w:ascii="仿宋" w:hAnsi="仿宋" w:eastAsia="仿宋" w:cs="仿宋"/>
          <w:sz w:val="24"/>
        </w:rPr>
        <w:t>2  投标分项报价表</w:t>
      </w:r>
      <w:bookmarkEnd w:id="927"/>
      <w:bookmarkEnd w:id="928"/>
      <w:bookmarkEnd w:id="929"/>
      <w:bookmarkEnd w:id="930"/>
      <w:bookmarkEnd w:id="931"/>
      <w:bookmarkEnd w:id="932"/>
      <w:bookmarkEnd w:id="933"/>
      <w:bookmarkEnd w:id="934"/>
      <w:bookmarkEnd w:id="935"/>
      <w:bookmarkEnd w:id="936"/>
      <w:bookmarkEnd w:id="937"/>
      <w:bookmarkEnd w:id="938"/>
    </w:p>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left="79" w:leftChars="-27" w:hanging="136" w:hangingChars="57"/>
        <w:textAlignment w:val="baseline"/>
        <w:rPr>
          <w:rFonts w:ascii="仿宋" w:hAnsi="仿宋" w:eastAsia="仿宋" w:cs="仿宋"/>
          <w:sz w:val="24"/>
        </w:rPr>
      </w:pPr>
      <w:r>
        <w:rPr>
          <w:rFonts w:hint="eastAsia" w:ascii="仿宋" w:hAnsi="仿宋" w:eastAsia="仿宋" w:cs="仿宋"/>
          <w:sz w:val="24"/>
        </w:rPr>
        <w:t xml:space="preserve">项目名称:                                        项目编号:                       </w:t>
      </w:r>
    </w:p>
    <w:p>
      <w:pPr>
        <w:pStyle w:val="17"/>
        <w:snapToGrid w:val="0"/>
        <w:spacing w:line="240" w:lineRule="atLeast"/>
        <w:ind w:left="79" w:leftChars="-27" w:hanging="136" w:hangingChars="57"/>
        <w:textAlignment w:val="baseline"/>
        <w:rPr>
          <w:rFonts w:ascii="仿宋" w:hAnsi="仿宋" w:eastAsia="仿宋" w:cs="仿宋"/>
          <w:sz w:val="24"/>
        </w:rPr>
      </w:pPr>
      <w:r>
        <w:rPr>
          <w:rFonts w:hint="eastAsia" w:ascii="仿宋" w:hAnsi="仿宋" w:eastAsia="仿宋" w:cs="仿宋"/>
          <w:sz w:val="24"/>
        </w:rPr>
        <w:t>标    段: 　 　                                  报价单位： 人民币元</w:t>
      </w:r>
    </w:p>
    <w:p>
      <w:pPr>
        <w:pStyle w:val="17"/>
        <w:snapToGrid w:val="0"/>
        <w:spacing w:line="240" w:lineRule="atLeast"/>
        <w:ind w:left="1080" w:leftChars="257" w:hanging="540"/>
        <w:textAlignment w:val="baseline"/>
        <w:rPr>
          <w:rFonts w:ascii="仿宋" w:hAnsi="仿宋" w:eastAsia="仿宋" w:cs="仿宋"/>
          <w:sz w:val="24"/>
        </w:rPr>
      </w:pPr>
    </w:p>
    <w:tbl>
      <w:tblPr>
        <w:tblStyle w:val="35"/>
        <w:tblW w:w="9594"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570"/>
        <w:gridCol w:w="1336"/>
        <w:gridCol w:w="1041"/>
        <w:gridCol w:w="979"/>
        <w:gridCol w:w="1243"/>
        <w:gridCol w:w="963"/>
        <w:gridCol w:w="961"/>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652"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序号</w:t>
            </w:r>
          </w:p>
        </w:tc>
        <w:tc>
          <w:tcPr>
            <w:tcW w:w="1570"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货物名称</w:t>
            </w:r>
          </w:p>
        </w:tc>
        <w:tc>
          <w:tcPr>
            <w:tcW w:w="1336" w:type="dxa"/>
            <w:vAlign w:val="center"/>
          </w:tcPr>
          <w:p>
            <w:pPr>
              <w:pStyle w:val="17"/>
              <w:snapToGrid w:val="0"/>
              <w:spacing w:line="240" w:lineRule="atLeast"/>
              <w:jc w:val="center"/>
              <w:textAlignment w:val="baseline"/>
              <w:rPr>
                <w:rFonts w:ascii="仿宋" w:hAnsi="仿宋" w:eastAsia="仿宋" w:cs="仿宋"/>
                <w:sz w:val="24"/>
              </w:rPr>
            </w:pPr>
          </w:p>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品牌型号</w:t>
            </w:r>
          </w:p>
          <w:p>
            <w:pPr>
              <w:pStyle w:val="17"/>
              <w:snapToGrid w:val="0"/>
              <w:spacing w:line="240" w:lineRule="atLeast"/>
              <w:jc w:val="center"/>
              <w:textAlignment w:val="baseline"/>
              <w:rPr>
                <w:rFonts w:ascii="仿宋" w:hAnsi="仿宋" w:eastAsia="仿宋" w:cs="仿宋"/>
                <w:sz w:val="24"/>
              </w:rPr>
            </w:pPr>
          </w:p>
        </w:tc>
        <w:tc>
          <w:tcPr>
            <w:tcW w:w="1041"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数量</w:t>
            </w:r>
          </w:p>
        </w:tc>
        <w:tc>
          <w:tcPr>
            <w:tcW w:w="979"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单位</w:t>
            </w:r>
          </w:p>
        </w:tc>
        <w:tc>
          <w:tcPr>
            <w:tcW w:w="1243"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生产厂家</w:t>
            </w:r>
          </w:p>
        </w:tc>
        <w:tc>
          <w:tcPr>
            <w:tcW w:w="963"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单价</w:t>
            </w:r>
          </w:p>
        </w:tc>
        <w:tc>
          <w:tcPr>
            <w:tcW w:w="961"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总价</w:t>
            </w:r>
          </w:p>
        </w:tc>
        <w:tc>
          <w:tcPr>
            <w:tcW w:w="849"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52" w:type="dxa"/>
            <w:vAlign w:val="center"/>
          </w:tcPr>
          <w:p>
            <w:pPr>
              <w:pStyle w:val="17"/>
              <w:snapToGrid w:val="0"/>
              <w:spacing w:line="240" w:lineRule="atLeast"/>
              <w:ind w:firstLine="240" w:firstLineChars="100"/>
              <w:textAlignment w:val="baseline"/>
              <w:rPr>
                <w:rFonts w:ascii="仿宋" w:hAnsi="仿宋" w:eastAsia="仿宋" w:cs="仿宋"/>
                <w:sz w:val="24"/>
              </w:rPr>
            </w:pPr>
            <w:r>
              <w:rPr>
                <w:rFonts w:hint="eastAsia" w:ascii="仿宋" w:hAnsi="仿宋" w:eastAsia="仿宋" w:cs="仿宋"/>
                <w:sz w:val="24"/>
              </w:rPr>
              <w:t>1</w:t>
            </w:r>
          </w:p>
        </w:tc>
        <w:tc>
          <w:tcPr>
            <w:tcW w:w="1570" w:type="dxa"/>
            <w:vAlign w:val="center"/>
          </w:tcPr>
          <w:p>
            <w:pPr>
              <w:snapToGrid w:val="0"/>
              <w:jc w:val="center"/>
              <w:textAlignment w:val="center"/>
              <w:rPr>
                <w:rFonts w:ascii="仿宋" w:hAnsi="仿宋" w:eastAsia="仿宋" w:cs="仿宋"/>
                <w:sz w:val="24"/>
              </w:rPr>
            </w:pPr>
          </w:p>
        </w:tc>
        <w:tc>
          <w:tcPr>
            <w:tcW w:w="1336"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04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7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24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84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52" w:type="dxa"/>
            <w:shd w:val="clear" w:color="auto" w:fill="auto"/>
            <w:vAlign w:val="center"/>
          </w:tcPr>
          <w:p>
            <w:pPr>
              <w:pStyle w:val="17"/>
              <w:snapToGrid w:val="0"/>
              <w:spacing w:line="240" w:lineRule="atLeast"/>
              <w:ind w:firstLine="240" w:firstLineChars="100"/>
              <w:textAlignment w:val="baseline"/>
              <w:rPr>
                <w:rFonts w:ascii="仿宋" w:hAnsi="仿宋" w:eastAsia="仿宋" w:cs="仿宋"/>
                <w:sz w:val="24"/>
              </w:rPr>
            </w:pPr>
            <w:r>
              <w:rPr>
                <w:rFonts w:hint="eastAsia" w:ascii="仿宋" w:hAnsi="仿宋" w:eastAsia="仿宋" w:cs="仿宋"/>
                <w:sz w:val="24"/>
              </w:rPr>
              <w:t>2</w:t>
            </w:r>
          </w:p>
        </w:tc>
        <w:tc>
          <w:tcPr>
            <w:tcW w:w="1570" w:type="dxa"/>
            <w:vAlign w:val="center"/>
          </w:tcPr>
          <w:p>
            <w:pPr>
              <w:snapToGrid w:val="0"/>
              <w:jc w:val="center"/>
              <w:textAlignment w:val="center"/>
              <w:rPr>
                <w:rFonts w:ascii="仿宋" w:hAnsi="仿宋" w:eastAsia="仿宋" w:cs="仿宋"/>
                <w:sz w:val="24"/>
                <w:highlight w:val="yellow"/>
              </w:rPr>
            </w:pPr>
          </w:p>
        </w:tc>
        <w:tc>
          <w:tcPr>
            <w:tcW w:w="1336"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04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7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24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84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52" w:type="dxa"/>
            <w:shd w:val="clear" w:color="auto" w:fill="auto"/>
            <w:vAlign w:val="center"/>
          </w:tcPr>
          <w:p>
            <w:pPr>
              <w:pStyle w:val="17"/>
              <w:snapToGrid w:val="0"/>
              <w:spacing w:line="240" w:lineRule="atLeast"/>
              <w:ind w:firstLine="240" w:firstLineChars="100"/>
              <w:textAlignment w:val="baseline"/>
              <w:rPr>
                <w:rFonts w:ascii="仿宋" w:hAnsi="仿宋" w:eastAsia="仿宋" w:cs="仿宋"/>
                <w:sz w:val="24"/>
              </w:rPr>
            </w:pPr>
            <w:r>
              <w:rPr>
                <w:rFonts w:hint="eastAsia" w:ascii="仿宋" w:hAnsi="仿宋" w:eastAsia="仿宋" w:cs="仿宋"/>
                <w:sz w:val="24"/>
              </w:rPr>
              <w:t>3</w:t>
            </w:r>
          </w:p>
        </w:tc>
        <w:tc>
          <w:tcPr>
            <w:tcW w:w="1570" w:type="dxa"/>
            <w:vAlign w:val="center"/>
          </w:tcPr>
          <w:p>
            <w:pPr>
              <w:snapToGrid w:val="0"/>
              <w:jc w:val="center"/>
              <w:textAlignment w:val="center"/>
              <w:rPr>
                <w:rFonts w:ascii="仿宋" w:hAnsi="仿宋" w:eastAsia="仿宋" w:cs="仿宋"/>
                <w:sz w:val="24"/>
                <w:highlight w:val="yellow"/>
              </w:rPr>
            </w:pPr>
          </w:p>
        </w:tc>
        <w:tc>
          <w:tcPr>
            <w:tcW w:w="1336"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04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7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24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84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52" w:type="dxa"/>
            <w:shd w:val="clear" w:color="auto" w:fill="auto"/>
            <w:vAlign w:val="center"/>
          </w:tcPr>
          <w:p>
            <w:pPr>
              <w:pStyle w:val="17"/>
              <w:snapToGrid w:val="0"/>
              <w:spacing w:line="240" w:lineRule="atLeast"/>
              <w:ind w:firstLine="240" w:firstLineChars="100"/>
              <w:textAlignment w:val="baseline"/>
              <w:rPr>
                <w:rFonts w:ascii="仿宋" w:hAnsi="仿宋" w:eastAsia="仿宋" w:cs="仿宋"/>
                <w:sz w:val="24"/>
              </w:rPr>
            </w:pPr>
            <w:r>
              <w:rPr>
                <w:rFonts w:hint="eastAsia" w:ascii="仿宋" w:hAnsi="仿宋" w:eastAsia="仿宋" w:cs="仿宋"/>
                <w:sz w:val="24"/>
              </w:rPr>
              <w:t>4</w:t>
            </w:r>
          </w:p>
        </w:tc>
        <w:tc>
          <w:tcPr>
            <w:tcW w:w="1570" w:type="dxa"/>
            <w:vAlign w:val="center"/>
          </w:tcPr>
          <w:p>
            <w:pPr>
              <w:snapToGrid w:val="0"/>
              <w:jc w:val="center"/>
              <w:textAlignment w:val="center"/>
              <w:rPr>
                <w:rFonts w:ascii="仿宋" w:hAnsi="仿宋" w:eastAsia="仿宋" w:cs="仿宋"/>
                <w:sz w:val="24"/>
                <w:highlight w:val="yellow"/>
              </w:rPr>
            </w:pPr>
          </w:p>
        </w:tc>
        <w:tc>
          <w:tcPr>
            <w:tcW w:w="1336"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04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7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24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84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52" w:type="dxa"/>
            <w:shd w:val="clear" w:color="auto" w:fill="auto"/>
            <w:vAlign w:val="center"/>
          </w:tcPr>
          <w:p>
            <w:pPr>
              <w:pStyle w:val="17"/>
              <w:snapToGrid w:val="0"/>
              <w:spacing w:line="240" w:lineRule="atLeast"/>
              <w:ind w:firstLine="240" w:firstLineChars="100"/>
              <w:textAlignment w:val="baseline"/>
              <w:rPr>
                <w:rFonts w:ascii="仿宋" w:hAnsi="仿宋" w:eastAsia="仿宋" w:cs="仿宋"/>
                <w:sz w:val="24"/>
              </w:rPr>
            </w:pPr>
            <w:r>
              <w:rPr>
                <w:rFonts w:hint="eastAsia" w:ascii="仿宋" w:hAnsi="仿宋" w:eastAsia="仿宋" w:cs="仿宋"/>
                <w:sz w:val="24"/>
              </w:rPr>
              <w:t>5</w:t>
            </w:r>
          </w:p>
        </w:tc>
        <w:tc>
          <w:tcPr>
            <w:tcW w:w="1570" w:type="dxa"/>
            <w:vAlign w:val="center"/>
          </w:tcPr>
          <w:p>
            <w:pPr>
              <w:snapToGrid w:val="0"/>
              <w:jc w:val="center"/>
              <w:textAlignment w:val="center"/>
              <w:rPr>
                <w:rFonts w:ascii="仿宋" w:hAnsi="仿宋" w:eastAsia="仿宋" w:cs="仿宋"/>
                <w:sz w:val="24"/>
                <w:highlight w:val="yellow"/>
              </w:rPr>
            </w:pPr>
          </w:p>
        </w:tc>
        <w:tc>
          <w:tcPr>
            <w:tcW w:w="1336"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04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7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24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84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52" w:type="dxa"/>
            <w:vAlign w:val="center"/>
          </w:tcPr>
          <w:p>
            <w:pPr>
              <w:pStyle w:val="17"/>
              <w:snapToGrid w:val="0"/>
              <w:spacing w:line="240" w:lineRule="atLeast"/>
              <w:ind w:firstLine="240" w:firstLineChars="100"/>
              <w:textAlignment w:val="baseline"/>
              <w:rPr>
                <w:rFonts w:ascii="仿宋" w:hAnsi="仿宋" w:eastAsia="仿宋" w:cs="仿宋"/>
                <w:sz w:val="24"/>
              </w:rPr>
            </w:pPr>
            <w:r>
              <w:rPr>
                <w:rFonts w:hint="eastAsia" w:ascii="仿宋" w:hAnsi="仿宋" w:eastAsia="仿宋" w:cs="仿宋"/>
                <w:sz w:val="24"/>
              </w:rPr>
              <w:t>6</w:t>
            </w:r>
          </w:p>
        </w:tc>
        <w:tc>
          <w:tcPr>
            <w:tcW w:w="1570" w:type="dxa"/>
            <w:vAlign w:val="center"/>
          </w:tcPr>
          <w:p>
            <w:pPr>
              <w:snapToGrid w:val="0"/>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w:t>
            </w:r>
          </w:p>
        </w:tc>
        <w:tc>
          <w:tcPr>
            <w:tcW w:w="1336"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04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7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124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3"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961"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c>
          <w:tcPr>
            <w:tcW w:w="849" w:type="dxa"/>
            <w:vAlign w:val="center"/>
          </w:tcPr>
          <w:p>
            <w:pPr>
              <w:pStyle w:val="17"/>
              <w:snapToGrid w:val="0"/>
              <w:spacing w:line="240" w:lineRule="atLeast"/>
              <w:ind w:left="1080" w:leftChars="257" w:hanging="540"/>
              <w:jc w:val="center"/>
              <w:textAlignment w:val="baseline"/>
              <w:rPr>
                <w:rFonts w:ascii="仿宋" w:hAnsi="仿宋" w:eastAsia="仿宋" w:cs="仿宋"/>
                <w:sz w:val="24"/>
              </w:rPr>
            </w:pPr>
          </w:p>
        </w:tc>
      </w:tr>
    </w:tbl>
    <w:p>
      <w:pPr>
        <w:pStyle w:val="17"/>
        <w:snapToGrid w:val="0"/>
        <w:spacing w:line="240" w:lineRule="atLeast"/>
        <w:textAlignment w:val="baseline"/>
        <w:rPr>
          <w:rFonts w:ascii="仿宋" w:hAnsi="仿宋" w:eastAsia="仿宋" w:cs="仿宋"/>
          <w:color w:val="000000"/>
          <w:sz w:val="24"/>
        </w:rPr>
      </w:pPr>
      <w:bookmarkStart w:id="939" w:name="_Toc32398"/>
      <w:bookmarkStart w:id="940" w:name="_Toc18267"/>
      <w:bookmarkStart w:id="941" w:name="_Toc515647819"/>
      <w:bookmarkStart w:id="942" w:name="_Toc216582816"/>
      <w:bookmarkStart w:id="943" w:name="_Toc14037"/>
    </w:p>
    <w:p>
      <w:pPr>
        <w:pStyle w:val="17"/>
        <w:snapToGrid w:val="0"/>
        <w:spacing w:line="240" w:lineRule="atLeast"/>
        <w:textAlignment w:val="baseline"/>
        <w:rPr>
          <w:rFonts w:ascii="仿宋" w:hAnsi="仿宋" w:eastAsia="仿宋" w:cs="仿宋"/>
          <w:color w:val="000000"/>
          <w:sz w:val="24"/>
        </w:rPr>
      </w:pPr>
      <w:r>
        <w:rPr>
          <w:rFonts w:hint="eastAsia" w:ascii="仿宋" w:hAnsi="仿宋" w:eastAsia="仿宋" w:cs="仿宋"/>
          <w:color w:val="000000"/>
          <w:sz w:val="24"/>
        </w:rPr>
        <w:t>法定代表人（或企业负责人）或其委托代理人（签字或签章）:</w:t>
      </w:r>
      <w:r>
        <w:rPr>
          <w:rFonts w:hint="eastAsia" w:ascii="仿宋" w:hAnsi="仿宋" w:eastAsia="仿宋" w:cs="仿宋"/>
          <w:color w:val="000000"/>
          <w:sz w:val="24"/>
          <w:u w:val="single" w:color="000000"/>
        </w:rPr>
        <w:t xml:space="preserve"> </w:t>
      </w:r>
      <w:r>
        <w:rPr>
          <w:rFonts w:hint="eastAsia" w:ascii="仿宋" w:hAnsi="仿宋" w:eastAsia="仿宋" w:cs="仿宋"/>
          <w:color w:val="000000"/>
          <w:sz w:val="24"/>
          <w:u w:val="single" w:color="000000"/>
        </w:rPr>
        <w:tab/>
      </w:r>
      <w:r>
        <w:rPr>
          <w:rFonts w:hint="eastAsia" w:ascii="仿宋" w:hAnsi="仿宋" w:eastAsia="仿宋" w:cs="仿宋"/>
          <w:color w:val="000000"/>
          <w:sz w:val="24"/>
          <w:u w:val="single" w:color="000000"/>
        </w:rPr>
        <w:t xml:space="preserve">                 </w:t>
      </w:r>
    </w:p>
    <w:p>
      <w:pPr>
        <w:pStyle w:val="17"/>
        <w:tabs>
          <w:tab w:val="left" w:pos="5370"/>
        </w:tabs>
        <w:snapToGrid w:val="0"/>
        <w:spacing w:line="240" w:lineRule="atLeast"/>
        <w:textAlignment w:val="baseline"/>
        <w:rPr>
          <w:rFonts w:ascii="仿宋" w:hAnsi="仿宋" w:eastAsia="仿宋" w:cs="仿宋"/>
          <w:color w:val="000000"/>
          <w:sz w:val="24"/>
          <w:u w:val="single" w:color="000000"/>
        </w:rPr>
      </w:pPr>
      <w:r>
        <w:rPr>
          <w:rFonts w:hint="eastAsia" w:ascii="仿宋" w:hAnsi="仿宋" w:eastAsia="仿宋" w:cs="仿宋"/>
          <w:color w:val="000000"/>
          <w:sz w:val="24"/>
        </w:rPr>
        <w:t>投标人(盖单位章):</w:t>
      </w:r>
      <w:r>
        <w:rPr>
          <w:rFonts w:hint="eastAsia" w:ascii="仿宋" w:hAnsi="仿宋" w:eastAsia="仿宋" w:cs="仿宋"/>
          <w:color w:val="000000"/>
          <w:sz w:val="24"/>
          <w:u w:val="single" w:color="000000"/>
        </w:rPr>
        <w:tab/>
      </w:r>
    </w:p>
    <w:p>
      <w:pPr>
        <w:pStyle w:val="17"/>
        <w:snapToGrid w:val="0"/>
        <w:spacing w:line="240" w:lineRule="atLeast"/>
        <w:textAlignment w:val="baseline"/>
        <w:rPr>
          <w:rFonts w:ascii="仿宋" w:hAnsi="仿宋" w:eastAsia="仿宋" w:cs="仿宋"/>
          <w:color w:val="000000"/>
          <w:sz w:val="24"/>
        </w:rPr>
      </w:pPr>
      <w:r>
        <w:rPr>
          <w:rFonts w:hint="eastAsia" w:ascii="仿宋" w:hAnsi="仿宋" w:eastAsia="仿宋" w:cs="仿宋"/>
          <w:color w:val="000000"/>
          <w:sz w:val="24"/>
        </w:rPr>
        <w:t>注: 1.如果投标人认为需要，每种服务、货物填写一份该表。</w:t>
      </w:r>
    </w:p>
    <w:p>
      <w:pPr>
        <w:pStyle w:val="17"/>
        <w:snapToGrid w:val="0"/>
        <w:spacing w:line="240" w:lineRule="atLeas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2.如果按单价计算的结果与总价不一致,以单价为准修正总价。</w:t>
      </w:r>
    </w:p>
    <w:p>
      <w:pPr>
        <w:pStyle w:val="17"/>
        <w:snapToGrid w:val="0"/>
        <w:spacing w:line="240" w:lineRule="atLeas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3.如果不提供详细分项报价将视为没有实质性响应招标文件。</w:t>
      </w:r>
    </w:p>
    <w:p>
      <w:pPr>
        <w:pStyle w:val="17"/>
        <w:snapToGrid w:val="0"/>
        <w:spacing w:line="240" w:lineRule="atLeas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4.上述各项的详细分项报价，应另页描述。</w:t>
      </w:r>
    </w:p>
    <w:p>
      <w:pPr>
        <w:pStyle w:val="17"/>
        <w:snapToGrid w:val="0"/>
        <w:spacing w:line="240" w:lineRule="atLeast"/>
        <w:ind w:firstLine="480" w:firstLineChars="200"/>
        <w:textAlignment w:val="baseline"/>
        <w:rPr>
          <w:rFonts w:ascii="仿宋" w:hAnsi="仿宋" w:eastAsia="仿宋" w:cs="仿宋"/>
          <w:color w:val="000000"/>
          <w:sz w:val="24"/>
        </w:rPr>
      </w:pPr>
      <w:r>
        <w:rPr>
          <w:rFonts w:hint="eastAsia" w:ascii="仿宋" w:hAnsi="仿宋" w:eastAsia="仿宋" w:cs="仿宋"/>
          <w:color w:val="000000"/>
          <w:sz w:val="24"/>
        </w:rPr>
        <w:t>5.如果开标一览表（报价表）内容与投标文件中明细表内容不一致的，以开标一览表（报价表）内容为准。</w:t>
      </w:r>
    </w:p>
    <w:p>
      <w:pPr>
        <w:pStyle w:val="17"/>
        <w:snapToGrid w:val="0"/>
        <w:spacing w:line="240" w:lineRule="atLeast"/>
        <w:ind w:firstLine="480" w:firstLineChars="200"/>
        <w:textAlignment w:val="baseline"/>
        <w:rPr>
          <w:rFonts w:ascii="仿宋" w:hAnsi="仿宋" w:eastAsia="仿宋" w:cs="仿宋"/>
          <w:sz w:val="24"/>
        </w:rPr>
      </w:pPr>
      <w:r>
        <w:rPr>
          <w:rFonts w:hint="eastAsia" w:ascii="仿宋" w:hAnsi="仿宋" w:eastAsia="仿宋" w:cs="仿宋"/>
          <w:sz w:val="24"/>
        </w:rPr>
        <w:t>6.投标人可根据需要自行增减表格行数。</w:t>
      </w:r>
    </w:p>
    <w:p>
      <w:pPr>
        <w:pStyle w:val="17"/>
        <w:snapToGrid w:val="0"/>
        <w:spacing w:line="240" w:lineRule="atLeast"/>
        <w:ind w:firstLine="480" w:firstLineChars="200"/>
        <w:textAlignment w:val="baseline"/>
        <w:rPr>
          <w:rFonts w:ascii="仿宋" w:hAnsi="仿宋" w:eastAsia="仿宋" w:cs="仿宋"/>
          <w:sz w:val="24"/>
        </w:rPr>
      </w:pPr>
      <w:r>
        <w:rPr>
          <w:rFonts w:hint="eastAsia" w:ascii="仿宋" w:hAnsi="仿宋" w:eastAsia="仿宋" w:cs="仿宋"/>
          <w:sz w:val="24"/>
        </w:rPr>
        <w:t>7.投标人对所报相关内容的真实性负责，采购代理机构有权将相关内容进行公示，因弄虚作假导致的后果由投标人自行承担。</w:t>
      </w:r>
    </w:p>
    <w:p>
      <w:pPr>
        <w:pStyle w:val="17"/>
        <w:snapToGrid w:val="0"/>
        <w:spacing w:line="240" w:lineRule="atLeast"/>
        <w:ind w:firstLine="480" w:firstLineChars="200"/>
        <w:textAlignment w:val="baseline"/>
        <w:rPr>
          <w:rFonts w:ascii="仿宋" w:hAnsi="仿宋" w:eastAsia="仿宋" w:cs="仿宋"/>
          <w:color w:val="FF0000"/>
        </w:rPr>
      </w:pPr>
      <w:r>
        <w:rPr>
          <w:rFonts w:hint="eastAsia" w:ascii="仿宋" w:hAnsi="仿宋" w:eastAsia="仿宋" w:cs="仿宋"/>
          <w:sz w:val="24"/>
        </w:rPr>
        <w:t>8.以上报价的货物、技术服务，包装、仓储、运输、装卸、保险、安装、税金（规费、税金）等的一切费用。</w:t>
      </w:r>
    </w:p>
    <w:p>
      <w:pPr>
        <w:pStyle w:val="17"/>
        <w:snapToGrid w:val="0"/>
        <w:spacing w:line="240" w:lineRule="atLeast"/>
        <w:ind w:firstLine="420" w:firstLineChars="200"/>
        <w:textAlignment w:val="baseline"/>
        <w:rPr>
          <w:rFonts w:ascii="仿宋" w:hAnsi="仿宋" w:eastAsia="仿宋" w:cs="仿宋"/>
          <w:color w:val="FF0000"/>
        </w:rPr>
      </w:pPr>
    </w:p>
    <w:p>
      <w:pPr>
        <w:pStyle w:val="88"/>
        <w:rPr>
          <w:rFonts w:ascii="仿宋" w:hAnsi="仿宋" w:eastAsia="仿宋" w:cs="仿宋"/>
        </w:rPr>
      </w:pPr>
    </w:p>
    <w:p>
      <w:pPr>
        <w:snapToGrid w:val="0"/>
        <w:textAlignment w:val="baseline"/>
        <w:rPr>
          <w:rFonts w:ascii="仿宋" w:hAnsi="仿宋" w:eastAsia="仿宋" w:cs="仿宋"/>
          <w:sz w:val="32"/>
          <w:szCs w:val="32"/>
        </w:rPr>
      </w:pPr>
    </w:p>
    <w:p>
      <w:pPr>
        <w:widowControl/>
        <w:jc w:val="left"/>
        <w:rPr>
          <w:rFonts w:ascii="仿宋" w:hAnsi="仿宋" w:eastAsia="仿宋" w:cs="仿宋"/>
          <w:b/>
          <w:kern w:val="0"/>
          <w:sz w:val="24"/>
          <w:szCs w:val="20"/>
        </w:rPr>
      </w:pPr>
      <w:bookmarkStart w:id="944" w:name="_Toc7334"/>
      <w:bookmarkStart w:id="945" w:name="_Toc25123"/>
      <w:bookmarkStart w:id="946" w:name="_Toc30769"/>
      <w:bookmarkStart w:id="947" w:name="_Toc7368"/>
      <w:bookmarkStart w:id="948" w:name="_Toc682"/>
      <w:bookmarkStart w:id="949" w:name="_Toc19912"/>
      <w:bookmarkStart w:id="950" w:name="_Toc21472"/>
      <w:bookmarkStart w:id="951" w:name="_Toc17121"/>
      <w:bookmarkStart w:id="952" w:name="_Toc24906"/>
      <w:bookmarkStart w:id="953" w:name="_Toc1486"/>
      <w:bookmarkStart w:id="954" w:name="_Toc4839"/>
      <w:bookmarkStart w:id="955" w:name="_Toc11861"/>
      <w:r>
        <w:rPr>
          <w:rFonts w:ascii="仿宋" w:hAnsi="仿宋" w:eastAsia="仿宋" w:cs="仿宋"/>
          <w:sz w:val="24"/>
        </w:rPr>
        <w:br w:type="page"/>
      </w:r>
    </w:p>
    <w:p>
      <w:pPr>
        <w:pStyle w:val="6"/>
        <w:spacing w:before="0" w:line="288" w:lineRule="auto"/>
        <w:rPr>
          <w:rFonts w:ascii="仿宋" w:hAnsi="仿宋" w:eastAsia="仿宋" w:cs="仿宋"/>
          <w:sz w:val="24"/>
        </w:rPr>
      </w:pPr>
      <w:r>
        <w:rPr>
          <w:rFonts w:hint="eastAsia" w:ascii="仿宋" w:hAnsi="仿宋" w:eastAsia="仿宋" w:cs="仿宋"/>
          <w:sz w:val="24"/>
        </w:rPr>
        <w:t>3 货物说明一览表</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left="1080" w:leftChars="257" w:hanging="540"/>
        <w:textAlignment w:val="baseline"/>
        <w:rPr>
          <w:rFonts w:ascii="仿宋" w:hAnsi="仿宋" w:eastAsia="仿宋" w:cs="仿宋"/>
          <w:sz w:val="24"/>
        </w:rPr>
      </w:pPr>
      <w:r>
        <w:rPr>
          <w:rFonts w:hint="eastAsia" w:ascii="仿宋" w:hAnsi="仿宋" w:eastAsia="仿宋" w:cs="仿宋"/>
          <w:sz w:val="24"/>
        </w:rPr>
        <w:t xml:space="preserve">项目名称:           项目编号:              标段:                      </w:t>
      </w:r>
    </w:p>
    <w:p>
      <w:pPr>
        <w:pStyle w:val="17"/>
        <w:snapToGrid w:val="0"/>
        <w:spacing w:line="240" w:lineRule="atLeast"/>
        <w:ind w:left="1080" w:leftChars="257" w:hanging="540"/>
        <w:textAlignment w:val="baseline"/>
        <w:rPr>
          <w:rFonts w:ascii="仿宋" w:hAnsi="仿宋" w:eastAsia="仿宋" w:cs="仿宋"/>
          <w:sz w:val="24"/>
        </w:rPr>
      </w:pPr>
    </w:p>
    <w:tbl>
      <w:tblPr>
        <w:tblStyle w:val="35"/>
        <w:tblpPr w:leftFromText="180" w:rightFromText="180" w:vertAnchor="text" w:horzAnchor="page" w:tblpX="1506" w:tblpY="217"/>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326"/>
        <w:gridCol w:w="1205"/>
        <w:gridCol w:w="1085"/>
        <w:gridCol w:w="1056"/>
        <w:gridCol w:w="2126"/>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5" w:type="dxa"/>
            <w:vAlign w:val="center"/>
          </w:tcPr>
          <w:p>
            <w:pPr>
              <w:pStyle w:val="17"/>
              <w:snapToGrid w:val="0"/>
              <w:spacing w:line="240" w:lineRule="atLeast"/>
              <w:ind w:firstLine="240" w:firstLineChars="100"/>
              <w:jc w:val="center"/>
              <w:textAlignment w:val="baseline"/>
              <w:rPr>
                <w:rFonts w:ascii="仿宋" w:hAnsi="仿宋" w:eastAsia="仿宋" w:cs="仿宋"/>
                <w:sz w:val="24"/>
              </w:rPr>
            </w:pPr>
            <w:r>
              <w:rPr>
                <w:rFonts w:hint="eastAsia" w:ascii="仿宋" w:hAnsi="仿宋" w:eastAsia="仿宋" w:cs="仿宋"/>
                <w:sz w:val="24"/>
              </w:rPr>
              <w:t>序号</w:t>
            </w:r>
          </w:p>
        </w:tc>
        <w:tc>
          <w:tcPr>
            <w:tcW w:w="1326"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货物名称</w:t>
            </w:r>
          </w:p>
        </w:tc>
        <w:tc>
          <w:tcPr>
            <w:tcW w:w="1205"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品牌型号</w:t>
            </w:r>
          </w:p>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主要规格</w:t>
            </w:r>
          </w:p>
        </w:tc>
        <w:tc>
          <w:tcPr>
            <w:tcW w:w="1085"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数量</w:t>
            </w:r>
          </w:p>
        </w:tc>
        <w:tc>
          <w:tcPr>
            <w:tcW w:w="1056"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交货期</w:t>
            </w:r>
          </w:p>
        </w:tc>
        <w:tc>
          <w:tcPr>
            <w:tcW w:w="2126"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交货地点</w:t>
            </w:r>
          </w:p>
        </w:tc>
        <w:tc>
          <w:tcPr>
            <w:tcW w:w="917"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7"/>
              <w:snapToGrid w:val="0"/>
              <w:spacing w:line="240" w:lineRule="atLeast"/>
              <w:ind w:left="1080" w:leftChars="257" w:hanging="540"/>
              <w:textAlignment w:val="baseline"/>
              <w:rPr>
                <w:rFonts w:ascii="仿宋" w:hAnsi="仿宋" w:eastAsia="仿宋" w:cs="仿宋"/>
                <w:sz w:val="24"/>
              </w:rPr>
            </w:pPr>
          </w:p>
        </w:tc>
        <w:tc>
          <w:tcPr>
            <w:tcW w:w="1326" w:type="dxa"/>
          </w:tcPr>
          <w:p>
            <w:pPr>
              <w:pStyle w:val="17"/>
              <w:snapToGrid w:val="0"/>
              <w:spacing w:line="240" w:lineRule="atLeast"/>
              <w:ind w:left="1080" w:leftChars="257" w:hanging="540"/>
              <w:textAlignment w:val="baseline"/>
              <w:rPr>
                <w:rFonts w:ascii="仿宋" w:hAnsi="仿宋" w:eastAsia="仿宋" w:cs="仿宋"/>
                <w:sz w:val="24"/>
              </w:rPr>
            </w:pPr>
          </w:p>
        </w:tc>
        <w:tc>
          <w:tcPr>
            <w:tcW w:w="1205" w:type="dxa"/>
          </w:tcPr>
          <w:p>
            <w:pPr>
              <w:pStyle w:val="17"/>
              <w:snapToGrid w:val="0"/>
              <w:spacing w:line="240" w:lineRule="atLeast"/>
              <w:ind w:left="1080" w:leftChars="257" w:hanging="540"/>
              <w:textAlignment w:val="baseline"/>
              <w:rPr>
                <w:rFonts w:ascii="仿宋" w:hAnsi="仿宋" w:eastAsia="仿宋" w:cs="仿宋"/>
                <w:sz w:val="24"/>
              </w:rPr>
            </w:pPr>
          </w:p>
        </w:tc>
        <w:tc>
          <w:tcPr>
            <w:tcW w:w="1085" w:type="dxa"/>
          </w:tcPr>
          <w:p>
            <w:pPr>
              <w:pStyle w:val="17"/>
              <w:snapToGrid w:val="0"/>
              <w:spacing w:line="240" w:lineRule="atLeast"/>
              <w:ind w:left="1080" w:leftChars="257" w:hanging="540"/>
              <w:textAlignment w:val="baseline"/>
              <w:rPr>
                <w:rFonts w:ascii="仿宋" w:hAnsi="仿宋" w:eastAsia="仿宋" w:cs="仿宋"/>
                <w:sz w:val="24"/>
              </w:rPr>
            </w:pPr>
          </w:p>
        </w:tc>
        <w:tc>
          <w:tcPr>
            <w:tcW w:w="1056" w:type="dxa"/>
          </w:tcPr>
          <w:p>
            <w:pPr>
              <w:pStyle w:val="17"/>
              <w:snapToGrid w:val="0"/>
              <w:spacing w:line="240" w:lineRule="atLeast"/>
              <w:ind w:left="1080" w:leftChars="257" w:hanging="540"/>
              <w:textAlignment w:val="baseline"/>
              <w:rPr>
                <w:rFonts w:ascii="仿宋" w:hAnsi="仿宋" w:eastAsia="仿宋" w:cs="仿宋"/>
                <w:sz w:val="24"/>
              </w:rPr>
            </w:pPr>
          </w:p>
        </w:tc>
        <w:tc>
          <w:tcPr>
            <w:tcW w:w="2126" w:type="dxa"/>
          </w:tcPr>
          <w:p>
            <w:pPr>
              <w:pStyle w:val="17"/>
              <w:snapToGrid w:val="0"/>
              <w:spacing w:line="240" w:lineRule="atLeast"/>
              <w:ind w:left="1080" w:leftChars="257" w:hanging="540"/>
              <w:textAlignment w:val="baseline"/>
              <w:rPr>
                <w:rFonts w:ascii="仿宋" w:hAnsi="仿宋" w:eastAsia="仿宋" w:cs="仿宋"/>
                <w:sz w:val="24"/>
              </w:rPr>
            </w:pPr>
          </w:p>
        </w:tc>
        <w:tc>
          <w:tcPr>
            <w:tcW w:w="917"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7"/>
              <w:snapToGrid w:val="0"/>
              <w:spacing w:line="240" w:lineRule="atLeast"/>
              <w:ind w:left="1080" w:leftChars="257" w:hanging="540"/>
              <w:textAlignment w:val="baseline"/>
              <w:rPr>
                <w:rFonts w:ascii="仿宋" w:hAnsi="仿宋" w:eastAsia="仿宋" w:cs="仿宋"/>
                <w:sz w:val="24"/>
              </w:rPr>
            </w:pPr>
          </w:p>
        </w:tc>
        <w:tc>
          <w:tcPr>
            <w:tcW w:w="1326" w:type="dxa"/>
          </w:tcPr>
          <w:p>
            <w:pPr>
              <w:pStyle w:val="17"/>
              <w:snapToGrid w:val="0"/>
              <w:spacing w:line="240" w:lineRule="atLeast"/>
              <w:ind w:left="1080" w:leftChars="257" w:hanging="540"/>
              <w:textAlignment w:val="baseline"/>
              <w:rPr>
                <w:rFonts w:ascii="仿宋" w:hAnsi="仿宋" w:eastAsia="仿宋" w:cs="仿宋"/>
                <w:sz w:val="24"/>
              </w:rPr>
            </w:pPr>
          </w:p>
        </w:tc>
        <w:tc>
          <w:tcPr>
            <w:tcW w:w="1205" w:type="dxa"/>
          </w:tcPr>
          <w:p>
            <w:pPr>
              <w:pStyle w:val="17"/>
              <w:snapToGrid w:val="0"/>
              <w:spacing w:line="240" w:lineRule="atLeast"/>
              <w:ind w:left="1080" w:leftChars="257" w:hanging="540"/>
              <w:textAlignment w:val="baseline"/>
              <w:rPr>
                <w:rFonts w:ascii="仿宋" w:hAnsi="仿宋" w:eastAsia="仿宋" w:cs="仿宋"/>
                <w:sz w:val="24"/>
              </w:rPr>
            </w:pPr>
          </w:p>
        </w:tc>
        <w:tc>
          <w:tcPr>
            <w:tcW w:w="1085" w:type="dxa"/>
          </w:tcPr>
          <w:p>
            <w:pPr>
              <w:pStyle w:val="17"/>
              <w:snapToGrid w:val="0"/>
              <w:spacing w:line="240" w:lineRule="atLeast"/>
              <w:ind w:left="1080" w:leftChars="257" w:hanging="540"/>
              <w:textAlignment w:val="baseline"/>
              <w:rPr>
                <w:rFonts w:ascii="仿宋" w:hAnsi="仿宋" w:eastAsia="仿宋" w:cs="仿宋"/>
                <w:sz w:val="24"/>
              </w:rPr>
            </w:pPr>
          </w:p>
        </w:tc>
        <w:tc>
          <w:tcPr>
            <w:tcW w:w="1056" w:type="dxa"/>
          </w:tcPr>
          <w:p>
            <w:pPr>
              <w:pStyle w:val="17"/>
              <w:snapToGrid w:val="0"/>
              <w:spacing w:line="240" w:lineRule="atLeast"/>
              <w:ind w:left="1080" w:leftChars="257" w:hanging="540"/>
              <w:textAlignment w:val="baseline"/>
              <w:rPr>
                <w:rFonts w:ascii="仿宋" w:hAnsi="仿宋" w:eastAsia="仿宋" w:cs="仿宋"/>
                <w:sz w:val="24"/>
              </w:rPr>
            </w:pPr>
          </w:p>
        </w:tc>
        <w:tc>
          <w:tcPr>
            <w:tcW w:w="2126" w:type="dxa"/>
          </w:tcPr>
          <w:p>
            <w:pPr>
              <w:pStyle w:val="17"/>
              <w:snapToGrid w:val="0"/>
              <w:spacing w:line="240" w:lineRule="atLeast"/>
              <w:ind w:left="1080" w:leftChars="257" w:hanging="540"/>
              <w:textAlignment w:val="baseline"/>
              <w:rPr>
                <w:rFonts w:ascii="仿宋" w:hAnsi="仿宋" w:eastAsia="仿宋" w:cs="仿宋"/>
                <w:sz w:val="24"/>
              </w:rPr>
            </w:pPr>
          </w:p>
        </w:tc>
        <w:tc>
          <w:tcPr>
            <w:tcW w:w="917"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7"/>
              <w:snapToGrid w:val="0"/>
              <w:spacing w:line="240" w:lineRule="atLeast"/>
              <w:ind w:left="1080" w:leftChars="257" w:hanging="540"/>
              <w:textAlignment w:val="baseline"/>
              <w:rPr>
                <w:rFonts w:ascii="仿宋" w:hAnsi="仿宋" w:eastAsia="仿宋" w:cs="仿宋"/>
                <w:sz w:val="24"/>
              </w:rPr>
            </w:pPr>
          </w:p>
        </w:tc>
        <w:tc>
          <w:tcPr>
            <w:tcW w:w="1326" w:type="dxa"/>
          </w:tcPr>
          <w:p>
            <w:pPr>
              <w:pStyle w:val="17"/>
              <w:snapToGrid w:val="0"/>
              <w:spacing w:line="240" w:lineRule="atLeast"/>
              <w:ind w:left="1080" w:leftChars="257" w:hanging="540"/>
              <w:textAlignment w:val="baseline"/>
              <w:rPr>
                <w:rFonts w:ascii="仿宋" w:hAnsi="仿宋" w:eastAsia="仿宋" w:cs="仿宋"/>
                <w:sz w:val="24"/>
              </w:rPr>
            </w:pPr>
          </w:p>
        </w:tc>
        <w:tc>
          <w:tcPr>
            <w:tcW w:w="1205" w:type="dxa"/>
          </w:tcPr>
          <w:p>
            <w:pPr>
              <w:pStyle w:val="17"/>
              <w:snapToGrid w:val="0"/>
              <w:spacing w:line="240" w:lineRule="atLeast"/>
              <w:ind w:left="1080" w:leftChars="257" w:hanging="540"/>
              <w:textAlignment w:val="baseline"/>
              <w:rPr>
                <w:rFonts w:ascii="仿宋" w:hAnsi="仿宋" w:eastAsia="仿宋" w:cs="仿宋"/>
                <w:sz w:val="24"/>
              </w:rPr>
            </w:pPr>
          </w:p>
        </w:tc>
        <w:tc>
          <w:tcPr>
            <w:tcW w:w="1085" w:type="dxa"/>
          </w:tcPr>
          <w:p>
            <w:pPr>
              <w:pStyle w:val="17"/>
              <w:snapToGrid w:val="0"/>
              <w:spacing w:line="240" w:lineRule="atLeast"/>
              <w:ind w:left="1080" w:leftChars="257" w:hanging="540"/>
              <w:textAlignment w:val="baseline"/>
              <w:rPr>
                <w:rFonts w:ascii="仿宋" w:hAnsi="仿宋" w:eastAsia="仿宋" w:cs="仿宋"/>
                <w:sz w:val="24"/>
              </w:rPr>
            </w:pPr>
          </w:p>
        </w:tc>
        <w:tc>
          <w:tcPr>
            <w:tcW w:w="1056" w:type="dxa"/>
          </w:tcPr>
          <w:p>
            <w:pPr>
              <w:pStyle w:val="17"/>
              <w:snapToGrid w:val="0"/>
              <w:spacing w:line="240" w:lineRule="atLeast"/>
              <w:ind w:left="1080" w:leftChars="257" w:hanging="540"/>
              <w:textAlignment w:val="baseline"/>
              <w:rPr>
                <w:rFonts w:ascii="仿宋" w:hAnsi="仿宋" w:eastAsia="仿宋" w:cs="仿宋"/>
                <w:sz w:val="24"/>
              </w:rPr>
            </w:pPr>
          </w:p>
        </w:tc>
        <w:tc>
          <w:tcPr>
            <w:tcW w:w="2126" w:type="dxa"/>
          </w:tcPr>
          <w:p>
            <w:pPr>
              <w:pStyle w:val="17"/>
              <w:snapToGrid w:val="0"/>
              <w:spacing w:line="240" w:lineRule="atLeast"/>
              <w:ind w:left="1080" w:leftChars="257" w:hanging="540"/>
              <w:textAlignment w:val="baseline"/>
              <w:rPr>
                <w:rFonts w:ascii="仿宋" w:hAnsi="仿宋" w:eastAsia="仿宋" w:cs="仿宋"/>
                <w:sz w:val="24"/>
              </w:rPr>
            </w:pPr>
          </w:p>
        </w:tc>
        <w:tc>
          <w:tcPr>
            <w:tcW w:w="917"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7"/>
              <w:snapToGrid w:val="0"/>
              <w:spacing w:line="240" w:lineRule="atLeast"/>
              <w:ind w:left="1080" w:leftChars="257" w:hanging="540"/>
              <w:textAlignment w:val="baseline"/>
              <w:rPr>
                <w:rFonts w:ascii="仿宋" w:hAnsi="仿宋" w:eastAsia="仿宋" w:cs="仿宋"/>
                <w:sz w:val="24"/>
              </w:rPr>
            </w:pPr>
          </w:p>
        </w:tc>
        <w:tc>
          <w:tcPr>
            <w:tcW w:w="1326" w:type="dxa"/>
          </w:tcPr>
          <w:p>
            <w:pPr>
              <w:pStyle w:val="17"/>
              <w:snapToGrid w:val="0"/>
              <w:spacing w:line="240" w:lineRule="atLeast"/>
              <w:ind w:left="1080" w:leftChars="257" w:hanging="540"/>
              <w:textAlignment w:val="baseline"/>
              <w:rPr>
                <w:rFonts w:ascii="仿宋" w:hAnsi="仿宋" w:eastAsia="仿宋" w:cs="仿宋"/>
                <w:sz w:val="24"/>
              </w:rPr>
            </w:pPr>
          </w:p>
        </w:tc>
        <w:tc>
          <w:tcPr>
            <w:tcW w:w="1205" w:type="dxa"/>
          </w:tcPr>
          <w:p>
            <w:pPr>
              <w:pStyle w:val="17"/>
              <w:snapToGrid w:val="0"/>
              <w:spacing w:line="240" w:lineRule="atLeast"/>
              <w:ind w:left="1080" w:leftChars="257" w:hanging="540"/>
              <w:textAlignment w:val="baseline"/>
              <w:rPr>
                <w:rFonts w:ascii="仿宋" w:hAnsi="仿宋" w:eastAsia="仿宋" w:cs="仿宋"/>
                <w:sz w:val="24"/>
              </w:rPr>
            </w:pPr>
          </w:p>
        </w:tc>
        <w:tc>
          <w:tcPr>
            <w:tcW w:w="1085" w:type="dxa"/>
          </w:tcPr>
          <w:p>
            <w:pPr>
              <w:pStyle w:val="17"/>
              <w:snapToGrid w:val="0"/>
              <w:spacing w:line="240" w:lineRule="atLeast"/>
              <w:ind w:left="1080" w:leftChars="257" w:hanging="540"/>
              <w:textAlignment w:val="baseline"/>
              <w:rPr>
                <w:rFonts w:ascii="仿宋" w:hAnsi="仿宋" w:eastAsia="仿宋" w:cs="仿宋"/>
                <w:sz w:val="24"/>
              </w:rPr>
            </w:pPr>
          </w:p>
        </w:tc>
        <w:tc>
          <w:tcPr>
            <w:tcW w:w="1056" w:type="dxa"/>
          </w:tcPr>
          <w:p>
            <w:pPr>
              <w:pStyle w:val="17"/>
              <w:snapToGrid w:val="0"/>
              <w:spacing w:line="240" w:lineRule="atLeast"/>
              <w:ind w:left="1080" w:leftChars="257" w:hanging="540"/>
              <w:textAlignment w:val="baseline"/>
              <w:rPr>
                <w:rFonts w:ascii="仿宋" w:hAnsi="仿宋" w:eastAsia="仿宋" w:cs="仿宋"/>
                <w:sz w:val="24"/>
              </w:rPr>
            </w:pPr>
          </w:p>
        </w:tc>
        <w:tc>
          <w:tcPr>
            <w:tcW w:w="2126" w:type="dxa"/>
          </w:tcPr>
          <w:p>
            <w:pPr>
              <w:pStyle w:val="17"/>
              <w:snapToGrid w:val="0"/>
              <w:spacing w:line="240" w:lineRule="atLeast"/>
              <w:ind w:left="1080" w:leftChars="257" w:hanging="540"/>
              <w:textAlignment w:val="baseline"/>
              <w:rPr>
                <w:rFonts w:ascii="仿宋" w:hAnsi="仿宋" w:eastAsia="仿宋" w:cs="仿宋"/>
                <w:sz w:val="24"/>
              </w:rPr>
            </w:pPr>
          </w:p>
        </w:tc>
        <w:tc>
          <w:tcPr>
            <w:tcW w:w="917"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7"/>
              <w:snapToGrid w:val="0"/>
              <w:spacing w:line="240" w:lineRule="atLeast"/>
              <w:ind w:left="1080" w:leftChars="257" w:hanging="540"/>
              <w:textAlignment w:val="baseline"/>
              <w:rPr>
                <w:rFonts w:ascii="仿宋" w:hAnsi="仿宋" w:eastAsia="仿宋" w:cs="仿宋"/>
                <w:sz w:val="24"/>
              </w:rPr>
            </w:pPr>
          </w:p>
        </w:tc>
        <w:tc>
          <w:tcPr>
            <w:tcW w:w="1326" w:type="dxa"/>
          </w:tcPr>
          <w:p>
            <w:pPr>
              <w:pStyle w:val="17"/>
              <w:snapToGrid w:val="0"/>
              <w:spacing w:line="240" w:lineRule="atLeast"/>
              <w:ind w:left="1080" w:leftChars="257" w:hanging="540"/>
              <w:textAlignment w:val="baseline"/>
              <w:rPr>
                <w:rFonts w:ascii="仿宋" w:hAnsi="仿宋" w:eastAsia="仿宋" w:cs="仿宋"/>
                <w:sz w:val="24"/>
              </w:rPr>
            </w:pPr>
          </w:p>
        </w:tc>
        <w:tc>
          <w:tcPr>
            <w:tcW w:w="1205" w:type="dxa"/>
          </w:tcPr>
          <w:p>
            <w:pPr>
              <w:pStyle w:val="17"/>
              <w:snapToGrid w:val="0"/>
              <w:spacing w:line="240" w:lineRule="atLeast"/>
              <w:ind w:left="1080" w:leftChars="257" w:hanging="540"/>
              <w:textAlignment w:val="baseline"/>
              <w:rPr>
                <w:rFonts w:ascii="仿宋" w:hAnsi="仿宋" w:eastAsia="仿宋" w:cs="仿宋"/>
                <w:sz w:val="24"/>
              </w:rPr>
            </w:pPr>
          </w:p>
        </w:tc>
        <w:tc>
          <w:tcPr>
            <w:tcW w:w="1085" w:type="dxa"/>
          </w:tcPr>
          <w:p>
            <w:pPr>
              <w:pStyle w:val="17"/>
              <w:snapToGrid w:val="0"/>
              <w:spacing w:line="240" w:lineRule="atLeast"/>
              <w:ind w:left="1080" w:leftChars="257" w:hanging="540"/>
              <w:textAlignment w:val="baseline"/>
              <w:rPr>
                <w:rFonts w:ascii="仿宋" w:hAnsi="仿宋" w:eastAsia="仿宋" w:cs="仿宋"/>
                <w:sz w:val="24"/>
              </w:rPr>
            </w:pPr>
          </w:p>
        </w:tc>
        <w:tc>
          <w:tcPr>
            <w:tcW w:w="1056" w:type="dxa"/>
          </w:tcPr>
          <w:p>
            <w:pPr>
              <w:pStyle w:val="17"/>
              <w:snapToGrid w:val="0"/>
              <w:spacing w:line="240" w:lineRule="atLeast"/>
              <w:ind w:left="1080" w:leftChars="257" w:hanging="540"/>
              <w:textAlignment w:val="baseline"/>
              <w:rPr>
                <w:rFonts w:ascii="仿宋" w:hAnsi="仿宋" w:eastAsia="仿宋" w:cs="仿宋"/>
                <w:sz w:val="24"/>
              </w:rPr>
            </w:pPr>
          </w:p>
        </w:tc>
        <w:tc>
          <w:tcPr>
            <w:tcW w:w="2126" w:type="dxa"/>
          </w:tcPr>
          <w:p>
            <w:pPr>
              <w:pStyle w:val="17"/>
              <w:snapToGrid w:val="0"/>
              <w:spacing w:line="240" w:lineRule="atLeast"/>
              <w:ind w:left="1080" w:leftChars="257" w:hanging="540"/>
              <w:textAlignment w:val="baseline"/>
              <w:rPr>
                <w:rFonts w:ascii="仿宋" w:hAnsi="仿宋" w:eastAsia="仿宋" w:cs="仿宋"/>
                <w:sz w:val="24"/>
              </w:rPr>
            </w:pPr>
          </w:p>
        </w:tc>
        <w:tc>
          <w:tcPr>
            <w:tcW w:w="917"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7"/>
              <w:snapToGrid w:val="0"/>
              <w:spacing w:line="240" w:lineRule="atLeast"/>
              <w:ind w:left="1080" w:leftChars="257" w:hanging="540"/>
              <w:textAlignment w:val="baseline"/>
              <w:rPr>
                <w:rFonts w:ascii="仿宋" w:hAnsi="仿宋" w:eastAsia="仿宋" w:cs="仿宋"/>
                <w:sz w:val="24"/>
              </w:rPr>
            </w:pPr>
          </w:p>
        </w:tc>
        <w:tc>
          <w:tcPr>
            <w:tcW w:w="1326" w:type="dxa"/>
          </w:tcPr>
          <w:p>
            <w:pPr>
              <w:pStyle w:val="17"/>
              <w:snapToGrid w:val="0"/>
              <w:spacing w:line="240" w:lineRule="atLeast"/>
              <w:ind w:left="1080" w:leftChars="257" w:hanging="540"/>
              <w:textAlignment w:val="baseline"/>
              <w:rPr>
                <w:rFonts w:ascii="仿宋" w:hAnsi="仿宋" w:eastAsia="仿宋" w:cs="仿宋"/>
                <w:sz w:val="24"/>
              </w:rPr>
            </w:pPr>
          </w:p>
        </w:tc>
        <w:tc>
          <w:tcPr>
            <w:tcW w:w="1205" w:type="dxa"/>
          </w:tcPr>
          <w:p>
            <w:pPr>
              <w:pStyle w:val="17"/>
              <w:snapToGrid w:val="0"/>
              <w:spacing w:line="240" w:lineRule="atLeast"/>
              <w:ind w:left="1080" w:leftChars="257" w:hanging="540"/>
              <w:textAlignment w:val="baseline"/>
              <w:rPr>
                <w:rFonts w:ascii="仿宋" w:hAnsi="仿宋" w:eastAsia="仿宋" w:cs="仿宋"/>
                <w:sz w:val="24"/>
              </w:rPr>
            </w:pPr>
          </w:p>
        </w:tc>
        <w:tc>
          <w:tcPr>
            <w:tcW w:w="1085" w:type="dxa"/>
          </w:tcPr>
          <w:p>
            <w:pPr>
              <w:pStyle w:val="17"/>
              <w:snapToGrid w:val="0"/>
              <w:spacing w:line="240" w:lineRule="atLeast"/>
              <w:ind w:left="1080" w:leftChars="257" w:hanging="540"/>
              <w:textAlignment w:val="baseline"/>
              <w:rPr>
                <w:rFonts w:ascii="仿宋" w:hAnsi="仿宋" w:eastAsia="仿宋" w:cs="仿宋"/>
                <w:sz w:val="24"/>
              </w:rPr>
            </w:pPr>
          </w:p>
        </w:tc>
        <w:tc>
          <w:tcPr>
            <w:tcW w:w="1056" w:type="dxa"/>
          </w:tcPr>
          <w:p>
            <w:pPr>
              <w:pStyle w:val="17"/>
              <w:snapToGrid w:val="0"/>
              <w:spacing w:line="240" w:lineRule="atLeast"/>
              <w:ind w:left="1080" w:leftChars="257" w:hanging="540"/>
              <w:textAlignment w:val="baseline"/>
              <w:rPr>
                <w:rFonts w:ascii="仿宋" w:hAnsi="仿宋" w:eastAsia="仿宋" w:cs="仿宋"/>
                <w:sz w:val="24"/>
              </w:rPr>
            </w:pPr>
          </w:p>
        </w:tc>
        <w:tc>
          <w:tcPr>
            <w:tcW w:w="2126" w:type="dxa"/>
          </w:tcPr>
          <w:p>
            <w:pPr>
              <w:pStyle w:val="17"/>
              <w:snapToGrid w:val="0"/>
              <w:spacing w:line="240" w:lineRule="atLeast"/>
              <w:ind w:left="1080" w:leftChars="257" w:hanging="540"/>
              <w:textAlignment w:val="baseline"/>
              <w:rPr>
                <w:rFonts w:ascii="仿宋" w:hAnsi="仿宋" w:eastAsia="仿宋" w:cs="仿宋"/>
                <w:sz w:val="24"/>
              </w:rPr>
            </w:pPr>
          </w:p>
        </w:tc>
        <w:tc>
          <w:tcPr>
            <w:tcW w:w="917"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7"/>
              <w:snapToGrid w:val="0"/>
              <w:spacing w:line="240" w:lineRule="atLeast"/>
              <w:ind w:left="1080" w:leftChars="257" w:hanging="540"/>
              <w:textAlignment w:val="baseline"/>
              <w:rPr>
                <w:rFonts w:ascii="仿宋" w:hAnsi="仿宋" w:eastAsia="仿宋" w:cs="仿宋"/>
                <w:sz w:val="24"/>
              </w:rPr>
            </w:pPr>
          </w:p>
        </w:tc>
        <w:tc>
          <w:tcPr>
            <w:tcW w:w="1326" w:type="dxa"/>
          </w:tcPr>
          <w:p>
            <w:pPr>
              <w:pStyle w:val="17"/>
              <w:snapToGrid w:val="0"/>
              <w:spacing w:line="240" w:lineRule="atLeast"/>
              <w:ind w:left="1080" w:leftChars="257" w:hanging="540"/>
              <w:textAlignment w:val="baseline"/>
              <w:rPr>
                <w:rFonts w:ascii="仿宋" w:hAnsi="仿宋" w:eastAsia="仿宋" w:cs="仿宋"/>
                <w:sz w:val="24"/>
              </w:rPr>
            </w:pPr>
          </w:p>
        </w:tc>
        <w:tc>
          <w:tcPr>
            <w:tcW w:w="1205" w:type="dxa"/>
          </w:tcPr>
          <w:p>
            <w:pPr>
              <w:pStyle w:val="17"/>
              <w:snapToGrid w:val="0"/>
              <w:spacing w:line="240" w:lineRule="atLeast"/>
              <w:ind w:left="1080" w:leftChars="257" w:hanging="540"/>
              <w:textAlignment w:val="baseline"/>
              <w:rPr>
                <w:rFonts w:ascii="仿宋" w:hAnsi="仿宋" w:eastAsia="仿宋" w:cs="仿宋"/>
                <w:sz w:val="24"/>
              </w:rPr>
            </w:pPr>
          </w:p>
        </w:tc>
        <w:tc>
          <w:tcPr>
            <w:tcW w:w="1085" w:type="dxa"/>
          </w:tcPr>
          <w:p>
            <w:pPr>
              <w:pStyle w:val="17"/>
              <w:snapToGrid w:val="0"/>
              <w:spacing w:line="240" w:lineRule="atLeast"/>
              <w:ind w:left="1080" w:leftChars="257" w:hanging="540"/>
              <w:textAlignment w:val="baseline"/>
              <w:rPr>
                <w:rFonts w:ascii="仿宋" w:hAnsi="仿宋" w:eastAsia="仿宋" w:cs="仿宋"/>
                <w:sz w:val="24"/>
              </w:rPr>
            </w:pPr>
          </w:p>
        </w:tc>
        <w:tc>
          <w:tcPr>
            <w:tcW w:w="1056" w:type="dxa"/>
          </w:tcPr>
          <w:p>
            <w:pPr>
              <w:pStyle w:val="17"/>
              <w:snapToGrid w:val="0"/>
              <w:spacing w:line="240" w:lineRule="atLeast"/>
              <w:ind w:left="1080" w:leftChars="257" w:hanging="540"/>
              <w:textAlignment w:val="baseline"/>
              <w:rPr>
                <w:rFonts w:ascii="仿宋" w:hAnsi="仿宋" w:eastAsia="仿宋" w:cs="仿宋"/>
                <w:sz w:val="24"/>
              </w:rPr>
            </w:pPr>
          </w:p>
        </w:tc>
        <w:tc>
          <w:tcPr>
            <w:tcW w:w="2126" w:type="dxa"/>
          </w:tcPr>
          <w:p>
            <w:pPr>
              <w:pStyle w:val="17"/>
              <w:snapToGrid w:val="0"/>
              <w:spacing w:line="240" w:lineRule="atLeast"/>
              <w:ind w:left="1080" w:leftChars="257" w:hanging="540"/>
              <w:textAlignment w:val="baseline"/>
              <w:rPr>
                <w:rFonts w:ascii="仿宋" w:hAnsi="仿宋" w:eastAsia="仿宋" w:cs="仿宋"/>
                <w:sz w:val="24"/>
              </w:rPr>
            </w:pPr>
          </w:p>
        </w:tc>
        <w:tc>
          <w:tcPr>
            <w:tcW w:w="917"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5" w:type="dxa"/>
          </w:tcPr>
          <w:p>
            <w:pPr>
              <w:pStyle w:val="17"/>
              <w:snapToGrid w:val="0"/>
              <w:spacing w:line="240" w:lineRule="atLeast"/>
              <w:ind w:left="1080" w:leftChars="257" w:hanging="540"/>
              <w:textAlignment w:val="baseline"/>
              <w:rPr>
                <w:rFonts w:ascii="仿宋" w:hAnsi="仿宋" w:eastAsia="仿宋" w:cs="仿宋"/>
                <w:sz w:val="24"/>
              </w:rPr>
            </w:pPr>
          </w:p>
        </w:tc>
        <w:tc>
          <w:tcPr>
            <w:tcW w:w="1326" w:type="dxa"/>
          </w:tcPr>
          <w:p>
            <w:pPr>
              <w:pStyle w:val="17"/>
              <w:snapToGrid w:val="0"/>
              <w:spacing w:line="240" w:lineRule="atLeast"/>
              <w:ind w:left="1080" w:leftChars="257" w:hanging="540"/>
              <w:textAlignment w:val="baseline"/>
              <w:rPr>
                <w:rFonts w:ascii="仿宋" w:hAnsi="仿宋" w:eastAsia="仿宋" w:cs="仿宋"/>
                <w:sz w:val="24"/>
              </w:rPr>
            </w:pPr>
          </w:p>
        </w:tc>
        <w:tc>
          <w:tcPr>
            <w:tcW w:w="1205" w:type="dxa"/>
          </w:tcPr>
          <w:p>
            <w:pPr>
              <w:pStyle w:val="17"/>
              <w:snapToGrid w:val="0"/>
              <w:spacing w:line="240" w:lineRule="atLeast"/>
              <w:ind w:left="1080" w:leftChars="257" w:hanging="540"/>
              <w:textAlignment w:val="baseline"/>
              <w:rPr>
                <w:rFonts w:ascii="仿宋" w:hAnsi="仿宋" w:eastAsia="仿宋" w:cs="仿宋"/>
                <w:sz w:val="24"/>
              </w:rPr>
            </w:pPr>
          </w:p>
        </w:tc>
        <w:tc>
          <w:tcPr>
            <w:tcW w:w="1085" w:type="dxa"/>
          </w:tcPr>
          <w:p>
            <w:pPr>
              <w:pStyle w:val="17"/>
              <w:snapToGrid w:val="0"/>
              <w:spacing w:line="240" w:lineRule="atLeast"/>
              <w:ind w:left="1080" w:leftChars="257" w:hanging="540"/>
              <w:textAlignment w:val="baseline"/>
              <w:rPr>
                <w:rFonts w:ascii="仿宋" w:hAnsi="仿宋" w:eastAsia="仿宋" w:cs="仿宋"/>
                <w:sz w:val="24"/>
              </w:rPr>
            </w:pPr>
          </w:p>
        </w:tc>
        <w:tc>
          <w:tcPr>
            <w:tcW w:w="1056" w:type="dxa"/>
          </w:tcPr>
          <w:p>
            <w:pPr>
              <w:pStyle w:val="17"/>
              <w:snapToGrid w:val="0"/>
              <w:spacing w:line="240" w:lineRule="atLeast"/>
              <w:ind w:left="1080" w:leftChars="257" w:hanging="540"/>
              <w:textAlignment w:val="baseline"/>
              <w:rPr>
                <w:rFonts w:ascii="仿宋" w:hAnsi="仿宋" w:eastAsia="仿宋" w:cs="仿宋"/>
                <w:sz w:val="24"/>
              </w:rPr>
            </w:pPr>
          </w:p>
        </w:tc>
        <w:tc>
          <w:tcPr>
            <w:tcW w:w="2126" w:type="dxa"/>
          </w:tcPr>
          <w:p>
            <w:pPr>
              <w:pStyle w:val="17"/>
              <w:snapToGrid w:val="0"/>
              <w:spacing w:line="240" w:lineRule="atLeast"/>
              <w:ind w:left="1080" w:leftChars="257" w:hanging="540"/>
              <w:textAlignment w:val="baseline"/>
              <w:rPr>
                <w:rFonts w:ascii="仿宋" w:hAnsi="仿宋" w:eastAsia="仿宋" w:cs="仿宋"/>
                <w:sz w:val="24"/>
              </w:rPr>
            </w:pPr>
          </w:p>
        </w:tc>
        <w:tc>
          <w:tcPr>
            <w:tcW w:w="917" w:type="dxa"/>
          </w:tcPr>
          <w:p>
            <w:pPr>
              <w:pStyle w:val="17"/>
              <w:snapToGrid w:val="0"/>
              <w:spacing w:line="240" w:lineRule="atLeast"/>
              <w:ind w:left="1080" w:leftChars="257" w:hanging="540"/>
              <w:textAlignment w:val="baseline"/>
              <w:rPr>
                <w:rFonts w:ascii="仿宋" w:hAnsi="仿宋" w:eastAsia="仿宋" w:cs="仿宋"/>
                <w:sz w:val="24"/>
              </w:rPr>
            </w:pPr>
          </w:p>
        </w:tc>
      </w:tr>
    </w:tbl>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left="1080" w:leftChars="257" w:hanging="540"/>
        <w:textAlignment w:val="baseline"/>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color w:val="000000"/>
          <w:sz w:val="24"/>
        </w:rPr>
        <w:t>（签字或签章）</w:t>
      </w:r>
      <w:r>
        <w:rPr>
          <w:rFonts w:hint="eastAsia" w:ascii="仿宋" w:hAnsi="仿宋" w:eastAsia="仿宋" w:cs="仿宋"/>
          <w:sz w:val="24"/>
        </w:rPr>
        <w:t>: __________</w:t>
      </w:r>
      <w:r>
        <w:rPr>
          <w:rFonts w:hint="eastAsia" w:ascii="仿宋" w:hAnsi="仿宋" w:eastAsia="仿宋" w:cs="仿宋"/>
          <w:sz w:val="24"/>
          <w:u w:val="single" w:color="000000"/>
        </w:rPr>
        <w:t xml:space="preserve">  </w:t>
      </w:r>
    </w:p>
    <w:p>
      <w:pPr>
        <w:pStyle w:val="17"/>
        <w:tabs>
          <w:tab w:val="left" w:pos="5370"/>
        </w:tabs>
        <w:snapToGrid w:val="0"/>
        <w:spacing w:line="240" w:lineRule="atLeast"/>
        <w:ind w:left="1080" w:leftChars="257" w:hanging="540"/>
        <w:textAlignment w:val="baseline"/>
        <w:rPr>
          <w:rFonts w:ascii="仿宋" w:hAnsi="仿宋" w:eastAsia="仿宋" w:cs="仿宋"/>
          <w:sz w:val="24"/>
        </w:rPr>
      </w:pPr>
    </w:p>
    <w:p>
      <w:pPr>
        <w:pStyle w:val="17"/>
        <w:tabs>
          <w:tab w:val="left" w:pos="5370"/>
        </w:tabs>
        <w:snapToGrid w:val="0"/>
        <w:spacing w:line="240" w:lineRule="atLeast"/>
        <w:ind w:left="1080" w:leftChars="257" w:hanging="540"/>
        <w:textAlignment w:val="baseline"/>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color="000000"/>
        </w:rPr>
        <w:tab/>
      </w:r>
    </w:p>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left="1080" w:leftChars="257" w:hanging="540"/>
        <w:textAlignment w:val="baseline"/>
        <w:rPr>
          <w:rFonts w:ascii="仿宋" w:hAnsi="仿宋" w:eastAsia="仿宋" w:cs="仿宋"/>
          <w:sz w:val="24"/>
        </w:rPr>
      </w:pPr>
      <w:r>
        <w:rPr>
          <w:rFonts w:hint="eastAsia" w:ascii="仿宋" w:hAnsi="仿宋" w:eastAsia="仿宋" w:cs="仿宋"/>
          <w:sz w:val="24"/>
        </w:rPr>
        <w:t>注: 各项货物详细技术性能应另页描述。</w:t>
      </w:r>
    </w:p>
    <w:p>
      <w:pPr>
        <w:pStyle w:val="17"/>
        <w:snapToGrid w:val="0"/>
        <w:spacing w:line="240" w:lineRule="atLeast"/>
        <w:ind w:left="1080" w:leftChars="257" w:hanging="540"/>
        <w:jc w:val="center"/>
        <w:textAlignment w:val="baseline"/>
        <w:rPr>
          <w:rFonts w:ascii="仿宋" w:hAnsi="仿宋" w:eastAsia="仿宋" w:cs="仿宋"/>
          <w:sz w:val="24"/>
        </w:rPr>
      </w:pPr>
    </w:p>
    <w:p>
      <w:pPr>
        <w:pStyle w:val="17"/>
        <w:snapToGrid w:val="0"/>
        <w:spacing w:line="240" w:lineRule="atLeast"/>
        <w:ind w:left="1080" w:leftChars="257" w:hanging="540"/>
        <w:jc w:val="center"/>
        <w:textAlignment w:val="baseline"/>
        <w:rPr>
          <w:rFonts w:ascii="仿宋" w:hAnsi="仿宋" w:eastAsia="仿宋" w:cs="仿宋"/>
          <w:sz w:val="24"/>
        </w:rPr>
        <w:sectPr>
          <w:headerReference r:id="rId9" w:type="default"/>
          <w:footerReference r:id="rId10" w:type="default"/>
          <w:pgSz w:w="11906" w:h="16838"/>
          <w:pgMar w:top="1440" w:right="1797" w:bottom="1440" w:left="1797" w:header="851" w:footer="992" w:gutter="0"/>
          <w:cols w:space="720" w:num="1"/>
          <w:docGrid w:linePitch="312" w:charSpace="0"/>
        </w:sectPr>
      </w:pPr>
    </w:p>
    <w:p>
      <w:pPr>
        <w:pStyle w:val="6"/>
        <w:spacing w:before="0" w:line="288" w:lineRule="auto"/>
        <w:rPr>
          <w:rFonts w:ascii="仿宋" w:hAnsi="仿宋" w:eastAsia="仿宋" w:cs="仿宋"/>
          <w:sz w:val="24"/>
        </w:rPr>
      </w:pPr>
      <w:bookmarkStart w:id="956" w:name="_Toc515647820"/>
      <w:bookmarkStart w:id="957" w:name="_Toc11330"/>
      <w:bookmarkStart w:id="958" w:name="_Toc1197"/>
      <w:bookmarkStart w:id="959" w:name="_Toc12128"/>
      <w:bookmarkStart w:id="960" w:name="_Toc29780"/>
      <w:bookmarkStart w:id="961" w:name="_Toc5951"/>
      <w:bookmarkStart w:id="962" w:name="_Toc29133"/>
      <w:bookmarkStart w:id="963" w:name="_Toc10052"/>
      <w:bookmarkStart w:id="964" w:name="_Toc24855"/>
      <w:bookmarkStart w:id="965" w:name="_Toc22563"/>
      <w:bookmarkStart w:id="966" w:name="_Toc32464"/>
      <w:bookmarkStart w:id="967" w:name="_Toc1112"/>
      <w:bookmarkStart w:id="968" w:name="_Toc24289"/>
      <w:bookmarkStart w:id="969" w:name="_Toc28689"/>
      <w:bookmarkStart w:id="970" w:name="_Toc28959"/>
      <w:bookmarkStart w:id="971" w:name="_Toc13515"/>
      <w:bookmarkStart w:id="972" w:name="_Toc216582817"/>
      <w:r>
        <w:rPr>
          <w:rFonts w:hint="eastAsia" w:ascii="仿宋" w:hAnsi="仿宋" w:eastAsia="仿宋" w:cs="仿宋"/>
          <w:sz w:val="24"/>
        </w:rPr>
        <w:t>4 技术规格偏离表</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firstLine="360" w:firstLineChars="150"/>
        <w:textAlignment w:val="baseline"/>
        <w:rPr>
          <w:rFonts w:ascii="仿宋" w:hAnsi="仿宋" w:eastAsia="仿宋" w:cs="仿宋"/>
          <w:sz w:val="24"/>
        </w:rPr>
      </w:pPr>
      <w:r>
        <w:rPr>
          <w:rFonts w:hint="eastAsia" w:ascii="仿宋" w:hAnsi="仿宋" w:eastAsia="仿宋" w:cs="仿宋"/>
          <w:sz w:val="24"/>
        </w:rPr>
        <w:t>项目名称:                      项目编号:             标段:</w:t>
      </w:r>
    </w:p>
    <w:p>
      <w:pPr>
        <w:pStyle w:val="17"/>
        <w:snapToGrid w:val="0"/>
        <w:spacing w:line="240" w:lineRule="atLeast"/>
        <w:ind w:left="1080" w:leftChars="257" w:hanging="540"/>
        <w:textAlignment w:val="baseline"/>
        <w:rPr>
          <w:rFonts w:ascii="仿宋" w:hAnsi="仿宋" w:eastAsia="仿宋" w:cs="仿宋"/>
          <w:sz w:val="24"/>
        </w:rPr>
      </w:pPr>
    </w:p>
    <w:tbl>
      <w:tblPr>
        <w:tblStyle w:val="35"/>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520"/>
        <w:gridCol w:w="1646"/>
        <w:gridCol w:w="1463"/>
        <w:gridCol w:w="1665"/>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7"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序号</w:t>
            </w:r>
          </w:p>
        </w:tc>
        <w:tc>
          <w:tcPr>
            <w:tcW w:w="1520"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货物名称</w:t>
            </w:r>
          </w:p>
        </w:tc>
        <w:tc>
          <w:tcPr>
            <w:tcW w:w="1646" w:type="dxa"/>
            <w:shd w:val="clear" w:color="auto" w:fill="auto"/>
            <w:vAlign w:val="center"/>
          </w:tcPr>
          <w:p>
            <w:pPr>
              <w:pStyle w:val="17"/>
              <w:snapToGrid w:val="0"/>
              <w:spacing w:line="240" w:lineRule="atLeast"/>
              <w:jc w:val="center"/>
              <w:textAlignment w:val="baseline"/>
              <w:rPr>
                <w:rFonts w:ascii="仿宋" w:hAnsi="仿宋" w:eastAsia="仿宋" w:cs="仿宋"/>
                <w:color w:val="auto"/>
                <w:sz w:val="24"/>
              </w:rPr>
            </w:pPr>
            <w:r>
              <w:rPr>
                <w:rFonts w:hint="eastAsia" w:ascii="仿宋" w:hAnsi="仿宋" w:eastAsia="仿宋" w:cs="仿宋"/>
                <w:color w:val="auto"/>
                <w:sz w:val="24"/>
              </w:rPr>
              <w:t>招标文件的</w:t>
            </w:r>
            <w:r>
              <w:rPr>
                <w:rFonts w:hint="eastAsia" w:ascii="仿宋" w:hAnsi="仿宋" w:eastAsia="仿宋" w:cs="仿宋"/>
                <w:color w:val="auto"/>
                <w:sz w:val="24"/>
                <w:lang w:eastAsia="zh-CN"/>
              </w:rPr>
              <w:t>技术</w:t>
            </w:r>
            <w:r>
              <w:rPr>
                <w:rFonts w:hint="eastAsia" w:ascii="仿宋" w:hAnsi="仿宋" w:eastAsia="仿宋" w:cs="仿宋"/>
                <w:color w:val="auto"/>
                <w:sz w:val="24"/>
              </w:rPr>
              <w:t>规格</w:t>
            </w:r>
          </w:p>
        </w:tc>
        <w:tc>
          <w:tcPr>
            <w:tcW w:w="1463" w:type="dxa"/>
            <w:shd w:val="clear" w:color="auto" w:fill="auto"/>
            <w:vAlign w:val="center"/>
          </w:tcPr>
          <w:p>
            <w:pPr>
              <w:pStyle w:val="17"/>
              <w:snapToGrid w:val="0"/>
              <w:spacing w:line="240" w:lineRule="atLeast"/>
              <w:jc w:val="center"/>
              <w:textAlignment w:val="baseline"/>
              <w:rPr>
                <w:rFonts w:ascii="仿宋" w:hAnsi="仿宋" w:eastAsia="仿宋" w:cs="仿宋"/>
                <w:color w:val="auto"/>
                <w:sz w:val="24"/>
              </w:rPr>
            </w:pPr>
            <w:r>
              <w:rPr>
                <w:rFonts w:hint="eastAsia" w:ascii="仿宋" w:hAnsi="仿宋" w:eastAsia="仿宋" w:cs="仿宋"/>
                <w:color w:val="auto"/>
                <w:sz w:val="24"/>
              </w:rPr>
              <w:t>投标</w:t>
            </w:r>
            <w:r>
              <w:rPr>
                <w:rFonts w:hint="eastAsia" w:ascii="仿宋" w:hAnsi="仿宋" w:eastAsia="仿宋" w:cs="仿宋"/>
                <w:color w:val="auto"/>
                <w:sz w:val="24"/>
                <w:lang w:eastAsia="zh-CN"/>
              </w:rPr>
              <w:t>文件的技术规格</w:t>
            </w:r>
          </w:p>
        </w:tc>
        <w:tc>
          <w:tcPr>
            <w:tcW w:w="1665"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偏离</w:t>
            </w:r>
          </w:p>
        </w:tc>
        <w:tc>
          <w:tcPr>
            <w:tcW w:w="1135"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07" w:type="dxa"/>
          </w:tcPr>
          <w:p>
            <w:pPr>
              <w:pStyle w:val="17"/>
              <w:snapToGrid w:val="0"/>
              <w:spacing w:line="240" w:lineRule="atLeast"/>
              <w:ind w:left="1080" w:leftChars="257" w:hanging="540"/>
              <w:textAlignment w:val="baseline"/>
              <w:rPr>
                <w:rFonts w:ascii="仿宋" w:hAnsi="仿宋" w:eastAsia="仿宋" w:cs="仿宋"/>
                <w:sz w:val="24"/>
              </w:rPr>
            </w:pPr>
          </w:p>
        </w:tc>
        <w:tc>
          <w:tcPr>
            <w:tcW w:w="1520" w:type="dxa"/>
          </w:tcPr>
          <w:p>
            <w:pPr>
              <w:pStyle w:val="17"/>
              <w:snapToGrid w:val="0"/>
              <w:spacing w:line="240" w:lineRule="atLeast"/>
              <w:ind w:left="1080" w:leftChars="257" w:hanging="540"/>
              <w:textAlignment w:val="baseline"/>
              <w:rPr>
                <w:rFonts w:ascii="仿宋" w:hAnsi="仿宋" w:eastAsia="仿宋" w:cs="仿宋"/>
                <w:sz w:val="24"/>
              </w:rPr>
            </w:pPr>
          </w:p>
        </w:tc>
        <w:tc>
          <w:tcPr>
            <w:tcW w:w="1646" w:type="dxa"/>
          </w:tcPr>
          <w:p>
            <w:pPr>
              <w:pStyle w:val="17"/>
              <w:snapToGrid w:val="0"/>
              <w:spacing w:line="240" w:lineRule="atLeast"/>
              <w:ind w:left="1080" w:leftChars="257" w:hanging="540"/>
              <w:textAlignment w:val="baseline"/>
              <w:rPr>
                <w:rFonts w:ascii="仿宋" w:hAnsi="仿宋" w:eastAsia="仿宋" w:cs="仿宋"/>
                <w:sz w:val="24"/>
              </w:rPr>
            </w:pPr>
          </w:p>
        </w:tc>
        <w:tc>
          <w:tcPr>
            <w:tcW w:w="1463" w:type="dxa"/>
          </w:tcPr>
          <w:p>
            <w:pPr>
              <w:pStyle w:val="17"/>
              <w:snapToGrid w:val="0"/>
              <w:spacing w:line="240" w:lineRule="atLeast"/>
              <w:ind w:left="1080" w:leftChars="257" w:hanging="540"/>
              <w:textAlignment w:val="baseline"/>
              <w:rPr>
                <w:rFonts w:ascii="仿宋" w:hAnsi="仿宋" w:eastAsia="仿宋" w:cs="仿宋"/>
                <w:sz w:val="24"/>
              </w:rPr>
            </w:pPr>
          </w:p>
        </w:tc>
        <w:tc>
          <w:tcPr>
            <w:tcW w:w="1665" w:type="dxa"/>
          </w:tcPr>
          <w:p>
            <w:pPr>
              <w:pStyle w:val="17"/>
              <w:snapToGrid w:val="0"/>
              <w:spacing w:line="240" w:lineRule="atLeast"/>
              <w:ind w:left="1080" w:leftChars="257" w:hanging="540"/>
              <w:textAlignment w:val="baseline"/>
              <w:rPr>
                <w:rFonts w:ascii="仿宋" w:hAnsi="仿宋" w:eastAsia="仿宋" w:cs="仿宋"/>
                <w:sz w:val="24"/>
              </w:rPr>
            </w:pPr>
          </w:p>
        </w:tc>
        <w:tc>
          <w:tcPr>
            <w:tcW w:w="1135" w:type="dxa"/>
          </w:tcPr>
          <w:p>
            <w:pPr>
              <w:pStyle w:val="17"/>
              <w:snapToGrid w:val="0"/>
              <w:spacing w:line="240" w:lineRule="atLeast"/>
              <w:ind w:left="1080" w:leftChars="257" w:hanging="540"/>
              <w:textAlignment w:val="baseline"/>
              <w:rPr>
                <w:rFonts w:ascii="仿宋" w:hAnsi="仿宋" w:eastAsia="仿宋" w:cs="仿宋"/>
                <w:sz w:val="24"/>
              </w:rPr>
            </w:pPr>
          </w:p>
        </w:tc>
      </w:tr>
    </w:tbl>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left="1080" w:leftChars="257" w:hanging="540"/>
        <w:textAlignment w:val="baseline"/>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color w:val="000000"/>
          <w:sz w:val="24"/>
        </w:rPr>
        <w:t>（签字或签章）</w:t>
      </w:r>
      <w:r>
        <w:rPr>
          <w:rFonts w:hint="eastAsia" w:ascii="仿宋" w:hAnsi="仿宋" w:eastAsia="仿宋" w:cs="仿宋"/>
          <w:sz w:val="24"/>
        </w:rPr>
        <w:t>:___________</w:t>
      </w:r>
    </w:p>
    <w:p>
      <w:pPr>
        <w:pStyle w:val="17"/>
        <w:tabs>
          <w:tab w:val="left" w:pos="5370"/>
        </w:tabs>
        <w:snapToGrid w:val="0"/>
        <w:spacing w:line="240" w:lineRule="atLeast"/>
        <w:ind w:left="1080" w:leftChars="257" w:hanging="540"/>
        <w:textAlignment w:val="baseline"/>
        <w:rPr>
          <w:rFonts w:ascii="仿宋" w:hAnsi="仿宋" w:eastAsia="仿宋" w:cs="仿宋"/>
          <w:sz w:val="24"/>
        </w:rPr>
      </w:pPr>
    </w:p>
    <w:p>
      <w:pPr>
        <w:pStyle w:val="17"/>
        <w:tabs>
          <w:tab w:val="left" w:pos="5370"/>
        </w:tabs>
        <w:snapToGrid w:val="0"/>
        <w:spacing w:line="240" w:lineRule="atLeast"/>
        <w:ind w:left="1080" w:leftChars="257" w:hanging="540"/>
        <w:textAlignment w:val="baseline"/>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color="000000"/>
        </w:rPr>
        <w:tab/>
      </w:r>
    </w:p>
    <w:p>
      <w:pPr>
        <w:pStyle w:val="17"/>
        <w:tabs>
          <w:tab w:val="left" w:pos="5580"/>
        </w:tabs>
        <w:snapToGrid w:val="0"/>
        <w:spacing w:line="240" w:lineRule="atLeast"/>
        <w:textAlignment w:val="baseline"/>
        <w:rPr>
          <w:rFonts w:ascii="仿宋" w:hAnsi="仿宋" w:eastAsia="仿宋" w:cs="仿宋"/>
          <w:sz w:val="24"/>
          <w:u w:val="single"/>
        </w:rPr>
      </w:pPr>
    </w:p>
    <w:p>
      <w:pPr>
        <w:snapToGrid w:val="0"/>
        <w:jc w:val="left"/>
        <w:textAlignment w:val="baseline"/>
        <w:rPr>
          <w:rFonts w:ascii="仿宋" w:hAnsi="仿宋" w:eastAsia="仿宋" w:cs="仿宋"/>
          <w:kern w:val="0"/>
          <w:sz w:val="20"/>
          <w:szCs w:val="20"/>
        </w:rPr>
      </w:pPr>
    </w:p>
    <w:p>
      <w:pPr>
        <w:rPr>
          <w:rFonts w:ascii="仿宋" w:hAnsi="仿宋" w:eastAsia="仿宋" w:cs="仿宋"/>
        </w:rPr>
      </w:pPr>
      <w:bookmarkStart w:id="973" w:name="_Toc17874"/>
      <w:bookmarkStart w:id="974" w:name="_Toc9803"/>
      <w:bookmarkStart w:id="975" w:name="_Toc14202"/>
      <w:bookmarkStart w:id="976" w:name="_Toc29157"/>
      <w:bookmarkStart w:id="977" w:name="_Toc5952"/>
      <w:bookmarkStart w:id="978" w:name="_Toc16991"/>
      <w:bookmarkStart w:id="979" w:name="_Toc471"/>
      <w:bookmarkStart w:id="980" w:name="_Toc8322"/>
      <w:bookmarkStart w:id="981" w:name="_Toc28374"/>
      <w:bookmarkStart w:id="982" w:name="_Toc21884"/>
      <w:bookmarkStart w:id="983" w:name="_Toc13720"/>
      <w:bookmarkStart w:id="984" w:name="_Toc23"/>
      <w:bookmarkStart w:id="985" w:name="_Toc13108"/>
      <w:bookmarkStart w:id="986" w:name="_Toc13083"/>
      <w:bookmarkStart w:id="987" w:name="_Toc1980"/>
      <w:bookmarkStart w:id="988" w:name="_Toc515647821"/>
      <w:bookmarkStart w:id="989" w:name="_Toc216582818"/>
      <w:r>
        <w:rPr>
          <w:rFonts w:hint="eastAsia" w:ascii="仿宋" w:hAnsi="仿宋" w:eastAsia="仿宋" w:cs="仿宋"/>
        </w:rPr>
        <w:br w:type="page"/>
      </w:r>
    </w:p>
    <w:p>
      <w:pPr>
        <w:pStyle w:val="7"/>
        <w:widowControl/>
        <w:spacing w:before="0" w:after="0" w:line="288" w:lineRule="auto"/>
        <w:ind w:left="1079" w:leftChars="257" w:hanging="539"/>
        <w:jc w:val="center"/>
        <w:textAlignment w:val="baseline"/>
        <w:rPr>
          <w:rFonts w:ascii="仿宋" w:hAnsi="仿宋" w:eastAsia="仿宋" w:cs="仿宋"/>
          <w:u w:val="none"/>
        </w:rPr>
      </w:pPr>
      <w:r>
        <w:rPr>
          <w:rFonts w:hint="eastAsia" w:ascii="仿宋" w:hAnsi="仿宋" w:eastAsia="仿宋" w:cs="仿宋"/>
          <w:u w:val="none"/>
        </w:rPr>
        <w:t>5  商务条款偏离表</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left="1080" w:leftChars="257" w:hanging="540"/>
        <w:textAlignment w:val="baseline"/>
        <w:rPr>
          <w:rFonts w:ascii="仿宋" w:hAnsi="仿宋" w:eastAsia="仿宋" w:cs="仿宋"/>
          <w:sz w:val="24"/>
        </w:rPr>
      </w:pPr>
      <w:r>
        <w:rPr>
          <w:rFonts w:hint="eastAsia" w:ascii="仿宋" w:hAnsi="仿宋" w:eastAsia="仿宋" w:cs="仿宋"/>
          <w:sz w:val="24"/>
        </w:rPr>
        <w:t>项目名称:                      项目编号:           标段:</w:t>
      </w:r>
    </w:p>
    <w:p>
      <w:pPr>
        <w:pStyle w:val="17"/>
        <w:snapToGrid w:val="0"/>
        <w:spacing w:line="240" w:lineRule="atLeast"/>
        <w:ind w:left="1080" w:leftChars="257" w:hanging="540"/>
        <w:textAlignment w:val="baseline"/>
        <w:rPr>
          <w:rFonts w:ascii="仿宋" w:hAnsi="仿宋" w:eastAsia="仿宋" w:cs="仿宋"/>
          <w:sz w:val="24"/>
        </w:rPr>
      </w:pPr>
    </w:p>
    <w:tbl>
      <w:tblPr>
        <w:tblStyle w:val="35"/>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序号</w:t>
            </w:r>
          </w:p>
        </w:tc>
        <w:tc>
          <w:tcPr>
            <w:tcW w:w="2520"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招标文件的商务条款</w:t>
            </w:r>
          </w:p>
        </w:tc>
        <w:tc>
          <w:tcPr>
            <w:tcW w:w="2520"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投标文件的商务条款</w:t>
            </w:r>
          </w:p>
        </w:tc>
        <w:tc>
          <w:tcPr>
            <w:tcW w:w="1805" w:type="dxa"/>
            <w:vAlign w:val="center"/>
          </w:tcPr>
          <w:p>
            <w:pPr>
              <w:pStyle w:val="17"/>
              <w:snapToGrid w:val="0"/>
              <w:spacing w:line="240" w:lineRule="atLeast"/>
              <w:jc w:val="center"/>
              <w:textAlignment w:val="baseline"/>
              <w:rPr>
                <w:rFonts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jc w:val="center"/>
              <w:textAlignment w:val="baseline"/>
              <w:rPr>
                <w:rFonts w:ascii="仿宋" w:hAnsi="仿宋" w:eastAsia="仿宋" w:cs="仿宋"/>
                <w:sz w:val="24"/>
              </w:rPr>
            </w:pPr>
          </w:p>
        </w:tc>
        <w:tc>
          <w:tcPr>
            <w:tcW w:w="2520" w:type="dxa"/>
          </w:tcPr>
          <w:p>
            <w:pPr>
              <w:pStyle w:val="17"/>
              <w:snapToGrid w:val="0"/>
              <w:spacing w:line="240" w:lineRule="atLeast"/>
              <w:ind w:left="1080" w:leftChars="257" w:hanging="540"/>
              <w:jc w:val="center"/>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2520" w:type="dxa"/>
          </w:tcPr>
          <w:p>
            <w:pPr>
              <w:pStyle w:val="17"/>
              <w:snapToGrid w:val="0"/>
              <w:spacing w:line="240" w:lineRule="atLeast"/>
              <w:ind w:left="1080" w:leftChars="257" w:hanging="540"/>
              <w:textAlignment w:val="baseline"/>
              <w:rPr>
                <w:rFonts w:ascii="仿宋" w:hAnsi="仿宋" w:eastAsia="仿宋" w:cs="仿宋"/>
                <w:sz w:val="24"/>
              </w:rPr>
            </w:pPr>
          </w:p>
        </w:tc>
        <w:tc>
          <w:tcPr>
            <w:tcW w:w="1805" w:type="dxa"/>
          </w:tcPr>
          <w:p>
            <w:pPr>
              <w:pStyle w:val="17"/>
              <w:snapToGrid w:val="0"/>
              <w:spacing w:line="240" w:lineRule="atLeast"/>
              <w:ind w:left="1080" w:leftChars="257" w:hanging="540"/>
              <w:textAlignment w:val="baseline"/>
              <w:rPr>
                <w:rFonts w:ascii="仿宋" w:hAnsi="仿宋" w:eastAsia="仿宋" w:cs="仿宋"/>
                <w:sz w:val="24"/>
              </w:rPr>
            </w:pPr>
          </w:p>
        </w:tc>
      </w:tr>
    </w:tbl>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left="1080" w:leftChars="257" w:hanging="540"/>
        <w:textAlignment w:val="baseline"/>
        <w:rPr>
          <w:rFonts w:ascii="仿宋" w:hAnsi="仿宋" w:eastAsia="仿宋" w:cs="仿宋"/>
          <w:sz w:val="24"/>
        </w:rPr>
      </w:pPr>
    </w:p>
    <w:p>
      <w:pPr>
        <w:pStyle w:val="17"/>
        <w:snapToGrid w:val="0"/>
        <w:spacing w:line="240" w:lineRule="atLeast"/>
        <w:ind w:left="1080" w:leftChars="257" w:hanging="540"/>
        <w:textAlignment w:val="baseline"/>
        <w:rPr>
          <w:rFonts w:ascii="仿宋" w:hAnsi="仿宋" w:eastAsia="仿宋" w:cs="仿宋"/>
          <w:sz w:val="24"/>
        </w:rPr>
      </w:pPr>
      <w:r>
        <w:rPr>
          <w:rFonts w:hint="eastAsia" w:ascii="仿宋" w:hAnsi="仿宋" w:eastAsia="仿宋" w:cs="仿宋"/>
          <w:sz w:val="24"/>
        </w:rPr>
        <w:t>法定代表人或其委托代理人</w:t>
      </w:r>
      <w:r>
        <w:rPr>
          <w:rFonts w:hint="eastAsia" w:ascii="仿宋" w:hAnsi="仿宋" w:eastAsia="仿宋" w:cs="仿宋"/>
          <w:color w:val="000000"/>
          <w:sz w:val="24"/>
        </w:rPr>
        <w:t>（签字或签章）</w:t>
      </w:r>
      <w:r>
        <w:rPr>
          <w:rFonts w:hint="eastAsia" w:ascii="仿宋" w:hAnsi="仿宋" w:eastAsia="仿宋" w:cs="仿宋"/>
          <w:sz w:val="24"/>
        </w:rPr>
        <w:t>:_________</w:t>
      </w:r>
      <w:r>
        <w:rPr>
          <w:rFonts w:hint="eastAsia" w:ascii="仿宋" w:hAnsi="仿宋" w:eastAsia="仿宋" w:cs="仿宋"/>
          <w:sz w:val="24"/>
          <w:u w:val="single" w:color="000000"/>
        </w:rPr>
        <w:t xml:space="preserve">         </w:t>
      </w:r>
    </w:p>
    <w:p>
      <w:pPr>
        <w:pStyle w:val="17"/>
        <w:tabs>
          <w:tab w:val="left" w:pos="5370"/>
        </w:tabs>
        <w:snapToGrid w:val="0"/>
        <w:spacing w:line="240" w:lineRule="atLeast"/>
        <w:ind w:left="1080" w:leftChars="257" w:hanging="540"/>
        <w:textAlignment w:val="baseline"/>
        <w:rPr>
          <w:rFonts w:ascii="仿宋" w:hAnsi="仿宋" w:eastAsia="仿宋" w:cs="仿宋"/>
          <w:sz w:val="24"/>
        </w:rPr>
      </w:pPr>
    </w:p>
    <w:p>
      <w:pPr>
        <w:pStyle w:val="17"/>
        <w:tabs>
          <w:tab w:val="left" w:pos="5370"/>
        </w:tabs>
        <w:snapToGrid w:val="0"/>
        <w:spacing w:line="240" w:lineRule="atLeast"/>
        <w:ind w:left="1080" w:leftChars="257" w:hanging="540"/>
        <w:textAlignment w:val="baseline"/>
        <w:rPr>
          <w:rFonts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color="000000"/>
        </w:rPr>
        <w:tab/>
      </w:r>
    </w:p>
    <w:p>
      <w:pPr>
        <w:pStyle w:val="2"/>
        <w:bidi w:val="0"/>
      </w:pPr>
      <w:bookmarkStart w:id="990" w:name="_Hlt520350918"/>
      <w:bookmarkEnd w:id="990"/>
      <w:bookmarkStart w:id="991" w:name="_Hlt520271212"/>
      <w:bookmarkEnd w:id="991"/>
      <w:bookmarkStart w:id="992" w:name="_Hlt520274065"/>
      <w:bookmarkEnd w:id="992"/>
      <w:bookmarkStart w:id="993" w:name="_Hlt520274407"/>
      <w:bookmarkEnd w:id="993"/>
      <w:bookmarkStart w:id="994" w:name="_Hlt520274393"/>
      <w:bookmarkEnd w:id="994"/>
      <w:bookmarkStart w:id="995" w:name="_Hlt520343000"/>
      <w:bookmarkEnd w:id="995"/>
      <w:bookmarkStart w:id="996" w:name="_Hlt520350957"/>
      <w:bookmarkEnd w:id="996"/>
      <w:bookmarkStart w:id="997" w:name="_Hlt520273711"/>
      <w:bookmarkEnd w:id="997"/>
      <w:bookmarkStart w:id="998" w:name="_Hlt520274911"/>
      <w:bookmarkEnd w:id="998"/>
      <w:bookmarkStart w:id="999" w:name="_Hlt520343392"/>
      <w:bookmarkEnd w:id="999"/>
      <w:bookmarkStart w:id="1000" w:name="_Hlt520273973"/>
      <w:bookmarkEnd w:id="1000"/>
      <w:bookmarkStart w:id="1001" w:name="_Toc6406"/>
      <w:bookmarkStart w:id="1002" w:name="_Toc16312"/>
      <w:bookmarkStart w:id="1003" w:name="_Toc26188"/>
      <w:r>
        <w:rPr>
          <w:rFonts w:hint="eastAsia"/>
        </w:rPr>
        <w:br w:type="page"/>
      </w:r>
      <w:bookmarkEnd w:id="1001"/>
      <w:bookmarkEnd w:id="1002"/>
      <w:bookmarkEnd w:id="1003"/>
      <w:bookmarkStart w:id="1004" w:name="_Toc18491"/>
      <w:bookmarkStart w:id="1005" w:name="_Toc20622"/>
      <w:bookmarkStart w:id="1006" w:name="_Toc4283"/>
      <w:bookmarkStart w:id="1007" w:name="_Toc10725"/>
      <w:bookmarkStart w:id="1008" w:name="_Toc515647823"/>
      <w:bookmarkStart w:id="1009" w:name="_Toc25791"/>
      <w:bookmarkStart w:id="1010" w:name="_Toc18272"/>
      <w:bookmarkStart w:id="1011" w:name="_Toc27603"/>
      <w:bookmarkStart w:id="1012" w:name="_Toc28936"/>
      <w:bookmarkStart w:id="1013" w:name="_Toc5437"/>
    </w:p>
    <w:p>
      <w:pPr>
        <w:pStyle w:val="6"/>
        <w:widowControl/>
        <w:spacing w:before="0" w:line="288" w:lineRule="auto"/>
        <w:ind w:left="1079" w:leftChars="257" w:hanging="539"/>
        <w:textAlignment w:val="baseline"/>
        <w:rPr>
          <w:rFonts w:ascii="仿宋" w:hAnsi="仿宋" w:eastAsia="仿宋" w:cs="仿宋"/>
          <w:sz w:val="24"/>
        </w:rPr>
      </w:pPr>
      <w:bookmarkStart w:id="1014" w:name="_Toc13271"/>
      <w:r>
        <w:rPr>
          <w:rFonts w:hint="eastAsia" w:ascii="仿宋" w:hAnsi="仿宋" w:eastAsia="仿宋" w:cs="仿宋"/>
          <w:sz w:val="24"/>
        </w:rPr>
        <w:t>6   中小企业声明函</w:t>
      </w:r>
      <w:bookmarkEnd w:id="1014"/>
    </w:p>
    <w:p>
      <w:pPr>
        <w:rPr>
          <w:rFonts w:ascii="仿宋" w:hAnsi="仿宋" w:eastAsia="仿宋" w:cs="仿宋"/>
          <w:b/>
          <w:sz w:val="24"/>
        </w:rPr>
      </w:pPr>
    </w:p>
    <w:p>
      <w:pPr>
        <w:pStyle w:val="14"/>
        <w:ind w:left="1470" w:right="1470" w:firstLine="1205" w:firstLineChars="500"/>
        <w:rPr>
          <w:rFonts w:ascii="仿宋" w:hAnsi="仿宋" w:eastAsia="仿宋" w:cs="仿宋"/>
        </w:rPr>
      </w:pPr>
      <w:r>
        <w:rPr>
          <w:rFonts w:hint="eastAsia" w:ascii="仿宋" w:hAnsi="仿宋" w:eastAsia="仿宋" w:cs="仿宋"/>
          <w:b/>
          <w:sz w:val="24"/>
        </w:rPr>
        <w:t>6-1   中小企业声明函（货物）</w:t>
      </w:r>
    </w:p>
    <w:bookmarkEnd w:id="1004"/>
    <w:bookmarkEnd w:id="1005"/>
    <w:bookmarkEnd w:id="1006"/>
    <w:bookmarkEnd w:id="1007"/>
    <w:bookmarkEnd w:id="1008"/>
    <w:bookmarkEnd w:id="1009"/>
    <w:bookmarkEnd w:id="1010"/>
    <w:bookmarkEnd w:id="1011"/>
    <w:bookmarkEnd w:id="1012"/>
    <w:p>
      <w:pPr>
        <w:widowControl/>
        <w:shd w:val="clear" w:color="auto" w:fill="FFFFFF"/>
        <w:spacing w:before="100" w:beforeAutospacing="1" w:after="100" w:afterAutospacing="1"/>
        <w:ind w:firstLine="480"/>
        <w:jc w:val="left"/>
        <w:rPr>
          <w:rFonts w:ascii="仿宋" w:hAnsi="仿宋" w:eastAsia="仿宋" w:cs="仿宋"/>
          <w:color w:val="333333"/>
          <w:sz w:val="24"/>
        </w:rPr>
      </w:pPr>
      <w:bookmarkStart w:id="1015" w:name="_Toc515647824"/>
      <w:bookmarkStart w:id="1016" w:name="_Toc10977"/>
      <w:bookmarkStart w:id="1017" w:name="_Toc11803"/>
      <w:r>
        <w:rPr>
          <w:rFonts w:hint="eastAsia" w:ascii="仿宋" w:hAnsi="仿宋" w:eastAsia="仿宋" w:cs="仿宋"/>
          <w:color w:val="333333"/>
          <w:kern w:val="0"/>
          <w:sz w:val="24"/>
          <w:shd w:val="clear" w:color="auto" w:fill="FFFFFF"/>
          <w:lang w:bidi="ar"/>
        </w:rPr>
        <w:t>本公司（联合体）郑重声明，根据《政府采购促进中小企业发展管理办法》（财库﹝2020﹞46 号）的规定，本公司（联合体）参加</w:t>
      </w:r>
      <w:r>
        <w:rPr>
          <w:rFonts w:hint="eastAsia" w:ascii="仿宋" w:hAnsi="仿宋" w:eastAsia="仿宋" w:cs="仿宋"/>
          <w:color w:val="333333"/>
          <w:kern w:val="0"/>
          <w:sz w:val="24"/>
          <w:u w:val="single"/>
          <w:shd w:val="clear" w:color="auto" w:fill="FFFFFF"/>
          <w:lang w:bidi="ar"/>
        </w:rPr>
        <w:t>     （单位名称）</w:t>
      </w:r>
      <w:r>
        <w:rPr>
          <w:rFonts w:hint="eastAsia" w:ascii="仿宋" w:hAnsi="仿宋" w:eastAsia="仿宋" w:cs="仿宋"/>
          <w:color w:val="333333"/>
          <w:kern w:val="0"/>
          <w:sz w:val="24"/>
          <w:shd w:val="clear" w:color="auto" w:fill="FFFFFF"/>
          <w:lang w:bidi="ar"/>
        </w:rPr>
        <w:t>的</w:t>
      </w:r>
      <w:r>
        <w:rPr>
          <w:rFonts w:hint="eastAsia" w:ascii="仿宋" w:hAnsi="仿宋" w:eastAsia="仿宋" w:cs="仿宋"/>
          <w:color w:val="333333"/>
          <w:kern w:val="0"/>
          <w:sz w:val="24"/>
          <w:u w:val="single"/>
          <w:shd w:val="clear" w:color="auto" w:fill="FFFFFF"/>
          <w:lang w:bidi="ar"/>
        </w:rPr>
        <w:t>    （项目名称）</w:t>
      </w:r>
      <w:r>
        <w:rPr>
          <w:rFonts w:hint="eastAsia" w:ascii="仿宋" w:hAnsi="仿宋" w:eastAsia="仿宋" w:cs="仿宋"/>
          <w:color w:val="333333"/>
          <w:kern w:val="0"/>
          <w:sz w:val="24"/>
          <w:shd w:val="clear" w:color="auto" w:fill="FFFFFF"/>
          <w:lang w:bidi="ar"/>
        </w:rPr>
        <w:t>采购活动，提供的货物全部由符合政策要求的中小企业制造。相关企业（含联合体中的中小企业、签订分包意向协议的中小企业）的具体情况如下：</w:t>
      </w:r>
    </w:p>
    <w:p>
      <w:pPr>
        <w:widowControl/>
        <w:shd w:val="clear" w:color="auto" w:fill="FFFFFF"/>
        <w:spacing w:before="100" w:beforeAutospacing="1" w:after="100" w:afterAutospacing="1"/>
        <w:ind w:firstLine="480"/>
        <w:jc w:val="left"/>
        <w:rPr>
          <w:rFonts w:ascii="仿宋" w:hAnsi="仿宋" w:eastAsia="仿宋" w:cs="仿宋"/>
          <w:color w:val="333333"/>
          <w:sz w:val="24"/>
        </w:rPr>
      </w:pPr>
      <w:r>
        <w:rPr>
          <w:rFonts w:hint="eastAsia" w:ascii="仿宋" w:hAnsi="仿宋" w:eastAsia="仿宋" w:cs="仿宋"/>
          <w:color w:val="333333"/>
          <w:kern w:val="0"/>
          <w:sz w:val="24"/>
          <w:shd w:val="clear" w:color="auto" w:fill="FFFFFF"/>
          <w:lang w:bidi="ar"/>
        </w:rPr>
        <w:t>1.</w:t>
      </w:r>
      <w:r>
        <w:rPr>
          <w:rFonts w:hint="eastAsia" w:ascii="仿宋" w:hAnsi="仿宋" w:eastAsia="仿宋" w:cs="仿宋"/>
          <w:color w:val="333333"/>
          <w:kern w:val="0"/>
          <w:sz w:val="24"/>
          <w:u w:val="single"/>
          <w:shd w:val="clear" w:color="auto" w:fill="FFFFFF"/>
          <w:lang w:bidi="ar"/>
        </w:rPr>
        <w:t>     （标的名称）</w:t>
      </w:r>
      <w:r>
        <w:rPr>
          <w:rFonts w:hint="eastAsia" w:ascii="仿宋" w:hAnsi="仿宋" w:eastAsia="仿宋" w:cs="仿宋"/>
          <w:color w:val="333333"/>
          <w:kern w:val="0"/>
          <w:sz w:val="24"/>
          <w:shd w:val="clear" w:color="auto" w:fill="FFFFFF"/>
          <w:lang w:bidi="ar"/>
        </w:rPr>
        <w:t>，属于</w:t>
      </w:r>
      <w:r>
        <w:rPr>
          <w:rFonts w:hint="eastAsia" w:ascii="仿宋" w:hAnsi="仿宋" w:eastAsia="仿宋" w:cs="仿宋"/>
          <w:color w:val="333333"/>
          <w:kern w:val="0"/>
          <w:sz w:val="24"/>
          <w:u w:val="single"/>
          <w:shd w:val="clear" w:color="auto" w:fill="FFFFFF"/>
          <w:lang w:bidi="ar"/>
        </w:rPr>
        <w:t>     （采购文件中明确的所属行业）</w:t>
      </w:r>
      <w:r>
        <w:rPr>
          <w:rFonts w:hint="eastAsia" w:ascii="仿宋" w:hAnsi="仿宋" w:eastAsia="仿宋" w:cs="仿宋"/>
          <w:color w:val="333333"/>
          <w:kern w:val="0"/>
          <w:sz w:val="24"/>
          <w:shd w:val="clear" w:color="auto" w:fill="FFFFFF"/>
          <w:lang w:bidi="ar"/>
        </w:rPr>
        <w:t>行业；制造商为</w:t>
      </w:r>
      <w:r>
        <w:rPr>
          <w:rFonts w:hint="eastAsia" w:ascii="仿宋" w:hAnsi="仿宋" w:eastAsia="仿宋" w:cs="仿宋"/>
          <w:color w:val="333333"/>
          <w:kern w:val="0"/>
          <w:sz w:val="24"/>
          <w:u w:val="single"/>
          <w:shd w:val="clear" w:color="auto" w:fill="FFFFFF"/>
          <w:lang w:bidi="ar"/>
        </w:rPr>
        <w:t>       （企业名称）</w:t>
      </w:r>
      <w:r>
        <w:rPr>
          <w:rFonts w:hint="eastAsia" w:ascii="仿宋" w:hAnsi="仿宋" w:eastAsia="仿宋" w:cs="仿宋"/>
          <w:color w:val="333333"/>
          <w:kern w:val="0"/>
          <w:sz w:val="24"/>
          <w:shd w:val="clear" w:color="auto" w:fill="FFFFFF"/>
          <w:lang w:bidi="ar"/>
        </w:rPr>
        <w:t>，从业人员</w:t>
      </w:r>
      <w:r>
        <w:rPr>
          <w:rFonts w:hint="eastAsia" w:ascii="仿宋" w:hAnsi="仿宋" w:eastAsia="仿宋" w:cs="仿宋"/>
          <w:color w:val="333333"/>
          <w:kern w:val="0"/>
          <w:sz w:val="24"/>
          <w:u w:val="single"/>
          <w:shd w:val="clear" w:color="auto" w:fill="FFFFFF"/>
          <w:lang w:bidi="ar"/>
        </w:rPr>
        <w:t>    </w:t>
      </w:r>
      <w:r>
        <w:rPr>
          <w:rFonts w:hint="eastAsia" w:ascii="仿宋" w:hAnsi="仿宋" w:eastAsia="仿宋" w:cs="仿宋"/>
          <w:color w:val="333333"/>
          <w:kern w:val="0"/>
          <w:sz w:val="24"/>
          <w:shd w:val="clear" w:color="auto" w:fill="FFFFFF"/>
          <w:lang w:bidi="ar"/>
        </w:rPr>
        <w:t>人，营业收入为</w:t>
      </w:r>
      <w:r>
        <w:rPr>
          <w:rFonts w:hint="eastAsia" w:ascii="仿宋" w:hAnsi="仿宋" w:eastAsia="仿宋" w:cs="仿宋"/>
          <w:color w:val="333333"/>
          <w:kern w:val="0"/>
          <w:sz w:val="24"/>
          <w:u w:val="single"/>
          <w:shd w:val="clear" w:color="auto" w:fill="FFFFFF"/>
          <w:lang w:bidi="ar"/>
        </w:rPr>
        <w:t>    </w:t>
      </w:r>
      <w:r>
        <w:rPr>
          <w:rFonts w:hint="eastAsia" w:ascii="仿宋" w:hAnsi="仿宋" w:eastAsia="仿宋" w:cs="仿宋"/>
          <w:color w:val="333333"/>
          <w:kern w:val="0"/>
          <w:sz w:val="24"/>
          <w:shd w:val="clear" w:color="auto" w:fill="FFFFFF"/>
          <w:lang w:bidi="ar"/>
        </w:rPr>
        <w:t>万元，资产总额为</w:t>
      </w:r>
      <w:r>
        <w:rPr>
          <w:rFonts w:hint="eastAsia" w:ascii="仿宋" w:hAnsi="仿宋" w:eastAsia="仿宋" w:cs="仿宋"/>
          <w:color w:val="333333"/>
          <w:kern w:val="0"/>
          <w:sz w:val="24"/>
          <w:u w:val="single"/>
          <w:shd w:val="clear" w:color="auto" w:fill="FFFFFF"/>
          <w:lang w:bidi="ar"/>
        </w:rPr>
        <w:t>   </w:t>
      </w:r>
      <w:r>
        <w:rPr>
          <w:rFonts w:hint="eastAsia" w:ascii="仿宋" w:hAnsi="仿宋" w:eastAsia="仿宋" w:cs="仿宋"/>
          <w:color w:val="333333"/>
          <w:kern w:val="0"/>
          <w:sz w:val="24"/>
          <w:shd w:val="clear" w:color="auto" w:fill="FFFFFF"/>
          <w:lang w:bidi="ar"/>
        </w:rPr>
        <w:t>万元</w:t>
      </w:r>
      <w:r>
        <w:rPr>
          <w:rFonts w:hint="eastAsia" w:ascii="仿宋" w:hAnsi="仿宋" w:eastAsia="仿宋" w:cs="仿宋"/>
          <w:color w:val="333333"/>
          <w:kern w:val="0"/>
          <w:sz w:val="24"/>
          <w:shd w:val="clear" w:color="auto" w:fill="FFFFFF"/>
          <w:vertAlign w:val="superscript"/>
          <w:lang w:bidi="ar"/>
        </w:rPr>
        <w:t>1</w:t>
      </w:r>
      <w:r>
        <w:rPr>
          <w:rFonts w:hint="eastAsia" w:ascii="仿宋" w:hAnsi="仿宋" w:eastAsia="仿宋" w:cs="仿宋"/>
          <w:color w:val="333333"/>
          <w:kern w:val="0"/>
          <w:sz w:val="24"/>
          <w:shd w:val="clear" w:color="auto" w:fill="FFFFFF"/>
          <w:lang w:bidi="ar"/>
        </w:rPr>
        <w:t>，属于</w:t>
      </w:r>
      <w:r>
        <w:rPr>
          <w:rFonts w:hint="eastAsia" w:ascii="仿宋" w:hAnsi="仿宋" w:eastAsia="仿宋" w:cs="仿宋"/>
          <w:color w:val="333333"/>
          <w:kern w:val="0"/>
          <w:sz w:val="24"/>
          <w:u w:val="single"/>
          <w:shd w:val="clear" w:color="auto" w:fill="FFFFFF"/>
          <w:lang w:bidi="ar"/>
        </w:rPr>
        <w:t>     （中型企业、小型企业、微型企业）</w:t>
      </w:r>
      <w:r>
        <w:rPr>
          <w:rFonts w:hint="eastAsia" w:ascii="仿宋" w:hAnsi="仿宋" w:eastAsia="仿宋" w:cs="仿宋"/>
          <w:color w:val="333333"/>
          <w:kern w:val="0"/>
          <w:sz w:val="24"/>
          <w:shd w:val="clear" w:color="auto" w:fill="FFFFFF"/>
          <w:lang w:bidi="ar"/>
        </w:rPr>
        <w:t>；</w:t>
      </w:r>
    </w:p>
    <w:p>
      <w:pPr>
        <w:widowControl/>
        <w:shd w:val="clear" w:color="auto" w:fill="FFFFFF"/>
        <w:spacing w:before="100" w:beforeAutospacing="1" w:after="100" w:afterAutospacing="1"/>
        <w:ind w:firstLine="480"/>
        <w:jc w:val="left"/>
        <w:rPr>
          <w:rFonts w:ascii="仿宋" w:hAnsi="仿宋" w:eastAsia="仿宋" w:cs="仿宋"/>
          <w:color w:val="333333"/>
          <w:sz w:val="24"/>
        </w:rPr>
      </w:pPr>
      <w:r>
        <w:rPr>
          <w:rFonts w:hint="eastAsia" w:ascii="仿宋" w:hAnsi="仿宋" w:eastAsia="仿宋" w:cs="仿宋"/>
          <w:color w:val="333333"/>
          <w:kern w:val="0"/>
          <w:sz w:val="24"/>
          <w:shd w:val="clear" w:color="auto" w:fill="FFFFFF"/>
          <w:lang w:bidi="ar"/>
        </w:rPr>
        <w:t>2.</w:t>
      </w:r>
      <w:r>
        <w:rPr>
          <w:rFonts w:hint="eastAsia" w:ascii="仿宋" w:hAnsi="仿宋" w:eastAsia="仿宋" w:cs="仿宋"/>
          <w:color w:val="333333"/>
          <w:kern w:val="0"/>
          <w:sz w:val="24"/>
          <w:u w:val="single"/>
          <w:shd w:val="clear" w:color="auto" w:fill="FFFFFF"/>
          <w:lang w:bidi="ar"/>
        </w:rPr>
        <w:t>     （标的名称）</w:t>
      </w:r>
      <w:r>
        <w:rPr>
          <w:rFonts w:hint="eastAsia" w:ascii="仿宋" w:hAnsi="仿宋" w:eastAsia="仿宋" w:cs="仿宋"/>
          <w:color w:val="333333"/>
          <w:kern w:val="0"/>
          <w:sz w:val="24"/>
          <w:shd w:val="clear" w:color="auto" w:fill="FFFFFF"/>
          <w:lang w:bidi="ar"/>
        </w:rPr>
        <w:t>，属于</w:t>
      </w:r>
      <w:r>
        <w:rPr>
          <w:rFonts w:hint="eastAsia" w:ascii="仿宋" w:hAnsi="仿宋" w:eastAsia="仿宋" w:cs="仿宋"/>
          <w:color w:val="333333"/>
          <w:kern w:val="0"/>
          <w:sz w:val="24"/>
          <w:u w:val="single"/>
          <w:shd w:val="clear" w:color="auto" w:fill="FFFFFF"/>
          <w:lang w:bidi="ar"/>
        </w:rPr>
        <w:t>     （采购文件中明确的所属行业）</w:t>
      </w:r>
      <w:r>
        <w:rPr>
          <w:rFonts w:hint="eastAsia" w:ascii="仿宋" w:hAnsi="仿宋" w:eastAsia="仿宋" w:cs="仿宋"/>
          <w:color w:val="333333"/>
          <w:kern w:val="0"/>
          <w:sz w:val="24"/>
          <w:shd w:val="clear" w:color="auto" w:fill="FFFFFF"/>
          <w:lang w:bidi="ar"/>
        </w:rPr>
        <w:t>行业；制造商为</w:t>
      </w:r>
      <w:r>
        <w:rPr>
          <w:rFonts w:hint="eastAsia" w:ascii="仿宋" w:hAnsi="仿宋" w:eastAsia="仿宋" w:cs="仿宋"/>
          <w:color w:val="333333"/>
          <w:kern w:val="0"/>
          <w:sz w:val="24"/>
          <w:u w:val="single"/>
          <w:shd w:val="clear" w:color="auto" w:fill="FFFFFF"/>
          <w:lang w:bidi="ar"/>
        </w:rPr>
        <w:t>       （企业名称）</w:t>
      </w:r>
      <w:r>
        <w:rPr>
          <w:rFonts w:hint="eastAsia" w:ascii="仿宋" w:hAnsi="仿宋" w:eastAsia="仿宋" w:cs="仿宋"/>
          <w:color w:val="333333"/>
          <w:kern w:val="0"/>
          <w:sz w:val="24"/>
          <w:shd w:val="clear" w:color="auto" w:fill="FFFFFF"/>
          <w:lang w:bidi="ar"/>
        </w:rPr>
        <w:t>，从业人员</w:t>
      </w:r>
      <w:r>
        <w:rPr>
          <w:rFonts w:hint="eastAsia" w:ascii="仿宋" w:hAnsi="仿宋" w:eastAsia="仿宋" w:cs="仿宋"/>
          <w:color w:val="333333"/>
          <w:kern w:val="0"/>
          <w:sz w:val="24"/>
          <w:u w:val="single"/>
          <w:shd w:val="clear" w:color="auto" w:fill="FFFFFF"/>
          <w:lang w:bidi="ar"/>
        </w:rPr>
        <w:t>    </w:t>
      </w:r>
      <w:r>
        <w:rPr>
          <w:rFonts w:hint="eastAsia" w:ascii="仿宋" w:hAnsi="仿宋" w:eastAsia="仿宋" w:cs="仿宋"/>
          <w:color w:val="333333"/>
          <w:kern w:val="0"/>
          <w:sz w:val="24"/>
          <w:shd w:val="clear" w:color="auto" w:fill="FFFFFF"/>
          <w:lang w:bidi="ar"/>
        </w:rPr>
        <w:t>人，营业收入为</w:t>
      </w:r>
      <w:r>
        <w:rPr>
          <w:rFonts w:hint="eastAsia" w:ascii="仿宋" w:hAnsi="仿宋" w:eastAsia="仿宋" w:cs="仿宋"/>
          <w:color w:val="333333"/>
          <w:kern w:val="0"/>
          <w:sz w:val="24"/>
          <w:u w:val="single"/>
          <w:shd w:val="clear" w:color="auto" w:fill="FFFFFF"/>
          <w:lang w:bidi="ar"/>
        </w:rPr>
        <w:t>    </w:t>
      </w:r>
      <w:r>
        <w:rPr>
          <w:rFonts w:hint="eastAsia" w:ascii="仿宋" w:hAnsi="仿宋" w:eastAsia="仿宋" w:cs="仿宋"/>
          <w:color w:val="333333"/>
          <w:kern w:val="0"/>
          <w:sz w:val="24"/>
          <w:shd w:val="clear" w:color="auto" w:fill="FFFFFF"/>
          <w:lang w:bidi="ar"/>
        </w:rPr>
        <w:t>万元，资产总额为</w:t>
      </w:r>
      <w:r>
        <w:rPr>
          <w:rFonts w:hint="eastAsia" w:ascii="仿宋" w:hAnsi="仿宋" w:eastAsia="仿宋" w:cs="仿宋"/>
          <w:color w:val="333333"/>
          <w:kern w:val="0"/>
          <w:sz w:val="24"/>
          <w:u w:val="single"/>
          <w:shd w:val="clear" w:color="auto" w:fill="FFFFFF"/>
          <w:lang w:bidi="ar"/>
        </w:rPr>
        <w:t>   </w:t>
      </w:r>
      <w:r>
        <w:rPr>
          <w:rFonts w:hint="eastAsia" w:ascii="仿宋" w:hAnsi="仿宋" w:eastAsia="仿宋" w:cs="仿宋"/>
          <w:color w:val="333333"/>
          <w:kern w:val="0"/>
          <w:sz w:val="24"/>
          <w:shd w:val="clear" w:color="auto" w:fill="FFFFFF"/>
          <w:lang w:bidi="ar"/>
        </w:rPr>
        <w:t>万元</w:t>
      </w:r>
      <w:r>
        <w:rPr>
          <w:rFonts w:hint="eastAsia" w:ascii="仿宋" w:hAnsi="仿宋" w:eastAsia="仿宋" w:cs="仿宋"/>
          <w:color w:val="333333"/>
          <w:kern w:val="0"/>
          <w:sz w:val="24"/>
          <w:shd w:val="clear" w:color="auto" w:fill="FFFFFF"/>
          <w:vertAlign w:val="superscript"/>
          <w:lang w:bidi="ar"/>
        </w:rPr>
        <w:t>1</w:t>
      </w:r>
      <w:r>
        <w:rPr>
          <w:rFonts w:hint="eastAsia" w:ascii="仿宋" w:hAnsi="仿宋" w:eastAsia="仿宋" w:cs="仿宋"/>
          <w:color w:val="333333"/>
          <w:kern w:val="0"/>
          <w:sz w:val="24"/>
          <w:shd w:val="clear" w:color="auto" w:fill="FFFFFF"/>
          <w:lang w:bidi="ar"/>
        </w:rPr>
        <w:t>，属于</w:t>
      </w:r>
      <w:r>
        <w:rPr>
          <w:rFonts w:hint="eastAsia" w:ascii="仿宋" w:hAnsi="仿宋" w:eastAsia="仿宋" w:cs="仿宋"/>
          <w:color w:val="333333"/>
          <w:kern w:val="0"/>
          <w:sz w:val="24"/>
          <w:u w:val="single"/>
          <w:shd w:val="clear" w:color="auto" w:fill="FFFFFF"/>
          <w:lang w:bidi="ar"/>
        </w:rPr>
        <w:t>     （中型企业、小型企业、微型企业）</w:t>
      </w:r>
      <w:r>
        <w:rPr>
          <w:rFonts w:hint="eastAsia" w:ascii="仿宋" w:hAnsi="仿宋" w:eastAsia="仿宋" w:cs="仿宋"/>
          <w:color w:val="333333"/>
          <w:kern w:val="0"/>
          <w:sz w:val="24"/>
          <w:shd w:val="clear" w:color="auto" w:fill="FFFFFF"/>
          <w:lang w:bidi="ar"/>
        </w:rPr>
        <w:t>；</w:t>
      </w:r>
    </w:p>
    <w:p>
      <w:pPr>
        <w:widowControl/>
        <w:shd w:val="clear" w:color="auto" w:fill="FFFFFF"/>
        <w:spacing w:before="100" w:beforeAutospacing="1" w:after="100" w:afterAutospacing="1"/>
        <w:ind w:firstLine="480"/>
        <w:jc w:val="left"/>
        <w:rPr>
          <w:rFonts w:ascii="仿宋" w:hAnsi="仿宋" w:eastAsia="仿宋" w:cs="仿宋"/>
          <w:color w:val="333333"/>
          <w:sz w:val="24"/>
        </w:rPr>
      </w:pPr>
      <w:r>
        <w:rPr>
          <w:rFonts w:hint="eastAsia" w:ascii="仿宋" w:hAnsi="仿宋" w:eastAsia="仿宋" w:cs="仿宋"/>
          <w:color w:val="333333"/>
          <w:kern w:val="0"/>
          <w:sz w:val="24"/>
          <w:shd w:val="clear" w:color="auto" w:fill="FFFFFF"/>
          <w:lang w:bidi="ar"/>
        </w:rPr>
        <w:t>……</w:t>
      </w:r>
    </w:p>
    <w:p>
      <w:pPr>
        <w:widowControl/>
        <w:shd w:val="clear" w:color="auto" w:fill="FFFFFF"/>
        <w:spacing w:before="100" w:beforeAutospacing="1" w:after="100" w:afterAutospacing="1"/>
        <w:ind w:firstLine="480"/>
        <w:jc w:val="left"/>
        <w:rPr>
          <w:rFonts w:ascii="仿宋" w:hAnsi="仿宋" w:eastAsia="仿宋" w:cs="仿宋"/>
          <w:color w:val="333333"/>
          <w:sz w:val="24"/>
        </w:rPr>
      </w:pPr>
      <w:r>
        <w:rPr>
          <w:rFonts w:hint="eastAsia" w:ascii="仿宋" w:hAnsi="仿宋" w:eastAsia="仿宋" w:cs="仿宋"/>
          <w:color w:val="333333"/>
          <w:kern w:val="0"/>
          <w:sz w:val="24"/>
          <w:shd w:val="clear" w:color="auto" w:fill="FFFFFF"/>
          <w:lang w:bidi="ar"/>
        </w:rPr>
        <w:t>以上企业，不属于大企业的分支机构，不存在控股股东为大企业的情形，也不存在与大企业的负责人为同一人的情形。</w:t>
      </w:r>
    </w:p>
    <w:p>
      <w:pPr>
        <w:widowControl/>
        <w:shd w:val="clear" w:color="auto" w:fill="FFFFFF"/>
        <w:spacing w:before="100" w:beforeAutospacing="1" w:after="100" w:afterAutospacing="1" w:line="435" w:lineRule="atLeast"/>
        <w:jc w:val="center"/>
        <w:rPr>
          <w:rFonts w:ascii="仿宋" w:hAnsi="仿宋" w:eastAsia="仿宋" w:cs="仿宋"/>
          <w:color w:val="333333"/>
          <w:kern w:val="0"/>
          <w:sz w:val="24"/>
          <w:shd w:val="clear" w:color="auto" w:fill="FFFFFF"/>
          <w:lang w:bidi="ar"/>
        </w:rPr>
      </w:pPr>
      <w:r>
        <w:rPr>
          <w:rFonts w:hint="eastAsia" w:ascii="仿宋" w:hAnsi="仿宋" w:eastAsia="仿宋" w:cs="仿宋"/>
          <w:color w:val="333333"/>
          <w:kern w:val="0"/>
          <w:sz w:val="24"/>
          <w:shd w:val="clear" w:color="auto" w:fill="FFFFFF"/>
          <w:lang w:bidi="ar"/>
        </w:rPr>
        <w:t>本企业对上述声明内容的真实性负责。如有虚假，将依法承担相应责任。</w:t>
      </w:r>
    </w:p>
    <w:p>
      <w:pPr>
        <w:widowControl/>
        <w:shd w:val="clear" w:color="auto" w:fill="FFFFFF"/>
        <w:spacing w:before="100" w:beforeAutospacing="1" w:after="100" w:afterAutospacing="1"/>
        <w:ind w:firstLine="480" w:firstLineChars="200"/>
        <w:jc w:val="left"/>
        <w:rPr>
          <w:rFonts w:ascii="仿宋" w:hAnsi="仿宋" w:eastAsia="仿宋" w:cs="仿宋"/>
          <w:color w:val="333333"/>
          <w:szCs w:val="21"/>
        </w:rPr>
      </w:pPr>
      <w:r>
        <w:rPr>
          <w:rFonts w:hint="eastAsia" w:ascii="仿宋" w:hAnsi="仿宋" w:eastAsia="仿宋" w:cs="仿宋"/>
          <w:color w:val="333333"/>
          <w:kern w:val="0"/>
          <w:sz w:val="24"/>
          <w:shd w:val="clear" w:color="auto" w:fill="FFFFFF"/>
          <w:lang w:bidi="ar"/>
        </w:rPr>
        <w:t>企业名称（盖章）：</w:t>
      </w:r>
    </w:p>
    <w:p>
      <w:pPr>
        <w:widowControl/>
        <w:shd w:val="clear" w:color="auto" w:fill="FFFFFF"/>
        <w:spacing w:before="100" w:beforeAutospacing="1" w:after="100" w:afterAutospacing="1"/>
        <w:ind w:firstLine="480" w:firstLineChars="200"/>
        <w:jc w:val="left"/>
        <w:rPr>
          <w:rFonts w:ascii="仿宋" w:hAnsi="仿宋" w:eastAsia="仿宋" w:cs="仿宋"/>
          <w:color w:val="333333"/>
          <w:szCs w:val="21"/>
        </w:rPr>
      </w:pPr>
      <w:r>
        <w:rPr>
          <w:rFonts w:hint="eastAsia" w:ascii="仿宋" w:hAnsi="仿宋" w:eastAsia="仿宋" w:cs="仿宋"/>
          <w:color w:val="333333"/>
          <w:kern w:val="0"/>
          <w:sz w:val="24"/>
          <w:shd w:val="clear" w:color="auto" w:fill="FFFFFF"/>
          <w:lang w:bidi="ar"/>
        </w:rPr>
        <w:t>日 期：</w:t>
      </w:r>
    </w:p>
    <w:p>
      <w:pPr>
        <w:widowControl/>
        <w:shd w:val="clear" w:color="auto" w:fill="FFFFFF"/>
        <w:spacing w:before="100" w:beforeAutospacing="1" w:after="100" w:afterAutospacing="1"/>
        <w:ind w:firstLine="480"/>
        <w:jc w:val="left"/>
        <w:rPr>
          <w:rFonts w:ascii="仿宋" w:hAnsi="仿宋" w:eastAsia="仿宋" w:cs="仿宋"/>
          <w:b/>
          <w:bCs/>
          <w:color w:val="333333"/>
          <w:kern w:val="0"/>
          <w:sz w:val="24"/>
          <w:shd w:val="clear" w:color="auto" w:fill="FFFFFF"/>
          <w:lang w:bidi="ar"/>
        </w:rPr>
      </w:pPr>
      <w:r>
        <w:rPr>
          <w:rFonts w:hint="eastAsia" w:ascii="仿宋" w:hAnsi="仿宋" w:eastAsia="仿宋" w:cs="仿宋"/>
          <w:b/>
          <w:bCs/>
          <w:color w:val="333333"/>
          <w:kern w:val="0"/>
          <w:sz w:val="24"/>
          <w:shd w:val="clear" w:color="auto" w:fill="FFFFFF"/>
          <w:lang w:bidi="ar"/>
        </w:rPr>
        <w:t>注：</w:t>
      </w:r>
    </w:p>
    <w:p>
      <w:pPr>
        <w:widowControl/>
        <w:numPr>
          <w:ilvl w:val="0"/>
          <w:numId w:val="7"/>
        </w:numPr>
        <w:shd w:val="clear" w:color="auto" w:fill="FFFFFF"/>
        <w:spacing w:before="100" w:beforeAutospacing="1" w:after="100" w:afterAutospacing="1"/>
        <w:ind w:firstLine="480"/>
        <w:jc w:val="left"/>
        <w:rPr>
          <w:rFonts w:ascii="仿宋" w:hAnsi="仿宋" w:eastAsia="仿宋" w:cs="仿宋"/>
          <w:b/>
          <w:bCs/>
          <w:color w:val="333333"/>
          <w:kern w:val="0"/>
          <w:sz w:val="24"/>
          <w:shd w:val="clear" w:color="auto" w:fill="FFFFFF"/>
          <w:lang w:bidi="ar"/>
        </w:rPr>
      </w:pPr>
      <w:r>
        <w:rPr>
          <w:rFonts w:hint="eastAsia" w:ascii="仿宋" w:hAnsi="仿宋" w:eastAsia="仿宋" w:cs="仿宋"/>
          <w:b/>
          <w:bCs/>
          <w:color w:val="333333"/>
          <w:kern w:val="0"/>
          <w:sz w:val="24"/>
          <w:shd w:val="clear" w:color="auto" w:fill="FFFFFF"/>
          <w:lang w:bidi="ar"/>
        </w:rPr>
        <w:t>从业人员、营业收入、资产总额填报上一年度数据，无上一年度数据的新成立企业可不填报。</w:t>
      </w:r>
    </w:p>
    <w:p>
      <w:pPr>
        <w:widowControl/>
        <w:numPr>
          <w:ilvl w:val="0"/>
          <w:numId w:val="7"/>
        </w:numPr>
        <w:shd w:val="clear" w:color="auto" w:fill="FFFFFF"/>
        <w:spacing w:before="100" w:beforeAutospacing="1" w:after="100" w:afterAutospacing="1"/>
        <w:ind w:firstLine="480"/>
        <w:jc w:val="left"/>
        <w:rPr>
          <w:rFonts w:ascii="仿宋" w:hAnsi="仿宋" w:eastAsia="仿宋" w:cs="仿宋"/>
          <w:b/>
          <w:bCs/>
          <w:color w:val="333333"/>
          <w:kern w:val="0"/>
          <w:sz w:val="24"/>
          <w:shd w:val="clear" w:color="auto" w:fill="FFFFFF"/>
          <w:lang w:bidi="ar"/>
        </w:rPr>
      </w:pPr>
      <w:r>
        <w:rPr>
          <w:rFonts w:hint="eastAsia" w:ascii="仿宋" w:hAnsi="仿宋" w:eastAsia="仿宋" w:cs="仿宋"/>
          <w:b/>
          <w:bCs/>
          <w:color w:val="333333"/>
          <w:kern w:val="0"/>
          <w:sz w:val="24"/>
          <w:shd w:val="clear" w:color="auto" w:fill="FFFFFF"/>
          <w:lang w:bidi="ar"/>
        </w:rPr>
        <w:t>潜在投标人属于中小微企业的，请在投标文件中提供“中小企业声明函”，如果未提供或提供虚假的“中小企业声明函”，投标人将承担由此造成的一切不利后果。注：对中小企业的认定，由货物制造商或者工程、服务</w:t>
      </w:r>
      <w:r>
        <w:rPr>
          <w:rFonts w:hint="eastAsia" w:ascii="仿宋" w:hAnsi="仿宋" w:eastAsia="仿宋" w:cs="仿宋"/>
          <w:b/>
          <w:bCs/>
          <w:color w:val="333333"/>
          <w:kern w:val="0"/>
          <w:sz w:val="24"/>
          <w:shd w:val="clear" w:color="auto" w:fill="FFFFFF"/>
          <w:lang w:eastAsia="zh-CN" w:bidi="ar"/>
        </w:rPr>
        <w:t>投标人</w:t>
      </w:r>
      <w:r>
        <w:rPr>
          <w:rFonts w:hint="eastAsia" w:ascii="仿宋" w:hAnsi="仿宋" w:eastAsia="仿宋" w:cs="仿宋"/>
          <w:b/>
          <w:bCs/>
          <w:color w:val="333333"/>
          <w:kern w:val="0"/>
          <w:sz w:val="24"/>
          <w:shd w:val="clear" w:color="auto" w:fill="FFFFFF"/>
          <w:lang w:bidi="ar"/>
        </w:rPr>
        <w:t>注册登记所在地的县级以上人民政府中小企业主管部门负责。如因</w:t>
      </w:r>
      <w:r>
        <w:rPr>
          <w:rFonts w:hint="eastAsia" w:ascii="仿宋" w:hAnsi="仿宋" w:eastAsia="仿宋" w:cs="仿宋"/>
          <w:b/>
          <w:bCs/>
          <w:color w:val="333333"/>
          <w:kern w:val="0"/>
          <w:sz w:val="24"/>
          <w:shd w:val="clear" w:color="auto" w:fill="FFFFFF"/>
          <w:lang w:eastAsia="zh-CN" w:bidi="ar"/>
        </w:rPr>
        <w:t>投标人</w:t>
      </w:r>
      <w:r>
        <w:rPr>
          <w:rFonts w:hint="eastAsia" w:ascii="仿宋" w:hAnsi="仿宋" w:eastAsia="仿宋" w:cs="仿宋"/>
          <w:b/>
          <w:bCs/>
          <w:color w:val="333333"/>
          <w:kern w:val="0"/>
          <w:sz w:val="24"/>
          <w:shd w:val="clear" w:color="auto" w:fill="FFFFFF"/>
          <w:lang w:bidi="ar"/>
        </w:rPr>
        <w:t>提供的《中小企业声明函》引起的质疑、投诉、信访或其他方式情况反映等，</w:t>
      </w:r>
      <w:r>
        <w:rPr>
          <w:rFonts w:hint="eastAsia" w:ascii="仿宋" w:hAnsi="仿宋" w:eastAsia="仿宋" w:cs="仿宋"/>
          <w:b/>
          <w:bCs/>
          <w:color w:val="333333"/>
          <w:kern w:val="0"/>
          <w:sz w:val="24"/>
          <w:shd w:val="clear" w:color="auto" w:fill="FFFFFF"/>
          <w:lang w:eastAsia="zh-CN" w:bidi="ar"/>
        </w:rPr>
        <w:t>投标人</w:t>
      </w:r>
      <w:r>
        <w:rPr>
          <w:rFonts w:hint="eastAsia" w:ascii="仿宋" w:hAnsi="仿宋" w:eastAsia="仿宋" w:cs="仿宋"/>
          <w:b/>
          <w:bCs/>
          <w:color w:val="333333"/>
          <w:kern w:val="0"/>
          <w:sz w:val="24"/>
          <w:shd w:val="clear" w:color="auto" w:fill="FFFFFF"/>
          <w:lang w:bidi="ar"/>
        </w:rPr>
        <w:t>须自行澄清，并提供由中小企业主管部门出具的企业划型证明。对于不能出具企业划型证明的</w:t>
      </w:r>
      <w:r>
        <w:rPr>
          <w:rFonts w:hint="eastAsia" w:ascii="仿宋" w:hAnsi="仿宋" w:eastAsia="仿宋" w:cs="仿宋"/>
          <w:b/>
          <w:bCs/>
          <w:color w:val="333333"/>
          <w:kern w:val="0"/>
          <w:sz w:val="24"/>
          <w:shd w:val="clear" w:color="auto" w:fill="FFFFFF"/>
          <w:lang w:eastAsia="zh-CN" w:bidi="ar"/>
        </w:rPr>
        <w:t>投标人</w:t>
      </w:r>
      <w:r>
        <w:rPr>
          <w:rFonts w:hint="eastAsia" w:ascii="仿宋" w:hAnsi="仿宋" w:eastAsia="仿宋" w:cs="仿宋"/>
          <w:b/>
          <w:bCs/>
          <w:color w:val="333333"/>
          <w:kern w:val="0"/>
          <w:sz w:val="24"/>
          <w:shd w:val="clear" w:color="auto" w:fill="FFFFFF"/>
          <w:lang w:bidi="ar"/>
        </w:rPr>
        <w:t>，自行承担由此产生的一切后果，包括声明内容视为无效、不享受相关政府采购优惠政策等。</w:t>
      </w:r>
      <w:bookmarkEnd w:id="1015"/>
      <w:bookmarkEnd w:id="1016"/>
      <w:bookmarkEnd w:id="1017"/>
      <w:bookmarkStart w:id="1018" w:name="_Toc28524"/>
    </w:p>
    <w:p>
      <w:pPr>
        <w:widowControl/>
        <w:numPr>
          <w:ilvl w:val="0"/>
          <w:numId w:val="7"/>
        </w:numPr>
        <w:shd w:val="clear" w:color="auto" w:fill="FFFFFF"/>
        <w:spacing w:before="100" w:beforeAutospacing="1" w:after="100" w:afterAutospacing="1"/>
        <w:ind w:firstLine="480"/>
        <w:jc w:val="left"/>
        <w:rPr>
          <w:rFonts w:ascii="仿宋" w:hAnsi="仿宋" w:eastAsia="仿宋" w:cs="仿宋"/>
          <w:b/>
          <w:kern w:val="0"/>
          <w:sz w:val="24"/>
        </w:rPr>
      </w:pPr>
      <w:r>
        <w:rPr>
          <w:rFonts w:hint="eastAsia" w:ascii="仿宋" w:hAnsi="仿宋" w:eastAsia="仿宋" w:cs="仿宋"/>
          <w:b/>
          <w:bCs/>
          <w:color w:val="333333"/>
          <w:kern w:val="0"/>
          <w:sz w:val="24"/>
          <w:shd w:val="clear" w:color="auto" w:fill="FFFFFF"/>
          <w:lang w:bidi="ar"/>
        </w:rPr>
        <w:t>（本项目对应的中小企业划分标准所属行业为：</w:t>
      </w:r>
      <w:r>
        <w:rPr>
          <w:rFonts w:hint="eastAsia" w:ascii="仿宋" w:hAnsi="仿宋" w:eastAsia="仿宋" w:cs="仿宋"/>
          <w:b/>
          <w:bCs/>
          <w:color w:val="00B0F0"/>
          <w:kern w:val="0"/>
          <w:sz w:val="24"/>
          <w:shd w:val="clear" w:color="auto" w:fill="FFFFFF"/>
          <w:lang w:bidi="ar"/>
        </w:rPr>
        <w:t>工业</w:t>
      </w:r>
      <w:r>
        <w:rPr>
          <w:rFonts w:hint="eastAsia" w:ascii="仿宋" w:hAnsi="仿宋" w:eastAsia="仿宋" w:cs="仿宋"/>
          <w:b/>
          <w:bCs/>
          <w:color w:val="333333"/>
          <w:kern w:val="0"/>
          <w:sz w:val="24"/>
          <w:shd w:val="clear" w:color="auto" w:fill="FFFFFF"/>
          <w:lang w:bidi="ar"/>
        </w:rPr>
        <w:t>）</w:t>
      </w:r>
    </w:p>
    <w:p>
      <w:pPr>
        <w:rPr>
          <w:rFonts w:ascii="仿宋" w:hAnsi="仿宋" w:eastAsia="仿宋" w:cs="仿宋"/>
          <w:b/>
          <w:kern w:val="0"/>
          <w:sz w:val="24"/>
        </w:rPr>
      </w:pPr>
    </w:p>
    <w:p>
      <w:pPr>
        <w:rPr>
          <w:rFonts w:ascii="仿宋" w:hAnsi="仿宋" w:eastAsia="仿宋" w:cs="仿宋"/>
          <w:b/>
          <w:kern w:val="0"/>
          <w:sz w:val="24"/>
        </w:rPr>
      </w:pPr>
    </w:p>
    <w:p>
      <w:pPr>
        <w:rPr>
          <w:rFonts w:ascii="仿宋" w:hAnsi="仿宋" w:eastAsia="仿宋" w:cs="仿宋"/>
          <w:b/>
          <w:kern w:val="0"/>
          <w:sz w:val="24"/>
        </w:rPr>
      </w:pPr>
    </w:p>
    <w:p>
      <w:pPr>
        <w:rPr>
          <w:rFonts w:ascii="仿宋" w:hAnsi="仿宋" w:eastAsia="仿宋" w:cs="仿宋"/>
          <w:b/>
          <w:kern w:val="0"/>
          <w:sz w:val="24"/>
        </w:rPr>
      </w:pPr>
      <w:r>
        <w:rPr>
          <w:rFonts w:hint="eastAsia" w:ascii="仿宋" w:hAnsi="仿宋" w:eastAsia="仿宋" w:cs="仿宋"/>
          <w:b/>
          <w:kern w:val="0"/>
          <w:sz w:val="24"/>
        </w:rPr>
        <w:br w:type="page"/>
      </w:r>
    </w:p>
    <w:p>
      <w:pPr>
        <w:rPr>
          <w:rFonts w:ascii="仿宋" w:hAnsi="仿宋" w:eastAsia="仿宋" w:cs="仿宋"/>
        </w:rPr>
      </w:pPr>
      <w:r>
        <w:rPr>
          <w:rFonts w:hint="eastAsia" w:ascii="仿宋" w:hAnsi="仿宋" w:eastAsia="仿宋" w:cs="仿宋"/>
          <w:b/>
          <w:kern w:val="0"/>
          <w:sz w:val="24"/>
        </w:rPr>
        <w:t>附：</w:t>
      </w:r>
    </w:p>
    <w:p>
      <w:pPr>
        <w:widowControl/>
        <w:spacing w:line="460" w:lineRule="exact"/>
        <w:ind w:firstLine="2880" w:firstLineChars="1200"/>
        <w:jc w:val="left"/>
        <w:rPr>
          <w:rFonts w:ascii="仿宋" w:hAnsi="仿宋" w:eastAsia="仿宋" w:cs="仿宋"/>
        </w:rPr>
      </w:pPr>
      <w:r>
        <w:rPr>
          <w:rFonts w:hint="eastAsia" w:ascii="仿宋" w:hAnsi="仿宋" w:eastAsia="仿宋" w:cs="仿宋"/>
          <w:kern w:val="0"/>
          <w:sz w:val="24"/>
          <w:shd w:val="clear" w:color="auto" w:fill="FFFFFF"/>
        </w:rPr>
        <w:t>中小微企业划型标准</w:t>
      </w:r>
    </w:p>
    <w:tbl>
      <w:tblPr>
        <w:tblStyle w:val="35"/>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kern w:val="0"/>
                <w:sz w:val="24"/>
              </w:rPr>
            </w:pPr>
            <w:r>
              <w:rPr>
                <w:rFonts w:hint="eastAsia" w:ascii="仿宋" w:hAnsi="仿宋" w:eastAsia="仿宋" w:cs="仿宋"/>
                <w:b/>
                <w:kern w:val="0"/>
                <w:sz w:val="24"/>
              </w:rPr>
              <w:t>行业名称</w:t>
            </w:r>
          </w:p>
        </w:tc>
        <w:tc>
          <w:tcPr>
            <w:tcW w:w="1660"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ascii="仿宋" w:hAnsi="仿宋" w:eastAsia="仿宋" w:cs="仿宋"/>
                <w:b/>
                <w:kern w:val="0"/>
                <w:sz w:val="24"/>
              </w:rPr>
            </w:pPr>
            <w:r>
              <w:rPr>
                <w:rFonts w:hint="eastAsia" w:ascii="仿宋" w:hAnsi="仿宋" w:eastAsia="仿宋" w:cs="仿宋"/>
                <w:b/>
                <w:kern w:val="0"/>
                <w:sz w:val="24"/>
              </w:rPr>
              <w:t>指标名称</w:t>
            </w:r>
          </w:p>
        </w:tc>
        <w:tc>
          <w:tcPr>
            <w:tcW w:w="1466"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ascii="仿宋" w:hAnsi="仿宋" w:eastAsia="仿宋" w:cs="仿宋"/>
                <w:b/>
                <w:kern w:val="0"/>
                <w:sz w:val="24"/>
              </w:rPr>
            </w:pPr>
            <w:r>
              <w:rPr>
                <w:rFonts w:hint="eastAsia" w:ascii="仿宋" w:hAnsi="仿宋" w:eastAsia="仿宋" w:cs="仿宋"/>
                <w:b/>
                <w:kern w:val="0"/>
                <w:sz w:val="24"/>
              </w:rPr>
              <w:t>计量单位</w:t>
            </w:r>
          </w:p>
        </w:tc>
        <w:tc>
          <w:tcPr>
            <w:tcW w:w="1903"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ascii="仿宋" w:hAnsi="仿宋" w:eastAsia="仿宋" w:cs="仿宋"/>
                <w:b/>
                <w:kern w:val="0"/>
                <w:sz w:val="24"/>
              </w:rPr>
            </w:pPr>
            <w:r>
              <w:rPr>
                <w:rFonts w:hint="eastAsia" w:ascii="仿宋" w:hAnsi="仿宋" w:eastAsia="仿宋" w:cs="仿宋"/>
                <w:b/>
                <w:kern w:val="0"/>
                <w:sz w:val="24"/>
              </w:rPr>
              <w:t>中型</w:t>
            </w:r>
          </w:p>
        </w:tc>
        <w:tc>
          <w:tcPr>
            <w:tcW w:w="1692"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ascii="仿宋" w:hAnsi="仿宋" w:eastAsia="仿宋" w:cs="仿宋"/>
                <w:b/>
                <w:kern w:val="0"/>
                <w:sz w:val="24"/>
              </w:rPr>
            </w:pPr>
            <w:r>
              <w:rPr>
                <w:rFonts w:hint="eastAsia" w:ascii="仿宋" w:hAnsi="仿宋" w:eastAsia="仿宋" w:cs="仿宋"/>
                <w:b/>
                <w:kern w:val="0"/>
                <w:sz w:val="24"/>
              </w:rPr>
              <w:t>小型</w:t>
            </w:r>
          </w:p>
        </w:tc>
        <w:tc>
          <w:tcPr>
            <w:tcW w:w="1087" w:type="dxa"/>
            <w:tcBorders>
              <w:top w:val="single" w:color="auto" w:sz="4" w:space="0"/>
              <w:left w:val="nil"/>
              <w:bottom w:val="single" w:color="auto" w:sz="4" w:space="0"/>
              <w:right w:val="single" w:color="auto" w:sz="4" w:space="0"/>
            </w:tcBorders>
            <w:vAlign w:val="center"/>
          </w:tcPr>
          <w:p>
            <w:pPr>
              <w:widowControl/>
              <w:snapToGrid w:val="0"/>
              <w:contextualSpacing/>
              <w:jc w:val="center"/>
              <w:rPr>
                <w:rFonts w:ascii="仿宋" w:hAnsi="仿宋" w:eastAsia="仿宋" w:cs="仿宋"/>
                <w:b/>
                <w:kern w:val="0"/>
                <w:sz w:val="24"/>
              </w:rPr>
            </w:pPr>
            <w:r>
              <w:rPr>
                <w:rFonts w:hint="eastAsia" w:ascii="仿宋" w:hAnsi="仿宋" w:eastAsia="仿宋" w:cs="仿宋"/>
                <w:b/>
                <w:kern w:val="0"/>
                <w:sz w:val="24"/>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农、林、牧、渔</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500≤Y＜20000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50≤Y＜500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工业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2000≤Y＜40000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300≤Y＜2000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建筑业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6000≤Y＜80000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300≤Y＜6000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资产总额（Z）</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5000≤Z＜80000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300≤Z＜5000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批发业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20≤X＜200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5≤X＜20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5000≤Y＜40000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1000≤Y＜5000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零售业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50≤X＜300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10≤X＜50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500≤Y＜20000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100≤Y＜500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交通运输业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3000≤Y＜30000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200≤Y＜3000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仓储业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100≤X＜200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1000≤Y＜30000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邮政业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2000≤Y＜30000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住宿业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2000≤Y＜10000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餐饮业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2000≤Y＜10000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100≤Y＜2000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信息传输业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100≤X＜2000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1000≤Y＜100000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软件和信息技术服务业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1000≤Y＜10000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50≤Y＜1000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房地产开发经营</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1000≤Y＜200000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100≤X＜1000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资产总额（Z）</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5000≤Z＜10000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2000≤Y＜5000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物业管理</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300≤X＜1000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100≤X＜300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营业收入（Y）</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1000≤Y＜5000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500≤Y＜1000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租赁和商务服务业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资产总额（Z）</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万元</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8000≤Z＜120000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100≤Z＜8000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pPr>
              <w:widowControl/>
              <w:snapToGrid w:val="0"/>
              <w:contextualSpacing/>
              <w:jc w:val="center"/>
              <w:rPr>
                <w:rFonts w:ascii="仿宋" w:hAnsi="仿宋" w:eastAsia="仿宋" w:cs="仿宋"/>
                <w:b/>
                <w:bCs/>
                <w:kern w:val="0"/>
                <w:sz w:val="24"/>
              </w:rPr>
            </w:pPr>
            <w:r>
              <w:rPr>
                <w:rFonts w:hint="eastAsia" w:ascii="仿宋" w:hAnsi="仿宋" w:eastAsia="仿宋" w:cs="仿宋"/>
                <w:b/>
                <w:bCs/>
                <w:kern w:val="0"/>
                <w:sz w:val="24"/>
              </w:rPr>
              <w:t>其他未列明行业</w:t>
            </w:r>
          </w:p>
        </w:tc>
        <w:tc>
          <w:tcPr>
            <w:tcW w:w="1660"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从业人员（X）</w:t>
            </w:r>
          </w:p>
        </w:tc>
        <w:tc>
          <w:tcPr>
            <w:tcW w:w="1466"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人</w:t>
            </w:r>
          </w:p>
        </w:tc>
        <w:tc>
          <w:tcPr>
            <w:tcW w:w="1903"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100≤X＜300</w:t>
            </w:r>
          </w:p>
        </w:tc>
        <w:tc>
          <w:tcPr>
            <w:tcW w:w="1692"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10≤X＜100</w:t>
            </w:r>
          </w:p>
        </w:tc>
        <w:tc>
          <w:tcPr>
            <w:tcW w:w="1087" w:type="dxa"/>
            <w:tcBorders>
              <w:top w:val="nil"/>
              <w:left w:val="nil"/>
              <w:bottom w:val="single" w:color="auto" w:sz="4" w:space="0"/>
              <w:right w:val="single" w:color="auto" w:sz="4" w:space="0"/>
            </w:tcBorders>
            <w:vAlign w:val="center"/>
          </w:tcPr>
          <w:p>
            <w:pPr>
              <w:widowControl/>
              <w:snapToGrid w:val="0"/>
              <w:contextualSpacing/>
              <w:jc w:val="center"/>
              <w:rPr>
                <w:rFonts w:ascii="仿宋" w:hAnsi="仿宋" w:eastAsia="仿宋" w:cs="仿宋"/>
                <w:kern w:val="0"/>
                <w:sz w:val="24"/>
              </w:rPr>
            </w:pPr>
            <w:r>
              <w:rPr>
                <w:rFonts w:hint="eastAsia" w:ascii="仿宋" w:hAnsi="仿宋" w:eastAsia="仿宋" w:cs="仿宋"/>
                <w:kern w:val="0"/>
                <w:sz w:val="24"/>
              </w:rPr>
              <w:t>X＜10</w:t>
            </w:r>
          </w:p>
        </w:tc>
      </w:tr>
    </w:tbl>
    <w:p>
      <w:pPr>
        <w:widowControl/>
        <w:spacing w:line="460" w:lineRule="exact"/>
        <w:ind w:firstLine="482" w:firstLineChars="200"/>
        <w:jc w:val="left"/>
        <w:rPr>
          <w:rFonts w:ascii="仿宋" w:hAnsi="仿宋" w:eastAsia="仿宋" w:cs="仿宋"/>
          <w:kern w:val="0"/>
          <w:sz w:val="24"/>
          <w:shd w:val="clear" w:color="auto" w:fill="FFFFFF"/>
        </w:rPr>
      </w:pPr>
      <w:r>
        <w:rPr>
          <w:rFonts w:hint="eastAsia" w:ascii="仿宋" w:hAnsi="仿宋" w:eastAsia="仿宋" w:cs="仿宋"/>
          <w:b/>
          <w:bCs/>
          <w:kern w:val="0"/>
          <w:sz w:val="24"/>
          <w:shd w:val="clear" w:color="auto" w:fill="FFFFFF"/>
        </w:rPr>
        <w:t>说明：</w:t>
      </w:r>
      <w:r>
        <w:rPr>
          <w:rFonts w:hint="eastAsia" w:ascii="仿宋" w:hAnsi="仿宋" w:eastAsia="仿宋" w:cs="仿宋"/>
          <w:kern w:val="0"/>
          <w:sz w:val="24"/>
          <w:shd w:val="clear" w:color="auto" w:fill="FFFFFF"/>
        </w:rPr>
        <w:t>上述标准参照《关于印发中小企业划型标准规定的通知》（工信部联企业[2011]300号），大型、中型和小型企业须同时满足所列指标的下限，否则下划一档；微型企业只须满足所列指标中的一项即可。</w:t>
      </w:r>
    </w:p>
    <w:p>
      <w:pPr>
        <w:widowControl/>
        <w:spacing w:line="460" w:lineRule="exact"/>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本招标文件所称中小企业，是指在中华人民共和国境内依法设立，依据国务院批准的</w:t>
      </w:r>
    </w:p>
    <w:p>
      <w:pPr>
        <w:widowControl/>
        <w:spacing w:line="460" w:lineRule="exact"/>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仿宋" w:hAnsi="仿宋" w:eastAsia="仿宋" w:cs="仿宋"/>
          <w:kern w:val="0"/>
          <w:sz w:val="24"/>
          <w:shd w:val="clear" w:color="auto" w:fill="FFFFFF"/>
          <w:lang w:eastAsia="zh-CN"/>
        </w:rPr>
        <w:t>投标人</w:t>
      </w:r>
      <w:r>
        <w:rPr>
          <w:rFonts w:hint="eastAsia" w:ascii="仿宋" w:hAnsi="仿宋" w:eastAsia="仿宋" w:cs="仿宋"/>
          <w:kern w:val="0"/>
          <w:sz w:val="24"/>
          <w:shd w:val="clear" w:color="auto" w:fill="FFFFFF"/>
        </w:rPr>
        <w:t>提供的货物、工程或者服务符合下列情形的，享受本招标文件规定的中小企业扶持政策：</w:t>
      </w:r>
    </w:p>
    <w:p>
      <w:pPr>
        <w:widowControl/>
        <w:spacing w:line="460" w:lineRule="exact"/>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（1）在货物采购项目中，货物由中小企业制造，即货物由中小企业生产且使用该中小企业商号或者注册商标，不对其中涉及的工程承建商和服务的承接商作出要求；</w:t>
      </w:r>
    </w:p>
    <w:p>
      <w:pPr>
        <w:widowControl/>
        <w:spacing w:line="460" w:lineRule="exact"/>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（2）在工程采购项目中，工程由中小企业承建，即工程施工单位为中小企业，不对其中涉及的货物的制造商和服务的承接商作出要求；</w:t>
      </w:r>
    </w:p>
    <w:p>
      <w:pPr>
        <w:widowControl/>
        <w:spacing w:line="460" w:lineRule="exact"/>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（3）在服务采购项目中，服务由中小企业承接，即提供服务的人员为中小企业依照《中华人民共和国劳动合同法》订立劳动合同的从业人员，不对其中涉及的货物的制造商和工程承建商作出要求。</w:t>
      </w:r>
    </w:p>
    <w:p>
      <w:pPr>
        <w:widowControl/>
        <w:spacing w:line="460" w:lineRule="exact"/>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在货物采购项目中，</w:t>
      </w:r>
      <w:r>
        <w:rPr>
          <w:rFonts w:hint="eastAsia" w:ascii="仿宋" w:hAnsi="仿宋" w:eastAsia="仿宋" w:cs="仿宋"/>
          <w:kern w:val="0"/>
          <w:sz w:val="24"/>
          <w:shd w:val="clear" w:color="auto" w:fill="FFFFFF"/>
          <w:lang w:eastAsia="zh-CN"/>
        </w:rPr>
        <w:t>投标人</w:t>
      </w:r>
      <w:r>
        <w:rPr>
          <w:rFonts w:hint="eastAsia" w:ascii="仿宋" w:hAnsi="仿宋" w:eastAsia="仿宋" w:cs="仿宋"/>
          <w:kern w:val="0"/>
          <w:sz w:val="24"/>
          <w:shd w:val="clear" w:color="auto" w:fill="FFFFFF"/>
        </w:rPr>
        <w:t>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widowControl/>
        <w:spacing w:line="460" w:lineRule="exact"/>
        <w:ind w:firstLine="480" w:firstLineChars="200"/>
        <w:jc w:val="left"/>
        <w:rPr>
          <w:rFonts w:ascii="仿宋" w:hAnsi="仿宋" w:eastAsia="仿宋" w:cs="仿宋"/>
          <w:kern w:val="0"/>
          <w:sz w:val="24"/>
          <w:shd w:val="clear" w:color="auto" w:fill="FFFFFF"/>
        </w:rPr>
      </w:pPr>
      <w:r>
        <w:rPr>
          <w:rFonts w:hint="eastAsia" w:ascii="仿宋" w:hAnsi="仿宋" w:eastAsia="仿宋" w:cs="仿宋"/>
          <w:kern w:val="0"/>
          <w:sz w:val="24"/>
          <w:shd w:val="clear" w:color="auto" w:fill="FFFFFF"/>
        </w:rPr>
        <w:t>依据本招标文件规定享受扶持政策获得政府采购合同的，小微企业不得将合同分包给大中型企业，中型企业不得将合同分包给大型企业。</w:t>
      </w:r>
    </w:p>
    <w:p>
      <w:pPr>
        <w:rPr>
          <w:rFonts w:ascii="仿宋" w:hAnsi="仿宋" w:eastAsia="仿宋" w:cs="仿宋"/>
        </w:rPr>
      </w:pPr>
      <w:bookmarkStart w:id="1019" w:name="_Toc27168"/>
      <w:bookmarkStart w:id="1020" w:name="_Toc27811"/>
      <w:bookmarkStart w:id="1021" w:name="_Toc25363"/>
    </w:p>
    <w:p>
      <w:pPr>
        <w:rPr>
          <w:rFonts w:ascii="仿宋" w:hAnsi="仿宋" w:eastAsia="仿宋" w:cs="仿宋"/>
          <w:sz w:val="24"/>
        </w:rPr>
      </w:pPr>
      <w:bookmarkStart w:id="1022" w:name="_Toc28053"/>
      <w:r>
        <w:rPr>
          <w:rFonts w:hint="eastAsia" w:ascii="仿宋" w:hAnsi="仿宋" w:eastAsia="仿宋" w:cs="仿宋"/>
          <w:sz w:val="24"/>
        </w:rPr>
        <w:br w:type="page"/>
      </w:r>
    </w:p>
    <w:p>
      <w:pPr>
        <w:pStyle w:val="6"/>
        <w:widowControl/>
        <w:spacing w:before="0" w:line="288" w:lineRule="auto"/>
        <w:ind w:firstLine="2650" w:firstLineChars="1100"/>
        <w:jc w:val="both"/>
        <w:textAlignment w:val="baseline"/>
        <w:rPr>
          <w:rFonts w:ascii="仿宋" w:hAnsi="仿宋" w:eastAsia="仿宋" w:cs="仿宋"/>
          <w:color w:val="000000"/>
          <w:sz w:val="24"/>
          <w:szCs w:val="24"/>
        </w:rPr>
      </w:pPr>
      <w:r>
        <w:rPr>
          <w:rFonts w:hint="eastAsia" w:ascii="仿宋" w:hAnsi="仿宋" w:eastAsia="仿宋" w:cs="仿宋"/>
          <w:sz w:val="24"/>
        </w:rPr>
        <w:t>6-2   残疾人福利性单位声明函</w:t>
      </w:r>
      <w:bookmarkEnd w:id="1018"/>
      <w:bookmarkEnd w:id="1019"/>
      <w:bookmarkEnd w:id="1020"/>
      <w:bookmarkEnd w:id="1021"/>
      <w:bookmarkEnd w:id="1022"/>
    </w:p>
    <w:p>
      <w:pPr>
        <w:spacing w:after="60" w:afterLines="25" w:line="30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本投标人郑重声明，根据《财政部民政部中国残疾人联合会关于促进残疾人就业政府采购政策的通知》（财库〔2017〕141 号）的规定，本投标人参加（采购人名称）的（项目名称）采购活动，提供的货物全部由符合政策要求的残疾人福利性单位制造。相关残疾人福利性单位的具体情况如下：</w:t>
      </w:r>
    </w:p>
    <w:p>
      <w:pPr>
        <w:spacing w:after="60" w:afterLines="25" w:line="30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1. （标的名称），制造商为（单位名称），属于残疾人福利性单位；</w:t>
      </w:r>
    </w:p>
    <w:p>
      <w:pPr>
        <w:spacing w:after="60" w:afterLines="25" w:line="30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2. （标的名称），制造商为（单位名称），属于残疾人福利性单位。</w:t>
      </w:r>
    </w:p>
    <w:p>
      <w:pPr>
        <w:spacing w:after="60" w:afterLines="25" w:line="300" w:lineRule="auto"/>
        <w:ind w:firstLine="480" w:firstLineChars="200"/>
        <w:rPr>
          <w:rFonts w:ascii="仿宋" w:hAnsi="仿宋" w:eastAsia="仿宋" w:cs="仿宋"/>
          <w:color w:val="000000"/>
          <w:kern w:val="0"/>
          <w:sz w:val="24"/>
        </w:rPr>
      </w:pPr>
      <w:r>
        <w:rPr>
          <w:rFonts w:hint="eastAsia" w:ascii="仿宋" w:hAnsi="仿宋" w:eastAsia="仿宋" w:cs="仿宋"/>
          <w:color w:val="000000"/>
          <w:kern w:val="0"/>
          <w:sz w:val="24"/>
        </w:rPr>
        <w:t xml:space="preserve">…… </w:t>
      </w:r>
    </w:p>
    <w:p>
      <w:pPr>
        <w:spacing w:after="60" w:afterLines="25" w:line="300" w:lineRule="auto"/>
        <w:ind w:firstLine="480" w:firstLineChars="200"/>
        <w:rPr>
          <w:rFonts w:ascii="仿宋" w:hAnsi="仿宋" w:eastAsia="仿宋" w:cs="仿宋"/>
          <w:color w:val="000000"/>
          <w:kern w:val="0"/>
          <w:sz w:val="24"/>
        </w:rPr>
      </w:pPr>
      <w:bookmarkStart w:id="1023" w:name="_Hlk73562331"/>
      <w:r>
        <w:rPr>
          <w:rFonts w:hint="eastAsia" w:ascii="仿宋" w:hAnsi="仿宋" w:eastAsia="仿宋" w:cs="仿宋"/>
          <w:color w:val="000000"/>
          <w:kern w:val="0"/>
          <w:sz w:val="24"/>
        </w:rPr>
        <w:t>本投标人已知悉《财政部民政部中国残疾人联合会关于促进残疾人就业政府采购政策的通知》（财库〔2017〕141 号）的规定，承诺提供的声明函内容是真实的，如提供声明函内容不实，则依法追究相关法律责任。</w:t>
      </w:r>
      <w:bookmarkEnd w:id="1023"/>
    </w:p>
    <w:p>
      <w:pPr>
        <w:spacing w:after="60" w:afterLines="25" w:line="300" w:lineRule="auto"/>
        <w:ind w:right="420" w:firstLine="5040" w:firstLineChars="2100"/>
        <w:rPr>
          <w:rFonts w:ascii="仿宋" w:hAnsi="仿宋" w:eastAsia="仿宋" w:cs="仿宋"/>
          <w:color w:val="000000"/>
          <w:kern w:val="0"/>
          <w:sz w:val="24"/>
        </w:rPr>
      </w:pPr>
      <w:r>
        <w:rPr>
          <w:rFonts w:hint="eastAsia" w:ascii="仿宋" w:hAnsi="仿宋" w:eastAsia="仿宋" w:cs="仿宋"/>
          <w:color w:val="000000"/>
          <w:kern w:val="0"/>
          <w:sz w:val="24"/>
        </w:rPr>
        <w:t>投标人（投标单位）：</w:t>
      </w:r>
    </w:p>
    <w:p>
      <w:pPr>
        <w:spacing w:after="60" w:afterLines="25" w:line="300" w:lineRule="auto"/>
        <w:ind w:right="420" w:firstLine="6600" w:firstLineChars="2750"/>
        <w:rPr>
          <w:rFonts w:ascii="仿宋" w:hAnsi="仿宋" w:eastAsia="仿宋" w:cs="仿宋"/>
          <w:b/>
          <w:sz w:val="24"/>
        </w:rPr>
      </w:pPr>
      <w:r>
        <w:rPr>
          <w:rFonts w:hint="eastAsia" w:ascii="仿宋" w:hAnsi="仿宋" w:eastAsia="仿宋" w:cs="仿宋"/>
          <w:color w:val="000000"/>
          <w:kern w:val="0"/>
          <w:sz w:val="24"/>
        </w:rPr>
        <w:t>日期：</w:t>
      </w:r>
      <w:bookmarkStart w:id="1024" w:name="_Toc12073"/>
      <w:bookmarkStart w:id="1025" w:name="_Toc17299"/>
      <w:bookmarkStart w:id="1026" w:name="_Toc17181"/>
      <w:bookmarkStart w:id="1027" w:name="_Toc19006"/>
      <w:bookmarkStart w:id="1028" w:name="_Toc7440"/>
      <w:bookmarkStart w:id="1029" w:name="_Toc13378"/>
      <w:bookmarkStart w:id="1030" w:name="_Toc16783"/>
      <w:bookmarkStart w:id="1031" w:name="_Toc2813"/>
      <w:bookmarkStart w:id="1032" w:name="_Toc5731"/>
      <w:bookmarkStart w:id="1033" w:name="_Toc9078"/>
      <w:bookmarkStart w:id="1034" w:name="_Toc19677"/>
      <w:bookmarkStart w:id="1035" w:name="_Toc8498"/>
      <w:bookmarkStart w:id="1036" w:name="_Toc9071"/>
      <w:bookmarkStart w:id="1037" w:name="_Toc11271"/>
      <w:bookmarkStart w:id="1038" w:name="_Toc28310"/>
    </w:p>
    <w:p>
      <w:pPr>
        <w:pStyle w:val="88"/>
        <w:rPr>
          <w:rFonts w:ascii="仿宋" w:hAnsi="仿宋" w:eastAsia="仿宋" w:cs="仿宋"/>
        </w:rPr>
      </w:pPr>
    </w:p>
    <w:p>
      <w:pPr>
        <w:rPr>
          <w:rFonts w:ascii="仿宋" w:hAnsi="仿宋" w:eastAsia="仿宋" w:cs="仿宋"/>
          <w:sz w:val="24"/>
        </w:rPr>
      </w:pPr>
      <w:bookmarkStart w:id="1039" w:name="_Toc6778"/>
      <w:r>
        <w:rPr>
          <w:rFonts w:hint="eastAsia" w:ascii="仿宋" w:hAnsi="仿宋" w:eastAsia="仿宋" w:cs="仿宋"/>
          <w:sz w:val="24"/>
        </w:rPr>
        <w:br w:type="page"/>
      </w:r>
    </w:p>
    <w:p>
      <w:pPr>
        <w:pStyle w:val="6"/>
        <w:widowControl/>
        <w:spacing w:before="0" w:line="288" w:lineRule="auto"/>
        <w:textAlignment w:val="baseline"/>
        <w:rPr>
          <w:rFonts w:ascii="仿宋" w:hAnsi="仿宋" w:eastAsia="仿宋" w:cs="仿宋"/>
          <w:sz w:val="21"/>
        </w:rPr>
      </w:pPr>
      <w:r>
        <w:rPr>
          <w:rFonts w:hint="eastAsia" w:ascii="仿宋" w:hAnsi="仿宋" w:eastAsia="仿宋" w:cs="仿宋"/>
          <w:sz w:val="24"/>
        </w:rPr>
        <w:t xml:space="preserve">6-3 </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Pr>
          <w:rFonts w:hint="eastAsia" w:ascii="仿宋" w:hAnsi="仿宋" w:eastAsia="仿宋" w:cs="仿宋"/>
          <w:sz w:val="24"/>
        </w:rPr>
        <w:t>制造商企业（单位）类型声明函</w:t>
      </w:r>
      <w:bookmarkStart w:id="1040" w:name="_Toc5785"/>
      <w:bookmarkStart w:id="1041" w:name="_Toc4354"/>
      <w:bookmarkStart w:id="1042" w:name="_Toc22178"/>
      <w:bookmarkStart w:id="1043" w:name="_Toc21571"/>
      <w:bookmarkStart w:id="1044" w:name="_Toc2485"/>
    </w:p>
    <w:p>
      <w:pPr>
        <w:spacing w:line="294" w:lineRule="auto"/>
        <w:rPr>
          <w:rFonts w:ascii="仿宋" w:hAnsi="仿宋" w:eastAsia="仿宋" w:cs="仿宋"/>
        </w:rPr>
      </w:pPr>
    </w:p>
    <w:p>
      <w:pPr>
        <w:spacing w:before="103" w:line="360" w:lineRule="auto"/>
        <w:ind w:left="13" w:right="1" w:firstLine="422"/>
        <w:rPr>
          <w:rFonts w:ascii="仿宋" w:hAnsi="仿宋" w:eastAsia="仿宋" w:cs="仿宋"/>
          <w:sz w:val="24"/>
        </w:rPr>
      </w:pPr>
      <w:r>
        <w:rPr>
          <w:rFonts w:hint="eastAsia" w:ascii="仿宋" w:hAnsi="仿宋" w:eastAsia="仿宋" w:cs="仿宋"/>
          <w:spacing w:val="-1"/>
          <w:sz w:val="24"/>
        </w:rPr>
        <w:t>本企业（单位）作为</w:t>
      </w:r>
      <w:r>
        <w:rPr>
          <w:rFonts w:hint="eastAsia" w:ascii="仿宋" w:hAnsi="仿宋" w:eastAsia="仿宋" w:cs="仿宋"/>
          <w:spacing w:val="-1"/>
          <w:sz w:val="24"/>
          <w:u w:val="single"/>
        </w:rPr>
        <w:t xml:space="preserve">         </w:t>
      </w:r>
      <w:r>
        <w:rPr>
          <w:rFonts w:hint="eastAsia" w:ascii="仿宋" w:hAnsi="仿宋" w:eastAsia="仿宋" w:cs="仿宋"/>
          <w:spacing w:val="-1"/>
          <w:sz w:val="24"/>
        </w:rPr>
        <w:t>单位的</w:t>
      </w:r>
      <w:r>
        <w:rPr>
          <w:rFonts w:hint="eastAsia" w:ascii="仿宋" w:hAnsi="仿宋" w:eastAsia="仿宋" w:cs="仿宋"/>
          <w:spacing w:val="-71"/>
          <w:sz w:val="24"/>
        </w:rPr>
        <w:t xml:space="preserve"> </w:t>
      </w:r>
      <w:r>
        <w:rPr>
          <w:rFonts w:hint="eastAsia" w:ascii="仿宋" w:hAnsi="仿宋" w:eastAsia="仿宋" w:cs="仿宋"/>
          <w:sz w:val="24"/>
          <w:u w:val="single"/>
        </w:rPr>
        <w:t xml:space="preserve">         </w:t>
      </w:r>
      <w:r>
        <w:rPr>
          <w:rFonts w:hint="eastAsia" w:ascii="仿宋" w:hAnsi="仿宋" w:eastAsia="仿宋" w:cs="仿宋"/>
          <w:spacing w:val="57"/>
          <w:sz w:val="24"/>
        </w:rPr>
        <w:t xml:space="preserve"> </w:t>
      </w:r>
      <w:r>
        <w:rPr>
          <w:rFonts w:hint="eastAsia" w:ascii="仿宋" w:hAnsi="仿宋" w:eastAsia="仿宋" w:cs="仿宋"/>
          <w:spacing w:val="-1"/>
          <w:sz w:val="24"/>
        </w:rPr>
        <w:t>项目的设备制造商</w:t>
      </w:r>
      <w:r>
        <w:rPr>
          <w:rFonts w:hint="eastAsia" w:ascii="仿宋" w:hAnsi="仿宋" w:eastAsia="仿宋" w:cs="仿宋"/>
          <w:spacing w:val="-35"/>
          <w:sz w:val="24"/>
        </w:rPr>
        <w:t xml:space="preserve"> </w:t>
      </w:r>
      <w:r>
        <w:rPr>
          <w:rFonts w:hint="eastAsia" w:ascii="仿宋" w:hAnsi="仿宋" w:eastAsia="仿宋" w:cs="仿宋"/>
          <w:spacing w:val="-1"/>
          <w:sz w:val="24"/>
        </w:rPr>
        <w:t>，参加政</w:t>
      </w:r>
      <w:r>
        <w:rPr>
          <w:rFonts w:hint="eastAsia" w:ascii="仿宋" w:hAnsi="仿宋" w:eastAsia="仿宋" w:cs="仿宋"/>
          <w:spacing w:val="-2"/>
          <w:sz w:val="24"/>
        </w:rPr>
        <w:t>府采购</w:t>
      </w:r>
      <w:r>
        <w:rPr>
          <w:rFonts w:hint="eastAsia" w:ascii="仿宋" w:hAnsi="仿宋" w:eastAsia="仿宋" w:cs="仿宋"/>
          <w:spacing w:val="-5"/>
          <w:sz w:val="24"/>
        </w:rPr>
        <w:t>活动。根据《政府采购促进中小企业发展暂行办法》（财库[2020]46 号</w:t>
      </w:r>
      <w:r>
        <w:rPr>
          <w:rFonts w:hint="eastAsia" w:ascii="仿宋" w:hAnsi="仿宋" w:eastAsia="仿宋" w:cs="仿宋"/>
          <w:spacing w:val="-9"/>
          <w:sz w:val="24"/>
        </w:rPr>
        <w:t>），</w:t>
      </w:r>
      <w:r>
        <w:rPr>
          <w:rFonts w:hint="eastAsia" w:ascii="仿宋" w:hAnsi="仿宋" w:eastAsia="仿宋" w:cs="仿宋"/>
          <w:spacing w:val="-5"/>
          <w:sz w:val="24"/>
        </w:rPr>
        <w:t>《工</w:t>
      </w:r>
      <w:r>
        <w:rPr>
          <w:rFonts w:hint="eastAsia" w:ascii="仿宋" w:hAnsi="仿宋" w:eastAsia="仿宋" w:cs="仿宋"/>
          <w:spacing w:val="-3"/>
          <w:sz w:val="24"/>
        </w:rPr>
        <w:t>业和信息化部、国家统计局、国家发展和改革委员会、财政部关于印发中小企业划型标准规定的通知》（工信部联企业[2011]300 号）、《财政部、司法部关于</w:t>
      </w:r>
      <w:r>
        <w:rPr>
          <w:rFonts w:hint="eastAsia" w:ascii="仿宋" w:hAnsi="仿宋" w:eastAsia="仿宋" w:cs="仿宋"/>
          <w:spacing w:val="-1"/>
          <w:sz w:val="24"/>
        </w:rPr>
        <w:t>政府采购支持监狱企业发展有关问题的通知》（财库〔2014〕</w:t>
      </w:r>
      <w:r>
        <w:rPr>
          <w:rFonts w:hint="eastAsia" w:ascii="仿宋" w:hAnsi="仿宋" w:eastAsia="仿宋" w:cs="仿宋"/>
          <w:spacing w:val="-2"/>
          <w:sz w:val="24"/>
        </w:rPr>
        <w:t>68 号）以及《关</w:t>
      </w:r>
      <w:r>
        <w:rPr>
          <w:rFonts w:hint="eastAsia" w:ascii="仿宋" w:hAnsi="仿宋" w:eastAsia="仿宋" w:cs="仿宋"/>
          <w:sz w:val="24"/>
        </w:rPr>
        <w:t xml:space="preserve">  </w:t>
      </w:r>
      <w:r>
        <w:rPr>
          <w:rFonts w:hint="eastAsia" w:ascii="仿宋" w:hAnsi="仿宋" w:eastAsia="仿宋" w:cs="仿宋"/>
          <w:spacing w:val="-3"/>
          <w:sz w:val="24"/>
        </w:rPr>
        <w:t>于促进残疾人就业政府采购政策的通知》（财库〔2017〕141 号）的有</w:t>
      </w:r>
      <w:r>
        <w:rPr>
          <w:rFonts w:hint="eastAsia" w:ascii="仿宋" w:hAnsi="仿宋" w:eastAsia="仿宋" w:cs="仿宋"/>
          <w:spacing w:val="-4"/>
          <w:sz w:val="24"/>
        </w:rPr>
        <w:t>关规定，</w:t>
      </w:r>
      <w:r>
        <w:rPr>
          <w:rFonts w:hint="eastAsia" w:ascii="仿宋" w:hAnsi="仿宋" w:eastAsia="仿宋" w:cs="仿宋"/>
          <w:sz w:val="24"/>
        </w:rPr>
        <w:t xml:space="preserve"> </w:t>
      </w:r>
      <w:r>
        <w:rPr>
          <w:rFonts w:hint="eastAsia" w:ascii="仿宋" w:hAnsi="仿宋" w:eastAsia="仿宋" w:cs="仿宋"/>
          <w:spacing w:val="-1"/>
          <w:sz w:val="24"/>
        </w:rPr>
        <w:t>作出如下声明：</w:t>
      </w:r>
    </w:p>
    <w:p>
      <w:pPr>
        <w:spacing w:before="320" w:line="360" w:lineRule="auto"/>
        <w:ind w:left="435"/>
        <w:rPr>
          <w:rFonts w:ascii="仿宋" w:hAnsi="仿宋" w:eastAsia="仿宋" w:cs="仿宋"/>
          <w:sz w:val="24"/>
        </w:rPr>
      </w:pPr>
      <w:r>
        <w:rPr>
          <w:rFonts w:hint="eastAsia" w:ascii="仿宋" w:hAnsi="仿宋" w:eastAsia="仿宋" w:cs="仿宋"/>
          <w:sz w:val="24"/>
        </w:rPr>
        <w:t>本企业为</w:t>
      </w:r>
      <w:r>
        <w:rPr>
          <w:rFonts w:hint="eastAsia" w:ascii="仿宋" w:hAnsi="仿宋" w:eastAsia="仿宋" w:cs="仿宋"/>
          <w:sz w:val="24"/>
          <w:u w:val="single"/>
        </w:rPr>
        <w:t xml:space="preserve">         </w:t>
      </w:r>
      <w:r>
        <w:rPr>
          <w:rFonts w:hint="eastAsia" w:ascii="仿宋" w:hAnsi="仿宋" w:eastAsia="仿宋" w:cs="仿宋"/>
          <w:sz w:val="24"/>
        </w:rPr>
        <w:t>（请填写：中型、小型、微型）企业。</w:t>
      </w:r>
    </w:p>
    <w:p>
      <w:pPr>
        <w:spacing w:before="301" w:line="360" w:lineRule="auto"/>
        <w:ind w:left="18" w:right="1" w:firstLine="417"/>
        <w:rPr>
          <w:rFonts w:ascii="仿宋" w:hAnsi="仿宋" w:eastAsia="仿宋" w:cs="仿宋"/>
          <w:sz w:val="24"/>
        </w:rPr>
      </w:pPr>
      <w:r>
        <w:rPr>
          <w:rFonts w:hint="eastAsia" w:ascii="仿宋" w:hAnsi="仿宋" w:eastAsia="仿宋" w:cs="仿宋"/>
          <w:spacing w:val="-4"/>
          <w:sz w:val="24"/>
        </w:rPr>
        <w:t>本企业</w:t>
      </w:r>
      <w:r>
        <w:rPr>
          <w:rFonts w:hint="eastAsia" w:ascii="仿宋" w:hAnsi="仿宋" w:eastAsia="仿宋" w:cs="仿宋"/>
          <w:spacing w:val="-4"/>
          <w:sz w:val="24"/>
          <w:u w:val="single"/>
        </w:rPr>
        <w:t xml:space="preserve">             </w:t>
      </w:r>
      <w:r>
        <w:rPr>
          <w:rFonts w:hint="eastAsia" w:ascii="仿宋" w:hAnsi="仿宋" w:eastAsia="仿宋" w:cs="仿宋"/>
          <w:spacing w:val="-4"/>
          <w:sz w:val="24"/>
        </w:rPr>
        <w:t>（请填写：是、不是）监狱企业。后附省级以上监狱管理局、</w:t>
      </w:r>
      <w:r>
        <w:rPr>
          <w:rFonts w:hint="eastAsia" w:ascii="仿宋" w:hAnsi="仿宋" w:eastAsia="仿宋" w:cs="仿宋"/>
          <w:spacing w:val="2"/>
          <w:sz w:val="24"/>
        </w:rPr>
        <w:t xml:space="preserve"> </w:t>
      </w:r>
      <w:r>
        <w:rPr>
          <w:rFonts w:hint="eastAsia" w:ascii="仿宋" w:hAnsi="仿宋" w:eastAsia="仿宋" w:cs="仿宋"/>
          <w:spacing w:val="-1"/>
          <w:sz w:val="24"/>
        </w:rPr>
        <w:t>戒毒管理局（含新疆生产建设兵团）</w:t>
      </w:r>
      <w:r>
        <w:rPr>
          <w:rFonts w:hint="eastAsia" w:ascii="仿宋" w:hAnsi="仿宋" w:eastAsia="仿宋" w:cs="仿宋"/>
          <w:spacing w:val="-48"/>
          <w:sz w:val="24"/>
        </w:rPr>
        <w:t xml:space="preserve"> </w:t>
      </w:r>
      <w:r>
        <w:rPr>
          <w:rFonts w:hint="eastAsia" w:ascii="仿宋" w:hAnsi="仿宋" w:eastAsia="仿宋" w:cs="仿宋"/>
          <w:spacing w:val="-1"/>
          <w:sz w:val="24"/>
        </w:rPr>
        <w:t>出具的属于监狱企业的证明文件。</w:t>
      </w:r>
    </w:p>
    <w:p>
      <w:pPr>
        <w:spacing w:before="300" w:line="360" w:lineRule="auto"/>
        <w:ind w:left="435"/>
        <w:rPr>
          <w:rFonts w:ascii="仿宋" w:hAnsi="仿宋" w:eastAsia="仿宋" w:cs="仿宋"/>
          <w:sz w:val="24"/>
        </w:rPr>
      </w:pPr>
      <w:r>
        <w:rPr>
          <w:rFonts w:hint="eastAsia" w:ascii="仿宋" w:hAnsi="仿宋" w:eastAsia="仿宋" w:cs="仿宋"/>
          <w:spacing w:val="1"/>
          <w:sz w:val="24"/>
        </w:rPr>
        <w:t>本单位为</w:t>
      </w:r>
      <w:r>
        <w:rPr>
          <w:rFonts w:hint="eastAsia" w:ascii="仿宋" w:hAnsi="仿宋" w:eastAsia="仿宋" w:cs="仿宋"/>
          <w:spacing w:val="1"/>
          <w:sz w:val="24"/>
          <w:u w:val="single"/>
        </w:rPr>
        <w:t xml:space="preserve">             </w:t>
      </w:r>
      <w:r>
        <w:rPr>
          <w:rFonts w:hint="eastAsia" w:ascii="仿宋" w:hAnsi="仿宋" w:eastAsia="仿宋" w:cs="仿宋"/>
          <w:spacing w:val="1"/>
          <w:sz w:val="24"/>
        </w:rPr>
        <w:t>（请填写：是、不是）残疾人福</w:t>
      </w:r>
      <w:r>
        <w:rPr>
          <w:rFonts w:hint="eastAsia" w:ascii="仿宋" w:hAnsi="仿宋" w:eastAsia="仿宋" w:cs="仿宋"/>
          <w:sz w:val="24"/>
        </w:rPr>
        <w:t>利性单位。</w:t>
      </w:r>
    </w:p>
    <w:p>
      <w:pPr>
        <w:spacing w:before="1" w:line="360" w:lineRule="auto"/>
        <w:ind w:left="435"/>
        <w:rPr>
          <w:rFonts w:ascii="仿宋" w:hAnsi="仿宋" w:eastAsia="仿宋" w:cs="仿宋"/>
          <w:sz w:val="24"/>
        </w:rPr>
      </w:pPr>
      <w:r>
        <w:rPr>
          <w:rFonts w:hint="eastAsia" w:ascii="仿宋" w:hAnsi="仿宋" w:eastAsia="仿宋" w:cs="仿宋"/>
          <w:spacing w:val="-1"/>
          <w:sz w:val="24"/>
        </w:rPr>
        <w:t>本企业（单位）提供本企业（单位）制造的货物。</w:t>
      </w:r>
    </w:p>
    <w:p>
      <w:pPr>
        <w:spacing w:before="301" w:line="360" w:lineRule="auto"/>
        <w:jc w:val="center"/>
        <w:rPr>
          <w:rFonts w:ascii="仿宋" w:hAnsi="仿宋" w:eastAsia="仿宋" w:cs="仿宋"/>
          <w:sz w:val="24"/>
        </w:rPr>
      </w:pPr>
      <w:r>
        <w:rPr>
          <w:rFonts w:hint="eastAsia" w:ascii="仿宋" w:hAnsi="仿宋" w:eastAsia="仿宋" w:cs="仿宋"/>
          <w:spacing w:val="-6"/>
          <w:position w:val="34"/>
          <w:sz w:val="24"/>
        </w:rPr>
        <w:t>本企业（单位）对上述声明的真实性负责。如有虚假，将依法承担相应责任。</w:t>
      </w:r>
    </w:p>
    <w:p>
      <w:pPr>
        <w:spacing w:line="360" w:lineRule="auto"/>
        <w:ind w:left="435"/>
        <w:rPr>
          <w:rFonts w:ascii="仿宋" w:hAnsi="仿宋" w:eastAsia="仿宋" w:cs="仿宋"/>
          <w:sz w:val="24"/>
        </w:rPr>
      </w:pPr>
      <w:r>
        <w:rPr>
          <w:rFonts w:hint="eastAsia" w:ascii="仿宋" w:hAnsi="仿宋" w:eastAsia="仿宋" w:cs="仿宋"/>
          <w:spacing w:val="-1"/>
          <w:sz w:val="24"/>
        </w:rPr>
        <w:t>本声明函经制造商和投标人共同盖章生效。</w:t>
      </w:r>
    </w:p>
    <w:p>
      <w:pPr>
        <w:spacing w:line="243" w:lineRule="auto"/>
        <w:rPr>
          <w:rFonts w:ascii="仿宋" w:hAnsi="仿宋" w:eastAsia="仿宋" w:cs="仿宋"/>
        </w:rPr>
      </w:pPr>
    </w:p>
    <w:p>
      <w:pPr>
        <w:spacing w:line="244" w:lineRule="auto"/>
        <w:rPr>
          <w:rFonts w:ascii="仿宋" w:hAnsi="仿宋" w:eastAsia="仿宋" w:cs="仿宋"/>
        </w:rPr>
      </w:pPr>
    </w:p>
    <w:p>
      <w:pPr>
        <w:spacing w:line="244" w:lineRule="auto"/>
        <w:rPr>
          <w:rFonts w:ascii="仿宋" w:hAnsi="仿宋" w:eastAsia="仿宋" w:cs="仿宋"/>
        </w:rPr>
      </w:pPr>
    </w:p>
    <w:p>
      <w:pPr>
        <w:spacing w:before="104" w:line="221" w:lineRule="auto"/>
        <w:ind w:left="3136"/>
        <w:rPr>
          <w:rFonts w:ascii="仿宋" w:hAnsi="仿宋" w:eastAsia="仿宋" w:cs="仿宋"/>
          <w:sz w:val="24"/>
        </w:rPr>
      </w:pPr>
      <w:r>
        <w:rPr>
          <w:rFonts w:hint="eastAsia" w:ascii="仿宋" w:hAnsi="仿宋" w:eastAsia="仿宋" w:cs="仿宋"/>
          <w:spacing w:val="-1"/>
          <w:sz w:val="24"/>
        </w:rPr>
        <w:t>制造商名称（公章</w:t>
      </w:r>
      <w:r>
        <w:rPr>
          <w:rFonts w:hint="eastAsia" w:ascii="仿宋" w:hAnsi="仿宋" w:eastAsia="仿宋" w:cs="仿宋"/>
          <w:spacing w:val="1"/>
          <w:sz w:val="24"/>
        </w:rPr>
        <w:t>）：</w:t>
      </w:r>
    </w:p>
    <w:p>
      <w:pPr>
        <w:spacing w:before="300" w:line="426" w:lineRule="auto"/>
        <w:ind w:left="3135"/>
        <w:rPr>
          <w:rFonts w:ascii="仿宋" w:hAnsi="仿宋" w:eastAsia="仿宋" w:cs="仿宋"/>
          <w:sz w:val="24"/>
        </w:rPr>
      </w:pPr>
      <w:r>
        <w:rPr>
          <w:rFonts w:hint="eastAsia" w:ascii="仿宋" w:hAnsi="仿宋" w:eastAsia="仿宋" w:cs="仿宋"/>
          <w:spacing w:val="-1"/>
          <w:sz w:val="24"/>
        </w:rPr>
        <w:t>投标人名称（公章</w:t>
      </w:r>
      <w:r>
        <w:rPr>
          <w:rFonts w:hint="eastAsia" w:ascii="仿宋" w:hAnsi="仿宋" w:eastAsia="仿宋" w:cs="仿宋"/>
          <w:spacing w:val="1"/>
          <w:sz w:val="24"/>
        </w:rPr>
        <w:t>）：</w:t>
      </w:r>
      <w:r>
        <w:rPr>
          <w:rFonts w:hint="eastAsia" w:ascii="仿宋" w:hAnsi="仿宋" w:eastAsia="仿宋" w:cs="仿宋"/>
          <w:sz w:val="24"/>
          <w:u w:val="single"/>
        </w:rPr>
        <w:t xml:space="preserve">                 </w:t>
      </w:r>
    </w:p>
    <w:p>
      <w:pPr>
        <w:spacing w:line="180" w:lineRule="auto"/>
        <w:ind w:left="3168"/>
        <w:rPr>
          <w:rFonts w:ascii="仿宋" w:hAnsi="仿宋" w:eastAsia="仿宋" w:cs="仿宋"/>
          <w:sz w:val="24"/>
        </w:rPr>
        <w:sectPr>
          <w:headerReference r:id="rId11" w:type="default"/>
          <w:footerReference r:id="rId12" w:type="default"/>
          <w:pgSz w:w="11906" w:h="16839"/>
          <w:pgMar w:top="1274" w:right="1728" w:bottom="1171" w:left="1785" w:header="852" w:footer="992" w:gutter="0"/>
          <w:cols w:space="720" w:num="1"/>
        </w:sectPr>
      </w:pPr>
      <w:r>
        <w:rPr>
          <w:rFonts w:hint="eastAsia" w:ascii="仿宋" w:hAnsi="仿宋" w:eastAsia="仿宋" w:cs="仿宋"/>
          <w:spacing w:val="-14"/>
          <w:sz w:val="24"/>
        </w:rPr>
        <w:t>日</w:t>
      </w:r>
      <w:r>
        <w:rPr>
          <w:rFonts w:hint="eastAsia" w:ascii="仿宋" w:hAnsi="仿宋" w:eastAsia="仿宋" w:cs="仿宋"/>
          <w:spacing w:val="10"/>
          <w:sz w:val="24"/>
        </w:rPr>
        <w:t xml:space="preserve">   </w:t>
      </w:r>
      <w:r>
        <w:rPr>
          <w:rFonts w:hint="eastAsia" w:ascii="仿宋" w:hAnsi="仿宋" w:eastAsia="仿宋" w:cs="仿宋"/>
          <w:spacing w:val="-14"/>
          <w:sz w:val="24"/>
        </w:rPr>
        <w:t>期：</w:t>
      </w:r>
      <w:r>
        <w:rPr>
          <w:rFonts w:hint="eastAsia" w:ascii="仿宋" w:hAnsi="仿宋" w:eastAsia="仿宋" w:cs="仿宋"/>
          <w:sz w:val="24"/>
          <w:u w:val="single"/>
        </w:rPr>
        <w:t xml:space="preserve">                  </w:t>
      </w:r>
    </w:p>
    <w:bookmarkEnd w:id="1013"/>
    <w:bookmarkEnd w:id="1040"/>
    <w:bookmarkEnd w:id="1041"/>
    <w:bookmarkEnd w:id="1042"/>
    <w:bookmarkEnd w:id="1043"/>
    <w:bookmarkEnd w:id="1044"/>
    <w:p>
      <w:pPr>
        <w:pStyle w:val="88"/>
        <w:ind w:firstLine="0" w:firstLineChars="0"/>
        <w:jc w:val="both"/>
        <w:rPr>
          <w:rFonts w:ascii="仿宋" w:hAnsi="仿宋" w:eastAsia="仿宋" w:cs="仿宋"/>
        </w:rPr>
      </w:pPr>
      <w:bookmarkStart w:id="1045" w:name="_Toc15187"/>
      <w:bookmarkStart w:id="1046" w:name="_Toc30795"/>
      <w:bookmarkStart w:id="1047" w:name="_Toc6646"/>
      <w:bookmarkStart w:id="1048" w:name="_Toc15893"/>
      <w:bookmarkStart w:id="1049" w:name="_Toc24363"/>
      <w:bookmarkStart w:id="1050" w:name="_Toc10002"/>
      <w:bookmarkStart w:id="1051" w:name="_Toc6272"/>
      <w:bookmarkStart w:id="1052" w:name="_Toc8302"/>
      <w:bookmarkStart w:id="1053" w:name="_Toc7250"/>
      <w:bookmarkStart w:id="1054" w:name="_Toc8592"/>
      <w:bookmarkStart w:id="1055" w:name="_Toc14100"/>
      <w:bookmarkStart w:id="1056" w:name="_Toc515647827"/>
      <w:bookmarkStart w:id="1057" w:name="_Toc28099"/>
      <w:bookmarkStart w:id="1058" w:name="_Toc26500"/>
      <w:bookmarkStart w:id="1059" w:name="_Toc15185"/>
      <w:bookmarkStart w:id="1060" w:name="_Toc16449"/>
      <w:bookmarkStart w:id="1061" w:name="_Toc12381"/>
    </w:p>
    <w:p>
      <w:pPr>
        <w:pStyle w:val="7"/>
        <w:widowControl/>
        <w:spacing w:before="0" w:after="0" w:line="288" w:lineRule="auto"/>
        <w:ind w:left="1079" w:leftChars="257" w:hanging="539"/>
        <w:jc w:val="center"/>
        <w:textAlignment w:val="baseline"/>
        <w:rPr>
          <w:rFonts w:ascii="仿宋" w:hAnsi="仿宋" w:eastAsia="仿宋" w:cs="仿宋"/>
          <w:u w:val="none"/>
        </w:rPr>
      </w:pPr>
      <w:bookmarkStart w:id="1062" w:name="_Toc8798"/>
      <w:r>
        <w:rPr>
          <w:rFonts w:hint="eastAsia" w:ascii="仿宋" w:hAnsi="仿宋" w:eastAsia="仿宋" w:cs="仿宋"/>
          <w:u w:val="none"/>
        </w:rPr>
        <w:t>7   投标人关联单位的说明</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p>
    <w:p>
      <w:pPr>
        <w:pStyle w:val="9"/>
        <w:snapToGrid w:val="0"/>
        <w:jc w:val="center"/>
        <w:textAlignment w:val="baseline"/>
        <w:rPr>
          <w:rFonts w:ascii="仿宋" w:hAnsi="仿宋" w:eastAsia="仿宋" w:cs="仿宋"/>
        </w:rPr>
      </w:pPr>
    </w:p>
    <w:p>
      <w:pPr>
        <w:pStyle w:val="9"/>
        <w:snapToGrid w:val="0"/>
        <w:ind w:firstLine="480" w:firstLineChars="200"/>
        <w:textAlignment w:val="baseline"/>
        <w:rPr>
          <w:rFonts w:ascii="仿宋" w:hAnsi="仿宋" w:eastAsia="仿宋" w:cs="仿宋"/>
        </w:rPr>
      </w:pPr>
      <w:r>
        <w:rPr>
          <w:rFonts w:hint="eastAsia" w:ascii="仿宋" w:hAnsi="仿宋" w:eastAsia="仿宋" w:cs="仿宋"/>
        </w:rPr>
        <w:t>说明：投标人应当如实披露与本单位存在下列关联关系的单位名称：</w:t>
      </w:r>
    </w:p>
    <w:p>
      <w:pPr>
        <w:pStyle w:val="9"/>
        <w:snapToGrid w:val="0"/>
        <w:ind w:firstLine="480" w:firstLineChars="200"/>
        <w:textAlignment w:val="baseline"/>
        <w:rPr>
          <w:rFonts w:ascii="仿宋" w:hAnsi="仿宋" w:eastAsia="仿宋" w:cs="仿宋"/>
        </w:rPr>
      </w:pPr>
      <w:r>
        <w:rPr>
          <w:rFonts w:hint="eastAsia" w:ascii="仿宋" w:hAnsi="仿宋" w:eastAsia="仿宋" w:cs="仿宋"/>
        </w:rPr>
        <w:t>（1）与投标人单位负责人为同一人的其他单位；</w:t>
      </w:r>
    </w:p>
    <w:p>
      <w:pPr>
        <w:pStyle w:val="9"/>
        <w:snapToGrid w:val="0"/>
        <w:ind w:firstLine="480" w:firstLineChars="200"/>
        <w:textAlignment w:val="baseline"/>
        <w:rPr>
          <w:rFonts w:ascii="仿宋" w:hAnsi="仿宋" w:eastAsia="仿宋" w:cs="仿宋"/>
        </w:rPr>
      </w:pPr>
      <w:r>
        <w:rPr>
          <w:rFonts w:hint="eastAsia" w:ascii="仿宋" w:hAnsi="仿宋" w:eastAsia="仿宋" w:cs="仿宋"/>
        </w:rPr>
        <w:t>（2）与投标人存在直接控股、管理关系的其他单位。</w:t>
      </w:r>
    </w:p>
    <w:p>
      <w:pPr>
        <w:pStyle w:val="26"/>
        <w:textAlignment w:val="baseline"/>
        <w:rPr>
          <w:rFonts w:ascii="仿宋" w:hAnsi="仿宋" w:eastAsia="仿宋" w:cs="仿宋"/>
          <w:b/>
          <w:kern w:val="0"/>
          <w:sz w:val="24"/>
          <w:szCs w:val="20"/>
        </w:rPr>
      </w:pPr>
    </w:p>
    <w:p>
      <w:pPr>
        <w:pStyle w:val="2"/>
        <w:rPr>
          <w:rFonts w:ascii="仿宋" w:hAnsi="仿宋" w:eastAsia="仿宋" w:cs="仿宋"/>
        </w:rPr>
      </w:pPr>
    </w:p>
    <w:p>
      <w:pPr>
        <w:pStyle w:val="7"/>
        <w:widowControl/>
        <w:spacing w:before="0" w:after="0" w:line="288" w:lineRule="auto"/>
        <w:ind w:left="1079" w:leftChars="257" w:hanging="539"/>
        <w:jc w:val="center"/>
        <w:textAlignment w:val="baseline"/>
        <w:rPr>
          <w:rFonts w:ascii="仿宋" w:hAnsi="仿宋" w:eastAsia="仿宋" w:cs="仿宋"/>
          <w:u w:val="none"/>
        </w:rPr>
      </w:pPr>
      <w:bookmarkStart w:id="1063" w:name="_Toc16143"/>
      <w:bookmarkStart w:id="1064" w:name="_Toc25797"/>
      <w:bookmarkStart w:id="1065" w:name="_Toc30965"/>
      <w:bookmarkStart w:id="1066" w:name="_Toc793"/>
      <w:bookmarkStart w:id="1067" w:name="_Toc28623"/>
      <w:bookmarkStart w:id="1068" w:name="_Toc26379"/>
      <w:bookmarkStart w:id="1069" w:name="_Toc17479"/>
      <w:r>
        <w:rPr>
          <w:rFonts w:hint="eastAsia" w:ascii="仿宋" w:hAnsi="仿宋" w:eastAsia="仿宋" w:cs="仿宋"/>
          <w:u w:val="none"/>
        </w:rPr>
        <w:t>8 其他有利于投标人的文件或证明材料</w:t>
      </w:r>
      <w:bookmarkEnd w:id="1063"/>
      <w:bookmarkEnd w:id="1064"/>
      <w:bookmarkEnd w:id="1065"/>
      <w:bookmarkEnd w:id="1066"/>
      <w:bookmarkEnd w:id="1067"/>
      <w:bookmarkEnd w:id="1068"/>
      <w:bookmarkEnd w:id="1069"/>
    </w:p>
    <w:p>
      <w:pPr>
        <w:pStyle w:val="26"/>
        <w:ind w:left="480" w:hanging="480" w:hangingChars="200"/>
        <w:textAlignment w:val="baseline"/>
        <w:rPr>
          <w:rFonts w:ascii="仿宋" w:hAnsi="仿宋" w:eastAsia="仿宋" w:cs="仿宋"/>
          <w:color w:val="000000"/>
          <w:sz w:val="24"/>
        </w:rPr>
      </w:pPr>
    </w:p>
    <w:p>
      <w:pPr>
        <w:pStyle w:val="26"/>
        <w:ind w:left="479" w:leftChars="228" w:firstLine="720" w:firstLineChars="300"/>
        <w:textAlignment w:val="baseline"/>
        <w:rPr>
          <w:rFonts w:ascii="仿宋" w:hAnsi="仿宋" w:eastAsia="仿宋" w:cs="仿宋"/>
          <w:color w:val="000000"/>
          <w:sz w:val="24"/>
        </w:rPr>
      </w:pPr>
      <w:r>
        <w:rPr>
          <w:rFonts w:hint="eastAsia" w:ascii="仿宋" w:hAnsi="仿宋" w:eastAsia="仿宋" w:cs="仿宋"/>
          <w:color w:val="000000"/>
          <w:sz w:val="24"/>
        </w:rPr>
        <w:t>提供有利于投标人的其他证明文件或材料（格式自拟）</w:t>
      </w:r>
    </w:p>
    <w:p>
      <w:pPr>
        <w:pStyle w:val="88"/>
        <w:rPr>
          <w:rFonts w:ascii="仿宋" w:hAnsi="仿宋" w:eastAsia="仿宋" w:cs="仿宋"/>
        </w:rPr>
      </w:pPr>
      <w:bookmarkStart w:id="1070" w:name="_Toc26225"/>
      <w:bookmarkStart w:id="1071" w:name="_Toc283"/>
      <w:bookmarkStart w:id="1072" w:name="_Toc9667"/>
      <w:bookmarkStart w:id="1073" w:name="_Toc9043"/>
      <w:bookmarkStart w:id="1074" w:name="_Toc22391"/>
      <w:bookmarkStart w:id="1075" w:name="_Toc31553"/>
      <w:bookmarkStart w:id="1076" w:name="_Toc15737"/>
    </w:p>
    <w:p>
      <w:pPr>
        <w:rPr>
          <w:rFonts w:ascii="仿宋" w:hAnsi="仿宋" w:eastAsia="仿宋" w:cs="仿宋"/>
        </w:rPr>
      </w:pPr>
    </w:p>
    <w:p>
      <w:pPr>
        <w:pStyle w:val="7"/>
        <w:widowControl/>
        <w:spacing w:before="0" w:after="0" w:line="288" w:lineRule="auto"/>
        <w:ind w:left="1079" w:leftChars="257" w:hanging="539"/>
        <w:jc w:val="center"/>
        <w:textAlignment w:val="baseline"/>
        <w:rPr>
          <w:rFonts w:ascii="仿宋" w:hAnsi="仿宋" w:eastAsia="仿宋" w:cs="仿宋"/>
          <w:u w:val="none"/>
        </w:rPr>
      </w:pPr>
      <w:bookmarkStart w:id="1077" w:name="_Toc26615"/>
      <w:bookmarkStart w:id="1078" w:name="_Toc22724"/>
      <w:bookmarkStart w:id="1079" w:name="_Toc21986"/>
      <w:bookmarkStart w:id="1080" w:name="_Toc21278"/>
      <w:bookmarkStart w:id="1081" w:name="_Toc30537"/>
      <w:bookmarkStart w:id="1082" w:name="_Toc3765"/>
      <w:r>
        <w:rPr>
          <w:rFonts w:hint="eastAsia" w:ascii="仿宋" w:hAnsi="仿宋" w:eastAsia="仿宋" w:cs="仿宋"/>
          <w:u w:val="none"/>
        </w:rPr>
        <w:t>9 对本项目投标文件中资料真实性的承诺</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snapToGrid w:val="0"/>
        <w:textAlignment w:val="baseline"/>
        <w:rPr>
          <w:rFonts w:ascii="仿宋" w:hAnsi="仿宋" w:eastAsia="仿宋" w:cs="仿宋"/>
          <w:b/>
          <w:sz w:val="28"/>
          <w:szCs w:val="28"/>
        </w:rPr>
      </w:pPr>
    </w:p>
    <w:p>
      <w:pPr>
        <w:snapToGrid w:val="0"/>
        <w:spacing w:line="360" w:lineRule="auto"/>
        <w:jc w:val="left"/>
        <w:textAlignment w:val="baseline"/>
        <w:rPr>
          <w:rFonts w:ascii="仿宋" w:hAnsi="仿宋" w:eastAsia="仿宋" w:cs="仿宋"/>
          <w:b/>
          <w:sz w:val="24"/>
        </w:rPr>
      </w:pPr>
      <w:r>
        <w:rPr>
          <w:rFonts w:hint="eastAsia" w:ascii="仿宋" w:hAnsi="仿宋" w:eastAsia="仿宋" w:cs="仿宋"/>
          <w:b/>
          <w:sz w:val="24"/>
        </w:rPr>
        <w:t>****项目评标委员会：</w:t>
      </w:r>
    </w:p>
    <w:p>
      <w:pPr>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kern w:val="0"/>
          <w:sz w:val="24"/>
          <w:szCs w:val="20"/>
        </w:rPr>
        <w:t>根据《中华人民共和国政府采购法》、《中华人民共和国政府采购法实施</w:t>
      </w:r>
      <w:r>
        <w:rPr>
          <w:rFonts w:hint="eastAsia" w:ascii="仿宋" w:hAnsi="仿宋" w:eastAsia="仿宋" w:cs="仿宋"/>
          <w:sz w:val="24"/>
        </w:rPr>
        <w:t>条例》等有关法律、法规的规定和</w:t>
      </w:r>
      <w:r>
        <w:rPr>
          <w:rFonts w:hint="eastAsia" w:ascii="仿宋" w:hAnsi="仿宋" w:eastAsia="仿宋" w:cs="仿宋"/>
          <w:sz w:val="24"/>
          <w:u w:val="single" w:color="000000"/>
        </w:rPr>
        <w:t>    ***项目项目编号***、第**标段  </w:t>
      </w:r>
      <w:r>
        <w:rPr>
          <w:rFonts w:hint="eastAsia" w:ascii="仿宋" w:hAnsi="仿宋" w:eastAsia="仿宋" w:cs="仿宋"/>
          <w:sz w:val="24"/>
        </w:rPr>
        <w:t>的招标文件（或竞争性谈判文件）的要求，我公司在参加</w:t>
      </w:r>
      <w:r>
        <w:rPr>
          <w:rFonts w:hint="eastAsia" w:ascii="仿宋" w:hAnsi="仿宋" w:eastAsia="仿宋" w:cs="仿宋"/>
          <w:sz w:val="24"/>
          <w:u w:val="single" w:color="000000"/>
        </w:rPr>
        <w:t xml:space="preserve"> ***项目项目编号***、第**标段 </w:t>
      </w:r>
      <w:r>
        <w:rPr>
          <w:rFonts w:hint="eastAsia" w:ascii="仿宋" w:hAnsi="仿宋" w:eastAsia="仿宋" w:cs="仿宋"/>
          <w:sz w:val="24"/>
        </w:rPr>
        <w:t>投标文件中所提供资料真实性作如下承诺：</w:t>
      </w:r>
    </w:p>
    <w:p>
      <w:pPr>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我公司将严格按招标文件</w:t>
      </w:r>
      <w:bookmarkStart w:id="1083" w:name="_Hlk5982690"/>
      <w:r>
        <w:rPr>
          <w:rFonts w:hint="eastAsia" w:ascii="仿宋" w:hAnsi="仿宋" w:eastAsia="仿宋" w:cs="仿宋"/>
          <w:sz w:val="24"/>
        </w:rPr>
        <w:t>（或竞争性谈判）</w:t>
      </w:r>
      <w:bookmarkEnd w:id="1083"/>
      <w:r>
        <w:rPr>
          <w:rFonts w:hint="eastAsia" w:ascii="仿宋" w:hAnsi="仿宋" w:eastAsia="仿宋" w:cs="仿宋"/>
          <w:sz w:val="24"/>
        </w:rPr>
        <w:t xml:space="preserve">要求，在编制本投标文件（投标文件）时，对投标文件中所提供的资料全部真实和正确，并对提供的所有资料（资格、其他材料等）的真实性负责！ </w:t>
      </w:r>
    </w:p>
    <w:p>
      <w:pPr>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对提供的全部资料中有存在不真实（伪造或租借等虚假资料）情形，将无条件接受任何处罚，自行承担由此引起的一切责任！</w:t>
      </w:r>
    </w:p>
    <w:p>
      <w:pPr>
        <w:snapToGrid w:val="0"/>
        <w:spacing w:line="360" w:lineRule="auto"/>
        <w:ind w:firstLine="720" w:firstLineChars="300"/>
        <w:textAlignment w:val="baseline"/>
        <w:rPr>
          <w:rFonts w:ascii="仿宋" w:hAnsi="仿宋" w:eastAsia="仿宋" w:cs="仿宋"/>
          <w:sz w:val="24"/>
        </w:rPr>
      </w:pPr>
      <w:r>
        <w:rPr>
          <w:rFonts w:hint="eastAsia" w:ascii="仿宋" w:hAnsi="仿宋" w:eastAsia="仿宋" w:cs="仿宋"/>
          <w:sz w:val="24"/>
        </w:rPr>
        <w:t>特此承诺</w:t>
      </w:r>
    </w:p>
    <w:p>
      <w:pPr>
        <w:snapToGrid w:val="0"/>
        <w:spacing w:line="360" w:lineRule="auto"/>
        <w:ind w:firstLine="4080" w:firstLineChars="1700"/>
        <w:textAlignment w:val="baseline"/>
        <w:rPr>
          <w:rFonts w:ascii="仿宋" w:hAnsi="仿宋" w:eastAsia="仿宋" w:cs="仿宋"/>
          <w:sz w:val="24"/>
        </w:rPr>
      </w:pPr>
      <w:r>
        <w:rPr>
          <w:rFonts w:hint="eastAsia" w:ascii="仿宋" w:hAnsi="仿宋" w:eastAsia="仿宋" w:cs="仿宋"/>
          <w:sz w:val="24"/>
        </w:rPr>
        <w:t xml:space="preserve">投标人名称（加盖公章）：                        </w:t>
      </w:r>
    </w:p>
    <w:p>
      <w:pPr>
        <w:snapToGrid w:val="0"/>
        <w:spacing w:line="360" w:lineRule="auto"/>
        <w:ind w:firstLine="4080" w:firstLineChars="1700"/>
        <w:textAlignment w:val="baseline"/>
        <w:rPr>
          <w:rFonts w:ascii="仿宋" w:hAnsi="仿宋" w:eastAsia="仿宋" w:cs="仿宋"/>
          <w:sz w:val="24"/>
        </w:rPr>
      </w:pPr>
      <w:r>
        <w:rPr>
          <w:rFonts w:hint="eastAsia" w:ascii="仿宋" w:hAnsi="仿宋" w:eastAsia="仿宋" w:cs="仿宋"/>
          <w:sz w:val="24"/>
        </w:rPr>
        <w:t>法定代表人（签字或签章）：</w:t>
      </w:r>
    </w:p>
    <w:p>
      <w:pPr>
        <w:snapToGrid w:val="0"/>
        <w:spacing w:line="360" w:lineRule="auto"/>
        <w:ind w:firstLine="720" w:firstLineChars="300"/>
        <w:textAlignment w:val="baseline"/>
        <w:rPr>
          <w:rFonts w:ascii="仿宋" w:hAnsi="仿宋" w:eastAsia="仿宋" w:cs="仿宋"/>
          <w:sz w:val="24"/>
        </w:rPr>
      </w:pPr>
      <w:r>
        <w:rPr>
          <w:rFonts w:hint="eastAsia" w:ascii="仿宋" w:hAnsi="仿宋" w:eastAsia="仿宋" w:cs="仿宋"/>
          <w:sz w:val="24"/>
        </w:rPr>
        <w:t xml:space="preserve">                            联系方式：                         </w:t>
      </w:r>
    </w:p>
    <w:p>
      <w:pPr>
        <w:snapToGrid w:val="0"/>
        <w:spacing w:line="360" w:lineRule="auto"/>
        <w:ind w:firstLine="4560" w:firstLineChars="1900"/>
        <w:textAlignment w:val="baseline"/>
        <w:rPr>
          <w:rFonts w:ascii="仿宋" w:hAnsi="仿宋" w:eastAsia="仿宋" w:cs="仿宋"/>
          <w:sz w:val="24"/>
        </w:rPr>
      </w:pPr>
      <w:r>
        <w:rPr>
          <w:rFonts w:hint="eastAsia" w:ascii="仿宋" w:hAnsi="仿宋" w:eastAsia="仿宋" w:cs="仿宋"/>
          <w:sz w:val="24"/>
        </w:rPr>
        <w:t>年      月       日</w:t>
      </w:r>
    </w:p>
    <w:p>
      <w:pPr>
        <w:spacing w:line="240" w:lineRule="atLeast"/>
        <w:rPr>
          <w:rFonts w:ascii="仿宋" w:hAnsi="仿宋" w:eastAsia="仿宋" w:cs="仿宋"/>
          <w:b/>
          <w:sz w:val="30"/>
          <w:szCs w:val="30"/>
        </w:rPr>
      </w:pPr>
    </w:p>
    <w:p>
      <w:pPr>
        <w:pStyle w:val="26"/>
        <w:rPr>
          <w:rFonts w:ascii="仿宋" w:hAnsi="仿宋" w:eastAsia="仿宋" w:cs="仿宋"/>
          <w:b/>
          <w:sz w:val="30"/>
          <w:szCs w:val="30"/>
        </w:rPr>
      </w:pPr>
    </w:p>
    <w:p>
      <w:pPr>
        <w:spacing w:line="240" w:lineRule="atLeast"/>
        <w:ind w:left="1080" w:leftChars="257" w:hanging="540"/>
        <w:jc w:val="center"/>
        <w:rPr>
          <w:rFonts w:ascii="仿宋" w:hAnsi="仿宋" w:eastAsia="仿宋" w:cs="仿宋"/>
          <w:b/>
          <w:sz w:val="52"/>
          <w:szCs w:val="52"/>
        </w:rPr>
      </w:pPr>
    </w:p>
    <w:p>
      <w:pPr>
        <w:spacing w:line="240" w:lineRule="atLeast"/>
        <w:rPr>
          <w:rFonts w:ascii="仿宋" w:hAnsi="仿宋" w:eastAsia="仿宋" w:cs="仿宋"/>
          <w:b/>
          <w:sz w:val="52"/>
          <w:szCs w:val="52"/>
        </w:rPr>
      </w:pPr>
    </w:p>
    <w:p>
      <w:pPr>
        <w:pStyle w:val="14"/>
        <w:ind w:left="0" w:leftChars="0" w:right="1470"/>
        <w:rPr>
          <w:rFonts w:ascii="仿宋" w:hAnsi="仿宋" w:eastAsia="仿宋" w:cs="仿宋"/>
          <w:b/>
          <w:sz w:val="52"/>
          <w:szCs w:val="52"/>
        </w:rPr>
      </w:pPr>
    </w:p>
    <w:p>
      <w:pPr>
        <w:widowControl/>
        <w:jc w:val="left"/>
        <w:rPr>
          <w:rFonts w:ascii="仿宋" w:hAnsi="仿宋" w:eastAsia="仿宋" w:cs="仿宋"/>
          <w:b/>
          <w:sz w:val="52"/>
          <w:szCs w:val="52"/>
        </w:rPr>
      </w:pPr>
    </w:p>
    <w:p>
      <w:pPr>
        <w:widowControl/>
        <w:jc w:val="left"/>
        <w:rPr>
          <w:rFonts w:ascii="仿宋" w:hAnsi="仿宋" w:eastAsia="仿宋" w:cs="仿宋"/>
          <w:b/>
          <w:sz w:val="52"/>
          <w:szCs w:val="52"/>
        </w:rPr>
      </w:pPr>
    </w:p>
    <w:p>
      <w:pPr>
        <w:spacing w:line="240" w:lineRule="atLeast"/>
        <w:jc w:val="center"/>
        <w:rPr>
          <w:rFonts w:ascii="仿宋" w:hAnsi="仿宋" w:eastAsia="仿宋" w:cs="仿宋"/>
          <w:b/>
          <w:sz w:val="52"/>
          <w:szCs w:val="52"/>
        </w:rPr>
      </w:pPr>
      <w:r>
        <w:rPr>
          <w:rFonts w:hint="eastAsia" w:ascii="仿宋" w:hAnsi="仿宋" w:eastAsia="仿宋" w:cs="仿宋"/>
          <w:b/>
          <w:sz w:val="52"/>
          <w:szCs w:val="52"/>
        </w:rPr>
        <w:t>货物类</w:t>
      </w:r>
    </w:p>
    <w:p>
      <w:pPr>
        <w:pStyle w:val="26"/>
        <w:rPr>
          <w:rFonts w:ascii="仿宋" w:hAnsi="仿宋" w:eastAsia="仿宋" w:cs="仿宋"/>
          <w:b/>
          <w:sz w:val="52"/>
          <w:szCs w:val="52"/>
        </w:rPr>
      </w:pPr>
    </w:p>
    <w:p>
      <w:pPr>
        <w:pStyle w:val="10"/>
        <w:ind w:left="1680"/>
        <w:rPr>
          <w:rFonts w:ascii="仿宋" w:hAnsi="仿宋" w:eastAsia="仿宋" w:cs="仿宋"/>
        </w:rPr>
      </w:pPr>
    </w:p>
    <w:p>
      <w:pPr>
        <w:spacing w:line="240" w:lineRule="atLeast"/>
        <w:ind w:left="1080" w:leftChars="257" w:hanging="540"/>
        <w:jc w:val="center"/>
        <w:rPr>
          <w:rFonts w:ascii="仿宋" w:hAnsi="仿宋" w:eastAsia="仿宋" w:cs="仿宋"/>
          <w:b/>
          <w:sz w:val="52"/>
          <w:szCs w:val="52"/>
        </w:rPr>
      </w:pPr>
      <w:r>
        <w:rPr>
          <w:rFonts w:hint="eastAsia" w:ascii="仿宋" w:hAnsi="仿宋" w:eastAsia="仿宋" w:cs="仿宋"/>
          <w:b/>
          <w:sz w:val="52"/>
          <w:szCs w:val="52"/>
        </w:rPr>
        <w:t>政府采购公开招标文件</w:t>
      </w:r>
    </w:p>
    <w:p>
      <w:pPr>
        <w:pStyle w:val="26"/>
        <w:rPr>
          <w:rFonts w:ascii="仿宋" w:hAnsi="仿宋" w:eastAsia="仿宋" w:cs="仿宋"/>
        </w:rPr>
      </w:pPr>
    </w:p>
    <w:p>
      <w:pPr>
        <w:spacing w:line="240" w:lineRule="atLeast"/>
        <w:ind w:left="1080" w:leftChars="257" w:hanging="540"/>
        <w:rPr>
          <w:rFonts w:ascii="仿宋" w:hAnsi="仿宋" w:eastAsia="仿宋" w:cs="仿宋"/>
          <w:b/>
          <w:sz w:val="28"/>
        </w:rPr>
      </w:pPr>
    </w:p>
    <w:p>
      <w:pPr>
        <w:pStyle w:val="26"/>
        <w:rPr>
          <w:rFonts w:ascii="仿宋" w:hAnsi="仿宋" w:eastAsia="仿宋" w:cs="仿宋"/>
          <w:b/>
          <w:sz w:val="28"/>
        </w:rPr>
      </w:pPr>
    </w:p>
    <w:p>
      <w:pPr>
        <w:pStyle w:val="2"/>
        <w:rPr>
          <w:rFonts w:ascii="仿宋" w:hAnsi="仿宋" w:eastAsia="仿宋" w:cs="仿宋"/>
        </w:rPr>
      </w:pPr>
    </w:p>
    <w:p>
      <w:pPr>
        <w:pStyle w:val="26"/>
        <w:rPr>
          <w:rFonts w:ascii="仿宋" w:hAnsi="仿宋" w:eastAsia="仿宋" w:cs="仿宋"/>
        </w:rPr>
      </w:pPr>
    </w:p>
    <w:p>
      <w:pPr>
        <w:spacing w:line="240" w:lineRule="atLeast"/>
        <w:ind w:left="1080" w:leftChars="257" w:hanging="540"/>
        <w:jc w:val="center"/>
        <w:rPr>
          <w:rFonts w:ascii="仿宋" w:hAnsi="仿宋" w:eastAsia="仿宋" w:cs="仿宋"/>
          <w:b/>
          <w:sz w:val="48"/>
          <w:szCs w:val="48"/>
        </w:rPr>
      </w:pPr>
      <w:r>
        <w:rPr>
          <w:rFonts w:hint="eastAsia" w:ascii="仿宋" w:hAnsi="仿宋" w:eastAsia="仿宋" w:cs="仿宋"/>
          <w:b/>
          <w:sz w:val="48"/>
          <w:szCs w:val="48"/>
        </w:rPr>
        <w:t>第二册</w:t>
      </w:r>
    </w:p>
    <w:p>
      <w:pPr>
        <w:spacing w:line="240" w:lineRule="atLeast"/>
        <w:ind w:left="1080" w:leftChars="257" w:hanging="540"/>
        <w:rPr>
          <w:rFonts w:ascii="仿宋" w:hAnsi="仿宋" w:eastAsia="仿宋" w:cs="仿宋"/>
          <w:b/>
          <w:sz w:val="28"/>
        </w:rPr>
      </w:pPr>
    </w:p>
    <w:p>
      <w:pPr>
        <w:spacing w:line="240" w:lineRule="atLeast"/>
        <w:ind w:left="1080" w:leftChars="257" w:hanging="540"/>
        <w:rPr>
          <w:rFonts w:ascii="仿宋" w:hAnsi="仿宋" w:eastAsia="仿宋" w:cs="仿宋"/>
          <w:b/>
          <w:sz w:val="28"/>
        </w:rPr>
      </w:pPr>
    </w:p>
    <w:p>
      <w:pPr>
        <w:spacing w:line="240" w:lineRule="atLeast"/>
        <w:ind w:left="1080" w:leftChars="257" w:hanging="540"/>
        <w:rPr>
          <w:rFonts w:ascii="仿宋" w:hAnsi="仿宋" w:eastAsia="仿宋" w:cs="仿宋"/>
          <w:b/>
          <w:sz w:val="28"/>
        </w:rPr>
      </w:pPr>
    </w:p>
    <w:p>
      <w:pPr>
        <w:spacing w:line="240" w:lineRule="atLeast"/>
        <w:ind w:left="1080" w:leftChars="257" w:hanging="540"/>
        <w:rPr>
          <w:rFonts w:ascii="仿宋" w:hAnsi="仿宋" w:eastAsia="仿宋" w:cs="仿宋"/>
          <w:b/>
          <w:sz w:val="28"/>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spacing w:line="240" w:lineRule="atLeast"/>
        <w:ind w:left="1080" w:leftChars="257" w:hanging="540"/>
        <w:jc w:val="center"/>
        <w:rPr>
          <w:rFonts w:ascii="仿宋" w:hAnsi="仿宋" w:eastAsia="仿宋" w:cs="仿宋"/>
          <w:b/>
          <w:sz w:val="52"/>
        </w:rPr>
      </w:pPr>
    </w:p>
    <w:p>
      <w:pPr>
        <w:pStyle w:val="26"/>
        <w:rPr>
          <w:rFonts w:ascii="仿宋" w:hAnsi="仿宋" w:eastAsia="仿宋" w:cs="仿宋"/>
          <w:b/>
          <w:sz w:val="52"/>
        </w:rPr>
      </w:pPr>
    </w:p>
    <w:p>
      <w:pPr>
        <w:rPr>
          <w:rFonts w:ascii="仿宋" w:hAnsi="仿宋" w:eastAsia="仿宋" w:cs="仿宋"/>
          <w:sz w:val="44"/>
          <w:szCs w:val="44"/>
        </w:rPr>
      </w:pPr>
      <w:bookmarkStart w:id="1084" w:name="_Toc32685"/>
      <w:bookmarkStart w:id="1085" w:name="_Toc9982"/>
      <w:bookmarkStart w:id="1086" w:name="_Toc16520"/>
      <w:r>
        <w:rPr>
          <w:rFonts w:hint="eastAsia" w:ascii="仿宋" w:hAnsi="仿宋" w:eastAsia="仿宋" w:cs="仿宋"/>
          <w:sz w:val="44"/>
          <w:szCs w:val="44"/>
        </w:rPr>
        <w:br w:type="page"/>
      </w:r>
    </w:p>
    <w:p>
      <w:pPr>
        <w:pStyle w:val="5"/>
        <w:tabs>
          <w:tab w:val="left" w:pos="0"/>
        </w:tabs>
        <w:spacing w:before="0" w:after="0" w:line="240" w:lineRule="atLeast"/>
        <w:ind w:firstLine="2650" w:firstLineChars="600"/>
        <w:jc w:val="both"/>
        <w:rPr>
          <w:rFonts w:ascii="仿宋" w:hAnsi="仿宋" w:eastAsia="仿宋" w:cs="仿宋"/>
          <w:sz w:val="44"/>
          <w:szCs w:val="44"/>
        </w:rPr>
      </w:pPr>
      <w:r>
        <w:rPr>
          <w:rFonts w:hint="eastAsia" w:ascii="仿宋" w:hAnsi="仿宋" w:eastAsia="仿宋" w:cs="仿宋"/>
          <w:sz w:val="44"/>
          <w:szCs w:val="44"/>
        </w:rPr>
        <w:t>第三章 投标邀请</w:t>
      </w:r>
      <w:bookmarkEnd w:id="778"/>
      <w:bookmarkEnd w:id="1084"/>
      <w:bookmarkEnd w:id="1085"/>
      <w:bookmarkEnd w:id="1086"/>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8528" w:type="dxa"/>
          </w:tcPr>
          <w:p>
            <w:pPr>
              <w:spacing w:line="500" w:lineRule="exact"/>
              <w:rPr>
                <w:rFonts w:ascii="仿宋" w:hAnsi="仿宋" w:eastAsia="仿宋" w:cs="仿宋"/>
                <w:b/>
                <w:bCs/>
                <w:sz w:val="24"/>
              </w:rPr>
            </w:pPr>
            <w:r>
              <w:rPr>
                <w:rFonts w:hint="eastAsia" w:ascii="仿宋" w:hAnsi="仿宋" w:eastAsia="仿宋" w:cs="仿宋"/>
                <w:b/>
                <w:bCs/>
                <w:sz w:val="24"/>
              </w:rPr>
              <w:t>项目概况</w:t>
            </w:r>
          </w:p>
          <w:p>
            <w:pPr>
              <w:spacing w:line="500" w:lineRule="exact"/>
              <w:ind w:firstLine="480" w:firstLineChars="200"/>
              <w:rPr>
                <w:rFonts w:ascii="仿宋" w:hAnsi="仿宋" w:eastAsia="仿宋" w:cs="仿宋"/>
              </w:rPr>
            </w:pPr>
            <w:r>
              <w:rPr>
                <w:rFonts w:hint="eastAsia" w:ascii="仿宋" w:hAnsi="仿宋" w:eastAsia="仿宋" w:cs="仿宋"/>
                <w:color w:val="00B0F0"/>
                <w:sz w:val="24"/>
                <w:u w:val="single"/>
              </w:rPr>
              <w:t>塔什库尔干塔吉克自治县塔什库尔干乡萨热吉勒尕村村容村貌提升项目</w:t>
            </w:r>
            <w:r>
              <w:rPr>
                <w:rFonts w:hint="eastAsia" w:ascii="仿宋" w:hAnsi="仿宋" w:eastAsia="仿宋" w:cs="仿宋"/>
                <w:sz w:val="24"/>
              </w:rPr>
              <w:t>的潜在</w:t>
            </w:r>
            <w:r>
              <w:rPr>
                <w:rFonts w:hint="eastAsia" w:ascii="仿宋" w:hAnsi="仿宋" w:eastAsia="仿宋" w:cs="仿宋"/>
                <w:sz w:val="24"/>
                <w:lang w:eastAsia="zh-CN"/>
              </w:rPr>
              <w:t>投标人</w:t>
            </w:r>
            <w:r>
              <w:rPr>
                <w:rFonts w:hint="eastAsia" w:ascii="仿宋" w:hAnsi="仿宋" w:eastAsia="仿宋" w:cs="仿宋"/>
                <w:sz w:val="24"/>
              </w:rPr>
              <w:t>应在</w:t>
            </w:r>
            <w:r>
              <w:rPr>
                <w:rFonts w:hint="eastAsia" w:ascii="仿宋" w:hAnsi="仿宋" w:eastAsia="仿宋" w:cs="仿宋"/>
                <w:sz w:val="24"/>
                <w:u w:val="single"/>
              </w:rPr>
              <w:t>政采云平台（https://login.zcygov.cn/）</w:t>
            </w:r>
            <w:r>
              <w:rPr>
                <w:rFonts w:hint="eastAsia" w:ascii="仿宋" w:hAnsi="仿宋" w:eastAsia="仿宋" w:cs="仿宋"/>
                <w:sz w:val="24"/>
              </w:rPr>
              <w:t>获取招标文件，并于</w:t>
            </w:r>
            <w:r>
              <w:rPr>
                <w:rFonts w:hint="eastAsia" w:ascii="仿宋" w:hAnsi="仿宋" w:eastAsia="仿宋" w:cs="仿宋"/>
                <w:color w:val="00B0F0"/>
                <w:sz w:val="24"/>
                <w:u w:val="single"/>
              </w:rPr>
              <w:t>2025年3月24日11：00</w:t>
            </w:r>
            <w:r>
              <w:rPr>
                <w:rFonts w:hint="eastAsia" w:ascii="仿宋" w:hAnsi="仿宋" w:eastAsia="仿宋" w:cs="仿宋"/>
                <w:sz w:val="24"/>
                <w:u w:val="single"/>
              </w:rPr>
              <w:t>（北京时间）</w:t>
            </w:r>
            <w:r>
              <w:rPr>
                <w:rFonts w:hint="eastAsia" w:ascii="仿宋" w:hAnsi="仿宋" w:eastAsia="仿宋" w:cs="仿宋"/>
                <w:sz w:val="24"/>
              </w:rPr>
              <w:t>前上传投标文件。</w:t>
            </w:r>
          </w:p>
        </w:tc>
      </w:tr>
    </w:tbl>
    <w:p>
      <w:pPr>
        <w:pStyle w:val="30"/>
        <w:spacing w:line="500" w:lineRule="exact"/>
        <w:jc w:val="both"/>
        <w:rPr>
          <w:rFonts w:ascii="仿宋" w:hAnsi="仿宋" w:eastAsia="仿宋" w:cs="仿宋"/>
          <w:color w:val="000000" w:themeColor="text1"/>
          <w:sz w:val="28"/>
          <w14:textFill>
            <w14:solidFill>
              <w14:schemeClr w14:val="tx1"/>
            </w14:solidFill>
          </w14:textFill>
        </w:rPr>
      </w:pPr>
      <w:r>
        <w:rPr>
          <w:rFonts w:hint="eastAsia" w:ascii="仿宋" w:hAnsi="仿宋" w:eastAsia="仿宋" w:cs="仿宋"/>
          <w:b/>
          <w:bCs/>
          <w:color w:val="000000" w:themeColor="text1"/>
          <w:sz w:val="28"/>
          <w14:textFill>
            <w14:solidFill>
              <w14:schemeClr w14:val="tx1"/>
            </w14:solidFill>
          </w14:textFill>
        </w:rPr>
        <w:t>一、项目基本情况</w:t>
      </w:r>
    </w:p>
    <w:p>
      <w:pPr>
        <w:spacing w:line="360" w:lineRule="auto"/>
        <w:ind w:firstLine="240" w:firstLineChars="100"/>
        <w:rPr>
          <w:rFonts w:ascii="仿宋" w:hAnsi="仿宋" w:eastAsia="仿宋" w:cs="仿宋"/>
          <w:sz w:val="24"/>
        </w:rPr>
      </w:pPr>
      <w:r>
        <w:rPr>
          <w:rFonts w:hint="eastAsia" w:ascii="仿宋" w:hAnsi="仿宋" w:eastAsia="仿宋" w:cs="仿宋"/>
          <w:sz w:val="24"/>
        </w:rPr>
        <w:t>1.项目编号：0634-254XZKSQH012</w:t>
      </w:r>
    </w:p>
    <w:p>
      <w:pPr>
        <w:spacing w:line="360" w:lineRule="auto"/>
        <w:ind w:firstLine="240" w:firstLineChars="100"/>
        <w:rPr>
          <w:rFonts w:ascii="仿宋" w:hAnsi="仿宋" w:eastAsia="仿宋" w:cs="仿宋"/>
          <w:color w:val="00B0F0"/>
          <w:sz w:val="24"/>
        </w:rPr>
      </w:pPr>
      <w:r>
        <w:rPr>
          <w:rFonts w:hint="eastAsia" w:ascii="仿宋" w:hAnsi="仿宋" w:eastAsia="仿宋" w:cs="仿宋"/>
          <w:sz w:val="24"/>
        </w:rPr>
        <w:t>2.项目名称：</w:t>
      </w:r>
      <w:r>
        <w:rPr>
          <w:rFonts w:hint="eastAsia" w:ascii="仿宋" w:hAnsi="仿宋" w:eastAsia="仿宋" w:cs="仿宋"/>
          <w:color w:val="00B0F0"/>
          <w:sz w:val="24"/>
          <w:u w:val="single"/>
        </w:rPr>
        <w:t>塔什库尔干塔吉克自治县塔什库尔干乡萨热吉勒尕村村容村貌提升项目</w:t>
      </w:r>
      <w:r>
        <w:rPr>
          <w:rFonts w:hint="eastAsia" w:ascii="仿宋" w:hAnsi="仿宋" w:eastAsia="仿宋" w:cs="仿宋"/>
          <w:color w:val="00B0F0"/>
          <w:sz w:val="24"/>
        </w:rPr>
        <w:tab/>
      </w:r>
    </w:p>
    <w:p>
      <w:pPr>
        <w:spacing w:line="360" w:lineRule="auto"/>
        <w:ind w:firstLine="240" w:firstLineChars="100"/>
        <w:rPr>
          <w:rFonts w:ascii="仿宋" w:hAnsi="仿宋" w:eastAsia="仿宋" w:cs="仿宋"/>
          <w:sz w:val="24"/>
        </w:rPr>
      </w:pPr>
      <w:r>
        <w:rPr>
          <w:rFonts w:hint="eastAsia" w:ascii="仿宋" w:hAnsi="仿宋" w:eastAsia="仿宋" w:cs="仿宋"/>
          <w:sz w:val="24"/>
        </w:rPr>
        <w:t>3.采购方式：</w:t>
      </w:r>
      <w:r>
        <w:rPr>
          <w:rFonts w:hint="eastAsia" w:ascii="仿宋" w:hAnsi="仿宋" w:eastAsia="仿宋" w:cs="仿宋"/>
          <w:color w:val="00B0F0"/>
          <w:sz w:val="24"/>
        </w:rPr>
        <w:t>公开招标</w:t>
      </w:r>
    </w:p>
    <w:p>
      <w:pPr>
        <w:pStyle w:val="34"/>
        <w:ind w:firstLine="240" w:firstLineChars="100"/>
        <w:rPr>
          <w:rFonts w:ascii="仿宋" w:hAnsi="仿宋" w:eastAsia="仿宋" w:cs="仿宋"/>
          <w:color w:val="00B0F0"/>
          <w:szCs w:val="22"/>
        </w:rPr>
      </w:pPr>
      <w:r>
        <w:rPr>
          <w:rFonts w:hint="eastAsia" w:ascii="仿宋" w:hAnsi="仿宋" w:eastAsia="仿宋" w:cs="仿宋"/>
        </w:rPr>
        <w:t>4.预算价：</w:t>
      </w:r>
      <w:r>
        <w:rPr>
          <w:rFonts w:hint="eastAsia" w:ascii="仿宋" w:hAnsi="仿宋" w:eastAsia="仿宋" w:cs="仿宋"/>
          <w:color w:val="00B0F0"/>
          <w:szCs w:val="22"/>
        </w:rPr>
        <w:t>48万元</w:t>
      </w:r>
    </w:p>
    <w:p>
      <w:pPr>
        <w:pStyle w:val="34"/>
        <w:ind w:firstLine="240" w:firstLineChars="100"/>
        <w:rPr>
          <w:rFonts w:ascii="仿宋" w:hAnsi="仿宋" w:eastAsia="仿宋" w:cs="仿宋"/>
          <w:color w:val="00B0F0"/>
          <w:szCs w:val="22"/>
        </w:rPr>
      </w:pPr>
      <w:r>
        <w:rPr>
          <w:rFonts w:hint="eastAsia" w:ascii="仿宋" w:hAnsi="仿宋" w:eastAsia="仿宋" w:cs="仿宋"/>
        </w:rPr>
        <w:t>5.最高限价：</w:t>
      </w:r>
      <w:r>
        <w:rPr>
          <w:rFonts w:hint="eastAsia" w:ascii="仿宋" w:hAnsi="仿宋" w:eastAsia="仿宋" w:cs="仿宋"/>
          <w:color w:val="00B0F0"/>
          <w:szCs w:val="22"/>
        </w:rPr>
        <w:t>48万元</w:t>
      </w:r>
    </w:p>
    <w:p>
      <w:pPr>
        <w:spacing w:line="360" w:lineRule="auto"/>
        <w:ind w:firstLine="240" w:firstLineChars="100"/>
        <w:rPr>
          <w:rFonts w:ascii="仿宋" w:hAnsi="仿宋" w:eastAsia="仿宋" w:cs="仿宋"/>
          <w:color w:val="00B0F0"/>
          <w:sz w:val="24"/>
        </w:rPr>
      </w:pPr>
      <w:r>
        <w:rPr>
          <w:rFonts w:hint="eastAsia" w:ascii="仿宋" w:hAnsi="仿宋" w:eastAsia="仿宋" w:cs="仿宋"/>
          <w:sz w:val="24"/>
        </w:rPr>
        <w:t>6.采购需求：</w:t>
      </w:r>
    </w:p>
    <w:p>
      <w:pPr>
        <w:pStyle w:val="34"/>
        <w:ind w:firstLine="480"/>
        <w:rPr>
          <w:rFonts w:ascii="仿宋" w:hAnsi="仿宋" w:eastAsia="仿宋" w:cs="仿宋"/>
        </w:rPr>
      </w:pPr>
      <w:r>
        <w:rPr>
          <w:rFonts w:hint="eastAsia" w:ascii="仿宋" w:hAnsi="仿宋" w:eastAsia="仿宋" w:cs="仿宋"/>
          <w:szCs w:val="22"/>
        </w:rPr>
        <w:t>采购及安装路灯160套，单价3000元/套。（</w:t>
      </w:r>
      <w:r>
        <w:rPr>
          <w:rFonts w:hint="eastAsia" w:ascii="仿宋" w:hAnsi="仿宋" w:eastAsia="仿宋" w:cs="仿宋"/>
          <w:kern w:val="0"/>
        </w:rPr>
        <w:t>内容及要求详见招标文件）</w:t>
      </w:r>
    </w:p>
    <w:p>
      <w:pPr>
        <w:spacing w:line="360" w:lineRule="auto"/>
        <w:ind w:firstLine="240" w:firstLineChars="100"/>
        <w:rPr>
          <w:rFonts w:ascii="仿宋" w:hAnsi="仿宋" w:eastAsia="仿宋" w:cs="仿宋"/>
          <w:kern w:val="0"/>
          <w:sz w:val="24"/>
          <w:szCs w:val="20"/>
        </w:rPr>
      </w:pPr>
      <w:r>
        <w:rPr>
          <w:rFonts w:hint="eastAsia" w:ascii="仿宋" w:hAnsi="仿宋" w:eastAsia="仿宋" w:cs="仿宋"/>
          <w:sz w:val="24"/>
        </w:rPr>
        <w:t>7.资金来源：</w:t>
      </w:r>
      <w:r>
        <w:rPr>
          <w:rFonts w:hint="eastAsia" w:ascii="仿宋" w:hAnsi="仿宋" w:eastAsia="仿宋" w:cs="仿宋"/>
          <w:kern w:val="0"/>
          <w:sz w:val="24"/>
          <w:szCs w:val="20"/>
        </w:rPr>
        <w:t>一般公共预算资金</w:t>
      </w:r>
    </w:p>
    <w:p>
      <w:pPr>
        <w:spacing w:line="360" w:lineRule="auto"/>
        <w:ind w:firstLine="240" w:firstLineChars="100"/>
        <w:rPr>
          <w:rFonts w:ascii="仿宋" w:hAnsi="仿宋" w:eastAsia="仿宋" w:cs="仿宋"/>
          <w:sz w:val="24"/>
        </w:rPr>
      </w:pPr>
      <w:r>
        <w:rPr>
          <w:rFonts w:hint="eastAsia" w:ascii="仿宋" w:hAnsi="仿宋" w:eastAsia="仿宋" w:cs="仿宋"/>
          <w:sz w:val="24"/>
        </w:rPr>
        <w:t>8.本项目不接受联合体投标。</w:t>
      </w:r>
    </w:p>
    <w:p>
      <w:pPr>
        <w:spacing w:line="360" w:lineRule="auto"/>
        <w:ind w:firstLine="240" w:firstLineChars="100"/>
        <w:rPr>
          <w:rFonts w:ascii="仿宋" w:hAnsi="仿宋" w:eastAsia="仿宋" w:cs="仿宋"/>
          <w:sz w:val="24"/>
        </w:rPr>
      </w:pPr>
      <w:r>
        <w:rPr>
          <w:rFonts w:hint="eastAsia" w:ascii="仿宋" w:hAnsi="仿宋" w:eastAsia="仿宋" w:cs="仿宋"/>
          <w:sz w:val="24"/>
        </w:rPr>
        <w:t>9.本项目专门面向中小企业。</w:t>
      </w:r>
    </w:p>
    <w:p>
      <w:pPr>
        <w:pStyle w:val="30"/>
        <w:spacing w:line="500" w:lineRule="exact"/>
        <w:jc w:val="both"/>
        <w:rPr>
          <w:rFonts w:ascii="仿宋" w:hAnsi="仿宋" w:eastAsia="仿宋" w:cs="仿宋"/>
          <w:color w:val="000000"/>
          <w:sz w:val="28"/>
        </w:rPr>
      </w:pPr>
      <w:bookmarkStart w:id="1087" w:name="_Toc35393630"/>
      <w:bookmarkStart w:id="1088" w:name="_Toc28359090"/>
      <w:bookmarkStart w:id="1089" w:name="_Toc28359013"/>
      <w:bookmarkStart w:id="1090" w:name="_Toc35393799"/>
      <w:r>
        <w:rPr>
          <w:rFonts w:hint="eastAsia" w:ascii="仿宋" w:hAnsi="仿宋" w:eastAsia="仿宋" w:cs="仿宋"/>
          <w:b/>
          <w:bCs/>
          <w:color w:val="000000"/>
          <w:sz w:val="28"/>
        </w:rPr>
        <w:t>二、投标人资格要求：</w:t>
      </w:r>
      <w:bookmarkEnd w:id="1087"/>
      <w:bookmarkEnd w:id="1088"/>
      <w:bookmarkEnd w:id="1089"/>
      <w:bookmarkEnd w:id="1090"/>
    </w:p>
    <w:p>
      <w:pPr>
        <w:spacing w:line="500" w:lineRule="exact"/>
        <w:ind w:firstLine="240" w:firstLineChars="100"/>
        <w:rPr>
          <w:rFonts w:ascii="仿宋" w:hAnsi="仿宋" w:eastAsia="仿宋" w:cs="仿宋"/>
          <w:sz w:val="24"/>
        </w:rPr>
      </w:pPr>
      <w:r>
        <w:rPr>
          <w:rFonts w:hint="eastAsia" w:ascii="仿宋" w:hAnsi="仿宋" w:eastAsia="仿宋" w:cs="仿宋"/>
          <w:sz w:val="24"/>
        </w:rPr>
        <w:t>1.满足《中华人民共和国政府采购法》第二十二条要求：</w:t>
      </w:r>
    </w:p>
    <w:p>
      <w:pPr>
        <w:spacing w:line="500" w:lineRule="exact"/>
        <w:ind w:firstLine="240" w:firstLineChars="100"/>
        <w:rPr>
          <w:rFonts w:ascii="仿宋" w:hAnsi="仿宋" w:eastAsia="仿宋" w:cs="仿宋"/>
          <w:sz w:val="24"/>
        </w:rPr>
      </w:pPr>
      <w:r>
        <w:rPr>
          <w:rFonts w:hint="eastAsia" w:ascii="仿宋" w:hAnsi="仿宋" w:eastAsia="仿宋" w:cs="仿宋"/>
          <w:sz w:val="24"/>
        </w:rPr>
        <w:t>（1）企业三证合一的法人营业执照或含二维码的营业执照；</w:t>
      </w:r>
    </w:p>
    <w:p>
      <w:pPr>
        <w:spacing w:line="500" w:lineRule="exact"/>
        <w:ind w:firstLine="240" w:firstLineChars="100"/>
        <w:rPr>
          <w:rFonts w:ascii="仿宋" w:hAnsi="仿宋" w:eastAsia="仿宋" w:cs="仿宋"/>
          <w:sz w:val="24"/>
        </w:rPr>
      </w:pPr>
      <w:r>
        <w:rPr>
          <w:rFonts w:hint="eastAsia" w:ascii="仿宋" w:hAnsi="仿宋" w:eastAsia="仿宋" w:cs="仿宋"/>
          <w:sz w:val="24"/>
        </w:rPr>
        <w:t>（2）法定代表人资格证明及授权书、被授权人身份证(法定代表人投标需提供法定代表人身份证)；</w:t>
      </w:r>
    </w:p>
    <w:p>
      <w:pPr>
        <w:spacing w:line="500" w:lineRule="exact"/>
        <w:ind w:firstLine="240" w:firstLineChars="100"/>
        <w:rPr>
          <w:rFonts w:ascii="仿宋" w:hAnsi="仿宋" w:eastAsia="仿宋" w:cs="仿宋"/>
          <w:sz w:val="24"/>
        </w:rPr>
      </w:pPr>
      <w:r>
        <w:rPr>
          <w:rFonts w:hint="eastAsia" w:ascii="仿宋" w:hAnsi="仿宋" w:eastAsia="仿宋" w:cs="仿宋"/>
          <w:sz w:val="24"/>
        </w:rPr>
        <w:t>（3）提供近两年内任意一年的财务审计报告（新成立的公司可提供近一个月的银行资信证明）；</w:t>
      </w:r>
    </w:p>
    <w:p>
      <w:pPr>
        <w:tabs>
          <w:tab w:val="left" w:pos="5580"/>
        </w:tabs>
        <w:spacing w:line="500" w:lineRule="exact"/>
        <w:ind w:firstLine="240" w:firstLineChars="1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szCs w:val="22"/>
        </w:rPr>
        <w:t>投标人依法缴纳近 3个月内其中任意1个月的社会保险凭据；</w:t>
      </w:r>
    </w:p>
    <w:p>
      <w:pPr>
        <w:spacing w:line="500" w:lineRule="exact"/>
        <w:ind w:firstLine="240" w:firstLineChars="1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szCs w:val="22"/>
        </w:rPr>
        <w:t>投标人提供税务部门出具的近3个月内其中任意1个月的完税证明</w:t>
      </w:r>
      <w:r>
        <w:rPr>
          <w:rFonts w:hint="eastAsia" w:ascii="仿宋" w:hAnsi="仿宋" w:eastAsia="仿宋" w:cs="仿宋"/>
          <w:color w:val="000000"/>
          <w:sz w:val="24"/>
          <w:szCs w:val="21"/>
        </w:rPr>
        <w:t>（零申报需加盖税务机关章）</w:t>
      </w:r>
      <w:r>
        <w:rPr>
          <w:rFonts w:hint="eastAsia" w:ascii="仿宋" w:hAnsi="仿宋" w:eastAsia="仿宋" w:cs="仿宋"/>
          <w:sz w:val="24"/>
          <w:szCs w:val="22"/>
        </w:rPr>
        <w:t>；</w:t>
      </w:r>
    </w:p>
    <w:p>
      <w:pPr>
        <w:spacing w:line="500" w:lineRule="exact"/>
        <w:ind w:firstLine="240" w:firstLineChars="100"/>
        <w:rPr>
          <w:rFonts w:ascii="仿宋" w:hAnsi="仿宋" w:eastAsia="仿宋" w:cs="仿宋"/>
          <w:sz w:val="24"/>
        </w:rPr>
      </w:pPr>
      <w:r>
        <w:rPr>
          <w:rFonts w:hint="eastAsia" w:ascii="仿宋" w:hAnsi="仿宋" w:eastAsia="仿宋" w:cs="仿宋"/>
          <w:sz w:val="24"/>
        </w:rPr>
        <w:t>（6）根据《财政部关于在政府采购活动中查询及使用信用记录有关问题的通知》（财库﹝2016﹞125号）的要求，凡拟参加本次招标项目的</w:t>
      </w:r>
      <w:r>
        <w:rPr>
          <w:rFonts w:hint="eastAsia" w:ascii="仿宋" w:hAnsi="仿宋" w:eastAsia="仿宋" w:cs="仿宋"/>
          <w:sz w:val="24"/>
          <w:lang w:eastAsia="zh-CN"/>
        </w:rPr>
        <w:t>投标人</w:t>
      </w:r>
      <w:r>
        <w:rPr>
          <w:rFonts w:hint="eastAsia" w:ascii="仿宋" w:hAnsi="仿宋" w:eastAsia="仿宋" w:cs="仿宋"/>
          <w:sz w:val="24"/>
        </w:rPr>
        <w:t>，如在“信用中国”网站（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由代理机构现场查询核实）；</w:t>
      </w:r>
    </w:p>
    <w:p>
      <w:pPr>
        <w:pStyle w:val="90"/>
        <w:spacing w:line="500" w:lineRule="exact"/>
        <w:ind w:firstLine="240" w:firstLineChars="100"/>
        <w:rPr>
          <w:rFonts w:ascii="仿宋" w:hAnsi="仿宋" w:eastAsia="仿宋" w:cs="仿宋"/>
          <w:kern w:val="2"/>
          <w:szCs w:val="22"/>
        </w:rPr>
      </w:pPr>
      <w:r>
        <w:rPr>
          <w:rFonts w:hint="eastAsia" w:ascii="仿宋" w:hAnsi="仿宋" w:eastAsia="仿宋" w:cs="仿宋"/>
          <w:kern w:val="2"/>
          <w:szCs w:val="22"/>
        </w:rPr>
        <w:t>（7）在参加政府采购活动中前三年内无重大违法记录的声明书；</w:t>
      </w:r>
    </w:p>
    <w:p>
      <w:pPr>
        <w:spacing w:line="500" w:lineRule="exact"/>
        <w:ind w:firstLine="240" w:firstLineChars="100"/>
        <w:rPr>
          <w:rFonts w:ascii="仿宋" w:hAnsi="仿宋" w:eastAsia="仿宋" w:cs="仿宋"/>
          <w:sz w:val="24"/>
          <w:szCs w:val="22"/>
        </w:rPr>
      </w:pPr>
      <w:r>
        <w:rPr>
          <w:rFonts w:hint="eastAsia" w:ascii="仿宋" w:hAnsi="仿宋" w:eastAsia="仿宋" w:cs="仿宋"/>
          <w:sz w:val="24"/>
          <w:szCs w:val="22"/>
        </w:rPr>
        <w:t>（8）提供针对本次项目《反商业贿赂承诺书》；</w:t>
      </w:r>
    </w:p>
    <w:p>
      <w:pPr>
        <w:spacing w:line="500" w:lineRule="exact"/>
        <w:ind w:firstLine="240" w:firstLineChars="100"/>
        <w:rPr>
          <w:rFonts w:ascii="仿宋" w:hAnsi="仿宋" w:eastAsia="仿宋" w:cs="仿宋"/>
          <w:sz w:val="24"/>
          <w:szCs w:val="22"/>
        </w:rPr>
      </w:pPr>
      <w:r>
        <w:rPr>
          <w:rFonts w:hint="eastAsia" w:ascii="仿宋" w:hAnsi="仿宋" w:eastAsia="仿宋" w:cs="仿宋"/>
          <w:sz w:val="24"/>
          <w:szCs w:val="22"/>
        </w:rPr>
        <w:t>（9）投标保证金缴纳凭证；</w:t>
      </w:r>
    </w:p>
    <w:p>
      <w:pPr>
        <w:spacing w:line="500" w:lineRule="exact"/>
        <w:ind w:firstLine="240" w:firstLineChars="100"/>
        <w:rPr>
          <w:rFonts w:ascii="仿宋" w:hAnsi="仿宋" w:eastAsia="仿宋" w:cs="仿宋"/>
          <w:sz w:val="24"/>
          <w:szCs w:val="22"/>
        </w:rPr>
      </w:pPr>
      <w:r>
        <w:rPr>
          <w:rFonts w:hint="eastAsia" w:ascii="仿宋" w:hAnsi="仿宋" w:eastAsia="仿宋" w:cs="仿宋"/>
          <w:sz w:val="24"/>
          <w:szCs w:val="22"/>
        </w:rPr>
        <w:t>（10）</w:t>
      </w:r>
      <w:r>
        <w:rPr>
          <w:rFonts w:hint="eastAsia" w:ascii="仿宋" w:hAnsi="仿宋" w:eastAsia="仿宋" w:cs="仿宋"/>
          <w:sz w:val="24"/>
          <w:szCs w:val="22"/>
          <w:lang w:eastAsia="zh-CN"/>
        </w:rPr>
        <w:t>投标人</w:t>
      </w:r>
      <w:r>
        <w:rPr>
          <w:rFonts w:hint="eastAsia" w:ascii="仿宋" w:hAnsi="仿宋" w:eastAsia="仿宋" w:cs="仿宋"/>
          <w:sz w:val="24"/>
          <w:szCs w:val="22"/>
        </w:rPr>
        <w:t>应为中小企业，提供《中小企业声明函》。</w:t>
      </w:r>
    </w:p>
    <w:p>
      <w:pPr>
        <w:pStyle w:val="30"/>
        <w:spacing w:line="500" w:lineRule="exact"/>
        <w:jc w:val="both"/>
        <w:rPr>
          <w:rFonts w:ascii="仿宋" w:hAnsi="仿宋" w:eastAsia="仿宋" w:cs="仿宋"/>
          <w:b/>
          <w:bCs/>
          <w:color w:val="000000"/>
          <w:sz w:val="28"/>
        </w:rPr>
      </w:pPr>
      <w:r>
        <w:rPr>
          <w:rFonts w:hint="eastAsia" w:ascii="仿宋" w:hAnsi="仿宋" w:eastAsia="仿宋" w:cs="仿宋"/>
          <w:b/>
          <w:bCs/>
          <w:color w:val="000000"/>
          <w:sz w:val="28"/>
        </w:rPr>
        <w:t>三、获取采购文件</w:t>
      </w:r>
    </w:p>
    <w:p>
      <w:pPr>
        <w:pStyle w:val="90"/>
        <w:spacing w:line="500" w:lineRule="exact"/>
        <w:ind w:firstLine="480"/>
        <w:rPr>
          <w:rFonts w:ascii="仿宋" w:hAnsi="仿宋" w:eastAsia="仿宋" w:cs="仿宋"/>
          <w:kern w:val="2"/>
          <w:szCs w:val="22"/>
        </w:rPr>
      </w:pPr>
      <w:bookmarkStart w:id="1091" w:name="_Toc28359007"/>
      <w:bookmarkStart w:id="1092" w:name="_Toc28359084"/>
      <w:bookmarkStart w:id="1093" w:name="_Toc35393794"/>
      <w:bookmarkStart w:id="1094" w:name="_Toc35393625"/>
      <w:r>
        <w:rPr>
          <w:rFonts w:hint="eastAsia" w:ascii="仿宋" w:hAnsi="仿宋" w:eastAsia="仿宋" w:cs="仿宋"/>
          <w:kern w:val="2"/>
          <w:szCs w:val="22"/>
        </w:rPr>
        <w:t>获取时间：</w:t>
      </w:r>
      <w:r>
        <w:rPr>
          <w:rFonts w:hint="eastAsia" w:ascii="仿宋" w:hAnsi="仿宋" w:eastAsia="仿宋" w:cs="仿宋"/>
          <w:color w:val="00B0F0"/>
          <w:kern w:val="2"/>
          <w:szCs w:val="22"/>
        </w:rPr>
        <w:t>2025年3月03日至2025年3月23日</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获取方式：</w:t>
      </w:r>
      <w:r>
        <w:rPr>
          <w:rFonts w:hint="eastAsia" w:ascii="仿宋" w:hAnsi="仿宋" w:eastAsia="仿宋" w:cs="仿宋"/>
          <w:sz w:val="24"/>
          <w:szCs w:val="22"/>
          <w:lang w:eastAsia="zh-CN"/>
        </w:rPr>
        <w:t>投标人</w:t>
      </w:r>
      <w:r>
        <w:rPr>
          <w:rFonts w:hint="eastAsia" w:ascii="仿宋" w:hAnsi="仿宋" w:eastAsia="仿宋" w:cs="仿宋"/>
          <w:sz w:val="24"/>
          <w:szCs w:val="22"/>
        </w:rPr>
        <w:t>登陆新疆政府采购网 (ccgp-xinjiang.gov.cn)下载。</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获取地点：</w:t>
      </w:r>
      <w:r>
        <w:rPr>
          <w:rFonts w:hint="eastAsia" w:ascii="仿宋" w:hAnsi="仿宋" w:eastAsia="仿宋" w:cs="仿宋"/>
          <w:sz w:val="24"/>
          <w:szCs w:val="22"/>
          <w:lang w:eastAsia="zh-CN"/>
        </w:rPr>
        <w:t>投标人</w:t>
      </w:r>
      <w:r>
        <w:rPr>
          <w:rFonts w:hint="eastAsia" w:ascii="仿宋" w:hAnsi="仿宋" w:eastAsia="仿宋" w:cs="仿宋"/>
          <w:sz w:val="24"/>
          <w:szCs w:val="22"/>
        </w:rPr>
        <w:t>登陆新疆政府采购网 (ccgp-xinjiang.gov.cn)下载。</w:t>
      </w:r>
    </w:p>
    <w:p>
      <w:pPr>
        <w:spacing w:line="500" w:lineRule="exact"/>
        <w:rPr>
          <w:rFonts w:ascii="仿宋" w:hAnsi="仿宋" w:eastAsia="仿宋" w:cs="仿宋"/>
          <w:b/>
          <w:sz w:val="28"/>
        </w:rPr>
      </w:pPr>
      <w:bookmarkStart w:id="1095" w:name="_Toc28359082"/>
      <w:bookmarkStart w:id="1096" w:name="_Toc28359005"/>
      <w:bookmarkStart w:id="1097" w:name="_Toc2532"/>
      <w:bookmarkStart w:id="1098" w:name="_Toc2422"/>
      <w:bookmarkStart w:id="1099" w:name="_Toc35393624"/>
      <w:bookmarkStart w:id="1100" w:name="_Toc9047"/>
      <w:bookmarkStart w:id="1101" w:name="_Toc952"/>
      <w:bookmarkStart w:id="1102" w:name="_Toc35393793"/>
      <w:r>
        <w:rPr>
          <w:rFonts w:hint="eastAsia" w:ascii="仿宋" w:hAnsi="仿宋" w:eastAsia="仿宋" w:cs="仿宋"/>
          <w:b/>
          <w:sz w:val="28"/>
        </w:rPr>
        <w:t>四、提交投标文件</w:t>
      </w:r>
      <w:bookmarkEnd w:id="1095"/>
      <w:bookmarkEnd w:id="1096"/>
      <w:r>
        <w:rPr>
          <w:rFonts w:hint="eastAsia" w:ascii="仿宋" w:hAnsi="仿宋" w:eastAsia="仿宋" w:cs="仿宋"/>
          <w:b/>
          <w:sz w:val="28"/>
        </w:rPr>
        <w:t>截止时间、开标时间和地点</w:t>
      </w:r>
      <w:bookmarkEnd w:id="1097"/>
      <w:bookmarkEnd w:id="1098"/>
      <w:bookmarkEnd w:id="1099"/>
      <w:bookmarkEnd w:id="1100"/>
      <w:bookmarkEnd w:id="1101"/>
      <w:bookmarkEnd w:id="1102"/>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提交投标文件截止时间：</w:t>
      </w:r>
      <w:r>
        <w:rPr>
          <w:rFonts w:hint="eastAsia" w:ascii="仿宋" w:hAnsi="仿宋" w:eastAsia="仿宋" w:cs="仿宋"/>
          <w:color w:val="00B0F0"/>
          <w:sz w:val="24"/>
          <w:szCs w:val="22"/>
        </w:rPr>
        <w:t>2025年3月24日11：00（</w:t>
      </w:r>
      <w:r>
        <w:rPr>
          <w:rFonts w:hint="eastAsia" w:ascii="仿宋" w:hAnsi="仿宋" w:eastAsia="仿宋" w:cs="仿宋"/>
          <w:sz w:val="24"/>
          <w:szCs w:val="22"/>
        </w:rPr>
        <w:t>北京时间）</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投标地点：政采云平台（https://login.zcygov.cn/user-login/#/login）</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开标时间：</w:t>
      </w:r>
      <w:r>
        <w:rPr>
          <w:rFonts w:hint="eastAsia" w:ascii="仿宋" w:hAnsi="仿宋" w:eastAsia="仿宋" w:cs="仿宋"/>
          <w:color w:val="00B0F0"/>
          <w:sz w:val="24"/>
          <w:szCs w:val="22"/>
        </w:rPr>
        <w:t>2025年3月24日11：00</w:t>
      </w:r>
      <w:r>
        <w:rPr>
          <w:rFonts w:hint="eastAsia" w:ascii="仿宋" w:hAnsi="仿宋" w:eastAsia="仿宋" w:cs="仿宋"/>
          <w:sz w:val="24"/>
          <w:szCs w:val="22"/>
        </w:rPr>
        <w:t>（北京时间）</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开标地点：</w:t>
      </w:r>
      <w:bookmarkStart w:id="1103" w:name="_Toc23672"/>
      <w:bookmarkStart w:id="1104" w:name="_Toc30400"/>
      <w:bookmarkStart w:id="1105" w:name="_Toc20863"/>
      <w:r>
        <w:rPr>
          <w:rFonts w:hint="eastAsia" w:ascii="仿宋" w:hAnsi="仿宋" w:eastAsia="仿宋" w:cs="仿宋"/>
          <w:sz w:val="24"/>
          <w:szCs w:val="22"/>
        </w:rPr>
        <w:t>政采云平台（https://login.zcygov.cn/user-login/#/login）</w:t>
      </w:r>
    </w:p>
    <w:p>
      <w:pPr>
        <w:spacing w:line="500" w:lineRule="exact"/>
        <w:rPr>
          <w:rFonts w:ascii="仿宋" w:hAnsi="仿宋" w:eastAsia="仿宋" w:cs="仿宋"/>
          <w:b/>
          <w:sz w:val="28"/>
        </w:rPr>
      </w:pPr>
      <w:r>
        <w:rPr>
          <w:rFonts w:hint="eastAsia" w:ascii="仿宋" w:hAnsi="仿宋" w:eastAsia="仿宋" w:cs="仿宋"/>
          <w:b/>
          <w:sz w:val="28"/>
        </w:rPr>
        <w:t>五、公告期限</w:t>
      </w:r>
      <w:bookmarkEnd w:id="1091"/>
      <w:bookmarkEnd w:id="1092"/>
      <w:bookmarkEnd w:id="1093"/>
      <w:bookmarkEnd w:id="1094"/>
      <w:bookmarkEnd w:id="1103"/>
      <w:bookmarkEnd w:id="1104"/>
      <w:bookmarkEnd w:id="1105"/>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自本公告发布之日起5个工作日。</w:t>
      </w:r>
    </w:p>
    <w:p>
      <w:pPr>
        <w:spacing w:line="500" w:lineRule="exact"/>
        <w:rPr>
          <w:rFonts w:ascii="仿宋" w:hAnsi="仿宋" w:eastAsia="仿宋" w:cs="仿宋"/>
          <w:b/>
          <w:sz w:val="28"/>
        </w:rPr>
      </w:pPr>
      <w:r>
        <w:rPr>
          <w:rFonts w:hint="eastAsia" w:ascii="仿宋" w:hAnsi="仿宋" w:eastAsia="仿宋" w:cs="仿宋"/>
          <w:b/>
          <w:sz w:val="28"/>
        </w:rPr>
        <w:t>六、其它补充事宜</w:t>
      </w:r>
    </w:p>
    <w:p>
      <w:pPr>
        <w:spacing w:line="500" w:lineRule="exact"/>
        <w:ind w:firstLine="480" w:firstLineChars="200"/>
        <w:rPr>
          <w:rFonts w:ascii="仿宋" w:hAnsi="仿宋" w:eastAsia="仿宋" w:cs="仿宋"/>
          <w:sz w:val="24"/>
          <w:szCs w:val="22"/>
        </w:rPr>
      </w:pPr>
      <w:bookmarkStart w:id="1106" w:name="_Toc35393803"/>
      <w:bookmarkStart w:id="1107" w:name="_Toc28359017"/>
      <w:bookmarkStart w:id="1108" w:name="_Toc35393634"/>
      <w:bookmarkStart w:id="1109" w:name="_Toc28359094"/>
      <w:bookmarkStart w:id="1110" w:name="_Hlk21311295"/>
      <w:r>
        <w:rPr>
          <w:rFonts w:hint="eastAsia" w:ascii="仿宋" w:hAnsi="仿宋" w:eastAsia="仿宋" w:cs="仿宋"/>
          <w:sz w:val="24"/>
          <w:szCs w:val="22"/>
        </w:rPr>
        <w:t>1.本项目为电子招投标，</w:t>
      </w:r>
      <w:r>
        <w:rPr>
          <w:rFonts w:hint="eastAsia" w:ascii="仿宋" w:hAnsi="仿宋" w:eastAsia="仿宋" w:cs="仿宋"/>
          <w:sz w:val="24"/>
          <w:szCs w:val="22"/>
          <w:lang w:eastAsia="zh-CN"/>
        </w:rPr>
        <w:t>投标人</w:t>
      </w:r>
      <w:r>
        <w:rPr>
          <w:rFonts w:hint="eastAsia" w:ascii="仿宋" w:hAnsi="仿宋" w:eastAsia="仿宋" w:cs="仿宋"/>
          <w:sz w:val="24"/>
          <w:szCs w:val="22"/>
        </w:rPr>
        <w:t>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2.本项目实行网上投标，采用电子投标文件(</w:t>
      </w:r>
      <w:r>
        <w:rPr>
          <w:rFonts w:hint="eastAsia" w:ascii="仿宋" w:hAnsi="仿宋" w:eastAsia="仿宋" w:cs="仿宋"/>
          <w:sz w:val="24"/>
          <w:szCs w:val="22"/>
          <w:lang w:eastAsia="zh-CN"/>
        </w:rPr>
        <w:t>投标人</w:t>
      </w:r>
      <w:r>
        <w:rPr>
          <w:rFonts w:hint="eastAsia" w:ascii="仿宋" w:hAnsi="仿宋" w:eastAsia="仿宋" w:cs="仿宋"/>
          <w:sz w:val="24"/>
          <w:szCs w:val="22"/>
        </w:rPr>
        <w:t>须使用CA加密设备通过政采云电子投标客户端制作投标文件)。若</w:t>
      </w:r>
      <w:r>
        <w:rPr>
          <w:rFonts w:hint="eastAsia" w:ascii="仿宋" w:hAnsi="仿宋" w:eastAsia="仿宋" w:cs="仿宋"/>
          <w:sz w:val="24"/>
          <w:szCs w:val="22"/>
          <w:lang w:eastAsia="zh-CN"/>
        </w:rPr>
        <w:t>投标人</w:t>
      </w:r>
      <w:r>
        <w:rPr>
          <w:rFonts w:hint="eastAsia" w:ascii="仿宋" w:hAnsi="仿宋" w:eastAsia="仿宋" w:cs="仿宋"/>
          <w:sz w:val="24"/>
          <w:szCs w:val="22"/>
        </w:rPr>
        <w:t>参与投标，自行承担投标一切费用。</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3.各</w:t>
      </w:r>
      <w:r>
        <w:rPr>
          <w:rFonts w:hint="eastAsia" w:ascii="仿宋" w:hAnsi="仿宋" w:eastAsia="仿宋" w:cs="仿宋"/>
          <w:sz w:val="24"/>
          <w:szCs w:val="22"/>
          <w:lang w:eastAsia="zh-CN"/>
        </w:rPr>
        <w:t>投标人</w:t>
      </w:r>
      <w:r>
        <w:rPr>
          <w:rFonts w:hint="eastAsia" w:ascii="仿宋" w:hAnsi="仿宋" w:eastAsia="仿宋" w:cs="仿宋"/>
          <w:sz w:val="24"/>
          <w:szCs w:val="22"/>
        </w:rPr>
        <w:t>应在开标前应确保成为新疆政府采购网正式注册入库</w:t>
      </w:r>
      <w:r>
        <w:rPr>
          <w:rFonts w:hint="eastAsia" w:ascii="仿宋" w:hAnsi="仿宋" w:eastAsia="仿宋" w:cs="仿宋"/>
          <w:sz w:val="24"/>
          <w:szCs w:val="22"/>
          <w:lang w:eastAsia="zh-CN"/>
        </w:rPr>
        <w:t>投标人</w:t>
      </w:r>
      <w:r>
        <w:rPr>
          <w:rFonts w:hint="eastAsia" w:ascii="仿宋" w:hAnsi="仿宋" w:eastAsia="仿宋" w:cs="仿宋"/>
          <w:sz w:val="24"/>
          <w:szCs w:val="22"/>
        </w:rPr>
        <w:t>，并完成CA数字证书申领。因未注册入库、未办理CA数字证书等原因造成无法投标或投标失败等后果由</w:t>
      </w:r>
      <w:r>
        <w:rPr>
          <w:rFonts w:hint="eastAsia" w:ascii="仿宋" w:hAnsi="仿宋" w:eastAsia="仿宋" w:cs="仿宋"/>
          <w:sz w:val="24"/>
          <w:szCs w:val="22"/>
          <w:lang w:eastAsia="zh-CN"/>
        </w:rPr>
        <w:t>投标人</w:t>
      </w:r>
      <w:r>
        <w:rPr>
          <w:rFonts w:hint="eastAsia" w:ascii="仿宋" w:hAnsi="仿宋" w:eastAsia="仿宋" w:cs="仿宋"/>
          <w:sz w:val="24"/>
          <w:szCs w:val="22"/>
        </w:rPr>
        <w:t>自行承担。</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4.</w:t>
      </w:r>
      <w:r>
        <w:rPr>
          <w:rFonts w:hint="eastAsia" w:ascii="仿宋" w:hAnsi="仿宋" w:eastAsia="仿宋" w:cs="仿宋"/>
          <w:sz w:val="24"/>
          <w:szCs w:val="22"/>
          <w:lang w:eastAsia="zh-CN"/>
        </w:rPr>
        <w:t>投标人</w:t>
      </w:r>
      <w:r>
        <w:rPr>
          <w:rFonts w:hint="eastAsia" w:ascii="仿宋" w:hAnsi="仿宋" w:eastAsia="仿宋" w:cs="仿宋"/>
          <w:sz w:val="24"/>
          <w:szCs w:val="22"/>
        </w:rPr>
        <w:t>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5.</w:t>
      </w:r>
      <w:r>
        <w:rPr>
          <w:rFonts w:hint="eastAsia" w:ascii="仿宋" w:hAnsi="仿宋" w:eastAsia="仿宋" w:cs="仿宋"/>
          <w:sz w:val="24"/>
          <w:szCs w:val="22"/>
          <w:lang w:eastAsia="zh-CN"/>
        </w:rPr>
        <w:t>投标人</w:t>
      </w:r>
      <w:r>
        <w:rPr>
          <w:rFonts w:hint="eastAsia" w:ascii="仿宋" w:hAnsi="仿宋" w:eastAsia="仿宋" w:cs="仿宋"/>
          <w:sz w:val="24"/>
          <w:szCs w:val="22"/>
        </w:rPr>
        <w:t>在开标时须使用制作加密电子投标文件所使用的CA锁及电脑，电脑须提前配置好浏览器（建议使用360浏览器或谷歌浏览器），以便开标时解锁。</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6.</w:t>
      </w:r>
      <w:r>
        <w:rPr>
          <w:rFonts w:hint="eastAsia" w:ascii="仿宋" w:hAnsi="仿宋" w:eastAsia="仿宋" w:cs="仿宋"/>
          <w:sz w:val="24"/>
          <w:szCs w:val="22"/>
          <w:lang w:eastAsia="zh-CN"/>
        </w:rPr>
        <w:t>投标人</w:t>
      </w:r>
      <w:r>
        <w:rPr>
          <w:rFonts w:hint="eastAsia" w:ascii="仿宋" w:hAnsi="仿宋" w:eastAsia="仿宋" w:cs="仿宋"/>
          <w:sz w:val="24"/>
          <w:szCs w:val="22"/>
        </w:rPr>
        <w:t>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sz w:val="24"/>
          <w:szCs w:val="22"/>
          <w:lang w:eastAsia="zh-CN"/>
        </w:rPr>
        <w:t>投标人</w:t>
      </w:r>
      <w:r>
        <w:rPr>
          <w:rFonts w:hint="eastAsia" w:ascii="仿宋" w:hAnsi="仿宋" w:eastAsia="仿宋" w:cs="仿宋"/>
          <w:sz w:val="24"/>
          <w:szCs w:val="22"/>
        </w:rPr>
        <w:t>”版面获取操作指南，同时对自助查询无法解决的问题可通过钉钉群及政采云在线客服获取服务支持。</w:t>
      </w:r>
      <w:r>
        <w:rPr>
          <w:rFonts w:hint="eastAsia" w:ascii="仿宋" w:hAnsi="仿宋" w:eastAsia="仿宋" w:cs="仿宋"/>
          <w:sz w:val="24"/>
          <w:szCs w:val="22"/>
          <w:lang w:eastAsia="zh-CN"/>
        </w:rPr>
        <w:t>投标人</w:t>
      </w:r>
      <w:r>
        <w:rPr>
          <w:rFonts w:hint="eastAsia" w:ascii="仿宋" w:hAnsi="仿宋" w:eastAsia="仿宋" w:cs="仿宋"/>
          <w:sz w:val="24"/>
          <w:szCs w:val="22"/>
        </w:rPr>
        <w:t>钉钉群号：政采云新疆网超</w:t>
      </w:r>
      <w:r>
        <w:rPr>
          <w:rFonts w:hint="eastAsia" w:ascii="仿宋" w:hAnsi="仿宋" w:eastAsia="仿宋" w:cs="仿宋"/>
          <w:sz w:val="24"/>
          <w:szCs w:val="22"/>
          <w:lang w:eastAsia="zh-CN"/>
        </w:rPr>
        <w:t>投标人</w:t>
      </w:r>
      <w:r>
        <w:rPr>
          <w:rFonts w:hint="eastAsia" w:ascii="仿宋" w:hAnsi="仿宋" w:eastAsia="仿宋" w:cs="仿宋"/>
          <w:sz w:val="24"/>
          <w:szCs w:val="22"/>
        </w:rPr>
        <w:t>服务二十群：35547618（如已加入1-19群，无需重复加入），钉钉工具软件具有回放功能，直播培训结束后可在钉钉群中回放观看学习。</w:t>
      </w:r>
      <w:bookmarkEnd w:id="1106"/>
      <w:bookmarkEnd w:id="1107"/>
      <w:bookmarkEnd w:id="1108"/>
      <w:bookmarkEnd w:id="1109"/>
    </w:p>
    <w:p>
      <w:pPr>
        <w:pStyle w:val="34"/>
        <w:ind w:firstLine="540"/>
        <w:rPr>
          <w:rFonts w:ascii="仿宋" w:hAnsi="仿宋" w:eastAsia="仿宋" w:cs="仿宋"/>
          <w:szCs w:val="22"/>
        </w:rPr>
      </w:pPr>
      <w:r>
        <w:rPr>
          <w:rFonts w:hint="eastAsia" w:ascii="仿宋" w:hAnsi="仿宋" w:eastAsia="仿宋" w:cs="仿宋"/>
          <w:color w:val="000000"/>
          <w:sz w:val="27"/>
          <w:szCs w:val="27"/>
        </w:rPr>
        <w:t>7.</w:t>
      </w:r>
      <w:r>
        <w:rPr>
          <w:rFonts w:hint="eastAsia" w:ascii="仿宋" w:hAnsi="仿宋" w:eastAsia="仿宋" w:cs="仿宋"/>
          <w:szCs w:val="22"/>
        </w:rPr>
        <w:t>本项目投标文件解密时间为30分钟，如因</w:t>
      </w:r>
      <w:r>
        <w:rPr>
          <w:rFonts w:hint="eastAsia" w:ascii="仿宋" w:hAnsi="仿宋" w:eastAsia="仿宋" w:cs="仿宋"/>
          <w:szCs w:val="22"/>
          <w:lang w:eastAsia="zh-CN"/>
        </w:rPr>
        <w:t>投标人</w:t>
      </w:r>
      <w:r>
        <w:rPr>
          <w:rFonts w:hint="eastAsia" w:ascii="仿宋" w:hAnsi="仿宋" w:eastAsia="仿宋" w:cs="仿宋"/>
          <w:szCs w:val="22"/>
        </w:rPr>
        <w:t>自身原因导致无法正常解密，后果由</w:t>
      </w:r>
      <w:r>
        <w:rPr>
          <w:rFonts w:hint="eastAsia" w:ascii="仿宋" w:hAnsi="仿宋" w:eastAsia="仿宋" w:cs="仿宋"/>
          <w:szCs w:val="22"/>
          <w:lang w:eastAsia="zh-CN"/>
        </w:rPr>
        <w:t>投标人</w:t>
      </w:r>
      <w:r>
        <w:rPr>
          <w:rFonts w:hint="eastAsia" w:ascii="仿宋" w:hAnsi="仿宋" w:eastAsia="仿宋" w:cs="仿宋"/>
          <w:szCs w:val="22"/>
        </w:rPr>
        <w:t>自行承担。</w:t>
      </w:r>
    </w:p>
    <w:p>
      <w:pPr>
        <w:widowControl/>
        <w:spacing w:line="500" w:lineRule="exact"/>
        <w:rPr>
          <w:rFonts w:ascii="仿宋" w:hAnsi="仿宋" w:eastAsia="仿宋" w:cs="仿宋"/>
          <w:color w:val="000000"/>
        </w:rPr>
      </w:pPr>
      <w:r>
        <w:rPr>
          <w:rFonts w:hint="eastAsia" w:ascii="仿宋" w:hAnsi="仿宋" w:eastAsia="仿宋" w:cs="仿宋"/>
          <w:b/>
          <w:sz w:val="28"/>
        </w:rPr>
        <w:t>七、</w:t>
      </w:r>
      <w:bookmarkStart w:id="1111" w:name="_Toc35393805"/>
      <w:bookmarkStart w:id="1112" w:name="_Toc28359018"/>
      <w:bookmarkStart w:id="1113" w:name="_Toc35393636"/>
      <w:bookmarkStart w:id="1114" w:name="_Toc28359095"/>
      <w:r>
        <w:rPr>
          <w:rFonts w:hint="eastAsia" w:ascii="仿宋" w:hAnsi="仿宋" w:eastAsia="仿宋" w:cs="仿宋"/>
          <w:b/>
          <w:sz w:val="28"/>
        </w:rPr>
        <w:t>凡对本次采购提出询问，请按以下方式联系。</w:t>
      </w:r>
      <w:bookmarkEnd w:id="1111"/>
      <w:bookmarkEnd w:id="1112"/>
      <w:bookmarkEnd w:id="1113"/>
      <w:bookmarkEnd w:id="1114"/>
      <w:r>
        <w:rPr>
          <w:rFonts w:hint="eastAsia" w:ascii="仿宋" w:hAnsi="仿宋" w:eastAsia="仿宋" w:cs="仿宋"/>
          <w:b/>
          <w:sz w:val="28"/>
        </w:rPr>
        <w:t xml:space="preserve">  </w:t>
      </w:r>
      <w:r>
        <w:rPr>
          <w:rFonts w:hint="eastAsia" w:ascii="仿宋" w:hAnsi="仿宋" w:eastAsia="仿宋" w:cs="仿宋"/>
          <w:color w:val="000000"/>
        </w:rPr>
        <w:t xml:space="preserve">  </w:t>
      </w:r>
    </w:p>
    <w:bookmarkEnd w:id="1110"/>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1.采购人信息</w:t>
      </w:r>
    </w:p>
    <w:p>
      <w:pPr>
        <w:spacing w:line="500" w:lineRule="exact"/>
        <w:ind w:firstLine="720" w:firstLineChars="300"/>
        <w:rPr>
          <w:rFonts w:ascii="仿宋" w:hAnsi="仿宋" w:eastAsia="仿宋" w:cs="仿宋"/>
          <w:sz w:val="24"/>
          <w:szCs w:val="22"/>
        </w:rPr>
      </w:pPr>
      <w:bookmarkStart w:id="1115" w:name="_Toc28359086"/>
      <w:bookmarkStart w:id="1116" w:name="_Toc27055"/>
      <w:bookmarkStart w:id="1117" w:name="_Toc28359009"/>
      <w:r>
        <w:rPr>
          <w:rFonts w:hint="eastAsia" w:ascii="仿宋" w:hAnsi="仿宋" w:eastAsia="仿宋" w:cs="仿宋"/>
          <w:sz w:val="24"/>
          <w:szCs w:val="22"/>
        </w:rPr>
        <w:t>采购单位：塔什库尔干塔吉克自治县塔什库尔干乡</w:t>
      </w:r>
    </w:p>
    <w:p>
      <w:pPr>
        <w:spacing w:line="500" w:lineRule="exact"/>
        <w:ind w:firstLine="720" w:firstLineChars="300"/>
        <w:rPr>
          <w:rFonts w:ascii="仿宋" w:hAnsi="仿宋" w:eastAsia="仿宋" w:cs="仿宋"/>
          <w:sz w:val="24"/>
          <w:szCs w:val="22"/>
        </w:rPr>
      </w:pPr>
      <w:r>
        <w:rPr>
          <w:rFonts w:hint="eastAsia" w:ascii="仿宋" w:hAnsi="仿宋" w:eastAsia="仿宋" w:cs="仿宋"/>
          <w:sz w:val="24"/>
          <w:szCs w:val="22"/>
        </w:rPr>
        <w:t>地 址：   塔什库尔干塔吉克自治县塔什库尔干乡</w:t>
      </w:r>
    </w:p>
    <w:p>
      <w:pPr>
        <w:spacing w:line="500" w:lineRule="exact"/>
        <w:ind w:firstLine="720" w:firstLineChars="300"/>
        <w:rPr>
          <w:rFonts w:ascii="仿宋" w:hAnsi="仿宋" w:eastAsia="仿宋" w:cs="仿宋"/>
          <w:sz w:val="24"/>
          <w:szCs w:val="22"/>
        </w:rPr>
      </w:pPr>
      <w:r>
        <w:rPr>
          <w:rFonts w:hint="eastAsia" w:ascii="仿宋" w:hAnsi="仿宋" w:eastAsia="仿宋" w:cs="仿宋"/>
          <w:sz w:val="24"/>
          <w:szCs w:val="22"/>
        </w:rPr>
        <w:t>联系人及方式：李乡长15199897597</w:t>
      </w:r>
    </w:p>
    <w:p>
      <w:pPr>
        <w:spacing w:line="500" w:lineRule="exact"/>
        <w:ind w:firstLine="480" w:firstLineChars="200"/>
        <w:rPr>
          <w:rFonts w:ascii="仿宋" w:hAnsi="仿宋" w:eastAsia="仿宋" w:cs="仿宋"/>
          <w:sz w:val="24"/>
          <w:szCs w:val="22"/>
        </w:rPr>
      </w:pPr>
      <w:r>
        <w:rPr>
          <w:rFonts w:hint="eastAsia" w:ascii="仿宋" w:hAnsi="仿宋" w:eastAsia="仿宋" w:cs="仿宋"/>
          <w:sz w:val="24"/>
          <w:szCs w:val="22"/>
        </w:rPr>
        <w:t>2.采购代理机构信息</w:t>
      </w:r>
      <w:bookmarkEnd w:id="1115"/>
      <w:bookmarkEnd w:id="1116"/>
      <w:bookmarkEnd w:id="1117"/>
      <w:r>
        <w:rPr>
          <w:rFonts w:hint="eastAsia" w:ascii="仿宋" w:hAnsi="仿宋" w:eastAsia="仿宋" w:cs="仿宋"/>
          <w:sz w:val="24"/>
          <w:szCs w:val="22"/>
        </w:rPr>
        <w:t xml:space="preserve"> </w:t>
      </w:r>
    </w:p>
    <w:p>
      <w:pPr>
        <w:spacing w:line="500" w:lineRule="exact"/>
        <w:ind w:firstLine="720" w:firstLineChars="300"/>
        <w:rPr>
          <w:rFonts w:ascii="仿宋" w:hAnsi="仿宋" w:eastAsia="仿宋" w:cs="仿宋"/>
          <w:sz w:val="24"/>
          <w:szCs w:val="22"/>
        </w:rPr>
      </w:pPr>
      <w:r>
        <w:rPr>
          <w:rFonts w:hint="eastAsia" w:ascii="仿宋" w:hAnsi="仿宋" w:eastAsia="仿宋" w:cs="仿宋"/>
          <w:sz w:val="24"/>
          <w:szCs w:val="22"/>
        </w:rPr>
        <w:t>名 称：新疆招标有限公司</w:t>
      </w:r>
    </w:p>
    <w:p>
      <w:pPr>
        <w:spacing w:line="500" w:lineRule="exact"/>
        <w:ind w:firstLine="720" w:firstLineChars="300"/>
        <w:rPr>
          <w:rFonts w:ascii="仿宋" w:hAnsi="仿宋" w:eastAsia="仿宋" w:cs="仿宋"/>
          <w:sz w:val="24"/>
          <w:szCs w:val="22"/>
        </w:rPr>
      </w:pPr>
      <w:r>
        <w:rPr>
          <w:rFonts w:hint="eastAsia" w:ascii="仿宋" w:hAnsi="仿宋" w:eastAsia="仿宋" w:cs="仿宋"/>
          <w:sz w:val="24"/>
          <w:szCs w:val="22"/>
        </w:rPr>
        <w:t>地　址：喀什地区喀什经济开发区兵团大厦A座14楼1401</w:t>
      </w:r>
    </w:p>
    <w:p>
      <w:pPr>
        <w:spacing w:line="500" w:lineRule="exact"/>
        <w:ind w:firstLine="720" w:firstLineChars="300"/>
        <w:rPr>
          <w:rFonts w:ascii="仿宋" w:hAnsi="仿宋" w:eastAsia="仿宋" w:cs="仿宋"/>
          <w:sz w:val="24"/>
          <w:szCs w:val="22"/>
        </w:rPr>
      </w:pPr>
      <w:r>
        <w:rPr>
          <w:rFonts w:hint="eastAsia" w:ascii="仿宋" w:hAnsi="仿宋" w:eastAsia="仿宋" w:cs="仿宋"/>
          <w:sz w:val="24"/>
          <w:szCs w:val="22"/>
        </w:rPr>
        <w:t>联系方式：13109925658、16689976999</w:t>
      </w:r>
    </w:p>
    <w:p>
      <w:pPr>
        <w:spacing w:line="500" w:lineRule="exact"/>
        <w:ind w:firstLine="480" w:firstLineChars="200"/>
        <w:jc w:val="left"/>
        <w:rPr>
          <w:rFonts w:ascii="仿宋" w:hAnsi="仿宋" w:eastAsia="仿宋" w:cs="仿宋"/>
          <w:sz w:val="24"/>
          <w:szCs w:val="22"/>
        </w:rPr>
      </w:pPr>
      <w:r>
        <w:rPr>
          <w:rFonts w:hint="eastAsia" w:ascii="仿宋" w:hAnsi="仿宋" w:eastAsia="仿宋" w:cs="仿宋"/>
          <w:sz w:val="24"/>
          <w:szCs w:val="22"/>
        </w:rPr>
        <w:t>3.采购监督部门：塔什库尔干塔吉克自治县财政局采购办</w:t>
      </w:r>
    </w:p>
    <w:p>
      <w:pPr>
        <w:spacing w:line="500" w:lineRule="exact"/>
        <w:ind w:firstLine="720" w:firstLineChars="300"/>
        <w:rPr>
          <w:rFonts w:ascii="仿宋" w:hAnsi="仿宋" w:eastAsia="仿宋" w:cs="仿宋"/>
          <w:sz w:val="24"/>
          <w:szCs w:val="22"/>
        </w:rPr>
      </w:pPr>
      <w:r>
        <w:rPr>
          <w:rFonts w:hint="eastAsia" w:ascii="仿宋" w:hAnsi="仿宋" w:eastAsia="仿宋" w:cs="仿宋"/>
          <w:sz w:val="24"/>
          <w:szCs w:val="22"/>
        </w:rPr>
        <w:t>采购监督部门地址： 塔什库尔干塔吉克自治县财政局采购办</w:t>
      </w:r>
    </w:p>
    <w:p>
      <w:pPr>
        <w:pStyle w:val="88"/>
        <w:rPr>
          <w:rFonts w:ascii="仿宋" w:hAnsi="仿宋" w:eastAsia="仿宋" w:cs="仿宋"/>
        </w:rPr>
      </w:pPr>
    </w:p>
    <w:p>
      <w:pPr>
        <w:rPr>
          <w:rFonts w:ascii="仿宋" w:hAnsi="仿宋" w:eastAsia="仿宋" w:cs="仿宋"/>
        </w:rPr>
      </w:pPr>
    </w:p>
    <w:p>
      <w:pPr>
        <w:pStyle w:val="9"/>
        <w:ind w:firstLine="0"/>
        <w:rPr>
          <w:rFonts w:ascii="仿宋" w:hAnsi="仿宋" w:eastAsia="仿宋" w:cs="仿宋"/>
        </w:rPr>
      </w:pPr>
      <w:bookmarkStart w:id="1118" w:name="_Toc26661"/>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rPr>
          <w:rFonts w:ascii="仿宋" w:hAnsi="仿宋" w:eastAsia="仿宋" w:cs="仿宋"/>
        </w:rPr>
      </w:pPr>
    </w:p>
    <w:p>
      <w:pPr>
        <w:widowControl/>
        <w:jc w:val="left"/>
        <w:rPr>
          <w:rFonts w:ascii="仿宋" w:hAnsi="仿宋" w:eastAsia="仿宋" w:cs="仿宋"/>
          <w:b/>
          <w:kern w:val="44"/>
          <w:sz w:val="44"/>
          <w:szCs w:val="44"/>
        </w:rPr>
      </w:pPr>
      <w:bookmarkStart w:id="1119" w:name="_Toc3024"/>
      <w:bookmarkStart w:id="1120" w:name="_Toc17677"/>
      <w:bookmarkStart w:id="1121" w:name="_Toc3146"/>
      <w:r>
        <w:rPr>
          <w:rFonts w:hint="eastAsia" w:ascii="仿宋" w:hAnsi="仿宋" w:eastAsia="仿宋" w:cs="仿宋"/>
          <w:sz w:val="44"/>
          <w:szCs w:val="44"/>
        </w:rPr>
        <w:br w:type="page"/>
      </w:r>
    </w:p>
    <w:p>
      <w:pPr>
        <w:pStyle w:val="5"/>
        <w:rPr>
          <w:rFonts w:ascii="仿宋" w:hAnsi="仿宋" w:eastAsia="仿宋" w:cs="仿宋"/>
        </w:rPr>
      </w:pPr>
      <w:r>
        <w:rPr>
          <w:rFonts w:hint="eastAsia" w:ascii="仿宋" w:hAnsi="仿宋" w:eastAsia="仿宋" w:cs="仿宋"/>
          <w:sz w:val="44"/>
          <w:szCs w:val="44"/>
        </w:rPr>
        <w:t>第四章  投标人须知资料表</w:t>
      </w:r>
      <w:bookmarkEnd w:id="779"/>
      <w:bookmarkEnd w:id="780"/>
      <w:bookmarkEnd w:id="781"/>
      <w:bookmarkEnd w:id="782"/>
      <w:bookmarkEnd w:id="783"/>
      <w:bookmarkEnd w:id="784"/>
      <w:bookmarkEnd w:id="785"/>
      <w:bookmarkEnd w:id="1118"/>
      <w:bookmarkEnd w:id="1119"/>
      <w:bookmarkEnd w:id="1120"/>
      <w:bookmarkEnd w:id="1121"/>
    </w:p>
    <w:p>
      <w:pPr>
        <w:spacing w:line="240" w:lineRule="atLeast"/>
        <w:ind w:firstLine="360" w:firstLineChars="150"/>
        <w:rPr>
          <w:rFonts w:ascii="仿宋" w:hAnsi="仿宋" w:eastAsia="仿宋" w:cs="仿宋"/>
          <w:sz w:val="24"/>
        </w:rPr>
      </w:pPr>
      <w:r>
        <w:rPr>
          <w:rFonts w:hint="eastAsia" w:ascii="仿宋" w:hAnsi="仿宋" w:eastAsia="仿宋" w:cs="仿宋"/>
          <w:sz w:val="24"/>
        </w:rPr>
        <w:t>本表是本招标项目的具体资料，是对投标人须知的具体补充和修改，如有矛盾，应以本资料表为准。</w:t>
      </w:r>
    </w:p>
    <w:tbl>
      <w:tblPr>
        <w:tblStyle w:val="35"/>
        <w:tblW w:w="83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31"/>
        <w:gridCol w:w="71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31" w:type="dxa"/>
            <w:vAlign w:val="center"/>
          </w:tcPr>
          <w:p>
            <w:pPr>
              <w:spacing w:line="240" w:lineRule="atLeast"/>
              <w:ind w:firstLine="240" w:firstLineChars="100"/>
              <w:rPr>
                <w:rFonts w:ascii="仿宋" w:hAnsi="仿宋" w:eastAsia="仿宋" w:cs="仿宋"/>
                <w:sz w:val="24"/>
              </w:rPr>
            </w:pPr>
            <w:r>
              <w:rPr>
                <w:rFonts w:hint="eastAsia" w:ascii="仿宋" w:hAnsi="仿宋" w:eastAsia="仿宋" w:cs="仿宋"/>
                <w:sz w:val="24"/>
              </w:rPr>
              <w:t>条款号</w:t>
            </w:r>
          </w:p>
        </w:tc>
        <w:tc>
          <w:tcPr>
            <w:tcW w:w="7149" w:type="dxa"/>
            <w:vAlign w:val="center"/>
          </w:tcPr>
          <w:p>
            <w:pPr>
              <w:spacing w:line="240" w:lineRule="atLeast"/>
              <w:ind w:left="1080" w:leftChars="257" w:hanging="540"/>
              <w:jc w:val="center"/>
              <w:rPr>
                <w:rFonts w:ascii="仿宋" w:hAnsi="仿宋" w:eastAsia="仿宋" w:cs="仿宋"/>
                <w:b/>
                <w:color w:val="000000"/>
                <w:sz w:val="24"/>
              </w:rPr>
            </w:pPr>
            <w:r>
              <w:rPr>
                <w:rFonts w:hint="eastAsia" w:ascii="仿宋" w:hAnsi="仿宋" w:eastAsia="仿宋" w:cs="仿宋"/>
                <w:b/>
                <w:color w:val="000000"/>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9"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1.1</w:t>
            </w:r>
          </w:p>
        </w:tc>
        <w:tc>
          <w:tcPr>
            <w:tcW w:w="7149" w:type="dxa"/>
            <w:vAlign w:val="center"/>
          </w:tcPr>
          <w:p>
            <w:pPr>
              <w:spacing w:line="240" w:lineRule="atLeast"/>
              <w:rPr>
                <w:rFonts w:ascii="仿宋" w:hAnsi="仿宋" w:eastAsia="仿宋" w:cs="仿宋"/>
                <w:sz w:val="24"/>
              </w:rPr>
            </w:pPr>
            <w:r>
              <w:rPr>
                <w:rFonts w:hint="eastAsia" w:ascii="仿宋" w:hAnsi="仿宋" w:eastAsia="仿宋" w:cs="仿宋"/>
                <w:sz w:val="24"/>
              </w:rPr>
              <w:t>采购人：塔什库尔干塔吉克自治县塔什库尔干乡</w:t>
            </w:r>
          </w:p>
          <w:p>
            <w:pPr>
              <w:spacing w:line="240" w:lineRule="atLeast"/>
              <w:rPr>
                <w:rFonts w:ascii="仿宋" w:hAnsi="仿宋" w:eastAsia="仿宋" w:cs="仿宋"/>
                <w:color w:val="000000"/>
                <w:sz w:val="24"/>
              </w:rPr>
            </w:pPr>
            <w:r>
              <w:rPr>
                <w:rFonts w:hint="eastAsia" w:ascii="仿宋" w:hAnsi="仿宋" w:eastAsia="仿宋" w:cs="仿宋"/>
                <w:sz w:val="24"/>
              </w:rPr>
              <w:t>联系人：李乡长     联系电话：15199897597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8"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1.2</w:t>
            </w:r>
          </w:p>
        </w:tc>
        <w:tc>
          <w:tcPr>
            <w:tcW w:w="7149" w:type="dxa"/>
            <w:vAlign w:val="center"/>
          </w:tcPr>
          <w:p>
            <w:pPr>
              <w:spacing w:line="240" w:lineRule="atLeast"/>
              <w:rPr>
                <w:rFonts w:ascii="仿宋" w:hAnsi="仿宋" w:eastAsia="仿宋" w:cs="仿宋"/>
                <w:sz w:val="24"/>
                <w:u w:val="single"/>
              </w:rPr>
            </w:pPr>
            <w:r>
              <w:rPr>
                <w:rFonts w:hint="eastAsia" w:ascii="仿宋" w:hAnsi="仿宋" w:eastAsia="仿宋" w:cs="仿宋"/>
                <w:sz w:val="24"/>
              </w:rPr>
              <w:t>采购代理机构：</w:t>
            </w:r>
            <w:r>
              <w:rPr>
                <w:rFonts w:hint="eastAsia" w:ascii="仿宋" w:hAnsi="仿宋" w:eastAsia="仿宋" w:cs="仿宋"/>
                <w:sz w:val="24"/>
                <w:u w:val="single"/>
              </w:rPr>
              <w:t>新疆招标有限公司</w:t>
            </w:r>
          </w:p>
          <w:p>
            <w:pPr>
              <w:widowControl/>
              <w:spacing w:line="330" w:lineRule="exact"/>
              <w:jc w:val="left"/>
              <w:rPr>
                <w:rFonts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喀什地区喀什经济开发区兵团大厦A座14楼1401</w:t>
            </w:r>
          </w:p>
          <w:p>
            <w:pPr>
              <w:spacing w:line="240" w:lineRule="atLeast"/>
              <w:rPr>
                <w:rFonts w:ascii="仿宋" w:hAnsi="仿宋" w:eastAsia="仿宋" w:cs="仿宋"/>
                <w:sz w:val="24"/>
              </w:rPr>
            </w:pPr>
            <w:r>
              <w:rPr>
                <w:rFonts w:hint="eastAsia" w:ascii="仿宋" w:hAnsi="仿宋" w:eastAsia="仿宋" w:cs="仿宋"/>
                <w:sz w:val="24"/>
              </w:rPr>
              <w:t>业务联系人：</w:t>
            </w:r>
            <w:r>
              <w:rPr>
                <w:rFonts w:hint="eastAsia" w:ascii="仿宋" w:hAnsi="仿宋" w:eastAsia="仿宋" w:cs="仿宋"/>
                <w:sz w:val="24"/>
                <w:u w:val="single"/>
              </w:rPr>
              <w:t>姚健、李龙涛</w:t>
            </w:r>
            <w:r>
              <w:rPr>
                <w:rFonts w:hint="eastAsia" w:ascii="仿宋" w:hAnsi="仿宋" w:eastAsia="仿宋" w:cs="仿宋"/>
                <w:sz w:val="24"/>
              </w:rPr>
              <w:t xml:space="preserve">   电话：</w:t>
            </w:r>
            <w:r>
              <w:rPr>
                <w:rFonts w:hint="eastAsia" w:ascii="仿宋" w:hAnsi="仿宋" w:eastAsia="仿宋" w:cs="仿宋"/>
                <w:sz w:val="24"/>
                <w:u w:val="single"/>
              </w:rPr>
              <w:t xml:space="preserve">13109925658、16689976999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1.3.1</w:t>
            </w:r>
          </w:p>
        </w:tc>
        <w:tc>
          <w:tcPr>
            <w:tcW w:w="7149" w:type="dxa"/>
            <w:vAlign w:val="center"/>
          </w:tcPr>
          <w:p>
            <w:pPr>
              <w:spacing w:line="240" w:lineRule="atLeast"/>
              <w:jc w:val="left"/>
              <w:rPr>
                <w:rFonts w:ascii="仿宋" w:hAnsi="仿宋" w:eastAsia="仿宋" w:cs="仿宋"/>
                <w:sz w:val="24"/>
              </w:rPr>
            </w:pPr>
            <w:r>
              <w:rPr>
                <w:rFonts w:hint="eastAsia" w:ascii="仿宋" w:hAnsi="仿宋" w:eastAsia="仿宋" w:cs="仿宋"/>
                <w:sz w:val="24"/>
              </w:rPr>
              <w:t>合格投标人资格要求：</w:t>
            </w: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（1）企业三证合一的法人营业执照或含二维码的营业执照；</w:t>
            </w: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（2）法定代表人资格证明及授权书、被授权人身份证(法定代表人投标需提供法定代表人身份证)；</w:t>
            </w: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（3）提供近两年内任意一年的财务审计报告（新成立的公司可提供近一个月的银行资信证明）；</w:t>
            </w: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（4）投标人依法缴纳近 3个月内其中任意1个月的社会保险凭据；</w:t>
            </w: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（5）投标人提供税务部门出具的近3个月内其中任意1个月的完税证明（零申报需加盖税务机关鲜章）；</w:t>
            </w: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（6）根据《财政部关于在政府采购活动中查询及使用信用记录有关问题的通知》（财库﹝2016﹞125号）的要求，凡拟参加本次招标项目的</w:t>
            </w:r>
            <w:r>
              <w:rPr>
                <w:rFonts w:hint="eastAsia" w:ascii="仿宋" w:hAnsi="仿宋" w:eastAsia="仿宋" w:cs="仿宋"/>
                <w:sz w:val="24"/>
                <w:lang w:eastAsia="zh-CN"/>
              </w:rPr>
              <w:t>投标人</w:t>
            </w:r>
            <w:r>
              <w:rPr>
                <w:rFonts w:hint="eastAsia" w:ascii="仿宋" w:hAnsi="仿宋" w:eastAsia="仿宋" w:cs="仿宋"/>
                <w:sz w:val="24"/>
              </w:rPr>
              <w:t>，如在“信用中国”网站（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由代理机构现场查询核实）；</w:t>
            </w: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（7）在参加政府采购活动中前三年内无重大违法记录的声明书；</w:t>
            </w: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（8）提供针对本次项目《反商业贿赂承诺书》 ；</w:t>
            </w: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（9）投标保证金缴纳凭证；</w:t>
            </w:r>
          </w:p>
          <w:p>
            <w:pPr>
              <w:spacing w:line="240" w:lineRule="atLeast"/>
              <w:ind w:firstLine="240" w:firstLineChars="100"/>
              <w:jc w:val="left"/>
              <w:rPr>
                <w:rFonts w:ascii="仿宋" w:hAnsi="仿宋" w:eastAsia="仿宋" w:cs="仿宋"/>
                <w:sz w:val="24"/>
              </w:rPr>
            </w:pPr>
            <w:r>
              <w:rPr>
                <w:rFonts w:hint="eastAsia" w:ascii="仿宋" w:hAnsi="仿宋" w:eastAsia="仿宋" w:cs="仿宋"/>
                <w:sz w:val="24"/>
              </w:rPr>
              <w:t>（10）</w:t>
            </w:r>
            <w:r>
              <w:rPr>
                <w:rFonts w:hint="eastAsia" w:ascii="仿宋" w:hAnsi="仿宋" w:eastAsia="仿宋" w:cs="仿宋"/>
                <w:sz w:val="24"/>
                <w:lang w:eastAsia="zh-CN"/>
              </w:rPr>
              <w:t>投标人</w:t>
            </w:r>
            <w:r>
              <w:rPr>
                <w:rFonts w:hint="eastAsia" w:ascii="仿宋" w:hAnsi="仿宋" w:eastAsia="仿宋" w:cs="仿宋"/>
                <w:sz w:val="24"/>
              </w:rPr>
              <w:t>应为中小企业，提供《中小企业声明函》。</w:t>
            </w:r>
          </w:p>
          <w:p>
            <w:pPr>
              <w:spacing w:line="240" w:lineRule="atLeast"/>
              <w:ind w:firstLine="480" w:firstLineChars="200"/>
              <w:rPr>
                <w:rFonts w:ascii="仿宋" w:hAnsi="仿宋" w:eastAsia="仿宋" w:cs="仿宋"/>
                <w:sz w:val="24"/>
              </w:rPr>
            </w:pPr>
            <w:r>
              <w:rPr>
                <w:rFonts w:hint="eastAsia" w:ascii="仿宋" w:hAnsi="仿宋" w:eastAsia="仿宋" w:cs="仿宋"/>
                <w:sz w:val="24"/>
              </w:rPr>
              <w:t>本项目不接受联合体投标。</w:t>
            </w:r>
          </w:p>
          <w:p>
            <w:pPr>
              <w:pStyle w:val="26"/>
              <w:rPr>
                <w:rFonts w:ascii="仿宋" w:hAnsi="仿宋" w:eastAsia="仿宋" w:cs="仿宋"/>
              </w:rPr>
            </w:pPr>
            <w:r>
              <w:rPr>
                <w:rFonts w:hint="eastAsia" w:ascii="仿宋" w:hAnsi="仿宋" w:eastAsia="仿宋" w:cs="仿宋"/>
                <w:sz w:val="24"/>
              </w:rPr>
              <w:t>注：1、“提供税务部门出具的完税证明”：①若</w:t>
            </w:r>
            <w:r>
              <w:rPr>
                <w:rFonts w:hint="eastAsia" w:ascii="仿宋" w:hAnsi="仿宋" w:eastAsia="仿宋" w:cs="仿宋"/>
                <w:sz w:val="24"/>
                <w:lang w:eastAsia="zh-CN"/>
              </w:rPr>
              <w:t>投标人</w:t>
            </w:r>
            <w:r>
              <w:rPr>
                <w:rFonts w:hint="eastAsia" w:ascii="仿宋" w:hAnsi="仿宋" w:eastAsia="仿宋" w:cs="仿宋"/>
                <w:sz w:val="24"/>
              </w:rPr>
              <w:t>某月税收为零申报，须提供当月加盖税务局公章的无欠税证明或“国家税务总局电子税务局12366.chinatax.gov.cn/bsfw/onlinetaxation/main）”的申报结果查询截图 ②完税证明中“税种”非养老保险、医疗保险、失业保险、工伤保险和生育保险。请各</w:t>
            </w:r>
            <w:r>
              <w:rPr>
                <w:rFonts w:hint="eastAsia" w:ascii="仿宋" w:hAnsi="仿宋" w:eastAsia="仿宋" w:cs="仿宋"/>
                <w:sz w:val="24"/>
                <w:lang w:eastAsia="zh-CN"/>
              </w:rPr>
              <w:t>投标人</w:t>
            </w:r>
            <w:r>
              <w:rPr>
                <w:rFonts w:hint="eastAsia" w:ascii="仿宋" w:hAnsi="仿宋" w:eastAsia="仿宋" w:cs="仿宋"/>
                <w:sz w:val="24"/>
              </w:rPr>
              <w:t>注意！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4"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 xml:space="preserve">1.3.2   </w:t>
            </w:r>
          </w:p>
        </w:tc>
        <w:tc>
          <w:tcPr>
            <w:tcW w:w="7149" w:type="dxa"/>
            <w:vAlign w:val="center"/>
          </w:tcPr>
          <w:p>
            <w:pPr>
              <w:spacing w:line="240" w:lineRule="atLeast"/>
              <w:rPr>
                <w:rFonts w:ascii="仿宋" w:hAnsi="仿宋" w:eastAsia="仿宋" w:cs="仿宋"/>
                <w:sz w:val="24"/>
              </w:rPr>
            </w:pPr>
            <w:r>
              <w:rPr>
                <w:rFonts w:hint="eastAsia" w:ascii="仿宋" w:hAnsi="仿宋" w:eastAsia="仿宋" w:cs="仿宋"/>
                <w:sz w:val="24"/>
              </w:rPr>
              <w:t>是否允许采购进口产品：否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8"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1.3.3</w:t>
            </w:r>
          </w:p>
        </w:tc>
        <w:tc>
          <w:tcPr>
            <w:tcW w:w="7149" w:type="dxa"/>
            <w:vAlign w:val="center"/>
          </w:tcPr>
          <w:p>
            <w:pPr>
              <w:spacing w:line="240" w:lineRule="atLeast"/>
              <w:rPr>
                <w:rFonts w:ascii="仿宋" w:hAnsi="仿宋" w:eastAsia="仿宋" w:cs="仿宋"/>
                <w:color w:val="00B0F0"/>
                <w:sz w:val="24"/>
                <w:u w:val="single"/>
              </w:rPr>
            </w:pPr>
            <w:r>
              <w:rPr>
                <w:rFonts w:hint="eastAsia" w:ascii="仿宋" w:hAnsi="仿宋" w:eastAsia="仿宋" w:cs="仿宋"/>
                <w:sz w:val="24"/>
              </w:rPr>
              <w:t>是否为专门面向中小企业采购：</w:t>
            </w:r>
            <w:r>
              <w:rPr>
                <w:rFonts w:hint="eastAsia" w:ascii="仿宋" w:hAnsi="仿宋" w:eastAsia="仿宋" w:cs="仿宋"/>
                <w:color w:val="00B0F0"/>
                <w:sz w:val="24"/>
                <w:u w:val="single"/>
              </w:rPr>
              <w:t>是</w:t>
            </w:r>
          </w:p>
          <w:p>
            <w:pPr>
              <w:widowControl/>
              <w:jc w:val="left"/>
              <w:rPr>
                <w:rFonts w:ascii="仿宋" w:hAnsi="仿宋" w:eastAsia="仿宋" w:cs="仿宋"/>
                <w:color w:val="00B0F0"/>
                <w:sz w:val="24"/>
                <w:u w:val="single"/>
              </w:rPr>
            </w:pPr>
            <w:r>
              <w:rPr>
                <w:rFonts w:hint="eastAsia" w:ascii="仿宋" w:hAnsi="仿宋" w:eastAsia="仿宋" w:cs="仿宋"/>
                <w:color w:val="00B0F0"/>
                <w:sz w:val="24"/>
                <w:u w:val="single"/>
              </w:rPr>
              <w:t>所属行业：工业</w:t>
            </w:r>
          </w:p>
          <w:p>
            <w:pPr>
              <w:spacing w:line="240" w:lineRule="atLeast"/>
              <w:rPr>
                <w:rFonts w:ascii="仿宋" w:hAnsi="仿宋" w:eastAsia="仿宋" w:cs="仿宋"/>
                <w:sz w:val="24"/>
              </w:rPr>
            </w:pPr>
            <w:r>
              <w:rPr>
                <w:rFonts w:hint="eastAsia" w:ascii="仿宋" w:hAnsi="仿宋" w:eastAsia="仿宋" w:cs="仿宋"/>
                <w:b/>
                <w:bCs/>
                <w:sz w:val="24"/>
              </w:rPr>
              <w:t xml:space="preserve">注：一.潜在投标企业属于中小微企业的，请在投标文件中提供“中小企业声明函”，如果未提供或提供虚假的“中小企业声明函”，投标企业将承担由此造成的一切不利后果、 </w:t>
            </w:r>
            <w:r>
              <w:rPr>
                <w:rFonts w:hint="eastAsia" w:ascii="仿宋" w:hAnsi="仿宋" w:eastAsia="仿宋" w:cs="仿宋"/>
                <w:sz w:val="24"/>
              </w:rPr>
              <w:t xml:space="preserve"> </w:t>
            </w:r>
          </w:p>
          <w:p>
            <w:pPr>
              <w:spacing w:line="240" w:lineRule="atLeast"/>
              <w:rPr>
                <w:rFonts w:ascii="仿宋" w:hAnsi="仿宋" w:eastAsia="仿宋" w:cs="仿宋"/>
                <w:sz w:val="24"/>
              </w:rPr>
            </w:pPr>
            <w:r>
              <w:rPr>
                <w:rFonts w:hint="eastAsia" w:ascii="仿宋" w:hAnsi="仿宋" w:eastAsia="仿宋" w:cs="仿宋"/>
                <w:sz w:val="24"/>
              </w:rPr>
              <w:t>二.根据《政府采购促进中小企业发展管理办法》，财库[2020]46号规定：</w:t>
            </w:r>
          </w:p>
          <w:p>
            <w:pPr>
              <w:spacing w:line="240" w:lineRule="atLeast"/>
              <w:rPr>
                <w:rFonts w:ascii="仿宋" w:hAnsi="仿宋" w:eastAsia="仿宋" w:cs="仿宋"/>
                <w:sz w:val="24"/>
              </w:rPr>
            </w:pPr>
            <w:r>
              <w:rPr>
                <w:rFonts w:hint="eastAsia" w:ascii="仿宋" w:hAnsi="仿宋" w:eastAsia="仿宋" w:cs="仿宋"/>
                <w:sz w:val="24"/>
              </w:rPr>
              <w:t>1、超过200万元的货物和货物采购项目、超过400万元的工程采购项目中适宜由中小企业提供的，预留该部分采购项目预算总额的30%以上专门面向中小企业采购，其中预留给小微企业的比例不低于60%。</w:t>
            </w:r>
          </w:p>
          <w:p>
            <w:pPr>
              <w:spacing w:line="240" w:lineRule="atLeast"/>
              <w:rPr>
                <w:rFonts w:ascii="仿宋" w:hAnsi="仿宋" w:eastAsia="仿宋" w:cs="仿宋"/>
                <w:sz w:val="24"/>
              </w:rPr>
            </w:pPr>
            <w:r>
              <w:rPr>
                <w:rFonts w:hint="eastAsia" w:ascii="仿宋" w:hAnsi="仿宋" w:eastAsia="仿宋" w:cs="仿宋"/>
                <w:sz w:val="24"/>
              </w:rPr>
              <w:t>2、对于未预留份额专门面向中小企业的采购项目，以及预留份额项目中的非预留部分采购包，采购人、采购代理机构应当对符合规定的小微企业报价给予10%（工程项目为5%）的扣除，用扣除后的价格参加评审。适用招标投标法的政府采购工程建设项目，采用综合评估法但未采用低价优先法计算价格分的，评标时应当在采用原报价进行评分的基础上增加其价格得分的5%作为其价格分。</w:t>
            </w:r>
          </w:p>
          <w:p>
            <w:pPr>
              <w:spacing w:line="240" w:lineRule="atLeast"/>
              <w:rPr>
                <w:rFonts w:ascii="仿宋" w:hAnsi="仿宋" w:eastAsia="仿宋" w:cs="仿宋"/>
                <w:sz w:val="24"/>
              </w:rPr>
            </w:pPr>
            <w:r>
              <w:rPr>
                <w:rFonts w:hint="eastAsia" w:ascii="仿宋" w:hAnsi="仿宋" w:eastAsia="仿宋" w:cs="仿宋"/>
                <w:sz w:val="24"/>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3%（工程项目为2%）的扣除，用扣除后的价格参加评审。适用招标投标法的政府采购工程建设项目，采用综合评估法但未采用低价优先法计算价格分的，评标时应当在采用原报价进行评分的基础上增加其价格得分的2%作为其价格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8"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1.4.1</w:t>
            </w:r>
          </w:p>
        </w:tc>
        <w:tc>
          <w:tcPr>
            <w:tcW w:w="7149" w:type="dxa"/>
            <w:vAlign w:val="center"/>
          </w:tcPr>
          <w:p>
            <w:pPr>
              <w:spacing w:line="240" w:lineRule="atLeast"/>
              <w:rPr>
                <w:rFonts w:ascii="仿宋" w:hAnsi="仿宋" w:eastAsia="仿宋" w:cs="仿宋"/>
                <w:sz w:val="24"/>
              </w:rPr>
            </w:pPr>
            <w:r>
              <w:rPr>
                <w:rFonts w:hint="eastAsia" w:ascii="仿宋" w:hAnsi="仿宋" w:eastAsia="仿宋" w:cs="仿宋"/>
                <w:sz w:val="24"/>
              </w:rPr>
              <w:t>是否允许联合体投标：</w:t>
            </w:r>
            <w:r>
              <w:rPr>
                <w:rFonts w:hint="eastAsia" w:ascii="仿宋" w:hAnsi="仿宋" w:eastAsia="仿宋" w:cs="仿宋"/>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231" w:type="dxa"/>
            <w:vAlign w:val="center"/>
          </w:tcPr>
          <w:p>
            <w:pPr>
              <w:spacing w:line="240" w:lineRule="atLeast"/>
              <w:ind w:left="1080" w:leftChars="257" w:hanging="540"/>
              <w:rPr>
                <w:rFonts w:ascii="仿宋" w:hAnsi="仿宋" w:eastAsia="仿宋" w:cs="仿宋"/>
                <w:sz w:val="24"/>
              </w:rPr>
            </w:pPr>
            <w:bookmarkStart w:id="1122" w:name="_Toc219175639"/>
            <w:bookmarkStart w:id="1123" w:name="_Toc175644389"/>
            <w:bookmarkStart w:id="1124" w:name="_Toc218935355"/>
            <w:bookmarkStart w:id="1125" w:name="_Toc101951258"/>
            <w:bookmarkStart w:id="1126" w:name="_Toc216582826"/>
            <w:bookmarkStart w:id="1127" w:name="_Toc203274616"/>
            <w:r>
              <w:rPr>
                <w:rFonts w:hint="eastAsia" w:ascii="仿宋" w:hAnsi="仿宋" w:eastAsia="仿宋" w:cs="仿宋"/>
                <w:sz w:val="24"/>
              </w:rPr>
              <w:t>1.4.2</w:t>
            </w:r>
          </w:p>
        </w:tc>
        <w:tc>
          <w:tcPr>
            <w:tcW w:w="7149" w:type="dxa"/>
            <w:vAlign w:val="center"/>
          </w:tcPr>
          <w:p>
            <w:pPr>
              <w:spacing w:line="240" w:lineRule="atLeast"/>
              <w:rPr>
                <w:rFonts w:ascii="仿宋" w:hAnsi="仿宋" w:eastAsia="仿宋" w:cs="仿宋"/>
                <w:sz w:val="24"/>
              </w:rPr>
            </w:pPr>
            <w:r>
              <w:rPr>
                <w:rFonts w:hint="eastAsia" w:ascii="仿宋" w:hAnsi="仿宋" w:eastAsia="仿宋" w:cs="仿宋"/>
                <w:sz w:val="24"/>
              </w:rPr>
              <w:t>联合体的其他资格要求：</w:t>
            </w:r>
            <w:r>
              <w:rPr>
                <w:rFonts w:hint="eastAsia" w:ascii="仿宋" w:hAnsi="仿宋" w:eastAsia="仿宋" w:cs="仿宋"/>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5"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2.1</w:t>
            </w:r>
          </w:p>
        </w:tc>
        <w:tc>
          <w:tcPr>
            <w:tcW w:w="7149" w:type="dxa"/>
            <w:vAlign w:val="center"/>
          </w:tcPr>
          <w:p>
            <w:pPr>
              <w:widowControl/>
              <w:jc w:val="left"/>
              <w:rPr>
                <w:rFonts w:ascii="仿宋" w:hAnsi="仿宋" w:eastAsia="仿宋" w:cs="仿宋"/>
                <w:sz w:val="24"/>
              </w:rPr>
            </w:pPr>
            <w:r>
              <w:rPr>
                <w:rFonts w:hint="eastAsia" w:ascii="仿宋" w:hAnsi="仿宋" w:eastAsia="仿宋" w:cs="仿宋"/>
                <w:sz w:val="24"/>
              </w:rPr>
              <w:t>采购预算：</w:t>
            </w:r>
            <w:r>
              <w:rPr>
                <w:rFonts w:hint="eastAsia" w:ascii="仿宋" w:hAnsi="仿宋" w:eastAsia="仿宋" w:cs="仿宋"/>
                <w:color w:val="00B0F0"/>
                <w:sz w:val="24"/>
                <w:szCs w:val="22"/>
              </w:rPr>
              <w:t>48万元；</w:t>
            </w:r>
            <w:r>
              <w:rPr>
                <w:rFonts w:hint="eastAsia" w:ascii="仿宋" w:hAnsi="仿宋" w:eastAsia="仿宋" w:cs="仿宋"/>
                <w:sz w:val="24"/>
              </w:rPr>
              <w:t>最高限价：</w:t>
            </w:r>
            <w:r>
              <w:rPr>
                <w:rFonts w:hint="eastAsia" w:ascii="仿宋" w:hAnsi="仿宋" w:eastAsia="仿宋" w:cs="仿宋"/>
                <w:color w:val="00B0F0"/>
                <w:sz w:val="24"/>
                <w:szCs w:val="22"/>
              </w:rPr>
              <w:t>48万元</w:t>
            </w:r>
            <w:r>
              <w:rPr>
                <w:rFonts w:hint="eastAsia" w:ascii="仿宋" w:hAnsi="仿宋" w:eastAsia="仿宋" w:cs="仿宋"/>
                <w:color w:val="00B0F0"/>
                <w:sz w:val="24"/>
              </w:rPr>
              <w:t>。</w:t>
            </w:r>
            <w:r>
              <w:rPr>
                <w:rFonts w:hint="eastAsia" w:ascii="仿宋" w:hAnsi="仿宋" w:eastAsia="仿宋" w:cs="仿宋"/>
                <w:sz w:val="24"/>
                <w:lang w:val="zh-CN"/>
              </w:rPr>
              <w:t>（超过最高限价的投标无效）</w:t>
            </w:r>
            <w:r>
              <w:rPr>
                <w:rFonts w:hint="eastAsia" w:ascii="仿宋" w:hAnsi="仿宋" w:eastAsia="仿宋" w:cs="仿宋"/>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9"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12.1</w:t>
            </w:r>
          </w:p>
        </w:tc>
        <w:tc>
          <w:tcPr>
            <w:tcW w:w="7149" w:type="dxa"/>
            <w:vAlign w:val="center"/>
          </w:tcPr>
          <w:p>
            <w:pPr>
              <w:rPr>
                <w:rFonts w:ascii="仿宋" w:hAnsi="仿宋" w:eastAsia="仿宋" w:cs="仿宋"/>
                <w:sz w:val="24"/>
              </w:rPr>
            </w:pPr>
            <w:r>
              <w:rPr>
                <w:rFonts w:hint="eastAsia" w:ascii="仿宋" w:hAnsi="仿宋" w:eastAsia="仿宋" w:cs="仿宋"/>
                <w:sz w:val="24"/>
              </w:rPr>
              <w:t>投标保证金形式：</w:t>
            </w:r>
            <w:r>
              <w:rPr>
                <w:rFonts w:hint="eastAsia" w:ascii="仿宋" w:hAnsi="仿宋" w:eastAsia="仿宋" w:cs="仿宋"/>
                <w:sz w:val="24"/>
                <w:u w:val="single"/>
              </w:rPr>
              <w:t xml:space="preserve">☑保函  ☑电汇  </w:t>
            </w:r>
            <w:r>
              <w:rPr>
                <w:rFonts w:hint="eastAsia" w:ascii="仿宋" w:hAnsi="仿宋" w:eastAsia="仿宋" w:cs="仿宋"/>
                <w:sz w:val="24"/>
                <w:u w:val="single"/>
              </w:rPr>
              <w:sym w:font="Wingdings 2" w:char="0052"/>
            </w:r>
            <w:r>
              <w:rPr>
                <w:rFonts w:hint="eastAsia" w:ascii="仿宋" w:hAnsi="仿宋" w:eastAsia="仿宋" w:cs="仿宋"/>
                <w:sz w:val="24"/>
                <w:u w:val="single"/>
              </w:rPr>
              <w:t>支票  ☑对公转账 （本项目允许的其他形式）</w:t>
            </w:r>
          </w:p>
          <w:p>
            <w:pPr>
              <w:pStyle w:val="26"/>
              <w:rPr>
                <w:rFonts w:ascii="仿宋" w:hAnsi="仿宋" w:eastAsia="仿宋" w:cs="仿宋"/>
                <w:color w:val="00B0F0"/>
                <w:sz w:val="24"/>
                <w:u w:val="single"/>
              </w:rPr>
            </w:pPr>
            <w:r>
              <w:rPr>
                <w:rFonts w:hint="eastAsia" w:ascii="仿宋" w:hAnsi="仿宋" w:eastAsia="仿宋" w:cs="仿宋"/>
                <w:b/>
                <w:bCs/>
                <w:sz w:val="24"/>
              </w:rPr>
              <w:t>投标保证金数额:</w:t>
            </w:r>
            <w:r>
              <w:rPr>
                <w:rFonts w:hint="eastAsia" w:ascii="仿宋" w:hAnsi="仿宋" w:eastAsia="仿宋" w:cs="仿宋"/>
                <w:color w:val="00B0F0"/>
                <w:sz w:val="24"/>
                <w:szCs w:val="22"/>
              </w:rPr>
              <w:t>8000.00元</w:t>
            </w:r>
            <w:r>
              <w:rPr>
                <w:rFonts w:hint="eastAsia" w:ascii="仿宋" w:hAnsi="仿宋" w:eastAsia="仿宋" w:cs="仿宋"/>
                <w:color w:val="00B0F0"/>
                <w:sz w:val="24"/>
              </w:rPr>
              <w:t>。</w:t>
            </w:r>
          </w:p>
          <w:p>
            <w:pPr>
              <w:spacing w:line="340" w:lineRule="exact"/>
              <w:rPr>
                <w:rFonts w:ascii="仿宋" w:hAnsi="仿宋" w:eastAsia="仿宋" w:cs="仿宋"/>
                <w:b/>
                <w:bCs/>
                <w:sz w:val="24"/>
              </w:rPr>
            </w:pPr>
            <w:r>
              <w:rPr>
                <w:rFonts w:hint="eastAsia" w:ascii="仿宋" w:hAnsi="仿宋" w:eastAsia="仿宋" w:cs="仿宋"/>
                <w:b/>
                <w:bCs/>
                <w:sz w:val="24"/>
              </w:rPr>
              <w:t>帐户名称：新疆招标有限公司喀什分公司</w:t>
            </w:r>
          </w:p>
          <w:p>
            <w:pPr>
              <w:spacing w:line="340" w:lineRule="exact"/>
              <w:rPr>
                <w:rFonts w:ascii="仿宋" w:hAnsi="仿宋" w:eastAsia="仿宋" w:cs="仿宋"/>
                <w:b/>
                <w:bCs/>
                <w:sz w:val="24"/>
              </w:rPr>
            </w:pPr>
            <w:r>
              <w:rPr>
                <w:rFonts w:hint="eastAsia" w:ascii="仿宋" w:hAnsi="仿宋" w:eastAsia="仿宋" w:cs="仿宋"/>
                <w:b/>
                <w:bCs/>
                <w:sz w:val="24"/>
              </w:rPr>
              <w:t>人民币帐号：3012342909000094521</w:t>
            </w:r>
          </w:p>
          <w:p>
            <w:pPr>
              <w:spacing w:line="340" w:lineRule="exact"/>
              <w:rPr>
                <w:rFonts w:ascii="仿宋" w:hAnsi="仿宋" w:eastAsia="仿宋" w:cs="仿宋"/>
                <w:b/>
                <w:bCs/>
                <w:sz w:val="24"/>
              </w:rPr>
            </w:pPr>
            <w:r>
              <w:rPr>
                <w:rFonts w:hint="eastAsia" w:ascii="仿宋" w:hAnsi="仿宋" w:eastAsia="仿宋" w:cs="仿宋"/>
                <w:b/>
                <w:bCs/>
                <w:sz w:val="24"/>
              </w:rPr>
              <w:t>开户行：中国工商银行股份有限公司喀什经济开发区支行</w:t>
            </w:r>
          </w:p>
          <w:p>
            <w:pPr>
              <w:widowControl/>
              <w:jc w:val="left"/>
              <w:rPr>
                <w:rFonts w:ascii="仿宋" w:hAnsi="仿宋" w:eastAsia="仿宋" w:cs="仿宋"/>
                <w:sz w:val="24"/>
              </w:rPr>
            </w:pPr>
            <w:r>
              <w:rPr>
                <w:rFonts w:hint="eastAsia" w:ascii="仿宋" w:hAnsi="仿宋" w:eastAsia="仿宋" w:cs="仿宋"/>
                <w:b/>
                <w:bCs/>
                <w:sz w:val="24"/>
              </w:rPr>
              <w:t>联系电话：16689976999</w:t>
            </w:r>
            <w:r>
              <w:rPr>
                <w:rFonts w:hint="eastAsia" w:ascii="仿宋" w:hAnsi="仿宋" w:eastAsia="仿宋" w:cs="仿宋"/>
                <w:sz w:val="24"/>
              </w:rPr>
              <w:t xml:space="preserve">                                                                                                                                                                                                                                                                                                                                                                                                                                                                                                                                                                                                                                                                                                                                                                                                                                                                                                                                                                                                                                                                                                                                                                                                                                                                             </w:t>
            </w:r>
          </w:p>
          <w:p>
            <w:pPr>
              <w:widowControl/>
              <w:jc w:val="left"/>
              <w:rPr>
                <w:rFonts w:ascii="仿宋" w:hAnsi="仿宋" w:eastAsia="仿宋" w:cs="仿宋"/>
              </w:rPr>
            </w:pPr>
            <w:r>
              <w:rPr>
                <w:rFonts w:hint="eastAsia" w:ascii="仿宋" w:hAnsi="仿宋" w:eastAsia="仿宋" w:cs="仿宋"/>
                <w:bCs/>
                <w:sz w:val="24"/>
              </w:rPr>
              <w:t>1.打款时必须注明投标保证金项目名称或项目编号（否则视为无效打款）。到账截止时间：投标截止时间（以到账时间为准）。 2.本项目不需要换取收据，银行汇款凭证用于投标保证金证明。如因投标人自身原因打款不成功的，代理机构不承担任何责任。 3.中标人应在与采购人签订合同之日起 5 个工作日内，保证金收受机构根据中标人提供的打款凭证及时办理投标保证金退还手续。 4.未中标投标人的投标保证金将在中标通知书发出之日起 5 个工作日内退还，保证金收受机构根据未中标人提供的打款凭证及时办理退还投标保证金手续。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13.1</w:t>
            </w:r>
          </w:p>
        </w:tc>
        <w:tc>
          <w:tcPr>
            <w:tcW w:w="7149" w:type="dxa"/>
            <w:vAlign w:val="center"/>
          </w:tcPr>
          <w:p>
            <w:pPr>
              <w:spacing w:line="240" w:lineRule="atLeast"/>
              <w:rPr>
                <w:rFonts w:ascii="仿宋" w:hAnsi="仿宋" w:eastAsia="仿宋" w:cs="仿宋"/>
                <w:sz w:val="24"/>
                <w:u w:val="single"/>
              </w:rPr>
            </w:pPr>
            <w:r>
              <w:rPr>
                <w:rFonts w:hint="eastAsia" w:ascii="仿宋" w:hAnsi="仿宋" w:eastAsia="仿宋" w:cs="仿宋"/>
                <w:sz w:val="24"/>
              </w:rPr>
              <w:t>投标有效期</w:t>
            </w:r>
            <w:r>
              <w:rPr>
                <w:rFonts w:hint="eastAsia" w:ascii="仿宋" w:hAnsi="仿宋" w:eastAsia="仿宋" w:cs="仿宋"/>
                <w:color w:val="FF0000"/>
                <w:sz w:val="24"/>
              </w:rPr>
              <w:t>：</w:t>
            </w:r>
            <w:r>
              <w:rPr>
                <w:rFonts w:hint="eastAsia" w:ascii="仿宋" w:hAnsi="仿宋" w:eastAsia="仿宋" w:cs="仿宋"/>
                <w:color w:val="FF0000"/>
                <w:sz w:val="24"/>
                <w:u w:val="single"/>
              </w:rPr>
              <w:t>90</w:t>
            </w:r>
            <w:r>
              <w:rPr>
                <w:rFonts w:hint="eastAsia" w:ascii="仿宋" w:hAnsi="仿宋" w:eastAsia="仿宋" w:cs="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8" w:hRule="atLeast"/>
        </w:trPr>
        <w:tc>
          <w:tcPr>
            <w:tcW w:w="1231" w:type="dxa"/>
            <w:vAlign w:val="center"/>
          </w:tcPr>
          <w:p>
            <w:pPr>
              <w:ind w:firstLine="480" w:firstLineChars="200"/>
              <w:rPr>
                <w:rFonts w:ascii="仿宋" w:hAnsi="仿宋" w:eastAsia="仿宋" w:cs="仿宋"/>
                <w:sz w:val="24"/>
              </w:rPr>
            </w:pPr>
            <w:r>
              <w:rPr>
                <w:rFonts w:hint="eastAsia" w:ascii="仿宋" w:hAnsi="仿宋" w:eastAsia="仿宋" w:cs="仿宋"/>
                <w:sz w:val="24"/>
              </w:rPr>
              <w:t>14.1</w:t>
            </w:r>
          </w:p>
        </w:tc>
        <w:tc>
          <w:tcPr>
            <w:tcW w:w="7149" w:type="dxa"/>
            <w:vAlign w:val="center"/>
          </w:tcPr>
          <w:p>
            <w:pPr>
              <w:widowControl/>
              <w:jc w:val="left"/>
              <w:rPr>
                <w:rFonts w:ascii="仿宋" w:hAnsi="仿宋" w:eastAsia="仿宋" w:cs="仿宋"/>
              </w:rPr>
            </w:pPr>
            <w:r>
              <w:rPr>
                <w:rFonts w:hint="eastAsia" w:ascii="仿宋" w:hAnsi="仿宋" w:eastAsia="仿宋" w:cs="仿宋"/>
                <w:color w:val="000000"/>
                <w:kern w:val="0"/>
                <w:sz w:val="24"/>
                <w:lang w:bidi="ar"/>
              </w:rPr>
              <w:t>1.本项目为电子招投标，</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需要使用 CA 加密设备，凡参加本项目必须可自主通过新疆 CA 申领渠道“新疆政务通”申请政采云平台可使用的 CA 设备，如原有兵团或公共资源使用的 CA，可与新疆 CA 联系，申请增加电子证书即可，无需重复申领。 </w:t>
            </w:r>
          </w:p>
          <w:p>
            <w:pPr>
              <w:widowControl/>
              <w:jc w:val="left"/>
              <w:rPr>
                <w:rFonts w:ascii="仿宋" w:hAnsi="仿宋" w:eastAsia="仿宋" w:cs="仿宋"/>
              </w:rPr>
            </w:pPr>
            <w:r>
              <w:rPr>
                <w:rFonts w:hint="eastAsia" w:ascii="仿宋" w:hAnsi="仿宋" w:eastAsia="仿宋" w:cs="仿宋"/>
                <w:color w:val="000000"/>
                <w:kern w:val="0"/>
                <w:sz w:val="24"/>
                <w:lang w:bidi="ar"/>
              </w:rPr>
              <w:t>2.本项目实行网上投标，采用电子投标文件(</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须使用 CA 加密设备通过政采云电子投标客户端制作投标文件)。若</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参与投标，自行承担投标一切费用。 </w:t>
            </w:r>
          </w:p>
          <w:p>
            <w:pPr>
              <w:widowControl/>
              <w:jc w:val="left"/>
              <w:rPr>
                <w:rFonts w:ascii="仿宋" w:hAnsi="仿宋" w:eastAsia="仿宋" w:cs="仿宋"/>
              </w:rPr>
            </w:pPr>
            <w:r>
              <w:rPr>
                <w:rFonts w:hint="eastAsia" w:ascii="仿宋" w:hAnsi="仿宋" w:eastAsia="仿宋" w:cs="仿宋"/>
                <w:color w:val="000000"/>
                <w:kern w:val="0"/>
                <w:sz w:val="24"/>
                <w:lang w:bidi="ar"/>
              </w:rPr>
              <w:t>3.各</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应在开标前应确保成为新疆政府采购网正式注册入库</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，并完成 CA 数字证书申领。因未注册入库、未办理 CA 数字证书等原因造成无法投标或投标失败等后果由</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自行承担。 </w:t>
            </w:r>
          </w:p>
          <w:p>
            <w:pPr>
              <w:widowControl/>
              <w:jc w:val="left"/>
              <w:rPr>
                <w:rFonts w:ascii="仿宋" w:hAnsi="仿宋" w:eastAsia="仿宋" w:cs="仿宋"/>
              </w:rPr>
            </w:pPr>
            <w:r>
              <w:rPr>
                <w:rFonts w:hint="eastAsia" w:ascii="仿宋" w:hAnsi="仿宋" w:eastAsia="仿宋" w:cs="仿宋"/>
                <w:color w:val="000000"/>
                <w:kern w:val="0"/>
                <w:sz w:val="24"/>
                <w:lang w:bidi="ar"/>
              </w:rPr>
              <w:t>4.</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将政采云电子交易客户端下载、安装完成后，可通过账号密码或 CA 登录客户端进行投标文件制作。在使用政采云投标客户端时，建议使用WIN7及以上操作系统。客户端请至新疆政府采购网（http://www.ccgp-xinjiang.gov.cn/）下载专区查看，如有问题可拨打政采云客户服务热线 400-881-7190 进行咨询。 </w:t>
            </w:r>
          </w:p>
          <w:p>
            <w:pPr>
              <w:widowControl/>
              <w:jc w:val="left"/>
              <w:rPr>
                <w:rFonts w:ascii="仿宋" w:hAnsi="仿宋" w:eastAsia="仿宋" w:cs="仿宋"/>
              </w:rPr>
            </w:pPr>
            <w:r>
              <w:rPr>
                <w:rFonts w:hint="eastAsia" w:ascii="仿宋" w:hAnsi="仿宋" w:eastAsia="仿宋" w:cs="仿宋"/>
                <w:color w:val="000000"/>
                <w:kern w:val="0"/>
                <w:sz w:val="24"/>
                <w:lang w:bidi="ar"/>
              </w:rPr>
              <w:t>5.</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在开标时须使用制作加密电子投标文件所使用的 CA 锁及电脑，电脑须提前配置好浏览器（建议使用谷歌极速浏览器），以便开标时解锁。</w:t>
            </w:r>
          </w:p>
          <w:p>
            <w:pPr>
              <w:widowControl/>
              <w:jc w:val="left"/>
              <w:rPr>
                <w:rFonts w:ascii="仿宋" w:hAnsi="仿宋" w:eastAsia="仿宋" w:cs="仿宋"/>
                <w:color w:val="000000"/>
                <w:kern w:val="0"/>
                <w:sz w:val="24"/>
                <w:lang w:bidi="ar"/>
              </w:rPr>
            </w:pPr>
            <w:r>
              <w:rPr>
                <w:rFonts w:hint="eastAsia" w:ascii="仿宋" w:hAnsi="仿宋" w:eastAsia="仿宋" w:cs="仿宋"/>
                <w:color w:val="000000"/>
                <w:kern w:val="0"/>
                <w:sz w:val="24"/>
                <w:lang w:bidi="ar"/>
              </w:rPr>
              <w:t>6.投标保证金缴纳及确认时间：凡拟参加本次招标项目的</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，必须在开标前将投标保证金汇入指定账户。投标保证金汇款凭证上用途栏应注明:招标项目名称+标项号+投标保证金。否则，届时其投标将被拒绝。 </w:t>
            </w:r>
          </w:p>
          <w:p>
            <w:pPr>
              <w:widowControl/>
              <w:jc w:val="left"/>
              <w:rPr>
                <w:rFonts w:ascii="仿宋" w:hAnsi="仿宋" w:eastAsia="仿宋" w:cs="仿宋"/>
              </w:rPr>
            </w:pPr>
            <w:r>
              <w:rPr>
                <w:rFonts w:hint="eastAsia" w:ascii="仿宋" w:hAnsi="仿宋" w:eastAsia="仿宋" w:cs="仿宋"/>
                <w:color w:val="000000"/>
                <w:kern w:val="0"/>
                <w:sz w:val="24"/>
                <w:lang w:bidi="ar"/>
              </w:rPr>
              <w:t xml:space="preserve">7. </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对不见面开评标系统的技术操作咨询，可通过https://edu.zcygov.cn/luban/xinjiang-e-biding 自助查询，也可在政采云帮助中心常见问题解答和操作流程讲解视频中自助查询，网址为：https://service.zcygov.cn/#/help，“项目采购”—“操作流程-电子招投标”—“政府采购项目电子交易管理操作指南-</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”版面获取操作指南，同时对自助查询无法解决的问题可通过钉钉群及政采云在线客服获取服务支持。 </w:t>
            </w:r>
          </w:p>
          <w:p>
            <w:pPr>
              <w:widowControl/>
              <w:jc w:val="left"/>
              <w:rPr>
                <w:rFonts w:ascii="仿宋" w:hAnsi="仿宋" w:eastAsia="仿宋" w:cs="仿宋"/>
              </w:rPr>
            </w:pPr>
            <w:r>
              <w:rPr>
                <w:rFonts w:hint="eastAsia" w:ascii="仿宋" w:hAnsi="仿宋" w:eastAsia="仿宋" w:cs="仿宋"/>
                <w:color w:val="000000"/>
                <w:kern w:val="0"/>
                <w:sz w:val="24"/>
                <w:lang w:bidi="ar"/>
              </w:rPr>
              <w:t>8.各</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须在投标截止时间前完成在系统上递交电子投标文件。 </w:t>
            </w:r>
          </w:p>
          <w:p>
            <w:pPr>
              <w:widowControl/>
              <w:jc w:val="left"/>
              <w:rPr>
                <w:rFonts w:ascii="仿宋" w:hAnsi="仿宋" w:eastAsia="仿宋" w:cs="仿宋"/>
              </w:rPr>
            </w:pP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的电子投标文件是经过 CA 证书加密后上传提交的，任何单位或个人均无法在投标截止时间(即开标时间)之前查看或篡改，不存在泄密风险。（严格按照政采云电子投标流程制作并上传电子投标文件） 。</w:t>
            </w:r>
          </w:p>
          <w:p>
            <w:pPr>
              <w:widowControl/>
              <w:jc w:val="left"/>
              <w:rPr>
                <w:rFonts w:ascii="仿宋" w:hAnsi="仿宋" w:eastAsia="仿宋" w:cs="仿宋"/>
              </w:rPr>
            </w:pPr>
            <w:r>
              <w:rPr>
                <w:rFonts w:hint="eastAsia" w:ascii="仿宋" w:hAnsi="仿宋" w:eastAsia="仿宋" w:cs="仿宋"/>
                <w:color w:val="000000"/>
                <w:kern w:val="0"/>
                <w:sz w:val="24"/>
                <w:lang w:bidi="ar"/>
              </w:rPr>
              <w:t>9.各</w:t>
            </w:r>
            <w:r>
              <w:rPr>
                <w:rFonts w:hint="eastAsia" w:ascii="仿宋" w:hAnsi="仿宋" w:eastAsia="仿宋" w:cs="仿宋"/>
                <w:color w:val="000000"/>
                <w:kern w:val="0"/>
                <w:sz w:val="24"/>
                <w:lang w:eastAsia="zh-CN" w:bidi="ar"/>
              </w:rPr>
              <w:t>投标人</w:t>
            </w:r>
            <w:r>
              <w:rPr>
                <w:rFonts w:hint="eastAsia" w:ascii="仿宋" w:hAnsi="仿宋" w:eastAsia="仿宋" w:cs="仿宋"/>
                <w:color w:val="000000"/>
                <w:kern w:val="0"/>
                <w:sz w:val="24"/>
                <w:lang w:bidi="ar"/>
              </w:rPr>
              <w:t xml:space="preserve">在投标截止时间前将“投标文件”上传至政采云平台。 </w:t>
            </w:r>
          </w:p>
          <w:p>
            <w:pPr>
              <w:widowControl/>
              <w:jc w:val="left"/>
              <w:rPr>
                <w:rFonts w:ascii="仿宋" w:hAnsi="仿宋" w:eastAsia="仿宋" w:cs="仿宋"/>
              </w:rPr>
            </w:pPr>
            <w:r>
              <w:rPr>
                <w:rFonts w:hint="eastAsia" w:ascii="仿宋" w:hAnsi="仿宋" w:eastAsia="仿宋" w:cs="仿宋"/>
                <w:color w:val="000000"/>
                <w:kern w:val="0"/>
                <w:sz w:val="24"/>
                <w:lang w:bidi="ar"/>
              </w:rPr>
              <w:t xml:space="preserve">投标文件包括“报价一览表及资格证明文件”与“商务及技术文件” </w:t>
            </w:r>
          </w:p>
          <w:p>
            <w:pPr>
              <w:widowControl/>
              <w:jc w:val="left"/>
              <w:rPr>
                <w:rFonts w:ascii="仿宋" w:hAnsi="仿宋" w:eastAsia="仿宋" w:cs="仿宋"/>
              </w:rPr>
            </w:pPr>
            <w:r>
              <w:rPr>
                <w:rFonts w:hint="eastAsia" w:ascii="仿宋" w:hAnsi="仿宋" w:eastAsia="仿宋" w:cs="仿宋"/>
                <w:color w:val="000000"/>
                <w:kern w:val="0"/>
                <w:sz w:val="24"/>
                <w:lang w:bidi="ar"/>
              </w:rPr>
              <w:t xml:space="preserve">两部分合并成一册。投标文件应按照招标文件规定的格式填写、签署和盖章，并以.jmbs 格式上传至政采云开评标平台。 </w:t>
            </w:r>
          </w:p>
          <w:p>
            <w:pPr>
              <w:widowControl/>
              <w:jc w:val="left"/>
              <w:rPr>
                <w:rFonts w:ascii="仿宋" w:hAnsi="仿宋" w:eastAsia="仿宋" w:cs="仿宋"/>
                <w:sz w:val="24"/>
              </w:rPr>
            </w:pPr>
            <w:r>
              <w:rPr>
                <w:rFonts w:hint="eastAsia" w:ascii="仿宋" w:hAnsi="仿宋" w:eastAsia="仿宋" w:cs="仿宋"/>
                <w:color w:val="000000"/>
                <w:kern w:val="0"/>
                <w:sz w:val="24"/>
                <w:lang w:bidi="ar"/>
              </w:rPr>
              <w:t xml:space="preserve">10.解密时长为 30 分钟。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5"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5</w:t>
            </w:r>
            <w:r>
              <w:rPr>
                <w:rFonts w:hint="eastAsia" w:ascii="仿宋" w:hAnsi="仿宋" w:eastAsia="仿宋" w:cs="仿宋"/>
                <w:sz w:val="24"/>
              </w:rPr>
              <w:t>.1</w:t>
            </w:r>
          </w:p>
        </w:tc>
        <w:tc>
          <w:tcPr>
            <w:tcW w:w="7149" w:type="dxa"/>
            <w:vAlign w:val="center"/>
          </w:tcPr>
          <w:p>
            <w:pPr>
              <w:spacing w:line="240" w:lineRule="atLeast"/>
              <w:rPr>
                <w:rFonts w:ascii="仿宋" w:hAnsi="仿宋" w:eastAsia="仿宋" w:cs="仿宋"/>
                <w:sz w:val="24"/>
              </w:rPr>
            </w:pPr>
            <w:r>
              <w:rPr>
                <w:rFonts w:hint="eastAsia" w:ascii="仿宋" w:hAnsi="仿宋" w:eastAsia="仿宋" w:cs="仿宋"/>
                <w:sz w:val="24"/>
              </w:rPr>
              <w:t>投标截止时间：</w:t>
            </w:r>
            <w:r>
              <w:rPr>
                <w:rFonts w:hint="eastAsia" w:ascii="仿宋" w:hAnsi="仿宋" w:eastAsia="仿宋" w:cs="仿宋"/>
                <w:color w:val="00B0F0"/>
                <w:sz w:val="24"/>
                <w:szCs w:val="22"/>
              </w:rPr>
              <w:t>2025年3月24日11：00</w:t>
            </w:r>
            <w:r>
              <w:rPr>
                <w:rFonts w:hint="eastAsia" w:ascii="仿宋" w:hAnsi="仿宋" w:eastAsia="仿宋" w:cs="仿宋"/>
                <w:sz w:val="24"/>
              </w:rPr>
              <w:t>（北京时间</w:t>
            </w:r>
            <w:r>
              <w:rPr>
                <w:rFonts w:hint="eastAsia" w:ascii="仿宋" w:hAnsi="仿宋" w:eastAsia="仿宋" w:cs="仿宋"/>
                <w:kern w:val="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8" w:hRule="atLeast"/>
        </w:trPr>
        <w:tc>
          <w:tcPr>
            <w:tcW w:w="1231" w:type="dxa"/>
            <w:vAlign w:val="center"/>
          </w:tcPr>
          <w:p>
            <w:pPr>
              <w:spacing w:line="240" w:lineRule="atLeast"/>
              <w:ind w:left="1080" w:leftChars="257" w:hanging="54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6</w:t>
            </w:r>
            <w:r>
              <w:rPr>
                <w:rFonts w:hint="eastAsia" w:ascii="仿宋" w:hAnsi="仿宋" w:eastAsia="仿宋" w:cs="仿宋"/>
                <w:sz w:val="24"/>
              </w:rPr>
              <w:t>.1</w:t>
            </w:r>
          </w:p>
        </w:tc>
        <w:tc>
          <w:tcPr>
            <w:tcW w:w="7149" w:type="dxa"/>
            <w:vAlign w:val="center"/>
          </w:tcPr>
          <w:p>
            <w:pPr>
              <w:spacing w:line="240" w:lineRule="atLeast"/>
              <w:rPr>
                <w:rFonts w:ascii="仿宋" w:hAnsi="仿宋" w:eastAsia="仿宋" w:cs="仿宋"/>
                <w:sz w:val="24"/>
              </w:rPr>
            </w:pPr>
            <w:r>
              <w:rPr>
                <w:rFonts w:hint="eastAsia" w:ascii="仿宋" w:hAnsi="仿宋" w:eastAsia="仿宋" w:cs="仿宋"/>
                <w:sz w:val="24"/>
              </w:rPr>
              <w:t>开标时间：</w:t>
            </w:r>
            <w:r>
              <w:rPr>
                <w:rFonts w:hint="eastAsia" w:ascii="仿宋" w:hAnsi="仿宋" w:eastAsia="仿宋" w:cs="仿宋"/>
                <w:color w:val="00B0F0"/>
                <w:sz w:val="24"/>
                <w:szCs w:val="22"/>
              </w:rPr>
              <w:t>2025年3月24日11：00</w:t>
            </w:r>
            <w:r>
              <w:rPr>
                <w:rFonts w:hint="eastAsia" w:ascii="仿宋" w:hAnsi="仿宋" w:eastAsia="仿宋" w:cs="仿宋"/>
                <w:sz w:val="24"/>
              </w:rPr>
              <w:t>（北京时间）</w:t>
            </w:r>
          </w:p>
          <w:p>
            <w:pPr>
              <w:widowControl/>
              <w:jc w:val="left"/>
              <w:rPr>
                <w:rFonts w:ascii="仿宋" w:hAnsi="仿宋" w:eastAsia="仿宋" w:cs="仿宋"/>
                <w:sz w:val="24"/>
              </w:rPr>
            </w:pPr>
            <w:r>
              <w:rPr>
                <w:rFonts w:hint="eastAsia" w:ascii="仿宋" w:hAnsi="仿宋" w:eastAsia="仿宋" w:cs="仿宋"/>
                <w:sz w:val="24"/>
              </w:rPr>
              <w:t>开标地点：（https://login.zcygov.cn/user-login/#/login）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4" w:hRule="atLeast"/>
        </w:trPr>
        <w:tc>
          <w:tcPr>
            <w:tcW w:w="1231" w:type="dxa"/>
            <w:vAlign w:val="center"/>
          </w:tcPr>
          <w:p>
            <w:pPr>
              <w:spacing w:line="240" w:lineRule="atLeast"/>
              <w:ind w:left="1080" w:leftChars="257" w:hanging="540"/>
              <w:rPr>
                <w:rFonts w:ascii="仿宋" w:hAnsi="仿宋" w:eastAsia="仿宋" w:cs="仿宋"/>
                <w:sz w:val="24"/>
              </w:rPr>
            </w:pPr>
            <w:r>
              <w:rPr>
                <w:rFonts w:ascii="仿宋" w:hAnsi="仿宋" w:eastAsia="仿宋" w:cs="仿宋"/>
                <w:sz w:val="24"/>
              </w:rPr>
              <w:t>17.1</w:t>
            </w:r>
          </w:p>
        </w:tc>
        <w:tc>
          <w:tcPr>
            <w:tcW w:w="7149" w:type="dxa"/>
            <w:vAlign w:val="center"/>
          </w:tcPr>
          <w:p>
            <w:pPr>
              <w:widowControl/>
              <w:jc w:val="left"/>
              <w:rPr>
                <w:rFonts w:ascii="仿宋" w:hAnsi="仿宋" w:eastAsia="仿宋" w:cs="仿宋"/>
              </w:rPr>
            </w:pPr>
            <w:r>
              <w:rPr>
                <w:rFonts w:hint="eastAsia" w:ascii="仿宋" w:hAnsi="仿宋" w:eastAsia="仿宋" w:cs="仿宋"/>
                <w:color w:val="000000"/>
                <w:kern w:val="0"/>
                <w:sz w:val="24"/>
                <w:lang w:bidi="ar"/>
              </w:rPr>
              <w:t>核心产品</w:t>
            </w:r>
            <w:r>
              <w:rPr>
                <w:rFonts w:hint="eastAsia" w:ascii="仿宋" w:hAnsi="仿宋" w:eastAsia="仿宋" w:cs="仿宋"/>
                <w:b/>
                <w:bCs/>
                <w:color w:val="000000"/>
                <w:kern w:val="0"/>
                <w:sz w:val="24"/>
                <w:lang w:bidi="ar"/>
              </w:rPr>
              <w:t>：</w:t>
            </w:r>
            <w:r>
              <w:rPr>
                <w:rFonts w:hint="eastAsia" w:ascii="仿宋" w:hAnsi="仿宋" w:eastAsia="仿宋" w:cs="仿宋"/>
                <w:color w:val="00B0F0"/>
                <w:sz w:val="24"/>
                <w:szCs w:val="22"/>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231" w:type="dxa"/>
            <w:vAlign w:val="center"/>
          </w:tcPr>
          <w:p>
            <w:pPr>
              <w:spacing w:line="240" w:lineRule="atLeast"/>
              <w:ind w:left="1080" w:leftChars="257" w:hanging="540"/>
              <w:rPr>
                <w:rFonts w:ascii="仿宋" w:hAnsi="仿宋" w:eastAsia="仿宋" w:cs="仿宋"/>
                <w:sz w:val="24"/>
              </w:rPr>
            </w:pPr>
            <w:r>
              <w:rPr>
                <w:rFonts w:ascii="仿宋" w:hAnsi="仿宋" w:eastAsia="仿宋" w:cs="仿宋"/>
                <w:sz w:val="24"/>
              </w:rPr>
              <w:t>17</w:t>
            </w:r>
            <w:r>
              <w:rPr>
                <w:rFonts w:hint="eastAsia" w:ascii="仿宋" w:hAnsi="仿宋" w:eastAsia="仿宋" w:cs="仿宋"/>
                <w:sz w:val="24"/>
              </w:rPr>
              <w:t>.2</w:t>
            </w:r>
          </w:p>
        </w:tc>
        <w:tc>
          <w:tcPr>
            <w:tcW w:w="7149" w:type="dxa"/>
            <w:vAlign w:val="center"/>
          </w:tcPr>
          <w:p>
            <w:pPr>
              <w:spacing w:line="240" w:lineRule="atLeast"/>
              <w:rPr>
                <w:rFonts w:ascii="仿宋" w:hAnsi="仿宋" w:eastAsia="仿宋" w:cs="仿宋"/>
                <w:i/>
                <w:sz w:val="24"/>
              </w:rPr>
            </w:pPr>
            <w:r>
              <w:rPr>
                <w:rFonts w:hint="eastAsia" w:ascii="仿宋" w:hAnsi="仿宋" w:eastAsia="仿宋" w:cs="仿宋"/>
                <w:sz w:val="24"/>
              </w:rPr>
              <w:t>本项目评标方法：适用综合评分法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9" w:hRule="atLeast"/>
        </w:trPr>
        <w:tc>
          <w:tcPr>
            <w:tcW w:w="1231" w:type="dxa"/>
            <w:vAlign w:val="center"/>
          </w:tcPr>
          <w:p>
            <w:pPr>
              <w:spacing w:line="240" w:lineRule="atLeast"/>
              <w:ind w:left="1080" w:leftChars="257" w:hanging="540"/>
              <w:rPr>
                <w:rFonts w:ascii="仿宋" w:hAnsi="仿宋" w:eastAsia="仿宋" w:cs="仿宋"/>
                <w:sz w:val="24"/>
              </w:rPr>
            </w:pPr>
            <w:r>
              <w:rPr>
                <w:rFonts w:ascii="仿宋" w:hAnsi="仿宋" w:eastAsia="仿宋" w:cs="仿宋"/>
                <w:sz w:val="24"/>
              </w:rPr>
              <w:t>18</w:t>
            </w:r>
          </w:p>
        </w:tc>
        <w:tc>
          <w:tcPr>
            <w:tcW w:w="7149" w:type="dxa"/>
            <w:vAlign w:val="center"/>
          </w:tcPr>
          <w:p>
            <w:pPr>
              <w:spacing w:line="240" w:lineRule="atLeast"/>
              <w:rPr>
                <w:rFonts w:ascii="仿宋" w:hAnsi="仿宋" w:eastAsia="仿宋" w:cs="仿宋"/>
                <w:sz w:val="24"/>
              </w:rPr>
            </w:pPr>
            <w:r>
              <w:rPr>
                <w:rFonts w:hint="eastAsia" w:ascii="仿宋" w:hAnsi="仿宋" w:eastAsia="仿宋" w:cs="仿宋"/>
                <w:sz w:val="24"/>
              </w:rPr>
              <w:t>推荐中标候选</w:t>
            </w:r>
            <w:r>
              <w:rPr>
                <w:rFonts w:hint="eastAsia" w:ascii="仿宋" w:hAnsi="仿宋" w:eastAsia="仿宋" w:cs="仿宋"/>
                <w:sz w:val="24"/>
                <w:lang w:eastAsia="zh-CN"/>
              </w:rPr>
              <w:t>投标人</w:t>
            </w:r>
            <w:r>
              <w:rPr>
                <w:rFonts w:hint="eastAsia" w:ascii="仿宋" w:hAnsi="仿宋" w:eastAsia="仿宋" w:cs="仿宋"/>
                <w:sz w:val="24"/>
              </w:rPr>
              <w:t>的数量：每个标段</w:t>
            </w:r>
            <w:r>
              <w:rPr>
                <w:rFonts w:hint="eastAsia" w:ascii="仿宋" w:hAnsi="仿宋" w:eastAsia="仿宋" w:cs="仿宋"/>
                <w:color w:val="FF0000"/>
                <w:sz w:val="24"/>
                <w:u w:val="single"/>
              </w:rPr>
              <w:t>3个</w:t>
            </w:r>
            <w:r>
              <w:rPr>
                <w:rFonts w:hint="eastAsia" w:ascii="仿宋" w:hAnsi="仿宋" w:eastAsia="仿宋" w:cs="仿宋"/>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trPr>
        <w:tc>
          <w:tcPr>
            <w:tcW w:w="1231" w:type="dxa"/>
            <w:vAlign w:val="center"/>
          </w:tcPr>
          <w:p>
            <w:pPr>
              <w:spacing w:line="240" w:lineRule="atLeast"/>
              <w:ind w:left="1080" w:leftChars="257" w:hanging="540"/>
              <w:rPr>
                <w:rFonts w:ascii="仿宋" w:hAnsi="仿宋" w:eastAsia="仿宋" w:cs="仿宋"/>
                <w:sz w:val="24"/>
              </w:rPr>
            </w:pPr>
            <w:r>
              <w:rPr>
                <w:rFonts w:ascii="仿宋" w:hAnsi="仿宋" w:eastAsia="仿宋" w:cs="仿宋"/>
                <w:sz w:val="24"/>
              </w:rPr>
              <w:t>19</w:t>
            </w:r>
          </w:p>
        </w:tc>
        <w:tc>
          <w:tcPr>
            <w:tcW w:w="7149" w:type="dxa"/>
            <w:vAlign w:val="center"/>
          </w:tcPr>
          <w:p>
            <w:pPr>
              <w:spacing w:line="240" w:lineRule="atLeast"/>
              <w:rPr>
                <w:rFonts w:ascii="仿宋" w:hAnsi="仿宋" w:eastAsia="仿宋" w:cs="仿宋"/>
                <w:color w:val="00B0F0"/>
                <w:sz w:val="24"/>
                <w:u w:val="single"/>
              </w:rPr>
            </w:pPr>
            <w:r>
              <w:rPr>
                <w:rFonts w:hint="eastAsia" w:ascii="仿宋" w:hAnsi="仿宋" w:eastAsia="仿宋" w:cs="仿宋"/>
                <w:sz w:val="24"/>
              </w:rPr>
              <w:t>履约保证金金额：合同总价金额的</w:t>
            </w:r>
            <w:r>
              <w:rPr>
                <w:rFonts w:hint="eastAsia" w:ascii="仿宋" w:hAnsi="仿宋" w:eastAsia="仿宋" w:cs="仿宋"/>
                <w:color w:val="00B0F0"/>
                <w:sz w:val="24"/>
                <w:u w:val="single"/>
              </w:rPr>
              <w:t>5%；</w:t>
            </w:r>
            <w:r>
              <w:rPr>
                <w:rFonts w:hint="eastAsia" w:ascii="仿宋" w:hAnsi="仿宋" w:eastAsia="仿宋" w:cs="仿宋"/>
                <w:sz w:val="24"/>
                <w:u w:val="single"/>
              </w:rPr>
              <w:t>（不得超过政府采购合同金额的10%）。</w:t>
            </w:r>
          </w:p>
          <w:p>
            <w:pPr>
              <w:spacing w:line="240" w:lineRule="atLeast"/>
              <w:rPr>
                <w:rFonts w:ascii="仿宋" w:hAnsi="仿宋" w:eastAsia="仿宋" w:cs="仿宋"/>
                <w:color w:val="00B0F0"/>
                <w:sz w:val="24"/>
                <w:u w:val="single"/>
              </w:rPr>
            </w:pPr>
            <w:r>
              <w:rPr>
                <w:rFonts w:hint="eastAsia" w:ascii="仿宋" w:hAnsi="仿宋" w:eastAsia="仿宋" w:cs="仿宋"/>
                <w:sz w:val="24"/>
              </w:rPr>
              <w:t>履约保证金形式：履约保证金可以以支票、汇票、本票或者金融机构出具的保函等非现金形式提交（包括网银转账，电汇等方式）。</w:t>
            </w:r>
          </w:p>
          <w:p>
            <w:pPr>
              <w:spacing w:line="360" w:lineRule="auto"/>
              <w:rPr>
                <w:rFonts w:ascii="仿宋" w:hAnsi="仿宋" w:eastAsia="仿宋" w:cs="仿宋"/>
                <w:szCs w:val="21"/>
              </w:rPr>
            </w:pPr>
            <w:r>
              <w:rPr>
                <w:rFonts w:hint="eastAsia" w:ascii="仿宋" w:hAnsi="仿宋" w:eastAsia="仿宋" w:cs="仿宋"/>
                <w:sz w:val="24"/>
              </w:rPr>
              <w:t>提交履约保证金的时间：</w:t>
            </w:r>
            <w:r>
              <w:rPr>
                <w:rFonts w:hint="eastAsia" w:ascii="仿宋" w:hAnsi="仿宋" w:eastAsia="仿宋" w:cs="仿宋"/>
                <w:color w:val="00B0F0"/>
                <w:sz w:val="24"/>
                <w:u w:val="single"/>
              </w:rPr>
              <w:t>中标人应在与采购人签订合同前3个工作日</w:t>
            </w:r>
            <w:r>
              <w:rPr>
                <w:rFonts w:hint="eastAsia" w:ascii="仿宋" w:hAnsi="仿宋" w:eastAsia="仿宋" w:cs="仿宋"/>
                <w:color w:val="00B0F0"/>
                <w:sz w:val="24"/>
                <w:u w:val="single"/>
                <w:lang w:val="zh-CN"/>
              </w:rPr>
              <w:t>。</w:t>
            </w:r>
          </w:p>
          <w:p>
            <w:pPr>
              <w:spacing w:line="240" w:lineRule="atLeast"/>
              <w:rPr>
                <w:rFonts w:ascii="仿宋" w:hAnsi="仿宋" w:eastAsia="仿宋" w:cs="仿宋"/>
                <w:sz w:val="24"/>
              </w:rPr>
            </w:pPr>
            <w:r>
              <w:rPr>
                <w:rFonts w:hint="eastAsia" w:ascii="仿宋" w:hAnsi="仿宋" w:eastAsia="仿宋" w:cs="仿宋"/>
                <w:sz w:val="24"/>
              </w:rPr>
              <w:t>注：1.双方可以通过协商另行约定其他退还时间和方式及用途。</w:t>
            </w:r>
          </w:p>
          <w:p>
            <w:pPr>
              <w:spacing w:line="240" w:lineRule="atLeast"/>
              <w:rPr>
                <w:rFonts w:ascii="仿宋" w:hAnsi="仿宋" w:eastAsia="仿宋" w:cs="仿宋"/>
                <w:sz w:val="24"/>
              </w:rPr>
            </w:pPr>
            <w:r>
              <w:rPr>
                <w:rFonts w:hint="eastAsia" w:ascii="仿宋" w:hAnsi="仿宋" w:eastAsia="仿宋" w:cs="仿宋"/>
                <w:sz w:val="24"/>
              </w:rPr>
              <w:t>2.提供保函的的担保机构必须是依法成立的具有相关资质和偿付能力的担保机构。保函是银行等金融机构出具的，否则将取消成交资格，采购人将重新确定成交</w:t>
            </w:r>
            <w:r>
              <w:rPr>
                <w:rFonts w:hint="eastAsia" w:ascii="仿宋" w:hAnsi="仿宋" w:eastAsia="仿宋" w:cs="仿宋"/>
                <w:sz w:val="24"/>
                <w:lang w:eastAsia="zh-CN"/>
              </w:rPr>
              <w:t>投标人</w:t>
            </w:r>
            <w:r>
              <w:rPr>
                <w:rFonts w:hint="eastAsia" w:ascii="仿宋" w:hAnsi="仿宋" w:eastAsia="仿宋" w:cs="仿宋"/>
                <w:sz w:val="24"/>
              </w:rPr>
              <w:t xml:space="preserve">，并依法追究法律责任。 </w:t>
            </w:r>
          </w:p>
          <w:p>
            <w:pPr>
              <w:spacing w:line="240" w:lineRule="atLeast"/>
              <w:rPr>
                <w:rFonts w:ascii="仿宋" w:hAnsi="仿宋" w:eastAsia="仿宋" w:cs="仿宋"/>
                <w:sz w:val="24"/>
                <w:u w:val="single"/>
              </w:rPr>
            </w:pPr>
            <w:r>
              <w:rPr>
                <w:rFonts w:hint="eastAsia" w:ascii="仿宋" w:hAnsi="仿宋" w:eastAsia="仿宋" w:cs="仿宋"/>
                <w:sz w:val="24"/>
              </w:rPr>
              <w:t>3.开户行、银行账号等信息签订合同前由采购人提供。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5" w:hRule="atLeast"/>
        </w:trPr>
        <w:tc>
          <w:tcPr>
            <w:tcW w:w="1231" w:type="dxa"/>
            <w:vAlign w:val="center"/>
          </w:tcPr>
          <w:p>
            <w:pPr>
              <w:spacing w:line="240" w:lineRule="atLeast"/>
              <w:ind w:left="1080" w:leftChars="257" w:hanging="540"/>
              <w:rPr>
                <w:rFonts w:ascii="仿宋" w:hAnsi="仿宋" w:eastAsia="仿宋" w:cs="仿宋"/>
                <w:sz w:val="24"/>
              </w:rPr>
            </w:pPr>
            <w:r>
              <w:rPr>
                <w:rFonts w:ascii="仿宋" w:hAnsi="仿宋" w:eastAsia="仿宋" w:cs="仿宋"/>
                <w:sz w:val="24"/>
              </w:rPr>
              <w:t>20</w:t>
            </w:r>
          </w:p>
        </w:tc>
        <w:tc>
          <w:tcPr>
            <w:tcW w:w="7149" w:type="dxa"/>
            <w:vAlign w:val="center"/>
          </w:tcPr>
          <w:p>
            <w:pPr>
              <w:spacing w:line="240" w:lineRule="atLeast"/>
              <w:rPr>
                <w:rFonts w:ascii="仿宋" w:hAnsi="仿宋" w:eastAsia="仿宋" w:cs="仿宋"/>
                <w:sz w:val="24"/>
              </w:rPr>
            </w:pPr>
            <w:r>
              <w:rPr>
                <w:rFonts w:hint="eastAsia" w:ascii="仿宋" w:hAnsi="仿宋" w:eastAsia="仿宋" w:cs="仿宋"/>
                <w:sz w:val="24"/>
              </w:rPr>
              <w:t>中标服务费：发出中标通知书时，由中标人按计价格[2002]1980号文和发改价格[2011]534号标准，以电汇或网银方式一次性向新疆招标有限公司喀什分公司缴纳代理服务费。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5" w:hRule="atLeast"/>
        </w:trPr>
        <w:tc>
          <w:tcPr>
            <w:tcW w:w="1231" w:type="dxa"/>
            <w:vAlign w:val="center"/>
          </w:tcPr>
          <w:p>
            <w:pPr>
              <w:spacing w:line="240" w:lineRule="atLeast"/>
              <w:ind w:left="1080" w:leftChars="257" w:hanging="540"/>
              <w:rPr>
                <w:rFonts w:ascii="仿宋" w:hAnsi="仿宋" w:eastAsia="仿宋" w:cs="仿宋"/>
                <w:sz w:val="24"/>
              </w:rPr>
            </w:pPr>
            <w:r>
              <w:rPr>
                <w:rFonts w:ascii="仿宋" w:hAnsi="仿宋" w:eastAsia="仿宋" w:cs="仿宋"/>
                <w:sz w:val="24"/>
              </w:rPr>
              <w:t>21</w:t>
            </w:r>
          </w:p>
        </w:tc>
        <w:tc>
          <w:tcPr>
            <w:tcW w:w="7149" w:type="dxa"/>
            <w:vAlign w:val="center"/>
          </w:tcPr>
          <w:p>
            <w:pPr>
              <w:spacing w:line="240" w:lineRule="atLeast"/>
              <w:rPr>
                <w:rFonts w:ascii="仿宋" w:hAnsi="仿宋" w:eastAsia="仿宋" w:cs="仿宋"/>
                <w:sz w:val="24"/>
              </w:rPr>
            </w:pPr>
            <w:r>
              <w:rPr>
                <w:rFonts w:hint="eastAsia" w:ascii="仿宋" w:hAnsi="仿宋" w:eastAsia="仿宋" w:cs="仿宋"/>
                <w:sz w:val="24"/>
              </w:rPr>
              <w:t xml:space="preserve">本项目是否属于信用担保试点范围：否 </w:t>
            </w:r>
          </w:p>
        </w:tc>
      </w:tr>
    </w:tbl>
    <w:p>
      <w:pPr>
        <w:spacing w:line="240" w:lineRule="atLeast"/>
        <w:ind w:left="1080" w:leftChars="257" w:hanging="540"/>
        <w:rPr>
          <w:rFonts w:ascii="仿宋" w:hAnsi="仿宋" w:eastAsia="仿宋" w:cs="仿宋"/>
          <w:sz w:val="24"/>
        </w:rPr>
        <w:sectPr>
          <w:headerReference r:id="rId13" w:type="default"/>
          <w:footerReference r:id="rId15" w:type="default"/>
          <w:headerReference r:id="rId14" w:type="even"/>
          <w:footerReference r:id="rId16" w:type="even"/>
          <w:pgSz w:w="11906" w:h="16838"/>
          <w:pgMar w:top="1440" w:right="1797" w:bottom="1440" w:left="1797" w:header="851" w:footer="992" w:gutter="0"/>
          <w:cols w:space="720" w:num="1"/>
          <w:docGrid w:linePitch="312" w:charSpace="0"/>
        </w:sectPr>
      </w:pPr>
    </w:p>
    <w:p>
      <w:pPr>
        <w:pStyle w:val="5"/>
        <w:numPr>
          <w:ilvl w:val="0"/>
          <w:numId w:val="8"/>
        </w:numPr>
        <w:tabs>
          <w:tab w:val="left" w:pos="0"/>
        </w:tabs>
        <w:spacing w:before="0" w:after="0" w:line="240" w:lineRule="atLeast"/>
        <w:rPr>
          <w:rFonts w:ascii="仿宋" w:hAnsi="仿宋" w:eastAsia="仿宋" w:cs="仿宋"/>
          <w:color w:val="0000FF"/>
          <w:sz w:val="36"/>
          <w:szCs w:val="36"/>
        </w:rPr>
      </w:pPr>
      <w:bookmarkStart w:id="1128" w:name="_Toc216582825"/>
      <w:bookmarkStart w:id="1129" w:name="_Toc9887"/>
      <w:bookmarkStart w:id="1130" w:name="_Toc512937852"/>
      <w:bookmarkStart w:id="1131" w:name="_Toc219175638"/>
      <w:bookmarkStart w:id="1132" w:name="_Toc218935354"/>
      <w:bookmarkStart w:id="1133" w:name="_Toc3367"/>
      <w:bookmarkStart w:id="1134" w:name="_Toc9032"/>
      <w:bookmarkStart w:id="1135" w:name="_Toc22779"/>
      <w:bookmarkStart w:id="1136" w:name="_Toc12881"/>
      <w:bookmarkStart w:id="1137" w:name="_Toc21045"/>
      <w:bookmarkStart w:id="1138" w:name="_Toc507399906"/>
      <w:bookmarkStart w:id="1139" w:name="_Toc17004"/>
      <w:bookmarkStart w:id="1140" w:name="_Toc515647831"/>
      <w:r>
        <w:rPr>
          <w:rFonts w:hint="eastAsia" w:ascii="仿宋" w:hAnsi="仿宋" w:eastAsia="仿宋" w:cs="仿宋"/>
          <w:color w:val="0000FF"/>
          <w:sz w:val="36"/>
          <w:szCs w:val="36"/>
        </w:rPr>
        <w:t>货物（服务）需求一览表及技术规格</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Start w:id="1141" w:name="_Toc12446"/>
      <w:bookmarkStart w:id="1142" w:name="_Toc18166"/>
      <w:bookmarkStart w:id="1143" w:name="_Toc8003"/>
      <w:bookmarkStart w:id="1144" w:name="_Toc6403"/>
      <w:bookmarkStart w:id="1145" w:name="_Toc4621"/>
      <w:bookmarkStart w:id="1146" w:name="_Toc22092"/>
      <w:bookmarkStart w:id="1147" w:name="_Toc21382"/>
      <w:bookmarkStart w:id="1148" w:name="_Toc4555"/>
    </w:p>
    <w:bookmarkEnd w:id="1141"/>
    <w:bookmarkEnd w:id="1142"/>
    <w:bookmarkEnd w:id="1143"/>
    <w:bookmarkEnd w:id="1144"/>
    <w:bookmarkEnd w:id="1145"/>
    <w:bookmarkEnd w:id="1146"/>
    <w:p>
      <w:pPr>
        <w:spacing w:line="520" w:lineRule="exact"/>
        <w:ind w:firstLine="482" w:firstLineChars="200"/>
        <w:jc w:val="left"/>
        <w:rPr>
          <w:rFonts w:ascii="仿宋" w:hAnsi="仿宋" w:eastAsia="仿宋" w:cs="仿宋"/>
          <w:b/>
          <w:kern w:val="0"/>
          <w:sz w:val="24"/>
        </w:rPr>
      </w:pPr>
      <w:bookmarkStart w:id="1149" w:name="_Toc20288"/>
      <w:bookmarkStart w:id="1150" w:name="_Toc6769"/>
      <w:r>
        <w:rPr>
          <w:rFonts w:hint="eastAsia" w:ascii="仿宋" w:hAnsi="仿宋" w:eastAsia="仿宋" w:cs="仿宋"/>
          <w:b/>
          <w:kern w:val="0"/>
          <w:sz w:val="24"/>
        </w:rPr>
        <w:t>一、货物（服务）需求：</w:t>
      </w:r>
    </w:p>
    <w:p>
      <w:pPr>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塔什库尔干塔吉克自治县塔什库尔干乡萨热吉勒尕村村容村貌提升项目，采购预算48万元，本项目共分1个标段。</w:t>
      </w:r>
    </w:p>
    <w:p>
      <w:pPr>
        <w:spacing w:line="520" w:lineRule="exact"/>
        <w:ind w:firstLine="482" w:firstLineChars="200"/>
        <w:jc w:val="left"/>
        <w:rPr>
          <w:rFonts w:ascii="仿宋" w:hAnsi="仿宋" w:eastAsia="仿宋" w:cs="仿宋"/>
          <w:kern w:val="0"/>
          <w:sz w:val="24"/>
        </w:rPr>
      </w:pPr>
      <w:r>
        <w:rPr>
          <w:rFonts w:hint="eastAsia" w:ascii="仿宋" w:hAnsi="仿宋" w:eastAsia="仿宋" w:cs="仿宋"/>
          <w:b/>
          <w:kern w:val="0"/>
          <w:sz w:val="24"/>
        </w:rPr>
        <w:t>二、技术要求：</w:t>
      </w:r>
    </w:p>
    <w:p>
      <w:pPr>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（1）塔什库尔干塔吉克自治县塔什库尔干乡萨热吉勒尕村村容村貌提升项目的投标人所投标的产品和服务必须满足采购清单上的技术规格。</w:t>
      </w:r>
    </w:p>
    <w:p>
      <w:pPr>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（2）各投标人所投标的产品必须写清货物（服务）名称、技术规格、技术要求等内容。</w:t>
      </w:r>
    </w:p>
    <w:p>
      <w:pPr>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（3）各投标人所投产品清单应包含序号、产品（货物）名称、性能及技术指标、计量单位、数量、单价、总价、备注，附件，必要说明等。</w:t>
      </w:r>
    </w:p>
    <w:p>
      <w:pPr>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（4）所提供的产品和材料必须符合国家相关标准；</w:t>
      </w:r>
    </w:p>
    <w:p>
      <w:pPr>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（5）本项目为交钥匙工程，所有费用（包含运费、安装费、辅材、税金）应包含在投标报价中。</w:t>
      </w:r>
    </w:p>
    <w:p>
      <w:pPr>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6）参数要求：独立基础C30(含挖士方、防腐)600*600*900（毫米）;灯杆(含支架)单臂，H&gt;6m:Q235钢质:高温喷塑，总高6米，口径60-135，壁厚2.3;太阳能电池板A级100w:太阳能储能三元锂电池组(含控制器、保护装置)单臂采用100Ah;LED灯头&gt;120W，，寿命&gt;50000h:电源线组2.5m。</w:t>
      </w:r>
    </w:p>
    <w:p>
      <w:pPr>
        <w:spacing w:line="520" w:lineRule="exact"/>
        <w:ind w:firstLine="480" w:firstLineChars="200"/>
        <w:jc w:val="left"/>
        <w:rPr>
          <w:rFonts w:ascii="仿宋" w:hAnsi="仿宋" w:eastAsia="仿宋" w:cs="仿宋"/>
          <w:kern w:val="0"/>
          <w:sz w:val="24"/>
        </w:rPr>
      </w:pPr>
      <w:r>
        <w:rPr>
          <w:rFonts w:hint="eastAsia" w:ascii="仿宋" w:hAnsi="仿宋" w:eastAsia="仿宋" w:cs="仿宋"/>
          <w:kern w:val="0"/>
          <w:sz w:val="24"/>
        </w:rPr>
        <w:t xml:space="preserve">（7）数量：160套，单价3000元/套 </w:t>
      </w:r>
    </w:p>
    <w:p>
      <w:pPr>
        <w:spacing w:line="520" w:lineRule="exact"/>
        <w:ind w:firstLine="482" w:firstLineChars="200"/>
        <w:rPr>
          <w:rFonts w:ascii="仿宋" w:hAnsi="仿宋" w:eastAsia="仿宋" w:cs="仿宋"/>
          <w:b/>
          <w:bCs/>
          <w:kern w:val="0"/>
          <w:sz w:val="24"/>
        </w:rPr>
      </w:pPr>
      <w:r>
        <w:rPr>
          <w:rFonts w:hint="eastAsia" w:ascii="仿宋" w:hAnsi="仿宋" w:eastAsia="仿宋" w:cs="仿宋"/>
          <w:b/>
          <w:kern w:val="0"/>
          <w:sz w:val="24"/>
        </w:rPr>
        <w:t>三、</w:t>
      </w:r>
      <w:r>
        <w:rPr>
          <w:rFonts w:hint="eastAsia" w:ascii="仿宋" w:hAnsi="仿宋" w:eastAsia="仿宋" w:cs="仿宋"/>
          <w:b/>
          <w:bCs/>
          <w:kern w:val="0"/>
          <w:sz w:val="24"/>
        </w:rPr>
        <w:t>项目说明和要求：</w:t>
      </w:r>
    </w:p>
    <w:p>
      <w:pPr>
        <w:spacing w:line="520" w:lineRule="exact"/>
        <w:ind w:firstLine="482" w:firstLineChars="200"/>
        <w:rPr>
          <w:rFonts w:ascii="仿宋" w:hAnsi="仿宋" w:eastAsia="仿宋" w:cs="仿宋"/>
          <w:kern w:val="0"/>
          <w:sz w:val="24"/>
        </w:rPr>
      </w:pPr>
      <w:r>
        <w:rPr>
          <w:rFonts w:hint="eastAsia" w:ascii="仿宋" w:hAnsi="仿宋" w:eastAsia="仿宋" w:cs="仿宋"/>
          <w:b/>
          <w:bCs/>
          <w:kern w:val="0"/>
          <w:sz w:val="24"/>
        </w:rPr>
        <w:t>1.</w:t>
      </w:r>
      <w:r>
        <w:rPr>
          <w:rFonts w:hint="eastAsia" w:ascii="仿宋" w:hAnsi="仿宋" w:eastAsia="仿宋" w:cs="仿宋"/>
          <w:kern w:val="0"/>
          <w:sz w:val="24"/>
          <w:lang w:eastAsia="zh-CN"/>
        </w:rPr>
        <w:t>投标人</w:t>
      </w:r>
      <w:r>
        <w:rPr>
          <w:rFonts w:hint="eastAsia" w:ascii="仿宋" w:hAnsi="仿宋" w:eastAsia="仿宋" w:cs="仿宋"/>
          <w:kern w:val="0"/>
          <w:sz w:val="24"/>
        </w:rPr>
        <w:t>须对本招标文件中技术要求进行点对点应答，必须在引用本采购文件的基础上,进行逐条逐项答复参数</w:t>
      </w:r>
    </w:p>
    <w:p>
      <w:pPr>
        <w:spacing w:line="520" w:lineRule="exact"/>
        <w:ind w:firstLine="482" w:firstLineChars="200"/>
        <w:rPr>
          <w:rFonts w:ascii="仿宋" w:hAnsi="仿宋" w:eastAsia="仿宋" w:cs="仿宋"/>
          <w:kern w:val="0"/>
          <w:sz w:val="24"/>
        </w:rPr>
      </w:pPr>
      <w:r>
        <w:rPr>
          <w:rFonts w:hint="eastAsia" w:ascii="仿宋" w:hAnsi="仿宋" w:eastAsia="仿宋" w:cs="仿宋"/>
          <w:b/>
          <w:bCs/>
          <w:kern w:val="0"/>
          <w:sz w:val="24"/>
        </w:rPr>
        <w:t>2.</w:t>
      </w:r>
      <w:r>
        <w:rPr>
          <w:rFonts w:hint="eastAsia" w:ascii="仿宋" w:hAnsi="仿宋" w:eastAsia="仿宋" w:cs="仿宋"/>
          <w:kern w:val="0"/>
          <w:sz w:val="24"/>
        </w:rPr>
        <w:t>对提供虚假材料谋取中标的，评标时发现投标参数与实际参数不符时视为无效标书；对通过虚假材料中标者，货到验收技术参数与招标文件不符时，中标无效，采购人可以拒收货，拒付款，并且投标人必须承担相应的法律责任。</w:t>
      </w:r>
    </w:p>
    <w:p>
      <w:pPr>
        <w:spacing w:line="520" w:lineRule="exact"/>
        <w:ind w:firstLine="482" w:firstLineChars="200"/>
        <w:rPr>
          <w:rFonts w:ascii="仿宋" w:hAnsi="仿宋" w:eastAsia="仿宋" w:cs="仿宋"/>
          <w:kern w:val="0"/>
          <w:sz w:val="24"/>
        </w:rPr>
      </w:pPr>
      <w:r>
        <w:rPr>
          <w:rFonts w:hint="eastAsia" w:ascii="仿宋" w:hAnsi="仿宋" w:eastAsia="仿宋" w:cs="仿宋"/>
          <w:b/>
          <w:kern w:val="0"/>
          <w:sz w:val="24"/>
        </w:rPr>
        <w:t>3.项目特殊要求(授权情况)：</w:t>
      </w:r>
      <w:r>
        <w:rPr>
          <w:rFonts w:hint="eastAsia" w:ascii="仿宋" w:hAnsi="仿宋" w:eastAsia="仿宋" w:cs="仿宋"/>
          <w:kern w:val="0"/>
          <w:sz w:val="24"/>
        </w:rPr>
        <w:t>提供的货物必须符合国家相关行业标准，使用说明书（若有）需中标单位实施完成后提供给甲方。</w:t>
      </w:r>
    </w:p>
    <w:p>
      <w:pPr>
        <w:spacing w:line="520" w:lineRule="exact"/>
        <w:ind w:firstLine="482" w:firstLineChars="200"/>
        <w:rPr>
          <w:rFonts w:ascii="仿宋" w:hAnsi="仿宋" w:eastAsia="仿宋" w:cs="仿宋"/>
          <w:b/>
          <w:kern w:val="0"/>
          <w:sz w:val="24"/>
        </w:rPr>
      </w:pPr>
      <w:r>
        <w:rPr>
          <w:rFonts w:hint="eastAsia" w:ascii="仿宋" w:hAnsi="仿宋" w:eastAsia="仿宋" w:cs="仿宋"/>
          <w:b/>
          <w:kern w:val="0"/>
          <w:sz w:val="24"/>
        </w:rPr>
        <w:t>4.评标和中标要求</w:t>
      </w:r>
    </w:p>
    <w:p>
      <w:pPr>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此项目采用综合评分法，商务部分30分，技术部分40分，报价得分30分。</w:t>
      </w:r>
    </w:p>
    <w:p>
      <w:pPr>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在评标过程中，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pPr>
        <w:spacing w:line="520" w:lineRule="exact"/>
        <w:ind w:firstLine="480" w:firstLineChars="200"/>
        <w:rPr>
          <w:rFonts w:ascii="仿宋" w:hAnsi="仿宋" w:eastAsia="仿宋" w:cs="仿宋"/>
          <w:b/>
          <w:kern w:val="0"/>
          <w:sz w:val="24"/>
        </w:rPr>
      </w:pPr>
      <w:r>
        <w:rPr>
          <w:rFonts w:hint="eastAsia" w:ascii="仿宋" w:hAnsi="仿宋" w:eastAsia="仿宋" w:cs="仿宋"/>
          <w:kern w:val="0"/>
          <w:sz w:val="24"/>
        </w:rPr>
        <w:t>投标人书面说明应当签字确认并且加盖公章，否则无效。书面说明的签字确认，投标人为法人的，由其法定代表人或者代理人签字确认；投标人为其他组织的，由其主要负责人或者代理人签字确认；投标人为自然人的，由其本人或者代理人签字确认。</w:t>
      </w:r>
    </w:p>
    <w:p>
      <w:pPr>
        <w:spacing w:line="520" w:lineRule="exact"/>
        <w:ind w:firstLine="482" w:firstLineChars="200"/>
        <w:rPr>
          <w:rFonts w:ascii="仿宋" w:hAnsi="仿宋" w:eastAsia="仿宋" w:cs="仿宋"/>
          <w:b/>
          <w:kern w:val="0"/>
          <w:sz w:val="24"/>
        </w:rPr>
      </w:pPr>
      <w:r>
        <w:rPr>
          <w:rFonts w:hint="eastAsia" w:ascii="仿宋" w:hAnsi="仿宋" w:eastAsia="仿宋" w:cs="仿宋"/>
          <w:b/>
          <w:kern w:val="0"/>
          <w:sz w:val="24"/>
        </w:rPr>
        <w:t>5.其他要求：</w:t>
      </w:r>
    </w:p>
    <w:p>
      <w:pPr>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此项目要求施工前中标人必须进行实地勘察，经与采购人沟通审核通过后方可进行施工。中标人在施工过程中造成人员伤亡、财产损失及矛盾纠纷等情况，一切责任及费用由均中标人承担。</w:t>
      </w:r>
    </w:p>
    <w:p>
      <w:pPr>
        <w:spacing w:line="520" w:lineRule="exact"/>
        <w:ind w:firstLine="480" w:firstLineChars="200"/>
        <w:rPr>
          <w:rFonts w:ascii="仿宋" w:hAnsi="仿宋" w:eastAsia="仿宋" w:cs="仿宋"/>
          <w:kern w:val="0"/>
          <w:sz w:val="24"/>
        </w:rPr>
      </w:pPr>
      <w:r>
        <w:rPr>
          <w:rFonts w:hint="eastAsia" w:ascii="仿宋" w:hAnsi="仿宋" w:eastAsia="仿宋" w:cs="仿宋"/>
          <w:kern w:val="0"/>
          <w:sz w:val="24"/>
        </w:rPr>
        <w:t>整体美观：所投产品安装需要根据采购方提供的设计图纸进行施工，项目完工后需采购人验收，因验收不合格需返工，返工费用由中标人承担。项目完工后中标人需将实施该项目所产生的包装、废料、建筑垃圾等运输至采购人指定位置。上述施工（含材料、人工）费用全部由中标人承担。</w:t>
      </w:r>
    </w:p>
    <w:p>
      <w:pPr>
        <w:spacing w:line="520" w:lineRule="exact"/>
        <w:ind w:firstLine="482" w:firstLineChars="200"/>
        <w:rPr>
          <w:rFonts w:ascii="仿宋" w:hAnsi="仿宋" w:eastAsia="仿宋" w:cs="仿宋"/>
          <w:kern w:val="0"/>
          <w:sz w:val="24"/>
          <w:highlight w:val="yellow"/>
        </w:rPr>
      </w:pPr>
      <w:r>
        <w:rPr>
          <w:rFonts w:hint="eastAsia" w:ascii="仿宋" w:hAnsi="仿宋" w:eastAsia="仿宋" w:cs="仿宋"/>
          <w:b/>
          <w:bCs/>
          <w:kern w:val="0"/>
          <w:sz w:val="24"/>
        </w:rPr>
        <w:t>6.验收标准和方法：</w:t>
      </w:r>
      <w:r>
        <w:rPr>
          <w:rFonts w:hint="eastAsia" w:ascii="仿宋" w:hAnsi="仿宋" w:eastAsia="仿宋" w:cs="仿宋"/>
          <w:kern w:val="0"/>
          <w:sz w:val="24"/>
        </w:rPr>
        <w:t>塔县自然资源局协调相关人员组成验收小组，对</w:t>
      </w:r>
      <w:r>
        <w:rPr>
          <w:rFonts w:hint="eastAsia" w:ascii="仿宋" w:hAnsi="仿宋" w:eastAsia="仿宋" w:cs="仿宋"/>
          <w:kern w:val="0"/>
          <w:sz w:val="24"/>
          <w:lang w:eastAsia="zh-CN"/>
        </w:rPr>
        <w:t>投标人</w:t>
      </w:r>
      <w:r>
        <w:rPr>
          <w:rFonts w:hint="eastAsia" w:ascii="仿宋" w:hAnsi="仿宋" w:eastAsia="仿宋" w:cs="仿宋"/>
          <w:kern w:val="0"/>
          <w:sz w:val="24"/>
        </w:rPr>
        <w:t>所供的货物按照合同标准进行质量验收，如验收为不合格，应由</w:t>
      </w:r>
      <w:r>
        <w:rPr>
          <w:rFonts w:hint="eastAsia" w:ascii="仿宋" w:hAnsi="仿宋" w:eastAsia="仿宋" w:cs="仿宋"/>
          <w:kern w:val="0"/>
          <w:sz w:val="24"/>
          <w:lang w:eastAsia="zh-CN"/>
        </w:rPr>
        <w:t>投标人</w:t>
      </w:r>
      <w:r>
        <w:rPr>
          <w:rFonts w:hint="eastAsia" w:ascii="仿宋" w:hAnsi="仿宋" w:eastAsia="仿宋" w:cs="仿宋"/>
          <w:kern w:val="0"/>
          <w:sz w:val="24"/>
        </w:rPr>
        <w:t>在10天内完成整改，两次验收不合格，将解除合同。</w:t>
      </w:r>
    </w:p>
    <w:p>
      <w:pPr>
        <w:spacing w:line="520" w:lineRule="exact"/>
        <w:ind w:firstLine="482" w:firstLineChars="200"/>
        <w:rPr>
          <w:rFonts w:ascii="仿宋" w:hAnsi="仿宋" w:eastAsia="仿宋" w:cs="仿宋"/>
          <w:kern w:val="0"/>
          <w:sz w:val="24"/>
        </w:rPr>
      </w:pPr>
      <w:r>
        <w:rPr>
          <w:rFonts w:hint="eastAsia" w:ascii="仿宋" w:hAnsi="仿宋" w:eastAsia="仿宋" w:cs="仿宋"/>
          <w:b/>
          <w:kern w:val="0"/>
          <w:sz w:val="24"/>
        </w:rPr>
        <w:t>7.项目交货期及交货地点：</w:t>
      </w:r>
      <w:r>
        <w:rPr>
          <w:rFonts w:hint="eastAsia" w:ascii="仿宋" w:hAnsi="仿宋" w:eastAsia="仿宋" w:cs="仿宋"/>
          <w:bCs/>
          <w:kern w:val="0"/>
          <w:sz w:val="24"/>
        </w:rPr>
        <w:t>采购人指定地点</w:t>
      </w:r>
    </w:p>
    <w:p>
      <w:pPr>
        <w:spacing w:line="520" w:lineRule="exact"/>
        <w:ind w:firstLine="482" w:firstLineChars="200"/>
        <w:rPr>
          <w:rFonts w:ascii="仿宋" w:hAnsi="仿宋" w:eastAsia="仿宋" w:cs="仿宋"/>
          <w:b/>
          <w:kern w:val="0"/>
          <w:sz w:val="24"/>
        </w:rPr>
      </w:pPr>
      <w:r>
        <w:rPr>
          <w:rFonts w:hint="eastAsia" w:ascii="仿宋" w:hAnsi="仿宋" w:eastAsia="仿宋" w:cs="仿宋"/>
          <w:b/>
          <w:kern w:val="0"/>
          <w:sz w:val="24"/>
        </w:rPr>
        <w:t>8.质保期、售后服务及付款方式：</w:t>
      </w:r>
    </w:p>
    <w:p>
      <w:pPr>
        <w:spacing w:line="520" w:lineRule="exact"/>
        <w:ind w:firstLine="482" w:firstLineChars="200"/>
        <w:rPr>
          <w:rFonts w:ascii="仿宋" w:hAnsi="仿宋" w:eastAsia="仿宋" w:cs="仿宋"/>
          <w:kern w:val="0"/>
          <w:sz w:val="24"/>
        </w:rPr>
      </w:pPr>
      <w:r>
        <w:rPr>
          <w:rFonts w:hint="eastAsia" w:ascii="仿宋" w:hAnsi="仿宋" w:eastAsia="仿宋" w:cs="仿宋"/>
          <w:b/>
          <w:kern w:val="0"/>
          <w:sz w:val="24"/>
        </w:rPr>
        <w:t>（1）</w:t>
      </w:r>
      <w:r>
        <w:rPr>
          <w:rFonts w:hint="eastAsia" w:ascii="仿宋" w:hAnsi="仿宋" w:eastAsia="仿宋" w:cs="仿宋"/>
          <w:kern w:val="0"/>
          <w:sz w:val="24"/>
        </w:rPr>
        <w:t>中标人应在与采购人签订合同后5个工作日内，向采购人提交中标金额5%的履约保证金（中标人按合同规定完成全部供货且验收合格后，如中标人未发生违约行为，采购人将履约保证金退还），缴纳方式包括但不限于银行转账、保函等。</w:t>
      </w:r>
    </w:p>
    <w:p>
      <w:pPr>
        <w:spacing w:line="520" w:lineRule="exact"/>
        <w:ind w:firstLine="482" w:firstLineChars="200"/>
        <w:rPr>
          <w:rFonts w:ascii="仿宋" w:hAnsi="仿宋" w:eastAsia="仿宋" w:cs="仿宋"/>
          <w:kern w:val="0"/>
          <w:sz w:val="24"/>
        </w:rPr>
      </w:pPr>
      <w:r>
        <w:rPr>
          <w:rFonts w:hint="eastAsia" w:ascii="仿宋" w:hAnsi="仿宋" w:eastAsia="仿宋" w:cs="仿宋"/>
          <w:b/>
          <w:kern w:val="0"/>
          <w:sz w:val="24"/>
        </w:rPr>
        <w:t>（2）</w:t>
      </w:r>
      <w:r>
        <w:rPr>
          <w:rFonts w:hint="eastAsia" w:ascii="仿宋" w:hAnsi="仿宋" w:eastAsia="仿宋" w:cs="仿宋"/>
          <w:kern w:val="0"/>
          <w:sz w:val="24"/>
        </w:rPr>
        <w:t>质保期：1年（具体以实际签订为准）</w:t>
      </w:r>
    </w:p>
    <w:p>
      <w:pPr>
        <w:spacing w:line="520" w:lineRule="exact"/>
        <w:ind w:firstLine="482" w:firstLineChars="200"/>
        <w:rPr>
          <w:rFonts w:ascii="仿宋" w:hAnsi="仿宋" w:eastAsia="仿宋" w:cs="仿宋"/>
          <w:kern w:val="0"/>
          <w:sz w:val="30"/>
          <w:szCs w:val="30"/>
        </w:rPr>
      </w:pPr>
      <w:r>
        <w:rPr>
          <w:rFonts w:hint="eastAsia" w:ascii="仿宋" w:hAnsi="仿宋" w:eastAsia="仿宋" w:cs="仿宋"/>
          <w:b/>
          <w:bCs/>
          <w:kern w:val="0"/>
          <w:sz w:val="24"/>
        </w:rPr>
        <w:t>（3）</w:t>
      </w:r>
      <w:r>
        <w:rPr>
          <w:rFonts w:hint="eastAsia" w:ascii="仿宋" w:hAnsi="仿宋" w:eastAsia="仿宋" w:cs="仿宋"/>
          <w:kern w:val="0"/>
          <w:sz w:val="24"/>
        </w:rPr>
        <w:t>付款方式：履约保证金缴纳、合同签订后支付合同总价30%预付款，项目实施完成后支付合同总价50%，剩余20%项目验收完成后支付。（具体以实际签订为准）。</w:t>
      </w:r>
    </w:p>
    <w:p>
      <w:pPr>
        <w:spacing w:line="520" w:lineRule="exact"/>
        <w:ind w:firstLine="482" w:firstLineChars="200"/>
        <w:rPr>
          <w:rFonts w:ascii="仿宋" w:hAnsi="仿宋" w:eastAsia="仿宋" w:cs="仿宋"/>
          <w:kern w:val="0"/>
          <w:sz w:val="24"/>
        </w:rPr>
      </w:pPr>
      <w:r>
        <w:rPr>
          <w:rFonts w:hint="eastAsia" w:ascii="仿宋" w:hAnsi="仿宋" w:eastAsia="仿宋" w:cs="仿宋"/>
          <w:b/>
          <w:bCs/>
          <w:kern w:val="0"/>
          <w:sz w:val="24"/>
        </w:rPr>
        <w:t>（4）</w:t>
      </w:r>
      <w:r>
        <w:rPr>
          <w:rFonts w:hint="eastAsia" w:ascii="仿宋" w:hAnsi="仿宋" w:eastAsia="仿宋" w:cs="仿宋"/>
          <w:kern w:val="0"/>
          <w:sz w:val="24"/>
        </w:rPr>
        <w:t>交付期：30日（具体以实际签订为准）。</w:t>
      </w:r>
    </w:p>
    <w:p>
      <w:pPr>
        <w:rPr>
          <w:rFonts w:ascii="仿宋" w:hAnsi="仿宋" w:eastAsia="仿宋" w:cs="仿宋"/>
          <w:b/>
          <w:sz w:val="32"/>
          <w:szCs w:val="32"/>
        </w:rPr>
      </w:pPr>
    </w:p>
    <w:p>
      <w:pPr>
        <w:widowControl/>
        <w:jc w:val="left"/>
        <w:rPr>
          <w:rFonts w:ascii="仿宋" w:hAnsi="仿宋" w:eastAsia="仿宋" w:cs="仿宋"/>
          <w:b/>
          <w:kern w:val="44"/>
          <w:sz w:val="32"/>
          <w:szCs w:val="32"/>
        </w:rPr>
      </w:pPr>
      <w:bookmarkStart w:id="1151" w:name="_Toc18247"/>
      <w:r>
        <w:rPr>
          <w:rFonts w:hint="eastAsia" w:ascii="仿宋" w:hAnsi="仿宋" w:eastAsia="仿宋" w:cs="仿宋"/>
          <w:szCs w:val="32"/>
        </w:rPr>
        <w:br w:type="page"/>
      </w:r>
    </w:p>
    <w:p>
      <w:pPr>
        <w:pStyle w:val="5"/>
        <w:widowControl/>
        <w:tabs>
          <w:tab w:val="left" w:pos="0"/>
        </w:tabs>
        <w:snapToGrid w:val="0"/>
        <w:spacing w:before="0" w:after="0" w:line="560" w:lineRule="exact"/>
        <w:textAlignment w:val="baseline"/>
        <w:rPr>
          <w:rFonts w:ascii="仿宋" w:hAnsi="仿宋" w:eastAsia="仿宋" w:cs="仿宋"/>
          <w:b w:val="0"/>
          <w:sz w:val="22"/>
          <w:szCs w:val="18"/>
        </w:rPr>
      </w:pPr>
      <w:r>
        <w:rPr>
          <w:rFonts w:hint="eastAsia" w:ascii="仿宋" w:hAnsi="仿宋" w:eastAsia="仿宋" w:cs="仿宋"/>
          <w:szCs w:val="32"/>
        </w:rPr>
        <w:t xml:space="preserve">第六章  </w:t>
      </w:r>
      <w:bookmarkStart w:id="1152" w:name="_Toc23331"/>
      <w:bookmarkStart w:id="1153" w:name="_Toc515647832"/>
      <w:bookmarkStart w:id="1154" w:name="_Toc32647"/>
      <w:bookmarkStart w:id="1155" w:name="_Toc507399907"/>
      <w:bookmarkStart w:id="1156" w:name="_Toc7971"/>
      <w:r>
        <w:rPr>
          <w:rFonts w:hint="eastAsia" w:ascii="仿宋" w:hAnsi="仿宋" w:eastAsia="仿宋" w:cs="仿宋"/>
          <w:szCs w:val="32"/>
        </w:rPr>
        <w:t>评标方法和标准</w:t>
      </w:r>
      <w:bookmarkEnd w:id="1147"/>
      <w:bookmarkEnd w:id="1148"/>
      <w:bookmarkEnd w:id="1149"/>
      <w:bookmarkEnd w:id="1150"/>
      <w:bookmarkEnd w:id="1151"/>
      <w:bookmarkEnd w:id="1152"/>
      <w:bookmarkEnd w:id="1153"/>
      <w:bookmarkEnd w:id="1154"/>
      <w:bookmarkEnd w:id="1155"/>
      <w:bookmarkEnd w:id="1156"/>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1、 总则</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1.1 根据《中华人民共和国政府采购法》、《中华人民共和国政府采购法实施条例》、《政府采购货物和服务招标投标管理办法（财政部第87号令）》等法律制度，结合采购项目特点制定本评标办法。</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1.2 评标工作由采购代理机构负责组织，具体评标事务由采购代理机构依法组建的评标委员会负责。评标委员会由采购人代表和有关技术、经济、法律等方面的专家组成。</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1.3 评标工作应遵循公平、公正、科学及择优的原则，并以相同的评标程序和标准对待所有的投标人。</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1.4 评标委员会按照招标文件规定的评标方法和标准进行评标，并独立履行下列职责：</w:t>
      </w:r>
    </w:p>
    <w:p>
      <w:pPr>
        <w:pStyle w:val="2"/>
        <w:snapToGrid w:val="0"/>
        <w:spacing w:before="0" w:line="360" w:lineRule="auto"/>
        <w:textAlignment w:val="baseline"/>
        <w:rPr>
          <w:rFonts w:ascii="仿宋" w:hAnsi="仿宋" w:eastAsia="仿宋" w:cs="仿宋"/>
          <w:iCs/>
        </w:rPr>
      </w:pPr>
      <w:r>
        <w:rPr>
          <w:rFonts w:hint="eastAsia" w:ascii="仿宋" w:hAnsi="仿宋" w:eastAsia="仿宋" w:cs="仿宋"/>
          <w:iCs/>
        </w:rPr>
        <w:t>（一）审查、评价投标文件是否符合招标文件的商务、技术等实质性要求；</w:t>
      </w:r>
    </w:p>
    <w:p>
      <w:pPr>
        <w:pStyle w:val="2"/>
        <w:snapToGrid w:val="0"/>
        <w:spacing w:before="0" w:line="360" w:lineRule="auto"/>
        <w:textAlignment w:val="baseline"/>
        <w:rPr>
          <w:rFonts w:ascii="仿宋" w:hAnsi="仿宋" w:eastAsia="仿宋" w:cs="仿宋"/>
          <w:iCs/>
        </w:rPr>
      </w:pPr>
      <w:r>
        <w:rPr>
          <w:rFonts w:hint="eastAsia" w:ascii="仿宋" w:hAnsi="仿宋" w:eastAsia="仿宋" w:cs="仿宋"/>
          <w:iCs/>
        </w:rPr>
        <w:t>（二）要求投标人对投标文件有关事项作出澄清或者说明；</w:t>
      </w:r>
    </w:p>
    <w:p>
      <w:pPr>
        <w:pStyle w:val="2"/>
        <w:snapToGrid w:val="0"/>
        <w:spacing w:before="0" w:line="360" w:lineRule="auto"/>
        <w:textAlignment w:val="baseline"/>
        <w:rPr>
          <w:rFonts w:ascii="仿宋" w:hAnsi="仿宋" w:eastAsia="仿宋" w:cs="仿宋"/>
          <w:iCs/>
        </w:rPr>
      </w:pPr>
      <w:r>
        <w:rPr>
          <w:rFonts w:hint="eastAsia" w:ascii="仿宋" w:hAnsi="仿宋" w:eastAsia="仿宋" w:cs="仿宋"/>
          <w:iCs/>
        </w:rPr>
        <w:t>（三）对投标文件进行比较和评价；</w:t>
      </w:r>
    </w:p>
    <w:p>
      <w:pPr>
        <w:pStyle w:val="2"/>
        <w:snapToGrid w:val="0"/>
        <w:spacing w:before="0" w:line="360" w:lineRule="auto"/>
        <w:textAlignment w:val="baseline"/>
        <w:rPr>
          <w:rFonts w:ascii="仿宋" w:hAnsi="仿宋" w:eastAsia="仿宋" w:cs="仿宋"/>
          <w:iCs/>
        </w:rPr>
      </w:pPr>
      <w:r>
        <w:rPr>
          <w:rFonts w:hint="eastAsia" w:ascii="仿宋" w:hAnsi="仿宋" w:eastAsia="仿宋" w:cs="仿宋"/>
          <w:iCs/>
        </w:rPr>
        <w:t>（四）确定中标候选人名单，以及根据采购人委托直接确定中标人；</w:t>
      </w:r>
    </w:p>
    <w:p>
      <w:pPr>
        <w:pStyle w:val="2"/>
        <w:snapToGrid w:val="0"/>
        <w:spacing w:before="0" w:line="360" w:lineRule="auto"/>
        <w:textAlignment w:val="baseline"/>
        <w:rPr>
          <w:rFonts w:ascii="仿宋" w:hAnsi="仿宋" w:eastAsia="仿宋" w:cs="仿宋"/>
          <w:iCs/>
        </w:rPr>
      </w:pPr>
      <w:r>
        <w:rPr>
          <w:rFonts w:hint="eastAsia" w:ascii="仿宋" w:hAnsi="仿宋" w:eastAsia="仿宋" w:cs="仿宋"/>
          <w:iCs/>
        </w:rPr>
        <w:t>（五）向采购人、采购代理机构或者有关部门报告评标中发现的违法行为；</w:t>
      </w:r>
    </w:p>
    <w:p>
      <w:pPr>
        <w:pStyle w:val="2"/>
        <w:snapToGrid w:val="0"/>
        <w:spacing w:before="0" w:line="360" w:lineRule="auto"/>
        <w:textAlignment w:val="baseline"/>
        <w:rPr>
          <w:rFonts w:ascii="仿宋" w:hAnsi="仿宋" w:eastAsia="仿宋" w:cs="仿宋"/>
          <w:iCs/>
        </w:rPr>
      </w:pPr>
      <w:r>
        <w:rPr>
          <w:rFonts w:hint="eastAsia" w:ascii="仿宋" w:hAnsi="仿宋" w:eastAsia="仿宋" w:cs="仿宋"/>
          <w:iCs/>
        </w:rPr>
        <w:t>（六）法律、法规和规章规定的其他职责。</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1.5 评标过程独立、保密。投标人非法干预评标过程的行为将导致其投标文件作为无效处理。</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1.6评标委员会评价投标文件的响应性，对于投标人而言，除评标委员会要求其澄清、说明或者更正而提供的资料外，仅依据投标文件本身的内容，不寻求其他外部证据。</w:t>
      </w:r>
    </w:p>
    <w:p>
      <w:pPr>
        <w:pStyle w:val="2"/>
        <w:snapToGrid w:val="0"/>
        <w:spacing w:before="0" w:line="360" w:lineRule="auto"/>
        <w:ind w:firstLine="240" w:firstLineChars="100"/>
        <w:textAlignment w:val="baseline"/>
        <w:rPr>
          <w:rFonts w:ascii="仿宋" w:hAnsi="仿宋" w:eastAsia="仿宋" w:cs="仿宋"/>
          <w:iCs/>
        </w:rPr>
      </w:pPr>
      <w:r>
        <w:rPr>
          <w:rFonts w:hint="eastAsia" w:ascii="仿宋" w:hAnsi="仿宋" w:eastAsia="仿宋" w:cs="仿宋"/>
          <w:iCs/>
        </w:rPr>
        <w:t xml:space="preserve"> 1.7采购人或者采购代理机构负责组织评标工作，并履行下列职责：</w:t>
      </w:r>
    </w:p>
    <w:p>
      <w:pPr>
        <w:pStyle w:val="2"/>
        <w:snapToGrid w:val="0"/>
        <w:spacing w:before="0" w:line="360" w:lineRule="auto"/>
        <w:ind w:firstLine="240" w:firstLineChars="100"/>
        <w:textAlignment w:val="baseline"/>
        <w:rPr>
          <w:rFonts w:ascii="仿宋" w:hAnsi="仿宋" w:eastAsia="仿宋" w:cs="仿宋"/>
          <w:iCs/>
        </w:rPr>
      </w:pPr>
      <w:r>
        <w:rPr>
          <w:rFonts w:hint="eastAsia" w:ascii="仿宋" w:hAnsi="仿宋" w:eastAsia="仿宋" w:cs="仿宋"/>
          <w:iCs/>
        </w:rPr>
        <w:t>（一）核对评审专家身份和采购人代表信息，对评审专家在政府采购活动中的职责履行情况予以记录，并及时将有关违法违规行为向财政部门报告；</w:t>
      </w:r>
    </w:p>
    <w:p>
      <w:pPr>
        <w:pStyle w:val="2"/>
        <w:snapToGrid w:val="0"/>
        <w:spacing w:before="0" w:line="360" w:lineRule="auto"/>
        <w:ind w:firstLine="240" w:firstLineChars="100"/>
        <w:textAlignment w:val="baseline"/>
        <w:rPr>
          <w:rFonts w:ascii="仿宋" w:hAnsi="仿宋" w:eastAsia="仿宋" w:cs="仿宋"/>
          <w:iCs/>
        </w:rPr>
      </w:pPr>
      <w:r>
        <w:rPr>
          <w:rFonts w:hint="eastAsia" w:ascii="仿宋" w:hAnsi="仿宋" w:eastAsia="仿宋" w:cs="仿宋"/>
          <w:iCs/>
        </w:rPr>
        <w:t>（二）宣布评标纪律；</w:t>
      </w:r>
    </w:p>
    <w:p>
      <w:pPr>
        <w:pStyle w:val="2"/>
        <w:snapToGrid w:val="0"/>
        <w:spacing w:before="0" w:line="360" w:lineRule="auto"/>
        <w:ind w:firstLine="240" w:firstLineChars="100"/>
        <w:textAlignment w:val="baseline"/>
        <w:rPr>
          <w:rFonts w:ascii="仿宋" w:hAnsi="仿宋" w:eastAsia="仿宋" w:cs="仿宋"/>
          <w:iCs/>
        </w:rPr>
      </w:pPr>
      <w:r>
        <w:rPr>
          <w:rFonts w:hint="eastAsia" w:ascii="仿宋" w:hAnsi="仿宋" w:eastAsia="仿宋" w:cs="仿宋"/>
          <w:iCs/>
        </w:rPr>
        <w:t>（三）公布投标人名单，告知评审专家应当回避的情形；</w:t>
      </w:r>
    </w:p>
    <w:p>
      <w:pPr>
        <w:pStyle w:val="2"/>
        <w:snapToGrid w:val="0"/>
        <w:spacing w:before="0" w:line="360" w:lineRule="auto"/>
        <w:ind w:firstLine="240" w:firstLineChars="100"/>
        <w:textAlignment w:val="baseline"/>
        <w:rPr>
          <w:rFonts w:ascii="仿宋" w:hAnsi="仿宋" w:eastAsia="仿宋" w:cs="仿宋"/>
          <w:iCs/>
        </w:rPr>
      </w:pPr>
      <w:r>
        <w:rPr>
          <w:rFonts w:hint="eastAsia" w:ascii="仿宋" w:hAnsi="仿宋" w:eastAsia="仿宋" w:cs="仿宋"/>
          <w:iCs/>
        </w:rPr>
        <w:t>（四）组织评标委员会推选评标组长，采购人代表不得担任组长；</w:t>
      </w:r>
    </w:p>
    <w:p>
      <w:pPr>
        <w:pStyle w:val="2"/>
        <w:snapToGrid w:val="0"/>
        <w:spacing w:before="0" w:line="360" w:lineRule="auto"/>
        <w:ind w:firstLine="240" w:firstLineChars="100"/>
        <w:textAlignment w:val="baseline"/>
        <w:rPr>
          <w:rFonts w:ascii="仿宋" w:hAnsi="仿宋" w:eastAsia="仿宋" w:cs="仿宋"/>
          <w:iCs/>
        </w:rPr>
      </w:pPr>
      <w:r>
        <w:rPr>
          <w:rFonts w:hint="eastAsia" w:ascii="仿宋" w:hAnsi="仿宋" w:eastAsia="仿宋" w:cs="仿宋"/>
          <w:iCs/>
        </w:rPr>
        <w:t>（五）在评标期间采取必要的通讯管理措施，保证评标活动不受外界干扰；</w:t>
      </w:r>
    </w:p>
    <w:p>
      <w:pPr>
        <w:pStyle w:val="2"/>
        <w:snapToGrid w:val="0"/>
        <w:spacing w:before="0" w:line="360" w:lineRule="auto"/>
        <w:ind w:firstLine="240" w:firstLineChars="100"/>
        <w:textAlignment w:val="baseline"/>
        <w:rPr>
          <w:rFonts w:ascii="仿宋" w:hAnsi="仿宋" w:eastAsia="仿宋" w:cs="仿宋"/>
          <w:iCs/>
        </w:rPr>
      </w:pPr>
      <w:r>
        <w:rPr>
          <w:rFonts w:hint="eastAsia" w:ascii="仿宋" w:hAnsi="仿宋" w:eastAsia="仿宋" w:cs="仿宋"/>
          <w:iCs/>
        </w:rPr>
        <w:t>（六）根据评标委员会的要求介绍政府采购相关政策法规、招标文件；</w:t>
      </w:r>
    </w:p>
    <w:p>
      <w:pPr>
        <w:pStyle w:val="2"/>
        <w:snapToGrid w:val="0"/>
        <w:spacing w:before="0" w:line="360" w:lineRule="auto"/>
        <w:ind w:firstLine="240" w:firstLineChars="100"/>
        <w:textAlignment w:val="baseline"/>
        <w:rPr>
          <w:rFonts w:ascii="仿宋" w:hAnsi="仿宋" w:eastAsia="仿宋" w:cs="仿宋"/>
          <w:iCs/>
        </w:rPr>
      </w:pPr>
      <w:r>
        <w:rPr>
          <w:rFonts w:hint="eastAsia" w:ascii="仿宋" w:hAnsi="仿宋" w:eastAsia="仿宋" w:cs="仿宋"/>
          <w:iCs/>
        </w:rPr>
        <w:t>（七）维护评标秩序，监督评标委员会依照招标文件规定的评标程序、方法和标准进行独立评审，及时制止和纠正采购人代表、评审专家的倾向性言论或者违法违规行为；</w:t>
      </w:r>
    </w:p>
    <w:p>
      <w:pPr>
        <w:pStyle w:val="2"/>
        <w:snapToGrid w:val="0"/>
        <w:spacing w:before="0" w:line="360" w:lineRule="auto"/>
        <w:ind w:firstLine="240" w:firstLineChars="100"/>
        <w:textAlignment w:val="baseline"/>
        <w:rPr>
          <w:rFonts w:ascii="仿宋" w:hAnsi="仿宋" w:eastAsia="仿宋" w:cs="仿宋"/>
          <w:iCs/>
        </w:rPr>
      </w:pPr>
      <w:r>
        <w:rPr>
          <w:rFonts w:hint="eastAsia" w:ascii="仿宋" w:hAnsi="仿宋" w:eastAsia="仿宋" w:cs="仿宋"/>
          <w:iCs/>
        </w:rPr>
        <w:t>（八）核对评标结果，有财政部87号令第六十四条规定情形的，要求评标委员会复核或者书面说明理由，评标委员会拒绝的，应予记录并向本级财政部门报告；</w:t>
      </w:r>
    </w:p>
    <w:p>
      <w:pPr>
        <w:pStyle w:val="2"/>
        <w:snapToGrid w:val="0"/>
        <w:spacing w:before="0" w:line="360" w:lineRule="auto"/>
        <w:textAlignment w:val="baseline"/>
        <w:rPr>
          <w:rFonts w:ascii="仿宋" w:hAnsi="仿宋" w:eastAsia="仿宋" w:cs="仿宋"/>
          <w:iCs/>
        </w:rPr>
      </w:pPr>
      <w:r>
        <w:rPr>
          <w:rFonts w:hint="eastAsia" w:ascii="仿宋" w:hAnsi="仿宋" w:eastAsia="仿宋" w:cs="仿宋"/>
          <w:iCs/>
        </w:rPr>
        <w:t>　（九）处理与评标有关的其他事项。</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采购人可以在评标前说明项目背景和采购需求，说明内容不得含有歧视性、倾向性意见，不得超出招标文件所述范围。说明应当提交书面材料，并随采购文件一并存档。</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2、评标方法</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本项目评标方法为：综合评分法。</w:t>
      </w:r>
    </w:p>
    <w:p>
      <w:pPr>
        <w:pStyle w:val="2"/>
        <w:snapToGrid w:val="0"/>
        <w:spacing w:before="0" w:line="360" w:lineRule="auto"/>
        <w:ind w:firstLine="480" w:firstLineChars="200"/>
        <w:textAlignment w:val="baseline"/>
        <w:rPr>
          <w:rFonts w:ascii="仿宋" w:hAnsi="仿宋" w:eastAsia="仿宋" w:cs="仿宋"/>
          <w:iCs/>
        </w:rPr>
      </w:pPr>
      <w:r>
        <w:rPr>
          <w:rFonts w:hint="eastAsia" w:ascii="仿宋" w:hAnsi="仿宋" w:eastAsia="仿宋" w:cs="仿宋"/>
          <w:iCs/>
        </w:rPr>
        <w:t>3、 评标程序</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3.1熟悉和理解招标文件和停止评标。</w:t>
      </w:r>
    </w:p>
    <w:p>
      <w:pPr>
        <w:pStyle w:val="2"/>
        <w:snapToGrid w:val="0"/>
        <w:spacing w:before="0" w:line="360" w:lineRule="auto"/>
        <w:ind w:left="-181" w:leftChars="-86" w:firstLine="660" w:firstLineChars="275"/>
        <w:textAlignment w:val="baseline"/>
        <w:rPr>
          <w:rFonts w:ascii="仿宋" w:hAnsi="仿宋" w:eastAsia="仿宋" w:cs="仿宋"/>
          <w:iCs/>
        </w:rPr>
      </w:pPr>
      <w:r>
        <w:rPr>
          <w:rFonts w:hint="eastAsia" w:ascii="仿宋" w:hAnsi="仿宋" w:eastAsia="仿宋" w:cs="仿宋"/>
          <w:iCs/>
        </w:rPr>
        <w:t>评标委员会正式评标前，应当对招标文件进行熟悉和理解，内容主要包括招标文件中采购项目技术、服务和商务要求、评标方法和标准以及可能涉及签订政府采购合同的内容等。</w:t>
      </w:r>
    </w:p>
    <w:p>
      <w:pPr>
        <w:pStyle w:val="2"/>
        <w:snapToGrid w:val="0"/>
        <w:spacing w:before="0" w:line="360" w:lineRule="auto"/>
        <w:ind w:left="-199" w:leftChars="-95" w:firstLine="199" w:firstLineChars="83"/>
        <w:textAlignment w:val="baseline"/>
        <w:rPr>
          <w:rFonts w:ascii="仿宋" w:hAnsi="仿宋" w:eastAsia="仿宋" w:cs="仿宋"/>
          <w:b/>
          <w:bCs/>
          <w:iCs/>
        </w:rPr>
      </w:pPr>
      <w:r>
        <w:rPr>
          <w:rFonts w:hint="eastAsia" w:ascii="仿宋" w:hAnsi="仿宋" w:eastAsia="仿宋" w:cs="仿宋"/>
          <w:iCs/>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2"/>
        <w:tabs>
          <w:tab w:val="clear" w:pos="567"/>
        </w:tabs>
        <w:spacing w:before="0" w:line="360" w:lineRule="auto"/>
        <w:ind w:firstLine="482" w:firstLineChars="200"/>
        <w:rPr>
          <w:rFonts w:ascii="仿宋" w:hAnsi="仿宋" w:eastAsia="仿宋" w:cs="仿宋"/>
          <w:b/>
          <w:bCs/>
          <w:iCs/>
        </w:rPr>
      </w:pPr>
    </w:p>
    <w:p>
      <w:pPr>
        <w:pStyle w:val="2"/>
        <w:tabs>
          <w:tab w:val="clear" w:pos="567"/>
        </w:tabs>
        <w:spacing w:before="0" w:line="360" w:lineRule="auto"/>
        <w:ind w:firstLine="482" w:firstLineChars="200"/>
        <w:rPr>
          <w:rFonts w:ascii="仿宋" w:hAnsi="仿宋" w:eastAsia="仿宋" w:cs="仿宋"/>
          <w:b/>
          <w:bCs/>
          <w:iCs/>
        </w:rPr>
      </w:pPr>
      <w:r>
        <w:rPr>
          <w:rFonts w:hint="eastAsia" w:ascii="仿宋" w:hAnsi="仿宋" w:eastAsia="仿宋" w:cs="仿宋"/>
          <w:b/>
          <w:bCs/>
          <w:iCs/>
        </w:rPr>
        <w:t>3.2资格审查表</w:t>
      </w:r>
    </w:p>
    <w:tbl>
      <w:tblPr>
        <w:tblStyle w:val="35"/>
        <w:tblW w:w="8522" w:type="dxa"/>
        <w:tblInd w:w="-70" w:type="dxa"/>
        <w:tblLayout w:type="fixed"/>
        <w:tblCellMar>
          <w:top w:w="0" w:type="dxa"/>
          <w:left w:w="108" w:type="dxa"/>
          <w:bottom w:w="0" w:type="dxa"/>
          <w:right w:w="108" w:type="dxa"/>
        </w:tblCellMar>
      </w:tblPr>
      <w:tblGrid>
        <w:gridCol w:w="519"/>
        <w:gridCol w:w="6925"/>
        <w:gridCol w:w="553"/>
        <w:gridCol w:w="525"/>
      </w:tblGrid>
      <w:tr>
        <w:tblPrEx>
          <w:tblCellMar>
            <w:top w:w="0" w:type="dxa"/>
            <w:left w:w="108" w:type="dxa"/>
            <w:bottom w:w="0" w:type="dxa"/>
            <w:right w:w="108" w:type="dxa"/>
          </w:tblCellMar>
        </w:tblPrEx>
        <w:trPr>
          <w:trHeight w:val="267" w:hRule="atLeast"/>
        </w:trPr>
        <w:tc>
          <w:tcPr>
            <w:tcW w:w="519"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序号</w:t>
            </w:r>
          </w:p>
        </w:tc>
        <w:tc>
          <w:tcPr>
            <w:tcW w:w="6925" w:type="dxa"/>
            <w:vMerge w:val="restart"/>
            <w:tcBorders>
              <w:top w:val="single" w:color="auto" w:sz="4" w:space="0"/>
              <w:left w:val="single" w:color="auto" w:sz="4" w:space="0"/>
              <w:bottom w:val="single" w:color="000000" w:sz="4" w:space="0"/>
              <w:right w:val="single" w:color="auto" w:sz="4" w:space="0"/>
            </w:tcBorders>
            <w:shd w:val="clear" w:color="auto" w:fill="FFFFFF"/>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审核项目</w:t>
            </w:r>
          </w:p>
        </w:tc>
        <w:tc>
          <w:tcPr>
            <w:tcW w:w="1078"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投标人</w:t>
            </w:r>
          </w:p>
        </w:tc>
      </w:tr>
      <w:tr>
        <w:tblPrEx>
          <w:tblCellMar>
            <w:top w:w="0" w:type="dxa"/>
            <w:left w:w="108" w:type="dxa"/>
            <w:bottom w:w="0" w:type="dxa"/>
            <w:right w:w="108" w:type="dxa"/>
          </w:tblCellMar>
        </w:tblPrEx>
        <w:trPr>
          <w:trHeight w:val="136" w:hRule="atLeast"/>
        </w:trPr>
        <w:tc>
          <w:tcPr>
            <w:tcW w:w="519"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spacing w:line="360" w:lineRule="auto"/>
              <w:jc w:val="center"/>
              <w:rPr>
                <w:rFonts w:ascii="仿宋" w:hAnsi="仿宋" w:eastAsia="仿宋" w:cs="仿宋"/>
                <w:b/>
                <w:bCs/>
                <w:color w:val="000000"/>
                <w:kern w:val="0"/>
                <w:sz w:val="22"/>
                <w:szCs w:val="22"/>
              </w:rPr>
            </w:pPr>
          </w:p>
        </w:tc>
        <w:tc>
          <w:tcPr>
            <w:tcW w:w="6925" w:type="dxa"/>
            <w:vMerge w:val="continue"/>
            <w:tcBorders>
              <w:top w:val="single" w:color="auto" w:sz="4" w:space="0"/>
              <w:left w:val="single" w:color="auto" w:sz="4" w:space="0"/>
              <w:bottom w:val="single" w:color="000000" w:sz="4" w:space="0"/>
              <w:right w:val="single" w:color="auto" w:sz="4" w:space="0"/>
            </w:tcBorders>
            <w:shd w:val="clear" w:color="auto" w:fill="FFFFFF"/>
            <w:vAlign w:val="center"/>
          </w:tcPr>
          <w:p>
            <w:pPr>
              <w:widowControl/>
              <w:spacing w:line="360" w:lineRule="auto"/>
              <w:jc w:val="left"/>
              <w:rPr>
                <w:rFonts w:ascii="仿宋" w:hAnsi="仿宋" w:eastAsia="仿宋" w:cs="仿宋"/>
                <w:b/>
                <w:bCs/>
                <w:color w:val="000000"/>
                <w:kern w:val="0"/>
                <w:sz w:val="22"/>
                <w:szCs w:val="22"/>
              </w:rPr>
            </w:pPr>
          </w:p>
        </w:tc>
        <w:tc>
          <w:tcPr>
            <w:tcW w:w="553" w:type="dxa"/>
            <w:tcBorders>
              <w:top w:val="nil"/>
              <w:left w:val="nil"/>
              <w:bottom w:val="single" w:color="auto" w:sz="4" w:space="0"/>
              <w:right w:val="single" w:color="auto" w:sz="4" w:space="0"/>
            </w:tcBorders>
            <w:shd w:val="clear" w:color="auto" w:fill="FFFFFF"/>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是</w:t>
            </w:r>
          </w:p>
        </w:tc>
        <w:tc>
          <w:tcPr>
            <w:tcW w:w="525" w:type="dxa"/>
            <w:tcBorders>
              <w:top w:val="nil"/>
              <w:left w:val="nil"/>
              <w:bottom w:val="single" w:color="auto" w:sz="4" w:space="0"/>
              <w:right w:val="single" w:color="auto" w:sz="4" w:space="0"/>
            </w:tcBorders>
            <w:shd w:val="clear" w:color="auto" w:fill="FFFFFF"/>
            <w:vAlign w:val="center"/>
          </w:tcPr>
          <w:p>
            <w:pPr>
              <w:widowControl/>
              <w:spacing w:line="360" w:lineRule="auto"/>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否</w:t>
            </w:r>
          </w:p>
        </w:tc>
      </w:tr>
      <w:tr>
        <w:tblPrEx>
          <w:tblCellMar>
            <w:top w:w="0" w:type="dxa"/>
            <w:left w:w="108" w:type="dxa"/>
            <w:bottom w:w="0" w:type="dxa"/>
            <w:right w:w="108" w:type="dxa"/>
          </w:tblCellMar>
        </w:tblPrEx>
        <w:trPr>
          <w:trHeight w:val="389" w:hRule="atLeast"/>
        </w:trPr>
        <w:tc>
          <w:tcPr>
            <w:tcW w:w="519" w:type="dxa"/>
            <w:tcBorders>
              <w:top w:val="nil"/>
              <w:left w:val="single" w:color="auto" w:sz="4" w:space="0"/>
              <w:bottom w:val="single" w:color="auto" w:sz="4" w:space="0"/>
              <w:right w:val="single" w:color="auto" w:sz="4" w:space="0"/>
            </w:tcBorders>
            <w:vAlign w:val="center"/>
          </w:tcPr>
          <w:p>
            <w:pPr>
              <w:widowControl/>
              <w:spacing w:line="30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w:t>
            </w:r>
          </w:p>
        </w:tc>
        <w:tc>
          <w:tcPr>
            <w:tcW w:w="6925" w:type="dxa"/>
            <w:tcBorders>
              <w:top w:val="nil"/>
              <w:left w:val="nil"/>
              <w:bottom w:val="single" w:color="auto" w:sz="4" w:space="0"/>
              <w:right w:val="single" w:color="auto" w:sz="4" w:space="0"/>
            </w:tcBorders>
            <w:vAlign w:val="center"/>
          </w:tcPr>
          <w:p>
            <w:pPr>
              <w:widowControl/>
              <w:spacing w:line="300" w:lineRule="auto"/>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企业三证合一的法人营业执照或含二维码的营业执照；</w:t>
            </w:r>
          </w:p>
        </w:tc>
        <w:tc>
          <w:tcPr>
            <w:tcW w:w="55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52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230" w:hRule="atLeast"/>
        </w:trPr>
        <w:tc>
          <w:tcPr>
            <w:tcW w:w="519" w:type="dxa"/>
            <w:tcBorders>
              <w:top w:val="nil"/>
              <w:left w:val="single" w:color="auto" w:sz="4" w:space="0"/>
              <w:bottom w:val="single" w:color="auto" w:sz="4" w:space="0"/>
              <w:right w:val="single" w:color="auto" w:sz="4" w:space="0"/>
            </w:tcBorders>
            <w:vAlign w:val="center"/>
          </w:tcPr>
          <w:p>
            <w:pPr>
              <w:widowControl/>
              <w:spacing w:line="30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2</w:t>
            </w:r>
          </w:p>
        </w:tc>
        <w:tc>
          <w:tcPr>
            <w:tcW w:w="6925" w:type="dxa"/>
            <w:tcBorders>
              <w:top w:val="nil"/>
              <w:left w:val="nil"/>
              <w:bottom w:val="single" w:color="auto" w:sz="4" w:space="0"/>
              <w:right w:val="single" w:color="auto" w:sz="4" w:space="0"/>
            </w:tcBorders>
            <w:vAlign w:val="center"/>
          </w:tcPr>
          <w:p>
            <w:pPr>
              <w:widowControl/>
              <w:spacing w:line="300" w:lineRule="auto"/>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法定代表人资格证明及授权书、被授权人身份证(法定代表人投标需提供法定代表人身份证)</w:t>
            </w:r>
          </w:p>
        </w:tc>
        <w:tc>
          <w:tcPr>
            <w:tcW w:w="55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52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90" w:hRule="atLeast"/>
        </w:trPr>
        <w:tc>
          <w:tcPr>
            <w:tcW w:w="519" w:type="dxa"/>
            <w:tcBorders>
              <w:top w:val="nil"/>
              <w:left w:val="single" w:color="auto" w:sz="4" w:space="0"/>
              <w:bottom w:val="single" w:color="auto" w:sz="4" w:space="0"/>
              <w:right w:val="single" w:color="auto" w:sz="4" w:space="0"/>
            </w:tcBorders>
            <w:vAlign w:val="center"/>
          </w:tcPr>
          <w:p>
            <w:pPr>
              <w:widowControl/>
              <w:spacing w:line="30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3</w:t>
            </w:r>
          </w:p>
        </w:tc>
        <w:tc>
          <w:tcPr>
            <w:tcW w:w="6925" w:type="dxa"/>
            <w:tcBorders>
              <w:top w:val="nil"/>
              <w:left w:val="nil"/>
              <w:bottom w:val="single" w:color="auto" w:sz="4" w:space="0"/>
              <w:right w:val="single" w:color="auto" w:sz="4" w:space="0"/>
            </w:tcBorders>
            <w:vAlign w:val="center"/>
          </w:tcPr>
          <w:p>
            <w:pPr>
              <w:widowControl/>
              <w:spacing w:line="300" w:lineRule="auto"/>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提供近两年内任意一年的财务审计报告（新成立的公司可提供近一个月的银行资信证明）；</w:t>
            </w:r>
          </w:p>
        </w:tc>
        <w:tc>
          <w:tcPr>
            <w:tcW w:w="55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52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391" w:hRule="atLeast"/>
        </w:trPr>
        <w:tc>
          <w:tcPr>
            <w:tcW w:w="519" w:type="dxa"/>
            <w:tcBorders>
              <w:top w:val="nil"/>
              <w:left w:val="single" w:color="auto" w:sz="4" w:space="0"/>
              <w:bottom w:val="single" w:color="auto" w:sz="4" w:space="0"/>
              <w:right w:val="single" w:color="auto" w:sz="4" w:space="0"/>
            </w:tcBorders>
            <w:vAlign w:val="center"/>
          </w:tcPr>
          <w:p>
            <w:pPr>
              <w:widowControl/>
              <w:spacing w:line="30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4</w:t>
            </w:r>
          </w:p>
        </w:tc>
        <w:tc>
          <w:tcPr>
            <w:tcW w:w="6925" w:type="dxa"/>
            <w:tcBorders>
              <w:top w:val="nil"/>
              <w:left w:val="nil"/>
              <w:bottom w:val="single" w:color="auto" w:sz="4" w:space="0"/>
              <w:right w:val="single" w:color="auto" w:sz="4" w:space="0"/>
            </w:tcBorders>
            <w:vAlign w:val="center"/>
          </w:tcPr>
          <w:p>
            <w:pPr>
              <w:widowControl/>
              <w:spacing w:line="300" w:lineRule="auto"/>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投标人依法缴纳近 3个月内其中任意1个月的社会保险凭据；</w:t>
            </w:r>
          </w:p>
        </w:tc>
        <w:tc>
          <w:tcPr>
            <w:tcW w:w="55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52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568" w:hRule="atLeast"/>
        </w:trPr>
        <w:tc>
          <w:tcPr>
            <w:tcW w:w="519" w:type="dxa"/>
            <w:tcBorders>
              <w:top w:val="nil"/>
              <w:left w:val="single" w:color="auto" w:sz="4" w:space="0"/>
              <w:bottom w:val="single" w:color="auto" w:sz="4" w:space="0"/>
              <w:right w:val="single" w:color="auto" w:sz="4" w:space="0"/>
            </w:tcBorders>
            <w:vAlign w:val="center"/>
          </w:tcPr>
          <w:p>
            <w:pPr>
              <w:widowControl/>
              <w:spacing w:line="30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5</w:t>
            </w:r>
          </w:p>
        </w:tc>
        <w:tc>
          <w:tcPr>
            <w:tcW w:w="6925" w:type="dxa"/>
            <w:tcBorders>
              <w:top w:val="nil"/>
              <w:left w:val="nil"/>
              <w:bottom w:val="single" w:color="auto" w:sz="4" w:space="0"/>
              <w:right w:val="single" w:color="auto" w:sz="4" w:space="0"/>
            </w:tcBorders>
            <w:vAlign w:val="center"/>
          </w:tcPr>
          <w:p>
            <w:pPr>
              <w:widowControl/>
              <w:spacing w:line="300" w:lineRule="auto"/>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投标人提供税务部门出具的近3个月内其中任意1个月的完税证明（零申报需加盖税务机关鲜章）；</w:t>
            </w:r>
          </w:p>
        </w:tc>
        <w:tc>
          <w:tcPr>
            <w:tcW w:w="55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52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2998" w:hRule="atLeast"/>
        </w:trPr>
        <w:tc>
          <w:tcPr>
            <w:tcW w:w="519" w:type="dxa"/>
            <w:tcBorders>
              <w:top w:val="nil"/>
              <w:left w:val="single" w:color="auto" w:sz="4" w:space="0"/>
              <w:bottom w:val="single" w:color="auto" w:sz="4" w:space="0"/>
              <w:right w:val="single" w:color="auto" w:sz="4" w:space="0"/>
            </w:tcBorders>
            <w:vAlign w:val="center"/>
          </w:tcPr>
          <w:p>
            <w:pPr>
              <w:widowControl/>
              <w:spacing w:line="30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6</w:t>
            </w:r>
          </w:p>
        </w:tc>
        <w:tc>
          <w:tcPr>
            <w:tcW w:w="6925" w:type="dxa"/>
            <w:tcBorders>
              <w:top w:val="nil"/>
              <w:left w:val="nil"/>
              <w:bottom w:val="single" w:color="auto" w:sz="4" w:space="0"/>
              <w:right w:val="single" w:color="auto" w:sz="4" w:space="0"/>
            </w:tcBorders>
            <w:vAlign w:val="center"/>
          </w:tcPr>
          <w:p>
            <w:pPr>
              <w:widowControl/>
              <w:spacing w:line="300" w:lineRule="auto"/>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根据《财政部关于在政府采购活动中查询及使用信用记录有关问题的通知》（财库﹝2016﹞125号）的要求，凡拟参加本次招标项目的</w:t>
            </w:r>
            <w:r>
              <w:rPr>
                <w:rFonts w:hint="eastAsia" w:ascii="仿宋" w:hAnsi="仿宋" w:eastAsia="仿宋" w:cs="仿宋"/>
                <w:kern w:val="0"/>
                <w:szCs w:val="21"/>
                <w:lang w:eastAsia="zh-CN" w:bidi="ar"/>
              </w:rPr>
              <w:t>投标人</w:t>
            </w:r>
            <w:r>
              <w:rPr>
                <w:rFonts w:hint="eastAsia" w:ascii="仿宋" w:hAnsi="仿宋" w:eastAsia="仿宋" w:cs="仿宋"/>
                <w:kern w:val="0"/>
                <w:szCs w:val="21"/>
                <w:lang w:bidi="ar"/>
              </w:rPr>
              <w:t>，如在“信用中国”网站（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由代理机构现场查询核实）；</w:t>
            </w:r>
          </w:p>
        </w:tc>
        <w:tc>
          <w:tcPr>
            <w:tcW w:w="55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52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36" w:hRule="atLeast"/>
        </w:trPr>
        <w:tc>
          <w:tcPr>
            <w:tcW w:w="519" w:type="dxa"/>
            <w:tcBorders>
              <w:top w:val="nil"/>
              <w:left w:val="single" w:color="auto" w:sz="4" w:space="0"/>
              <w:bottom w:val="single" w:color="auto" w:sz="4" w:space="0"/>
              <w:right w:val="single" w:color="auto" w:sz="4" w:space="0"/>
            </w:tcBorders>
            <w:vAlign w:val="center"/>
          </w:tcPr>
          <w:p>
            <w:pPr>
              <w:widowControl/>
              <w:spacing w:line="30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7</w:t>
            </w:r>
          </w:p>
        </w:tc>
        <w:tc>
          <w:tcPr>
            <w:tcW w:w="6925" w:type="dxa"/>
            <w:tcBorders>
              <w:top w:val="nil"/>
              <w:left w:val="nil"/>
              <w:bottom w:val="single" w:color="auto" w:sz="4" w:space="0"/>
              <w:right w:val="single" w:color="auto" w:sz="4" w:space="0"/>
            </w:tcBorders>
            <w:vAlign w:val="center"/>
          </w:tcPr>
          <w:p>
            <w:pPr>
              <w:widowControl/>
              <w:spacing w:line="300" w:lineRule="auto"/>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在参加政府采购活动中前三年内无重大违法记录的声明书；</w:t>
            </w:r>
          </w:p>
        </w:tc>
        <w:tc>
          <w:tcPr>
            <w:tcW w:w="55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52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295" w:hRule="atLeast"/>
        </w:trPr>
        <w:tc>
          <w:tcPr>
            <w:tcW w:w="519" w:type="dxa"/>
            <w:tcBorders>
              <w:top w:val="nil"/>
              <w:left w:val="single" w:color="auto" w:sz="4" w:space="0"/>
              <w:bottom w:val="single" w:color="auto" w:sz="4" w:space="0"/>
              <w:right w:val="single" w:color="auto" w:sz="4" w:space="0"/>
            </w:tcBorders>
            <w:vAlign w:val="center"/>
          </w:tcPr>
          <w:p>
            <w:pPr>
              <w:widowControl/>
              <w:spacing w:line="30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8</w:t>
            </w:r>
          </w:p>
        </w:tc>
        <w:tc>
          <w:tcPr>
            <w:tcW w:w="6925" w:type="dxa"/>
            <w:tcBorders>
              <w:top w:val="nil"/>
              <w:left w:val="nil"/>
              <w:bottom w:val="single" w:color="auto" w:sz="4" w:space="0"/>
              <w:right w:val="single" w:color="auto" w:sz="4" w:space="0"/>
            </w:tcBorders>
            <w:vAlign w:val="center"/>
          </w:tcPr>
          <w:p>
            <w:pPr>
              <w:widowControl/>
              <w:spacing w:line="300" w:lineRule="auto"/>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提供针对本次项目《反商业贿赂承诺书》 ；</w:t>
            </w:r>
          </w:p>
        </w:tc>
        <w:tc>
          <w:tcPr>
            <w:tcW w:w="55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p>
        </w:tc>
        <w:tc>
          <w:tcPr>
            <w:tcW w:w="52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558" w:hRule="atLeast"/>
        </w:trPr>
        <w:tc>
          <w:tcPr>
            <w:tcW w:w="519" w:type="dxa"/>
            <w:tcBorders>
              <w:top w:val="nil"/>
              <w:left w:val="single" w:color="auto" w:sz="4" w:space="0"/>
              <w:bottom w:val="single" w:color="auto" w:sz="4" w:space="0"/>
              <w:right w:val="single" w:color="auto" w:sz="4" w:space="0"/>
            </w:tcBorders>
            <w:vAlign w:val="center"/>
          </w:tcPr>
          <w:p>
            <w:pPr>
              <w:widowControl/>
              <w:spacing w:line="30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9</w:t>
            </w:r>
          </w:p>
        </w:tc>
        <w:tc>
          <w:tcPr>
            <w:tcW w:w="6925" w:type="dxa"/>
            <w:tcBorders>
              <w:top w:val="nil"/>
              <w:left w:val="nil"/>
              <w:bottom w:val="single" w:color="auto" w:sz="4" w:space="0"/>
              <w:right w:val="single" w:color="auto" w:sz="4" w:space="0"/>
            </w:tcBorders>
            <w:vAlign w:val="center"/>
          </w:tcPr>
          <w:p>
            <w:pPr>
              <w:widowControl/>
              <w:spacing w:line="300" w:lineRule="auto"/>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投标保证金缴纳凭证；</w:t>
            </w:r>
          </w:p>
        </w:tc>
        <w:tc>
          <w:tcPr>
            <w:tcW w:w="55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52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433" w:hRule="atLeast"/>
        </w:trPr>
        <w:tc>
          <w:tcPr>
            <w:tcW w:w="519" w:type="dxa"/>
            <w:tcBorders>
              <w:top w:val="nil"/>
              <w:left w:val="single" w:color="auto" w:sz="4" w:space="0"/>
              <w:bottom w:val="single" w:color="auto" w:sz="4" w:space="0"/>
              <w:right w:val="single" w:color="auto" w:sz="4" w:space="0"/>
            </w:tcBorders>
            <w:vAlign w:val="center"/>
          </w:tcPr>
          <w:p>
            <w:pPr>
              <w:widowControl/>
              <w:spacing w:line="300" w:lineRule="auto"/>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10</w:t>
            </w:r>
          </w:p>
        </w:tc>
        <w:tc>
          <w:tcPr>
            <w:tcW w:w="6925" w:type="dxa"/>
            <w:tcBorders>
              <w:top w:val="nil"/>
              <w:left w:val="nil"/>
              <w:bottom w:val="single" w:color="auto" w:sz="4" w:space="0"/>
              <w:right w:val="single" w:color="auto" w:sz="4" w:space="0"/>
            </w:tcBorders>
            <w:vAlign w:val="center"/>
          </w:tcPr>
          <w:p>
            <w:pPr>
              <w:widowControl/>
              <w:spacing w:line="300" w:lineRule="auto"/>
              <w:jc w:val="left"/>
              <w:textAlignment w:val="center"/>
              <w:rPr>
                <w:rFonts w:ascii="仿宋" w:hAnsi="仿宋" w:eastAsia="仿宋" w:cs="仿宋"/>
                <w:kern w:val="0"/>
                <w:szCs w:val="21"/>
                <w:lang w:bidi="ar"/>
              </w:rPr>
            </w:pPr>
            <w:r>
              <w:rPr>
                <w:rFonts w:hint="eastAsia" w:ascii="仿宋" w:hAnsi="仿宋" w:eastAsia="仿宋" w:cs="仿宋"/>
                <w:kern w:val="0"/>
                <w:szCs w:val="21"/>
                <w:lang w:eastAsia="zh-CN" w:bidi="ar"/>
              </w:rPr>
              <w:t>投标人</w:t>
            </w:r>
            <w:r>
              <w:rPr>
                <w:rFonts w:hint="eastAsia" w:ascii="仿宋" w:hAnsi="仿宋" w:eastAsia="仿宋" w:cs="仿宋"/>
                <w:kern w:val="0"/>
                <w:szCs w:val="21"/>
                <w:lang w:bidi="ar"/>
              </w:rPr>
              <w:t>应为中小企业，提供《中小企业声明函》。</w:t>
            </w:r>
          </w:p>
        </w:tc>
        <w:tc>
          <w:tcPr>
            <w:tcW w:w="553"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p>
        </w:tc>
        <w:tc>
          <w:tcPr>
            <w:tcW w:w="525" w:type="dxa"/>
            <w:tcBorders>
              <w:top w:val="nil"/>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p>
        </w:tc>
      </w:tr>
      <w:tr>
        <w:tblPrEx>
          <w:tblCellMar>
            <w:top w:w="0" w:type="dxa"/>
            <w:left w:w="108" w:type="dxa"/>
            <w:bottom w:w="0" w:type="dxa"/>
            <w:right w:w="108" w:type="dxa"/>
          </w:tblCellMar>
        </w:tblPrEx>
        <w:trPr>
          <w:trHeight w:val="447" w:hRule="atLeast"/>
        </w:trPr>
        <w:tc>
          <w:tcPr>
            <w:tcW w:w="51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 w:hAnsi="仿宋" w:eastAsia="仿宋" w:cs="仿宋"/>
                <w:color w:val="000000"/>
                <w:kern w:val="0"/>
                <w:sz w:val="22"/>
                <w:szCs w:val="22"/>
              </w:rPr>
            </w:pPr>
          </w:p>
        </w:tc>
        <w:tc>
          <w:tcPr>
            <w:tcW w:w="6925" w:type="dxa"/>
            <w:tcBorders>
              <w:top w:val="single" w:color="auto" w:sz="4" w:space="0"/>
              <w:left w:val="nil"/>
              <w:bottom w:val="single" w:color="auto" w:sz="4" w:space="0"/>
              <w:right w:val="single" w:color="auto" w:sz="4" w:space="0"/>
            </w:tcBorders>
            <w:vAlign w:val="center"/>
          </w:tcPr>
          <w:p>
            <w:pPr>
              <w:spacing w:line="360" w:lineRule="auto"/>
              <w:jc w:val="center"/>
              <w:rPr>
                <w:rFonts w:ascii="仿宋" w:hAnsi="仿宋" w:eastAsia="仿宋" w:cs="仿宋"/>
                <w:b/>
                <w:bCs/>
              </w:rPr>
            </w:pPr>
            <w:r>
              <w:rPr>
                <w:rFonts w:hint="eastAsia" w:ascii="仿宋" w:hAnsi="仿宋" w:eastAsia="仿宋" w:cs="仿宋"/>
                <w:b/>
                <w:bCs/>
                <w:color w:val="000000"/>
                <w:kern w:val="0"/>
                <w:sz w:val="22"/>
                <w:szCs w:val="22"/>
              </w:rPr>
              <w:t>结论</w:t>
            </w:r>
          </w:p>
        </w:tc>
        <w:tc>
          <w:tcPr>
            <w:tcW w:w="553"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p>
        </w:tc>
        <w:tc>
          <w:tcPr>
            <w:tcW w:w="52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仿宋" w:hAnsi="仿宋" w:eastAsia="仿宋" w:cs="仿宋"/>
                <w:color w:val="000000"/>
                <w:kern w:val="0"/>
                <w:sz w:val="22"/>
                <w:szCs w:val="22"/>
              </w:rPr>
            </w:pPr>
          </w:p>
        </w:tc>
      </w:tr>
    </w:tbl>
    <w:p>
      <w:pPr>
        <w:pStyle w:val="2"/>
        <w:tabs>
          <w:tab w:val="clear" w:pos="567"/>
        </w:tabs>
        <w:spacing w:before="0" w:line="360" w:lineRule="auto"/>
        <w:ind w:left="-181" w:leftChars="-86" w:firstLine="607" w:firstLineChars="275"/>
        <w:rPr>
          <w:rFonts w:ascii="仿宋" w:hAnsi="仿宋" w:eastAsia="仿宋" w:cs="仿宋"/>
          <w:b/>
          <w:bCs/>
          <w:iCs/>
        </w:rPr>
      </w:pPr>
      <w:r>
        <w:rPr>
          <w:rFonts w:hint="eastAsia" w:ascii="仿宋" w:hAnsi="仿宋" w:eastAsia="仿宋" w:cs="仿宋"/>
          <w:b/>
          <w:kern w:val="0"/>
          <w:sz w:val="22"/>
          <w:szCs w:val="22"/>
          <w:lang w:bidi="ar"/>
        </w:rPr>
        <w:t>注：按评审标准对上述内容评审，满足要求的在对应的框内打“√”，不满足要求的在对应的框内打“×”。对可以进入详评的投标人，在该投标人所对应的“是否通过评审“栏中打“√”。一项未提供，则不通过。</w:t>
      </w:r>
    </w:p>
    <w:p>
      <w:pPr>
        <w:pStyle w:val="25"/>
        <w:rPr>
          <w:rFonts w:ascii="仿宋" w:hAnsi="仿宋" w:eastAsia="仿宋" w:cs="仿宋"/>
        </w:rPr>
      </w:pPr>
    </w:p>
    <w:p>
      <w:pPr>
        <w:rPr>
          <w:rFonts w:ascii="仿宋" w:hAnsi="仿宋" w:eastAsia="仿宋" w:cs="仿宋"/>
        </w:rPr>
      </w:pPr>
    </w:p>
    <w:p>
      <w:pPr>
        <w:pStyle w:val="2"/>
        <w:tabs>
          <w:tab w:val="clear" w:pos="567"/>
        </w:tabs>
        <w:spacing w:before="0" w:line="360" w:lineRule="auto"/>
        <w:rPr>
          <w:rFonts w:ascii="仿宋" w:hAnsi="仿宋" w:eastAsia="仿宋" w:cs="仿宋"/>
          <w:b/>
          <w:bCs/>
          <w:iCs/>
        </w:rPr>
      </w:pPr>
      <w:r>
        <w:rPr>
          <w:rFonts w:hint="eastAsia" w:ascii="仿宋" w:hAnsi="仿宋" w:eastAsia="仿宋" w:cs="仿宋"/>
          <w:b/>
          <w:bCs/>
          <w:iCs/>
        </w:rPr>
        <w:t>3.3符合性检查。</w:t>
      </w:r>
    </w:p>
    <w:p>
      <w:pPr>
        <w:pStyle w:val="2"/>
        <w:tabs>
          <w:tab w:val="clear" w:pos="567"/>
        </w:tabs>
        <w:spacing w:before="0" w:line="360" w:lineRule="auto"/>
        <w:ind w:left="-181" w:leftChars="-86" w:firstLine="660" w:firstLineChars="275"/>
        <w:rPr>
          <w:rFonts w:ascii="仿宋" w:hAnsi="仿宋" w:eastAsia="仿宋" w:cs="仿宋"/>
          <w:szCs w:val="32"/>
        </w:rPr>
      </w:pPr>
      <w:r>
        <w:rPr>
          <w:rFonts w:hint="eastAsia" w:ascii="仿宋" w:hAnsi="仿宋" w:eastAsia="仿宋" w:cs="仿宋"/>
          <w:iCs/>
        </w:rPr>
        <w:t>3.3.1评标委员会依据本招标文件的实质性要求，对符合资格的投标文件进行审查，以确定其是否满足本招标文件的实质性要求。</w:t>
      </w:r>
    </w:p>
    <w:p>
      <w:pPr>
        <w:jc w:val="center"/>
        <w:rPr>
          <w:rFonts w:ascii="仿宋" w:hAnsi="仿宋" w:eastAsia="仿宋" w:cs="仿宋"/>
          <w:b/>
          <w:bCs/>
          <w:sz w:val="24"/>
          <w:szCs w:val="32"/>
        </w:rPr>
      </w:pPr>
      <w:r>
        <w:rPr>
          <w:rFonts w:hint="eastAsia" w:ascii="仿宋" w:hAnsi="仿宋" w:eastAsia="仿宋" w:cs="仿宋"/>
          <w:b/>
          <w:bCs/>
          <w:sz w:val="24"/>
          <w:szCs w:val="32"/>
        </w:rPr>
        <w:t>符合性审查表</w:t>
      </w:r>
    </w:p>
    <w:tbl>
      <w:tblPr>
        <w:tblStyle w:val="35"/>
        <w:tblpPr w:leftFromText="180" w:rightFromText="180" w:vertAnchor="text" w:horzAnchor="page" w:tblpXSpec="center" w:tblpY="262"/>
        <w:tblOverlap w:val="never"/>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7153"/>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909" w:type="dxa"/>
            <w:gridSpan w:val="2"/>
            <w:vAlign w:val="center"/>
          </w:tcPr>
          <w:p>
            <w:pPr>
              <w:spacing w:line="300" w:lineRule="auto"/>
              <w:jc w:val="center"/>
              <w:rPr>
                <w:rFonts w:hint="eastAsia" w:ascii="仿宋" w:hAnsi="仿宋" w:eastAsia="仿宋" w:cs="仿宋"/>
                <w:spacing w:val="-2"/>
                <w:szCs w:val="21"/>
              </w:rPr>
            </w:pPr>
            <w:r>
              <w:rPr>
                <w:rFonts w:hint="eastAsia" w:ascii="仿宋" w:hAnsi="仿宋" w:eastAsia="仿宋" w:cs="仿宋"/>
                <w:spacing w:val="-2"/>
                <w:szCs w:val="21"/>
              </w:rPr>
              <w:t>评审内容</w:t>
            </w:r>
          </w:p>
        </w:tc>
        <w:tc>
          <w:tcPr>
            <w:tcW w:w="1111" w:type="dxa"/>
            <w:vAlign w:val="center"/>
          </w:tcPr>
          <w:p>
            <w:pPr>
              <w:spacing w:line="300" w:lineRule="auto"/>
              <w:jc w:val="center"/>
              <w:rPr>
                <w:rFonts w:hint="eastAsia" w:ascii="仿宋" w:hAnsi="仿宋" w:eastAsia="仿宋" w:cs="仿宋"/>
                <w:spacing w:val="-2"/>
                <w:szCs w:val="21"/>
              </w:rPr>
            </w:pPr>
            <w:r>
              <w:rPr>
                <w:rFonts w:hint="eastAsia" w:ascii="仿宋" w:hAnsi="仿宋" w:eastAsia="仿宋" w:cs="仿宋"/>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756" w:type="dxa"/>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序号</w:t>
            </w:r>
          </w:p>
        </w:tc>
        <w:tc>
          <w:tcPr>
            <w:tcW w:w="7153" w:type="dxa"/>
            <w:vAlign w:val="center"/>
          </w:tcPr>
          <w:p>
            <w:pPr>
              <w:spacing w:line="300" w:lineRule="auto"/>
              <w:jc w:val="center"/>
              <w:rPr>
                <w:rFonts w:hint="eastAsia" w:ascii="仿宋" w:hAnsi="仿宋" w:eastAsia="仿宋" w:cs="仿宋"/>
                <w:spacing w:val="-2"/>
                <w:szCs w:val="21"/>
              </w:rPr>
            </w:pPr>
          </w:p>
        </w:tc>
        <w:tc>
          <w:tcPr>
            <w:tcW w:w="1111" w:type="dxa"/>
            <w:vAlign w:val="center"/>
          </w:tcPr>
          <w:p>
            <w:pPr>
              <w:spacing w:line="300" w:lineRule="auto"/>
              <w:jc w:val="center"/>
              <w:rPr>
                <w:rFonts w:hint="eastAsia" w:ascii="仿宋" w:hAnsi="仿宋" w:eastAsia="仿宋" w:cs="仿宋"/>
                <w:spacing w:val="-2"/>
                <w:szCs w:val="21"/>
              </w:rPr>
            </w:pPr>
            <w:r>
              <w:rPr>
                <w:rFonts w:hint="eastAsia" w:ascii="仿宋" w:hAnsi="仿宋" w:eastAsia="仿宋" w:cs="仿宋"/>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56" w:type="dxa"/>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1</w:t>
            </w:r>
          </w:p>
        </w:tc>
        <w:tc>
          <w:tcPr>
            <w:tcW w:w="7153" w:type="dxa"/>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投标报价不高于预算金额；</w:t>
            </w:r>
          </w:p>
        </w:tc>
        <w:tc>
          <w:tcPr>
            <w:tcW w:w="1111" w:type="dxa"/>
            <w:vAlign w:val="center"/>
          </w:tcPr>
          <w:p>
            <w:pPr>
              <w:spacing w:line="300" w:lineRule="auto"/>
              <w:rPr>
                <w:rFonts w:hint="eastAsia" w:ascii="仿宋" w:hAnsi="仿宋" w:eastAsia="仿宋" w:cs="仿宋"/>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6" w:type="dxa"/>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2</w:t>
            </w:r>
          </w:p>
        </w:tc>
        <w:tc>
          <w:tcPr>
            <w:tcW w:w="7153" w:type="dxa"/>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投标人之间或者投标人与采购人无串通投标的；</w:t>
            </w:r>
          </w:p>
        </w:tc>
        <w:tc>
          <w:tcPr>
            <w:tcW w:w="1111" w:type="dxa"/>
            <w:vAlign w:val="center"/>
          </w:tcPr>
          <w:p>
            <w:pPr>
              <w:spacing w:line="300" w:lineRule="auto"/>
              <w:rPr>
                <w:rFonts w:hint="eastAsia" w:ascii="仿宋" w:hAnsi="仿宋" w:eastAsia="仿宋" w:cs="仿宋"/>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56" w:type="dxa"/>
            <w:shd w:val="clear" w:color="auto" w:fill="FF0000"/>
            <w:vAlign w:val="center"/>
          </w:tcPr>
          <w:p>
            <w:pPr>
              <w:spacing w:line="300" w:lineRule="auto"/>
              <w:jc w:val="center"/>
              <w:rPr>
                <w:rFonts w:hint="eastAsia" w:ascii="仿宋" w:hAnsi="仿宋" w:eastAsia="仿宋" w:cs="仿宋"/>
                <w:color w:val="auto"/>
                <w:szCs w:val="21"/>
              </w:rPr>
            </w:pPr>
            <w:r>
              <w:rPr>
                <w:rFonts w:hint="eastAsia" w:ascii="仿宋" w:hAnsi="仿宋" w:eastAsia="仿宋" w:cs="仿宋"/>
                <w:color w:val="auto"/>
                <w:szCs w:val="21"/>
              </w:rPr>
              <w:t>3</w:t>
            </w:r>
          </w:p>
        </w:tc>
        <w:tc>
          <w:tcPr>
            <w:tcW w:w="7153" w:type="dxa"/>
            <w:vAlign w:val="center"/>
          </w:tcPr>
          <w:p>
            <w:pPr>
              <w:widowControl/>
              <w:spacing w:line="300" w:lineRule="auto"/>
              <w:jc w:val="left"/>
              <w:textAlignment w:val="center"/>
              <w:rPr>
                <w:rFonts w:hint="eastAsia" w:ascii="仿宋" w:hAnsi="仿宋" w:eastAsia="仿宋" w:cs="仿宋"/>
                <w:color w:val="auto"/>
                <w:szCs w:val="21"/>
              </w:rPr>
            </w:pPr>
            <w:r>
              <w:rPr>
                <w:rFonts w:hint="eastAsia" w:ascii="仿宋" w:hAnsi="仿宋" w:eastAsia="仿宋" w:cs="仿宋"/>
                <w:color w:val="auto"/>
                <w:kern w:val="0"/>
                <w:szCs w:val="21"/>
                <w:lang w:bidi="ar"/>
              </w:rPr>
              <w:t>无以行贿手段谋取中标或者以其他弄虚作假方式投标的；</w:t>
            </w:r>
          </w:p>
        </w:tc>
        <w:tc>
          <w:tcPr>
            <w:tcW w:w="1111" w:type="dxa"/>
            <w:vAlign w:val="center"/>
          </w:tcPr>
          <w:p>
            <w:pPr>
              <w:spacing w:line="30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756" w:type="dxa"/>
            <w:shd w:val="clear" w:color="auto" w:fill="FF0000"/>
            <w:vAlign w:val="center"/>
          </w:tcPr>
          <w:p>
            <w:pPr>
              <w:spacing w:line="300" w:lineRule="auto"/>
              <w:jc w:val="center"/>
              <w:rPr>
                <w:rFonts w:hint="eastAsia" w:ascii="仿宋" w:hAnsi="仿宋" w:eastAsia="仿宋" w:cs="仿宋"/>
                <w:color w:val="auto"/>
                <w:szCs w:val="21"/>
              </w:rPr>
            </w:pPr>
            <w:r>
              <w:rPr>
                <w:rFonts w:hint="eastAsia" w:ascii="仿宋" w:hAnsi="仿宋" w:eastAsia="仿宋" w:cs="仿宋"/>
                <w:color w:val="auto"/>
                <w:szCs w:val="21"/>
              </w:rPr>
              <w:t>4</w:t>
            </w:r>
          </w:p>
        </w:tc>
        <w:tc>
          <w:tcPr>
            <w:tcW w:w="7153" w:type="dxa"/>
            <w:vAlign w:val="center"/>
          </w:tcPr>
          <w:p>
            <w:pPr>
              <w:widowControl/>
              <w:spacing w:line="300" w:lineRule="auto"/>
              <w:jc w:val="left"/>
              <w:textAlignment w:val="center"/>
              <w:rPr>
                <w:rFonts w:hint="eastAsia" w:ascii="仿宋" w:hAnsi="仿宋" w:eastAsia="仿宋" w:cs="仿宋"/>
                <w:color w:val="auto"/>
                <w:spacing w:val="-2"/>
                <w:szCs w:val="21"/>
                <w:lang w:eastAsia="zh-CN"/>
              </w:rPr>
            </w:pPr>
            <w:r>
              <w:rPr>
                <w:rFonts w:hint="eastAsia" w:ascii="仿宋" w:hAnsi="仿宋" w:eastAsia="仿宋" w:cs="仿宋"/>
                <w:color w:val="auto"/>
                <w:kern w:val="0"/>
                <w:szCs w:val="21"/>
                <w:lang w:bidi="ar"/>
              </w:rPr>
              <w:t>无不满足招标文件实质性要求的其他情形</w:t>
            </w:r>
            <w:r>
              <w:rPr>
                <w:rFonts w:hint="eastAsia" w:ascii="仿宋" w:hAnsi="仿宋" w:eastAsia="仿宋" w:cs="仿宋"/>
                <w:color w:val="auto"/>
                <w:kern w:val="0"/>
                <w:szCs w:val="21"/>
                <w:lang w:eastAsia="zh-CN" w:bidi="ar"/>
              </w:rPr>
              <w:t>；</w:t>
            </w:r>
          </w:p>
        </w:tc>
        <w:tc>
          <w:tcPr>
            <w:tcW w:w="1111" w:type="dxa"/>
            <w:vAlign w:val="center"/>
          </w:tcPr>
          <w:p>
            <w:pPr>
              <w:spacing w:line="300" w:lineRule="auto"/>
              <w:rPr>
                <w:rFonts w:hint="eastAsia" w:ascii="仿宋" w:hAnsi="仿宋" w:eastAsia="仿宋" w:cs="仿宋"/>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56" w:type="dxa"/>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5</w:t>
            </w:r>
          </w:p>
        </w:tc>
        <w:tc>
          <w:tcPr>
            <w:tcW w:w="7153" w:type="dxa"/>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投标文件有</w:t>
            </w:r>
            <w:r>
              <w:rPr>
                <w:rFonts w:hint="eastAsia" w:ascii="仿宋" w:hAnsi="仿宋" w:eastAsia="仿宋" w:cs="仿宋"/>
                <w:kern w:val="0"/>
                <w:szCs w:val="21"/>
                <w:lang w:eastAsia="zh-CN" w:bidi="ar"/>
              </w:rPr>
              <w:t>投标人</w:t>
            </w:r>
            <w:r>
              <w:rPr>
                <w:rFonts w:hint="eastAsia" w:ascii="仿宋" w:hAnsi="仿宋" w:eastAsia="仿宋" w:cs="仿宋"/>
                <w:kern w:val="0"/>
                <w:szCs w:val="21"/>
                <w:lang w:bidi="ar"/>
              </w:rPr>
              <w:t>法定代表人或其授权代表签字（章）和加盖</w:t>
            </w:r>
            <w:r>
              <w:rPr>
                <w:rFonts w:hint="eastAsia" w:ascii="仿宋" w:hAnsi="仿宋" w:eastAsia="仿宋" w:cs="仿宋"/>
                <w:kern w:val="0"/>
                <w:szCs w:val="21"/>
                <w:lang w:eastAsia="zh-CN" w:bidi="ar"/>
              </w:rPr>
              <w:t>投标人</w:t>
            </w:r>
            <w:r>
              <w:rPr>
                <w:rFonts w:hint="eastAsia" w:ascii="仿宋" w:hAnsi="仿宋" w:eastAsia="仿宋" w:cs="仿宋"/>
                <w:kern w:val="0"/>
                <w:szCs w:val="21"/>
                <w:lang w:bidi="ar"/>
              </w:rPr>
              <w:t>公章的；</w:t>
            </w:r>
          </w:p>
        </w:tc>
        <w:tc>
          <w:tcPr>
            <w:tcW w:w="1111" w:type="dxa"/>
            <w:vAlign w:val="center"/>
          </w:tcPr>
          <w:p>
            <w:pPr>
              <w:spacing w:line="300" w:lineRule="auto"/>
              <w:rPr>
                <w:rFonts w:hint="eastAsia" w:ascii="仿宋" w:hAnsi="仿宋" w:eastAsia="仿宋" w:cs="仿宋"/>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56" w:type="dxa"/>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6</w:t>
            </w:r>
          </w:p>
        </w:tc>
        <w:tc>
          <w:tcPr>
            <w:tcW w:w="7153" w:type="dxa"/>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投标的政府采购项目完成期限未超过招标文件规定期限的；</w:t>
            </w:r>
          </w:p>
        </w:tc>
        <w:tc>
          <w:tcPr>
            <w:tcW w:w="1111" w:type="dxa"/>
            <w:vAlign w:val="center"/>
          </w:tcPr>
          <w:p>
            <w:pPr>
              <w:spacing w:line="300" w:lineRule="auto"/>
              <w:rPr>
                <w:rFonts w:hint="eastAsia" w:ascii="仿宋" w:hAnsi="仿宋" w:eastAsia="仿宋" w:cs="仿宋"/>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56" w:type="dxa"/>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7</w:t>
            </w:r>
          </w:p>
        </w:tc>
        <w:tc>
          <w:tcPr>
            <w:tcW w:w="7153" w:type="dxa"/>
            <w:vAlign w:val="center"/>
          </w:tcPr>
          <w:p>
            <w:pPr>
              <w:widowControl/>
              <w:spacing w:line="300" w:lineRule="auto"/>
              <w:jc w:val="left"/>
              <w:textAlignment w:val="center"/>
              <w:rPr>
                <w:rFonts w:hint="eastAsia" w:ascii="仿宋" w:hAnsi="仿宋" w:eastAsia="仿宋" w:cs="仿宋"/>
                <w:spacing w:val="-2"/>
                <w:szCs w:val="21"/>
              </w:rPr>
            </w:pPr>
            <w:r>
              <w:rPr>
                <w:rFonts w:hint="eastAsia" w:ascii="仿宋" w:hAnsi="仿宋" w:eastAsia="仿宋" w:cs="仿宋"/>
                <w:kern w:val="0"/>
                <w:szCs w:val="21"/>
                <w:lang w:bidi="ar"/>
              </w:rPr>
              <w:t>投标文件载明的技术规格、技术标准、货物包装方式、检验标准和方法等，符合招标文件要求的；</w:t>
            </w:r>
          </w:p>
        </w:tc>
        <w:tc>
          <w:tcPr>
            <w:tcW w:w="1111" w:type="dxa"/>
            <w:vAlign w:val="center"/>
          </w:tcPr>
          <w:p>
            <w:pPr>
              <w:spacing w:line="300" w:lineRule="auto"/>
              <w:rPr>
                <w:rFonts w:hint="eastAsia" w:ascii="仿宋" w:hAnsi="仿宋" w:eastAsia="仿宋" w:cs="仿宋"/>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56" w:type="dxa"/>
            <w:vAlign w:val="center"/>
          </w:tcPr>
          <w:p>
            <w:pPr>
              <w:spacing w:line="300" w:lineRule="auto"/>
              <w:jc w:val="center"/>
              <w:rPr>
                <w:rFonts w:hint="eastAsia" w:ascii="仿宋" w:hAnsi="仿宋" w:eastAsia="仿宋" w:cs="仿宋"/>
                <w:szCs w:val="21"/>
              </w:rPr>
            </w:pPr>
            <w:r>
              <w:rPr>
                <w:rFonts w:hint="eastAsia" w:ascii="仿宋" w:hAnsi="仿宋" w:eastAsia="仿宋" w:cs="仿宋"/>
                <w:szCs w:val="21"/>
              </w:rPr>
              <w:t>8</w:t>
            </w:r>
          </w:p>
        </w:tc>
        <w:tc>
          <w:tcPr>
            <w:tcW w:w="7153" w:type="dxa"/>
            <w:vAlign w:val="center"/>
          </w:tcPr>
          <w:p>
            <w:pPr>
              <w:widowControl/>
              <w:spacing w:line="300" w:lineRule="auto"/>
              <w:textAlignment w:val="center"/>
              <w:rPr>
                <w:rFonts w:hint="eastAsia" w:ascii="仿宋" w:hAnsi="仿宋" w:eastAsia="仿宋" w:cs="仿宋"/>
                <w:szCs w:val="21"/>
              </w:rPr>
            </w:pPr>
            <w:r>
              <w:rPr>
                <w:rFonts w:hint="eastAsia" w:ascii="仿宋" w:hAnsi="仿宋" w:eastAsia="仿宋" w:cs="仿宋"/>
                <w:kern w:val="0"/>
                <w:szCs w:val="21"/>
                <w:lang w:bidi="ar"/>
              </w:rPr>
              <w:t>投标文件无采购人不能接受的附加条件；</w:t>
            </w:r>
          </w:p>
        </w:tc>
        <w:tc>
          <w:tcPr>
            <w:tcW w:w="1111" w:type="dxa"/>
            <w:vAlign w:val="center"/>
          </w:tcPr>
          <w:p>
            <w:pPr>
              <w:spacing w:line="300" w:lineRule="auto"/>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56" w:type="dxa"/>
            <w:vAlign w:val="center"/>
          </w:tcPr>
          <w:p>
            <w:pPr>
              <w:spacing w:line="300" w:lineRule="auto"/>
              <w:jc w:val="center"/>
              <w:rPr>
                <w:rFonts w:hint="eastAsia" w:ascii="仿宋" w:hAnsi="仿宋" w:eastAsia="仿宋" w:cs="仿宋"/>
                <w:szCs w:val="21"/>
                <w:lang w:eastAsia="zh-CN"/>
              </w:rPr>
            </w:pPr>
            <w:r>
              <w:rPr>
                <w:rFonts w:hint="eastAsia" w:ascii="仿宋" w:hAnsi="仿宋" w:eastAsia="仿宋" w:cs="仿宋"/>
                <w:szCs w:val="21"/>
                <w:lang w:val="en-US" w:eastAsia="zh-CN"/>
              </w:rPr>
              <w:t>9</w:t>
            </w:r>
          </w:p>
        </w:tc>
        <w:tc>
          <w:tcPr>
            <w:tcW w:w="7153" w:type="dxa"/>
            <w:vAlign w:val="center"/>
          </w:tcPr>
          <w:p>
            <w:pPr>
              <w:spacing w:line="300" w:lineRule="auto"/>
              <w:rPr>
                <w:rFonts w:hint="eastAsia" w:ascii="仿宋" w:hAnsi="仿宋" w:eastAsia="仿宋" w:cs="仿宋"/>
                <w:kern w:val="0"/>
                <w:szCs w:val="21"/>
                <w:lang w:bidi="ar"/>
              </w:rPr>
            </w:pPr>
            <w:r>
              <w:rPr>
                <w:rFonts w:hint="eastAsia" w:ascii="仿宋" w:hAnsi="仿宋" w:eastAsia="仿宋" w:cs="仿宋"/>
                <w:kern w:val="0"/>
                <w:szCs w:val="21"/>
                <w:lang w:bidi="ar"/>
              </w:rPr>
              <w:t>无不符合法律法规的其他情形</w:t>
            </w:r>
          </w:p>
        </w:tc>
        <w:tc>
          <w:tcPr>
            <w:tcW w:w="1111" w:type="dxa"/>
            <w:vAlign w:val="center"/>
          </w:tcPr>
          <w:p>
            <w:pPr>
              <w:spacing w:line="300" w:lineRule="auto"/>
              <w:rPr>
                <w:rFonts w:hint="eastAsia" w:ascii="仿宋" w:hAnsi="仿宋" w:eastAsia="仿宋" w:cs="仿宋"/>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909" w:type="dxa"/>
            <w:gridSpan w:val="2"/>
            <w:vAlign w:val="center"/>
          </w:tcPr>
          <w:p>
            <w:pPr>
              <w:spacing w:line="300" w:lineRule="auto"/>
              <w:ind w:firstLine="370" w:firstLineChars="180"/>
              <w:rPr>
                <w:rFonts w:hint="eastAsia" w:ascii="仿宋" w:hAnsi="仿宋" w:eastAsia="仿宋" w:cs="仿宋"/>
                <w:spacing w:val="-2"/>
                <w:szCs w:val="21"/>
              </w:rPr>
            </w:pPr>
            <w:r>
              <w:rPr>
                <w:rFonts w:hint="eastAsia" w:ascii="仿宋" w:hAnsi="仿宋" w:eastAsia="仿宋" w:cs="仿宋"/>
                <w:spacing w:val="-2"/>
                <w:szCs w:val="21"/>
              </w:rPr>
              <w:t>结论：通过评审打“√”，未通过评审打“×”</w:t>
            </w:r>
          </w:p>
        </w:tc>
        <w:tc>
          <w:tcPr>
            <w:tcW w:w="1111" w:type="dxa"/>
            <w:vAlign w:val="center"/>
          </w:tcPr>
          <w:p>
            <w:pPr>
              <w:spacing w:line="300" w:lineRule="auto"/>
              <w:ind w:firstLine="370" w:firstLineChars="180"/>
              <w:rPr>
                <w:rFonts w:hint="eastAsia" w:ascii="仿宋" w:hAnsi="仿宋" w:eastAsia="仿宋" w:cs="仿宋"/>
                <w:spacing w:val="-2"/>
                <w:szCs w:val="21"/>
              </w:rPr>
            </w:pPr>
          </w:p>
        </w:tc>
      </w:tr>
    </w:tbl>
    <w:p>
      <w:pPr>
        <w:spacing w:line="300" w:lineRule="auto"/>
        <w:ind w:left="60"/>
        <w:rPr>
          <w:rFonts w:ascii="仿宋" w:hAnsi="仿宋" w:eastAsia="仿宋" w:cs="仿宋"/>
          <w:szCs w:val="21"/>
        </w:rPr>
      </w:pPr>
      <w:r>
        <w:rPr>
          <w:rFonts w:hint="eastAsia" w:ascii="仿宋" w:hAnsi="仿宋" w:eastAsia="仿宋" w:cs="仿宋"/>
          <w:szCs w:val="21"/>
        </w:rPr>
        <w:t>说明：</w:t>
      </w:r>
    </w:p>
    <w:p>
      <w:pPr>
        <w:numPr>
          <w:ilvl w:val="1"/>
          <w:numId w:val="9"/>
        </w:numPr>
        <w:spacing w:line="300" w:lineRule="auto"/>
        <w:rPr>
          <w:rFonts w:ascii="仿宋" w:hAnsi="仿宋" w:eastAsia="仿宋" w:cs="仿宋"/>
          <w:szCs w:val="21"/>
        </w:rPr>
      </w:pPr>
      <w:r>
        <w:rPr>
          <w:rFonts w:hint="eastAsia" w:ascii="仿宋" w:hAnsi="仿宋" w:eastAsia="仿宋" w:cs="仿宋"/>
          <w:szCs w:val="21"/>
        </w:rPr>
        <w:t>上述各项中用“√”表示通过，“×”表示不通过；</w:t>
      </w:r>
    </w:p>
    <w:p>
      <w:pPr>
        <w:numPr>
          <w:ilvl w:val="1"/>
          <w:numId w:val="9"/>
        </w:numPr>
        <w:spacing w:line="300" w:lineRule="auto"/>
        <w:rPr>
          <w:rFonts w:ascii="仿宋" w:hAnsi="仿宋" w:eastAsia="仿宋" w:cs="仿宋"/>
          <w:szCs w:val="21"/>
        </w:rPr>
      </w:pPr>
      <w:r>
        <w:rPr>
          <w:rFonts w:hint="eastAsia" w:ascii="仿宋" w:hAnsi="仿宋" w:eastAsia="仿宋" w:cs="仿宋"/>
          <w:szCs w:val="21"/>
        </w:rPr>
        <w:t>上述各项中如有一项为“×”，则结论为“×”，表示该投标文件中存在重大偏差，不能通过符合性审查；评委对某一分项评审认为不合格时，必须要写明原因。</w:t>
      </w:r>
    </w:p>
    <w:p>
      <w:pPr>
        <w:numPr>
          <w:ilvl w:val="1"/>
          <w:numId w:val="9"/>
        </w:numPr>
        <w:spacing w:line="300" w:lineRule="auto"/>
        <w:rPr>
          <w:rFonts w:ascii="仿宋" w:hAnsi="仿宋" w:eastAsia="仿宋" w:cs="仿宋"/>
          <w:szCs w:val="21"/>
        </w:rPr>
      </w:pPr>
      <w:r>
        <w:rPr>
          <w:rFonts w:hint="eastAsia" w:ascii="仿宋" w:hAnsi="仿宋" w:eastAsia="仿宋" w:cs="仿宋"/>
          <w:szCs w:val="21"/>
        </w:rPr>
        <w:t>投标文件最终合格与否，以所有评委的评审意见中少数服从多数为原则定论。</w:t>
      </w:r>
    </w:p>
    <w:p>
      <w:pPr>
        <w:spacing w:line="300" w:lineRule="auto"/>
        <w:rPr>
          <w:rFonts w:ascii="仿宋" w:hAnsi="仿宋" w:eastAsia="仿宋" w:cs="仿宋"/>
          <w:b/>
          <w:bCs/>
          <w:kern w:val="0"/>
          <w:sz w:val="32"/>
          <w:szCs w:val="32"/>
        </w:rPr>
      </w:pPr>
      <w:r>
        <w:rPr>
          <w:rFonts w:hint="eastAsia" w:ascii="仿宋" w:hAnsi="仿宋" w:eastAsia="仿宋" w:cs="仿宋"/>
          <w:sz w:val="24"/>
        </w:rPr>
        <w:t>注：如果投标文件中有一项未通过上述审查标准，评标委员会将认定整个投标文件未响应招标文件而予以废标处理。</w:t>
      </w:r>
      <w:bookmarkStart w:id="1157" w:name="_Hlk60248002"/>
    </w:p>
    <w:p>
      <w:pPr>
        <w:widowControl/>
        <w:spacing w:line="280" w:lineRule="exact"/>
        <w:jc w:val="center"/>
        <w:textAlignment w:val="center"/>
        <w:rPr>
          <w:rFonts w:ascii="仿宋" w:hAnsi="仿宋" w:eastAsia="仿宋" w:cs="仿宋"/>
          <w:b/>
          <w:bCs/>
          <w:iCs/>
          <w:sz w:val="32"/>
          <w:szCs w:val="22"/>
        </w:rPr>
      </w:pPr>
    </w:p>
    <w:p>
      <w:pPr>
        <w:widowControl/>
        <w:spacing w:line="280" w:lineRule="exact"/>
        <w:textAlignment w:val="center"/>
        <w:rPr>
          <w:rFonts w:ascii="仿宋" w:hAnsi="仿宋" w:eastAsia="仿宋" w:cs="仿宋"/>
          <w:b/>
          <w:bCs/>
          <w:iCs/>
          <w:sz w:val="32"/>
          <w:szCs w:val="22"/>
        </w:rPr>
      </w:pPr>
    </w:p>
    <w:p>
      <w:pPr>
        <w:widowControl/>
        <w:spacing w:line="280" w:lineRule="exact"/>
        <w:jc w:val="center"/>
        <w:textAlignment w:val="center"/>
        <w:rPr>
          <w:rFonts w:ascii="仿宋" w:hAnsi="仿宋" w:eastAsia="仿宋" w:cs="仿宋"/>
          <w:b/>
          <w:bCs/>
          <w:iCs/>
          <w:sz w:val="32"/>
          <w:szCs w:val="22"/>
        </w:rPr>
      </w:pPr>
      <w:r>
        <w:rPr>
          <w:rFonts w:hint="eastAsia" w:ascii="仿宋" w:hAnsi="仿宋" w:eastAsia="仿宋" w:cs="仿宋"/>
          <w:b/>
          <w:bCs/>
          <w:iCs/>
          <w:sz w:val="32"/>
          <w:szCs w:val="22"/>
        </w:rPr>
        <w:t>评分表</w:t>
      </w:r>
    </w:p>
    <w:tbl>
      <w:tblPr>
        <w:tblStyle w:val="35"/>
        <w:tblW w:w="8558" w:type="dxa"/>
        <w:tblInd w:w="93" w:type="dxa"/>
        <w:tblLayout w:type="autofit"/>
        <w:tblCellMar>
          <w:top w:w="0" w:type="dxa"/>
          <w:left w:w="108" w:type="dxa"/>
          <w:bottom w:w="0" w:type="dxa"/>
          <w:right w:w="108" w:type="dxa"/>
        </w:tblCellMar>
      </w:tblPr>
      <w:tblGrid>
        <w:gridCol w:w="470"/>
        <w:gridCol w:w="731"/>
        <w:gridCol w:w="685"/>
        <w:gridCol w:w="6140"/>
        <w:gridCol w:w="532"/>
      </w:tblGrid>
      <w:tr>
        <w:tblPrEx>
          <w:tblCellMar>
            <w:top w:w="0" w:type="dxa"/>
            <w:left w:w="108" w:type="dxa"/>
            <w:bottom w:w="0" w:type="dxa"/>
            <w:right w:w="108" w:type="dxa"/>
          </w:tblCellMar>
        </w:tblPrEx>
        <w:trPr>
          <w:trHeight w:val="407" w:hRule="atLeast"/>
        </w:trPr>
        <w:tc>
          <w:tcPr>
            <w:tcW w:w="47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序号</w:t>
            </w:r>
          </w:p>
        </w:tc>
        <w:tc>
          <w:tcPr>
            <w:tcW w:w="731"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b/>
                <w:bCs/>
                <w:color w:val="000000"/>
                <w:sz w:val="20"/>
                <w:szCs w:val="20"/>
              </w:rPr>
            </w:pPr>
          </w:p>
        </w:tc>
        <w:tc>
          <w:tcPr>
            <w:tcW w:w="685"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评审项目</w:t>
            </w:r>
          </w:p>
        </w:tc>
        <w:tc>
          <w:tcPr>
            <w:tcW w:w="6140"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评审标准</w:t>
            </w:r>
          </w:p>
        </w:tc>
        <w:tc>
          <w:tcPr>
            <w:tcW w:w="53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lang w:bidi="ar"/>
              </w:rPr>
              <w:t>分值</w:t>
            </w:r>
          </w:p>
        </w:tc>
      </w:tr>
      <w:tr>
        <w:tblPrEx>
          <w:tblCellMar>
            <w:top w:w="0" w:type="dxa"/>
            <w:left w:w="108" w:type="dxa"/>
            <w:bottom w:w="0" w:type="dxa"/>
            <w:right w:w="108" w:type="dxa"/>
          </w:tblCellMar>
        </w:tblPrEx>
        <w:trPr>
          <w:trHeight w:val="662"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w:t>
            </w:r>
          </w:p>
        </w:tc>
        <w:tc>
          <w:tcPr>
            <w:tcW w:w="73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价格分（30分）</w:t>
            </w:r>
          </w:p>
        </w:tc>
        <w:tc>
          <w:tcPr>
            <w:tcW w:w="68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投标报价</w:t>
            </w:r>
          </w:p>
        </w:tc>
        <w:tc>
          <w:tcPr>
            <w:tcW w:w="614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1.综合评分法中的价格分统一采用低价优先法计算，即满足招标文件要求且投标价格最低的投标报价为基准价，其价格分为满分30分。</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2.其他投标单位的投标报价得分计算公式如下：</w:t>
            </w:r>
            <w:r>
              <w:rPr>
                <w:rFonts w:hint="eastAsia" w:ascii="仿宋" w:hAnsi="仿宋" w:eastAsia="仿宋" w:cs="仿宋"/>
                <w:color w:val="000000"/>
                <w:kern w:val="0"/>
                <w:sz w:val="20"/>
                <w:szCs w:val="20"/>
                <w:lang w:bidi="ar"/>
              </w:rPr>
              <w:br w:type="textWrapping"/>
            </w:r>
            <w:r>
              <w:rPr>
                <w:rFonts w:hint="eastAsia" w:ascii="仿宋" w:hAnsi="仿宋" w:eastAsia="仿宋" w:cs="仿宋"/>
                <w:color w:val="000000"/>
                <w:kern w:val="0"/>
                <w:sz w:val="20"/>
                <w:szCs w:val="20"/>
                <w:lang w:bidi="ar"/>
              </w:rPr>
              <w:t>投标报价得分=（评标基准价／投标报价）×30；小数点后保留两位，四舍五入。</w:t>
            </w:r>
          </w:p>
        </w:tc>
        <w:tc>
          <w:tcPr>
            <w:tcW w:w="53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30分</w:t>
            </w:r>
          </w:p>
        </w:tc>
      </w:tr>
      <w:tr>
        <w:tblPrEx>
          <w:tblCellMar>
            <w:top w:w="0" w:type="dxa"/>
            <w:left w:w="108" w:type="dxa"/>
            <w:bottom w:w="0" w:type="dxa"/>
            <w:right w:w="108" w:type="dxa"/>
          </w:tblCellMar>
        </w:tblPrEx>
        <w:trPr>
          <w:trHeight w:val="66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73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140"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ascii="仿宋" w:hAnsi="仿宋" w:eastAsia="仿宋" w:cs="仿宋"/>
                <w:color w:val="000000"/>
                <w:sz w:val="20"/>
                <w:szCs w:val="20"/>
              </w:rPr>
            </w:pPr>
          </w:p>
        </w:tc>
        <w:tc>
          <w:tcPr>
            <w:tcW w:w="53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r>
      <w:tr>
        <w:tblPrEx>
          <w:tblCellMar>
            <w:top w:w="0" w:type="dxa"/>
            <w:left w:w="108" w:type="dxa"/>
            <w:bottom w:w="0" w:type="dxa"/>
            <w:right w:w="108" w:type="dxa"/>
          </w:tblCellMar>
        </w:tblPrEx>
        <w:trPr>
          <w:trHeight w:val="31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73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140"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ascii="仿宋" w:hAnsi="仿宋" w:eastAsia="仿宋" w:cs="仿宋"/>
                <w:color w:val="000000"/>
                <w:sz w:val="20"/>
                <w:szCs w:val="20"/>
              </w:rPr>
            </w:pPr>
          </w:p>
        </w:tc>
        <w:tc>
          <w:tcPr>
            <w:tcW w:w="53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r>
      <w:tr>
        <w:tblPrEx>
          <w:tblCellMar>
            <w:top w:w="0" w:type="dxa"/>
            <w:left w:w="108" w:type="dxa"/>
            <w:bottom w:w="0" w:type="dxa"/>
            <w:right w:w="108" w:type="dxa"/>
          </w:tblCellMar>
        </w:tblPrEx>
        <w:trPr>
          <w:trHeight w:val="662" w:hRule="atLeast"/>
        </w:trPr>
        <w:tc>
          <w:tcPr>
            <w:tcW w:w="47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w:t>
            </w:r>
          </w:p>
        </w:tc>
        <w:tc>
          <w:tcPr>
            <w:tcW w:w="73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技术分（40分）</w:t>
            </w:r>
          </w:p>
        </w:tc>
        <w:tc>
          <w:tcPr>
            <w:tcW w:w="68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实施方案</w:t>
            </w:r>
          </w:p>
        </w:tc>
        <w:tc>
          <w:tcPr>
            <w:tcW w:w="614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根据投标人实施方案中：</w:t>
            </w:r>
          </w:p>
          <w:p>
            <w:pPr>
              <w:pStyle w:val="85"/>
              <w:widowControl/>
              <w:numPr>
                <w:ilvl w:val="0"/>
                <w:numId w:val="10"/>
              </w:numPr>
              <w:ind w:firstLineChars="0"/>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项目进度计划合理；</w:t>
            </w:r>
          </w:p>
          <w:p>
            <w:pPr>
              <w:pStyle w:val="85"/>
              <w:widowControl/>
              <w:numPr>
                <w:ilvl w:val="0"/>
                <w:numId w:val="10"/>
              </w:numPr>
              <w:ind w:firstLineChars="0"/>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人员配备合理；</w:t>
            </w:r>
          </w:p>
          <w:p>
            <w:pPr>
              <w:pStyle w:val="85"/>
              <w:widowControl/>
              <w:numPr>
                <w:ilvl w:val="0"/>
                <w:numId w:val="10"/>
              </w:numPr>
              <w:ind w:firstLineChars="0"/>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安装机具配备充分度；</w:t>
            </w:r>
          </w:p>
          <w:p>
            <w:pPr>
              <w:pStyle w:val="85"/>
              <w:widowControl/>
              <w:numPr>
                <w:ilvl w:val="0"/>
                <w:numId w:val="10"/>
              </w:numPr>
              <w:ind w:firstLineChars="0"/>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质量管理体系完善；</w:t>
            </w:r>
          </w:p>
          <w:p>
            <w:pPr>
              <w:pStyle w:val="85"/>
              <w:widowControl/>
              <w:numPr>
                <w:ilvl w:val="0"/>
                <w:numId w:val="10"/>
              </w:numPr>
              <w:ind w:firstLineChars="0"/>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安全文明及夜间施工措施可靠性；</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内容完整且切合项目实际的得40分，每缺少一项内容或内容有严重缺陷得扣</w:t>
            </w:r>
            <w:r>
              <w:rPr>
                <w:rFonts w:ascii="仿宋" w:hAnsi="仿宋" w:eastAsia="仿宋" w:cs="仿宋"/>
                <w:color w:val="000000"/>
                <w:kern w:val="0"/>
                <w:sz w:val="20"/>
                <w:szCs w:val="20"/>
                <w:lang w:bidi="ar"/>
              </w:rPr>
              <w:t>8</w:t>
            </w:r>
            <w:r>
              <w:rPr>
                <w:rFonts w:hint="eastAsia" w:ascii="仿宋" w:hAnsi="仿宋" w:eastAsia="仿宋" w:cs="仿宋"/>
                <w:color w:val="000000"/>
                <w:kern w:val="0"/>
                <w:sz w:val="20"/>
                <w:szCs w:val="20"/>
                <w:lang w:bidi="ar"/>
              </w:rPr>
              <w:t>分。</w:t>
            </w:r>
          </w:p>
        </w:tc>
        <w:tc>
          <w:tcPr>
            <w:tcW w:w="53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40分</w:t>
            </w:r>
          </w:p>
        </w:tc>
      </w:tr>
      <w:tr>
        <w:tblPrEx>
          <w:tblCellMar>
            <w:top w:w="0" w:type="dxa"/>
            <w:left w:w="108" w:type="dxa"/>
            <w:bottom w:w="0" w:type="dxa"/>
            <w:right w:w="108" w:type="dxa"/>
          </w:tblCellMar>
        </w:tblPrEx>
        <w:trPr>
          <w:trHeight w:val="66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kern w:val="0"/>
                <w:sz w:val="20"/>
                <w:szCs w:val="20"/>
                <w:lang w:bidi="ar"/>
              </w:rPr>
            </w:pPr>
          </w:p>
        </w:tc>
        <w:tc>
          <w:tcPr>
            <w:tcW w:w="731"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kern w:val="0"/>
                <w:sz w:val="20"/>
                <w:szCs w:val="20"/>
                <w:lang w:bidi="ar"/>
              </w:rPr>
            </w:pPr>
          </w:p>
        </w:tc>
        <w:tc>
          <w:tcPr>
            <w:tcW w:w="685"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kern w:val="0"/>
                <w:sz w:val="20"/>
                <w:szCs w:val="20"/>
                <w:lang w:bidi="ar"/>
              </w:rPr>
            </w:pPr>
          </w:p>
        </w:tc>
        <w:tc>
          <w:tcPr>
            <w:tcW w:w="6140"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仿宋" w:hAnsi="仿宋" w:eastAsia="仿宋" w:cs="仿宋"/>
                <w:color w:val="000000"/>
                <w:kern w:val="0"/>
                <w:sz w:val="20"/>
                <w:szCs w:val="20"/>
                <w:lang w:bidi="ar"/>
              </w:rPr>
            </w:pPr>
          </w:p>
        </w:tc>
        <w:tc>
          <w:tcPr>
            <w:tcW w:w="532" w:type="dxa"/>
            <w:vMerge w:val="continue"/>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kern w:val="0"/>
                <w:sz w:val="20"/>
                <w:szCs w:val="20"/>
                <w:lang w:bidi="ar"/>
              </w:rPr>
            </w:pPr>
          </w:p>
        </w:tc>
      </w:tr>
      <w:tr>
        <w:tblPrEx>
          <w:tblCellMar>
            <w:top w:w="0" w:type="dxa"/>
            <w:left w:w="108" w:type="dxa"/>
            <w:bottom w:w="0" w:type="dxa"/>
            <w:right w:w="108" w:type="dxa"/>
          </w:tblCellMar>
        </w:tblPrEx>
        <w:trPr>
          <w:trHeight w:val="66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73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140"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ascii="仿宋" w:hAnsi="仿宋" w:eastAsia="仿宋" w:cs="仿宋"/>
                <w:color w:val="000000"/>
                <w:sz w:val="20"/>
                <w:szCs w:val="20"/>
              </w:rPr>
            </w:pPr>
          </w:p>
        </w:tc>
        <w:tc>
          <w:tcPr>
            <w:tcW w:w="53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r>
      <w:tr>
        <w:trPr>
          <w:trHeight w:val="729"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73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140"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ascii="仿宋" w:hAnsi="仿宋" w:eastAsia="仿宋" w:cs="仿宋"/>
                <w:color w:val="000000"/>
                <w:sz w:val="20"/>
                <w:szCs w:val="20"/>
              </w:rPr>
            </w:pPr>
          </w:p>
        </w:tc>
        <w:tc>
          <w:tcPr>
            <w:tcW w:w="53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r>
      <w:tr>
        <w:tblPrEx>
          <w:tblCellMar>
            <w:top w:w="0" w:type="dxa"/>
            <w:left w:w="108" w:type="dxa"/>
            <w:bottom w:w="0" w:type="dxa"/>
            <w:right w:w="108" w:type="dxa"/>
          </w:tblCellMar>
        </w:tblPrEx>
        <w:trPr>
          <w:trHeight w:val="312" w:hRule="atLeast"/>
        </w:trPr>
        <w:tc>
          <w:tcPr>
            <w:tcW w:w="47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73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85"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140" w:type="dxa"/>
            <w:vMerge w:val="continue"/>
            <w:tcBorders>
              <w:top w:val="nil"/>
              <w:left w:val="single" w:color="000000" w:sz="8" w:space="0"/>
              <w:bottom w:val="single" w:color="000000" w:sz="8" w:space="0"/>
              <w:right w:val="single" w:color="000000" w:sz="8" w:space="0"/>
            </w:tcBorders>
            <w:shd w:val="clear" w:color="auto" w:fill="auto"/>
            <w:vAlign w:val="center"/>
          </w:tcPr>
          <w:p>
            <w:pPr>
              <w:rPr>
                <w:rFonts w:ascii="仿宋" w:hAnsi="仿宋" w:eastAsia="仿宋" w:cs="仿宋"/>
                <w:color w:val="000000"/>
                <w:sz w:val="20"/>
                <w:szCs w:val="20"/>
              </w:rPr>
            </w:pPr>
          </w:p>
        </w:tc>
        <w:tc>
          <w:tcPr>
            <w:tcW w:w="53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r>
      <w:tr>
        <w:tblPrEx>
          <w:tblCellMar>
            <w:top w:w="0" w:type="dxa"/>
            <w:left w:w="108" w:type="dxa"/>
            <w:bottom w:w="0" w:type="dxa"/>
            <w:right w:w="108" w:type="dxa"/>
          </w:tblCellMar>
        </w:tblPrEx>
        <w:trPr>
          <w:trHeight w:val="662" w:hRule="atLeast"/>
        </w:trPr>
        <w:tc>
          <w:tcPr>
            <w:tcW w:w="470" w:type="dxa"/>
            <w:vMerge w:val="restart"/>
            <w:tcBorders>
              <w:top w:val="nil"/>
              <w:left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3</w:t>
            </w:r>
          </w:p>
          <w:p>
            <w:pPr>
              <w:widowControl/>
              <w:jc w:val="center"/>
              <w:textAlignment w:val="center"/>
              <w:rPr>
                <w:rFonts w:ascii="仿宋" w:hAnsi="仿宋" w:eastAsia="仿宋" w:cs="仿宋"/>
                <w:color w:val="000000"/>
                <w:sz w:val="20"/>
                <w:szCs w:val="20"/>
              </w:rPr>
            </w:pPr>
          </w:p>
        </w:tc>
        <w:tc>
          <w:tcPr>
            <w:tcW w:w="731"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商务分（30分）</w:t>
            </w:r>
          </w:p>
        </w:tc>
        <w:tc>
          <w:tcPr>
            <w:tcW w:w="685"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类似业绩</w:t>
            </w:r>
          </w:p>
        </w:tc>
        <w:tc>
          <w:tcPr>
            <w:tcW w:w="6140" w:type="dxa"/>
            <w:vMerge w:val="restart"/>
            <w:tcBorders>
              <w:top w:val="nil"/>
              <w:left w:val="single" w:color="000000" w:sz="8" w:space="0"/>
              <w:bottom w:val="single" w:color="000000" w:sz="8" w:space="0"/>
              <w:right w:val="single" w:color="000000" w:sz="8" w:space="0"/>
            </w:tcBorders>
            <w:shd w:val="clear" w:color="auto" w:fill="FFFFFF"/>
            <w:vAlign w:val="center"/>
          </w:tcPr>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自2022年1月至今，每提供一个类似业绩2.5分，此项最多10分。</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注：提供中标通知书/成交通知书或合同首页、合同金额页及签字</w:t>
            </w:r>
          </w:p>
          <w:p>
            <w:pPr>
              <w:widowControl/>
              <w:jc w:val="left"/>
              <w:textAlignment w:val="center"/>
              <w:rPr>
                <w:rFonts w:ascii="仿宋" w:hAnsi="仿宋" w:eastAsia="仿宋" w:cs="仿宋"/>
                <w:color w:val="000000"/>
                <w:kern w:val="0"/>
                <w:sz w:val="20"/>
                <w:szCs w:val="20"/>
                <w:lang w:bidi="ar"/>
              </w:rPr>
            </w:pPr>
            <w:r>
              <w:rPr>
                <w:rFonts w:hint="eastAsia" w:ascii="仿宋" w:hAnsi="仿宋" w:eastAsia="仿宋" w:cs="仿宋"/>
                <w:color w:val="000000"/>
                <w:kern w:val="0"/>
                <w:sz w:val="20"/>
                <w:szCs w:val="20"/>
                <w:lang w:bidi="ar"/>
              </w:rPr>
              <w:t>盖章页扫描或复印件,无业绩或资料不全的不得分</w:t>
            </w:r>
          </w:p>
        </w:tc>
        <w:tc>
          <w:tcPr>
            <w:tcW w:w="532"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10分</w:t>
            </w:r>
          </w:p>
        </w:tc>
      </w:tr>
      <w:tr>
        <w:tblPrEx>
          <w:tblCellMar>
            <w:top w:w="0" w:type="dxa"/>
            <w:left w:w="108" w:type="dxa"/>
            <w:bottom w:w="0" w:type="dxa"/>
            <w:right w:w="108" w:type="dxa"/>
          </w:tblCellMar>
        </w:tblPrEx>
        <w:trPr>
          <w:trHeight w:val="230" w:hRule="atLeast"/>
        </w:trPr>
        <w:tc>
          <w:tcPr>
            <w:tcW w:w="470" w:type="dxa"/>
            <w:vMerge w:val="continue"/>
            <w:tcBorders>
              <w:left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p>
        </w:tc>
        <w:tc>
          <w:tcPr>
            <w:tcW w:w="731"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ascii="仿宋" w:hAnsi="仿宋" w:eastAsia="仿宋" w:cs="仿宋"/>
                <w:color w:val="000000"/>
                <w:sz w:val="20"/>
                <w:szCs w:val="20"/>
              </w:rPr>
            </w:pPr>
          </w:p>
        </w:tc>
        <w:tc>
          <w:tcPr>
            <w:tcW w:w="685"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售后服务方案</w:t>
            </w:r>
          </w:p>
        </w:tc>
        <w:tc>
          <w:tcPr>
            <w:tcW w:w="6140" w:type="dxa"/>
            <w:tcBorders>
              <w:top w:val="nil"/>
              <w:left w:val="single" w:color="000000" w:sz="8" w:space="0"/>
              <w:bottom w:val="single" w:color="000000" w:sz="8" w:space="0"/>
              <w:right w:val="single" w:color="000000" w:sz="8" w:space="0"/>
            </w:tcBorders>
            <w:shd w:val="clear" w:color="auto" w:fill="auto"/>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根据本项目采购需求制定售后服务方案，方案内容须包括：1、售后服务场所设立情况。2、应急配送和节假日配送保障。3、响应时间、到场时间。4、人员配置。5、配送流程的可追溯性。6、售后承诺及退换货承诺。提供以上方案且方案内容详实，满足服务得</w:t>
            </w:r>
            <w:r>
              <w:rPr>
                <w:rFonts w:ascii="仿宋" w:hAnsi="仿宋" w:eastAsia="仿宋" w:cs="仿宋"/>
                <w:color w:val="000000"/>
                <w:kern w:val="0"/>
                <w:sz w:val="20"/>
                <w:szCs w:val="20"/>
                <w:lang w:bidi="ar"/>
              </w:rPr>
              <w:t>20</w:t>
            </w:r>
            <w:r>
              <w:rPr>
                <w:rFonts w:hint="eastAsia" w:ascii="仿宋" w:hAnsi="仿宋" w:eastAsia="仿宋" w:cs="仿宋"/>
                <w:color w:val="000000"/>
                <w:kern w:val="0"/>
                <w:sz w:val="20"/>
                <w:szCs w:val="20"/>
                <w:lang w:bidi="ar"/>
              </w:rPr>
              <w:t>分，每缺失一项或不详实，阐述不清晰扣</w:t>
            </w:r>
            <w:r>
              <w:rPr>
                <w:rFonts w:ascii="仿宋" w:hAnsi="仿宋" w:eastAsia="仿宋" w:cs="仿宋"/>
                <w:color w:val="000000"/>
                <w:kern w:val="0"/>
                <w:sz w:val="20"/>
                <w:szCs w:val="20"/>
                <w:lang w:bidi="ar"/>
              </w:rPr>
              <w:t>4</w:t>
            </w:r>
            <w:r>
              <w:rPr>
                <w:rFonts w:hint="eastAsia" w:ascii="仿宋" w:hAnsi="仿宋" w:eastAsia="仿宋" w:cs="仿宋"/>
                <w:color w:val="000000"/>
                <w:kern w:val="0"/>
                <w:sz w:val="20"/>
                <w:szCs w:val="20"/>
                <w:lang w:bidi="ar"/>
              </w:rPr>
              <w:t>分，扣完为止。</w:t>
            </w:r>
          </w:p>
        </w:tc>
        <w:tc>
          <w:tcPr>
            <w:tcW w:w="532" w:type="dxa"/>
            <w:tcBorders>
              <w:top w:val="nil"/>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lang w:bidi="ar"/>
              </w:rPr>
              <w:t>20分</w:t>
            </w:r>
          </w:p>
        </w:tc>
      </w:tr>
    </w:tbl>
    <w:p>
      <w:pPr>
        <w:pStyle w:val="2"/>
        <w:tabs>
          <w:tab w:val="clear" w:pos="567"/>
        </w:tabs>
        <w:spacing w:before="0" w:line="360" w:lineRule="auto"/>
        <w:rPr>
          <w:rFonts w:ascii="仿宋" w:hAnsi="仿宋" w:eastAsia="仿宋" w:cs="仿宋"/>
          <w:iCs/>
        </w:rPr>
      </w:pPr>
    </w:p>
    <w:p>
      <w:pPr>
        <w:pStyle w:val="2"/>
        <w:tabs>
          <w:tab w:val="clear" w:pos="567"/>
        </w:tabs>
        <w:spacing w:before="0" w:line="360" w:lineRule="auto"/>
        <w:ind w:left="-181" w:leftChars="-86" w:firstLine="660" w:firstLineChars="275"/>
        <w:rPr>
          <w:rFonts w:ascii="仿宋" w:hAnsi="仿宋" w:eastAsia="仿宋" w:cs="仿宋"/>
          <w:iCs/>
        </w:rPr>
      </w:pPr>
      <w:r>
        <w:rPr>
          <w:rFonts w:hint="eastAsia" w:ascii="仿宋" w:hAnsi="仿宋" w:eastAsia="仿宋" w:cs="仿宋"/>
          <w:iCs/>
        </w:rPr>
        <w:t>评审完毕，评标委员会根据汇总各投标人的综合得分，按照得分高低进行排序，取前三名作为中标候选人。如果两投标人的得分相同，投标价格低者排在前。</w:t>
      </w:r>
      <w:bookmarkEnd w:id="1157"/>
    </w:p>
    <w:p>
      <w:pPr>
        <w:pStyle w:val="2"/>
        <w:tabs>
          <w:tab w:val="clear" w:pos="567"/>
        </w:tabs>
        <w:spacing w:before="0" w:line="360" w:lineRule="auto"/>
        <w:ind w:left="-181" w:leftChars="-86" w:firstLine="660" w:firstLineChars="275"/>
        <w:rPr>
          <w:rFonts w:ascii="仿宋" w:hAnsi="仿宋" w:eastAsia="仿宋" w:cs="仿宋"/>
          <w:iCs/>
        </w:rPr>
      </w:pPr>
      <w:r>
        <w:rPr>
          <w:rFonts w:hint="eastAsia" w:ascii="仿宋" w:hAnsi="仿宋" w:eastAsia="仿宋" w:cs="仿宋"/>
          <w:iCs/>
        </w:rPr>
        <w:t>本项目参数要求、评审内容如有指向性，仅作为招标参考，投标产品不应低于招标要求，如有不符合要求，视为不响应招标文件规定。</w:t>
      </w:r>
    </w:p>
    <w:p>
      <w:pPr>
        <w:pStyle w:val="2"/>
        <w:tabs>
          <w:tab w:val="clear" w:pos="567"/>
        </w:tabs>
        <w:spacing w:before="0" w:line="360" w:lineRule="auto"/>
        <w:ind w:left="-181" w:leftChars="-86" w:firstLine="660" w:firstLineChars="275"/>
        <w:rPr>
          <w:rFonts w:ascii="仿宋" w:hAnsi="仿宋" w:eastAsia="仿宋" w:cs="仿宋"/>
          <w:iCs/>
        </w:rPr>
      </w:pPr>
      <w:r>
        <w:rPr>
          <w:rFonts w:hint="eastAsia" w:ascii="仿宋" w:hAnsi="仿宋" w:eastAsia="仿宋" w:cs="仿宋"/>
          <w:iCs/>
        </w:rPr>
        <w:t>3.4比较与评价。按招标文件中规定的评标方法和标准，对未作无效投标处理的投标文件进行技术、服务、商务等方面评估，综合比较与评价。</w:t>
      </w:r>
    </w:p>
    <w:p>
      <w:pPr>
        <w:pStyle w:val="2"/>
        <w:tabs>
          <w:tab w:val="clear" w:pos="567"/>
        </w:tabs>
        <w:spacing w:before="0" w:line="360" w:lineRule="auto"/>
        <w:ind w:left="-181" w:leftChars="-86" w:firstLine="660" w:firstLineChars="275"/>
        <w:rPr>
          <w:rFonts w:ascii="仿宋" w:hAnsi="仿宋" w:eastAsia="仿宋" w:cs="仿宋"/>
          <w:iCs/>
        </w:rPr>
      </w:pPr>
      <w:r>
        <w:rPr>
          <w:rFonts w:hint="eastAsia" w:ascii="仿宋" w:hAnsi="仿宋" w:eastAsia="仿宋" w:cs="仿宋"/>
          <w:iCs/>
        </w:rPr>
        <w:t>3.4.1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pPr>
        <w:pStyle w:val="2"/>
        <w:tabs>
          <w:tab w:val="clear" w:pos="567"/>
        </w:tabs>
        <w:spacing w:before="0" w:line="360" w:lineRule="auto"/>
        <w:ind w:left="-181" w:leftChars="-86" w:firstLine="660" w:firstLineChars="275"/>
        <w:rPr>
          <w:rFonts w:ascii="仿宋" w:hAnsi="仿宋" w:eastAsia="仿宋" w:cs="仿宋"/>
          <w:iCs/>
        </w:rPr>
      </w:pPr>
      <w:r>
        <w:rPr>
          <w:rFonts w:hint="eastAsia" w:ascii="仿宋" w:hAnsi="仿宋" w:eastAsia="仿宋" w:cs="仿宋"/>
          <w:iCs/>
        </w:rPr>
        <w:t>3.5复核。评分汇总结束后，评标委员会应当进行复核，特别要对拟推荐为中标候选</w:t>
      </w:r>
      <w:r>
        <w:rPr>
          <w:rFonts w:hint="eastAsia" w:ascii="仿宋" w:hAnsi="仿宋" w:eastAsia="仿宋" w:cs="仿宋"/>
          <w:iCs/>
          <w:lang w:eastAsia="zh-CN"/>
        </w:rPr>
        <w:t>人</w:t>
      </w:r>
      <w:r>
        <w:rPr>
          <w:rFonts w:hint="eastAsia" w:ascii="仿宋" w:hAnsi="仿宋" w:eastAsia="仿宋" w:cs="仿宋"/>
          <w:iCs/>
        </w:rPr>
        <w:t>的、报价最低的、投标文件被认定为无效的进行重点复核。</w:t>
      </w:r>
    </w:p>
    <w:p>
      <w:pPr>
        <w:pStyle w:val="2"/>
        <w:tabs>
          <w:tab w:val="clear" w:pos="567"/>
        </w:tabs>
        <w:spacing w:before="0" w:line="360" w:lineRule="auto"/>
        <w:ind w:left="-181" w:leftChars="-86" w:firstLine="660" w:firstLineChars="275"/>
        <w:rPr>
          <w:rFonts w:ascii="仿宋" w:hAnsi="仿宋" w:eastAsia="仿宋" w:cs="仿宋"/>
          <w:iCs/>
        </w:rPr>
      </w:pPr>
      <w:r>
        <w:rPr>
          <w:rFonts w:hint="eastAsia" w:ascii="仿宋" w:hAnsi="仿宋" w:eastAsia="仿宋" w:cs="仿宋"/>
          <w:iCs/>
        </w:rPr>
        <w:t>3.6推荐中标候选</w:t>
      </w:r>
      <w:r>
        <w:rPr>
          <w:rFonts w:hint="eastAsia" w:ascii="仿宋" w:hAnsi="仿宋" w:eastAsia="仿宋" w:cs="仿宋"/>
          <w:iCs/>
          <w:lang w:eastAsia="zh-CN"/>
        </w:rPr>
        <w:t>人</w:t>
      </w:r>
      <w:r>
        <w:rPr>
          <w:rFonts w:hint="eastAsia" w:ascii="仿宋" w:hAnsi="仿宋" w:eastAsia="仿宋" w:cs="仿宋"/>
          <w:iCs/>
        </w:rPr>
        <w:t>。中标候选</w:t>
      </w:r>
      <w:r>
        <w:rPr>
          <w:rFonts w:hint="eastAsia" w:ascii="仿宋" w:hAnsi="仿宋" w:eastAsia="仿宋" w:cs="仿宋"/>
          <w:iCs/>
          <w:lang w:eastAsia="zh-CN"/>
        </w:rPr>
        <w:t>人</w:t>
      </w:r>
      <w:r>
        <w:rPr>
          <w:rFonts w:hint="eastAsia" w:ascii="仿宋" w:hAnsi="仿宋" w:eastAsia="仿宋" w:cs="仿宋"/>
          <w:iCs/>
        </w:rPr>
        <w:t>应当排序。</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3.7出具评标报告。评标委员会推荐中标候选</w:t>
      </w:r>
      <w:r>
        <w:rPr>
          <w:rFonts w:hint="eastAsia" w:ascii="仿宋" w:hAnsi="仿宋" w:eastAsia="仿宋" w:cs="仿宋"/>
          <w:iCs/>
          <w:kern w:val="2"/>
          <w:szCs w:val="24"/>
          <w:lang w:eastAsia="zh-CN"/>
        </w:rPr>
        <w:t>人</w:t>
      </w:r>
      <w:r>
        <w:rPr>
          <w:rFonts w:hint="eastAsia" w:ascii="仿宋" w:hAnsi="仿宋" w:eastAsia="仿宋" w:cs="仿宋"/>
          <w:iCs/>
          <w:kern w:val="2"/>
          <w:szCs w:val="24"/>
        </w:rPr>
        <w:t>后，应当向招标采购单位出具评标报告。评标报告应当包括下列内容：</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（一）招标公告刊登的媒体名称、开标日期和地点；</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（二）评标委员会成员名单；</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（三）评标方法和标准；</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（四）开标记录和评标情况及说明，包括无效投标人名单及原因；</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（五）评标结果，确定的中标候选人名单或者经采购人委托直接确定的中标人；</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（六）其他需要说明的情况，包括评标过程中投标人根据评标委员会要求进行的澄清、说明或者补正，评标委员会成员的更换等。</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3.8评标争议处理规则。评标委员会在评审过程中，对于符合性审查、对</w:t>
      </w:r>
      <w:r>
        <w:rPr>
          <w:rFonts w:hint="eastAsia" w:ascii="仿宋" w:hAnsi="仿宋" w:eastAsia="仿宋" w:cs="仿宋"/>
          <w:iCs/>
          <w:kern w:val="2"/>
          <w:szCs w:val="24"/>
          <w:lang w:eastAsia="zh-CN"/>
        </w:rPr>
        <w:t>投标人</w:t>
      </w:r>
      <w:r>
        <w:rPr>
          <w:rFonts w:hint="eastAsia" w:ascii="仿宋" w:hAnsi="仿宋" w:eastAsia="仿宋" w:cs="仿宋"/>
          <w:iCs/>
          <w:kern w:val="2"/>
          <w:szCs w:val="24"/>
        </w:rPr>
        <w:t>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3.9</w:t>
      </w:r>
      <w:r>
        <w:rPr>
          <w:rFonts w:hint="eastAsia" w:ascii="仿宋" w:hAnsi="仿宋" w:eastAsia="仿宋" w:cs="仿宋"/>
          <w:iCs/>
          <w:kern w:val="2"/>
          <w:szCs w:val="24"/>
          <w:lang w:eastAsia="zh-CN"/>
        </w:rPr>
        <w:t>投标人</w:t>
      </w:r>
      <w:r>
        <w:rPr>
          <w:rFonts w:hint="eastAsia" w:ascii="仿宋" w:hAnsi="仿宋" w:eastAsia="仿宋" w:cs="仿宋"/>
          <w:iCs/>
          <w:kern w:val="2"/>
          <w:szCs w:val="24"/>
        </w:rPr>
        <w:t>应当书面澄清、说明或者更正。</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3.9.1在评标过程中，评标委员会对投标文件中含义不明确、同类问题表述不一致或者有明显文字和计算错误的内容，应当以书面形式（须由评标委员会全体成员签字）要求</w:t>
      </w:r>
      <w:r>
        <w:rPr>
          <w:rFonts w:hint="eastAsia" w:ascii="仿宋" w:hAnsi="仿宋" w:eastAsia="仿宋" w:cs="仿宋"/>
          <w:iCs/>
          <w:kern w:val="2"/>
          <w:szCs w:val="24"/>
          <w:lang w:eastAsia="zh-CN"/>
        </w:rPr>
        <w:t>投标人</w:t>
      </w:r>
      <w:r>
        <w:rPr>
          <w:rFonts w:hint="eastAsia" w:ascii="仿宋" w:hAnsi="仿宋" w:eastAsia="仿宋" w:cs="仿宋"/>
          <w:iCs/>
          <w:kern w:val="2"/>
          <w:szCs w:val="24"/>
        </w:rPr>
        <w:t>作出必要的书面澄清、说明或者更正，并给予</w:t>
      </w:r>
      <w:r>
        <w:rPr>
          <w:rFonts w:hint="eastAsia" w:ascii="仿宋" w:hAnsi="仿宋" w:eastAsia="仿宋" w:cs="仿宋"/>
          <w:iCs/>
          <w:kern w:val="2"/>
          <w:szCs w:val="24"/>
          <w:lang w:eastAsia="zh-CN"/>
        </w:rPr>
        <w:t>投标人</w:t>
      </w:r>
      <w:r>
        <w:rPr>
          <w:rFonts w:hint="eastAsia" w:ascii="仿宋" w:hAnsi="仿宋" w:eastAsia="仿宋" w:cs="仿宋"/>
          <w:iCs/>
          <w:kern w:val="2"/>
          <w:szCs w:val="24"/>
        </w:rPr>
        <w:t>必要的反馈时间。</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3.9.2</w:t>
      </w:r>
      <w:r>
        <w:rPr>
          <w:rFonts w:hint="eastAsia" w:ascii="仿宋" w:hAnsi="仿宋" w:eastAsia="仿宋" w:cs="仿宋"/>
          <w:iCs/>
          <w:kern w:val="2"/>
          <w:szCs w:val="24"/>
          <w:lang w:eastAsia="zh-CN"/>
        </w:rPr>
        <w:t>投标人</w:t>
      </w:r>
      <w:r>
        <w:rPr>
          <w:rFonts w:hint="eastAsia" w:ascii="仿宋" w:hAnsi="仿宋" w:eastAsia="仿宋" w:cs="仿宋"/>
          <w:iCs/>
          <w:kern w:val="2"/>
          <w:szCs w:val="24"/>
        </w:rPr>
        <w:t>应当书面澄清、说明或者更正，并加盖公章或签字确认（</w:t>
      </w:r>
      <w:r>
        <w:rPr>
          <w:rFonts w:hint="eastAsia" w:ascii="仿宋" w:hAnsi="仿宋" w:eastAsia="仿宋" w:cs="仿宋"/>
          <w:iCs/>
          <w:kern w:val="2"/>
          <w:szCs w:val="24"/>
          <w:lang w:eastAsia="zh-CN"/>
        </w:rPr>
        <w:t>投标人</w:t>
      </w:r>
      <w:r>
        <w:rPr>
          <w:rFonts w:hint="eastAsia" w:ascii="仿宋" w:hAnsi="仿宋" w:eastAsia="仿宋" w:cs="仿宋"/>
          <w:iCs/>
          <w:kern w:val="2"/>
          <w:szCs w:val="24"/>
        </w:rPr>
        <w:t>为法人的，应当由其法定代表人或者代理人签字确认；</w:t>
      </w:r>
      <w:r>
        <w:rPr>
          <w:rFonts w:hint="eastAsia" w:ascii="仿宋" w:hAnsi="仿宋" w:eastAsia="仿宋" w:cs="仿宋"/>
          <w:iCs/>
          <w:kern w:val="2"/>
          <w:szCs w:val="24"/>
          <w:lang w:eastAsia="zh-CN"/>
        </w:rPr>
        <w:t>投标人</w:t>
      </w:r>
      <w:r>
        <w:rPr>
          <w:rFonts w:hint="eastAsia" w:ascii="仿宋" w:hAnsi="仿宋" w:eastAsia="仿宋" w:cs="仿宋"/>
          <w:iCs/>
          <w:kern w:val="2"/>
          <w:szCs w:val="24"/>
        </w:rPr>
        <w:t>为其他组织的，应当由其主要负责人或者代理人签字确认；</w:t>
      </w:r>
      <w:r>
        <w:rPr>
          <w:rFonts w:hint="eastAsia" w:ascii="仿宋" w:hAnsi="仿宋" w:eastAsia="仿宋" w:cs="仿宋"/>
          <w:iCs/>
          <w:kern w:val="2"/>
          <w:szCs w:val="24"/>
          <w:lang w:eastAsia="zh-CN"/>
        </w:rPr>
        <w:t>投标人</w:t>
      </w:r>
      <w:r>
        <w:rPr>
          <w:rFonts w:hint="eastAsia" w:ascii="仿宋" w:hAnsi="仿宋" w:eastAsia="仿宋" w:cs="仿宋"/>
          <w:iCs/>
          <w:kern w:val="2"/>
          <w:szCs w:val="24"/>
        </w:rPr>
        <w:t>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3.9.3评标委员会要求</w:t>
      </w:r>
      <w:r>
        <w:rPr>
          <w:rFonts w:hint="eastAsia" w:ascii="仿宋" w:hAnsi="仿宋" w:eastAsia="仿宋" w:cs="仿宋"/>
          <w:iCs/>
          <w:kern w:val="2"/>
          <w:szCs w:val="24"/>
          <w:lang w:eastAsia="zh-CN"/>
        </w:rPr>
        <w:t>投标人</w:t>
      </w:r>
      <w:r>
        <w:rPr>
          <w:rFonts w:hint="eastAsia" w:ascii="仿宋" w:hAnsi="仿宋" w:eastAsia="仿宋" w:cs="仿宋"/>
          <w:iCs/>
          <w:kern w:val="2"/>
          <w:szCs w:val="24"/>
        </w:rPr>
        <w:t>澄清、说明或者更正，不得超出招标文件的范围，不得以此让</w:t>
      </w:r>
      <w:r>
        <w:rPr>
          <w:rFonts w:hint="eastAsia" w:ascii="仿宋" w:hAnsi="仿宋" w:eastAsia="仿宋" w:cs="仿宋"/>
          <w:iCs/>
          <w:kern w:val="2"/>
          <w:szCs w:val="24"/>
          <w:lang w:eastAsia="zh-CN"/>
        </w:rPr>
        <w:t>投标人</w:t>
      </w:r>
      <w:r>
        <w:rPr>
          <w:rFonts w:hint="eastAsia" w:ascii="仿宋" w:hAnsi="仿宋" w:eastAsia="仿宋" w:cs="仿宋"/>
          <w:iCs/>
          <w:kern w:val="2"/>
          <w:szCs w:val="24"/>
        </w:rPr>
        <w:t>实质改变投标文件的内容，不得影响</w:t>
      </w:r>
      <w:r>
        <w:rPr>
          <w:rFonts w:hint="eastAsia" w:ascii="仿宋" w:hAnsi="仿宋" w:eastAsia="仿宋" w:cs="仿宋"/>
          <w:iCs/>
          <w:kern w:val="2"/>
          <w:szCs w:val="24"/>
          <w:lang w:eastAsia="zh-CN"/>
        </w:rPr>
        <w:t>投标人</w:t>
      </w:r>
      <w:r>
        <w:rPr>
          <w:rFonts w:hint="eastAsia" w:ascii="仿宋" w:hAnsi="仿宋" w:eastAsia="仿宋" w:cs="仿宋"/>
          <w:iCs/>
          <w:kern w:val="2"/>
          <w:szCs w:val="24"/>
        </w:rPr>
        <w:t>公平竞争。</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3.10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lang w:eastAsia="zh-CN"/>
        </w:rPr>
        <w:t>投标人</w:t>
      </w:r>
      <w:r>
        <w:rPr>
          <w:rFonts w:hint="eastAsia" w:ascii="仿宋" w:hAnsi="仿宋" w:eastAsia="仿宋" w:cs="仿宋"/>
          <w:iCs/>
          <w:kern w:val="2"/>
          <w:szCs w:val="24"/>
        </w:rPr>
        <w:t>书面说明应当签字确认或者加盖公章，否则无效。书面说明的签字确认，</w:t>
      </w:r>
      <w:r>
        <w:rPr>
          <w:rFonts w:hint="eastAsia" w:ascii="仿宋" w:hAnsi="仿宋" w:eastAsia="仿宋" w:cs="仿宋"/>
          <w:iCs/>
          <w:kern w:val="2"/>
          <w:szCs w:val="24"/>
          <w:lang w:eastAsia="zh-CN"/>
        </w:rPr>
        <w:t>投标人</w:t>
      </w:r>
      <w:r>
        <w:rPr>
          <w:rFonts w:hint="eastAsia" w:ascii="仿宋" w:hAnsi="仿宋" w:eastAsia="仿宋" w:cs="仿宋"/>
          <w:iCs/>
          <w:kern w:val="2"/>
          <w:szCs w:val="24"/>
        </w:rPr>
        <w:t>为法人的，由其法定代表人或者代理人签字确认；</w:t>
      </w:r>
      <w:r>
        <w:rPr>
          <w:rFonts w:hint="eastAsia" w:ascii="仿宋" w:hAnsi="仿宋" w:eastAsia="仿宋" w:cs="仿宋"/>
          <w:iCs/>
          <w:kern w:val="2"/>
          <w:szCs w:val="24"/>
          <w:lang w:eastAsia="zh-CN"/>
        </w:rPr>
        <w:t>投标人</w:t>
      </w:r>
      <w:r>
        <w:rPr>
          <w:rFonts w:hint="eastAsia" w:ascii="仿宋" w:hAnsi="仿宋" w:eastAsia="仿宋" w:cs="仿宋"/>
          <w:iCs/>
          <w:kern w:val="2"/>
          <w:szCs w:val="24"/>
        </w:rPr>
        <w:t>为其他组织的，由其主要负责人或者代理人签字确认；</w:t>
      </w:r>
      <w:r>
        <w:rPr>
          <w:rFonts w:hint="eastAsia" w:ascii="仿宋" w:hAnsi="仿宋" w:eastAsia="仿宋" w:cs="仿宋"/>
          <w:iCs/>
          <w:kern w:val="2"/>
          <w:szCs w:val="24"/>
          <w:lang w:eastAsia="zh-CN"/>
        </w:rPr>
        <w:t>投标人</w:t>
      </w:r>
      <w:r>
        <w:rPr>
          <w:rFonts w:hint="eastAsia" w:ascii="仿宋" w:hAnsi="仿宋" w:eastAsia="仿宋" w:cs="仿宋"/>
          <w:iCs/>
          <w:kern w:val="2"/>
          <w:szCs w:val="24"/>
        </w:rPr>
        <w:t>为自然人的，由其本人或者代理人签字确认。</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3.11 招标采购单位现场复核评标结果。</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3.11.1评标结果汇总完成后，评标委员会拟出具评标报告前，招标采购单位应当组织本单位工作人员，在采购现场监督人员的监督之下，依据有关的法律制度和采购文件对评标结果进行复核，提出复核意见。</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widowControl/>
        <w:spacing w:line="360" w:lineRule="auto"/>
        <w:ind w:firstLine="480" w:firstLineChars="200"/>
        <w:textAlignment w:val="baseline"/>
        <w:rPr>
          <w:rFonts w:ascii="仿宋" w:hAnsi="仿宋" w:eastAsia="仿宋" w:cs="仿宋"/>
          <w:iCs/>
          <w:sz w:val="24"/>
        </w:rPr>
      </w:pPr>
      <w:r>
        <w:rPr>
          <w:rFonts w:hint="eastAsia" w:ascii="仿宋" w:hAnsi="仿宋" w:eastAsia="仿宋" w:cs="仿宋"/>
          <w:iCs/>
          <w:sz w:val="24"/>
        </w:rPr>
        <w:t xml:space="preserve">4、落实中小企业政策 </w:t>
      </w:r>
    </w:p>
    <w:p>
      <w:pPr>
        <w:widowControl/>
        <w:spacing w:line="360" w:lineRule="auto"/>
        <w:ind w:firstLine="480" w:firstLineChars="200"/>
        <w:textAlignment w:val="baseline"/>
        <w:rPr>
          <w:rFonts w:ascii="仿宋" w:hAnsi="仿宋" w:eastAsia="仿宋" w:cs="仿宋"/>
          <w:iCs/>
          <w:sz w:val="24"/>
        </w:rPr>
      </w:pPr>
      <w:r>
        <w:rPr>
          <w:rFonts w:hint="eastAsia" w:ascii="仿宋" w:hAnsi="仿宋" w:eastAsia="仿宋" w:cs="仿宋"/>
          <w:iCs/>
          <w:sz w:val="24"/>
        </w:rPr>
        <w:t>4.1 本项目专门面向中小企业采购，潜在投标人提供的货物由中小企业制造的，请在投标文件中提供“中小企业声明函”，如果未提供或提供虚假的“中小企业声明函”，投标人将承担由此造成的一切不利后果。</w:t>
      </w:r>
    </w:p>
    <w:p>
      <w:pPr>
        <w:widowControl/>
        <w:spacing w:line="360" w:lineRule="auto"/>
        <w:ind w:firstLine="480" w:firstLineChars="200"/>
        <w:textAlignment w:val="baseline"/>
        <w:rPr>
          <w:rFonts w:ascii="仿宋" w:hAnsi="仿宋" w:eastAsia="仿宋" w:cs="仿宋"/>
          <w:iCs/>
          <w:sz w:val="24"/>
        </w:rPr>
      </w:pPr>
      <w:r>
        <w:rPr>
          <w:rFonts w:hint="eastAsia" w:ascii="仿宋" w:hAnsi="仿宋" w:eastAsia="仿宋" w:cs="仿宋"/>
          <w:iCs/>
          <w:sz w:val="24"/>
        </w:rPr>
        <w:t xml:space="preserve">4.2  根据《政府采购促进中小企业发展管理办法》（财库〔2020〕46 号）、 《财政部 司法部关于政府采购支持监狱企业发展有关问题的通知》（财库 〔2014〕68 号）和《三部门联合发布关于促进残疾人就业政府采购政策的通知》 （财库〔2017〕141 号）的规定，对满足价格扣除条件且在投标文件中提交了《投标人企业类型声明函》、《残疾人福利性单位声明函》或省级以上监狱管理局、戒毒管理局（含新疆生产建设兵团）出具的属于监狱企业的证明文件的投标人，其投标报价扣除 10 %后参与评审。对于同时属于小微企业、监狱企业或残疾人福利性单位的，不重复进行投标报价扣除。 </w:t>
      </w:r>
    </w:p>
    <w:p>
      <w:pPr>
        <w:widowControl/>
        <w:spacing w:line="360" w:lineRule="auto"/>
        <w:ind w:firstLine="480" w:firstLineChars="200"/>
        <w:textAlignment w:val="baseline"/>
        <w:rPr>
          <w:rFonts w:ascii="仿宋" w:hAnsi="仿宋" w:eastAsia="仿宋" w:cs="仿宋"/>
          <w:iCs/>
          <w:sz w:val="24"/>
        </w:rPr>
      </w:pPr>
      <w:r>
        <w:rPr>
          <w:rFonts w:hint="eastAsia" w:ascii="仿宋" w:hAnsi="仿宋" w:eastAsia="仿宋" w:cs="仿宋"/>
          <w:iCs/>
          <w:sz w:val="24"/>
        </w:rPr>
        <w:t>4.3 （本项目不接受联合体投标）联合协议中约定，小型、微型企业和监狱企业的协议合同金额占到联合体协议合同总金额 30%以上的，可给予联合体 4 %的价格扣除。 联合体各方均为小型、微型企业和监狱企业的，联合体视同为小型、微型企业和监狱企业。</w:t>
      </w:r>
    </w:p>
    <w:p>
      <w:pPr>
        <w:widowControl/>
        <w:spacing w:line="360" w:lineRule="auto"/>
        <w:ind w:firstLine="480" w:firstLineChars="200"/>
        <w:textAlignment w:val="baseline"/>
        <w:rPr>
          <w:rFonts w:hint="eastAsia" w:ascii="仿宋" w:hAnsi="仿宋" w:eastAsia="仿宋" w:cs="仿宋"/>
          <w:iCs/>
          <w:sz w:val="24"/>
        </w:rPr>
      </w:pPr>
      <w:r>
        <w:rPr>
          <w:rFonts w:hint="eastAsia" w:ascii="仿宋" w:hAnsi="仿宋" w:eastAsia="仿宋" w:cs="仿宋"/>
          <w:iCs/>
          <w:sz w:val="24"/>
        </w:rPr>
        <w:t>4.4、投标人所投产品如被列入财政部与国家主管部门颁发的节能产品目录《</w:t>
      </w:r>
      <w:r>
        <w:fldChar w:fldCharType="begin"/>
      </w:r>
      <w:r>
        <w:instrText xml:space="preserve"> HYPERLINK "http://www.ccgp.gov.cn/zcfg/mof/201904/t20190403_11849836.htm" \t "http://www.ccgp.gov.cn/jnhb/jnhbqd/_blank" \o "关于印发节能产品政府采购品目清单的通知（财库〔2019〕19号）" </w:instrText>
      </w:r>
      <w:r>
        <w:fldChar w:fldCharType="separate"/>
      </w:r>
      <w:r>
        <w:rPr>
          <w:rFonts w:hint="eastAsia" w:ascii="仿宋" w:hAnsi="仿宋" w:eastAsia="仿宋" w:cs="仿宋"/>
          <w:iCs/>
          <w:sz w:val="24"/>
        </w:rPr>
        <w:t>关于印发节能产品政府采购品目清单的通知</w:t>
      </w:r>
      <w:r>
        <w:rPr>
          <w:rFonts w:hint="eastAsia" w:ascii="仿宋" w:hAnsi="仿宋" w:eastAsia="仿宋" w:cs="仿宋"/>
          <w:iCs/>
          <w:sz w:val="24"/>
        </w:rPr>
        <w:fldChar w:fldCharType="end"/>
      </w:r>
      <w:r>
        <w:rPr>
          <w:rFonts w:hint="eastAsia" w:ascii="仿宋" w:hAnsi="仿宋" w:eastAsia="仿宋" w:cs="仿宋"/>
          <w:iCs/>
          <w:sz w:val="24"/>
        </w:rPr>
        <w:t>》（财库〔2019〕19号）、环境标志产品目录《</w:t>
      </w:r>
      <w:r>
        <w:fldChar w:fldCharType="begin"/>
      </w:r>
      <w:r>
        <w:instrText xml:space="preserve"> HYPERLINK "http://www.ccgp.gov.cn/zcfg/mof/201903/t20190330_11833800.htm" \t "http://www.ccgp.gov.cn/jnhb/jnhbqd/_blank" \o "关于印发环境标志产品政府采购品目清单的通知（财库〔2019〕18号）" </w:instrText>
      </w:r>
      <w:r>
        <w:fldChar w:fldCharType="separate"/>
      </w:r>
      <w:r>
        <w:rPr>
          <w:rFonts w:hint="eastAsia" w:ascii="仿宋" w:hAnsi="仿宋" w:eastAsia="仿宋" w:cs="仿宋"/>
          <w:iCs/>
          <w:sz w:val="24"/>
        </w:rPr>
        <w:t>关于印发环境标志产品政府采购品目清单的通知</w:t>
      </w:r>
      <w:r>
        <w:rPr>
          <w:rFonts w:hint="eastAsia" w:ascii="仿宋" w:hAnsi="仿宋" w:eastAsia="仿宋" w:cs="仿宋"/>
          <w:iCs/>
          <w:sz w:val="24"/>
        </w:rPr>
        <w:fldChar w:fldCharType="end"/>
      </w:r>
      <w:r>
        <w:rPr>
          <w:rFonts w:hint="eastAsia" w:ascii="仿宋" w:hAnsi="仿宋" w:eastAsia="仿宋" w:cs="仿宋"/>
          <w:iCs/>
          <w:sz w:val="24"/>
        </w:rPr>
        <w:t>》（财库〔2019〕18号）（须提供节能、环保认证证书复印件加盖公章，未提供的不予以认可），无线局域网产品目录应提供相关证明，在评标时给予2</w:t>
      </w:r>
      <w:r>
        <w:rPr>
          <w:rFonts w:ascii="仿宋" w:hAnsi="仿宋" w:eastAsia="仿宋" w:cs="仿宋"/>
          <w:iCs/>
          <w:sz w:val="24"/>
        </w:rPr>
        <w:t>%</w:t>
      </w:r>
      <w:r>
        <w:rPr>
          <w:rFonts w:hint="eastAsia" w:ascii="仿宋" w:hAnsi="仿宋" w:eastAsia="仿宋" w:cs="仿宋"/>
          <w:iCs/>
          <w:sz w:val="24"/>
        </w:rPr>
        <w:t>的价格扣除。</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rPr>
        <w:t>4.5、</w:t>
      </w:r>
      <w:r>
        <w:rPr>
          <w:rFonts w:hint="eastAsia" w:ascii="仿宋" w:hAnsi="仿宋" w:eastAsia="仿宋" w:cs="仿宋"/>
          <w:iCs/>
          <w:kern w:val="2"/>
          <w:szCs w:val="24"/>
        </w:rPr>
        <w:t>如采购人所采购产品为政府强制采购的节能产品，投标人所投产品的品牌及型号必须为清单中有效期内产品并提供证明文件，否则其投标将被认定为投标无效。</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5、 废 标</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废标后，采购代理机构应在网上公告。投标人需要知晓导致废标情形的具体原因和理由的，可以通过书面形式询问招标采购单位。</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对于评标过程中废标的采购项目，评标委员会应当对招标文件是否存在倾向性和歧视性、是否存在不合理条款进行论证，并出具书面论证意见。</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6、定标</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6.1. 定标原则：由采购人根据评标委员会的推荐意见确定</w:t>
      </w:r>
      <w:r>
        <w:rPr>
          <w:rFonts w:hint="eastAsia" w:ascii="仿宋" w:hAnsi="仿宋" w:eastAsia="仿宋" w:cs="仿宋"/>
          <w:iCs/>
          <w:kern w:val="2"/>
          <w:szCs w:val="24"/>
          <w:lang w:eastAsia="zh-CN"/>
        </w:rPr>
        <w:t>中标人</w:t>
      </w:r>
      <w:r>
        <w:rPr>
          <w:rFonts w:hint="eastAsia" w:ascii="仿宋" w:hAnsi="仿宋" w:eastAsia="仿宋" w:cs="仿宋"/>
          <w:iCs/>
          <w:kern w:val="2"/>
          <w:szCs w:val="24"/>
        </w:rPr>
        <w:t>。</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6.2. 定标程序</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6.2.1 评标委员会将评标情况写出书面报告，推荐中标候选</w:t>
      </w:r>
      <w:r>
        <w:rPr>
          <w:rFonts w:hint="eastAsia" w:ascii="仿宋" w:hAnsi="仿宋" w:eastAsia="仿宋" w:cs="仿宋"/>
          <w:iCs/>
          <w:kern w:val="2"/>
          <w:szCs w:val="24"/>
          <w:lang w:eastAsia="zh-CN"/>
        </w:rPr>
        <w:t>人</w:t>
      </w:r>
      <w:r>
        <w:rPr>
          <w:rFonts w:hint="eastAsia" w:ascii="仿宋" w:hAnsi="仿宋" w:eastAsia="仿宋" w:cs="仿宋"/>
          <w:iCs/>
          <w:kern w:val="2"/>
          <w:szCs w:val="24"/>
        </w:rPr>
        <w:t>。</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6.2.2 采购代理机构在评标结束后2个工作日内将评标报告送采购人。</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6.2.3 采购人在收到评标报告后5个工作日内，按照评标报告中推荐的中标候选</w:t>
      </w:r>
      <w:r>
        <w:rPr>
          <w:rFonts w:hint="eastAsia" w:ascii="仿宋" w:hAnsi="仿宋" w:eastAsia="仿宋" w:cs="仿宋"/>
          <w:iCs/>
          <w:kern w:val="2"/>
          <w:szCs w:val="24"/>
          <w:lang w:eastAsia="zh-CN"/>
        </w:rPr>
        <w:t>人</w:t>
      </w:r>
      <w:r>
        <w:rPr>
          <w:rFonts w:hint="eastAsia" w:ascii="仿宋" w:hAnsi="仿宋" w:eastAsia="仿宋" w:cs="仿宋"/>
          <w:iCs/>
          <w:kern w:val="2"/>
          <w:szCs w:val="24"/>
        </w:rPr>
        <w:t>顺序确定</w:t>
      </w:r>
      <w:r>
        <w:rPr>
          <w:rFonts w:hint="eastAsia" w:ascii="仿宋" w:hAnsi="仿宋" w:eastAsia="仿宋" w:cs="仿宋"/>
          <w:iCs/>
          <w:kern w:val="2"/>
          <w:szCs w:val="24"/>
          <w:lang w:eastAsia="zh-CN"/>
        </w:rPr>
        <w:t>中标人</w:t>
      </w:r>
      <w:r>
        <w:rPr>
          <w:rFonts w:hint="eastAsia" w:ascii="仿宋" w:hAnsi="仿宋" w:eastAsia="仿宋" w:cs="仿宋"/>
          <w:iCs/>
          <w:kern w:val="2"/>
          <w:szCs w:val="24"/>
        </w:rPr>
        <w:t>。采用综合评分法的，评标结果按投标报价由低到高顺序排列；投标报价相同的并列，投标文件满足招标文件全部实质性要求且投标报价最低的</w:t>
      </w:r>
      <w:r>
        <w:rPr>
          <w:rFonts w:hint="eastAsia" w:ascii="仿宋" w:hAnsi="仿宋" w:eastAsia="仿宋" w:cs="仿宋"/>
          <w:iCs/>
          <w:kern w:val="2"/>
          <w:szCs w:val="24"/>
          <w:lang w:eastAsia="zh-CN"/>
        </w:rPr>
        <w:t>投标人</w:t>
      </w:r>
      <w:r>
        <w:rPr>
          <w:rFonts w:hint="eastAsia" w:ascii="仿宋" w:hAnsi="仿宋" w:eastAsia="仿宋" w:cs="仿宋"/>
          <w:iCs/>
          <w:kern w:val="2"/>
          <w:szCs w:val="24"/>
        </w:rPr>
        <w:t>为中标候选</w:t>
      </w:r>
      <w:r>
        <w:rPr>
          <w:rFonts w:hint="eastAsia" w:ascii="仿宋" w:hAnsi="仿宋" w:eastAsia="仿宋" w:cs="仿宋"/>
          <w:iCs/>
          <w:kern w:val="2"/>
          <w:szCs w:val="24"/>
          <w:lang w:eastAsia="zh-CN"/>
        </w:rPr>
        <w:t>人</w:t>
      </w:r>
      <w:bookmarkStart w:id="1329" w:name="_GoBack"/>
      <w:bookmarkEnd w:id="1329"/>
      <w:r>
        <w:rPr>
          <w:rFonts w:hint="eastAsia" w:ascii="仿宋" w:hAnsi="仿宋" w:eastAsia="仿宋" w:cs="仿宋"/>
          <w:iCs/>
          <w:kern w:val="2"/>
          <w:szCs w:val="24"/>
        </w:rPr>
        <w:t>；报价相同且满足招标文件全部实质性要求的并列，由采购人自主采取公平、择优的方式选择</w:t>
      </w:r>
      <w:r>
        <w:rPr>
          <w:rFonts w:hint="eastAsia" w:ascii="仿宋" w:hAnsi="仿宋" w:eastAsia="仿宋" w:cs="仿宋"/>
          <w:iCs/>
          <w:kern w:val="2"/>
          <w:szCs w:val="24"/>
          <w:lang w:eastAsia="zh-CN"/>
        </w:rPr>
        <w:t>中标人</w:t>
      </w:r>
      <w:r>
        <w:rPr>
          <w:rFonts w:hint="eastAsia" w:ascii="仿宋" w:hAnsi="仿宋" w:eastAsia="仿宋" w:cs="仿宋"/>
          <w:iCs/>
          <w:kern w:val="2"/>
          <w:szCs w:val="24"/>
        </w:rPr>
        <w:t>。</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6.2.4 根据采购人确定的</w:t>
      </w:r>
      <w:r>
        <w:rPr>
          <w:rFonts w:hint="eastAsia" w:ascii="仿宋" w:hAnsi="仿宋" w:eastAsia="仿宋" w:cs="仿宋"/>
          <w:iCs/>
          <w:kern w:val="2"/>
          <w:szCs w:val="24"/>
          <w:lang w:eastAsia="zh-CN"/>
        </w:rPr>
        <w:t>中标人</w:t>
      </w:r>
      <w:r>
        <w:rPr>
          <w:rFonts w:hint="eastAsia" w:ascii="仿宋" w:hAnsi="仿宋" w:eastAsia="仿宋" w:cs="仿宋"/>
          <w:iCs/>
          <w:kern w:val="2"/>
          <w:szCs w:val="24"/>
        </w:rPr>
        <w:t>，采购代理机构在新疆政府采购网上发布中标公告，并自采购人确定中标之日起3个工作日内向中标</w:t>
      </w:r>
      <w:r>
        <w:rPr>
          <w:rFonts w:hint="eastAsia" w:ascii="仿宋" w:hAnsi="仿宋" w:eastAsia="仿宋" w:cs="仿宋"/>
          <w:iCs/>
          <w:kern w:val="2"/>
          <w:szCs w:val="24"/>
          <w:lang w:eastAsia="zh-CN"/>
        </w:rPr>
        <w:t>人</w:t>
      </w:r>
      <w:r>
        <w:rPr>
          <w:rFonts w:hint="eastAsia" w:ascii="仿宋" w:hAnsi="仿宋" w:eastAsia="仿宋" w:cs="仿宋"/>
          <w:iCs/>
          <w:kern w:val="2"/>
          <w:szCs w:val="24"/>
        </w:rPr>
        <w:t>发出中标通知书。</w:t>
      </w:r>
    </w:p>
    <w:p>
      <w:pPr>
        <w:pStyle w:val="27"/>
        <w:spacing w:line="460" w:lineRule="exact"/>
        <w:ind w:left="0" w:firstLineChars="200"/>
        <w:rPr>
          <w:rFonts w:ascii="仿宋" w:hAnsi="仿宋" w:eastAsia="仿宋" w:cs="仿宋"/>
          <w:iCs/>
          <w:kern w:val="2"/>
          <w:szCs w:val="24"/>
        </w:rPr>
      </w:pPr>
      <w:r>
        <w:rPr>
          <w:rFonts w:hint="eastAsia" w:ascii="仿宋" w:hAnsi="仿宋" w:eastAsia="仿宋" w:cs="仿宋"/>
          <w:iCs/>
          <w:kern w:val="2"/>
          <w:szCs w:val="24"/>
        </w:rPr>
        <w:t>6.2.5 招标采购单位不退回投标人投标文件和其他投标资料。</w:t>
      </w:r>
      <w:bookmarkStart w:id="1158" w:name="_Toc507399904"/>
    </w:p>
    <w:p>
      <w:pPr>
        <w:pStyle w:val="27"/>
        <w:spacing w:line="500" w:lineRule="exact"/>
        <w:ind w:left="0" w:firstLineChars="200"/>
        <w:rPr>
          <w:rFonts w:ascii="仿宋" w:hAnsi="仿宋" w:eastAsia="仿宋" w:cs="仿宋"/>
          <w:iCs/>
          <w:kern w:val="2"/>
          <w:szCs w:val="24"/>
        </w:rPr>
      </w:pPr>
    </w:p>
    <w:p>
      <w:pPr>
        <w:spacing w:line="240" w:lineRule="atLeast"/>
        <w:jc w:val="center"/>
        <w:rPr>
          <w:rFonts w:ascii="仿宋" w:hAnsi="仿宋" w:eastAsia="仿宋" w:cs="仿宋"/>
          <w:b/>
          <w:sz w:val="52"/>
          <w:szCs w:val="52"/>
        </w:rPr>
      </w:pPr>
    </w:p>
    <w:p>
      <w:pPr>
        <w:spacing w:line="240" w:lineRule="atLeast"/>
        <w:jc w:val="center"/>
        <w:rPr>
          <w:rFonts w:ascii="仿宋" w:hAnsi="仿宋" w:eastAsia="仿宋" w:cs="仿宋"/>
          <w:b/>
          <w:sz w:val="52"/>
          <w:szCs w:val="52"/>
        </w:rPr>
      </w:pPr>
    </w:p>
    <w:p>
      <w:pPr>
        <w:spacing w:line="240" w:lineRule="atLeast"/>
        <w:jc w:val="center"/>
        <w:rPr>
          <w:rFonts w:ascii="仿宋" w:hAnsi="仿宋" w:eastAsia="仿宋" w:cs="仿宋"/>
          <w:b/>
          <w:sz w:val="52"/>
          <w:szCs w:val="52"/>
        </w:rPr>
      </w:pPr>
    </w:p>
    <w:p>
      <w:pPr>
        <w:spacing w:line="240" w:lineRule="atLeast"/>
        <w:jc w:val="center"/>
        <w:rPr>
          <w:rFonts w:ascii="仿宋" w:hAnsi="仿宋" w:eastAsia="仿宋" w:cs="仿宋"/>
          <w:b/>
          <w:sz w:val="52"/>
          <w:szCs w:val="52"/>
        </w:rPr>
      </w:pPr>
    </w:p>
    <w:p>
      <w:pPr>
        <w:spacing w:line="240" w:lineRule="atLeast"/>
        <w:jc w:val="center"/>
        <w:rPr>
          <w:rFonts w:ascii="仿宋" w:hAnsi="仿宋" w:eastAsia="仿宋" w:cs="仿宋"/>
          <w:b/>
          <w:sz w:val="52"/>
          <w:szCs w:val="52"/>
        </w:rPr>
      </w:pPr>
    </w:p>
    <w:p>
      <w:pPr>
        <w:rPr>
          <w:rFonts w:ascii="仿宋" w:hAnsi="仿宋" w:eastAsia="仿宋" w:cs="仿宋"/>
          <w:b/>
          <w:sz w:val="52"/>
          <w:szCs w:val="52"/>
        </w:rPr>
      </w:pPr>
      <w:r>
        <w:rPr>
          <w:rFonts w:hint="eastAsia" w:ascii="仿宋" w:hAnsi="仿宋" w:eastAsia="仿宋" w:cs="仿宋"/>
          <w:b/>
          <w:sz w:val="52"/>
          <w:szCs w:val="52"/>
        </w:rPr>
        <w:br w:type="page"/>
      </w:r>
    </w:p>
    <w:p>
      <w:pPr>
        <w:spacing w:line="240" w:lineRule="atLeast"/>
        <w:jc w:val="center"/>
        <w:rPr>
          <w:rFonts w:ascii="仿宋" w:hAnsi="仿宋" w:eastAsia="仿宋" w:cs="仿宋"/>
          <w:b/>
          <w:sz w:val="52"/>
          <w:szCs w:val="52"/>
        </w:rPr>
      </w:pPr>
      <w:r>
        <w:rPr>
          <w:rFonts w:hint="eastAsia" w:ascii="仿宋" w:hAnsi="仿宋" w:eastAsia="仿宋" w:cs="仿宋"/>
          <w:b/>
          <w:sz w:val="52"/>
          <w:szCs w:val="52"/>
        </w:rPr>
        <w:t>货物类</w:t>
      </w:r>
    </w:p>
    <w:p>
      <w:pPr>
        <w:pStyle w:val="27"/>
        <w:spacing w:line="500" w:lineRule="exact"/>
        <w:ind w:left="0" w:firstLineChars="200"/>
        <w:rPr>
          <w:rFonts w:ascii="仿宋" w:hAnsi="仿宋" w:eastAsia="仿宋" w:cs="仿宋"/>
          <w:iCs/>
          <w:kern w:val="2"/>
          <w:szCs w:val="24"/>
        </w:rPr>
      </w:pPr>
    </w:p>
    <w:p>
      <w:pPr>
        <w:spacing w:line="240" w:lineRule="atLeast"/>
        <w:ind w:left="1080" w:leftChars="257" w:hanging="540"/>
        <w:jc w:val="center"/>
        <w:rPr>
          <w:rFonts w:ascii="仿宋" w:hAnsi="仿宋" w:eastAsia="仿宋" w:cs="仿宋"/>
          <w:b/>
          <w:sz w:val="52"/>
          <w:szCs w:val="52"/>
        </w:rPr>
      </w:pPr>
    </w:p>
    <w:p>
      <w:pPr>
        <w:spacing w:line="240" w:lineRule="atLeast"/>
        <w:ind w:left="1080" w:leftChars="257" w:hanging="540"/>
        <w:jc w:val="center"/>
        <w:rPr>
          <w:rFonts w:ascii="仿宋" w:hAnsi="仿宋" w:eastAsia="仿宋" w:cs="仿宋"/>
          <w:b/>
          <w:sz w:val="52"/>
          <w:szCs w:val="52"/>
        </w:rPr>
      </w:pPr>
      <w:r>
        <w:rPr>
          <w:rFonts w:hint="eastAsia" w:ascii="仿宋" w:hAnsi="仿宋" w:eastAsia="仿宋" w:cs="仿宋"/>
          <w:b/>
          <w:sz w:val="52"/>
          <w:szCs w:val="52"/>
        </w:rPr>
        <w:t>政府采购公开招标文件</w:t>
      </w:r>
    </w:p>
    <w:p>
      <w:pPr>
        <w:spacing w:line="240" w:lineRule="atLeast"/>
        <w:ind w:left="1080" w:leftChars="257" w:hanging="540"/>
        <w:jc w:val="center"/>
        <w:rPr>
          <w:rFonts w:ascii="仿宋" w:hAnsi="仿宋" w:eastAsia="仿宋" w:cs="仿宋"/>
          <w:b/>
          <w:sz w:val="32"/>
          <w:szCs w:val="32"/>
        </w:rPr>
      </w:pPr>
    </w:p>
    <w:p>
      <w:pPr>
        <w:spacing w:line="240" w:lineRule="atLeast"/>
        <w:ind w:left="1080" w:leftChars="257" w:hanging="540"/>
        <w:jc w:val="center"/>
        <w:rPr>
          <w:rFonts w:ascii="仿宋" w:hAnsi="仿宋" w:eastAsia="仿宋" w:cs="仿宋"/>
          <w:b/>
          <w:sz w:val="32"/>
          <w:szCs w:val="32"/>
        </w:rPr>
      </w:pPr>
    </w:p>
    <w:p>
      <w:pPr>
        <w:spacing w:line="240" w:lineRule="atLeast"/>
        <w:rPr>
          <w:rFonts w:ascii="仿宋" w:hAnsi="仿宋" w:eastAsia="仿宋" w:cs="仿宋"/>
          <w:b/>
          <w:sz w:val="32"/>
          <w:szCs w:val="32"/>
        </w:rPr>
      </w:pPr>
    </w:p>
    <w:p>
      <w:pPr>
        <w:spacing w:line="240" w:lineRule="atLeast"/>
        <w:ind w:left="1080" w:leftChars="257" w:hanging="540"/>
        <w:jc w:val="center"/>
        <w:rPr>
          <w:rFonts w:ascii="仿宋" w:hAnsi="仿宋" w:eastAsia="仿宋" w:cs="仿宋"/>
          <w:b/>
          <w:sz w:val="32"/>
          <w:szCs w:val="32"/>
        </w:rPr>
      </w:pPr>
    </w:p>
    <w:p>
      <w:pPr>
        <w:spacing w:line="240" w:lineRule="atLeast"/>
        <w:ind w:left="1080" w:leftChars="257" w:hanging="540"/>
        <w:rPr>
          <w:rFonts w:ascii="仿宋" w:hAnsi="仿宋" w:eastAsia="仿宋" w:cs="仿宋"/>
          <w:b/>
          <w:sz w:val="28"/>
        </w:rPr>
      </w:pPr>
    </w:p>
    <w:p>
      <w:pPr>
        <w:spacing w:line="240" w:lineRule="atLeast"/>
        <w:ind w:left="1080" w:leftChars="257" w:hanging="540"/>
        <w:jc w:val="center"/>
        <w:rPr>
          <w:rFonts w:ascii="仿宋" w:hAnsi="仿宋" w:eastAsia="仿宋" w:cs="仿宋"/>
          <w:b/>
          <w:sz w:val="48"/>
          <w:szCs w:val="48"/>
        </w:rPr>
      </w:pPr>
      <w:r>
        <w:rPr>
          <w:rFonts w:hint="eastAsia" w:ascii="仿宋" w:hAnsi="仿宋" w:eastAsia="仿宋" w:cs="仿宋"/>
          <w:b/>
          <w:sz w:val="48"/>
          <w:szCs w:val="48"/>
        </w:rPr>
        <w:t>第三册</w:t>
      </w:r>
    </w:p>
    <w:p>
      <w:pPr>
        <w:spacing w:line="240" w:lineRule="atLeast"/>
        <w:ind w:left="1080" w:leftChars="257" w:hanging="540"/>
        <w:jc w:val="center"/>
        <w:rPr>
          <w:rFonts w:ascii="仿宋" w:hAnsi="仿宋" w:eastAsia="仿宋" w:cs="仿宋"/>
          <w:b/>
          <w:sz w:val="52"/>
        </w:rPr>
      </w:pPr>
    </w:p>
    <w:p>
      <w:pPr>
        <w:pStyle w:val="26"/>
        <w:rPr>
          <w:rFonts w:ascii="仿宋" w:hAnsi="仿宋" w:eastAsia="仿宋" w:cs="仿宋"/>
          <w:b/>
          <w:sz w:val="52"/>
        </w:rPr>
      </w:pPr>
    </w:p>
    <w:p>
      <w:pPr>
        <w:pStyle w:val="26"/>
        <w:rPr>
          <w:rFonts w:ascii="仿宋" w:hAnsi="仿宋" w:eastAsia="仿宋" w:cs="仿宋"/>
          <w:b/>
          <w:sz w:val="52"/>
        </w:rPr>
      </w:pPr>
    </w:p>
    <w:p>
      <w:pPr>
        <w:pStyle w:val="26"/>
        <w:rPr>
          <w:rFonts w:ascii="仿宋" w:hAnsi="仿宋" w:eastAsia="仿宋" w:cs="仿宋"/>
          <w:b/>
          <w:sz w:val="52"/>
        </w:rPr>
      </w:pPr>
    </w:p>
    <w:p>
      <w:pPr>
        <w:pStyle w:val="26"/>
        <w:rPr>
          <w:rFonts w:ascii="仿宋" w:hAnsi="仿宋" w:eastAsia="仿宋" w:cs="仿宋"/>
        </w:rPr>
      </w:pPr>
    </w:p>
    <w:p>
      <w:pPr>
        <w:rPr>
          <w:rFonts w:ascii="仿宋" w:hAnsi="仿宋" w:eastAsia="仿宋" w:cs="仿宋"/>
          <w:sz w:val="44"/>
          <w:szCs w:val="44"/>
        </w:rPr>
      </w:pPr>
      <w:bookmarkStart w:id="1159" w:name="_Toc31150"/>
      <w:bookmarkStart w:id="1160" w:name="_Toc4796"/>
      <w:bookmarkStart w:id="1161" w:name="_Toc515647833"/>
      <w:bookmarkStart w:id="1162" w:name="_Toc4337"/>
      <w:bookmarkStart w:id="1163" w:name="_Toc6865"/>
    </w:p>
    <w:p>
      <w:pPr>
        <w:pStyle w:val="88"/>
        <w:rPr>
          <w:rFonts w:ascii="仿宋" w:hAnsi="仿宋" w:eastAsia="仿宋" w:cs="仿宋"/>
        </w:rPr>
      </w:pPr>
      <w:bookmarkStart w:id="1164" w:name="_Toc1691"/>
      <w:bookmarkStart w:id="1165" w:name="_Toc29759"/>
    </w:p>
    <w:p>
      <w:pPr>
        <w:rPr>
          <w:rFonts w:ascii="仿宋" w:hAnsi="仿宋" w:eastAsia="仿宋" w:cs="仿宋"/>
          <w:sz w:val="44"/>
          <w:szCs w:val="44"/>
        </w:rPr>
      </w:pPr>
    </w:p>
    <w:p>
      <w:pPr>
        <w:pStyle w:val="53"/>
        <w:rPr>
          <w:rFonts w:ascii="仿宋" w:hAnsi="仿宋" w:eastAsia="仿宋" w:cs="仿宋"/>
          <w:sz w:val="44"/>
          <w:szCs w:val="44"/>
          <w:lang w:eastAsia="zh-CN"/>
        </w:rPr>
      </w:pPr>
    </w:p>
    <w:p>
      <w:pPr>
        <w:pStyle w:val="53"/>
        <w:rPr>
          <w:rFonts w:ascii="仿宋" w:hAnsi="仿宋" w:eastAsia="仿宋" w:cs="仿宋"/>
          <w:sz w:val="44"/>
          <w:szCs w:val="44"/>
          <w:lang w:eastAsia="zh-CN"/>
        </w:rPr>
      </w:pPr>
    </w:p>
    <w:p>
      <w:pPr>
        <w:pStyle w:val="53"/>
        <w:rPr>
          <w:rFonts w:ascii="仿宋" w:hAnsi="仿宋" w:eastAsia="仿宋" w:cs="仿宋"/>
          <w:sz w:val="44"/>
          <w:szCs w:val="44"/>
          <w:lang w:eastAsia="zh-CN"/>
        </w:rPr>
      </w:pPr>
    </w:p>
    <w:p>
      <w:pPr>
        <w:pStyle w:val="17"/>
      </w:pPr>
      <w:bookmarkStart w:id="1166" w:name="_Toc19057"/>
    </w:p>
    <w:p>
      <w:pPr>
        <w:pStyle w:val="17"/>
      </w:pPr>
    </w:p>
    <w:p>
      <w:pPr>
        <w:widowControl/>
        <w:jc w:val="left"/>
        <w:rPr>
          <w:rFonts w:ascii="仿宋" w:hAnsi="仿宋" w:eastAsia="仿宋" w:cs="仿宋"/>
          <w:b/>
          <w:kern w:val="44"/>
          <w:sz w:val="44"/>
          <w:szCs w:val="44"/>
        </w:rPr>
      </w:pPr>
      <w:r>
        <w:rPr>
          <w:rFonts w:ascii="仿宋" w:hAnsi="仿宋" w:eastAsia="仿宋" w:cs="仿宋"/>
          <w:sz w:val="44"/>
          <w:szCs w:val="44"/>
        </w:rPr>
        <w:br w:type="page"/>
      </w:r>
    </w:p>
    <w:p>
      <w:pPr>
        <w:pStyle w:val="5"/>
        <w:tabs>
          <w:tab w:val="left" w:pos="0"/>
        </w:tabs>
        <w:spacing w:before="0" w:after="0" w:line="240" w:lineRule="atLeast"/>
        <w:rPr>
          <w:rFonts w:ascii="仿宋" w:hAnsi="仿宋" w:eastAsia="仿宋" w:cs="仿宋"/>
          <w:sz w:val="44"/>
          <w:szCs w:val="44"/>
        </w:rPr>
      </w:pPr>
      <w:r>
        <w:rPr>
          <w:rFonts w:hint="eastAsia" w:ascii="仿宋" w:hAnsi="仿宋" w:eastAsia="仿宋" w:cs="仿宋"/>
          <w:sz w:val="44"/>
          <w:szCs w:val="44"/>
        </w:rPr>
        <w:t>第七章  政府采购合同</w:t>
      </w:r>
      <w:bookmarkEnd w:id="1158"/>
      <w:bookmarkEnd w:id="1159"/>
      <w:bookmarkEnd w:id="1160"/>
      <w:bookmarkEnd w:id="1161"/>
      <w:bookmarkEnd w:id="1162"/>
      <w:bookmarkEnd w:id="1163"/>
      <w:bookmarkEnd w:id="1164"/>
      <w:bookmarkEnd w:id="1165"/>
      <w:bookmarkEnd w:id="1166"/>
      <w:bookmarkStart w:id="1167" w:name="_Hlt487972895"/>
      <w:bookmarkEnd w:id="1167"/>
      <w:bookmarkStart w:id="1168" w:name="_Toc216513788"/>
      <w:bookmarkStart w:id="1169" w:name="_Toc487900382"/>
    </w:p>
    <w:bookmarkEnd w:id="1168"/>
    <w:bookmarkEnd w:id="1169"/>
    <w:p>
      <w:pPr>
        <w:spacing w:line="240" w:lineRule="atLeast"/>
        <w:rPr>
          <w:rFonts w:ascii="仿宋" w:hAnsi="仿宋" w:eastAsia="仿宋" w:cs="仿宋"/>
          <w:b/>
          <w:kern w:val="44"/>
          <w:sz w:val="32"/>
          <w:szCs w:val="20"/>
        </w:rPr>
      </w:pPr>
    </w:p>
    <w:p>
      <w:pPr>
        <w:rPr>
          <w:rFonts w:ascii="仿宋" w:hAnsi="仿宋" w:eastAsia="仿宋" w:cs="仿宋"/>
          <w:sz w:val="24"/>
          <w:u w:val="single"/>
        </w:rPr>
      </w:pPr>
      <w:r>
        <w:rPr>
          <w:rFonts w:hint="eastAsia" w:ascii="仿宋" w:hAnsi="仿宋" w:eastAsia="仿宋" w:cs="仿宋"/>
          <w:sz w:val="24"/>
        </w:rPr>
        <w:t>合同编号：</w:t>
      </w:r>
      <w:r>
        <w:rPr>
          <w:rFonts w:hint="eastAsia" w:ascii="仿宋" w:hAnsi="仿宋" w:eastAsia="仿宋" w:cs="仿宋"/>
          <w:sz w:val="24"/>
          <w:u w:val="single"/>
        </w:rPr>
        <w:t xml:space="preserve">           </w:t>
      </w:r>
    </w:p>
    <w:p>
      <w:pPr>
        <w:spacing w:line="480" w:lineRule="auto"/>
        <w:jc w:val="center"/>
        <w:rPr>
          <w:rFonts w:ascii="仿宋" w:hAnsi="仿宋" w:eastAsia="仿宋" w:cs="仿宋"/>
          <w:b/>
          <w:sz w:val="28"/>
          <w:szCs w:val="28"/>
        </w:rPr>
      </w:pPr>
    </w:p>
    <w:p>
      <w:pPr>
        <w:spacing w:line="480" w:lineRule="auto"/>
        <w:jc w:val="center"/>
        <w:rPr>
          <w:rFonts w:ascii="仿宋" w:hAnsi="仿宋" w:eastAsia="仿宋" w:cs="仿宋"/>
          <w:b/>
          <w:sz w:val="28"/>
          <w:szCs w:val="28"/>
        </w:rPr>
      </w:pPr>
    </w:p>
    <w:p>
      <w:pPr>
        <w:spacing w:line="480" w:lineRule="auto"/>
        <w:jc w:val="center"/>
        <w:rPr>
          <w:rFonts w:ascii="仿宋" w:hAnsi="仿宋" w:eastAsia="仿宋" w:cs="仿宋"/>
          <w:b/>
          <w:sz w:val="44"/>
          <w:szCs w:val="44"/>
        </w:rPr>
      </w:pPr>
      <w:r>
        <w:rPr>
          <w:rFonts w:hint="eastAsia" w:ascii="仿宋" w:hAnsi="仿宋" w:eastAsia="仿宋" w:cs="仿宋"/>
          <w:b/>
          <w:sz w:val="44"/>
          <w:szCs w:val="44"/>
        </w:rPr>
        <w:t>政府采购合同草案</w:t>
      </w:r>
    </w:p>
    <w:p>
      <w:pPr>
        <w:spacing w:line="480" w:lineRule="auto"/>
        <w:jc w:val="center"/>
        <w:rPr>
          <w:rFonts w:ascii="仿宋" w:hAnsi="仿宋" w:eastAsia="仿宋" w:cs="仿宋"/>
          <w:b/>
          <w:sz w:val="24"/>
        </w:rPr>
      </w:pPr>
      <w:r>
        <w:rPr>
          <w:rFonts w:hint="eastAsia" w:ascii="仿宋" w:hAnsi="仿宋" w:eastAsia="仿宋" w:cs="仿宋"/>
          <w:b/>
          <w:sz w:val="24"/>
        </w:rPr>
        <w:t>（货物类）</w:t>
      </w:r>
    </w:p>
    <w:p>
      <w:pPr>
        <w:pStyle w:val="56"/>
        <w:ind w:firstLine="0"/>
        <w:rPr>
          <w:rFonts w:ascii="仿宋" w:hAnsi="仿宋" w:eastAsia="仿宋" w:cs="仿宋"/>
          <w:szCs w:val="24"/>
        </w:rPr>
      </w:pPr>
    </w:p>
    <w:p>
      <w:pPr>
        <w:pStyle w:val="56"/>
        <w:ind w:firstLine="0"/>
        <w:rPr>
          <w:rFonts w:ascii="仿宋" w:hAnsi="仿宋" w:eastAsia="仿宋" w:cs="仿宋"/>
          <w:szCs w:val="24"/>
        </w:rPr>
      </w:pPr>
    </w:p>
    <w:p>
      <w:pPr>
        <w:pStyle w:val="56"/>
        <w:ind w:firstLine="0"/>
        <w:rPr>
          <w:rFonts w:ascii="仿宋" w:hAnsi="仿宋" w:eastAsia="仿宋" w:cs="仿宋"/>
          <w:szCs w:val="24"/>
        </w:rPr>
      </w:pPr>
    </w:p>
    <w:p>
      <w:pPr>
        <w:pStyle w:val="56"/>
        <w:ind w:firstLine="0"/>
        <w:jc w:val="center"/>
        <w:rPr>
          <w:rFonts w:ascii="仿宋" w:hAnsi="仿宋" w:eastAsia="仿宋" w:cs="仿宋"/>
          <w:b/>
          <w:szCs w:val="24"/>
        </w:rPr>
      </w:pPr>
      <w:r>
        <w:rPr>
          <w:rFonts w:hint="eastAsia" w:ascii="仿宋" w:hAnsi="仿宋" w:eastAsia="仿宋" w:cs="仿宋"/>
          <w:b/>
          <w:szCs w:val="24"/>
        </w:rPr>
        <w:t>第一部分 合同书</w:t>
      </w:r>
    </w:p>
    <w:p>
      <w:pPr>
        <w:pStyle w:val="56"/>
        <w:ind w:firstLine="0"/>
        <w:rPr>
          <w:rFonts w:ascii="仿宋" w:hAnsi="仿宋" w:eastAsia="仿宋" w:cs="仿宋"/>
          <w:szCs w:val="24"/>
        </w:rPr>
      </w:pPr>
    </w:p>
    <w:p>
      <w:pPr>
        <w:pStyle w:val="56"/>
        <w:ind w:firstLine="0"/>
        <w:rPr>
          <w:rFonts w:ascii="仿宋" w:hAnsi="仿宋" w:eastAsia="仿宋" w:cs="仿宋"/>
          <w:szCs w:val="24"/>
        </w:rPr>
      </w:pPr>
    </w:p>
    <w:p>
      <w:pPr>
        <w:spacing w:before="120" w:line="22" w:lineRule="atLeast"/>
        <w:rPr>
          <w:rFonts w:ascii="仿宋" w:hAnsi="仿宋" w:eastAsia="仿宋" w:cs="仿宋"/>
          <w:sz w:val="24"/>
        </w:rPr>
      </w:pPr>
    </w:p>
    <w:p>
      <w:pPr>
        <w:spacing w:before="120" w:line="22" w:lineRule="atLeast"/>
        <w:ind w:left="960"/>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pPr>
        <w:pStyle w:val="93"/>
        <w:spacing w:before="120" w:line="22" w:lineRule="atLeast"/>
        <w:rPr>
          <w:rFonts w:ascii="仿宋" w:hAnsi="仿宋" w:eastAsia="仿宋" w:cs="仿宋"/>
          <w:szCs w:val="24"/>
        </w:rPr>
      </w:pPr>
    </w:p>
    <w:p>
      <w:pPr>
        <w:pStyle w:val="93"/>
        <w:spacing w:before="120" w:line="22" w:lineRule="atLeast"/>
        <w:rPr>
          <w:rFonts w:ascii="仿宋" w:hAnsi="仿宋" w:eastAsia="仿宋" w:cs="仿宋"/>
          <w:szCs w:val="24"/>
        </w:rPr>
      </w:pPr>
    </w:p>
    <w:p>
      <w:pPr>
        <w:rPr>
          <w:rFonts w:ascii="仿宋" w:hAnsi="仿宋" w:eastAsia="仿宋" w:cs="仿宋"/>
        </w:rPr>
      </w:pPr>
    </w:p>
    <w:p>
      <w:pPr>
        <w:spacing w:before="120" w:line="22" w:lineRule="atLeast"/>
        <w:ind w:left="960"/>
        <w:rPr>
          <w:rFonts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pPr>
        <w:spacing w:before="120" w:line="22" w:lineRule="atLeast"/>
        <w:rPr>
          <w:rFonts w:ascii="仿宋" w:hAnsi="仿宋" w:eastAsia="仿宋" w:cs="仿宋"/>
          <w:sz w:val="24"/>
        </w:rPr>
      </w:pPr>
    </w:p>
    <w:p>
      <w:pPr>
        <w:spacing w:before="120" w:line="22" w:lineRule="atLeast"/>
        <w:ind w:left="960"/>
        <w:rPr>
          <w:rFonts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pPr>
        <w:spacing w:before="120" w:line="22" w:lineRule="atLeast"/>
        <w:rPr>
          <w:rFonts w:ascii="仿宋" w:hAnsi="仿宋" w:eastAsia="仿宋" w:cs="仿宋"/>
          <w:sz w:val="24"/>
        </w:rPr>
      </w:pPr>
    </w:p>
    <w:p>
      <w:pPr>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pPr>
        <w:spacing w:before="120" w:line="22" w:lineRule="atLeast"/>
        <w:rPr>
          <w:rFonts w:ascii="仿宋" w:hAnsi="仿宋" w:eastAsia="仿宋" w:cs="仿宋"/>
          <w:sz w:val="24"/>
        </w:rPr>
      </w:pPr>
    </w:p>
    <w:p>
      <w:pPr>
        <w:spacing w:before="120" w:line="22" w:lineRule="atLeast"/>
        <w:ind w:firstLine="960" w:firstLineChars="400"/>
        <w:rPr>
          <w:rFonts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autoSpaceDE w:val="0"/>
        <w:autoSpaceDN w:val="0"/>
        <w:adjustRightInd w:val="0"/>
        <w:spacing w:line="600" w:lineRule="exact"/>
        <w:ind w:firstLine="640"/>
        <w:jc w:val="center"/>
        <w:rPr>
          <w:rFonts w:ascii="仿宋" w:hAnsi="仿宋" w:eastAsia="仿宋" w:cs="仿宋"/>
          <w:sz w:val="24"/>
        </w:rPr>
        <w:sectPr>
          <w:headerReference r:id="rId19" w:type="first"/>
          <w:footerReference r:id="rId22" w:type="first"/>
          <w:headerReference r:id="rId17" w:type="default"/>
          <w:footerReference r:id="rId20" w:type="default"/>
          <w:headerReference r:id="rId18" w:type="even"/>
          <w:footerReference r:id="rId21" w:type="even"/>
          <w:pgSz w:w="11907" w:h="16840"/>
          <w:pgMar w:top="1474" w:right="1871" w:bottom="1474" w:left="1814" w:header="851" w:footer="851" w:gutter="0"/>
          <w:cols w:space="720" w:num="1"/>
          <w:docGrid w:linePitch="462" w:charSpace="0"/>
        </w:sectPr>
      </w:pPr>
    </w:p>
    <w:p>
      <w:pPr>
        <w:spacing w:line="560" w:lineRule="exact"/>
        <w:ind w:firstLine="480" w:firstLineChars="200"/>
        <w:rPr>
          <w:rFonts w:ascii="仿宋" w:hAnsi="仿宋" w:eastAsia="仿宋" w:cs="仿宋"/>
          <w:sz w:val="24"/>
          <w:u w:val="single"/>
          <w:lang w:val="zh-CN"/>
        </w:rPr>
      </w:pPr>
    </w:p>
    <w:p>
      <w:pPr>
        <w:spacing w:line="560" w:lineRule="exact"/>
        <w:ind w:firstLine="480" w:firstLineChars="200"/>
        <w:rPr>
          <w:rFonts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（采购人名称）   </w:t>
      </w:r>
      <w:r>
        <w:rPr>
          <w:rFonts w:hint="eastAsia" w:ascii="仿宋" w:hAnsi="仿宋" w:eastAsia="仿宋" w:cs="仿宋"/>
          <w:sz w:val="24"/>
        </w:rPr>
        <w:t>以</w:t>
      </w:r>
      <w:r>
        <w:rPr>
          <w:rFonts w:hint="eastAsia" w:ascii="仿宋" w:hAnsi="仿宋" w:eastAsia="仿宋" w:cs="仿宋"/>
          <w:sz w:val="24"/>
          <w:u w:val="single"/>
        </w:rPr>
        <w:t xml:space="preserve">   （政府采购方式）  </w:t>
      </w:r>
      <w:r>
        <w:rPr>
          <w:rFonts w:hint="eastAsia" w:ascii="仿宋" w:hAnsi="仿宋" w:eastAsia="仿宋" w:cs="仿宋"/>
          <w:sz w:val="24"/>
        </w:rPr>
        <w:t>对</w:t>
      </w:r>
      <w:r>
        <w:rPr>
          <w:rFonts w:hint="eastAsia" w:ascii="仿宋" w:hAnsi="仿宋" w:eastAsia="仿宋" w:cs="仿宋"/>
          <w:sz w:val="24"/>
          <w:u w:val="single"/>
        </w:rPr>
        <w:t xml:space="preserve">   （同前页项目名称）   </w:t>
      </w:r>
      <w:r>
        <w:rPr>
          <w:rFonts w:hint="eastAsia" w:ascii="仿宋" w:hAnsi="仿宋" w:eastAsia="仿宋" w:cs="仿宋"/>
          <w:sz w:val="24"/>
        </w:rPr>
        <w:t>项目进行了采购。经</w:t>
      </w:r>
      <w:r>
        <w:rPr>
          <w:rFonts w:hint="eastAsia" w:ascii="仿宋" w:hAnsi="仿宋" w:eastAsia="仿宋" w:cs="仿宋"/>
          <w:sz w:val="24"/>
          <w:u w:val="single"/>
        </w:rPr>
        <w:t xml:space="preserve">   （相关评定主体名称）   </w:t>
      </w:r>
      <w:r>
        <w:rPr>
          <w:rFonts w:hint="eastAsia" w:ascii="仿宋" w:hAnsi="仿宋" w:eastAsia="仿宋" w:cs="仿宋"/>
          <w:sz w:val="24"/>
        </w:rPr>
        <w:t>评定，</w:t>
      </w:r>
      <w:r>
        <w:rPr>
          <w:rFonts w:hint="eastAsia" w:ascii="仿宋" w:hAnsi="仿宋" w:eastAsia="仿宋" w:cs="仿宋"/>
          <w:sz w:val="24"/>
          <w:u w:val="single"/>
        </w:rPr>
        <w:t xml:space="preserve">   （</w:t>
      </w:r>
      <w:r>
        <w:rPr>
          <w:rFonts w:hint="eastAsia" w:ascii="仿宋" w:hAnsi="仿宋" w:eastAsia="仿宋" w:cs="仿宋"/>
          <w:sz w:val="24"/>
          <w:u w:val="single"/>
          <w:lang w:eastAsia="zh-CN"/>
        </w:rPr>
        <w:t>中标人名称</w:t>
      </w:r>
      <w:r>
        <w:rPr>
          <w:rFonts w:hint="eastAsia" w:ascii="仿宋" w:hAnsi="仿宋" w:eastAsia="仿宋" w:cs="仿宋"/>
          <w:sz w:val="24"/>
          <w:u w:val="single"/>
        </w:rPr>
        <w:t>）</w:t>
      </w:r>
      <w:r>
        <w:rPr>
          <w:rFonts w:hint="eastAsia" w:ascii="仿宋" w:hAnsi="仿宋" w:eastAsia="仿宋" w:cs="仿宋"/>
          <w:sz w:val="24"/>
        </w:rPr>
        <w:t>为该项目</w:t>
      </w:r>
      <w:r>
        <w:rPr>
          <w:rFonts w:hint="eastAsia" w:ascii="仿宋" w:hAnsi="仿宋" w:eastAsia="仿宋" w:cs="仿宋"/>
          <w:sz w:val="24"/>
          <w:lang w:eastAsia="zh-CN"/>
        </w:rPr>
        <w:t>中标人</w:t>
      </w:r>
      <w:r>
        <w:rPr>
          <w:rFonts w:hint="eastAsia" w:ascii="仿宋" w:hAnsi="仿宋" w:eastAsia="仿宋" w:cs="仿宋"/>
          <w:sz w:val="24"/>
        </w:rPr>
        <w:t>。现于中标通知书发出之日起三十日内，按照采购文件确定的事项签订本合同。</w:t>
      </w:r>
    </w:p>
    <w:p>
      <w:pPr>
        <w:spacing w:line="560" w:lineRule="exact"/>
        <w:ind w:firstLine="480" w:firstLineChars="200"/>
        <w:rPr>
          <w:rFonts w:ascii="仿宋" w:hAnsi="仿宋" w:eastAsia="仿宋" w:cs="仿宋"/>
          <w:sz w:val="24"/>
        </w:rPr>
      </w:pPr>
      <w:r>
        <w:rPr>
          <w:rFonts w:hint="eastAsia" w:ascii="仿宋" w:hAnsi="仿宋" w:eastAsia="仿宋" w:cs="仿宋"/>
          <w:sz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u w:val="single"/>
        </w:rPr>
        <w:t xml:space="preserve">   （采购人名称）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w:t>
      </w:r>
      <w:r>
        <w:rPr>
          <w:rFonts w:hint="eastAsia" w:ascii="仿宋" w:hAnsi="仿宋" w:eastAsia="仿宋" w:cs="仿宋"/>
          <w:sz w:val="24"/>
          <w:u w:val="single"/>
          <w:lang w:eastAsia="zh-CN"/>
        </w:rPr>
        <w:t>中标人名称</w:t>
      </w:r>
      <w:r>
        <w:rPr>
          <w:rFonts w:hint="eastAsia" w:ascii="仿宋" w:hAnsi="仿宋" w:eastAsia="仿宋" w:cs="仿宋"/>
          <w:sz w:val="24"/>
          <w:u w:val="single"/>
        </w:rPr>
        <w:t xml:space="preserve">）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pPr>
        <w:spacing w:line="560" w:lineRule="exact"/>
        <w:ind w:firstLine="482" w:firstLineChars="200"/>
        <w:rPr>
          <w:rFonts w:ascii="仿宋" w:hAnsi="仿宋" w:eastAsia="仿宋" w:cs="仿宋"/>
          <w:b/>
          <w:sz w:val="24"/>
        </w:rPr>
      </w:pPr>
      <w:bookmarkStart w:id="1170" w:name="_Toc2232"/>
      <w:bookmarkStart w:id="1171" w:name="_Toc24059"/>
      <w:bookmarkStart w:id="1172" w:name="_Toc3029"/>
      <w:r>
        <w:rPr>
          <w:rFonts w:hint="eastAsia" w:ascii="仿宋" w:hAnsi="仿宋" w:eastAsia="仿宋" w:cs="仿宋"/>
          <w:b/>
          <w:sz w:val="24"/>
        </w:rPr>
        <w:t>1.1 合同组成部分</w:t>
      </w:r>
      <w:bookmarkEnd w:id="1170"/>
      <w:bookmarkEnd w:id="1171"/>
      <w:bookmarkEnd w:id="1172"/>
    </w:p>
    <w:p>
      <w:pPr>
        <w:spacing w:line="560" w:lineRule="exact"/>
        <w:ind w:firstLine="480" w:firstLineChars="200"/>
        <w:rPr>
          <w:rFonts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仿宋" w:hAnsi="仿宋" w:eastAsia="仿宋" w:cs="仿宋"/>
          <w:sz w:val="24"/>
        </w:rPr>
      </w:pPr>
      <w:r>
        <w:rPr>
          <w:rFonts w:hint="eastAsia" w:ascii="仿宋" w:hAnsi="仿宋" w:eastAsia="仿宋" w:cs="仿宋"/>
          <w:sz w:val="24"/>
        </w:rPr>
        <w:t>1.1.1 本合同及其补充合同、变更协议；</w:t>
      </w:r>
    </w:p>
    <w:p>
      <w:pPr>
        <w:spacing w:line="560" w:lineRule="exact"/>
        <w:ind w:firstLine="480" w:firstLineChars="200"/>
        <w:rPr>
          <w:rFonts w:ascii="仿宋" w:hAnsi="仿宋" w:eastAsia="仿宋" w:cs="仿宋"/>
          <w:sz w:val="24"/>
        </w:rPr>
      </w:pPr>
      <w:r>
        <w:rPr>
          <w:rFonts w:hint="eastAsia" w:ascii="仿宋" w:hAnsi="仿宋" w:eastAsia="仿宋" w:cs="仿宋"/>
          <w:sz w:val="24"/>
        </w:rPr>
        <w:t>1.1.2 中标通知书；</w:t>
      </w:r>
    </w:p>
    <w:p>
      <w:pPr>
        <w:spacing w:line="560" w:lineRule="exact"/>
        <w:ind w:firstLine="480" w:firstLineChars="200"/>
        <w:rPr>
          <w:rFonts w:ascii="仿宋" w:hAnsi="仿宋" w:eastAsia="仿宋" w:cs="仿宋"/>
          <w:sz w:val="24"/>
        </w:rPr>
      </w:pPr>
      <w:r>
        <w:rPr>
          <w:rFonts w:hint="eastAsia" w:ascii="仿宋" w:hAnsi="仿宋" w:eastAsia="仿宋" w:cs="仿宋"/>
          <w:sz w:val="24"/>
        </w:rPr>
        <w:t>1.1.3 投标文件（含澄清或者说明文件）；</w:t>
      </w:r>
    </w:p>
    <w:p>
      <w:pPr>
        <w:spacing w:line="560" w:lineRule="exact"/>
        <w:ind w:firstLine="480" w:firstLineChars="200"/>
        <w:rPr>
          <w:rFonts w:ascii="仿宋" w:hAnsi="仿宋" w:eastAsia="仿宋" w:cs="仿宋"/>
          <w:sz w:val="24"/>
        </w:rPr>
      </w:pPr>
      <w:r>
        <w:rPr>
          <w:rFonts w:hint="eastAsia" w:ascii="仿宋" w:hAnsi="仿宋" w:eastAsia="仿宋" w:cs="仿宋"/>
          <w:sz w:val="24"/>
        </w:rPr>
        <w:t>1.1.4 招标文件（含澄清或者修改文件）；</w:t>
      </w:r>
    </w:p>
    <w:p>
      <w:pPr>
        <w:spacing w:line="560" w:lineRule="exact"/>
        <w:ind w:firstLine="480" w:firstLineChars="200"/>
        <w:rPr>
          <w:rFonts w:ascii="仿宋" w:hAnsi="仿宋" w:eastAsia="仿宋" w:cs="仿宋"/>
          <w:sz w:val="24"/>
        </w:rPr>
      </w:pPr>
      <w:r>
        <w:rPr>
          <w:rFonts w:hint="eastAsia" w:ascii="仿宋" w:hAnsi="仿宋" w:eastAsia="仿宋" w:cs="仿宋"/>
          <w:sz w:val="24"/>
        </w:rPr>
        <w:t>1.1.5 其他相关采购文件。</w:t>
      </w:r>
    </w:p>
    <w:p>
      <w:pPr>
        <w:spacing w:line="560" w:lineRule="exact"/>
        <w:ind w:firstLine="482" w:firstLineChars="200"/>
        <w:rPr>
          <w:rFonts w:ascii="仿宋" w:hAnsi="仿宋" w:eastAsia="仿宋" w:cs="仿宋"/>
          <w:b/>
          <w:sz w:val="24"/>
        </w:rPr>
      </w:pPr>
      <w:bookmarkStart w:id="1173" w:name="_Toc24300"/>
      <w:bookmarkStart w:id="1174" w:name="_Toc27126"/>
      <w:bookmarkStart w:id="1175" w:name="_Toc21295"/>
      <w:r>
        <w:rPr>
          <w:rFonts w:hint="eastAsia" w:ascii="仿宋" w:hAnsi="仿宋" w:eastAsia="仿宋" w:cs="仿宋"/>
          <w:b/>
          <w:sz w:val="24"/>
        </w:rPr>
        <w:t>1.2 货物</w:t>
      </w:r>
      <w:bookmarkEnd w:id="1173"/>
      <w:bookmarkEnd w:id="1174"/>
      <w:bookmarkEnd w:id="1175"/>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1.2.1 货物名称：</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1.2.2 货物数量：</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0" w:firstLineChars="200"/>
        <w:rPr>
          <w:rFonts w:ascii="仿宋" w:hAnsi="仿宋" w:eastAsia="仿宋" w:cs="仿宋"/>
          <w:sz w:val="24"/>
        </w:rPr>
      </w:pPr>
      <w:r>
        <w:rPr>
          <w:rFonts w:hint="eastAsia" w:ascii="仿宋" w:hAnsi="仿宋" w:eastAsia="仿宋" w:cs="仿宋"/>
          <w:sz w:val="24"/>
        </w:rPr>
        <w:t>1.2.3 货物质量：</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2" w:firstLineChars="200"/>
        <w:rPr>
          <w:rFonts w:ascii="仿宋" w:hAnsi="仿宋" w:eastAsia="仿宋" w:cs="仿宋"/>
          <w:b/>
          <w:sz w:val="24"/>
        </w:rPr>
      </w:pPr>
      <w:bookmarkStart w:id="1176" w:name="_Toc21551"/>
      <w:bookmarkStart w:id="1177" w:name="_Toc21631"/>
      <w:bookmarkStart w:id="1178" w:name="_Toc23292"/>
      <w:r>
        <w:rPr>
          <w:rFonts w:hint="eastAsia" w:ascii="仿宋" w:hAnsi="仿宋" w:eastAsia="仿宋" w:cs="仿宋"/>
          <w:b/>
          <w:sz w:val="24"/>
        </w:rPr>
        <w:t>1.3 价款</w:t>
      </w:r>
      <w:bookmarkEnd w:id="1176"/>
      <w:bookmarkEnd w:id="1177"/>
      <w:bookmarkEnd w:id="1178"/>
    </w:p>
    <w:p>
      <w:pPr>
        <w:spacing w:line="560" w:lineRule="exact"/>
        <w:ind w:firstLine="480" w:firstLineChars="200"/>
        <w:rPr>
          <w:rFonts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9"/>
              <w:spacing w:line="560" w:lineRule="exact"/>
              <w:jc w:val="center"/>
              <w:rPr>
                <w:rFonts w:ascii="仿宋" w:hAnsi="仿宋" w:eastAsia="仿宋" w:cs="仿宋"/>
                <w:kern w:val="2"/>
                <w:sz w:val="24"/>
                <w:szCs w:val="24"/>
              </w:rPr>
            </w:pPr>
            <w:r>
              <w:rPr>
                <w:rFonts w:hint="eastAsia" w:ascii="仿宋" w:hAnsi="仿宋" w:eastAsia="仿宋" w:cs="仿宋"/>
                <w:kern w:val="2"/>
                <w:sz w:val="24"/>
                <w:szCs w:val="24"/>
              </w:rPr>
              <w:t>序号</w:t>
            </w:r>
          </w:p>
        </w:tc>
        <w:tc>
          <w:tcPr>
            <w:tcW w:w="3402" w:type="dxa"/>
            <w:vAlign w:val="center"/>
          </w:tcPr>
          <w:p>
            <w:pPr>
              <w:pStyle w:val="79"/>
              <w:spacing w:line="560" w:lineRule="exact"/>
              <w:ind w:firstLine="200"/>
              <w:jc w:val="center"/>
              <w:rPr>
                <w:rFonts w:ascii="仿宋" w:hAnsi="仿宋" w:eastAsia="仿宋" w:cs="仿宋"/>
                <w:kern w:val="2"/>
                <w:sz w:val="24"/>
                <w:szCs w:val="24"/>
              </w:rPr>
            </w:pPr>
            <w:r>
              <w:rPr>
                <w:rFonts w:hint="eastAsia" w:ascii="仿宋" w:hAnsi="仿宋" w:eastAsia="仿宋" w:cs="仿宋"/>
                <w:kern w:val="2"/>
                <w:sz w:val="24"/>
                <w:szCs w:val="24"/>
              </w:rPr>
              <w:t>分项名称</w:t>
            </w:r>
          </w:p>
        </w:tc>
        <w:tc>
          <w:tcPr>
            <w:tcW w:w="2552" w:type="dxa"/>
            <w:vAlign w:val="center"/>
          </w:tcPr>
          <w:p>
            <w:pPr>
              <w:pStyle w:val="79"/>
              <w:spacing w:line="560" w:lineRule="exact"/>
              <w:jc w:val="center"/>
              <w:rPr>
                <w:rFonts w:ascii="仿宋" w:hAnsi="仿宋" w:eastAsia="仿宋" w:cs="仿宋"/>
                <w:kern w:val="2"/>
                <w:sz w:val="24"/>
                <w:szCs w:val="24"/>
              </w:rPr>
            </w:pPr>
            <w:r>
              <w:rPr>
                <w:rFonts w:hint="eastAsia" w:ascii="仿宋" w:hAnsi="仿宋" w:eastAsia="仿宋" w:cs="仿宋"/>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9"/>
              <w:spacing w:line="560" w:lineRule="exact"/>
              <w:ind w:firstLine="200"/>
              <w:jc w:val="center"/>
              <w:rPr>
                <w:rFonts w:ascii="仿宋" w:hAnsi="仿宋" w:eastAsia="仿宋" w:cs="仿宋"/>
                <w:kern w:val="2"/>
                <w:sz w:val="24"/>
                <w:szCs w:val="24"/>
              </w:rPr>
            </w:pPr>
          </w:p>
        </w:tc>
        <w:tc>
          <w:tcPr>
            <w:tcW w:w="3402" w:type="dxa"/>
            <w:vAlign w:val="center"/>
          </w:tcPr>
          <w:p>
            <w:pPr>
              <w:pStyle w:val="79"/>
              <w:spacing w:line="560" w:lineRule="exact"/>
              <w:ind w:firstLine="200"/>
              <w:jc w:val="center"/>
              <w:rPr>
                <w:rFonts w:ascii="仿宋" w:hAnsi="仿宋" w:eastAsia="仿宋" w:cs="仿宋"/>
                <w:kern w:val="2"/>
                <w:sz w:val="24"/>
                <w:szCs w:val="24"/>
              </w:rPr>
            </w:pPr>
          </w:p>
        </w:tc>
        <w:tc>
          <w:tcPr>
            <w:tcW w:w="2552" w:type="dxa"/>
            <w:vAlign w:val="center"/>
          </w:tcPr>
          <w:p>
            <w:pPr>
              <w:pStyle w:val="79"/>
              <w:spacing w:line="560" w:lineRule="exact"/>
              <w:ind w:firstLine="200"/>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9"/>
              <w:spacing w:line="560" w:lineRule="exact"/>
              <w:ind w:firstLine="200"/>
              <w:jc w:val="center"/>
              <w:rPr>
                <w:rFonts w:ascii="仿宋" w:hAnsi="仿宋" w:eastAsia="仿宋" w:cs="仿宋"/>
                <w:kern w:val="2"/>
                <w:sz w:val="24"/>
                <w:szCs w:val="24"/>
              </w:rPr>
            </w:pPr>
          </w:p>
        </w:tc>
        <w:tc>
          <w:tcPr>
            <w:tcW w:w="3402" w:type="dxa"/>
            <w:vAlign w:val="center"/>
          </w:tcPr>
          <w:p>
            <w:pPr>
              <w:pStyle w:val="79"/>
              <w:spacing w:line="560" w:lineRule="exact"/>
              <w:ind w:firstLine="200"/>
              <w:jc w:val="center"/>
              <w:rPr>
                <w:rFonts w:ascii="仿宋" w:hAnsi="仿宋" w:eastAsia="仿宋" w:cs="仿宋"/>
                <w:kern w:val="2"/>
                <w:sz w:val="24"/>
                <w:szCs w:val="24"/>
              </w:rPr>
            </w:pPr>
          </w:p>
        </w:tc>
        <w:tc>
          <w:tcPr>
            <w:tcW w:w="2552" w:type="dxa"/>
            <w:vAlign w:val="center"/>
          </w:tcPr>
          <w:p>
            <w:pPr>
              <w:pStyle w:val="79"/>
              <w:spacing w:line="560" w:lineRule="exact"/>
              <w:ind w:firstLine="200"/>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9"/>
              <w:spacing w:line="560" w:lineRule="exact"/>
              <w:ind w:firstLine="200"/>
              <w:jc w:val="center"/>
              <w:rPr>
                <w:rFonts w:ascii="仿宋" w:hAnsi="仿宋" w:eastAsia="仿宋" w:cs="仿宋"/>
                <w:kern w:val="2"/>
                <w:sz w:val="24"/>
                <w:szCs w:val="24"/>
              </w:rPr>
            </w:pPr>
          </w:p>
        </w:tc>
        <w:tc>
          <w:tcPr>
            <w:tcW w:w="3402" w:type="dxa"/>
            <w:vAlign w:val="center"/>
          </w:tcPr>
          <w:p>
            <w:pPr>
              <w:pStyle w:val="79"/>
              <w:spacing w:line="560" w:lineRule="exact"/>
              <w:ind w:firstLine="200"/>
              <w:jc w:val="center"/>
              <w:rPr>
                <w:rFonts w:ascii="仿宋" w:hAnsi="仿宋" w:eastAsia="仿宋" w:cs="仿宋"/>
                <w:kern w:val="2"/>
                <w:sz w:val="24"/>
                <w:szCs w:val="24"/>
              </w:rPr>
            </w:pPr>
          </w:p>
        </w:tc>
        <w:tc>
          <w:tcPr>
            <w:tcW w:w="2552" w:type="dxa"/>
            <w:vAlign w:val="center"/>
          </w:tcPr>
          <w:p>
            <w:pPr>
              <w:pStyle w:val="79"/>
              <w:spacing w:line="560" w:lineRule="exact"/>
              <w:ind w:firstLine="200"/>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79"/>
              <w:spacing w:line="560" w:lineRule="exact"/>
              <w:ind w:firstLine="200"/>
              <w:jc w:val="center"/>
              <w:rPr>
                <w:rFonts w:ascii="仿宋" w:hAnsi="仿宋" w:eastAsia="仿宋" w:cs="仿宋"/>
                <w:kern w:val="2"/>
                <w:sz w:val="24"/>
                <w:szCs w:val="24"/>
              </w:rPr>
            </w:pPr>
          </w:p>
        </w:tc>
        <w:tc>
          <w:tcPr>
            <w:tcW w:w="3402" w:type="dxa"/>
            <w:vAlign w:val="center"/>
          </w:tcPr>
          <w:p>
            <w:pPr>
              <w:pStyle w:val="79"/>
              <w:spacing w:line="560" w:lineRule="exact"/>
              <w:ind w:firstLine="200"/>
              <w:jc w:val="center"/>
              <w:rPr>
                <w:rFonts w:ascii="仿宋" w:hAnsi="仿宋" w:eastAsia="仿宋" w:cs="仿宋"/>
                <w:kern w:val="2"/>
                <w:sz w:val="24"/>
                <w:szCs w:val="24"/>
              </w:rPr>
            </w:pPr>
          </w:p>
        </w:tc>
        <w:tc>
          <w:tcPr>
            <w:tcW w:w="2552" w:type="dxa"/>
            <w:vAlign w:val="center"/>
          </w:tcPr>
          <w:p>
            <w:pPr>
              <w:pStyle w:val="79"/>
              <w:spacing w:line="560" w:lineRule="exact"/>
              <w:ind w:firstLine="200"/>
              <w:jc w:val="center"/>
              <w:rPr>
                <w:rFonts w:ascii="仿宋" w:hAnsi="仿宋" w:eastAsia="仿宋"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79"/>
              <w:spacing w:line="560" w:lineRule="exact"/>
              <w:ind w:firstLine="200"/>
              <w:jc w:val="center"/>
              <w:rPr>
                <w:rFonts w:ascii="仿宋" w:hAnsi="仿宋" w:eastAsia="仿宋" w:cs="仿宋"/>
                <w:kern w:val="2"/>
                <w:sz w:val="24"/>
                <w:szCs w:val="24"/>
              </w:rPr>
            </w:pPr>
            <w:r>
              <w:rPr>
                <w:rFonts w:hint="eastAsia" w:ascii="仿宋" w:hAnsi="仿宋" w:eastAsia="仿宋" w:cs="仿宋"/>
                <w:kern w:val="2"/>
                <w:sz w:val="24"/>
                <w:szCs w:val="24"/>
              </w:rPr>
              <w:t>总价</w:t>
            </w:r>
          </w:p>
        </w:tc>
        <w:tc>
          <w:tcPr>
            <w:tcW w:w="2552" w:type="dxa"/>
            <w:vAlign w:val="center"/>
          </w:tcPr>
          <w:p>
            <w:pPr>
              <w:pStyle w:val="79"/>
              <w:spacing w:line="560" w:lineRule="exact"/>
              <w:ind w:firstLine="200"/>
              <w:jc w:val="center"/>
              <w:rPr>
                <w:rFonts w:ascii="仿宋" w:hAnsi="仿宋" w:eastAsia="仿宋" w:cs="仿宋"/>
                <w:kern w:val="2"/>
                <w:sz w:val="24"/>
                <w:szCs w:val="24"/>
              </w:rPr>
            </w:pPr>
          </w:p>
        </w:tc>
      </w:tr>
    </w:tbl>
    <w:p>
      <w:pPr>
        <w:spacing w:line="560" w:lineRule="exact"/>
        <w:ind w:firstLine="482" w:firstLineChars="200"/>
        <w:rPr>
          <w:rFonts w:ascii="仿宋" w:hAnsi="仿宋" w:eastAsia="仿宋" w:cs="仿宋"/>
          <w:b/>
          <w:sz w:val="24"/>
        </w:rPr>
      </w:pPr>
      <w:bookmarkStart w:id="1179" w:name="_Toc10340"/>
      <w:bookmarkStart w:id="1180" w:name="_Toc1814"/>
      <w:bookmarkStart w:id="1181" w:name="_Toc22618"/>
      <w:r>
        <w:rPr>
          <w:rFonts w:hint="eastAsia" w:ascii="仿宋" w:hAnsi="仿宋" w:eastAsia="仿宋" w:cs="仿宋"/>
          <w:b/>
          <w:sz w:val="24"/>
        </w:rPr>
        <w:t>1.4 付款方式和发票开具方式</w:t>
      </w:r>
      <w:bookmarkEnd w:id="1179"/>
      <w:bookmarkEnd w:id="1180"/>
      <w:bookmarkEnd w:id="1181"/>
    </w:p>
    <w:p>
      <w:pPr>
        <w:spacing w:line="560" w:lineRule="exact"/>
        <w:ind w:firstLine="480" w:firstLineChars="200"/>
        <w:rPr>
          <w:rFonts w:ascii="仿宋" w:hAnsi="仿宋" w:eastAsia="仿宋" w:cs="仿宋"/>
          <w:sz w:val="24"/>
        </w:rPr>
      </w:pPr>
      <w:r>
        <w:rPr>
          <w:rFonts w:hint="eastAsia" w:ascii="仿宋" w:hAnsi="仿宋" w:eastAsia="仿宋" w:cs="仿宋"/>
          <w:sz w:val="24"/>
        </w:rPr>
        <w:t>1.4.1 付款方式：</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0" w:firstLineChars="200"/>
        <w:rPr>
          <w:rFonts w:ascii="仿宋" w:hAnsi="仿宋" w:eastAsia="仿宋" w:cs="仿宋"/>
          <w:sz w:val="24"/>
        </w:rPr>
      </w:pPr>
      <w:r>
        <w:rPr>
          <w:rFonts w:hint="eastAsia" w:ascii="仿宋" w:hAnsi="仿宋" w:eastAsia="仿宋" w:cs="仿宋"/>
          <w:sz w:val="24"/>
        </w:rPr>
        <w:t>1.4.2 发票开具方式：</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2" w:firstLineChars="200"/>
        <w:rPr>
          <w:rFonts w:ascii="仿宋" w:hAnsi="仿宋" w:eastAsia="仿宋" w:cs="仿宋"/>
          <w:b/>
          <w:sz w:val="24"/>
        </w:rPr>
      </w:pPr>
      <w:bookmarkStart w:id="1182" w:name="_Toc2846"/>
      <w:bookmarkStart w:id="1183" w:name="_Toc32071"/>
      <w:bookmarkStart w:id="1184" w:name="_Toc19304"/>
      <w:r>
        <w:rPr>
          <w:rFonts w:hint="eastAsia" w:ascii="仿宋" w:hAnsi="仿宋" w:eastAsia="仿宋" w:cs="仿宋"/>
          <w:b/>
          <w:sz w:val="24"/>
        </w:rPr>
        <w:t>1.5 货物交付期限、地点和方式</w:t>
      </w:r>
      <w:bookmarkEnd w:id="1182"/>
      <w:bookmarkEnd w:id="1183"/>
      <w:bookmarkEnd w:id="1184"/>
    </w:p>
    <w:p>
      <w:pPr>
        <w:spacing w:line="560" w:lineRule="exact"/>
        <w:ind w:firstLine="480" w:firstLineChars="200"/>
        <w:rPr>
          <w:rFonts w:ascii="仿宋" w:hAnsi="仿宋" w:eastAsia="仿宋" w:cs="仿宋"/>
          <w:sz w:val="24"/>
          <w:u w:val="single"/>
        </w:rPr>
      </w:pPr>
      <w:r>
        <w:rPr>
          <w:rFonts w:hint="eastAsia" w:ascii="仿宋" w:hAnsi="仿宋" w:eastAsia="仿宋" w:cs="仿宋"/>
          <w:sz w:val="24"/>
        </w:rPr>
        <w:t>1.5.1 交付期限：</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0" w:firstLineChars="200"/>
        <w:rPr>
          <w:rFonts w:ascii="仿宋" w:hAnsi="仿宋" w:eastAsia="仿宋" w:cs="仿宋"/>
          <w:sz w:val="24"/>
        </w:rPr>
      </w:pPr>
      <w:r>
        <w:rPr>
          <w:rFonts w:hint="eastAsia" w:ascii="仿宋" w:hAnsi="仿宋" w:eastAsia="仿宋" w:cs="仿宋"/>
          <w:sz w:val="24"/>
        </w:rPr>
        <w:t>1.5.2 交付地点：</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0" w:firstLineChars="200"/>
        <w:rPr>
          <w:rFonts w:ascii="仿宋" w:hAnsi="仿宋" w:eastAsia="仿宋" w:cs="仿宋"/>
          <w:sz w:val="24"/>
        </w:rPr>
      </w:pPr>
      <w:r>
        <w:rPr>
          <w:rFonts w:hint="eastAsia" w:ascii="仿宋" w:hAnsi="仿宋" w:eastAsia="仿宋" w:cs="仿宋"/>
          <w:sz w:val="24"/>
        </w:rPr>
        <w:t>1.5.3 交付方式：</w:t>
      </w:r>
      <w:r>
        <w:rPr>
          <w:rFonts w:hint="eastAsia" w:ascii="仿宋" w:hAnsi="仿宋" w:eastAsia="仿宋" w:cs="仿宋"/>
          <w:sz w:val="24"/>
          <w:u w:val="single"/>
        </w:rPr>
        <w:t xml:space="preserve">　　　　　　　　　                      　      </w:t>
      </w:r>
      <w:r>
        <w:rPr>
          <w:rFonts w:hint="eastAsia" w:ascii="仿宋" w:hAnsi="仿宋" w:eastAsia="仿宋" w:cs="仿宋"/>
          <w:sz w:val="24"/>
        </w:rPr>
        <w:t>。</w:t>
      </w:r>
    </w:p>
    <w:p>
      <w:pPr>
        <w:spacing w:line="560" w:lineRule="exact"/>
        <w:ind w:firstLine="482" w:firstLineChars="200"/>
        <w:rPr>
          <w:rFonts w:ascii="仿宋" w:hAnsi="仿宋" w:eastAsia="仿宋" w:cs="仿宋"/>
          <w:b/>
          <w:sz w:val="24"/>
        </w:rPr>
      </w:pPr>
      <w:bookmarkStart w:id="1185" w:name="_Toc21423"/>
      <w:bookmarkStart w:id="1186" w:name="_Toc19554"/>
      <w:bookmarkStart w:id="1187" w:name="_Toc27250"/>
      <w:r>
        <w:rPr>
          <w:rFonts w:hint="eastAsia" w:ascii="仿宋" w:hAnsi="仿宋" w:eastAsia="仿宋" w:cs="仿宋"/>
          <w:b/>
          <w:sz w:val="24"/>
        </w:rPr>
        <w:t>1.6 违约责任</w:t>
      </w:r>
      <w:bookmarkEnd w:id="1185"/>
      <w:bookmarkEnd w:id="1186"/>
      <w:bookmarkEnd w:id="1187"/>
    </w:p>
    <w:p>
      <w:pPr>
        <w:spacing w:line="560" w:lineRule="exact"/>
        <w:ind w:firstLine="480" w:firstLineChars="200"/>
        <w:rPr>
          <w:rFonts w:ascii="仿宋" w:hAnsi="仿宋" w:eastAsia="仿宋" w:cs="仿宋"/>
          <w:sz w:val="24"/>
        </w:rPr>
      </w:pPr>
      <w:r>
        <w:rPr>
          <w:rFonts w:hint="eastAsia" w:ascii="仿宋" w:hAnsi="仿宋" w:eastAsia="仿宋" w:cs="仿宋"/>
          <w:sz w:val="24"/>
        </w:rPr>
        <w:t>1.6.1 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rPr>
          <w:rFonts w:ascii="仿宋" w:hAnsi="仿宋" w:eastAsia="仿宋" w:cs="仿宋"/>
          <w:b/>
          <w:sz w:val="24"/>
        </w:rPr>
      </w:pPr>
      <w:bookmarkStart w:id="1188" w:name="_Toc15583"/>
      <w:bookmarkStart w:id="1189" w:name="_Toc28375"/>
      <w:bookmarkStart w:id="1190" w:name="_Toc16021"/>
      <w:r>
        <w:rPr>
          <w:rFonts w:hint="eastAsia" w:ascii="仿宋" w:hAnsi="仿宋" w:eastAsia="仿宋" w:cs="仿宋"/>
          <w:b/>
          <w:sz w:val="24"/>
        </w:rPr>
        <w:t>1.7 合同争议的解决</w:t>
      </w:r>
      <w:bookmarkEnd w:id="1188"/>
      <w:bookmarkEnd w:id="1189"/>
      <w:bookmarkEnd w:id="1190"/>
    </w:p>
    <w:p>
      <w:pPr>
        <w:spacing w:line="560" w:lineRule="exact"/>
        <w:ind w:firstLine="480" w:firstLineChars="200"/>
        <w:rPr>
          <w:rFonts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 xml:space="preserve">    </w:t>
      </w:r>
      <w:r>
        <w:rPr>
          <w:rFonts w:hint="eastAsia" w:ascii="仿宋" w:hAnsi="仿宋" w:eastAsia="仿宋" w:cs="仿宋"/>
          <w:sz w:val="24"/>
        </w:rPr>
        <w:t>种方式解决：</w:t>
      </w:r>
    </w:p>
    <w:p>
      <w:pPr>
        <w:spacing w:line="560" w:lineRule="exact"/>
        <w:ind w:firstLine="480" w:firstLineChars="200"/>
        <w:rPr>
          <w:rFonts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 xml:space="preserve">              </w:t>
      </w:r>
      <w:r>
        <w:rPr>
          <w:rFonts w:hint="eastAsia" w:ascii="仿宋" w:hAnsi="仿宋" w:eastAsia="仿宋" w:cs="仿宋"/>
          <w:sz w:val="24"/>
        </w:rPr>
        <w:t>仲裁委员会依申请仲裁时其现行有效的仲裁规则裁决；</w:t>
      </w:r>
    </w:p>
    <w:p>
      <w:pPr>
        <w:spacing w:line="560" w:lineRule="exact"/>
        <w:ind w:firstLine="480" w:firstLineChars="200"/>
        <w:rPr>
          <w:rFonts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rPr>
        <w:t>人民法院起诉。</w:t>
      </w:r>
    </w:p>
    <w:p>
      <w:pPr>
        <w:spacing w:line="560" w:lineRule="exact"/>
        <w:ind w:firstLine="482" w:firstLineChars="200"/>
        <w:rPr>
          <w:rFonts w:ascii="仿宋" w:hAnsi="仿宋" w:eastAsia="仿宋" w:cs="仿宋"/>
          <w:b/>
          <w:sz w:val="24"/>
        </w:rPr>
      </w:pPr>
      <w:bookmarkStart w:id="1191" w:name="_Toc15322"/>
      <w:bookmarkStart w:id="1192" w:name="_Toc7245"/>
      <w:bookmarkStart w:id="1193" w:name="_Toc11173"/>
      <w:r>
        <w:rPr>
          <w:rFonts w:hint="eastAsia" w:ascii="仿宋" w:hAnsi="仿宋" w:eastAsia="仿宋" w:cs="仿宋"/>
          <w:b/>
          <w:sz w:val="24"/>
        </w:rPr>
        <w:t>1.8 合同生效</w:t>
      </w:r>
      <w:bookmarkEnd w:id="1191"/>
      <w:bookmarkEnd w:id="1192"/>
      <w:bookmarkEnd w:id="1193"/>
    </w:p>
    <w:p>
      <w:pPr>
        <w:spacing w:line="560" w:lineRule="exact"/>
        <w:ind w:firstLine="480" w:firstLineChars="200"/>
        <w:rPr>
          <w:rFonts w:ascii="仿宋" w:hAnsi="仿宋" w:eastAsia="仿宋" w:cs="仿宋"/>
          <w:b/>
          <w:sz w:val="24"/>
        </w:rPr>
      </w:pPr>
      <w:r>
        <w:rPr>
          <w:rFonts w:hint="eastAsia" w:ascii="仿宋" w:hAnsi="仿宋" w:eastAsia="仿宋" w:cs="仿宋"/>
          <w:sz w:val="24"/>
        </w:rPr>
        <w:t>本合同自双方当事人盖章或者签字时生效。</w:t>
      </w:r>
    </w:p>
    <w:p>
      <w:pPr>
        <w:autoSpaceDE w:val="0"/>
        <w:autoSpaceDN w:val="0"/>
        <w:adjustRightInd w:val="0"/>
        <w:spacing w:line="560" w:lineRule="exact"/>
        <w:rPr>
          <w:rFonts w:ascii="仿宋" w:hAnsi="仿宋" w:eastAsia="仿宋" w:cs="仿宋"/>
          <w:sz w:val="24"/>
          <w:lang w:val="zh-CN"/>
        </w:rPr>
      </w:pP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b/>
          <w:sz w:val="24"/>
          <w:lang w:val="zh-CN"/>
        </w:rPr>
        <w:t>甲方</w:t>
      </w:r>
      <w:r>
        <w:rPr>
          <w:rFonts w:hint="eastAsia" w:ascii="仿宋" w:hAnsi="仿宋" w:eastAsia="仿宋" w:cs="仿宋"/>
          <w:sz w:val="24"/>
          <w:lang w:val="zh-CN"/>
        </w:rPr>
        <w:t xml:space="preserve">：                             </w:t>
      </w:r>
      <w:r>
        <w:rPr>
          <w:rFonts w:hint="eastAsia" w:ascii="仿宋" w:hAnsi="仿宋" w:eastAsia="仿宋" w:cs="仿宋"/>
          <w:b/>
          <w:sz w:val="24"/>
          <w:lang w:val="zh-CN"/>
        </w:rPr>
        <w:t xml:space="preserve">      乙方</w:t>
      </w:r>
      <w:r>
        <w:rPr>
          <w:rFonts w:hint="eastAsia" w:ascii="仿宋" w:hAnsi="仿宋" w:eastAsia="仿宋" w:cs="仿宋"/>
          <w:sz w:val="24"/>
          <w:lang w:val="zh-CN"/>
        </w:rPr>
        <w:t>：</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pPr>
        <w:autoSpaceDE w:val="0"/>
        <w:autoSpaceDN w:val="0"/>
        <w:adjustRightInd w:val="0"/>
        <w:spacing w:line="560" w:lineRule="exact"/>
        <w:rPr>
          <w:rFonts w:ascii="仿宋" w:hAnsi="仿宋" w:eastAsia="仿宋" w:cs="仿宋"/>
          <w:sz w:val="24"/>
          <w:lang w:val="zh-CN"/>
        </w:rPr>
      </w:pP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住所：                                   住所：</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法定代表人或                             法定代表人</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 xml:space="preserve">授权代表（签字）：                        或授权代表（签字）: </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联系人：                                 联系人：</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约定送达地址：                           约定送达地址：</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邮政编码：                               邮政编码：</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 xml:space="preserve">电话:                                    电话: </w:t>
      </w:r>
    </w:p>
    <w:p>
      <w:pPr>
        <w:autoSpaceDE w:val="0"/>
        <w:autoSpaceDN w:val="0"/>
        <w:adjustRightInd w:val="0"/>
        <w:spacing w:line="560" w:lineRule="exact"/>
        <w:rPr>
          <w:rFonts w:ascii="仿宋" w:hAnsi="仿宋" w:eastAsia="仿宋" w:cs="仿宋"/>
          <w:sz w:val="24"/>
          <w:lang w:val="zh-CN"/>
        </w:rPr>
      </w:pPr>
      <w:r>
        <w:rPr>
          <w:rFonts w:hint="eastAsia" w:ascii="仿宋" w:hAnsi="仿宋" w:eastAsia="仿宋" w:cs="仿宋"/>
          <w:sz w:val="24"/>
          <w:lang w:val="zh-CN"/>
        </w:rPr>
        <w:t>传真:                                    传真:</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lang w:val="zh-CN"/>
        </w:rPr>
        <w:t>电子邮箱：                               电子邮箱：</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 xml:space="preserve">开户银行：                               开户银行： </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 xml:space="preserve">开户名称：                               开户名称： </w:t>
      </w:r>
    </w:p>
    <w:p>
      <w:pPr>
        <w:autoSpaceDE w:val="0"/>
        <w:autoSpaceDN w:val="0"/>
        <w:adjustRightInd w:val="0"/>
        <w:spacing w:line="560" w:lineRule="exact"/>
        <w:rPr>
          <w:rFonts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pPr>
        <w:widowControl/>
        <w:spacing w:line="560" w:lineRule="exact"/>
        <w:jc w:val="left"/>
        <w:rPr>
          <w:rFonts w:ascii="仿宋" w:hAnsi="仿宋" w:eastAsia="仿宋" w:cs="仿宋"/>
          <w:b/>
        </w:rPr>
      </w:pPr>
      <w:bookmarkStart w:id="1194" w:name="_Toc331685783"/>
    </w:p>
    <w:p>
      <w:pPr>
        <w:widowControl/>
        <w:spacing w:line="560" w:lineRule="exact"/>
        <w:jc w:val="left"/>
        <w:rPr>
          <w:rFonts w:ascii="仿宋" w:hAnsi="仿宋" w:eastAsia="仿宋" w:cs="仿宋"/>
          <w:b/>
          <w:kern w:val="0"/>
          <w:sz w:val="24"/>
        </w:rPr>
      </w:pPr>
    </w:p>
    <w:p>
      <w:pPr>
        <w:pStyle w:val="56"/>
        <w:spacing w:line="560" w:lineRule="exact"/>
        <w:ind w:firstLine="200"/>
        <w:jc w:val="center"/>
        <w:rPr>
          <w:rFonts w:ascii="仿宋" w:hAnsi="仿宋" w:eastAsia="仿宋" w:cs="仿宋"/>
          <w:b/>
          <w:szCs w:val="24"/>
        </w:rPr>
      </w:pPr>
      <w:r>
        <w:rPr>
          <w:rFonts w:hint="eastAsia" w:ascii="仿宋" w:hAnsi="仿宋" w:eastAsia="仿宋" w:cs="仿宋"/>
          <w:b/>
          <w:szCs w:val="24"/>
        </w:rPr>
        <w:t>第二部分 合同一般条款</w:t>
      </w:r>
      <w:bookmarkEnd w:id="1194"/>
    </w:p>
    <w:p>
      <w:pPr>
        <w:spacing w:line="560" w:lineRule="exact"/>
        <w:ind w:firstLine="482" w:firstLineChars="200"/>
        <w:rPr>
          <w:rFonts w:ascii="仿宋" w:hAnsi="仿宋" w:eastAsia="仿宋" w:cs="仿宋"/>
          <w:b/>
          <w:sz w:val="24"/>
        </w:rPr>
      </w:pPr>
      <w:bookmarkStart w:id="1195" w:name="_Ref467378463"/>
      <w:bookmarkStart w:id="1196" w:name="_Toc28763"/>
      <w:bookmarkStart w:id="1197" w:name="_Toc16917"/>
      <w:bookmarkStart w:id="1198" w:name="_Ref467379205"/>
      <w:bookmarkStart w:id="1199" w:name="_Toc19614"/>
      <w:bookmarkStart w:id="1200" w:name="_Ref467379101"/>
      <w:bookmarkStart w:id="1201" w:name="_Ref467379094"/>
      <w:bookmarkStart w:id="1202" w:name="_Ref467379109"/>
      <w:bookmarkStart w:id="1203" w:name="_Ref467379214"/>
      <w:bookmarkStart w:id="1204" w:name="_Ref467379195"/>
      <w:bookmarkStart w:id="1205" w:name="_Ref467379225"/>
      <w:bookmarkStart w:id="1206" w:name="_Toc259093669"/>
      <w:bookmarkStart w:id="1207" w:name="_Toc487900349"/>
      <w:bookmarkStart w:id="1208" w:name="_Ref467378404"/>
      <w:bookmarkStart w:id="1209" w:name="_Ref467378499"/>
      <w:bookmarkStart w:id="1210" w:name="_Toc279701240"/>
      <w:r>
        <w:rPr>
          <w:rFonts w:hint="eastAsia" w:ascii="仿宋" w:hAnsi="仿宋" w:eastAsia="仿宋" w:cs="仿宋"/>
          <w:b/>
          <w:sz w:val="24"/>
        </w:rPr>
        <w:t>2.1 定义</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p>
    <w:p>
      <w:pPr>
        <w:spacing w:line="560" w:lineRule="exact"/>
        <w:ind w:firstLine="480" w:firstLineChars="200"/>
        <w:rPr>
          <w:rFonts w:ascii="仿宋" w:hAnsi="仿宋" w:eastAsia="仿宋" w:cs="仿宋"/>
          <w:sz w:val="24"/>
        </w:rPr>
      </w:pPr>
      <w:r>
        <w:rPr>
          <w:rFonts w:hint="eastAsia" w:ascii="仿宋" w:hAnsi="仿宋" w:eastAsia="仿宋" w:cs="仿宋"/>
          <w:sz w:val="24"/>
        </w:rPr>
        <w:t>本合同中的下列词语应按以下内容进行解释：</w:t>
      </w:r>
    </w:p>
    <w:p>
      <w:pPr>
        <w:spacing w:line="560" w:lineRule="exact"/>
        <w:ind w:firstLine="480" w:firstLineChars="200"/>
        <w:rPr>
          <w:rFonts w:ascii="仿宋" w:hAnsi="仿宋" w:eastAsia="仿宋" w:cs="仿宋"/>
          <w:sz w:val="24"/>
        </w:rPr>
      </w:pPr>
      <w:r>
        <w:rPr>
          <w:rFonts w:hint="eastAsia" w:ascii="仿宋" w:hAnsi="仿宋" w:eastAsia="仿宋" w:cs="仿宋"/>
          <w:sz w:val="24"/>
        </w:rPr>
        <w:t>2.1.1 “合同”系指采购人和</w:t>
      </w:r>
      <w:r>
        <w:rPr>
          <w:rFonts w:hint="eastAsia" w:ascii="仿宋" w:hAnsi="仿宋" w:eastAsia="仿宋" w:cs="仿宋"/>
          <w:sz w:val="24"/>
          <w:lang w:eastAsia="zh-CN"/>
        </w:rPr>
        <w:t>中标人</w:t>
      </w:r>
      <w:r>
        <w:rPr>
          <w:rFonts w:hint="eastAsia" w:ascii="仿宋" w:hAnsi="仿宋" w:eastAsia="仿宋" w:cs="仿宋"/>
          <w:sz w:val="24"/>
        </w:rPr>
        <w:t>签订的载明双方当事人所达成的协议，并包括所有的附件、附录和构成合同的其他文件。</w:t>
      </w:r>
    </w:p>
    <w:p>
      <w:pPr>
        <w:spacing w:line="560" w:lineRule="exact"/>
        <w:ind w:firstLine="480" w:firstLineChars="200"/>
        <w:rPr>
          <w:rFonts w:ascii="仿宋" w:hAnsi="仿宋" w:eastAsia="仿宋" w:cs="仿宋"/>
          <w:sz w:val="24"/>
        </w:rPr>
      </w:pPr>
      <w:r>
        <w:rPr>
          <w:rFonts w:hint="eastAsia" w:ascii="仿宋" w:hAnsi="仿宋" w:eastAsia="仿宋" w:cs="仿宋"/>
          <w:sz w:val="24"/>
        </w:rPr>
        <w:t>2.1.2 “合同价”系指根据合同约定，</w:t>
      </w:r>
      <w:r>
        <w:rPr>
          <w:rFonts w:hint="eastAsia" w:ascii="仿宋" w:hAnsi="仿宋" w:eastAsia="仿宋" w:cs="仿宋"/>
          <w:sz w:val="24"/>
          <w:lang w:eastAsia="zh-CN"/>
        </w:rPr>
        <w:t>中标人</w:t>
      </w:r>
      <w:r>
        <w:rPr>
          <w:rFonts w:hint="eastAsia" w:ascii="仿宋" w:hAnsi="仿宋" w:eastAsia="仿宋" w:cs="仿宋"/>
          <w:sz w:val="24"/>
        </w:rPr>
        <w:t>在完全履行合同义务后，采购人应支付给</w:t>
      </w:r>
      <w:r>
        <w:rPr>
          <w:rFonts w:hint="eastAsia" w:ascii="仿宋" w:hAnsi="仿宋" w:eastAsia="仿宋" w:cs="仿宋"/>
          <w:sz w:val="24"/>
          <w:lang w:eastAsia="zh-CN"/>
        </w:rPr>
        <w:t>中标人</w:t>
      </w:r>
      <w:r>
        <w:rPr>
          <w:rFonts w:hint="eastAsia" w:ascii="仿宋" w:hAnsi="仿宋" w:eastAsia="仿宋" w:cs="仿宋"/>
          <w:sz w:val="24"/>
        </w:rPr>
        <w:t>的价格。</w:t>
      </w:r>
    </w:p>
    <w:p>
      <w:pPr>
        <w:spacing w:line="560" w:lineRule="exact"/>
        <w:ind w:firstLine="480" w:firstLineChars="200"/>
        <w:rPr>
          <w:rFonts w:ascii="仿宋" w:hAnsi="仿宋" w:eastAsia="仿宋" w:cs="仿宋"/>
          <w:sz w:val="24"/>
        </w:rPr>
      </w:pPr>
      <w:r>
        <w:rPr>
          <w:rFonts w:hint="eastAsia" w:ascii="仿宋" w:hAnsi="仿宋" w:eastAsia="仿宋" w:cs="仿宋"/>
          <w:sz w:val="24"/>
        </w:rPr>
        <w:t>2.1.3 “货物”系指</w:t>
      </w:r>
      <w:r>
        <w:rPr>
          <w:rFonts w:hint="eastAsia" w:ascii="仿宋" w:hAnsi="仿宋" w:eastAsia="仿宋" w:cs="仿宋"/>
          <w:sz w:val="24"/>
          <w:lang w:eastAsia="zh-CN"/>
        </w:rPr>
        <w:t>中标人</w:t>
      </w:r>
      <w:r>
        <w:rPr>
          <w:rFonts w:hint="eastAsia" w:ascii="仿宋" w:hAnsi="仿宋" w:eastAsia="仿宋" w:cs="仿宋"/>
          <w:sz w:val="24"/>
        </w:rPr>
        <w:t>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仿宋" w:hAnsi="仿宋" w:eastAsia="仿宋" w:cs="仿宋"/>
          <w:sz w:val="24"/>
        </w:rPr>
      </w:pPr>
      <w:bookmarkStart w:id="1211" w:name="_Ref467378840"/>
      <w:r>
        <w:rPr>
          <w:rFonts w:hint="eastAsia" w:ascii="仿宋" w:hAnsi="仿宋" w:eastAsia="仿宋" w:cs="仿宋"/>
          <w:sz w:val="24"/>
        </w:rPr>
        <w:t>2.1.4 “甲方”系指与</w:t>
      </w:r>
      <w:r>
        <w:rPr>
          <w:rFonts w:hint="eastAsia" w:ascii="仿宋" w:hAnsi="仿宋" w:eastAsia="仿宋" w:cs="仿宋"/>
          <w:sz w:val="24"/>
          <w:lang w:eastAsia="zh-CN"/>
        </w:rPr>
        <w:t>中标人</w:t>
      </w:r>
      <w:r>
        <w:rPr>
          <w:rFonts w:hint="eastAsia" w:ascii="仿宋" w:hAnsi="仿宋" w:eastAsia="仿宋" w:cs="仿宋"/>
          <w:sz w:val="24"/>
        </w:rPr>
        <w:t>签署合同的采购人</w:t>
      </w:r>
      <w:bookmarkEnd w:id="1211"/>
      <w:r>
        <w:rPr>
          <w:rFonts w:hint="eastAsia" w:ascii="仿宋" w:hAnsi="仿宋" w:eastAsia="仿宋" w:cs="仿宋"/>
          <w:sz w:val="24"/>
        </w:rPr>
        <w:t>；采购人委托采购代理机构代表其与乙方签订合同的，采购人的授权委托书作为合同附件。</w:t>
      </w:r>
    </w:p>
    <w:p>
      <w:pPr>
        <w:spacing w:line="560" w:lineRule="exact"/>
        <w:ind w:firstLine="480" w:firstLineChars="200"/>
        <w:rPr>
          <w:rFonts w:ascii="仿宋" w:hAnsi="仿宋" w:eastAsia="仿宋" w:cs="仿宋"/>
          <w:sz w:val="24"/>
        </w:rPr>
      </w:pPr>
      <w:bookmarkStart w:id="1212" w:name="_Ref467379400"/>
      <w:r>
        <w:rPr>
          <w:rFonts w:hint="eastAsia" w:ascii="仿宋" w:hAnsi="仿宋" w:eastAsia="仿宋" w:cs="仿宋"/>
          <w:sz w:val="24"/>
        </w:rPr>
        <w:t>2.1.5 “乙方”系指根据合同约定交付货物的</w:t>
      </w:r>
      <w:bookmarkEnd w:id="1212"/>
      <w:r>
        <w:rPr>
          <w:rFonts w:hint="eastAsia" w:ascii="仿宋" w:hAnsi="仿宋" w:eastAsia="仿宋" w:cs="仿宋"/>
          <w:sz w:val="24"/>
          <w:lang w:eastAsia="zh-CN"/>
        </w:rPr>
        <w:t>中标人</w:t>
      </w:r>
      <w:r>
        <w:rPr>
          <w:rFonts w:hint="eastAsia" w:ascii="仿宋" w:hAnsi="仿宋" w:eastAsia="仿宋" w:cs="仿宋"/>
          <w:sz w:val="24"/>
        </w:rPr>
        <w:t>；两个以上的自然人、法人或者其他组织组成一个联合体，以一个</w:t>
      </w:r>
      <w:r>
        <w:rPr>
          <w:rFonts w:hint="eastAsia" w:ascii="仿宋" w:hAnsi="仿宋" w:eastAsia="仿宋" w:cs="仿宋"/>
          <w:sz w:val="24"/>
          <w:lang w:eastAsia="zh-CN"/>
        </w:rPr>
        <w:t>投标人</w:t>
      </w:r>
      <w:r>
        <w:rPr>
          <w:rFonts w:hint="eastAsia" w:ascii="仿宋" w:hAnsi="仿宋" w:eastAsia="仿宋" w:cs="仿宋"/>
          <w:sz w:val="24"/>
        </w:rPr>
        <w:t>的身份共同参加政府采购的，联合体各方均应为乙方或者与乙方相同地位的合同当事人，并就合同约定的事项对甲方承担连带责任。</w:t>
      </w:r>
    </w:p>
    <w:p>
      <w:pPr>
        <w:spacing w:line="560" w:lineRule="exact"/>
        <w:ind w:firstLine="480" w:firstLineChars="200"/>
        <w:rPr>
          <w:rFonts w:ascii="仿宋" w:hAnsi="仿宋" w:eastAsia="仿宋" w:cs="仿宋"/>
          <w:sz w:val="24"/>
        </w:rPr>
      </w:pPr>
      <w:bookmarkStart w:id="1213" w:name="_Ref467379436"/>
      <w:r>
        <w:rPr>
          <w:rFonts w:hint="eastAsia" w:ascii="仿宋" w:hAnsi="仿宋" w:eastAsia="仿宋" w:cs="仿宋"/>
          <w:sz w:val="24"/>
        </w:rPr>
        <w:t>2.1.6 “现场”系指合同约定货物将要运至或者安装的地点。</w:t>
      </w:r>
      <w:bookmarkEnd w:id="1213"/>
    </w:p>
    <w:p>
      <w:pPr>
        <w:spacing w:line="560" w:lineRule="exact"/>
        <w:ind w:firstLine="482" w:firstLineChars="200"/>
        <w:rPr>
          <w:rFonts w:ascii="仿宋" w:hAnsi="仿宋" w:eastAsia="仿宋" w:cs="仿宋"/>
          <w:b/>
          <w:sz w:val="24"/>
        </w:rPr>
      </w:pPr>
      <w:bookmarkStart w:id="1214" w:name="_Toc13336"/>
      <w:bookmarkStart w:id="1215" w:name="_Toc259093670"/>
      <w:bookmarkStart w:id="1216" w:name="_Toc279701241"/>
      <w:bookmarkStart w:id="1217" w:name="_Toc32504"/>
      <w:bookmarkStart w:id="1218" w:name="_Toc487900350"/>
      <w:bookmarkStart w:id="1219" w:name="_Toc27635"/>
      <w:r>
        <w:rPr>
          <w:rFonts w:hint="eastAsia" w:ascii="仿宋" w:hAnsi="仿宋" w:eastAsia="仿宋" w:cs="仿宋"/>
          <w:b/>
          <w:sz w:val="24"/>
        </w:rPr>
        <w:t>2.2 技术规范</w:t>
      </w:r>
      <w:bookmarkEnd w:id="1214"/>
      <w:bookmarkEnd w:id="1215"/>
      <w:bookmarkEnd w:id="1216"/>
      <w:bookmarkEnd w:id="1217"/>
      <w:bookmarkEnd w:id="1218"/>
      <w:bookmarkEnd w:id="1219"/>
    </w:p>
    <w:p>
      <w:pPr>
        <w:spacing w:line="560" w:lineRule="exact"/>
        <w:ind w:firstLine="480" w:firstLineChars="200"/>
        <w:rPr>
          <w:rFonts w:ascii="仿宋" w:hAnsi="仿宋" w:eastAsia="仿宋" w:cs="仿宋"/>
          <w:sz w:val="24"/>
        </w:rPr>
      </w:pPr>
      <w:r>
        <w:rPr>
          <w:rFonts w:hint="eastAsia" w:ascii="仿宋" w:hAnsi="仿宋" w:eastAsia="仿宋" w:cs="仿宋"/>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rPr>
          <w:rFonts w:ascii="仿宋" w:hAnsi="仿宋" w:eastAsia="仿宋" w:cs="仿宋"/>
          <w:b/>
          <w:sz w:val="24"/>
        </w:rPr>
      </w:pPr>
      <w:bookmarkStart w:id="1220" w:name="_Toc279701242"/>
      <w:bookmarkStart w:id="1221" w:name="_Toc259093671"/>
      <w:bookmarkStart w:id="1222" w:name="_Toc9829"/>
      <w:bookmarkStart w:id="1223" w:name="_Toc27853"/>
      <w:bookmarkStart w:id="1224" w:name="_Toc487900351"/>
      <w:bookmarkStart w:id="1225" w:name="_Toc31634"/>
      <w:r>
        <w:rPr>
          <w:rFonts w:hint="eastAsia" w:ascii="仿宋" w:hAnsi="仿宋" w:eastAsia="仿宋" w:cs="仿宋"/>
          <w:b/>
          <w:sz w:val="24"/>
        </w:rPr>
        <w:t>2.3 知识产权</w:t>
      </w:r>
      <w:bookmarkEnd w:id="1220"/>
      <w:bookmarkEnd w:id="1221"/>
      <w:bookmarkEnd w:id="1222"/>
      <w:bookmarkEnd w:id="1223"/>
      <w:bookmarkEnd w:id="1224"/>
      <w:bookmarkEnd w:id="1225"/>
    </w:p>
    <w:p>
      <w:pPr>
        <w:spacing w:line="560" w:lineRule="exact"/>
        <w:ind w:firstLine="480" w:firstLineChars="200"/>
        <w:rPr>
          <w:rFonts w:ascii="仿宋" w:hAnsi="仿宋" w:eastAsia="仿宋" w:cs="仿宋"/>
          <w:sz w:val="24"/>
        </w:rPr>
      </w:pPr>
      <w:r>
        <w:rPr>
          <w:rFonts w:hint="eastAsia" w:ascii="仿宋" w:hAnsi="仿宋" w:eastAsia="仿宋" w:cs="仿宋"/>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仿宋" w:hAnsi="仿宋" w:eastAsia="仿宋" w:cs="仿宋"/>
          <w:sz w:val="24"/>
        </w:rPr>
      </w:pPr>
      <w:r>
        <w:rPr>
          <w:rFonts w:hint="eastAsia" w:ascii="仿宋" w:hAnsi="仿宋" w:eastAsia="仿宋" w:cs="仿宋"/>
          <w:sz w:val="24"/>
        </w:rPr>
        <w:t>2.3.2具有知识产权的计算机软件等货物的知识产权归属，详见</w:t>
      </w:r>
      <w:r>
        <w:rPr>
          <w:rFonts w:hint="eastAsia" w:ascii="仿宋" w:hAnsi="仿宋" w:eastAsia="仿宋" w:cs="仿宋"/>
          <w:b/>
          <w:i/>
          <w:sz w:val="24"/>
          <w:u w:val="single"/>
        </w:rPr>
        <w:t>合同专用条款</w:t>
      </w:r>
      <w:r>
        <w:rPr>
          <w:rFonts w:hint="eastAsia" w:ascii="仿宋" w:hAnsi="仿宋" w:eastAsia="仿宋" w:cs="仿宋"/>
          <w:sz w:val="24"/>
        </w:rPr>
        <w:t>。</w:t>
      </w:r>
    </w:p>
    <w:p>
      <w:pPr>
        <w:spacing w:line="560" w:lineRule="exact"/>
        <w:ind w:firstLine="482" w:firstLineChars="200"/>
        <w:rPr>
          <w:rFonts w:ascii="仿宋" w:hAnsi="仿宋" w:eastAsia="仿宋" w:cs="仿宋"/>
          <w:b/>
          <w:sz w:val="24"/>
        </w:rPr>
      </w:pPr>
      <w:bookmarkStart w:id="1226" w:name="_Toc11932"/>
      <w:bookmarkStart w:id="1227" w:name="_Toc29149"/>
      <w:bookmarkStart w:id="1228" w:name="_Toc4194"/>
      <w:r>
        <w:rPr>
          <w:rFonts w:hint="eastAsia" w:ascii="仿宋" w:hAnsi="仿宋" w:eastAsia="仿宋" w:cs="仿宋"/>
          <w:b/>
          <w:sz w:val="24"/>
        </w:rPr>
        <w:t>2.4 包装和装运</w:t>
      </w:r>
      <w:bookmarkEnd w:id="1226"/>
      <w:bookmarkEnd w:id="1227"/>
      <w:bookmarkEnd w:id="1228"/>
    </w:p>
    <w:p>
      <w:pPr>
        <w:spacing w:line="560" w:lineRule="exact"/>
        <w:ind w:firstLine="480" w:firstLineChars="200"/>
        <w:rPr>
          <w:rFonts w:ascii="仿宋" w:hAnsi="仿宋" w:eastAsia="仿宋" w:cs="仿宋"/>
          <w:sz w:val="24"/>
        </w:rPr>
      </w:pPr>
      <w:r>
        <w:rPr>
          <w:rFonts w:hint="eastAsia" w:ascii="仿宋" w:hAnsi="仿宋" w:eastAsia="仿宋" w:cs="仿宋"/>
          <w:sz w:val="24"/>
        </w:rPr>
        <w:t>2.4.1除</w:t>
      </w:r>
      <w:r>
        <w:rPr>
          <w:rFonts w:hint="eastAsia" w:ascii="仿宋" w:hAnsi="仿宋" w:eastAsia="仿宋" w:cs="仿宋"/>
          <w:b/>
          <w:i/>
          <w:sz w:val="24"/>
          <w:u w:val="single"/>
        </w:rPr>
        <w:t>合同专用条款</w:t>
      </w:r>
      <w:r>
        <w:rPr>
          <w:rFonts w:hint="eastAsia" w:ascii="仿宋" w:hAnsi="仿宋" w:eastAsia="仿宋" w:cs="仿宋"/>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仿宋" w:hAnsi="仿宋" w:eastAsia="仿宋" w:cs="仿宋"/>
          <w:sz w:val="24"/>
        </w:rPr>
      </w:pPr>
      <w:r>
        <w:rPr>
          <w:rFonts w:hint="eastAsia" w:ascii="仿宋" w:hAnsi="仿宋" w:eastAsia="仿宋" w:cs="仿宋"/>
          <w:sz w:val="24"/>
        </w:rPr>
        <w:t>2.4.2 装运货物的要求和通知，详见</w:t>
      </w:r>
      <w:r>
        <w:rPr>
          <w:rFonts w:hint="eastAsia" w:ascii="仿宋" w:hAnsi="仿宋" w:eastAsia="仿宋" w:cs="仿宋"/>
          <w:b/>
          <w:i/>
          <w:sz w:val="24"/>
          <w:u w:val="single"/>
        </w:rPr>
        <w:t>合同专用条款</w:t>
      </w:r>
      <w:r>
        <w:rPr>
          <w:rFonts w:hint="eastAsia" w:ascii="仿宋" w:hAnsi="仿宋" w:eastAsia="仿宋" w:cs="仿宋"/>
          <w:sz w:val="24"/>
        </w:rPr>
        <w:t>。</w:t>
      </w:r>
    </w:p>
    <w:p>
      <w:pPr>
        <w:spacing w:line="560" w:lineRule="exact"/>
        <w:ind w:firstLine="482" w:firstLineChars="200"/>
        <w:rPr>
          <w:rFonts w:ascii="仿宋" w:hAnsi="仿宋" w:eastAsia="仿宋" w:cs="仿宋"/>
          <w:b/>
          <w:sz w:val="24"/>
        </w:rPr>
      </w:pPr>
      <w:bookmarkStart w:id="1229" w:name="_Toc487900354"/>
      <w:bookmarkStart w:id="1230" w:name="_Ref467378541"/>
      <w:bookmarkStart w:id="1231" w:name="_Ref467378591"/>
      <w:bookmarkStart w:id="1232" w:name="_Ref467379542"/>
      <w:bookmarkStart w:id="1233" w:name="_Toc279701245"/>
      <w:bookmarkStart w:id="1234" w:name="_Toc259093674"/>
      <w:bookmarkStart w:id="1235" w:name="_Ref467379527"/>
      <w:bookmarkStart w:id="1236" w:name="_Ref467379536"/>
      <w:bookmarkStart w:id="1237" w:name="_Toc26182"/>
      <w:bookmarkStart w:id="1238" w:name="_Toc19074"/>
      <w:bookmarkStart w:id="1239" w:name="_Toc30272"/>
      <w:r>
        <w:rPr>
          <w:rFonts w:hint="eastAsia" w:ascii="仿宋" w:hAnsi="仿宋" w:eastAsia="仿宋" w:cs="仿宋"/>
          <w:b/>
          <w:sz w:val="24"/>
        </w:rPr>
        <w:t>2.</w:t>
      </w:r>
      <w:bookmarkEnd w:id="1229"/>
      <w:bookmarkEnd w:id="1230"/>
      <w:bookmarkEnd w:id="1231"/>
      <w:bookmarkEnd w:id="1232"/>
      <w:bookmarkEnd w:id="1233"/>
      <w:bookmarkEnd w:id="1234"/>
      <w:bookmarkEnd w:id="1235"/>
      <w:bookmarkEnd w:id="1236"/>
      <w:r>
        <w:rPr>
          <w:rFonts w:hint="eastAsia" w:ascii="仿宋" w:hAnsi="仿宋" w:eastAsia="仿宋" w:cs="仿宋"/>
          <w:b/>
          <w:sz w:val="24"/>
        </w:rPr>
        <w:t>5 履约检查和问题反馈</w:t>
      </w:r>
      <w:bookmarkEnd w:id="1237"/>
      <w:bookmarkEnd w:id="1238"/>
      <w:bookmarkEnd w:id="1239"/>
    </w:p>
    <w:p>
      <w:pPr>
        <w:spacing w:line="560" w:lineRule="exact"/>
        <w:ind w:firstLine="480" w:firstLineChars="200"/>
        <w:rPr>
          <w:rFonts w:ascii="仿宋" w:hAnsi="仿宋" w:eastAsia="仿宋" w:cs="仿宋"/>
          <w:sz w:val="24"/>
        </w:rPr>
      </w:pPr>
      <w:bookmarkStart w:id="1240" w:name="_Ref467379657"/>
      <w:r>
        <w:rPr>
          <w:rFonts w:hint="eastAsia" w:ascii="仿宋" w:hAnsi="仿宋" w:eastAsia="仿宋" w:cs="仿宋"/>
          <w:sz w:val="24"/>
        </w:rPr>
        <w:t>2.5.1</w:t>
      </w:r>
      <w:bookmarkEnd w:id="1240"/>
      <w:bookmarkStart w:id="1241" w:name="_Toc186431854"/>
      <w:bookmarkStart w:id="1242" w:name="_Ref467379793"/>
      <w:bookmarkStart w:id="1243" w:name="_Toc279701247"/>
      <w:bookmarkStart w:id="1244" w:name="_Toc259093676"/>
      <w:bookmarkStart w:id="1245" w:name="_Toc487900357"/>
      <w:bookmarkStart w:id="1246" w:name="_Ref467379807"/>
      <w:r>
        <w:rPr>
          <w:rFonts w:hint="eastAsia" w:ascii="仿宋" w:hAnsi="仿宋" w:eastAsia="仿宋" w:cs="仿宋"/>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仿宋" w:hAnsi="仿宋" w:eastAsia="仿宋" w:cs="仿宋"/>
          <w:sz w:val="24"/>
        </w:rPr>
      </w:pPr>
      <w:r>
        <w:rPr>
          <w:rFonts w:hint="eastAsia" w:ascii="仿宋" w:hAnsi="仿宋" w:eastAsia="仿宋" w:cs="仿宋"/>
          <w:sz w:val="24"/>
        </w:rPr>
        <w:t>2.5.2 合同履行期间，甲方有权将履行过程中出现的问题反馈给乙方，双方当事人应以书面形式约定需要完善和改进的内容</w:t>
      </w:r>
      <w:bookmarkEnd w:id="1241"/>
      <w:bookmarkStart w:id="1247" w:name="_Toc186431855"/>
      <w:r>
        <w:rPr>
          <w:rFonts w:hint="eastAsia" w:ascii="仿宋" w:hAnsi="仿宋" w:eastAsia="仿宋" w:cs="仿宋"/>
          <w:sz w:val="24"/>
        </w:rPr>
        <w:t>。</w:t>
      </w:r>
    </w:p>
    <w:bookmarkEnd w:id="1247"/>
    <w:p>
      <w:pPr>
        <w:spacing w:line="560" w:lineRule="exact"/>
        <w:ind w:firstLine="482" w:firstLineChars="200"/>
        <w:rPr>
          <w:rFonts w:ascii="仿宋" w:hAnsi="仿宋" w:eastAsia="仿宋" w:cs="仿宋"/>
          <w:b/>
          <w:sz w:val="24"/>
        </w:rPr>
      </w:pPr>
      <w:bookmarkStart w:id="1248" w:name="_Toc28451"/>
      <w:bookmarkStart w:id="1249" w:name="_Toc7836"/>
      <w:bookmarkStart w:id="1250" w:name="_Toc19219"/>
      <w:r>
        <w:rPr>
          <w:rFonts w:hint="eastAsia" w:ascii="仿宋" w:hAnsi="仿宋" w:eastAsia="仿宋" w:cs="仿宋"/>
          <w:b/>
          <w:sz w:val="24"/>
        </w:rPr>
        <w:t>2.6 结算方式和付款条件</w:t>
      </w:r>
      <w:bookmarkEnd w:id="1242"/>
      <w:bookmarkEnd w:id="1243"/>
      <w:bookmarkEnd w:id="1244"/>
      <w:bookmarkEnd w:id="1245"/>
      <w:bookmarkEnd w:id="1246"/>
      <w:bookmarkEnd w:id="1248"/>
      <w:bookmarkEnd w:id="1249"/>
      <w:bookmarkEnd w:id="1250"/>
    </w:p>
    <w:p>
      <w:pPr>
        <w:spacing w:line="560" w:lineRule="exact"/>
        <w:ind w:firstLine="480" w:firstLineChars="200"/>
        <w:rPr>
          <w:rFonts w:ascii="仿宋" w:hAnsi="仿宋" w:eastAsia="仿宋" w:cs="仿宋"/>
          <w:sz w:val="24"/>
        </w:rPr>
      </w:pPr>
      <w:r>
        <w:rPr>
          <w:rFonts w:hint="eastAsia" w:ascii="仿宋" w:hAnsi="仿宋" w:eastAsia="仿宋" w:cs="仿宋"/>
          <w:sz w:val="24"/>
        </w:rPr>
        <w:t>详见</w:t>
      </w:r>
      <w:r>
        <w:rPr>
          <w:rFonts w:hint="eastAsia" w:ascii="仿宋" w:hAnsi="仿宋" w:eastAsia="仿宋" w:cs="仿宋"/>
          <w:b/>
          <w:i/>
          <w:sz w:val="24"/>
          <w:u w:val="single"/>
        </w:rPr>
        <w:t>合同专用条款</w:t>
      </w:r>
      <w:r>
        <w:rPr>
          <w:rFonts w:hint="eastAsia" w:ascii="仿宋" w:hAnsi="仿宋" w:eastAsia="仿宋" w:cs="仿宋"/>
          <w:sz w:val="24"/>
        </w:rPr>
        <w:t>。</w:t>
      </w:r>
    </w:p>
    <w:p>
      <w:pPr>
        <w:spacing w:line="560" w:lineRule="exact"/>
        <w:ind w:firstLine="482" w:firstLineChars="200"/>
        <w:rPr>
          <w:rFonts w:ascii="仿宋" w:hAnsi="仿宋" w:eastAsia="仿宋" w:cs="仿宋"/>
          <w:b/>
          <w:sz w:val="24"/>
        </w:rPr>
      </w:pPr>
      <w:bookmarkStart w:id="1251" w:name="_Toc487900358"/>
      <w:bookmarkStart w:id="1252" w:name="_Ref467379852"/>
      <w:bookmarkStart w:id="1253" w:name="_Ref467379863"/>
      <w:bookmarkStart w:id="1254" w:name="_Toc259093677"/>
      <w:bookmarkStart w:id="1255" w:name="_Ref467379923"/>
      <w:bookmarkStart w:id="1256" w:name="_Toc279701248"/>
      <w:bookmarkStart w:id="1257" w:name="_Toc16110"/>
      <w:bookmarkStart w:id="1258" w:name="_Toc774"/>
      <w:bookmarkStart w:id="1259" w:name="_Toc3225"/>
      <w:r>
        <w:rPr>
          <w:rFonts w:hint="eastAsia" w:ascii="仿宋" w:hAnsi="仿宋" w:eastAsia="仿宋" w:cs="仿宋"/>
          <w:b/>
          <w:sz w:val="24"/>
        </w:rPr>
        <w:t>2.7 技术资料</w:t>
      </w:r>
      <w:bookmarkEnd w:id="1251"/>
      <w:bookmarkEnd w:id="1252"/>
      <w:bookmarkEnd w:id="1253"/>
      <w:bookmarkEnd w:id="1254"/>
      <w:bookmarkEnd w:id="1255"/>
      <w:bookmarkEnd w:id="1256"/>
      <w:r>
        <w:rPr>
          <w:rFonts w:hint="eastAsia" w:ascii="仿宋" w:hAnsi="仿宋" w:eastAsia="仿宋" w:cs="仿宋"/>
          <w:b/>
          <w:sz w:val="24"/>
        </w:rPr>
        <w:t>和保密义务</w:t>
      </w:r>
      <w:bookmarkEnd w:id="1257"/>
      <w:bookmarkEnd w:id="1258"/>
      <w:bookmarkEnd w:id="1259"/>
    </w:p>
    <w:p>
      <w:pPr>
        <w:spacing w:line="560" w:lineRule="exact"/>
        <w:ind w:firstLine="480" w:firstLineChars="200"/>
        <w:rPr>
          <w:rFonts w:ascii="仿宋" w:hAnsi="仿宋" w:eastAsia="仿宋" w:cs="仿宋"/>
          <w:sz w:val="24"/>
        </w:rPr>
      </w:pPr>
      <w:r>
        <w:rPr>
          <w:rFonts w:hint="eastAsia" w:ascii="仿宋" w:hAnsi="仿宋" w:eastAsia="仿宋" w:cs="仿宋"/>
          <w:sz w:val="24"/>
        </w:rPr>
        <w:t>2.7.1 乙方有权依据合同约定和项目需要，向甲方了解有关情况，调阅有关资料等，甲方应予积极配合；</w:t>
      </w:r>
    </w:p>
    <w:p>
      <w:pPr>
        <w:spacing w:line="560" w:lineRule="exact"/>
        <w:ind w:firstLine="480" w:firstLineChars="200"/>
        <w:rPr>
          <w:rFonts w:ascii="仿宋" w:hAnsi="仿宋" w:eastAsia="仿宋" w:cs="仿宋"/>
          <w:sz w:val="24"/>
        </w:rPr>
      </w:pPr>
      <w:r>
        <w:rPr>
          <w:rFonts w:hint="eastAsia" w:ascii="仿宋" w:hAnsi="仿宋" w:eastAsia="仿宋" w:cs="仿宋"/>
          <w:sz w:val="24"/>
        </w:rPr>
        <w:t>2.7.2 乙方有义务妥善保管和保护由甲方提供的前款信息和资料等；</w:t>
      </w:r>
    </w:p>
    <w:p>
      <w:pPr>
        <w:spacing w:line="560" w:lineRule="exact"/>
        <w:ind w:firstLine="480" w:firstLineChars="200"/>
        <w:rPr>
          <w:rFonts w:ascii="仿宋" w:hAnsi="仿宋" w:eastAsia="仿宋" w:cs="仿宋"/>
          <w:sz w:val="24"/>
        </w:rPr>
      </w:pPr>
      <w:r>
        <w:rPr>
          <w:rFonts w:hint="eastAsia" w:ascii="仿宋" w:hAnsi="仿宋" w:eastAsia="仿宋" w:cs="仿宋"/>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rPr>
          <w:rFonts w:ascii="仿宋" w:hAnsi="仿宋" w:eastAsia="仿宋" w:cs="仿宋"/>
          <w:b/>
          <w:sz w:val="24"/>
        </w:rPr>
      </w:pPr>
      <w:bookmarkStart w:id="1260" w:name="_Toc7860"/>
      <w:r>
        <w:rPr>
          <w:rFonts w:hint="eastAsia" w:ascii="仿宋" w:hAnsi="仿宋" w:eastAsia="仿宋" w:cs="仿宋"/>
          <w:b/>
          <w:sz w:val="24"/>
        </w:rPr>
        <w:t>2.8 质量保证</w:t>
      </w:r>
      <w:bookmarkEnd w:id="1260"/>
    </w:p>
    <w:p>
      <w:pPr>
        <w:spacing w:line="560" w:lineRule="exact"/>
        <w:ind w:firstLine="480" w:firstLineChars="200"/>
        <w:rPr>
          <w:rFonts w:ascii="仿宋" w:hAnsi="仿宋" w:eastAsia="仿宋" w:cs="仿宋"/>
          <w:sz w:val="24"/>
        </w:rPr>
      </w:pPr>
      <w:r>
        <w:rPr>
          <w:rFonts w:hint="eastAsia" w:ascii="仿宋" w:hAnsi="仿宋" w:eastAsia="仿宋" w:cs="仿宋"/>
          <w:sz w:val="24"/>
        </w:rPr>
        <w:t>2.8.1 乙方应建立和完善履行合同的内部质量保证体系，并提供相关内部规章制度给甲方，以便甲方进行监督检查；</w:t>
      </w:r>
    </w:p>
    <w:p>
      <w:pPr>
        <w:spacing w:line="560" w:lineRule="exact"/>
        <w:ind w:firstLine="480" w:firstLineChars="200"/>
        <w:rPr>
          <w:rFonts w:ascii="仿宋" w:hAnsi="仿宋" w:eastAsia="仿宋" w:cs="仿宋"/>
          <w:sz w:val="24"/>
        </w:rPr>
      </w:pPr>
      <w:r>
        <w:rPr>
          <w:rFonts w:hint="eastAsia" w:ascii="仿宋" w:hAnsi="仿宋" w:eastAsia="仿宋" w:cs="仿宋"/>
          <w:sz w:val="24"/>
        </w:rPr>
        <w:t>2.8.2 乙方应保证履行合同的人员数量和素质、软件和硬件设备的配置、场地、环境和设施等满足全面履行合同的要求，并应接受甲方的监督检查。</w:t>
      </w:r>
    </w:p>
    <w:p>
      <w:pPr>
        <w:spacing w:line="560" w:lineRule="exact"/>
        <w:ind w:firstLine="482" w:firstLineChars="200"/>
        <w:rPr>
          <w:rFonts w:ascii="仿宋" w:hAnsi="仿宋" w:eastAsia="仿宋" w:cs="仿宋"/>
          <w:b/>
          <w:sz w:val="24"/>
        </w:rPr>
      </w:pPr>
      <w:bookmarkStart w:id="1261" w:name="_Toc17244"/>
      <w:bookmarkStart w:id="1262" w:name="_Toc259093681"/>
      <w:bookmarkStart w:id="1263" w:name="_Toc487900362"/>
      <w:bookmarkStart w:id="1264" w:name="_Toc279701252"/>
      <w:r>
        <w:rPr>
          <w:rFonts w:hint="eastAsia" w:ascii="仿宋" w:hAnsi="仿宋" w:eastAsia="仿宋" w:cs="仿宋"/>
          <w:b/>
          <w:sz w:val="24"/>
        </w:rPr>
        <w:t>2.9 货物的风险负担</w:t>
      </w:r>
      <w:bookmarkEnd w:id="1261"/>
    </w:p>
    <w:p>
      <w:pPr>
        <w:spacing w:line="560" w:lineRule="exact"/>
        <w:ind w:firstLine="480" w:firstLineChars="200"/>
        <w:rPr>
          <w:rFonts w:ascii="仿宋" w:hAnsi="仿宋" w:eastAsia="仿宋" w:cs="仿宋"/>
          <w:b/>
          <w:sz w:val="24"/>
        </w:rPr>
      </w:pPr>
      <w:r>
        <w:rPr>
          <w:rFonts w:hint="eastAsia" w:ascii="仿宋" w:hAnsi="仿宋" w:eastAsia="仿宋" w:cs="仿宋"/>
          <w:sz w:val="24"/>
        </w:rPr>
        <w:t>货物或者在途货物或者交付给第一承运人后的货物毁损、灭失的风险负担详见</w:t>
      </w:r>
      <w:r>
        <w:rPr>
          <w:rFonts w:hint="eastAsia" w:ascii="仿宋" w:hAnsi="仿宋" w:eastAsia="仿宋" w:cs="仿宋"/>
          <w:b/>
          <w:i/>
          <w:sz w:val="24"/>
          <w:u w:val="single"/>
        </w:rPr>
        <w:t>合同专用条款</w:t>
      </w:r>
      <w:r>
        <w:rPr>
          <w:rFonts w:hint="eastAsia" w:ascii="仿宋" w:hAnsi="仿宋" w:eastAsia="仿宋" w:cs="仿宋"/>
          <w:sz w:val="24"/>
        </w:rPr>
        <w:t>。</w:t>
      </w:r>
    </w:p>
    <w:p>
      <w:pPr>
        <w:spacing w:line="560" w:lineRule="exact"/>
        <w:ind w:firstLine="482" w:firstLineChars="200"/>
        <w:rPr>
          <w:rFonts w:ascii="仿宋" w:hAnsi="仿宋" w:eastAsia="仿宋" w:cs="仿宋"/>
          <w:b/>
          <w:sz w:val="24"/>
        </w:rPr>
      </w:pPr>
      <w:bookmarkStart w:id="1265" w:name="_Toc14055"/>
      <w:r>
        <w:rPr>
          <w:rFonts w:hint="eastAsia" w:ascii="仿宋" w:hAnsi="仿宋" w:eastAsia="仿宋" w:cs="仿宋"/>
          <w:b/>
          <w:sz w:val="24"/>
        </w:rPr>
        <w:t>2.10 延迟交货</w:t>
      </w:r>
      <w:bookmarkEnd w:id="1262"/>
      <w:bookmarkEnd w:id="1263"/>
      <w:bookmarkEnd w:id="1264"/>
      <w:bookmarkEnd w:id="1265"/>
    </w:p>
    <w:p>
      <w:pPr>
        <w:spacing w:line="560" w:lineRule="exact"/>
        <w:ind w:firstLine="480" w:firstLineChars="200"/>
        <w:rPr>
          <w:rFonts w:ascii="仿宋" w:hAnsi="仿宋" w:eastAsia="仿宋" w:cs="仿宋"/>
          <w:sz w:val="24"/>
        </w:rPr>
      </w:pPr>
      <w:r>
        <w:rPr>
          <w:rFonts w:hint="eastAsia" w:ascii="仿宋" w:hAnsi="仿宋" w:eastAsia="仿宋" w:cs="仿宋"/>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rPr>
          <w:rFonts w:ascii="仿宋" w:hAnsi="仿宋" w:eastAsia="仿宋" w:cs="仿宋"/>
          <w:b/>
          <w:sz w:val="24"/>
        </w:rPr>
      </w:pPr>
      <w:bookmarkStart w:id="1266" w:name="_Toc7502"/>
      <w:bookmarkStart w:id="1267" w:name="_Toc487900364"/>
      <w:bookmarkStart w:id="1268" w:name="_Ref467378121"/>
      <w:bookmarkStart w:id="1269" w:name="_Toc259093683"/>
      <w:bookmarkStart w:id="1270" w:name="_Toc279701254"/>
      <w:r>
        <w:rPr>
          <w:rFonts w:hint="eastAsia" w:ascii="仿宋" w:hAnsi="仿宋" w:eastAsia="仿宋" w:cs="仿宋"/>
          <w:b/>
          <w:sz w:val="24"/>
        </w:rPr>
        <w:t>2.11 合同变更</w:t>
      </w:r>
      <w:bookmarkEnd w:id="1266"/>
    </w:p>
    <w:p>
      <w:pPr>
        <w:spacing w:line="560" w:lineRule="exact"/>
        <w:ind w:firstLine="480" w:firstLineChars="200"/>
        <w:rPr>
          <w:rFonts w:ascii="仿宋" w:hAnsi="仿宋" w:eastAsia="仿宋" w:cs="仿宋"/>
          <w:sz w:val="24"/>
        </w:rPr>
      </w:pPr>
      <w:r>
        <w:rPr>
          <w:rFonts w:hint="eastAsia" w:ascii="仿宋" w:hAnsi="仿宋" w:eastAsia="仿宋" w:cs="仿宋"/>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ascii="仿宋" w:hAnsi="仿宋" w:eastAsia="仿宋" w:cs="仿宋"/>
          <w:sz w:val="24"/>
        </w:rPr>
      </w:pPr>
      <w:r>
        <w:rPr>
          <w:rFonts w:hint="eastAsia" w:ascii="仿宋" w:hAnsi="仿宋" w:eastAsia="仿宋" w:cs="仿宋"/>
          <w:sz w:val="24"/>
        </w:rPr>
        <w:t>2.11.2 合同继续履行将损害国家利益和社会公共利益的，双方当事人应当以书面形式变更合同。有过错的一方应当承担赔偿责任，双方当事人都有过错的，各自承担相应的责任。</w:t>
      </w:r>
      <w:bookmarkStart w:id="1271" w:name="_Toc259093688"/>
      <w:bookmarkStart w:id="1272" w:name="_Toc279701259"/>
      <w:bookmarkStart w:id="1273" w:name="_Toc487900369"/>
    </w:p>
    <w:p>
      <w:pPr>
        <w:spacing w:line="560" w:lineRule="exact"/>
        <w:ind w:firstLine="482" w:firstLineChars="200"/>
        <w:rPr>
          <w:rFonts w:ascii="仿宋" w:hAnsi="仿宋" w:eastAsia="仿宋" w:cs="仿宋"/>
          <w:b/>
          <w:sz w:val="24"/>
        </w:rPr>
      </w:pPr>
      <w:bookmarkStart w:id="1274" w:name="_Toc15237"/>
      <w:bookmarkStart w:id="1275" w:name="_Toc22955"/>
      <w:bookmarkStart w:id="1276" w:name="_Toc10366"/>
      <w:r>
        <w:rPr>
          <w:rFonts w:hint="eastAsia" w:ascii="仿宋" w:hAnsi="仿宋" w:eastAsia="仿宋" w:cs="仿宋"/>
          <w:b/>
          <w:sz w:val="24"/>
        </w:rPr>
        <w:t>2.12 合同转让</w:t>
      </w:r>
      <w:bookmarkEnd w:id="1271"/>
      <w:bookmarkEnd w:id="1272"/>
      <w:bookmarkEnd w:id="1273"/>
      <w:r>
        <w:rPr>
          <w:rFonts w:hint="eastAsia" w:ascii="仿宋" w:hAnsi="仿宋" w:eastAsia="仿宋" w:cs="仿宋"/>
          <w:b/>
          <w:sz w:val="24"/>
        </w:rPr>
        <w:t>和分包</w:t>
      </w:r>
      <w:bookmarkEnd w:id="1274"/>
      <w:bookmarkEnd w:id="1275"/>
      <w:bookmarkEnd w:id="1276"/>
    </w:p>
    <w:p>
      <w:pPr>
        <w:spacing w:line="560" w:lineRule="exact"/>
        <w:ind w:firstLine="480" w:firstLineChars="200"/>
        <w:rPr>
          <w:rFonts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sz w:val="24"/>
          <w:lang w:eastAsia="zh-CN"/>
        </w:rPr>
        <w:t>投标人</w:t>
      </w:r>
      <w:r>
        <w:rPr>
          <w:rFonts w:hint="eastAsia" w:ascii="仿宋" w:hAnsi="仿宋" w:eastAsia="仿宋" w:cs="仿宋"/>
          <w:sz w:val="24"/>
        </w:rPr>
        <w:t>就分包项目向甲方承担连带责任。</w:t>
      </w:r>
    </w:p>
    <w:p>
      <w:pPr>
        <w:spacing w:line="560" w:lineRule="exact"/>
        <w:ind w:firstLine="482" w:firstLineChars="200"/>
        <w:rPr>
          <w:rFonts w:ascii="仿宋" w:hAnsi="仿宋" w:eastAsia="仿宋" w:cs="仿宋"/>
          <w:b/>
          <w:sz w:val="24"/>
        </w:rPr>
      </w:pPr>
      <w:bookmarkStart w:id="1277" w:name="_Toc14066"/>
      <w:bookmarkStart w:id="1278" w:name="_Toc13566"/>
      <w:bookmarkStart w:id="1279" w:name="_Toc16508"/>
      <w:r>
        <w:rPr>
          <w:rFonts w:hint="eastAsia" w:ascii="仿宋" w:hAnsi="仿宋" w:eastAsia="仿宋" w:cs="仿宋"/>
          <w:b/>
          <w:sz w:val="24"/>
        </w:rPr>
        <w:t>2.13 不可抗力</w:t>
      </w:r>
      <w:bookmarkEnd w:id="1277"/>
      <w:bookmarkEnd w:id="1278"/>
      <w:bookmarkEnd w:id="1279"/>
    </w:p>
    <w:p>
      <w:pPr>
        <w:spacing w:line="560" w:lineRule="exact"/>
        <w:ind w:firstLine="480" w:firstLineChars="200"/>
        <w:rPr>
          <w:rFonts w:ascii="仿宋" w:hAnsi="仿宋" w:eastAsia="仿宋" w:cs="仿宋"/>
          <w:sz w:val="24"/>
        </w:rPr>
      </w:pPr>
      <w:r>
        <w:rPr>
          <w:rFonts w:hint="eastAsia" w:ascii="仿宋" w:hAnsi="仿宋" w:eastAsia="仿宋" w:cs="仿宋"/>
          <w:sz w:val="24"/>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ascii="仿宋" w:hAnsi="仿宋" w:eastAsia="仿宋" w:cs="仿宋"/>
          <w:sz w:val="24"/>
        </w:rPr>
      </w:pPr>
      <w:r>
        <w:rPr>
          <w:rFonts w:hint="eastAsia" w:ascii="仿宋" w:hAnsi="仿宋" w:eastAsia="仿宋" w:cs="仿宋"/>
          <w:sz w:val="24"/>
        </w:rPr>
        <w:t>2.13.2 因不可抗力致使不能实现合同目的的，当事人可以解除合同；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2.13.3 因不可抗力致使合同有变更必要的，双方当事人应在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约定时间内以书面形式变更合同；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2.13.4受不可抗力影响的一方在不可抗力发生后，应在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i/>
          <w:sz w:val="24"/>
          <w:u w:val="single"/>
        </w:rPr>
        <w:t>合同专用条款</w:t>
      </w:r>
      <w:r>
        <w:rPr>
          <w:rFonts w:hint="eastAsia" w:ascii="仿宋" w:hAnsi="仿宋" w:eastAsia="仿宋" w:cs="仿宋"/>
          <w:sz w:val="24"/>
        </w:rPr>
        <w:t>约定时间内，将有关部门出具的证明文件送达对方当事人。</w:t>
      </w:r>
    </w:p>
    <w:p>
      <w:pPr>
        <w:spacing w:line="560" w:lineRule="exact"/>
        <w:ind w:firstLine="482" w:firstLineChars="200"/>
        <w:rPr>
          <w:rFonts w:ascii="仿宋" w:hAnsi="仿宋" w:eastAsia="仿宋" w:cs="仿宋"/>
          <w:b/>
          <w:sz w:val="24"/>
        </w:rPr>
      </w:pPr>
      <w:bookmarkStart w:id="1280" w:name="_Toc30676"/>
      <w:bookmarkStart w:id="1281" w:name="_Toc689"/>
      <w:bookmarkStart w:id="1282" w:name="_Toc259093684"/>
      <w:bookmarkStart w:id="1283" w:name="_Toc487900365"/>
      <w:bookmarkStart w:id="1284" w:name="_Toc279701255"/>
      <w:bookmarkStart w:id="1285" w:name="_Toc6969"/>
      <w:r>
        <w:rPr>
          <w:rFonts w:hint="eastAsia" w:ascii="仿宋" w:hAnsi="仿宋" w:eastAsia="仿宋" w:cs="仿宋"/>
          <w:b/>
          <w:sz w:val="24"/>
        </w:rPr>
        <w:t>2.14 税费</w:t>
      </w:r>
      <w:bookmarkEnd w:id="1280"/>
      <w:bookmarkEnd w:id="1281"/>
      <w:bookmarkEnd w:id="1282"/>
      <w:bookmarkEnd w:id="1283"/>
      <w:bookmarkEnd w:id="1284"/>
      <w:bookmarkEnd w:id="1285"/>
    </w:p>
    <w:p>
      <w:pPr>
        <w:spacing w:line="560" w:lineRule="exact"/>
        <w:ind w:firstLine="480" w:firstLineChars="200"/>
        <w:rPr>
          <w:rFonts w:ascii="仿宋" w:hAnsi="仿宋" w:eastAsia="仿宋" w:cs="仿宋"/>
          <w:sz w:val="24"/>
        </w:rPr>
      </w:pPr>
      <w:r>
        <w:rPr>
          <w:rFonts w:hint="eastAsia" w:ascii="仿宋" w:hAnsi="仿宋" w:eastAsia="仿宋" w:cs="仿宋"/>
          <w:sz w:val="24"/>
        </w:rPr>
        <w:t>与合同有关的一切税费，均按照中华人民共和国法律的相关规定。</w:t>
      </w:r>
    </w:p>
    <w:p>
      <w:pPr>
        <w:spacing w:line="560" w:lineRule="exact"/>
        <w:ind w:firstLine="482" w:firstLineChars="200"/>
        <w:rPr>
          <w:rFonts w:ascii="仿宋" w:hAnsi="仿宋" w:eastAsia="仿宋" w:cs="仿宋"/>
          <w:b/>
          <w:sz w:val="24"/>
        </w:rPr>
      </w:pPr>
      <w:bookmarkStart w:id="1286" w:name="_Toc487900368"/>
      <w:bookmarkStart w:id="1287" w:name="_Toc16959"/>
      <w:bookmarkStart w:id="1288" w:name="_Toc279701258"/>
      <w:bookmarkStart w:id="1289" w:name="_Toc8298"/>
      <w:bookmarkStart w:id="1290" w:name="_Toc259093687"/>
      <w:bookmarkStart w:id="1291" w:name="_Toc7102"/>
      <w:r>
        <w:rPr>
          <w:rFonts w:hint="eastAsia" w:ascii="仿宋" w:hAnsi="仿宋" w:eastAsia="仿宋" w:cs="仿宋"/>
          <w:b/>
          <w:sz w:val="24"/>
        </w:rPr>
        <w:t>2.15 乙方破产</w:t>
      </w:r>
      <w:bookmarkEnd w:id="1286"/>
      <w:bookmarkEnd w:id="1287"/>
      <w:bookmarkEnd w:id="1288"/>
      <w:bookmarkEnd w:id="1289"/>
      <w:bookmarkEnd w:id="1290"/>
      <w:bookmarkEnd w:id="1291"/>
    </w:p>
    <w:p>
      <w:pPr>
        <w:spacing w:line="560" w:lineRule="exact"/>
        <w:ind w:firstLine="480" w:firstLineChars="200"/>
        <w:rPr>
          <w:rFonts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rPr>
          <w:rFonts w:ascii="仿宋" w:hAnsi="仿宋" w:eastAsia="仿宋" w:cs="仿宋"/>
          <w:b/>
          <w:sz w:val="24"/>
        </w:rPr>
      </w:pPr>
      <w:bookmarkStart w:id="1292" w:name="_Toc6134"/>
      <w:bookmarkStart w:id="1293" w:name="_Toc29333"/>
      <w:bookmarkStart w:id="1294" w:name="_Toc15387"/>
      <w:r>
        <w:rPr>
          <w:rFonts w:hint="eastAsia" w:ascii="仿宋" w:hAnsi="仿宋" w:eastAsia="仿宋" w:cs="仿宋"/>
          <w:b/>
          <w:sz w:val="24"/>
        </w:rPr>
        <w:t>2.16 合同中止、终止</w:t>
      </w:r>
      <w:bookmarkEnd w:id="1292"/>
      <w:bookmarkEnd w:id="1293"/>
      <w:bookmarkEnd w:id="1294"/>
    </w:p>
    <w:p>
      <w:pPr>
        <w:spacing w:line="560" w:lineRule="exact"/>
        <w:ind w:firstLine="480" w:firstLineChars="200"/>
        <w:rPr>
          <w:rFonts w:ascii="仿宋" w:hAnsi="仿宋" w:eastAsia="仿宋" w:cs="仿宋"/>
          <w:sz w:val="24"/>
        </w:rPr>
      </w:pPr>
      <w:r>
        <w:rPr>
          <w:rFonts w:hint="eastAsia" w:ascii="仿宋" w:hAnsi="仿宋" w:eastAsia="仿宋" w:cs="仿宋"/>
          <w:sz w:val="24"/>
        </w:rPr>
        <w:t>2.16.1 双方当事人不得擅自中止或者终止合同；</w:t>
      </w:r>
    </w:p>
    <w:p>
      <w:pPr>
        <w:spacing w:line="560" w:lineRule="exact"/>
        <w:ind w:firstLine="480" w:firstLineChars="200"/>
        <w:rPr>
          <w:rFonts w:ascii="仿宋" w:hAnsi="仿宋" w:eastAsia="仿宋" w:cs="仿宋"/>
          <w:sz w:val="24"/>
        </w:rPr>
      </w:pPr>
      <w:r>
        <w:rPr>
          <w:rFonts w:hint="eastAsia" w:ascii="仿宋" w:hAnsi="仿宋" w:eastAsia="仿宋" w:cs="仿宋"/>
          <w:sz w:val="24"/>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rPr>
          <w:rFonts w:ascii="仿宋" w:hAnsi="仿宋" w:eastAsia="仿宋" w:cs="仿宋"/>
          <w:b/>
          <w:sz w:val="24"/>
        </w:rPr>
      </w:pPr>
      <w:bookmarkStart w:id="1295" w:name="_Toc14563"/>
      <w:bookmarkStart w:id="1296" w:name="_Toc6596"/>
      <w:bookmarkStart w:id="1297" w:name="_Toc1125"/>
      <w:r>
        <w:rPr>
          <w:rFonts w:hint="eastAsia" w:ascii="仿宋" w:hAnsi="仿宋" w:eastAsia="仿宋" w:cs="仿宋"/>
          <w:b/>
          <w:sz w:val="24"/>
        </w:rPr>
        <w:t>2.17 检验和验收</w:t>
      </w:r>
      <w:bookmarkEnd w:id="1295"/>
      <w:bookmarkEnd w:id="1296"/>
      <w:bookmarkEnd w:id="1297"/>
    </w:p>
    <w:p>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2.17.1货物交付前，乙方应对货物的质量、数量等方面进行详细、全面的检验，并向甲方出具证明货物符合合同约定的文件；货物交付时，乙方在</w:t>
      </w:r>
      <w:r>
        <w:rPr>
          <w:rFonts w:hint="eastAsia" w:ascii="仿宋" w:hAnsi="仿宋" w:eastAsia="仿宋" w:cs="仿宋"/>
          <w:b/>
          <w:i/>
          <w:sz w:val="24"/>
          <w:u w:val="single"/>
        </w:rPr>
        <w:t>合同专用条款</w:t>
      </w:r>
      <w:r>
        <w:rPr>
          <w:rFonts w:hint="eastAsia" w:ascii="仿宋" w:hAnsi="仿宋" w:eastAsia="仿宋" w:cs="仿宋"/>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仿宋" w:hAnsi="仿宋" w:eastAsia="仿宋" w:cs="仿宋"/>
          <w:sz w:val="24"/>
        </w:rPr>
      </w:pPr>
      <w:r>
        <w:rPr>
          <w:rFonts w:hint="eastAsia" w:ascii="仿宋" w:hAnsi="仿宋" w:eastAsia="仿宋" w:cs="仿宋"/>
          <w:sz w:val="24"/>
        </w:rPr>
        <w:t>2.17.3 检验和验收标准、程序等具体内容以及前述验收书的效力详见</w:t>
      </w:r>
      <w:r>
        <w:rPr>
          <w:rFonts w:hint="eastAsia" w:ascii="仿宋" w:hAnsi="仿宋" w:eastAsia="仿宋" w:cs="仿宋"/>
          <w:b/>
          <w:i/>
          <w:sz w:val="24"/>
          <w:u w:val="single"/>
        </w:rPr>
        <w:t>合同专用条款</w:t>
      </w:r>
      <w:r>
        <w:rPr>
          <w:rFonts w:hint="eastAsia" w:ascii="仿宋" w:hAnsi="仿宋" w:eastAsia="仿宋" w:cs="仿宋"/>
          <w:i/>
          <w:sz w:val="24"/>
        </w:rPr>
        <w:t>。</w:t>
      </w:r>
    </w:p>
    <w:bookmarkEnd w:id="1267"/>
    <w:bookmarkEnd w:id="1268"/>
    <w:bookmarkEnd w:id="1269"/>
    <w:bookmarkEnd w:id="1270"/>
    <w:p>
      <w:pPr>
        <w:spacing w:line="560" w:lineRule="exact"/>
        <w:ind w:firstLine="482" w:firstLineChars="200"/>
        <w:rPr>
          <w:rFonts w:ascii="仿宋" w:hAnsi="仿宋" w:eastAsia="仿宋" w:cs="仿宋"/>
          <w:b/>
          <w:sz w:val="24"/>
        </w:rPr>
      </w:pPr>
      <w:bookmarkStart w:id="1298" w:name="_Toc259093690"/>
      <w:bookmarkStart w:id="1299" w:name="_Toc487900371"/>
      <w:bookmarkStart w:id="1300" w:name="_Toc279701261"/>
      <w:bookmarkStart w:id="1301" w:name="_Toc19604"/>
      <w:bookmarkStart w:id="1302" w:name="_Toc11284"/>
      <w:bookmarkStart w:id="1303" w:name="_Toc25182"/>
      <w:r>
        <w:rPr>
          <w:rFonts w:hint="eastAsia" w:ascii="仿宋" w:hAnsi="仿宋" w:eastAsia="仿宋" w:cs="仿宋"/>
          <w:b/>
          <w:sz w:val="24"/>
        </w:rPr>
        <w:t>2.18 通知</w:t>
      </w:r>
      <w:bookmarkEnd w:id="1298"/>
      <w:bookmarkEnd w:id="1299"/>
      <w:bookmarkEnd w:id="1300"/>
      <w:r>
        <w:rPr>
          <w:rFonts w:hint="eastAsia" w:ascii="仿宋" w:hAnsi="仿宋" w:eastAsia="仿宋" w:cs="仿宋"/>
          <w:b/>
          <w:sz w:val="24"/>
        </w:rPr>
        <w:t>和送达</w:t>
      </w:r>
      <w:bookmarkEnd w:id="1301"/>
      <w:bookmarkEnd w:id="1302"/>
      <w:bookmarkEnd w:id="1303"/>
    </w:p>
    <w:p>
      <w:pPr>
        <w:spacing w:line="560" w:lineRule="exact"/>
        <w:ind w:firstLine="480" w:firstLineChars="200"/>
        <w:rPr>
          <w:rFonts w:ascii="仿宋" w:hAnsi="仿宋" w:eastAsia="仿宋" w:cs="仿宋"/>
          <w:sz w:val="24"/>
        </w:rPr>
      </w:pPr>
      <w:bookmarkStart w:id="1304" w:name="_Toc6698"/>
      <w:bookmarkStart w:id="1305" w:name="_Toc3135"/>
      <w:bookmarkStart w:id="1306" w:name="_Toc487900372"/>
      <w:bookmarkStart w:id="1307" w:name="_Toc259093691"/>
      <w:bookmarkStart w:id="1308" w:name="_Toc279701262"/>
      <w:r>
        <w:rPr>
          <w:rFonts w:hint="eastAsia" w:ascii="仿宋" w:hAnsi="仿宋" w:eastAsia="仿宋" w:cs="仿宋"/>
          <w:sz w:val="24"/>
        </w:rPr>
        <w:t>2.18.1 任何一方因履行合同而以合同第一部分尾部所列明的</w:t>
      </w:r>
      <w:r>
        <w:rPr>
          <w:rFonts w:hint="eastAsia" w:ascii="仿宋" w:hAnsi="仿宋" w:eastAsia="仿宋" w:cs="仿宋"/>
          <w:sz w:val="24"/>
          <w:u w:val="single"/>
        </w:rPr>
        <w:t xml:space="preserve">          </w:t>
      </w:r>
      <w:r>
        <w:rPr>
          <w:rFonts w:hint="eastAsia" w:ascii="仿宋" w:hAnsi="仿宋" w:eastAsia="仿宋" w:cs="仿宋"/>
          <w:sz w:val="24"/>
        </w:rPr>
        <w:t>发出的所有通知、文件、材料，均视为已向对方当事人送达；任何一方变更上述送达方式或者地址的，应于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1304"/>
      <w:bookmarkEnd w:id="1305"/>
    </w:p>
    <w:p>
      <w:pPr>
        <w:spacing w:line="560" w:lineRule="exact"/>
        <w:ind w:firstLine="480" w:firstLineChars="200"/>
        <w:rPr>
          <w:rFonts w:ascii="仿宋" w:hAnsi="仿宋" w:eastAsia="仿宋" w:cs="仿宋"/>
          <w:sz w:val="24"/>
        </w:rPr>
      </w:pPr>
      <w:bookmarkStart w:id="1309" w:name="_Toc23294"/>
      <w:bookmarkStart w:id="1310" w:name="_Toc23128"/>
      <w:r>
        <w:rPr>
          <w:rFonts w:hint="eastAsia" w:ascii="仿宋" w:hAnsi="仿宋" w:eastAsia="仿宋" w:cs="仿宋"/>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309"/>
      <w:bookmarkEnd w:id="1310"/>
    </w:p>
    <w:p>
      <w:pPr>
        <w:spacing w:line="560" w:lineRule="exact"/>
        <w:ind w:firstLine="482" w:firstLineChars="200"/>
        <w:rPr>
          <w:rFonts w:ascii="仿宋" w:hAnsi="仿宋" w:eastAsia="仿宋" w:cs="仿宋"/>
          <w:b/>
          <w:sz w:val="24"/>
        </w:rPr>
      </w:pPr>
      <w:bookmarkStart w:id="1311" w:name="_Toc30599"/>
      <w:bookmarkStart w:id="1312" w:name="_Toc18540"/>
      <w:bookmarkStart w:id="1313" w:name="_Toc4355"/>
      <w:r>
        <w:rPr>
          <w:rFonts w:hint="eastAsia" w:ascii="仿宋" w:hAnsi="仿宋" w:eastAsia="仿宋" w:cs="仿宋"/>
          <w:b/>
          <w:sz w:val="24"/>
        </w:rPr>
        <w:t>2.19 计量单位</w:t>
      </w:r>
      <w:bookmarkEnd w:id="1306"/>
      <w:bookmarkEnd w:id="1307"/>
      <w:bookmarkEnd w:id="1308"/>
      <w:bookmarkEnd w:id="1311"/>
      <w:bookmarkEnd w:id="1312"/>
      <w:bookmarkEnd w:id="1313"/>
    </w:p>
    <w:p>
      <w:pPr>
        <w:spacing w:line="560" w:lineRule="exact"/>
        <w:ind w:firstLine="480" w:firstLineChars="200"/>
        <w:rPr>
          <w:rFonts w:ascii="仿宋" w:hAnsi="仿宋" w:eastAsia="仿宋" w:cs="仿宋"/>
          <w:sz w:val="24"/>
        </w:rPr>
      </w:pPr>
      <w:r>
        <w:rPr>
          <w:rFonts w:hint="eastAsia" w:ascii="仿宋" w:hAnsi="仿宋" w:eastAsia="仿宋" w:cs="仿宋"/>
          <w:sz w:val="24"/>
        </w:rPr>
        <w:t>除技术规范中另有规定外,合同的计量单位均使用国家法定计量单位。</w:t>
      </w:r>
    </w:p>
    <w:p>
      <w:pPr>
        <w:spacing w:line="560" w:lineRule="exact"/>
        <w:ind w:firstLine="482" w:firstLineChars="200"/>
        <w:rPr>
          <w:rFonts w:ascii="仿宋" w:hAnsi="仿宋" w:eastAsia="仿宋" w:cs="仿宋"/>
          <w:b/>
          <w:sz w:val="24"/>
        </w:rPr>
      </w:pPr>
      <w:bookmarkStart w:id="1314" w:name="_Toc10330"/>
      <w:bookmarkStart w:id="1315" w:name="_Toc18567"/>
      <w:bookmarkStart w:id="1316" w:name="_Toc279701263"/>
      <w:bookmarkStart w:id="1317" w:name="_Toc487900373"/>
      <w:bookmarkStart w:id="1318" w:name="_Toc12773"/>
      <w:bookmarkStart w:id="1319" w:name="_Toc259093692"/>
      <w:r>
        <w:rPr>
          <w:rFonts w:hint="eastAsia" w:ascii="仿宋" w:hAnsi="仿宋" w:eastAsia="仿宋" w:cs="仿宋"/>
          <w:b/>
          <w:sz w:val="24"/>
        </w:rPr>
        <w:t>2.20 合同使用的文字和适用的法律</w:t>
      </w:r>
      <w:bookmarkEnd w:id="1314"/>
      <w:bookmarkEnd w:id="1315"/>
      <w:bookmarkEnd w:id="1316"/>
      <w:bookmarkEnd w:id="1317"/>
      <w:bookmarkEnd w:id="1318"/>
      <w:bookmarkEnd w:id="1319"/>
    </w:p>
    <w:p>
      <w:pPr>
        <w:spacing w:line="560" w:lineRule="exact"/>
        <w:ind w:firstLine="480" w:firstLineChars="200"/>
        <w:rPr>
          <w:rFonts w:ascii="仿宋" w:hAnsi="仿宋" w:eastAsia="仿宋" w:cs="仿宋"/>
          <w:sz w:val="24"/>
        </w:rPr>
      </w:pPr>
      <w:r>
        <w:rPr>
          <w:rFonts w:hint="eastAsia" w:ascii="仿宋" w:hAnsi="仿宋" w:eastAsia="仿宋" w:cs="仿宋"/>
          <w:sz w:val="24"/>
        </w:rPr>
        <w:t>2.20.1 合同使用汉语书就、变更和解释；</w:t>
      </w:r>
    </w:p>
    <w:p>
      <w:pPr>
        <w:spacing w:line="560" w:lineRule="exact"/>
        <w:ind w:firstLine="480" w:firstLineChars="200"/>
        <w:rPr>
          <w:rFonts w:ascii="仿宋" w:hAnsi="仿宋" w:eastAsia="仿宋" w:cs="仿宋"/>
          <w:sz w:val="24"/>
        </w:rPr>
      </w:pPr>
      <w:r>
        <w:rPr>
          <w:rFonts w:hint="eastAsia" w:ascii="仿宋" w:hAnsi="仿宋" w:eastAsia="仿宋" w:cs="仿宋"/>
          <w:sz w:val="24"/>
        </w:rPr>
        <w:t>2.20.2 合同适用中华人民共和国法律。</w:t>
      </w:r>
    </w:p>
    <w:p>
      <w:pPr>
        <w:spacing w:line="560" w:lineRule="exact"/>
        <w:ind w:firstLine="482" w:firstLineChars="200"/>
        <w:rPr>
          <w:rFonts w:ascii="仿宋" w:hAnsi="仿宋" w:eastAsia="仿宋" w:cs="仿宋"/>
          <w:b/>
          <w:sz w:val="24"/>
        </w:rPr>
      </w:pPr>
      <w:bookmarkStart w:id="1320" w:name="_Toc12004"/>
      <w:bookmarkStart w:id="1321" w:name="_Toc16673"/>
      <w:bookmarkStart w:id="1322" w:name="_Toc279701264"/>
      <w:bookmarkStart w:id="1323" w:name="_Toc259093693"/>
      <w:bookmarkStart w:id="1324" w:name="_Toc3148"/>
      <w:bookmarkStart w:id="1325" w:name="_Toc487900374"/>
      <w:r>
        <w:rPr>
          <w:rFonts w:hint="eastAsia" w:ascii="仿宋" w:hAnsi="仿宋" w:eastAsia="仿宋" w:cs="仿宋"/>
          <w:b/>
          <w:sz w:val="24"/>
        </w:rPr>
        <w:t>2.21 履约保证金</w:t>
      </w:r>
      <w:bookmarkEnd w:id="1320"/>
      <w:bookmarkEnd w:id="1321"/>
      <w:bookmarkEnd w:id="1322"/>
      <w:bookmarkEnd w:id="1323"/>
      <w:bookmarkEnd w:id="1324"/>
    </w:p>
    <w:p>
      <w:pPr>
        <w:spacing w:line="560" w:lineRule="exact"/>
        <w:ind w:firstLine="480" w:firstLineChars="200"/>
        <w:rPr>
          <w:rFonts w:ascii="仿宋" w:hAnsi="仿宋" w:eastAsia="仿宋" w:cs="仿宋"/>
          <w:sz w:val="24"/>
        </w:rPr>
      </w:pPr>
      <w:r>
        <w:rPr>
          <w:rFonts w:hint="eastAsia" w:ascii="仿宋" w:hAnsi="仿宋" w:eastAsia="仿宋" w:cs="仿宋"/>
          <w:sz w:val="24"/>
        </w:rPr>
        <w:t>2.21.1 采购文件要求乙方提交履约保证金的，乙方应按</w:t>
      </w:r>
      <w:r>
        <w:rPr>
          <w:rFonts w:hint="eastAsia" w:ascii="仿宋" w:hAnsi="仿宋" w:eastAsia="仿宋" w:cs="仿宋"/>
          <w:b/>
          <w:i/>
          <w:sz w:val="24"/>
          <w:u w:val="single"/>
        </w:rPr>
        <w:t>合同专用条款</w:t>
      </w:r>
      <w:r>
        <w:rPr>
          <w:rFonts w:hint="eastAsia" w:ascii="仿宋" w:hAnsi="仿宋" w:eastAsia="仿宋" w:cs="仿宋"/>
          <w:sz w:val="24"/>
        </w:rPr>
        <w:t>约定的方式，以支票、汇票、本票或者金融机构、担保机构出具的保函等非现金形式，提交不超过合同价5%的履约保证金；</w:t>
      </w:r>
    </w:p>
    <w:p>
      <w:pPr>
        <w:spacing w:line="560" w:lineRule="exact"/>
        <w:ind w:firstLine="480" w:firstLineChars="200"/>
        <w:rPr>
          <w:rFonts w:ascii="仿宋" w:hAnsi="仿宋" w:eastAsia="仿宋" w:cs="仿宋"/>
          <w:sz w:val="24"/>
        </w:rPr>
      </w:pPr>
      <w:r>
        <w:rPr>
          <w:rFonts w:hint="eastAsia" w:ascii="仿宋" w:hAnsi="仿宋" w:eastAsia="仿宋" w:cs="仿宋"/>
          <w:sz w:val="24"/>
        </w:rPr>
        <w:t>2.21.2  履约保证金在</w:t>
      </w:r>
      <w:r>
        <w:rPr>
          <w:rFonts w:hint="eastAsia" w:ascii="仿宋" w:hAnsi="仿宋" w:eastAsia="仿宋" w:cs="仿宋"/>
          <w:b/>
          <w:i/>
          <w:sz w:val="24"/>
          <w:u w:val="single"/>
        </w:rPr>
        <w:t>合同专用条款</w:t>
      </w:r>
      <w:r>
        <w:rPr>
          <w:rFonts w:hint="eastAsia" w:ascii="仿宋" w:hAnsi="仿宋" w:eastAsia="仿宋" w:cs="仿宋"/>
          <w:sz w:val="24"/>
        </w:rPr>
        <w:t>约定期间内或者货物质量保证期内不予退还或者应完全有效，前述约定期间届满或者货物质量保证期届满之日起</w:t>
      </w:r>
      <w:r>
        <w:rPr>
          <w:rFonts w:hint="eastAsia" w:ascii="仿宋" w:hAnsi="仿宋" w:eastAsia="仿宋" w:cs="仿宋"/>
          <w:sz w:val="24"/>
          <w:u w:val="single"/>
        </w:rPr>
        <w:t xml:space="preserve">  </w:t>
      </w:r>
      <w:r>
        <w:rPr>
          <w:rFonts w:hint="eastAsia" w:ascii="仿宋" w:hAnsi="仿宋" w:eastAsia="仿宋" w:cs="仿宋"/>
          <w:sz w:val="24"/>
        </w:rPr>
        <w:t>个工作日内，甲方应将履约保证金退还乙方；</w:t>
      </w:r>
    </w:p>
    <w:p>
      <w:pPr>
        <w:spacing w:line="560" w:lineRule="exact"/>
        <w:ind w:firstLine="480" w:firstLineChars="200"/>
        <w:rPr>
          <w:rFonts w:ascii="仿宋" w:hAnsi="仿宋" w:eastAsia="仿宋" w:cs="仿宋"/>
          <w:sz w:val="24"/>
        </w:rPr>
      </w:pPr>
      <w:r>
        <w:rPr>
          <w:rFonts w:hint="eastAsia" w:ascii="仿宋" w:hAnsi="仿宋" w:eastAsia="仿宋" w:cs="仿宋"/>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325"/>
    <w:p>
      <w:pPr>
        <w:spacing w:line="560" w:lineRule="exact"/>
        <w:ind w:firstLine="482" w:firstLineChars="200"/>
        <w:rPr>
          <w:rFonts w:ascii="仿宋" w:hAnsi="仿宋" w:eastAsia="仿宋" w:cs="仿宋"/>
          <w:b/>
          <w:sz w:val="24"/>
        </w:rPr>
      </w:pPr>
      <w:bookmarkStart w:id="1326" w:name="_Toc6885"/>
      <w:bookmarkStart w:id="1327" w:name="_Toc19890"/>
      <w:bookmarkStart w:id="1328" w:name="_Toc14001"/>
      <w:r>
        <w:rPr>
          <w:rFonts w:hint="eastAsia" w:ascii="仿宋" w:hAnsi="仿宋" w:eastAsia="仿宋" w:cs="仿宋"/>
          <w:b/>
          <w:sz w:val="24"/>
        </w:rPr>
        <w:t>2.22 合同份数</w:t>
      </w:r>
      <w:bookmarkEnd w:id="1326"/>
      <w:bookmarkEnd w:id="1327"/>
      <w:bookmarkEnd w:id="1328"/>
    </w:p>
    <w:p>
      <w:pPr>
        <w:spacing w:line="560" w:lineRule="exact"/>
        <w:ind w:firstLine="480" w:firstLineChars="200"/>
        <w:rPr>
          <w:rFonts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i/>
          <w:sz w:val="24"/>
          <w:u w:val="single"/>
        </w:rPr>
        <w:t>合同专用条款</w:t>
      </w:r>
      <w:r>
        <w:rPr>
          <w:rFonts w:hint="eastAsia" w:ascii="仿宋" w:hAnsi="仿宋" w:eastAsia="仿宋" w:cs="仿宋"/>
          <w:sz w:val="24"/>
        </w:rPr>
        <w:t>规定，每份均具有同等法律效力。</w:t>
      </w:r>
    </w:p>
    <w:p>
      <w:pPr>
        <w:pStyle w:val="56"/>
        <w:spacing w:line="560" w:lineRule="exact"/>
        <w:ind w:firstLine="0"/>
        <w:rPr>
          <w:rFonts w:hint="eastAsia" w:ascii="仿宋" w:hAnsi="仿宋" w:eastAsia="仿宋" w:cs="仿宋"/>
        </w:rPr>
      </w:pPr>
    </w:p>
    <w:sectPr>
      <w:footerReference r:id="rId23"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roman"/>
    <w:pitch w:val="default"/>
    <w:sig w:usb0="00000000" w:usb1="00000000" w:usb2="00000000" w:usb3="00000000" w:csb0="00000000" w:csb1="00000000"/>
  </w:font>
  <w:font w:name="方正仿宋简体">
    <w:altName w:val="微软雅黑"/>
    <w:panose1 w:val="00000000000000000000"/>
    <w:charset w:val="86"/>
    <w:family w:val="roma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1Juc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FtQ5coieMWJ37++eP868/593eC&#10;PhSoD1Bj3l3AzDR88AOuzewHdGbeg4o2f5ERwThinS7yyiERkR+tlqtVhSGBsfmC+OzpeYiQPkpv&#10;STYaGnF+RVZ+/AxpTJ1TcjXnb7UxZYbG/eVAzOxhufexx2ylYTdMhHa+PSGfHkffUIebTon55FBZ&#10;7C/NRpyN3WTkGhDeHxIWLv1k1BFqKoZzKoymncqL8Pxesp7+o80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ntSbnCAQAAjwMAAA4AAAAAAAAAAQAgAAAAHgEAAGRycy9lMm9Eb2MueG1sUEsF&#10;BgAAAAAGAAYAWQEAAFIFA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19" name="文本框 1029"/>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22"/>
                            <w:jc w:val="center"/>
                          </w:pPr>
                          <w:r>
                            <w:fldChar w:fldCharType="begin"/>
                          </w:r>
                          <w:r>
                            <w:instrText xml:space="preserve">PAGE   \* MERGEFORMAT</w:instrText>
                          </w:r>
                          <w:r>
                            <w:fldChar w:fldCharType="separate"/>
                          </w:r>
                          <w:r>
                            <w:rPr>
                              <w:lang w:val="zh-CN"/>
                            </w:rPr>
                            <w:t>61</w:t>
                          </w:r>
                          <w:r>
                            <w:fldChar w:fldCharType="end"/>
                          </w:r>
                        </w:p>
                      </w:txbxContent>
                    </wps:txbx>
                    <wps:bodyPr wrap="none" lIns="0" tIns="0" rIns="0" bIns="0">
                      <a:spAutoFit/>
                    </wps:bodyPr>
                  </wps:wsp>
                </a:graphicData>
              </a:graphic>
            </wp:anchor>
          </w:drawing>
        </mc:Choice>
        <mc:Fallback>
          <w:pict>
            <v:shape id="文本框 1029"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LoFF0QAAAAMBAAAPAAAAAAAAAAEAIAAAACIAAABkcnMvZG93bnJl&#10;di54bWxQSwECFAAUAAAACACHTuJAsxXwb8sBAACPAwAADgAAAAAAAAABACAAAAAgAQAAZHJzL2Uy&#10;b0RvYy54bWxQSwUGAAAAAAYABgBZAQAAXQUAAAAA&#10;">
              <v:fill on="f" focussize="0,0"/>
              <v:stroke on="f"/>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61</w:t>
                    </w:r>
                    <w:r>
                      <w:fldChar w:fldCharType="end"/>
                    </w:r>
                  </w:p>
                </w:txbxContent>
              </v:textbox>
            </v:shape>
          </w:pict>
        </mc:Fallback>
      </mc:AlternateContent>
    </w:r>
  </w:p>
  <w:p>
    <w:pPr>
      <w:pStyle w:val="22"/>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OIkiVXFAQAAkQMAAA4AAAAAAAAAAQAgAAAAHgEAAGRycy9lMm9Eb2MueG1s&#10;UEsFBgAAAAAGAAYAWQEAAFU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jc w:val="righ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0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25</w:t>
                          </w:r>
                          <w:r>
                            <w:fldChar w:fldCharType="end"/>
                          </w:r>
                        </w:p>
                      </w:txbxContent>
                    </wps:txbx>
                    <wps:bodyPr wrap="none" lIns="0" tIns="0" rIns="0" bIns="0">
                      <a:spAutoFit/>
                    </wps:bodyPr>
                  </wps:wsp>
                </a:graphicData>
              </a:graphic>
            </wp:anchor>
          </w:drawing>
        </mc:Choice>
        <mc:Fallback>
          <w:pict>
            <v:shape id="文本框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J34qcUBAACRAwAADgAAAGRycy9lMm9Eb2MueG1srVPNjtMwEL4j8Q6W&#10;79RpV4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Xd1Q4rjFiV++f7v8+HX5+ZUs&#10;q5tXWaI+QI2Z9wFz0/DGD7g4sx/QmZkPKtr8RU4E4yjw+SqwHBIR+dF6tV5XGBIYmy+Izx6ehwjp&#10;rfSWZKOhESdYhOWn95DG1DklV3P+ThtTpmjcXw7EzB6Wex97zFYa9sNEaO/bM/LpcfgNdbjrlJh3&#10;DrXNezIbcTb2k5FrQHh9TFi49JNRR6ipGE6qMJq2Kq/Cn/eS9fAnb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Sd+KnFAQAAkQMAAA4AAAAAAAAAAQAgAAAAHgEAAGRycy9lMm9Eb2MueG1s&#10;UEsFBgAAAAAGAAYAWQEAAFUFA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ZptasMBAACP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bmkxHGLEz9//3b+8ev88ysp&#10;b7JAXYAK854DZqb+3ve4NrMf0Jl59yra/EVGBOMo7+kir+wTEfnRqlytCgwJjM0XxGcvz0OE9F56&#10;S7JR04jzG2Tlx0dIY+qckqs5/6CNGWZo3F8OxMwelnsfe8xW6nf9RGjnmxPy6XD0NXW46ZSYDw6V&#10;zVsyG3E2dpORa0C4OyQsPPSTUUeoqRjOaWA07VRehD/vQ9bLf7T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DFmm1qwwEAAI8DAAAOAAAAAAAAAAEAIAAAAB4BAABkcnMvZTJvRG9jLnhtbFBL&#10;BQYAAAAABgAGAFkBAABTBQAAAAA=&#10;">
              <v:fill on="f" focussize="0,0"/>
              <v:stroke on="f"/>
              <v:imagedata o:title=""/>
              <o:lock v:ext="edit" aspectratio="f"/>
              <v:textbox inset="0mm,0mm,0mm,0mm" style="mso-fit-shape-to-text:t;">
                <w:txbxContent>
                  <w:p>
                    <w:pPr>
                      <w:pStyle w:val="22"/>
                    </w:pPr>
                    <w:r>
                      <w:fldChar w:fldCharType="begin"/>
                    </w:r>
                    <w:r>
                      <w:instrText xml:space="preserve"> PAGE  \* MERGEFORMAT </w:instrText>
                    </w:r>
                    <w:r>
                      <w:fldChar w:fldCharType="separate"/>
                    </w:r>
                    <w:r>
                      <w:t>30</w:t>
                    </w:r>
                    <w:r>
                      <w:fldChar w:fldCharType="end"/>
                    </w:r>
                  </w:p>
                </w:txbxContent>
              </v:textbox>
            </v:shape>
          </w:pict>
        </mc:Fallback>
      </mc:AlternateContent>
    </w:r>
  </w:p>
  <w:p>
    <w:pPr>
      <w:pStyle w:val="22"/>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hAB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GEAFywCAABXBAAADgAAAAAAAAABACAAAAAfAQAAZHJzL2Uyb0RvYy54bWxQSwUGAAAAAAYA&#10;BgBZAQAAvQU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rPr>
                        <w:rFonts w:hint="eastAsia"/>
                      </w:rPr>
                      <w:t>43</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17" name="文本框 1027"/>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22"/>
                            <w:jc w:val="center"/>
                          </w:pPr>
                          <w:r>
                            <w:fldChar w:fldCharType="begin"/>
                          </w:r>
                          <w:r>
                            <w:instrText xml:space="preserve">PAGE   \* MERGEFORMAT</w:instrText>
                          </w:r>
                          <w:r>
                            <w:fldChar w:fldCharType="separate"/>
                          </w:r>
                          <w:r>
                            <w:rPr>
                              <w:lang w:val="zh-CN"/>
                            </w:rPr>
                            <w:t>33</w:t>
                          </w:r>
                          <w:r>
                            <w:fldChar w:fldCharType="end"/>
                          </w:r>
                        </w:p>
                      </w:txbxContent>
                    </wps:txbx>
                    <wps:bodyPr wrap="none" lIns="0" tIns="0" rIns="0" bIns="0">
                      <a:spAutoFit/>
                    </wps:bodyPr>
                  </wps:wsp>
                </a:graphicData>
              </a:graphic>
            </wp:anchor>
          </w:drawing>
        </mc:Choice>
        <mc:Fallback>
          <w:pict>
            <v:shape id="文本框 1027"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gLoFF0QAAAAMBAAAPAAAAAAAAAAEAIAAAACIAAABkcnMvZG93bnJl&#10;di54bWxQSwECFAAUAAAACACHTuJASAUhC8sBAACPAwAADgAAAAAAAAABACAAAAAgAQAAZHJzL2Uy&#10;b0RvYy54bWxQSwUGAAAAAAYABgBZAQAAXQUAAAAA&#10;">
              <v:fill on="f" focussize="0,0"/>
              <v:stroke on="f"/>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33</w:t>
                    </w:r>
                    <w:r>
                      <w:fldChar w:fldCharType="end"/>
                    </w:r>
                  </w:p>
                </w:txbxContent>
              </v:textbox>
            </v:shape>
          </w:pict>
        </mc:Fallback>
      </mc:AlternateContent>
    </w:r>
  </w:p>
  <w:p>
    <w:pPr>
      <w:pStyle w:val="22"/>
      <w:ind w:right="36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9"/>
      </w:rPr>
    </w:pPr>
    <w:r>
      <w:fldChar w:fldCharType="begin"/>
    </w:r>
    <w:r>
      <w:rPr>
        <w:rStyle w:val="39"/>
      </w:rPr>
      <w:instrText xml:space="preserve">PAGE  </w:instrText>
    </w:r>
    <w:r>
      <w:fldChar w:fldCharType="end"/>
    </w:r>
  </w:p>
  <w:p>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2"/>
                            <w:jc w:val="center"/>
                          </w:pPr>
                          <w:r>
                            <w:fldChar w:fldCharType="begin"/>
                          </w:r>
                          <w:r>
                            <w:instrText xml:space="preserve">PAGE   \* MERGEFORMAT</w:instrText>
                          </w:r>
                          <w:r>
                            <w:fldChar w:fldCharType="separate"/>
                          </w:r>
                          <w:r>
                            <w:rPr>
                              <w:lang w:val="zh-CN"/>
                            </w:rPr>
                            <w:t>59</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phG98g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4Bzd9zixC/fv11+/Lr8/Epe&#10;5/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aYRvfIAQAAmgMAAA4AAAAAAAAAAQAgAAAAHgEAAGRycy9lMm9Eb2Mu&#10;eG1sUEsFBgAAAAAGAAYAWQEAAFgFAAAAAA==&#10;">
              <v:fill on="f" focussize="0,0"/>
              <v:stroke on="f"/>
              <v:imagedata o:title=""/>
              <o:lock v:ext="edit" aspectratio="f"/>
              <v:textbox inset="0mm,0mm,0mm,0mm" style="mso-fit-shape-to-text:t;">
                <w:txbxContent>
                  <w:p>
                    <w:pPr>
                      <w:pStyle w:val="22"/>
                      <w:jc w:val="center"/>
                    </w:pPr>
                    <w:r>
                      <w:fldChar w:fldCharType="begin"/>
                    </w:r>
                    <w:r>
                      <w:instrText xml:space="preserve">PAGE   \* MERGEFORMAT</w:instrText>
                    </w:r>
                    <w:r>
                      <w:fldChar w:fldCharType="separate"/>
                    </w:r>
                    <w:r>
                      <w:rPr>
                        <w:lang w:val="zh-CN"/>
                      </w:rPr>
                      <w:t>59</w:t>
                    </w:r>
                    <w:r>
                      <w:rPr>
                        <w:lang w:val="zh-CN"/>
                      </w:rPr>
                      <w:fldChar w:fldCharType="end"/>
                    </w:r>
                  </w:p>
                </w:txbxContent>
              </v:textbox>
            </v:shape>
          </w:pict>
        </mc:Fallback>
      </mc:AlternateContent>
    </w:r>
  </w:p>
  <w:p>
    <w:pPr>
      <w:pStyle w:val="22"/>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0" w:firstLineChars="15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EA58F7FF"/>
    <w:multiLevelType w:val="singleLevel"/>
    <w:tmpl w:val="EA58F7FF"/>
    <w:lvl w:ilvl="0" w:tentative="0">
      <w:start w:val="8"/>
      <w:numFmt w:val="decimal"/>
      <w:suff w:val="nothing"/>
      <w:lvlText w:val="%1、"/>
      <w:lvlJc w:val="left"/>
      <w:pPr>
        <w:ind w:left="30"/>
      </w:pPr>
    </w:lvl>
  </w:abstractNum>
  <w:abstractNum w:abstractNumId="2">
    <w:nsid w:val="24E409BB"/>
    <w:multiLevelType w:val="multilevel"/>
    <w:tmpl w:val="24E409BB"/>
    <w:lvl w:ilvl="0" w:tentative="0">
      <w:start w:val="1"/>
      <w:numFmt w:val="decimal"/>
      <w:pStyle w:val="8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9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44DD0909"/>
    <w:multiLevelType w:val="multilevel"/>
    <w:tmpl w:val="44DD0909"/>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B412502"/>
    <w:multiLevelType w:val="multilevel"/>
    <w:tmpl w:val="5B412502"/>
    <w:lvl w:ilvl="0" w:tentative="0">
      <w:start w:val="1"/>
      <w:numFmt w:val="decimalEnclosedCircle"/>
      <w:lvlText w:val="%1"/>
      <w:lvlJc w:val="left"/>
      <w:pPr>
        <w:ind w:left="360" w:hanging="360"/>
      </w:pPr>
      <w:rPr>
        <w:rFonts w:ascii="宋体" w:hAnsi="宋体" w:eastAsia="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F6D72B9"/>
    <w:multiLevelType w:val="singleLevel"/>
    <w:tmpl w:val="5F6D72B9"/>
    <w:lvl w:ilvl="0" w:tentative="0">
      <w:start w:val="1"/>
      <w:numFmt w:val="decimal"/>
      <w:suff w:val="nothing"/>
      <w:lvlText w:val="（%1）"/>
      <w:lvlJc w:val="left"/>
    </w:lvl>
  </w:abstractNum>
  <w:abstractNum w:abstractNumId="8">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9">
    <w:nsid w:val="7E3FF101"/>
    <w:multiLevelType w:val="singleLevel"/>
    <w:tmpl w:val="7E3FF101"/>
    <w:lvl w:ilvl="0" w:tentative="0">
      <w:start w:val="5"/>
      <w:numFmt w:val="chineseCounting"/>
      <w:suff w:val="space"/>
      <w:lvlText w:val="第%1章"/>
      <w:lvlJc w:val="left"/>
      <w:rPr>
        <w:rFonts w:hint="eastAsia"/>
      </w:rPr>
    </w:lvl>
  </w:abstractNum>
  <w:num w:numId="1">
    <w:abstractNumId w:val="2"/>
  </w:num>
  <w:num w:numId="2">
    <w:abstractNumId w:val="4"/>
  </w:num>
  <w:num w:numId="3">
    <w:abstractNumId w:val="3"/>
  </w:num>
  <w:num w:numId="4">
    <w:abstractNumId w:val="8"/>
  </w:num>
  <w:num w:numId="5">
    <w:abstractNumId w:val="0"/>
  </w:num>
  <w:num w:numId="6">
    <w:abstractNumId w:val="1"/>
  </w:num>
  <w:num w:numId="7">
    <w:abstractNumId w:val="7"/>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MDY5NmFjMmM4ZTljMGJiZDAxN2JmYTc0NGI0NmFiNDgifQ=="/>
    <w:docVar w:name="VTCASE" w:val="4"/>
    <w:docVar w:name="VTCommandPending" w:val="NONE"/>
  </w:docVars>
  <w:rsids>
    <w:rsidRoot w:val="00172A27"/>
    <w:rsid w:val="000004CD"/>
    <w:rsid w:val="00001783"/>
    <w:rsid w:val="00001797"/>
    <w:rsid w:val="0000273B"/>
    <w:rsid w:val="00002DF7"/>
    <w:rsid w:val="000041A8"/>
    <w:rsid w:val="000055D7"/>
    <w:rsid w:val="0001529F"/>
    <w:rsid w:val="000157E2"/>
    <w:rsid w:val="0001697A"/>
    <w:rsid w:val="000169E1"/>
    <w:rsid w:val="00020D78"/>
    <w:rsid w:val="00021486"/>
    <w:rsid w:val="000214AD"/>
    <w:rsid w:val="00021AE8"/>
    <w:rsid w:val="00022E94"/>
    <w:rsid w:val="000313B5"/>
    <w:rsid w:val="00032835"/>
    <w:rsid w:val="00032B95"/>
    <w:rsid w:val="000333A8"/>
    <w:rsid w:val="000367B8"/>
    <w:rsid w:val="00042BA7"/>
    <w:rsid w:val="000434F9"/>
    <w:rsid w:val="00043533"/>
    <w:rsid w:val="00045D67"/>
    <w:rsid w:val="0004677C"/>
    <w:rsid w:val="0005172B"/>
    <w:rsid w:val="000538CC"/>
    <w:rsid w:val="000541C7"/>
    <w:rsid w:val="00054A8E"/>
    <w:rsid w:val="00055A71"/>
    <w:rsid w:val="00056583"/>
    <w:rsid w:val="00056932"/>
    <w:rsid w:val="00057BB2"/>
    <w:rsid w:val="0006019D"/>
    <w:rsid w:val="000612B3"/>
    <w:rsid w:val="00061B68"/>
    <w:rsid w:val="00063750"/>
    <w:rsid w:val="00065379"/>
    <w:rsid w:val="00066EBC"/>
    <w:rsid w:val="000673C5"/>
    <w:rsid w:val="00070907"/>
    <w:rsid w:val="00071285"/>
    <w:rsid w:val="000719AB"/>
    <w:rsid w:val="00072C53"/>
    <w:rsid w:val="00073852"/>
    <w:rsid w:val="00076670"/>
    <w:rsid w:val="0007684F"/>
    <w:rsid w:val="00076927"/>
    <w:rsid w:val="00080B56"/>
    <w:rsid w:val="00080C9B"/>
    <w:rsid w:val="00080FC7"/>
    <w:rsid w:val="00081D11"/>
    <w:rsid w:val="00083115"/>
    <w:rsid w:val="00087961"/>
    <w:rsid w:val="00093645"/>
    <w:rsid w:val="00096150"/>
    <w:rsid w:val="00096F54"/>
    <w:rsid w:val="000A31C4"/>
    <w:rsid w:val="000A3727"/>
    <w:rsid w:val="000A49C1"/>
    <w:rsid w:val="000A73EF"/>
    <w:rsid w:val="000A799B"/>
    <w:rsid w:val="000B3242"/>
    <w:rsid w:val="000B3392"/>
    <w:rsid w:val="000B362F"/>
    <w:rsid w:val="000B366A"/>
    <w:rsid w:val="000B51E6"/>
    <w:rsid w:val="000B6C50"/>
    <w:rsid w:val="000C092A"/>
    <w:rsid w:val="000C0AC9"/>
    <w:rsid w:val="000C0FDF"/>
    <w:rsid w:val="000C15AF"/>
    <w:rsid w:val="000C3524"/>
    <w:rsid w:val="000C5071"/>
    <w:rsid w:val="000C55ED"/>
    <w:rsid w:val="000C6F86"/>
    <w:rsid w:val="000D10E4"/>
    <w:rsid w:val="000D1613"/>
    <w:rsid w:val="000D19C1"/>
    <w:rsid w:val="000D4E69"/>
    <w:rsid w:val="000D5125"/>
    <w:rsid w:val="000D7812"/>
    <w:rsid w:val="000E1288"/>
    <w:rsid w:val="000E3784"/>
    <w:rsid w:val="000E37E0"/>
    <w:rsid w:val="000E47A0"/>
    <w:rsid w:val="000E597F"/>
    <w:rsid w:val="000E5BFC"/>
    <w:rsid w:val="000E694F"/>
    <w:rsid w:val="000E7158"/>
    <w:rsid w:val="000E74D4"/>
    <w:rsid w:val="000F2D05"/>
    <w:rsid w:val="000F2EEE"/>
    <w:rsid w:val="000F4234"/>
    <w:rsid w:val="000F6215"/>
    <w:rsid w:val="000F63C8"/>
    <w:rsid w:val="000F6581"/>
    <w:rsid w:val="00102417"/>
    <w:rsid w:val="001032CC"/>
    <w:rsid w:val="00103B53"/>
    <w:rsid w:val="00105B0B"/>
    <w:rsid w:val="0011024E"/>
    <w:rsid w:val="00112163"/>
    <w:rsid w:val="00112CFA"/>
    <w:rsid w:val="00114579"/>
    <w:rsid w:val="00115BF1"/>
    <w:rsid w:val="0012032C"/>
    <w:rsid w:val="001211EB"/>
    <w:rsid w:val="0012244B"/>
    <w:rsid w:val="001224B5"/>
    <w:rsid w:val="00122643"/>
    <w:rsid w:val="0012425B"/>
    <w:rsid w:val="001244F8"/>
    <w:rsid w:val="001247F0"/>
    <w:rsid w:val="001252D8"/>
    <w:rsid w:val="001257D4"/>
    <w:rsid w:val="00131E0D"/>
    <w:rsid w:val="0013242F"/>
    <w:rsid w:val="0013359E"/>
    <w:rsid w:val="001342B3"/>
    <w:rsid w:val="001352B1"/>
    <w:rsid w:val="00135690"/>
    <w:rsid w:val="00135D8B"/>
    <w:rsid w:val="00137694"/>
    <w:rsid w:val="001378B2"/>
    <w:rsid w:val="00141EAC"/>
    <w:rsid w:val="00143652"/>
    <w:rsid w:val="0014627C"/>
    <w:rsid w:val="0015142E"/>
    <w:rsid w:val="00157C74"/>
    <w:rsid w:val="00157D8E"/>
    <w:rsid w:val="00161678"/>
    <w:rsid w:val="00161D71"/>
    <w:rsid w:val="00162805"/>
    <w:rsid w:val="00165014"/>
    <w:rsid w:val="0017180F"/>
    <w:rsid w:val="00172A27"/>
    <w:rsid w:val="001733C3"/>
    <w:rsid w:val="00173BFF"/>
    <w:rsid w:val="00174749"/>
    <w:rsid w:val="00174FCA"/>
    <w:rsid w:val="00175AFB"/>
    <w:rsid w:val="00176F12"/>
    <w:rsid w:val="001770BE"/>
    <w:rsid w:val="00177A3E"/>
    <w:rsid w:val="0018099E"/>
    <w:rsid w:val="00183E4B"/>
    <w:rsid w:val="00187B13"/>
    <w:rsid w:val="00187EB4"/>
    <w:rsid w:val="00194439"/>
    <w:rsid w:val="0019618B"/>
    <w:rsid w:val="00196952"/>
    <w:rsid w:val="00196FA0"/>
    <w:rsid w:val="001A0A50"/>
    <w:rsid w:val="001A3B44"/>
    <w:rsid w:val="001A3D9B"/>
    <w:rsid w:val="001A4571"/>
    <w:rsid w:val="001A5EEB"/>
    <w:rsid w:val="001A62A5"/>
    <w:rsid w:val="001B0D0D"/>
    <w:rsid w:val="001B2CF9"/>
    <w:rsid w:val="001B4216"/>
    <w:rsid w:val="001B49A4"/>
    <w:rsid w:val="001B521B"/>
    <w:rsid w:val="001B5CC8"/>
    <w:rsid w:val="001B6587"/>
    <w:rsid w:val="001C0582"/>
    <w:rsid w:val="001C058D"/>
    <w:rsid w:val="001C24DD"/>
    <w:rsid w:val="001C54C3"/>
    <w:rsid w:val="001C577E"/>
    <w:rsid w:val="001C73C5"/>
    <w:rsid w:val="001C743B"/>
    <w:rsid w:val="001D027D"/>
    <w:rsid w:val="001D19F5"/>
    <w:rsid w:val="001D4A1E"/>
    <w:rsid w:val="001D70E9"/>
    <w:rsid w:val="001E181E"/>
    <w:rsid w:val="001E1DCD"/>
    <w:rsid w:val="001E4481"/>
    <w:rsid w:val="001E44EF"/>
    <w:rsid w:val="001E4671"/>
    <w:rsid w:val="001E6C1A"/>
    <w:rsid w:val="001E723E"/>
    <w:rsid w:val="001E7629"/>
    <w:rsid w:val="001E7846"/>
    <w:rsid w:val="001E7E8B"/>
    <w:rsid w:val="001F2D39"/>
    <w:rsid w:val="001F2F0B"/>
    <w:rsid w:val="001F3130"/>
    <w:rsid w:val="001F5903"/>
    <w:rsid w:val="001F7292"/>
    <w:rsid w:val="002001DC"/>
    <w:rsid w:val="002032B0"/>
    <w:rsid w:val="00203778"/>
    <w:rsid w:val="0020407A"/>
    <w:rsid w:val="00210885"/>
    <w:rsid w:val="00210AE7"/>
    <w:rsid w:val="002123C7"/>
    <w:rsid w:val="002124BD"/>
    <w:rsid w:val="00213411"/>
    <w:rsid w:val="00216D4F"/>
    <w:rsid w:val="00216E43"/>
    <w:rsid w:val="00220866"/>
    <w:rsid w:val="002231A4"/>
    <w:rsid w:val="00223245"/>
    <w:rsid w:val="00224447"/>
    <w:rsid w:val="00224A77"/>
    <w:rsid w:val="0022671D"/>
    <w:rsid w:val="0023090E"/>
    <w:rsid w:val="00231C64"/>
    <w:rsid w:val="00232763"/>
    <w:rsid w:val="00232C22"/>
    <w:rsid w:val="0023318A"/>
    <w:rsid w:val="002354CB"/>
    <w:rsid w:val="00236A9B"/>
    <w:rsid w:val="0023715B"/>
    <w:rsid w:val="00237592"/>
    <w:rsid w:val="00237C48"/>
    <w:rsid w:val="0024137B"/>
    <w:rsid w:val="002448BE"/>
    <w:rsid w:val="00244A0E"/>
    <w:rsid w:val="00244F73"/>
    <w:rsid w:val="00247F12"/>
    <w:rsid w:val="002501BB"/>
    <w:rsid w:val="0025021D"/>
    <w:rsid w:val="002509CA"/>
    <w:rsid w:val="00250C1D"/>
    <w:rsid w:val="00251A29"/>
    <w:rsid w:val="00251B89"/>
    <w:rsid w:val="00253615"/>
    <w:rsid w:val="00253950"/>
    <w:rsid w:val="00254F7E"/>
    <w:rsid w:val="0025569E"/>
    <w:rsid w:val="002564FE"/>
    <w:rsid w:val="002603EB"/>
    <w:rsid w:val="0026107E"/>
    <w:rsid w:val="00261FEB"/>
    <w:rsid w:val="00264327"/>
    <w:rsid w:val="002650F1"/>
    <w:rsid w:val="00266403"/>
    <w:rsid w:val="00266406"/>
    <w:rsid w:val="002672D6"/>
    <w:rsid w:val="002679CA"/>
    <w:rsid w:val="00272722"/>
    <w:rsid w:val="00273A5B"/>
    <w:rsid w:val="002745E7"/>
    <w:rsid w:val="002760AC"/>
    <w:rsid w:val="002764D1"/>
    <w:rsid w:val="00277370"/>
    <w:rsid w:val="00277935"/>
    <w:rsid w:val="00277E8E"/>
    <w:rsid w:val="00280DD6"/>
    <w:rsid w:val="00282496"/>
    <w:rsid w:val="00283033"/>
    <w:rsid w:val="002854DC"/>
    <w:rsid w:val="0028616B"/>
    <w:rsid w:val="00290CDE"/>
    <w:rsid w:val="00290DE2"/>
    <w:rsid w:val="00294626"/>
    <w:rsid w:val="0029463A"/>
    <w:rsid w:val="00294959"/>
    <w:rsid w:val="00294BAD"/>
    <w:rsid w:val="002959CC"/>
    <w:rsid w:val="002A0C27"/>
    <w:rsid w:val="002A2315"/>
    <w:rsid w:val="002A2732"/>
    <w:rsid w:val="002A3153"/>
    <w:rsid w:val="002A6C9C"/>
    <w:rsid w:val="002B6923"/>
    <w:rsid w:val="002C10AC"/>
    <w:rsid w:val="002C2AE8"/>
    <w:rsid w:val="002C2FF3"/>
    <w:rsid w:val="002C39D7"/>
    <w:rsid w:val="002C3A5A"/>
    <w:rsid w:val="002C4ABE"/>
    <w:rsid w:val="002C71EC"/>
    <w:rsid w:val="002C7548"/>
    <w:rsid w:val="002C780B"/>
    <w:rsid w:val="002C7E47"/>
    <w:rsid w:val="002D2C13"/>
    <w:rsid w:val="002D2FFB"/>
    <w:rsid w:val="002D4E0A"/>
    <w:rsid w:val="002D4E16"/>
    <w:rsid w:val="002D505C"/>
    <w:rsid w:val="002D5DF8"/>
    <w:rsid w:val="002E334D"/>
    <w:rsid w:val="002E486A"/>
    <w:rsid w:val="002E53C0"/>
    <w:rsid w:val="002E766C"/>
    <w:rsid w:val="002F02C8"/>
    <w:rsid w:val="002F03A7"/>
    <w:rsid w:val="002F0A07"/>
    <w:rsid w:val="002F2D5F"/>
    <w:rsid w:val="002F46DC"/>
    <w:rsid w:val="002F5145"/>
    <w:rsid w:val="002F5CB9"/>
    <w:rsid w:val="002F5E9B"/>
    <w:rsid w:val="002F683C"/>
    <w:rsid w:val="002F7C07"/>
    <w:rsid w:val="003010C9"/>
    <w:rsid w:val="00301C8C"/>
    <w:rsid w:val="00310C52"/>
    <w:rsid w:val="0031140B"/>
    <w:rsid w:val="00313E9D"/>
    <w:rsid w:val="00314E3D"/>
    <w:rsid w:val="0031538D"/>
    <w:rsid w:val="00316C1A"/>
    <w:rsid w:val="00317120"/>
    <w:rsid w:val="003171BB"/>
    <w:rsid w:val="0032100C"/>
    <w:rsid w:val="003212C2"/>
    <w:rsid w:val="00321921"/>
    <w:rsid w:val="00321926"/>
    <w:rsid w:val="003229FD"/>
    <w:rsid w:val="003239D3"/>
    <w:rsid w:val="00327707"/>
    <w:rsid w:val="00327B26"/>
    <w:rsid w:val="0033060D"/>
    <w:rsid w:val="003318F3"/>
    <w:rsid w:val="00331ECA"/>
    <w:rsid w:val="00333919"/>
    <w:rsid w:val="00334F3E"/>
    <w:rsid w:val="00337825"/>
    <w:rsid w:val="003379AF"/>
    <w:rsid w:val="00337C5C"/>
    <w:rsid w:val="00343E4C"/>
    <w:rsid w:val="00351949"/>
    <w:rsid w:val="003528B8"/>
    <w:rsid w:val="00352BC8"/>
    <w:rsid w:val="00355D82"/>
    <w:rsid w:val="00356CAF"/>
    <w:rsid w:val="003577A2"/>
    <w:rsid w:val="00360D5D"/>
    <w:rsid w:val="003612A6"/>
    <w:rsid w:val="003671F3"/>
    <w:rsid w:val="00367712"/>
    <w:rsid w:val="00367C88"/>
    <w:rsid w:val="00367DB2"/>
    <w:rsid w:val="00370B19"/>
    <w:rsid w:val="00371C8C"/>
    <w:rsid w:val="00373408"/>
    <w:rsid w:val="00373ABD"/>
    <w:rsid w:val="003748EB"/>
    <w:rsid w:val="00375DCD"/>
    <w:rsid w:val="00376F36"/>
    <w:rsid w:val="003800A6"/>
    <w:rsid w:val="0038151E"/>
    <w:rsid w:val="00381B28"/>
    <w:rsid w:val="00381CDD"/>
    <w:rsid w:val="00382358"/>
    <w:rsid w:val="00382580"/>
    <w:rsid w:val="00382FFA"/>
    <w:rsid w:val="0038357B"/>
    <w:rsid w:val="00383B0A"/>
    <w:rsid w:val="00383D5B"/>
    <w:rsid w:val="0038491D"/>
    <w:rsid w:val="0038570F"/>
    <w:rsid w:val="00387606"/>
    <w:rsid w:val="00391DD2"/>
    <w:rsid w:val="003925E1"/>
    <w:rsid w:val="00393D74"/>
    <w:rsid w:val="003943A7"/>
    <w:rsid w:val="00396A66"/>
    <w:rsid w:val="003A0E06"/>
    <w:rsid w:val="003A1A69"/>
    <w:rsid w:val="003A37B8"/>
    <w:rsid w:val="003A582F"/>
    <w:rsid w:val="003A6B72"/>
    <w:rsid w:val="003A724F"/>
    <w:rsid w:val="003A72BC"/>
    <w:rsid w:val="003B020F"/>
    <w:rsid w:val="003B3917"/>
    <w:rsid w:val="003B41D9"/>
    <w:rsid w:val="003B4356"/>
    <w:rsid w:val="003B5422"/>
    <w:rsid w:val="003B7293"/>
    <w:rsid w:val="003B7D7E"/>
    <w:rsid w:val="003C0EF3"/>
    <w:rsid w:val="003C38F2"/>
    <w:rsid w:val="003C53B2"/>
    <w:rsid w:val="003C592A"/>
    <w:rsid w:val="003C63D3"/>
    <w:rsid w:val="003C6422"/>
    <w:rsid w:val="003C6C9A"/>
    <w:rsid w:val="003D6961"/>
    <w:rsid w:val="003E2C77"/>
    <w:rsid w:val="003E2C89"/>
    <w:rsid w:val="003E3C14"/>
    <w:rsid w:val="003E56CB"/>
    <w:rsid w:val="003E6516"/>
    <w:rsid w:val="003E747A"/>
    <w:rsid w:val="003F0149"/>
    <w:rsid w:val="003F11BD"/>
    <w:rsid w:val="003F4748"/>
    <w:rsid w:val="003F61AC"/>
    <w:rsid w:val="003F6B46"/>
    <w:rsid w:val="00401267"/>
    <w:rsid w:val="00401B70"/>
    <w:rsid w:val="00402836"/>
    <w:rsid w:val="0040298F"/>
    <w:rsid w:val="0040367C"/>
    <w:rsid w:val="00404B23"/>
    <w:rsid w:val="00405154"/>
    <w:rsid w:val="004109B8"/>
    <w:rsid w:val="0041238C"/>
    <w:rsid w:val="00412829"/>
    <w:rsid w:val="0041314E"/>
    <w:rsid w:val="00414EDB"/>
    <w:rsid w:val="0041638E"/>
    <w:rsid w:val="004164DF"/>
    <w:rsid w:val="0042141B"/>
    <w:rsid w:val="00425FB2"/>
    <w:rsid w:val="004261AF"/>
    <w:rsid w:val="00426BB0"/>
    <w:rsid w:val="00427182"/>
    <w:rsid w:val="004277C9"/>
    <w:rsid w:val="00433AFF"/>
    <w:rsid w:val="00433EEA"/>
    <w:rsid w:val="00436ECF"/>
    <w:rsid w:val="004408B0"/>
    <w:rsid w:val="004408EE"/>
    <w:rsid w:val="00441C7F"/>
    <w:rsid w:val="00441E5E"/>
    <w:rsid w:val="0044524F"/>
    <w:rsid w:val="0044654E"/>
    <w:rsid w:val="004504F2"/>
    <w:rsid w:val="00450C1F"/>
    <w:rsid w:val="00451783"/>
    <w:rsid w:val="00455240"/>
    <w:rsid w:val="00455919"/>
    <w:rsid w:val="0045705D"/>
    <w:rsid w:val="00457AEF"/>
    <w:rsid w:val="0046046C"/>
    <w:rsid w:val="0046404F"/>
    <w:rsid w:val="004663F3"/>
    <w:rsid w:val="00467553"/>
    <w:rsid w:val="00471F78"/>
    <w:rsid w:val="00473B94"/>
    <w:rsid w:val="00473DC2"/>
    <w:rsid w:val="0047556E"/>
    <w:rsid w:val="00475991"/>
    <w:rsid w:val="00475B13"/>
    <w:rsid w:val="0047732F"/>
    <w:rsid w:val="00480D8D"/>
    <w:rsid w:val="00480E9B"/>
    <w:rsid w:val="004814E5"/>
    <w:rsid w:val="004827CD"/>
    <w:rsid w:val="00484641"/>
    <w:rsid w:val="004846F8"/>
    <w:rsid w:val="00485EFC"/>
    <w:rsid w:val="00490A94"/>
    <w:rsid w:val="004911E4"/>
    <w:rsid w:val="004912F4"/>
    <w:rsid w:val="004922BC"/>
    <w:rsid w:val="00492CE8"/>
    <w:rsid w:val="00493558"/>
    <w:rsid w:val="00493E23"/>
    <w:rsid w:val="00493EC9"/>
    <w:rsid w:val="00494ECE"/>
    <w:rsid w:val="00495251"/>
    <w:rsid w:val="00495B0C"/>
    <w:rsid w:val="004963A5"/>
    <w:rsid w:val="00496C34"/>
    <w:rsid w:val="004970E5"/>
    <w:rsid w:val="004A1759"/>
    <w:rsid w:val="004A2275"/>
    <w:rsid w:val="004A3872"/>
    <w:rsid w:val="004A3AC0"/>
    <w:rsid w:val="004A42D0"/>
    <w:rsid w:val="004A46DF"/>
    <w:rsid w:val="004A4ED0"/>
    <w:rsid w:val="004A5218"/>
    <w:rsid w:val="004A6F61"/>
    <w:rsid w:val="004B0706"/>
    <w:rsid w:val="004B22B1"/>
    <w:rsid w:val="004B46E5"/>
    <w:rsid w:val="004B6542"/>
    <w:rsid w:val="004B72A3"/>
    <w:rsid w:val="004C1E33"/>
    <w:rsid w:val="004C6870"/>
    <w:rsid w:val="004D29A3"/>
    <w:rsid w:val="004D497A"/>
    <w:rsid w:val="004D4D48"/>
    <w:rsid w:val="004D5250"/>
    <w:rsid w:val="004D5BF0"/>
    <w:rsid w:val="004D6AD9"/>
    <w:rsid w:val="004E0517"/>
    <w:rsid w:val="004E0C12"/>
    <w:rsid w:val="004E13F0"/>
    <w:rsid w:val="004E3576"/>
    <w:rsid w:val="004E3FF4"/>
    <w:rsid w:val="004E4854"/>
    <w:rsid w:val="004E5FCE"/>
    <w:rsid w:val="004E70C8"/>
    <w:rsid w:val="004F036B"/>
    <w:rsid w:val="004F052D"/>
    <w:rsid w:val="004F0E54"/>
    <w:rsid w:val="004F2798"/>
    <w:rsid w:val="004F38B5"/>
    <w:rsid w:val="004F7B7E"/>
    <w:rsid w:val="00501785"/>
    <w:rsid w:val="00503724"/>
    <w:rsid w:val="0050487A"/>
    <w:rsid w:val="00504E3C"/>
    <w:rsid w:val="00507AD5"/>
    <w:rsid w:val="0051115E"/>
    <w:rsid w:val="00513C5B"/>
    <w:rsid w:val="00513F7C"/>
    <w:rsid w:val="005149B8"/>
    <w:rsid w:val="005168FA"/>
    <w:rsid w:val="005175C0"/>
    <w:rsid w:val="00520001"/>
    <w:rsid w:val="00520037"/>
    <w:rsid w:val="00521717"/>
    <w:rsid w:val="0052391C"/>
    <w:rsid w:val="0052393A"/>
    <w:rsid w:val="0052438D"/>
    <w:rsid w:val="00530C3F"/>
    <w:rsid w:val="00532B1D"/>
    <w:rsid w:val="00533524"/>
    <w:rsid w:val="00534347"/>
    <w:rsid w:val="00540C55"/>
    <w:rsid w:val="00541E42"/>
    <w:rsid w:val="00542227"/>
    <w:rsid w:val="005422EB"/>
    <w:rsid w:val="00544156"/>
    <w:rsid w:val="0054426F"/>
    <w:rsid w:val="0054508F"/>
    <w:rsid w:val="00546F3A"/>
    <w:rsid w:val="005475C6"/>
    <w:rsid w:val="00550465"/>
    <w:rsid w:val="00550C61"/>
    <w:rsid w:val="00552FBA"/>
    <w:rsid w:val="005542B3"/>
    <w:rsid w:val="00554D9D"/>
    <w:rsid w:val="00555A82"/>
    <w:rsid w:val="00556C52"/>
    <w:rsid w:val="0056008C"/>
    <w:rsid w:val="00560CBD"/>
    <w:rsid w:val="0056396C"/>
    <w:rsid w:val="0057053B"/>
    <w:rsid w:val="00570A8A"/>
    <w:rsid w:val="00571BE1"/>
    <w:rsid w:val="0057268E"/>
    <w:rsid w:val="00573C95"/>
    <w:rsid w:val="005750B7"/>
    <w:rsid w:val="00577986"/>
    <w:rsid w:val="005801AF"/>
    <w:rsid w:val="005806C7"/>
    <w:rsid w:val="00582C8B"/>
    <w:rsid w:val="00582CA5"/>
    <w:rsid w:val="00582FE9"/>
    <w:rsid w:val="0058511B"/>
    <w:rsid w:val="005852AF"/>
    <w:rsid w:val="00586FF5"/>
    <w:rsid w:val="005912BC"/>
    <w:rsid w:val="00593D15"/>
    <w:rsid w:val="00597AA6"/>
    <w:rsid w:val="005A0332"/>
    <w:rsid w:val="005A1737"/>
    <w:rsid w:val="005A1914"/>
    <w:rsid w:val="005A1D6F"/>
    <w:rsid w:val="005A378B"/>
    <w:rsid w:val="005A3804"/>
    <w:rsid w:val="005A40B3"/>
    <w:rsid w:val="005B078D"/>
    <w:rsid w:val="005B1361"/>
    <w:rsid w:val="005B177D"/>
    <w:rsid w:val="005B337F"/>
    <w:rsid w:val="005B3B4A"/>
    <w:rsid w:val="005B4C3F"/>
    <w:rsid w:val="005B4C4C"/>
    <w:rsid w:val="005B7966"/>
    <w:rsid w:val="005C0341"/>
    <w:rsid w:val="005C3CDD"/>
    <w:rsid w:val="005D2B33"/>
    <w:rsid w:val="005D4B36"/>
    <w:rsid w:val="005D5B37"/>
    <w:rsid w:val="005D6D35"/>
    <w:rsid w:val="005E1062"/>
    <w:rsid w:val="005E12BD"/>
    <w:rsid w:val="005E132E"/>
    <w:rsid w:val="005E1F41"/>
    <w:rsid w:val="005E305E"/>
    <w:rsid w:val="005E3ECC"/>
    <w:rsid w:val="005E53A4"/>
    <w:rsid w:val="005E6AAE"/>
    <w:rsid w:val="005F1F63"/>
    <w:rsid w:val="005F324D"/>
    <w:rsid w:val="005F4C0F"/>
    <w:rsid w:val="006011F9"/>
    <w:rsid w:val="006016B0"/>
    <w:rsid w:val="00602247"/>
    <w:rsid w:val="00603A62"/>
    <w:rsid w:val="006054AE"/>
    <w:rsid w:val="00606661"/>
    <w:rsid w:val="00612A91"/>
    <w:rsid w:val="00612F6B"/>
    <w:rsid w:val="00615BD4"/>
    <w:rsid w:val="006176D9"/>
    <w:rsid w:val="0062063C"/>
    <w:rsid w:val="00621EEA"/>
    <w:rsid w:val="00622049"/>
    <w:rsid w:val="00625F86"/>
    <w:rsid w:val="006267AC"/>
    <w:rsid w:val="006275F8"/>
    <w:rsid w:val="00627E6B"/>
    <w:rsid w:val="00630C8F"/>
    <w:rsid w:val="0063126C"/>
    <w:rsid w:val="006321D9"/>
    <w:rsid w:val="00635ACD"/>
    <w:rsid w:val="006360BD"/>
    <w:rsid w:val="006433FA"/>
    <w:rsid w:val="0064448B"/>
    <w:rsid w:val="00645F9B"/>
    <w:rsid w:val="006462F4"/>
    <w:rsid w:val="00646C7B"/>
    <w:rsid w:val="006519B0"/>
    <w:rsid w:val="00653EEF"/>
    <w:rsid w:val="00655832"/>
    <w:rsid w:val="00656DB1"/>
    <w:rsid w:val="0065706C"/>
    <w:rsid w:val="006570F3"/>
    <w:rsid w:val="006574CA"/>
    <w:rsid w:val="00663087"/>
    <w:rsid w:val="00664AEC"/>
    <w:rsid w:val="0066644B"/>
    <w:rsid w:val="00666905"/>
    <w:rsid w:val="00666E6E"/>
    <w:rsid w:val="00667926"/>
    <w:rsid w:val="0066795B"/>
    <w:rsid w:val="00671B72"/>
    <w:rsid w:val="006727F5"/>
    <w:rsid w:val="00672A07"/>
    <w:rsid w:val="00672A3D"/>
    <w:rsid w:val="00673284"/>
    <w:rsid w:val="00673C56"/>
    <w:rsid w:val="00674E3C"/>
    <w:rsid w:val="00680795"/>
    <w:rsid w:val="00680F5D"/>
    <w:rsid w:val="00684062"/>
    <w:rsid w:val="00684218"/>
    <w:rsid w:val="00684A17"/>
    <w:rsid w:val="00684A6C"/>
    <w:rsid w:val="0068548A"/>
    <w:rsid w:val="00686ACA"/>
    <w:rsid w:val="006904AF"/>
    <w:rsid w:val="00691347"/>
    <w:rsid w:val="00691E6C"/>
    <w:rsid w:val="00692FA7"/>
    <w:rsid w:val="00695821"/>
    <w:rsid w:val="0069607D"/>
    <w:rsid w:val="006960C5"/>
    <w:rsid w:val="006A05F8"/>
    <w:rsid w:val="006A0897"/>
    <w:rsid w:val="006A27B1"/>
    <w:rsid w:val="006A4246"/>
    <w:rsid w:val="006A56B9"/>
    <w:rsid w:val="006A64EB"/>
    <w:rsid w:val="006A7750"/>
    <w:rsid w:val="006A7FD4"/>
    <w:rsid w:val="006B0E91"/>
    <w:rsid w:val="006B1891"/>
    <w:rsid w:val="006B37AE"/>
    <w:rsid w:val="006B3C07"/>
    <w:rsid w:val="006B476E"/>
    <w:rsid w:val="006B51CC"/>
    <w:rsid w:val="006B7254"/>
    <w:rsid w:val="006B73B9"/>
    <w:rsid w:val="006C0F43"/>
    <w:rsid w:val="006C2D51"/>
    <w:rsid w:val="006C4083"/>
    <w:rsid w:val="006C4B81"/>
    <w:rsid w:val="006C517C"/>
    <w:rsid w:val="006C5CAA"/>
    <w:rsid w:val="006C6855"/>
    <w:rsid w:val="006C7F43"/>
    <w:rsid w:val="006D12D7"/>
    <w:rsid w:val="006D16F3"/>
    <w:rsid w:val="006D49E3"/>
    <w:rsid w:val="006D4C2C"/>
    <w:rsid w:val="006D62FF"/>
    <w:rsid w:val="006D750B"/>
    <w:rsid w:val="006E019F"/>
    <w:rsid w:val="006E18C4"/>
    <w:rsid w:val="006E3E50"/>
    <w:rsid w:val="006E402A"/>
    <w:rsid w:val="006E525F"/>
    <w:rsid w:val="006E58F6"/>
    <w:rsid w:val="006E74F5"/>
    <w:rsid w:val="006E7DCA"/>
    <w:rsid w:val="006F00D3"/>
    <w:rsid w:val="006F03B7"/>
    <w:rsid w:val="006F2035"/>
    <w:rsid w:val="006F28EE"/>
    <w:rsid w:val="006F42C2"/>
    <w:rsid w:val="006F602A"/>
    <w:rsid w:val="006F7412"/>
    <w:rsid w:val="007025BD"/>
    <w:rsid w:val="00704E65"/>
    <w:rsid w:val="00707845"/>
    <w:rsid w:val="0071025E"/>
    <w:rsid w:val="007105A5"/>
    <w:rsid w:val="00710B8D"/>
    <w:rsid w:val="00711B21"/>
    <w:rsid w:val="00712CF9"/>
    <w:rsid w:val="00713024"/>
    <w:rsid w:val="00713EA1"/>
    <w:rsid w:val="00715D6B"/>
    <w:rsid w:val="00717F6B"/>
    <w:rsid w:val="007212F0"/>
    <w:rsid w:val="00722EC6"/>
    <w:rsid w:val="00723FF6"/>
    <w:rsid w:val="0072460B"/>
    <w:rsid w:val="007266A7"/>
    <w:rsid w:val="00726876"/>
    <w:rsid w:val="007269B1"/>
    <w:rsid w:val="00730DF7"/>
    <w:rsid w:val="0073114A"/>
    <w:rsid w:val="0073123A"/>
    <w:rsid w:val="00731306"/>
    <w:rsid w:val="007331F6"/>
    <w:rsid w:val="0073362F"/>
    <w:rsid w:val="00733A3E"/>
    <w:rsid w:val="00736999"/>
    <w:rsid w:val="00736B54"/>
    <w:rsid w:val="007402CA"/>
    <w:rsid w:val="00740605"/>
    <w:rsid w:val="00740FA5"/>
    <w:rsid w:val="00742D13"/>
    <w:rsid w:val="007440A8"/>
    <w:rsid w:val="00747B97"/>
    <w:rsid w:val="00747DD4"/>
    <w:rsid w:val="00751820"/>
    <w:rsid w:val="00751B20"/>
    <w:rsid w:val="00751B7E"/>
    <w:rsid w:val="00752AB2"/>
    <w:rsid w:val="00754193"/>
    <w:rsid w:val="007556C8"/>
    <w:rsid w:val="00756FA1"/>
    <w:rsid w:val="0075717F"/>
    <w:rsid w:val="0075734A"/>
    <w:rsid w:val="007605DF"/>
    <w:rsid w:val="0076244A"/>
    <w:rsid w:val="00762D9D"/>
    <w:rsid w:val="0076348B"/>
    <w:rsid w:val="00763FD6"/>
    <w:rsid w:val="0076431D"/>
    <w:rsid w:val="00764E00"/>
    <w:rsid w:val="00766DE9"/>
    <w:rsid w:val="007678A5"/>
    <w:rsid w:val="00770841"/>
    <w:rsid w:val="00771F67"/>
    <w:rsid w:val="00772012"/>
    <w:rsid w:val="0077276C"/>
    <w:rsid w:val="0077418F"/>
    <w:rsid w:val="00774B93"/>
    <w:rsid w:val="00774C01"/>
    <w:rsid w:val="007756C4"/>
    <w:rsid w:val="007823C9"/>
    <w:rsid w:val="007835B7"/>
    <w:rsid w:val="007863E1"/>
    <w:rsid w:val="007910D3"/>
    <w:rsid w:val="0079336E"/>
    <w:rsid w:val="0079713F"/>
    <w:rsid w:val="007A2F5A"/>
    <w:rsid w:val="007A5BD0"/>
    <w:rsid w:val="007B2F0F"/>
    <w:rsid w:val="007B4B46"/>
    <w:rsid w:val="007B539F"/>
    <w:rsid w:val="007B5E5F"/>
    <w:rsid w:val="007B6CA0"/>
    <w:rsid w:val="007B6F71"/>
    <w:rsid w:val="007C06F8"/>
    <w:rsid w:val="007C27E5"/>
    <w:rsid w:val="007C2E24"/>
    <w:rsid w:val="007C3F78"/>
    <w:rsid w:val="007C4B09"/>
    <w:rsid w:val="007C6167"/>
    <w:rsid w:val="007C6EB8"/>
    <w:rsid w:val="007C7809"/>
    <w:rsid w:val="007D0A7B"/>
    <w:rsid w:val="007D13B9"/>
    <w:rsid w:val="007D2774"/>
    <w:rsid w:val="007D687F"/>
    <w:rsid w:val="007D71F7"/>
    <w:rsid w:val="007E024C"/>
    <w:rsid w:val="007E065D"/>
    <w:rsid w:val="007E160E"/>
    <w:rsid w:val="007E1BDD"/>
    <w:rsid w:val="007E1DED"/>
    <w:rsid w:val="007E700C"/>
    <w:rsid w:val="007E7388"/>
    <w:rsid w:val="007F1BAF"/>
    <w:rsid w:val="007F1F1C"/>
    <w:rsid w:val="007F2277"/>
    <w:rsid w:val="007F433C"/>
    <w:rsid w:val="007F4428"/>
    <w:rsid w:val="008004B0"/>
    <w:rsid w:val="008045D9"/>
    <w:rsid w:val="0080469F"/>
    <w:rsid w:val="0080691F"/>
    <w:rsid w:val="00806C8A"/>
    <w:rsid w:val="0080702C"/>
    <w:rsid w:val="00807165"/>
    <w:rsid w:val="00807348"/>
    <w:rsid w:val="00810CFD"/>
    <w:rsid w:val="00812094"/>
    <w:rsid w:val="0081333B"/>
    <w:rsid w:val="0081346E"/>
    <w:rsid w:val="008140D7"/>
    <w:rsid w:val="0081653B"/>
    <w:rsid w:val="00821DF6"/>
    <w:rsid w:val="00823CCC"/>
    <w:rsid w:val="0082598E"/>
    <w:rsid w:val="00827179"/>
    <w:rsid w:val="0083029A"/>
    <w:rsid w:val="00830426"/>
    <w:rsid w:val="00830E02"/>
    <w:rsid w:val="00831C83"/>
    <w:rsid w:val="00831E0A"/>
    <w:rsid w:val="008343C4"/>
    <w:rsid w:val="00835847"/>
    <w:rsid w:val="00835C6F"/>
    <w:rsid w:val="008367A9"/>
    <w:rsid w:val="00837429"/>
    <w:rsid w:val="0083745B"/>
    <w:rsid w:val="00840252"/>
    <w:rsid w:val="00840420"/>
    <w:rsid w:val="00842DE3"/>
    <w:rsid w:val="00844F5E"/>
    <w:rsid w:val="00846701"/>
    <w:rsid w:val="0085232F"/>
    <w:rsid w:val="00853DAF"/>
    <w:rsid w:val="008541F5"/>
    <w:rsid w:val="00854E2A"/>
    <w:rsid w:val="008550CD"/>
    <w:rsid w:val="00857E3A"/>
    <w:rsid w:val="00861135"/>
    <w:rsid w:val="00864495"/>
    <w:rsid w:val="0086449D"/>
    <w:rsid w:val="008651BC"/>
    <w:rsid w:val="00867059"/>
    <w:rsid w:val="00867A5A"/>
    <w:rsid w:val="008711B1"/>
    <w:rsid w:val="0087154D"/>
    <w:rsid w:val="00871FBA"/>
    <w:rsid w:val="00872119"/>
    <w:rsid w:val="008722FB"/>
    <w:rsid w:val="008772E2"/>
    <w:rsid w:val="00877EA2"/>
    <w:rsid w:val="00877F6D"/>
    <w:rsid w:val="008808CA"/>
    <w:rsid w:val="00883321"/>
    <w:rsid w:val="00884BE5"/>
    <w:rsid w:val="00887D93"/>
    <w:rsid w:val="00890912"/>
    <w:rsid w:val="00890D7D"/>
    <w:rsid w:val="008917B4"/>
    <w:rsid w:val="008933C7"/>
    <w:rsid w:val="008941B9"/>
    <w:rsid w:val="00894216"/>
    <w:rsid w:val="008959F9"/>
    <w:rsid w:val="00896786"/>
    <w:rsid w:val="00897413"/>
    <w:rsid w:val="008A118C"/>
    <w:rsid w:val="008A46DC"/>
    <w:rsid w:val="008A4806"/>
    <w:rsid w:val="008A4BF4"/>
    <w:rsid w:val="008A510D"/>
    <w:rsid w:val="008A5EDE"/>
    <w:rsid w:val="008A7A4E"/>
    <w:rsid w:val="008A7C4F"/>
    <w:rsid w:val="008B21B9"/>
    <w:rsid w:val="008B2FA8"/>
    <w:rsid w:val="008B3253"/>
    <w:rsid w:val="008B3F5C"/>
    <w:rsid w:val="008C020E"/>
    <w:rsid w:val="008C2C9D"/>
    <w:rsid w:val="008C2F9E"/>
    <w:rsid w:val="008C4BCD"/>
    <w:rsid w:val="008C51D0"/>
    <w:rsid w:val="008D03EA"/>
    <w:rsid w:val="008D16BD"/>
    <w:rsid w:val="008D17A7"/>
    <w:rsid w:val="008D2E91"/>
    <w:rsid w:val="008D58E2"/>
    <w:rsid w:val="008D6283"/>
    <w:rsid w:val="008D7FB0"/>
    <w:rsid w:val="008E050B"/>
    <w:rsid w:val="008E1010"/>
    <w:rsid w:val="008E259A"/>
    <w:rsid w:val="008E2C2E"/>
    <w:rsid w:val="008E3F04"/>
    <w:rsid w:val="008E72A8"/>
    <w:rsid w:val="008F03CE"/>
    <w:rsid w:val="008F0627"/>
    <w:rsid w:val="008F15EC"/>
    <w:rsid w:val="008F1FF1"/>
    <w:rsid w:val="008F2498"/>
    <w:rsid w:val="008F41FB"/>
    <w:rsid w:val="008F4B49"/>
    <w:rsid w:val="008F4FAB"/>
    <w:rsid w:val="008F5977"/>
    <w:rsid w:val="008F5C9B"/>
    <w:rsid w:val="00903338"/>
    <w:rsid w:val="009039C8"/>
    <w:rsid w:val="009049D8"/>
    <w:rsid w:val="00904BCF"/>
    <w:rsid w:val="00905B77"/>
    <w:rsid w:val="00906FD6"/>
    <w:rsid w:val="009079D0"/>
    <w:rsid w:val="00907DCD"/>
    <w:rsid w:val="009104AA"/>
    <w:rsid w:val="00914466"/>
    <w:rsid w:val="00915D8A"/>
    <w:rsid w:val="00917746"/>
    <w:rsid w:val="009209A5"/>
    <w:rsid w:val="00920F98"/>
    <w:rsid w:val="00922448"/>
    <w:rsid w:val="009228BB"/>
    <w:rsid w:val="00922FDA"/>
    <w:rsid w:val="00924172"/>
    <w:rsid w:val="009244DF"/>
    <w:rsid w:val="00927EF6"/>
    <w:rsid w:val="00930D45"/>
    <w:rsid w:val="00930E14"/>
    <w:rsid w:val="00930ECD"/>
    <w:rsid w:val="00933885"/>
    <w:rsid w:val="009338DA"/>
    <w:rsid w:val="009348A2"/>
    <w:rsid w:val="00936E93"/>
    <w:rsid w:val="00937FDA"/>
    <w:rsid w:val="00947632"/>
    <w:rsid w:val="0094786C"/>
    <w:rsid w:val="00947B9F"/>
    <w:rsid w:val="00947FB4"/>
    <w:rsid w:val="00952D2F"/>
    <w:rsid w:val="00952D60"/>
    <w:rsid w:val="00952E44"/>
    <w:rsid w:val="00955447"/>
    <w:rsid w:val="00955A17"/>
    <w:rsid w:val="00957C50"/>
    <w:rsid w:val="00960E12"/>
    <w:rsid w:val="0096331F"/>
    <w:rsid w:val="00963914"/>
    <w:rsid w:val="00963A90"/>
    <w:rsid w:val="009729D8"/>
    <w:rsid w:val="00973A66"/>
    <w:rsid w:val="0097453F"/>
    <w:rsid w:val="00974577"/>
    <w:rsid w:val="00975045"/>
    <w:rsid w:val="00976670"/>
    <w:rsid w:val="00976BC3"/>
    <w:rsid w:val="00976E64"/>
    <w:rsid w:val="00977929"/>
    <w:rsid w:val="0098426D"/>
    <w:rsid w:val="009856EF"/>
    <w:rsid w:val="009875D9"/>
    <w:rsid w:val="00993B1F"/>
    <w:rsid w:val="00993F70"/>
    <w:rsid w:val="0099428D"/>
    <w:rsid w:val="00995932"/>
    <w:rsid w:val="00996D49"/>
    <w:rsid w:val="009A1C77"/>
    <w:rsid w:val="009A51E6"/>
    <w:rsid w:val="009A5BC5"/>
    <w:rsid w:val="009A61AA"/>
    <w:rsid w:val="009A747C"/>
    <w:rsid w:val="009A7DAC"/>
    <w:rsid w:val="009B2B6E"/>
    <w:rsid w:val="009B3C1F"/>
    <w:rsid w:val="009B7D7E"/>
    <w:rsid w:val="009C10F7"/>
    <w:rsid w:val="009C11B1"/>
    <w:rsid w:val="009C1722"/>
    <w:rsid w:val="009C6235"/>
    <w:rsid w:val="009C6E76"/>
    <w:rsid w:val="009D00B8"/>
    <w:rsid w:val="009D3E42"/>
    <w:rsid w:val="009D4581"/>
    <w:rsid w:val="009D682E"/>
    <w:rsid w:val="009E3023"/>
    <w:rsid w:val="009E40F9"/>
    <w:rsid w:val="009E48BC"/>
    <w:rsid w:val="009E5844"/>
    <w:rsid w:val="009E653F"/>
    <w:rsid w:val="009E7C9A"/>
    <w:rsid w:val="009F1CC4"/>
    <w:rsid w:val="009F4C6D"/>
    <w:rsid w:val="009F5062"/>
    <w:rsid w:val="009F5729"/>
    <w:rsid w:val="00A0043A"/>
    <w:rsid w:val="00A01D25"/>
    <w:rsid w:val="00A02277"/>
    <w:rsid w:val="00A02C8F"/>
    <w:rsid w:val="00A0624A"/>
    <w:rsid w:val="00A06830"/>
    <w:rsid w:val="00A076A0"/>
    <w:rsid w:val="00A10FF2"/>
    <w:rsid w:val="00A12892"/>
    <w:rsid w:val="00A149DF"/>
    <w:rsid w:val="00A1634D"/>
    <w:rsid w:val="00A16974"/>
    <w:rsid w:val="00A1707B"/>
    <w:rsid w:val="00A32694"/>
    <w:rsid w:val="00A33A18"/>
    <w:rsid w:val="00A33FA2"/>
    <w:rsid w:val="00A3470B"/>
    <w:rsid w:val="00A350BE"/>
    <w:rsid w:val="00A35C8A"/>
    <w:rsid w:val="00A36343"/>
    <w:rsid w:val="00A36638"/>
    <w:rsid w:val="00A36B9A"/>
    <w:rsid w:val="00A37737"/>
    <w:rsid w:val="00A4149B"/>
    <w:rsid w:val="00A51ECF"/>
    <w:rsid w:val="00A5335D"/>
    <w:rsid w:val="00A53EBD"/>
    <w:rsid w:val="00A56524"/>
    <w:rsid w:val="00A610B8"/>
    <w:rsid w:val="00A61208"/>
    <w:rsid w:val="00A62660"/>
    <w:rsid w:val="00A62D2C"/>
    <w:rsid w:val="00A64D6A"/>
    <w:rsid w:val="00A66A0F"/>
    <w:rsid w:val="00A67FB0"/>
    <w:rsid w:val="00A700BE"/>
    <w:rsid w:val="00A7038D"/>
    <w:rsid w:val="00A713C2"/>
    <w:rsid w:val="00A725C2"/>
    <w:rsid w:val="00A73440"/>
    <w:rsid w:val="00A75908"/>
    <w:rsid w:val="00A75D01"/>
    <w:rsid w:val="00A76B01"/>
    <w:rsid w:val="00A813D7"/>
    <w:rsid w:val="00A83BB1"/>
    <w:rsid w:val="00A87807"/>
    <w:rsid w:val="00A90332"/>
    <w:rsid w:val="00A94426"/>
    <w:rsid w:val="00A97033"/>
    <w:rsid w:val="00A9734B"/>
    <w:rsid w:val="00A97D26"/>
    <w:rsid w:val="00AA06C5"/>
    <w:rsid w:val="00AA1669"/>
    <w:rsid w:val="00AA3A8E"/>
    <w:rsid w:val="00AA5BB8"/>
    <w:rsid w:val="00AA5D50"/>
    <w:rsid w:val="00AA6487"/>
    <w:rsid w:val="00AB001E"/>
    <w:rsid w:val="00AB2D04"/>
    <w:rsid w:val="00AB318B"/>
    <w:rsid w:val="00AB7D6A"/>
    <w:rsid w:val="00AC0A22"/>
    <w:rsid w:val="00AC3A3F"/>
    <w:rsid w:val="00AD190D"/>
    <w:rsid w:val="00AD2DAB"/>
    <w:rsid w:val="00AD3ABB"/>
    <w:rsid w:val="00AD5BFF"/>
    <w:rsid w:val="00AD7D83"/>
    <w:rsid w:val="00AE0052"/>
    <w:rsid w:val="00AE1BBB"/>
    <w:rsid w:val="00AE2163"/>
    <w:rsid w:val="00AE2F4C"/>
    <w:rsid w:val="00AE3B4A"/>
    <w:rsid w:val="00AE4A87"/>
    <w:rsid w:val="00AE673D"/>
    <w:rsid w:val="00AE749B"/>
    <w:rsid w:val="00AF0629"/>
    <w:rsid w:val="00AF1BF1"/>
    <w:rsid w:val="00AF32B8"/>
    <w:rsid w:val="00AF3CB3"/>
    <w:rsid w:val="00AF531B"/>
    <w:rsid w:val="00AF5337"/>
    <w:rsid w:val="00AF53C2"/>
    <w:rsid w:val="00AF71F6"/>
    <w:rsid w:val="00AF78C6"/>
    <w:rsid w:val="00AF7C60"/>
    <w:rsid w:val="00B005C5"/>
    <w:rsid w:val="00B02305"/>
    <w:rsid w:val="00B02E23"/>
    <w:rsid w:val="00B05983"/>
    <w:rsid w:val="00B060D5"/>
    <w:rsid w:val="00B1175D"/>
    <w:rsid w:val="00B12731"/>
    <w:rsid w:val="00B12AA5"/>
    <w:rsid w:val="00B146BC"/>
    <w:rsid w:val="00B14DF1"/>
    <w:rsid w:val="00B15081"/>
    <w:rsid w:val="00B153B3"/>
    <w:rsid w:val="00B17CBB"/>
    <w:rsid w:val="00B20BBF"/>
    <w:rsid w:val="00B217CC"/>
    <w:rsid w:val="00B22797"/>
    <w:rsid w:val="00B2523F"/>
    <w:rsid w:val="00B25447"/>
    <w:rsid w:val="00B27097"/>
    <w:rsid w:val="00B271C9"/>
    <w:rsid w:val="00B31C57"/>
    <w:rsid w:val="00B32F09"/>
    <w:rsid w:val="00B33D96"/>
    <w:rsid w:val="00B33E36"/>
    <w:rsid w:val="00B342E4"/>
    <w:rsid w:val="00B34F0E"/>
    <w:rsid w:val="00B35F5F"/>
    <w:rsid w:val="00B36F78"/>
    <w:rsid w:val="00B3755E"/>
    <w:rsid w:val="00B404A6"/>
    <w:rsid w:val="00B40A63"/>
    <w:rsid w:val="00B41213"/>
    <w:rsid w:val="00B44C32"/>
    <w:rsid w:val="00B45C45"/>
    <w:rsid w:val="00B47277"/>
    <w:rsid w:val="00B475F2"/>
    <w:rsid w:val="00B56FB7"/>
    <w:rsid w:val="00B577A6"/>
    <w:rsid w:val="00B607BE"/>
    <w:rsid w:val="00B61E09"/>
    <w:rsid w:val="00B6274D"/>
    <w:rsid w:val="00B62B63"/>
    <w:rsid w:val="00B63F96"/>
    <w:rsid w:val="00B64C49"/>
    <w:rsid w:val="00B64D41"/>
    <w:rsid w:val="00B65415"/>
    <w:rsid w:val="00B65758"/>
    <w:rsid w:val="00B66CB3"/>
    <w:rsid w:val="00B66D6E"/>
    <w:rsid w:val="00B67351"/>
    <w:rsid w:val="00B706C6"/>
    <w:rsid w:val="00B71917"/>
    <w:rsid w:val="00B71F65"/>
    <w:rsid w:val="00B7370A"/>
    <w:rsid w:val="00B739CF"/>
    <w:rsid w:val="00B7475F"/>
    <w:rsid w:val="00B80B07"/>
    <w:rsid w:val="00B8178C"/>
    <w:rsid w:val="00B81BF0"/>
    <w:rsid w:val="00B82E33"/>
    <w:rsid w:val="00B82ECB"/>
    <w:rsid w:val="00B8310B"/>
    <w:rsid w:val="00B83C8B"/>
    <w:rsid w:val="00B83DAE"/>
    <w:rsid w:val="00B85BAF"/>
    <w:rsid w:val="00B90874"/>
    <w:rsid w:val="00B90BFA"/>
    <w:rsid w:val="00B93044"/>
    <w:rsid w:val="00B931B0"/>
    <w:rsid w:val="00B93ED9"/>
    <w:rsid w:val="00B95E2C"/>
    <w:rsid w:val="00BA2C17"/>
    <w:rsid w:val="00BA40F3"/>
    <w:rsid w:val="00BA5F6B"/>
    <w:rsid w:val="00BA6BD0"/>
    <w:rsid w:val="00BB0589"/>
    <w:rsid w:val="00BB1AF8"/>
    <w:rsid w:val="00BB2E2A"/>
    <w:rsid w:val="00BB4B39"/>
    <w:rsid w:val="00BB6ECF"/>
    <w:rsid w:val="00BB7271"/>
    <w:rsid w:val="00BC0C82"/>
    <w:rsid w:val="00BC3515"/>
    <w:rsid w:val="00BC59C2"/>
    <w:rsid w:val="00BD02CC"/>
    <w:rsid w:val="00BD22C7"/>
    <w:rsid w:val="00BD277B"/>
    <w:rsid w:val="00BD31A9"/>
    <w:rsid w:val="00BD530D"/>
    <w:rsid w:val="00BE205B"/>
    <w:rsid w:val="00BE264E"/>
    <w:rsid w:val="00BE4E80"/>
    <w:rsid w:val="00BE68B4"/>
    <w:rsid w:val="00BF11E3"/>
    <w:rsid w:val="00BF174F"/>
    <w:rsid w:val="00BF22DA"/>
    <w:rsid w:val="00C029B6"/>
    <w:rsid w:val="00C03B0F"/>
    <w:rsid w:val="00C03E68"/>
    <w:rsid w:val="00C05139"/>
    <w:rsid w:val="00C1115B"/>
    <w:rsid w:val="00C124B7"/>
    <w:rsid w:val="00C1658C"/>
    <w:rsid w:val="00C16745"/>
    <w:rsid w:val="00C16AB3"/>
    <w:rsid w:val="00C17224"/>
    <w:rsid w:val="00C17614"/>
    <w:rsid w:val="00C17685"/>
    <w:rsid w:val="00C20CBD"/>
    <w:rsid w:val="00C223A5"/>
    <w:rsid w:val="00C23A93"/>
    <w:rsid w:val="00C23BCF"/>
    <w:rsid w:val="00C2546E"/>
    <w:rsid w:val="00C2648A"/>
    <w:rsid w:val="00C2711D"/>
    <w:rsid w:val="00C275B4"/>
    <w:rsid w:val="00C310A0"/>
    <w:rsid w:val="00C33258"/>
    <w:rsid w:val="00C351DB"/>
    <w:rsid w:val="00C36A88"/>
    <w:rsid w:val="00C372C1"/>
    <w:rsid w:val="00C44141"/>
    <w:rsid w:val="00C45FC5"/>
    <w:rsid w:val="00C46E16"/>
    <w:rsid w:val="00C53EEF"/>
    <w:rsid w:val="00C54193"/>
    <w:rsid w:val="00C55A01"/>
    <w:rsid w:val="00C56A39"/>
    <w:rsid w:val="00C57DD6"/>
    <w:rsid w:val="00C607D5"/>
    <w:rsid w:val="00C62A8F"/>
    <w:rsid w:val="00C634E0"/>
    <w:rsid w:val="00C66466"/>
    <w:rsid w:val="00C671BC"/>
    <w:rsid w:val="00C70919"/>
    <w:rsid w:val="00C759E4"/>
    <w:rsid w:val="00C75BEC"/>
    <w:rsid w:val="00C7791E"/>
    <w:rsid w:val="00C779D0"/>
    <w:rsid w:val="00C80D96"/>
    <w:rsid w:val="00C83560"/>
    <w:rsid w:val="00C836E3"/>
    <w:rsid w:val="00C83A19"/>
    <w:rsid w:val="00C84756"/>
    <w:rsid w:val="00C8527E"/>
    <w:rsid w:val="00C855D2"/>
    <w:rsid w:val="00C85B78"/>
    <w:rsid w:val="00C85E96"/>
    <w:rsid w:val="00C86FBD"/>
    <w:rsid w:val="00C9128F"/>
    <w:rsid w:val="00C91666"/>
    <w:rsid w:val="00C9219D"/>
    <w:rsid w:val="00C923D5"/>
    <w:rsid w:val="00C94E84"/>
    <w:rsid w:val="00CA0D9F"/>
    <w:rsid w:val="00CA18FB"/>
    <w:rsid w:val="00CA1BD1"/>
    <w:rsid w:val="00CA1CEF"/>
    <w:rsid w:val="00CB030A"/>
    <w:rsid w:val="00CB125C"/>
    <w:rsid w:val="00CB455B"/>
    <w:rsid w:val="00CB4D87"/>
    <w:rsid w:val="00CC4E6E"/>
    <w:rsid w:val="00CC6E0A"/>
    <w:rsid w:val="00CC7617"/>
    <w:rsid w:val="00CC7935"/>
    <w:rsid w:val="00CD17D1"/>
    <w:rsid w:val="00CD20F9"/>
    <w:rsid w:val="00CD5F39"/>
    <w:rsid w:val="00CD66FB"/>
    <w:rsid w:val="00CD67D5"/>
    <w:rsid w:val="00CE6D2A"/>
    <w:rsid w:val="00CE70E4"/>
    <w:rsid w:val="00CE7C1D"/>
    <w:rsid w:val="00CF0889"/>
    <w:rsid w:val="00CF2156"/>
    <w:rsid w:val="00CF41C5"/>
    <w:rsid w:val="00CF4D7B"/>
    <w:rsid w:val="00CF6914"/>
    <w:rsid w:val="00CF71FE"/>
    <w:rsid w:val="00CF7F30"/>
    <w:rsid w:val="00D003AF"/>
    <w:rsid w:val="00D0323A"/>
    <w:rsid w:val="00D049C3"/>
    <w:rsid w:val="00D04E6B"/>
    <w:rsid w:val="00D062A5"/>
    <w:rsid w:val="00D07715"/>
    <w:rsid w:val="00D106FE"/>
    <w:rsid w:val="00D10ED3"/>
    <w:rsid w:val="00D125E8"/>
    <w:rsid w:val="00D12D3B"/>
    <w:rsid w:val="00D13D7B"/>
    <w:rsid w:val="00D14535"/>
    <w:rsid w:val="00D15FDA"/>
    <w:rsid w:val="00D161B7"/>
    <w:rsid w:val="00D17C84"/>
    <w:rsid w:val="00D21A22"/>
    <w:rsid w:val="00D21ED8"/>
    <w:rsid w:val="00D22A32"/>
    <w:rsid w:val="00D23012"/>
    <w:rsid w:val="00D244E8"/>
    <w:rsid w:val="00D25D7C"/>
    <w:rsid w:val="00D26EC1"/>
    <w:rsid w:val="00D2709A"/>
    <w:rsid w:val="00D27EFB"/>
    <w:rsid w:val="00D30569"/>
    <w:rsid w:val="00D31F30"/>
    <w:rsid w:val="00D31F45"/>
    <w:rsid w:val="00D335BB"/>
    <w:rsid w:val="00D34B05"/>
    <w:rsid w:val="00D34CE8"/>
    <w:rsid w:val="00D35583"/>
    <w:rsid w:val="00D360B1"/>
    <w:rsid w:val="00D37504"/>
    <w:rsid w:val="00D37996"/>
    <w:rsid w:val="00D45D37"/>
    <w:rsid w:val="00D4725F"/>
    <w:rsid w:val="00D47EAE"/>
    <w:rsid w:val="00D54091"/>
    <w:rsid w:val="00D54B9A"/>
    <w:rsid w:val="00D54F2F"/>
    <w:rsid w:val="00D557F5"/>
    <w:rsid w:val="00D60619"/>
    <w:rsid w:val="00D61100"/>
    <w:rsid w:val="00D61C45"/>
    <w:rsid w:val="00D62AEF"/>
    <w:rsid w:val="00D62CE1"/>
    <w:rsid w:val="00D64AE1"/>
    <w:rsid w:val="00D64DD6"/>
    <w:rsid w:val="00D6587C"/>
    <w:rsid w:val="00D72C4E"/>
    <w:rsid w:val="00D756CA"/>
    <w:rsid w:val="00D77713"/>
    <w:rsid w:val="00D7798A"/>
    <w:rsid w:val="00D81645"/>
    <w:rsid w:val="00D8307B"/>
    <w:rsid w:val="00D8327C"/>
    <w:rsid w:val="00D836F7"/>
    <w:rsid w:val="00D84645"/>
    <w:rsid w:val="00D85D93"/>
    <w:rsid w:val="00D864F8"/>
    <w:rsid w:val="00D879A3"/>
    <w:rsid w:val="00D87AFF"/>
    <w:rsid w:val="00D87DBF"/>
    <w:rsid w:val="00D93123"/>
    <w:rsid w:val="00D95999"/>
    <w:rsid w:val="00DA2A76"/>
    <w:rsid w:val="00DA2AC1"/>
    <w:rsid w:val="00DA527C"/>
    <w:rsid w:val="00DA5B6B"/>
    <w:rsid w:val="00DA700C"/>
    <w:rsid w:val="00DB2EF0"/>
    <w:rsid w:val="00DB4640"/>
    <w:rsid w:val="00DB72D0"/>
    <w:rsid w:val="00DC115C"/>
    <w:rsid w:val="00DC44F4"/>
    <w:rsid w:val="00DD027E"/>
    <w:rsid w:val="00DD0447"/>
    <w:rsid w:val="00DD05BB"/>
    <w:rsid w:val="00DD63E4"/>
    <w:rsid w:val="00DD688C"/>
    <w:rsid w:val="00DD74A4"/>
    <w:rsid w:val="00DE2783"/>
    <w:rsid w:val="00DE27B8"/>
    <w:rsid w:val="00DE3D55"/>
    <w:rsid w:val="00DE5707"/>
    <w:rsid w:val="00DE70C6"/>
    <w:rsid w:val="00DF0DB1"/>
    <w:rsid w:val="00DF21A8"/>
    <w:rsid w:val="00DF3A84"/>
    <w:rsid w:val="00DF7C6E"/>
    <w:rsid w:val="00E01663"/>
    <w:rsid w:val="00E01A46"/>
    <w:rsid w:val="00E04FDE"/>
    <w:rsid w:val="00E07A39"/>
    <w:rsid w:val="00E103AB"/>
    <w:rsid w:val="00E104EF"/>
    <w:rsid w:val="00E125CB"/>
    <w:rsid w:val="00E12F03"/>
    <w:rsid w:val="00E13C7D"/>
    <w:rsid w:val="00E13EDF"/>
    <w:rsid w:val="00E146EE"/>
    <w:rsid w:val="00E165C9"/>
    <w:rsid w:val="00E17165"/>
    <w:rsid w:val="00E202E6"/>
    <w:rsid w:val="00E20E8D"/>
    <w:rsid w:val="00E21B3E"/>
    <w:rsid w:val="00E21F7E"/>
    <w:rsid w:val="00E224C3"/>
    <w:rsid w:val="00E226E3"/>
    <w:rsid w:val="00E22BB4"/>
    <w:rsid w:val="00E23B83"/>
    <w:rsid w:val="00E23FD1"/>
    <w:rsid w:val="00E25D87"/>
    <w:rsid w:val="00E27377"/>
    <w:rsid w:val="00E300EC"/>
    <w:rsid w:val="00E31E46"/>
    <w:rsid w:val="00E332F5"/>
    <w:rsid w:val="00E34AE2"/>
    <w:rsid w:val="00E37601"/>
    <w:rsid w:val="00E42235"/>
    <w:rsid w:val="00E43B3E"/>
    <w:rsid w:val="00E4414C"/>
    <w:rsid w:val="00E443BA"/>
    <w:rsid w:val="00E45FB7"/>
    <w:rsid w:val="00E470CE"/>
    <w:rsid w:val="00E47C61"/>
    <w:rsid w:val="00E502B7"/>
    <w:rsid w:val="00E50F94"/>
    <w:rsid w:val="00E52203"/>
    <w:rsid w:val="00E524C3"/>
    <w:rsid w:val="00E528C9"/>
    <w:rsid w:val="00E5462E"/>
    <w:rsid w:val="00E56A9C"/>
    <w:rsid w:val="00E62AD0"/>
    <w:rsid w:val="00E65605"/>
    <w:rsid w:val="00E65AFF"/>
    <w:rsid w:val="00E6767D"/>
    <w:rsid w:val="00E7411A"/>
    <w:rsid w:val="00E77371"/>
    <w:rsid w:val="00E77612"/>
    <w:rsid w:val="00E77A83"/>
    <w:rsid w:val="00E82888"/>
    <w:rsid w:val="00E85972"/>
    <w:rsid w:val="00E86053"/>
    <w:rsid w:val="00E90E9C"/>
    <w:rsid w:val="00E91247"/>
    <w:rsid w:val="00E919BF"/>
    <w:rsid w:val="00E9307C"/>
    <w:rsid w:val="00E9512C"/>
    <w:rsid w:val="00EA0077"/>
    <w:rsid w:val="00EA0E38"/>
    <w:rsid w:val="00EA1872"/>
    <w:rsid w:val="00EA604E"/>
    <w:rsid w:val="00EA6536"/>
    <w:rsid w:val="00EA6AA3"/>
    <w:rsid w:val="00EA7167"/>
    <w:rsid w:val="00EB0026"/>
    <w:rsid w:val="00EB0384"/>
    <w:rsid w:val="00EB39F8"/>
    <w:rsid w:val="00EB3AE8"/>
    <w:rsid w:val="00EB6196"/>
    <w:rsid w:val="00EB67F0"/>
    <w:rsid w:val="00EB6B0C"/>
    <w:rsid w:val="00EB6F46"/>
    <w:rsid w:val="00EC058C"/>
    <w:rsid w:val="00EC10DD"/>
    <w:rsid w:val="00EC1BDE"/>
    <w:rsid w:val="00EC1F4B"/>
    <w:rsid w:val="00EC678A"/>
    <w:rsid w:val="00ED1413"/>
    <w:rsid w:val="00ED1663"/>
    <w:rsid w:val="00ED1981"/>
    <w:rsid w:val="00ED2521"/>
    <w:rsid w:val="00ED50F5"/>
    <w:rsid w:val="00ED6BE1"/>
    <w:rsid w:val="00ED7099"/>
    <w:rsid w:val="00ED7757"/>
    <w:rsid w:val="00EE027B"/>
    <w:rsid w:val="00EE13B8"/>
    <w:rsid w:val="00EE31DF"/>
    <w:rsid w:val="00EE4E73"/>
    <w:rsid w:val="00EE7916"/>
    <w:rsid w:val="00EF1C6E"/>
    <w:rsid w:val="00EF2C80"/>
    <w:rsid w:val="00EF3559"/>
    <w:rsid w:val="00EF4D3B"/>
    <w:rsid w:val="00EF6A34"/>
    <w:rsid w:val="00EF7579"/>
    <w:rsid w:val="00EF7950"/>
    <w:rsid w:val="00F00BE0"/>
    <w:rsid w:val="00F016BD"/>
    <w:rsid w:val="00F026F0"/>
    <w:rsid w:val="00F0680A"/>
    <w:rsid w:val="00F06ED0"/>
    <w:rsid w:val="00F12013"/>
    <w:rsid w:val="00F12999"/>
    <w:rsid w:val="00F13822"/>
    <w:rsid w:val="00F14565"/>
    <w:rsid w:val="00F14973"/>
    <w:rsid w:val="00F14A70"/>
    <w:rsid w:val="00F175A5"/>
    <w:rsid w:val="00F22AEF"/>
    <w:rsid w:val="00F230F1"/>
    <w:rsid w:val="00F27B8D"/>
    <w:rsid w:val="00F304FB"/>
    <w:rsid w:val="00F313F8"/>
    <w:rsid w:val="00F315AB"/>
    <w:rsid w:val="00F32692"/>
    <w:rsid w:val="00F33033"/>
    <w:rsid w:val="00F33F07"/>
    <w:rsid w:val="00F35871"/>
    <w:rsid w:val="00F35D52"/>
    <w:rsid w:val="00F35F8C"/>
    <w:rsid w:val="00F36C93"/>
    <w:rsid w:val="00F373E1"/>
    <w:rsid w:val="00F42574"/>
    <w:rsid w:val="00F45257"/>
    <w:rsid w:val="00F45ABB"/>
    <w:rsid w:val="00F45CA2"/>
    <w:rsid w:val="00F45D78"/>
    <w:rsid w:val="00F46154"/>
    <w:rsid w:val="00F46AD5"/>
    <w:rsid w:val="00F47DCD"/>
    <w:rsid w:val="00F506F1"/>
    <w:rsid w:val="00F50CA4"/>
    <w:rsid w:val="00F50CAA"/>
    <w:rsid w:val="00F50CE7"/>
    <w:rsid w:val="00F51438"/>
    <w:rsid w:val="00F5274D"/>
    <w:rsid w:val="00F5301A"/>
    <w:rsid w:val="00F53110"/>
    <w:rsid w:val="00F549E7"/>
    <w:rsid w:val="00F5550D"/>
    <w:rsid w:val="00F56759"/>
    <w:rsid w:val="00F618BB"/>
    <w:rsid w:val="00F6302F"/>
    <w:rsid w:val="00F67625"/>
    <w:rsid w:val="00F721E6"/>
    <w:rsid w:val="00F73A79"/>
    <w:rsid w:val="00F74C9D"/>
    <w:rsid w:val="00F76B14"/>
    <w:rsid w:val="00F81487"/>
    <w:rsid w:val="00F85F21"/>
    <w:rsid w:val="00F90CF5"/>
    <w:rsid w:val="00F91AD8"/>
    <w:rsid w:val="00F922B1"/>
    <w:rsid w:val="00F9432B"/>
    <w:rsid w:val="00FA1CBD"/>
    <w:rsid w:val="00FA3A95"/>
    <w:rsid w:val="00FA56EF"/>
    <w:rsid w:val="00FA5D99"/>
    <w:rsid w:val="00FA6505"/>
    <w:rsid w:val="00FA72F6"/>
    <w:rsid w:val="00FB10A3"/>
    <w:rsid w:val="00FB1C83"/>
    <w:rsid w:val="00FB36D4"/>
    <w:rsid w:val="00FB3B0F"/>
    <w:rsid w:val="00FB510B"/>
    <w:rsid w:val="00FB5D1B"/>
    <w:rsid w:val="00FB75F9"/>
    <w:rsid w:val="00FB7C5A"/>
    <w:rsid w:val="00FC1C97"/>
    <w:rsid w:val="00FC26BF"/>
    <w:rsid w:val="00FC40B6"/>
    <w:rsid w:val="00FC423E"/>
    <w:rsid w:val="00FC523E"/>
    <w:rsid w:val="00FC574D"/>
    <w:rsid w:val="00FC6CE0"/>
    <w:rsid w:val="00FC7232"/>
    <w:rsid w:val="00FC7525"/>
    <w:rsid w:val="00FD1A30"/>
    <w:rsid w:val="00FD418F"/>
    <w:rsid w:val="00FD4365"/>
    <w:rsid w:val="00FD4D39"/>
    <w:rsid w:val="00FD4F52"/>
    <w:rsid w:val="00FD532F"/>
    <w:rsid w:val="00FD73E1"/>
    <w:rsid w:val="00FE011A"/>
    <w:rsid w:val="00FE1EF3"/>
    <w:rsid w:val="00FE315D"/>
    <w:rsid w:val="00FE3182"/>
    <w:rsid w:val="00FE41E1"/>
    <w:rsid w:val="00FE4C92"/>
    <w:rsid w:val="00FE55F1"/>
    <w:rsid w:val="00FE5843"/>
    <w:rsid w:val="00FF213C"/>
    <w:rsid w:val="00FF4D81"/>
    <w:rsid w:val="00FF6F3D"/>
    <w:rsid w:val="00FF6F49"/>
    <w:rsid w:val="00FF75F5"/>
    <w:rsid w:val="010A3C9B"/>
    <w:rsid w:val="010D54EC"/>
    <w:rsid w:val="011376A2"/>
    <w:rsid w:val="01165FCD"/>
    <w:rsid w:val="01272D2B"/>
    <w:rsid w:val="012A3BF5"/>
    <w:rsid w:val="012B0079"/>
    <w:rsid w:val="013567F0"/>
    <w:rsid w:val="013B4ECC"/>
    <w:rsid w:val="013E61E2"/>
    <w:rsid w:val="01472656"/>
    <w:rsid w:val="014D4677"/>
    <w:rsid w:val="01592D24"/>
    <w:rsid w:val="0159301C"/>
    <w:rsid w:val="015C48BA"/>
    <w:rsid w:val="015E4AC8"/>
    <w:rsid w:val="015F37AB"/>
    <w:rsid w:val="016025FC"/>
    <w:rsid w:val="01627929"/>
    <w:rsid w:val="01635C49"/>
    <w:rsid w:val="016669EB"/>
    <w:rsid w:val="016B506A"/>
    <w:rsid w:val="017205E0"/>
    <w:rsid w:val="01722509"/>
    <w:rsid w:val="01775986"/>
    <w:rsid w:val="01811D96"/>
    <w:rsid w:val="01883E36"/>
    <w:rsid w:val="018E345A"/>
    <w:rsid w:val="018E7ABF"/>
    <w:rsid w:val="018F2513"/>
    <w:rsid w:val="01960C7E"/>
    <w:rsid w:val="0198796C"/>
    <w:rsid w:val="019A03EB"/>
    <w:rsid w:val="019E522D"/>
    <w:rsid w:val="01A5497A"/>
    <w:rsid w:val="01A91A6C"/>
    <w:rsid w:val="01B464A4"/>
    <w:rsid w:val="01B500FA"/>
    <w:rsid w:val="01B8299A"/>
    <w:rsid w:val="01B8411E"/>
    <w:rsid w:val="01BB3CD7"/>
    <w:rsid w:val="01C133B8"/>
    <w:rsid w:val="01C25065"/>
    <w:rsid w:val="01C270FB"/>
    <w:rsid w:val="01C40DDD"/>
    <w:rsid w:val="01C50397"/>
    <w:rsid w:val="01C80D8D"/>
    <w:rsid w:val="01C901A1"/>
    <w:rsid w:val="01CA7A55"/>
    <w:rsid w:val="01D11385"/>
    <w:rsid w:val="01D332BB"/>
    <w:rsid w:val="01E67010"/>
    <w:rsid w:val="01FE2FA9"/>
    <w:rsid w:val="02016B70"/>
    <w:rsid w:val="02070CCA"/>
    <w:rsid w:val="020F2171"/>
    <w:rsid w:val="021B7C4E"/>
    <w:rsid w:val="021D0846"/>
    <w:rsid w:val="02240F10"/>
    <w:rsid w:val="0233386D"/>
    <w:rsid w:val="023870D5"/>
    <w:rsid w:val="023C035E"/>
    <w:rsid w:val="02420FBA"/>
    <w:rsid w:val="024535A0"/>
    <w:rsid w:val="024B1C03"/>
    <w:rsid w:val="024F77E7"/>
    <w:rsid w:val="02560647"/>
    <w:rsid w:val="025D4B5C"/>
    <w:rsid w:val="0264378A"/>
    <w:rsid w:val="026515B7"/>
    <w:rsid w:val="026E6F9B"/>
    <w:rsid w:val="02730253"/>
    <w:rsid w:val="02762AF5"/>
    <w:rsid w:val="02794364"/>
    <w:rsid w:val="029329B0"/>
    <w:rsid w:val="029733A6"/>
    <w:rsid w:val="029C1009"/>
    <w:rsid w:val="02A242FC"/>
    <w:rsid w:val="02A3645B"/>
    <w:rsid w:val="02A62291"/>
    <w:rsid w:val="02B26E88"/>
    <w:rsid w:val="02B456C1"/>
    <w:rsid w:val="02BE0C02"/>
    <w:rsid w:val="02BE1C3B"/>
    <w:rsid w:val="02C46D9B"/>
    <w:rsid w:val="02C71F07"/>
    <w:rsid w:val="02CE7095"/>
    <w:rsid w:val="02CE7839"/>
    <w:rsid w:val="02D23086"/>
    <w:rsid w:val="02EB6A9B"/>
    <w:rsid w:val="02EC1789"/>
    <w:rsid w:val="02F200B2"/>
    <w:rsid w:val="02F3472A"/>
    <w:rsid w:val="02F778BD"/>
    <w:rsid w:val="030242D2"/>
    <w:rsid w:val="03031491"/>
    <w:rsid w:val="030376E3"/>
    <w:rsid w:val="030A0A72"/>
    <w:rsid w:val="031158F5"/>
    <w:rsid w:val="03121468"/>
    <w:rsid w:val="031C2553"/>
    <w:rsid w:val="0325170D"/>
    <w:rsid w:val="03273969"/>
    <w:rsid w:val="033003B6"/>
    <w:rsid w:val="0336366B"/>
    <w:rsid w:val="033D20C5"/>
    <w:rsid w:val="03410097"/>
    <w:rsid w:val="0348748B"/>
    <w:rsid w:val="034877EC"/>
    <w:rsid w:val="037203C5"/>
    <w:rsid w:val="03726617"/>
    <w:rsid w:val="03731188"/>
    <w:rsid w:val="037B7D1A"/>
    <w:rsid w:val="03822C68"/>
    <w:rsid w:val="038826BA"/>
    <w:rsid w:val="038C7E40"/>
    <w:rsid w:val="038D16A3"/>
    <w:rsid w:val="03917DFD"/>
    <w:rsid w:val="03921B3D"/>
    <w:rsid w:val="039B0FB4"/>
    <w:rsid w:val="039C3A61"/>
    <w:rsid w:val="039C6988"/>
    <w:rsid w:val="039F2BBC"/>
    <w:rsid w:val="03A03184"/>
    <w:rsid w:val="03A728D9"/>
    <w:rsid w:val="03A96A90"/>
    <w:rsid w:val="03AC7274"/>
    <w:rsid w:val="03AE3AF3"/>
    <w:rsid w:val="03B23CFC"/>
    <w:rsid w:val="03B6238C"/>
    <w:rsid w:val="03B945D4"/>
    <w:rsid w:val="03B97685"/>
    <w:rsid w:val="03BE21D5"/>
    <w:rsid w:val="03C14004"/>
    <w:rsid w:val="03C328C1"/>
    <w:rsid w:val="03C815E0"/>
    <w:rsid w:val="03CB1288"/>
    <w:rsid w:val="03CE62F9"/>
    <w:rsid w:val="03D0482E"/>
    <w:rsid w:val="03D352ED"/>
    <w:rsid w:val="03D746CC"/>
    <w:rsid w:val="03D96AC5"/>
    <w:rsid w:val="03E00516"/>
    <w:rsid w:val="03E2554B"/>
    <w:rsid w:val="03F24223"/>
    <w:rsid w:val="03F64807"/>
    <w:rsid w:val="03FD25BA"/>
    <w:rsid w:val="04022B7C"/>
    <w:rsid w:val="04073203"/>
    <w:rsid w:val="040E4716"/>
    <w:rsid w:val="040F70CD"/>
    <w:rsid w:val="04106A25"/>
    <w:rsid w:val="0414147C"/>
    <w:rsid w:val="04145AE0"/>
    <w:rsid w:val="04161698"/>
    <w:rsid w:val="041C3D42"/>
    <w:rsid w:val="041F7D0F"/>
    <w:rsid w:val="04220CB2"/>
    <w:rsid w:val="0423034F"/>
    <w:rsid w:val="042A1D07"/>
    <w:rsid w:val="04322FF4"/>
    <w:rsid w:val="0438160E"/>
    <w:rsid w:val="043A7135"/>
    <w:rsid w:val="043F6F4A"/>
    <w:rsid w:val="04433CEA"/>
    <w:rsid w:val="04436F26"/>
    <w:rsid w:val="044625E2"/>
    <w:rsid w:val="044C4BAF"/>
    <w:rsid w:val="045C354F"/>
    <w:rsid w:val="045E2EE6"/>
    <w:rsid w:val="04671D69"/>
    <w:rsid w:val="04784101"/>
    <w:rsid w:val="048221D3"/>
    <w:rsid w:val="0485012C"/>
    <w:rsid w:val="04894B8E"/>
    <w:rsid w:val="048E56D2"/>
    <w:rsid w:val="04904EE7"/>
    <w:rsid w:val="04977C3F"/>
    <w:rsid w:val="049A4077"/>
    <w:rsid w:val="04A24CDA"/>
    <w:rsid w:val="04AE6891"/>
    <w:rsid w:val="04B12FF3"/>
    <w:rsid w:val="04B6239F"/>
    <w:rsid w:val="04BA5556"/>
    <w:rsid w:val="04C7405C"/>
    <w:rsid w:val="04CD4DAE"/>
    <w:rsid w:val="04D5330D"/>
    <w:rsid w:val="04D81DD4"/>
    <w:rsid w:val="04E23873"/>
    <w:rsid w:val="04E452F2"/>
    <w:rsid w:val="04EF43C3"/>
    <w:rsid w:val="04F445ED"/>
    <w:rsid w:val="04FA1A94"/>
    <w:rsid w:val="050414F1"/>
    <w:rsid w:val="05071955"/>
    <w:rsid w:val="050B36B6"/>
    <w:rsid w:val="050C0AB2"/>
    <w:rsid w:val="051E3875"/>
    <w:rsid w:val="0521087B"/>
    <w:rsid w:val="05280773"/>
    <w:rsid w:val="05287DA2"/>
    <w:rsid w:val="052A7579"/>
    <w:rsid w:val="0533125B"/>
    <w:rsid w:val="05357A3D"/>
    <w:rsid w:val="05397515"/>
    <w:rsid w:val="053A5640"/>
    <w:rsid w:val="053F077B"/>
    <w:rsid w:val="0541349F"/>
    <w:rsid w:val="05465740"/>
    <w:rsid w:val="054A088F"/>
    <w:rsid w:val="054E0D09"/>
    <w:rsid w:val="054E19AB"/>
    <w:rsid w:val="054F4EE9"/>
    <w:rsid w:val="055045C3"/>
    <w:rsid w:val="055422CC"/>
    <w:rsid w:val="05551EBD"/>
    <w:rsid w:val="05573D16"/>
    <w:rsid w:val="0560611A"/>
    <w:rsid w:val="05666772"/>
    <w:rsid w:val="05681C41"/>
    <w:rsid w:val="056B3FB1"/>
    <w:rsid w:val="056D353A"/>
    <w:rsid w:val="056F18F5"/>
    <w:rsid w:val="05886F4B"/>
    <w:rsid w:val="058A40EC"/>
    <w:rsid w:val="059419B1"/>
    <w:rsid w:val="05947554"/>
    <w:rsid w:val="05976809"/>
    <w:rsid w:val="059A3F79"/>
    <w:rsid w:val="05B55C7F"/>
    <w:rsid w:val="05B64EE1"/>
    <w:rsid w:val="05BA01C0"/>
    <w:rsid w:val="05C25634"/>
    <w:rsid w:val="05C42475"/>
    <w:rsid w:val="05C70E9C"/>
    <w:rsid w:val="05CA6B7F"/>
    <w:rsid w:val="05CF60C0"/>
    <w:rsid w:val="05D008D1"/>
    <w:rsid w:val="05D20121"/>
    <w:rsid w:val="05D67331"/>
    <w:rsid w:val="05D9472B"/>
    <w:rsid w:val="05DB2AF1"/>
    <w:rsid w:val="05E02296"/>
    <w:rsid w:val="05E20370"/>
    <w:rsid w:val="05E46CCB"/>
    <w:rsid w:val="05F65FAE"/>
    <w:rsid w:val="05F9149B"/>
    <w:rsid w:val="06050623"/>
    <w:rsid w:val="0607573C"/>
    <w:rsid w:val="060C1307"/>
    <w:rsid w:val="060C2D53"/>
    <w:rsid w:val="06137DBA"/>
    <w:rsid w:val="06227AEC"/>
    <w:rsid w:val="06230653"/>
    <w:rsid w:val="06261D04"/>
    <w:rsid w:val="062A0AEB"/>
    <w:rsid w:val="062E1625"/>
    <w:rsid w:val="062E4A77"/>
    <w:rsid w:val="063848B4"/>
    <w:rsid w:val="06385D00"/>
    <w:rsid w:val="063B320A"/>
    <w:rsid w:val="06426C88"/>
    <w:rsid w:val="06455CC2"/>
    <w:rsid w:val="06543A2B"/>
    <w:rsid w:val="06547DB3"/>
    <w:rsid w:val="065A162A"/>
    <w:rsid w:val="065D1AC3"/>
    <w:rsid w:val="066A3FBC"/>
    <w:rsid w:val="0676641E"/>
    <w:rsid w:val="067803E8"/>
    <w:rsid w:val="06840B3B"/>
    <w:rsid w:val="06842580"/>
    <w:rsid w:val="068B5480"/>
    <w:rsid w:val="068F5597"/>
    <w:rsid w:val="069074E0"/>
    <w:rsid w:val="069B5F1B"/>
    <w:rsid w:val="06A50AB1"/>
    <w:rsid w:val="06A6607A"/>
    <w:rsid w:val="06A72A7B"/>
    <w:rsid w:val="06AB5586"/>
    <w:rsid w:val="06B26263"/>
    <w:rsid w:val="06BC02D5"/>
    <w:rsid w:val="06BD5DFB"/>
    <w:rsid w:val="06BE2F7D"/>
    <w:rsid w:val="06C06015"/>
    <w:rsid w:val="06C82AA1"/>
    <w:rsid w:val="06C929F2"/>
    <w:rsid w:val="06CB44B7"/>
    <w:rsid w:val="06CC68D5"/>
    <w:rsid w:val="06CE0008"/>
    <w:rsid w:val="06D3658E"/>
    <w:rsid w:val="06D9077D"/>
    <w:rsid w:val="06D97623"/>
    <w:rsid w:val="06E31BBF"/>
    <w:rsid w:val="06E75DC0"/>
    <w:rsid w:val="06EE20B1"/>
    <w:rsid w:val="06EF3C21"/>
    <w:rsid w:val="06F40D4B"/>
    <w:rsid w:val="06FC0BC6"/>
    <w:rsid w:val="06FF12BF"/>
    <w:rsid w:val="070A3D66"/>
    <w:rsid w:val="07103A46"/>
    <w:rsid w:val="0711044D"/>
    <w:rsid w:val="07133C6D"/>
    <w:rsid w:val="07153E89"/>
    <w:rsid w:val="071B225A"/>
    <w:rsid w:val="071C0D73"/>
    <w:rsid w:val="071C3B6B"/>
    <w:rsid w:val="072150F3"/>
    <w:rsid w:val="07283BBC"/>
    <w:rsid w:val="073027E2"/>
    <w:rsid w:val="073A655C"/>
    <w:rsid w:val="074309F6"/>
    <w:rsid w:val="07446F84"/>
    <w:rsid w:val="07533514"/>
    <w:rsid w:val="07571DAC"/>
    <w:rsid w:val="075B63E2"/>
    <w:rsid w:val="076369A2"/>
    <w:rsid w:val="07670C63"/>
    <w:rsid w:val="076A48FE"/>
    <w:rsid w:val="07707E8A"/>
    <w:rsid w:val="07795D43"/>
    <w:rsid w:val="077C569C"/>
    <w:rsid w:val="077E558A"/>
    <w:rsid w:val="078419A4"/>
    <w:rsid w:val="07996A2F"/>
    <w:rsid w:val="079C79BB"/>
    <w:rsid w:val="079E1D00"/>
    <w:rsid w:val="079F0581"/>
    <w:rsid w:val="079F512A"/>
    <w:rsid w:val="07A64AE1"/>
    <w:rsid w:val="07A75DA3"/>
    <w:rsid w:val="07A80859"/>
    <w:rsid w:val="07A8164F"/>
    <w:rsid w:val="07A82607"/>
    <w:rsid w:val="07AD04B8"/>
    <w:rsid w:val="07AF4E93"/>
    <w:rsid w:val="07AF53CD"/>
    <w:rsid w:val="07B03628"/>
    <w:rsid w:val="07B1625B"/>
    <w:rsid w:val="07B44C1E"/>
    <w:rsid w:val="07C342D2"/>
    <w:rsid w:val="07C351BF"/>
    <w:rsid w:val="07C67E6D"/>
    <w:rsid w:val="07C844FE"/>
    <w:rsid w:val="07C8477D"/>
    <w:rsid w:val="07CA07CF"/>
    <w:rsid w:val="07CE1AA9"/>
    <w:rsid w:val="07D96E9C"/>
    <w:rsid w:val="07EF359B"/>
    <w:rsid w:val="07F573F8"/>
    <w:rsid w:val="07F6333F"/>
    <w:rsid w:val="07F67B80"/>
    <w:rsid w:val="07FC0BA5"/>
    <w:rsid w:val="08001F42"/>
    <w:rsid w:val="08002443"/>
    <w:rsid w:val="08071A24"/>
    <w:rsid w:val="08090382"/>
    <w:rsid w:val="08093C92"/>
    <w:rsid w:val="080E717D"/>
    <w:rsid w:val="081B0D7F"/>
    <w:rsid w:val="081B2CD8"/>
    <w:rsid w:val="081C06C0"/>
    <w:rsid w:val="081D1C51"/>
    <w:rsid w:val="081F2DF0"/>
    <w:rsid w:val="0822685D"/>
    <w:rsid w:val="08260360"/>
    <w:rsid w:val="082C3CF2"/>
    <w:rsid w:val="083149F2"/>
    <w:rsid w:val="083B330C"/>
    <w:rsid w:val="083D71F3"/>
    <w:rsid w:val="083F3D81"/>
    <w:rsid w:val="08400D74"/>
    <w:rsid w:val="08452B21"/>
    <w:rsid w:val="084560A8"/>
    <w:rsid w:val="08534B88"/>
    <w:rsid w:val="0854453D"/>
    <w:rsid w:val="0859198F"/>
    <w:rsid w:val="08610BA9"/>
    <w:rsid w:val="086230FE"/>
    <w:rsid w:val="086A5B0F"/>
    <w:rsid w:val="08707DA5"/>
    <w:rsid w:val="0871490B"/>
    <w:rsid w:val="08752E31"/>
    <w:rsid w:val="08761B4F"/>
    <w:rsid w:val="087C22C3"/>
    <w:rsid w:val="087E2564"/>
    <w:rsid w:val="08834C71"/>
    <w:rsid w:val="08861943"/>
    <w:rsid w:val="08862AD5"/>
    <w:rsid w:val="088B326F"/>
    <w:rsid w:val="089600B3"/>
    <w:rsid w:val="089B1B97"/>
    <w:rsid w:val="089F7EAE"/>
    <w:rsid w:val="08A76D63"/>
    <w:rsid w:val="08B916C1"/>
    <w:rsid w:val="08BD20E2"/>
    <w:rsid w:val="08C94DB5"/>
    <w:rsid w:val="08C94F2B"/>
    <w:rsid w:val="08CC1439"/>
    <w:rsid w:val="08D22EEA"/>
    <w:rsid w:val="08D51DF0"/>
    <w:rsid w:val="08D65C17"/>
    <w:rsid w:val="08D8695A"/>
    <w:rsid w:val="08D86F1C"/>
    <w:rsid w:val="08E104C7"/>
    <w:rsid w:val="08E8161A"/>
    <w:rsid w:val="08F062C2"/>
    <w:rsid w:val="08F32FFF"/>
    <w:rsid w:val="08F45398"/>
    <w:rsid w:val="08F95623"/>
    <w:rsid w:val="090327CA"/>
    <w:rsid w:val="090B19E1"/>
    <w:rsid w:val="090B6229"/>
    <w:rsid w:val="090D306A"/>
    <w:rsid w:val="090E0B90"/>
    <w:rsid w:val="0910646C"/>
    <w:rsid w:val="09136778"/>
    <w:rsid w:val="091C2C93"/>
    <w:rsid w:val="091E0127"/>
    <w:rsid w:val="091E5EEA"/>
    <w:rsid w:val="09235BFF"/>
    <w:rsid w:val="092C644B"/>
    <w:rsid w:val="09376435"/>
    <w:rsid w:val="09391815"/>
    <w:rsid w:val="093E3239"/>
    <w:rsid w:val="0946032A"/>
    <w:rsid w:val="094D16B8"/>
    <w:rsid w:val="0955120F"/>
    <w:rsid w:val="095742E5"/>
    <w:rsid w:val="0958005D"/>
    <w:rsid w:val="095C0FA5"/>
    <w:rsid w:val="096C5BEF"/>
    <w:rsid w:val="096F79DD"/>
    <w:rsid w:val="097060BD"/>
    <w:rsid w:val="09824FE5"/>
    <w:rsid w:val="098A1CFD"/>
    <w:rsid w:val="098E4BBC"/>
    <w:rsid w:val="09975029"/>
    <w:rsid w:val="099D2709"/>
    <w:rsid w:val="09AC6517"/>
    <w:rsid w:val="09AF222A"/>
    <w:rsid w:val="09BB688D"/>
    <w:rsid w:val="09BD382D"/>
    <w:rsid w:val="09C1515D"/>
    <w:rsid w:val="09C33294"/>
    <w:rsid w:val="09C474A0"/>
    <w:rsid w:val="09CA5BC9"/>
    <w:rsid w:val="09D51D3F"/>
    <w:rsid w:val="09D53E6D"/>
    <w:rsid w:val="09DE00BB"/>
    <w:rsid w:val="09E15530"/>
    <w:rsid w:val="09E23FFF"/>
    <w:rsid w:val="09EB7B38"/>
    <w:rsid w:val="09F76E81"/>
    <w:rsid w:val="09F7767B"/>
    <w:rsid w:val="0A011CDE"/>
    <w:rsid w:val="0A0377B9"/>
    <w:rsid w:val="0A0B3CFF"/>
    <w:rsid w:val="0A116B8A"/>
    <w:rsid w:val="0A19094E"/>
    <w:rsid w:val="0A1B2824"/>
    <w:rsid w:val="0A1B58FF"/>
    <w:rsid w:val="0A203115"/>
    <w:rsid w:val="0A20579E"/>
    <w:rsid w:val="0A262F18"/>
    <w:rsid w:val="0A3F0598"/>
    <w:rsid w:val="0A40746F"/>
    <w:rsid w:val="0A4801D9"/>
    <w:rsid w:val="0A4D029C"/>
    <w:rsid w:val="0A4E3A53"/>
    <w:rsid w:val="0A502579"/>
    <w:rsid w:val="0A5108B3"/>
    <w:rsid w:val="0A594EA5"/>
    <w:rsid w:val="0A5A1036"/>
    <w:rsid w:val="0A64315D"/>
    <w:rsid w:val="0A6A6CD0"/>
    <w:rsid w:val="0A6D7B49"/>
    <w:rsid w:val="0A6E435A"/>
    <w:rsid w:val="0A7100C5"/>
    <w:rsid w:val="0A762E91"/>
    <w:rsid w:val="0A7862F4"/>
    <w:rsid w:val="0A7D7E85"/>
    <w:rsid w:val="0A7F0792"/>
    <w:rsid w:val="0A841679"/>
    <w:rsid w:val="0A89125A"/>
    <w:rsid w:val="0A917654"/>
    <w:rsid w:val="0A96708F"/>
    <w:rsid w:val="0A9D6DC0"/>
    <w:rsid w:val="0AAF113F"/>
    <w:rsid w:val="0AB26674"/>
    <w:rsid w:val="0AB47515"/>
    <w:rsid w:val="0AB54FCC"/>
    <w:rsid w:val="0ABD78B6"/>
    <w:rsid w:val="0AC41A0D"/>
    <w:rsid w:val="0AC66C3F"/>
    <w:rsid w:val="0ACA2285"/>
    <w:rsid w:val="0AD11D45"/>
    <w:rsid w:val="0AD6392F"/>
    <w:rsid w:val="0ADB2FAB"/>
    <w:rsid w:val="0ADD081A"/>
    <w:rsid w:val="0AE007F1"/>
    <w:rsid w:val="0AE0655C"/>
    <w:rsid w:val="0AE903B8"/>
    <w:rsid w:val="0AEB11FD"/>
    <w:rsid w:val="0AEB708B"/>
    <w:rsid w:val="0AF025F3"/>
    <w:rsid w:val="0AF67D3D"/>
    <w:rsid w:val="0AFC3057"/>
    <w:rsid w:val="0AFF2E86"/>
    <w:rsid w:val="0B022976"/>
    <w:rsid w:val="0B040E69"/>
    <w:rsid w:val="0B093D05"/>
    <w:rsid w:val="0B0C10FF"/>
    <w:rsid w:val="0B1873A5"/>
    <w:rsid w:val="0B1A624D"/>
    <w:rsid w:val="0B210F78"/>
    <w:rsid w:val="0B2D79F3"/>
    <w:rsid w:val="0B3060B6"/>
    <w:rsid w:val="0B394485"/>
    <w:rsid w:val="0B3E0D72"/>
    <w:rsid w:val="0B3F14D4"/>
    <w:rsid w:val="0B403FCB"/>
    <w:rsid w:val="0B43574D"/>
    <w:rsid w:val="0B440D74"/>
    <w:rsid w:val="0B5A00BC"/>
    <w:rsid w:val="0B5C667D"/>
    <w:rsid w:val="0B5D1D8E"/>
    <w:rsid w:val="0B651B32"/>
    <w:rsid w:val="0B6C5DE7"/>
    <w:rsid w:val="0B6D6042"/>
    <w:rsid w:val="0B7462A1"/>
    <w:rsid w:val="0B7B3AA7"/>
    <w:rsid w:val="0B7D2A61"/>
    <w:rsid w:val="0B8C496B"/>
    <w:rsid w:val="0B973E2D"/>
    <w:rsid w:val="0B9D6951"/>
    <w:rsid w:val="0BA16641"/>
    <w:rsid w:val="0BB04180"/>
    <w:rsid w:val="0BB25F6E"/>
    <w:rsid w:val="0BB3001E"/>
    <w:rsid w:val="0BB5398A"/>
    <w:rsid w:val="0BB57FB0"/>
    <w:rsid w:val="0BB8200C"/>
    <w:rsid w:val="0BBB7B92"/>
    <w:rsid w:val="0BC21965"/>
    <w:rsid w:val="0BC53C2D"/>
    <w:rsid w:val="0BCA7F98"/>
    <w:rsid w:val="0BCF0AAA"/>
    <w:rsid w:val="0BD92EBB"/>
    <w:rsid w:val="0BDF05C2"/>
    <w:rsid w:val="0BE75D86"/>
    <w:rsid w:val="0BF9008E"/>
    <w:rsid w:val="0BF946AA"/>
    <w:rsid w:val="0C0A63D9"/>
    <w:rsid w:val="0C0E2A4D"/>
    <w:rsid w:val="0C283DFB"/>
    <w:rsid w:val="0C2A2367"/>
    <w:rsid w:val="0C3414B3"/>
    <w:rsid w:val="0C39411F"/>
    <w:rsid w:val="0C3A5296"/>
    <w:rsid w:val="0C430C9E"/>
    <w:rsid w:val="0C460641"/>
    <w:rsid w:val="0C4F3E77"/>
    <w:rsid w:val="0C517013"/>
    <w:rsid w:val="0C566AD6"/>
    <w:rsid w:val="0C567A7F"/>
    <w:rsid w:val="0C5B51F2"/>
    <w:rsid w:val="0C6D3E1F"/>
    <w:rsid w:val="0C727688"/>
    <w:rsid w:val="0C7317AD"/>
    <w:rsid w:val="0C7A176F"/>
    <w:rsid w:val="0C7B29E0"/>
    <w:rsid w:val="0C7E39F0"/>
    <w:rsid w:val="0C7F03D9"/>
    <w:rsid w:val="0C81308E"/>
    <w:rsid w:val="0C8338B3"/>
    <w:rsid w:val="0C890729"/>
    <w:rsid w:val="0C8A2925"/>
    <w:rsid w:val="0C8E0841"/>
    <w:rsid w:val="0C917B0E"/>
    <w:rsid w:val="0C933345"/>
    <w:rsid w:val="0C971286"/>
    <w:rsid w:val="0C9C7EF4"/>
    <w:rsid w:val="0C9D0CAA"/>
    <w:rsid w:val="0C9D782F"/>
    <w:rsid w:val="0CA912FB"/>
    <w:rsid w:val="0CAB1715"/>
    <w:rsid w:val="0CAC6BB6"/>
    <w:rsid w:val="0CAF61E6"/>
    <w:rsid w:val="0CB02EB1"/>
    <w:rsid w:val="0CB15605"/>
    <w:rsid w:val="0CB328B0"/>
    <w:rsid w:val="0CBF2C0D"/>
    <w:rsid w:val="0CC03C6B"/>
    <w:rsid w:val="0CC32409"/>
    <w:rsid w:val="0CC34F37"/>
    <w:rsid w:val="0CC7352F"/>
    <w:rsid w:val="0CC90A17"/>
    <w:rsid w:val="0CCD447F"/>
    <w:rsid w:val="0CD41746"/>
    <w:rsid w:val="0CD520F0"/>
    <w:rsid w:val="0CD757B5"/>
    <w:rsid w:val="0CDB347F"/>
    <w:rsid w:val="0CDF2F6F"/>
    <w:rsid w:val="0CE860F6"/>
    <w:rsid w:val="0CEA1C84"/>
    <w:rsid w:val="0CEA36C2"/>
    <w:rsid w:val="0CF51EF3"/>
    <w:rsid w:val="0CF6695B"/>
    <w:rsid w:val="0CF956B3"/>
    <w:rsid w:val="0D10137A"/>
    <w:rsid w:val="0D116EA1"/>
    <w:rsid w:val="0D1358BE"/>
    <w:rsid w:val="0D18464C"/>
    <w:rsid w:val="0D2070E4"/>
    <w:rsid w:val="0D261100"/>
    <w:rsid w:val="0D270A75"/>
    <w:rsid w:val="0D2E7A52"/>
    <w:rsid w:val="0D315EA9"/>
    <w:rsid w:val="0D3D5EE8"/>
    <w:rsid w:val="0D4B4161"/>
    <w:rsid w:val="0D564B17"/>
    <w:rsid w:val="0D594C75"/>
    <w:rsid w:val="0D613984"/>
    <w:rsid w:val="0D692839"/>
    <w:rsid w:val="0D6971CC"/>
    <w:rsid w:val="0D7F0D93"/>
    <w:rsid w:val="0D846A54"/>
    <w:rsid w:val="0D8579FA"/>
    <w:rsid w:val="0D86163D"/>
    <w:rsid w:val="0D864353"/>
    <w:rsid w:val="0D8858CE"/>
    <w:rsid w:val="0D8B6C53"/>
    <w:rsid w:val="0D8C093F"/>
    <w:rsid w:val="0D8C5089"/>
    <w:rsid w:val="0D8E6E37"/>
    <w:rsid w:val="0D915359"/>
    <w:rsid w:val="0D926B18"/>
    <w:rsid w:val="0D933B4A"/>
    <w:rsid w:val="0D99217A"/>
    <w:rsid w:val="0DAB03AE"/>
    <w:rsid w:val="0DAB36BA"/>
    <w:rsid w:val="0DB547BE"/>
    <w:rsid w:val="0DBA6BE6"/>
    <w:rsid w:val="0DBC7CFE"/>
    <w:rsid w:val="0DCB52A1"/>
    <w:rsid w:val="0DD028B8"/>
    <w:rsid w:val="0DD505F0"/>
    <w:rsid w:val="0DD759F4"/>
    <w:rsid w:val="0DDB31EB"/>
    <w:rsid w:val="0DDC74AE"/>
    <w:rsid w:val="0DDF0D4D"/>
    <w:rsid w:val="0DE27630"/>
    <w:rsid w:val="0DE764FE"/>
    <w:rsid w:val="0DEA3475"/>
    <w:rsid w:val="0DEA5E6A"/>
    <w:rsid w:val="0DED16BC"/>
    <w:rsid w:val="0DF14DE5"/>
    <w:rsid w:val="0DF465A6"/>
    <w:rsid w:val="0DF62C9E"/>
    <w:rsid w:val="0DFC36FB"/>
    <w:rsid w:val="0E0D7668"/>
    <w:rsid w:val="0E122ED0"/>
    <w:rsid w:val="0E15698D"/>
    <w:rsid w:val="0E226D74"/>
    <w:rsid w:val="0E2C4F13"/>
    <w:rsid w:val="0E2D1963"/>
    <w:rsid w:val="0E345CDC"/>
    <w:rsid w:val="0E3632B2"/>
    <w:rsid w:val="0E39795C"/>
    <w:rsid w:val="0E415DB3"/>
    <w:rsid w:val="0E4917B5"/>
    <w:rsid w:val="0E4A292A"/>
    <w:rsid w:val="0E4E2B96"/>
    <w:rsid w:val="0E545297"/>
    <w:rsid w:val="0E5611E1"/>
    <w:rsid w:val="0E567261"/>
    <w:rsid w:val="0E567341"/>
    <w:rsid w:val="0E65405D"/>
    <w:rsid w:val="0E700A64"/>
    <w:rsid w:val="0E7B0A75"/>
    <w:rsid w:val="0E7D1670"/>
    <w:rsid w:val="0E826757"/>
    <w:rsid w:val="0E83792A"/>
    <w:rsid w:val="0E8D4D50"/>
    <w:rsid w:val="0E8F2773"/>
    <w:rsid w:val="0E910656"/>
    <w:rsid w:val="0E925E6F"/>
    <w:rsid w:val="0E93094D"/>
    <w:rsid w:val="0E941B37"/>
    <w:rsid w:val="0E982A8B"/>
    <w:rsid w:val="0E9B1118"/>
    <w:rsid w:val="0E9F0119"/>
    <w:rsid w:val="0EA425CF"/>
    <w:rsid w:val="0EAE38CF"/>
    <w:rsid w:val="0EB14497"/>
    <w:rsid w:val="0EB37705"/>
    <w:rsid w:val="0EB641F6"/>
    <w:rsid w:val="0EB66A2D"/>
    <w:rsid w:val="0EBB2C32"/>
    <w:rsid w:val="0EC83D6B"/>
    <w:rsid w:val="0ED572C9"/>
    <w:rsid w:val="0EDC1BCE"/>
    <w:rsid w:val="0EDF4DA4"/>
    <w:rsid w:val="0EE04D7C"/>
    <w:rsid w:val="0EE7435D"/>
    <w:rsid w:val="0EE77EB9"/>
    <w:rsid w:val="0EEC54CF"/>
    <w:rsid w:val="0EF52635"/>
    <w:rsid w:val="0EF820C6"/>
    <w:rsid w:val="0EFE3455"/>
    <w:rsid w:val="0F0D26CC"/>
    <w:rsid w:val="0F103F50"/>
    <w:rsid w:val="0F16079E"/>
    <w:rsid w:val="0F184ADA"/>
    <w:rsid w:val="0F225395"/>
    <w:rsid w:val="0F254285"/>
    <w:rsid w:val="0F254BC5"/>
    <w:rsid w:val="0F2B249C"/>
    <w:rsid w:val="0F360329"/>
    <w:rsid w:val="0F3A4D6F"/>
    <w:rsid w:val="0F3D21CF"/>
    <w:rsid w:val="0F451083"/>
    <w:rsid w:val="0F454FBA"/>
    <w:rsid w:val="0F4715A1"/>
    <w:rsid w:val="0F492E3F"/>
    <w:rsid w:val="0F4C0575"/>
    <w:rsid w:val="0F4C7B1C"/>
    <w:rsid w:val="0F590F9B"/>
    <w:rsid w:val="0F6862DA"/>
    <w:rsid w:val="0F7A6F7F"/>
    <w:rsid w:val="0F9B3185"/>
    <w:rsid w:val="0FA1669B"/>
    <w:rsid w:val="0FAB5D62"/>
    <w:rsid w:val="0FAD2305"/>
    <w:rsid w:val="0FB84EA6"/>
    <w:rsid w:val="0FBF6D58"/>
    <w:rsid w:val="0FC1323B"/>
    <w:rsid w:val="0FC77080"/>
    <w:rsid w:val="0FD053C6"/>
    <w:rsid w:val="0FD3668F"/>
    <w:rsid w:val="0FD76C15"/>
    <w:rsid w:val="0FE4089C"/>
    <w:rsid w:val="0FE43632"/>
    <w:rsid w:val="10066A65"/>
    <w:rsid w:val="100B66C4"/>
    <w:rsid w:val="100D18E1"/>
    <w:rsid w:val="101C54DD"/>
    <w:rsid w:val="10223133"/>
    <w:rsid w:val="102B64CB"/>
    <w:rsid w:val="102D3FF1"/>
    <w:rsid w:val="102E5D3B"/>
    <w:rsid w:val="10303AE2"/>
    <w:rsid w:val="103B5D52"/>
    <w:rsid w:val="103E2A4F"/>
    <w:rsid w:val="104717AF"/>
    <w:rsid w:val="105667BD"/>
    <w:rsid w:val="10597D75"/>
    <w:rsid w:val="106808C5"/>
    <w:rsid w:val="10685029"/>
    <w:rsid w:val="106A0648"/>
    <w:rsid w:val="106B203E"/>
    <w:rsid w:val="106B330D"/>
    <w:rsid w:val="1072324E"/>
    <w:rsid w:val="107407BA"/>
    <w:rsid w:val="107D54AD"/>
    <w:rsid w:val="10806E73"/>
    <w:rsid w:val="1082744F"/>
    <w:rsid w:val="108370EA"/>
    <w:rsid w:val="10861954"/>
    <w:rsid w:val="10876323"/>
    <w:rsid w:val="10893B2B"/>
    <w:rsid w:val="108A7B57"/>
    <w:rsid w:val="108C54C8"/>
    <w:rsid w:val="108E4479"/>
    <w:rsid w:val="1092654A"/>
    <w:rsid w:val="10A00598"/>
    <w:rsid w:val="10B42EE9"/>
    <w:rsid w:val="10B767FF"/>
    <w:rsid w:val="10C304B2"/>
    <w:rsid w:val="10CC46B3"/>
    <w:rsid w:val="10D56B2F"/>
    <w:rsid w:val="10D91A83"/>
    <w:rsid w:val="10DB1C9F"/>
    <w:rsid w:val="10E02E12"/>
    <w:rsid w:val="10E11B23"/>
    <w:rsid w:val="10E32902"/>
    <w:rsid w:val="10E87F18"/>
    <w:rsid w:val="10EF538B"/>
    <w:rsid w:val="10F04DD6"/>
    <w:rsid w:val="11021A8B"/>
    <w:rsid w:val="110411F6"/>
    <w:rsid w:val="110D6ECE"/>
    <w:rsid w:val="1111121D"/>
    <w:rsid w:val="111156C1"/>
    <w:rsid w:val="11125C3A"/>
    <w:rsid w:val="1113591B"/>
    <w:rsid w:val="111A1606"/>
    <w:rsid w:val="11216397"/>
    <w:rsid w:val="11267301"/>
    <w:rsid w:val="11312DC0"/>
    <w:rsid w:val="11336333"/>
    <w:rsid w:val="113439DF"/>
    <w:rsid w:val="11344F36"/>
    <w:rsid w:val="11366607"/>
    <w:rsid w:val="113C7F88"/>
    <w:rsid w:val="113E2EAB"/>
    <w:rsid w:val="114367DA"/>
    <w:rsid w:val="114701EB"/>
    <w:rsid w:val="11486D50"/>
    <w:rsid w:val="11522D8A"/>
    <w:rsid w:val="11561326"/>
    <w:rsid w:val="115B06EA"/>
    <w:rsid w:val="115D74DB"/>
    <w:rsid w:val="115F467E"/>
    <w:rsid w:val="11612582"/>
    <w:rsid w:val="116577BB"/>
    <w:rsid w:val="11844481"/>
    <w:rsid w:val="11844ECA"/>
    <w:rsid w:val="118510CB"/>
    <w:rsid w:val="118848CF"/>
    <w:rsid w:val="118916FB"/>
    <w:rsid w:val="11894149"/>
    <w:rsid w:val="118C5FAD"/>
    <w:rsid w:val="118E2015"/>
    <w:rsid w:val="118F4F1D"/>
    <w:rsid w:val="118F74A0"/>
    <w:rsid w:val="11904838"/>
    <w:rsid w:val="119564CF"/>
    <w:rsid w:val="119D1E8A"/>
    <w:rsid w:val="119D3980"/>
    <w:rsid w:val="119E6913"/>
    <w:rsid w:val="119F4A7B"/>
    <w:rsid w:val="11A402E3"/>
    <w:rsid w:val="11B15B92"/>
    <w:rsid w:val="11B4612E"/>
    <w:rsid w:val="11C11380"/>
    <w:rsid w:val="11C15F24"/>
    <w:rsid w:val="11C4327C"/>
    <w:rsid w:val="11CB0B28"/>
    <w:rsid w:val="11CB2ED9"/>
    <w:rsid w:val="11CD4312"/>
    <w:rsid w:val="11D353EB"/>
    <w:rsid w:val="11D41553"/>
    <w:rsid w:val="11D71DB4"/>
    <w:rsid w:val="11D774D6"/>
    <w:rsid w:val="11DA2CA1"/>
    <w:rsid w:val="11DB6BE3"/>
    <w:rsid w:val="11EA752B"/>
    <w:rsid w:val="11F528ED"/>
    <w:rsid w:val="11FC011F"/>
    <w:rsid w:val="11FD6207"/>
    <w:rsid w:val="12092462"/>
    <w:rsid w:val="120A03AC"/>
    <w:rsid w:val="120C17D7"/>
    <w:rsid w:val="120F250A"/>
    <w:rsid w:val="120F2891"/>
    <w:rsid w:val="12137217"/>
    <w:rsid w:val="12162319"/>
    <w:rsid w:val="12186591"/>
    <w:rsid w:val="121865DB"/>
    <w:rsid w:val="121D403F"/>
    <w:rsid w:val="12261112"/>
    <w:rsid w:val="12276F00"/>
    <w:rsid w:val="122C61F2"/>
    <w:rsid w:val="12333415"/>
    <w:rsid w:val="12341308"/>
    <w:rsid w:val="124272D4"/>
    <w:rsid w:val="124420C5"/>
    <w:rsid w:val="12450BFD"/>
    <w:rsid w:val="12466F14"/>
    <w:rsid w:val="124B14A7"/>
    <w:rsid w:val="125F245C"/>
    <w:rsid w:val="126438E3"/>
    <w:rsid w:val="126927D9"/>
    <w:rsid w:val="126B216A"/>
    <w:rsid w:val="126D6927"/>
    <w:rsid w:val="127D3720"/>
    <w:rsid w:val="12857766"/>
    <w:rsid w:val="128A0DD7"/>
    <w:rsid w:val="128B4BC4"/>
    <w:rsid w:val="128C1339"/>
    <w:rsid w:val="12902DF3"/>
    <w:rsid w:val="12905686"/>
    <w:rsid w:val="12937F81"/>
    <w:rsid w:val="129812CD"/>
    <w:rsid w:val="129A6A3B"/>
    <w:rsid w:val="129C76F3"/>
    <w:rsid w:val="129F7C67"/>
    <w:rsid w:val="12AF5192"/>
    <w:rsid w:val="12BB5397"/>
    <w:rsid w:val="12C215CD"/>
    <w:rsid w:val="12C57436"/>
    <w:rsid w:val="12D451A7"/>
    <w:rsid w:val="12DB6887"/>
    <w:rsid w:val="12DB7D35"/>
    <w:rsid w:val="12E053C9"/>
    <w:rsid w:val="12E27315"/>
    <w:rsid w:val="12E5133B"/>
    <w:rsid w:val="12ED0C43"/>
    <w:rsid w:val="12F21444"/>
    <w:rsid w:val="12F40AC9"/>
    <w:rsid w:val="12F45803"/>
    <w:rsid w:val="12FE7BEE"/>
    <w:rsid w:val="13001549"/>
    <w:rsid w:val="13020825"/>
    <w:rsid w:val="13070C85"/>
    <w:rsid w:val="13082412"/>
    <w:rsid w:val="130B7EEE"/>
    <w:rsid w:val="13190AA8"/>
    <w:rsid w:val="1319260B"/>
    <w:rsid w:val="13201149"/>
    <w:rsid w:val="132A0BBC"/>
    <w:rsid w:val="132A0CBC"/>
    <w:rsid w:val="132C2F9D"/>
    <w:rsid w:val="132E255A"/>
    <w:rsid w:val="132F0080"/>
    <w:rsid w:val="132F62D2"/>
    <w:rsid w:val="13380DD8"/>
    <w:rsid w:val="13381102"/>
    <w:rsid w:val="133D47A7"/>
    <w:rsid w:val="1344521A"/>
    <w:rsid w:val="134C29E0"/>
    <w:rsid w:val="13577C09"/>
    <w:rsid w:val="135812DA"/>
    <w:rsid w:val="13631AD8"/>
    <w:rsid w:val="13636CE7"/>
    <w:rsid w:val="13645ACB"/>
    <w:rsid w:val="136515AA"/>
    <w:rsid w:val="136D066E"/>
    <w:rsid w:val="13705C9D"/>
    <w:rsid w:val="137361BF"/>
    <w:rsid w:val="1374007D"/>
    <w:rsid w:val="13782739"/>
    <w:rsid w:val="1379754E"/>
    <w:rsid w:val="138450F3"/>
    <w:rsid w:val="138A175B"/>
    <w:rsid w:val="138F6241"/>
    <w:rsid w:val="13906489"/>
    <w:rsid w:val="13955C19"/>
    <w:rsid w:val="13960100"/>
    <w:rsid w:val="1397044C"/>
    <w:rsid w:val="13A1536F"/>
    <w:rsid w:val="13A20852"/>
    <w:rsid w:val="13A30DD9"/>
    <w:rsid w:val="13A63768"/>
    <w:rsid w:val="13AC7DD3"/>
    <w:rsid w:val="13AF2F6F"/>
    <w:rsid w:val="13B26361"/>
    <w:rsid w:val="13B619EA"/>
    <w:rsid w:val="13B81E24"/>
    <w:rsid w:val="13C20EF5"/>
    <w:rsid w:val="13C21D5F"/>
    <w:rsid w:val="13C81B74"/>
    <w:rsid w:val="13CB5FFB"/>
    <w:rsid w:val="13CB67CA"/>
    <w:rsid w:val="13D30D8E"/>
    <w:rsid w:val="13D33102"/>
    <w:rsid w:val="13D94887"/>
    <w:rsid w:val="13DD77E3"/>
    <w:rsid w:val="13E23025"/>
    <w:rsid w:val="13E663A7"/>
    <w:rsid w:val="13E957B5"/>
    <w:rsid w:val="13F015BE"/>
    <w:rsid w:val="13F54664"/>
    <w:rsid w:val="140432BB"/>
    <w:rsid w:val="140A4D1D"/>
    <w:rsid w:val="140E5EE8"/>
    <w:rsid w:val="14164203"/>
    <w:rsid w:val="14171240"/>
    <w:rsid w:val="14184FB8"/>
    <w:rsid w:val="141A1AFC"/>
    <w:rsid w:val="141B7DAB"/>
    <w:rsid w:val="141D612B"/>
    <w:rsid w:val="141E383D"/>
    <w:rsid w:val="1422481E"/>
    <w:rsid w:val="14316568"/>
    <w:rsid w:val="14321134"/>
    <w:rsid w:val="143B4DE0"/>
    <w:rsid w:val="14412BB2"/>
    <w:rsid w:val="14423F54"/>
    <w:rsid w:val="144308BB"/>
    <w:rsid w:val="14467430"/>
    <w:rsid w:val="14497960"/>
    <w:rsid w:val="144A252F"/>
    <w:rsid w:val="144B2C98"/>
    <w:rsid w:val="144D6CB9"/>
    <w:rsid w:val="14551D69"/>
    <w:rsid w:val="14567DC8"/>
    <w:rsid w:val="145927AB"/>
    <w:rsid w:val="14634486"/>
    <w:rsid w:val="146B50E8"/>
    <w:rsid w:val="146F2D0E"/>
    <w:rsid w:val="147536A7"/>
    <w:rsid w:val="147541B9"/>
    <w:rsid w:val="14795A57"/>
    <w:rsid w:val="147A17CF"/>
    <w:rsid w:val="147C3697"/>
    <w:rsid w:val="148368D6"/>
    <w:rsid w:val="148E354E"/>
    <w:rsid w:val="14912EDB"/>
    <w:rsid w:val="14957C57"/>
    <w:rsid w:val="14963173"/>
    <w:rsid w:val="14975441"/>
    <w:rsid w:val="14987356"/>
    <w:rsid w:val="149C34F4"/>
    <w:rsid w:val="14A15F39"/>
    <w:rsid w:val="14A17A74"/>
    <w:rsid w:val="14A23D5A"/>
    <w:rsid w:val="14A376AA"/>
    <w:rsid w:val="14A51304"/>
    <w:rsid w:val="14B003A6"/>
    <w:rsid w:val="14BF3B23"/>
    <w:rsid w:val="14C01D51"/>
    <w:rsid w:val="14C22B23"/>
    <w:rsid w:val="14C308DD"/>
    <w:rsid w:val="14C737E9"/>
    <w:rsid w:val="14C74097"/>
    <w:rsid w:val="14CA0061"/>
    <w:rsid w:val="14D712DA"/>
    <w:rsid w:val="14D83AA4"/>
    <w:rsid w:val="14DA1A69"/>
    <w:rsid w:val="14E0132F"/>
    <w:rsid w:val="14E05AD6"/>
    <w:rsid w:val="14EB5E8F"/>
    <w:rsid w:val="14EF5D19"/>
    <w:rsid w:val="14F13234"/>
    <w:rsid w:val="14FF6D92"/>
    <w:rsid w:val="150126F3"/>
    <w:rsid w:val="150744D3"/>
    <w:rsid w:val="150A7466"/>
    <w:rsid w:val="15170DCC"/>
    <w:rsid w:val="15211C4B"/>
    <w:rsid w:val="15230B72"/>
    <w:rsid w:val="153320AA"/>
    <w:rsid w:val="15371D4B"/>
    <w:rsid w:val="1542409B"/>
    <w:rsid w:val="15477053"/>
    <w:rsid w:val="154E1966"/>
    <w:rsid w:val="154F5B2A"/>
    <w:rsid w:val="15505E42"/>
    <w:rsid w:val="15581B2C"/>
    <w:rsid w:val="1559194D"/>
    <w:rsid w:val="155C14A4"/>
    <w:rsid w:val="156027A9"/>
    <w:rsid w:val="1565471E"/>
    <w:rsid w:val="15655FDB"/>
    <w:rsid w:val="157460AE"/>
    <w:rsid w:val="157601E9"/>
    <w:rsid w:val="157955E3"/>
    <w:rsid w:val="157B469B"/>
    <w:rsid w:val="1582736D"/>
    <w:rsid w:val="15842F69"/>
    <w:rsid w:val="15863331"/>
    <w:rsid w:val="158C5316"/>
    <w:rsid w:val="158F4E06"/>
    <w:rsid w:val="159054BF"/>
    <w:rsid w:val="15950B46"/>
    <w:rsid w:val="159A3BF9"/>
    <w:rsid w:val="159C2317"/>
    <w:rsid w:val="15A02C05"/>
    <w:rsid w:val="15A078BC"/>
    <w:rsid w:val="15A24B3A"/>
    <w:rsid w:val="15A73194"/>
    <w:rsid w:val="15AE733A"/>
    <w:rsid w:val="15B15BAD"/>
    <w:rsid w:val="15B42ABF"/>
    <w:rsid w:val="15B5037D"/>
    <w:rsid w:val="15B53281"/>
    <w:rsid w:val="15B77304"/>
    <w:rsid w:val="15C454E5"/>
    <w:rsid w:val="15CC0C9A"/>
    <w:rsid w:val="15CC451A"/>
    <w:rsid w:val="15D32F45"/>
    <w:rsid w:val="15D867AD"/>
    <w:rsid w:val="15E9427A"/>
    <w:rsid w:val="15EA25B6"/>
    <w:rsid w:val="15F84071"/>
    <w:rsid w:val="15FC212E"/>
    <w:rsid w:val="15FD6214"/>
    <w:rsid w:val="160101E5"/>
    <w:rsid w:val="16021A3F"/>
    <w:rsid w:val="1603305E"/>
    <w:rsid w:val="16037FF8"/>
    <w:rsid w:val="160B1BD8"/>
    <w:rsid w:val="1610130F"/>
    <w:rsid w:val="16111CBF"/>
    <w:rsid w:val="16172083"/>
    <w:rsid w:val="161D33D4"/>
    <w:rsid w:val="16305BFD"/>
    <w:rsid w:val="1635134B"/>
    <w:rsid w:val="163952E0"/>
    <w:rsid w:val="1640457D"/>
    <w:rsid w:val="1647108A"/>
    <w:rsid w:val="16591947"/>
    <w:rsid w:val="16597293"/>
    <w:rsid w:val="165C118C"/>
    <w:rsid w:val="165C720B"/>
    <w:rsid w:val="16661C68"/>
    <w:rsid w:val="166718DF"/>
    <w:rsid w:val="16684AF4"/>
    <w:rsid w:val="16753FFC"/>
    <w:rsid w:val="167A18C1"/>
    <w:rsid w:val="167A7865"/>
    <w:rsid w:val="16863709"/>
    <w:rsid w:val="16976668"/>
    <w:rsid w:val="16A235F7"/>
    <w:rsid w:val="16A3214A"/>
    <w:rsid w:val="16AD3B86"/>
    <w:rsid w:val="16B010C4"/>
    <w:rsid w:val="16BB1E41"/>
    <w:rsid w:val="16BB73C0"/>
    <w:rsid w:val="16BC60CF"/>
    <w:rsid w:val="16BE31B2"/>
    <w:rsid w:val="16CE6F3C"/>
    <w:rsid w:val="16E34BC4"/>
    <w:rsid w:val="16EA5C33"/>
    <w:rsid w:val="16F511B2"/>
    <w:rsid w:val="16F93153"/>
    <w:rsid w:val="16FF780B"/>
    <w:rsid w:val="170149D2"/>
    <w:rsid w:val="1705161F"/>
    <w:rsid w:val="17077F43"/>
    <w:rsid w:val="17152E17"/>
    <w:rsid w:val="17172CC3"/>
    <w:rsid w:val="171955EB"/>
    <w:rsid w:val="171C5FB5"/>
    <w:rsid w:val="1720665E"/>
    <w:rsid w:val="17264519"/>
    <w:rsid w:val="172A1253"/>
    <w:rsid w:val="172B4C33"/>
    <w:rsid w:val="172F4AF3"/>
    <w:rsid w:val="173869C3"/>
    <w:rsid w:val="1740285C"/>
    <w:rsid w:val="17471E3D"/>
    <w:rsid w:val="174948DC"/>
    <w:rsid w:val="174A78E6"/>
    <w:rsid w:val="175207E1"/>
    <w:rsid w:val="17590DA7"/>
    <w:rsid w:val="175B7696"/>
    <w:rsid w:val="175E4D83"/>
    <w:rsid w:val="176169D2"/>
    <w:rsid w:val="176202D6"/>
    <w:rsid w:val="176564D4"/>
    <w:rsid w:val="17671DD7"/>
    <w:rsid w:val="176A328A"/>
    <w:rsid w:val="176B128C"/>
    <w:rsid w:val="176B2594"/>
    <w:rsid w:val="176E561B"/>
    <w:rsid w:val="17731AF7"/>
    <w:rsid w:val="17737CF8"/>
    <w:rsid w:val="17752EFE"/>
    <w:rsid w:val="17765D15"/>
    <w:rsid w:val="17797B1C"/>
    <w:rsid w:val="177B5642"/>
    <w:rsid w:val="177D6B97"/>
    <w:rsid w:val="17847813"/>
    <w:rsid w:val="17872E16"/>
    <w:rsid w:val="17877DBA"/>
    <w:rsid w:val="17983320"/>
    <w:rsid w:val="17987288"/>
    <w:rsid w:val="17992095"/>
    <w:rsid w:val="17AC29AB"/>
    <w:rsid w:val="17B9616B"/>
    <w:rsid w:val="17BA17F6"/>
    <w:rsid w:val="17BB323B"/>
    <w:rsid w:val="17BC1DD2"/>
    <w:rsid w:val="17BE7C25"/>
    <w:rsid w:val="17C54FD7"/>
    <w:rsid w:val="17C55D1A"/>
    <w:rsid w:val="17C61BD6"/>
    <w:rsid w:val="17DF02C7"/>
    <w:rsid w:val="17E44312"/>
    <w:rsid w:val="17F35B20"/>
    <w:rsid w:val="17F866CA"/>
    <w:rsid w:val="17FD6AAF"/>
    <w:rsid w:val="17FE578F"/>
    <w:rsid w:val="18027B12"/>
    <w:rsid w:val="18067C6B"/>
    <w:rsid w:val="18073411"/>
    <w:rsid w:val="180B5092"/>
    <w:rsid w:val="180D7666"/>
    <w:rsid w:val="180E041D"/>
    <w:rsid w:val="181267F9"/>
    <w:rsid w:val="181B5077"/>
    <w:rsid w:val="181D6492"/>
    <w:rsid w:val="18266F40"/>
    <w:rsid w:val="183449C5"/>
    <w:rsid w:val="183A52E7"/>
    <w:rsid w:val="183B3D13"/>
    <w:rsid w:val="183F2B14"/>
    <w:rsid w:val="1844493A"/>
    <w:rsid w:val="18445D64"/>
    <w:rsid w:val="184A0B34"/>
    <w:rsid w:val="184F0A04"/>
    <w:rsid w:val="18512CF7"/>
    <w:rsid w:val="18540FC5"/>
    <w:rsid w:val="185722F3"/>
    <w:rsid w:val="185808AC"/>
    <w:rsid w:val="185855DF"/>
    <w:rsid w:val="18585984"/>
    <w:rsid w:val="18624A54"/>
    <w:rsid w:val="18655195"/>
    <w:rsid w:val="186B0674"/>
    <w:rsid w:val="186C7681"/>
    <w:rsid w:val="1874541D"/>
    <w:rsid w:val="18752D8F"/>
    <w:rsid w:val="18772927"/>
    <w:rsid w:val="18782C66"/>
    <w:rsid w:val="187D188E"/>
    <w:rsid w:val="188213EC"/>
    <w:rsid w:val="18866995"/>
    <w:rsid w:val="18871F4D"/>
    <w:rsid w:val="188C77F1"/>
    <w:rsid w:val="18904498"/>
    <w:rsid w:val="189747BD"/>
    <w:rsid w:val="189B32FD"/>
    <w:rsid w:val="18A01BF8"/>
    <w:rsid w:val="18A1429D"/>
    <w:rsid w:val="18A3471E"/>
    <w:rsid w:val="18B01DE4"/>
    <w:rsid w:val="18B352B0"/>
    <w:rsid w:val="18B52685"/>
    <w:rsid w:val="18C179CD"/>
    <w:rsid w:val="18CD3EF3"/>
    <w:rsid w:val="18D144BA"/>
    <w:rsid w:val="18D25736"/>
    <w:rsid w:val="18DE3ABF"/>
    <w:rsid w:val="18FF2603"/>
    <w:rsid w:val="19037FE5"/>
    <w:rsid w:val="190869B1"/>
    <w:rsid w:val="190F0738"/>
    <w:rsid w:val="19102702"/>
    <w:rsid w:val="19183767"/>
    <w:rsid w:val="191A5382"/>
    <w:rsid w:val="19202945"/>
    <w:rsid w:val="192960CA"/>
    <w:rsid w:val="192B4DF7"/>
    <w:rsid w:val="192D223F"/>
    <w:rsid w:val="192D641F"/>
    <w:rsid w:val="192E4F24"/>
    <w:rsid w:val="1936705A"/>
    <w:rsid w:val="193A0433"/>
    <w:rsid w:val="193B3A70"/>
    <w:rsid w:val="193E101D"/>
    <w:rsid w:val="194B021E"/>
    <w:rsid w:val="194C2869"/>
    <w:rsid w:val="195425EF"/>
    <w:rsid w:val="195500C6"/>
    <w:rsid w:val="19563E00"/>
    <w:rsid w:val="19574DFB"/>
    <w:rsid w:val="19587488"/>
    <w:rsid w:val="19597C05"/>
    <w:rsid w:val="195A572B"/>
    <w:rsid w:val="196642EF"/>
    <w:rsid w:val="196E6E60"/>
    <w:rsid w:val="19702C51"/>
    <w:rsid w:val="19743E37"/>
    <w:rsid w:val="197E12A7"/>
    <w:rsid w:val="197E36EE"/>
    <w:rsid w:val="19804FB8"/>
    <w:rsid w:val="19831126"/>
    <w:rsid w:val="19860F09"/>
    <w:rsid w:val="199D6C68"/>
    <w:rsid w:val="19A14E4F"/>
    <w:rsid w:val="19A2756E"/>
    <w:rsid w:val="19AA1A62"/>
    <w:rsid w:val="19AA220F"/>
    <w:rsid w:val="19B2405E"/>
    <w:rsid w:val="19B52F66"/>
    <w:rsid w:val="19BA38E9"/>
    <w:rsid w:val="19BA6371"/>
    <w:rsid w:val="19C332D1"/>
    <w:rsid w:val="19C53F90"/>
    <w:rsid w:val="19C71EDF"/>
    <w:rsid w:val="19C83E7A"/>
    <w:rsid w:val="19D159ED"/>
    <w:rsid w:val="19E00942"/>
    <w:rsid w:val="19E27BFB"/>
    <w:rsid w:val="19EF24A3"/>
    <w:rsid w:val="19F66D1E"/>
    <w:rsid w:val="19F90D7B"/>
    <w:rsid w:val="1A005E51"/>
    <w:rsid w:val="1A0A7151"/>
    <w:rsid w:val="1A195147"/>
    <w:rsid w:val="1A1C00CA"/>
    <w:rsid w:val="1A1D5C27"/>
    <w:rsid w:val="1A1D5C9D"/>
    <w:rsid w:val="1A22292E"/>
    <w:rsid w:val="1A255D39"/>
    <w:rsid w:val="1A295A7D"/>
    <w:rsid w:val="1A297E93"/>
    <w:rsid w:val="1A2C70C8"/>
    <w:rsid w:val="1A332204"/>
    <w:rsid w:val="1A3450F6"/>
    <w:rsid w:val="1A35096F"/>
    <w:rsid w:val="1A354F1E"/>
    <w:rsid w:val="1A37691F"/>
    <w:rsid w:val="1A391603"/>
    <w:rsid w:val="1A396071"/>
    <w:rsid w:val="1A3969F1"/>
    <w:rsid w:val="1A3A0B51"/>
    <w:rsid w:val="1A3C0945"/>
    <w:rsid w:val="1A3E5CD0"/>
    <w:rsid w:val="1A421918"/>
    <w:rsid w:val="1A450189"/>
    <w:rsid w:val="1A477835"/>
    <w:rsid w:val="1A4964D8"/>
    <w:rsid w:val="1A497C7A"/>
    <w:rsid w:val="1A4E02B5"/>
    <w:rsid w:val="1A4F3BD8"/>
    <w:rsid w:val="1A614980"/>
    <w:rsid w:val="1A6236C2"/>
    <w:rsid w:val="1A6B1272"/>
    <w:rsid w:val="1A803582"/>
    <w:rsid w:val="1A877989"/>
    <w:rsid w:val="1A8824EC"/>
    <w:rsid w:val="1A8962C8"/>
    <w:rsid w:val="1A8973FF"/>
    <w:rsid w:val="1A8F2B01"/>
    <w:rsid w:val="1A9E1B46"/>
    <w:rsid w:val="1AAC54A3"/>
    <w:rsid w:val="1AB8095B"/>
    <w:rsid w:val="1ABB06B4"/>
    <w:rsid w:val="1ABC044C"/>
    <w:rsid w:val="1ABF25D9"/>
    <w:rsid w:val="1AC45552"/>
    <w:rsid w:val="1AC62840"/>
    <w:rsid w:val="1AD25EC1"/>
    <w:rsid w:val="1AD554DD"/>
    <w:rsid w:val="1AD5594E"/>
    <w:rsid w:val="1AD75285"/>
    <w:rsid w:val="1ADB5062"/>
    <w:rsid w:val="1ADE4866"/>
    <w:rsid w:val="1AE53476"/>
    <w:rsid w:val="1AE654C9"/>
    <w:rsid w:val="1AEB3B6C"/>
    <w:rsid w:val="1AED2CFB"/>
    <w:rsid w:val="1AF23E6D"/>
    <w:rsid w:val="1AF51BB0"/>
    <w:rsid w:val="1AF6583C"/>
    <w:rsid w:val="1AFE6CB6"/>
    <w:rsid w:val="1B035027"/>
    <w:rsid w:val="1B0A6E37"/>
    <w:rsid w:val="1B1451F1"/>
    <w:rsid w:val="1B154000"/>
    <w:rsid w:val="1B182C82"/>
    <w:rsid w:val="1B273B62"/>
    <w:rsid w:val="1B2903BD"/>
    <w:rsid w:val="1B2925C2"/>
    <w:rsid w:val="1B2A5208"/>
    <w:rsid w:val="1B323058"/>
    <w:rsid w:val="1B3645F9"/>
    <w:rsid w:val="1B3812F1"/>
    <w:rsid w:val="1B386E6F"/>
    <w:rsid w:val="1B391A90"/>
    <w:rsid w:val="1B3C67E4"/>
    <w:rsid w:val="1B4D5D94"/>
    <w:rsid w:val="1B5561CE"/>
    <w:rsid w:val="1B5B3AB2"/>
    <w:rsid w:val="1B5E366F"/>
    <w:rsid w:val="1B60171F"/>
    <w:rsid w:val="1B610FF3"/>
    <w:rsid w:val="1B6463AA"/>
    <w:rsid w:val="1B740D26"/>
    <w:rsid w:val="1B7B66B5"/>
    <w:rsid w:val="1B7C407F"/>
    <w:rsid w:val="1B7F246B"/>
    <w:rsid w:val="1B8151F1"/>
    <w:rsid w:val="1B852BFA"/>
    <w:rsid w:val="1B8558A1"/>
    <w:rsid w:val="1B867F14"/>
    <w:rsid w:val="1B8B164F"/>
    <w:rsid w:val="1B8B5DC0"/>
    <w:rsid w:val="1B8D1DE8"/>
    <w:rsid w:val="1B9413C8"/>
    <w:rsid w:val="1BA52C13"/>
    <w:rsid w:val="1BA62EAA"/>
    <w:rsid w:val="1BAC6057"/>
    <w:rsid w:val="1BAD4238"/>
    <w:rsid w:val="1BB12D3A"/>
    <w:rsid w:val="1BB47375"/>
    <w:rsid w:val="1BB9498B"/>
    <w:rsid w:val="1BB97AB4"/>
    <w:rsid w:val="1BC82D28"/>
    <w:rsid w:val="1BCC2D86"/>
    <w:rsid w:val="1BD230D2"/>
    <w:rsid w:val="1BD23C9F"/>
    <w:rsid w:val="1BD25A4D"/>
    <w:rsid w:val="1BD600BC"/>
    <w:rsid w:val="1BD85D53"/>
    <w:rsid w:val="1BDB3B08"/>
    <w:rsid w:val="1BDB6FF7"/>
    <w:rsid w:val="1BDC68CC"/>
    <w:rsid w:val="1BF314C7"/>
    <w:rsid w:val="1BF41580"/>
    <w:rsid w:val="1BF76248"/>
    <w:rsid w:val="1BFB41C6"/>
    <w:rsid w:val="1BFE4A94"/>
    <w:rsid w:val="1C0B3440"/>
    <w:rsid w:val="1C11378B"/>
    <w:rsid w:val="1C1222ED"/>
    <w:rsid w:val="1C1333C3"/>
    <w:rsid w:val="1C161DDD"/>
    <w:rsid w:val="1C183DA8"/>
    <w:rsid w:val="1C18644F"/>
    <w:rsid w:val="1C197B20"/>
    <w:rsid w:val="1C225E9B"/>
    <w:rsid w:val="1C225F98"/>
    <w:rsid w:val="1C24274C"/>
    <w:rsid w:val="1C272EF4"/>
    <w:rsid w:val="1C2A3ADB"/>
    <w:rsid w:val="1C3D380E"/>
    <w:rsid w:val="1C443965"/>
    <w:rsid w:val="1C493F61"/>
    <w:rsid w:val="1C513DC0"/>
    <w:rsid w:val="1C595424"/>
    <w:rsid w:val="1C5A43C0"/>
    <w:rsid w:val="1C655F51"/>
    <w:rsid w:val="1C672254"/>
    <w:rsid w:val="1C6A3ED7"/>
    <w:rsid w:val="1C6C7C4F"/>
    <w:rsid w:val="1C6E187C"/>
    <w:rsid w:val="1C7233D8"/>
    <w:rsid w:val="1C8054A9"/>
    <w:rsid w:val="1C89080C"/>
    <w:rsid w:val="1C8D31D5"/>
    <w:rsid w:val="1C9200B7"/>
    <w:rsid w:val="1C96073B"/>
    <w:rsid w:val="1C985634"/>
    <w:rsid w:val="1CAC4530"/>
    <w:rsid w:val="1CB14D58"/>
    <w:rsid w:val="1CB42982"/>
    <w:rsid w:val="1CB533A4"/>
    <w:rsid w:val="1CB75B21"/>
    <w:rsid w:val="1CBA4E5F"/>
    <w:rsid w:val="1CBE637B"/>
    <w:rsid w:val="1CC16B7E"/>
    <w:rsid w:val="1CDF6673"/>
    <w:rsid w:val="1CE00D50"/>
    <w:rsid w:val="1CE65C54"/>
    <w:rsid w:val="1CE67BE5"/>
    <w:rsid w:val="1CF14E4C"/>
    <w:rsid w:val="1CF3211F"/>
    <w:rsid w:val="1CFA34AD"/>
    <w:rsid w:val="1D022362"/>
    <w:rsid w:val="1D060497"/>
    <w:rsid w:val="1D0B002A"/>
    <w:rsid w:val="1D1327C1"/>
    <w:rsid w:val="1D137517"/>
    <w:rsid w:val="1D181B85"/>
    <w:rsid w:val="1D28454F"/>
    <w:rsid w:val="1D320A97"/>
    <w:rsid w:val="1D353AC3"/>
    <w:rsid w:val="1D3541D9"/>
    <w:rsid w:val="1D3544E5"/>
    <w:rsid w:val="1D3E6FE0"/>
    <w:rsid w:val="1D417781"/>
    <w:rsid w:val="1D44297A"/>
    <w:rsid w:val="1D4454A0"/>
    <w:rsid w:val="1D4F2685"/>
    <w:rsid w:val="1D5030CD"/>
    <w:rsid w:val="1D510639"/>
    <w:rsid w:val="1D5670E5"/>
    <w:rsid w:val="1D5E190C"/>
    <w:rsid w:val="1D622AE0"/>
    <w:rsid w:val="1D631052"/>
    <w:rsid w:val="1D6909E2"/>
    <w:rsid w:val="1D6D3C7F"/>
    <w:rsid w:val="1D740177"/>
    <w:rsid w:val="1D7A2484"/>
    <w:rsid w:val="1D7C66E4"/>
    <w:rsid w:val="1D835251"/>
    <w:rsid w:val="1D862F12"/>
    <w:rsid w:val="1D8C2C52"/>
    <w:rsid w:val="1DB25B36"/>
    <w:rsid w:val="1DB76D37"/>
    <w:rsid w:val="1DBB2EA1"/>
    <w:rsid w:val="1DC61C47"/>
    <w:rsid w:val="1DC674BF"/>
    <w:rsid w:val="1DD34259"/>
    <w:rsid w:val="1DD7559C"/>
    <w:rsid w:val="1DE173D0"/>
    <w:rsid w:val="1DE33F53"/>
    <w:rsid w:val="1DE35853"/>
    <w:rsid w:val="1DE45963"/>
    <w:rsid w:val="1DE873BA"/>
    <w:rsid w:val="1DF443A0"/>
    <w:rsid w:val="1DF63C75"/>
    <w:rsid w:val="1DFB4F2F"/>
    <w:rsid w:val="1DFC46F0"/>
    <w:rsid w:val="1DFF65CA"/>
    <w:rsid w:val="1E09439F"/>
    <w:rsid w:val="1E096D85"/>
    <w:rsid w:val="1E0C3498"/>
    <w:rsid w:val="1E0F2F88"/>
    <w:rsid w:val="1E12416F"/>
    <w:rsid w:val="1E1C7EC6"/>
    <w:rsid w:val="1E1D38F7"/>
    <w:rsid w:val="1E2A19C5"/>
    <w:rsid w:val="1E2D1660"/>
    <w:rsid w:val="1E324813"/>
    <w:rsid w:val="1E326C77"/>
    <w:rsid w:val="1E34129B"/>
    <w:rsid w:val="1E376CEE"/>
    <w:rsid w:val="1E3D435B"/>
    <w:rsid w:val="1E3E2D25"/>
    <w:rsid w:val="1E4507E4"/>
    <w:rsid w:val="1E453EF4"/>
    <w:rsid w:val="1E4744D0"/>
    <w:rsid w:val="1E5452BA"/>
    <w:rsid w:val="1E5631F5"/>
    <w:rsid w:val="1E6037E4"/>
    <w:rsid w:val="1E6210B8"/>
    <w:rsid w:val="1E65704C"/>
    <w:rsid w:val="1E6973EB"/>
    <w:rsid w:val="1E731CD6"/>
    <w:rsid w:val="1E735005"/>
    <w:rsid w:val="1E7B061E"/>
    <w:rsid w:val="1E7D29AF"/>
    <w:rsid w:val="1E8229CB"/>
    <w:rsid w:val="1E917E41"/>
    <w:rsid w:val="1E9F430C"/>
    <w:rsid w:val="1EA414D5"/>
    <w:rsid w:val="1EAD17CE"/>
    <w:rsid w:val="1EC014EF"/>
    <w:rsid w:val="1EC5770B"/>
    <w:rsid w:val="1EC664F8"/>
    <w:rsid w:val="1EC85309"/>
    <w:rsid w:val="1ECF44C6"/>
    <w:rsid w:val="1ED85DF1"/>
    <w:rsid w:val="1EDA22B2"/>
    <w:rsid w:val="1EDA6951"/>
    <w:rsid w:val="1EDE4DF0"/>
    <w:rsid w:val="1EDF3CF2"/>
    <w:rsid w:val="1EE6729F"/>
    <w:rsid w:val="1EF25CE1"/>
    <w:rsid w:val="1EF563EE"/>
    <w:rsid w:val="1EF63B7C"/>
    <w:rsid w:val="1EFA3C38"/>
    <w:rsid w:val="1EFB6E67"/>
    <w:rsid w:val="1EFC5515"/>
    <w:rsid w:val="1F01285A"/>
    <w:rsid w:val="1F031515"/>
    <w:rsid w:val="1F067607"/>
    <w:rsid w:val="1F0B72E6"/>
    <w:rsid w:val="1F0C3771"/>
    <w:rsid w:val="1F0C56B5"/>
    <w:rsid w:val="1F130897"/>
    <w:rsid w:val="1F1A1BE5"/>
    <w:rsid w:val="1F204682"/>
    <w:rsid w:val="1F264A2D"/>
    <w:rsid w:val="1F3407E0"/>
    <w:rsid w:val="1F366DDB"/>
    <w:rsid w:val="1F443106"/>
    <w:rsid w:val="1F444F2D"/>
    <w:rsid w:val="1F470BF3"/>
    <w:rsid w:val="1F49071C"/>
    <w:rsid w:val="1F563B47"/>
    <w:rsid w:val="1F570005"/>
    <w:rsid w:val="1F60778E"/>
    <w:rsid w:val="1F62037E"/>
    <w:rsid w:val="1F64141A"/>
    <w:rsid w:val="1F69529A"/>
    <w:rsid w:val="1F6C6450"/>
    <w:rsid w:val="1F6C705A"/>
    <w:rsid w:val="1F71321A"/>
    <w:rsid w:val="1F744CA1"/>
    <w:rsid w:val="1F745799"/>
    <w:rsid w:val="1F75198F"/>
    <w:rsid w:val="1F7F6672"/>
    <w:rsid w:val="1F882FF2"/>
    <w:rsid w:val="1F941997"/>
    <w:rsid w:val="1FA64EAA"/>
    <w:rsid w:val="1FB75686"/>
    <w:rsid w:val="1FBA6F24"/>
    <w:rsid w:val="1FD06747"/>
    <w:rsid w:val="1FD2426D"/>
    <w:rsid w:val="1FD754CA"/>
    <w:rsid w:val="1FDE2C12"/>
    <w:rsid w:val="1FE10954"/>
    <w:rsid w:val="1FF77556"/>
    <w:rsid w:val="1FF91559"/>
    <w:rsid w:val="1FFB33E2"/>
    <w:rsid w:val="2003259A"/>
    <w:rsid w:val="200C3C23"/>
    <w:rsid w:val="200F101E"/>
    <w:rsid w:val="201071A3"/>
    <w:rsid w:val="20157DDB"/>
    <w:rsid w:val="20173C78"/>
    <w:rsid w:val="20180D66"/>
    <w:rsid w:val="201A33FC"/>
    <w:rsid w:val="20242EA5"/>
    <w:rsid w:val="20246950"/>
    <w:rsid w:val="202F16C0"/>
    <w:rsid w:val="20335C6D"/>
    <w:rsid w:val="20337402"/>
    <w:rsid w:val="20345DC5"/>
    <w:rsid w:val="203B2E3D"/>
    <w:rsid w:val="203E07CD"/>
    <w:rsid w:val="20447B15"/>
    <w:rsid w:val="2045770D"/>
    <w:rsid w:val="204D1B46"/>
    <w:rsid w:val="2052619B"/>
    <w:rsid w:val="205B18E7"/>
    <w:rsid w:val="20613B25"/>
    <w:rsid w:val="206155F1"/>
    <w:rsid w:val="2065034B"/>
    <w:rsid w:val="206876C4"/>
    <w:rsid w:val="206F2178"/>
    <w:rsid w:val="206F5F60"/>
    <w:rsid w:val="207249CE"/>
    <w:rsid w:val="2075613B"/>
    <w:rsid w:val="20790DF3"/>
    <w:rsid w:val="208345C7"/>
    <w:rsid w:val="208B380B"/>
    <w:rsid w:val="208C266E"/>
    <w:rsid w:val="2091095B"/>
    <w:rsid w:val="209130C4"/>
    <w:rsid w:val="20923866"/>
    <w:rsid w:val="209F5F09"/>
    <w:rsid w:val="20A0760C"/>
    <w:rsid w:val="20A2572D"/>
    <w:rsid w:val="20A756FA"/>
    <w:rsid w:val="20A92AAD"/>
    <w:rsid w:val="20AC72F7"/>
    <w:rsid w:val="20B350E6"/>
    <w:rsid w:val="20B379E1"/>
    <w:rsid w:val="20B56069"/>
    <w:rsid w:val="20B87907"/>
    <w:rsid w:val="20B95A12"/>
    <w:rsid w:val="20B9746F"/>
    <w:rsid w:val="20BC3458"/>
    <w:rsid w:val="20C4005A"/>
    <w:rsid w:val="20C46096"/>
    <w:rsid w:val="20C75D9C"/>
    <w:rsid w:val="20CE3668"/>
    <w:rsid w:val="20D06B4E"/>
    <w:rsid w:val="20D60162"/>
    <w:rsid w:val="20DA5ACF"/>
    <w:rsid w:val="20DB0876"/>
    <w:rsid w:val="20DB61CE"/>
    <w:rsid w:val="20E555F0"/>
    <w:rsid w:val="20F070A1"/>
    <w:rsid w:val="20F546B7"/>
    <w:rsid w:val="20FA6430"/>
    <w:rsid w:val="210C58D9"/>
    <w:rsid w:val="21121B12"/>
    <w:rsid w:val="211F34E2"/>
    <w:rsid w:val="21262AC3"/>
    <w:rsid w:val="212B0325"/>
    <w:rsid w:val="21311468"/>
    <w:rsid w:val="214147B8"/>
    <w:rsid w:val="21440C9E"/>
    <w:rsid w:val="21571CE1"/>
    <w:rsid w:val="21576677"/>
    <w:rsid w:val="215C4736"/>
    <w:rsid w:val="21647B81"/>
    <w:rsid w:val="21665293"/>
    <w:rsid w:val="216842D4"/>
    <w:rsid w:val="216A62BD"/>
    <w:rsid w:val="2172245A"/>
    <w:rsid w:val="21783FFD"/>
    <w:rsid w:val="217E28FF"/>
    <w:rsid w:val="21894E00"/>
    <w:rsid w:val="218C6669"/>
    <w:rsid w:val="219015E6"/>
    <w:rsid w:val="21935C7E"/>
    <w:rsid w:val="219568DA"/>
    <w:rsid w:val="219E3D79"/>
    <w:rsid w:val="21A3266E"/>
    <w:rsid w:val="21A44E00"/>
    <w:rsid w:val="21AA585E"/>
    <w:rsid w:val="21B17238"/>
    <w:rsid w:val="21B1734D"/>
    <w:rsid w:val="21BB6D14"/>
    <w:rsid w:val="21BF7FAF"/>
    <w:rsid w:val="21D02A2F"/>
    <w:rsid w:val="21D33621"/>
    <w:rsid w:val="21D442C0"/>
    <w:rsid w:val="21E92610"/>
    <w:rsid w:val="21EA5A33"/>
    <w:rsid w:val="21EB43DB"/>
    <w:rsid w:val="21F93D33"/>
    <w:rsid w:val="220060E6"/>
    <w:rsid w:val="220B1CB9"/>
    <w:rsid w:val="220E4EAD"/>
    <w:rsid w:val="22117BFE"/>
    <w:rsid w:val="22121826"/>
    <w:rsid w:val="22155EFF"/>
    <w:rsid w:val="221A5B54"/>
    <w:rsid w:val="221C56F1"/>
    <w:rsid w:val="221F6EDC"/>
    <w:rsid w:val="221F70D3"/>
    <w:rsid w:val="2221772E"/>
    <w:rsid w:val="22254A78"/>
    <w:rsid w:val="222618CF"/>
    <w:rsid w:val="22280ABD"/>
    <w:rsid w:val="222F26CC"/>
    <w:rsid w:val="22316FC2"/>
    <w:rsid w:val="22493D99"/>
    <w:rsid w:val="224B22A8"/>
    <w:rsid w:val="224F586A"/>
    <w:rsid w:val="22511DC1"/>
    <w:rsid w:val="225278E7"/>
    <w:rsid w:val="225D760D"/>
    <w:rsid w:val="226006F6"/>
    <w:rsid w:val="226337D6"/>
    <w:rsid w:val="226440A0"/>
    <w:rsid w:val="22653662"/>
    <w:rsid w:val="22660D81"/>
    <w:rsid w:val="22665C45"/>
    <w:rsid w:val="22684249"/>
    <w:rsid w:val="226C6BFB"/>
    <w:rsid w:val="2271209A"/>
    <w:rsid w:val="227C004B"/>
    <w:rsid w:val="2280022A"/>
    <w:rsid w:val="228026A7"/>
    <w:rsid w:val="22821EED"/>
    <w:rsid w:val="22885B34"/>
    <w:rsid w:val="229654C7"/>
    <w:rsid w:val="2298179E"/>
    <w:rsid w:val="229A7114"/>
    <w:rsid w:val="229C639F"/>
    <w:rsid w:val="229E54C2"/>
    <w:rsid w:val="22A002A0"/>
    <w:rsid w:val="22A00653"/>
    <w:rsid w:val="22AE6704"/>
    <w:rsid w:val="22B43FFD"/>
    <w:rsid w:val="22B81E40"/>
    <w:rsid w:val="22BB639F"/>
    <w:rsid w:val="22BE5C90"/>
    <w:rsid w:val="22C11687"/>
    <w:rsid w:val="22C72B66"/>
    <w:rsid w:val="22CD2A7C"/>
    <w:rsid w:val="22CD5486"/>
    <w:rsid w:val="22D30BD4"/>
    <w:rsid w:val="22DD18A7"/>
    <w:rsid w:val="22DE117B"/>
    <w:rsid w:val="22E35196"/>
    <w:rsid w:val="22E3639B"/>
    <w:rsid w:val="22E42FC1"/>
    <w:rsid w:val="22E645D5"/>
    <w:rsid w:val="22EE7610"/>
    <w:rsid w:val="22F02220"/>
    <w:rsid w:val="22F377CF"/>
    <w:rsid w:val="22FB1D2D"/>
    <w:rsid w:val="22FC23C6"/>
    <w:rsid w:val="23013B93"/>
    <w:rsid w:val="2303453C"/>
    <w:rsid w:val="230554A1"/>
    <w:rsid w:val="230841CA"/>
    <w:rsid w:val="23151F68"/>
    <w:rsid w:val="23160915"/>
    <w:rsid w:val="231A6657"/>
    <w:rsid w:val="23207452"/>
    <w:rsid w:val="2322116E"/>
    <w:rsid w:val="23223C6C"/>
    <w:rsid w:val="23265576"/>
    <w:rsid w:val="23290EB6"/>
    <w:rsid w:val="232A43C0"/>
    <w:rsid w:val="232B0864"/>
    <w:rsid w:val="232F001E"/>
    <w:rsid w:val="233561B7"/>
    <w:rsid w:val="2338088B"/>
    <w:rsid w:val="233B100B"/>
    <w:rsid w:val="2343431C"/>
    <w:rsid w:val="23452D92"/>
    <w:rsid w:val="23496F3C"/>
    <w:rsid w:val="234D14F4"/>
    <w:rsid w:val="234D709F"/>
    <w:rsid w:val="235356C5"/>
    <w:rsid w:val="23560593"/>
    <w:rsid w:val="23581960"/>
    <w:rsid w:val="23620FC5"/>
    <w:rsid w:val="23621DAC"/>
    <w:rsid w:val="2364528E"/>
    <w:rsid w:val="236A7B8D"/>
    <w:rsid w:val="236C1F35"/>
    <w:rsid w:val="236C5FEB"/>
    <w:rsid w:val="23797927"/>
    <w:rsid w:val="237D1C7F"/>
    <w:rsid w:val="237E7DB8"/>
    <w:rsid w:val="237F1ED6"/>
    <w:rsid w:val="238166D6"/>
    <w:rsid w:val="238A0302"/>
    <w:rsid w:val="238B4E5F"/>
    <w:rsid w:val="239161EE"/>
    <w:rsid w:val="239445E5"/>
    <w:rsid w:val="2395665B"/>
    <w:rsid w:val="2396658E"/>
    <w:rsid w:val="23974DD6"/>
    <w:rsid w:val="239A59A6"/>
    <w:rsid w:val="239A7798"/>
    <w:rsid w:val="23A331E1"/>
    <w:rsid w:val="23A41335"/>
    <w:rsid w:val="23A6613D"/>
    <w:rsid w:val="23AE22F3"/>
    <w:rsid w:val="23BB0841"/>
    <w:rsid w:val="23C12F77"/>
    <w:rsid w:val="23D04F22"/>
    <w:rsid w:val="23D700CE"/>
    <w:rsid w:val="23DA2049"/>
    <w:rsid w:val="23DB504A"/>
    <w:rsid w:val="23E245CB"/>
    <w:rsid w:val="23EB6B1F"/>
    <w:rsid w:val="23F12686"/>
    <w:rsid w:val="23F23130"/>
    <w:rsid w:val="23F3787B"/>
    <w:rsid w:val="23F5124F"/>
    <w:rsid w:val="23F74D30"/>
    <w:rsid w:val="23F86267"/>
    <w:rsid w:val="23F9261E"/>
    <w:rsid w:val="24013373"/>
    <w:rsid w:val="24052D8D"/>
    <w:rsid w:val="240A66CC"/>
    <w:rsid w:val="240F3CE2"/>
    <w:rsid w:val="24125580"/>
    <w:rsid w:val="24160839"/>
    <w:rsid w:val="241F7B88"/>
    <w:rsid w:val="24236105"/>
    <w:rsid w:val="242A1EAC"/>
    <w:rsid w:val="242B03F0"/>
    <w:rsid w:val="242B513C"/>
    <w:rsid w:val="243454F7"/>
    <w:rsid w:val="243674C1"/>
    <w:rsid w:val="244022FA"/>
    <w:rsid w:val="24454F64"/>
    <w:rsid w:val="24480FA2"/>
    <w:rsid w:val="2451029E"/>
    <w:rsid w:val="245D4646"/>
    <w:rsid w:val="246062EC"/>
    <w:rsid w:val="2463402E"/>
    <w:rsid w:val="246352E7"/>
    <w:rsid w:val="246851A0"/>
    <w:rsid w:val="246A3530"/>
    <w:rsid w:val="246C571E"/>
    <w:rsid w:val="247C4817"/>
    <w:rsid w:val="248144B4"/>
    <w:rsid w:val="2481772E"/>
    <w:rsid w:val="2484099C"/>
    <w:rsid w:val="248A3446"/>
    <w:rsid w:val="248B795C"/>
    <w:rsid w:val="249800AF"/>
    <w:rsid w:val="249A2145"/>
    <w:rsid w:val="24A73F1B"/>
    <w:rsid w:val="24AF5470"/>
    <w:rsid w:val="24BC213D"/>
    <w:rsid w:val="24C777BE"/>
    <w:rsid w:val="24C9586B"/>
    <w:rsid w:val="24CF521F"/>
    <w:rsid w:val="24CF79D2"/>
    <w:rsid w:val="24D16F6D"/>
    <w:rsid w:val="24D71789"/>
    <w:rsid w:val="24D80578"/>
    <w:rsid w:val="24DF44F3"/>
    <w:rsid w:val="24E2447B"/>
    <w:rsid w:val="24E46F1D"/>
    <w:rsid w:val="24E97062"/>
    <w:rsid w:val="24EA02AB"/>
    <w:rsid w:val="24EF41DA"/>
    <w:rsid w:val="24F36825"/>
    <w:rsid w:val="24F53414"/>
    <w:rsid w:val="24F8572F"/>
    <w:rsid w:val="24FE5B05"/>
    <w:rsid w:val="25034EC9"/>
    <w:rsid w:val="2503684F"/>
    <w:rsid w:val="250E5E4E"/>
    <w:rsid w:val="250F64BB"/>
    <w:rsid w:val="2519649B"/>
    <w:rsid w:val="25255003"/>
    <w:rsid w:val="25292B82"/>
    <w:rsid w:val="252C75A5"/>
    <w:rsid w:val="252E4DD5"/>
    <w:rsid w:val="253337A0"/>
    <w:rsid w:val="253A3606"/>
    <w:rsid w:val="253D4749"/>
    <w:rsid w:val="253F23A5"/>
    <w:rsid w:val="25445D9E"/>
    <w:rsid w:val="256964A6"/>
    <w:rsid w:val="256A1008"/>
    <w:rsid w:val="25706A02"/>
    <w:rsid w:val="25754019"/>
    <w:rsid w:val="25755DC7"/>
    <w:rsid w:val="25784F0B"/>
    <w:rsid w:val="257E49F7"/>
    <w:rsid w:val="257F44D5"/>
    <w:rsid w:val="25826736"/>
    <w:rsid w:val="258431A3"/>
    <w:rsid w:val="258E6E89"/>
    <w:rsid w:val="25974421"/>
    <w:rsid w:val="25995EA7"/>
    <w:rsid w:val="259B281E"/>
    <w:rsid w:val="259C1B9A"/>
    <w:rsid w:val="25BC1C48"/>
    <w:rsid w:val="25BD07C5"/>
    <w:rsid w:val="25BD2F3F"/>
    <w:rsid w:val="25C11095"/>
    <w:rsid w:val="25D16C66"/>
    <w:rsid w:val="25D60786"/>
    <w:rsid w:val="25D81502"/>
    <w:rsid w:val="25D85E19"/>
    <w:rsid w:val="25E42F4C"/>
    <w:rsid w:val="25E73A1D"/>
    <w:rsid w:val="25E75AD1"/>
    <w:rsid w:val="25F0544D"/>
    <w:rsid w:val="25F10744"/>
    <w:rsid w:val="25F202CE"/>
    <w:rsid w:val="25F4180E"/>
    <w:rsid w:val="25F565E7"/>
    <w:rsid w:val="25F8054A"/>
    <w:rsid w:val="2604539D"/>
    <w:rsid w:val="260B672B"/>
    <w:rsid w:val="26123616"/>
    <w:rsid w:val="261453AF"/>
    <w:rsid w:val="261535AD"/>
    <w:rsid w:val="26196614"/>
    <w:rsid w:val="261D0BCB"/>
    <w:rsid w:val="262275D1"/>
    <w:rsid w:val="26233A75"/>
    <w:rsid w:val="262A0B05"/>
    <w:rsid w:val="262F10B6"/>
    <w:rsid w:val="26355556"/>
    <w:rsid w:val="263868B0"/>
    <w:rsid w:val="263B1B4E"/>
    <w:rsid w:val="263C0CF3"/>
    <w:rsid w:val="263D4A6F"/>
    <w:rsid w:val="264170ED"/>
    <w:rsid w:val="26435B6E"/>
    <w:rsid w:val="264E6B6E"/>
    <w:rsid w:val="26630315"/>
    <w:rsid w:val="26655E3B"/>
    <w:rsid w:val="266D6297"/>
    <w:rsid w:val="266F4DBA"/>
    <w:rsid w:val="2671240D"/>
    <w:rsid w:val="26722306"/>
    <w:rsid w:val="26747E2C"/>
    <w:rsid w:val="267918E7"/>
    <w:rsid w:val="267923D7"/>
    <w:rsid w:val="268055BA"/>
    <w:rsid w:val="26815F25"/>
    <w:rsid w:val="26890D03"/>
    <w:rsid w:val="26946631"/>
    <w:rsid w:val="26977C9E"/>
    <w:rsid w:val="269C3827"/>
    <w:rsid w:val="269D0D44"/>
    <w:rsid w:val="26A32093"/>
    <w:rsid w:val="26A528FE"/>
    <w:rsid w:val="26AE5AC3"/>
    <w:rsid w:val="26B21D43"/>
    <w:rsid w:val="26B648E9"/>
    <w:rsid w:val="26B80F84"/>
    <w:rsid w:val="26B9229C"/>
    <w:rsid w:val="26BC4068"/>
    <w:rsid w:val="26C012C4"/>
    <w:rsid w:val="26C435C3"/>
    <w:rsid w:val="26C66878"/>
    <w:rsid w:val="26CA6E57"/>
    <w:rsid w:val="26CB6FCD"/>
    <w:rsid w:val="26CF57CC"/>
    <w:rsid w:val="26D44586"/>
    <w:rsid w:val="26E26EF3"/>
    <w:rsid w:val="26E7211D"/>
    <w:rsid w:val="26EB0D3E"/>
    <w:rsid w:val="27022042"/>
    <w:rsid w:val="270574F1"/>
    <w:rsid w:val="270916B6"/>
    <w:rsid w:val="270D0126"/>
    <w:rsid w:val="27122CC4"/>
    <w:rsid w:val="27135897"/>
    <w:rsid w:val="271E5FEA"/>
    <w:rsid w:val="271F4834"/>
    <w:rsid w:val="27316223"/>
    <w:rsid w:val="27382578"/>
    <w:rsid w:val="273875EC"/>
    <w:rsid w:val="273972E3"/>
    <w:rsid w:val="273B3F50"/>
    <w:rsid w:val="27402404"/>
    <w:rsid w:val="274845CD"/>
    <w:rsid w:val="274F1F56"/>
    <w:rsid w:val="274F7393"/>
    <w:rsid w:val="275000F4"/>
    <w:rsid w:val="275E0B6F"/>
    <w:rsid w:val="276C144B"/>
    <w:rsid w:val="276C29FF"/>
    <w:rsid w:val="27787DF0"/>
    <w:rsid w:val="277D5407"/>
    <w:rsid w:val="278422F1"/>
    <w:rsid w:val="278C0189"/>
    <w:rsid w:val="27922308"/>
    <w:rsid w:val="279407BB"/>
    <w:rsid w:val="279A668B"/>
    <w:rsid w:val="279A7F14"/>
    <w:rsid w:val="27AC2787"/>
    <w:rsid w:val="27B13177"/>
    <w:rsid w:val="27B16315"/>
    <w:rsid w:val="27BB17AB"/>
    <w:rsid w:val="27C724D1"/>
    <w:rsid w:val="27C76682"/>
    <w:rsid w:val="27D25B05"/>
    <w:rsid w:val="27D41F54"/>
    <w:rsid w:val="27D43A86"/>
    <w:rsid w:val="27D43BB9"/>
    <w:rsid w:val="27DC212D"/>
    <w:rsid w:val="27E6002D"/>
    <w:rsid w:val="27E728EA"/>
    <w:rsid w:val="27EE6ABF"/>
    <w:rsid w:val="27F9199C"/>
    <w:rsid w:val="28022EB3"/>
    <w:rsid w:val="280B67EF"/>
    <w:rsid w:val="281B53B1"/>
    <w:rsid w:val="281F67DD"/>
    <w:rsid w:val="28221B0A"/>
    <w:rsid w:val="2836008F"/>
    <w:rsid w:val="283732BE"/>
    <w:rsid w:val="283B63ED"/>
    <w:rsid w:val="284101E2"/>
    <w:rsid w:val="28420162"/>
    <w:rsid w:val="284616E0"/>
    <w:rsid w:val="284D24AC"/>
    <w:rsid w:val="284E164D"/>
    <w:rsid w:val="28506677"/>
    <w:rsid w:val="2852568E"/>
    <w:rsid w:val="285F4B0C"/>
    <w:rsid w:val="287038CD"/>
    <w:rsid w:val="28724264"/>
    <w:rsid w:val="2879582C"/>
    <w:rsid w:val="287979C1"/>
    <w:rsid w:val="288173EB"/>
    <w:rsid w:val="2883247D"/>
    <w:rsid w:val="28855A7D"/>
    <w:rsid w:val="288B549B"/>
    <w:rsid w:val="288B76AF"/>
    <w:rsid w:val="288E06C4"/>
    <w:rsid w:val="28924F86"/>
    <w:rsid w:val="28951DB4"/>
    <w:rsid w:val="28A344B6"/>
    <w:rsid w:val="28A77D66"/>
    <w:rsid w:val="28AF463F"/>
    <w:rsid w:val="28B32B44"/>
    <w:rsid w:val="28B409B4"/>
    <w:rsid w:val="28C826B1"/>
    <w:rsid w:val="28D26968"/>
    <w:rsid w:val="28D56B7C"/>
    <w:rsid w:val="28D67A85"/>
    <w:rsid w:val="28E576C1"/>
    <w:rsid w:val="28E57E54"/>
    <w:rsid w:val="28E82D54"/>
    <w:rsid w:val="28EE6DC5"/>
    <w:rsid w:val="28FF4167"/>
    <w:rsid w:val="29011A11"/>
    <w:rsid w:val="29053906"/>
    <w:rsid w:val="290A0F1C"/>
    <w:rsid w:val="290D0488"/>
    <w:rsid w:val="29111FBA"/>
    <w:rsid w:val="29147E0C"/>
    <w:rsid w:val="29155C17"/>
    <w:rsid w:val="291678C1"/>
    <w:rsid w:val="29253660"/>
    <w:rsid w:val="29303A19"/>
    <w:rsid w:val="29383ED6"/>
    <w:rsid w:val="293B2E83"/>
    <w:rsid w:val="293C4DCD"/>
    <w:rsid w:val="29400C7B"/>
    <w:rsid w:val="2940493E"/>
    <w:rsid w:val="29455AB0"/>
    <w:rsid w:val="29495532"/>
    <w:rsid w:val="29571884"/>
    <w:rsid w:val="29581C87"/>
    <w:rsid w:val="295F03B1"/>
    <w:rsid w:val="296323DA"/>
    <w:rsid w:val="29637D57"/>
    <w:rsid w:val="29647303"/>
    <w:rsid w:val="296C132E"/>
    <w:rsid w:val="29717D14"/>
    <w:rsid w:val="297665B1"/>
    <w:rsid w:val="29796309"/>
    <w:rsid w:val="297D7FC7"/>
    <w:rsid w:val="29892C42"/>
    <w:rsid w:val="298A3E0B"/>
    <w:rsid w:val="29986658"/>
    <w:rsid w:val="299B1B74"/>
    <w:rsid w:val="299C06DD"/>
    <w:rsid w:val="29A24CB1"/>
    <w:rsid w:val="29AC5B2F"/>
    <w:rsid w:val="29B57536"/>
    <w:rsid w:val="29B669AE"/>
    <w:rsid w:val="29CD0E8D"/>
    <w:rsid w:val="29CF088F"/>
    <w:rsid w:val="29CF5F7B"/>
    <w:rsid w:val="29D07B2C"/>
    <w:rsid w:val="29DF7CB3"/>
    <w:rsid w:val="29E91347"/>
    <w:rsid w:val="29EB624B"/>
    <w:rsid w:val="29EE0EC5"/>
    <w:rsid w:val="2A017669"/>
    <w:rsid w:val="2A073D29"/>
    <w:rsid w:val="2A131163"/>
    <w:rsid w:val="2A1862D1"/>
    <w:rsid w:val="2A1B4A63"/>
    <w:rsid w:val="2A1C7A90"/>
    <w:rsid w:val="2A1F5A20"/>
    <w:rsid w:val="2A233028"/>
    <w:rsid w:val="2A257690"/>
    <w:rsid w:val="2A292902"/>
    <w:rsid w:val="2A2F67F8"/>
    <w:rsid w:val="2A314286"/>
    <w:rsid w:val="2A394081"/>
    <w:rsid w:val="2A3D56F9"/>
    <w:rsid w:val="2A41271B"/>
    <w:rsid w:val="2A467D32"/>
    <w:rsid w:val="2A472991"/>
    <w:rsid w:val="2A4C3F78"/>
    <w:rsid w:val="2A4D10C0"/>
    <w:rsid w:val="2A575112"/>
    <w:rsid w:val="2A581813"/>
    <w:rsid w:val="2A5C441A"/>
    <w:rsid w:val="2A5F2BA2"/>
    <w:rsid w:val="2A61691A"/>
    <w:rsid w:val="2A64709E"/>
    <w:rsid w:val="2A6530A6"/>
    <w:rsid w:val="2A68012A"/>
    <w:rsid w:val="2A701B55"/>
    <w:rsid w:val="2A703001"/>
    <w:rsid w:val="2A714723"/>
    <w:rsid w:val="2A7538D0"/>
    <w:rsid w:val="2A755B5E"/>
    <w:rsid w:val="2A7C3468"/>
    <w:rsid w:val="2A89181D"/>
    <w:rsid w:val="2A9233CE"/>
    <w:rsid w:val="2A942242"/>
    <w:rsid w:val="2A987BF0"/>
    <w:rsid w:val="2A9E191C"/>
    <w:rsid w:val="2AA352BD"/>
    <w:rsid w:val="2AAB5DE7"/>
    <w:rsid w:val="2AB05631"/>
    <w:rsid w:val="2AB42DD7"/>
    <w:rsid w:val="2AB7478C"/>
    <w:rsid w:val="2ABC7692"/>
    <w:rsid w:val="2ABE5B1A"/>
    <w:rsid w:val="2ABF25ED"/>
    <w:rsid w:val="2AC07B49"/>
    <w:rsid w:val="2AC65D97"/>
    <w:rsid w:val="2AC84BEB"/>
    <w:rsid w:val="2AC92B3B"/>
    <w:rsid w:val="2AD12683"/>
    <w:rsid w:val="2AD76BDC"/>
    <w:rsid w:val="2ADA20FA"/>
    <w:rsid w:val="2ADB2899"/>
    <w:rsid w:val="2ADE6B55"/>
    <w:rsid w:val="2AEA75FB"/>
    <w:rsid w:val="2AF53506"/>
    <w:rsid w:val="2AF8766C"/>
    <w:rsid w:val="2AFE060C"/>
    <w:rsid w:val="2B01009F"/>
    <w:rsid w:val="2B100B7A"/>
    <w:rsid w:val="2B10227B"/>
    <w:rsid w:val="2B1200BA"/>
    <w:rsid w:val="2B125E66"/>
    <w:rsid w:val="2B14220F"/>
    <w:rsid w:val="2B146847"/>
    <w:rsid w:val="2B1C6CE5"/>
    <w:rsid w:val="2B2068F9"/>
    <w:rsid w:val="2B234665"/>
    <w:rsid w:val="2B281C84"/>
    <w:rsid w:val="2B2A0255"/>
    <w:rsid w:val="2B2A3917"/>
    <w:rsid w:val="2B2A70F4"/>
    <w:rsid w:val="2B2F6A18"/>
    <w:rsid w:val="2B30453E"/>
    <w:rsid w:val="2B31412B"/>
    <w:rsid w:val="2B3B716B"/>
    <w:rsid w:val="2B3F4E05"/>
    <w:rsid w:val="2B41648E"/>
    <w:rsid w:val="2B41674B"/>
    <w:rsid w:val="2B4353FD"/>
    <w:rsid w:val="2B4542AD"/>
    <w:rsid w:val="2B470C7F"/>
    <w:rsid w:val="2B481888"/>
    <w:rsid w:val="2B4A1AA4"/>
    <w:rsid w:val="2B4A3852"/>
    <w:rsid w:val="2B5621EE"/>
    <w:rsid w:val="2B664F63"/>
    <w:rsid w:val="2B6A5CA2"/>
    <w:rsid w:val="2B713152"/>
    <w:rsid w:val="2B715282"/>
    <w:rsid w:val="2B784E2F"/>
    <w:rsid w:val="2B7F799F"/>
    <w:rsid w:val="2B8925FB"/>
    <w:rsid w:val="2B8B23B1"/>
    <w:rsid w:val="2BA01329"/>
    <w:rsid w:val="2BA67150"/>
    <w:rsid w:val="2BAE3DE1"/>
    <w:rsid w:val="2BB22D4F"/>
    <w:rsid w:val="2BB54D24"/>
    <w:rsid w:val="2BB6737C"/>
    <w:rsid w:val="2BBD04C8"/>
    <w:rsid w:val="2BC34AE9"/>
    <w:rsid w:val="2BC55BDC"/>
    <w:rsid w:val="2BC83B7A"/>
    <w:rsid w:val="2BCD07E6"/>
    <w:rsid w:val="2BD02972"/>
    <w:rsid w:val="2BD77849"/>
    <w:rsid w:val="2BD870AF"/>
    <w:rsid w:val="2BE076DD"/>
    <w:rsid w:val="2BE95450"/>
    <w:rsid w:val="2BEB0855"/>
    <w:rsid w:val="2BEF61A7"/>
    <w:rsid w:val="2BF02408"/>
    <w:rsid w:val="2BF107DF"/>
    <w:rsid w:val="2BF16504"/>
    <w:rsid w:val="2BF176BE"/>
    <w:rsid w:val="2BF30862"/>
    <w:rsid w:val="2BF96603"/>
    <w:rsid w:val="2C0440A1"/>
    <w:rsid w:val="2C092A31"/>
    <w:rsid w:val="2C0E0D23"/>
    <w:rsid w:val="2C14691D"/>
    <w:rsid w:val="2C1A6AAD"/>
    <w:rsid w:val="2C1D30B4"/>
    <w:rsid w:val="2C1E7672"/>
    <w:rsid w:val="2C2643AF"/>
    <w:rsid w:val="2C266C4F"/>
    <w:rsid w:val="2C277295"/>
    <w:rsid w:val="2C2A60AA"/>
    <w:rsid w:val="2C2C2F57"/>
    <w:rsid w:val="2C2F4A08"/>
    <w:rsid w:val="2C337640"/>
    <w:rsid w:val="2C491093"/>
    <w:rsid w:val="2C4B7CCD"/>
    <w:rsid w:val="2C4F5B54"/>
    <w:rsid w:val="2C506C46"/>
    <w:rsid w:val="2C5801F0"/>
    <w:rsid w:val="2C581F9E"/>
    <w:rsid w:val="2C5D5D51"/>
    <w:rsid w:val="2C6F6165"/>
    <w:rsid w:val="2C860FAA"/>
    <w:rsid w:val="2C8903AA"/>
    <w:rsid w:val="2C8B0EFE"/>
    <w:rsid w:val="2C9A206F"/>
    <w:rsid w:val="2CA0486E"/>
    <w:rsid w:val="2CA43435"/>
    <w:rsid w:val="2CA46A1D"/>
    <w:rsid w:val="2CAD3C2C"/>
    <w:rsid w:val="2CBC077F"/>
    <w:rsid w:val="2CC325B8"/>
    <w:rsid w:val="2CC76232"/>
    <w:rsid w:val="2CCB2911"/>
    <w:rsid w:val="2CCD53D6"/>
    <w:rsid w:val="2CD820FE"/>
    <w:rsid w:val="2CD929F9"/>
    <w:rsid w:val="2CE46F77"/>
    <w:rsid w:val="2CE7482D"/>
    <w:rsid w:val="2CEA709A"/>
    <w:rsid w:val="2CF271A5"/>
    <w:rsid w:val="2CF5337D"/>
    <w:rsid w:val="2CFE48F4"/>
    <w:rsid w:val="2CFF6A31"/>
    <w:rsid w:val="2D0E6EFB"/>
    <w:rsid w:val="2D1068D6"/>
    <w:rsid w:val="2D117311"/>
    <w:rsid w:val="2D1E0A79"/>
    <w:rsid w:val="2D2514BE"/>
    <w:rsid w:val="2D2873DA"/>
    <w:rsid w:val="2D2D72E1"/>
    <w:rsid w:val="2D2E70D2"/>
    <w:rsid w:val="2D3133A6"/>
    <w:rsid w:val="2D364FBB"/>
    <w:rsid w:val="2D3927D7"/>
    <w:rsid w:val="2D395076"/>
    <w:rsid w:val="2D3D778B"/>
    <w:rsid w:val="2D3E6111"/>
    <w:rsid w:val="2D426A09"/>
    <w:rsid w:val="2D4D7629"/>
    <w:rsid w:val="2D501D8D"/>
    <w:rsid w:val="2D5233DA"/>
    <w:rsid w:val="2D606A7F"/>
    <w:rsid w:val="2D69305E"/>
    <w:rsid w:val="2D6A2228"/>
    <w:rsid w:val="2D6C5D01"/>
    <w:rsid w:val="2D762891"/>
    <w:rsid w:val="2D7A1A9E"/>
    <w:rsid w:val="2D7B2EBD"/>
    <w:rsid w:val="2D81074F"/>
    <w:rsid w:val="2D8400D7"/>
    <w:rsid w:val="2D851D9A"/>
    <w:rsid w:val="2D8C557A"/>
    <w:rsid w:val="2D8D7A26"/>
    <w:rsid w:val="2D960FD0"/>
    <w:rsid w:val="2D965BB7"/>
    <w:rsid w:val="2D9B7011"/>
    <w:rsid w:val="2D9D235F"/>
    <w:rsid w:val="2D9E3D73"/>
    <w:rsid w:val="2DA04A84"/>
    <w:rsid w:val="2DB16F20"/>
    <w:rsid w:val="2DB504EE"/>
    <w:rsid w:val="2DB674E1"/>
    <w:rsid w:val="2DBB27E5"/>
    <w:rsid w:val="2DC65C5D"/>
    <w:rsid w:val="2DDA215C"/>
    <w:rsid w:val="2DE07348"/>
    <w:rsid w:val="2DE62982"/>
    <w:rsid w:val="2DE643E9"/>
    <w:rsid w:val="2DEF06E0"/>
    <w:rsid w:val="2DF32344"/>
    <w:rsid w:val="2DF4654A"/>
    <w:rsid w:val="2DF47F4D"/>
    <w:rsid w:val="2DFC1570"/>
    <w:rsid w:val="2DFD6F0F"/>
    <w:rsid w:val="2E021854"/>
    <w:rsid w:val="2E057F04"/>
    <w:rsid w:val="2E0D592A"/>
    <w:rsid w:val="2E132621"/>
    <w:rsid w:val="2E151E3F"/>
    <w:rsid w:val="2E161F59"/>
    <w:rsid w:val="2E1B4E62"/>
    <w:rsid w:val="2E1B7727"/>
    <w:rsid w:val="2E254102"/>
    <w:rsid w:val="2E293ABE"/>
    <w:rsid w:val="2E2B796A"/>
    <w:rsid w:val="2E2B7DC3"/>
    <w:rsid w:val="2E2C476D"/>
    <w:rsid w:val="2E307A51"/>
    <w:rsid w:val="2E3305CD"/>
    <w:rsid w:val="2E3B7D7C"/>
    <w:rsid w:val="2E402CEA"/>
    <w:rsid w:val="2E461A7F"/>
    <w:rsid w:val="2E481E52"/>
    <w:rsid w:val="2E4E445D"/>
    <w:rsid w:val="2E514EF7"/>
    <w:rsid w:val="2E552C39"/>
    <w:rsid w:val="2E56497E"/>
    <w:rsid w:val="2E5A23A2"/>
    <w:rsid w:val="2E5A2C24"/>
    <w:rsid w:val="2E642E7C"/>
    <w:rsid w:val="2E725599"/>
    <w:rsid w:val="2E836346"/>
    <w:rsid w:val="2E856E72"/>
    <w:rsid w:val="2E876DD2"/>
    <w:rsid w:val="2E8D20CC"/>
    <w:rsid w:val="2E8F0C1E"/>
    <w:rsid w:val="2E9142C3"/>
    <w:rsid w:val="2E9848D4"/>
    <w:rsid w:val="2EA21BDF"/>
    <w:rsid w:val="2EB40279"/>
    <w:rsid w:val="2EB931C8"/>
    <w:rsid w:val="2EBD7F64"/>
    <w:rsid w:val="2ED37A54"/>
    <w:rsid w:val="2ED57C77"/>
    <w:rsid w:val="2EDC2A13"/>
    <w:rsid w:val="2EDD7505"/>
    <w:rsid w:val="2EDE0726"/>
    <w:rsid w:val="2EE53A9F"/>
    <w:rsid w:val="2EE937FA"/>
    <w:rsid w:val="2EE95130"/>
    <w:rsid w:val="2EEA15D4"/>
    <w:rsid w:val="2EF064BE"/>
    <w:rsid w:val="2EF273D6"/>
    <w:rsid w:val="2EF950C1"/>
    <w:rsid w:val="2F065CE2"/>
    <w:rsid w:val="2F06678E"/>
    <w:rsid w:val="2F0B071C"/>
    <w:rsid w:val="2F192F50"/>
    <w:rsid w:val="2F1B1C13"/>
    <w:rsid w:val="2F1C72B3"/>
    <w:rsid w:val="2F25485A"/>
    <w:rsid w:val="2F287054"/>
    <w:rsid w:val="2F2D14C0"/>
    <w:rsid w:val="2F3565C7"/>
    <w:rsid w:val="2F3B1E2F"/>
    <w:rsid w:val="2F3E191F"/>
    <w:rsid w:val="2F4A0F22"/>
    <w:rsid w:val="2F4C5E70"/>
    <w:rsid w:val="2F526CA4"/>
    <w:rsid w:val="2F55438A"/>
    <w:rsid w:val="2F656EAC"/>
    <w:rsid w:val="2F754C15"/>
    <w:rsid w:val="2F7B10A8"/>
    <w:rsid w:val="2F802287"/>
    <w:rsid w:val="2F831840"/>
    <w:rsid w:val="2F844F3D"/>
    <w:rsid w:val="2F994DA8"/>
    <w:rsid w:val="2FA254F9"/>
    <w:rsid w:val="2FA41046"/>
    <w:rsid w:val="2FA55278"/>
    <w:rsid w:val="2FA554FB"/>
    <w:rsid w:val="2FA86D99"/>
    <w:rsid w:val="2FB219C5"/>
    <w:rsid w:val="2FB26301"/>
    <w:rsid w:val="2FBA2DF3"/>
    <w:rsid w:val="2FBE00EF"/>
    <w:rsid w:val="2FBF0D63"/>
    <w:rsid w:val="2FC42A76"/>
    <w:rsid w:val="2FD74D6F"/>
    <w:rsid w:val="2FDF6A9F"/>
    <w:rsid w:val="2FE074EB"/>
    <w:rsid w:val="2FE37ADC"/>
    <w:rsid w:val="2FE60B2B"/>
    <w:rsid w:val="2FE7396B"/>
    <w:rsid w:val="2FEC21C6"/>
    <w:rsid w:val="2FF26DAD"/>
    <w:rsid w:val="2FF33A5F"/>
    <w:rsid w:val="2FF548BF"/>
    <w:rsid w:val="2FFA2E09"/>
    <w:rsid w:val="2FFD2195"/>
    <w:rsid w:val="30030473"/>
    <w:rsid w:val="30073A09"/>
    <w:rsid w:val="30087541"/>
    <w:rsid w:val="30087994"/>
    <w:rsid w:val="300C09A4"/>
    <w:rsid w:val="300D7D4A"/>
    <w:rsid w:val="301124FE"/>
    <w:rsid w:val="301362BF"/>
    <w:rsid w:val="30196CC1"/>
    <w:rsid w:val="301E2267"/>
    <w:rsid w:val="303F4207"/>
    <w:rsid w:val="3041030B"/>
    <w:rsid w:val="30477C59"/>
    <w:rsid w:val="304A6497"/>
    <w:rsid w:val="304D15B2"/>
    <w:rsid w:val="304E10FA"/>
    <w:rsid w:val="30555B90"/>
    <w:rsid w:val="30560ED4"/>
    <w:rsid w:val="30560FD6"/>
    <w:rsid w:val="30566F5E"/>
    <w:rsid w:val="305C4D3A"/>
    <w:rsid w:val="306C4F60"/>
    <w:rsid w:val="307331E6"/>
    <w:rsid w:val="30747320"/>
    <w:rsid w:val="307A0252"/>
    <w:rsid w:val="307A4A48"/>
    <w:rsid w:val="307D423C"/>
    <w:rsid w:val="30801AC4"/>
    <w:rsid w:val="308472F3"/>
    <w:rsid w:val="3085774C"/>
    <w:rsid w:val="30896D00"/>
    <w:rsid w:val="308F3262"/>
    <w:rsid w:val="30907A25"/>
    <w:rsid w:val="30967C0A"/>
    <w:rsid w:val="30A12213"/>
    <w:rsid w:val="30B26421"/>
    <w:rsid w:val="30B71C9C"/>
    <w:rsid w:val="30BB2AFC"/>
    <w:rsid w:val="30BB45F6"/>
    <w:rsid w:val="30C20F8E"/>
    <w:rsid w:val="30C51C65"/>
    <w:rsid w:val="30CA5B74"/>
    <w:rsid w:val="30CC2310"/>
    <w:rsid w:val="30CF739B"/>
    <w:rsid w:val="30D27F68"/>
    <w:rsid w:val="30D75B88"/>
    <w:rsid w:val="30DB2A7E"/>
    <w:rsid w:val="30E402A4"/>
    <w:rsid w:val="30EA37B4"/>
    <w:rsid w:val="30EB33E1"/>
    <w:rsid w:val="30FF7CF9"/>
    <w:rsid w:val="310224D9"/>
    <w:rsid w:val="3105052E"/>
    <w:rsid w:val="31083D14"/>
    <w:rsid w:val="310B1688"/>
    <w:rsid w:val="311022F8"/>
    <w:rsid w:val="3115483F"/>
    <w:rsid w:val="311A0C0B"/>
    <w:rsid w:val="311C09E2"/>
    <w:rsid w:val="311E335C"/>
    <w:rsid w:val="311F548E"/>
    <w:rsid w:val="31263949"/>
    <w:rsid w:val="312E5CA5"/>
    <w:rsid w:val="313269FE"/>
    <w:rsid w:val="313F2A48"/>
    <w:rsid w:val="3143651B"/>
    <w:rsid w:val="31442AF1"/>
    <w:rsid w:val="314A3338"/>
    <w:rsid w:val="314D5E4A"/>
    <w:rsid w:val="31601136"/>
    <w:rsid w:val="31604AE0"/>
    <w:rsid w:val="316358C8"/>
    <w:rsid w:val="316407DE"/>
    <w:rsid w:val="31672B0C"/>
    <w:rsid w:val="31727387"/>
    <w:rsid w:val="3173071A"/>
    <w:rsid w:val="3189561E"/>
    <w:rsid w:val="318F7BBF"/>
    <w:rsid w:val="3193654E"/>
    <w:rsid w:val="319578A7"/>
    <w:rsid w:val="319737F6"/>
    <w:rsid w:val="319A4022"/>
    <w:rsid w:val="31A20E23"/>
    <w:rsid w:val="31A35A6A"/>
    <w:rsid w:val="31A67308"/>
    <w:rsid w:val="31A71FE7"/>
    <w:rsid w:val="31AC6F2B"/>
    <w:rsid w:val="31B0610C"/>
    <w:rsid w:val="31B41A25"/>
    <w:rsid w:val="31B81679"/>
    <w:rsid w:val="31B867DA"/>
    <w:rsid w:val="31BA7B5B"/>
    <w:rsid w:val="31BB7C0A"/>
    <w:rsid w:val="31BC1E2C"/>
    <w:rsid w:val="31BF1C2F"/>
    <w:rsid w:val="31C12394"/>
    <w:rsid w:val="31C257A3"/>
    <w:rsid w:val="31C97D2B"/>
    <w:rsid w:val="31D31F9C"/>
    <w:rsid w:val="31D45D2E"/>
    <w:rsid w:val="31D54EF7"/>
    <w:rsid w:val="31D90B18"/>
    <w:rsid w:val="31DB4E51"/>
    <w:rsid w:val="31E61BB4"/>
    <w:rsid w:val="31E75151"/>
    <w:rsid w:val="31F462C5"/>
    <w:rsid w:val="31F6028F"/>
    <w:rsid w:val="31F6203D"/>
    <w:rsid w:val="31FE41DB"/>
    <w:rsid w:val="31FE5396"/>
    <w:rsid w:val="31FE7C49"/>
    <w:rsid w:val="320504D2"/>
    <w:rsid w:val="32056724"/>
    <w:rsid w:val="320C5C58"/>
    <w:rsid w:val="32100EDB"/>
    <w:rsid w:val="3217617A"/>
    <w:rsid w:val="321A7C4C"/>
    <w:rsid w:val="321B5F48"/>
    <w:rsid w:val="321F32DC"/>
    <w:rsid w:val="32211855"/>
    <w:rsid w:val="32230959"/>
    <w:rsid w:val="32231817"/>
    <w:rsid w:val="3239017C"/>
    <w:rsid w:val="323D2A7A"/>
    <w:rsid w:val="324463DD"/>
    <w:rsid w:val="325568AA"/>
    <w:rsid w:val="32582CF8"/>
    <w:rsid w:val="325F16C7"/>
    <w:rsid w:val="3277271E"/>
    <w:rsid w:val="3277369F"/>
    <w:rsid w:val="327A3C22"/>
    <w:rsid w:val="327C4FD4"/>
    <w:rsid w:val="327D275F"/>
    <w:rsid w:val="327D699A"/>
    <w:rsid w:val="327E43F2"/>
    <w:rsid w:val="328733C1"/>
    <w:rsid w:val="328B4E7C"/>
    <w:rsid w:val="328D66C2"/>
    <w:rsid w:val="328E2276"/>
    <w:rsid w:val="32951856"/>
    <w:rsid w:val="3296312C"/>
    <w:rsid w:val="3296737C"/>
    <w:rsid w:val="32A2630E"/>
    <w:rsid w:val="32A4694B"/>
    <w:rsid w:val="32A61CB5"/>
    <w:rsid w:val="32AF7620"/>
    <w:rsid w:val="32B06E1C"/>
    <w:rsid w:val="32B5223D"/>
    <w:rsid w:val="32BC694A"/>
    <w:rsid w:val="32C16F34"/>
    <w:rsid w:val="32C53DFD"/>
    <w:rsid w:val="32C849EE"/>
    <w:rsid w:val="32C91500"/>
    <w:rsid w:val="32CA03CC"/>
    <w:rsid w:val="32CE4225"/>
    <w:rsid w:val="32D25EDA"/>
    <w:rsid w:val="32D745CC"/>
    <w:rsid w:val="32D91CD1"/>
    <w:rsid w:val="32E26A66"/>
    <w:rsid w:val="32E50160"/>
    <w:rsid w:val="32EB26A2"/>
    <w:rsid w:val="32F47C21"/>
    <w:rsid w:val="32FA249B"/>
    <w:rsid w:val="32FB2C8F"/>
    <w:rsid w:val="33030975"/>
    <w:rsid w:val="330B644E"/>
    <w:rsid w:val="331166AE"/>
    <w:rsid w:val="33125DBA"/>
    <w:rsid w:val="331C5AD4"/>
    <w:rsid w:val="332D4F22"/>
    <w:rsid w:val="3335369A"/>
    <w:rsid w:val="33370AD2"/>
    <w:rsid w:val="33383C8F"/>
    <w:rsid w:val="333C277D"/>
    <w:rsid w:val="333F0E47"/>
    <w:rsid w:val="334175BB"/>
    <w:rsid w:val="33447C07"/>
    <w:rsid w:val="335137B3"/>
    <w:rsid w:val="335214F5"/>
    <w:rsid w:val="33523E52"/>
    <w:rsid w:val="33525999"/>
    <w:rsid w:val="33576B0C"/>
    <w:rsid w:val="335C6818"/>
    <w:rsid w:val="335C79B2"/>
    <w:rsid w:val="33660FEB"/>
    <w:rsid w:val="336F02F9"/>
    <w:rsid w:val="33752745"/>
    <w:rsid w:val="33775400"/>
    <w:rsid w:val="33783E67"/>
    <w:rsid w:val="3381002D"/>
    <w:rsid w:val="33817268"/>
    <w:rsid w:val="338437F6"/>
    <w:rsid w:val="33845BB1"/>
    <w:rsid w:val="33891E3E"/>
    <w:rsid w:val="338A688B"/>
    <w:rsid w:val="3392223A"/>
    <w:rsid w:val="33925D96"/>
    <w:rsid w:val="339A2E9C"/>
    <w:rsid w:val="339C774A"/>
    <w:rsid w:val="33A67A93"/>
    <w:rsid w:val="33AC29F8"/>
    <w:rsid w:val="33B32EF5"/>
    <w:rsid w:val="33B73531"/>
    <w:rsid w:val="33B757FC"/>
    <w:rsid w:val="33BB4608"/>
    <w:rsid w:val="33BF1F70"/>
    <w:rsid w:val="33CA60B1"/>
    <w:rsid w:val="33CE32A4"/>
    <w:rsid w:val="33E01235"/>
    <w:rsid w:val="33E35653"/>
    <w:rsid w:val="33E41DC1"/>
    <w:rsid w:val="33F120DC"/>
    <w:rsid w:val="33FD3130"/>
    <w:rsid w:val="33FD3B57"/>
    <w:rsid w:val="34015674"/>
    <w:rsid w:val="34081549"/>
    <w:rsid w:val="340824FC"/>
    <w:rsid w:val="34120C85"/>
    <w:rsid w:val="341A2801"/>
    <w:rsid w:val="342403C0"/>
    <w:rsid w:val="342A06C4"/>
    <w:rsid w:val="34383FA7"/>
    <w:rsid w:val="343B6477"/>
    <w:rsid w:val="343F0DEA"/>
    <w:rsid w:val="34406C87"/>
    <w:rsid w:val="344336C6"/>
    <w:rsid w:val="34452887"/>
    <w:rsid w:val="344A48C2"/>
    <w:rsid w:val="34563267"/>
    <w:rsid w:val="345D2848"/>
    <w:rsid w:val="345E559A"/>
    <w:rsid w:val="346534AA"/>
    <w:rsid w:val="346644D8"/>
    <w:rsid w:val="34684D49"/>
    <w:rsid w:val="346A0AC1"/>
    <w:rsid w:val="346E4E8F"/>
    <w:rsid w:val="347100A1"/>
    <w:rsid w:val="34733E19"/>
    <w:rsid w:val="34811386"/>
    <w:rsid w:val="34824BD2"/>
    <w:rsid w:val="34833930"/>
    <w:rsid w:val="34846FB6"/>
    <w:rsid w:val="348C0A37"/>
    <w:rsid w:val="348F0527"/>
    <w:rsid w:val="3492236C"/>
    <w:rsid w:val="349A75F8"/>
    <w:rsid w:val="34A70F86"/>
    <w:rsid w:val="34A7237F"/>
    <w:rsid w:val="34B65F84"/>
    <w:rsid w:val="34B87A7E"/>
    <w:rsid w:val="34C24459"/>
    <w:rsid w:val="34C3707B"/>
    <w:rsid w:val="34CB3356"/>
    <w:rsid w:val="34CE72A2"/>
    <w:rsid w:val="34D67E92"/>
    <w:rsid w:val="34D8334B"/>
    <w:rsid w:val="34D84DA0"/>
    <w:rsid w:val="34E86F5F"/>
    <w:rsid w:val="34EB3E1C"/>
    <w:rsid w:val="34F07218"/>
    <w:rsid w:val="34F82570"/>
    <w:rsid w:val="34F8476F"/>
    <w:rsid w:val="35075781"/>
    <w:rsid w:val="35093D63"/>
    <w:rsid w:val="350D601C"/>
    <w:rsid w:val="35123632"/>
    <w:rsid w:val="351C1C63"/>
    <w:rsid w:val="351D5249"/>
    <w:rsid w:val="35284AFC"/>
    <w:rsid w:val="3529051C"/>
    <w:rsid w:val="352B46F4"/>
    <w:rsid w:val="35304680"/>
    <w:rsid w:val="35370A08"/>
    <w:rsid w:val="353D7F83"/>
    <w:rsid w:val="35404F5A"/>
    <w:rsid w:val="35414BC8"/>
    <w:rsid w:val="35465138"/>
    <w:rsid w:val="35483250"/>
    <w:rsid w:val="355157DD"/>
    <w:rsid w:val="3551651F"/>
    <w:rsid w:val="355359F9"/>
    <w:rsid w:val="355377A7"/>
    <w:rsid w:val="355552CD"/>
    <w:rsid w:val="35575782"/>
    <w:rsid w:val="355D31CB"/>
    <w:rsid w:val="35641C4D"/>
    <w:rsid w:val="35672BC1"/>
    <w:rsid w:val="356B5E37"/>
    <w:rsid w:val="356D1C71"/>
    <w:rsid w:val="35726A4B"/>
    <w:rsid w:val="35845BB2"/>
    <w:rsid w:val="35892CB9"/>
    <w:rsid w:val="358A08A4"/>
    <w:rsid w:val="358A1B36"/>
    <w:rsid w:val="35924A39"/>
    <w:rsid w:val="359279C8"/>
    <w:rsid w:val="359A7E3B"/>
    <w:rsid w:val="359D0A22"/>
    <w:rsid w:val="359D6079"/>
    <w:rsid w:val="359E6C74"/>
    <w:rsid w:val="35A11196"/>
    <w:rsid w:val="35B6520A"/>
    <w:rsid w:val="35B653DB"/>
    <w:rsid w:val="35B67A20"/>
    <w:rsid w:val="35B753AC"/>
    <w:rsid w:val="35B815BB"/>
    <w:rsid w:val="35BB0E36"/>
    <w:rsid w:val="35BF47A8"/>
    <w:rsid w:val="35CB3272"/>
    <w:rsid w:val="35D63513"/>
    <w:rsid w:val="35DE3514"/>
    <w:rsid w:val="35E14DB3"/>
    <w:rsid w:val="35E24015"/>
    <w:rsid w:val="35E92AEB"/>
    <w:rsid w:val="35F70D5C"/>
    <w:rsid w:val="35F76384"/>
    <w:rsid w:val="35FA37AB"/>
    <w:rsid w:val="35FB40C6"/>
    <w:rsid w:val="35FD0786"/>
    <w:rsid w:val="35FE3BB6"/>
    <w:rsid w:val="3601056A"/>
    <w:rsid w:val="3601366F"/>
    <w:rsid w:val="36014282"/>
    <w:rsid w:val="360607D9"/>
    <w:rsid w:val="36147966"/>
    <w:rsid w:val="36190C5C"/>
    <w:rsid w:val="362271FA"/>
    <w:rsid w:val="362A675A"/>
    <w:rsid w:val="362F1FC2"/>
    <w:rsid w:val="362F5D6F"/>
    <w:rsid w:val="363B3095"/>
    <w:rsid w:val="363D616D"/>
    <w:rsid w:val="36407D2B"/>
    <w:rsid w:val="364C2B74"/>
    <w:rsid w:val="364C5A56"/>
    <w:rsid w:val="365B2D75"/>
    <w:rsid w:val="365D064F"/>
    <w:rsid w:val="36603F29"/>
    <w:rsid w:val="366A72D8"/>
    <w:rsid w:val="366E78C2"/>
    <w:rsid w:val="366F616A"/>
    <w:rsid w:val="36723C5D"/>
    <w:rsid w:val="367515AA"/>
    <w:rsid w:val="367938FC"/>
    <w:rsid w:val="367A1BA6"/>
    <w:rsid w:val="367B5887"/>
    <w:rsid w:val="3680580C"/>
    <w:rsid w:val="36851E25"/>
    <w:rsid w:val="36951659"/>
    <w:rsid w:val="369B7657"/>
    <w:rsid w:val="369E2CA4"/>
    <w:rsid w:val="36A04C6E"/>
    <w:rsid w:val="36A91473"/>
    <w:rsid w:val="36B01289"/>
    <w:rsid w:val="36B9370E"/>
    <w:rsid w:val="36C72C95"/>
    <w:rsid w:val="36CB2139"/>
    <w:rsid w:val="36CC0EFA"/>
    <w:rsid w:val="36D861B6"/>
    <w:rsid w:val="36DA0180"/>
    <w:rsid w:val="36E36908"/>
    <w:rsid w:val="36E56469"/>
    <w:rsid w:val="36EE7787"/>
    <w:rsid w:val="36F31241"/>
    <w:rsid w:val="36F32FEF"/>
    <w:rsid w:val="36F56C63"/>
    <w:rsid w:val="36FC3260"/>
    <w:rsid w:val="370211A3"/>
    <w:rsid w:val="37040D59"/>
    <w:rsid w:val="37061F98"/>
    <w:rsid w:val="37125005"/>
    <w:rsid w:val="37144D14"/>
    <w:rsid w:val="3719601A"/>
    <w:rsid w:val="372068AC"/>
    <w:rsid w:val="37240668"/>
    <w:rsid w:val="372D427E"/>
    <w:rsid w:val="37313B18"/>
    <w:rsid w:val="373152BB"/>
    <w:rsid w:val="37332815"/>
    <w:rsid w:val="3734059B"/>
    <w:rsid w:val="374B4187"/>
    <w:rsid w:val="374C0952"/>
    <w:rsid w:val="37537F32"/>
    <w:rsid w:val="37555A58"/>
    <w:rsid w:val="375E1622"/>
    <w:rsid w:val="37665080"/>
    <w:rsid w:val="37667C65"/>
    <w:rsid w:val="377B3DE7"/>
    <w:rsid w:val="378803FD"/>
    <w:rsid w:val="378A38CA"/>
    <w:rsid w:val="37937C15"/>
    <w:rsid w:val="3794631E"/>
    <w:rsid w:val="379A0692"/>
    <w:rsid w:val="379A5CEB"/>
    <w:rsid w:val="37A442EA"/>
    <w:rsid w:val="37B117D8"/>
    <w:rsid w:val="37B1317D"/>
    <w:rsid w:val="37B45D63"/>
    <w:rsid w:val="37B61FBB"/>
    <w:rsid w:val="37BE35FD"/>
    <w:rsid w:val="37BF2ACE"/>
    <w:rsid w:val="37CD33F9"/>
    <w:rsid w:val="37CE4033"/>
    <w:rsid w:val="37D20E57"/>
    <w:rsid w:val="37E172EC"/>
    <w:rsid w:val="37E37D94"/>
    <w:rsid w:val="37F11C3A"/>
    <w:rsid w:val="37F54B45"/>
    <w:rsid w:val="37F74639"/>
    <w:rsid w:val="380A0786"/>
    <w:rsid w:val="380A264F"/>
    <w:rsid w:val="38122E1D"/>
    <w:rsid w:val="381800EE"/>
    <w:rsid w:val="381A6B45"/>
    <w:rsid w:val="38296DA3"/>
    <w:rsid w:val="38390187"/>
    <w:rsid w:val="383D7C4C"/>
    <w:rsid w:val="383E78A0"/>
    <w:rsid w:val="384018DF"/>
    <w:rsid w:val="3848630F"/>
    <w:rsid w:val="384C6E5B"/>
    <w:rsid w:val="384D3BA4"/>
    <w:rsid w:val="385375DF"/>
    <w:rsid w:val="38594445"/>
    <w:rsid w:val="38595064"/>
    <w:rsid w:val="385A07E5"/>
    <w:rsid w:val="385B02F2"/>
    <w:rsid w:val="3867667F"/>
    <w:rsid w:val="386C2FE3"/>
    <w:rsid w:val="387716E2"/>
    <w:rsid w:val="38776900"/>
    <w:rsid w:val="38783A4D"/>
    <w:rsid w:val="3887653F"/>
    <w:rsid w:val="388A1731"/>
    <w:rsid w:val="388C4906"/>
    <w:rsid w:val="388C7CC2"/>
    <w:rsid w:val="388F6D48"/>
    <w:rsid w:val="3894610C"/>
    <w:rsid w:val="389600D6"/>
    <w:rsid w:val="389A768B"/>
    <w:rsid w:val="389E008F"/>
    <w:rsid w:val="389F171F"/>
    <w:rsid w:val="38A50319"/>
    <w:rsid w:val="38A8296F"/>
    <w:rsid w:val="38A94C99"/>
    <w:rsid w:val="38B30DCB"/>
    <w:rsid w:val="38B36EDA"/>
    <w:rsid w:val="38C22C79"/>
    <w:rsid w:val="38C23AE1"/>
    <w:rsid w:val="38D6246F"/>
    <w:rsid w:val="38D767B8"/>
    <w:rsid w:val="38EA70B9"/>
    <w:rsid w:val="38F00189"/>
    <w:rsid w:val="38F02197"/>
    <w:rsid w:val="38F31085"/>
    <w:rsid w:val="38F512A1"/>
    <w:rsid w:val="38F56CD1"/>
    <w:rsid w:val="38F670AA"/>
    <w:rsid w:val="38F75DA1"/>
    <w:rsid w:val="38FB3A07"/>
    <w:rsid w:val="390738EA"/>
    <w:rsid w:val="390A3CBC"/>
    <w:rsid w:val="391536F1"/>
    <w:rsid w:val="39177F01"/>
    <w:rsid w:val="39202A26"/>
    <w:rsid w:val="392F0891"/>
    <w:rsid w:val="39334C6D"/>
    <w:rsid w:val="393F2828"/>
    <w:rsid w:val="39477622"/>
    <w:rsid w:val="39494829"/>
    <w:rsid w:val="394E6C03"/>
    <w:rsid w:val="39564F30"/>
    <w:rsid w:val="395B383D"/>
    <w:rsid w:val="395D7AF6"/>
    <w:rsid w:val="39612290"/>
    <w:rsid w:val="396B5C66"/>
    <w:rsid w:val="396B77E3"/>
    <w:rsid w:val="396D20AF"/>
    <w:rsid w:val="39711E73"/>
    <w:rsid w:val="397505EE"/>
    <w:rsid w:val="39761BE7"/>
    <w:rsid w:val="39824642"/>
    <w:rsid w:val="39856390"/>
    <w:rsid w:val="39881992"/>
    <w:rsid w:val="398D7264"/>
    <w:rsid w:val="3995038E"/>
    <w:rsid w:val="399603D3"/>
    <w:rsid w:val="399E0063"/>
    <w:rsid w:val="39A3530D"/>
    <w:rsid w:val="39A97991"/>
    <w:rsid w:val="39AC56D7"/>
    <w:rsid w:val="39B27192"/>
    <w:rsid w:val="39B60B61"/>
    <w:rsid w:val="39BD78E5"/>
    <w:rsid w:val="39C84201"/>
    <w:rsid w:val="39C90037"/>
    <w:rsid w:val="39CB3DB0"/>
    <w:rsid w:val="39D07618"/>
    <w:rsid w:val="39D100D0"/>
    <w:rsid w:val="39D2303C"/>
    <w:rsid w:val="39D42CE7"/>
    <w:rsid w:val="39D4539A"/>
    <w:rsid w:val="39DD3AE3"/>
    <w:rsid w:val="39DE1D35"/>
    <w:rsid w:val="39E82BB3"/>
    <w:rsid w:val="39EB26A4"/>
    <w:rsid w:val="39F00926"/>
    <w:rsid w:val="39FE4ED9"/>
    <w:rsid w:val="3A006552"/>
    <w:rsid w:val="3A100AFC"/>
    <w:rsid w:val="3A122A6A"/>
    <w:rsid w:val="3A1A268F"/>
    <w:rsid w:val="3A1B73AC"/>
    <w:rsid w:val="3A1E65D5"/>
    <w:rsid w:val="3A225344"/>
    <w:rsid w:val="3A32580B"/>
    <w:rsid w:val="3A3B7187"/>
    <w:rsid w:val="3A3C70DA"/>
    <w:rsid w:val="3A445152"/>
    <w:rsid w:val="3A460281"/>
    <w:rsid w:val="3A4E7A36"/>
    <w:rsid w:val="3A5308B9"/>
    <w:rsid w:val="3A6078CE"/>
    <w:rsid w:val="3A617ED5"/>
    <w:rsid w:val="3A6D643D"/>
    <w:rsid w:val="3A700DC6"/>
    <w:rsid w:val="3A742699"/>
    <w:rsid w:val="3A7A7584"/>
    <w:rsid w:val="3A7D5A71"/>
    <w:rsid w:val="3A7D77A0"/>
    <w:rsid w:val="3A7F3A1E"/>
    <w:rsid w:val="3A8012DC"/>
    <w:rsid w:val="3A82338F"/>
    <w:rsid w:val="3A87225C"/>
    <w:rsid w:val="3A881CA1"/>
    <w:rsid w:val="3A886145"/>
    <w:rsid w:val="3A8E5D10"/>
    <w:rsid w:val="3A9B19D4"/>
    <w:rsid w:val="3AA05F85"/>
    <w:rsid w:val="3AA20FB4"/>
    <w:rsid w:val="3AA63444"/>
    <w:rsid w:val="3AA840F1"/>
    <w:rsid w:val="3AB91397"/>
    <w:rsid w:val="3ABB568A"/>
    <w:rsid w:val="3ABF235F"/>
    <w:rsid w:val="3AC214F7"/>
    <w:rsid w:val="3AC30EEC"/>
    <w:rsid w:val="3AC3671E"/>
    <w:rsid w:val="3AC3717D"/>
    <w:rsid w:val="3AC52EF5"/>
    <w:rsid w:val="3AC95FA8"/>
    <w:rsid w:val="3ACF78CF"/>
    <w:rsid w:val="3AD153F6"/>
    <w:rsid w:val="3AD5061C"/>
    <w:rsid w:val="3ADE5CEC"/>
    <w:rsid w:val="3AE11A4E"/>
    <w:rsid w:val="3AF15A98"/>
    <w:rsid w:val="3AF64E5C"/>
    <w:rsid w:val="3AF759E3"/>
    <w:rsid w:val="3B0752BB"/>
    <w:rsid w:val="3B0C27E0"/>
    <w:rsid w:val="3B0F4170"/>
    <w:rsid w:val="3B10495E"/>
    <w:rsid w:val="3B2148DA"/>
    <w:rsid w:val="3B223EA3"/>
    <w:rsid w:val="3B2371FA"/>
    <w:rsid w:val="3B256D14"/>
    <w:rsid w:val="3B2A13FF"/>
    <w:rsid w:val="3B2A4FB6"/>
    <w:rsid w:val="3B301742"/>
    <w:rsid w:val="3B31640C"/>
    <w:rsid w:val="3B36794F"/>
    <w:rsid w:val="3B3A2E3D"/>
    <w:rsid w:val="3B3A431D"/>
    <w:rsid w:val="3B4022B7"/>
    <w:rsid w:val="3B47390A"/>
    <w:rsid w:val="3B4937D1"/>
    <w:rsid w:val="3B4B6916"/>
    <w:rsid w:val="3B4D2EE2"/>
    <w:rsid w:val="3B4E41A0"/>
    <w:rsid w:val="3B537901"/>
    <w:rsid w:val="3B586A99"/>
    <w:rsid w:val="3B5A13DA"/>
    <w:rsid w:val="3B750477"/>
    <w:rsid w:val="3B7523A6"/>
    <w:rsid w:val="3B774511"/>
    <w:rsid w:val="3B7B52E1"/>
    <w:rsid w:val="3B8412CC"/>
    <w:rsid w:val="3B8C756F"/>
    <w:rsid w:val="3B8E0FB2"/>
    <w:rsid w:val="3B8F4DC4"/>
    <w:rsid w:val="3B9308FD"/>
    <w:rsid w:val="3B932D9C"/>
    <w:rsid w:val="3B974912"/>
    <w:rsid w:val="3B9F1EDC"/>
    <w:rsid w:val="3BA8115D"/>
    <w:rsid w:val="3BB5491A"/>
    <w:rsid w:val="3BB67E4F"/>
    <w:rsid w:val="3BB80364"/>
    <w:rsid w:val="3BBB7E54"/>
    <w:rsid w:val="3BBC1E3F"/>
    <w:rsid w:val="3BBF5B96"/>
    <w:rsid w:val="3BC705CC"/>
    <w:rsid w:val="3BCA261C"/>
    <w:rsid w:val="3BD01B51"/>
    <w:rsid w:val="3BD26834"/>
    <w:rsid w:val="3BD31B77"/>
    <w:rsid w:val="3BD614A0"/>
    <w:rsid w:val="3BE253E0"/>
    <w:rsid w:val="3BE458BB"/>
    <w:rsid w:val="3BE66FA4"/>
    <w:rsid w:val="3BE77B7A"/>
    <w:rsid w:val="3BE8197F"/>
    <w:rsid w:val="3BF22098"/>
    <w:rsid w:val="3BF42D14"/>
    <w:rsid w:val="3C057030"/>
    <w:rsid w:val="3C0757E3"/>
    <w:rsid w:val="3C0C1780"/>
    <w:rsid w:val="3C0F15E4"/>
    <w:rsid w:val="3C19288C"/>
    <w:rsid w:val="3C1A7270"/>
    <w:rsid w:val="3C1B6C33"/>
    <w:rsid w:val="3C321FC3"/>
    <w:rsid w:val="3C3C194D"/>
    <w:rsid w:val="3C3F4DB4"/>
    <w:rsid w:val="3C4017A7"/>
    <w:rsid w:val="3C441D02"/>
    <w:rsid w:val="3C463BA4"/>
    <w:rsid w:val="3C474E66"/>
    <w:rsid w:val="3C47738E"/>
    <w:rsid w:val="3C4C0535"/>
    <w:rsid w:val="3C5070D4"/>
    <w:rsid w:val="3C56614E"/>
    <w:rsid w:val="3C5C5A8B"/>
    <w:rsid w:val="3C5E6899"/>
    <w:rsid w:val="3C634773"/>
    <w:rsid w:val="3C7454B8"/>
    <w:rsid w:val="3C764B1D"/>
    <w:rsid w:val="3C767358"/>
    <w:rsid w:val="3C767618"/>
    <w:rsid w:val="3C7C5835"/>
    <w:rsid w:val="3C7C5FE2"/>
    <w:rsid w:val="3C86132C"/>
    <w:rsid w:val="3C886931"/>
    <w:rsid w:val="3C8B39EE"/>
    <w:rsid w:val="3C925059"/>
    <w:rsid w:val="3C9266AD"/>
    <w:rsid w:val="3C92687C"/>
    <w:rsid w:val="3C9B5C32"/>
    <w:rsid w:val="3C9E4263"/>
    <w:rsid w:val="3CA30328"/>
    <w:rsid w:val="3CA806D7"/>
    <w:rsid w:val="3CAC2C8B"/>
    <w:rsid w:val="3CAD03BB"/>
    <w:rsid w:val="3CB1218A"/>
    <w:rsid w:val="3CB23005"/>
    <w:rsid w:val="3CB37A06"/>
    <w:rsid w:val="3CB96102"/>
    <w:rsid w:val="3CBA43FC"/>
    <w:rsid w:val="3CBA7213"/>
    <w:rsid w:val="3CBC3636"/>
    <w:rsid w:val="3CBD4815"/>
    <w:rsid w:val="3CBE2CA9"/>
    <w:rsid w:val="3CC03974"/>
    <w:rsid w:val="3CC16867"/>
    <w:rsid w:val="3CCE5FE8"/>
    <w:rsid w:val="3CDB63E1"/>
    <w:rsid w:val="3CDC6426"/>
    <w:rsid w:val="3CE00868"/>
    <w:rsid w:val="3CE11114"/>
    <w:rsid w:val="3CE21B3C"/>
    <w:rsid w:val="3CE77C76"/>
    <w:rsid w:val="3CE80C6A"/>
    <w:rsid w:val="3CED04E1"/>
    <w:rsid w:val="3CF25D94"/>
    <w:rsid w:val="3CF76797"/>
    <w:rsid w:val="3CF8135F"/>
    <w:rsid w:val="3D0B6E64"/>
    <w:rsid w:val="3D155987"/>
    <w:rsid w:val="3D1E1909"/>
    <w:rsid w:val="3D227BC2"/>
    <w:rsid w:val="3D235CB1"/>
    <w:rsid w:val="3D23732D"/>
    <w:rsid w:val="3D314871"/>
    <w:rsid w:val="3D361FC8"/>
    <w:rsid w:val="3D36750A"/>
    <w:rsid w:val="3D37130B"/>
    <w:rsid w:val="3D531AB5"/>
    <w:rsid w:val="3D573AAE"/>
    <w:rsid w:val="3D581DFE"/>
    <w:rsid w:val="3D5C3B63"/>
    <w:rsid w:val="3D630803"/>
    <w:rsid w:val="3D6437E1"/>
    <w:rsid w:val="3D6562C9"/>
    <w:rsid w:val="3D6663BC"/>
    <w:rsid w:val="3D6739D2"/>
    <w:rsid w:val="3D6D1400"/>
    <w:rsid w:val="3D77013B"/>
    <w:rsid w:val="3D86135D"/>
    <w:rsid w:val="3D885D7E"/>
    <w:rsid w:val="3D891FEB"/>
    <w:rsid w:val="3D894A1C"/>
    <w:rsid w:val="3D8A3BC0"/>
    <w:rsid w:val="3D8F52FC"/>
    <w:rsid w:val="3DA75AC4"/>
    <w:rsid w:val="3DAE23B6"/>
    <w:rsid w:val="3DBC43B2"/>
    <w:rsid w:val="3DC456E6"/>
    <w:rsid w:val="3DCC00F6"/>
    <w:rsid w:val="3DDB1F8C"/>
    <w:rsid w:val="3DDC6AF7"/>
    <w:rsid w:val="3DE70243"/>
    <w:rsid w:val="3DE73F01"/>
    <w:rsid w:val="3DEE2762"/>
    <w:rsid w:val="3DEE38D9"/>
    <w:rsid w:val="3DF20CB5"/>
    <w:rsid w:val="3DF325B6"/>
    <w:rsid w:val="3DF37D79"/>
    <w:rsid w:val="3DFC4E7F"/>
    <w:rsid w:val="3DFC50D8"/>
    <w:rsid w:val="3DFF10F6"/>
    <w:rsid w:val="3DFF3AB5"/>
    <w:rsid w:val="3E045AE2"/>
    <w:rsid w:val="3E060061"/>
    <w:rsid w:val="3E0658F8"/>
    <w:rsid w:val="3E0C2BE9"/>
    <w:rsid w:val="3E0F73EF"/>
    <w:rsid w:val="3E1026D9"/>
    <w:rsid w:val="3E156929"/>
    <w:rsid w:val="3E18158D"/>
    <w:rsid w:val="3E1A323A"/>
    <w:rsid w:val="3E2A0315"/>
    <w:rsid w:val="3E2C5FFE"/>
    <w:rsid w:val="3E304B29"/>
    <w:rsid w:val="3E337968"/>
    <w:rsid w:val="3E3D7ECF"/>
    <w:rsid w:val="3E4634F9"/>
    <w:rsid w:val="3E4C3269"/>
    <w:rsid w:val="3E4D56DB"/>
    <w:rsid w:val="3E5352E3"/>
    <w:rsid w:val="3E5C1861"/>
    <w:rsid w:val="3E5F1E94"/>
    <w:rsid w:val="3E5F71BC"/>
    <w:rsid w:val="3E622809"/>
    <w:rsid w:val="3E661243"/>
    <w:rsid w:val="3E691DE9"/>
    <w:rsid w:val="3E714E1C"/>
    <w:rsid w:val="3E7212ED"/>
    <w:rsid w:val="3E772758"/>
    <w:rsid w:val="3E895FE7"/>
    <w:rsid w:val="3E8B6203"/>
    <w:rsid w:val="3E8F30B5"/>
    <w:rsid w:val="3E9977AD"/>
    <w:rsid w:val="3E9E1A93"/>
    <w:rsid w:val="3EAB7EAD"/>
    <w:rsid w:val="3EB86D71"/>
    <w:rsid w:val="3EBA619F"/>
    <w:rsid w:val="3EBB43E8"/>
    <w:rsid w:val="3EBC016B"/>
    <w:rsid w:val="3EBD0C5E"/>
    <w:rsid w:val="3EBD4B4D"/>
    <w:rsid w:val="3ECD4126"/>
    <w:rsid w:val="3ECD4B2F"/>
    <w:rsid w:val="3ED25BE0"/>
    <w:rsid w:val="3ED81F6F"/>
    <w:rsid w:val="3EDC080D"/>
    <w:rsid w:val="3EE50A86"/>
    <w:rsid w:val="3EE772F3"/>
    <w:rsid w:val="3EEA3997"/>
    <w:rsid w:val="3EF840CF"/>
    <w:rsid w:val="3EFC5866"/>
    <w:rsid w:val="3EFD4748"/>
    <w:rsid w:val="3EFE0737"/>
    <w:rsid w:val="3EFF60F3"/>
    <w:rsid w:val="3F012456"/>
    <w:rsid w:val="3F022944"/>
    <w:rsid w:val="3F080BC5"/>
    <w:rsid w:val="3F0A7BA0"/>
    <w:rsid w:val="3F0B3854"/>
    <w:rsid w:val="3F0C7B15"/>
    <w:rsid w:val="3F0F2990"/>
    <w:rsid w:val="3F116B6E"/>
    <w:rsid w:val="3F125943"/>
    <w:rsid w:val="3F30187A"/>
    <w:rsid w:val="3F3E6DD2"/>
    <w:rsid w:val="3F420918"/>
    <w:rsid w:val="3F482BD1"/>
    <w:rsid w:val="3F4B701E"/>
    <w:rsid w:val="3F4F7231"/>
    <w:rsid w:val="3F5E4773"/>
    <w:rsid w:val="3F5F6316"/>
    <w:rsid w:val="3F652AD4"/>
    <w:rsid w:val="3F691733"/>
    <w:rsid w:val="3F744EE9"/>
    <w:rsid w:val="3F7647BE"/>
    <w:rsid w:val="3F7D2FB5"/>
    <w:rsid w:val="3F817D6A"/>
    <w:rsid w:val="3F84750C"/>
    <w:rsid w:val="3F88684E"/>
    <w:rsid w:val="3F955530"/>
    <w:rsid w:val="3F982986"/>
    <w:rsid w:val="3F9D7F9C"/>
    <w:rsid w:val="3F9E3DB3"/>
    <w:rsid w:val="3FAF4912"/>
    <w:rsid w:val="3FB43D0E"/>
    <w:rsid w:val="3FB66F63"/>
    <w:rsid w:val="3FB672B0"/>
    <w:rsid w:val="3FB9677F"/>
    <w:rsid w:val="3FBC7FD8"/>
    <w:rsid w:val="3FC76427"/>
    <w:rsid w:val="3FD14F9A"/>
    <w:rsid w:val="3FD43EF0"/>
    <w:rsid w:val="3FD92723"/>
    <w:rsid w:val="3FDD382D"/>
    <w:rsid w:val="3FF12A08"/>
    <w:rsid w:val="3FF35E0E"/>
    <w:rsid w:val="3FF43934"/>
    <w:rsid w:val="3FFD6147"/>
    <w:rsid w:val="3FFF347E"/>
    <w:rsid w:val="40013BD9"/>
    <w:rsid w:val="40014803"/>
    <w:rsid w:val="400353AF"/>
    <w:rsid w:val="400D3374"/>
    <w:rsid w:val="400D69CF"/>
    <w:rsid w:val="400F3069"/>
    <w:rsid w:val="40235CA2"/>
    <w:rsid w:val="4029353B"/>
    <w:rsid w:val="402C1751"/>
    <w:rsid w:val="40316936"/>
    <w:rsid w:val="40354679"/>
    <w:rsid w:val="403B5D29"/>
    <w:rsid w:val="405439D7"/>
    <w:rsid w:val="4057639D"/>
    <w:rsid w:val="4058162F"/>
    <w:rsid w:val="406428A4"/>
    <w:rsid w:val="40687A87"/>
    <w:rsid w:val="406A72FF"/>
    <w:rsid w:val="407024AC"/>
    <w:rsid w:val="407336C7"/>
    <w:rsid w:val="40784565"/>
    <w:rsid w:val="407C559D"/>
    <w:rsid w:val="40876DA4"/>
    <w:rsid w:val="40960CFD"/>
    <w:rsid w:val="409A44DC"/>
    <w:rsid w:val="409F5C80"/>
    <w:rsid w:val="40A11BDC"/>
    <w:rsid w:val="40AA4AF3"/>
    <w:rsid w:val="40AE6587"/>
    <w:rsid w:val="40AF2D44"/>
    <w:rsid w:val="40B01F51"/>
    <w:rsid w:val="40B25CC9"/>
    <w:rsid w:val="40B437EF"/>
    <w:rsid w:val="40CC3AF6"/>
    <w:rsid w:val="40CD787E"/>
    <w:rsid w:val="40D419B4"/>
    <w:rsid w:val="40D67DD7"/>
    <w:rsid w:val="40D93256"/>
    <w:rsid w:val="40DB4CAC"/>
    <w:rsid w:val="40E1100B"/>
    <w:rsid w:val="40E33A83"/>
    <w:rsid w:val="40E57E4D"/>
    <w:rsid w:val="40EA5463"/>
    <w:rsid w:val="40EA7211"/>
    <w:rsid w:val="40ED6437"/>
    <w:rsid w:val="40F92D5C"/>
    <w:rsid w:val="40F95B78"/>
    <w:rsid w:val="41000A49"/>
    <w:rsid w:val="4105077F"/>
    <w:rsid w:val="41055DF9"/>
    <w:rsid w:val="410D23C6"/>
    <w:rsid w:val="410F0555"/>
    <w:rsid w:val="41100E9F"/>
    <w:rsid w:val="41110C42"/>
    <w:rsid w:val="411E335F"/>
    <w:rsid w:val="41203D8E"/>
    <w:rsid w:val="41250249"/>
    <w:rsid w:val="41281AE7"/>
    <w:rsid w:val="4135617F"/>
    <w:rsid w:val="41392BC6"/>
    <w:rsid w:val="413B24B7"/>
    <w:rsid w:val="41420656"/>
    <w:rsid w:val="41485AB3"/>
    <w:rsid w:val="414F4CC6"/>
    <w:rsid w:val="4152722B"/>
    <w:rsid w:val="4153106D"/>
    <w:rsid w:val="415616CC"/>
    <w:rsid w:val="41584164"/>
    <w:rsid w:val="41635215"/>
    <w:rsid w:val="4168559A"/>
    <w:rsid w:val="41811912"/>
    <w:rsid w:val="41821D4C"/>
    <w:rsid w:val="41842808"/>
    <w:rsid w:val="41843914"/>
    <w:rsid w:val="41872CB2"/>
    <w:rsid w:val="4189357C"/>
    <w:rsid w:val="418946B1"/>
    <w:rsid w:val="41894C7C"/>
    <w:rsid w:val="418C6142"/>
    <w:rsid w:val="41915007"/>
    <w:rsid w:val="419278A7"/>
    <w:rsid w:val="41965EDF"/>
    <w:rsid w:val="41983306"/>
    <w:rsid w:val="41A06362"/>
    <w:rsid w:val="41A27AEC"/>
    <w:rsid w:val="41AC3006"/>
    <w:rsid w:val="41B10084"/>
    <w:rsid w:val="41CE6B33"/>
    <w:rsid w:val="41CF4BE0"/>
    <w:rsid w:val="41D91034"/>
    <w:rsid w:val="41D9576C"/>
    <w:rsid w:val="41DA54D8"/>
    <w:rsid w:val="41E56B95"/>
    <w:rsid w:val="41E736CA"/>
    <w:rsid w:val="41EC6FB9"/>
    <w:rsid w:val="41F90EB2"/>
    <w:rsid w:val="41FF59B2"/>
    <w:rsid w:val="41FF74D8"/>
    <w:rsid w:val="42071D18"/>
    <w:rsid w:val="42094707"/>
    <w:rsid w:val="420C1409"/>
    <w:rsid w:val="42147F27"/>
    <w:rsid w:val="421A4FE3"/>
    <w:rsid w:val="421B7832"/>
    <w:rsid w:val="421B7986"/>
    <w:rsid w:val="421D6C58"/>
    <w:rsid w:val="42254A34"/>
    <w:rsid w:val="423B3A9C"/>
    <w:rsid w:val="423D5A66"/>
    <w:rsid w:val="42407479"/>
    <w:rsid w:val="42442951"/>
    <w:rsid w:val="42446DF5"/>
    <w:rsid w:val="42500768"/>
    <w:rsid w:val="4250579A"/>
    <w:rsid w:val="425B7C9B"/>
    <w:rsid w:val="425F7817"/>
    <w:rsid w:val="426B25D4"/>
    <w:rsid w:val="426C1D94"/>
    <w:rsid w:val="426F2480"/>
    <w:rsid w:val="42727E6C"/>
    <w:rsid w:val="42777040"/>
    <w:rsid w:val="427C791C"/>
    <w:rsid w:val="4281763A"/>
    <w:rsid w:val="42847921"/>
    <w:rsid w:val="42890CAC"/>
    <w:rsid w:val="428B52AC"/>
    <w:rsid w:val="42935686"/>
    <w:rsid w:val="42937943"/>
    <w:rsid w:val="4294377D"/>
    <w:rsid w:val="429462ED"/>
    <w:rsid w:val="42973F4D"/>
    <w:rsid w:val="42A96C58"/>
    <w:rsid w:val="42AD50EE"/>
    <w:rsid w:val="42B61283"/>
    <w:rsid w:val="42BC7DDF"/>
    <w:rsid w:val="42C21024"/>
    <w:rsid w:val="42C77633"/>
    <w:rsid w:val="42C8332E"/>
    <w:rsid w:val="42CB43AC"/>
    <w:rsid w:val="42CF2B62"/>
    <w:rsid w:val="42D454E4"/>
    <w:rsid w:val="42D73854"/>
    <w:rsid w:val="42DD1545"/>
    <w:rsid w:val="42E4687E"/>
    <w:rsid w:val="42E90505"/>
    <w:rsid w:val="42E965E3"/>
    <w:rsid w:val="42ED6467"/>
    <w:rsid w:val="42EE734C"/>
    <w:rsid w:val="42F11D2D"/>
    <w:rsid w:val="42F462E9"/>
    <w:rsid w:val="42FB2570"/>
    <w:rsid w:val="4303525B"/>
    <w:rsid w:val="43056584"/>
    <w:rsid w:val="43060CE4"/>
    <w:rsid w:val="43067773"/>
    <w:rsid w:val="43072FA1"/>
    <w:rsid w:val="43076C51"/>
    <w:rsid w:val="43095949"/>
    <w:rsid w:val="430C7B0A"/>
    <w:rsid w:val="431151CC"/>
    <w:rsid w:val="4314692A"/>
    <w:rsid w:val="431A23EC"/>
    <w:rsid w:val="431F2F73"/>
    <w:rsid w:val="432509D4"/>
    <w:rsid w:val="432B288E"/>
    <w:rsid w:val="43336B06"/>
    <w:rsid w:val="43423147"/>
    <w:rsid w:val="43482915"/>
    <w:rsid w:val="434C1AC0"/>
    <w:rsid w:val="434D4854"/>
    <w:rsid w:val="434D4C26"/>
    <w:rsid w:val="434F5638"/>
    <w:rsid w:val="43504C92"/>
    <w:rsid w:val="4351680C"/>
    <w:rsid w:val="4353719E"/>
    <w:rsid w:val="4357356D"/>
    <w:rsid w:val="43574906"/>
    <w:rsid w:val="435766B4"/>
    <w:rsid w:val="435C3CCA"/>
    <w:rsid w:val="4365000D"/>
    <w:rsid w:val="436F1849"/>
    <w:rsid w:val="43706017"/>
    <w:rsid w:val="43724C1B"/>
    <w:rsid w:val="4376642B"/>
    <w:rsid w:val="437C32D0"/>
    <w:rsid w:val="437E00E5"/>
    <w:rsid w:val="437E2698"/>
    <w:rsid w:val="43870F4B"/>
    <w:rsid w:val="438751EB"/>
    <w:rsid w:val="438A0837"/>
    <w:rsid w:val="439746B1"/>
    <w:rsid w:val="439B53F0"/>
    <w:rsid w:val="439D01B2"/>
    <w:rsid w:val="439E0787"/>
    <w:rsid w:val="439F3FDA"/>
    <w:rsid w:val="43AD43B9"/>
    <w:rsid w:val="43C401ED"/>
    <w:rsid w:val="43C93609"/>
    <w:rsid w:val="43CC4B25"/>
    <w:rsid w:val="43DC14B4"/>
    <w:rsid w:val="43DF441D"/>
    <w:rsid w:val="43F219B8"/>
    <w:rsid w:val="43F839F3"/>
    <w:rsid w:val="43F87E97"/>
    <w:rsid w:val="43FD65F5"/>
    <w:rsid w:val="440A14C9"/>
    <w:rsid w:val="44114C2F"/>
    <w:rsid w:val="441B41C3"/>
    <w:rsid w:val="44201AAB"/>
    <w:rsid w:val="44281D93"/>
    <w:rsid w:val="442E1B0B"/>
    <w:rsid w:val="442E4815"/>
    <w:rsid w:val="442F6191"/>
    <w:rsid w:val="44385BA8"/>
    <w:rsid w:val="44421DCC"/>
    <w:rsid w:val="444255B6"/>
    <w:rsid w:val="44492935"/>
    <w:rsid w:val="44500264"/>
    <w:rsid w:val="44511355"/>
    <w:rsid w:val="44584313"/>
    <w:rsid w:val="446077EA"/>
    <w:rsid w:val="446352D8"/>
    <w:rsid w:val="44654E01"/>
    <w:rsid w:val="44672928"/>
    <w:rsid w:val="446B7B19"/>
    <w:rsid w:val="44735770"/>
    <w:rsid w:val="447A2DD6"/>
    <w:rsid w:val="447F2366"/>
    <w:rsid w:val="44842520"/>
    <w:rsid w:val="44861D69"/>
    <w:rsid w:val="4488688E"/>
    <w:rsid w:val="448A72D9"/>
    <w:rsid w:val="44904CF7"/>
    <w:rsid w:val="44935882"/>
    <w:rsid w:val="44960F90"/>
    <w:rsid w:val="449776B0"/>
    <w:rsid w:val="449853D1"/>
    <w:rsid w:val="44A827BF"/>
    <w:rsid w:val="44AA218A"/>
    <w:rsid w:val="44AB0307"/>
    <w:rsid w:val="44B00772"/>
    <w:rsid w:val="44B22039"/>
    <w:rsid w:val="44B37276"/>
    <w:rsid w:val="44B40598"/>
    <w:rsid w:val="44C35AEB"/>
    <w:rsid w:val="44D101F3"/>
    <w:rsid w:val="44E31305"/>
    <w:rsid w:val="44E328F5"/>
    <w:rsid w:val="44E565B2"/>
    <w:rsid w:val="44E706D8"/>
    <w:rsid w:val="44E95B4F"/>
    <w:rsid w:val="44EA498B"/>
    <w:rsid w:val="44EF1B82"/>
    <w:rsid w:val="44F2263A"/>
    <w:rsid w:val="44F536A1"/>
    <w:rsid w:val="44F62D17"/>
    <w:rsid w:val="44F95521"/>
    <w:rsid w:val="4508406A"/>
    <w:rsid w:val="451707F1"/>
    <w:rsid w:val="45175B8B"/>
    <w:rsid w:val="451A619E"/>
    <w:rsid w:val="451D442B"/>
    <w:rsid w:val="451E56DB"/>
    <w:rsid w:val="453018B3"/>
    <w:rsid w:val="4530540F"/>
    <w:rsid w:val="453D1CD3"/>
    <w:rsid w:val="453F1EB7"/>
    <w:rsid w:val="45412F2E"/>
    <w:rsid w:val="454823E9"/>
    <w:rsid w:val="454D6DCC"/>
    <w:rsid w:val="45505AB1"/>
    <w:rsid w:val="455410BB"/>
    <w:rsid w:val="45646640"/>
    <w:rsid w:val="45660E30"/>
    <w:rsid w:val="456652D4"/>
    <w:rsid w:val="456D21BF"/>
    <w:rsid w:val="456F4A8E"/>
    <w:rsid w:val="457322A9"/>
    <w:rsid w:val="45792522"/>
    <w:rsid w:val="45797C51"/>
    <w:rsid w:val="457E20F9"/>
    <w:rsid w:val="458A109C"/>
    <w:rsid w:val="45900B50"/>
    <w:rsid w:val="459360E3"/>
    <w:rsid w:val="45947D2C"/>
    <w:rsid w:val="459A27F1"/>
    <w:rsid w:val="45A12D06"/>
    <w:rsid w:val="45A168B6"/>
    <w:rsid w:val="45A378FA"/>
    <w:rsid w:val="45A71B75"/>
    <w:rsid w:val="45B137DB"/>
    <w:rsid w:val="45B8708B"/>
    <w:rsid w:val="45C36283"/>
    <w:rsid w:val="45C83059"/>
    <w:rsid w:val="45CD7DCC"/>
    <w:rsid w:val="45CE25AE"/>
    <w:rsid w:val="45CE6EB7"/>
    <w:rsid w:val="45CF69D6"/>
    <w:rsid w:val="45D70B74"/>
    <w:rsid w:val="45D95AA6"/>
    <w:rsid w:val="45E00BE3"/>
    <w:rsid w:val="45E5245F"/>
    <w:rsid w:val="45EA18E4"/>
    <w:rsid w:val="45EB510E"/>
    <w:rsid w:val="45EE4E64"/>
    <w:rsid w:val="45FC104C"/>
    <w:rsid w:val="45FC472A"/>
    <w:rsid w:val="46017AF3"/>
    <w:rsid w:val="46053E0B"/>
    <w:rsid w:val="460E5A16"/>
    <w:rsid w:val="46142A03"/>
    <w:rsid w:val="461507BE"/>
    <w:rsid w:val="461B2714"/>
    <w:rsid w:val="46336D11"/>
    <w:rsid w:val="463A4797"/>
    <w:rsid w:val="464E0242"/>
    <w:rsid w:val="46504FEC"/>
    <w:rsid w:val="465876E0"/>
    <w:rsid w:val="465F6E8D"/>
    <w:rsid w:val="46674425"/>
    <w:rsid w:val="46696D45"/>
    <w:rsid w:val="46794B93"/>
    <w:rsid w:val="467F7D3C"/>
    <w:rsid w:val="468024D4"/>
    <w:rsid w:val="468123C6"/>
    <w:rsid w:val="46925B3C"/>
    <w:rsid w:val="469359EF"/>
    <w:rsid w:val="46935C55"/>
    <w:rsid w:val="46962F65"/>
    <w:rsid w:val="469B3245"/>
    <w:rsid w:val="46A165C4"/>
    <w:rsid w:val="46A63BDA"/>
    <w:rsid w:val="46A77952"/>
    <w:rsid w:val="46A97C84"/>
    <w:rsid w:val="46AE7B45"/>
    <w:rsid w:val="46B76181"/>
    <w:rsid w:val="46BB366A"/>
    <w:rsid w:val="46BF18F4"/>
    <w:rsid w:val="46C053D9"/>
    <w:rsid w:val="46C736D2"/>
    <w:rsid w:val="46CA6113"/>
    <w:rsid w:val="46CC1FB0"/>
    <w:rsid w:val="46CC73B9"/>
    <w:rsid w:val="46D52711"/>
    <w:rsid w:val="46D9526E"/>
    <w:rsid w:val="46DE4B0F"/>
    <w:rsid w:val="46E464B1"/>
    <w:rsid w:val="46E93AC7"/>
    <w:rsid w:val="46F2171D"/>
    <w:rsid w:val="46F41301"/>
    <w:rsid w:val="46FC0EC1"/>
    <w:rsid w:val="46FC6C97"/>
    <w:rsid w:val="4712301E"/>
    <w:rsid w:val="471508EB"/>
    <w:rsid w:val="471B0693"/>
    <w:rsid w:val="47240FA3"/>
    <w:rsid w:val="472562C9"/>
    <w:rsid w:val="4728616E"/>
    <w:rsid w:val="472A632A"/>
    <w:rsid w:val="472E51F4"/>
    <w:rsid w:val="47380150"/>
    <w:rsid w:val="473D2DF8"/>
    <w:rsid w:val="47474276"/>
    <w:rsid w:val="474B11F0"/>
    <w:rsid w:val="47577FEC"/>
    <w:rsid w:val="475B3C8B"/>
    <w:rsid w:val="475F534E"/>
    <w:rsid w:val="476426E1"/>
    <w:rsid w:val="476B0988"/>
    <w:rsid w:val="47787145"/>
    <w:rsid w:val="477B2701"/>
    <w:rsid w:val="477D602D"/>
    <w:rsid w:val="478065F6"/>
    <w:rsid w:val="478101A3"/>
    <w:rsid w:val="47811F51"/>
    <w:rsid w:val="4792711E"/>
    <w:rsid w:val="47A201F7"/>
    <w:rsid w:val="47A65085"/>
    <w:rsid w:val="47AA1ED1"/>
    <w:rsid w:val="47AD4653"/>
    <w:rsid w:val="47B133C0"/>
    <w:rsid w:val="47B431C2"/>
    <w:rsid w:val="47BA73F4"/>
    <w:rsid w:val="47C00F0A"/>
    <w:rsid w:val="47C36D46"/>
    <w:rsid w:val="47C56E9C"/>
    <w:rsid w:val="47CD5197"/>
    <w:rsid w:val="47D51C4B"/>
    <w:rsid w:val="47D800C1"/>
    <w:rsid w:val="47DD13CD"/>
    <w:rsid w:val="47E86495"/>
    <w:rsid w:val="47E904B8"/>
    <w:rsid w:val="47F414CB"/>
    <w:rsid w:val="47F66832"/>
    <w:rsid w:val="47FE17F4"/>
    <w:rsid w:val="480137F1"/>
    <w:rsid w:val="4804468E"/>
    <w:rsid w:val="48084EF8"/>
    <w:rsid w:val="480B033B"/>
    <w:rsid w:val="48144882"/>
    <w:rsid w:val="481E3C44"/>
    <w:rsid w:val="481F03A7"/>
    <w:rsid w:val="481F608B"/>
    <w:rsid w:val="482414A4"/>
    <w:rsid w:val="48250CCA"/>
    <w:rsid w:val="482A5C0C"/>
    <w:rsid w:val="482A7B31"/>
    <w:rsid w:val="482F734F"/>
    <w:rsid w:val="48354D96"/>
    <w:rsid w:val="48356E78"/>
    <w:rsid w:val="483A5065"/>
    <w:rsid w:val="483D2C31"/>
    <w:rsid w:val="48413CDD"/>
    <w:rsid w:val="484535C9"/>
    <w:rsid w:val="484713ED"/>
    <w:rsid w:val="484719F0"/>
    <w:rsid w:val="48471B84"/>
    <w:rsid w:val="4849456D"/>
    <w:rsid w:val="484D2675"/>
    <w:rsid w:val="48547666"/>
    <w:rsid w:val="48580F04"/>
    <w:rsid w:val="485F6737"/>
    <w:rsid w:val="4860637D"/>
    <w:rsid w:val="4861685C"/>
    <w:rsid w:val="48620C02"/>
    <w:rsid w:val="48627FD5"/>
    <w:rsid w:val="48645AFB"/>
    <w:rsid w:val="48671739"/>
    <w:rsid w:val="486C56F6"/>
    <w:rsid w:val="48727F8C"/>
    <w:rsid w:val="4879296F"/>
    <w:rsid w:val="48821D18"/>
    <w:rsid w:val="488942EB"/>
    <w:rsid w:val="48914416"/>
    <w:rsid w:val="489772F0"/>
    <w:rsid w:val="489F79D0"/>
    <w:rsid w:val="48B84099"/>
    <w:rsid w:val="48BA42EE"/>
    <w:rsid w:val="48BA4C67"/>
    <w:rsid w:val="48BD7FEE"/>
    <w:rsid w:val="48C06AA9"/>
    <w:rsid w:val="48CD3E91"/>
    <w:rsid w:val="48CD7300"/>
    <w:rsid w:val="48D04F3E"/>
    <w:rsid w:val="48D50218"/>
    <w:rsid w:val="48D84B97"/>
    <w:rsid w:val="48DC77A6"/>
    <w:rsid w:val="48E21116"/>
    <w:rsid w:val="48EB5D96"/>
    <w:rsid w:val="48F454D3"/>
    <w:rsid w:val="48F51911"/>
    <w:rsid w:val="48F549A5"/>
    <w:rsid w:val="48F62D0F"/>
    <w:rsid w:val="48FA0636"/>
    <w:rsid w:val="48FF19A3"/>
    <w:rsid w:val="4900334A"/>
    <w:rsid w:val="49012624"/>
    <w:rsid w:val="49025314"/>
    <w:rsid w:val="490A36AA"/>
    <w:rsid w:val="490C6B1F"/>
    <w:rsid w:val="49123A53"/>
    <w:rsid w:val="49136F55"/>
    <w:rsid w:val="491D5CAA"/>
    <w:rsid w:val="492C2EE6"/>
    <w:rsid w:val="49373210"/>
    <w:rsid w:val="49384950"/>
    <w:rsid w:val="493A2104"/>
    <w:rsid w:val="493C5DA8"/>
    <w:rsid w:val="494D6A9A"/>
    <w:rsid w:val="49583186"/>
    <w:rsid w:val="495A6636"/>
    <w:rsid w:val="495B677C"/>
    <w:rsid w:val="495C686D"/>
    <w:rsid w:val="495F44D9"/>
    <w:rsid w:val="49695393"/>
    <w:rsid w:val="497C0C22"/>
    <w:rsid w:val="49804BB7"/>
    <w:rsid w:val="498D25A4"/>
    <w:rsid w:val="499B1CFC"/>
    <w:rsid w:val="499B4B44"/>
    <w:rsid w:val="499E6C9B"/>
    <w:rsid w:val="499F2718"/>
    <w:rsid w:val="499F6DF8"/>
    <w:rsid w:val="49A25894"/>
    <w:rsid w:val="49A46880"/>
    <w:rsid w:val="49A66AFD"/>
    <w:rsid w:val="49A91EB8"/>
    <w:rsid w:val="49BC0E52"/>
    <w:rsid w:val="49CA5E32"/>
    <w:rsid w:val="49CB181C"/>
    <w:rsid w:val="49D15412"/>
    <w:rsid w:val="49D40583"/>
    <w:rsid w:val="49D831E7"/>
    <w:rsid w:val="49D85376"/>
    <w:rsid w:val="49DB2099"/>
    <w:rsid w:val="49DC4A3A"/>
    <w:rsid w:val="49EA6B85"/>
    <w:rsid w:val="49EF1D7E"/>
    <w:rsid w:val="49F64E79"/>
    <w:rsid w:val="49FB60FD"/>
    <w:rsid w:val="4A0155CC"/>
    <w:rsid w:val="4A061D57"/>
    <w:rsid w:val="4A081734"/>
    <w:rsid w:val="4A0A6975"/>
    <w:rsid w:val="4A211429"/>
    <w:rsid w:val="4A2512BA"/>
    <w:rsid w:val="4A297B23"/>
    <w:rsid w:val="4A2C5B1A"/>
    <w:rsid w:val="4A361719"/>
    <w:rsid w:val="4A373581"/>
    <w:rsid w:val="4A3C14DF"/>
    <w:rsid w:val="4A446F13"/>
    <w:rsid w:val="4A45195C"/>
    <w:rsid w:val="4A491A65"/>
    <w:rsid w:val="4A4C05C5"/>
    <w:rsid w:val="4A4D636F"/>
    <w:rsid w:val="4A5B2ED4"/>
    <w:rsid w:val="4A5F343D"/>
    <w:rsid w:val="4A5F5CA7"/>
    <w:rsid w:val="4A771C12"/>
    <w:rsid w:val="4A783AE0"/>
    <w:rsid w:val="4A840273"/>
    <w:rsid w:val="4A8A66BC"/>
    <w:rsid w:val="4A8E0901"/>
    <w:rsid w:val="4A8E3303"/>
    <w:rsid w:val="4A8F0E29"/>
    <w:rsid w:val="4A973912"/>
    <w:rsid w:val="4AA74514"/>
    <w:rsid w:val="4AB61E23"/>
    <w:rsid w:val="4AB8753E"/>
    <w:rsid w:val="4ABD4C72"/>
    <w:rsid w:val="4ABF3A6E"/>
    <w:rsid w:val="4AC4394C"/>
    <w:rsid w:val="4AC960E9"/>
    <w:rsid w:val="4AE271AB"/>
    <w:rsid w:val="4AE34555"/>
    <w:rsid w:val="4AE41B52"/>
    <w:rsid w:val="4AE44CD1"/>
    <w:rsid w:val="4AE831F9"/>
    <w:rsid w:val="4AE9338A"/>
    <w:rsid w:val="4AEC22AA"/>
    <w:rsid w:val="4AF62C56"/>
    <w:rsid w:val="4AF90FCD"/>
    <w:rsid w:val="4AFE1C0C"/>
    <w:rsid w:val="4B0C1599"/>
    <w:rsid w:val="4B0C3A7C"/>
    <w:rsid w:val="4B133808"/>
    <w:rsid w:val="4B1677FE"/>
    <w:rsid w:val="4B2941CE"/>
    <w:rsid w:val="4B29505F"/>
    <w:rsid w:val="4B2B5A9B"/>
    <w:rsid w:val="4B2D49B8"/>
    <w:rsid w:val="4B435B6E"/>
    <w:rsid w:val="4B447E66"/>
    <w:rsid w:val="4B4842BF"/>
    <w:rsid w:val="4B4D13ED"/>
    <w:rsid w:val="4B571947"/>
    <w:rsid w:val="4B5F0442"/>
    <w:rsid w:val="4B622F35"/>
    <w:rsid w:val="4B6776B0"/>
    <w:rsid w:val="4B6F44D6"/>
    <w:rsid w:val="4B714C00"/>
    <w:rsid w:val="4B7F7C9E"/>
    <w:rsid w:val="4B807D59"/>
    <w:rsid w:val="4B8464B4"/>
    <w:rsid w:val="4B885FA4"/>
    <w:rsid w:val="4B8A4ED1"/>
    <w:rsid w:val="4B8C2783"/>
    <w:rsid w:val="4B8C3CD4"/>
    <w:rsid w:val="4B9D5082"/>
    <w:rsid w:val="4BA12BC2"/>
    <w:rsid w:val="4BA46423"/>
    <w:rsid w:val="4BA72EF2"/>
    <w:rsid w:val="4BB12126"/>
    <w:rsid w:val="4BB3758A"/>
    <w:rsid w:val="4BB90ED3"/>
    <w:rsid w:val="4BBF3803"/>
    <w:rsid w:val="4BC44B03"/>
    <w:rsid w:val="4BC65E9C"/>
    <w:rsid w:val="4BCA036B"/>
    <w:rsid w:val="4BCB72D6"/>
    <w:rsid w:val="4BCE3544"/>
    <w:rsid w:val="4BE227E0"/>
    <w:rsid w:val="4BE32B47"/>
    <w:rsid w:val="4BE854FF"/>
    <w:rsid w:val="4BEB1720"/>
    <w:rsid w:val="4BF17A7B"/>
    <w:rsid w:val="4BFB49C8"/>
    <w:rsid w:val="4C000FCD"/>
    <w:rsid w:val="4C0118B3"/>
    <w:rsid w:val="4C037998"/>
    <w:rsid w:val="4C07162C"/>
    <w:rsid w:val="4C090165"/>
    <w:rsid w:val="4C0F3FD0"/>
    <w:rsid w:val="4C190934"/>
    <w:rsid w:val="4C212431"/>
    <w:rsid w:val="4C2568E3"/>
    <w:rsid w:val="4C284772"/>
    <w:rsid w:val="4C2A69FF"/>
    <w:rsid w:val="4C2F4672"/>
    <w:rsid w:val="4C3451FF"/>
    <w:rsid w:val="4C3E203F"/>
    <w:rsid w:val="4C407EDE"/>
    <w:rsid w:val="4C4116A4"/>
    <w:rsid w:val="4C420EBA"/>
    <w:rsid w:val="4C4243A5"/>
    <w:rsid w:val="4C4A2448"/>
    <w:rsid w:val="4C4B3B1D"/>
    <w:rsid w:val="4C542EE9"/>
    <w:rsid w:val="4C5440D8"/>
    <w:rsid w:val="4C60663A"/>
    <w:rsid w:val="4C68556A"/>
    <w:rsid w:val="4C6922D6"/>
    <w:rsid w:val="4C69609D"/>
    <w:rsid w:val="4C744B0C"/>
    <w:rsid w:val="4C7622A1"/>
    <w:rsid w:val="4C7F5523"/>
    <w:rsid w:val="4C8347DF"/>
    <w:rsid w:val="4C856040"/>
    <w:rsid w:val="4C8F5111"/>
    <w:rsid w:val="4C91296C"/>
    <w:rsid w:val="4CA1570F"/>
    <w:rsid w:val="4CA34E17"/>
    <w:rsid w:val="4CA43AA8"/>
    <w:rsid w:val="4CB474AB"/>
    <w:rsid w:val="4CB6269D"/>
    <w:rsid w:val="4CBB4340"/>
    <w:rsid w:val="4CC410AE"/>
    <w:rsid w:val="4CC66C49"/>
    <w:rsid w:val="4CC83830"/>
    <w:rsid w:val="4CD6689C"/>
    <w:rsid w:val="4CEC4B87"/>
    <w:rsid w:val="4CF626D0"/>
    <w:rsid w:val="4CF6285E"/>
    <w:rsid w:val="4CF7331D"/>
    <w:rsid w:val="4CF96E8A"/>
    <w:rsid w:val="4CFB71C8"/>
    <w:rsid w:val="4D0A649B"/>
    <w:rsid w:val="4D0B08C1"/>
    <w:rsid w:val="4D135D42"/>
    <w:rsid w:val="4D1415F1"/>
    <w:rsid w:val="4D1C0151"/>
    <w:rsid w:val="4D227D33"/>
    <w:rsid w:val="4D275349"/>
    <w:rsid w:val="4D2910C1"/>
    <w:rsid w:val="4D2A6912"/>
    <w:rsid w:val="4D2D4D8D"/>
    <w:rsid w:val="4D36558C"/>
    <w:rsid w:val="4D365812"/>
    <w:rsid w:val="4D410F5D"/>
    <w:rsid w:val="4D422020"/>
    <w:rsid w:val="4D422183"/>
    <w:rsid w:val="4D43572F"/>
    <w:rsid w:val="4D4A1C9C"/>
    <w:rsid w:val="4D4A762C"/>
    <w:rsid w:val="4D4E0B28"/>
    <w:rsid w:val="4D510618"/>
    <w:rsid w:val="4D5325E2"/>
    <w:rsid w:val="4D62031F"/>
    <w:rsid w:val="4D635078"/>
    <w:rsid w:val="4D66702B"/>
    <w:rsid w:val="4D7021C3"/>
    <w:rsid w:val="4D785BA5"/>
    <w:rsid w:val="4D7C185B"/>
    <w:rsid w:val="4D9728D6"/>
    <w:rsid w:val="4D9B4F3A"/>
    <w:rsid w:val="4DA56DAE"/>
    <w:rsid w:val="4DA846DC"/>
    <w:rsid w:val="4DAB5F7A"/>
    <w:rsid w:val="4DB27309"/>
    <w:rsid w:val="4DB7148A"/>
    <w:rsid w:val="4DB72B71"/>
    <w:rsid w:val="4DB76A14"/>
    <w:rsid w:val="4DB82C14"/>
    <w:rsid w:val="4DB94EA7"/>
    <w:rsid w:val="4DBD51A5"/>
    <w:rsid w:val="4DBD7A5B"/>
    <w:rsid w:val="4DC17508"/>
    <w:rsid w:val="4DC60DC4"/>
    <w:rsid w:val="4DC60F90"/>
    <w:rsid w:val="4DC94F61"/>
    <w:rsid w:val="4DD36241"/>
    <w:rsid w:val="4DD43956"/>
    <w:rsid w:val="4DD54163"/>
    <w:rsid w:val="4DD64831"/>
    <w:rsid w:val="4DD94895"/>
    <w:rsid w:val="4DE1199C"/>
    <w:rsid w:val="4DE17E3C"/>
    <w:rsid w:val="4DEB45C9"/>
    <w:rsid w:val="4DED52D5"/>
    <w:rsid w:val="4DF10F64"/>
    <w:rsid w:val="4DF3106E"/>
    <w:rsid w:val="4DF70283"/>
    <w:rsid w:val="4E0062C6"/>
    <w:rsid w:val="4E040623"/>
    <w:rsid w:val="4E0713EE"/>
    <w:rsid w:val="4E07671B"/>
    <w:rsid w:val="4E0827DB"/>
    <w:rsid w:val="4E0C080E"/>
    <w:rsid w:val="4E1E499E"/>
    <w:rsid w:val="4E1F24C4"/>
    <w:rsid w:val="4E296E9F"/>
    <w:rsid w:val="4E2A0C14"/>
    <w:rsid w:val="4E2E7D37"/>
    <w:rsid w:val="4E30022D"/>
    <w:rsid w:val="4E3221F7"/>
    <w:rsid w:val="4E3A10AC"/>
    <w:rsid w:val="4E3B2540"/>
    <w:rsid w:val="4E453CD9"/>
    <w:rsid w:val="4E470864"/>
    <w:rsid w:val="4E4B32B9"/>
    <w:rsid w:val="4E4E4590"/>
    <w:rsid w:val="4E524648"/>
    <w:rsid w:val="4E56460A"/>
    <w:rsid w:val="4E654419"/>
    <w:rsid w:val="4E677DB0"/>
    <w:rsid w:val="4E6A4E82"/>
    <w:rsid w:val="4E6D64E5"/>
    <w:rsid w:val="4E6E523D"/>
    <w:rsid w:val="4E710F72"/>
    <w:rsid w:val="4E726219"/>
    <w:rsid w:val="4E7616EC"/>
    <w:rsid w:val="4E761FE7"/>
    <w:rsid w:val="4E870A66"/>
    <w:rsid w:val="4E9758EF"/>
    <w:rsid w:val="4EA00729"/>
    <w:rsid w:val="4EA14621"/>
    <w:rsid w:val="4EA21D87"/>
    <w:rsid w:val="4EAA1831"/>
    <w:rsid w:val="4EAA6232"/>
    <w:rsid w:val="4EAB30EF"/>
    <w:rsid w:val="4EBF7AA9"/>
    <w:rsid w:val="4ECC7F56"/>
    <w:rsid w:val="4ECF17A1"/>
    <w:rsid w:val="4EDD5F8A"/>
    <w:rsid w:val="4EE06E3C"/>
    <w:rsid w:val="4EE265B6"/>
    <w:rsid w:val="4EE31744"/>
    <w:rsid w:val="4EEE4370"/>
    <w:rsid w:val="4EF128D2"/>
    <w:rsid w:val="4EF363DD"/>
    <w:rsid w:val="4EF52CCE"/>
    <w:rsid w:val="4EF53B2A"/>
    <w:rsid w:val="4EF87D8C"/>
    <w:rsid w:val="4EFC1B46"/>
    <w:rsid w:val="4F027DCE"/>
    <w:rsid w:val="4F0414B8"/>
    <w:rsid w:val="4F051CCB"/>
    <w:rsid w:val="4F087D02"/>
    <w:rsid w:val="4F0A0A7E"/>
    <w:rsid w:val="4F155DA1"/>
    <w:rsid w:val="4F1A3EF9"/>
    <w:rsid w:val="4F1E38A5"/>
    <w:rsid w:val="4F221EB4"/>
    <w:rsid w:val="4F2558B8"/>
    <w:rsid w:val="4F2953A8"/>
    <w:rsid w:val="4F2B0974"/>
    <w:rsid w:val="4F380E5F"/>
    <w:rsid w:val="4F446E41"/>
    <w:rsid w:val="4F4E2192"/>
    <w:rsid w:val="4F4F0B87"/>
    <w:rsid w:val="4F4F4302"/>
    <w:rsid w:val="4F533A98"/>
    <w:rsid w:val="4F574E93"/>
    <w:rsid w:val="4F5D14F6"/>
    <w:rsid w:val="4F5E38E0"/>
    <w:rsid w:val="4F73779A"/>
    <w:rsid w:val="4F822D0B"/>
    <w:rsid w:val="4F846A83"/>
    <w:rsid w:val="4F8839EA"/>
    <w:rsid w:val="4F8847C5"/>
    <w:rsid w:val="4F904BD0"/>
    <w:rsid w:val="4F9071D6"/>
    <w:rsid w:val="4F9238A2"/>
    <w:rsid w:val="4F942D05"/>
    <w:rsid w:val="4F9608DF"/>
    <w:rsid w:val="4F98252E"/>
    <w:rsid w:val="4FB97DFA"/>
    <w:rsid w:val="4FBA49F2"/>
    <w:rsid w:val="4FC67DC3"/>
    <w:rsid w:val="4FC945C8"/>
    <w:rsid w:val="4FC96655"/>
    <w:rsid w:val="4FCF2411"/>
    <w:rsid w:val="4FD227CD"/>
    <w:rsid w:val="4FDC066D"/>
    <w:rsid w:val="4FE24E7E"/>
    <w:rsid w:val="4FF05EC6"/>
    <w:rsid w:val="4FF6732B"/>
    <w:rsid w:val="4FF97471"/>
    <w:rsid w:val="4FFA4F97"/>
    <w:rsid w:val="500122A6"/>
    <w:rsid w:val="500E459E"/>
    <w:rsid w:val="50105770"/>
    <w:rsid w:val="501A2F43"/>
    <w:rsid w:val="501D0A1A"/>
    <w:rsid w:val="501F19B2"/>
    <w:rsid w:val="50236F06"/>
    <w:rsid w:val="50306C0B"/>
    <w:rsid w:val="503B34AC"/>
    <w:rsid w:val="50461D9C"/>
    <w:rsid w:val="504D3319"/>
    <w:rsid w:val="505168CC"/>
    <w:rsid w:val="505C355C"/>
    <w:rsid w:val="50640C0D"/>
    <w:rsid w:val="50642410"/>
    <w:rsid w:val="506568B4"/>
    <w:rsid w:val="5070666E"/>
    <w:rsid w:val="50772144"/>
    <w:rsid w:val="508D5321"/>
    <w:rsid w:val="50902684"/>
    <w:rsid w:val="509C07D1"/>
    <w:rsid w:val="50A166C7"/>
    <w:rsid w:val="50B27620"/>
    <w:rsid w:val="50B62437"/>
    <w:rsid w:val="50BE4216"/>
    <w:rsid w:val="50C01D3C"/>
    <w:rsid w:val="50C57353"/>
    <w:rsid w:val="50D411F3"/>
    <w:rsid w:val="50D56791"/>
    <w:rsid w:val="50DF429E"/>
    <w:rsid w:val="50DF56DA"/>
    <w:rsid w:val="50E83041"/>
    <w:rsid w:val="50F22B5F"/>
    <w:rsid w:val="50FC0BE7"/>
    <w:rsid w:val="50FE06CE"/>
    <w:rsid w:val="51002139"/>
    <w:rsid w:val="5100482F"/>
    <w:rsid w:val="510936E3"/>
    <w:rsid w:val="51111267"/>
    <w:rsid w:val="51125918"/>
    <w:rsid w:val="51135C92"/>
    <w:rsid w:val="5114090E"/>
    <w:rsid w:val="51181B78"/>
    <w:rsid w:val="511824C9"/>
    <w:rsid w:val="51261749"/>
    <w:rsid w:val="51265A86"/>
    <w:rsid w:val="512814BC"/>
    <w:rsid w:val="512E0FE5"/>
    <w:rsid w:val="51355514"/>
    <w:rsid w:val="51366457"/>
    <w:rsid w:val="51387B25"/>
    <w:rsid w:val="513A094D"/>
    <w:rsid w:val="5153670D"/>
    <w:rsid w:val="51581BED"/>
    <w:rsid w:val="51657F28"/>
    <w:rsid w:val="516746FA"/>
    <w:rsid w:val="516A1F01"/>
    <w:rsid w:val="51713037"/>
    <w:rsid w:val="517718D3"/>
    <w:rsid w:val="51785BFD"/>
    <w:rsid w:val="518523FB"/>
    <w:rsid w:val="518A5EA7"/>
    <w:rsid w:val="518F15B2"/>
    <w:rsid w:val="518F7CDA"/>
    <w:rsid w:val="51927D44"/>
    <w:rsid w:val="51937451"/>
    <w:rsid w:val="51967731"/>
    <w:rsid w:val="519A3ACF"/>
    <w:rsid w:val="51A52CE0"/>
    <w:rsid w:val="51AD1913"/>
    <w:rsid w:val="51B03B5F"/>
    <w:rsid w:val="51BD0971"/>
    <w:rsid w:val="51BF1EDD"/>
    <w:rsid w:val="51BF6EE5"/>
    <w:rsid w:val="51C37AA6"/>
    <w:rsid w:val="51C5653E"/>
    <w:rsid w:val="51C56801"/>
    <w:rsid w:val="51C60107"/>
    <w:rsid w:val="51C6336A"/>
    <w:rsid w:val="51CB42A1"/>
    <w:rsid w:val="51CB4B2F"/>
    <w:rsid w:val="51CE0A29"/>
    <w:rsid w:val="51CE3F19"/>
    <w:rsid w:val="51D04201"/>
    <w:rsid w:val="51D17B94"/>
    <w:rsid w:val="51D60E4D"/>
    <w:rsid w:val="51D67189"/>
    <w:rsid w:val="51D6733E"/>
    <w:rsid w:val="51D84E64"/>
    <w:rsid w:val="51E45A9B"/>
    <w:rsid w:val="51EA645F"/>
    <w:rsid w:val="51EE62E1"/>
    <w:rsid w:val="52036805"/>
    <w:rsid w:val="520640FF"/>
    <w:rsid w:val="52067778"/>
    <w:rsid w:val="521265C8"/>
    <w:rsid w:val="521B6C41"/>
    <w:rsid w:val="521E3EAD"/>
    <w:rsid w:val="521F6F37"/>
    <w:rsid w:val="522462FB"/>
    <w:rsid w:val="5225721D"/>
    <w:rsid w:val="52257A13"/>
    <w:rsid w:val="52290AA3"/>
    <w:rsid w:val="52325405"/>
    <w:rsid w:val="523452F7"/>
    <w:rsid w:val="52366120"/>
    <w:rsid w:val="5243098E"/>
    <w:rsid w:val="52461B27"/>
    <w:rsid w:val="52514243"/>
    <w:rsid w:val="5253273C"/>
    <w:rsid w:val="525C7843"/>
    <w:rsid w:val="525F08B8"/>
    <w:rsid w:val="52691871"/>
    <w:rsid w:val="52693681"/>
    <w:rsid w:val="526B5CD8"/>
    <w:rsid w:val="526D4CD2"/>
    <w:rsid w:val="527103FC"/>
    <w:rsid w:val="52797615"/>
    <w:rsid w:val="527F2B6C"/>
    <w:rsid w:val="528943B0"/>
    <w:rsid w:val="528F2BC1"/>
    <w:rsid w:val="52950FA7"/>
    <w:rsid w:val="529671F9"/>
    <w:rsid w:val="529A792F"/>
    <w:rsid w:val="52A1794C"/>
    <w:rsid w:val="52A4759B"/>
    <w:rsid w:val="52A86F2C"/>
    <w:rsid w:val="52AC6DB4"/>
    <w:rsid w:val="52B35629"/>
    <w:rsid w:val="52BA0823"/>
    <w:rsid w:val="52C06024"/>
    <w:rsid w:val="52C079AC"/>
    <w:rsid w:val="52C12A5B"/>
    <w:rsid w:val="52C378C2"/>
    <w:rsid w:val="52CA718B"/>
    <w:rsid w:val="52CD6993"/>
    <w:rsid w:val="52D32AFD"/>
    <w:rsid w:val="52D617B9"/>
    <w:rsid w:val="52D970E6"/>
    <w:rsid w:val="52F00857"/>
    <w:rsid w:val="52F8737A"/>
    <w:rsid w:val="52FB0264"/>
    <w:rsid w:val="53047FA7"/>
    <w:rsid w:val="530D098C"/>
    <w:rsid w:val="53126848"/>
    <w:rsid w:val="53163E96"/>
    <w:rsid w:val="531D13E5"/>
    <w:rsid w:val="53223F99"/>
    <w:rsid w:val="532E7431"/>
    <w:rsid w:val="53327308"/>
    <w:rsid w:val="533407C0"/>
    <w:rsid w:val="53397B84"/>
    <w:rsid w:val="533A3EE7"/>
    <w:rsid w:val="533C34AD"/>
    <w:rsid w:val="53481136"/>
    <w:rsid w:val="53551842"/>
    <w:rsid w:val="5356406D"/>
    <w:rsid w:val="535964C7"/>
    <w:rsid w:val="535E75EB"/>
    <w:rsid w:val="5361219D"/>
    <w:rsid w:val="536A2433"/>
    <w:rsid w:val="536C2974"/>
    <w:rsid w:val="536F0D7E"/>
    <w:rsid w:val="53773037"/>
    <w:rsid w:val="53773A87"/>
    <w:rsid w:val="538057B3"/>
    <w:rsid w:val="539128D9"/>
    <w:rsid w:val="53943FB8"/>
    <w:rsid w:val="5396536E"/>
    <w:rsid w:val="53985279"/>
    <w:rsid w:val="539F3171"/>
    <w:rsid w:val="53AD1371"/>
    <w:rsid w:val="53B1556A"/>
    <w:rsid w:val="53B4075B"/>
    <w:rsid w:val="53B552FC"/>
    <w:rsid w:val="53B8319F"/>
    <w:rsid w:val="53BD3DBF"/>
    <w:rsid w:val="53C07EE7"/>
    <w:rsid w:val="53C63DAA"/>
    <w:rsid w:val="53D36CC2"/>
    <w:rsid w:val="53DA2DA4"/>
    <w:rsid w:val="53DA5E8D"/>
    <w:rsid w:val="53DC031D"/>
    <w:rsid w:val="53E3418C"/>
    <w:rsid w:val="53E416B0"/>
    <w:rsid w:val="53EA6308"/>
    <w:rsid w:val="53EC70D5"/>
    <w:rsid w:val="53EE447D"/>
    <w:rsid w:val="53F31939"/>
    <w:rsid w:val="53FA37B7"/>
    <w:rsid w:val="5408252E"/>
    <w:rsid w:val="541008E5"/>
    <w:rsid w:val="541C3918"/>
    <w:rsid w:val="541F19FF"/>
    <w:rsid w:val="54232EA1"/>
    <w:rsid w:val="54241585"/>
    <w:rsid w:val="542B3971"/>
    <w:rsid w:val="542C383A"/>
    <w:rsid w:val="54300F87"/>
    <w:rsid w:val="543257FE"/>
    <w:rsid w:val="5433107F"/>
    <w:rsid w:val="54397E43"/>
    <w:rsid w:val="5441176C"/>
    <w:rsid w:val="54422A6C"/>
    <w:rsid w:val="544B4013"/>
    <w:rsid w:val="544B7B6F"/>
    <w:rsid w:val="54574766"/>
    <w:rsid w:val="545A650E"/>
    <w:rsid w:val="54674AE5"/>
    <w:rsid w:val="5475393B"/>
    <w:rsid w:val="547C16E9"/>
    <w:rsid w:val="547D6C93"/>
    <w:rsid w:val="54A11E85"/>
    <w:rsid w:val="54A13C33"/>
    <w:rsid w:val="54A220F5"/>
    <w:rsid w:val="54A31759"/>
    <w:rsid w:val="54A517D3"/>
    <w:rsid w:val="54B95421"/>
    <w:rsid w:val="54BD5556"/>
    <w:rsid w:val="54C03418"/>
    <w:rsid w:val="54D67704"/>
    <w:rsid w:val="54E47161"/>
    <w:rsid w:val="54EE02B9"/>
    <w:rsid w:val="54F46459"/>
    <w:rsid w:val="54FC43A9"/>
    <w:rsid w:val="54FC43EB"/>
    <w:rsid w:val="54FE635C"/>
    <w:rsid w:val="55052B69"/>
    <w:rsid w:val="550D3F66"/>
    <w:rsid w:val="5512068D"/>
    <w:rsid w:val="55152958"/>
    <w:rsid w:val="55241A05"/>
    <w:rsid w:val="55316F72"/>
    <w:rsid w:val="553302D1"/>
    <w:rsid w:val="5536081F"/>
    <w:rsid w:val="553C4F80"/>
    <w:rsid w:val="553F6170"/>
    <w:rsid w:val="55466588"/>
    <w:rsid w:val="55470C7B"/>
    <w:rsid w:val="554B5D6F"/>
    <w:rsid w:val="55520C18"/>
    <w:rsid w:val="55545149"/>
    <w:rsid w:val="555B039D"/>
    <w:rsid w:val="555D0567"/>
    <w:rsid w:val="555D5F45"/>
    <w:rsid w:val="555E38D2"/>
    <w:rsid w:val="55630EE8"/>
    <w:rsid w:val="556C6910"/>
    <w:rsid w:val="556D03D4"/>
    <w:rsid w:val="557064C3"/>
    <w:rsid w:val="55707024"/>
    <w:rsid w:val="557B66C6"/>
    <w:rsid w:val="5584366E"/>
    <w:rsid w:val="55920761"/>
    <w:rsid w:val="55973ECE"/>
    <w:rsid w:val="55992337"/>
    <w:rsid w:val="55992F6B"/>
    <w:rsid w:val="55B17149"/>
    <w:rsid w:val="55BC4CBA"/>
    <w:rsid w:val="55C15A64"/>
    <w:rsid w:val="55C23E61"/>
    <w:rsid w:val="55E013D5"/>
    <w:rsid w:val="55E71B19"/>
    <w:rsid w:val="55EA0EE1"/>
    <w:rsid w:val="55EE72FC"/>
    <w:rsid w:val="55F323A4"/>
    <w:rsid w:val="55FA184D"/>
    <w:rsid w:val="55FE7257"/>
    <w:rsid w:val="56005659"/>
    <w:rsid w:val="56064695"/>
    <w:rsid w:val="56094412"/>
    <w:rsid w:val="560E354A"/>
    <w:rsid w:val="561370A7"/>
    <w:rsid w:val="561B3DCB"/>
    <w:rsid w:val="561B3FE4"/>
    <w:rsid w:val="561E3510"/>
    <w:rsid w:val="561E4EBE"/>
    <w:rsid w:val="561F1F50"/>
    <w:rsid w:val="5620593A"/>
    <w:rsid w:val="562543F0"/>
    <w:rsid w:val="56262AA1"/>
    <w:rsid w:val="562B47FB"/>
    <w:rsid w:val="562E2336"/>
    <w:rsid w:val="563542E5"/>
    <w:rsid w:val="5648005A"/>
    <w:rsid w:val="56490CF2"/>
    <w:rsid w:val="564A110B"/>
    <w:rsid w:val="564B6549"/>
    <w:rsid w:val="56582A17"/>
    <w:rsid w:val="56590C81"/>
    <w:rsid w:val="565F1615"/>
    <w:rsid w:val="56632A88"/>
    <w:rsid w:val="56667A6A"/>
    <w:rsid w:val="566A1B90"/>
    <w:rsid w:val="566B1114"/>
    <w:rsid w:val="566B5A1D"/>
    <w:rsid w:val="566E2F7F"/>
    <w:rsid w:val="56720E5C"/>
    <w:rsid w:val="56751AFE"/>
    <w:rsid w:val="567A0BDF"/>
    <w:rsid w:val="568120CE"/>
    <w:rsid w:val="568A7507"/>
    <w:rsid w:val="56902633"/>
    <w:rsid w:val="56915824"/>
    <w:rsid w:val="56951575"/>
    <w:rsid w:val="569F41A2"/>
    <w:rsid w:val="56A47A0A"/>
    <w:rsid w:val="56A812A9"/>
    <w:rsid w:val="56AB6F4A"/>
    <w:rsid w:val="56AE6596"/>
    <w:rsid w:val="56B02893"/>
    <w:rsid w:val="56B3305D"/>
    <w:rsid w:val="56B83E9E"/>
    <w:rsid w:val="56B87560"/>
    <w:rsid w:val="56BE4065"/>
    <w:rsid w:val="56C1680E"/>
    <w:rsid w:val="56C854A7"/>
    <w:rsid w:val="56D140DA"/>
    <w:rsid w:val="56D22D87"/>
    <w:rsid w:val="56D26326"/>
    <w:rsid w:val="56D4483A"/>
    <w:rsid w:val="56E060B4"/>
    <w:rsid w:val="56E60023"/>
    <w:rsid w:val="56E911DB"/>
    <w:rsid w:val="56FF0D89"/>
    <w:rsid w:val="57111A34"/>
    <w:rsid w:val="57184BFC"/>
    <w:rsid w:val="5719306B"/>
    <w:rsid w:val="571A3205"/>
    <w:rsid w:val="571C15DC"/>
    <w:rsid w:val="571C57F3"/>
    <w:rsid w:val="571E4278"/>
    <w:rsid w:val="571F0C91"/>
    <w:rsid w:val="57271A58"/>
    <w:rsid w:val="572C5589"/>
    <w:rsid w:val="572D5C52"/>
    <w:rsid w:val="5737799E"/>
    <w:rsid w:val="573D533D"/>
    <w:rsid w:val="573E6686"/>
    <w:rsid w:val="57466D32"/>
    <w:rsid w:val="575656F2"/>
    <w:rsid w:val="575862EB"/>
    <w:rsid w:val="57596A47"/>
    <w:rsid w:val="575A2924"/>
    <w:rsid w:val="575F5169"/>
    <w:rsid w:val="57684119"/>
    <w:rsid w:val="576D2146"/>
    <w:rsid w:val="577218B7"/>
    <w:rsid w:val="57766A9F"/>
    <w:rsid w:val="57847164"/>
    <w:rsid w:val="578B197C"/>
    <w:rsid w:val="57984720"/>
    <w:rsid w:val="57986764"/>
    <w:rsid w:val="57995332"/>
    <w:rsid w:val="579F2C68"/>
    <w:rsid w:val="579F5A91"/>
    <w:rsid w:val="57BC1F55"/>
    <w:rsid w:val="57BD2122"/>
    <w:rsid w:val="57C32112"/>
    <w:rsid w:val="57C87729"/>
    <w:rsid w:val="57D13B13"/>
    <w:rsid w:val="57D165DD"/>
    <w:rsid w:val="57D367F9"/>
    <w:rsid w:val="57DC0E52"/>
    <w:rsid w:val="57DD603C"/>
    <w:rsid w:val="57DE7147"/>
    <w:rsid w:val="57E02CC4"/>
    <w:rsid w:val="57E20CBD"/>
    <w:rsid w:val="57E24C8E"/>
    <w:rsid w:val="57E50EE7"/>
    <w:rsid w:val="57E722A5"/>
    <w:rsid w:val="57E74053"/>
    <w:rsid w:val="57EB66BA"/>
    <w:rsid w:val="57F81B4E"/>
    <w:rsid w:val="57FF1AFC"/>
    <w:rsid w:val="5800013B"/>
    <w:rsid w:val="580C5E98"/>
    <w:rsid w:val="581C692D"/>
    <w:rsid w:val="58203745"/>
    <w:rsid w:val="5823635D"/>
    <w:rsid w:val="58254B7B"/>
    <w:rsid w:val="58311772"/>
    <w:rsid w:val="583567F1"/>
    <w:rsid w:val="5837673D"/>
    <w:rsid w:val="585C42F0"/>
    <w:rsid w:val="585F1E3B"/>
    <w:rsid w:val="586C0EDF"/>
    <w:rsid w:val="58745ECC"/>
    <w:rsid w:val="58761D2A"/>
    <w:rsid w:val="587C673A"/>
    <w:rsid w:val="587E5669"/>
    <w:rsid w:val="58814851"/>
    <w:rsid w:val="5882098E"/>
    <w:rsid w:val="588804B7"/>
    <w:rsid w:val="588A52B4"/>
    <w:rsid w:val="58921AD3"/>
    <w:rsid w:val="58975CCB"/>
    <w:rsid w:val="5898534D"/>
    <w:rsid w:val="58A1626E"/>
    <w:rsid w:val="58A27F7A"/>
    <w:rsid w:val="58AA5EF7"/>
    <w:rsid w:val="58C61EBA"/>
    <w:rsid w:val="58CA2B88"/>
    <w:rsid w:val="58CD3249"/>
    <w:rsid w:val="58DC7930"/>
    <w:rsid w:val="58DF6CF4"/>
    <w:rsid w:val="58E862D4"/>
    <w:rsid w:val="58E95BA9"/>
    <w:rsid w:val="58FC1D80"/>
    <w:rsid w:val="5904132B"/>
    <w:rsid w:val="590B665F"/>
    <w:rsid w:val="59101387"/>
    <w:rsid w:val="591066C2"/>
    <w:rsid w:val="591075D9"/>
    <w:rsid w:val="59157827"/>
    <w:rsid w:val="59176145"/>
    <w:rsid w:val="591921E1"/>
    <w:rsid w:val="59193D74"/>
    <w:rsid w:val="591B0C23"/>
    <w:rsid w:val="591C1ADA"/>
    <w:rsid w:val="591C7D2C"/>
    <w:rsid w:val="591F270D"/>
    <w:rsid w:val="592B3FE4"/>
    <w:rsid w:val="59301A29"/>
    <w:rsid w:val="5936432D"/>
    <w:rsid w:val="59372AC5"/>
    <w:rsid w:val="593E5EF4"/>
    <w:rsid w:val="594159E5"/>
    <w:rsid w:val="594400A5"/>
    <w:rsid w:val="594472A6"/>
    <w:rsid w:val="59460EC7"/>
    <w:rsid w:val="59471FF6"/>
    <w:rsid w:val="594A7657"/>
    <w:rsid w:val="594D6137"/>
    <w:rsid w:val="5955429F"/>
    <w:rsid w:val="59561490"/>
    <w:rsid w:val="595F2875"/>
    <w:rsid w:val="595F6B3C"/>
    <w:rsid w:val="59683DC0"/>
    <w:rsid w:val="596E3941"/>
    <w:rsid w:val="59754791"/>
    <w:rsid w:val="59784A2A"/>
    <w:rsid w:val="597A1B52"/>
    <w:rsid w:val="59806A57"/>
    <w:rsid w:val="59872500"/>
    <w:rsid w:val="598B6C60"/>
    <w:rsid w:val="598D0C2A"/>
    <w:rsid w:val="599A7C6D"/>
    <w:rsid w:val="59A16CA2"/>
    <w:rsid w:val="59A33FA9"/>
    <w:rsid w:val="59A749CF"/>
    <w:rsid w:val="59AA17DC"/>
    <w:rsid w:val="59AE605B"/>
    <w:rsid w:val="59B13A03"/>
    <w:rsid w:val="59B22E18"/>
    <w:rsid w:val="59B44408"/>
    <w:rsid w:val="59BD32BD"/>
    <w:rsid w:val="59C8672D"/>
    <w:rsid w:val="59C90F05"/>
    <w:rsid w:val="59CD4A2B"/>
    <w:rsid w:val="59CE766A"/>
    <w:rsid w:val="59D14FBA"/>
    <w:rsid w:val="59D93E6F"/>
    <w:rsid w:val="59DD395F"/>
    <w:rsid w:val="59E135FA"/>
    <w:rsid w:val="59E16A51"/>
    <w:rsid w:val="59F14D15"/>
    <w:rsid w:val="59F46D49"/>
    <w:rsid w:val="59FA7A62"/>
    <w:rsid w:val="5A0A3167"/>
    <w:rsid w:val="5A0B3DB7"/>
    <w:rsid w:val="5A116B9E"/>
    <w:rsid w:val="5A13112F"/>
    <w:rsid w:val="5A146C55"/>
    <w:rsid w:val="5A2D7975"/>
    <w:rsid w:val="5A342013"/>
    <w:rsid w:val="5A366631"/>
    <w:rsid w:val="5A374B89"/>
    <w:rsid w:val="5A3764E2"/>
    <w:rsid w:val="5A3B68D8"/>
    <w:rsid w:val="5A3D61AC"/>
    <w:rsid w:val="5A4F7C8D"/>
    <w:rsid w:val="5A5A3FC0"/>
    <w:rsid w:val="5A5D23AA"/>
    <w:rsid w:val="5A644857"/>
    <w:rsid w:val="5A6E0A5B"/>
    <w:rsid w:val="5A6F20DD"/>
    <w:rsid w:val="5A706581"/>
    <w:rsid w:val="5A783688"/>
    <w:rsid w:val="5A7C3C82"/>
    <w:rsid w:val="5A7F454F"/>
    <w:rsid w:val="5A81253D"/>
    <w:rsid w:val="5A8156AB"/>
    <w:rsid w:val="5A820F0F"/>
    <w:rsid w:val="5A9410D3"/>
    <w:rsid w:val="5A9437AB"/>
    <w:rsid w:val="5A960E21"/>
    <w:rsid w:val="5A96184C"/>
    <w:rsid w:val="5A9750D9"/>
    <w:rsid w:val="5A9E0DF1"/>
    <w:rsid w:val="5AA4566E"/>
    <w:rsid w:val="5AA557F6"/>
    <w:rsid w:val="5AA659C5"/>
    <w:rsid w:val="5AB1347D"/>
    <w:rsid w:val="5AB23A35"/>
    <w:rsid w:val="5AB53F94"/>
    <w:rsid w:val="5AC421AA"/>
    <w:rsid w:val="5AC80EDD"/>
    <w:rsid w:val="5AD32AD7"/>
    <w:rsid w:val="5AE12FDB"/>
    <w:rsid w:val="5AE15225"/>
    <w:rsid w:val="5AE54C55"/>
    <w:rsid w:val="5AEB52E8"/>
    <w:rsid w:val="5AEE394A"/>
    <w:rsid w:val="5AF413B3"/>
    <w:rsid w:val="5AF71B60"/>
    <w:rsid w:val="5AFD5152"/>
    <w:rsid w:val="5B202DA7"/>
    <w:rsid w:val="5B220814"/>
    <w:rsid w:val="5B274449"/>
    <w:rsid w:val="5B280C0A"/>
    <w:rsid w:val="5B2829B8"/>
    <w:rsid w:val="5B2937BB"/>
    <w:rsid w:val="5B300B41"/>
    <w:rsid w:val="5B3300C0"/>
    <w:rsid w:val="5B346874"/>
    <w:rsid w:val="5B370E4D"/>
    <w:rsid w:val="5B371F8E"/>
    <w:rsid w:val="5B401F40"/>
    <w:rsid w:val="5B403DA0"/>
    <w:rsid w:val="5B451C46"/>
    <w:rsid w:val="5B462375"/>
    <w:rsid w:val="5B4A26E7"/>
    <w:rsid w:val="5B4F5DC4"/>
    <w:rsid w:val="5B4F7AA0"/>
    <w:rsid w:val="5B50416D"/>
    <w:rsid w:val="5B5E5ADA"/>
    <w:rsid w:val="5B5F1F57"/>
    <w:rsid w:val="5B6065F6"/>
    <w:rsid w:val="5B61236E"/>
    <w:rsid w:val="5B6D1C5E"/>
    <w:rsid w:val="5B7439DC"/>
    <w:rsid w:val="5B76550D"/>
    <w:rsid w:val="5B7C27D9"/>
    <w:rsid w:val="5B7E0124"/>
    <w:rsid w:val="5B835E40"/>
    <w:rsid w:val="5B8A3673"/>
    <w:rsid w:val="5B9015C6"/>
    <w:rsid w:val="5B903DD1"/>
    <w:rsid w:val="5B93137D"/>
    <w:rsid w:val="5BA95E07"/>
    <w:rsid w:val="5BAA261F"/>
    <w:rsid w:val="5BB05E54"/>
    <w:rsid w:val="5BB62E45"/>
    <w:rsid w:val="5BB8245A"/>
    <w:rsid w:val="5BC85F49"/>
    <w:rsid w:val="5BDE46D4"/>
    <w:rsid w:val="5BE112DE"/>
    <w:rsid w:val="5BE508A9"/>
    <w:rsid w:val="5BEC3552"/>
    <w:rsid w:val="5BF74B6C"/>
    <w:rsid w:val="5BF907F8"/>
    <w:rsid w:val="5C007491"/>
    <w:rsid w:val="5C063EDE"/>
    <w:rsid w:val="5C1465D3"/>
    <w:rsid w:val="5C1645D3"/>
    <w:rsid w:val="5C180C7F"/>
    <w:rsid w:val="5C1B51DB"/>
    <w:rsid w:val="5C1F0D56"/>
    <w:rsid w:val="5C2068F5"/>
    <w:rsid w:val="5C3914B8"/>
    <w:rsid w:val="5C393B54"/>
    <w:rsid w:val="5C3A6CDE"/>
    <w:rsid w:val="5C3E620B"/>
    <w:rsid w:val="5C5872CD"/>
    <w:rsid w:val="5C597E89"/>
    <w:rsid w:val="5C5F065B"/>
    <w:rsid w:val="5C5F49CB"/>
    <w:rsid w:val="5C6277EC"/>
    <w:rsid w:val="5C652406"/>
    <w:rsid w:val="5C6D68F5"/>
    <w:rsid w:val="5C6E089F"/>
    <w:rsid w:val="5C6E4C16"/>
    <w:rsid w:val="5C7543CA"/>
    <w:rsid w:val="5C7942D9"/>
    <w:rsid w:val="5C7C6482"/>
    <w:rsid w:val="5C7E3117"/>
    <w:rsid w:val="5C83144D"/>
    <w:rsid w:val="5C85755D"/>
    <w:rsid w:val="5C881FC6"/>
    <w:rsid w:val="5C8A20DC"/>
    <w:rsid w:val="5C945012"/>
    <w:rsid w:val="5C997BE1"/>
    <w:rsid w:val="5C9C1D83"/>
    <w:rsid w:val="5CA22C3E"/>
    <w:rsid w:val="5CA31E2B"/>
    <w:rsid w:val="5CA32EE4"/>
    <w:rsid w:val="5CA6628A"/>
    <w:rsid w:val="5CAA4206"/>
    <w:rsid w:val="5CB169DD"/>
    <w:rsid w:val="5CB200B1"/>
    <w:rsid w:val="5CB70498"/>
    <w:rsid w:val="5CB81978"/>
    <w:rsid w:val="5CB863EB"/>
    <w:rsid w:val="5CBF1F61"/>
    <w:rsid w:val="5CC132EF"/>
    <w:rsid w:val="5CC44962"/>
    <w:rsid w:val="5CCE4FCE"/>
    <w:rsid w:val="5CD31C30"/>
    <w:rsid w:val="5CD65F70"/>
    <w:rsid w:val="5CF224D6"/>
    <w:rsid w:val="5CFC5D8D"/>
    <w:rsid w:val="5CFE65C9"/>
    <w:rsid w:val="5CFF023F"/>
    <w:rsid w:val="5D007AA2"/>
    <w:rsid w:val="5D060EFB"/>
    <w:rsid w:val="5D0C6AE9"/>
    <w:rsid w:val="5D0D0C29"/>
    <w:rsid w:val="5D1209D8"/>
    <w:rsid w:val="5D1615FD"/>
    <w:rsid w:val="5D1A0A26"/>
    <w:rsid w:val="5D2C5841"/>
    <w:rsid w:val="5D2E6280"/>
    <w:rsid w:val="5D3778BE"/>
    <w:rsid w:val="5D38332A"/>
    <w:rsid w:val="5D3923D5"/>
    <w:rsid w:val="5D3A4C25"/>
    <w:rsid w:val="5D3C099D"/>
    <w:rsid w:val="5D46181B"/>
    <w:rsid w:val="5D471B21"/>
    <w:rsid w:val="5D487342"/>
    <w:rsid w:val="5D5A45D1"/>
    <w:rsid w:val="5D5C09F8"/>
    <w:rsid w:val="5D5C433C"/>
    <w:rsid w:val="5D5D6704"/>
    <w:rsid w:val="5D6A78EC"/>
    <w:rsid w:val="5D6F0D72"/>
    <w:rsid w:val="5D6F2B20"/>
    <w:rsid w:val="5D7647EC"/>
    <w:rsid w:val="5D79574D"/>
    <w:rsid w:val="5D7C523D"/>
    <w:rsid w:val="5D7F0889"/>
    <w:rsid w:val="5D834FA1"/>
    <w:rsid w:val="5D8738E6"/>
    <w:rsid w:val="5D882F9A"/>
    <w:rsid w:val="5D8D0191"/>
    <w:rsid w:val="5D8F4D1A"/>
    <w:rsid w:val="5D934290"/>
    <w:rsid w:val="5D9957EB"/>
    <w:rsid w:val="5D9B48C8"/>
    <w:rsid w:val="5D9C07F6"/>
    <w:rsid w:val="5DA11230"/>
    <w:rsid w:val="5DA90EAE"/>
    <w:rsid w:val="5DAD68CF"/>
    <w:rsid w:val="5DB80AF6"/>
    <w:rsid w:val="5DBA1FF8"/>
    <w:rsid w:val="5DBF0B82"/>
    <w:rsid w:val="5DCD5A99"/>
    <w:rsid w:val="5DCF3574"/>
    <w:rsid w:val="5DD24E5D"/>
    <w:rsid w:val="5DDB1F64"/>
    <w:rsid w:val="5DDB4A3D"/>
    <w:rsid w:val="5DDE7CB7"/>
    <w:rsid w:val="5DE316B6"/>
    <w:rsid w:val="5E06062B"/>
    <w:rsid w:val="5E0756C5"/>
    <w:rsid w:val="5E084D23"/>
    <w:rsid w:val="5E0C438B"/>
    <w:rsid w:val="5E0E1594"/>
    <w:rsid w:val="5E1D3356"/>
    <w:rsid w:val="5E1D3725"/>
    <w:rsid w:val="5E211941"/>
    <w:rsid w:val="5E2819E4"/>
    <w:rsid w:val="5E282CCF"/>
    <w:rsid w:val="5E2960AD"/>
    <w:rsid w:val="5E3157A3"/>
    <w:rsid w:val="5E32748A"/>
    <w:rsid w:val="5E3653EC"/>
    <w:rsid w:val="5E37668B"/>
    <w:rsid w:val="5E3E0745"/>
    <w:rsid w:val="5E413634"/>
    <w:rsid w:val="5E416895"/>
    <w:rsid w:val="5E4E2F65"/>
    <w:rsid w:val="5E5A37D0"/>
    <w:rsid w:val="5E5B110F"/>
    <w:rsid w:val="5E6657AF"/>
    <w:rsid w:val="5E6A0F6E"/>
    <w:rsid w:val="5E720326"/>
    <w:rsid w:val="5E725E32"/>
    <w:rsid w:val="5E7555F7"/>
    <w:rsid w:val="5E767EDE"/>
    <w:rsid w:val="5E7A0A21"/>
    <w:rsid w:val="5E7D3261"/>
    <w:rsid w:val="5E8E0F1C"/>
    <w:rsid w:val="5E8E27B1"/>
    <w:rsid w:val="5E931FD7"/>
    <w:rsid w:val="5E981D92"/>
    <w:rsid w:val="5E9C51FA"/>
    <w:rsid w:val="5EAA57A2"/>
    <w:rsid w:val="5EAE2E11"/>
    <w:rsid w:val="5EB44121"/>
    <w:rsid w:val="5EB56FFB"/>
    <w:rsid w:val="5EBB1D95"/>
    <w:rsid w:val="5EC42D73"/>
    <w:rsid w:val="5EC7698C"/>
    <w:rsid w:val="5ECA750A"/>
    <w:rsid w:val="5ECC5C53"/>
    <w:rsid w:val="5ECD58CB"/>
    <w:rsid w:val="5ED17FF8"/>
    <w:rsid w:val="5ED20E77"/>
    <w:rsid w:val="5ED54C52"/>
    <w:rsid w:val="5ED864A3"/>
    <w:rsid w:val="5EDD61AF"/>
    <w:rsid w:val="5EDD6E26"/>
    <w:rsid w:val="5EE65064"/>
    <w:rsid w:val="5EEB267A"/>
    <w:rsid w:val="5EEE216B"/>
    <w:rsid w:val="5F066AF8"/>
    <w:rsid w:val="5F180506"/>
    <w:rsid w:val="5F191AFB"/>
    <w:rsid w:val="5F1D3B2D"/>
    <w:rsid w:val="5F1E3BC0"/>
    <w:rsid w:val="5F227813"/>
    <w:rsid w:val="5F2328FD"/>
    <w:rsid w:val="5F245B8C"/>
    <w:rsid w:val="5F2505CE"/>
    <w:rsid w:val="5F2569A8"/>
    <w:rsid w:val="5F322057"/>
    <w:rsid w:val="5F3412AF"/>
    <w:rsid w:val="5F395EA5"/>
    <w:rsid w:val="5F3E6C4E"/>
    <w:rsid w:val="5F443336"/>
    <w:rsid w:val="5F4B5EE4"/>
    <w:rsid w:val="5F4E6765"/>
    <w:rsid w:val="5F537870"/>
    <w:rsid w:val="5F553F46"/>
    <w:rsid w:val="5F585836"/>
    <w:rsid w:val="5F593A88"/>
    <w:rsid w:val="5F5C79BE"/>
    <w:rsid w:val="5F5D4BFA"/>
    <w:rsid w:val="5F630659"/>
    <w:rsid w:val="5F637B5C"/>
    <w:rsid w:val="5F6D2400"/>
    <w:rsid w:val="5F6D7533"/>
    <w:rsid w:val="5F707A36"/>
    <w:rsid w:val="5F8328B3"/>
    <w:rsid w:val="5F86738D"/>
    <w:rsid w:val="5F8759CF"/>
    <w:rsid w:val="5F8C7FB7"/>
    <w:rsid w:val="5F9217AD"/>
    <w:rsid w:val="5F92436A"/>
    <w:rsid w:val="5F94796C"/>
    <w:rsid w:val="5F9826B5"/>
    <w:rsid w:val="5F9F5213"/>
    <w:rsid w:val="5FA36AB1"/>
    <w:rsid w:val="5FA97E40"/>
    <w:rsid w:val="5FAA6092"/>
    <w:rsid w:val="5FAF1A3E"/>
    <w:rsid w:val="5FB05672"/>
    <w:rsid w:val="5FB52C88"/>
    <w:rsid w:val="5FB7050C"/>
    <w:rsid w:val="5FB777D9"/>
    <w:rsid w:val="5FBB1E15"/>
    <w:rsid w:val="5FBC4D33"/>
    <w:rsid w:val="5FBE3F64"/>
    <w:rsid w:val="5FBF3FC7"/>
    <w:rsid w:val="5FBF618C"/>
    <w:rsid w:val="5FC0018D"/>
    <w:rsid w:val="5FC133DB"/>
    <w:rsid w:val="5FCD1D80"/>
    <w:rsid w:val="5FCD40EC"/>
    <w:rsid w:val="5FD632A1"/>
    <w:rsid w:val="5FE70B7E"/>
    <w:rsid w:val="5FEB16C5"/>
    <w:rsid w:val="5FED2422"/>
    <w:rsid w:val="5FEF7F48"/>
    <w:rsid w:val="5FF1145E"/>
    <w:rsid w:val="5FF43BB0"/>
    <w:rsid w:val="5FFA36CB"/>
    <w:rsid w:val="5FFE63DD"/>
    <w:rsid w:val="60011A2A"/>
    <w:rsid w:val="600704CB"/>
    <w:rsid w:val="601C7169"/>
    <w:rsid w:val="601D2D62"/>
    <w:rsid w:val="60206354"/>
    <w:rsid w:val="602816AC"/>
    <w:rsid w:val="602C2F4B"/>
    <w:rsid w:val="602F4169"/>
    <w:rsid w:val="60340051"/>
    <w:rsid w:val="603718EF"/>
    <w:rsid w:val="603B2CD6"/>
    <w:rsid w:val="60451960"/>
    <w:rsid w:val="60476CE2"/>
    <w:rsid w:val="604A0AE1"/>
    <w:rsid w:val="604D3375"/>
    <w:rsid w:val="60525B05"/>
    <w:rsid w:val="605A5D15"/>
    <w:rsid w:val="605D1DF0"/>
    <w:rsid w:val="60647798"/>
    <w:rsid w:val="606869D0"/>
    <w:rsid w:val="607D76D3"/>
    <w:rsid w:val="60824919"/>
    <w:rsid w:val="60832F80"/>
    <w:rsid w:val="608369B9"/>
    <w:rsid w:val="60A71170"/>
    <w:rsid w:val="60AA74EF"/>
    <w:rsid w:val="60B0496C"/>
    <w:rsid w:val="60B1490C"/>
    <w:rsid w:val="60B62331"/>
    <w:rsid w:val="60C346C6"/>
    <w:rsid w:val="60C42130"/>
    <w:rsid w:val="60C50CA9"/>
    <w:rsid w:val="60C52B4F"/>
    <w:rsid w:val="60C73328"/>
    <w:rsid w:val="60D010E1"/>
    <w:rsid w:val="60D50803"/>
    <w:rsid w:val="60E6447A"/>
    <w:rsid w:val="60EA0710"/>
    <w:rsid w:val="61024E93"/>
    <w:rsid w:val="6106379C"/>
    <w:rsid w:val="610C5241"/>
    <w:rsid w:val="610D284A"/>
    <w:rsid w:val="610F1105"/>
    <w:rsid w:val="61141727"/>
    <w:rsid w:val="61155A6F"/>
    <w:rsid w:val="6117207C"/>
    <w:rsid w:val="611F41B0"/>
    <w:rsid w:val="61205237"/>
    <w:rsid w:val="6126611E"/>
    <w:rsid w:val="61275BC4"/>
    <w:rsid w:val="612B6850"/>
    <w:rsid w:val="613004E0"/>
    <w:rsid w:val="613B0F6B"/>
    <w:rsid w:val="614E072A"/>
    <w:rsid w:val="61515D28"/>
    <w:rsid w:val="61521585"/>
    <w:rsid w:val="61614E76"/>
    <w:rsid w:val="61665FE8"/>
    <w:rsid w:val="617030C9"/>
    <w:rsid w:val="617678DB"/>
    <w:rsid w:val="617A1A94"/>
    <w:rsid w:val="617C0E5F"/>
    <w:rsid w:val="617C627B"/>
    <w:rsid w:val="617D6400"/>
    <w:rsid w:val="617E72D4"/>
    <w:rsid w:val="617F6FC1"/>
    <w:rsid w:val="618172C6"/>
    <w:rsid w:val="61821292"/>
    <w:rsid w:val="61845429"/>
    <w:rsid w:val="618A7729"/>
    <w:rsid w:val="61907472"/>
    <w:rsid w:val="61932948"/>
    <w:rsid w:val="619D39D4"/>
    <w:rsid w:val="619F75E8"/>
    <w:rsid w:val="61A057D0"/>
    <w:rsid w:val="61A42FB4"/>
    <w:rsid w:val="61A7655F"/>
    <w:rsid w:val="61A94127"/>
    <w:rsid w:val="61AB7E9F"/>
    <w:rsid w:val="61AE7D0E"/>
    <w:rsid w:val="61BC6A68"/>
    <w:rsid w:val="61BD4AD4"/>
    <w:rsid w:val="61C3302C"/>
    <w:rsid w:val="61C471B3"/>
    <w:rsid w:val="61D41829"/>
    <w:rsid w:val="61D70C94"/>
    <w:rsid w:val="61E93520"/>
    <w:rsid w:val="61EE32A6"/>
    <w:rsid w:val="61F47A98"/>
    <w:rsid w:val="620219E0"/>
    <w:rsid w:val="6212388C"/>
    <w:rsid w:val="62156F75"/>
    <w:rsid w:val="62164897"/>
    <w:rsid w:val="621B515A"/>
    <w:rsid w:val="6221464B"/>
    <w:rsid w:val="622C0CEF"/>
    <w:rsid w:val="622C48C4"/>
    <w:rsid w:val="622F6646"/>
    <w:rsid w:val="623029B2"/>
    <w:rsid w:val="62326738"/>
    <w:rsid w:val="62344338"/>
    <w:rsid w:val="623F2D7D"/>
    <w:rsid w:val="62480406"/>
    <w:rsid w:val="62495C62"/>
    <w:rsid w:val="62532B7D"/>
    <w:rsid w:val="625E1FC6"/>
    <w:rsid w:val="62624DA7"/>
    <w:rsid w:val="62652744"/>
    <w:rsid w:val="626A3C62"/>
    <w:rsid w:val="62704242"/>
    <w:rsid w:val="62721F7A"/>
    <w:rsid w:val="6274550B"/>
    <w:rsid w:val="627D236F"/>
    <w:rsid w:val="628030DA"/>
    <w:rsid w:val="628726BA"/>
    <w:rsid w:val="62960B4F"/>
    <w:rsid w:val="6299419B"/>
    <w:rsid w:val="629B7F14"/>
    <w:rsid w:val="62A554BB"/>
    <w:rsid w:val="62A600C2"/>
    <w:rsid w:val="62B35AD8"/>
    <w:rsid w:val="62BB2091"/>
    <w:rsid w:val="62BE41DA"/>
    <w:rsid w:val="62CC631F"/>
    <w:rsid w:val="62D33022"/>
    <w:rsid w:val="62D81168"/>
    <w:rsid w:val="62DF104A"/>
    <w:rsid w:val="62E22628"/>
    <w:rsid w:val="62E25FC4"/>
    <w:rsid w:val="62E70066"/>
    <w:rsid w:val="62E713AB"/>
    <w:rsid w:val="62F664D4"/>
    <w:rsid w:val="630048F7"/>
    <w:rsid w:val="63073570"/>
    <w:rsid w:val="630B32EB"/>
    <w:rsid w:val="630E06E5"/>
    <w:rsid w:val="631D033A"/>
    <w:rsid w:val="631D75C4"/>
    <w:rsid w:val="63215DB8"/>
    <w:rsid w:val="63251ED3"/>
    <w:rsid w:val="632757F0"/>
    <w:rsid w:val="633A6571"/>
    <w:rsid w:val="633F29E1"/>
    <w:rsid w:val="63416D0D"/>
    <w:rsid w:val="634725DB"/>
    <w:rsid w:val="634C56B2"/>
    <w:rsid w:val="6353259C"/>
    <w:rsid w:val="635602DE"/>
    <w:rsid w:val="63576530"/>
    <w:rsid w:val="635B701A"/>
    <w:rsid w:val="63640C4D"/>
    <w:rsid w:val="63652925"/>
    <w:rsid w:val="636E01E1"/>
    <w:rsid w:val="636E5628"/>
    <w:rsid w:val="63754353"/>
    <w:rsid w:val="637C665D"/>
    <w:rsid w:val="637E33DD"/>
    <w:rsid w:val="637F3617"/>
    <w:rsid w:val="637F4388"/>
    <w:rsid w:val="638210D3"/>
    <w:rsid w:val="63844E4C"/>
    <w:rsid w:val="638A0451"/>
    <w:rsid w:val="638A4F30"/>
    <w:rsid w:val="639C2195"/>
    <w:rsid w:val="63B14EF3"/>
    <w:rsid w:val="63B77B8E"/>
    <w:rsid w:val="63CB66EE"/>
    <w:rsid w:val="63D00091"/>
    <w:rsid w:val="63D55654"/>
    <w:rsid w:val="63D77671"/>
    <w:rsid w:val="63D84CF0"/>
    <w:rsid w:val="63DD41E3"/>
    <w:rsid w:val="63DF2082"/>
    <w:rsid w:val="63E24358"/>
    <w:rsid w:val="63E329D5"/>
    <w:rsid w:val="63EE6769"/>
    <w:rsid w:val="63F44F6B"/>
    <w:rsid w:val="63FF121A"/>
    <w:rsid w:val="64067E94"/>
    <w:rsid w:val="640A6CED"/>
    <w:rsid w:val="640C1667"/>
    <w:rsid w:val="640E2967"/>
    <w:rsid w:val="642406E1"/>
    <w:rsid w:val="64244518"/>
    <w:rsid w:val="6427071F"/>
    <w:rsid w:val="642C59E6"/>
    <w:rsid w:val="64323C66"/>
    <w:rsid w:val="6434679F"/>
    <w:rsid w:val="643B0233"/>
    <w:rsid w:val="643D3518"/>
    <w:rsid w:val="643E7EF6"/>
    <w:rsid w:val="64462101"/>
    <w:rsid w:val="644F52EB"/>
    <w:rsid w:val="645079A9"/>
    <w:rsid w:val="646C3332"/>
    <w:rsid w:val="646C5DBB"/>
    <w:rsid w:val="647A1F92"/>
    <w:rsid w:val="648A4ECF"/>
    <w:rsid w:val="648C4E8A"/>
    <w:rsid w:val="648E510E"/>
    <w:rsid w:val="64955C62"/>
    <w:rsid w:val="64993BEF"/>
    <w:rsid w:val="649B39A5"/>
    <w:rsid w:val="649D67AE"/>
    <w:rsid w:val="64A05CB5"/>
    <w:rsid w:val="64A357A5"/>
    <w:rsid w:val="64AC63B6"/>
    <w:rsid w:val="64B93503"/>
    <w:rsid w:val="64BE130D"/>
    <w:rsid w:val="64C8419E"/>
    <w:rsid w:val="64C91E1B"/>
    <w:rsid w:val="64D241D9"/>
    <w:rsid w:val="64D50079"/>
    <w:rsid w:val="64E23781"/>
    <w:rsid w:val="64E92F4D"/>
    <w:rsid w:val="64EF7D9D"/>
    <w:rsid w:val="64F44FB0"/>
    <w:rsid w:val="64FB773A"/>
    <w:rsid w:val="65006754"/>
    <w:rsid w:val="650A4AEB"/>
    <w:rsid w:val="650B7681"/>
    <w:rsid w:val="65141DE9"/>
    <w:rsid w:val="651727CC"/>
    <w:rsid w:val="65195C25"/>
    <w:rsid w:val="651E4AE7"/>
    <w:rsid w:val="652266CA"/>
    <w:rsid w:val="6524091F"/>
    <w:rsid w:val="653328BA"/>
    <w:rsid w:val="653E145C"/>
    <w:rsid w:val="654C3747"/>
    <w:rsid w:val="654D494E"/>
    <w:rsid w:val="65520FA5"/>
    <w:rsid w:val="655C5151"/>
    <w:rsid w:val="655F4C96"/>
    <w:rsid w:val="656211BC"/>
    <w:rsid w:val="65624253"/>
    <w:rsid w:val="656517F2"/>
    <w:rsid w:val="65743348"/>
    <w:rsid w:val="657767E3"/>
    <w:rsid w:val="65786809"/>
    <w:rsid w:val="657B5DDA"/>
    <w:rsid w:val="657E3181"/>
    <w:rsid w:val="65833974"/>
    <w:rsid w:val="659B7048"/>
    <w:rsid w:val="65B512EC"/>
    <w:rsid w:val="65B718B3"/>
    <w:rsid w:val="65B813E2"/>
    <w:rsid w:val="65B83E1E"/>
    <w:rsid w:val="65BD52D0"/>
    <w:rsid w:val="65BF660F"/>
    <w:rsid w:val="65D53696"/>
    <w:rsid w:val="65DA51F7"/>
    <w:rsid w:val="65DD6A95"/>
    <w:rsid w:val="65DE048F"/>
    <w:rsid w:val="65E41BD1"/>
    <w:rsid w:val="65E52F40"/>
    <w:rsid w:val="65E55800"/>
    <w:rsid w:val="65E9368C"/>
    <w:rsid w:val="65E94B0A"/>
    <w:rsid w:val="661125BE"/>
    <w:rsid w:val="66113D6C"/>
    <w:rsid w:val="66173D55"/>
    <w:rsid w:val="661B2BD2"/>
    <w:rsid w:val="66210588"/>
    <w:rsid w:val="66244894"/>
    <w:rsid w:val="66291CDA"/>
    <w:rsid w:val="662D79CE"/>
    <w:rsid w:val="66312BF0"/>
    <w:rsid w:val="6635242D"/>
    <w:rsid w:val="66356B5C"/>
    <w:rsid w:val="663578A6"/>
    <w:rsid w:val="663743F7"/>
    <w:rsid w:val="663A5C95"/>
    <w:rsid w:val="66455E1D"/>
    <w:rsid w:val="66473AFB"/>
    <w:rsid w:val="664D7777"/>
    <w:rsid w:val="664E34EF"/>
    <w:rsid w:val="66527B78"/>
    <w:rsid w:val="665B1454"/>
    <w:rsid w:val="665E7BD6"/>
    <w:rsid w:val="666176C6"/>
    <w:rsid w:val="66672FCC"/>
    <w:rsid w:val="666A657B"/>
    <w:rsid w:val="666E595E"/>
    <w:rsid w:val="667016B7"/>
    <w:rsid w:val="66715A41"/>
    <w:rsid w:val="66725DEB"/>
    <w:rsid w:val="6681065E"/>
    <w:rsid w:val="668F7750"/>
    <w:rsid w:val="669B6734"/>
    <w:rsid w:val="669C24AC"/>
    <w:rsid w:val="66A07C3D"/>
    <w:rsid w:val="66B4419A"/>
    <w:rsid w:val="66B9509F"/>
    <w:rsid w:val="66C1744F"/>
    <w:rsid w:val="66C25E3E"/>
    <w:rsid w:val="66C96A6D"/>
    <w:rsid w:val="66CF2882"/>
    <w:rsid w:val="66D13048"/>
    <w:rsid w:val="66D32372"/>
    <w:rsid w:val="66D41C46"/>
    <w:rsid w:val="66D76166"/>
    <w:rsid w:val="66DE1A77"/>
    <w:rsid w:val="66E41372"/>
    <w:rsid w:val="66E75E1D"/>
    <w:rsid w:val="66F40537"/>
    <w:rsid w:val="66F83B86"/>
    <w:rsid w:val="66F95B50"/>
    <w:rsid w:val="66FC2F4B"/>
    <w:rsid w:val="66FE3167"/>
    <w:rsid w:val="67082894"/>
    <w:rsid w:val="67092F25"/>
    <w:rsid w:val="671100FB"/>
    <w:rsid w:val="67281F92"/>
    <w:rsid w:val="672D0AB3"/>
    <w:rsid w:val="673031F4"/>
    <w:rsid w:val="67313AC8"/>
    <w:rsid w:val="6732696D"/>
    <w:rsid w:val="673A7750"/>
    <w:rsid w:val="673A7B83"/>
    <w:rsid w:val="673B7F17"/>
    <w:rsid w:val="67422180"/>
    <w:rsid w:val="674748CF"/>
    <w:rsid w:val="67496777"/>
    <w:rsid w:val="67506B17"/>
    <w:rsid w:val="675813ED"/>
    <w:rsid w:val="675D1C3B"/>
    <w:rsid w:val="676034DA"/>
    <w:rsid w:val="676905E0"/>
    <w:rsid w:val="67696832"/>
    <w:rsid w:val="676B5DD8"/>
    <w:rsid w:val="67721686"/>
    <w:rsid w:val="6773320D"/>
    <w:rsid w:val="677745D8"/>
    <w:rsid w:val="6778579B"/>
    <w:rsid w:val="6780592A"/>
    <w:rsid w:val="67957D33"/>
    <w:rsid w:val="679A69EC"/>
    <w:rsid w:val="679B09B6"/>
    <w:rsid w:val="67AD3747"/>
    <w:rsid w:val="67AE16CA"/>
    <w:rsid w:val="67B724D0"/>
    <w:rsid w:val="67B756C3"/>
    <w:rsid w:val="67C55FCF"/>
    <w:rsid w:val="67CC1F33"/>
    <w:rsid w:val="67CE51C8"/>
    <w:rsid w:val="67D533B8"/>
    <w:rsid w:val="67D635BE"/>
    <w:rsid w:val="67D839B8"/>
    <w:rsid w:val="67DF6801"/>
    <w:rsid w:val="67E1286C"/>
    <w:rsid w:val="67F13E17"/>
    <w:rsid w:val="67F87BB6"/>
    <w:rsid w:val="67F931B2"/>
    <w:rsid w:val="67FA2386"/>
    <w:rsid w:val="68024591"/>
    <w:rsid w:val="681E143E"/>
    <w:rsid w:val="681F5143"/>
    <w:rsid w:val="6820016A"/>
    <w:rsid w:val="6822175D"/>
    <w:rsid w:val="68262975"/>
    <w:rsid w:val="683A3D2B"/>
    <w:rsid w:val="683C3F47"/>
    <w:rsid w:val="683E1A6D"/>
    <w:rsid w:val="684D2A07"/>
    <w:rsid w:val="68505064"/>
    <w:rsid w:val="68516591"/>
    <w:rsid w:val="68560392"/>
    <w:rsid w:val="68580067"/>
    <w:rsid w:val="685B7F17"/>
    <w:rsid w:val="6865349E"/>
    <w:rsid w:val="68674585"/>
    <w:rsid w:val="68733608"/>
    <w:rsid w:val="6878082B"/>
    <w:rsid w:val="687A2D02"/>
    <w:rsid w:val="688343BB"/>
    <w:rsid w:val="68865F84"/>
    <w:rsid w:val="688D705F"/>
    <w:rsid w:val="68970A5A"/>
    <w:rsid w:val="689A2794"/>
    <w:rsid w:val="68A369F2"/>
    <w:rsid w:val="68A60A48"/>
    <w:rsid w:val="68A9573D"/>
    <w:rsid w:val="68AD3D8C"/>
    <w:rsid w:val="68BD3C88"/>
    <w:rsid w:val="68C53F3C"/>
    <w:rsid w:val="68CB1E67"/>
    <w:rsid w:val="68D90AF0"/>
    <w:rsid w:val="68DA686F"/>
    <w:rsid w:val="68DB19C1"/>
    <w:rsid w:val="68DB4CE6"/>
    <w:rsid w:val="68E36170"/>
    <w:rsid w:val="68E819D9"/>
    <w:rsid w:val="68ED3493"/>
    <w:rsid w:val="68EE26FE"/>
    <w:rsid w:val="68F10571"/>
    <w:rsid w:val="68F13C0B"/>
    <w:rsid w:val="68F50862"/>
    <w:rsid w:val="68F760C0"/>
    <w:rsid w:val="68F93BE6"/>
    <w:rsid w:val="68F95994"/>
    <w:rsid w:val="68FB291F"/>
    <w:rsid w:val="69040B90"/>
    <w:rsid w:val="69062542"/>
    <w:rsid w:val="6909714A"/>
    <w:rsid w:val="69125A96"/>
    <w:rsid w:val="691427CE"/>
    <w:rsid w:val="69230C63"/>
    <w:rsid w:val="69252C2D"/>
    <w:rsid w:val="69281617"/>
    <w:rsid w:val="69284ADB"/>
    <w:rsid w:val="692A1F3E"/>
    <w:rsid w:val="692A379C"/>
    <w:rsid w:val="692B0CE1"/>
    <w:rsid w:val="692D6520"/>
    <w:rsid w:val="693E3CEF"/>
    <w:rsid w:val="694767DE"/>
    <w:rsid w:val="694A4441"/>
    <w:rsid w:val="694B5740"/>
    <w:rsid w:val="69561038"/>
    <w:rsid w:val="6959151C"/>
    <w:rsid w:val="695B179B"/>
    <w:rsid w:val="69637ED3"/>
    <w:rsid w:val="696B0C22"/>
    <w:rsid w:val="697C3A7A"/>
    <w:rsid w:val="69814582"/>
    <w:rsid w:val="69821E2D"/>
    <w:rsid w:val="698330A4"/>
    <w:rsid w:val="6985699C"/>
    <w:rsid w:val="6986527A"/>
    <w:rsid w:val="698E78BA"/>
    <w:rsid w:val="698F5F67"/>
    <w:rsid w:val="69916B78"/>
    <w:rsid w:val="699851AD"/>
    <w:rsid w:val="69A23567"/>
    <w:rsid w:val="69A96D8B"/>
    <w:rsid w:val="69C74893"/>
    <w:rsid w:val="69C81B50"/>
    <w:rsid w:val="69CC12FA"/>
    <w:rsid w:val="69DC2FDF"/>
    <w:rsid w:val="69DF55A1"/>
    <w:rsid w:val="69E20612"/>
    <w:rsid w:val="69E20834"/>
    <w:rsid w:val="69EB7D82"/>
    <w:rsid w:val="69EC0ABA"/>
    <w:rsid w:val="69ED1E71"/>
    <w:rsid w:val="69F06D97"/>
    <w:rsid w:val="69F110E6"/>
    <w:rsid w:val="69F734E1"/>
    <w:rsid w:val="69F80DA9"/>
    <w:rsid w:val="69F83E9D"/>
    <w:rsid w:val="69FA5E67"/>
    <w:rsid w:val="6A007968"/>
    <w:rsid w:val="6A070584"/>
    <w:rsid w:val="6A0710F2"/>
    <w:rsid w:val="6A0823F8"/>
    <w:rsid w:val="6A0E546F"/>
    <w:rsid w:val="6A102F95"/>
    <w:rsid w:val="6A1036F2"/>
    <w:rsid w:val="6A125358"/>
    <w:rsid w:val="6A160FCF"/>
    <w:rsid w:val="6A170175"/>
    <w:rsid w:val="6A1B20C9"/>
    <w:rsid w:val="6A1F435F"/>
    <w:rsid w:val="6A264739"/>
    <w:rsid w:val="6A296146"/>
    <w:rsid w:val="6A2B6021"/>
    <w:rsid w:val="6A2D7FEB"/>
    <w:rsid w:val="6A3273AF"/>
    <w:rsid w:val="6A3C4D50"/>
    <w:rsid w:val="6A411262"/>
    <w:rsid w:val="6A5601F1"/>
    <w:rsid w:val="6A627569"/>
    <w:rsid w:val="6A6629E8"/>
    <w:rsid w:val="6A7E11C4"/>
    <w:rsid w:val="6A7E25F5"/>
    <w:rsid w:val="6A7E297B"/>
    <w:rsid w:val="6A80789A"/>
    <w:rsid w:val="6A843983"/>
    <w:rsid w:val="6A846DCA"/>
    <w:rsid w:val="6A8614A9"/>
    <w:rsid w:val="6A876178"/>
    <w:rsid w:val="6A8F72B9"/>
    <w:rsid w:val="6A9635BE"/>
    <w:rsid w:val="6A9A404E"/>
    <w:rsid w:val="6A9A4F55"/>
    <w:rsid w:val="6A9E7FF6"/>
    <w:rsid w:val="6AA00147"/>
    <w:rsid w:val="6AA265C6"/>
    <w:rsid w:val="6AA74760"/>
    <w:rsid w:val="6AAB7F50"/>
    <w:rsid w:val="6AB37DC4"/>
    <w:rsid w:val="6AB853DB"/>
    <w:rsid w:val="6ABD1870"/>
    <w:rsid w:val="6ABE50E7"/>
    <w:rsid w:val="6ABF221F"/>
    <w:rsid w:val="6AC60B18"/>
    <w:rsid w:val="6ACB15B2"/>
    <w:rsid w:val="6ACF2E50"/>
    <w:rsid w:val="6AD14E1A"/>
    <w:rsid w:val="6AD31E30"/>
    <w:rsid w:val="6AD70146"/>
    <w:rsid w:val="6AD83A39"/>
    <w:rsid w:val="6ADD35FB"/>
    <w:rsid w:val="6ADF041C"/>
    <w:rsid w:val="6AE52304"/>
    <w:rsid w:val="6AE60F83"/>
    <w:rsid w:val="6AEF6DD3"/>
    <w:rsid w:val="6AF02956"/>
    <w:rsid w:val="6AF20FCD"/>
    <w:rsid w:val="6AF752E2"/>
    <w:rsid w:val="6AF865EC"/>
    <w:rsid w:val="6AFA518A"/>
    <w:rsid w:val="6AFC176B"/>
    <w:rsid w:val="6B2D55FF"/>
    <w:rsid w:val="6B341F03"/>
    <w:rsid w:val="6B3473C0"/>
    <w:rsid w:val="6B39476E"/>
    <w:rsid w:val="6B495161"/>
    <w:rsid w:val="6B4A0729"/>
    <w:rsid w:val="6B555AFB"/>
    <w:rsid w:val="6B574C6A"/>
    <w:rsid w:val="6B581098"/>
    <w:rsid w:val="6B611BFD"/>
    <w:rsid w:val="6B626F30"/>
    <w:rsid w:val="6B633408"/>
    <w:rsid w:val="6B6F325D"/>
    <w:rsid w:val="6B72093E"/>
    <w:rsid w:val="6B7A27A7"/>
    <w:rsid w:val="6B7D3E4B"/>
    <w:rsid w:val="6B820631"/>
    <w:rsid w:val="6B880B52"/>
    <w:rsid w:val="6B8A4FC9"/>
    <w:rsid w:val="6B8B03B8"/>
    <w:rsid w:val="6B8B7EF1"/>
    <w:rsid w:val="6B8F0831"/>
    <w:rsid w:val="6B934A08"/>
    <w:rsid w:val="6B9D3CA9"/>
    <w:rsid w:val="6BA3608B"/>
    <w:rsid w:val="6BA918F3"/>
    <w:rsid w:val="6BAB4090"/>
    <w:rsid w:val="6BB12556"/>
    <w:rsid w:val="6BB46349"/>
    <w:rsid w:val="6BBA24B6"/>
    <w:rsid w:val="6BC60733"/>
    <w:rsid w:val="6BC92D18"/>
    <w:rsid w:val="6BCC6637"/>
    <w:rsid w:val="6BCE4EB6"/>
    <w:rsid w:val="6BCE6035"/>
    <w:rsid w:val="6BD34BC2"/>
    <w:rsid w:val="6BD53CC8"/>
    <w:rsid w:val="6BD64E50"/>
    <w:rsid w:val="6BD76AC6"/>
    <w:rsid w:val="6BE04BE9"/>
    <w:rsid w:val="6BE11055"/>
    <w:rsid w:val="6BEC1C93"/>
    <w:rsid w:val="6BEC2B2E"/>
    <w:rsid w:val="6BEF05AD"/>
    <w:rsid w:val="6BFC662E"/>
    <w:rsid w:val="6C0B2B1B"/>
    <w:rsid w:val="6C0C0A3F"/>
    <w:rsid w:val="6C1172AD"/>
    <w:rsid w:val="6C197835"/>
    <w:rsid w:val="6C1A634D"/>
    <w:rsid w:val="6C292A34"/>
    <w:rsid w:val="6C2C7E07"/>
    <w:rsid w:val="6C310293"/>
    <w:rsid w:val="6C37132C"/>
    <w:rsid w:val="6C3F109E"/>
    <w:rsid w:val="6C477D1E"/>
    <w:rsid w:val="6C491FA7"/>
    <w:rsid w:val="6C4C0AD1"/>
    <w:rsid w:val="6C4E5FF7"/>
    <w:rsid w:val="6C506213"/>
    <w:rsid w:val="6C551424"/>
    <w:rsid w:val="6C574CF9"/>
    <w:rsid w:val="6C586E75"/>
    <w:rsid w:val="6C5A7023"/>
    <w:rsid w:val="6C5D7FE5"/>
    <w:rsid w:val="6C6235E8"/>
    <w:rsid w:val="6C671EC3"/>
    <w:rsid w:val="6C6778AB"/>
    <w:rsid w:val="6C6E0447"/>
    <w:rsid w:val="6C72551B"/>
    <w:rsid w:val="6C744EE0"/>
    <w:rsid w:val="6C847041"/>
    <w:rsid w:val="6C87358B"/>
    <w:rsid w:val="6C8B2DA7"/>
    <w:rsid w:val="6C8E634F"/>
    <w:rsid w:val="6C933ED4"/>
    <w:rsid w:val="6C935742"/>
    <w:rsid w:val="6C976D17"/>
    <w:rsid w:val="6CA10E9D"/>
    <w:rsid w:val="6CA52EC7"/>
    <w:rsid w:val="6CAC5558"/>
    <w:rsid w:val="6CB546E3"/>
    <w:rsid w:val="6CB6520A"/>
    <w:rsid w:val="6CBB272A"/>
    <w:rsid w:val="6CC90D79"/>
    <w:rsid w:val="6CCB7647"/>
    <w:rsid w:val="6CDC0FAA"/>
    <w:rsid w:val="6CE47C9E"/>
    <w:rsid w:val="6CE55693"/>
    <w:rsid w:val="6CEB5F3B"/>
    <w:rsid w:val="6CED6176"/>
    <w:rsid w:val="6CF05300"/>
    <w:rsid w:val="6CF145E0"/>
    <w:rsid w:val="6CF2271D"/>
    <w:rsid w:val="6CF4562A"/>
    <w:rsid w:val="6CF7043C"/>
    <w:rsid w:val="6CFA1CDB"/>
    <w:rsid w:val="6CFC0CF8"/>
    <w:rsid w:val="6D036804"/>
    <w:rsid w:val="6D071698"/>
    <w:rsid w:val="6D0F39D8"/>
    <w:rsid w:val="6D11704A"/>
    <w:rsid w:val="6D125E56"/>
    <w:rsid w:val="6D1C4B34"/>
    <w:rsid w:val="6D1C7EA3"/>
    <w:rsid w:val="6D1E1003"/>
    <w:rsid w:val="6D1E5712"/>
    <w:rsid w:val="6D244591"/>
    <w:rsid w:val="6D254FA9"/>
    <w:rsid w:val="6D3B09DB"/>
    <w:rsid w:val="6D3C22F7"/>
    <w:rsid w:val="6D3F56BC"/>
    <w:rsid w:val="6D491C00"/>
    <w:rsid w:val="6D562ED0"/>
    <w:rsid w:val="6D5D43C7"/>
    <w:rsid w:val="6D6211D5"/>
    <w:rsid w:val="6D657A9C"/>
    <w:rsid w:val="6D7C64AC"/>
    <w:rsid w:val="6D7F14DA"/>
    <w:rsid w:val="6D853C9A"/>
    <w:rsid w:val="6D8D0186"/>
    <w:rsid w:val="6D953F91"/>
    <w:rsid w:val="6D9956BA"/>
    <w:rsid w:val="6DA87B9F"/>
    <w:rsid w:val="6DAA42AB"/>
    <w:rsid w:val="6DB1683D"/>
    <w:rsid w:val="6DB176F2"/>
    <w:rsid w:val="6DB30807"/>
    <w:rsid w:val="6DBF6CE2"/>
    <w:rsid w:val="6DC45C54"/>
    <w:rsid w:val="6DC5053A"/>
    <w:rsid w:val="6DC53107"/>
    <w:rsid w:val="6DC80F28"/>
    <w:rsid w:val="6DC96BAD"/>
    <w:rsid w:val="6DCE58E2"/>
    <w:rsid w:val="6DDF6A59"/>
    <w:rsid w:val="6DE07122"/>
    <w:rsid w:val="6DF67F9A"/>
    <w:rsid w:val="6DFC351E"/>
    <w:rsid w:val="6E004123"/>
    <w:rsid w:val="6E045BC2"/>
    <w:rsid w:val="6E0649EF"/>
    <w:rsid w:val="6E0B0BFD"/>
    <w:rsid w:val="6E0C1BB5"/>
    <w:rsid w:val="6E0F4548"/>
    <w:rsid w:val="6E1A6AD8"/>
    <w:rsid w:val="6E281527"/>
    <w:rsid w:val="6E292877"/>
    <w:rsid w:val="6E36203A"/>
    <w:rsid w:val="6E4A0A40"/>
    <w:rsid w:val="6E4A36FE"/>
    <w:rsid w:val="6E4A7A10"/>
    <w:rsid w:val="6E4D3223"/>
    <w:rsid w:val="6E4E0FC6"/>
    <w:rsid w:val="6E510956"/>
    <w:rsid w:val="6E5A4005"/>
    <w:rsid w:val="6E5F56C8"/>
    <w:rsid w:val="6E625129"/>
    <w:rsid w:val="6E6B10E2"/>
    <w:rsid w:val="6E720A33"/>
    <w:rsid w:val="6E751F61"/>
    <w:rsid w:val="6E762510"/>
    <w:rsid w:val="6E7F693B"/>
    <w:rsid w:val="6E825347"/>
    <w:rsid w:val="6E835AA8"/>
    <w:rsid w:val="6E8C2E06"/>
    <w:rsid w:val="6E95412F"/>
    <w:rsid w:val="6E965E0F"/>
    <w:rsid w:val="6E9C20B4"/>
    <w:rsid w:val="6EA16987"/>
    <w:rsid w:val="6EA46E41"/>
    <w:rsid w:val="6EAC5256"/>
    <w:rsid w:val="6EAE7348"/>
    <w:rsid w:val="6EAF557F"/>
    <w:rsid w:val="6EBB49FF"/>
    <w:rsid w:val="6EC16F54"/>
    <w:rsid w:val="6EC41959"/>
    <w:rsid w:val="6EC9744D"/>
    <w:rsid w:val="6ECB392F"/>
    <w:rsid w:val="6ED45E07"/>
    <w:rsid w:val="6ED6282D"/>
    <w:rsid w:val="6ED80C66"/>
    <w:rsid w:val="6EE16435"/>
    <w:rsid w:val="6EE7195F"/>
    <w:rsid w:val="6EE93378"/>
    <w:rsid w:val="6EEC0B65"/>
    <w:rsid w:val="6EEC72A1"/>
    <w:rsid w:val="6EF020B7"/>
    <w:rsid w:val="6EF72976"/>
    <w:rsid w:val="6EFA4214"/>
    <w:rsid w:val="6F002A48"/>
    <w:rsid w:val="6F045092"/>
    <w:rsid w:val="6F052ACB"/>
    <w:rsid w:val="6F0633EF"/>
    <w:rsid w:val="6F0E1DC6"/>
    <w:rsid w:val="6F1232E1"/>
    <w:rsid w:val="6F147F92"/>
    <w:rsid w:val="6F200022"/>
    <w:rsid w:val="6F231513"/>
    <w:rsid w:val="6F2E10F9"/>
    <w:rsid w:val="6F305C3A"/>
    <w:rsid w:val="6F351BAF"/>
    <w:rsid w:val="6F433E0D"/>
    <w:rsid w:val="6F441CAA"/>
    <w:rsid w:val="6F451933"/>
    <w:rsid w:val="6F484143"/>
    <w:rsid w:val="6F4C5049"/>
    <w:rsid w:val="6F4D07E7"/>
    <w:rsid w:val="6F574271"/>
    <w:rsid w:val="6F5778B8"/>
    <w:rsid w:val="6F593630"/>
    <w:rsid w:val="6F59718C"/>
    <w:rsid w:val="6F5E29F5"/>
    <w:rsid w:val="6F5F0DC5"/>
    <w:rsid w:val="6F662024"/>
    <w:rsid w:val="6F667AFB"/>
    <w:rsid w:val="6F6A3147"/>
    <w:rsid w:val="6F6A75EB"/>
    <w:rsid w:val="6F6D0E8A"/>
    <w:rsid w:val="6F750F26"/>
    <w:rsid w:val="6F7B72E9"/>
    <w:rsid w:val="6F8166E3"/>
    <w:rsid w:val="6F8445D4"/>
    <w:rsid w:val="6F8C58B1"/>
    <w:rsid w:val="6F8D5C1A"/>
    <w:rsid w:val="6F8E342E"/>
    <w:rsid w:val="6FA8133A"/>
    <w:rsid w:val="6FAA3530"/>
    <w:rsid w:val="6FB8153F"/>
    <w:rsid w:val="6FB846F5"/>
    <w:rsid w:val="6FB940CF"/>
    <w:rsid w:val="6FBA55F4"/>
    <w:rsid w:val="6FBB4C3C"/>
    <w:rsid w:val="6FBE084A"/>
    <w:rsid w:val="6FC34F4E"/>
    <w:rsid w:val="6FC82655"/>
    <w:rsid w:val="6FC85BE2"/>
    <w:rsid w:val="6FD27139"/>
    <w:rsid w:val="6FDD7E87"/>
    <w:rsid w:val="6FE44A4D"/>
    <w:rsid w:val="6FE74079"/>
    <w:rsid w:val="6FE87350"/>
    <w:rsid w:val="6FEA07C3"/>
    <w:rsid w:val="6FF01EE9"/>
    <w:rsid w:val="6FF43662"/>
    <w:rsid w:val="6FF454B4"/>
    <w:rsid w:val="6FF70753"/>
    <w:rsid w:val="7001163F"/>
    <w:rsid w:val="70042D2E"/>
    <w:rsid w:val="7005616D"/>
    <w:rsid w:val="700A7CDF"/>
    <w:rsid w:val="70194B6E"/>
    <w:rsid w:val="701A3C85"/>
    <w:rsid w:val="701B2694"/>
    <w:rsid w:val="701F6988"/>
    <w:rsid w:val="70242284"/>
    <w:rsid w:val="70271038"/>
    <w:rsid w:val="702754DC"/>
    <w:rsid w:val="70343755"/>
    <w:rsid w:val="70352F12"/>
    <w:rsid w:val="703B0F88"/>
    <w:rsid w:val="704C6A05"/>
    <w:rsid w:val="704F558C"/>
    <w:rsid w:val="70575FF5"/>
    <w:rsid w:val="705F00BC"/>
    <w:rsid w:val="7061658F"/>
    <w:rsid w:val="70625EC0"/>
    <w:rsid w:val="7063761B"/>
    <w:rsid w:val="70691651"/>
    <w:rsid w:val="70695EF8"/>
    <w:rsid w:val="70726756"/>
    <w:rsid w:val="70750FBD"/>
    <w:rsid w:val="707A1135"/>
    <w:rsid w:val="70827219"/>
    <w:rsid w:val="70860CE0"/>
    <w:rsid w:val="70862027"/>
    <w:rsid w:val="708A455A"/>
    <w:rsid w:val="708A68F9"/>
    <w:rsid w:val="708D3467"/>
    <w:rsid w:val="709243A0"/>
    <w:rsid w:val="70983CE4"/>
    <w:rsid w:val="70AE3508"/>
    <w:rsid w:val="70BE20AC"/>
    <w:rsid w:val="70C525FF"/>
    <w:rsid w:val="70C95B11"/>
    <w:rsid w:val="70CD2B48"/>
    <w:rsid w:val="70CD7E32"/>
    <w:rsid w:val="70D23E2B"/>
    <w:rsid w:val="70D64680"/>
    <w:rsid w:val="70DF1913"/>
    <w:rsid w:val="70E02726"/>
    <w:rsid w:val="70EB1819"/>
    <w:rsid w:val="70F00C3A"/>
    <w:rsid w:val="70F1729C"/>
    <w:rsid w:val="70F22AA4"/>
    <w:rsid w:val="71126EE7"/>
    <w:rsid w:val="7113780F"/>
    <w:rsid w:val="71153587"/>
    <w:rsid w:val="71196A51"/>
    <w:rsid w:val="711D27F9"/>
    <w:rsid w:val="71200232"/>
    <w:rsid w:val="71247ACE"/>
    <w:rsid w:val="71267542"/>
    <w:rsid w:val="713338E1"/>
    <w:rsid w:val="71422988"/>
    <w:rsid w:val="714E141B"/>
    <w:rsid w:val="715F786C"/>
    <w:rsid w:val="716167CC"/>
    <w:rsid w:val="71654E27"/>
    <w:rsid w:val="71707E34"/>
    <w:rsid w:val="717A3FCB"/>
    <w:rsid w:val="717F6C52"/>
    <w:rsid w:val="718511BE"/>
    <w:rsid w:val="7185693C"/>
    <w:rsid w:val="7186244E"/>
    <w:rsid w:val="718B25C3"/>
    <w:rsid w:val="718B3849"/>
    <w:rsid w:val="718F3339"/>
    <w:rsid w:val="719477B9"/>
    <w:rsid w:val="719759F7"/>
    <w:rsid w:val="719A4503"/>
    <w:rsid w:val="719D577A"/>
    <w:rsid w:val="719E73CE"/>
    <w:rsid w:val="71A42199"/>
    <w:rsid w:val="71A43FE7"/>
    <w:rsid w:val="71A70106"/>
    <w:rsid w:val="71AE2D17"/>
    <w:rsid w:val="71B42DA0"/>
    <w:rsid w:val="71B44B4E"/>
    <w:rsid w:val="71C64EDD"/>
    <w:rsid w:val="71C92E07"/>
    <w:rsid w:val="71CB17A6"/>
    <w:rsid w:val="71CC00E9"/>
    <w:rsid w:val="71CD2C6D"/>
    <w:rsid w:val="71D13A0F"/>
    <w:rsid w:val="71D3049F"/>
    <w:rsid w:val="71D62D16"/>
    <w:rsid w:val="71D634A2"/>
    <w:rsid w:val="71D65918"/>
    <w:rsid w:val="71DD5D48"/>
    <w:rsid w:val="71E643AF"/>
    <w:rsid w:val="71E806D8"/>
    <w:rsid w:val="71EB41E4"/>
    <w:rsid w:val="71F6500C"/>
    <w:rsid w:val="71F77285"/>
    <w:rsid w:val="71FA2C4E"/>
    <w:rsid w:val="720158B9"/>
    <w:rsid w:val="720C6738"/>
    <w:rsid w:val="72113D4E"/>
    <w:rsid w:val="721215DD"/>
    <w:rsid w:val="72160662"/>
    <w:rsid w:val="721A55BB"/>
    <w:rsid w:val="721B697B"/>
    <w:rsid w:val="721D26F3"/>
    <w:rsid w:val="72216D7F"/>
    <w:rsid w:val="7232196E"/>
    <w:rsid w:val="723932A5"/>
    <w:rsid w:val="7242215A"/>
    <w:rsid w:val="724E1E90"/>
    <w:rsid w:val="724F4D0B"/>
    <w:rsid w:val="726819D1"/>
    <w:rsid w:val="727A5D97"/>
    <w:rsid w:val="728F6212"/>
    <w:rsid w:val="729131C4"/>
    <w:rsid w:val="729329B5"/>
    <w:rsid w:val="729624A5"/>
    <w:rsid w:val="729802F2"/>
    <w:rsid w:val="72AA3A4C"/>
    <w:rsid w:val="72AB1549"/>
    <w:rsid w:val="72AB7029"/>
    <w:rsid w:val="72B13D0A"/>
    <w:rsid w:val="72B17117"/>
    <w:rsid w:val="72BC4572"/>
    <w:rsid w:val="72C54B39"/>
    <w:rsid w:val="72CC236B"/>
    <w:rsid w:val="72D34D7D"/>
    <w:rsid w:val="72E340AC"/>
    <w:rsid w:val="72E42717"/>
    <w:rsid w:val="72E43211"/>
    <w:rsid w:val="72F079F1"/>
    <w:rsid w:val="72F62F44"/>
    <w:rsid w:val="72F74868"/>
    <w:rsid w:val="72F83160"/>
    <w:rsid w:val="7300126B"/>
    <w:rsid w:val="73005B71"/>
    <w:rsid w:val="73027489"/>
    <w:rsid w:val="73047724"/>
    <w:rsid w:val="730B4C41"/>
    <w:rsid w:val="73276A0C"/>
    <w:rsid w:val="73334198"/>
    <w:rsid w:val="733673D9"/>
    <w:rsid w:val="733C129F"/>
    <w:rsid w:val="733E6DC5"/>
    <w:rsid w:val="73444C4E"/>
    <w:rsid w:val="73447A7D"/>
    <w:rsid w:val="735000B1"/>
    <w:rsid w:val="73504851"/>
    <w:rsid w:val="735463C8"/>
    <w:rsid w:val="73576FF4"/>
    <w:rsid w:val="735924E2"/>
    <w:rsid w:val="735E01A5"/>
    <w:rsid w:val="736600CA"/>
    <w:rsid w:val="73661E78"/>
    <w:rsid w:val="73716FAA"/>
    <w:rsid w:val="737767F8"/>
    <w:rsid w:val="737B0530"/>
    <w:rsid w:val="737C282B"/>
    <w:rsid w:val="737E24ED"/>
    <w:rsid w:val="73844C49"/>
    <w:rsid w:val="7388115F"/>
    <w:rsid w:val="738B7B30"/>
    <w:rsid w:val="73955FA5"/>
    <w:rsid w:val="73983049"/>
    <w:rsid w:val="739A73D4"/>
    <w:rsid w:val="739C2A76"/>
    <w:rsid w:val="739F57E9"/>
    <w:rsid w:val="73A86934"/>
    <w:rsid w:val="73B07183"/>
    <w:rsid w:val="73B57E4B"/>
    <w:rsid w:val="73B82B73"/>
    <w:rsid w:val="73BA0F31"/>
    <w:rsid w:val="73C01AB0"/>
    <w:rsid w:val="73C130D8"/>
    <w:rsid w:val="73C53042"/>
    <w:rsid w:val="73D11C5C"/>
    <w:rsid w:val="73D17583"/>
    <w:rsid w:val="73D818B4"/>
    <w:rsid w:val="73DA4614"/>
    <w:rsid w:val="73DB0AB8"/>
    <w:rsid w:val="73F12089"/>
    <w:rsid w:val="73FC0A2E"/>
    <w:rsid w:val="73FC458A"/>
    <w:rsid w:val="7400051E"/>
    <w:rsid w:val="740663F7"/>
    <w:rsid w:val="741B7106"/>
    <w:rsid w:val="74203020"/>
    <w:rsid w:val="742217E5"/>
    <w:rsid w:val="74261F54"/>
    <w:rsid w:val="744644EE"/>
    <w:rsid w:val="744A31B1"/>
    <w:rsid w:val="744D3B71"/>
    <w:rsid w:val="74544B29"/>
    <w:rsid w:val="745D18E8"/>
    <w:rsid w:val="745F3497"/>
    <w:rsid w:val="74640AAD"/>
    <w:rsid w:val="746662C7"/>
    <w:rsid w:val="74687E72"/>
    <w:rsid w:val="747C24C2"/>
    <w:rsid w:val="74850A24"/>
    <w:rsid w:val="748527D2"/>
    <w:rsid w:val="74876C4F"/>
    <w:rsid w:val="748A3080"/>
    <w:rsid w:val="748C0004"/>
    <w:rsid w:val="749067A4"/>
    <w:rsid w:val="74926778"/>
    <w:rsid w:val="74942A2F"/>
    <w:rsid w:val="749972FA"/>
    <w:rsid w:val="74A7099A"/>
    <w:rsid w:val="74A82EE2"/>
    <w:rsid w:val="74A90290"/>
    <w:rsid w:val="74B213F1"/>
    <w:rsid w:val="74B27B1B"/>
    <w:rsid w:val="74BB5783"/>
    <w:rsid w:val="74C61F60"/>
    <w:rsid w:val="74CC0400"/>
    <w:rsid w:val="74CD57F7"/>
    <w:rsid w:val="74D418FF"/>
    <w:rsid w:val="74D82744"/>
    <w:rsid w:val="74DB0643"/>
    <w:rsid w:val="74DB208E"/>
    <w:rsid w:val="74E06D5C"/>
    <w:rsid w:val="74E7348C"/>
    <w:rsid w:val="74EC0A46"/>
    <w:rsid w:val="74EC589E"/>
    <w:rsid w:val="74F5036D"/>
    <w:rsid w:val="74F77D80"/>
    <w:rsid w:val="74FD05BA"/>
    <w:rsid w:val="750302DD"/>
    <w:rsid w:val="75033868"/>
    <w:rsid w:val="75041948"/>
    <w:rsid w:val="750C20C2"/>
    <w:rsid w:val="75150BB6"/>
    <w:rsid w:val="7522181F"/>
    <w:rsid w:val="75284813"/>
    <w:rsid w:val="752A3786"/>
    <w:rsid w:val="752D42F3"/>
    <w:rsid w:val="752E5AD3"/>
    <w:rsid w:val="75367E50"/>
    <w:rsid w:val="75393BB0"/>
    <w:rsid w:val="755661E3"/>
    <w:rsid w:val="755C22DD"/>
    <w:rsid w:val="755C26BF"/>
    <w:rsid w:val="755D3B49"/>
    <w:rsid w:val="755D54FC"/>
    <w:rsid w:val="756E2093"/>
    <w:rsid w:val="7571335D"/>
    <w:rsid w:val="75735A9C"/>
    <w:rsid w:val="75752846"/>
    <w:rsid w:val="757549CA"/>
    <w:rsid w:val="75764564"/>
    <w:rsid w:val="757C043C"/>
    <w:rsid w:val="758B7DA1"/>
    <w:rsid w:val="758D046E"/>
    <w:rsid w:val="758F0B16"/>
    <w:rsid w:val="759232B3"/>
    <w:rsid w:val="75924506"/>
    <w:rsid w:val="759929D8"/>
    <w:rsid w:val="759C0E51"/>
    <w:rsid w:val="75A003FD"/>
    <w:rsid w:val="75A12490"/>
    <w:rsid w:val="75A2127E"/>
    <w:rsid w:val="75A44ED9"/>
    <w:rsid w:val="75A924F0"/>
    <w:rsid w:val="75AB270C"/>
    <w:rsid w:val="75B47B1B"/>
    <w:rsid w:val="75B863E3"/>
    <w:rsid w:val="75BD1156"/>
    <w:rsid w:val="75BE243F"/>
    <w:rsid w:val="75C26938"/>
    <w:rsid w:val="75CA1286"/>
    <w:rsid w:val="75CC6EA4"/>
    <w:rsid w:val="75CF6FF0"/>
    <w:rsid w:val="75D03F20"/>
    <w:rsid w:val="75D576C6"/>
    <w:rsid w:val="75E27D6E"/>
    <w:rsid w:val="75E33C54"/>
    <w:rsid w:val="75EB2B08"/>
    <w:rsid w:val="75EF370E"/>
    <w:rsid w:val="75F25C45"/>
    <w:rsid w:val="75F662D7"/>
    <w:rsid w:val="75FA3731"/>
    <w:rsid w:val="75FE0C2A"/>
    <w:rsid w:val="760E2FC6"/>
    <w:rsid w:val="760E6331"/>
    <w:rsid w:val="76134845"/>
    <w:rsid w:val="76143E0D"/>
    <w:rsid w:val="761A6E19"/>
    <w:rsid w:val="761E670E"/>
    <w:rsid w:val="761E7399"/>
    <w:rsid w:val="762229CE"/>
    <w:rsid w:val="76234EE1"/>
    <w:rsid w:val="76242BC3"/>
    <w:rsid w:val="762431F4"/>
    <w:rsid w:val="76255738"/>
    <w:rsid w:val="762A335A"/>
    <w:rsid w:val="762A7AD4"/>
    <w:rsid w:val="762B0F1B"/>
    <w:rsid w:val="762D7DFA"/>
    <w:rsid w:val="762F0897"/>
    <w:rsid w:val="762F0C47"/>
    <w:rsid w:val="76310452"/>
    <w:rsid w:val="7635655C"/>
    <w:rsid w:val="763639DD"/>
    <w:rsid w:val="763922F4"/>
    <w:rsid w:val="763A311B"/>
    <w:rsid w:val="763C5295"/>
    <w:rsid w:val="763D0E36"/>
    <w:rsid w:val="763F59CD"/>
    <w:rsid w:val="7645409B"/>
    <w:rsid w:val="764741E2"/>
    <w:rsid w:val="764D347E"/>
    <w:rsid w:val="764D457D"/>
    <w:rsid w:val="765A0B7B"/>
    <w:rsid w:val="765E7C81"/>
    <w:rsid w:val="76631FBF"/>
    <w:rsid w:val="76676633"/>
    <w:rsid w:val="7669115C"/>
    <w:rsid w:val="766B7792"/>
    <w:rsid w:val="766E1913"/>
    <w:rsid w:val="76702DDE"/>
    <w:rsid w:val="76713672"/>
    <w:rsid w:val="76733229"/>
    <w:rsid w:val="767B647F"/>
    <w:rsid w:val="76805946"/>
    <w:rsid w:val="76920849"/>
    <w:rsid w:val="76955C78"/>
    <w:rsid w:val="76966F18"/>
    <w:rsid w:val="76991851"/>
    <w:rsid w:val="76A57BDA"/>
    <w:rsid w:val="76AC04E9"/>
    <w:rsid w:val="76B4739E"/>
    <w:rsid w:val="76B63116"/>
    <w:rsid w:val="76B96D59"/>
    <w:rsid w:val="76C05C49"/>
    <w:rsid w:val="76CA4E14"/>
    <w:rsid w:val="76D10343"/>
    <w:rsid w:val="76D2138C"/>
    <w:rsid w:val="76DA3C64"/>
    <w:rsid w:val="76DB70F1"/>
    <w:rsid w:val="76DE441B"/>
    <w:rsid w:val="76DF08BF"/>
    <w:rsid w:val="76E00193"/>
    <w:rsid w:val="76E62A28"/>
    <w:rsid w:val="76EB5504"/>
    <w:rsid w:val="76ED4113"/>
    <w:rsid w:val="76F65C09"/>
    <w:rsid w:val="76FB4FCD"/>
    <w:rsid w:val="770E0C1A"/>
    <w:rsid w:val="7711659E"/>
    <w:rsid w:val="7714207A"/>
    <w:rsid w:val="771B3980"/>
    <w:rsid w:val="771B741D"/>
    <w:rsid w:val="771F2A69"/>
    <w:rsid w:val="77271F99"/>
    <w:rsid w:val="772C6707"/>
    <w:rsid w:val="772F7464"/>
    <w:rsid w:val="7731208C"/>
    <w:rsid w:val="77343875"/>
    <w:rsid w:val="7735228D"/>
    <w:rsid w:val="773B361B"/>
    <w:rsid w:val="773D52C2"/>
    <w:rsid w:val="77454A83"/>
    <w:rsid w:val="774B075C"/>
    <w:rsid w:val="774B7D02"/>
    <w:rsid w:val="774D3A2F"/>
    <w:rsid w:val="774F5A13"/>
    <w:rsid w:val="77526798"/>
    <w:rsid w:val="7756051D"/>
    <w:rsid w:val="775841CD"/>
    <w:rsid w:val="77594712"/>
    <w:rsid w:val="775C5FD7"/>
    <w:rsid w:val="775D5504"/>
    <w:rsid w:val="775F37AE"/>
    <w:rsid w:val="77641D1B"/>
    <w:rsid w:val="776459B8"/>
    <w:rsid w:val="77672662"/>
    <w:rsid w:val="77741395"/>
    <w:rsid w:val="777728A5"/>
    <w:rsid w:val="7778611F"/>
    <w:rsid w:val="77835F42"/>
    <w:rsid w:val="77883B43"/>
    <w:rsid w:val="77896DD2"/>
    <w:rsid w:val="778B063C"/>
    <w:rsid w:val="778B6351"/>
    <w:rsid w:val="778C3E77"/>
    <w:rsid w:val="77902BE1"/>
    <w:rsid w:val="7798538D"/>
    <w:rsid w:val="779B2934"/>
    <w:rsid w:val="779F004E"/>
    <w:rsid w:val="779F1DFC"/>
    <w:rsid w:val="77A348D5"/>
    <w:rsid w:val="77A634D1"/>
    <w:rsid w:val="77C36223"/>
    <w:rsid w:val="77C96B54"/>
    <w:rsid w:val="77CB73F2"/>
    <w:rsid w:val="77D25D2E"/>
    <w:rsid w:val="77D630EC"/>
    <w:rsid w:val="77D91686"/>
    <w:rsid w:val="77D96B89"/>
    <w:rsid w:val="77DC6BAC"/>
    <w:rsid w:val="77DE19E0"/>
    <w:rsid w:val="77E205AA"/>
    <w:rsid w:val="77E56A41"/>
    <w:rsid w:val="77E61C73"/>
    <w:rsid w:val="77F04406"/>
    <w:rsid w:val="77F076AB"/>
    <w:rsid w:val="77F8360C"/>
    <w:rsid w:val="77F9150C"/>
    <w:rsid w:val="77FD7254"/>
    <w:rsid w:val="78001D9A"/>
    <w:rsid w:val="78006D3F"/>
    <w:rsid w:val="78017D0D"/>
    <w:rsid w:val="78063EEF"/>
    <w:rsid w:val="780B39D6"/>
    <w:rsid w:val="7813546A"/>
    <w:rsid w:val="78164F9D"/>
    <w:rsid w:val="781C5C85"/>
    <w:rsid w:val="781E5417"/>
    <w:rsid w:val="782169F2"/>
    <w:rsid w:val="78255245"/>
    <w:rsid w:val="782858B1"/>
    <w:rsid w:val="782A7F03"/>
    <w:rsid w:val="782B18E2"/>
    <w:rsid w:val="782F64FB"/>
    <w:rsid w:val="78347BEA"/>
    <w:rsid w:val="784A656D"/>
    <w:rsid w:val="784C1F84"/>
    <w:rsid w:val="785157C9"/>
    <w:rsid w:val="7859644F"/>
    <w:rsid w:val="785E19EB"/>
    <w:rsid w:val="78645796"/>
    <w:rsid w:val="786A67ED"/>
    <w:rsid w:val="78776825"/>
    <w:rsid w:val="787B4617"/>
    <w:rsid w:val="787E114F"/>
    <w:rsid w:val="78890E72"/>
    <w:rsid w:val="788F3C1F"/>
    <w:rsid w:val="78900DBA"/>
    <w:rsid w:val="78972AD3"/>
    <w:rsid w:val="789D27E0"/>
    <w:rsid w:val="789E2C69"/>
    <w:rsid w:val="78A81D4B"/>
    <w:rsid w:val="78AA387B"/>
    <w:rsid w:val="78AD6DCE"/>
    <w:rsid w:val="78B2790D"/>
    <w:rsid w:val="78B3563A"/>
    <w:rsid w:val="78B62C2E"/>
    <w:rsid w:val="78B76AB2"/>
    <w:rsid w:val="78C46F9F"/>
    <w:rsid w:val="78CA4C9D"/>
    <w:rsid w:val="78D14D12"/>
    <w:rsid w:val="78E026CC"/>
    <w:rsid w:val="78E07452"/>
    <w:rsid w:val="78E4494C"/>
    <w:rsid w:val="78EA70A7"/>
    <w:rsid w:val="78EC72C3"/>
    <w:rsid w:val="78EE0C4C"/>
    <w:rsid w:val="78FA311C"/>
    <w:rsid w:val="79052133"/>
    <w:rsid w:val="790A7963"/>
    <w:rsid w:val="79110AD8"/>
    <w:rsid w:val="79135755"/>
    <w:rsid w:val="791A55D0"/>
    <w:rsid w:val="79231027"/>
    <w:rsid w:val="7923708D"/>
    <w:rsid w:val="79256F3B"/>
    <w:rsid w:val="79292601"/>
    <w:rsid w:val="79322641"/>
    <w:rsid w:val="79326B5C"/>
    <w:rsid w:val="7936596C"/>
    <w:rsid w:val="794C148D"/>
    <w:rsid w:val="794E3ADA"/>
    <w:rsid w:val="79541474"/>
    <w:rsid w:val="79556C16"/>
    <w:rsid w:val="79557CA7"/>
    <w:rsid w:val="79586E14"/>
    <w:rsid w:val="795F5CE7"/>
    <w:rsid w:val="79616DC4"/>
    <w:rsid w:val="79654980"/>
    <w:rsid w:val="79680055"/>
    <w:rsid w:val="7969603B"/>
    <w:rsid w:val="796E7CD8"/>
    <w:rsid w:val="7971028C"/>
    <w:rsid w:val="797D43BF"/>
    <w:rsid w:val="7982489B"/>
    <w:rsid w:val="79845D9F"/>
    <w:rsid w:val="79AE27CB"/>
    <w:rsid w:val="79B76C11"/>
    <w:rsid w:val="79BC5797"/>
    <w:rsid w:val="79BD7604"/>
    <w:rsid w:val="79C002CB"/>
    <w:rsid w:val="79C35C72"/>
    <w:rsid w:val="79C45288"/>
    <w:rsid w:val="79CB058E"/>
    <w:rsid w:val="79CE0D8E"/>
    <w:rsid w:val="79CE63A9"/>
    <w:rsid w:val="79D20A2C"/>
    <w:rsid w:val="79DC704B"/>
    <w:rsid w:val="79E166FC"/>
    <w:rsid w:val="79E31BD0"/>
    <w:rsid w:val="79E34F82"/>
    <w:rsid w:val="79E54E2B"/>
    <w:rsid w:val="79E55C98"/>
    <w:rsid w:val="79E820BE"/>
    <w:rsid w:val="79EC40BD"/>
    <w:rsid w:val="79ED2075"/>
    <w:rsid w:val="79ED7113"/>
    <w:rsid w:val="79EF706B"/>
    <w:rsid w:val="79F07583"/>
    <w:rsid w:val="79FC4231"/>
    <w:rsid w:val="79FC4D1F"/>
    <w:rsid w:val="7A0E1E10"/>
    <w:rsid w:val="7A1C6AFD"/>
    <w:rsid w:val="7A290E6C"/>
    <w:rsid w:val="7A2B59A2"/>
    <w:rsid w:val="7A2E4763"/>
    <w:rsid w:val="7A39286F"/>
    <w:rsid w:val="7A3B5EBC"/>
    <w:rsid w:val="7A453A61"/>
    <w:rsid w:val="7A460C55"/>
    <w:rsid w:val="7A47696D"/>
    <w:rsid w:val="7A57076C"/>
    <w:rsid w:val="7A591612"/>
    <w:rsid w:val="7A5C2D01"/>
    <w:rsid w:val="7A65462C"/>
    <w:rsid w:val="7A6A4943"/>
    <w:rsid w:val="7A805F15"/>
    <w:rsid w:val="7A862644"/>
    <w:rsid w:val="7A886B78"/>
    <w:rsid w:val="7A895914"/>
    <w:rsid w:val="7A920D69"/>
    <w:rsid w:val="7A96124D"/>
    <w:rsid w:val="7A970A5F"/>
    <w:rsid w:val="7A990D85"/>
    <w:rsid w:val="7AA10C0E"/>
    <w:rsid w:val="7AA24C33"/>
    <w:rsid w:val="7AA377B5"/>
    <w:rsid w:val="7AB7185D"/>
    <w:rsid w:val="7AB7745D"/>
    <w:rsid w:val="7ABE4CF6"/>
    <w:rsid w:val="7ABF5752"/>
    <w:rsid w:val="7AC022EF"/>
    <w:rsid w:val="7AC35E02"/>
    <w:rsid w:val="7AC7799B"/>
    <w:rsid w:val="7AC85F87"/>
    <w:rsid w:val="7AC92AA5"/>
    <w:rsid w:val="7AC948CB"/>
    <w:rsid w:val="7AD031F2"/>
    <w:rsid w:val="7AD25691"/>
    <w:rsid w:val="7AD26045"/>
    <w:rsid w:val="7AD313B6"/>
    <w:rsid w:val="7AD54C77"/>
    <w:rsid w:val="7AD65B35"/>
    <w:rsid w:val="7ADE1882"/>
    <w:rsid w:val="7AE921C3"/>
    <w:rsid w:val="7AE94743"/>
    <w:rsid w:val="7AEE0F58"/>
    <w:rsid w:val="7AEE6E2A"/>
    <w:rsid w:val="7AF65772"/>
    <w:rsid w:val="7AF73D47"/>
    <w:rsid w:val="7AF914C0"/>
    <w:rsid w:val="7AFB0962"/>
    <w:rsid w:val="7AFE32DE"/>
    <w:rsid w:val="7B0F0542"/>
    <w:rsid w:val="7B116B6D"/>
    <w:rsid w:val="7B120866"/>
    <w:rsid w:val="7B1571BD"/>
    <w:rsid w:val="7B171802"/>
    <w:rsid w:val="7B1D086E"/>
    <w:rsid w:val="7B1D19B6"/>
    <w:rsid w:val="7B1D7C08"/>
    <w:rsid w:val="7B203254"/>
    <w:rsid w:val="7B256ABC"/>
    <w:rsid w:val="7B2D0704"/>
    <w:rsid w:val="7B2D1507"/>
    <w:rsid w:val="7B34132B"/>
    <w:rsid w:val="7B37738D"/>
    <w:rsid w:val="7B3A0C3E"/>
    <w:rsid w:val="7B4128F5"/>
    <w:rsid w:val="7B4350A0"/>
    <w:rsid w:val="7B467FC7"/>
    <w:rsid w:val="7B4927AB"/>
    <w:rsid w:val="7B4F7695"/>
    <w:rsid w:val="7B5A7DCD"/>
    <w:rsid w:val="7B5D0004"/>
    <w:rsid w:val="7B681A01"/>
    <w:rsid w:val="7B6F06F8"/>
    <w:rsid w:val="7B707D38"/>
    <w:rsid w:val="7B7317DB"/>
    <w:rsid w:val="7B747F60"/>
    <w:rsid w:val="7B754A79"/>
    <w:rsid w:val="7B7C2D28"/>
    <w:rsid w:val="7B853BB5"/>
    <w:rsid w:val="7B86410F"/>
    <w:rsid w:val="7B8F22CB"/>
    <w:rsid w:val="7B900F0C"/>
    <w:rsid w:val="7B9630A1"/>
    <w:rsid w:val="7B971768"/>
    <w:rsid w:val="7BA06143"/>
    <w:rsid w:val="7BA429B4"/>
    <w:rsid w:val="7BA64FCC"/>
    <w:rsid w:val="7BB34DAF"/>
    <w:rsid w:val="7BB87F79"/>
    <w:rsid w:val="7BBB21A7"/>
    <w:rsid w:val="7BBC0371"/>
    <w:rsid w:val="7BBC11CF"/>
    <w:rsid w:val="7BCE3D5E"/>
    <w:rsid w:val="7BD3539E"/>
    <w:rsid w:val="7BD45874"/>
    <w:rsid w:val="7BD77296"/>
    <w:rsid w:val="7BDC40FE"/>
    <w:rsid w:val="7BE10A38"/>
    <w:rsid w:val="7BE46CFD"/>
    <w:rsid w:val="7BE75B20"/>
    <w:rsid w:val="7BF035AF"/>
    <w:rsid w:val="7BF302A3"/>
    <w:rsid w:val="7BFA3AA5"/>
    <w:rsid w:val="7BFC5A6F"/>
    <w:rsid w:val="7BFE17E7"/>
    <w:rsid w:val="7BFF7C80"/>
    <w:rsid w:val="7C0115D3"/>
    <w:rsid w:val="7C0764D7"/>
    <w:rsid w:val="7C096CB3"/>
    <w:rsid w:val="7C0C0428"/>
    <w:rsid w:val="7C2D3DB3"/>
    <w:rsid w:val="7C302607"/>
    <w:rsid w:val="7C321491"/>
    <w:rsid w:val="7C340013"/>
    <w:rsid w:val="7C3C23DF"/>
    <w:rsid w:val="7C3D1311"/>
    <w:rsid w:val="7C3E0D7E"/>
    <w:rsid w:val="7C400253"/>
    <w:rsid w:val="7C464F3C"/>
    <w:rsid w:val="7C46760A"/>
    <w:rsid w:val="7C47478B"/>
    <w:rsid w:val="7C495AF7"/>
    <w:rsid w:val="7C4B4301"/>
    <w:rsid w:val="7C4E4BEE"/>
    <w:rsid w:val="7C5238E1"/>
    <w:rsid w:val="7C565733"/>
    <w:rsid w:val="7C5C7EEF"/>
    <w:rsid w:val="7C615057"/>
    <w:rsid w:val="7C65411C"/>
    <w:rsid w:val="7C6B01C3"/>
    <w:rsid w:val="7C745605"/>
    <w:rsid w:val="7C7B2E38"/>
    <w:rsid w:val="7C7C095E"/>
    <w:rsid w:val="7C8021FC"/>
    <w:rsid w:val="7C8154D1"/>
    <w:rsid w:val="7C8B0BA1"/>
    <w:rsid w:val="7C8E3FE1"/>
    <w:rsid w:val="7CA54FF4"/>
    <w:rsid w:val="7CB10BC9"/>
    <w:rsid w:val="7CB42860"/>
    <w:rsid w:val="7CB42C75"/>
    <w:rsid w:val="7CB645AE"/>
    <w:rsid w:val="7CBB76D8"/>
    <w:rsid w:val="7CC14E75"/>
    <w:rsid w:val="7CC55E61"/>
    <w:rsid w:val="7CD3238B"/>
    <w:rsid w:val="7CDE5175"/>
    <w:rsid w:val="7CE16A13"/>
    <w:rsid w:val="7CE537E3"/>
    <w:rsid w:val="7CE73B3B"/>
    <w:rsid w:val="7CE93701"/>
    <w:rsid w:val="7CEE2024"/>
    <w:rsid w:val="7CF14EA8"/>
    <w:rsid w:val="7CF4552C"/>
    <w:rsid w:val="7CF52A51"/>
    <w:rsid w:val="7CF67D38"/>
    <w:rsid w:val="7CF77FE5"/>
    <w:rsid w:val="7CFF5FBA"/>
    <w:rsid w:val="7D00333D"/>
    <w:rsid w:val="7D010984"/>
    <w:rsid w:val="7D021F92"/>
    <w:rsid w:val="7D0270B5"/>
    <w:rsid w:val="7D081E5B"/>
    <w:rsid w:val="7D096D78"/>
    <w:rsid w:val="7D216992"/>
    <w:rsid w:val="7D231CB2"/>
    <w:rsid w:val="7D241A25"/>
    <w:rsid w:val="7D250C61"/>
    <w:rsid w:val="7D270829"/>
    <w:rsid w:val="7D2C7C8E"/>
    <w:rsid w:val="7D2E7895"/>
    <w:rsid w:val="7D342FE7"/>
    <w:rsid w:val="7D3644B4"/>
    <w:rsid w:val="7D3E5F5C"/>
    <w:rsid w:val="7D4703D0"/>
    <w:rsid w:val="7D4A6514"/>
    <w:rsid w:val="7D4B26CB"/>
    <w:rsid w:val="7D4C6582"/>
    <w:rsid w:val="7D555476"/>
    <w:rsid w:val="7D5D2BC7"/>
    <w:rsid w:val="7D615EBE"/>
    <w:rsid w:val="7D657644"/>
    <w:rsid w:val="7D6F3B9E"/>
    <w:rsid w:val="7D6F401F"/>
    <w:rsid w:val="7D7864E4"/>
    <w:rsid w:val="7D7B6E68"/>
    <w:rsid w:val="7D7D673C"/>
    <w:rsid w:val="7D88568C"/>
    <w:rsid w:val="7D8A2FE4"/>
    <w:rsid w:val="7D923D1C"/>
    <w:rsid w:val="7D962394"/>
    <w:rsid w:val="7D9A5540"/>
    <w:rsid w:val="7D9F3E03"/>
    <w:rsid w:val="7DA4016C"/>
    <w:rsid w:val="7DA97531"/>
    <w:rsid w:val="7DB8087D"/>
    <w:rsid w:val="7DBF424F"/>
    <w:rsid w:val="7DC10FCE"/>
    <w:rsid w:val="7DC425BD"/>
    <w:rsid w:val="7DC53CD9"/>
    <w:rsid w:val="7DC544D5"/>
    <w:rsid w:val="7DC8187F"/>
    <w:rsid w:val="7DCD1769"/>
    <w:rsid w:val="7DD02B52"/>
    <w:rsid w:val="7DD373C4"/>
    <w:rsid w:val="7DE14B70"/>
    <w:rsid w:val="7DE2387B"/>
    <w:rsid w:val="7DE408FE"/>
    <w:rsid w:val="7DE83EAE"/>
    <w:rsid w:val="7DED0F15"/>
    <w:rsid w:val="7DED1B13"/>
    <w:rsid w:val="7DF0482B"/>
    <w:rsid w:val="7DF0526F"/>
    <w:rsid w:val="7DF45470"/>
    <w:rsid w:val="7DF45569"/>
    <w:rsid w:val="7DF63DA9"/>
    <w:rsid w:val="7E037699"/>
    <w:rsid w:val="7E044B9C"/>
    <w:rsid w:val="7E046E5D"/>
    <w:rsid w:val="7E066731"/>
    <w:rsid w:val="7E0B01EB"/>
    <w:rsid w:val="7E0E3838"/>
    <w:rsid w:val="7E126ABD"/>
    <w:rsid w:val="7E180C47"/>
    <w:rsid w:val="7E2111B6"/>
    <w:rsid w:val="7E2474EB"/>
    <w:rsid w:val="7E2B3A6B"/>
    <w:rsid w:val="7E2E247B"/>
    <w:rsid w:val="7E425B4A"/>
    <w:rsid w:val="7E492AC2"/>
    <w:rsid w:val="7E4A1640"/>
    <w:rsid w:val="7E4E1E86"/>
    <w:rsid w:val="7E551332"/>
    <w:rsid w:val="7E5A1376"/>
    <w:rsid w:val="7E5A5B06"/>
    <w:rsid w:val="7E5F5E41"/>
    <w:rsid w:val="7E610830"/>
    <w:rsid w:val="7E631DD5"/>
    <w:rsid w:val="7E6E2E4D"/>
    <w:rsid w:val="7E706BE0"/>
    <w:rsid w:val="7E815D64"/>
    <w:rsid w:val="7E8A39A9"/>
    <w:rsid w:val="7E8B4029"/>
    <w:rsid w:val="7E923843"/>
    <w:rsid w:val="7E926217"/>
    <w:rsid w:val="7EA570B1"/>
    <w:rsid w:val="7EAC460E"/>
    <w:rsid w:val="7EAF0B77"/>
    <w:rsid w:val="7EB64ADA"/>
    <w:rsid w:val="7EBE6F11"/>
    <w:rsid w:val="7EC01132"/>
    <w:rsid w:val="7EC138A4"/>
    <w:rsid w:val="7EC16430"/>
    <w:rsid w:val="7EC40A46"/>
    <w:rsid w:val="7EC53C21"/>
    <w:rsid w:val="7EC62364"/>
    <w:rsid w:val="7ECE4CFB"/>
    <w:rsid w:val="7ED00AED"/>
    <w:rsid w:val="7ED846A5"/>
    <w:rsid w:val="7EDA1503"/>
    <w:rsid w:val="7EDB61EB"/>
    <w:rsid w:val="7EDF777D"/>
    <w:rsid w:val="7EE051D4"/>
    <w:rsid w:val="7EE30DF1"/>
    <w:rsid w:val="7EE8197C"/>
    <w:rsid w:val="7EE822DB"/>
    <w:rsid w:val="7EEA6202"/>
    <w:rsid w:val="7EF54663"/>
    <w:rsid w:val="7EFB1903"/>
    <w:rsid w:val="7F0300F7"/>
    <w:rsid w:val="7F066ECC"/>
    <w:rsid w:val="7F071BF9"/>
    <w:rsid w:val="7F17126F"/>
    <w:rsid w:val="7F182B1F"/>
    <w:rsid w:val="7F1932DF"/>
    <w:rsid w:val="7F1E5CFC"/>
    <w:rsid w:val="7F243866"/>
    <w:rsid w:val="7F322421"/>
    <w:rsid w:val="7F324B31"/>
    <w:rsid w:val="7F341F76"/>
    <w:rsid w:val="7F4219EB"/>
    <w:rsid w:val="7F421A90"/>
    <w:rsid w:val="7F45772D"/>
    <w:rsid w:val="7F5003CE"/>
    <w:rsid w:val="7F526375"/>
    <w:rsid w:val="7F5D2259"/>
    <w:rsid w:val="7F5E1F5E"/>
    <w:rsid w:val="7F5F07EF"/>
    <w:rsid w:val="7F6012B7"/>
    <w:rsid w:val="7F6212F9"/>
    <w:rsid w:val="7F625BE9"/>
    <w:rsid w:val="7F700E9F"/>
    <w:rsid w:val="7F775A40"/>
    <w:rsid w:val="7F7A5538"/>
    <w:rsid w:val="7F7B6CAB"/>
    <w:rsid w:val="7F833D8D"/>
    <w:rsid w:val="7F873CA1"/>
    <w:rsid w:val="7F8C1817"/>
    <w:rsid w:val="7F8E5458"/>
    <w:rsid w:val="7F943438"/>
    <w:rsid w:val="7F954882"/>
    <w:rsid w:val="7F9F2CE0"/>
    <w:rsid w:val="7FAA52DD"/>
    <w:rsid w:val="7FB148E2"/>
    <w:rsid w:val="7FB7346C"/>
    <w:rsid w:val="7FB83A5B"/>
    <w:rsid w:val="7FB83B76"/>
    <w:rsid w:val="7FC45207"/>
    <w:rsid w:val="7FC65E22"/>
    <w:rsid w:val="7FCB5E84"/>
    <w:rsid w:val="7FCB682C"/>
    <w:rsid w:val="7FDD5BB8"/>
    <w:rsid w:val="7FE01204"/>
    <w:rsid w:val="7FE20049"/>
    <w:rsid w:val="7FED4FC7"/>
    <w:rsid w:val="7FEE3921"/>
    <w:rsid w:val="7FF539A2"/>
    <w:rsid w:val="7FFE54D1"/>
    <w:rsid w:val="7FFE6121"/>
    <w:rsid w:val="7FFF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link w:val="4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link w:val="4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37">
    <w:name w:val="Default Paragraph Font"/>
    <w:semiHidden/>
    <w:unhideWhenUsed/>
    <w:qFormat/>
    <w:uiPriority w:val="1"/>
  </w:style>
  <w:style w:type="table" w:default="1" w:styleId="35">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46"/>
    <w:qFormat/>
    <w:uiPriority w:val="0"/>
    <w:pPr>
      <w:tabs>
        <w:tab w:val="left" w:pos="567"/>
      </w:tabs>
      <w:spacing w:before="120" w:line="22" w:lineRule="atLeast"/>
    </w:pPr>
    <w:rPr>
      <w:rFonts w:ascii="宋体" w:hAnsi="宋体"/>
      <w:sz w:val="24"/>
    </w:rPr>
  </w:style>
  <w:style w:type="paragraph" w:styleId="3">
    <w:name w:val="Body Text First Indent"/>
    <w:basedOn w:val="2"/>
    <w:next w:val="4"/>
    <w:unhideWhenUsed/>
    <w:qFormat/>
    <w:uiPriority w:val="99"/>
    <w:pPr>
      <w:ind w:firstLine="420" w:firstLineChars="100"/>
    </w:pPr>
  </w:style>
  <w:style w:type="paragraph" w:styleId="4">
    <w:name w:val="toc 6"/>
    <w:basedOn w:val="1"/>
    <w:next w:val="1"/>
    <w:qFormat/>
    <w:uiPriority w:val="39"/>
    <w:pPr>
      <w:ind w:left="2100" w:leftChars="1000"/>
    </w:pPr>
  </w:style>
  <w:style w:type="paragraph" w:styleId="8">
    <w:name w:val="toc 7"/>
    <w:basedOn w:val="1"/>
    <w:next w:val="1"/>
    <w:qFormat/>
    <w:uiPriority w:val="39"/>
    <w:pPr>
      <w:ind w:left="2520" w:leftChars="1200"/>
    </w:pPr>
  </w:style>
  <w:style w:type="paragraph" w:styleId="9">
    <w:name w:val="Normal Indent"/>
    <w:basedOn w:val="1"/>
    <w:qFormat/>
    <w:uiPriority w:val="0"/>
    <w:pPr>
      <w:autoSpaceDE w:val="0"/>
      <w:autoSpaceDN w:val="0"/>
      <w:adjustRightInd w:val="0"/>
      <w:ind w:firstLine="420"/>
      <w:jc w:val="left"/>
    </w:pPr>
    <w:rPr>
      <w:rFonts w:ascii="宋体"/>
      <w:kern w:val="0"/>
      <w:sz w:val="24"/>
      <w:szCs w:val="20"/>
    </w:rPr>
  </w:style>
  <w:style w:type="paragraph" w:styleId="10">
    <w:name w:val="index 5"/>
    <w:basedOn w:val="1"/>
    <w:next w:val="1"/>
    <w:qFormat/>
    <w:uiPriority w:val="0"/>
    <w:pPr>
      <w:ind w:left="800" w:leftChars="800"/>
    </w:pPr>
    <w:rPr>
      <w:szCs w:val="20"/>
      <w:lang w:bidi="he-IL"/>
    </w:rPr>
  </w:style>
  <w:style w:type="paragraph" w:styleId="11">
    <w:name w:val="toa heading"/>
    <w:basedOn w:val="1"/>
    <w:next w:val="1"/>
    <w:qFormat/>
    <w:uiPriority w:val="0"/>
    <w:pPr>
      <w:spacing w:before="120"/>
    </w:pPr>
    <w:rPr>
      <w:rFonts w:ascii="Cambria" w:hAnsi="Cambria"/>
      <w:sz w:val="24"/>
    </w:rPr>
  </w:style>
  <w:style w:type="paragraph" w:styleId="12">
    <w:name w:val="annotation text"/>
    <w:basedOn w:val="1"/>
    <w:link w:val="45"/>
    <w:qFormat/>
    <w:uiPriority w:val="99"/>
    <w:pPr>
      <w:jc w:val="left"/>
    </w:pPr>
  </w:style>
  <w:style w:type="paragraph" w:styleId="13">
    <w:name w:val="Body Text Indent"/>
    <w:basedOn w:val="1"/>
    <w:next w:val="1"/>
    <w:qFormat/>
    <w:uiPriority w:val="0"/>
    <w:pPr>
      <w:spacing w:line="360" w:lineRule="auto"/>
      <w:ind w:firstLine="570"/>
    </w:pPr>
    <w:rPr>
      <w:sz w:val="24"/>
    </w:rPr>
  </w:style>
  <w:style w:type="paragraph" w:styleId="14">
    <w:name w:val="Block Text"/>
    <w:basedOn w:val="1"/>
    <w:qFormat/>
    <w:uiPriority w:val="0"/>
    <w:pPr>
      <w:spacing w:after="120"/>
      <w:ind w:left="1440" w:leftChars="700" w:right="700" w:rightChars="700"/>
    </w:pPr>
  </w:style>
  <w:style w:type="paragraph" w:styleId="15">
    <w:name w:val="toc 5"/>
    <w:basedOn w:val="1"/>
    <w:next w:val="1"/>
    <w:qFormat/>
    <w:uiPriority w:val="39"/>
    <w:pPr>
      <w:ind w:left="1680" w:leftChars="800"/>
    </w:pPr>
  </w:style>
  <w:style w:type="paragraph" w:styleId="16">
    <w:name w:val="toc 3"/>
    <w:basedOn w:val="1"/>
    <w:next w:val="1"/>
    <w:qFormat/>
    <w:uiPriority w:val="39"/>
    <w:pPr>
      <w:tabs>
        <w:tab w:val="left" w:pos="1260"/>
        <w:tab w:val="right" w:leader="dot" w:pos="8630"/>
      </w:tabs>
      <w:ind w:left="840" w:leftChars="400"/>
    </w:pPr>
  </w:style>
  <w:style w:type="paragraph" w:styleId="17">
    <w:name w:val="Plain Text"/>
    <w:basedOn w:val="1"/>
    <w:link w:val="47"/>
    <w:qFormat/>
    <w:uiPriority w:val="0"/>
    <w:rPr>
      <w:rFonts w:ascii="宋体" w:hAnsi="Courier New"/>
      <w:szCs w:val="20"/>
    </w:rPr>
  </w:style>
  <w:style w:type="paragraph" w:styleId="18">
    <w:name w:val="toc 8"/>
    <w:basedOn w:val="1"/>
    <w:next w:val="1"/>
    <w:qFormat/>
    <w:uiPriority w:val="39"/>
    <w:pPr>
      <w:ind w:left="2940" w:leftChars="1400"/>
    </w:pPr>
  </w:style>
  <w:style w:type="paragraph" w:styleId="19">
    <w:name w:val="Date"/>
    <w:basedOn w:val="1"/>
    <w:next w:val="1"/>
    <w:link w:val="48"/>
    <w:qFormat/>
    <w:uiPriority w:val="0"/>
    <w:pPr>
      <w:ind w:left="100" w:leftChars="2500"/>
    </w:pPr>
    <w:rPr>
      <w:rFonts w:ascii="仿宋_GB2312" w:hAnsi="宋体" w:eastAsia="仿宋_GB2312"/>
      <w:color w:val="000000"/>
      <w:sz w:val="24"/>
    </w:rPr>
  </w:style>
  <w:style w:type="paragraph" w:styleId="20">
    <w:name w:val="Body Text Indent 2"/>
    <w:basedOn w:val="1"/>
    <w:qFormat/>
    <w:uiPriority w:val="0"/>
    <w:pPr>
      <w:ind w:firstLine="480" w:firstLineChars="200"/>
    </w:pPr>
    <w:rPr>
      <w:rFonts w:ascii="仿宋_GB2312" w:eastAsia="仿宋_GB2312"/>
      <w:sz w:val="24"/>
    </w:rPr>
  </w:style>
  <w:style w:type="paragraph" w:styleId="21">
    <w:name w:val="Balloon Text"/>
    <w:basedOn w:val="1"/>
    <w:link w:val="49"/>
    <w:qFormat/>
    <w:uiPriority w:val="0"/>
    <w:rPr>
      <w:sz w:val="18"/>
      <w:szCs w:val="18"/>
    </w:rPr>
  </w:style>
  <w:style w:type="paragraph" w:styleId="22">
    <w:name w:val="footer"/>
    <w:basedOn w:val="1"/>
    <w:link w:val="5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39"/>
    <w:pPr>
      <w:ind w:left="1260" w:leftChars="600"/>
    </w:pPr>
  </w:style>
  <w:style w:type="paragraph" w:styleId="26">
    <w:name w:val="footnote text"/>
    <w:basedOn w:val="1"/>
    <w:qFormat/>
    <w:uiPriority w:val="0"/>
    <w:pPr>
      <w:snapToGrid w:val="0"/>
      <w:jc w:val="left"/>
    </w:pPr>
    <w:rPr>
      <w:sz w:val="18"/>
    </w:r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Normal (Web)"/>
    <w:basedOn w:val="1"/>
    <w:next w:val="31"/>
    <w:qFormat/>
    <w:uiPriority w:val="0"/>
    <w:pPr>
      <w:spacing w:before="100" w:beforeAutospacing="1" w:after="100" w:afterAutospacing="1"/>
      <w:jc w:val="left"/>
    </w:pPr>
    <w:rPr>
      <w:kern w:val="0"/>
      <w:sz w:val="24"/>
    </w:rPr>
  </w:style>
  <w:style w:type="paragraph" w:customStyle="1" w:styleId="31">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2">
    <w:name w:val="index 1"/>
    <w:basedOn w:val="1"/>
    <w:next w:val="1"/>
    <w:semiHidden/>
    <w:qFormat/>
    <w:uiPriority w:val="0"/>
    <w:rPr>
      <w:szCs w:val="20"/>
    </w:rPr>
  </w:style>
  <w:style w:type="paragraph" w:styleId="33">
    <w:name w:val="annotation subject"/>
    <w:basedOn w:val="12"/>
    <w:next w:val="12"/>
    <w:link w:val="52"/>
    <w:qFormat/>
    <w:uiPriority w:val="0"/>
    <w:rPr>
      <w:b/>
      <w:bCs/>
    </w:rPr>
  </w:style>
  <w:style w:type="paragraph" w:styleId="34">
    <w:name w:val="Body Text First Indent 2"/>
    <w:basedOn w:val="13"/>
    <w:next w:val="3"/>
    <w:qFormat/>
    <w:uiPriority w:val="0"/>
    <w:pPr>
      <w:ind w:firstLine="420" w:firstLineChars="200"/>
    </w:p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qFormat/>
    <w:uiPriority w:val="0"/>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1 字符"/>
    <w:link w:val="5"/>
    <w:qFormat/>
    <w:uiPriority w:val="0"/>
    <w:rPr>
      <w:rFonts w:ascii="宋体"/>
      <w:b/>
      <w:kern w:val="44"/>
      <w:sz w:val="32"/>
    </w:rPr>
  </w:style>
  <w:style w:type="character" w:customStyle="1" w:styleId="43">
    <w:name w:val="标题 2 字符"/>
    <w:link w:val="6"/>
    <w:qFormat/>
    <w:uiPriority w:val="0"/>
    <w:rPr>
      <w:rFonts w:ascii="Arial" w:hAnsi="Arial" w:eastAsia="黑体"/>
      <w:b/>
      <w:sz w:val="30"/>
    </w:rPr>
  </w:style>
  <w:style w:type="character" w:customStyle="1" w:styleId="44">
    <w:name w:val="标题 3 字符"/>
    <w:link w:val="7"/>
    <w:qFormat/>
    <w:uiPriority w:val="0"/>
    <w:rPr>
      <w:rFonts w:ascii="宋体"/>
      <w:b/>
      <w:sz w:val="24"/>
      <w:u w:val="single"/>
    </w:rPr>
  </w:style>
  <w:style w:type="character" w:customStyle="1" w:styleId="45">
    <w:name w:val="批注文字 字符"/>
    <w:link w:val="12"/>
    <w:qFormat/>
    <w:uiPriority w:val="99"/>
    <w:rPr>
      <w:kern w:val="2"/>
      <w:sz w:val="21"/>
      <w:szCs w:val="24"/>
    </w:rPr>
  </w:style>
  <w:style w:type="character" w:customStyle="1" w:styleId="46">
    <w:name w:val="正文文本 字符"/>
    <w:link w:val="2"/>
    <w:qFormat/>
    <w:uiPriority w:val="0"/>
    <w:rPr>
      <w:rFonts w:ascii="宋体" w:hAnsi="宋体"/>
      <w:kern w:val="2"/>
      <w:sz w:val="24"/>
      <w:szCs w:val="24"/>
    </w:rPr>
  </w:style>
  <w:style w:type="character" w:customStyle="1" w:styleId="47">
    <w:name w:val="纯文本 字符"/>
    <w:link w:val="17"/>
    <w:qFormat/>
    <w:uiPriority w:val="0"/>
    <w:rPr>
      <w:rFonts w:ascii="宋体" w:hAnsi="Courier New"/>
      <w:kern w:val="2"/>
      <w:sz w:val="21"/>
    </w:rPr>
  </w:style>
  <w:style w:type="character" w:customStyle="1" w:styleId="48">
    <w:name w:val="日期 字符"/>
    <w:link w:val="19"/>
    <w:qFormat/>
    <w:uiPriority w:val="0"/>
    <w:rPr>
      <w:rFonts w:ascii="仿宋_GB2312" w:hAnsi="宋体" w:eastAsia="仿宋_GB2312"/>
      <w:color w:val="000000"/>
      <w:kern w:val="2"/>
      <w:sz w:val="24"/>
      <w:szCs w:val="24"/>
    </w:rPr>
  </w:style>
  <w:style w:type="character" w:customStyle="1" w:styleId="49">
    <w:name w:val="批注框文本 字符"/>
    <w:link w:val="21"/>
    <w:qFormat/>
    <w:uiPriority w:val="0"/>
    <w:rPr>
      <w:kern w:val="2"/>
      <w:sz w:val="18"/>
      <w:szCs w:val="18"/>
    </w:rPr>
  </w:style>
  <w:style w:type="character" w:customStyle="1" w:styleId="50">
    <w:name w:val="页脚 字符"/>
    <w:link w:val="22"/>
    <w:qFormat/>
    <w:uiPriority w:val="99"/>
    <w:rPr>
      <w:rFonts w:ascii="宋体"/>
      <w:sz w:val="18"/>
    </w:rPr>
  </w:style>
  <w:style w:type="character" w:customStyle="1" w:styleId="51">
    <w:name w:val="页眉 字符"/>
    <w:link w:val="23"/>
    <w:qFormat/>
    <w:uiPriority w:val="0"/>
    <w:rPr>
      <w:kern w:val="2"/>
      <w:sz w:val="18"/>
      <w:szCs w:val="18"/>
    </w:rPr>
  </w:style>
  <w:style w:type="character" w:customStyle="1" w:styleId="52">
    <w:name w:val="批注主题 字符"/>
    <w:link w:val="33"/>
    <w:qFormat/>
    <w:uiPriority w:val="0"/>
    <w:rPr>
      <w:b/>
      <w:bCs/>
      <w:kern w:val="2"/>
      <w:sz w:val="21"/>
      <w:szCs w:val="24"/>
    </w:rPr>
  </w:style>
  <w:style w:type="paragraph" w:customStyle="1" w:styleId="53">
    <w:name w:val="Style1"/>
    <w:basedOn w:val="1"/>
    <w:qFormat/>
    <w:uiPriority w:val="0"/>
    <w:pPr>
      <w:widowControl/>
      <w:tabs>
        <w:tab w:val="left" w:pos="-720"/>
      </w:tabs>
      <w:spacing w:after="120"/>
    </w:pPr>
    <w:rPr>
      <w:spacing w:val="-3"/>
      <w:kern w:val="0"/>
      <w:sz w:val="24"/>
      <w:szCs w:val="20"/>
      <w:lang w:val="en-AU" w:eastAsia="en-US"/>
    </w:rPr>
  </w:style>
  <w:style w:type="character" w:customStyle="1" w:styleId="54">
    <w:name w:val="font101"/>
    <w:basedOn w:val="37"/>
    <w:qFormat/>
    <w:uiPriority w:val="0"/>
    <w:rPr>
      <w:rFonts w:hint="eastAsia" w:ascii="宋体" w:hAnsi="宋体" w:eastAsia="宋体" w:cs="宋体"/>
      <w:b/>
      <w:color w:val="FF0000"/>
      <w:sz w:val="22"/>
      <w:szCs w:val="22"/>
      <w:u w:val="none"/>
    </w:rPr>
  </w:style>
  <w:style w:type="character" w:customStyle="1" w:styleId="55">
    <w:name w:val="正文缩进 Char1"/>
    <w:link w:val="56"/>
    <w:qFormat/>
    <w:uiPriority w:val="0"/>
    <w:rPr>
      <w:rFonts w:ascii="宋体"/>
      <w:sz w:val="24"/>
    </w:rPr>
  </w:style>
  <w:style w:type="paragraph" w:customStyle="1" w:styleId="56">
    <w:name w:val="正文缩进1"/>
    <w:basedOn w:val="1"/>
    <w:link w:val="55"/>
    <w:qFormat/>
    <w:uiPriority w:val="0"/>
    <w:pPr>
      <w:autoSpaceDE w:val="0"/>
      <w:autoSpaceDN w:val="0"/>
      <w:adjustRightInd w:val="0"/>
      <w:ind w:firstLine="420"/>
      <w:jc w:val="left"/>
    </w:pPr>
    <w:rPr>
      <w:rFonts w:ascii="宋体"/>
      <w:kern w:val="0"/>
      <w:sz w:val="24"/>
      <w:szCs w:val="20"/>
    </w:rPr>
  </w:style>
  <w:style w:type="character" w:customStyle="1" w:styleId="57">
    <w:name w:val="font61"/>
    <w:basedOn w:val="37"/>
    <w:qFormat/>
    <w:uiPriority w:val="0"/>
    <w:rPr>
      <w:rFonts w:hint="eastAsia" w:ascii="宋体" w:hAnsi="宋体" w:eastAsia="宋体" w:cs="宋体"/>
      <w:b/>
      <w:color w:val="FF0000"/>
      <w:sz w:val="20"/>
      <w:szCs w:val="20"/>
      <w:u w:val="none"/>
    </w:rPr>
  </w:style>
  <w:style w:type="character" w:customStyle="1" w:styleId="58">
    <w:name w:val="font51"/>
    <w:basedOn w:val="37"/>
    <w:qFormat/>
    <w:uiPriority w:val="0"/>
    <w:rPr>
      <w:rFonts w:hint="eastAsia" w:ascii="宋体" w:hAnsi="宋体" w:eastAsia="宋体" w:cs="宋体"/>
      <w:b/>
      <w:color w:val="000000"/>
      <w:sz w:val="20"/>
      <w:szCs w:val="20"/>
      <w:u w:val="none"/>
    </w:rPr>
  </w:style>
  <w:style w:type="character" w:customStyle="1" w:styleId="59">
    <w:name w:val="font21"/>
    <w:basedOn w:val="37"/>
    <w:qFormat/>
    <w:uiPriority w:val="0"/>
    <w:rPr>
      <w:rFonts w:hint="default" w:ascii="方正仿宋简体" w:hAnsi="方正仿宋简体" w:eastAsia="方正仿宋简体" w:cs="方正仿宋简体"/>
      <w:color w:val="000000"/>
      <w:sz w:val="20"/>
      <w:szCs w:val="20"/>
      <w:u w:val="none"/>
    </w:rPr>
  </w:style>
  <w:style w:type="character" w:customStyle="1" w:styleId="60">
    <w:name w:val="apple-style-span"/>
    <w:basedOn w:val="37"/>
    <w:qFormat/>
    <w:uiPriority w:val="0"/>
  </w:style>
  <w:style w:type="character" w:customStyle="1" w:styleId="61">
    <w:name w:val="10"/>
    <w:qFormat/>
    <w:uiPriority w:val="0"/>
    <w:rPr>
      <w:rFonts w:hint="default" w:ascii="Calibri" w:hAnsi="Calibri" w:cs="Calibri"/>
    </w:rPr>
  </w:style>
  <w:style w:type="character" w:customStyle="1" w:styleId="62">
    <w:name w:val="批注框文本 Char1"/>
    <w:semiHidden/>
    <w:qFormat/>
    <w:uiPriority w:val="99"/>
    <w:rPr>
      <w:kern w:val="2"/>
      <w:sz w:val="18"/>
      <w:szCs w:val="18"/>
    </w:rPr>
  </w:style>
  <w:style w:type="character" w:customStyle="1" w:styleId="63">
    <w:name w:val="font91"/>
    <w:basedOn w:val="37"/>
    <w:qFormat/>
    <w:uiPriority w:val="0"/>
    <w:rPr>
      <w:rFonts w:hint="eastAsia" w:ascii="宋体" w:hAnsi="宋体" w:eastAsia="宋体" w:cs="宋体"/>
      <w:color w:val="FF0000"/>
      <w:sz w:val="20"/>
      <w:szCs w:val="20"/>
      <w:u w:val="none"/>
    </w:rPr>
  </w:style>
  <w:style w:type="character" w:customStyle="1" w:styleId="64">
    <w:name w:val="批注主题 Char1"/>
    <w:semiHidden/>
    <w:qFormat/>
    <w:uiPriority w:val="99"/>
    <w:rPr>
      <w:b/>
      <w:bCs/>
      <w:kern w:val="2"/>
      <w:sz w:val="21"/>
      <w:szCs w:val="24"/>
    </w:rPr>
  </w:style>
  <w:style w:type="character" w:customStyle="1" w:styleId="65">
    <w:name w:val="font151"/>
    <w:qFormat/>
    <w:uiPriority w:val="0"/>
    <w:rPr>
      <w:rFonts w:hint="default" w:ascii="Times New Roman" w:hAnsi="Times New Roman" w:cs="Times New Roman"/>
      <w:color w:val="000000"/>
      <w:sz w:val="20"/>
      <w:szCs w:val="20"/>
      <w:u w:val="none"/>
    </w:rPr>
  </w:style>
  <w:style w:type="character" w:customStyle="1" w:styleId="66">
    <w:name w:val="15"/>
    <w:qFormat/>
    <w:uiPriority w:val="0"/>
    <w:rPr>
      <w:rFonts w:hint="default" w:ascii="Calibri" w:hAnsi="Calibri" w:cs="Calibri"/>
    </w:rPr>
  </w:style>
  <w:style w:type="character" w:customStyle="1" w:styleId="67">
    <w:name w:val="font31"/>
    <w:basedOn w:val="37"/>
    <w:qFormat/>
    <w:uiPriority w:val="0"/>
    <w:rPr>
      <w:rFonts w:hint="eastAsia" w:ascii="宋体" w:hAnsi="宋体" w:eastAsia="宋体" w:cs="宋体"/>
      <w:color w:val="000000"/>
      <w:sz w:val="24"/>
      <w:szCs w:val="24"/>
      <w:u w:val="none"/>
    </w:rPr>
  </w:style>
  <w:style w:type="character" w:customStyle="1" w:styleId="68">
    <w:name w:val="批注文字 Char1"/>
    <w:semiHidden/>
    <w:qFormat/>
    <w:uiPriority w:val="99"/>
    <w:rPr>
      <w:kern w:val="2"/>
      <w:sz w:val="21"/>
      <w:szCs w:val="24"/>
    </w:rPr>
  </w:style>
  <w:style w:type="character" w:customStyle="1" w:styleId="69">
    <w:name w:val="font71"/>
    <w:basedOn w:val="37"/>
    <w:qFormat/>
    <w:uiPriority w:val="0"/>
    <w:rPr>
      <w:rFonts w:hint="eastAsia" w:ascii="宋体" w:hAnsi="宋体" w:eastAsia="宋体" w:cs="宋体"/>
      <w:b/>
      <w:color w:val="000000"/>
      <w:sz w:val="22"/>
      <w:szCs w:val="22"/>
      <w:u w:val="none"/>
    </w:rPr>
  </w:style>
  <w:style w:type="character" w:customStyle="1" w:styleId="70">
    <w:name w:val="font41"/>
    <w:basedOn w:val="37"/>
    <w:qFormat/>
    <w:uiPriority w:val="0"/>
    <w:rPr>
      <w:rFonts w:hint="eastAsia" w:ascii="宋体" w:hAnsi="宋体" w:eastAsia="宋体" w:cs="宋体"/>
      <w:color w:val="000000"/>
      <w:sz w:val="20"/>
      <w:szCs w:val="20"/>
      <w:u w:val="none"/>
    </w:rPr>
  </w:style>
  <w:style w:type="character" w:customStyle="1" w:styleId="71">
    <w:name w:val="font01"/>
    <w:basedOn w:val="37"/>
    <w:qFormat/>
    <w:uiPriority w:val="0"/>
    <w:rPr>
      <w:rFonts w:ascii="宋体" w:hAnsi="宋体" w:eastAsia="宋体" w:cs="宋体"/>
      <w:color w:val="000000"/>
      <w:sz w:val="20"/>
      <w:szCs w:val="20"/>
      <w:u w:val="none"/>
    </w:rPr>
  </w:style>
  <w:style w:type="character" w:customStyle="1" w:styleId="72">
    <w:name w:val="页眉 Char1"/>
    <w:semiHidden/>
    <w:qFormat/>
    <w:uiPriority w:val="99"/>
    <w:rPr>
      <w:kern w:val="2"/>
      <w:sz w:val="18"/>
      <w:szCs w:val="18"/>
    </w:rPr>
  </w:style>
  <w:style w:type="character" w:customStyle="1" w:styleId="73">
    <w:name w:val="NormalCharacter"/>
    <w:link w:val="74"/>
    <w:semiHidden/>
    <w:qFormat/>
    <w:uiPriority w:val="0"/>
  </w:style>
  <w:style w:type="paragraph" w:customStyle="1" w:styleId="74">
    <w:name w:val="UserStyle_5"/>
    <w:basedOn w:val="1"/>
    <w:link w:val="73"/>
    <w:qFormat/>
    <w:uiPriority w:val="0"/>
    <w:pPr>
      <w:widowControl/>
      <w:spacing w:after="160" w:line="240" w:lineRule="exact"/>
      <w:jc w:val="left"/>
      <w:textAlignment w:val="baseline"/>
    </w:pPr>
  </w:style>
  <w:style w:type="character" w:customStyle="1" w:styleId="75">
    <w:name w:val="font141"/>
    <w:qFormat/>
    <w:uiPriority w:val="0"/>
    <w:rPr>
      <w:rFonts w:hint="eastAsia" w:ascii="宋体" w:hAnsi="宋体" w:eastAsia="宋体" w:cs="宋体"/>
      <w:color w:val="000000"/>
      <w:sz w:val="20"/>
      <w:szCs w:val="20"/>
      <w:u w:val="none"/>
    </w:rPr>
  </w:style>
  <w:style w:type="character" w:customStyle="1" w:styleId="76">
    <w:name w:val="font131"/>
    <w:basedOn w:val="37"/>
    <w:qFormat/>
    <w:uiPriority w:val="0"/>
    <w:rPr>
      <w:rFonts w:hint="eastAsia" w:ascii="宋体" w:hAnsi="宋体" w:eastAsia="宋体" w:cs="宋体"/>
      <w:b/>
      <w:bCs/>
      <w:color w:val="538DD5"/>
      <w:sz w:val="20"/>
      <w:szCs w:val="20"/>
      <w:u w:val="none"/>
    </w:rPr>
  </w:style>
  <w:style w:type="character" w:customStyle="1" w:styleId="77">
    <w:name w:val="font11"/>
    <w:basedOn w:val="37"/>
    <w:qFormat/>
    <w:uiPriority w:val="0"/>
    <w:rPr>
      <w:rFonts w:hint="default" w:ascii="方正仿宋简体" w:hAnsi="方正仿宋简体" w:eastAsia="方正仿宋简体" w:cs="方正仿宋简体"/>
      <w:color w:val="000000"/>
      <w:sz w:val="20"/>
      <w:szCs w:val="20"/>
      <w:u w:val="none"/>
      <w:vertAlign w:val="subscript"/>
    </w:rPr>
  </w:style>
  <w:style w:type="character" w:customStyle="1" w:styleId="78">
    <w:name w:val="纯文本 Char1"/>
    <w:link w:val="79"/>
    <w:qFormat/>
    <w:uiPriority w:val="0"/>
    <w:rPr>
      <w:rFonts w:ascii="宋体" w:hAnsi="Courier New"/>
    </w:rPr>
  </w:style>
  <w:style w:type="paragraph" w:customStyle="1" w:styleId="79">
    <w:name w:val="纯文本1"/>
    <w:basedOn w:val="1"/>
    <w:link w:val="78"/>
    <w:qFormat/>
    <w:uiPriority w:val="0"/>
    <w:rPr>
      <w:rFonts w:ascii="宋体" w:hAnsi="Courier New"/>
      <w:kern w:val="0"/>
      <w:sz w:val="20"/>
      <w:szCs w:val="20"/>
    </w:rPr>
  </w:style>
  <w:style w:type="paragraph" w:customStyle="1" w:styleId="8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1">
    <w:name w:val="正文首行缩进两字符"/>
    <w:basedOn w:val="1"/>
    <w:qFormat/>
    <w:uiPriority w:val="0"/>
    <w:pPr>
      <w:spacing w:line="360" w:lineRule="auto"/>
      <w:ind w:firstLine="200" w:firstLineChars="200"/>
    </w:pPr>
  </w:style>
  <w:style w:type="paragraph" w:customStyle="1" w:styleId="82">
    <w:name w:val="表名称"/>
    <w:basedOn w:val="9"/>
    <w:qFormat/>
    <w:uiPriority w:val="0"/>
    <w:pPr>
      <w:numPr>
        <w:ilvl w:val="0"/>
        <w:numId w:val="1"/>
      </w:numPr>
      <w:ind w:firstLine="0"/>
      <w:jc w:val="center"/>
    </w:pPr>
  </w:style>
  <w:style w:type="paragraph" w:customStyle="1" w:styleId="83">
    <w:name w:val="Char"/>
    <w:basedOn w:val="1"/>
    <w:qFormat/>
    <w:uiPriority w:val="0"/>
    <w:pPr>
      <w:tabs>
        <w:tab w:val="left" w:pos="360"/>
      </w:tabs>
    </w:pPr>
    <w:rPr>
      <w:sz w:val="24"/>
    </w:rPr>
  </w:style>
  <w:style w:type="paragraph" w:customStyle="1" w:styleId="84">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styleId="85">
    <w:name w:val="List Paragraph"/>
    <w:basedOn w:val="1"/>
    <w:qFormat/>
    <w:uiPriority w:val="34"/>
    <w:pPr>
      <w:ind w:firstLine="420" w:firstLineChars="200"/>
    </w:pPr>
  </w:style>
  <w:style w:type="paragraph" w:customStyle="1" w:styleId="86">
    <w:name w:val="图例"/>
    <w:basedOn w:val="1"/>
    <w:qFormat/>
    <w:uiPriority w:val="0"/>
    <w:pPr>
      <w:spacing w:before="120" w:after="120" w:line="360" w:lineRule="auto"/>
      <w:jc w:val="center"/>
    </w:pPr>
    <w:rPr>
      <w:rFonts w:eastAsia="仿宋_GB2312"/>
      <w:b/>
      <w:sz w:val="24"/>
    </w:rPr>
  </w:style>
  <w:style w:type="paragraph" w:customStyle="1" w:styleId="87">
    <w:name w:val="首行缩进"/>
    <w:basedOn w:val="1"/>
    <w:qFormat/>
    <w:uiPriority w:val="0"/>
    <w:pPr>
      <w:ind w:firstLine="480" w:firstLineChars="200"/>
    </w:pPr>
    <w:rPr>
      <w:lang w:val="zh-CN"/>
    </w:rPr>
  </w:style>
  <w:style w:type="paragraph" w:customStyle="1" w:styleId="8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8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90">
    <w:name w:val="列出段落1"/>
    <w:basedOn w:val="1"/>
    <w:qFormat/>
    <w:uiPriority w:val="34"/>
    <w:pPr>
      <w:widowControl/>
      <w:ind w:firstLine="420" w:firstLineChars="200"/>
      <w:jc w:val="left"/>
    </w:pPr>
    <w:rPr>
      <w:kern w:val="0"/>
      <w:sz w:val="24"/>
    </w:rPr>
  </w:style>
  <w:style w:type="paragraph" w:customStyle="1" w:styleId="9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92">
    <w:name w:val="标题 5（有编号）（绿盟科技）"/>
    <w:basedOn w:val="1"/>
    <w:next w:val="91"/>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93">
    <w:name w:val="索引 11"/>
    <w:basedOn w:val="1"/>
    <w:next w:val="1"/>
    <w:qFormat/>
    <w:uiPriority w:val="0"/>
    <w:pPr>
      <w:spacing w:line="360" w:lineRule="auto"/>
    </w:pPr>
    <w:rPr>
      <w:rFonts w:ascii="仿宋_GB2312" w:eastAsia="仿宋_GB2312"/>
      <w:sz w:val="24"/>
      <w:szCs w:val="20"/>
    </w:rPr>
  </w:style>
  <w:style w:type="paragraph" w:customStyle="1" w:styleId="9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95">
    <w:name w:val="WPS Plain"/>
    <w:qFormat/>
    <w:uiPriority w:val="0"/>
    <w:rPr>
      <w:rFonts w:ascii="Times New Roman" w:hAnsi="Times New Roman" w:eastAsia="宋体" w:cs="Times New Roman"/>
      <w:lang w:val="en-US" w:eastAsia="zh-CN" w:bidi="ar-SA"/>
    </w:rPr>
  </w:style>
  <w:style w:type="paragraph" w:customStyle="1" w:styleId="96">
    <w:name w:val="列出段落2"/>
    <w:basedOn w:val="1"/>
    <w:qFormat/>
    <w:uiPriority w:val="34"/>
    <w:pPr>
      <w:widowControl/>
      <w:adjustRightInd w:val="0"/>
      <w:snapToGrid w:val="0"/>
      <w:spacing w:after="200"/>
      <w:ind w:firstLine="420" w:firstLineChars="200"/>
      <w:jc w:val="left"/>
    </w:pPr>
    <w:rPr>
      <w:rFonts w:ascii="Tahoma" w:hAnsi="Tahoma" w:eastAsia="微软雅黑" w:cs="黑体"/>
      <w:kern w:val="0"/>
      <w:sz w:val="22"/>
    </w:rPr>
  </w:style>
  <w:style w:type="character" w:customStyle="1" w:styleId="97">
    <w:name w:val="font121"/>
    <w:basedOn w:val="37"/>
    <w:qFormat/>
    <w:uiPriority w:val="0"/>
    <w:rPr>
      <w:rFonts w:ascii="Arial" w:hAnsi="Arial" w:cs="Arial"/>
      <w:color w:val="000000"/>
      <w:sz w:val="24"/>
      <w:szCs w:val="24"/>
      <w:u w:val="none"/>
    </w:rPr>
  </w:style>
  <w:style w:type="character" w:customStyle="1" w:styleId="98">
    <w:name w:val="font81"/>
    <w:basedOn w:val="37"/>
    <w:qFormat/>
    <w:uiPriority w:val="0"/>
    <w:rPr>
      <w:rFonts w:hint="eastAsia" w:ascii="微软雅黑 Light" w:hAnsi="微软雅黑 Light" w:eastAsia="微软雅黑 Light" w:cs="微软雅黑 Light"/>
      <w:b/>
      <w:bCs/>
      <w:color w:val="000000"/>
      <w:sz w:val="24"/>
      <w:szCs w:val="24"/>
      <w:u w:val="none"/>
    </w:rPr>
  </w:style>
  <w:style w:type="character" w:customStyle="1" w:styleId="99">
    <w:name w:val="font111"/>
    <w:basedOn w:val="37"/>
    <w:qFormat/>
    <w:uiPriority w:val="0"/>
    <w:rPr>
      <w:rFonts w:hint="eastAsia" w:ascii="微软雅黑 Light" w:hAnsi="微软雅黑 Light" w:eastAsia="微软雅黑 Light" w:cs="微软雅黑 Light"/>
      <w:b/>
      <w:bCs/>
      <w:color w:val="000000"/>
      <w:sz w:val="24"/>
      <w:szCs w:val="24"/>
      <w:u w:val="none"/>
    </w:rPr>
  </w:style>
  <w:style w:type="character" w:customStyle="1" w:styleId="100">
    <w:name w:val="font112"/>
    <w:basedOn w:val="37"/>
    <w:qFormat/>
    <w:uiPriority w:val="0"/>
    <w:rPr>
      <w:rFonts w:hint="eastAsia" w:ascii="宋体" w:hAnsi="宋体" w:eastAsia="宋体" w:cs="宋体"/>
      <w:color w:val="000000"/>
      <w:sz w:val="20"/>
      <w:szCs w:val="20"/>
      <w:u w:val="none"/>
    </w:rPr>
  </w:style>
  <w:style w:type="table" w:customStyle="1" w:styleId="101">
    <w:name w:val="Table Normal"/>
    <w:unhideWhenUsed/>
    <w:qFormat/>
    <w:uiPriority w:val="0"/>
    <w:tblPr>
      <w:tblCellMar>
        <w:top w:w="0" w:type="dxa"/>
        <w:left w:w="0" w:type="dxa"/>
        <w:bottom w:w="0" w:type="dxa"/>
        <w:right w:w="0" w:type="dxa"/>
      </w:tblCellMar>
    </w:tblPr>
  </w:style>
  <w:style w:type="paragraph" w:customStyle="1" w:styleId="102">
    <w:name w:val="正文格式"/>
    <w:basedOn w:val="1"/>
    <w:qFormat/>
    <w:uiPriority w:val="99"/>
    <w:pPr>
      <w:widowControl/>
      <w:adjustRightInd w:val="0"/>
      <w:snapToGrid w:val="0"/>
      <w:spacing w:line="400" w:lineRule="atLeast"/>
      <w:ind w:firstLine="482"/>
      <w:textAlignment w:val="baseline"/>
    </w:pPr>
  </w:style>
  <w:style w:type="paragraph" w:customStyle="1" w:styleId="103">
    <w:name w:val="无间隔1"/>
    <w:qFormat/>
    <w:uiPriority w:val="0"/>
    <w:pPr>
      <w:spacing w:after="200" w:line="276" w:lineRule="auto"/>
    </w:pPr>
    <w:rPr>
      <w:rFonts w:ascii="Calibri" w:hAnsi="Calibri" w:eastAsia="宋体" w:cs="Times New Roman"/>
      <w:sz w:val="22"/>
      <w:szCs w:val="22"/>
      <w:lang w:val="en-US" w:eastAsia="zh-CN" w:bidi="ar-SA"/>
    </w:rPr>
  </w:style>
  <w:style w:type="paragraph" w:customStyle="1" w:styleId="104">
    <w:name w:val="Normal_0"/>
    <w:qFormat/>
    <w:uiPriority w:val="0"/>
    <w:rPr>
      <w:rFonts w:ascii="黑体" w:hAnsi="黑体" w:eastAsia="黑体" w:cs="Times New Roman"/>
      <w:b/>
      <w:sz w:val="32"/>
      <w:szCs w:val="24"/>
      <w:lang w:val="en-US" w:eastAsia="zh-CN" w:bidi="ar-SA"/>
    </w:rPr>
  </w:style>
  <w:style w:type="paragraph" w:customStyle="1" w:styleId="105">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39881</Words>
  <Characters>42913</Characters>
  <Lines>386</Lines>
  <Paragraphs>108</Paragraphs>
  <TotalTime>14</TotalTime>
  <ScaleCrop>false</ScaleCrop>
  <LinksUpToDate>false</LinksUpToDate>
  <CharactersWithSpaces>48052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2021-01-08T05:06:00Z</dcterms:created>
  <dc:creator>USER-</dc:creator>
  <cp:lastModifiedBy>1</cp:lastModifiedBy>
  <cp:lastPrinted>2024-07-11T10:53:00Z</cp:lastPrinted>
  <dcterms:modified xsi:type="dcterms:W3CDTF">2025-03-03T11:27:09Z</dcterms:modified>
  <dc:title>02年杜范本稿</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A166361C15A94D4DA16A883612337F10_13</vt:lpwstr>
  </property>
  <property fmtid="{D5CDD505-2E9C-101B-9397-08002B2CF9AE}" pid="4" name="KSOTemplateDocerSaveRecord">
    <vt:lpwstr>eyJoZGlkIjoiYTg2MWU1NGFhNmU5NDk5ZDU1YmY2YjNjOWM0NTQ1MzAifQ==</vt:lpwstr>
  </property>
</Properties>
</file>