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92F122">
      <w:pPr>
        <w:pStyle w:val="6"/>
        <w:spacing w:line="399" w:lineRule="auto"/>
        <w:rPr>
          <w:color w:val="auto"/>
          <w:highlight w:val="none"/>
        </w:rPr>
      </w:pPr>
    </w:p>
    <w:p w14:paraId="32290903">
      <w:pPr>
        <w:pStyle w:val="6"/>
        <w:spacing w:line="260" w:lineRule="auto"/>
        <w:rPr>
          <w:color w:val="auto"/>
          <w:highlight w:val="none"/>
        </w:rPr>
      </w:pPr>
    </w:p>
    <w:p w14:paraId="2EB2F882">
      <w:pPr>
        <w:pStyle w:val="6"/>
        <w:spacing w:line="260" w:lineRule="auto"/>
        <w:rPr>
          <w:color w:val="auto"/>
          <w:highlight w:val="none"/>
        </w:rPr>
      </w:pPr>
    </w:p>
    <w:p w14:paraId="100F9A7D">
      <w:pPr>
        <w:pStyle w:val="6"/>
        <w:spacing w:line="260" w:lineRule="auto"/>
        <w:rPr>
          <w:color w:val="auto"/>
          <w:highlight w:val="none"/>
        </w:rPr>
      </w:pPr>
    </w:p>
    <w:p w14:paraId="4C8403B9">
      <w:pPr>
        <w:pStyle w:val="6"/>
        <w:spacing w:line="260" w:lineRule="auto"/>
        <w:rPr>
          <w:color w:val="auto"/>
          <w:highlight w:val="none"/>
        </w:rPr>
      </w:pPr>
    </w:p>
    <w:p w14:paraId="140394A9">
      <w:pPr>
        <w:spacing w:line="240" w:lineRule="auto"/>
        <w:ind w:left="0" w:right="0" w:firstLine="0"/>
        <w:jc w:val="center"/>
        <w:outlineLvl w:val="0"/>
        <w:rPr>
          <w:rFonts w:hint="eastAsia" w:ascii="微软雅黑" w:hAnsi="微软雅黑" w:eastAsia="微软雅黑" w:cs="微软雅黑"/>
          <w:color w:val="auto"/>
          <w:sz w:val="52"/>
          <w:szCs w:val="52"/>
          <w:highlight w:val="none"/>
          <w:lang w:eastAsia="zh-CN"/>
        </w:rPr>
      </w:pPr>
      <w:r>
        <w:rPr>
          <w:rFonts w:hint="eastAsia" w:ascii="微软雅黑" w:hAnsi="微软雅黑" w:eastAsia="微软雅黑" w:cs="微软雅黑"/>
          <w:b/>
          <w:bCs/>
          <w:color w:val="auto"/>
          <w:spacing w:val="-4"/>
          <w:sz w:val="52"/>
          <w:szCs w:val="52"/>
          <w:highlight w:val="none"/>
          <w:lang w:eastAsia="zh-CN"/>
        </w:rPr>
        <w:t>乌恰县2025年“三北”工程林草湿荒一体化保护修复（退化草原修复）项目</w:t>
      </w:r>
    </w:p>
    <w:p w14:paraId="1ABB68CD">
      <w:pPr>
        <w:pStyle w:val="6"/>
        <w:spacing w:line="329" w:lineRule="auto"/>
        <w:rPr>
          <w:color w:val="auto"/>
          <w:highlight w:val="none"/>
        </w:rPr>
      </w:pPr>
    </w:p>
    <w:p w14:paraId="27473FD5">
      <w:pPr>
        <w:spacing w:before="120" w:line="183" w:lineRule="auto"/>
        <w:ind w:left="2678"/>
        <w:rPr>
          <w:rFonts w:hint="default" w:ascii="微软雅黑" w:hAnsi="微软雅黑" w:eastAsia="微软雅黑" w:cs="微软雅黑"/>
          <w:color w:val="auto"/>
          <w:sz w:val="28"/>
          <w:szCs w:val="28"/>
          <w:highlight w:val="none"/>
          <w:lang w:val="en-US" w:eastAsia="zh-CN"/>
        </w:rPr>
      </w:pPr>
      <w:r>
        <w:rPr>
          <w:rFonts w:ascii="微软雅黑" w:hAnsi="微软雅黑" w:eastAsia="微软雅黑" w:cs="微软雅黑"/>
          <w:b/>
          <w:bCs/>
          <w:color w:val="auto"/>
          <w:spacing w:val="-23"/>
          <w:w w:val="97"/>
          <w:sz w:val="28"/>
          <w:szCs w:val="28"/>
          <w:highlight w:val="none"/>
        </w:rPr>
        <w:t>项目编号：</w:t>
      </w:r>
      <w:r>
        <w:rPr>
          <w:rFonts w:hint="eastAsia" w:ascii="微软雅黑" w:hAnsi="微软雅黑" w:eastAsia="微软雅黑" w:cs="微软雅黑"/>
          <w:b/>
          <w:bCs/>
          <w:color w:val="auto"/>
          <w:spacing w:val="-23"/>
          <w:w w:val="97"/>
          <w:sz w:val="28"/>
          <w:szCs w:val="28"/>
          <w:highlight w:val="none"/>
          <w:lang w:eastAsia="zh-CN"/>
        </w:rPr>
        <w:t>WQZFCG(ZB)-2025-</w:t>
      </w:r>
      <w:r>
        <w:rPr>
          <w:rFonts w:hint="eastAsia" w:ascii="微软雅黑" w:hAnsi="微软雅黑" w:eastAsia="微软雅黑" w:cs="微软雅黑"/>
          <w:b/>
          <w:bCs/>
          <w:color w:val="auto"/>
          <w:spacing w:val="-23"/>
          <w:w w:val="97"/>
          <w:sz w:val="28"/>
          <w:szCs w:val="28"/>
          <w:highlight w:val="none"/>
          <w:lang w:val="en-US" w:eastAsia="zh-CN"/>
        </w:rPr>
        <w:t>018</w:t>
      </w:r>
    </w:p>
    <w:p w14:paraId="711BEEBD">
      <w:pPr>
        <w:pStyle w:val="6"/>
        <w:spacing w:line="246" w:lineRule="auto"/>
        <w:rPr>
          <w:color w:val="auto"/>
          <w:highlight w:val="none"/>
        </w:rPr>
      </w:pPr>
    </w:p>
    <w:p w14:paraId="64581995">
      <w:pPr>
        <w:pStyle w:val="6"/>
        <w:spacing w:line="247" w:lineRule="auto"/>
        <w:rPr>
          <w:color w:val="auto"/>
          <w:highlight w:val="none"/>
        </w:rPr>
      </w:pPr>
    </w:p>
    <w:p w14:paraId="5DB57B20">
      <w:pPr>
        <w:pStyle w:val="6"/>
        <w:spacing w:line="247" w:lineRule="auto"/>
        <w:rPr>
          <w:color w:val="auto"/>
          <w:highlight w:val="none"/>
        </w:rPr>
      </w:pPr>
    </w:p>
    <w:p w14:paraId="674EAF72">
      <w:pPr>
        <w:pStyle w:val="6"/>
        <w:spacing w:line="247" w:lineRule="auto"/>
        <w:rPr>
          <w:color w:val="auto"/>
          <w:highlight w:val="none"/>
        </w:rPr>
      </w:pPr>
    </w:p>
    <w:p w14:paraId="6F507BCC">
      <w:pPr>
        <w:pStyle w:val="6"/>
        <w:spacing w:line="247" w:lineRule="auto"/>
        <w:rPr>
          <w:color w:val="auto"/>
          <w:highlight w:val="none"/>
        </w:rPr>
      </w:pPr>
      <w:r>
        <w:rPr>
          <w:color w:val="auto"/>
          <w:highlight w:val="none"/>
        </w:rPr>
        <w:pict>
          <v:shape id="_x0000_s1026" o:spid="_x0000_s1026" o:spt="202" type="#_x0000_t202" style="position:absolute;left:0pt;margin-left:202.65pt;margin-top:5.2pt;height:178.9pt;width:47.95pt;z-index:251661312;mso-width-relative:page;mso-height-relative:page;" filled="f" stroked="f" coordsize="21600,21600">
            <v:path/>
            <v:fill on="f" focussize="0,0"/>
            <v:stroke on="f"/>
            <v:imagedata o:title=""/>
            <o:lock v:ext="edit" aspectratio="f"/>
            <v:textbox inset="0mm,0mm,0mm,0mm" style="layout-flow:vertical-ideographic;">
              <w:txbxContent>
                <w:p w14:paraId="7DE5A6E9">
                  <w:pPr>
                    <w:spacing w:before="22" w:line="173" w:lineRule="auto"/>
                    <w:ind w:left="20"/>
                    <w:outlineLvl w:val="0"/>
                    <w:rPr>
                      <w:rFonts w:ascii="微软雅黑" w:hAnsi="微软雅黑" w:eastAsia="微软雅黑" w:cs="微软雅黑"/>
                      <w:sz w:val="72"/>
                      <w:szCs w:val="72"/>
                    </w:rPr>
                  </w:pPr>
                  <w:r>
                    <w:rPr>
                      <w:rFonts w:ascii="微软雅黑" w:hAnsi="微软雅黑" w:eastAsia="微软雅黑" w:cs="微软雅黑"/>
                      <w:b/>
                      <w:bCs/>
                      <w:spacing w:val="164"/>
                      <w:sz w:val="72"/>
                      <w:szCs w:val="72"/>
                    </w:rPr>
                    <w:t>招标文件</w:t>
                  </w:r>
                </w:p>
              </w:txbxContent>
            </v:textbox>
          </v:shape>
        </w:pict>
      </w:r>
    </w:p>
    <w:p w14:paraId="7D544C1A">
      <w:pPr>
        <w:pStyle w:val="6"/>
        <w:spacing w:line="247" w:lineRule="auto"/>
        <w:rPr>
          <w:color w:val="auto"/>
          <w:highlight w:val="none"/>
        </w:rPr>
      </w:pPr>
    </w:p>
    <w:p w14:paraId="6E6583EF">
      <w:pPr>
        <w:pStyle w:val="6"/>
        <w:spacing w:line="247" w:lineRule="auto"/>
        <w:rPr>
          <w:color w:val="auto"/>
          <w:highlight w:val="none"/>
        </w:rPr>
      </w:pPr>
    </w:p>
    <w:p w14:paraId="0D6A4C6C">
      <w:pPr>
        <w:pStyle w:val="6"/>
        <w:spacing w:line="247" w:lineRule="auto"/>
        <w:rPr>
          <w:color w:val="auto"/>
          <w:highlight w:val="none"/>
        </w:rPr>
      </w:pPr>
    </w:p>
    <w:p w14:paraId="355D9129">
      <w:pPr>
        <w:pStyle w:val="6"/>
        <w:spacing w:line="247" w:lineRule="auto"/>
        <w:rPr>
          <w:color w:val="auto"/>
          <w:highlight w:val="none"/>
        </w:rPr>
      </w:pPr>
    </w:p>
    <w:p w14:paraId="5208186B">
      <w:pPr>
        <w:pStyle w:val="6"/>
        <w:spacing w:line="247" w:lineRule="auto"/>
        <w:rPr>
          <w:color w:val="auto"/>
          <w:highlight w:val="none"/>
        </w:rPr>
      </w:pPr>
    </w:p>
    <w:p w14:paraId="1C64A54E">
      <w:pPr>
        <w:pStyle w:val="6"/>
        <w:spacing w:line="247" w:lineRule="auto"/>
        <w:rPr>
          <w:color w:val="auto"/>
          <w:highlight w:val="none"/>
        </w:rPr>
      </w:pPr>
    </w:p>
    <w:p w14:paraId="2E6B3751">
      <w:pPr>
        <w:pStyle w:val="6"/>
        <w:spacing w:line="247" w:lineRule="auto"/>
        <w:rPr>
          <w:color w:val="auto"/>
          <w:highlight w:val="none"/>
        </w:rPr>
      </w:pPr>
    </w:p>
    <w:p w14:paraId="63E8F882">
      <w:pPr>
        <w:pStyle w:val="6"/>
        <w:spacing w:line="247" w:lineRule="auto"/>
        <w:rPr>
          <w:color w:val="auto"/>
          <w:highlight w:val="none"/>
        </w:rPr>
      </w:pPr>
    </w:p>
    <w:p w14:paraId="5AAC832F">
      <w:pPr>
        <w:pStyle w:val="6"/>
        <w:spacing w:line="247" w:lineRule="auto"/>
        <w:rPr>
          <w:color w:val="auto"/>
          <w:highlight w:val="none"/>
        </w:rPr>
      </w:pPr>
    </w:p>
    <w:p w14:paraId="2D20DE17">
      <w:pPr>
        <w:pStyle w:val="6"/>
        <w:spacing w:line="247" w:lineRule="auto"/>
        <w:rPr>
          <w:color w:val="auto"/>
          <w:highlight w:val="none"/>
        </w:rPr>
      </w:pPr>
    </w:p>
    <w:p w14:paraId="58066DD6">
      <w:pPr>
        <w:pStyle w:val="6"/>
        <w:spacing w:line="247" w:lineRule="auto"/>
        <w:rPr>
          <w:color w:val="auto"/>
          <w:highlight w:val="none"/>
        </w:rPr>
      </w:pPr>
    </w:p>
    <w:p w14:paraId="54504588">
      <w:pPr>
        <w:pStyle w:val="6"/>
        <w:spacing w:line="247" w:lineRule="auto"/>
        <w:rPr>
          <w:color w:val="auto"/>
          <w:highlight w:val="none"/>
        </w:rPr>
      </w:pPr>
    </w:p>
    <w:p w14:paraId="212B6953">
      <w:pPr>
        <w:pStyle w:val="6"/>
        <w:spacing w:line="247" w:lineRule="auto"/>
        <w:rPr>
          <w:color w:val="auto"/>
          <w:highlight w:val="none"/>
        </w:rPr>
      </w:pPr>
    </w:p>
    <w:p w14:paraId="630EE3FF">
      <w:pPr>
        <w:pStyle w:val="6"/>
        <w:spacing w:line="247" w:lineRule="auto"/>
        <w:rPr>
          <w:color w:val="auto"/>
          <w:highlight w:val="none"/>
        </w:rPr>
      </w:pPr>
    </w:p>
    <w:p w14:paraId="0F6ACE20">
      <w:pPr>
        <w:pStyle w:val="6"/>
        <w:spacing w:line="247" w:lineRule="auto"/>
        <w:rPr>
          <w:color w:val="auto"/>
          <w:highlight w:val="none"/>
        </w:rPr>
      </w:pPr>
    </w:p>
    <w:p w14:paraId="5CB09557">
      <w:pPr>
        <w:pStyle w:val="6"/>
        <w:spacing w:line="247" w:lineRule="auto"/>
        <w:rPr>
          <w:color w:val="auto"/>
          <w:highlight w:val="none"/>
        </w:rPr>
      </w:pPr>
    </w:p>
    <w:p w14:paraId="569B212F">
      <w:pPr>
        <w:pStyle w:val="6"/>
        <w:spacing w:line="247" w:lineRule="auto"/>
        <w:rPr>
          <w:color w:val="auto"/>
          <w:highlight w:val="none"/>
        </w:rPr>
      </w:pPr>
    </w:p>
    <w:p w14:paraId="283B4F5F">
      <w:pPr>
        <w:pStyle w:val="6"/>
        <w:spacing w:line="247" w:lineRule="auto"/>
        <w:rPr>
          <w:color w:val="auto"/>
          <w:highlight w:val="none"/>
        </w:rPr>
      </w:pPr>
    </w:p>
    <w:p w14:paraId="7A87EDE5">
      <w:pPr>
        <w:pStyle w:val="6"/>
        <w:spacing w:line="247" w:lineRule="auto"/>
        <w:rPr>
          <w:color w:val="auto"/>
          <w:highlight w:val="none"/>
        </w:rPr>
      </w:pPr>
    </w:p>
    <w:p w14:paraId="5C031B7D">
      <w:pPr>
        <w:spacing w:before="120" w:line="184" w:lineRule="auto"/>
        <w:ind w:left="1026"/>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招</w:t>
      </w:r>
      <w:r>
        <w:rPr>
          <w:rFonts w:ascii="微软雅黑" w:hAnsi="微软雅黑" w:eastAsia="微软雅黑" w:cs="微软雅黑"/>
          <w:b/>
          <w:bCs/>
          <w:color w:val="auto"/>
          <w:spacing w:val="79"/>
          <w:sz w:val="28"/>
          <w:szCs w:val="28"/>
          <w:highlight w:val="none"/>
        </w:rPr>
        <w:t xml:space="preserve"> </w:t>
      </w:r>
      <w:r>
        <w:rPr>
          <w:rFonts w:ascii="微软雅黑" w:hAnsi="微软雅黑" w:eastAsia="微软雅黑" w:cs="微软雅黑"/>
          <w:b/>
          <w:bCs/>
          <w:color w:val="auto"/>
          <w:spacing w:val="-5"/>
          <w:sz w:val="28"/>
          <w:szCs w:val="28"/>
          <w:highlight w:val="none"/>
        </w:rPr>
        <w:t>标</w:t>
      </w:r>
      <w:r>
        <w:rPr>
          <w:rFonts w:ascii="微软雅黑" w:hAnsi="微软雅黑" w:eastAsia="微软雅黑" w:cs="微软雅黑"/>
          <w:b/>
          <w:bCs/>
          <w:color w:val="auto"/>
          <w:spacing w:val="80"/>
          <w:sz w:val="28"/>
          <w:szCs w:val="28"/>
          <w:highlight w:val="none"/>
        </w:rPr>
        <w:t xml:space="preserve"> </w:t>
      </w:r>
      <w:r>
        <w:rPr>
          <w:rFonts w:ascii="微软雅黑" w:hAnsi="微软雅黑" w:eastAsia="微软雅黑" w:cs="微软雅黑"/>
          <w:b/>
          <w:bCs/>
          <w:color w:val="auto"/>
          <w:spacing w:val="-5"/>
          <w:sz w:val="28"/>
          <w:szCs w:val="28"/>
          <w:highlight w:val="none"/>
        </w:rPr>
        <w:t>人：乌恰县自然资源局（盖章）</w:t>
      </w:r>
    </w:p>
    <w:p w14:paraId="4F089722">
      <w:pPr>
        <w:pStyle w:val="6"/>
        <w:spacing w:line="417" w:lineRule="auto"/>
        <w:rPr>
          <w:color w:val="auto"/>
          <w:highlight w:val="none"/>
        </w:rPr>
      </w:pPr>
    </w:p>
    <w:p w14:paraId="4D1D944C">
      <w:pPr>
        <w:spacing w:before="120" w:line="188" w:lineRule="auto"/>
        <w:ind w:left="1028"/>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9"/>
          <w:sz w:val="28"/>
          <w:szCs w:val="28"/>
          <w:highlight w:val="none"/>
        </w:rPr>
        <w:t>项目负责人：孙先生                              联系电话：18299709168</w:t>
      </w:r>
    </w:p>
    <w:p w14:paraId="708F1CEF">
      <w:pPr>
        <w:pStyle w:val="6"/>
        <w:spacing w:line="263" w:lineRule="auto"/>
        <w:rPr>
          <w:color w:val="auto"/>
          <w:highlight w:val="none"/>
        </w:rPr>
      </w:pPr>
    </w:p>
    <w:p w14:paraId="6B0E9605">
      <w:pPr>
        <w:pStyle w:val="6"/>
        <w:spacing w:line="264" w:lineRule="auto"/>
        <w:rPr>
          <w:color w:val="auto"/>
          <w:highlight w:val="none"/>
        </w:rPr>
      </w:pPr>
    </w:p>
    <w:p w14:paraId="5434EC8C">
      <w:pPr>
        <w:spacing w:before="121" w:line="184" w:lineRule="auto"/>
        <w:ind w:left="1032"/>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代理机构：</w:t>
      </w:r>
      <w:r>
        <w:rPr>
          <w:rFonts w:hint="eastAsia" w:ascii="微软雅黑" w:hAnsi="微软雅黑" w:eastAsia="微软雅黑" w:cs="微软雅黑"/>
          <w:b/>
          <w:bCs/>
          <w:color w:val="auto"/>
          <w:spacing w:val="-2"/>
          <w:sz w:val="28"/>
          <w:szCs w:val="28"/>
          <w:highlight w:val="none"/>
          <w:lang w:eastAsia="zh-CN"/>
        </w:rPr>
        <w:t>新疆丰颢源工程管理咨询有限公司</w:t>
      </w:r>
      <w:r>
        <w:rPr>
          <w:rFonts w:ascii="微软雅黑" w:hAnsi="微软雅黑" w:eastAsia="微软雅黑" w:cs="微软雅黑"/>
          <w:b/>
          <w:bCs/>
          <w:color w:val="auto"/>
          <w:spacing w:val="-2"/>
          <w:sz w:val="28"/>
          <w:szCs w:val="28"/>
          <w:highlight w:val="none"/>
        </w:rPr>
        <w:t>（盖章）</w:t>
      </w:r>
    </w:p>
    <w:p w14:paraId="18340922">
      <w:pPr>
        <w:pStyle w:val="6"/>
        <w:spacing w:line="417" w:lineRule="auto"/>
        <w:rPr>
          <w:color w:val="auto"/>
          <w:highlight w:val="none"/>
        </w:rPr>
      </w:pPr>
    </w:p>
    <w:p w14:paraId="2EBD739B">
      <w:pPr>
        <w:spacing w:before="120" w:line="188" w:lineRule="auto"/>
        <w:ind w:left="1028"/>
        <w:rPr>
          <w:rFonts w:hint="eastAsia" w:ascii="微软雅黑" w:hAnsi="微软雅黑" w:eastAsia="微软雅黑" w:cs="微软雅黑"/>
          <w:color w:val="auto"/>
          <w:sz w:val="28"/>
          <w:szCs w:val="28"/>
          <w:highlight w:val="none"/>
          <w:lang w:eastAsia="zh-CN"/>
        </w:rPr>
      </w:pPr>
      <w:r>
        <w:rPr>
          <w:rFonts w:ascii="微软雅黑" w:hAnsi="微软雅黑" w:eastAsia="微软雅黑" w:cs="微软雅黑"/>
          <w:b/>
          <w:bCs/>
          <w:color w:val="auto"/>
          <w:spacing w:val="-7"/>
          <w:sz w:val="28"/>
          <w:szCs w:val="28"/>
          <w:highlight w:val="none"/>
        </w:rPr>
        <w:t>项目负责人：</w:t>
      </w:r>
      <w:r>
        <w:rPr>
          <w:rFonts w:hint="eastAsia" w:ascii="微软雅黑" w:hAnsi="微软雅黑" w:eastAsia="微软雅黑" w:cs="微软雅黑"/>
          <w:b/>
          <w:bCs/>
          <w:color w:val="auto"/>
          <w:spacing w:val="-7"/>
          <w:sz w:val="28"/>
          <w:szCs w:val="28"/>
          <w:highlight w:val="none"/>
          <w:lang w:eastAsia="zh-CN"/>
        </w:rPr>
        <w:t>张先生</w:t>
      </w:r>
      <w:r>
        <w:rPr>
          <w:rFonts w:ascii="微软雅黑" w:hAnsi="微软雅黑" w:eastAsia="微软雅黑" w:cs="微软雅黑"/>
          <w:b/>
          <w:bCs/>
          <w:color w:val="auto"/>
          <w:spacing w:val="-7"/>
          <w:sz w:val="28"/>
          <w:szCs w:val="28"/>
          <w:highlight w:val="none"/>
        </w:rPr>
        <w:t xml:space="preserve">             </w:t>
      </w:r>
      <w:r>
        <w:rPr>
          <w:rFonts w:ascii="微软雅黑" w:hAnsi="微软雅黑" w:eastAsia="微软雅黑" w:cs="微软雅黑"/>
          <w:b/>
          <w:bCs/>
          <w:color w:val="auto"/>
          <w:spacing w:val="-8"/>
          <w:sz w:val="28"/>
          <w:szCs w:val="28"/>
          <w:highlight w:val="none"/>
        </w:rPr>
        <w:t xml:space="preserve">                 联系电话:  </w:t>
      </w:r>
      <w:r>
        <w:rPr>
          <w:rFonts w:hint="eastAsia" w:ascii="微软雅黑" w:hAnsi="微软雅黑" w:eastAsia="微软雅黑" w:cs="微软雅黑"/>
          <w:b/>
          <w:bCs/>
          <w:color w:val="auto"/>
          <w:spacing w:val="-8"/>
          <w:sz w:val="28"/>
          <w:szCs w:val="28"/>
          <w:highlight w:val="none"/>
          <w:lang w:eastAsia="zh-CN"/>
        </w:rPr>
        <w:t>18652955232</w:t>
      </w:r>
    </w:p>
    <w:p w14:paraId="49C3DA84">
      <w:pPr>
        <w:pStyle w:val="6"/>
        <w:spacing w:line="264" w:lineRule="auto"/>
        <w:rPr>
          <w:color w:val="auto"/>
          <w:highlight w:val="none"/>
        </w:rPr>
      </w:pPr>
    </w:p>
    <w:p w14:paraId="7755F2AF">
      <w:pPr>
        <w:pStyle w:val="6"/>
        <w:spacing w:line="264" w:lineRule="auto"/>
        <w:rPr>
          <w:color w:val="auto"/>
          <w:highlight w:val="none"/>
        </w:rPr>
      </w:pPr>
    </w:p>
    <w:p w14:paraId="45767E77">
      <w:pPr>
        <w:spacing w:before="121" w:line="188" w:lineRule="auto"/>
        <w:ind w:left="1086"/>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30"/>
          <w:sz w:val="28"/>
          <w:szCs w:val="28"/>
          <w:highlight w:val="none"/>
        </w:rPr>
        <w:t>日期：202</w:t>
      </w:r>
      <w:r>
        <w:rPr>
          <w:rFonts w:hint="eastAsia" w:ascii="微软雅黑" w:hAnsi="微软雅黑" w:eastAsia="微软雅黑" w:cs="微软雅黑"/>
          <w:b/>
          <w:bCs/>
          <w:color w:val="auto"/>
          <w:spacing w:val="-30"/>
          <w:sz w:val="28"/>
          <w:szCs w:val="28"/>
          <w:highlight w:val="none"/>
          <w:lang w:val="en-US" w:eastAsia="zh-CN"/>
        </w:rPr>
        <w:t>5</w:t>
      </w:r>
      <w:r>
        <w:rPr>
          <w:rFonts w:ascii="微软雅黑" w:hAnsi="微软雅黑" w:eastAsia="微软雅黑" w:cs="微软雅黑"/>
          <w:b/>
          <w:bCs/>
          <w:color w:val="auto"/>
          <w:spacing w:val="11"/>
          <w:sz w:val="28"/>
          <w:szCs w:val="28"/>
          <w:highlight w:val="none"/>
        </w:rPr>
        <w:t xml:space="preserve"> </w:t>
      </w:r>
      <w:r>
        <w:rPr>
          <w:rFonts w:ascii="微软雅黑" w:hAnsi="微软雅黑" w:eastAsia="微软雅黑" w:cs="微软雅黑"/>
          <w:b/>
          <w:bCs/>
          <w:color w:val="auto"/>
          <w:spacing w:val="-30"/>
          <w:sz w:val="28"/>
          <w:szCs w:val="28"/>
          <w:highlight w:val="none"/>
        </w:rPr>
        <w:t>年</w:t>
      </w:r>
      <w:r>
        <w:rPr>
          <w:rFonts w:ascii="微软雅黑" w:hAnsi="微软雅黑" w:eastAsia="微软雅黑" w:cs="微软雅黑"/>
          <w:b/>
          <w:bCs/>
          <w:color w:val="auto"/>
          <w:spacing w:val="17"/>
          <w:sz w:val="28"/>
          <w:szCs w:val="28"/>
          <w:highlight w:val="none"/>
        </w:rPr>
        <w:t xml:space="preserve"> </w:t>
      </w:r>
      <w:r>
        <w:rPr>
          <w:rFonts w:hint="eastAsia" w:ascii="微软雅黑" w:hAnsi="微软雅黑" w:eastAsia="微软雅黑" w:cs="微软雅黑"/>
          <w:b/>
          <w:bCs/>
          <w:color w:val="auto"/>
          <w:spacing w:val="-30"/>
          <w:sz w:val="28"/>
          <w:szCs w:val="28"/>
          <w:highlight w:val="none"/>
          <w:lang w:val="en-US" w:eastAsia="zh-CN"/>
        </w:rPr>
        <w:t>03</w:t>
      </w:r>
      <w:r>
        <w:rPr>
          <w:rFonts w:ascii="微软雅黑" w:hAnsi="微软雅黑" w:eastAsia="微软雅黑" w:cs="微软雅黑"/>
          <w:b/>
          <w:bCs/>
          <w:color w:val="auto"/>
          <w:spacing w:val="18"/>
          <w:sz w:val="28"/>
          <w:szCs w:val="28"/>
          <w:highlight w:val="none"/>
        </w:rPr>
        <w:t xml:space="preserve"> </w:t>
      </w:r>
      <w:r>
        <w:rPr>
          <w:rFonts w:ascii="微软雅黑" w:hAnsi="微软雅黑" w:eastAsia="微软雅黑" w:cs="微软雅黑"/>
          <w:b/>
          <w:bCs/>
          <w:color w:val="auto"/>
          <w:spacing w:val="-30"/>
          <w:sz w:val="28"/>
          <w:szCs w:val="28"/>
          <w:highlight w:val="none"/>
        </w:rPr>
        <w:t>月</w:t>
      </w:r>
    </w:p>
    <w:p w14:paraId="25473129">
      <w:pPr>
        <w:spacing w:line="188" w:lineRule="auto"/>
        <w:rPr>
          <w:rFonts w:ascii="微软雅黑" w:hAnsi="微软雅黑" w:eastAsia="微软雅黑" w:cs="微软雅黑"/>
          <w:color w:val="auto"/>
          <w:sz w:val="28"/>
          <w:szCs w:val="28"/>
          <w:highlight w:val="none"/>
        </w:rPr>
        <w:sectPr>
          <w:headerReference r:id="rId5" w:type="default"/>
          <w:pgSz w:w="11907" w:h="16840"/>
          <w:pgMar w:top="400" w:right="1056" w:bottom="0" w:left="1334" w:header="0" w:footer="0" w:gutter="0"/>
          <w:cols w:space="720" w:num="1"/>
        </w:sectPr>
      </w:pPr>
    </w:p>
    <w:sdt>
      <w:sdtPr>
        <w:rPr>
          <w:rFonts w:ascii="微软雅黑" w:hAnsi="微软雅黑" w:eastAsia="微软雅黑" w:cs="微软雅黑"/>
          <w:color w:val="auto"/>
          <w:sz w:val="36"/>
          <w:szCs w:val="36"/>
          <w:highlight w:val="none"/>
        </w:rPr>
        <w:id w:val="147452484"/>
        <w:docPartObj>
          <w:docPartGallery w:val="Table of Contents"/>
          <w:docPartUnique/>
        </w:docPartObj>
      </w:sdtPr>
      <w:sdtEndPr>
        <w:rPr>
          <w:rFonts w:ascii="Times New Roman" w:hAnsi="Times New Roman" w:eastAsia="Times New Roman" w:cs="Times New Roman"/>
          <w:color w:val="auto"/>
          <w:sz w:val="21"/>
          <w:szCs w:val="21"/>
          <w:highlight w:val="none"/>
        </w:rPr>
      </w:sdtEndPr>
      <w:sdtContent>
        <w:p w14:paraId="3E21ED11">
          <w:pPr>
            <w:spacing w:before="135" w:line="188" w:lineRule="auto"/>
            <w:ind w:left="4449"/>
            <w:rPr>
              <w:rFonts w:ascii="微软雅黑" w:hAnsi="微软雅黑" w:eastAsia="微软雅黑" w:cs="微软雅黑"/>
              <w:color w:val="auto"/>
              <w:sz w:val="36"/>
              <w:szCs w:val="36"/>
              <w:highlight w:val="none"/>
            </w:rPr>
          </w:pPr>
          <w:r>
            <w:rPr>
              <w:rFonts w:ascii="微软雅黑" w:hAnsi="微软雅黑" w:eastAsia="微软雅黑" w:cs="微软雅黑"/>
              <w:b/>
              <w:bCs/>
              <w:color w:val="auto"/>
              <w:spacing w:val="-44"/>
              <w:sz w:val="36"/>
              <w:szCs w:val="36"/>
              <w:highlight w:val="none"/>
            </w:rPr>
            <w:t>目</w:t>
          </w:r>
          <w:r>
            <w:rPr>
              <w:rFonts w:ascii="微软雅黑" w:hAnsi="微软雅黑" w:eastAsia="微软雅黑" w:cs="微软雅黑"/>
              <w:b/>
              <w:bCs/>
              <w:color w:val="auto"/>
              <w:spacing w:val="25"/>
              <w:sz w:val="36"/>
              <w:szCs w:val="36"/>
              <w:highlight w:val="none"/>
            </w:rPr>
            <w:t xml:space="preserve">   </w:t>
          </w:r>
          <w:r>
            <w:rPr>
              <w:rFonts w:ascii="微软雅黑" w:hAnsi="微软雅黑" w:eastAsia="微软雅黑" w:cs="微软雅黑"/>
              <w:b/>
              <w:bCs/>
              <w:color w:val="auto"/>
              <w:spacing w:val="-44"/>
              <w:sz w:val="36"/>
              <w:szCs w:val="36"/>
              <w:highlight w:val="none"/>
            </w:rPr>
            <w:t>录</w:t>
          </w:r>
        </w:p>
        <w:p w14:paraId="3957DD6A">
          <w:pPr>
            <w:pStyle w:val="6"/>
            <w:spacing w:line="324" w:lineRule="auto"/>
            <w:rPr>
              <w:color w:val="auto"/>
              <w:highlight w:val="none"/>
            </w:rPr>
          </w:pPr>
        </w:p>
        <w:p w14:paraId="1A65250E">
          <w:pPr>
            <w:tabs>
              <w:tab w:val="right" w:leader="dot" w:pos="9775"/>
            </w:tabs>
            <w:spacing w:before="90" w:line="170" w:lineRule="auto"/>
            <w:ind w:left="51"/>
            <w:rPr>
              <w:rFonts w:ascii="Times New Roman" w:hAnsi="Times New Roman" w:eastAsia="Times New Roman" w:cs="Times New Roman"/>
              <w:color w:val="auto"/>
              <w:sz w:val="21"/>
              <w:szCs w:val="21"/>
              <w:highlight w:val="none"/>
            </w:rPr>
          </w:pPr>
          <w:bookmarkStart w:id="0" w:name="bookmark1"/>
          <w:bookmarkEnd w:id="0"/>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微软雅黑" w:hAnsi="微软雅黑" w:eastAsia="微软雅黑" w:cs="微软雅黑"/>
              <w:color w:val="auto"/>
              <w:spacing w:val="-5"/>
              <w:sz w:val="21"/>
              <w:szCs w:val="21"/>
              <w:highlight w:val="none"/>
            </w:rPr>
            <w:t>第一部分</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5"/>
              <w:sz w:val="21"/>
              <w:szCs w:val="21"/>
              <w:highlight w:val="none"/>
            </w:rPr>
            <w:t>招标公告</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2D54101D">
          <w:pPr>
            <w:tabs>
              <w:tab w:val="right" w:leader="dot" w:pos="9775"/>
            </w:tabs>
            <w:spacing w:before="56" w:line="170" w:lineRule="auto"/>
            <w:ind w:left="467"/>
            <w:rPr>
              <w:rFonts w:ascii="Times New Roman" w:hAnsi="Times New Roman" w:eastAsia="Times New Roman" w:cs="Times New Roman"/>
              <w:color w:val="auto"/>
              <w:sz w:val="21"/>
              <w:szCs w:val="21"/>
              <w:highlight w:val="none"/>
            </w:rPr>
          </w:pPr>
          <w:bookmarkStart w:id="1" w:name="bookmark3"/>
          <w:bookmarkEnd w:id="1"/>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微软雅黑" w:hAnsi="微软雅黑" w:eastAsia="微软雅黑" w:cs="微软雅黑"/>
              <w:color w:val="auto"/>
              <w:spacing w:val="-4"/>
              <w:sz w:val="21"/>
              <w:szCs w:val="21"/>
              <w:highlight w:val="none"/>
            </w:rPr>
            <w:t>公开招标公告</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73007BE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2" w:name="bookmark5"/>
          <w:bookmarkEnd w:id="2"/>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微软雅黑" w:hAnsi="微软雅黑" w:eastAsia="微软雅黑" w:cs="微软雅黑"/>
              <w:color w:val="auto"/>
              <w:spacing w:val="-4"/>
              <w:sz w:val="21"/>
              <w:szCs w:val="21"/>
              <w:highlight w:val="none"/>
            </w:rPr>
            <w:t xml:space="preserve">一、项目基本情况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75E8722A">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 w:name="bookmark7"/>
          <w:bookmarkEnd w:id="3"/>
          <w:r>
            <w:rPr>
              <w:color w:val="auto"/>
              <w:highlight w:val="none"/>
            </w:rPr>
            <w:fldChar w:fldCharType="begin"/>
          </w:r>
          <w:r>
            <w:rPr>
              <w:color w:val="auto"/>
              <w:highlight w:val="none"/>
            </w:rPr>
            <w:instrText xml:space="preserve"> HYPERLINK \l "bookmark8"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二、申请人的资格要求：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38E3D1B9">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 w:name="bookmark9"/>
          <w:bookmarkEnd w:id="4"/>
          <w:r>
            <w:rPr>
              <w:color w:val="auto"/>
              <w:highlight w:val="none"/>
            </w:rPr>
            <w:fldChar w:fldCharType="begin"/>
          </w:r>
          <w:r>
            <w:rPr>
              <w:color w:val="auto"/>
              <w:highlight w:val="none"/>
            </w:rPr>
            <w:instrText xml:space="preserve"> HYPERLINK \l "bookmark10" </w:instrText>
          </w:r>
          <w:r>
            <w:rPr>
              <w:color w:val="auto"/>
              <w:highlight w:val="none"/>
            </w:rPr>
            <w:fldChar w:fldCharType="separate"/>
          </w:r>
          <w:r>
            <w:rPr>
              <w:rFonts w:ascii="微软雅黑" w:hAnsi="微软雅黑" w:eastAsia="微软雅黑" w:cs="微软雅黑"/>
              <w:color w:val="auto"/>
              <w:spacing w:val="-3"/>
              <w:sz w:val="21"/>
              <w:szCs w:val="21"/>
              <w:highlight w:val="none"/>
            </w:rPr>
            <w:t>三、获取招标文件</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6872344B">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5" w:name="bookmark11"/>
          <w:bookmarkEnd w:id="5"/>
          <w:r>
            <w:rPr>
              <w:color w:val="auto"/>
              <w:highlight w:val="none"/>
            </w:rPr>
            <w:fldChar w:fldCharType="begin"/>
          </w:r>
          <w:r>
            <w:rPr>
              <w:color w:val="auto"/>
              <w:highlight w:val="none"/>
            </w:rPr>
            <w:instrText xml:space="preserve"> HYPERLINK \l "bookmark12" </w:instrText>
          </w:r>
          <w:r>
            <w:rPr>
              <w:color w:val="auto"/>
              <w:highlight w:val="none"/>
            </w:rPr>
            <w:fldChar w:fldCharType="separate"/>
          </w:r>
          <w:r>
            <w:rPr>
              <w:rFonts w:ascii="微软雅黑" w:hAnsi="微软雅黑" w:eastAsia="微软雅黑" w:cs="微软雅黑"/>
              <w:color w:val="auto"/>
              <w:spacing w:val="-2"/>
              <w:sz w:val="21"/>
              <w:szCs w:val="21"/>
              <w:highlight w:val="none"/>
            </w:rPr>
            <w:t>四、提交投标文件截止时间、开标时间和地点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593B064D">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6" w:name="bookmark13"/>
          <w:bookmarkEnd w:id="6"/>
          <w:r>
            <w:rPr>
              <w:color w:val="auto"/>
              <w:highlight w:val="none"/>
            </w:rPr>
            <w:fldChar w:fldCharType="begin"/>
          </w:r>
          <w:r>
            <w:rPr>
              <w:color w:val="auto"/>
              <w:highlight w:val="none"/>
            </w:rPr>
            <w:instrText xml:space="preserve"> HYPERLINK \l "bookmark14" </w:instrText>
          </w:r>
          <w:r>
            <w:rPr>
              <w:color w:val="auto"/>
              <w:highlight w:val="none"/>
            </w:rPr>
            <w:fldChar w:fldCharType="separate"/>
          </w:r>
          <w:r>
            <w:rPr>
              <w:rFonts w:ascii="微软雅黑" w:hAnsi="微软雅黑" w:eastAsia="微软雅黑" w:cs="微软雅黑"/>
              <w:color w:val="auto"/>
              <w:spacing w:val="-3"/>
              <w:sz w:val="21"/>
              <w:szCs w:val="21"/>
              <w:highlight w:val="none"/>
            </w:rPr>
            <w:t>五、公告期限</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24565178">
          <w:pPr>
            <w:tabs>
              <w:tab w:val="right" w:leader="dot" w:pos="9775"/>
            </w:tabs>
            <w:spacing w:before="57" w:line="170" w:lineRule="auto"/>
            <w:ind w:left="464"/>
            <w:rPr>
              <w:rFonts w:ascii="Times New Roman" w:hAnsi="Times New Roman" w:eastAsia="Times New Roman" w:cs="Times New Roman"/>
              <w:color w:val="auto"/>
              <w:sz w:val="21"/>
              <w:szCs w:val="21"/>
              <w:highlight w:val="none"/>
            </w:rPr>
          </w:pPr>
          <w:bookmarkStart w:id="7" w:name="bookmark15"/>
          <w:bookmarkEnd w:id="7"/>
          <w:r>
            <w:rPr>
              <w:color w:val="auto"/>
              <w:highlight w:val="none"/>
            </w:rPr>
            <w:fldChar w:fldCharType="begin"/>
          </w:r>
          <w:r>
            <w:rPr>
              <w:color w:val="auto"/>
              <w:highlight w:val="none"/>
            </w:rPr>
            <w:instrText xml:space="preserve"> HYPERLINK \l "bookmark16" </w:instrText>
          </w:r>
          <w:r>
            <w:rPr>
              <w:color w:val="auto"/>
              <w:highlight w:val="none"/>
            </w:rPr>
            <w:fldChar w:fldCharType="separate"/>
          </w:r>
          <w:r>
            <w:rPr>
              <w:rFonts w:ascii="微软雅黑" w:hAnsi="微软雅黑" w:eastAsia="微软雅黑" w:cs="微软雅黑"/>
              <w:color w:val="auto"/>
              <w:spacing w:val="-2"/>
              <w:sz w:val="21"/>
              <w:szCs w:val="21"/>
              <w:highlight w:val="none"/>
            </w:rPr>
            <w:t>六、其他补充事宜</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7ED1394C">
          <w:pPr>
            <w:tabs>
              <w:tab w:val="right" w:leader="dot" w:pos="9775"/>
            </w:tabs>
            <w:spacing w:before="57" w:line="170" w:lineRule="auto"/>
            <w:ind w:left="467"/>
            <w:rPr>
              <w:rFonts w:ascii="Times New Roman" w:hAnsi="Times New Roman" w:eastAsia="Times New Roman" w:cs="Times New Roman"/>
              <w:color w:val="auto"/>
              <w:sz w:val="21"/>
              <w:szCs w:val="21"/>
              <w:highlight w:val="none"/>
            </w:rPr>
          </w:pPr>
          <w:bookmarkStart w:id="8" w:name="bookmark17"/>
          <w:bookmarkEnd w:id="8"/>
          <w:r>
            <w:rPr>
              <w:color w:val="auto"/>
              <w:highlight w:val="none"/>
            </w:rPr>
            <w:fldChar w:fldCharType="begin"/>
          </w:r>
          <w:r>
            <w:rPr>
              <w:color w:val="auto"/>
              <w:highlight w:val="none"/>
            </w:rPr>
            <w:instrText xml:space="preserve"> HYPERLINK \l "bookmark18" </w:instrText>
          </w:r>
          <w:r>
            <w:rPr>
              <w:color w:val="auto"/>
              <w:highlight w:val="none"/>
            </w:rPr>
            <w:fldChar w:fldCharType="separate"/>
          </w:r>
          <w:r>
            <w:rPr>
              <w:rFonts w:ascii="微软雅黑" w:hAnsi="微软雅黑" w:eastAsia="微软雅黑" w:cs="微软雅黑"/>
              <w:color w:val="auto"/>
              <w:spacing w:val="-1"/>
              <w:sz w:val="21"/>
              <w:szCs w:val="21"/>
              <w:highlight w:val="none"/>
            </w:rPr>
            <w:t>七、对本次采购提出询问，请按以下方式联系</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26ABE7F2">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9" w:name="bookmark19"/>
          <w:bookmarkEnd w:id="9"/>
          <w:r>
            <w:rPr>
              <w:color w:val="auto"/>
              <w:highlight w:val="none"/>
            </w:rPr>
            <w:fldChar w:fldCharType="begin"/>
          </w:r>
          <w:r>
            <w:rPr>
              <w:color w:val="auto"/>
              <w:highlight w:val="none"/>
            </w:rPr>
            <w:instrText xml:space="preserve"> HYPERLINK \l "bookmark20" </w:instrText>
          </w:r>
          <w:r>
            <w:rPr>
              <w:color w:val="auto"/>
              <w:highlight w:val="none"/>
            </w:rPr>
            <w:fldChar w:fldCharType="separate"/>
          </w:r>
          <w:r>
            <w:rPr>
              <w:rFonts w:ascii="微软雅黑" w:hAnsi="微软雅黑" w:eastAsia="微软雅黑" w:cs="微软雅黑"/>
              <w:color w:val="auto"/>
              <w:spacing w:val="-5"/>
              <w:sz w:val="21"/>
              <w:szCs w:val="21"/>
              <w:highlight w:val="none"/>
            </w:rPr>
            <w:t>第二章</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5"/>
              <w:sz w:val="21"/>
              <w:szCs w:val="21"/>
              <w:highlight w:val="none"/>
            </w:rPr>
            <w:t>投标人须知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w:t>
          </w:r>
          <w:r>
            <w:rPr>
              <w:rFonts w:ascii="Times New Roman" w:hAnsi="Times New Roman" w:eastAsia="Times New Roman" w:cs="Times New Roman"/>
              <w:color w:val="auto"/>
              <w:sz w:val="21"/>
              <w:szCs w:val="21"/>
              <w:highlight w:val="none"/>
            </w:rPr>
            <w:fldChar w:fldCharType="end"/>
          </w:r>
        </w:p>
        <w:p w14:paraId="4D7566B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10" w:name="bookmark21"/>
          <w:bookmarkEnd w:id="10"/>
          <w:r>
            <w:rPr>
              <w:color w:val="auto"/>
              <w:highlight w:val="none"/>
            </w:rPr>
            <w:fldChar w:fldCharType="begin"/>
          </w:r>
          <w:r>
            <w:rPr>
              <w:color w:val="auto"/>
              <w:highlight w:val="none"/>
            </w:rPr>
            <w:instrText xml:space="preserve"> HYPERLINK \l "bookmark22"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一、投标人须知前附表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w:t>
          </w:r>
          <w:r>
            <w:rPr>
              <w:rFonts w:ascii="Times New Roman" w:hAnsi="Times New Roman" w:eastAsia="Times New Roman" w:cs="Times New Roman"/>
              <w:color w:val="auto"/>
              <w:sz w:val="21"/>
              <w:szCs w:val="21"/>
              <w:highlight w:val="none"/>
            </w:rPr>
            <w:fldChar w:fldCharType="end"/>
          </w:r>
        </w:p>
        <w:p w14:paraId="1C2F0F45">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11" w:name="bookmark23"/>
          <w:bookmarkEnd w:id="11"/>
          <w:r>
            <w:rPr>
              <w:color w:val="auto"/>
              <w:highlight w:val="none"/>
            </w:rPr>
            <w:fldChar w:fldCharType="begin"/>
          </w:r>
          <w:r>
            <w:rPr>
              <w:color w:val="auto"/>
              <w:highlight w:val="none"/>
            </w:rPr>
            <w:instrText xml:space="preserve"> HYPERLINK \l "bookmark24" </w:instrText>
          </w:r>
          <w:r>
            <w:rPr>
              <w:color w:val="auto"/>
              <w:highlight w:val="none"/>
            </w:rPr>
            <w:fldChar w:fldCharType="separate"/>
          </w:r>
          <w:r>
            <w:rPr>
              <w:rFonts w:ascii="微软雅黑" w:hAnsi="微软雅黑" w:eastAsia="微软雅黑" w:cs="微软雅黑"/>
              <w:color w:val="auto"/>
              <w:spacing w:val="-3"/>
              <w:sz w:val="21"/>
              <w:szCs w:val="21"/>
              <w:highlight w:val="none"/>
            </w:rPr>
            <w:t>二、投标人须知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15</w:t>
          </w:r>
          <w:r>
            <w:rPr>
              <w:rFonts w:ascii="Times New Roman" w:hAnsi="Times New Roman" w:eastAsia="Times New Roman" w:cs="Times New Roman"/>
              <w:color w:val="auto"/>
              <w:sz w:val="21"/>
              <w:szCs w:val="21"/>
              <w:highlight w:val="none"/>
            </w:rPr>
            <w:fldChar w:fldCharType="end"/>
          </w:r>
        </w:p>
        <w:p w14:paraId="1CE7B621">
          <w:pPr>
            <w:tabs>
              <w:tab w:val="right" w:leader="dot" w:pos="9775"/>
            </w:tabs>
            <w:spacing w:before="57" w:line="170" w:lineRule="auto"/>
            <w:ind w:left="463"/>
            <w:rPr>
              <w:rFonts w:ascii="Times New Roman" w:hAnsi="Times New Roman" w:eastAsia="Times New Roman" w:cs="Times New Roman"/>
              <w:color w:val="auto"/>
              <w:sz w:val="21"/>
              <w:szCs w:val="21"/>
              <w:highlight w:val="none"/>
            </w:rPr>
          </w:pPr>
          <w:bookmarkStart w:id="12" w:name="bookmark25"/>
          <w:bookmarkEnd w:id="12"/>
          <w:r>
            <w:rPr>
              <w:color w:val="auto"/>
              <w:highlight w:val="none"/>
            </w:rPr>
            <w:fldChar w:fldCharType="begin"/>
          </w:r>
          <w:r>
            <w:rPr>
              <w:color w:val="auto"/>
              <w:highlight w:val="none"/>
            </w:rPr>
            <w:instrText xml:space="preserve"> HYPERLINK \l "bookmark26" </w:instrText>
          </w:r>
          <w:r>
            <w:rPr>
              <w:color w:val="auto"/>
              <w:highlight w:val="none"/>
            </w:rPr>
            <w:fldChar w:fldCharType="separate"/>
          </w:r>
          <w:r>
            <w:rPr>
              <w:rFonts w:ascii="微软雅黑" w:hAnsi="微软雅黑" w:eastAsia="微软雅黑" w:cs="微软雅黑"/>
              <w:color w:val="auto"/>
              <w:spacing w:val="-1"/>
              <w:sz w:val="21"/>
              <w:szCs w:val="21"/>
              <w:highlight w:val="none"/>
            </w:rPr>
            <w:t>政府采购投诉书（范本）、质疑函范本</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06427432">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13" w:name="bookmark27"/>
          <w:bookmarkEnd w:id="13"/>
          <w:r>
            <w:rPr>
              <w:color w:val="auto"/>
              <w:highlight w:val="none"/>
            </w:rPr>
            <w:fldChar w:fldCharType="begin"/>
          </w:r>
          <w:r>
            <w:rPr>
              <w:color w:val="auto"/>
              <w:highlight w:val="none"/>
            </w:rPr>
            <w:instrText xml:space="preserve"> HYPERLINK \l "bookmark28"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一、投诉相关主体基本情况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56524BFF">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14" w:name="bookmark29"/>
          <w:bookmarkEnd w:id="14"/>
          <w:r>
            <w:rPr>
              <w:color w:val="auto"/>
              <w:highlight w:val="none"/>
            </w:rPr>
            <w:fldChar w:fldCharType="begin"/>
          </w:r>
          <w:r>
            <w:rPr>
              <w:color w:val="auto"/>
              <w:highlight w:val="none"/>
            </w:rPr>
            <w:instrText xml:space="preserve"> HYPERLINK \l "bookmark30" </w:instrText>
          </w:r>
          <w:r>
            <w:rPr>
              <w:color w:val="auto"/>
              <w:highlight w:val="none"/>
            </w:rPr>
            <w:fldChar w:fldCharType="separate"/>
          </w:r>
          <w:r>
            <w:rPr>
              <w:rFonts w:ascii="微软雅黑" w:hAnsi="微软雅黑" w:eastAsia="微软雅黑" w:cs="微软雅黑"/>
              <w:color w:val="auto"/>
              <w:spacing w:val="-3"/>
              <w:sz w:val="21"/>
              <w:szCs w:val="21"/>
              <w:highlight w:val="none"/>
            </w:rPr>
            <w:t>二、投诉项目基本情况</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58DAE1DA">
          <w:pPr>
            <w:tabs>
              <w:tab w:val="right" w:leader="dot" w:pos="9775"/>
            </w:tabs>
            <w:spacing w:before="56" w:line="170" w:lineRule="auto"/>
            <w:ind w:left="468"/>
            <w:rPr>
              <w:rFonts w:ascii="Times New Roman" w:hAnsi="Times New Roman" w:eastAsia="Times New Roman" w:cs="Times New Roman"/>
              <w:color w:val="auto"/>
              <w:sz w:val="21"/>
              <w:szCs w:val="21"/>
              <w:highlight w:val="none"/>
            </w:rPr>
          </w:pPr>
          <w:bookmarkStart w:id="15" w:name="bookmark31"/>
          <w:bookmarkEnd w:id="15"/>
          <w:r>
            <w:rPr>
              <w:color w:val="auto"/>
              <w:highlight w:val="none"/>
            </w:rPr>
            <w:fldChar w:fldCharType="begin"/>
          </w:r>
          <w:r>
            <w:rPr>
              <w:color w:val="auto"/>
              <w:highlight w:val="none"/>
            </w:rPr>
            <w:instrText xml:space="preserve"> HYPERLINK \l "bookmark32" </w:instrText>
          </w:r>
          <w:r>
            <w:rPr>
              <w:color w:val="auto"/>
              <w:highlight w:val="none"/>
            </w:rPr>
            <w:fldChar w:fldCharType="separate"/>
          </w:r>
          <w:r>
            <w:rPr>
              <w:rFonts w:ascii="微软雅黑" w:hAnsi="微软雅黑" w:eastAsia="微软雅黑" w:cs="微软雅黑"/>
              <w:color w:val="auto"/>
              <w:spacing w:val="-3"/>
              <w:sz w:val="21"/>
              <w:szCs w:val="21"/>
              <w:highlight w:val="none"/>
            </w:rPr>
            <w:t>三、质疑基本情况</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3D6A94FD">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16" w:name="bookmark33"/>
          <w:bookmarkEnd w:id="16"/>
          <w:r>
            <w:rPr>
              <w:color w:val="auto"/>
              <w:highlight w:val="none"/>
            </w:rPr>
            <w:fldChar w:fldCharType="begin"/>
          </w:r>
          <w:r>
            <w:rPr>
              <w:color w:val="auto"/>
              <w:highlight w:val="none"/>
            </w:rPr>
            <w:instrText xml:space="preserve"> HYPERLINK \l "bookmark34" </w:instrText>
          </w:r>
          <w:r>
            <w:rPr>
              <w:color w:val="auto"/>
              <w:highlight w:val="none"/>
            </w:rPr>
            <w:fldChar w:fldCharType="separate"/>
          </w:r>
          <w:r>
            <w:rPr>
              <w:rFonts w:ascii="微软雅黑" w:hAnsi="微软雅黑" w:eastAsia="微软雅黑" w:cs="微软雅黑"/>
              <w:color w:val="auto"/>
              <w:spacing w:val="-4"/>
              <w:sz w:val="21"/>
              <w:szCs w:val="21"/>
              <w:highlight w:val="none"/>
            </w:rPr>
            <w:t>四、投诉事项具体内容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0A59B427">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17" w:name="bookmark35"/>
          <w:bookmarkEnd w:id="17"/>
          <w:r>
            <w:rPr>
              <w:color w:val="auto"/>
              <w:highlight w:val="none"/>
            </w:rPr>
            <w:fldChar w:fldCharType="begin"/>
          </w:r>
          <w:r>
            <w:rPr>
              <w:color w:val="auto"/>
              <w:highlight w:val="none"/>
            </w:rPr>
            <w:instrText xml:space="preserve"> HYPERLINK \l "bookmark36" </w:instrText>
          </w:r>
          <w:r>
            <w:rPr>
              <w:color w:val="auto"/>
              <w:highlight w:val="none"/>
            </w:rPr>
            <w:fldChar w:fldCharType="separate"/>
          </w:r>
          <w:r>
            <w:rPr>
              <w:rFonts w:ascii="微软雅黑" w:hAnsi="微软雅黑" w:eastAsia="微软雅黑" w:cs="微软雅黑"/>
              <w:color w:val="auto"/>
              <w:spacing w:val="-2"/>
              <w:sz w:val="21"/>
              <w:szCs w:val="21"/>
              <w:highlight w:val="none"/>
            </w:rPr>
            <w:t>五、与投诉事项相关的投诉请求</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12E02C72">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18" w:name="bookmark37"/>
          <w:bookmarkEnd w:id="18"/>
          <w:r>
            <w:rPr>
              <w:color w:val="auto"/>
              <w:highlight w:val="none"/>
            </w:rPr>
            <w:fldChar w:fldCharType="begin"/>
          </w:r>
          <w:r>
            <w:rPr>
              <w:color w:val="auto"/>
              <w:highlight w:val="none"/>
            </w:rPr>
            <w:instrText xml:space="preserve"> HYPERLINK \l "bookmark38" </w:instrText>
          </w:r>
          <w:r>
            <w:rPr>
              <w:color w:val="auto"/>
              <w:highlight w:val="none"/>
            </w:rPr>
            <w:fldChar w:fldCharType="separate"/>
          </w:r>
          <w:r>
            <w:rPr>
              <w:rFonts w:ascii="微软雅黑" w:hAnsi="微软雅黑" w:eastAsia="微软雅黑" w:cs="微软雅黑"/>
              <w:color w:val="auto"/>
              <w:spacing w:val="-3"/>
              <w:sz w:val="21"/>
              <w:szCs w:val="21"/>
              <w:highlight w:val="none"/>
            </w:rPr>
            <w:t>投诉相关说明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0A579BCE">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19" w:name="bookmark39"/>
          <w:bookmarkEnd w:id="19"/>
          <w:r>
            <w:rPr>
              <w:color w:val="auto"/>
              <w:highlight w:val="none"/>
            </w:rPr>
            <w:fldChar w:fldCharType="begin"/>
          </w:r>
          <w:r>
            <w:rPr>
              <w:color w:val="auto"/>
              <w:highlight w:val="none"/>
            </w:rPr>
            <w:instrText xml:space="preserve"> HYPERLINK \l "bookmark40" </w:instrText>
          </w:r>
          <w:r>
            <w:rPr>
              <w:color w:val="auto"/>
              <w:highlight w:val="none"/>
            </w:rPr>
            <w:fldChar w:fldCharType="separate"/>
          </w:r>
          <w:r>
            <w:rPr>
              <w:rFonts w:ascii="微软雅黑" w:hAnsi="微软雅黑" w:eastAsia="微软雅黑" w:cs="微软雅黑"/>
              <w:color w:val="auto"/>
              <w:spacing w:val="-3"/>
              <w:sz w:val="21"/>
              <w:szCs w:val="21"/>
              <w:highlight w:val="none"/>
            </w:rPr>
            <w:t>一、  质疑前置及时间要求</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7C9387BE">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20" w:name="bookmark41"/>
          <w:bookmarkEnd w:id="20"/>
          <w:r>
            <w:rPr>
              <w:color w:val="auto"/>
              <w:highlight w:val="none"/>
            </w:rPr>
            <w:fldChar w:fldCharType="begin"/>
          </w:r>
          <w:r>
            <w:rPr>
              <w:color w:val="auto"/>
              <w:highlight w:val="none"/>
            </w:rPr>
            <w:instrText xml:space="preserve"> HYPERLINK \l "bookmark42" </w:instrText>
          </w:r>
          <w:r>
            <w:rPr>
              <w:color w:val="auto"/>
              <w:highlight w:val="none"/>
            </w:rPr>
            <w:fldChar w:fldCharType="separate"/>
          </w:r>
          <w:r>
            <w:rPr>
              <w:rFonts w:ascii="微软雅黑" w:hAnsi="微软雅黑" w:eastAsia="微软雅黑" w:cs="微软雅黑"/>
              <w:color w:val="auto"/>
              <w:spacing w:val="-4"/>
              <w:sz w:val="21"/>
              <w:szCs w:val="21"/>
              <w:highlight w:val="none"/>
            </w:rPr>
            <w:t>二、书面方式</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z w:val="21"/>
              <w:szCs w:val="21"/>
              <w:highlight w:val="none"/>
            </w:rPr>
            <w:fldChar w:fldCharType="end"/>
          </w:r>
        </w:p>
        <w:p w14:paraId="42B16BAA">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21" w:name="bookmark43"/>
          <w:bookmarkEnd w:id="21"/>
          <w:r>
            <w:rPr>
              <w:color w:val="auto"/>
              <w:highlight w:val="none"/>
            </w:rPr>
            <w:fldChar w:fldCharType="begin"/>
          </w:r>
          <w:r>
            <w:rPr>
              <w:color w:val="auto"/>
              <w:highlight w:val="none"/>
            </w:rPr>
            <w:instrText xml:space="preserve"> HYPERLINK \l "bookmark44" </w:instrText>
          </w:r>
          <w:r>
            <w:rPr>
              <w:color w:val="auto"/>
              <w:highlight w:val="none"/>
            </w:rPr>
            <w:fldChar w:fldCharType="separate"/>
          </w:r>
          <w:r>
            <w:rPr>
              <w:rFonts w:ascii="微软雅黑" w:hAnsi="微软雅黑" w:eastAsia="微软雅黑" w:cs="微软雅黑"/>
              <w:color w:val="auto"/>
              <w:spacing w:val="-2"/>
              <w:sz w:val="21"/>
              <w:szCs w:val="21"/>
              <w:highlight w:val="none"/>
            </w:rPr>
            <w:t>三、虚假、恶意投诉法律责任</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z w:val="21"/>
              <w:szCs w:val="21"/>
              <w:highlight w:val="none"/>
            </w:rPr>
            <w:fldChar w:fldCharType="end"/>
          </w:r>
        </w:p>
        <w:p w14:paraId="02E5513E">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22" w:name="bookmark45"/>
          <w:bookmarkEnd w:id="22"/>
          <w:r>
            <w:rPr>
              <w:color w:val="auto"/>
              <w:highlight w:val="none"/>
            </w:rPr>
            <w:fldChar w:fldCharType="begin"/>
          </w:r>
          <w:r>
            <w:rPr>
              <w:color w:val="auto"/>
              <w:highlight w:val="none"/>
            </w:rPr>
            <w:instrText xml:space="preserve"> HYPERLINK \l "bookmark46"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一、质疑供应商基本信息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20587847">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23" w:name="bookmark47"/>
          <w:bookmarkEnd w:id="23"/>
          <w:r>
            <w:rPr>
              <w:color w:val="auto"/>
              <w:highlight w:val="none"/>
            </w:rPr>
            <w:fldChar w:fldCharType="begin"/>
          </w:r>
          <w:r>
            <w:rPr>
              <w:color w:val="auto"/>
              <w:highlight w:val="none"/>
            </w:rPr>
            <w:instrText xml:space="preserve"> HYPERLINK \l "bookmark48" </w:instrText>
          </w:r>
          <w:r>
            <w:rPr>
              <w:color w:val="auto"/>
              <w:highlight w:val="none"/>
            </w:rPr>
            <w:fldChar w:fldCharType="separate"/>
          </w:r>
          <w:r>
            <w:rPr>
              <w:rFonts w:ascii="微软雅黑" w:hAnsi="微软雅黑" w:eastAsia="微软雅黑" w:cs="微软雅黑"/>
              <w:color w:val="auto"/>
              <w:spacing w:val="-3"/>
              <w:sz w:val="21"/>
              <w:szCs w:val="21"/>
              <w:highlight w:val="none"/>
            </w:rPr>
            <w:t>二、质疑项目基本情况</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0CF82780">
          <w:pPr>
            <w:tabs>
              <w:tab w:val="right" w:leader="dot" w:pos="9775"/>
            </w:tabs>
            <w:spacing w:before="56" w:line="170" w:lineRule="auto"/>
            <w:ind w:left="468"/>
            <w:rPr>
              <w:rFonts w:ascii="Times New Roman" w:hAnsi="Times New Roman" w:eastAsia="Times New Roman" w:cs="Times New Roman"/>
              <w:color w:val="auto"/>
              <w:sz w:val="21"/>
              <w:szCs w:val="21"/>
              <w:highlight w:val="none"/>
            </w:rPr>
          </w:pPr>
          <w:bookmarkStart w:id="24" w:name="bookmark49"/>
          <w:bookmarkEnd w:id="24"/>
          <w:r>
            <w:rPr>
              <w:color w:val="auto"/>
              <w:highlight w:val="none"/>
            </w:rPr>
            <w:fldChar w:fldCharType="begin"/>
          </w:r>
          <w:r>
            <w:rPr>
              <w:color w:val="auto"/>
              <w:highlight w:val="none"/>
            </w:rPr>
            <w:instrText xml:space="preserve"> HYPERLINK \l "bookmark50" </w:instrText>
          </w:r>
          <w:r>
            <w:rPr>
              <w:color w:val="auto"/>
              <w:highlight w:val="none"/>
            </w:rPr>
            <w:fldChar w:fldCharType="separate"/>
          </w:r>
          <w:r>
            <w:rPr>
              <w:rFonts w:ascii="微软雅黑" w:hAnsi="微软雅黑" w:eastAsia="微软雅黑" w:cs="微软雅黑"/>
              <w:color w:val="auto"/>
              <w:spacing w:val="-2"/>
              <w:sz w:val="21"/>
              <w:szCs w:val="21"/>
              <w:highlight w:val="none"/>
            </w:rPr>
            <w:t>三、质疑事项具体内容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5FF8367B">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25" w:name="bookmark51"/>
          <w:bookmarkEnd w:id="25"/>
          <w:r>
            <w:rPr>
              <w:color w:val="auto"/>
              <w:highlight w:val="none"/>
            </w:rPr>
            <w:fldChar w:fldCharType="begin"/>
          </w:r>
          <w:r>
            <w:rPr>
              <w:color w:val="auto"/>
              <w:highlight w:val="none"/>
            </w:rPr>
            <w:instrText xml:space="preserve"> HYPERLINK \l "bookmark52" </w:instrText>
          </w:r>
          <w:r>
            <w:rPr>
              <w:color w:val="auto"/>
              <w:highlight w:val="none"/>
            </w:rPr>
            <w:fldChar w:fldCharType="separate"/>
          </w:r>
          <w:r>
            <w:rPr>
              <w:rFonts w:ascii="微软雅黑" w:hAnsi="微软雅黑" w:eastAsia="微软雅黑" w:cs="微软雅黑"/>
              <w:color w:val="auto"/>
              <w:spacing w:val="-3"/>
              <w:sz w:val="21"/>
              <w:szCs w:val="21"/>
              <w:highlight w:val="none"/>
            </w:rPr>
            <w:t>四、与质疑事项相关的质疑请求</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51E7E2D0">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26" w:name="bookmark53"/>
          <w:bookmarkEnd w:id="26"/>
          <w:r>
            <w:rPr>
              <w:color w:val="auto"/>
              <w:highlight w:val="none"/>
            </w:rPr>
            <w:fldChar w:fldCharType="begin"/>
          </w:r>
          <w:r>
            <w:rPr>
              <w:color w:val="auto"/>
              <w:highlight w:val="none"/>
            </w:rPr>
            <w:instrText xml:space="preserve"> HYPERLINK \l "bookmark54" </w:instrText>
          </w:r>
          <w:r>
            <w:rPr>
              <w:color w:val="auto"/>
              <w:highlight w:val="none"/>
            </w:rPr>
            <w:fldChar w:fldCharType="separate"/>
          </w:r>
          <w:r>
            <w:rPr>
              <w:rFonts w:ascii="微软雅黑" w:hAnsi="微软雅黑" w:eastAsia="微软雅黑" w:cs="微软雅黑"/>
              <w:color w:val="auto"/>
              <w:spacing w:val="-6"/>
              <w:sz w:val="21"/>
              <w:szCs w:val="21"/>
              <w:highlight w:val="none"/>
            </w:rPr>
            <w:t>第三章</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评标办法</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36</w:t>
          </w:r>
          <w:r>
            <w:rPr>
              <w:rFonts w:ascii="Times New Roman" w:hAnsi="Times New Roman" w:eastAsia="Times New Roman" w:cs="Times New Roman"/>
              <w:color w:val="auto"/>
              <w:sz w:val="21"/>
              <w:szCs w:val="21"/>
              <w:highlight w:val="none"/>
            </w:rPr>
            <w:fldChar w:fldCharType="end"/>
          </w:r>
        </w:p>
        <w:p w14:paraId="3C33D253">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27" w:name="bookmark55"/>
          <w:bookmarkEnd w:id="27"/>
          <w:r>
            <w:rPr>
              <w:color w:val="auto"/>
              <w:highlight w:val="none"/>
            </w:rPr>
            <w:fldChar w:fldCharType="begin"/>
          </w:r>
          <w:r>
            <w:rPr>
              <w:color w:val="auto"/>
              <w:highlight w:val="none"/>
            </w:rPr>
            <w:instrText xml:space="preserve"> HYPERLINK \l "bookmark56" </w:instrText>
          </w:r>
          <w:r>
            <w:rPr>
              <w:color w:val="auto"/>
              <w:highlight w:val="none"/>
            </w:rPr>
            <w:fldChar w:fldCharType="separate"/>
          </w:r>
          <w:r>
            <w:rPr>
              <w:rFonts w:ascii="微软雅黑" w:hAnsi="微软雅黑" w:eastAsia="微软雅黑" w:cs="微软雅黑"/>
              <w:color w:val="auto"/>
              <w:spacing w:val="-9"/>
              <w:sz w:val="21"/>
              <w:szCs w:val="21"/>
              <w:highlight w:val="none"/>
            </w:rPr>
            <w:t xml:space="preserve">一    总    则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36</w:t>
          </w:r>
          <w:r>
            <w:rPr>
              <w:rFonts w:ascii="Times New Roman" w:hAnsi="Times New Roman" w:eastAsia="Times New Roman" w:cs="Times New Roman"/>
              <w:color w:val="auto"/>
              <w:sz w:val="21"/>
              <w:szCs w:val="21"/>
              <w:highlight w:val="none"/>
            </w:rPr>
            <w:fldChar w:fldCharType="end"/>
          </w:r>
        </w:p>
        <w:p w14:paraId="1E590747">
          <w:pPr>
            <w:tabs>
              <w:tab w:val="right" w:leader="dot" w:pos="9775"/>
            </w:tabs>
            <w:spacing w:before="56" w:line="170" w:lineRule="auto"/>
            <w:ind w:left="469"/>
            <w:rPr>
              <w:rFonts w:ascii="Times New Roman" w:hAnsi="Times New Roman" w:eastAsia="Times New Roman" w:cs="Times New Roman"/>
              <w:color w:val="auto"/>
              <w:sz w:val="21"/>
              <w:szCs w:val="21"/>
              <w:highlight w:val="none"/>
            </w:rPr>
          </w:pPr>
          <w:bookmarkStart w:id="28" w:name="bookmark57"/>
          <w:bookmarkEnd w:id="28"/>
          <w:r>
            <w:rPr>
              <w:color w:val="auto"/>
              <w:highlight w:val="none"/>
            </w:rPr>
            <w:fldChar w:fldCharType="begin"/>
          </w:r>
          <w:r>
            <w:rPr>
              <w:color w:val="auto"/>
              <w:highlight w:val="none"/>
            </w:rPr>
            <w:instrText xml:space="preserve"> HYPERLINK \l "bookmark58" </w:instrText>
          </w:r>
          <w:r>
            <w:rPr>
              <w:color w:val="auto"/>
              <w:highlight w:val="none"/>
            </w:rPr>
            <w:fldChar w:fldCharType="separate"/>
          </w:r>
          <w:r>
            <w:rPr>
              <w:rFonts w:ascii="微软雅黑" w:hAnsi="微软雅黑" w:eastAsia="微软雅黑" w:cs="微软雅黑"/>
              <w:color w:val="auto"/>
              <w:spacing w:val="-5"/>
              <w:sz w:val="21"/>
              <w:szCs w:val="21"/>
              <w:highlight w:val="none"/>
            </w:rPr>
            <w:t>二</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投标文件初审</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37</w:t>
          </w:r>
          <w:r>
            <w:rPr>
              <w:rFonts w:ascii="Times New Roman" w:hAnsi="Times New Roman" w:eastAsia="Times New Roman" w:cs="Times New Roman"/>
              <w:color w:val="auto"/>
              <w:sz w:val="21"/>
              <w:szCs w:val="21"/>
              <w:highlight w:val="none"/>
            </w:rPr>
            <w:fldChar w:fldCharType="end"/>
          </w:r>
        </w:p>
        <w:p w14:paraId="336D699B">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29" w:name="bookmark59"/>
          <w:bookmarkEnd w:id="29"/>
          <w:r>
            <w:rPr>
              <w:color w:val="auto"/>
              <w:highlight w:val="none"/>
            </w:rPr>
            <w:fldChar w:fldCharType="begin"/>
          </w:r>
          <w:r>
            <w:rPr>
              <w:color w:val="auto"/>
              <w:highlight w:val="none"/>
            </w:rPr>
            <w:instrText xml:space="preserve"> HYPERLINK \l "bookmark60" </w:instrText>
          </w:r>
          <w:r>
            <w:rPr>
              <w:color w:val="auto"/>
              <w:highlight w:val="none"/>
            </w:rPr>
            <w:fldChar w:fldCharType="separate"/>
          </w:r>
          <w:r>
            <w:rPr>
              <w:rFonts w:ascii="微软雅黑" w:hAnsi="微软雅黑" w:eastAsia="微软雅黑" w:cs="微软雅黑"/>
              <w:color w:val="auto"/>
              <w:spacing w:val="-3"/>
              <w:sz w:val="21"/>
              <w:szCs w:val="21"/>
              <w:highlight w:val="none"/>
            </w:rPr>
            <w:t>三</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3"/>
              <w:sz w:val="21"/>
              <w:szCs w:val="21"/>
              <w:highlight w:val="none"/>
            </w:rPr>
            <w:t>投标文件的澄清和补正</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40</w:t>
          </w:r>
          <w:r>
            <w:rPr>
              <w:rFonts w:ascii="Times New Roman" w:hAnsi="Times New Roman" w:eastAsia="Times New Roman" w:cs="Times New Roman"/>
              <w:color w:val="auto"/>
              <w:sz w:val="21"/>
              <w:szCs w:val="21"/>
              <w:highlight w:val="none"/>
            </w:rPr>
            <w:fldChar w:fldCharType="end"/>
          </w:r>
        </w:p>
        <w:p w14:paraId="467C085D">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30" w:name="bookmark61"/>
          <w:bookmarkEnd w:id="30"/>
          <w:r>
            <w:rPr>
              <w:color w:val="auto"/>
              <w:highlight w:val="none"/>
            </w:rPr>
            <w:fldChar w:fldCharType="begin"/>
          </w:r>
          <w:r>
            <w:rPr>
              <w:color w:val="auto"/>
              <w:highlight w:val="none"/>
            </w:rPr>
            <w:instrText xml:space="preserve"> HYPERLINK \l "bookmark62" </w:instrText>
          </w:r>
          <w:r>
            <w:rPr>
              <w:color w:val="auto"/>
              <w:highlight w:val="none"/>
            </w:rPr>
            <w:fldChar w:fldCharType="separate"/>
          </w:r>
          <w:r>
            <w:rPr>
              <w:rFonts w:ascii="微软雅黑" w:hAnsi="微软雅黑" w:eastAsia="微软雅黑" w:cs="微软雅黑"/>
              <w:color w:val="auto"/>
              <w:spacing w:val="-8"/>
              <w:w w:val="97"/>
              <w:sz w:val="21"/>
              <w:szCs w:val="21"/>
              <w:highlight w:val="none"/>
            </w:rPr>
            <w:t>四</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w w:val="97"/>
              <w:sz w:val="21"/>
              <w:szCs w:val="21"/>
              <w:highlight w:val="none"/>
            </w:rPr>
            <w:t>比较与评价</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41</w:t>
          </w:r>
          <w:r>
            <w:rPr>
              <w:rFonts w:ascii="Times New Roman" w:hAnsi="Times New Roman" w:eastAsia="Times New Roman" w:cs="Times New Roman"/>
              <w:color w:val="auto"/>
              <w:sz w:val="21"/>
              <w:szCs w:val="21"/>
              <w:highlight w:val="none"/>
            </w:rPr>
            <w:fldChar w:fldCharType="end"/>
          </w:r>
        </w:p>
        <w:p w14:paraId="23447EE8">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31" w:name="bookmark63"/>
          <w:bookmarkEnd w:id="31"/>
          <w:r>
            <w:rPr>
              <w:color w:val="auto"/>
              <w:highlight w:val="none"/>
            </w:rPr>
            <w:fldChar w:fldCharType="begin"/>
          </w:r>
          <w:r>
            <w:rPr>
              <w:color w:val="auto"/>
              <w:highlight w:val="none"/>
            </w:rPr>
            <w:instrText xml:space="preserve"> HYPERLINK \l "bookmark64" </w:instrText>
          </w:r>
          <w:r>
            <w:rPr>
              <w:color w:val="auto"/>
              <w:highlight w:val="none"/>
            </w:rPr>
            <w:fldChar w:fldCharType="separate"/>
          </w:r>
          <w:r>
            <w:rPr>
              <w:rFonts w:ascii="微软雅黑" w:hAnsi="微软雅黑" w:eastAsia="微软雅黑" w:cs="微软雅黑"/>
              <w:color w:val="auto"/>
              <w:spacing w:val="-5"/>
              <w:sz w:val="21"/>
              <w:szCs w:val="21"/>
              <w:highlight w:val="none"/>
            </w:rPr>
            <w:t>五</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5"/>
              <w:sz w:val="21"/>
              <w:szCs w:val="21"/>
              <w:highlight w:val="none"/>
            </w:rPr>
            <w:t>推荐中标候选人</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43</w:t>
          </w:r>
          <w:r>
            <w:rPr>
              <w:rFonts w:ascii="Times New Roman" w:hAnsi="Times New Roman" w:eastAsia="Times New Roman" w:cs="Times New Roman"/>
              <w:color w:val="auto"/>
              <w:sz w:val="21"/>
              <w:szCs w:val="21"/>
              <w:highlight w:val="none"/>
            </w:rPr>
            <w:fldChar w:fldCharType="end"/>
          </w:r>
        </w:p>
        <w:p w14:paraId="6E17677D">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32" w:name="bookmark65"/>
          <w:bookmarkEnd w:id="32"/>
          <w:r>
            <w:rPr>
              <w:color w:val="auto"/>
              <w:highlight w:val="none"/>
            </w:rPr>
            <w:fldChar w:fldCharType="begin"/>
          </w:r>
          <w:r>
            <w:rPr>
              <w:color w:val="auto"/>
              <w:highlight w:val="none"/>
            </w:rPr>
            <w:instrText xml:space="preserve"> HYPERLINK \l "bookmark66" </w:instrText>
          </w:r>
          <w:r>
            <w:rPr>
              <w:color w:val="auto"/>
              <w:highlight w:val="none"/>
            </w:rPr>
            <w:fldChar w:fldCharType="separate"/>
          </w:r>
          <w:r>
            <w:rPr>
              <w:rFonts w:ascii="微软雅黑" w:hAnsi="微软雅黑" w:eastAsia="微软雅黑" w:cs="微软雅黑"/>
              <w:color w:val="auto"/>
              <w:spacing w:val="-3"/>
              <w:sz w:val="21"/>
              <w:szCs w:val="21"/>
              <w:highlight w:val="none"/>
            </w:rPr>
            <w:t>第四章</w:t>
          </w:r>
          <w:r>
            <w:rPr>
              <w:rFonts w:ascii="微软雅黑" w:hAnsi="微软雅黑" w:eastAsia="微软雅黑" w:cs="微软雅黑"/>
              <w:color w:val="auto"/>
              <w:spacing w:val="63"/>
              <w:w w:val="101"/>
              <w:sz w:val="21"/>
              <w:szCs w:val="21"/>
              <w:highlight w:val="none"/>
            </w:rPr>
            <w:t xml:space="preserve"> </w:t>
          </w:r>
          <w:r>
            <w:rPr>
              <w:rFonts w:ascii="微软雅黑" w:hAnsi="微软雅黑" w:eastAsia="微软雅黑" w:cs="微软雅黑"/>
              <w:color w:val="auto"/>
              <w:spacing w:val="-3"/>
              <w:sz w:val="21"/>
              <w:szCs w:val="21"/>
              <w:highlight w:val="none"/>
            </w:rPr>
            <w:t>技术规格、数量及质量要求</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46</w:t>
          </w:r>
          <w:r>
            <w:rPr>
              <w:rFonts w:ascii="Times New Roman" w:hAnsi="Times New Roman" w:eastAsia="Times New Roman" w:cs="Times New Roman"/>
              <w:color w:val="auto"/>
              <w:sz w:val="21"/>
              <w:szCs w:val="21"/>
              <w:highlight w:val="none"/>
            </w:rPr>
            <w:fldChar w:fldCharType="end"/>
          </w:r>
        </w:p>
        <w:p w14:paraId="65F26514">
          <w:pPr>
            <w:tabs>
              <w:tab w:val="right" w:leader="dot" w:pos="9775"/>
            </w:tabs>
            <w:spacing w:before="56" w:line="170" w:lineRule="auto"/>
            <w:ind w:left="469"/>
            <w:rPr>
              <w:rFonts w:ascii="Times New Roman" w:hAnsi="Times New Roman" w:eastAsia="Times New Roman" w:cs="Times New Roman"/>
              <w:color w:val="auto"/>
              <w:sz w:val="21"/>
              <w:szCs w:val="21"/>
              <w:highlight w:val="none"/>
            </w:rPr>
          </w:pPr>
          <w:bookmarkStart w:id="33" w:name="bookmark67"/>
          <w:bookmarkEnd w:id="33"/>
          <w:r>
            <w:rPr>
              <w:color w:val="auto"/>
              <w:highlight w:val="none"/>
            </w:rPr>
            <w:fldChar w:fldCharType="begin"/>
          </w:r>
          <w:r>
            <w:rPr>
              <w:color w:val="auto"/>
              <w:highlight w:val="none"/>
            </w:rPr>
            <w:instrText xml:space="preserve"> HYPERLINK \l "bookmark68" </w:instrText>
          </w:r>
          <w:r>
            <w:rPr>
              <w:color w:val="auto"/>
              <w:highlight w:val="none"/>
            </w:rPr>
            <w:fldChar w:fldCharType="separate"/>
          </w:r>
          <w:r>
            <w:rPr>
              <w:rFonts w:ascii="微软雅黑" w:hAnsi="微软雅黑" w:eastAsia="微软雅黑" w:cs="微软雅黑"/>
              <w:color w:val="auto"/>
              <w:spacing w:val="-4"/>
              <w:sz w:val="21"/>
              <w:szCs w:val="21"/>
              <w:highlight w:val="none"/>
            </w:rPr>
            <w:t>二、商务要求</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z w:val="21"/>
              <w:szCs w:val="21"/>
              <w:highlight w:val="none"/>
            </w:rPr>
            <w:fldChar w:fldCharType="end"/>
          </w:r>
        </w:p>
        <w:p w14:paraId="43B26F9D">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34" w:name="bookmark69"/>
          <w:bookmarkEnd w:id="34"/>
          <w:r>
            <w:rPr>
              <w:color w:val="auto"/>
              <w:highlight w:val="none"/>
            </w:rPr>
            <w:fldChar w:fldCharType="begin"/>
          </w:r>
          <w:r>
            <w:rPr>
              <w:color w:val="auto"/>
              <w:highlight w:val="none"/>
            </w:rPr>
            <w:instrText xml:space="preserve"> HYPERLINK \l "bookmark70" </w:instrText>
          </w:r>
          <w:r>
            <w:rPr>
              <w:color w:val="auto"/>
              <w:highlight w:val="none"/>
            </w:rPr>
            <w:fldChar w:fldCharType="separate"/>
          </w:r>
          <w:r>
            <w:rPr>
              <w:rFonts w:ascii="微软雅黑" w:hAnsi="微软雅黑" w:eastAsia="微软雅黑" w:cs="微软雅黑"/>
              <w:color w:val="auto"/>
              <w:spacing w:val="-4"/>
              <w:sz w:val="21"/>
              <w:szCs w:val="21"/>
              <w:highlight w:val="none"/>
            </w:rPr>
            <w:t>第五章  合同条款及格式</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49</w:t>
          </w:r>
          <w:r>
            <w:rPr>
              <w:rFonts w:ascii="Times New Roman" w:hAnsi="Times New Roman" w:eastAsia="Times New Roman" w:cs="Times New Roman"/>
              <w:color w:val="auto"/>
              <w:sz w:val="21"/>
              <w:szCs w:val="21"/>
              <w:highlight w:val="none"/>
            </w:rPr>
            <w:fldChar w:fldCharType="end"/>
          </w:r>
        </w:p>
        <w:p w14:paraId="253A4D88">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35" w:name="bookmark71"/>
          <w:bookmarkEnd w:id="35"/>
          <w:r>
            <w:rPr>
              <w:color w:val="auto"/>
              <w:highlight w:val="none"/>
            </w:rPr>
            <w:fldChar w:fldCharType="begin"/>
          </w:r>
          <w:r>
            <w:rPr>
              <w:color w:val="auto"/>
              <w:highlight w:val="none"/>
            </w:rPr>
            <w:instrText xml:space="preserve"> HYPERLINK \l "bookmark72" </w:instrText>
          </w:r>
          <w:r>
            <w:rPr>
              <w:color w:val="auto"/>
              <w:highlight w:val="none"/>
            </w:rPr>
            <w:fldChar w:fldCharType="separate"/>
          </w:r>
          <w:r>
            <w:rPr>
              <w:rFonts w:ascii="宋体" w:hAnsi="宋体" w:eastAsia="宋体" w:cs="宋体"/>
              <w:color w:val="auto"/>
              <w:spacing w:val="-6"/>
              <w:sz w:val="21"/>
              <w:szCs w:val="21"/>
              <w:highlight w:val="none"/>
            </w:rPr>
            <w:t>一</w:t>
          </w:r>
          <w:r>
            <w:rPr>
              <w:rFonts w:ascii="宋体" w:hAnsi="宋体" w:eastAsia="宋体" w:cs="宋体"/>
              <w:color w:val="auto"/>
              <w:spacing w:val="23"/>
              <w:sz w:val="21"/>
              <w:szCs w:val="21"/>
              <w:highlight w:val="none"/>
            </w:rPr>
            <w:t xml:space="preserve"> </w:t>
          </w:r>
          <w:r>
            <w:rPr>
              <w:rFonts w:ascii="微软雅黑" w:hAnsi="微软雅黑" w:eastAsia="微软雅黑" w:cs="微软雅黑"/>
              <w:color w:val="auto"/>
              <w:spacing w:val="-6"/>
              <w:sz w:val="21"/>
              <w:szCs w:val="21"/>
              <w:highlight w:val="none"/>
            </w:rPr>
            <w:t>合同协议书</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49</w:t>
          </w:r>
          <w:r>
            <w:rPr>
              <w:rFonts w:ascii="Times New Roman" w:hAnsi="Times New Roman" w:eastAsia="Times New Roman" w:cs="Times New Roman"/>
              <w:color w:val="auto"/>
              <w:sz w:val="21"/>
              <w:szCs w:val="21"/>
              <w:highlight w:val="none"/>
            </w:rPr>
            <w:fldChar w:fldCharType="end"/>
          </w:r>
        </w:p>
        <w:p w14:paraId="5D43382E">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6" w:name="bookmark73"/>
          <w:bookmarkEnd w:id="36"/>
          <w:r>
            <w:rPr>
              <w:color w:val="auto"/>
              <w:highlight w:val="none"/>
            </w:rPr>
            <w:fldChar w:fldCharType="begin"/>
          </w:r>
          <w:r>
            <w:rPr>
              <w:color w:val="auto"/>
              <w:highlight w:val="none"/>
            </w:rPr>
            <w:instrText xml:space="preserve"> HYPERLINK \l "bookmark74" </w:instrText>
          </w:r>
          <w:r>
            <w:rPr>
              <w:color w:val="auto"/>
              <w:highlight w:val="none"/>
            </w:rPr>
            <w:fldChar w:fldCharType="separate"/>
          </w:r>
          <w:r>
            <w:rPr>
              <w:rFonts w:ascii="微软雅黑" w:hAnsi="微软雅黑" w:eastAsia="微软雅黑" w:cs="微软雅黑"/>
              <w:color w:val="auto"/>
              <w:spacing w:val="-9"/>
              <w:sz w:val="21"/>
              <w:szCs w:val="21"/>
              <w:highlight w:val="none"/>
            </w:rPr>
            <w:t>二</w:t>
          </w:r>
          <w:r>
            <w:rPr>
              <w:rFonts w:ascii="微软雅黑" w:hAnsi="微软雅黑" w:eastAsia="微软雅黑" w:cs="微软雅黑"/>
              <w:color w:val="auto"/>
              <w:spacing w:val="15"/>
              <w:w w:val="101"/>
              <w:sz w:val="21"/>
              <w:szCs w:val="21"/>
              <w:highlight w:val="none"/>
            </w:rPr>
            <w:t xml:space="preserve">   </w:t>
          </w:r>
          <w:r>
            <w:rPr>
              <w:rFonts w:ascii="微软雅黑" w:hAnsi="微软雅黑" w:eastAsia="微软雅黑" w:cs="微软雅黑"/>
              <w:color w:val="auto"/>
              <w:spacing w:val="-9"/>
              <w:sz w:val="21"/>
              <w:szCs w:val="21"/>
              <w:highlight w:val="none"/>
            </w:rPr>
            <w:t>合同条款</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784FEC7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37" w:name="bookmark75"/>
          <w:bookmarkEnd w:id="37"/>
          <w:r>
            <w:rPr>
              <w:color w:val="auto"/>
              <w:highlight w:val="none"/>
            </w:rPr>
            <w:fldChar w:fldCharType="begin"/>
          </w:r>
          <w:r>
            <w:rPr>
              <w:color w:val="auto"/>
              <w:highlight w:val="none"/>
            </w:rPr>
            <w:instrText xml:space="preserve"> HYPERLINK \l "bookmark76" </w:instrText>
          </w:r>
          <w:r>
            <w:rPr>
              <w:color w:val="auto"/>
              <w:highlight w:val="none"/>
            </w:rPr>
            <w:fldChar w:fldCharType="separate"/>
          </w:r>
          <w:r>
            <w:rPr>
              <w:rFonts w:ascii="微软雅黑" w:hAnsi="微软雅黑" w:eastAsia="微软雅黑" w:cs="微软雅黑"/>
              <w:color w:val="auto"/>
              <w:spacing w:val="2"/>
              <w:sz w:val="21"/>
              <w:szCs w:val="21"/>
              <w:highlight w:val="none"/>
            </w:rPr>
            <w:t>一.</w:t>
          </w:r>
          <w:r>
            <w:rPr>
              <w:rFonts w:ascii="微软雅黑" w:hAnsi="微软雅黑" w:eastAsia="微软雅黑" w:cs="微软雅黑"/>
              <w:color w:val="auto"/>
              <w:spacing w:val="15"/>
              <w:w w:val="101"/>
              <w:sz w:val="21"/>
              <w:szCs w:val="21"/>
              <w:highlight w:val="none"/>
            </w:rPr>
            <w:t xml:space="preserve">   </w:t>
          </w:r>
          <w:r>
            <w:rPr>
              <w:rFonts w:ascii="微软雅黑" w:hAnsi="微软雅黑" w:eastAsia="微软雅黑" w:cs="微软雅黑"/>
              <w:color w:val="auto"/>
              <w:spacing w:val="2"/>
              <w:sz w:val="21"/>
              <w:szCs w:val="21"/>
              <w:highlight w:val="none"/>
            </w:rPr>
            <w:t>合同文件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0D4BDB84">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8" w:name="bookmark77"/>
          <w:bookmarkEnd w:id="38"/>
          <w:r>
            <w:rPr>
              <w:color w:val="auto"/>
              <w:highlight w:val="none"/>
            </w:rPr>
            <w:fldChar w:fldCharType="begin"/>
          </w:r>
          <w:r>
            <w:rPr>
              <w:color w:val="auto"/>
              <w:highlight w:val="none"/>
            </w:rPr>
            <w:instrText xml:space="preserve"> HYPERLINK \l "bookmark78" </w:instrText>
          </w:r>
          <w:r>
            <w:rPr>
              <w:color w:val="auto"/>
              <w:highlight w:val="none"/>
            </w:rPr>
            <w:fldChar w:fldCharType="separate"/>
          </w:r>
          <w:r>
            <w:rPr>
              <w:rFonts w:ascii="微软雅黑" w:hAnsi="微软雅黑" w:eastAsia="微软雅黑" w:cs="微软雅黑"/>
              <w:color w:val="auto"/>
              <w:spacing w:val="2"/>
              <w:sz w:val="21"/>
              <w:szCs w:val="21"/>
              <w:highlight w:val="none"/>
            </w:rPr>
            <w:t>二.</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2"/>
              <w:sz w:val="21"/>
              <w:szCs w:val="21"/>
              <w:highlight w:val="none"/>
            </w:rPr>
            <w:t>标的物的一般条款</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31B9D46E">
          <w:pPr>
            <w:tabs>
              <w:tab w:val="right" w:leader="dot" w:pos="9775"/>
            </w:tabs>
            <w:spacing w:before="58" w:line="188" w:lineRule="auto"/>
            <w:ind w:left="468"/>
            <w:rPr>
              <w:rFonts w:ascii="Times New Roman" w:hAnsi="Times New Roman" w:eastAsia="Times New Roman" w:cs="Times New Roman"/>
              <w:color w:val="auto"/>
              <w:sz w:val="21"/>
              <w:szCs w:val="21"/>
              <w:highlight w:val="none"/>
            </w:rPr>
          </w:pPr>
          <w:bookmarkStart w:id="39" w:name="bookmark79"/>
          <w:bookmarkEnd w:id="39"/>
          <w:r>
            <w:rPr>
              <w:color w:val="auto"/>
              <w:highlight w:val="none"/>
            </w:rPr>
            <w:fldChar w:fldCharType="begin"/>
          </w:r>
          <w:r>
            <w:rPr>
              <w:color w:val="auto"/>
              <w:highlight w:val="none"/>
            </w:rPr>
            <w:instrText xml:space="preserve"> HYPERLINK \l "bookmark80" </w:instrText>
          </w:r>
          <w:r>
            <w:rPr>
              <w:color w:val="auto"/>
              <w:highlight w:val="none"/>
            </w:rPr>
            <w:fldChar w:fldCharType="separate"/>
          </w:r>
          <w:r>
            <w:rPr>
              <w:rFonts w:ascii="微软雅黑" w:hAnsi="微软雅黑" w:eastAsia="微软雅黑" w:cs="微软雅黑"/>
              <w:color w:val="auto"/>
              <w:spacing w:val="1"/>
              <w:sz w:val="21"/>
              <w:szCs w:val="21"/>
              <w:highlight w:val="none"/>
            </w:rPr>
            <w:t>三.</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标的物的交付、检验和验收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51</w:t>
          </w:r>
          <w:r>
            <w:rPr>
              <w:rFonts w:ascii="Times New Roman" w:hAnsi="Times New Roman" w:eastAsia="Times New Roman" w:cs="Times New Roman"/>
              <w:color w:val="auto"/>
              <w:sz w:val="21"/>
              <w:szCs w:val="21"/>
              <w:highlight w:val="none"/>
            </w:rPr>
            <w:fldChar w:fldCharType="end"/>
          </w:r>
        </w:p>
      </w:sdtContent>
    </w:sdt>
    <w:p w14:paraId="3027A076">
      <w:pPr>
        <w:spacing w:line="188" w:lineRule="auto"/>
        <w:rPr>
          <w:rFonts w:ascii="Times New Roman" w:hAnsi="Times New Roman" w:eastAsia="Times New Roman" w:cs="Times New Roman"/>
          <w:color w:val="auto"/>
          <w:sz w:val="21"/>
          <w:szCs w:val="21"/>
          <w:highlight w:val="none"/>
        </w:rPr>
        <w:sectPr>
          <w:headerReference r:id="rId6" w:type="default"/>
          <w:footerReference r:id="rId7" w:type="default"/>
          <w:pgSz w:w="11906" w:h="16839"/>
          <w:pgMar w:top="1745" w:right="1050" w:bottom="1152" w:left="1050" w:header="850" w:footer="992" w:gutter="0"/>
          <w:cols w:space="720" w:num="1"/>
        </w:sectPr>
      </w:pPr>
    </w:p>
    <w:sdt>
      <w:sdtPr>
        <w:rPr>
          <w:rFonts w:ascii="微软雅黑" w:hAnsi="微软雅黑" w:eastAsia="微软雅黑" w:cs="微软雅黑"/>
          <w:color w:val="auto"/>
          <w:sz w:val="21"/>
          <w:szCs w:val="21"/>
          <w:highlight w:val="none"/>
        </w:rPr>
        <w:id w:val="147456442"/>
        <w:docPartObj>
          <w:docPartGallery w:val="Table of Contents"/>
          <w:docPartUnique/>
        </w:docPartObj>
      </w:sdtPr>
      <w:sdtEndPr>
        <w:rPr>
          <w:rFonts w:ascii="Times New Roman" w:hAnsi="Times New Roman" w:eastAsia="Times New Roman" w:cs="Times New Roman"/>
          <w:color w:val="auto"/>
          <w:sz w:val="21"/>
          <w:szCs w:val="21"/>
          <w:highlight w:val="none"/>
        </w:rPr>
      </w:sdtEndPr>
      <w:sdtContent>
        <w:p w14:paraId="3E8AC6F6">
          <w:pPr>
            <w:tabs>
              <w:tab w:val="right" w:leader="dot" w:pos="9775"/>
            </w:tabs>
            <w:spacing w:before="51" w:line="170" w:lineRule="auto"/>
            <w:ind w:left="487"/>
            <w:rPr>
              <w:rFonts w:ascii="Times New Roman" w:hAnsi="Times New Roman" w:eastAsia="Times New Roman" w:cs="Times New Roman"/>
              <w:color w:val="auto"/>
              <w:sz w:val="21"/>
              <w:szCs w:val="21"/>
              <w:highlight w:val="none"/>
            </w:rPr>
          </w:pPr>
          <w:bookmarkStart w:id="40" w:name="bookmark81"/>
          <w:bookmarkEnd w:id="40"/>
          <w:r>
            <w:rPr>
              <w:color w:val="auto"/>
              <w:highlight w:val="none"/>
            </w:rPr>
            <w:fldChar w:fldCharType="begin"/>
          </w:r>
          <w:r>
            <w:rPr>
              <w:color w:val="auto"/>
              <w:highlight w:val="none"/>
            </w:rPr>
            <w:instrText xml:space="preserve"> HYPERLINK \l "bookmark82" </w:instrText>
          </w:r>
          <w:r>
            <w:rPr>
              <w:color w:val="auto"/>
              <w:highlight w:val="none"/>
            </w:rPr>
            <w:fldChar w:fldCharType="separate"/>
          </w:r>
          <w:r>
            <w:rPr>
              <w:rFonts w:ascii="微软雅黑" w:hAnsi="微软雅黑" w:eastAsia="微软雅黑" w:cs="微软雅黑"/>
              <w:color w:val="auto"/>
              <w:sz w:val="21"/>
              <w:szCs w:val="21"/>
              <w:highlight w:val="none"/>
            </w:rPr>
            <w:t>四.</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对标的物提出异议的时间和办法</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184E47A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41" w:name="bookmark83"/>
          <w:bookmarkEnd w:id="41"/>
          <w:r>
            <w:rPr>
              <w:color w:val="auto"/>
              <w:highlight w:val="none"/>
            </w:rPr>
            <w:fldChar w:fldCharType="begin"/>
          </w:r>
          <w:r>
            <w:rPr>
              <w:color w:val="auto"/>
              <w:highlight w:val="none"/>
            </w:rPr>
            <w:instrText xml:space="preserve"> HYPERLINK \l "bookmark84" </w:instrText>
          </w:r>
          <w:r>
            <w:rPr>
              <w:color w:val="auto"/>
              <w:highlight w:val="none"/>
            </w:rPr>
            <w:fldChar w:fldCharType="separate"/>
          </w:r>
          <w:r>
            <w:rPr>
              <w:rFonts w:ascii="微软雅黑" w:hAnsi="微软雅黑" w:eastAsia="微软雅黑" w:cs="微软雅黑"/>
              <w:color w:val="auto"/>
              <w:spacing w:val="1"/>
              <w:sz w:val="21"/>
              <w:szCs w:val="21"/>
              <w:highlight w:val="none"/>
            </w:rPr>
            <w:t>五.</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1"/>
              <w:sz w:val="21"/>
              <w:szCs w:val="21"/>
              <w:highlight w:val="none"/>
            </w:rPr>
            <w:t>合同价款和支付</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6067F744">
          <w:pPr>
            <w:tabs>
              <w:tab w:val="right" w:leader="dot" w:pos="9775"/>
            </w:tabs>
            <w:spacing w:before="56" w:line="170" w:lineRule="auto"/>
            <w:ind w:left="464"/>
            <w:rPr>
              <w:rFonts w:ascii="Times New Roman" w:hAnsi="Times New Roman" w:eastAsia="Times New Roman" w:cs="Times New Roman"/>
              <w:color w:val="auto"/>
              <w:sz w:val="21"/>
              <w:szCs w:val="21"/>
              <w:highlight w:val="none"/>
            </w:rPr>
          </w:pPr>
          <w:bookmarkStart w:id="42" w:name="bookmark85"/>
          <w:bookmarkEnd w:id="42"/>
          <w:r>
            <w:rPr>
              <w:color w:val="auto"/>
              <w:highlight w:val="none"/>
            </w:rPr>
            <w:fldChar w:fldCharType="begin"/>
          </w:r>
          <w:r>
            <w:rPr>
              <w:color w:val="auto"/>
              <w:highlight w:val="none"/>
            </w:rPr>
            <w:instrText xml:space="preserve"> HYPERLINK \l "bookmark86" </w:instrText>
          </w:r>
          <w:r>
            <w:rPr>
              <w:color w:val="auto"/>
              <w:highlight w:val="none"/>
            </w:rPr>
            <w:fldChar w:fldCharType="separate"/>
          </w:r>
          <w:r>
            <w:rPr>
              <w:rFonts w:ascii="微软雅黑" w:hAnsi="微软雅黑" w:eastAsia="微软雅黑" w:cs="微软雅黑"/>
              <w:color w:val="auto"/>
              <w:spacing w:val="3"/>
              <w:sz w:val="21"/>
              <w:szCs w:val="21"/>
              <w:highlight w:val="none"/>
            </w:rPr>
            <w:t>六.</w:t>
          </w:r>
          <w:r>
            <w:rPr>
              <w:rFonts w:ascii="微软雅黑" w:hAnsi="微软雅黑" w:eastAsia="微软雅黑" w:cs="微软雅黑"/>
              <w:color w:val="auto"/>
              <w:spacing w:val="62"/>
              <w:w w:val="101"/>
              <w:sz w:val="21"/>
              <w:szCs w:val="21"/>
              <w:highlight w:val="none"/>
            </w:rPr>
            <w:t xml:space="preserve"> </w:t>
          </w:r>
          <w:r>
            <w:rPr>
              <w:rFonts w:ascii="微软雅黑" w:hAnsi="微软雅黑" w:eastAsia="微软雅黑" w:cs="微软雅黑"/>
              <w:color w:val="auto"/>
              <w:spacing w:val="3"/>
              <w:sz w:val="21"/>
              <w:szCs w:val="21"/>
              <w:highlight w:val="none"/>
            </w:rPr>
            <w:t>违约责任</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64ECA37A">
          <w:pPr>
            <w:tabs>
              <w:tab w:val="right" w:leader="dot" w:pos="9775"/>
            </w:tabs>
            <w:spacing w:before="57" w:line="170" w:lineRule="auto"/>
            <w:ind w:left="467"/>
            <w:rPr>
              <w:rFonts w:ascii="Times New Roman" w:hAnsi="Times New Roman" w:eastAsia="Times New Roman" w:cs="Times New Roman"/>
              <w:color w:val="auto"/>
              <w:sz w:val="21"/>
              <w:szCs w:val="21"/>
              <w:highlight w:val="none"/>
            </w:rPr>
          </w:pPr>
          <w:bookmarkStart w:id="43" w:name="bookmark87"/>
          <w:bookmarkEnd w:id="43"/>
          <w:r>
            <w:rPr>
              <w:color w:val="auto"/>
              <w:highlight w:val="none"/>
            </w:rPr>
            <w:fldChar w:fldCharType="begin"/>
          </w:r>
          <w:r>
            <w:rPr>
              <w:color w:val="auto"/>
              <w:highlight w:val="none"/>
            </w:rPr>
            <w:instrText xml:space="preserve"> HYPERLINK \l "bookmark88" </w:instrText>
          </w:r>
          <w:r>
            <w:rPr>
              <w:color w:val="auto"/>
              <w:highlight w:val="none"/>
            </w:rPr>
            <w:fldChar w:fldCharType="separate"/>
          </w:r>
          <w:r>
            <w:rPr>
              <w:rFonts w:ascii="微软雅黑" w:hAnsi="微软雅黑" w:eastAsia="微软雅黑" w:cs="微软雅黑"/>
              <w:color w:val="auto"/>
              <w:spacing w:val="2"/>
              <w:sz w:val="21"/>
              <w:szCs w:val="21"/>
              <w:highlight w:val="none"/>
            </w:rPr>
            <w:t>七.  索赔</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53</w:t>
          </w:r>
          <w:r>
            <w:rPr>
              <w:rFonts w:ascii="Times New Roman" w:hAnsi="Times New Roman" w:eastAsia="Times New Roman" w:cs="Times New Roman"/>
              <w:color w:val="auto"/>
              <w:sz w:val="21"/>
              <w:szCs w:val="21"/>
              <w:highlight w:val="none"/>
            </w:rPr>
            <w:fldChar w:fldCharType="end"/>
          </w:r>
        </w:p>
        <w:p w14:paraId="6407C513">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44" w:name="bookmark89"/>
          <w:bookmarkEnd w:id="44"/>
          <w:r>
            <w:rPr>
              <w:color w:val="auto"/>
              <w:highlight w:val="none"/>
            </w:rPr>
            <w:fldChar w:fldCharType="begin"/>
          </w:r>
          <w:r>
            <w:rPr>
              <w:color w:val="auto"/>
              <w:highlight w:val="none"/>
            </w:rPr>
            <w:instrText xml:space="preserve"> HYPERLINK \l "bookmark90" </w:instrText>
          </w:r>
          <w:r>
            <w:rPr>
              <w:color w:val="auto"/>
              <w:highlight w:val="none"/>
            </w:rPr>
            <w:fldChar w:fldCharType="separate"/>
          </w:r>
          <w:r>
            <w:rPr>
              <w:rFonts w:ascii="微软雅黑" w:hAnsi="微软雅黑" w:eastAsia="微软雅黑" w:cs="微软雅黑"/>
              <w:color w:val="auto"/>
              <w:spacing w:val="3"/>
              <w:sz w:val="21"/>
              <w:szCs w:val="21"/>
              <w:highlight w:val="none"/>
            </w:rPr>
            <w:t>八.</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履约保证金</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61A8691D">
          <w:pPr>
            <w:tabs>
              <w:tab w:val="right" w:leader="dot" w:pos="9775"/>
            </w:tabs>
            <w:spacing w:before="56" w:line="170" w:lineRule="auto"/>
            <w:ind w:left="470"/>
            <w:rPr>
              <w:rFonts w:ascii="Times New Roman" w:hAnsi="Times New Roman" w:eastAsia="Times New Roman" w:cs="Times New Roman"/>
              <w:color w:val="auto"/>
              <w:sz w:val="21"/>
              <w:szCs w:val="21"/>
              <w:highlight w:val="none"/>
            </w:rPr>
          </w:pPr>
          <w:bookmarkStart w:id="45" w:name="bookmark91"/>
          <w:bookmarkEnd w:id="45"/>
          <w:r>
            <w:rPr>
              <w:color w:val="auto"/>
              <w:highlight w:val="none"/>
            </w:rPr>
            <w:fldChar w:fldCharType="begin"/>
          </w:r>
          <w:r>
            <w:rPr>
              <w:color w:val="auto"/>
              <w:highlight w:val="none"/>
            </w:rPr>
            <w:instrText xml:space="preserve"> HYPERLINK \l "bookmark92" </w:instrText>
          </w:r>
          <w:r>
            <w:rPr>
              <w:color w:val="auto"/>
              <w:highlight w:val="none"/>
            </w:rPr>
            <w:fldChar w:fldCharType="separate"/>
          </w:r>
          <w:r>
            <w:rPr>
              <w:rFonts w:ascii="微软雅黑" w:hAnsi="微软雅黑" w:eastAsia="微软雅黑" w:cs="微软雅黑"/>
              <w:color w:val="auto"/>
              <w:spacing w:val="1"/>
              <w:sz w:val="21"/>
              <w:szCs w:val="21"/>
              <w:highlight w:val="none"/>
            </w:rPr>
            <w:t>九.</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合同的解除和转让</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26DFEF4D">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6" w:name="bookmark93"/>
          <w:bookmarkEnd w:id="46"/>
          <w:r>
            <w:rPr>
              <w:color w:val="auto"/>
              <w:highlight w:val="none"/>
            </w:rPr>
            <w:fldChar w:fldCharType="begin"/>
          </w:r>
          <w:r>
            <w:rPr>
              <w:color w:val="auto"/>
              <w:highlight w:val="none"/>
            </w:rPr>
            <w:instrText xml:space="preserve"> HYPERLINK \l "bookmark94" </w:instrText>
          </w:r>
          <w:r>
            <w:rPr>
              <w:color w:val="auto"/>
              <w:highlight w:val="none"/>
            </w:rPr>
            <w:fldChar w:fldCharType="separate"/>
          </w:r>
          <w:r>
            <w:rPr>
              <w:rFonts w:ascii="微软雅黑" w:hAnsi="微软雅黑" w:eastAsia="微软雅黑" w:cs="微软雅黑"/>
              <w:color w:val="auto"/>
              <w:spacing w:val="2"/>
              <w:sz w:val="21"/>
              <w:szCs w:val="21"/>
              <w:highlight w:val="none"/>
            </w:rPr>
            <w:t>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合同的生效</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3D24E7AE">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7" w:name="bookmark95"/>
          <w:bookmarkEnd w:id="47"/>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rFonts w:ascii="微软雅黑" w:hAnsi="微软雅黑" w:eastAsia="微软雅黑" w:cs="微软雅黑"/>
              <w:color w:val="auto"/>
              <w:spacing w:val="2"/>
              <w:sz w:val="21"/>
              <w:szCs w:val="21"/>
              <w:highlight w:val="none"/>
            </w:rPr>
            <w:t>十一.</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2"/>
              <w:sz w:val="21"/>
              <w:szCs w:val="21"/>
              <w:highlight w:val="none"/>
            </w:rPr>
            <w:t>争议解决</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7DF96851">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8" w:name="bookmark97"/>
          <w:bookmarkEnd w:id="48"/>
          <w:r>
            <w:rPr>
              <w:color w:val="auto"/>
              <w:highlight w:val="none"/>
            </w:rPr>
            <w:fldChar w:fldCharType="begin"/>
          </w:r>
          <w:r>
            <w:rPr>
              <w:color w:val="auto"/>
              <w:highlight w:val="none"/>
            </w:rPr>
            <w:instrText xml:space="preserve"> HYPERLINK \l "bookmark98" </w:instrText>
          </w:r>
          <w:r>
            <w:rPr>
              <w:color w:val="auto"/>
              <w:highlight w:val="none"/>
            </w:rPr>
            <w:fldChar w:fldCharType="separate"/>
          </w:r>
          <w:r>
            <w:rPr>
              <w:rFonts w:ascii="微软雅黑" w:hAnsi="微软雅黑" w:eastAsia="微软雅黑" w:cs="微软雅黑"/>
              <w:color w:val="auto"/>
              <w:spacing w:val="4"/>
              <w:sz w:val="21"/>
              <w:szCs w:val="21"/>
              <w:highlight w:val="none"/>
            </w:rPr>
            <w:t>十二</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4"/>
              <w:sz w:val="21"/>
              <w:szCs w:val="21"/>
              <w:highlight w:val="none"/>
            </w:rPr>
            <w:t>.附则</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135C564F">
          <w:pPr>
            <w:tabs>
              <w:tab w:val="right" w:leader="dot" w:pos="9775"/>
            </w:tabs>
            <w:spacing w:before="56" w:line="170" w:lineRule="auto"/>
            <w:ind w:left="51"/>
            <w:rPr>
              <w:rFonts w:ascii="Times New Roman" w:hAnsi="Times New Roman" w:eastAsia="Times New Roman" w:cs="Times New Roman"/>
              <w:color w:val="auto"/>
              <w:sz w:val="21"/>
              <w:szCs w:val="21"/>
              <w:highlight w:val="none"/>
            </w:rPr>
          </w:pPr>
          <w:bookmarkStart w:id="49" w:name="bookmark99"/>
          <w:bookmarkEnd w:id="49"/>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微软雅黑" w:hAnsi="微软雅黑" w:eastAsia="微软雅黑" w:cs="微软雅黑"/>
              <w:color w:val="auto"/>
              <w:spacing w:val="-5"/>
              <w:sz w:val="21"/>
              <w:szCs w:val="21"/>
              <w:highlight w:val="none"/>
            </w:rPr>
            <w:t>第六章</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投标文件格式</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56</w:t>
          </w:r>
          <w:r>
            <w:rPr>
              <w:rFonts w:ascii="Times New Roman" w:hAnsi="Times New Roman" w:eastAsia="Times New Roman" w:cs="Times New Roman"/>
              <w:color w:val="auto"/>
              <w:sz w:val="21"/>
              <w:szCs w:val="21"/>
              <w:highlight w:val="none"/>
            </w:rPr>
            <w:fldChar w:fldCharType="end"/>
          </w:r>
        </w:p>
        <w:p w14:paraId="741B19CF">
          <w:pPr>
            <w:tabs>
              <w:tab w:val="right" w:leader="dot" w:pos="9775"/>
            </w:tabs>
            <w:spacing w:before="57" w:line="170" w:lineRule="auto"/>
            <w:ind w:left="471"/>
            <w:rPr>
              <w:rFonts w:ascii="Times New Roman" w:hAnsi="Times New Roman" w:eastAsia="Times New Roman" w:cs="Times New Roman"/>
              <w:color w:val="auto"/>
              <w:sz w:val="21"/>
              <w:szCs w:val="21"/>
              <w:highlight w:val="none"/>
            </w:rPr>
          </w:pPr>
          <w:bookmarkStart w:id="50" w:name="bookmark101"/>
          <w:bookmarkEnd w:id="50"/>
          <w:r>
            <w:rPr>
              <w:color w:val="auto"/>
              <w:highlight w:val="none"/>
            </w:rPr>
            <w:fldChar w:fldCharType="begin"/>
          </w:r>
          <w:r>
            <w:rPr>
              <w:color w:val="auto"/>
              <w:highlight w:val="none"/>
            </w:rPr>
            <w:instrText xml:space="preserve"> HYPERLINK \l "bookmark102" </w:instrText>
          </w:r>
          <w:r>
            <w:rPr>
              <w:color w:val="auto"/>
              <w:highlight w:val="none"/>
            </w:rPr>
            <w:fldChar w:fldCharType="separate"/>
          </w:r>
          <w:r>
            <w:rPr>
              <w:rFonts w:ascii="微软雅黑" w:hAnsi="微软雅黑" w:eastAsia="微软雅黑" w:cs="微软雅黑"/>
              <w:color w:val="auto"/>
              <w:spacing w:val="-3"/>
              <w:sz w:val="21"/>
              <w:szCs w:val="21"/>
              <w:highlight w:val="none"/>
            </w:rPr>
            <w:t>第一部分</w:t>
          </w:r>
          <w:r>
            <w:rPr>
              <w:rFonts w:ascii="微软雅黑" w:hAnsi="微软雅黑" w:eastAsia="微软雅黑" w:cs="微软雅黑"/>
              <w:color w:val="auto"/>
              <w:spacing w:val="66"/>
              <w:w w:val="101"/>
              <w:sz w:val="21"/>
              <w:szCs w:val="21"/>
              <w:highlight w:val="none"/>
            </w:rPr>
            <w:t xml:space="preserve"> </w:t>
          </w:r>
          <w:r>
            <w:rPr>
              <w:rFonts w:ascii="微软雅黑" w:hAnsi="微软雅黑" w:eastAsia="微软雅黑" w:cs="微软雅黑"/>
              <w:color w:val="auto"/>
              <w:spacing w:val="-3"/>
              <w:sz w:val="21"/>
              <w:szCs w:val="21"/>
              <w:highlight w:val="none"/>
            </w:rPr>
            <w:t>开标一览表及资格证明文件</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56</w:t>
          </w:r>
          <w:r>
            <w:rPr>
              <w:rFonts w:ascii="Times New Roman" w:hAnsi="Times New Roman" w:eastAsia="Times New Roman" w:cs="Times New Roman"/>
              <w:color w:val="auto"/>
              <w:sz w:val="21"/>
              <w:szCs w:val="21"/>
              <w:highlight w:val="none"/>
            </w:rPr>
            <w:fldChar w:fldCharType="end"/>
          </w:r>
        </w:p>
        <w:p w14:paraId="5ABB6403">
          <w:pPr>
            <w:tabs>
              <w:tab w:val="right" w:leader="dot" w:pos="9775"/>
            </w:tabs>
            <w:spacing w:before="57" w:line="170" w:lineRule="auto"/>
            <w:ind w:left="471"/>
            <w:rPr>
              <w:rFonts w:ascii="Times New Roman" w:hAnsi="Times New Roman" w:eastAsia="Times New Roman" w:cs="Times New Roman"/>
              <w:color w:val="auto"/>
              <w:sz w:val="21"/>
              <w:szCs w:val="21"/>
              <w:highlight w:val="none"/>
            </w:rPr>
          </w:pPr>
          <w:bookmarkStart w:id="51" w:name="bookmark103"/>
          <w:bookmarkEnd w:id="51"/>
          <w:r>
            <w:rPr>
              <w:color w:val="auto"/>
              <w:highlight w:val="none"/>
            </w:rPr>
            <w:fldChar w:fldCharType="begin"/>
          </w:r>
          <w:r>
            <w:rPr>
              <w:color w:val="auto"/>
              <w:highlight w:val="none"/>
            </w:rPr>
            <w:instrText xml:space="preserve"> HYPERLINK \l "bookmark104" </w:instrText>
          </w:r>
          <w:r>
            <w:rPr>
              <w:color w:val="auto"/>
              <w:highlight w:val="none"/>
            </w:rPr>
            <w:fldChar w:fldCharType="separate"/>
          </w:r>
          <w:r>
            <w:rPr>
              <w:rFonts w:ascii="微软雅黑" w:hAnsi="微软雅黑" w:eastAsia="微软雅黑" w:cs="微软雅黑"/>
              <w:color w:val="auto"/>
              <w:spacing w:val="-4"/>
              <w:sz w:val="21"/>
              <w:szCs w:val="21"/>
              <w:highlight w:val="none"/>
            </w:rPr>
            <w:t>1、开标一览表（格式一）</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57</w:t>
          </w:r>
          <w:r>
            <w:rPr>
              <w:rFonts w:ascii="Times New Roman" w:hAnsi="Times New Roman" w:eastAsia="Times New Roman" w:cs="Times New Roman"/>
              <w:color w:val="auto"/>
              <w:sz w:val="21"/>
              <w:szCs w:val="21"/>
              <w:highlight w:val="none"/>
            </w:rPr>
            <w:fldChar w:fldCharType="end"/>
          </w:r>
        </w:p>
        <w:p w14:paraId="558C46E7">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52" w:name="bookmark105"/>
          <w:bookmarkEnd w:id="52"/>
          <w:r>
            <w:rPr>
              <w:color w:val="auto"/>
              <w:highlight w:val="none"/>
            </w:rPr>
            <w:fldChar w:fldCharType="begin"/>
          </w:r>
          <w:r>
            <w:rPr>
              <w:color w:val="auto"/>
              <w:highlight w:val="none"/>
            </w:rPr>
            <w:instrText xml:space="preserve"> HYPERLINK \l "bookmark106" </w:instrText>
          </w:r>
          <w:r>
            <w:rPr>
              <w:color w:val="auto"/>
              <w:highlight w:val="none"/>
            </w:rPr>
            <w:fldChar w:fldCharType="separate"/>
          </w: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73"/>
              <w:w w:val="101"/>
              <w:sz w:val="21"/>
              <w:szCs w:val="21"/>
              <w:highlight w:val="none"/>
            </w:rPr>
            <w:t xml:space="preserve"> </w:t>
          </w:r>
          <w:r>
            <w:rPr>
              <w:rFonts w:ascii="微软雅黑" w:hAnsi="微软雅黑" w:eastAsia="微软雅黑" w:cs="微软雅黑"/>
              <w:color w:val="auto"/>
              <w:spacing w:val="-2"/>
              <w:sz w:val="21"/>
              <w:szCs w:val="21"/>
              <w:highlight w:val="none"/>
            </w:rPr>
            <w:t>法人或者非法人组织的营业执照等证明文件或自然人的身份证明</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58</w:t>
          </w:r>
          <w:r>
            <w:rPr>
              <w:rFonts w:ascii="Times New Roman" w:hAnsi="Times New Roman" w:eastAsia="Times New Roman" w:cs="Times New Roman"/>
              <w:color w:val="auto"/>
              <w:sz w:val="21"/>
              <w:szCs w:val="21"/>
              <w:highlight w:val="none"/>
            </w:rPr>
            <w:fldChar w:fldCharType="end"/>
          </w:r>
        </w:p>
        <w:p w14:paraId="49C93A34">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53" w:name="bookmark107"/>
          <w:bookmarkEnd w:id="53"/>
          <w:r>
            <w:rPr>
              <w:color w:val="auto"/>
              <w:highlight w:val="none"/>
            </w:rPr>
            <w:fldChar w:fldCharType="begin"/>
          </w:r>
          <w:r>
            <w:rPr>
              <w:color w:val="auto"/>
              <w:highlight w:val="none"/>
            </w:rPr>
            <w:instrText xml:space="preserve"> HYPERLINK \l "bookmark108" </w:instrText>
          </w:r>
          <w:r>
            <w:rPr>
              <w:color w:val="auto"/>
              <w:highlight w:val="none"/>
            </w:rPr>
            <w:fldChar w:fldCharType="separate"/>
          </w:r>
          <w:r>
            <w:rPr>
              <w:rFonts w:ascii="微软雅黑" w:hAnsi="微软雅黑" w:eastAsia="微软雅黑" w:cs="微软雅黑"/>
              <w:color w:val="auto"/>
              <w:spacing w:val="-1"/>
              <w:sz w:val="21"/>
              <w:szCs w:val="21"/>
              <w:highlight w:val="none"/>
            </w:rPr>
            <w:t>3</w:t>
          </w:r>
          <w:r>
            <w:rPr>
              <w:rFonts w:ascii="微软雅黑" w:hAnsi="微软雅黑" w:eastAsia="微软雅黑" w:cs="微软雅黑"/>
              <w:color w:val="auto"/>
              <w:spacing w:val="59"/>
              <w:w w:val="101"/>
              <w:sz w:val="21"/>
              <w:szCs w:val="21"/>
              <w:highlight w:val="none"/>
            </w:rPr>
            <w:t xml:space="preserve"> </w:t>
          </w:r>
          <w:r>
            <w:rPr>
              <w:rFonts w:ascii="微软雅黑" w:hAnsi="微软雅黑" w:eastAsia="微软雅黑" w:cs="微软雅黑"/>
              <w:color w:val="auto"/>
              <w:spacing w:val="-1"/>
              <w:sz w:val="21"/>
              <w:szCs w:val="21"/>
              <w:highlight w:val="none"/>
            </w:rPr>
            <w:t>、法定代表人资格证明书（格式二，自然人投标的无需</w:t>
          </w:r>
          <w:r>
            <w:rPr>
              <w:rFonts w:ascii="微软雅黑" w:hAnsi="微软雅黑" w:eastAsia="微软雅黑" w:cs="微软雅黑"/>
              <w:color w:val="auto"/>
              <w:spacing w:val="-2"/>
              <w:sz w:val="21"/>
              <w:szCs w:val="21"/>
              <w:highlight w:val="none"/>
            </w:rPr>
            <w:t>提供）</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59</w:t>
          </w:r>
          <w:r>
            <w:rPr>
              <w:rFonts w:ascii="Times New Roman" w:hAnsi="Times New Roman" w:eastAsia="Times New Roman" w:cs="Times New Roman"/>
              <w:color w:val="auto"/>
              <w:sz w:val="21"/>
              <w:szCs w:val="21"/>
              <w:highlight w:val="none"/>
            </w:rPr>
            <w:fldChar w:fldCharType="end"/>
          </w:r>
        </w:p>
        <w:p w14:paraId="72DFB1B2">
          <w:pPr>
            <w:tabs>
              <w:tab w:val="right" w:leader="dot" w:pos="9775"/>
            </w:tabs>
            <w:spacing w:before="56" w:line="170" w:lineRule="auto"/>
            <w:ind w:left="455"/>
            <w:rPr>
              <w:rFonts w:ascii="Times New Roman" w:hAnsi="Times New Roman" w:eastAsia="Times New Roman" w:cs="Times New Roman"/>
              <w:color w:val="auto"/>
              <w:sz w:val="21"/>
              <w:szCs w:val="21"/>
              <w:highlight w:val="none"/>
            </w:rPr>
          </w:pPr>
          <w:bookmarkStart w:id="54" w:name="bookmark109"/>
          <w:bookmarkEnd w:id="54"/>
          <w:r>
            <w:rPr>
              <w:color w:val="auto"/>
              <w:highlight w:val="none"/>
            </w:rPr>
            <w:fldChar w:fldCharType="begin"/>
          </w:r>
          <w:r>
            <w:rPr>
              <w:color w:val="auto"/>
              <w:highlight w:val="none"/>
            </w:rPr>
            <w:instrText xml:space="preserve"> HYPERLINK \l "bookmark110" </w:instrText>
          </w:r>
          <w:r>
            <w:rPr>
              <w:color w:val="auto"/>
              <w:highlight w:val="none"/>
            </w:rPr>
            <w:fldChar w:fldCharType="separate"/>
          </w:r>
          <w:r>
            <w:rPr>
              <w:rFonts w:ascii="微软雅黑" w:hAnsi="微软雅黑" w:eastAsia="微软雅黑" w:cs="微软雅黑"/>
              <w:color w:val="auto"/>
              <w:spacing w:val="-1"/>
              <w:sz w:val="21"/>
              <w:szCs w:val="21"/>
              <w:highlight w:val="none"/>
            </w:rPr>
            <w:t>4  、法定代表人授权委托书(格式三，自然人投标的无需提供)</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60</w:t>
          </w:r>
          <w:r>
            <w:rPr>
              <w:rFonts w:ascii="Times New Roman" w:hAnsi="Times New Roman" w:eastAsia="Times New Roman" w:cs="Times New Roman"/>
              <w:color w:val="auto"/>
              <w:sz w:val="21"/>
              <w:szCs w:val="21"/>
              <w:highlight w:val="none"/>
            </w:rPr>
            <w:fldChar w:fldCharType="end"/>
          </w:r>
        </w:p>
        <w:p w14:paraId="56DEB63C">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55" w:name="bookmark111"/>
          <w:bookmarkEnd w:id="55"/>
          <w:r>
            <w:rPr>
              <w:color w:val="auto"/>
              <w:highlight w:val="none"/>
            </w:rPr>
            <w:fldChar w:fldCharType="begin"/>
          </w:r>
          <w:r>
            <w:rPr>
              <w:color w:val="auto"/>
              <w:highlight w:val="none"/>
            </w:rPr>
            <w:instrText xml:space="preserve"> HYPERLINK \l "bookmark112" </w:instrText>
          </w:r>
          <w:r>
            <w:rPr>
              <w:color w:val="auto"/>
              <w:highlight w:val="none"/>
            </w:rPr>
            <w:fldChar w:fldCharType="separate"/>
          </w:r>
          <w:r>
            <w:rPr>
              <w:rFonts w:ascii="微软雅黑" w:hAnsi="微软雅黑" w:eastAsia="微软雅黑" w:cs="微软雅黑"/>
              <w:color w:val="auto"/>
              <w:spacing w:val="-2"/>
              <w:sz w:val="21"/>
              <w:szCs w:val="21"/>
              <w:highlight w:val="none"/>
            </w:rPr>
            <w:t>5、投标保证金汇款凭证和保证金收据，或保函</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61</w:t>
          </w:r>
          <w:r>
            <w:rPr>
              <w:rFonts w:ascii="Times New Roman" w:hAnsi="Times New Roman" w:eastAsia="Times New Roman" w:cs="Times New Roman"/>
              <w:color w:val="auto"/>
              <w:sz w:val="21"/>
              <w:szCs w:val="21"/>
              <w:highlight w:val="none"/>
            </w:rPr>
            <w:fldChar w:fldCharType="end"/>
          </w:r>
        </w:p>
        <w:p w14:paraId="5E88F948">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56" w:name="bookmark113"/>
          <w:bookmarkEnd w:id="56"/>
          <w:r>
            <w:rPr>
              <w:color w:val="auto"/>
              <w:highlight w:val="none"/>
            </w:rPr>
            <w:fldChar w:fldCharType="begin"/>
          </w:r>
          <w:r>
            <w:rPr>
              <w:color w:val="auto"/>
              <w:highlight w:val="none"/>
            </w:rPr>
            <w:instrText xml:space="preserve"> HYPERLINK \l "bookmark114" </w:instrText>
          </w:r>
          <w:r>
            <w:rPr>
              <w:color w:val="auto"/>
              <w:highlight w:val="none"/>
            </w:rPr>
            <w:fldChar w:fldCharType="separate"/>
          </w:r>
          <w:r>
            <w:rPr>
              <w:rFonts w:ascii="微软雅黑" w:hAnsi="微软雅黑" w:eastAsia="微软雅黑" w:cs="微软雅黑"/>
              <w:color w:val="auto"/>
              <w:spacing w:val="-2"/>
              <w:sz w:val="21"/>
              <w:szCs w:val="21"/>
              <w:highlight w:val="none"/>
            </w:rPr>
            <w:t>6、反商业贿赂承诺书（格式自拟</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64</w:t>
          </w:r>
          <w:r>
            <w:rPr>
              <w:rFonts w:ascii="Times New Roman" w:hAnsi="Times New Roman" w:eastAsia="Times New Roman" w:cs="Times New Roman"/>
              <w:color w:val="auto"/>
              <w:sz w:val="21"/>
              <w:szCs w:val="21"/>
              <w:highlight w:val="none"/>
            </w:rPr>
            <w:fldChar w:fldCharType="end"/>
          </w:r>
        </w:p>
        <w:p w14:paraId="2780EFD2">
          <w:pPr>
            <w:tabs>
              <w:tab w:val="right" w:leader="dot" w:pos="9775"/>
            </w:tabs>
            <w:spacing w:before="57" w:line="170" w:lineRule="auto"/>
            <w:ind w:left="461"/>
            <w:rPr>
              <w:rFonts w:ascii="Times New Roman" w:hAnsi="Times New Roman" w:eastAsia="Times New Roman" w:cs="Times New Roman"/>
              <w:color w:val="auto"/>
              <w:sz w:val="21"/>
              <w:szCs w:val="21"/>
              <w:highlight w:val="none"/>
            </w:rPr>
          </w:pPr>
          <w:bookmarkStart w:id="57" w:name="bookmark115"/>
          <w:bookmarkEnd w:id="57"/>
          <w:r>
            <w:rPr>
              <w:color w:val="auto"/>
              <w:highlight w:val="none"/>
            </w:rPr>
            <w:fldChar w:fldCharType="begin"/>
          </w:r>
          <w:r>
            <w:rPr>
              <w:color w:val="auto"/>
              <w:highlight w:val="none"/>
            </w:rPr>
            <w:instrText xml:space="preserve"> HYPERLINK \l "bookmark116" </w:instrText>
          </w:r>
          <w:r>
            <w:rPr>
              <w:color w:val="auto"/>
              <w:highlight w:val="none"/>
            </w:rPr>
            <w:fldChar w:fldCharType="separate"/>
          </w:r>
          <w:r>
            <w:rPr>
              <w:rFonts w:ascii="微软雅黑" w:hAnsi="微软雅黑" w:eastAsia="微软雅黑" w:cs="微软雅黑"/>
              <w:color w:val="auto"/>
              <w:spacing w:val="-2"/>
              <w:sz w:val="21"/>
              <w:szCs w:val="21"/>
              <w:highlight w:val="none"/>
            </w:rPr>
            <w:t>7、</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pacing w:val="-2"/>
              <w:sz w:val="21"/>
              <w:szCs w:val="21"/>
              <w:highlight w:val="none"/>
            </w:rPr>
            <w:t>投标人须知资料表要求的其他资格证明文件</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65</w:t>
          </w:r>
          <w:r>
            <w:rPr>
              <w:rFonts w:ascii="Times New Roman" w:hAnsi="Times New Roman" w:eastAsia="Times New Roman" w:cs="Times New Roman"/>
              <w:color w:val="auto"/>
              <w:sz w:val="21"/>
              <w:szCs w:val="21"/>
              <w:highlight w:val="none"/>
            </w:rPr>
            <w:fldChar w:fldCharType="end"/>
          </w:r>
        </w:p>
        <w:p w14:paraId="2BCC14A8">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58" w:name="bookmark117"/>
          <w:bookmarkEnd w:id="58"/>
          <w:r>
            <w:rPr>
              <w:color w:val="auto"/>
              <w:highlight w:val="none"/>
            </w:rPr>
            <w:fldChar w:fldCharType="begin"/>
          </w:r>
          <w:r>
            <w:rPr>
              <w:color w:val="auto"/>
              <w:highlight w:val="none"/>
            </w:rPr>
            <w:instrText xml:space="preserve"> HYPERLINK \l "bookmark118" </w:instrText>
          </w:r>
          <w:r>
            <w:rPr>
              <w:color w:val="auto"/>
              <w:highlight w:val="none"/>
            </w:rPr>
            <w:fldChar w:fldCharType="separate"/>
          </w:r>
          <w:r>
            <w:rPr>
              <w:rFonts w:ascii="微软雅黑" w:hAnsi="微软雅黑" w:eastAsia="微软雅黑" w:cs="微软雅黑"/>
              <w:color w:val="auto"/>
              <w:spacing w:val="-5"/>
              <w:sz w:val="21"/>
              <w:szCs w:val="21"/>
              <w:highlight w:val="none"/>
            </w:rPr>
            <w:t>第二部分</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5"/>
              <w:sz w:val="21"/>
              <w:szCs w:val="21"/>
              <w:highlight w:val="none"/>
            </w:rPr>
            <w:t>商务及技术文件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66</w:t>
          </w:r>
          <w:r>
            <w:rPr>
              <w:rFonts w:ascii="Times New Roman" w:hAnsi="Times New Roman" w:eastAsia="Times New Roman" w:cs="Times New Roman"/>
              <w:color w:val="auto"/>
              <w:sz w:val="21"/>
              <w:szCs w:val="21"/>
              <w:highlight w:val="none"/>
            </w:rPr>
            <w:fldChar w:fldCharType="end"/>
          </w:r>
        </w:p>
        <w:p w14:paraId="55031224">
          <w:pPr>
            <w:tabs>
              <w:tab w:val="right" w:leader="dot" w:pos="9775"/>
            </w:tabs>
            <w:spacing w:before="56" w:line="170" w:lineRule="auto"/>
            <w:ind w:left="471"/>
            <w:rPr>
              <w:rFonts w:ascii="Times New Roman" w:hAnsi="Times New Roman" w:eastAsia="Times New Roman" w:cs="Times New Roman"/>
              <w:color w:val="auto"/>
              <w:sz w:val="21"/>
              <w:szCs w:val="21"/>
              <w:highlight w:val="none"/>
            </w:rPr>
          </w:pPr>
          <w:bookmarkStart w:id="59" w:name="bookmark119"/>
          <w:bookmarkEnd w:id="59"/>
          <w:r>
            <w:rPr>
              <w:color w:val="auto"/>
              <w:highlight w:val="none"/>
            </w:rPr>
            <w:fldChar w:fldCharType="begin"/>
          </w:r>
          <w:r>
            <w:rPr>
              <w:color w:val="auto"/>
              <w:highlight w:val="none"/>
            </w:rPr>
            <w:instrText xml:space="preserve"> HYPERLINK \l "bookmark120" </w:instrText>
          </w:r>
          <w:r>
            <w:rPr>
              <w:color w:val="auto"/>
              <w:highlight w:val="none"/>
            </w:rPr>
            <w:fldChar w:fldCharType="separate"/>
          </w:r>
          <w:r>
            <w:rPr>
              <w:rFonts w:ascii="微软雅黑" w:hAnsi="微软雅黑" w:eastAsia="微软雅黑" w:cs="微软雅黑"/>
              <w:color w:val="auto"/>
              <w:spacing w:val="-5"/>
              <w:sz w:val="21"/>
              <w:szCs w:val="21"/>
              <w:highlight w:val="none"/>
            </w:rPr>
            <w:t>1</w:t>
          </w:r>
          <w:r>
            <w:rPr>
              <w:rFonts w:ascii="微软雅黑" w:hAnsi="微软雅黑" w:eastAsia="微软雅黑" w:cs="微软雅黑"/>
              <w:color w:val="auto"/>
              <w:spacing w:val="67"/>
              <w:sz w:val="21"/>
              <w:szCs w:val="21"/>
              <w:highlight w:val="none"/>
            </w:rPr>
            <w:t xml:space="preserve"> </w:t>
          </w:r>
          <w:r>
            <w:rPr>
              <w:rFonts w:ascii="微软雅黑" w:hAnsi="微软雅黑" w:eastAsia="微软雅黑" w:cs="微软雅黑"/>
              <w:color w:val="auto"/>
              <w:spacing w:val="-5"/>
              <w:sz w:val="21"/>
              <w:szCs w:val="21"/>
              <w:highlight w:val="none"/>
            </w:rPr>
            <w:t>、投标书（格式四）</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67</w:t>
          </w:r>
          <w:r>
            <w:rPr>
              <w:rFonts w:ascii="Times New Roman" w:hAnsi="Times New Roman" w:eastAsia="Times New Roman" w:cs="Times New Roman"/>
              <w:color w:val="auto"/>
              <w:sz w:val="21"/>
              <w:szCs w:val="21"/>
              <w:highlight w:val="none"/>
            </w:rPr>
            <w:fldChar w:fldCharType="end"/>
          </w:r>
        </w:p>
        <w:p w14:paraId="6062087E">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60" w:name="bookmark121"/>
          <w:bookmarkEnd w:id="60"/>
          <w:r>
            <w:rPr>
              <w:color w:val="auto"/>
              <w:highlight w:val="none"/>
            </w:rPr>
            <w:fldChar w:fldCharType="begin"/>
          </w:r>
          <w:r>
            <w:rPr>
              <w:color w:val="auto"/>
              <w:highlight w:val="none"/>
            </w:rPr>
            <w:instrText xml:space="preserve"> HYPERLINK \l "bookmark122" </w:instrText>
          </w:r>
          <w:r>
            <w:rPr>
              <w:color w:val="auto"/>
              <w:highlight w:val="none"/>
            </w:rPr>
            <w:fldChar w:fldCharType="separate"/>
          </w:r>
          <w:r>
            <w:rPr>
              <w:rFonts w:ascii="微软雅黑" w:hAnsi="微软雅黑" w:eastAsia="微软雅黑" w:cs="微软雅黑"/>
              <w:color w:val="auto"/>
              <w:spacing w:val="-3"/>
              <w:sz w:val="21"/>
              <w:szCs w:val="21"/>
              <w:highlight w:val="none"/>
            </w:rPr>
            <w:t>2</w:t>
          </w:r>
          <w:r>
            <w:rPr>
              <w:rFonts w:ascii="微软雅黑" w:hAnsi="微软雅黑" w:eastAsia="微软雅黑" w:cs="微软雅黑"/>
              <w:color w:val="auto"/>
              <w:spacing w:val="72"/>
              <w:sz w:val="21"/>
              <w:szCs w:val="21"/>
              <w:highlight w:val="none"/>
            </w:rPr>
            <w:t xml:space="preserve"> </w:t>
          </w:r>
          <w:r>
            <w:rPr>
              <w:rFonts w:ascii="微软雅黑" w:hAnsi="微软雅黑" w:eastAsia="微软雅黑" w:cs="微软雅黑"/>
              <w:color w:val="auto"/>
              <w:spacing w:val="-3"/>
              <w:sz w:val="21"/>
              <w:szCs w:val="21"/>
              <w:highlight w:val="none"/>
            </w:rPr>
            <w:t>、投标分项报价表（格式五）</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68</w:t>
          </w:r>
          <w:r>
            <w:rPr>
              <w:rFonts w:ascii="Times New Roman" w:hAnsi="Times New Roman" w:eastAsia="Times New Roman" w:cs="Times New Roman"/>
              <w:color w:val="auto"/>
              <w:sz w:val="21"/>
              <w:szCs w:val="21"/>
              <w:highlight w:val="none"/>
            </w:rPr>
            <w:fldChar w:fldCharType="end"/>
          </w:r>
        </w:p>
        <w:p w14:paraId="7AAC7834">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61" w:name="bookmark123"/>
          <w:bookmarkEnd w:id="61"/>
          <w:r>
            <w:rPr>
              <w:color w:val="auto"/>
              <w:highlight w:val="none"/>
            </w:rPr>
            <w:fldChar w:fldCharType="begin"/>
          </w:r>
          <w:r>
            <w:rPr>
              <w:color w:val="auto"/>
              <w:highlight w:val="none"/>
            </w:rPr>
            <w:instrText xml:space="preserve"> HYPERLINK \l "bookmark124"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3、货物说明一览表（格式六）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69</w:t>
          </w:r>
          <w:r>
            <w:rPr>
              <w:rFonts w:ascii="Times New Roman" w:hAnsi="Times New Roman" w:eastAsia="Times New Roman" w:cs="Times New Roman"/>
              <w:color w:val="auto"/>
              <w:sz w:val="21"/>
              <w:szCs w:val="21"/>
              <w:highlight w:val="none"/>
            </w:rPr>
            <w:fldChar w:fldCharType="end"/>
          </w:r>
        </w:p>
        <w:p w14:paraId="1038B630">
          <w:pPr>
            <w:tabs>
              <w:tab w:val="right" w:leader="dot" w:pos="9775"/>
            </w:tabs>
            <w:spacing w:before="57" w:line="170" w:lineRule="auto"/>
            <w:ind w:left="455"/>
            <w:rPr>
              <w:rFonts w:ascii="Times New Roman" w:hAnsi="Times New Roman" w:eastAsia="Times New Roman" w:cs="Times New Roman"/>
              <w:color w:val="auto"/>
              <w:sz w:val="21"/>
              <w:szCs w:val="21"/>
              <w:highlight w:val="none"/>
            </w:rPr>
          </w:pPr>
          <w:bookmarkStart w:id="62" w:name="bookmark125"/>
          <w:bookmarkEnd w:id="62"/>
          <w:r>
            <w:rPr>
              <w:color w:val="auto"/>
              <w:highlight w:val="none"/>
            </w:rPr>
            <w:fldChar w:fldCharType="begin"/>
          </w:r>
          <w:r>
            <w:rPr>
              <w:color w:val="auto"/>
              <w:highlight w:val="none"/>
            </w:rPr>
            <w:instrText xml:space="preserve"> HYPERLINK \l "bookmark126" </w:instrText>
          </w:r>
          <w:r>
            <w:rPr>
              <w:color w:val="auto"/>
              <w:highlight w:val="none"/>
            </w:rPr>
            <w:fldChar w:fldCharType="separate"/>
          </w:r>
          <w:r>
            <w:rPr>
              <w:rFonts w:ascii="微软雅黑" w:hAnsi="微软雅黑" w:eastAsia="微软雅黑" w:cs="微软雅黑"/>
              <w:color w:val="auto"/>
              <w:spacing w:val="-1"/>
              <w:sz w:val="21"/>
              <w:szCs w:val="21"/>
              <w:highlight w:val="none"/>
            </w:rPr>
            <w:t>4、技术规格偏离表（格式七）</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70</w:t>
          </w:r>
          <w:r>
            <w:rPr>
              <w:rFonts w:ascii="Times New Roman" w:hAnsi="Times New Roman" w:eastAsia="Times New Roman" w:cs="Times New Roman"/>
              <w:color w:val="auto"/>
              <w:sz w:val="21"/>
              <w:szCs w:val="21"/>
              <w:highlight w:val="none"/>
            </w:rPr>
            <w:fldChar w:fldCharType="end"/>
          </w:r>
        </w:p>
        <w:p w14:paraId="568B10FF">
          <w:pPr>
            <w:tabs>
              <w:tab w:val="right" w:leader="dot" w:pos="9775"/>
            </w:tabs>
            <w:spacing w:before="56" w:line="170" w:lineRule="auto"/>
            <w:ind w:left="460"/>
            <w:rPr>
              <w:rFonts w:ascii="Times New Roman" w:hAnsi="Times New Roman" w:eastAsia="Times New Roman" w:cs="Times New Roman"/>
              <w:color w:val="auto"/>
              <w:sz w:val="21"/>
              <w:szCs w:val="21"/>
              <w:highlight w:val="none"/>
            </w:rPr>
          </w:pPr>
          <w:bookmarkStart w:id="63" w:name="bookmark127"/>
          <w:bookmarkEnd w:id="63"/>
          <w:r>
            <w:rPr>
              <w:color w:val="auto"/>
              <w:highlight w:val="none"/>
            </w:rPr>
            <w:fldChar w:fldCharType="begin"/>
          </w:r>
          <w:r>
            <w:rPr>
              <w:color w:val="auto"/>
              <w:highlight w:val="none"/>
            </w:rPr>
            <w:instrText xml:space="preserve"> HYPERLINK \l "bookmark128" </w:instrText>
          </w:r>
          <w:r>
            <w:rPr>
              <w:color w:val="auto"/>
              <w:highlight w:val="none"/>
            </w:rPr>
            <w:fldChar w:fldCharType="separate"/>
          </w:r>
          <w:r>
            <w:rPr>
              <w:rFonts w:ascii="微软雅黑" w:hAnsi="微软雅黑" w:eastAsia="微软雅黑" w:cs="微软雅黑"/>
              <w:color w:val="auto"/>
              <w:spacing w:val="-1"/>
              <w:sz w:val="21"/>
              <w:szCs w:val="21"/>
              <w:highlight w:val="none"/>
            </w:rPr>
            <w:t>5、商务条款偏离表（格式八）</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z w:val="21"/>
              <w:szCs w:val="21"/>
              <w:highlight w:val="none"/>
            </w:rPr>
            <w:fldChar w:fldCharType="end"/>
          </w:r>
        </w:p>
        <w:p w14:paraId="6A3881F9">
          <w:pPr>
            <w:spacing w:before="57" w:line="170" w:lineRule="auto"/>
            <w:jc w:val="right"/>
            <w:rPr>
              <w:rFonts w:ascii="微软雅黑" w:hAnsi="微软雅黑" w:eastAsia="微软雅黑" w:cs="微软雅黑"/>
              <w:color w:val="auto"/>
              <w:sz w:val="21"/>
              <w:szCs w:val="21"/>
              <w:highlight w:val="none"/>
            </w:rPr>
          </w:pPr>
          <w:bookmarkStart w:id="64" w:name="bookmark129"/>
          <w:bookmarkEnd w:id="64"/>
          <w:r>
            <w:rPr>
              <w:color w:val="auto"/>
              <w:highlight w:val="none"/>
            </w:rPr>
            <w:fldChar w:fldCharType="begin"/>
          </w:r>
          <w:r>
            <w:rPr>
              <w:color w:val="auto"/>
              <w:highlight w:val="none"/>
            </w:rPr>
            <w:instrText xml:space="preserve"> HYPERLINK \l "bookmark130" </w:instrText>
          </w:r>
          <w:r>
            <w:rPr>
              <w:color w:val="auto"/>
              <w:highlight w:val="none"/>
            </w:rPr>
            <w:fldChar w:fldCharType="separate"/>
          </w:r>
          <w:r>
            <w:rPr>
              <w:rFonts w:ascii="微软雅黑" w:hAnsi="微软雅黑" w:eastAsia="微软雅黑" w:cs="微软雅黑"/>
              <w:color w:val="auto"/>
              <w:spacing w:val="-3"/>
              <w:sz w:val="21"/>
              <w:szCs w:val="21"/>
              <w:highlight w:val="none"/>
            </w:rPr>
            <w:t>6、符合《政府采购促进中小企业发展暂行办法》、</w:t>
          </w:r>
          <w:r>
            <w:rPr>
              <w:rFonts w:ascii="微软雅黑" w:hAnsi="微软雅黑" w:eastAsia="微软雅黑" w:cs="微软雅黑"/>
              <w:color w:val="auto"/>
              <w:spacing w:val="-4"/>
              <w:sz w:val="21"/>
              <w:szCs w:val="21"/>
              <w:highlight w:val="none"/>
            </w:rPr>
            <w:t>《关于政府采购支持监狱企业发展有关问题的通知》</w:t>
          </w:r>
          <w:r>
            <w:rPr>
              <w:rFonts w:ascii="微软雅黑" w:hAnsi="微软雅黑" w:eastAsia="微软雅黑" w:cs="微软雅黑"/>
              <w:color w:val="auto"/>
              <w:spacing w:val="-4"/>
              <w:sz w:val="21"/>
              <w:szCs w:val="21"/>
              <w:highlight w:val="none"/>
            </w:rPr>
            <w:fldChar w:fldCharType="end"/>
          </w:r>
        </w:p>
        <w:p w14:paraId="75B58003">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65" w:name="bookmark129"/>
          <w:bookmarkEnd w:id="65"/>
          <w:r>
            <w:rPr>
              <w:color w:val="auto"/>
              <w:highlight w:val="none"/>
            </w:rPr>
            <w:fldChar w:fldCharType="begin"/>
          </w:r>
          <w:r>
            <w:rPr>
              <w:color w:val="auto"/>
              <w:highlight w:val="none"/>
            </w:rPr>
            <w:instrText xml:space="preserve"> HYPERLINK \l "bookmark131" </w:instrText>
          </w:r>
          <w:r>
            <w:rPr>
              <w:color w:val="auto"/>
              <w:highlight w:val="none"/>
            </w:rPr>
            <w:fldChar w:fldCharType="separate"/>
          </w:r>
          <w:r>
            <w:rPr>
              <w:rFonts w:ascii="微软雅黑" w:hAnsi="微软雅黑" w:eastAsia="微软雅黑" w:cs="微软雅黑"/>
              <w:color w:val="auto"/>
              <w:sz w:val="21"/>
              <w:szCs w:val="21"/>
              <w:highlight w:val="none"/>
            </w:rPr>
            <w:t>和《三部门联合发布关于促进残疾人就业政府采购政策的通知》条件的投标人提交）</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72</w:t>
          </w:r>
          <w:r>
            <w:rPr>
              <w:rFonts w:ascii="Times New Roman" w:hAnsi="Times New Roman" w:eastAsia="Times New Roman" w:cs="Times New Roman"/>
              <w:color w:val="auto"/>
              <w:sz w:val="21"/>
              <w:szCs w:val="21"/>
              <w:highlight w:val="none"/>
            </w:rPr>
            <w:fldChar w:fldCharType="end"/>
          </w:r>
        </w:p>
        <w:p w14:paraId="76AD2594">
          <w:pPr>
            <w:tabs>
              <w:tab w:val="right" w:leader="dot" w:pos="9775"/>
            </w:tabs>
            <w:spacing w:before="57" w:line="170" w:lineRule="auto"/>
            <w:ind w:left="461"/>
            <w:rPr>
              <w:rFonts w:ascii="Times New Roman" w:hAnsi="Times New Roman" w:eastAsia="Times New Roman" w:cs="Times New Roman"/>
              <w:color w:val="auto"/>
              <w:sz w:val="21"/>
              <w:szCs w:val="21"/>
              <w:highlight w:val="none"/>
            </w:rPr>
          </w:pPr>
          <w:bookmarkStart w:id="66" w:name="bookmark132"/>
          <w:bookmarkEnd w:id="66"/>
          <w:r>
            <w:rPr>
              <w:color w:val="auto"/>
              <w:highlight w:val="none"/>
            </w:rPr>
            <w:fldChar w:fldCharType="begin"/>
          </w:r>
          <w:r>
            <w:rPr>
              <w:color w:val="auto"/>
              <w:highlight w:val="none"/>
            </w:rPr>
            <w:instrText xml:space="preserve"> HYPERLINK \l "bookmark133" </w:instrText>
          </w:r>
          <w:r>
            <w:rPr>
              <w:color w:val="auto"/>
              <w:highlight w:val="none"/>
            </w:rPr>
            <w:fldChar w:fldCharType="separate"/>
          </w:r>
          <w:r>
            <w:rPr>
              <w:rFonts w:ascii="微软雅黑" w:hAnsi="微软雅黑" w:eastAsia="微软雅黑" w:cs="微软雅黑"/>
              <w:color w:val="auto"/>
              <w:spacing w:val="-3"/>
              <w:sz w:val="21"/>
              <w:szCs w:val="21"/>
              <w:highlight w:val="none"/>
            </w:rPr>
            <w:t>7、投标人关联单位的说明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74</w:t>
          </w:r>
          <w:r>
            <w:rPr>
              <w:rFonts w:ascii="Times New Roman" w:hAnsi="Times New Roman" w:eastAsia="Times New Roman" w:cs="Times New Roman"/>
              <w:color w:val="auto"/>
              <w:sz w:val="21"/>
              <w:szCs w:val="21"/>
              <w:highlight w:val="none"/>
            </w:rPr>
            <w:fldChar w:fldCharType="end"/>
          </w:r>
        </w:p>
        <w:p w14:paraId="67D2659B">
          <w:pPr>
            <w:tabs>
              <w:tab w:val="right" w:leader="dot" w:pos="9775"/>
            </w:tabs>
            <w:spacing w:before="57" w:line="170" w:lineRule="auto"/>
            <w:ind w:left="457"/>
            <w:rPr>
              <w:rFonts w:ascii="Times New Roman" w:hAnsi="Times New Roman" w:eastAsia="Times New Roman" w:cs="Times New Roman"/>
              <w:color w:val="auto"/>
              <w:sz w:val="21"/>
              <w:szCs w:val="21"/>
              <w:highlight w:val="none"/>
            </w:rPr>
          </w:pPr>
          <w:bookmarkStart w:id="67" w:name="bookmark134"/>
          <w:bookmarkEnd w:id="67"/>
          <w:r>
            <w:rPr>
              <w:color w:val="auto"/>
              <w:highlight w:val="none"/>
            </w:rPr>
            <w:fldChar w:fldCharType="begin"/>
          </w:r>
          <w:r>
            <w:rPr>
              <w:color w:val="auto"/>
              <w:highlight w:val="none"/>
            </w:rPr>
            <w:instrText xml:space="preserve"> HYPERLINK \l "bookmark135" </w:instrText>
          </w:r>
          <w:r>
            <w:rPr>
              <w:color w:val="auto"/>
              <w:highlight w:val="none"/>
            </w:rPr>
            <w:fldChar w:fldCharType="separate"/>
          </w:r>
          <w:r>
            <w:rPr>
              <w:rFonts w:ascii="微软雅黑" w:hAnsi="微软雅黑" w:eastAsia="微软雅黑" w:cs="微软雅黑"/>
              <w:color w:val="auto"/>
              <w:spacing w:val="-1"/>
              <w:sz w:val="21"/>
              <w:szCs w:val="21"/>
              <w:highlight w:val="none"/>
            </w:rPr>
            <w:t>8、评分标准和细则中技术部分证明材料（格式自拟）</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75</w:t>
          </w:r>
          <w:r>
            <w:rPr>
              <w:rFonts w:ascii="Times New Roman" w:hAnsi="Times New Roman" w:eastAsia="Times New Roman" w:cs="Times New Roman"/>
              <w:color w:val="auto"/>
              <w:sz w:val="21"/>
              <w:szCs w:val="21"/>
              <w:highlight w:val="none"/>
            </w:rPr>
            <w:fldChar w:fldCharType="end"/>
          </w:r>
        </w:p>
        <w:p w14:paraId="33EBD49F">
          <w:pPr>
            <w:tabs>
              <w:tab w:val="right" w:leader="dot" w:pos="9775"/>
            </w:tabs>
            <w:spacing w:before="56" w:line="170" w:lineRule="auto"/>
            <w:ind w:left="457"/>
            <w:rPr>
              <w:rFonts w:ascii="Times New Roman" w:hAnsi="Times New Roman" w:eastAsia="Times New Roman" w:cs="Times New Roman"/>
              <w:color w:val="auto"/>
              <w:sz w:val="21"/>
              <w:szCs w:val="21"/>
              <w:highlight w:val="none"/>
            </w:rPr>
          </w:pPr>
          <w:bookmarkStart w:id="68" w:name="bookmark136"/>
          <w:bookmarkEnd w:id="68"/>
          <w:r>
            <w:rPr>
              <w:color w:val="auto"/>
              <w:highlight w:val="none"/>
            </w:rPr>
            <w:fldChar w:fldCharType="begin"/>
          </w:r>
          <w:r>
            <w:rPr>
              <w:color w:val="auto"/>
              <w:highlight w:val="none"/>
            </w:rPr>
            <w:instrText xml:space="preserve"> HYPERLINK \l "bookmark137" </w:instrText>
          </w:r>
          <w:r>
            <w:rPr>
              <w:color w:val="auto"/>
              <w:highlight w:val="none"/>
            </w:rPr>
            <w:fldChar w:fldCharType="separate"/>
          </w:r>
          <w:r>
            <w:rPr>
              <w:rFonts w:ascii="微软雅黑" w:hAnsi="微软雅黑" w:eastAsia="微软雅黑" w:cs="微软雅黑"/>
              <w:color w:val="auto"/>
              <w:spacing w:val="-1"/>
              <w:sz w:val="21"/>
              <w:szCs w:val="21"/>
              <w:highlight w:val="none"/>
            </w:rPr>
            <w:t>9、评分标准和细则中商务部分证明材料（格式自拟）</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76</w:t>
          </w:r>
          <w:r>
            <w:rPr>
              <w:rFonts w:ascii="Times New Roman" w:hAnsi="Times New Roman" w:eastAsia="Times New Roman" w:cs="Times New Roman"/>
              <w:color w:val="auto"/>
              <w:sz w:val="21"/>
              <w:szCs w:val="21"/>
              <w:highlight w:val="none"/>
            </w:rPr>
            <w:fldChar w:fldCharType="end"/>
          </w:r>
        </w:p>
        <w:p w14:paraId="64941FF3">
          <w:pPr>
            <w:tabs>
              <w:tab w:val="right" w:leader="dot" w:pos="9775"/>
            </w:tabs>
            <w:spacing w:before="58" w:line="183" w:lineRule="auto"/>
            <w:ind w:left="471"/>
            <w:rPr>
              <w:rFonts w:ascii="Times New Roman" w:hAnsi="Times New Roman" w:eastAsia="Times New Roman" w:cs="Times New Roman"/>
              <w:color w:val="auto"/>
              <w:sz w:val="21"/>
              <w:szCs w:val="21"/>
              <w:highlight w:val="none"/>
            </w:rPr>
          </w:pPr>
          <w:bookmarkStart w:id="69" w:name="bookmark2"/>
          <w:bookmarkEnd w:id="69"/>
          <w:bookmarkStart w:id="70" w:name="bookmark138"/>
          <w:bookmarkEnd w:id="70"/>
          <w:r>
            <w:rPr>
              <w:color w:val="auto"/>
              <w:highlight w:val="none"/>
            </w:rPr>
            <w:fldChar w:fldCharType="begin"/>
          </w:r>
          <w:r>
            <w:rPr>
              <w:color w:val="auto"/>
              <w:highlight w:val="none"/>
            </w:rPr>
            <w:instrText xml:space="preserve"> HYPERLINK \l "bookmark139" </w:instrText>
          </w:r>
          <w:r>
            <w:rPr>
              <w:color w:val="auto"/>
              <w:highlight w:val="none"/>
            </w:rPr>
            <w:fldChar w:fldCharType="separate"/>
          </w:r>
          <w:r>
            <w:rPr>
              <w:rFonts w:ascii="微软雅黑" w:hAnsi="微软雅黑" w:eastAsia="微软雅黑" w:cs="微软雅黑"/>
              <w:color w:val="auto"/>
              <w:spacing w:val="-2"/>
              <w:sz w:val="21"/>
              <w:szCs w:val="21"/>
              <w:highlight w:val="none"/>
            </w:rPr>
            <w:t>10、投标人认为有必要提供的其他证明材料（格式自拟）</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77</w:t>
          </w:r>
          <w:r>
            <w:rPr>
              <w:rFonts w:ascii="Times New Roman" w:hAnsi="Times New Roman" w:eastAsia="Times New Roman" w:cs="Times New Roman"/>
              <w:color w:val="auto"/>
              <w:sz w:val="21"/>
              <w:szCs w:val="21"/>
              <w:highlight w:val="none"/>
            </w:rPr>
            <w:fldChar w:fldCharType="end"/>
          </w:r>
        </w:p>
      </w:sdtContent>
    </w:sdt>
    <w:p w14:paraId="0C568E4E">
      <w:pPr>
        <w:spacing w:line="183" w:lineRule="auto"/>
        <w:rPr>
          <w:rFonts w:ascii="Times New Roman" w:hAnsi="Times New Roman" w:eastAsia="Times New Roman" w:cs="Times New Roman"/>
          <w:color w:val="auto"/>
          <w:sz w:val="21"/>
          <w:szCs w:val="21"/>
          <w:highlight w:val="none"/>
        </w:rPr>
        <w:sectPr>
          <w:headerReference r:id="rId8" w:type="default"/>
          <w:footerReference r:id="rId9" w:type="default"/>
          <w:pgSz w:w="11906" w:h="16839"/>
          <w:pgMar w:top="1745" w:right="983" w:bottom="1152" w:left="1050" w:header="850" w:footer="992" w:gutter="0"/>
          <w:cols w:space="720" w:num="1"/>
        </w:sectPr>
      </w:pPr>
    </w:p>
    <w:p w14:paraId="6AC80AF1">
      <w:pPr>
        <w:spacing w:line="240" w:lineRule="auto"/>
        <w:ind w:firstLine="0"/>
        <w:rPr>
          <w:color w:val="auto"/>
          <w:highlight w:val="none"/>
        </w:rPr>
      </w:pPr>
    </w:p>
    <w:p w14:paraId="14D0199F">
      <w:pPr>
        <w:spacing w:line="186" w:lineRule="auto"/>
        <w:ind w:left="3405"/>
        <w:outlineLvl w:val="0"/>
        <w:rPr>
          <w:rFonts w:ascii="微软雅黑" w:hAnsi="微软雅黑" w:eastAsia="微软雅黑" w:cs="微软雅黑"/>
          <w:color w:val="auto"/>
          <w:sz w:val="36"/>
          <w:szCs w:val="36"/>
          <w:highlight w:val="none"/>
        </w:rPr>
      </w:pPr>
      <w:r>
        <w:rPr>
          <w:color w:val="auto"/>
          <w:highlight w:val="none"/>
        </w:rPr>
        <w:pict>
          <v:shape id="_x0000_s1027" o:spid="_x0000_s1027" style="position:absolute;left:0pt;margin-left:4.2pt;margin-top:0.3pt;height:0.5pt;width:490.25pt;z-index:-251654144;mso-width-relative:page;mso-height-relative:page;" filled="f" stroked="t" coordsize="9805,10" path="m0,5l9804,5e">
            <v:fill on="f" focussize="0,0"/>
            <v:stroke weight="0.5pt" color="#FFFFFF" miterlimit="10" joinstyle="miter"/>
            <v:imagedata o:title=""/>
            <o:lock v:ext="edit" aspectratio="f"/>
          </v:shape>
        </w:pict>
      </w:r>
      <w:bookmarkStart w:id="71" w:name="bookmark4"/>
      <w:bookmarkEnd w:id="71"/>
      <w:bookmarkStart w:id="72" w:name="bookmark1"/>
      <w:bookmarkEnd w:id="72"/>
      <w:r>
        <w:rPr>
          <w:rFonts w:ascii="微软雅黑" w:hAnsi="微软雅黑" w:eastAsia="微软雅黑" w:cs="微软雅黑"/>
          <w:b/>
          <w:bCs/>
          <w:color w:val="auto"/>
          <w:spacing w:val="-8"/>
          <w:sz w:val="36"/>
          <w:szCs w:val="36"/>
          <w:highlight w:val="none"/>
        </w:rPr>
        <w:t>第一部分</w:t>
      </w:r>
      <w:r>
        <w:rPr>
          <w:rFonts w:ascii="微软雅黑" w:hAnsi="微软雅黑" w:eastAsia="微软雅黑" w:cs="微软雅黑"/>
          <w:b/>
          <w:bCs/>
          <w:color w:val="auto"/>
          <w:spacing w:val="22"/>
          <w:sz w:val="36"/>
          <w:szCs w:val="36"/>
          <w:highlight w:val="none"/>
        </w:rPr>
        <w:t xml:space="preserve">   </w:t>
      </w:r>
      <w:r>
        <w:rPr>
          <w:rFonts w:ascii="微软雅黑" w:hAnsi="微软雅黑" w:eastAsia="微软雅黑" w:cs="微软雅黑"/>
          <w:b/>
          <w:bCs/>
          <w:color w:val="auto"/>
          <w:spacing w:val="-8"/>
          <w:sz w:val="36"/>
          <w:szCs w:val="36"/>
          <w:highlight w:val="none"/>
        </w:rPr>
        <w:t>招标公告</w:t>
      </w:r>
    </w:p>
    <w:p w14:paraId="5D83790C">
      <w:pPr>
        <w:spacing w:before="330" w:line="184" w:lineRule="auto"/>
        <w:ind w:left="863"/>
        <w:jc w:val="center"/>
        <w:rPr>
          <w:rFonts w:hint="eastAsia" w:ascii="微软雅黑" w:hAnsi="微软雅黑" w:eastAsia="微软雅黑" w:cs="微软雅黑"/>
          <w:color w:val="auto"/>
          <w:sz w:val="32"/>
          <w:szCs w:val="32"/>
          <w:highlight w:val="none"/>
          <w:lang w:eastAsia="zh-CN"/>
        </w:rPr>
      </w:pPr>
      <w:r>
        <w:rPr>
          <w:rFonts w:hint="eastAsia" w:ascii="微软雅黑" w:hAnsi="微软雅黑" w:eastAsia="微软雅黑" w:cs="微软雅黑"/>
          <w:b/>
          <w:bCs/>
          <w:color w:val="auto"/>
          <w:spacing w:val="-2"/>
          <w:sz w:val="32"/>
          <w:szCs w:val="32"/>
          <w:highlight w:val="none"/>
          <w:lang w:eastAsia="zh-CN"/>
        </w:rPr>
        <w:t>乌恰县2025年“三北”工程林草湿荒一体化保护修复（退化草原修复）项目</w:t>
      </w:r>
    </w:p>
    <w:p w14:paraId="1CB6E794">
      <w:pPr>
        <w:spacing w:before="204" w:line="188" w:lineRule="auto"/>
        <w:ind w:left="4053"/>
        <w:outlineLvl w:val="1"/>
        <w:rPr>
          <w:rFonts w:ascii="微软雅黑" w:hAnsi="微软雅黑" w:eastAsia="微软雅黑" w:cs="微软雅黑"/>
          <w:color w:val="auto"/>
          <w:sz w:val="32"/>
          <w:szCs w:val="32"/>
          <w:highlight w:val="none"/>
        </w:rPr>
      </w:pPr>
      <w:bookmarkStart w:id="73" w:name="bookmark3"/>
      <w:bookmarkEnd w:id="73"/>
      <w:r>
        <w:rPr>
          <w:rFonts w:ascii="微软雅黑" w:hAnsi="微软雅黑" w:eastAsia="微软雅黑" w:cs="微软雅黑"/>
          <w:b/>
          <w:bCs/>
          <w:color w:val="auto"/>
          <w:spacing w:val="-4"/>
          <w:sz w:val="32"/>
          <w:szCs w:val="32"/>
          <w:highlight w:val="none"/>
        </w:rPr>
        <w:t>公开招标公告</w:t>
      </w:r>
    </w:p>
    <w:p w14:paraId="37810ADC">
      <w:pPr>
        <w:spacing w:line="38" w:lineRule="exact"/>
        <w:rPr>
          <w:color w:val="auto"/>
          <w:highlight w:val="none"/>
        </w:rPr>
      </w:pPr>
    </w:p>
    <w:tbl>
      <w:tblPr>
        <w:tblStyle w:val="11"/>
        <w:tblW w:w="986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860"/>
      </w:tblGrid>
      <w:tr w14:paraId="67F0EB9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38" w:hRule="atLeast"/>
        </w:trPr>
        <w:tc>
          <w:tcPr>
            <w:tcW w:w="9860" w:type="dxa"/>
            <w:vAlign w:val="top"/>
          </w:tcPr>
          <w:p w14:paraId="0CBB61E7">
            <w:pPr>
              <w:spacing w:before="53" w:line="187" w:lineRule="auto"/>
              <w:ind w:left="1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项目概况：</w:t>
            </w:r>
          </w:p>
          <w:p w14:paraId="644EE999">
            <w:pPr>
              <w:spacing w:before="31" w:line="198" w:lineRule="auto"/>
              <w:ind w:left="107" w:right="155" w:firstLine="439"/>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乌恰县2025年“三北”工程林草湿荒一体化保护修复（退化草原修复）项目</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z w:val="21"/>
                <w:szCs w:val="21"/>
                <w:highlight w:val="none"/>
              </w:rPr>
              <w:t xml:space="preserve">(招标项目的潜在供应商应在政采云平台 </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ascii="微软雅黑" w:hAnsi="微软雅黑" w:eastAsia="微软雅黑" w:cs="微软雅黑"/>
                <w:color w:val="auto"/>
                <w:spacing w:val="-5"/>
                <w:sz w:val="21"/>
                <w:szCs w:val="21"/>
                <w:highlight w:val="none"/>
              </w:rPr>
              <w:t>http://www.zcygov.cn/</w:t>
            </w:r>
            <w:r>
              <w:rPr>
                <w:rFonts w:ascii="微软雅黑" w:hAnsi="微软雅黑" w:eastAsia="微软雅黑" w:cs="微软雅黑"/>
                <w:color w:val="auto"/>
                <w:spacing w:val="-5"/>
                <w:sz w:val="21"/>
                <w:szCs w:val="21"/>
                <w:highlight w:val="none"/>
              </w:rPr>
              <w:fldChar w:fldCharType="end"/>
            </w:r>
            <w:r>
              <w:rPr>
                <w:rFonts w:ascii="微软雅黑" w:hAnsi="微软雅黑" w:eastAsia="微软雅黑" w:cs="微软雅黑"/>
                <w:color w:val="auto"/>
                <w:spacing w:val="-5"/>
                <w:sz w:val="21"/>
                <w:szCs w:val="21"/>
                <w:highlight w:val="none"/>
              </w:rPr>
              <w:t>获取采购文件，并于 202</w:t>
            </w:r>
            <w:r>
              <w:rPr>
                <w:rFonts w:hint="eastAsia" w:ascii="微软雅黑" w:hAnsi="微软雅黑" w:eastAsia="微软雅黑" w:cs="微软雅黑"/>
                <w:color w:val="auto"/>
                <w:spacing w:val="-5"/>
                <w:sz w:val="21"/>
                <w:szCs w:val="21"/>
                <w:highlight w:val="none"/>
                <w:lang w:val="en-US" w:eastAsia="zh-CN"/>
              </w:rPr>
              <w:t>5</w:t>
            </w:r>
            <w:r>
              <w:rPr>
                <w:rFonts w:ascii="微软雅黑" w:hAnsi="微软雅黑" w:eastAsia="微软雅黑" w:cs="微软雅黑"/>
                <w:color w:val="auto"/>
                <w:spacing w:val="-5"/>
                <w:sz w:val="21"/>
                <w:szCs w:val="21"/>
                <w:highlight w:val="none"/>
              </w:rPr>
              <w:t xml:space="preserve"> 年  </w:t>
            </w:r>
            <w:r>
              <w:rPr>
                <w:rFonts w:hint="eastAsia" w:ascii="微软雅黑" w:hAnsi="微软雅黑" w:eastAsia="微软雅黑" w:cs="微软雅黑"/>
                <w:color w:val="auto"/>
                <w:spacing w:val="-5"/>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月</w:t>
            </w:r>
            <w:r>
              <w:rPr>
                <w:rFonts w:ascii="微软雅黑" w:hAnsi="微软雅黑" w:eastAsia="微软雅黑" w:cs="微软雅黑"/>
                <w:color w:val="auto"/>
                <w:spacing w:val="-6"/>
                <w:sz w:val="21"/>
                <w:szCs w:val="21"/>
                <w:highlight w:val="none"/>
              </w:rPr>
              <w:t xml:space="preserve"> </w:t>
            </w:r>
            <w:r>
              <w:rPr>
                <w:rFonts w:hint="eastAsia" w:ascii="微软雅黑" w:hAnsi="微软雅黑" w:eastAsia="微软雅黑" w:cs="微软雅黑"/>
                <w:color w:val="auto"/>
                <w:spacing w:val="-6"/>
                <w:sz w:val="21"/>
                <w:szCs w:val="21"/>
                <w:highlight w:val="none"/>
                <w:lang w:val="en-US" w:eastAsia="zh-CN"/>
              </w:rPr>
              <w:t xml:space="preserve"> 27</w:t>
            </w:r>
            <w:r>
              <w:rPr>
                <w:rFonts w:ascii="微软雅黑" w:hAnsi="微软雅黑" w:eastAsia="微软雅黑" w:cs="微软雅黑"/>
                <w:color w:val="auto"/>
                <w:spacing w:val="-6"/>
                <w:sz w:val="21"/>
                <w:szCs w:val="21"/>
                <w:highlight w:val="none"/>
              </w:rPr>
              <w:t xml:space="preserve"> 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1</w:t>
            </w:r>
            <w:r>
              <w:rPr>
                <w:rFonts w:hint="eastAsia" w:ascii="微软雅黑" w:hAnsi="微软雅黑" w:eastAsia="微软雅黑" w:cs="微软雅黑"/>
                <w:color w:val="auto"/>
                <w:spacing w:val="-6"/>
                <w:sz w:val="21"/>
                <w:szCs w:val="21"/>
                <w:highlight w:val="none"/>
                <w:lang w:val="en-US" w:eastAsia="zh-CN"/>
              </w:rPr>
              <w:t>0</w:t>
            </w:r>
            <w:r>
              <w:rPr>
                <w:rFonts w:ascii="微软雅黑" w:hAnsi="微软雅黑" w:eastAsia="微软雅黑" w:cs="微软雅黑"/>
                <w:color w:val="auto"/>
                <w:spacing w:val="-6"/>
                <w:sz w:val="21"/>
                <w:szCs w:val="21"/>
                <w:highlight w:val="none"/>
              </w:rPr>
              <w:t>:</w:t>
            </w:r>
            <w:r>
              <w:rPr>
                <w:rFonts w:hint="eastAsia" w:ascii="微软雅黑" w:hAnsi="微软雅黑" w:eastAsia="微软雅黑" w:cs="微软雅黑"/>
                <w:color w:val="auto"/>
                <w:spacing w:val="-6"/>
                <w:sz w:val="21"/>
                <w:szCs w:val="21"/>
                <w:highlight w:val="none"/>
                <w:lang w:val="en-US" w:eastAsia="zh-CN"/>
              </w:rPr>
              <w:t>3</w:t>
            </w:r>
            <w:r>
              <w:rPr>
                <w:rFonts w:ascii="微软雅黑" w:hAnsi="微软雅黑" w:eastAsia="微软雅黑" w:cs="微软雅黑"/>
                <w:color w:val="auto"/>
                <w:spacing w:val="-6"/>
                <w:sz w:val="21"/>
                <w:szCs w:val="21"/>
                <w:highlight w:val="none"/>
              </w:rPr>
              <w:t>0(北京时间)前递交投标文件。</w:t>
            </w:r>
          </w:p>
        </w:tc>
      </w:tr>
    </w:tbl>
    <w:p w14:paraId="1BE6D955">
      <w:pPr>
        <w:spacing w:before="175" w:line="188" w:lineRule="auto"/>
        <w:ind w:left="135"/>
        <w:outlineLvl w:val="1"/>
        <w:rPr>
          <w:rFonts w:ascii="微软雅黑" w:hAnsi="微软雅黑" w:eastAsia="微软雅黑" w:cs="微软雅黑"/>
          <w:color w:val="auto"/>
          <w:sz w:val="28"/>
          <w:szCs w:val="28"/>
          <w:highlight w:val="none"/>
        </w:rPr>
      </w:pPr>
      <w:bookmarkStart w:id="74" w:name="bookmark5"/>
      <w:bookmarkEnd w:id="74"/>
      <w:bookmarkStart w:id="75" w:name="bookmark6"/>
      <w:bookmarkEnd w:id="75"/>
      <w:r>
        <w:rPr>
          <w:rFonts w:ascii="微软雅黑" w:hAnsi="微软雅黑" w:eastAsia="微软雅黑" w:cs="微软雅黑"/>
          <w:b/>
          <w:bCs/>
          <w:color w:val="auto"/>
          <w:spacing w:val="-6"/>
          <w:sz w:val="28"/>
          <w:szCs w:val="28"/>
          <w:highlight w:val="none"/>
        </w:rPr>
        <w:t>一、项目基本情况</w:t>
      </w:r>
    </w:p>
    <w:p w14:paraId="4C523A85">
      <w:pPr>
        <w:spacing w:before="126" w:line="183" w:lineRule="auto"/>
        <w:ind w:left="547"/>
        <w:rPr>
          <w:rFonts w:hint="default" w:ascii="微软雅黑" w:hAnsi="微软雅黑" w:eastAsia="微软雅黑" w:cs="微软雅黑"/>
          <w:color w:val="auto"/>
          <w:spacing w:val="-17"/>
          <w:sz w:val="21"/>
          <w:szCs w:val="21"/>
          <w:highlight w:val="none"/>
          <w:lang w:val="en-US" w:eastAsia="zh-CN"/>
        </w:rPr>
      </w:pPr>
      <w:r>
        <w:rPr>
          <w:rFonts w:ascii="微软雅黑" w:hAnsi="微软雅黑" w:eastAsia="微软雅黑" w:cs="微软雅黑"/>
          <w:color w:val="auto"/>
          <w:spacing w:val="-17"/>
          <w:sz w:val="21"/>
          <w:szCs w:val="21"/>
          <w:highlight w:val="none"/>
        </w:rPr>
        <w:t>项目编号：</w:t>
      </w:r>
      <w:r>
        <w:rPr>
          <w:rFonts w:hint="eastAsia" w:ascii="微软雅黑" w:hAnsi="微软雅黑" w:eastAsia="微软雅黑" w:cs="微软雅黑"/>
          <w:color w:val="auto"/>
          <w:spacing w:val="-17"/>
          <w:sz w:val="21"/>
          <w:szCs w:val="21"/>
          <w:highlight w:val="none"/>
          <w:lang w:eastAsia="zh-CN"/>
        </w:rPr>
        <w:t>WQZFCG(ZB)-2025-</w:t>
      </w:r>
      <w:r>
        <w:rPr>
          <w:rFonts w:hint="eastAsia" w:ascii="微软雅黑" w:hAnsi="微软雅黑" w:eastAsia="微软雅黑" w:cs="微软雅黑"/>
          <w:color w:val="auto"/>
          <w:spacing w:val="-17"/>
          <w:sz w:val="21"/>
          <w:szCs w:val="21"/>
          <w:highlight w:val="none"/>
          <w:lang w:val="en-US" w:eastAsia="zh-CN"/>
        </w:rPr>
        <w:t>018</w:t>
      </w:r>
    </w:p>
    <w:p w14:paraId="52432E2D">
      <w:pPr>
        <w:spacing w:before="126" w:line="183" w:lineRule="auto"/>
        <w:ind w:left="547"/>
        <w:rPr>
          <w:rFonts w:hint="eastAsia" w:ascii="微软雅黑" w:hAnsi="微软雅黑" w:eastAsia="微软雅黑" w:cs="微软雅黑"/>
          <w:color w:val="auto"/>
          <w:spacing w:val="-1"/>
          <w:sz w:val="21"/>
          <w:szCs w:val="21"/>
          <w:highlight w:val="none"/>
          <w:lang w:eastAsia="zh-CN"/>
        </w:rPr>
      </w:pPr>
      <w:r>
        <w:rPr>
          <w:rFonts w:ascii="微软雅黑" w:hAnsi="微软雅黑" w:eastAsia="微软雅黑" w:cs="微软雅黑"/>
          <w:color w:val="auto"/>
          <w:spacing w:val="-1"/>
          <w:sz w:val="21"/>
          <w:szCs w:val="21"/>
          <w:highlight w:val="none"/>
        </w:rPr>
        <w:t>项目名称：</w:t>
      </w:r>
      <w:r>
        <w:rPr>
          <w:rFonts w:hint="eastAsia" w:ascii="微软雅黑" w:hAnsi="微软雅黑" w:eastAsia="微软雅黑" w:cs="微软雅黑"/>
          <w:color w:val="auto"/>
          <w:spacing w:val="-1"/>
          <w:sz w:val="21"/>
          <w:szCs w:val="21"/>
          <w:highlight w:val="none"/>
          <w:lang w:eastAsia="zh-CN"/>
        </w:rPr>
        <w:t>乌恰县2025年“三北”工程林草湿荒一体化保护修复（退化草原修复）项目</w:t>
      </w:r>
    </w:p>
    <w:p w14:paraId="42265F72">
      <w:pPr>
        <w:spacing w:line="240" w:lineRule="auto"/>
        <w:ind w:left="0" w:right="0" w:firstLine="480" w:firstLineChars="200"/>
        <w:rPr>
          <w:rFonts w:ascii="微软雅黑" w:hAnsi="微软雅黑" w:eastAsia="微软雅黑" w:cs="微软雅黑"/>
          <w:color w:val="auto"/>
          <w:spacing w:val="-2"/>
          <w:sz w:val="21"/>
          <w:szCs w:val="21"/>
          <w:highlight w:val="none"/>
        </w:rPr>
      </w:pP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2"/>
          <w:sz w:val="21"/>
          <w:szCs w:val="21"/>
          <w:highlight w:val="none"/>
        </w:rPr>
        <w:t>采购方式：公开招标</w:t>
      </w:r>
    </w:p>
    <w:p w14:paraId="1E470076">
      <w:pPr>
        <w:spacing w:line="240" w:lineRule="auto"/>
        <w:ind w:left="0" w:right="0" w:firstLine="594" w:firstLineChars="300"/>
        <w:rPr>
          <w:rFonts w:hint="default" w:ascii="微软雅黑" w:hAnsi="微软雅黑" w:eastAsia="微软雅黑" w:cs="微软雅黑"/>
          <w:color w:val="auto"/>
          <w:spacing w:val="-6"/>
          <w:sz w:val="21"/>
          <w:szCs w:val="21"/>
          <w:highlight w:val="none"/>
          <w:lang w:val="en-US" w:eastAsia="zh-CN"/>
        </w:rPr>
      </w:pPr>
      <w:r>
        <w:rPr>
          <w:rFonts w:ascii="微软雅黑" w:hAnsi="微软雅黑" w:eastAsia="微软雅黑" w:cs="微软雅黑"/>
          <w:color w:val="auto"/>
          <w:spacing w:val="-6"/>
          <w:sz w:val="21"/>
          <w:szCs w:val="21"/>
          <w:highlight w:val="none"/>
        </w:rPr>
        <w:t>预算金额(元)：</w:t>
      </w:r>
      <w:r>
        <w:rPr>
          <w:rFonts w:hint="eastAsia" w:ascii="微软雅黑" w:hAnsi="微软雅黑" w:eastAsia="微软雅黑" w:cs="微软雅黑"/>
          <w:color w:val="auto"/>
          <w:spacing w:val="-6"/>
          <w:sz w:val="21"/>
          <w:szCs w:val="21"/>
          <w:highlight w:val="none"/>
        </w:rPr>
        <w:t>12684900元</w:t>
      </w:r>
    </w:p>
    <w:p w14:paraId="0286263E">
      <w:pPr>
        <w:spacing w:before="126" w:line="183" w:lineRule="auto"/>
        <w:ind w:left="547"/>
        <w:rPr>
          <w:rFonts w:hint="default" w:ascii="微软雅黑" w:hAnsi="微软雅黑" w:eastAsia="微软雅黑" w:cs="微软雅黑"/>
          <w:color w:val="auto"/>
          <w:spacing w:val="-1"/>
          <w:sz w:val="21"/>
          <w:szCs w:val="21"/>
          <w:highlight w:val="none"/>
          <w:lang w:val="en-US" w:eastAsia="zh-CN"/>
        </w:rPr>
      </w:pPr>
      <w:r>
        <w:rPr>
          <w:rFonts w:ascii="微软雅黑" w:hAnsi="微软雅黑" w:eastAsia="微软雅黑" w:cs="微软雅黑"/>
          <w:color w:val="auto"/>
          <w:spacing w:val="-1"/>
          <w:sz w:val="21"/>
          <w:szCs w:val="21"/>
          <w:highlight w:val="none"/>
        </w:rPr>
        <w:t xml:space="preserve"> 最高限价(元)</w:t>
      </w:r>
      <w:r>
        <w:rPr>
          <w:rFonts w:hint="eastAsia" w:ascii="微软雅黑" w:hAnsi="微软雅黑" w:eastAsia="微软雅黑" w:cs="微软雅黑"/>
          <w:color w:val="auto"/>
          <w:spacing w:val="-1"/>
          <w:sz w:val="21"/>
          <w:szCs w:val="21"/>
          <w:highlight w:val="none"/>
          <w:lang w:val="en-US" w:eastAsia="zh-CN"/>
        </w:rPr>
        <w:t>:12684900元</w:t>
      </w:r>
    </w:p>
    <w:p w14:paraId="1E40BFBD">
      <w:pPr>
        <w:spacing w:before="4" w:line="207" w:lineRule="auto"/>
        <w:ind w:left="548" w:right="7107"/>
        <w:jc w:val="both"/>
        <w:rPr>
          <w:rFonts w:ascii="微软雅黑" w:hAnsi="微软雅黑" w:eastAsia="微软雅黑" w:cs="微软雅黑"/>
          <w:color w:val="auto"/>
          <w:spacing w:val="-10"/>
          <w:sz w:val="21"/>
          <w:szCs w:val="21"/>
          <w:highlight w:val="none"/>
        </w:rPr>
      </w:pPr>
      <w:r>
        <w:rPr>
          <w:rFonts w:ascii="微软雅黑" w:hAnsi="微软雅黑" w:eastAsia="微软雅黑" w:cs="微软雅黑"/>
          <w:color w:val="auto"/>
          <w:spacing w:val="-10"/>
          <w:sz w:val="21"/>
          <w:szCs w:val="21"/>
          <w:highlight w:val="none"/>
        </w:rPr>
        <w:t>采购需求：</w:t>
      </w:r>
    </w:p>
    <w:p w14:paraId="6F3B5252">
      <w:pPr>
        <w:spacing w:line="240" w:lineRule="auto"/>
        <w:ind w:left="0" w:right="0" w:firstLine="624" w:firstLineChars="300"/>
        <w:jc w:val="both"/>
        <w:rPr>
          <w:rFonts w:ascii="微软雅黑" w:hAnsi="微软雅黑" w:eastAsia="微软雅黑" w:cs="微软雅黑"/>
          <w:color w:val="auto"/>
          <w:spacing w:val="16"/>
          <w:w w:val="101"/>
          <w:sz w:val="21"/>
          <w:szCs w:val="21"/>
          <w:highlight w:val="none"/>
        </w:rPr>
      </w:pPr>
      <w:r>
        <w:rPr>
          <w:rFonts w:ascii="微软雅黑" w:hAnsi="微软雅黑" w:eastAsia="微软雅黑" w:cs="微软雅黑"/>
          <w:color w:val="auto"/>
          <w:spacing w:val="-1"/>
          <w:sz w:val="21"/>
          <w:szCs w:val="21"/>
          <w:highlight w:val="none"/>
        </w:rPr>
        <w:t>标项名称：</w:t>
      </w:r>
      <w:r>
        <w:rPr>
          <w:rFonts w:hint="eastAsia" w:ascii="微软雅黑" w:hAnsi="微软雅黑" w:eastAsia="微软雅黑" w:cs="微软雅黑"/>
          <w:color w:val="auto"/>
          <w:spacing w:val="-1"/>
          <w:sz w:val="21"/>
          <w:szCs w:val="21"/>
          <w:highlight w:val="none"/>
          <w:lang w:eastAsia="zh-CN"/>
        </w:rPr>
        <w:t>乌恰县2025年“三北”工程林草湿荒一体化保护修复（退化草原修复）项目</w:t>
      </w:r>
      <w:r>
        <w:rPr>
          <w:rFonts w:ascii="微软雅黑" w:hAnsi="微软雅黑" w:eastAsia="微软雅黑" w:cs="微软雅黑"/>
          <w:color w:val="auto"/>
          <w:spacing w:val="16"/>
          <w:w w:val="101"/>
          <w:sz w:val="21"/>
          <w:szCs w:val="21"/>
          <w:highlight w:val="none"/>
        </w:rPr>
        <w:t xml:space="preserve"> </w:t>
      </w:r>
    </w:p>
    <w:p w14:paraId="469502FD">
      <w:pPr>
        <w:spacing w:line="240" w:lineRule="auto"/>
        <w:ind w:left="0" w:right="0" w:firstLine="654" w:firstLineChars="300"/>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数量:1 批</w:t>
      </w:r>
    </w:p>
    <w:p w14:paraId="130CC73E">
      <w:pPr>
        <w:spacing w:before="6" w:line="183" w:lineRule="auto"/>
        <w:ind w:left="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预算金额（元）:</w:t>
      </w:r>
      <w:r>
        <w:rPr>
          <w:rFonts w:hint="eastAsia" w:ascii="微软雅黑" w:hAnsi="微软雅黑" w:eastAsia="微软雅黑" w:cs="微软雅黑"/>
          <w:color w:val="auto"/>
          <w:spacing w:val="-6"/>
          <w:sz w:val="21"/>
          <w:szCs w:val="21"/>
          <w:highlight w:val="none"/>
        </w:rPr>
        <w:t>12684900元</w:t>
      </w:r>
    </w:p>
    <w:p w14:paraId="70B553A0">
      <w:pPr>
        <w:spacing w:before="37" w:line="204" w:lineRule="auto"/>
        <w:ind w:left="126" w:right="19" w:firstLine="43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简要规格描述或项目基本概况介绍、用途：</w:t>
      </w:r>
      <w:r>
        <w:rPr>
          <w:rFonts w:hint="eastAsia" w:ascii="微软雅黑" w:hAnsi="微软雅黑" w:eastAsia="微软雅黑" w:cs="微软雅黑"/>
          <w:color w:val="auto"/>
          <w:spacing w:val="-3"/>
          <w:sz w:val="21"/>
          <w:szCs w:val="21"/>
          <w:highlight w:val="none"/>
        </w:rPr>
        <w:t>拉设草原围栏27.924万亩，设置宣传牌10块，标识牌（大字）6块，制度牌20块等（具体详见招标文件）。</w:t>
      </w:r>
    </w:p>
    <w:p w14:paraId="57735CA1">
      <w:pPr>
        <w:spacing w:before="10" w:line="190" w:lineRule="auto"/>
        <w:ind w:left="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备注：</w:t>
      </w:r>
    </w:p>
    <w:p w14:paraId="550960C3">
      <w:pPr>
        <w:spacing w:before="148" w:line="204" w:lineRule="auto"/>
        <w:ind w:left="547" w:right="3740" w:firstLine="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合同履约期限:标项  1，5 年，具体以甲乙双方签订合同为准；</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本项目(否)接受联合体投标。</w:t>
      </w:r>
    </w:p>
    <w:p w14:paraId="144DCAC0">
      <w:pPr>
        <w:spacing w:before="133" w:line="188" w:lineRule="auto"/>
        <w:ind w:left="140"/>
        <w:outlineLvl w:val="1"/>
        <w:rPr>
          <w:rFonts w:ascii="微软雅黑" w:hAnsi="微软雅黑" w:eastAsia="微软雅黑" w:cs="微软雅黑"/>
          <w:color w:val="auto"/>
          <w:sz w:val="28"/>
          <w:szCs w:val="28"/>
          <w:highlight w:val="none"/>
        </w:rPr>
      </w:pPr>
      <w:bookmarkStart w:id="76" w:name="bookmark7"/>
      <w:bookmarkEnd w:id="76"/>
      <w:bookmarkStart w:id="77" w:name="bookmark8"/>
      <w:bookmarkEnd w:id="77"/>
      <w:r>
        <w:rPr>
          <w:rFonts w:ascii="微软雅黑" w:hAnsi="微软雅黑" w:eastAsia="微软雅黑" w:cs="微软雅黑"/>
          <w:b/>
          <w:bCs/>
          <w:color w:val="auto"/>
          <w:spacing w:val="-8"/>
          <w:sz w:val="28"/>
          <w:szCs w:val="28"/>
          <w:highlight w:val="none"/>
        </w:rPr>
        <w:t>二、申请人的资格要求：</w:t>
      </w:r>
    </w:p>
    <w:p w14:paraId="132F0F91">
      <w:pPr>
        <w:spacing w:before="126" w:line="188" w:lineRule="auto"/>
        <w:ind w:left="5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1.满足《中华人民共和国政府采购法》第二</w:t>
      </w:r>
      <w:r>
        <w:rPr>
          <w:rFonts w:ascii="微软雅黑" w:hAnsi="微软雅黑" w:eastAsia="微软雅黑" w:cs="微软雅黑"/>
          <w:color w:val="auto"/>
          <w:spacing w:val="-2"/>
          <w:sz w:val="21"/>
          <w:szCs w:val="21"/>
          <w:highlight w:val="none"/>
        </w:rPr>
        <w:t>十二条规定；</w:t>
      </w:r>
    </w:p>
    <w:p w14:paraId="3CF37F2D">
      <w:pPr>
        <w:spacing w:before="30" w:line="206" w:lineRule="auto"/>
        <w:ind w:left="543" w:right="2907"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2.落实政府采购政策需满足的资格要求：标项 </w:t>
      </w:r>
      <w:r>
        <w:rPr>
          <w:rFonts w:ascii="微软雅黑" w:hAnsi="微软雅黑" w:eastAsia="微软雅黑" w:cs="微软雅黑"/>
          <w:color w:val="auto"/>
          <w:spacing w:val="-1"/>
          <w:sz w:val="21"/>
          <w:szCs w:val="21"/>
          <w:highlight w:val="none"/>
        </w:rPr>
        <w:t xml:space="preserve"> 1：供应商为中小企业</w:t>
      </w:r>
      <w:r>
        <w:rPr>
          <w:rFonts w:ascii="微软雅黑" w:hAnsi="微软雅黑" w:eastAsia="微软雅黑" w:cs="微软雅黑"/>
          <w:color w:val="auto"/>
          <w:sz w:val="21"/>
          <w:szCs w:val="21"/>
          <w:highlight w:val="none"/>
        </w:rPr>
        <w:t xml:space="preserve"> </w:t>
      </w:r>
    </w:p>
    <w:p w14:paraId="30AB841B">
      <w:pPr>
        <w:spacing w:before="30" w:line="206" w:lineRule="auto"/>
        <w:ind w:left="543" w:right="2907"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3.本项目的特定资格要求：</w:t>
      </w:r>
    </w:p>
    <w:p w14:paraId="6AC3DC0A">
      <w:pPr>
        <w:spacing w:before="5" w:line="198" w:lineRule="auto"/>
        <w:ind w:left="974" w:hanging="3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(1)合格有效的营业执照（三证合一）【法人或者非法人组织的营业执照等证明文件（须加盖本单位章）</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6"/>
          <w:sz w:val="21"/>
          <w:szCs w:val="21"/>
          <w:highlight w:val="none"/>
        </w:rPr>
        <w:t>或自然人的身份证明】；</w:t>
      </w:r>
    </w:p>
    <w:p w14:paraId="7C94C126">
      <w:pPr>
        <w:spacing w:before="29" w:line="198" w:lineRule="auto"/>
        <w:ind w:left="981" w:right="91" w:hanging="4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(2)法定代表人参与投标须提供法定代表人资格证明，授权委托人参与投</w:t>
      </w:r>
      <w:r>
        <w:rPr>
          <w:rFonts w:ascii="微软雅黑" w:hAnsi="微软雅黑" w:eastAsia="微软雅黑" w:cs="微软雅黑"/>
          <w:color w:val="auto"/>
          <w:spacing w:val="-1"/>
          <w:sz w:val="21"/>
          <w:szCs w:val="21"/>
          <w:highlight w:val="none"/>
        </w:rPr>
        <w:t>标须提供法定代表人授权委托</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8"/>
          <w:sz w:val="21"/>
          <w:szCs w:val="21"/>
          <w:highlight w:val="none"/>
        </w:rPr>
        <w:t>书；</w:t>
      </w:r>
    </w:p>
    <w:p w14:paraId="11555B3B">
      <w:pPr>
        <w:spacing w:before="29" w:line="196" w:lineRule="auto"/>
        <w:ind w:left="970" w:right="91" w:hanging="3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(3)投标企业须提供投标人（被授权在职人员）近 6 个月内任意 1 个月社保证明（如若法定代表人参加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投标事宜，则只需出具法人身份证正反面复印件，无需出具社保）</w:t>
      </w:r>
      <w:r>
        <w:rPr>
          <w:rFonts w:ascii="微软雅黑" w:hAnsi="微软雅黑" w:eastAsia="微软雅黑" w:cs="微软雅黑"/>
          <w:color w:val="auto"/>
          <w:spacing w:val="26"/>
          <w:w w:val="101"/>
          <w:sz w:val="21"/>
          <w:szCs w:val="21"/>
          <w:highlight w:val="none"/>
        </w:rPr>
        <w:t xml:space="preserve"> </w:t>
      </w:r>
      <w:r>
        <w:rPr>
          <w:rFonts w:ascii="微软雅黑" w:hAnsi="微软雅黑" w:eastAsia="微软雅黑" w:cs="微软雅黑"/>
          <w:color w:val="auto"/>
          <w:sz w:val="21"/>
          <w:szCs w:val="21"/>
          <w:highlight w:val="none"/>
        </w:rPr>
        <w:t>；</w:t>
      </w:r>
    </w:p>
    <w:p w14:paraId="1119ACAC">
      <w:pPr>
        <w:spacing w:before="34" w:line="201" w:lineRule="auto"/>
        <w:ind w:left="971" w:hanging="3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(4)根据《财政部关于在政府采购活动中查询及使用信用记录有关问题的通知》（财库﹝2016﹞125</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5"/>
          <w:sz w:val="21"/>
          <w:szCs w:val="21"/>
          <w:highlight w:val="none"/>
        </w:rPr>
        <w:t>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的要求，凡拟参加本次招标项目的供应商，如在“信用中国”网站（</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rPr>
        <w:t>www.creditchina.gov.cn）</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被列入失信被执行人、政府采购严重违法失信行为记录名单、重</w:t>
      </w:r>
      <w:r>
        <w:rPr>
          <w:rFonts w:ascii="微软雅黑" w:hAnsi="微软雅黑" w:eastAsia="微软雅黑" w:cs="微软雅黑"/>
          <w:color w:val="auto"/>
          <w:spacing w:val="2"/>
          <w:sz w:val="21"/>
          <w:szCs w:val="21"/>
          <w:highlight w:val="none"/>
        </w:rPr>
        <w:t>大税收违法失信主体(信用服务-</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重点领域严重失信主体名单查询-点击相关查询模块-按要求搜索栏输入单位全称等-查询)、中国</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
          <w:sz w:val="21"/>
          <w:szCs w:val="21"/>
          <w:highlight w:val="none"/>
        </w:rPr>
        <w:t>政府采购网（</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rFonts w:ascii="微软雅黑" w:hAnsi="微软雅黑" w:eastAsia="微软雅黑" w:cs="微软雅黑"/>
          <w:color w:val="auto"/>
          <w:spacing w:val="-1"/>
          <w:sz w:val="21"/>
          <w:szCs w:val="21"/>
          <w:highlight w:val="none"/>
        </w:rPr>
        <w:t>http://www.ccgp.gov.cn/search/cr/</w:t>
      </w:r>
      <w:r>
        <w:rPr>
          <w:rFonts w:ascii="微软雅黑" w:hAnsi="微软雅黑" w:eastAsia="微软雅黑" w:cs="微软雅黑"/>
          <w:color w:val="auto"/>
          <w:spacing w:val="-1"/>
          <w:sz w:val="21"/>
          <w:szCs w:val="21"/>
          <w:highlight w:val="none"/>
        </w:rPr>
        <w:fldChar w:fldCharType="end"/>
      </w:r>
      <w:r>
        <w:rPr>
          <w:rFonts w:ascii="微软雅黑" w:hAnsi="微软雅黑" w:eastAsia="微软雅黑" w:cs="微软雅黑"/>
          <w:color w:val="auto"/>
          <w:spacing w:val="-1"/>
          <w:sz w:val="21"/>
          <w:szCs w:val="21"/>
          <w:highlight w:val="none"/>
        </w:rPr>
        <w:t>）政府采购严重违法失信行为</w:t>
      </w:r>
      <w:r>
        <w:rPr>
          <w:rFonts w:ascii="微软雅黑" w:hAnsi="微软雅黑" w:eastAsia="微软雅黑" w:cs="微软雅黑"/>
          <w:color w:val="auto"/>
          <w:spacing w:val="-2"/>
          <w:sz w:val="21"/>
          <w:szCs w:val="21"/>
          <w:highlight w:val="none"/>
        </w:rPr>
        <w:t>记录名单（尚在</w:t>
      </w:r>
    </w:p>
    <w:p w14:paraId="68857183">
      <w:pPr>
        <w:spacing w:line="201" w:lineRule="auto"/>
        <w:rPr>
          <w:rFonts w:ascii="微软雅黑" w:hAnsi="微软雅黑" w:eastAsia="微软雅黑" w:cs="微软雅黑"/>
          <w:color w:val="auto"/>
          <w:sz w:val="21"/>
          <w:szCs w:val="21"/>
          <w:highlight w:val="none"/>
        </w:rPr>
        <w:sectPr>
          <w:headerReference r:id="rId10" w:type="default"/>
          <w:footerReference r:id="rId11" w:type="default"/>
          <w:pgSz w:w="11906" w:h="16839"/>
          <w:pgMar w:top="400" w:right="988" w:bottom="1152" w:left="966" w:header="0" w:footer="992" w:gutter="0"/>
          <w:cols w:space="720" w:num="1"/>
        </w:sectPr>
      </w:pPr>
    </w:p>
    <w:p w14:paraId="598BE4BD">
      <w:pPr>
        <w:spacing w:before="53" w:line="204" w:lineRule="auto"/>
        <w:ind w:left="888" w:right="2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处罚期内的</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1"/>
          <w:sz w:val="21"/>
          <w:szCs w:val="21"/>
          <w:highlight w:val="none"/>
        </w:rPr>
        <w:t>国家企业信用信息公示系统（http://www.gsxt.gov.cn</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）”列入严重违法失信</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名单（黑名单）信息将拒绝其参加本次招标活动；</w:t>
      </w:r>
    </w:p>
    <w:p w14:paraId="5714C1B1">
      <w:pPr>
        <w:spacing w:before="133" w:line="188" w:lineRule="auto"/>
        <w:ind w:left="55"/>
        <w:outlineLvl w:val="1"/>
        <w:rPr>
          <w:rFonts w:ascii="微软雅黑" w:hAnsi="微软雅黑" w:eastAsia="微软雅黑" w:cs="微软雅黑"/>
          <w:color w:val="auto"/>
          <w:sz w:val="28"/>
          <w:szCs w:val="28"/>
          <w:highlight w:val="none"/>
        </w:rPr>
      </w:pPr>
      <w:bookmarkStart w:id="78" w:name="bookmark10"/>
      <w:bookmarkEnd w:id="78"/>
      <w:bookmarkStart w:id="79" w:name="bookmark9"/>
      <w:bookmarkEnd w:id="79"/>
      <w:r>
        <w:rPr>
          <w:rFonts w:ascii="微软雅黑" w:hAnsi="微软雅黑" w:eastAsia="微软雅黑" w:cs="微软雅黑"/>
          <w:b/>
          <w:bCs/>
          <w:color w:val="auto"/>
          <w:spacing w:val="-3"/>
          <w:sz w:val="28"/>
          <w:szCs w:val="28"/>
          <w:highlight w:val="none"/>
        </w:rPr>
        <w:t>三、获取招标文件</w:t>
      </w:r>
    </w:p>
    <w:p w14:paraId="223B9BEB">
      <w:pPr>
        <w:spacing w:before="125" w:line="204" w:lineRule="auto"/>
        <w:ind w:left="57" w:right="210"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时间：202</w:t>
      </w:r>
      <w:r>
        <w:rPr>
          <w:rFonts w:hint="eastAsia" w:ascii="微软雅黑" w:hAnsi="微软雅黑" w:eastAsia="微软雅黑" w:cs="微软雅黑"/>
          <w:color w:val="auto"/>
          <w:spacing w:val="-14"/>
          <w:sz w:val="21"/>
          <w:szCs w:val="21"/>
          <w:highlight w:val="none"/>
          <w:lang w:val="en-US" w:eastAsia="zh-CN"/>
        </w:rPr>
        <w:t>5</w:t>
      </w:r>
      <w:r>
        <w:rPr>
          <w:rFonts w:ascii="微软雅黑" w:hAnsi="微软雅黑" w:eastAsia="微软雅黑" w:cs="微软雅黑"/>
          <w:color w:val="auto"/>
          <w:spacing w:val="25"/>
          <w:w w:val="101"/>
          <w:sz w:val="21"/>
          <w:szCs w:val="21"/>
          <w:highlight w:val="none"/>
        </w:rPr>
        <w:t xml:space="preserve"> </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14"/>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4"/>
          <w:sz w:val="21"/>
          <w:szCs w:val="21"/>
          <w:highlight w:val="none"/>
        </w:rPr>
        <w:t xml:space="preserve">月 </w:t>
      </w:r>
      <w:r>
        <w:rPr>
          <w:rFonts w:hint="eastAsia" w:ascii="微软雅黑" w:hAnsi="微软雅黑" w:eastAsia="微软雅黑" w:cs="微软雅黑"/>
          <w:color w:val="auto"/>
          <w:spacing w:val="-14"/>
          <w:sz w:val="21"/>
          <w:szCs w:val="21"/>
          <w:highlight w:val="none"/>
          <w:lang w:val="en-US" w:eastAsia="zh-CN"/>
        </w:rPr>
        <w:t xml:space="preserve">7  </w:t>
      </w:r>
      <w:r>
        <w:rPr>
          <w:rFonts w:ascii="微软雅黑" w:hAnsi="微软雅黑" w:eastAsia="微软雅黑" w:cs="微软雅黑"/>
          <w:color w:val="auto"/>
          <w:spacing w:val="-14"/>
          <w:sz w:val="21"/>
          <w:szCs w:val="21"/>
          <w:highlight w:val="none"/>
        </w:rPr>
        <w:t>日至 202</w:t>
      </w:r>
      <w:r>
        <w:rPr>
          <w:rFonts w:hint="eastAsia" w:ascii="微软雅黑" w:hAnsi="微软雅黑" w:eastAsia="微软雅黑" w:cs="微软雅黑"/>
          <w:color w:val="auto"/>
          <w:spacing w:val="-14"/>
          <w:sz w:val="21"/>
          <w:szCs w:val="21"/>
          <w:highlight w:val="none"/>
          <w:lang w:val="en-US" w:eastAsia="zh-CN"/>
        </w:rPr>
        <w:t>5</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14"/>
          <w:sz w:val="21"/>
          <w:szCs w:val="21"/>
          <w:highlight w:val="none"/>
        </w:rPr>
        <w:t xml:space="preserve"> </w:t>
      </w:r>
      <w:r>
        <w:rPr>
          <w:rFonts w:hint="eastAsia" w:ascii="微软雅黑" w:hAnsi="微软雅黑" w:eastAsia="微软雅黑" w:cs="微软雅黑"/>
          <w:color w:val="auto"/>
          <w:spacing w:val="-14"/>
          <w:sz w:val="21"/>
          <w:szCs w:val="21"/>
          <w:highlight w:val="none"/>
          <w:lang w:val="en-US" w:eastAsia="zh-CN"/>
        </w:rPr>
        <w:t>03</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13"/>
          <w:sz w:val="21"/>
          <w:szCs w:val="21"/>
          <w:highlight w:val="none"/>
          <w:lang w:val="en-US" w:eastAsia="zh-CN"/>
        </w:rPr>
        <w:t xml:space="preserve">20  </w:t>
      </w:r>
      <w:r>
        <w:rPr>
          <w:rFonts w:ascii="微软雅黑" w:hAnsi="微软雅黑" w:eastAsia="微软雅黑" w:cs="微软雅黑"/>
          <w:color w:val="auto"/>
          <w:spacing w:val="-14"/>
          <w:sz w:val="21"/>
          <w:szCs w:val="21"/>
          <w:highlight w:val="none"/>
        </w:rPr>
        <w:t>日，每天上午</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4"/>
          <w:sz w:val="21"/>
          <w:szCs w:val="21"/>
          <w:highlight w:val="none"/>
        </w:rPr>
        <w:t>10:00</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4"/>
          <w:sz w:val="21"/>
          <w:szCs w:val="21"/>
          <w:highlight w:val="none"/>
        </w:rPr>
        <w:t>至</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14:00，下午</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16:00</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4"/>
          <w:sz w:val="21"/>
          <w:szCs w:val="21"/>
          <w:highlight w:val="none"/>
        </w:rPr>
        <w:t>至</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19:30(北京</w:t>
      </w:r>
      <w:r>
        <w:rPr>
          <w:rFonts w:ascii="微软雅黑" w:hAnsi="微软雅黑" w:eastAsia="微软雅黑" w:cs="微软雅黑"/>
          <w:color w:val="auto"/>
          <w:sz w:val="21"/>
          <w:szCs w:val="21"/>
          <w:highlight w:val="none"/>
        </w:rPr>
        <w:t xml:space="preserve"> 时间，法定节假日除外)</w:t>
      </w:r>
    </w:p>
    <w:p w14:paraId="176CD240">
      <w:pPr>
        <w:spacing w:before="10" w:line="172"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地点：政采云平台 http://www.zcygov.cn/</w:t>
      </w:r>
    </w:p>
    <w:p w14:paraId="129487E2">
      <w:pPr>
        <w:spacing w:before="54" w:line="204" w:lineRule="auto"/>
        <w:ind w:left="42" w:firstLine="4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方式</w:t>
      </w:r>
      <w:r>
        <w:rPr>
          <w:rFonts w:ascii="微软雅黑" w:hAnsi="微软雅黑" w:eastAsia="微软雅黑" w:cs="微软雅黑"/>
          <w:color w:val="auto"/>
          <w:spacing w:val="-54"/>
          <w:sz w:val="21"/>
          <w:szCs w:val="21"/>
          <w:highlight w:val="none"/>
        </w:rPr>
        <w:t>：（</w:t>
      </w:r>
      <w:r>
        <w:rPr>
          <w:rFonts w:ascii="微软雅黑" w:hAnsi="微软雅黑" w:eastAsia="微软雅黑" w:cs="微软雅黑"/>
          <w:color w:val="auto"/>
          <w:spacing w:val="-1"/>
          <w:sz w:val="21"/>
          <w:szCs w:val="21"/>
          <w:highlight w:val="none"/>
        </w:rPr>
        <w:t xml:space="preserve">1）供应商登录政采云平台 </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ascii="微软雅黑" w:hAnsi="微软雅黑" w:eastAsia="微软雅黑" w:cs="微软雅黑"/>
          <w:color w:val="auto"/>
          <w:spacing w:val="-1"/>
          <w:sz w:val="21"/>
          <w:szCs w:val="21"/>
          <w:highlight w:val="none"/>
        </w:rPr>
        <w:t>https://www.zcygov.cn/</w:t>
      </w:r>
      <w:r>
        <w:rPr>
          <w:rFonts w:ascii="微软雅黑" w:hAnsi="微软雅黑" w:eastAsia="微软雅黑" w:cs="微软雅黑"/>
          <w:color w:val="auto"/>
          <w:spacing w:val="-1"/>
          <w:sz w:val="21"/>
          <w:szCs w:val="21"/>
          <w:highlight w:val="none"/>
        </w:rPr>
        <w:fldChar w:fldCharType="end"/>
      </w:r>
      <w:r>
        <w:rPr>
          <w:rFonts w:ascii="微软雅黑" w:hAnsi="微软雅黑" w:eastAsia="微软雅黑" w:cs="微软雅黑"/>
          <w:color w:val="auto"/>
          <w:spacing w:val="-1"/>
          <w:sz w:val="21"/>
          <w:szCs w:val="21"/>
          <w:highlight w:val="none"/>
        </w:rPr>
        <w:t>在线申请获</w:t>
      </w:r>
      <w:r>
        <w:rPr>
          <w:rFonts w:ascii="微软雅黑" w:hAnsi="微软雅黑" w:eastAsia="微软雅黑" w:cs="微软雅黑"/>
          <w:color w:val="auto"/>
          <w:spacing w:val="-2"/>
          <w:sz w:val="21"/>
          <w:szCs w:val="21"/>
          <w:highlight w:val="none"/>
        </w:rPr>
        <w:t>取采购文件（进入“项目采购”</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
          <w:sz w:val="21"/>
          <w:szCs w:val="21"/>
          <w:highlight w:val="none"/>
        </w:rPr>
        <w:t>应用，在获取采购文件菜单中选择项目，申请获取采购文件）</w:t>
      </w:r>
    </w:p>
    <w:p w14:paraId="29F3F7C5">
      <w:pPr>
        <w:spacing w:before="11" w:line="204" w:lineRule="auto"/>
        <w:ind w:left="474" w:right="2739" w:firstLine="6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(2)供应商获取招标文件前应注册成为政府采购云平台正式供应商。</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3"/>
          <w:sz w:val="21"/>
          <w:szCs w:val="21"/>
          <w:highlight w:val="none"/>
        </w:rPr>
        <w:t>售价(元)：0</w:t>
      </w:r>
    </w:p>
    <w:p w14:paraId="5CE35A3A">
      <w:pPr>
        <w:spacing w:before="132" w:line="188" w:lineRule="auto"/>
        <w:ind w:left="80"/>
        <w:outlineLvl w:val="1"/>
        <w:rPr>
          <w:rFonts w:ascii="微软雅黑" w:hAnsi="微软雅黑" w:eastAsia="微软雅黑" w:cs="微软雅黑"/>
          <w:color w:val="auto"/>
          <w:sz w:val="28"/>
          <w:szCs w:val="28"/>
          <w:highlight w:val="none"/>
        </w:rPr>
      </w:pPr>
      <w:bookmarkStart w:id="80" w:name="bookmark12"/>
      <w:bookmarkEnd w:id="80"/>
      <w:bookmarkStart w:id="81" w:name="bookmark11"/>
      <w:bookmarkEnd w:id="81"/>
      <w:r>
        <w:rPr>
          <w:rFonts w:ascii="微软雅黑" w:hAnsi="微软雅黑" w:eastAsia="微软雅黑" w:cs="微软雅黑"/>
          <w:b/>
          <w:bCs/>
          <w:color w:val="auto"/>
          <w:spacing w:val="-3"/>
          <w:sz w:val="28"/>
          <w:szCs w:val="28"/>
          <w:highlight w:val="none"/>
        </w:rPr>
        <w:t>四、提交投标文件截止时间、开标时间和地点</w:t>
      </w:r>
    </w:p>
    <w:p w14:paraId="6562874B">
      <w:pPr>
        <w:spacing w:before="128" w:line="183"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提交投标文件截止时间：202</w:t>
      </w:r>
      <w:r>
        <w:rPr>
          <w:rFonts w:hint="eastAsia" w:ascii="微软雅黑" w:hAnsi="微软雅黑" w:eastAsia="微软雅黑" w:cs="微软雅黑"/>
          <w:color w:val="auto"/>
          <w:spacing w:val="-7"/>
          <w:sz w:val="21"/>
          <w:szCs w:val="21"/>
          <w:highlight w:val="none"/>
          <w:lang w:val="en-US" w:eastAsia="zh-CN"/>
        </w:rPr>
        <w:t>5</w:t>
      </w:r>
      <w:r>
        <w:rPr>
          <w:rFonts w:ascii="微软雅黑" w:hAnsi="微软雅黑" w:eastAsia="微软雅黑" w:cs="微软雅黑"/>
          <w:color w:val="auto"/>
          <w:spacing w:val="-7"/>
          <w:sz w:val="21"/>
          <w:szCs w:val="21"/>
          <w:highlight w:val="none"/>
        </w:rPr>
        <w:t xml:space="preserve"> 年</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7"/>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7"/>
          <w:sz w:val="21"/>
          <w:szCs w:val="21"/>
          <w:highlight w:val="none"/>
        </w:rPr>
        <w:t>月</w:t>
      </w:r>
      <w:r>
        <w:rPr>
          <w:rFonts w:hint="eastAsia" w:ascii="微软雅黑" w:hAnsi="微软雅黑" w:eastAsia="微软雅黑" w:cs="微软雅黑"/>
          <w:color w:val="auto"/>
          <w:spacing w:val="-7"/>
          <w:sz w:val="21"/>
          <w:szCs w:val="21"/>
          <w:highlight w:val="none"/>
          <w:lang w:val="en-US" w:eastAsia="zh-CN"/>
        </w:rPr>
        <w:t xml:space="preserve">  27 </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8"/>
          <w:sz w:val="21"/>
          <w:szCs w:val="21"/>
          <w:highlight w:val="none"/>
        </w:rPr>
        <w:t>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sz w:val="21"/>
          <w:szCs w:val="21"/>
          <w:highlight w:val="none"/>
        </w:rPr>
        <w:t>1</w:t>
      </w:r>
      <w:r>
        <w:rPr>
          <w:rFonts w:hint="eastAsia" w:ascii="微软雅黑" w:hAnsi="微软雅黑" w:eastAsia="微软雅黑" w:cs="微软雅黑"/>
          <w:color w:val="auto"/>
          <w:spacing w:val="-8"/>
          <w:sz w:val="21"/>
          <w:szCs w:val="21"/>
          <w:highlight w:val="none"/>
          <w:lang w:val="en-US" w:eastAsia="zh-CN"/>
        </w:rPr>
        <w:t>0</w:t>
      </w:r>
      <w:r>
        <w:rPr>
          <w:rFonts w:ascii="微软雅黑" w:hAnsi="微软雅黑" w:eastAsia="微软雅黑" w:cs="微软雅黑"/>
          <w:color w:val="auto"/>
          <w:spacing w:val="-8"/>
          <w:sz w:val="21"/>
          <w:szCs w:val="21"/>
          <w:highlight w:val="none"/>
        </w:rPr>
        <w:t>:</w:t>
      </w:r>
      <w:r>
        <w:rPr>
          <w:rFonts w:hint="eastAsia" w:ascii="微软雅黑" w:hAnsi="微软雅黑" w:eastAsia="微软雅黑" w:cs="微软雅黑"/>
          <w:color w:val="auto"/>
          <w:spacing w:val="-8"/>
          <w:sz w:val="21"/>
          <w:szCs w:val="21"/>
          <w:highlight w:val="none"/>
          <w:lang w:val="en-US" w:eastAsia="zh-CN"/>
        </w:rPr>
        <w:t>3</w:t>
      </w:r>
      <w:r>
        <w:rPr>
          <w:rFonts w:ascii="微软雅黑" w:hAnsi="微软雅黑" w:eastAsia="微软雅黑" w:cs="微软雅黑"/>
          <w:color w:val="auto"/>
          <w:spacing w:val="-8"/>
          <w:sz w:val="21"/>
          <w:szCs w:val="21"/>
          <w:highlight w:val="none"/>
        </w:rPr>
        <w:t>0(北京时间)</w:t>
      </w:r>
    </w:p>
    <w:p w14:paraId="631F9053">
      <w:pPr>
        <w:spacing w:before="36" w:line="172"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投标地点：在政府采购云平台(www.zcygov.cn)上</w:t>
      </w:r>
      <w:r>
        <w:rPr>
          <w:rFonts w:ascii="微软雅黑" w:hAnsi="微软雅黑" w:eastAsia="微软雅黑" w:cs="微软雅黑"/>
          <w:color w:val="auto"/>
          <w:spacing w:val="-4"/>
          <w:sz w:val="21"/>
          <w:szCs w:val="21"/>
          <w:highlight w:val="none"/>
        </w:rPr>
        <w:t>开启投标文件</w:t>
      </w:r>
    </w:p>
    <w:p w14:paraId="63794E1F">
      <w:pPr>
        <w:spacing w:before="5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开标时间：202</w:t>
      </w:r>
      <w:r>
        <w:rPr>
          <w:rFonts w:hint="eastAsia" w:ascii="微软雅黑" w:hAnsi="微软雅黑" w:eastAsia="微软雅黑" w:cs="微软雅黑"/>
          <w:color w:val="auto"/>
          <w:spacing w:val="-9"/>
          <w:sz w:val="21"/>
          <w:szCs w:val="21"/>
          <w:highlight w:val="none"/>
          <w:lang w:val="en-US" w:eastAsia="zh-CN"/>
        </w:rPr>
        <w:t>5</w:t>
      </w:r>
      <w:r>
        <w:rPr>
          <w:rFonts w:ascii="微软雅黑" w:hAnsi="微软雅黑" w:eastAsia="微软雅黑" w:cs="微软雅黑"/>
          <w:color w:val="auto"/>
          <w:spacing w:val="-9"/>
          <w:sz w:val="21"/>
          <w:szCs w:val="21"/>
          <w:highlight w:val="none"/>
        </w:rPr>
        <w:t xml:space="preserve"> 年</w:t>
      </w:r>
      <w:r>
        <w:rPr>
          <w:rFonts w:ascii="微软雅黑" w:hAnsi="微软雅黑" w:eastAsia="微软雅黑" w:cs="微软雅黑"/>
          <w:color w:val="auto"/>
          <w:spacing w:val="23"/>
          <w:sz w:val="21"/>
          <w:szCs w:val="21"/>
          <w:highlight w:val="none"/>
        </w:rPr>
        <w:t xml:space="preserve"> </w:t>
      </w:r>
      <w:r>
        <w:rPr>
          <w:rFonts w:hint="eastAsia" w:ascii="微软雅黑" w:hAnsi="微软雅黑" w:eastAsia="微软雅黑" w:cs="微软雅黑"/>
          <w:color w:val="auto"/>
          <w:spacing w:val="23"/>
          <w:sz w:val="21"/>
          <w:szCs w:val="21"/>
          <w:highlight w:val="none"/>
          <w:lang w:val="en-US" w:eastAsia="zh-CN"/>
        </w:rPr>
        <w:t>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9"/>
          <w:sz w:val="21"/>
          <w:szCs w:val="21"/>
          <w:highlight w:val="none"/>
        </w:rPr>
        <w:t xml:space="preserve">月 </w:t>
      </w:r>
      <w:r>
        <w:rPr>
          <w:rFonts w:hint="eastAsia" w:ascii="微软雅黑" w:hAnsi="微软雅黑" w:eastAsia="微软雅黑" w:cs="微软雅黑"/>
          <w:color w:val="auto"/>
          <w:spacing w:val="-9"/>
          <w:sz w:val="21"/>
          <w:szCs w:val="21"/>
          <w:highlight w:val="none"/>
          <w:lang w:val="en-US" w:eastAsia="zh-CN"/>
        </w:rPr>
        <w:t xml:space="preserve"> 27 </w:t>
      </w:r>
      <w:r>
        <w:rPr>
          <w:rFonts w:ascii="微软雅黑" w:hAnsi="微软雅黑" w:eastAsia="微软雅黑" w:cs="微软雅黑"/>
          <w:color w:val="auto"/>
          <w:spacing w:val="-9"/>
          <w:sz w:val="21"/>
          <w:szCs w:val="21"/>
          <w:highlight w:val="none"/>
        </w:rPr>
        <w:t xml:space="preserve">  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9"/>
          <w:sz w:val="21"/>
          <w:szCs w:val="21"/>
          <w:highlight w:val="none"/>
        </w:rPr>
        <w:t>1</w:t>
      </w:r>
      <w:r>
        <w:rPr>
          <w:rFonts w:hint="eastAsia" w:ascii="微软雅黑" w:hAnsi="微软雅黑" w:eastAsia="微软雅黑" w:cs="微软雅黑"/>
          <w:color w:val="auto"/>
          <w:spacing w:val="-9"/>
          <w:sz w:val="21"/>
          <w:szCs w:val="21"/>
          <w:highlight w:val="none"/>
          <w:lang w:val="en-US" w:eastAsia="zh-CN"/>
        </w:rPr>
        <w:t>0</w:t>
      </w:r>
      <w:r>
        <w:rPr>
          <w:rFonts w:ascii="微软雅黑" w:hAnsi="微软雅黑" w:eastAsia="微软雅黑" w:cs="微软雅黑"/>
          <w:color w:val="auto"/>
          <w:spacing w:val="-9"/>
          <w:sz w:val="21"/>
          <w:szCs w:val="21"/>
          <w:highlight w:val="none"/>
        </w:rPr>
        <w:t>:</w:t>
      </w:r>
      <w:r>
        <w:rPr>
          <w:rFonts w:hint="eastAsia" w:ascii="微软雅黑" w:hAnsi="微软雅黑" w:eastAsia="微软雅黑" w:cs="微软雅黑"/>
          <w:color w:val="auto"/>
          <w:spacing w:val="-9"/>
          <w:sz w:val="21"/>
          <w:szCs w:val="21"/>
          <w:highlight w:val="none"/>
          <w:lang w:val="en-US" w:eastAsia="zh-CN"/>
        </w:rPr>
        <w:t>3</w:t>
      </w:r>
      <w:r>
        <w:rPr>
          <w:rFonts w:ascii="微软雅黑" w:hAnsi="微软雅黑" w:eastAsia="微软雅黑" w:cs="微软雅黑"/>
          <w:color w:val="auto"/>
          <w:spacing w:val="-9"/>
          <w:sz w:val="21"/>
          <w:szCs w:val="21"/>
          <w:highlight w:val="none"/>
        </w:rPr>
        <w:t>0(北京时间)</w:t>
      </w:r>
    </w:p>
    <w:p w14:paraId="2EF03D20">
      <w:pPr>
        <w:spacing w:before="36" w:line="172"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开标地点：在政府采购云平台(www.zcygov.cn)</w:t>
      </w:r>
    </w:p>
    <w:p w14:paraId="09C3CC01">
      <w:pPr>
        <w:spacing w:before="176" w:line="188" w:lineRule="auto"/>
        <w:ind w:left="51"/>
        <w:outlineLvl w:val="1"/>
        <w:rPr>
          <w:rFonts w:ascii="微软雅黑" w:hAnsi="微软雅黑" w:eastAsia="微软雅黑" w:cs="微软雅黑"/>
          <w:color w:val="auto"/>
          <w:sz w:val="28"/>
          <w:szCs w:val="28"/>
          <w:highlight w:val="none"/>
        </w:rPr>
      </w:pPr>
      <w:bookmarkStart w:id="82" w:name="bookmark16"/>
      <w:bookmarkEnd w:id="82"/>
      <w:bookmarkStart w:id="83" w:name="bookmark14"/>
      <w:bookmarkEnd w:id="83"/>
      <w:bookmarkStart w:id="84" w:name="bookmark13"/>
      <w:bookmarkEnd w:id="84"/>
      <w:r>
        <w:rPr>
          <w:rFonts w:ascii="微软雅黑" w:hAnsi="微软雅黑" w:eastAsia="微软雅黑" w:cs="微软雅黑"/>
          <w:b/>
          <w:bCs/>
          <w:color w:val="auto"/>
          <w:spacing w:val="-4"/>
          <w:sz w:val="28"/>
          <w:szCs w:val="28"/>
          <w:highlight w:val="none"/>
        </w:rPr>
        <w:t>五、公告期限</w:t>
      </w:r>
    </w:p>
    <w:p w14:paraId="6B959A47">
      <w:pPr>
        <w:spacing w:before="125" w:line="189" w:lineRule="auto"/>
        <w:ind w:left="5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自本公告发布之日起 5 个工作日。</w:t>
      </w:r>
    </w:p>
    <w:p w14:paraId="554255BF">
      <w:pPr>
        <w:spacing w:before="151" w:line="188" w:lineRule="auto"/>
        <w:ind w:left="49"/>
        <w:outlineLvl w:val="1"/>
        <w:rPr>
          <w:rFonts w:ascii="微软雅黑" w:hAnsi="微软雅黑" w:eastAsia="微软雅黑" w:cs="微软雅黑"/>
          <w:color w:val="auto"/>
          <w:sz w:val="28"/>
          <w:szCs w:val="28"/>
          <w:highlight w:val="none"/>
        </w:rPr>
      </w:pPr>
      <w:bookmarkStart w:id="85" w:name="bookmark15"/>
      <w:bookmarkEnd w:id="85"/>
      <w:r>
        <w:rPr>
          <w:rFonts w:ascii="微软雅黑" w:hAnsi="微软雅黑" w:eastAsia="微软雅黑" w:cs="微软雅黑"/>
          <w:b/>
          <w:bCs/>
          <w:color w:val="auto"/>
          <w:spacing w:val="-3"/>
          <w:sz w:val="28"/>
          <w:szCs w:val="28"/>
          <w:highlight w:val="none"/>
        </w:rPr>
        <w:t>六、其他补充事宜</w:t>
      </w:r>
    </w:p>
    <w:p w14:paraId="1EB81311">
      <w:pPr>
        <w:spacing w:before="127" w:line="198" w:lineRule="auto"/>
        <w:ind w:left="42" w:right="210" w:firstLine="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1.本项目采用全流程不见面电子开评标，投标供应商需要使用 CA 加密设备，供应商可通过新疆</w:t>
      </w:r>
      <w:r>
        <w:rPr>
          <w:rFonts w:ascii="微软雅黑" w:hAnsi="微软雅黑" w:eastAsia="微软雅黑" w:cs="微软雅黑"/>
          <w:color w:val="auto"/>
          <w:spacing w:val="-3"/>
          <w:sz w:val="21"/>
          <w:szCs w:val="21"/>
          <w:highlight w:val="none"/>
        </w:rPr>
        <w:t>数字证书认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证中心官网（</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rFonts w:ascii="微软雅黑" w:hAnsi="微软雅黑" w:eastAsia="微软雅黑" w:cs="微软雅黑"/>
          <w:color w:val="auto"/>
          <w:spacing w:val="-4"/>
          <w:sz w:val="21"/>
          <w:szCs w:val="21"/>
          <w:highlight w:val="none"/>
        </w:rPr>
        <w:t>https://www.xjca.com.cn/</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）或下载“新疆政务通”APP</w:t>
      </w:r>
      <w:r>
        <w:rPr>
          <w:rFonts w:ascii="微软雅黑" w:hAnsi="微软雅黑" w:eastAsia="微软雅黑" w:cs="微软雅黑"/>
          <w:color w:val="auto"/>
          <w:spacing w:val="53"/>
          <w:w w:val="101"/>
          <w:sz w:val="21"/>
          <w:szCs w:val="21"/>
          <w:highlight w:val="none"/>
        </w:rPr>
        <w:t xml:space="preserve"> </w:t>
      </w:r>
      <w:r>
        <w:rPr>
          <w:rFonts w:ascii="微软雅黑" w:hAnsi="微软雅黑" w:eastAsia="微软雅黑" w:cs="微软雅黑"/>
          <w:color w:val="auto"/>
          <w:spacing w:val="-4"/>
          <w:sz w:val="21"/>
          <w:szCs w:val="21"/>
          <w:highlight w:val="none"/>
        </w:rPr>
        <w:t>自行进行申领。</w:t>
      </w:r>
    </w:p>
    <w:p w14:paraId="428976F8">
      <w:pPr>
        <w:spacing w:before="104" w:line="204" w:lineRule="auto"/>
        <w:ind w:left="45" w:right="296" w:hanging="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2.本项目实行网上投标，采用加密电子投标文件(供应商须使用 CA 加密设备通过政采云电子投标客户端制</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作投标文件)。若供应商参与投标，自行承担投标</w:t>
      </w:r>
      <w:r>
        <w:rPr>
          <w:rFonts w:ascii="微软雅黑" w:hAnsi="微软雅黑" w:eastAsia="微软雅黑" w:cs="微软雅黑"/>
          <w:color w:val="auto"/>
          <w:spacing w:val="-1"/>
          <w:sz w:val="21"/>
          <w:szCs w:val="21"/>
          <w:highlight w:val="none"/>
        </w:rPr>
        <w:t>一切费用。</w:t>
      </w:r>
    </w:p>
    <w:p w14:paraId="64F5E6A9">
      <w:pPr>
        <w:spacing w:before="86" w:line="206" w:lineRule="auto"/>
        <w:ind w:left="43" w:right="138" w:hanging="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3.各供应商在开标前应确保成为政府采购网正式注</w:t>
      </w:r>
      <w:r>
        <w:rPr>
          <w:rFonts w:ascii="微软雅黑" w:hAnsi="微软雅黑" w:eastAsia="微软雅黑" w:cs="微软雅黑"/>
          <w:color w:val="auto"/>
          <w:spacing w:val="-5"/>
          <w:sz w:val="21"/>
          <w:szCs w:val="21"/>
          <w:highlight w:val="none"/>
        </w:rPr>
        <w:t>册入库供应商，并完成 CA 数字证书申领。因未注册入库、</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未办理 CA 数字证书等原因造成无法投标或投标失败等后果由供应商自行承担。</w:t>
      </w:r>
    </w:p>
    <w:p w14:paraId="32FF979F">
      <w:pPr>
        <w:spacing w:before="81" w:line="206" w:lineRule="auto"/>
        <w:ind w:left="44" w:right="132" w:hanging="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4.供应商将政采云电子交易客户端下载、安装完成后，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5"/>
          <w:sz w:val="21"/>
          <w:szCs w:val="21"/>
          <w:highlight w:val="none"/>
        </w:rPr>
        <w:t>可通过账号密码或 CA 登录客户端进行投标文件制作。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在使用政采云投标客户端时，建议使用 WIN7+64 位及以上操作系统。客户端请至新疆政府采购网</w:t>
      </w:r>
    </w:p>
    <w:p w14:paraId="050A1226">
      <w:pPr>
        <w:spacing w:before="3" w:line="207" w:lineRule="auto"/>
        <w:ind w:left="53" w:right="296" w:hanging="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rFonts w:ascii="微软雅黑" w:hAnsi="微软雅黑" w:eastAsia="微软雅黑" w:cs="微软雅黑"/>
          <w:color w:val="auto"/>
          <w:spacing w:val="-2"/>
          <w:sz w:val="21"/>
          <w:szCs w:val="21"/>
          <w:highlight w:val="none"/>
        </w:rPr>
        <w:t>http://www.ccgp-xinjiang.gov.cn/</w:t>
      </w:r>
      <w:r>
        <w:rPr>
          <w:rFonts w:ascii="微软雅黑" w:hAnsi="微软雅黑" w:eastAsia="微软雅黑" w:cs="微软雅黑"/>
          <w:color w:val="auto"/>
          <w:spacing w:val="-2"/>
          <w:sz w:val="21"/>
          <w:szCs w:val="21"/>
          <w:highlight w:val="none"/>
        </w:rPr>
        <w:fldChar w:fldCharType="end"/>
      </w:r>
      <w:r>
        <w:rPr>
          <w:rFonts w:ascii="微软雅黑" w:hAnsi="微软雅黑" w:eastAsia="微软雅黑" w:cs="微软雅黑"/>
          <w:color w:val="auto"/>
          <w:spacing w:val="-2"/>
          <w:sz w:val="21"/>
          <w:szCs w:val="21"/>
          <w:highlight w:val="none"/>
        </w:rPr>
        <w:t>）下载专区查看，如有问题可拨打政采云客户服</w:t>
      </w:r>
      <w:r>
        <w:rPr>
          <w:rFonts w:ascii="微软雅黑" w:hAnsi="微软雅黑" w:eastAsia="微软雅黑" w:cs="微软雅黑"/>
          <w:color w:val="auto"/>
          <w:spacing w:val="-3"/>
          <w:sz w:val="21"/>
          <w:szCs w:val="21"/>
          <w:highlight w:val="none"/>
        </w:rPr>
        <w:t>务热线</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3"/>
          <w:sz w:val="21"/>
          <w:szCs w:val="21"/>
          <w:highlight w:val="none"/>
        </w:rPr>
        <w:t>95763 进行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2"/>
          <w:sz w:val="21"/>
          <w:szCs w:val="21"/>
          <w:highlight w:val="none"/>
        </w:rPr>
        <w:t>咨询。</w:t>
      </w:r>
    </w:p>
    <w:p w14:paraId="68B3B4FD">
      <w:pPr>
        <w:spacing w:before="80" w:line="204" w:lineRule="auto"/>
        <w:ind w:left="42" w:right="223" w:hanging="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5.供应商在开标时须使用制作加密电子投标文件所使用的 CA 锁及电脑，</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3"/>
          <w:sz w:val="21"/>
          <w:szCs w:val="21"/>
          <w:highlight w:val="none"/>
        </w:rPr>
        <w:t>电脑须提前配置好浏览器（建议使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用谷歌浏览器</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3"/>
          <w:sz w:val="21"/>
          <w:szCs w:val="21"/>
          <w:highlight w:val="none"/>
        </w:rPr>
        <w:t>以便开标时解锁。</w:t>
      </w:r>
    </w:p>
    <w:p w14:paraId="0D6E4E1C">
      <w:pPr>
        <w:spacing w:before="85" w:line="207" w:lineRule="auto"/>
        <w:ind w:left="42" w:right="296" w:hanging="4"/>
        <w:rPr>
          <w:rFonts w:ascii="微软雅黑" w:hAnsi="微软雅黑" w:eastAsia="微软雅黑" w:cs="微软雅黑"/>
          <w:color w:val="auto"/>
          <w:spacing w:val="-7"/>
          <w:sz w:val="21"/>
          <w:szCs w:val="21"/>
          <w:highlight w:val="none"/>
        </w:rPr>
      </w:pPr>
      <w:r>
        <w:rPr>
          <w:rFonts w:ascii="微软雅黑" w:hAnsi="微软雅黑" w:eastAsia="微软雅黑" w:cs="微软雅黑"/>
          <w:color w:val="auto"/>
          <w:spacing w:val="1"/>
          <w:sz w:val="21"/>
          <w:szCs w:val="21"/>
          <w:highlight w:val="none"/>
        </w:rPr>
        <w:t>6.为了保证开评标顺利进行，政采云线上开标功能完全实</w:t>
      </w:r>
      <w:r>
        <w:rPr>
          <w:rFonts w:ascii="微软雅黑" w:hAnsi="微软雅黑" w:eastAsia="微软雅黑" w:cs="微软雅黑"/>
          <w:color w:val="auto"/>
          <w:sz w:val="21"/>
          <w:szCs w:val="21"/>
          <w:highlight w:val="none"/>
        </w:rPr>
        <w:t xml:space="preserve">现，供应商开标所使用的电脑设备须具有视频及 </w:t>
      </w:r>
      <w:r>
        <w:rPr>
          <w:rFonts w:ascii="微软雅黑" w:hAnsi="微软雅黑" w:eastAsia="微软雅黑" w:cs="微软雅黑"/>
          <w:color w:val="auto"/>
          <w:spacing w:val="-7"/>
          <w:sz w:val="21"/>
          <w:szCs w:val="21"/>
          <w:highlight w:val="none"/>
        </w:rPr>
        <w:t>语音功能。</w:t>
      </w:r>
    </w:p>
    <w:p w14:paraId="3E6FEAC8">
      <w:pPr>
        <w:spacing w:before="85" w:line="207" w:lineRule="auto"/>
        <w:ind w:left="42" w:right="296" w:hanging="4"/>
        <w:rPr>
          <w:rFonts w:ascii="微软雅黑" w:hAnsi="微软雅黑" w:eastAsia="微软雅黑" w:cs="微软雅黑"/>
          <w:color w:val="auto"/>
          <w:spacing w:val="1"/>
          <w:sz w:val="21"/>
          <w:szCs w:val="21"/>
          <w:highlight w:val="none"/>
        </w:rPr>
      </w:pPr>
      <w:r>
        <w:rPr>
          <w:rFonts w:hint="eastAsia" w:ascii="微软雅黑" w:hAnsi="微软雅黑" w:eastAsia="微软雅黑" w:cs="微软雅黑"/>
          <w:color w:val="auto"/>
          <w:spacing w:val="1"/>
          <w:sz w:val="21"/>
          <w:szCs w:val="21"/>
          <w:highlight w:val="none"/>
          <w:lang w:val="en-US" w:eastAsia="zh-CN"/>
        </w:rPr>
        <w:t>7.采购人与招标代理机构经协商本次招标代理服务为：112000元。</w:t>
      </w:r>
    </w:p>
    <w:p w14:paraId="1D965E4E">
      <w:pPr>
        <w:spacing w:line="240" w:lineRule="auto"/>
        <w:ind w:left="0" w:right="0" w:firstLine="0"/>
        <w:rPr>
          <w:rFonts w:ascii="微软雅黑" w:hAnsi="微软雅黑" w:eastAsia="微软雅黑" w:cs="微软雅黑"/>
          <w:color w:val="auto"/>
          <w:sz w:val="24"/>
          <w:szCs w:val="24"/>
          <w:highlight w:val="none"/>
        </w:rPr>
      </w:pPr>
      <w:r>
        <w:rPr>
          <w:rFonts w:ascii="微软雅黑" w:hAnsi="微软雅黑" w:eastAsia="微软雅黑" w:cs="微软雅黑"/>
          <w:color w:val="auto"/>
          <w:sz w:val="21"/>
          <w:szCs w:val="21"/>
          <w:highlight w:val="none"/>
        </w:rPr>
        <w:t xml:space="preserve"> </w:t>
      </w:r>
      <w:bookmarkStart w:id="86" w:name="bookmark18"/>
      <w:bookmarkEnd w:id="86"/>
      <w:r>
        <w:rPr>
          <w:rFonts w:ascii="微软雅黑" w:hAnsi="微软雅黑" w:eastAsia="微软雅黑" w:cs="微软雅黑"/>
          <w:color w:val="auto"/>
          <w:spacing w:val="-11"/>
          <w:sz w:val="24"/>
          <w:szCs w:val="24"/>
          <w:highlight w:val="none"/>
        </w:rPr>
        <w:t>特别提示：</w:t>
      </w:r>
    </w:p>
    <w:p w14:paraId="0B5BDE8B">
      <w:pPr>
        <w:spacing w:before="1" w:line="206" w:lineRule="auto"/>
        <w:ind w:left="43" w:right="296" w:firstLine="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1、采购限额标准以上，200 万元以下的货物和服务采购项目、400</w:t>
      </w:r>
      <w:r>
        <w:rPr>
          <w:rFonts w:ascii="微软雅黑" w:hAnsi="微软雅黑" w:eastAsia="微软雅黑" w:cs="微软雅黑"/>
          <w:color w:val="auto"/>
          <w:spacing w:val="-4"/>
          <w:sz w:val="21"/>
          <w:szCs w:val="21"/>
          <w:highlight w:val="none"/>
        </w:rPr>
        <w:t xml:space="preserve"> 万元以下的工程采购项目，适宜由中小</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企业提供的，采购人应当专门面向中小企业采购。</w:t>
      </w:r>
    </w:p>
    <w:p w14:paraId="7F9EB646">
      <w:pPr>
        <w:spacing w:line="206" w:lineRule="auto"/>
        <w:rPr>
          <w:rFonts w:ascii="微软雅黑" w:hAnsi="微软雅黑" w:eastAsia="微软雅黑" w:cs="微软雅黑"/>
          <w:color w:val="auto"/>
          <w:sz w:val="21"/>
          <w:szCs w:val="21"/>
          <w:highlight w:val="none"/>
        </w:rPr>
        <w:sectPr>
          <w:headerReference r:id="rId12" w:type="default"/>
          <w:footerReference r:id="rId13" w:type="default"/>
          <w:pgSz w:w="11906" w:h="16839"/>
          <w:pgMar w:top="1745" w:right="869" w:bottom="1152" w:left="1050" w:header="850" w:footer="992" w:gutter="0"/>
          <w:cols w:space="720" w:num="1"/>
        </w:sectPr>
      </w:pPr>
    </w:p>
    <w:p w14:paraId="46A21814">
      <w:pPr>
        <w:spacing w:before="52" w:line="198" w:lineRule="auto"/>
        <w:ind w:left="43" w:right="15"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2、超过 200 万元的货物和服务采购项目，预留该</w:t>
      </w:r>
      <w:r>
        <w:rPr>
          <w:rFonts w:ascii="微软雅黑" w:hAnsi="微软雅黑" w:eastAsia="微软雅黑" w:cs="微软雅黑"/>
          <w:color w:val="auto"/>
          <w:spacing w:val="-7"/>
          <w:sz w:val="21"/>
          <w:szCs w:val="21"/>
          <w:highlight w:val="none"/>
        </w:rPr>
        <w:t>部分采购项目预算总额的 30%以上专门面向中小企业采购，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其中预留给小微企业的比例不低于 60%。</w:t>
      </w:r>
    </w:p>
    <w:p w14:paraId="12D6BA09">
      <w:pPr>
        <w:spacing w:before="29" w:line="198" w:lineRule="auto"/>
        <w:ind w:left="46" w:right="110" w:hanging="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3、超过 400 万元的工程采购项目中适宜由中小企业提</w:t>
      </w:r>
      <w:r>
        <w:rPr>
          <w:rFonts w:ascii="微软雅黑" w:hAnsi="微软雅黑" w:eastAsia="微软雅黑" w:cs="微软雅黑"/>
          <w:color w:val="auto"/>
          <w:spacing w:val="-5"/>
          <w:sz w:val="21"/>
          <w:szCs w:val="21"/>
          <w:highlight w:val="none"/>
        </w:rPr>
        <w:t>供的，预留该部分采购项目预算总额的 40%以上专门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面向中小企业采购，其中预留给小微企业的比</w:t>
      </w:r>
      <w:r>
        <w:rPr>
          <w:rFonts w:ascii="微软雅黑" w:hAnsi="微软雅黑" w:eastAsia="微软雅黑" w:cs="微软雅黑"/>
          <w:color w:val="auto"/>
          <w:spacing w:val="-5"/>
          <w:sz w:val="21"/>
          <w:szCs w:val="21"/>
          <w:highlight w:val="none"/>
        </w:rPr>
        <w:t>例不低于 60%。</w:t>
      </w:r>
    </w:p>
    <w:p w14:paraId="05815D44">
      <w:pPr>
        <w:spacing w:before="29" w:line="201" w:lineRule="auto"/>
        <w:ind w:left="41" w:right="77" w:hanging="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4、对于未预留份额专门面向中小企业的采购项目，</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5"/>
          <w:sz w:val="21"/>
          <w:szCs w:val="21"/>
          <w:highlight w:val="none"/>
        </w:rPr>
        <w:t>以及预留份额项目中的非预留部分采购包，采购人、采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1"/>
          <w:sz w:val="21"/>
          <w:szCs w:val="21"/>
          <w:highlight w:val="none"/>
        </w:rPr>
        <w:t>购代理机构应当对符合规定的小微企业报价给予</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1"/>
          <w:sz w:val="21"/>
          <w:szCs w:val="21"/>
          <w:highlight w:val="none"/>
        </w:rPr>
        <w:t>10%~20%（工程项</w:t>
      </w:r>
      <w:r>
        <w:rPr>
          <w:rFonts w:ascii="微软雅黑" w:hAnsi="微软雅黑" w:eastAsia="微软雅黑" w:cs="微软雅黑"/>
          <w:color w:val="auto"/>
          <w:spacing w:val="-12"/>
          <w:sz w:val="21"/>
          <w:szCs w:val="21"/>
          <w:highlight w:val="none"/>
        </w:rPr>
        <w:t>目为 3%~5%）的扣除，用扣除后的价格参</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加评审。适用招标投标法的政府采购工程建设项目，采用综合评估法但未采用低</w:t>
      </w:r>
      <w:r>
        <w:rPr>
          <w:rFonts w:ascii="微软雅黑" w:hAnsi="微软雅黑" w:eastAsia="微软雅黑" w:cs="微软雅黑"/>
          <w:color w:val="auto"/>
          <w:spacing w:val="-2"/>
          <w:sz w:val="21"/>
          <w:szCs w:val="21"/>
          <w:highlight w:val="none"/>
        </w:rPr>
        <w:t>价优先法计算价格分的，</w:t>
      </w:r>
    </w:p>
    <w:p w14:paraId="204AE0C9">
      <w:pPr>
        <w:spacing w:before="30" w:line="188"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评标时应当在采用原报价进行评分的基础上增加其价格得分的 3%~5%作为其价格分。</w:t>
      </w:r>
    </w:p>
    <w:p w14:paraId="539368E3">
      <w:pPr>
        <w:spacing w:before="31" w:line="207" w:lineRule="auto"/>
        <w:ind w:left="41"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5、接受大中型企业与小微企业组成联合体或者允许大中型企业向一家或者多家小微企业分包的采购项目，</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4"/>
          <w:sz w:val="21"/>
          <w:szCs w:val="21"/>
          <w:highlight w:val="none"/>
        </w:rPr>
        <w:t>对于联合协议或者分包意向协议约定小微企业的合同份额占到合同总金</w:t>
      </w:r>
      <w:r>
        <w:rPr>
          <w:rFonts w:ascii="微软雅黑" w:hAnsi="微软雅黑" w:eastAsia="微软雅黑" w:cs="微软雅黑"/>
          <w:color w:val="auto"/>
          <w:spacing w:val="-5"/>
          <w:sz w:val="21"/>
          <w:szCs w:val="21"/>
          <w:highlight w:val="none"/>
        </w:rPr>
        <w:t>额 30%以上的，采购人、采购代理机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构应当对联合体或者大中型企业的报价给予 4%~6%（工程项目为</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3"/>
          <w:sz w:val="21"/>
          <w:szCs w:val="21"/>
          <w:highlight w:val="none"/>
        </w:rPr>
        <w:t>1%~2%）的扣除，</w:t>
      </w:r>
      <w:r>
        <w:rPr>
          <w:rFonts w:ascii="微软雅黑" w:hAnsi="微软雅黑" w:eastAsia="微软雅黑" w:cs="微软雅黑"/>
          <w:color w:val="auto"/>
          <w:spacing w:val="-14"/>
          <w:sz w:val="21"/>
          <w:szCs w:val="21"/>
          <w:highlight w:val="none"/>
        </w:rPr>
        <w:t>用扣除后的价格参加评审。</w:t>
      </w:r>
      <w:r>
        <w:rPr>
          <w:rFonts w:ascii="微软雅黑" w:hAnsi="微软雅黑" w:eastAsia="微软雅黑" w:cs="微软雅黑"/>
          <w:color w:val="auto"/>
          <w:sz w:val="21"/>
          <w:szCs w:val="21"/>
          <w:highlight w:val="none"/>
        </w:rPr>
        <w:t xml:space="preserve"> 适用招标投标法的政府采购工程建设项目，采用综合评估法但未采用低</w:t>
      </w:r>
      <w:r>
        <w:rPr>
          <w:rFonts w:ascii="微软雅黑" w:hAnsi="微软雅黑" w:eastAsia="微软雅黑" w:cs="微软雅黑"/>
          <w:color w:val="auto"/>
          <w:spacing w:val="-1"/>
          <w:sz w:val="21"/>
          <w:szCs w:val="21"/>
          <w:highlight w:val="none"/>
        </w:rPr>
        <w:t>价优先法计算价格分的，评标时应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8"/>
          <w:sz w:val="21"/>
          <w:szCs w:val="21"/>
          <w:highlight w:val="none"/>
        </w:rPr>
        <w:t>当在采用原报价进行评分的基础上增加其价格得分的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sz w:val="21"/>
          <w:szCs w:val="21"/>
          <w:highlight w:val="none"/>
        </w:rPr>
        <w:t>1%~2</w:t>
      </w:r>
      <w:r>
        <w:rPr>
          <w:rFonts w:ascii="微软雅黑" w:hAnsi="微软雅黑" w:eastAsia="微软雅黑" w:cs="微软雅黑"/>
          <w:color w:val="auto"/>
          <w:spacing w:val="-9"/>
          <w:sz w:val="21"/>
          <w:szCs w:val="21"/>
          <w:highlight w:val="none"/>
        </w:rPr>
        <w:t>%作为其价格分。</w:t>
      </w:r>
    </w:p>
    <w:p w14:paraId="31E61701">
      <w:pPr>
        <w:spacing w:before="126" w:line="188" w:lineRule="auto"/>
        <w:ind w:left="53"/>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七、对本次采购提出询问，请按以下方式联系</w:t>
      </w:r>
    </w:p>
    <w:p w14:paraId="1FE0D0D4">
      <w:pPr>
        <w:spacing w:before="205"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1.采购人信息</w:t>
      </w:r>
    </w:p>
    <w:p w14:paraId="2A0466F1">
      <w:pPr>
        <w:spacing w:before="18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名</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3"/>
          <w:sz w:val="21"/>
          <w:szCs w:val="21"/>
          <w:highlight w:val="none"/>
        </w:rPr>
        <w:t>称：乌恰县自然资源局</w:t>
      </w:r>
    </w:p>
    <w:p w14:paraId="03876067">
      <w:pPr>
        <w:spacing w:before="18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地  址：新疆乌恰县乌恰镇光明路19号</w:t>
      </w:r>
    </w:p>
    <w:p w14:paraId="088C5E89">
      <w:pPr>
        <w:spacing w:before="186" w:line="310" w:lineRule="auto"/>
        <w:ind w:left="458" w:right="7198"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联系方式：18299709168</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2"/>
          <w:sz w:val="21"/>
          <w:szCs w:val="21"/>
          <w:highlight w:val="none"/>
        </w:rPr>
        <w:t>2.采购代理机构信息</w:t>
      </w:r>
    </w:p>
    <w:p w14:paraId="22DB5A8D">
      <w:pPr>
        <w:spacing w:before="4" w:line="187" w:lineRule="auto"/>
        <w:ind w:left="463"/>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2"/>
          <w:sz w:val="21"/>
          <w:szCs w:val="21"/>
          <w:highlight w:val="none"/>
        </w:rPr>
        <w:t>名</w:t>
      </w:r>
      <w:r>
        <w:rPr>
          <w:rFonts w:ascii="微软雅黑" w:hAnsi="微软雅黑" w:eastAsia="微软雅黑" w:cs="微软雅黑"/>
          <w:color w:val="auto"/>
          <w:spacing w:val="67"/>
          <w:w w:val="101"/>
          <w:sz w:val="21"/>
          <w:szCs w:val="21"/>
          <w:highlight w:val="none"/>
        </w:rPr>
        <w:t xml:space="preserve"> </w:t>
      </w:r>
      <w:r>
        <w:rPr>
          <w:rFonts w:ascii="微软雅黑" w:hAnsi="微软雅黑" w:eastAsia="微软雅黑" w:cs="微软雅黑"/>
          <w:color w:val="auto"/>
          <w:spacing w:val="-2"/>
          <w:sz w:val="21"/>
          <w:szCs w:val="21"/>
          <w:highlight w:val="none"/>
        </w:rPr>
        <w:t>称：</w:t>
      </w:r>
      <w:r>
        <w:rPr>
          <w:rFonts w:hint="eastAsia" w:ascii="微软雅黑" w:hAnsi="微软雅黑" w:eastAsia="微软雅黑" w:cs="微软雅黑"/>
          <w:color w:val="auto"/>
          <w:spacing w:val="-2"/>
          <w:sz w:val="21"/>
          <w:szCs w:val="21"/>
          <w:highlight w:val="none"/>
          <w:lang w:eastAsia="zh-CN"/>
        </w:rPr>
        <w:t>新疆丰颢源工程管理咨询有限公司</w:t>
      </w:r>
    </w:p>
    <w:p w14:paraId="5ECAF10B">
      <w:pPr>
        <w:spacing w:before="186" w:line="311" w:lineRule="auto"/>
        <w:ind w:left="460" w:right="4153" w:firstLine="3"/>
        <w:rPr>
          <w:rFonts w:hint="eastAsia" w:ascii="微软雅黑" w:hAnsi="微软雅黑" w:eastAsia="微软雅黑" w:cs="微软雅黑"/>
          <w:color w:val="auto"/>
          <w:spacing w:val="-3"/>
          <w:sz w:val="21"/>
          <w:szCs w:val="21"/>
          <w:highlight w:val="none"/>
          <w:lang w:eastAsia="zh-CN"/>
        </w:rPr>
      </w:pPr>
      <w:r>
        <w:rPr>
          <w:rFonts w:ascii="微软雅黑" w:hAnsi="微软雅黑" w:eastAsia="微软雅黑" w:cs="微软雅黑"/>
          <w:color w:val="auto"/>
          <w:spacing w:val="-3"/>
          <w:sz w:val="21"/>
          <w:szCs w:val="21"/>
          <w:highlight w:val="none"/>
        </w:rPr>
        <w:t>地  址：</w:t>
      </w:r>
      <w:r>
        <w:rPr>
          <w:rFonts w:hint="eastAsia" w:ascii="微软雅黑" w:hAnsi="微软雅黑" w:eastAsia="微软雅黑" w:cs="微软雅黑"/>
          <w:color w:val="auto"/>
          <w:spacing w:val="-3"/>
          <w:sz w:val="21"/>
          <w:szCs w:val="21"/>
          <w:highlight w:val="none"/>
          <w:lang w:eastAsia="zh-CN"/>
        </w:rPr>
        <w:t>喀什市唐城国际商业步行街1幢6层6003号</w:t>
      </w:r>
    </w:p>
    <w:p w14:paraId="7531470A">
      <w:pPr>
        <w:spacing w:before="186" w:line="311" w:lineRule="auto"/>
        <w:ind w:left="460" w:right="4153" w:firstLine="3"/>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联系方式：</w:t>
      </w:r>
      <w:r>
        <w:rPr>
          <w:rFonts w:hint="eastAsia" w:ascii="微软雅黑" w:hAnsi="微软雅黑" w:eastAsia="微软雅黑" w:cs="微软雅黑"/>
          <w:color w:val="auto"/>
          <w:spacing w:val="-13"/>
          <w:sz w:val="21"/>
          <w:szCs w:val="21"/>
          <w:highlight w:val="none"/>
          <w:lang w:eastAsia="zh-CN"/>
        </w:rPr>
        <w:t>18652955232</w:t>
      </w:r>
    </w:p>
    <w:p w14:paraId="3E03D0D2">
      <w:pPr>
        <w:spacing w:before="4"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3.项目联系方式</w:t>
      </w:r>
    </w:p>
    <w:p w14:paraId="62873DDC">
      <w:pPr>
        <w:spacing w:before="186" w:line="259" w:lineRule="auto"/>
        <w:ind w:left="485" w:right="7513" w:hanging="22"/>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2"/>
          <w:sz w:val="21"/>
          <w:szCs w:val="21"/>
          <w:highlight w:val="none"/>
        </w:rPr>
        <w:t>项目联系人：</w:t>
      </w:r>
      <w:r>
        <w:rPr>
          <w:rFonts w:hint="eastAsia" w:ascii="微软雅黑" w:hAnsi="微软雅黑" w:eastAsia="微软雅黑" w:cs="微软雅黑"/>
          <w:color w:val="auto"/>
          <w:spacing w:val="-2"/>
          <w:sz w:val="21"/>
          <w:szCs w:val="21"/>
          <w:highlight w:val="none"/>
          <w:lang w:eastAsia="zh-CN"/>
        </w:rPr>
        <w:t>张先生</w:t>
      </w:r>
      <w:r>
        <w:rPr>
          <w:rFonts w:ascii="微软雅黑" w:hAnsi="微软雅黑" w:eastAsia="微软雅黑" w:cs="微软雅黑"/>
          <w:color w:val="auto"/>
          <w:spacing w:val="2"/>
          <w:sz w:val="21"/>
          <w:szCs w:val="21"/>
          <w:highlight w:val="none"/>
        </w:rPr>
        <w:t xml:space="preserve"> </w:t>
      </w:r>
      <w:bookmarkStart w:id="87" w:name="bookmark20"/>
      <w:bookmarkEnd w:id="87"/>
      <w:r>
        <w:rPr>
          <w:rFonts w:ascii="微软雅黑" w:hAnsi="微软雅黑" w:eastAsia="微软雅黑" w:cs="微软雅黑"/>
          <w:color w:val="auto"/>
          <w:spacing w:val="-16"/>
          <w:sz w:val="21"/>
          <w:szCs w:val="21"/>
          <w:highlight w:val="none"/>
        </w:rPr>
        <w:t>电  话：</w:t>
      </w:r>
      <w:r>
        <w:rPr>
          <w:rFonts w:hint="eastAsia" w:ascii="微软雅黑" w:hAnsi="微软雅黑" w:eastAsia="微软雅黑" w:cs="微软雅黑"/>
          <w:color w:val="auto"/>
          <w:spacing w:val="-16"/>
          <w:sz w:val="21"/>
          <w:szCs w:val="21"/>
          <w:highlight w:val="none"/>
          <w:lang w:eastAsia="zh-CN"/>
        </w:rPr>
        <w:t>18652955232</w:t>
      </w:r>
    </w:p>
    <w:p w14:paraId="1FA06AD6">
      <w:pPr>
        <w:spacing w:line="259" w:lineRule="auto"/>
        <w:rPr>
          <w:rFonts w:ascii="微软雅黑" w:hAnsi="微软雅黑" w:eastAsia="微软雅黑" w:cs="微软雅黑"/>
          <w:color w:val="auto"/>
          <w:sz w:val="21"/>
          <w:szCs w:val="21"/>
          <w:highlight w:val="none"/>
        </w:rPr>
        <w:sectPr>
          <w:headerReference r:id="rId14" w:type="default"/>
          <w:footerReference r:id="rId15" w:type="default"/>
          <w:pgSz w:w="11906" w:h="16839"/>
          <w:pgMar w:top="1745" w:right="1002" w:bottom="1150" w:left="1050" w:header="850" w:footer="992" w:gutter="0"/>
          <w:cols w:space="720" w:num="1"/>
        </w:sectPr>
      </w:pPr>
    </w:p>
    <w:p w14:paraId="6C02E48F">
      <w:pPr>
        <w:spacing w:before="124" w:line="188" w:lineRule="auto"/>
        <w:ind w:left="3576"/>
        <w:outlineLvl w:val="0"/>
        <w:rPr>
          <w:rFonts w:ascii="微软雅黑" w:hAnsi="微软雅黑" w:eastAsia="微软雅黑" w:cs="微软雅黑"/>
          <w:color w:val="auto"/>
          <w:sz w:val="32"/>
          <w:szCs w:val="32"/>
          <w:highlight w:val="none"/>
        </w:rPr>
      </w:pPr>
      <w:bookmarkStart w:id="88" w:name="bookmark22"/>
      <w:bookmarkEnd w:id="88"/>
      <w:bookmarkStart w:id="89" w:name="bookmark19"/>
      <w:bookmarkEnd w:id="89"/>
      <w:r>
        <w:rPr>
          <w:rFonts w:ascii="微软雅黑" w:hAnsi="微软雅黑" w:eastAsia="微软雅黑" w:cs="微软雅黑"/>
          <w:b/>
          <w:bCs/>
          <w:color w:val="auto"/>
          <w:spacing w:val="-7"/>
          <w:sz w:val="32"/>
          <w:szCs w:val="32"/>
          <w:highlight w:val="none"/>
        </w:rPr>
        <w:t>第二章</w:t>
      </w:r>
      <w:r>
        <w:rPr>
          <w:rFonts w:ascii="微软雅黑" w:hAnsi="微软雅黑" w:eastAsia="微软雅黑" w:cs="微软雅黑"/>
          <w:b/>
          <w:bCs/>
          <w:color w:val="auto"/>
          <w:spacing w:val="88"/>
          <w:sz w:val="32"/>
          <w:szCs w:val="32"/>
          <w:highlight w:val="none"/>
        </w:rPr>
        <w:t xml:space="preserve"> </w:t>
      </w:r>
      <w:r>
        <w:rPr>
          <w:rFonts w:ascii="微软雅黑" w:hAnsi="微软雅黑" w:eastAsia="微软雅黑" w:cs="微软雅黑"/>
          <w:b/>
          <w:bCs/>
          <w:color w:val="auto"/>
          <w:spacing w:val="-7"/>
          <w:sz w:val="32"/>
          <w:szCs w:val="32"/>
          <w:highlight w:val="none"/>
        </w:rPr>
        <w:t>投标人须知</w:t>
      </w:r>
    </w:p>
    <w:p w14:paraId="46B7456B">
      <w:pPr>
        <w:spacing w:before="105" w:line="170" w:lineRule="auto"/>
        <w:ind w:left="3488"/>
        <w:outlineLvl w:val="1"/>
        <w:rPr>
          <w:rFonts w:ascii="微软雅黑" w:hAnsi="微软雅黑" w:eastAsia="微软雅黑" w:cs="微软雅黑"/>
          <w:color w:val="auto"/>
          <w:sz w:val="28"/>
          <w:szCs w:val="28"/>
          <w:highlight w:val="none"/>
        </w:rPr>
      </w:pPr>
      <w:bookmarkStart w:id="90" w:name="bookmark21"/>
      <w:bookmarkEnd w:id="90"/>
      <w:r>
        <w:rPr>
          <w:rFonts w:ascii="微软雅黑" w:hAnsi="微软雅黑" w:eastAsia="微软雅黑" w:cs="微软雅黑"/>
          <w:b/>
          <w:bCs/>
          <w:color w:val="auto"/>
          <w:spacing w:val="-4"/>
          <w:sz w:val="28"/>
          <w:szCs w:val="28"/>
          <w:highlight w:val="none"/>
        </w:rPr>
        <w:t>一</w:t>
      </w:r>
      <w:r>
        <w:rPr>
          <w:rFonts w:ascii="微软雅黑" w:hAnsi="微软雅黑" w:eastAsia="微软雅黑" w:cs="微软雅黑"/>
          <w:b/>
          <w:bCs/>
          <w:color w:val="auto"/>
          <w:spacing w:val="-30"/>
          <w:sz w:val="28"/>
          <w:szCs w:val="28"/>
          <w:highlight w:val="none"/>
        </w:rPr>
        <w:t xml:space="preserve"> </w:t>
      </w:r>
      <w:r>
        <w:rPr>
          <w:rFonts w:ascii="微软雅黑" w:hAnsi="微软雅黑" w:eastAsia="微软雅黑" w:cs="微软雅黑"/>
          <w:b/>
          <w:bCs/>
          <w:color w:val="auto"/>
          <w:spacing w:val="-4"/>
          <w:sz w:val="28"/>
          <w:szCs w:val="28"/>
          <w:highlight w:val="none"/>
        </w:rPr>
        <w:t>、</w:t>
      </w:r>
      <w:r>
        <w:rPr>
          <w:rFonts w:ascii="微软雅黑" w:hAnsi="微软雅黑" w:eastAsia="微软雅黑" w:cs="微软雅黑"/>
          <w:b/>
          <w:bCs/>
          <w:color w:val="auto"/>
          <w:spacing w:val="-42"/>
          <w:sz w:val="28"/>
          <w:szCs w:val="28"/>
          <w:highlight w:val="none"/>
        </w:rPr>
        <w:t xml:space="preserve"> </w:t>
      </w:r>
      <w:r>
        <w:rPr>
          <w:rFonts w:ascii="微软雅黑" w:hAnsi="微软雅黑" w:eastAsia="微软雅黑" w:cs="微软雅黑"/>
          <w:b/>
          <w:bCs/>
          <w:color w:val="auto"/>
          <w:spacing w:val="-4"/>
          <w:sz w:val="28"/>
          <w:szCs w:val="28"/>
          <w:highlight w:val="none"/>
        </w:rPr>
        <w:t>投标人须知前附表</w:t>
      </w:r>
    </w:p>
    <w:tbl>
      <w:tblPr>
        <w:tblStyle w:val="11"/>
        <w:tblW w:w="9306" w:type="dxa"/>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41A21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5" w:hRule="atLeast"/>
        </w:trPr>
        <w:tc>
          <w:tcPr>
            <w:tcW w:w="704" w:type="dxa"/>
            <w:tcBorders>
              <w:top w:val="single" w:color="000000" w:sz="12" w:space="0"/>
              <w:left w:val="single" w:color="000000" w:sz="12" w:space="0"/>
            </w:tcBorders>
            <w:vAlign w:val="top"/>
          </w:tcPr>
          <w:p w14:paraId="1AA10AC3">
            <w:pPr>
              <w:pStyle w:val="12"/>
              <w:spacing w:before="149" w:line="188" w:lineRule="auto"/>
              <w:ind w:left="26"/>
              <w:rPr>
                <w:color w:val="auto"/>
                <w:highlight w:val="none"/>
              </w:rPr>
            </w:pPr>
            <w:r>
              <w:rPr>
                <w:b/>
                <w:bCs/>
                <w:color w:val="auto"/>
                <w:spacing w:val="-4"/>
                <w:highlight w:val="none"/>
              </w:rPr>
              <w:t>条款号</w:t>
            </w:r>
          </w:p>
        </w:tc>
        <w:tc>
          <w:tcPr>
            <w:tcW w:w="1793" w:type="dxa"/>
            <w:tcBorders>
              <w:top w:val="single" w:color="000000" w:sz="12" w:space="0"/>
            </w:tcBorders>
            <w:vAlign w:val="top"/>
          </w:tcPr>
          <w:p w14:paraId="53CFF804">
            <w:pPr>
              <w:pStyle w:val="12"/>
              <w:spacing w:before="150" w:line="188" w:lineRule="auto"/>
              <w:ind w:left="706"/>
              <w:rPr>
                <w:color w:val="auto"/>
                <w:highlight w:val="none"/>
              </w:rPr>
            </w:pPr>
            <w:r>
              <w:rPr>
                <w:b/>
                <w:bCs/>
                <w:color w:val="auto"/>
                <w:spacing w:val="-10"/>
                <w:highlight w:val="none"/>
              </w:rPr>
              <w:t>内容</w:t>
            </w:r>
          </w:p>
        </w:tc>
        <w:tc>
          <w:tcPr>
            <w:tcW w:w="6809" w:type="dxa"/>
            <w:tcBorders>
              <w:top w:val="single" w:color="000000" w:sz="12" w:space="0"/>
              <w:right w:val="single" w:color="000000" w:sz="12" w:space="0"/>
            </w:tcBorders>
            <w:vAlign w:val="top"/>
          </w:tcPr>
          <w:p w14:paraId="529F620A">
            <w:pPr>
              <w:pStyle w:val="12"/>
              <w:spacing w:before="149" w:line="187" w:lineRule="auto"/>
              <w:ind w:left="2881"/>
              <w:rPr>
                <w:color w:val="auto"/>
                <w:highlight w:val="none"/>
              </w:rPr>
            </w:pPr>
            <w:r>
              <w:rPr>
                <w:b/>
                <w:bCs/>
                <w:color w:val="auto"/>
                <w:spacing w:val="-3"/>
                <w:highlight w:val="none"/>
              </w:rPr>
              <w:t>说明与要求</w:t>
            </w:r>
          </w:p>
        </w:tc>
      </w:tr>
      <w:tr w14:paraId="4B44E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5" w:hRule="atLeast"/>
        </w:trPr>
        <w:tc>
          <w:tcPr>
            <w:tcW w:w="704" w:type="dxa"/>
            <w:tcBorders>
              <w:left w:val="single" w:color="000000" w:sz="12" w:space="0"/>
            </w:tcBorders>
            <w:vAlign w:val="top"/>
          </w:tcPr>
          <w:p w14:paraId="62C5577C">
            <w:pPr>
              <w:spacing w:line="266" w:lineRule="auto"/>
              <w:rPr>
                <w:rFonts w:ascii="Arial"/>
                <w:color w:val="auto"/>
                <w:sz w:val="21"/>
                <w:highlight w:val="none"/>
              </w:rPr>
            </w:pPr>
          </w:p>
          <w:p w14:paraId="474088C9">
            <w:pPr>
              <w:spacing w:line="267" w:lineRule="auto"/>
              <w:rPr>
                <w:rFonts w:ascii="Arial"/>
                <w:color w:val="auto"/>
                <w:sz w:val="21"/>
                <w:highlight w:val="none"/>
              </w:rPr>
            </w:pPr>
          </w:p>
          <w:p w14:paraId="48A30673">
            <w:pPr>
              <w:spacing w:line="267" w:lineRule="auto"/>
              <w:rPr>
                <w:rFonts w:ascii="Arial"/>
                <w:color w:val="auto"/>
                <w:sz w:val="21"/>
                <w:highlight w:val="none"/>
              </w:rPr>
            </w:pPr>
          </w:p>
          <w:p w14:paraId="1DF3A6EB">
            <w:pPr>
              <w:pStyle w:val="12"/>
              <w:spacing w:before="90" w:line="159" w:lineRule="auto"/>
              <w:ind w:left="301"/>
              <w:rPr>
                <w:color w:val="auto"/>
                <w:highlight w:val="none"/>
              </w:rPr>
            </w:pPr>
            <w:r>
              <w:rPr>
                <w:color w:val="auto"/>
                <w:highlight w:val="none"/>
              </w:rPr>
              <w:t>1</w:t>
            </w:r>
          </w:p>
        </w:tc>
        <w:tc>
          <w:tcPr>
            <w:tcW w:w="1793" w:type="dxa"/>
            <w:vAlign w:val="top"/>
          </w:tcPr>
          <w:p w14:paraId="2F1EFC7D">
            <w:pPr>
              <w:spacing w:line="476" w:lineRule="auto"/>
              <w:rPr>
                <w:rFonts w:ascii="Arial"/>
                <w:color w:val="auto"/>
                <w:sz w:val="21"/>
                <w:highlight w:val="none"/>
              </w:rPr>
            </w:pPr>
          </w:p>
          <w:p w14:paraId="4BC6DB02">
            <w:pPr>
              <w:pStyle w:val="12"/>
              <w:spacing w:before="90" w:line="192" w:lineRule="auto"/>
              <w:ind w:left="100" w:right="847"/>
              <w:jc w:val="both"/>
              <w:rPr>
                <w:color w:val="auto"/>
                <w:highlight w:val="none"/>
              </w:rPr>
            </w:pPr>
            <w:r>
              <w:rPr>
                <w:color w:val="auto"/>
                <w:spacing w:val="-4"/>
                <w:highlight w:val="none"/>
              </w:rPr>
              <w:t>项目名称</w:t>
            </w:r>
            <w:r>
              <w:rPr>
                <w:color w:val="auto"/>
                <w:highlight w:val="none"/>
              </w:rPr>
              <w:t xml:space="preserve"> </w:t>
            </w:r>
            <w:r>
              <w:rPr>
                <w:color w:val="auto"/>
                <w:spacing w:val="-4"/>
                <w:highlight w:val="none"/>
              </w:rPr>
              <w:t>项目编号</w:t>
            </w:r>
            <w:r>
              <w:rPr>
                <w:color w:val="auto"/>
                <w:highlight w:val="none"/>
              </w:rPr>
              <w:t xml:space="preserve"> </w:t>
            </w:r>
            <w:r>
              <w:rPr>
                <w:color w:val="auto"/>
                <w:spacing w:val="-4"/>
                <w:highlight w:val="none"/>
              </w:rPr>
              <w:t>采购内容</w:t>
            </w:r>
          </w:p>
        </w:tc>
        <w:tc>
          <w:tcPr>
            <w:tcW w:w="6809" w:type="dxa"/>
            <w:tcBorders>
              <w:right w:val="single" w:color="000000" w:sz="12" w:space="0"/>
            </w:tcBorders>
            <w:vAlign w:val="top"/>
          </w:tcPr>
          <w:p w14:paraId="68A86310">
            <w:pPr>
              <w:pStyle w:val="12"/>
              <w:spacing w:before="44" w:line="183" w:lineRule="auto"/>
              <w:ind w:left="106"/>
              <w:rPr>
                <w:rFonts w:hint="eastAsia" w:eastAsia="微软雅黑"/>
                <w:color w:val="auto"/>
                <w:highlight w:val="none"/>
                <w:lang w:eastAsia="zh-CN"/>
              </w:rPr>
            </w:pPr>
            <w:r>
              <w:rPr>
                <w:color w:val="auto"/>
                <w:spacing w:val="-1"/>
                <w:highlight w:val="none"/>
              </w:rPr>
              <w:t>项目名称：</w:t>
            </w:r>
            <w:r>
              <w:rPr>
                <w:rFonts w:hint="eastAsia"/>
                <w:color w:val="auto"/>
                <w:spacing w:val="-1"/>
                <w:highlight w:val="none"/>
                <w:lang w:eastAsia="zh-CN"/>
              </w:rPr>
              <w:t>乌恰县2025年“三北”工程林草湿荒一体化保护修复（退化草原修复）项目</w:t>
            </w:r>
          </w:p>
          <w:p w14:paraId="374D1E5C">
            <w:pPr>
              <w:pStyle w:val="12"/>
              <w:spacing w:before="157" w:line="183" w:lineRule="auto"/>
              <w:ind w:left="106"/>
              <w:rPr>
                <w:rFonts w:hint="default" w:eastAsia="微软雅黑"/>
                <w:color w:val="auto"/>
                <w:highlight w:val="none"/>
                <w:lang w:val="en-US" w:eastAsia="zh-CN"/>
              </w:rPr>
            </w:pPr>
            <w:r>
              <w:rPr>
                <w:color w:val="auto"/>
                <w:spacing w:val="-17"/>
                <w:highlight w:val="none"/>
              </w:rPr>
              <w:t>项目编号：</w:t>
            </w:r>
            <w:r>
              <w:rPr>
                <w:rFonts w:hint="eastAsia"/>
                <w:color w:val="auto"/>
                <w:spacing w:val="-17"/>
                <w:highlight w:val="none"/>
                <w:lang w:eastAsia="zh-CN"/>
              </w:rPr>
              <w:t>WQZFCG(ZB)-2025-</w:t>
            </w:r>
            <w:r>
              <w:rPr>
                <w:rFonts w:hint="eastAsia"/>
                <w:color w:val="auto"/>
                <w:spacing w:val="-17"/>
                <w:highlight w:val="none"/>
                <w:lang w:val="en-US" w:eastAsia="zh-CN"/>
              </w:rPr>
              <w:t>018</w:t>
            </w:r>
          </w:p>
          <w:p w14:paraId="6D924278">
            <w:pPr>
              <w:pStyle w:val="12"/>
              <w:spacing w:before="158" w:line="205" w:lineRule="auto"/>
              <w:ind w:left="105" w:right="20" w:firstLine="2"/>
              <w:rPr>
                <w:color w:val="auto"/>
                <w:highlight w:val="none"/>
              </w:rPr>
            </w:pPr>
            <w:r>
              <w:rPr>
                <w:color w:val="auto"/>
                <w:spacing w:val="-3"/>
                <w:highlight w:val="none"/>
              </w:rPr>
              <w:t>采购内容：</w:t>
            </w:r>
            <w:r>
              <w:rPr>
                <w:rFonts w:hint="eastAsia"/>
                <w:color w:val="auto"/>
                <w:spacing w:val="-21"/>
                <w:highlight w:val="none"/>
                <w:lang w:eastAsia="zh-CN"/>
              </w:rPr>
              <w:t>拉设草原围栏27.924万亩，设置宣传牌10块，标识牌（大字）6块，制度牌20块等（具体详见招标文件）。</w:t>
            </w:r>
          </w:p>
        </w:tc>
      </w:tr>
      <w:tr w14:paraId="111A9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704" w:type="dxa"/>
            <w:tcBorders>
              <w:left w:val="single" w:color="000000" w:sz="12" w:space="0"/>
            </w:tcBorders>
            <w:vAlign w:val="top"/>
          </w:tcPr>
          <w:p w14:paraId="57E26BA6">
            <w:pPr>
              <w:spacing w:line="316" w:lineRule="auto"/>
              <w:rPr>
                <w:rFonts w:ascii="Arial"/>
                <w:color w:val="auto"/>
                <w:sz w:val="21"/>
                <w:highlight w:val="none"/>
              </w:rPr>
            </w:pPr>
          </w:p>
          <w:p w14:paraId="1CF1F445">
            <w:pPr>
              <w:pStyle w:val="12"/>
              <w:spacing w:before="90" w:line="159" w:lineRule="auto"/>
              <w:ind w:left="288"/>
              <w:rPr>
                <w:color w:val="auto"/>
                <w:highlight w:val="none"/>
              </w:rPr>
            </w:pPr>
            <w:r>
              <w:rPr>
                <w:color w:val="auto"/>
                <w:highlight w:val="none"/>
              </w:rPr>
              <w:t>2</w:t>
            </w:r>
          </w:p>
        </w:tc>
        <w:tc>
          <w:tcPr>
            <w:tcW w:w="1793" w:type="dxa"/>
            <w:vAlign w:val="top"/>
          </w:tcPr>
          <w:p w14:paraId="6305B7F4">
            <w:pPr>
              <w:spacing w:line="279" w:lineRule="auto"/>
              <w:rPr>
                <w:rFonts w:ascii="Arial"/>
                <w:color w:val="auto"/>
                <w:sz w:val="21"/>
                <w:highlight w:val="none"/>
              </w:rPr>
            </w:pPr>
          </w:p>
          <w:p w14:paraId="617D6363">
            <w:pPr>
              <w:pStyle w:val="12"/>
              <w:spacing w:before="90" w:line="188" w:lineRule="auto"/>
              <w:ind w:left="101"/>
              <w:rPr>
                <w:color w:val="auto"/>
                <w:highlight w:val="none"/>
              </w:rPr>
            </w:pPr>
            <w:r>
              <w:rPr>
                <w:color w:val="auto"/>
                <w:spacing w:val="-3"/>
                <w:highlight w:val="none"/>
              </w:rPr>
              <w:t>采购人信息</w:t>
            </w:r>
          </w:p>
        </w:tc>
        <w:tc>
          <w:tcPr>
            <w:tcW w:w="6809" w:type="dxa"/>
            <w:tcBorders>
              <w:right w:val="single" w:color="000000" w:sz="12" w:space="0"/>
            </w:tcBorders>
            <w:vAlign w:val="top"/>
          </w:tcPr>
          <w:p w14:paraId="654BA536">
            <w:pPr>
              <w:pStyle w:val="12"/>
              <w:spacing w:before="127" w:line="188" w:lineRule="auto"/>
              <w:ind w:left="107"/>
              <w:rPr>
                <w:color w:val="auto"/>
                <w:highlight w:val="none"/>
              </w:rPr>
            </w:pPr>
            <w:r>
              <w:rPr>
                <w:color w:val="auto"/>
                <w:spacing w:val="-2"/>
                <w:highlight w:val="none"/>
              </w:rPr>
              <w:t>采购单位：乌恰县自然资源局</w:t>
            </w:r>
          </w:p>
          <w:p w14:paraId="5D96C698">
            <w:pPr>
              <w:pStyle w:val="12"/>
              <w:spacing w:before="185" w:line="189" w:lineRule="auto"/>
              <w:ind w:left="103"/>
              <w:rPr>
                <w:color w:val="auto"/>
                <w:highlight w:val="none"/>
              </w:rPr>
            </w:pPr>
            <w:r>
              <w:rPr>
                <w:color w:val="auto"/>
                <w:spacing w:val="-7"/>
                <w:highlight w:val="none"/>
              </w:rPr>
              <w:t>联系人：孙先生         联系电话</w:t>
            </w:r>
            <w:r>
              <w:rPr>
                <w:color w:val="auto"/>
                <w:spacing w:val="-8"/>
                <w:highlight w:val="none"/>
              </w:rPr>
              <w:t>：18299709168</w:t>
            </w:r>
          </w:p>
        </w:tc>
      </w:tr>
      <w:tr w14:paraId="669FDA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8" w:hRule="atLeast"/>
        </w:trPr>
        <w:tc>
          <w:tcPr>
            <w:tcW w:w="704" w:type="dxa"/>
            <w:tcBorders>
              <w:left w:val="single" w:color="000000" w:sz="12" w:space="0"/>
            </w:tcBorders>
            <w:vAlign w:val="top"/>
          </w:tcPr>
          <w:p w14:paraId="43419CE6">
            <w:pPr>
              <w:spacing w:line="317" w:lineRule="auto"/>
              <w:rPr>
                <w:rFonts w:ascii="Arial"/>
                <w:color w:val="auto"/>
                <w:sz w:val="21"/>
                <w:highlight w:val="none"/>
              </w:rPr>
            </w:pPr>
          </w:p>
          <w:p w14:paraId="05AB0B24">
            <w:pPr>
              <w:pStyle w:val="12"/>
              <w:spacing w:before="90" w:line="158" w:lineRule="auto"/>
              <w:ind w:left="290"/>
              <w:rPr>
                <w:color w:val="auto"/>
                <w:highlight w:val="none"/>
              </w:rPr>
            </w:pPr>
            <w:r>
              <w:rPr>
                <w:color w:val="auto"/>
                <w:highlight w:val="none"/>
              </w:rPr>
              <w:t>3</w:t>
            </w:r>
          </w:p>
        </w:tc>
        <w:tc>
          <w:tcPr>
            <w:tcW w:w="1793" w:type="dxa"/>
            <w:vAlign w:val="top"/>
          </w:tcPr>
          <w:p w14:paraId="5090B0AA">
            <w:pPr>
              <w:spacing w:line="279" w:lineRule="auto"/>
              <w:rPr>
                <w:rFonts w:ascii="Arial"/>
                <w:color w:val="auto"/>
                <w:sz w:val="21"/>
                <w:highlight w:val="none"/>
              </w:rPr>
            </w:pPr>
          </w:p>
          <w:p w14:paraId="32FAFA7C">
            <w:pPr>
              <w:pStyle w:val="12"/>
              <w:spacing w:before="90" w:line="188" w:lineRule="auto"/>
              <w:ind w:left="101"/>
              <w:rPr>
                <w:color w:val="auto"/>
                <w:highlight w:val="none"/>
              </w:rPr>
            </w:pPr>
            <w:r>
              <w:rPr>
                <w:color w:val="auto"/>
                <w:spacing w:val="-3"/>
                <w:highlight w:val="none"/>
              </w:rPr>
              <w:t>采购代理机构</w:t>
            </w:r>
          </w:p>
        </w:tc>
        <w:tc>
          <w:tcPr>
            <w:tcW w:w="6809" w:type="dxa"/>
            <w:tcBorders>
              <w:right w:val="single" w:color="000000" w:sz="12" w:space="0"/>
            </w:tcBorders>
            <w:vAlign w:val="top"/>
          </w:tcPr>
          <w:p w14:paraId="78EF9CEC">
            <w:pPr>
              <w:pStyle w:val="12"/>
              <w:spacing w:before="74" w:line="187" w:lineRule="auto"/>
              <w:ind w:left="110"/>
              <w:rPr>
                <w:rFonts w:hint="eastAsia" w:eastAsia="微软雅黑"/>
                <w:color w:val="auto"/>
                <w:highlight w:val="none"/>
                <w:lang w:eastAsia="zh-CN"/>
              </w:rPr>
            </w:pPr>
            <w:r>
              <w:rPr>
                <w:color w:val="auto"/>
                <w:spacing w:val="-1"/>
                <w:highlight w:val="none"/>
              </w:rPr>
              <w:t>代理公司：</w:t>
            </w:r>
            <w:r>
              <w:rPr>
                <w:rFonts w:hint="eastAsia"/>
                <w:color w:val="auto"/>
                <w:spacing w:val="-1"/>
                <w:highlight w:val="none"/>
                <w:lang w:eastAsia="zh-CN"/>
              </w:rPr>
              <w:t>新疆丰颢源工程管理咨询有限公司</w:t>
            </w:r>
          </w:p>
          <w:p w14:paraId="06097760">
            <w:pPr>
              <w:pStyle w:val="12"/>
              <w:spacing w:before="39" w:line="183" w:lineRule="auto"/>
              <w:ind w:left="106"/>
              <w:rPr>
                <w:rFonts w:hint="eastAsia" w:eastAsia="微软雅黑"/>
                <w:color w:val="auto"/>
                <w:highlight w:val="none"/>
                <w:lang w:eastAsia="zh-CN"/>
              </w:rPr>
            </w:pPr>
            <w:r>
              <w:rPr>
                <w:color w:val="auto"/>
                <w:spacing w:val="-4"/>
                <w:highlight w:val="none"/>
              </w:rPr>
              <w:t>地址：</w:t>
            </w:r>
            <w:r>
              <w:rPr>
                <w:rFonts w:hint="eastAsia"/>
                <w:color w:val="auto"/>
                <w:spacing w:val="-4"/>
                <w:highlight w:val="none"/>
                <w:lang w:eastAsia="zh-CN"/>
              </w:rPr>
              <w:t>喀什市唐城国际商业步行街1幢6层6003号</w:t>
            </w:r>
          </w:p>
          <w:p w14:paraId="08ABABC5">
            <w:pPr>
              <w:pStyle w:val="12"/>
              <w:spacing w:before="20" w:line="228" w:lineRule="exact"/>
              <w:ind w:left="103"/>
              <w:rPr>
                <w:rFonts w:hint="eastAsia" w:eastAsia="微软雅黑"/>
                <w:color w:val="auto"/>
                <w:highlight w:val="none"/>
                <w:lang w:eastAsia="zh-CN"/>
              </w:rPr>
            </w:pPr>
            <w:r>
              <w:rPr>
                <w:color w:val="auto"/>
                <w:spacing w:val="-11"/>
                <w:position w:val="-1"/>
                <w:highlight w:val="none"/>
              </w:rPr>
              <w:t>联系人：</w:t>
            </w:r>
            <w:r>
              <w:rPr>
                <w:rFonts w:hint="eastAsia"/>
                <w:color w:val="auto"/>
                <w:spacing w:val="-11"/>
                <w:position w:val="-1"/>
                <w:highlight w:val="none"/>
                <w:lang w:eastAsia="zh-CN"/>
              </w:rPr>
              <w:t>张先生</w:t>
            </w:r>
            <w:r>
              <w:rPr>
                <w:color w:val="auto"/>
                <w:spacing w:val="3"/>
                <w:position w:val="-1"/>
                <w:highlight w:val="none"/>
              </w:rPr>
              <w:t xml:space="preserve">                  </w:t>
            </w:r>
            <w:r>
              <w:rPr>
                <w:color w:val="auto"/>
                <w:spacing w:val="-11"/>
                <w:position w:val="-1"/>
                <w:highlight w:val="none"/>
              </w:rPr>
              <w:t>联系电话：</w:t>
            </w:r>
            <w:r>
              <w:rPr>
                <w:color w:val="auto"/>
                <w:spacing w:val="-19"/>
                <w:position w:val="-1"/>
                <w:highlight w:val="none"/>
              </w:rPr>
              <w:t xml:space="preserve"> </w:t>
            </w:r>
            <w:r>
              <w:rPr>
                <w:rFonts w:hint="eastAsia"/>
                <w:color w:val="auto"/>
                <w:spacing w:val="-11"/>
                <w:position w:val="-1"/>
                <w:highlight w:val="none"/>
                <w:lang w:eastAsia="zh-CN"/>
              </w:rPr>
              <w:t>18652955232</w:t>
            </w:r>
          </w:p>
        </w:tc>
      </w:tr>
      <w:tr w14:paraId="7C6F2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704" w:type="dxa"/>
            <w:tcBorders>
              <w:left w:val="single" w:color="000000" w:sz="12" w:space="0"/>
            </w:tcBorders>
            <w:vAlign w:val="top"/>
          </w:tcPr>
          <w:p w14:paraId="670ED4AF">
            <w:pPr>
              <w:pStyle w:val="12"/>
              <w:spacing w:before="155" w:line="159" w:lineRule="auto"/>
              <w:ind w:left="285"/>
              <w:rPr>
                <w:color w:val="auto"/>
                <w:highlight w:val="none"/>
              </w:rPr>
            </w:pPr>
            <w:r>
              <w:rPr>
                <w:color w:val="auto"/>
                <w:highlight w:val="none"/>
              </w:rPr>
              <w:t>4</w:t>
            </w:r>
          </w:p>
        </w:tc>
        <w:tc>
          <w:tcPr>
            <w:tcW w:w="1793" w:type="dxa"/>
            <w:vAlign w:val="top"/>
          </w:tcPr>
          <w:p w14:paraId="4D4B9957">
            <w:pPr>
              <w:pStyle w:val="12"/>
              <w:spacing w:before="117" w:line="188" w:lineRule="auto"/>
              <w:ind w:left="105"/>
              <w:rPr>
                <w:color w:val="auto"/>
                <w:highlight w:val="none"/>
              </w:rPr>
            </w:pPr>
            <w:r>
              <w:rPr>
                <w:color w:val="auto"/>
                <w:spacing w:val="-3"/>
                <w:highlight w:val="none"/>
              </w:rPr>
              <w:t>最终交货地点</w:t>
            </w:r>
          </w:p>
        </w:tc>
        <w:tc>
          <w:tcPr>
            <w:tcW w:w="6809" w:type="dxa"/>
            <w:tcBorders>
              <w:right w:val="single" w:color="000000" w:sz="12" w:space="0"/>
            </w:tcBorders>
            <w:vAlign w:val="top"/>
          </w:tcPr>
          <w:p w14:paraId="1F729A45">
            <w:pPr>
              <w:pStyle w:val="12"/>
              <w:spacing w:before="126" w:line="183" w:lineRule="auto"/>
              <w:ind w:left="133"/>
              <w:rPr>
                <w:color w:val="auto"/>
                <w:highlight w:val="none"/>
              </w:rPr>
            </w:pPr>
            <w:r>
              <w:rPr>
                <w:color w:val="auto"/>
                <w:spacing w:val="-3"/>
                <w:highlight w:val="none"/>
              </w:rPr>
              <w:t>甲方指定地点（具体以甲乙双方合同签订合同为准）</w:t>
            </w:r>
          </w:p>
        </w:tc>
      </w:tr>
      <w:tr w14:paraId="1839F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704" w:type="dxa"/>
            <w:tcBorders>
              <w:left w:val="single" w:color="000000" w:sz="12" w:space="0"/>
            </w:tcBorders>
            <w:vAlign w:val="top"/>
          </w:tcPr>
          <w:p w14:paraId="0C5E556F">
            <w:pPr>
              <w:pStyle w:val="12"/>
              <w:spacing w:before="190" w:line="157" w:lineRule="auto"/>
              <w:ind w:left="290"/>
              <w:rPr>
                <w:color w:val="auto"/>
                <w:highlight w:val="none"/>
              </w:rPr>
            </w:pPr>
            <w:r>
              <w:rPr>
                <w:color w:val="auto"/>
                <w:highlight w:val="none"/>
              </w:rPr>
              <w:t>5</w:t>
            </w:r>
          </w:p>
        </w:tc>
        <w:tc>
          <w:tcPr>
            <w:tcW w:w="1793" w:type="dxa"/>
            <w:vAlign w:val="top"/>
          </w:tcPr>
          <w:p w14:paraId="21821E69">
            <w:pPr>
              <w:pStyle w:val="12"/>
              <w:spacing w:before="151" w:line="188" w:lineRule="auto"/>
              <w:ind w:left="99"/>
              <w:rPr>
                <w:color w:val="auto"/>
                <w:highlight w:val="none"/>
              </w:rPr>
            </w:pPr>
            <w:r>
              <w:rPr>
                <w:color w:val="auto"/>
                <w:spacing w:val="-3"/>
                <w:highlight w:val="none"/>
              </w:rPr>
              <w:t>付款方式</w:t>
            </w:r>
          </w:p>
        </w:tc>
        <w:tc>
          <w:tcPr>
            <w:tcW w:w="6809" w:type="dxa"/>
            <w:tcBorders>
              <w:right w:val="single" w:color="000000" w:sz="12" w:space="0"/>
            </w:tcBorders>
            <w:vAlign w:val="top"/>
          </w:tcPr>
          <w:p w14:paraId="36DF96FA">
            <w:pPr>
              <w:pStyle w:val="12"/>
              <w:spacing w:before="159" w:line="188" w:lineRule="auto"/>
              <w:ind w:left="110"/>
              <w:rPr>
                <w:color w:val="auto"/>
                <w:highlight w:val="none"/>
              </w:rPr>
            </w:pPr>
            <w:r>
              <w:rPr>
                <w:color w:val="auto"/>
                <w:spacing w:val="-12"/>
                <w:highlight w:val="none"/>
              </w:rPr>
              <w:t>签订合同后付 40%，安装完成后付 50%，</w:t>
            </w:r>
            <w:r>
              <w:rPr>
                <w:color w:val="auto"/>
                <w:spacing w:val="-13"/>
                <w:highlight w:val="none"/>
              </w:rPr>
              <w:t>验收合格后付</w:t>
            </w:r>
            <w:r>
              <w:rPr>
                <w:color w:val="auto"/>
                <w:spacing w:val="13"/>
                <w:highlight w:val="none"/>
              </w:rPr>
              <w:t xml:space="preserve"> </w:t>
            </w:r>
            <w:r>
              <w:rPr>
                <w:color w:val="auto"/>
                <w:spacing w:val="-13"/>
                <w:highlight w:val="none"/>
              </w:rPr>
              <w:t>10%  。</w:t>
            </w:r>
          </w:p>
        </w:tc>
      </w:tr>
      <w:tr w14:paraId="7AB38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704" w:type="dxa"/>
            <w:tcBorders>
              <w:left w:val="single" w:color="000000" w:sz="12" w:space="0"/>
            </w:tcBorders>
            <w:vAlign w:val="top"/>
          </w:tcPr>
          <w:p w14:paraId="230E89F5">
            <w:pPr>
              <w:pStyle w:val="12"/>
              <w:spacing w:before="260" w:line="158" w:lineRule="auto"/>
              <w:ind w:left="287"/>
              <w:rPr>
                <w:color w:val="auto"/>
                <w:highlight w:val="none"/>
              </w:rPr>
            </w:pPr>
            <w:r>
              <w:rPr>
                <w:color w:val="auto"/>
                <w:highlight w:val="none"/>
              </w:rPr>
              <w:t>6</w:t>
            </w:r>
          </w:p>
        </w:tc>
        <w:tc>
          <w:tcPr>
            <w:tcW w:w="1793" w:type="dxa"/>
            <w:vAlign w:val="top"/>
          </w:tcPr>
          <w:p w14:paraId="3B62267C">
            <w:pPr>
              <w:pStyle w:val="12"/>
              <w:spacing w:before="65" w:line="188" w:lineRule="auto"/>
              <w:ind w:left="104"/>
              <w:rPr>
                <w:color w:val="auto"/>
                <w:highlight w:val="none"/>
              </w:rPr>
            </w:pPr>
            <w:r>
              <w:rPr>
                <w:color w:val="auto"/>
                <w:spacing w:val="-5"/>
                <w:highlight w:val="none"/>
              </w:rPr>
              <w:t>交货期</w:t>
            </w:r>
          </w:p>
          <w:p w14:paraId="73923672">
            <w:pPr>
              <w:pStyle w:val="12"/>
              <w:spacing w:before="9" w:line="170" w:lineRule="auto"/>
              <w:ind w:right="16"/>
              <w:jc w:val="right"/>
              <w:rPr>
                <w:color w:val="auto"/>
                <w:highlight w:val="none"/>
              </w:rPr>
            </w:pPr>
            <w:r>
              <w:rPr>
                <w:color w:val="auto"/>
                <w:spacing w:val="-4"/>
                <w:highlight w:val="none"/>
              </w:rPr>
              <w:t>质保期（管护期）</w:t>
            </w:r>
          </w:p>
        </w:tc>
        <w:tc>
          <w:tcPr>
            <w:tcW w:w="6809" w:type="dxa"/>
            <w:tcBorders>
              <w:right w:val="single" w:color="000000" w:sz="12" w:space="0"/>
            </w:tcBorders>
            <w:vAlign w:val="top"/>
          </w:tcPr>
          <w:p w14:paraId="5B6FB6B6">
            <w:pPr>
              <w:pStyle w:val="12"/>
              <w:spacing w:before="56" w:line="185" w:lineRule="auto"/>
              <w:ind w:left="103" w:right="4382" w:firstLine="23"/>
              <w:rPr>
                <w:color w:val="auto"/>
                <w:highlight w:val="none"/>
              </w:rPr>
            </w:pPr>
            <w:r>
              <w:rPr>
                <w:color w:val="auto"/>
                <w:spacing w:val="-4"/>
                <w:highlight w:val="none"/>
              </w:rPr>
              <w:t>以甲乙双方签订合同为准</w:t>
            </w:r>
            <w:r>
              <w:rPr>
                <w:color w:val="auto"/>
                <w:spacing w:val="7"/>
                <w:highlight w:val="none"/>
              </w:rPr>
              <w:t xml:space="preserve"> </w:t>
            </w:r>
            <w:r>
              <w:rPr>
                <w:color w:val="auto"/>
                <w:spacing w:val="-5"/>
                <w:highlight w:val="none"/>
              </w:rPr>
              <w:t>5 年（含项目建设期）</w:t>
            </w:r>
          </w:p>
        </w:tc>
      </w:tr>
      <w:tr w14:paraId="342C8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704" w:type="dxa"/>
            <w:tcBorders>
              <w:left w:val="single" w:color="000000" w:sz="12" w:space="0"/>
            </w:tcBorders>
            <w:vAlign w:val="top"/>
          </w:tcPr>
          <w:p w14:paraId="7B7014D5">
            <w:pPr>
              <w:pStyle w:val="12"/>
              <w:spacing w:before="136" w:line="223" w:lineRule="exact"/>
              <w:ind w:left="290"/>
              <w:rPr>
                <w:color w:val="auto"/>
                <w:highlight w:val="none"/>
              </w:rPr>
            </w:pPr>
            <w:r>
              <w:rPr>
                <w:color w:val="auto"/>
                <w:position w:val="-4"/>
                <w:highlight w:val="none"/>
              </w:rPr>
              <w:t>7</w:t>
            </w:r>
          </w:p>
        </w:tc>
        <w:tc>
          <w:tcPr>
            <w:tcW w:w="1793" w:type="dxa"/>
            <w:vAlign w:val="top"/>
          </w:tcPr>
          <w:p w14:paraId="3FDD79B6">
            <w:pPr>
              <w:pStyle w:val="12"/>
              <w:spacing w:before="96" w:line="175" w:lineRule="auto"/>
              <w:ind w:left="110"/>
              <w:rPr>
                <w:color w:val="auto"/>
                <w:highlight w:val="none"/>
              </w:rPr>
            </w:pPr>
            <w:r>
              <w:rPr>
                <w:color w:val="auto"/>
                <w:spacing w:val="-5"/>
                <w:highlight w:val="none"/>
              </w:rPr>
              <w:t>资金来源</w:t>
            </w:r>
          </w:p>
        </w:tc>
        <w:tc>
          <w:tcPr>
            <w:tcW w:w="6809" w:type="dxa"/>
            <w:tcBorders>
              <w:right w:val="single" w:color="000000" w:sz="12" w:space="0"/>
            </w:tcBorders>
            <w:vAlign w:val="top"/>
          </w:tcPr>
          <w:p w14:paraId="51A12DEC">
            <w:pPr>
              <w:pStyle w:val="12"/>
              <w:spacing w:before="96" w:line="175" w:lineRule="auto"/>
              <w:ind w:left="101"/>
              <w:rPr>
                <w:rFonts w:hint="eastAsia" w:eastAsia="微软雅黑"/>
                <w:color w:val="auto"/>
                <w:highlight w:val="none"/>
                <w:lang w:eastAsia="zh-CN"/>
              </w:rPr>
            </w:pPr>
            <w:r>
              <w:rPr>
                <w:rFonts w:hint="eastAsia"/>
                <w:color w:val="auto"/>
                <w:spacing w:val="-4"/>
                <w:highlight w:val="none"/>
                <w:lang w:eastAsia="zh-CN"/>
              </w:rPr>
              <w:t>2025年中央“三北”工程补助资金</w:t>
            </w:r>
          </w:p>
        </w:tc>
      </w:tr>
      <w:tr w14:paraId="55063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704" w:type="dxa"/>
            <w:tcBorders>
              <w:left w:val="single" w:color="000000" w:sz="12" w:space="0"/>
            </w:tcBorders>
            <w:vAlign w:val="top"/>
          </w:tcPr>
          <w:p w14:paraId="171112E1">
            <w:pPr>
              <w:pStyle w:val="12"/>
              <w:spacing w:before="132" w:line="220" w:lineRule="exact"/>
              <w:ind w:left="286"/>
              <w:rPr>
                <w:color w:val="auto"/>
                <w:highlight w:val="none"/>
              </w:rPr>
            </w:pPr>
            <w:r>
              <w:rPr>
                <w:color w:val="auto"/>
                <w:position w:val="-4"/>
                <w:highlight w:val="none"/>
              </w:rPr>
              <w:t>8</w:t>
            </w:r>
          </w:p>
        </w:tc>
        <w:tc>
          <w:tcPr>
            <w:tcW w:w="1793" w:type="dxa"/>
            <w:vAlign w:val="top"/>
          </w:tcPr>
          <w:p w14:paraId="3F3B068F">
            <w:pPr>
              <w:pStyle w:val="12"/>
              <w:spacing w:before="93" w:line="172" w:lineRule="auto"/>
              <w:ind w:left="99"/>
              <w:rPr>
                <w:color w:val="auto"/>
                <w:highlight w:val="none"/>
              </w:rPr>
            </w:pPr>
            <w:r>
              <w:rPr>
                <w:color w:val="auto"/>
                <w:spacing w:val="-3"/>
                <w:highlight w:val="none"/>
              </w:rPr>
              <w:t>招标方式</w:t>
            </w:r>
          </w:p>
        </w:tc>
        <w:tc>
          <w:tcPr>
            <w:tcW w:w="6809" w:type="dxa"/>
            <w:tcBorders>
              <w:right w:val="single" w:color="000000" w:sz="12" w:space="0"/>
            </w:tcBorders>
            <w:vAlign w:val="top"/>
          </w:tcPr>
          <w:p w14:paraId="6907B840">
            <w:pPr>
              <w:pStyle w:val="12"/>
              <w:spacing w:before="93" w:line="172" w:lineRule="auto"/>
              <w:ind w:left="110"/>
              <w:rPr>
                <w:color w:val="auto"/>
                <w:highlight w:val="none"/>
              </w:rPr>
            </w:pPr>
            <w:r>
              <w:rPr>
                <w:color w:val="auto"/>
                <w:spacing w:val="1"/>
                <w:highlight w:val="none"/>
              </w:rPr>
              <w:t>公开招标</w:t>
            </w:r>
            <w:r>
              <w:rPr>
                <w:b/>
                <w:bCs/>
                <w:color w:val="auto"/>
                <w:spacing w:val="1"/>
                <w:highlight w:val="none"/>
              </w:rPr>
              <w:t>(本项目采用网上电子招投标)</w:t>
            </w:r>
          </w:p>
        </w:tc>
      </w:tr>
      <w:tr w14:paraId="4E367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2" w:hRule="atLeast"/>
        </w:trPr>
        <w:tc>
          <w:tcPr>
            <w:tcW w:w="704" w:type="dxa"/>
            <w:tcBorders>
              <w:left w:val="single" w:color="000000" w:sz="12" w:space="0"/>
              <w:bottom w:val="single" w:color="000000" w:sz="12" w:space="0"/>
            </w:tcBorders>
            <w:vAlign w:val="top"/>
          </w:tcPr>
          <w:p w14:paraId="242D7CF0">
            <w:pPr>
              <w:spacing w:line="241" w:lineRule="auto"/>
              <w:rPr>
                <w:rFonts w:ascii="Arial"/>
                <w:color w:val="auto"/>
                <w:sz w:val="21"/>
                <w:highlight w:val="none"/>
              </w:rPr>
            </w:pPr>
          </w:p>
          <w:p w14:paraId="352C5933">
            <w:pPr>
              <w:spacing w:line="241" w:lineRule="auto"/>
              <w:rPr>
                <w:rFonts w:ascii="Arial"/>
                <w:color w:val="auto"/>
                <w:sz w:val="21"/>
                <w:highlight w:val="none"/>
              </w:rPr>
            </w:pPr>
          </w:p>
          <w:p w14:paraId="5437A6EC">
            <w:pPr>
              <w:spacing w:line="241" w:lineRule="auto"/>
              <w:rPr>
                <w:rFonts w:ascii="Arial"/>
                <w:color w:val="auto"/>
                <w:sz w:val="21"/>
                <w:highlight w:val="none"/>
              </w:rPr>
            </w:pPr>
          </w:p>
          <w:p w14:paraId="0F75C1CE">
            <w:pPr>
              <w:spacing w:line="241" w:lineRule="auto"/>
              <w:rPr>
                <w:rFonts w:ascii="Arial"/>
                <w:color w:val="auto"/>
                <w:sz w:val="21"/>
                <w:highlight w:val="none"/>
              </w:rPr>
            </w:pPr>
          </w:p>
          <w:p w14:paraId="5A52EBF2">
            <w:pPr>
              <w:spacing w:line="241" w:lineRule="auto"/>
              <w:rPr>
                <w:rFonts w:ascii="Arial"/>
                <w:color w:val="auto"/>
                <w:sz w:val="21"/>
                <w:highlight w:val="none"/>
              </w:rPr>
            </w:pPr>
          </w:p>
          <w:p w14:paraId="0B978919">
            <w:pPr>
              <w:spacing w:line="241" w:lineRule="auto"/>
              <w:rPr>
                <w:rFonts w:ascii="Arial"/>
                <w:color w:val="auto"/>
                <w:sz w:val="21"/>
                <w:highlight w:val="none"/>
              </w:rPr>
            </w:pPr>
          </w:p>
          <w:p w14:paraId="3AA5CEF6">
            <w:pPr>
              <w:spacing w:line="241" w:lineRule="auto"/>
              <w:rPr>
                <w:rFonts w:ascii="Arial"/>
                <w:color w:val="auto"/>
                <w:sz w:val="21"/>
                <w:highlight w:val="none"/>
              </w:rPr>
            </w:pPr>
          </w:p>
          <w:p w14:paraId="59B511A5">
            <w:pPr>
              <w:spacing w:line="241" w:lineRule="auto"/>
              <w:rPr>
                <w:rFonts w:ascii="Arial"/>
                <w:color w:val="auto"/>
                <w:sz w:val="21"/>
                <w:highlight w:val="none"/>
              </w:rPr>
            </w:pPr>
          </w:p>
          <w:p w14:paraId="1FCAC3AB">
            <w:pPr>
              <w:spacing w:line="241" w:lineRule="auto"/>
              <w:rPr>
                <w:rFonts w:ascii="Arial"/>
                <w:color w:val="auto"/>
                <w:sz w:val="21"/>
                <w:highlight w:val="none"/>
              </w:rPr>
            </w:pPr>
          </w:p>
          <w:p w14:paraId="76FF6B6C">
            <w:pPr>
              <w:spacing w:line="242" w:lineRule="auto"/>
              <w:rPr>
                <w:rFonts w:ascii="Arial"/>
                <w:color w:val="auto"/>
                <w:sz w:val="21"/>
                <w:highlight w:val="none"/>
              </w:rPr>
            </w:pPr>
          </w:p>
          <w:p w14:paraId="00664439">
            <w:pPr>
              <w:spacing w:line="242" w:lineRule="auto"/>
              <w:rPr>
                <w:rFonts w:ascii="Arial"/>
                <w:color w:val="auto"/>
                <w:sz w:val="21"/>
                <w:highlight w:val="none"/>
              </w:rPr>
            </w:pPr>
          </w:p>
          <w:p w14:paraId="6C62EB6A">
            <w:pPr>
              <w:pStyle w:val="12"/>
              <w:spacing w:before="90" w:line="158" w:lineRule="auto"/>
              <w:ind w:left="286"/>
              <w:rPr>
                <w:color w:val="auto"/>
                <w:highlight w:val="none"/>
              </w:rPr>
            </w:pPr>
            <w:r>
              <w:rPr>
                <w:color w:val="auto"/>
                <w:highlight w:val="none"/>
              </w:rPr>
              <w:t>9</w:t>
            </w:r>
          </w:p>
        </w:tc>
        <w:tc>
          <w:tcPr>
            <w:tcW w:w="1793" w:type="dxa"/>
            <w:tcBorders>
              <w:bottom w:val="single" w:color="000000" w:sz="12" w:space="0"/>
            </w:tcBorders>
            <w:vAlign w:val="top"/>
          </w:tcPr>
          <w:p w14:paraId="131C1415">
            <w:pPr>
              <w:spacing w:line="247" w:lineRule="auto"/>
              <w:rPr>
                <w:rFonts w:ascii="Arial"/>
                <w:color w:val="auto"/>
                <w:sz w:val="21"/>
                <w:highlight w:val="none"/>
              </w:rPr>
            </w:pPr>
          </w:p>
          <w:p w14:paraId="5E939394">
            <w:pPr>
              <w:spacing w:line="247" w:lineRule="auto"/>
              <w:rPr>
                <w:rFonts w:ascii="Arial"/>
                <w:color w:val="auto"/>
                <w:sz w:val="21"/>
                <w:highlight w:val="none"/>
              </w:rPr>
            </w:pPr>
          </w:p>
          <w:p w14:paraId="6C00CFC4">
            <w:pPr>
              <w:spacing w:line="247" w:lineRule="auto"/>
              <w:rPr>
                <w:rFonts w:ascii="Arial"/>
                <w:color w:val="auto"/>
                <w:sz w:val="21"/>
                <w:highlight w:val="none"/>
              </w:rPr>
            </w:pPr>
          </w:p>
          <w:p w14:paraId="73BDFA78">
            <w:pPr>
              <w:spacing w:line="247" w:lineRule="auto"/>
              <w:rPr>
                <w:rFonts w:ascii="Arial"/>
                <w:color w:val="auto"/>
                <w:sz w:val="21"/>
                <w:highlight w:val="none"/>
              </w:rPr>
            </w:pPr>
          </w:p>
          <w:p w14:paraId="0DE656D3">
            <w:pPr>
              <w:spacing w:line="247" w:lineRule="auto"/>
              <w:rPr>
                <w:rFonts w:ascii="Arial"/>
                <w:color w:val="auto"/>
                <w:sz w:val="21"/>
                <w:highlight w:val="none"/>
              </w:rPr>
            </w:pPr>
          </w:p>
          <w:p w14:paraId="36F5F457">
            <w:pPr>
              <w:spacing w:line="247" w:lineRule="auto"/>
              <w:rPr>
                <w:rFonts w:ascii="Arial"/>
                <w:color w:val="auto"/>
                <w:sz w:val="21"/>
                <w:highlight w:val="none"/>
              </w:rPr>
            </w:pPr>
          </w:p>
          <w:p w14:paraId="622D353E">
            <w:pPr>
              <w:spacing w:line="247" w:lineRule="auto"/>
              <w:rPr>
                <w:rFonts w:ascii="Arial"/>
                <w:color w:val="auto"/>
                <w:sz w:val="21"/>
                <w:highlight w:val="none"/>
              </w:rPr>
            </w:pPr>
          </w:p>
          <w:p w14:paraId="4C99E4A6">
            <w:pPr>
              <w:spacing w:line="247" w:lineRule="auto"/>
              <w:rPr>
                <w:rFonts w:ascii="Arial"/>
                <w:color w:val="auto"/>
                <w:sz w:val="21"/>
                <w:highlight w:val="none"/>
              </w:rPr>
            </w:pPr>
          </w:p>
          <w:p w14:paraId="77207BFE">
            <w:pPr>
              <w:spacing w:line="247" w:lineRule="auto"/>
              <w:rPr>
                <w:rFonts w:ascii="Arial"/>
                <w:color w:val="auto"/>
                <w:sz w:val="21"/>
                <w:highlight w:val="none"/>
              </w:rPr>
            </w:pPr>
          </w:p>
          <w:p w14:paraId="47450C9A">
            <w:pPr>
              <w:spacing w:line="248" w:lineRule="auto"/>
              <w:rPr>
                <w:rFonts w:ascii="Arial"/>
                <w:color w:val="auto"/>
                <w:sz w:val="21"/>
                <w:highlight w:val="none"/>
              </w:rPr>
            </w:pPr>
          </w:p>
          <w:p w14:paraId="43BE87C6">
            <w:pPr>
              <w:pStyle w:val="12"/>
              <w:spacing w:before="90" w:line="192" w:lineRule="auto"/>
              <w:ind w:left="368" w:right="160" w:hanging="213"/>
              <w:rPr>
                <w:color w:val="auto"/>
                <w:highlight w:val="none"/>
              </w:rPr>
            </w:pPr>
            <w:r>
              <w:rPr>
                <w:color w:val="auto"/>
                <w:spacing w:val="-2"/>
                <w:highlight w:val="none"/>
              </w:rPr>
              <w:t>投标人资格条件</w:t>
            </w:r>
            <w:r>
              <w:rPr>
                <w:color w:val="auto"/>
                <w:highlight w:val="none"/>
              </w:rPr>
              <w:t xml:space="preserve"> </w:t>
            </w:r>
            <w:r>
              <w:rPr>
                <w:color w:val="auto"/>
                <w:spacing w:val="-3"/>
                <w:highlight w:val="none"/>
              </w:rPr>
              <w:t>及其他要求</w:t>
            </w:r>
          </w:p>
        </w:tc>
        <w:tc>
          <w:tcPr>
            <w:tcW w:w="6809" w:type="dxa"/>
            <w:tcBorders>
              <w:bottom w:val="single" w:color="000000" w:sz="12" w:space="0"/>
              <w:right w:val="single" w:color="000000" w:sz="12" w:space="0"/>
            </w:tcBorders>
            <w:vAlign w:val="top"/>
          </w:tcPr>
          <w:p w14:paraId="37BD7913">
            <w:pPr>
              <w:pStyle w:val="12"/>
              <w:spacing w:before="59" w:line="188" w:lineRule="auto"/>
              <w:ind w:left="114"/>
              <w:rPr>
                <w:color w:val="auto"/>
                <w:highlight w:val="none"/>
              </w:rPr>
            </w:pPr>
            <w:r>
              <w:rPr>
                <w:color w:val="auto"/>
                <w:spacing w:val="-1"/>
                <w:highlight w:val="none"/>
              </w:rPr>
              <w:t>1.满足《中华人民共和国政府采购法》第二</w:t>
            </w:r>
            <w:r>
              <w:rPr>
                <w:color w:val="auto"/>
                <w:spacing w:val="-2"/>
                <w:highlight w:val="none"/>
              </w:rPr>
              <w:t>十二条规定；</w:t>
            </w:r>
          </w:p>
          <w:p w14:paraId="6F05F9C5">
            <w:pPr>
              <w:pStyle w:val="12"/>
              <w:spacing w:before="29" w:line="206" w:lineRule="auto"/>
              <w:ind w:left="102" w:right="182" w:hanging="1"/>
              <w:rPr>
                <w:color w:val="auto"/>
                <w:highlight w:val="none"/>
              </w:rPr>
            </w:pPr>
            <w:r>
              <w:rPr>
                <w:color w:val="auto"/>
                <w:highlight w:val="none"/>
              </w:rPr>
              <w:t xml:space="preserve">2.落实政府采购政策需满足的资格要求：标项 </w:t>
            </w:r>
            <w:r>
              <w:rPr>
                <w:color w:val="auto"/>
                <w:spacing w:val="-1"/>
                <w:highlight w:val="none"/>
              </w:rPr>
              <w:t xml:space="preserve"> 1：供应商为中小企业</w:t>
            </w:r>
            <w:r>
              <w:rPr>
                <w:color w:val="auto"/>
                <w:highlight w:val="none"/>
              </w:rPr>
              <w:t xml:space="preserve"> </w:t>
            </w:r>
            <w:r>
              <w:rPr>
                <w:color w:val="auto"/>
                <w:spacing w:val="-2"/>
                <w:highlight w:val="none"/>
              </w:rPr>
              <w:t>3.本项目的特定资格要求：</w:t>
            </w:r>
          </w:p>
          <w:p w14:paraId="63A66D8B">
            <w:pPr>
              <w:pStyle w:val="12"/>
              <w:spacing w:before="4" w:line="196" w:lineRule="auto"/>
              <w:ind w:right="105"/>
              <w:rPr>
                <w:color w:val="auto"/>
                <w:highlight w:val="none"/>
              </w:rPr>
            </w:pPr>
            <w:r>
              <w:rPr>
                <w:color w:val="auto"/>
                <w:spacing w:val="-1"/>
                <w:highlight w:val="none"/>
              </w:rPr>
              <w:t>(1)合格有效的营业执照（三证合一）【法人或者非法人组织的营业</w:t>
            </w:r>
            <w:r>
              <w:rPr>
                <w:color w:val="auto"/>
                <w:spacing w:val="8"/>
                <w:highlight w:val="none"/>
              </w:rPr>
              <w:t xml:space="preserve"> </w:t>
            </w:r>
            <w:r>
              <w:rPr>
                <w:color w:val="auto"/>
                <w:spacing w:val="-2"/>
                <w:highlight w:val="none"/>
              </w:rPr>
              <w:t>执照等证明文件（须加盖本单位章）或自然人的身</w:t>
            </w:r>
            <w:r>
              <w:rPr>
                <w:color w:val="auto"/>
                <w:spacing w:val="-3"/>
                <w:highlight w:val="none"/>
              </w:rPr>
              <w:t>份证明】；</w:t>
            </w:r>
          </w:p>
          <w:p w14:paraId="705F3483">
            <w:pPr>
              <w:pStyle w:val="12"/>
              <w:spacing w:before="36" w:line="198" w:lineRule="auto"/>
              <w:ind w:right="91"/>
              <w:rPr>
                <w:color w:val="auto"/>
                <w:highlight w:val="none"/>
              </w:rPr>
            </w:pPr>
            <w:r>
              <w:rPr>
                <w:color w:val="auto"/>
                <w:highlight w:val="none"/>
              </w:rPr>
              <w:t>(2)法定代表人参与投标须提供法定代表人资格</w:t>
            </w:r>
            <w:r>
              <w:rPr>
                <w:color w:val="auto"/>
                <w:spacing w:val="-1"/>
                <w:highlight w:val="none"/>
              </w:rPr>
              <w:t>证明，授权委托人参</w:t>
            </w:r>
            <w:r>
              <w:rPr>
                <w:color w:val="auto"/>
                <w:highlight w:val="none"/>
              </w:rPr>
              <w:t xml:space="preserve"> </w:t>
            </w:r>
            <w:r>
              <w:rPr>
                <w:color w:val="auto"/>
                <w:spacing w:val="-4"/>
                <w:highlight w:val="none"/>
              </w:rPr>
              <w:t>与投标须提供法定代表人授权委托书；</w:t>
            </w:r>
          </w:p>
          <w:p w14:paraId="19867857">
            <w:pPr>
              <w:pStyle w:val="12"/>
              <w:spacing w:before="28" w:line="200" w:lineRule="auto"/>
              <w:ind w:right="91"/>
              <w:rPr>
                <w:color w:val="auto"/>
                <w:highlight w:val="none"/>
              </w:rPr>
            </w:pPr>
            <w:r>
              <w:rPr>
                <w:color w:val="auto"/>
                <w:spacing w:val="-2"/>
                <w:highlight w:val="none"/>
              </w:rPr>
              <w:t>(3)投标企业须提供投标人（被授权在职人员</w:t>
            </w:r>
            <w:r>
              <w:rPr>
                <w:color w:val="auto"/>
                <w:spacing w:val="-3"/>
                <w:highlight w:val="none"/>
              </w:rPr>
              <w:t>）近 6 个月内任意 1 个</w:t>
            </w:r>
            <w:r>
              <w:rPr>
                <w:color w:val="auto"/>
                <w:highlight w:val="none"/>
              </w:rPr>
              <w:t xml:space="preserve"> </w:t>
            </w:r>
            <w:r>
              <w:rPr>
                <w:color w:val="auto"/>
                <w:spacing w:val="2"/>
                <w:highlight w:val="none"/>
              </w:rPr>
              <w:t>月社保证明（如若法定代表人参加投标事宜，</w:t>
            </w:r>
            <w:r>
              <w:rPr>
                <w:color w:val="auto"/>
                <w:spacing w:val="-40"/>
                <w:highlight w:val="none"/>
              </w:rPr>
              <w:t xml:space="preserve"> </w:t>
            </w:r>
            <w:r>
              <w:rPr>
                <w:color w:val="auto"/>
                <w:spacing w:val="1"/>
                <w:highlight w:val="none"/>
              </w:rPr>
              <w:t>则只需出具法人</w:t>
            </w:r>
            <w:r>
              <w:rPr>
                <w:color w:val="auto"/>
                <w:highlight w:val="none"/>
              </w:rPr>
              <w:t xml:space="preserve"> 身份证正反面复印件，无需出具社保）</w:t>
            </w:r>
            <w:r>
              <w:rPr>
                <w:color w:val="auto"/>
                <w:spacing w:val="26"/>
                <w:highlight w:val="none"/>
              </w:rPr>
              <w:t xml:space="preserve"> </w:t>
            </w:r>
            <w:r>
              <w:rPr>
                <w:color w:val="auto"/>
                <w:highlight w:val="none"/>
              </w:rPr>
              <w:t>；</w:t>
            </w:r>
          </w:p>
          <w:p w14:paraId="66F7C495">
            <w:pPr>
              <w:pStyle w:val="12"/>
              <w:spacing w:before="31" w:line="203" w:lineRule="auto"/>
              <w:ind w:right="91"/>
              <w:rPr>
                <w:color w:val="auto"/>
                <w:highlight w:val="none"/>
              </w:rPr>
            </w:pPr>
            <w:r>
              <w:rPr>
                <w:color w:val="auto"/>
                <w:spacing w:val="-1"/>
                <w:highlight w:val="none"/>
              </w:rPr>
              <w:t>(4)根据《财政部关于在政府采购活动中查</w:t>
            </w:r>
            <w:r>
              <w:rPr>
                <w:color w:val="auto"/>
                <w:spacing w:val="-2"/>
                <w:highlight w:val="none"/>
              </w:rPr>
              <w:t>询及使用信用记录有关问</w:t>
            </w:r>
            <w:r>
              <w:rPr>
                <w:color w:val="auto"/>
                <w:highlight w:val="none"/>
              </w:rPr>
              <w:t xml:space="preserve"> </w:t>
            </w:r>
            <w:r>
              <w:rPr>
                <w:color w:val="auto"/>
                <w:spacing w:val="-8"/>
                <w:highlight w:val="none"/>
              </w:rPr>
              <w:t>题的通知》（财库﹝2016﹞125</w:t>
            </w:r>
            <w:r>
              <w:rPr>
                <w:color w:val="auto"/>
                <w:spacing w:val="24"/>
                <w:highlight w:val="none"/>
              </w:rPr>
              <w:t xml:space="preserve"> </w:t>
            </w:r>
            <w:r>
              <w:rPr>
                <w:color w:val="auto"/>
                <w:spacing w:val="-8"/>
                <w:highlight w:val="none"/>
              </w:rPr>
              <w:t>号）的要求，凡拟参加本次招标</w:t>
            </w:r>
            <w:r>
              <w:rPr>
                <w:color w:val="auto"/>
                <w:highlight w:val="none"/>
              </w:rPr>
              <w:t xml:space="preserve"> </w:t>
            </w:r>
            <w:r>
              <w:rPr>
                <w:color w:val="auto"/>
                <w:spacing w:val="-12"/>
                <w:highlight w:val="none"/>
              </w:rPr>
              <w:t>项   目   的</w:t>
            </w:r>
            <w:r>
              <w:rPr>
                <w:color w:val="auto"/>
                <w:spacing w:val="18"/>
                <w:highlight w:val="none"/>
              </w:rPr>
              <w:t xml:space="preserve">  </w:t>
            </w:r>
            <w:r>
              <w:rPr>
                <w:color w:val="auto"/>
                <w:spacing w:val="-12"/>
                <w:highlight w:val="none"/>
              </w:rPr>
              <w:t>供</w:t>
            </w:r>
            <w:r>
              <w:rPr>
                <w:color w:val="auto"/>
                <w:spacing w:val="13"/>
                <w:highlight w:val="none"/>
              </w:rPr>
              <w:t xml:space="preserve">  </w:t>
            </w:r>
            <w:r>
              <w:rPr>
                <w:color w:val="auto"/>
                <w:spacing w:val="-12"/>
                <w:highlight w:val="none"/>
              </w:rPr>
              <w:t>应   商   ，</w:t>
            </w:r>
            <w:r>
              <w:rPr>
                <w:color w:val="auto"/>
                <w:spacing w:val="15"/>
                <w:highlight w:val="none"/>
              </w:rPr>
              <w:t xml:space="preserve">  </w:t>
            </w:r>
            <w:r>
              <w:rPr>
                <w:color w:val="auto"/>
                <w:spacing w:val="-12"/>
                <w:highlight w:val="none"/>
              </w:rPr>
              <w:t>如</w:t>
            </w:r>
            <w:r>
              <w:rPr>
                <w:color w:val="auto"/>
                <w:spacing w:val="14"/>
                <w:highlight w:val="none"/>
              </w:rPr>
              <w:t xml:space="preserve">  </w:t>
            </w:r>
            <w:r>
              <w:rPr>
                <w:color w:val="auto"/>
                <w:spacing w:val="-12"/>
                <w:highlight w:val="none"/>
              </w:rPr>
              <w:t>在  “   信</w:t>
            </w:r>
            <w:r>
              <w:rPr>
                <w:color w:val="auto"/>
                <w:spacing w:val="13"/>
                <w:highlight w:val="none"/>
              </w:rPr>
              <w:t xml:space="preserve">  </w:t>
            </w:r>
            <w:r>
              <w:rPr>
                <w:color w:val="auto"/>
                <w:spacing w:val="-12"/>
                <w:highlight w:val="none"/>
              </w:rPr>
              <w:t>用   中   国   ”   网</w:t>
            </w:r>
            <w:r>
              <w:rPr>
                <w:color w:val="auto"/>
                <w:spacing w:val="14"/>
                <w:highlight w:val="none"/>
              </w:rPr>
              <w:t xml:space="preserve">  </w:t>
            </w:r>
            <w:r>
              <w:rPr>
                <w:color w:val="auto"/>
                <w:spacing w:val="-12"/>
                <w:highlight w:val="none"/>
              </w:rPr>
              <w:t>站</w:t>
            </w:r>
            <w:r>
              <w:rPr>
                <w:color w:val="auto"/>
                <w:highlight w:val="none"/>
              </w:rPr>
              <w:t xml:space="preserve"> </w:t>
            </w:r>
            <w:r>
              <w:rPr>
                <w:color w:val="auto"/>
                <w:spacing w:val="-1"/>
                <w:highlight w:val="none"/>
              </w:rPr>
              <w:t>（  www.creditchina.gov.cn</w:t>
            </w:r>
            <w:r>
              <w:rPr>
                <w:color w:val="auto"/>
                <w:spacing w:val="-27"/>
                <w:highlight w:val="none"/>
              </w:rPr>
              <w:t xml:space="preserve"> </w:t>
            </w:r>
            <w:r>
              <w:rPr>
                <w:color w:val="auto"/>
                <w:spacing w:val="-1"/>
                <w:highlight w:val="none"/>
              </w:rPr>
              <w:t>）</w:t>
            </w:r>
            <w:r>
              <w:rPr>
                <w:color w:val="auto"/>
                <w:spacing w:val="48"/>
                <w:w w:val="101"/>
                <w:highlight w:val="none"/>
              </w:rPr>
              <w:t xml:space="preserve"> </w:t>
            </w:r>
            <w:r>
              <w:rPr>
                <w:color w:val="auto"/>
                <w:spacing w:val="-1"/>
                <w:highlight w:val="none"/>
              </w:rPr>
              <w:t>被</w:t>
            </w:r>
            <w:r>
              <w:rPr>
                <w:color w:val="auto"/>
                <w:spacing w:val="-2"/>
                <w:highlight w:val="none"/>
              </w:rPr>
              <w:t>列入失信被执行人、政府采</w:t>
            </w:r>
            <w:r>
              <w:rPr>
                <w:color w:val="auto"/>
                <w:highlight w:val="none"/>
              </w:rPr>
              <w:t xml:space="preserve"> 购严重违法失信行为记录名单、重大税收违法失信主体(信用服 </w:t>
            </w:r>
            <w:r>
              <w:rPr>
                <w:color w:val="auto"/>
                <w:spacing w:val="8"/>
                <w:highlight w:val="none"/>
              </w:rPr>
              <w:t>务-重点领域严重失信主体名单查询-点击相关</w:t>
            </w:r>
            <w:r>
              <w:rPr>
                <w:color w:val="auto"/>
                <w:spacing w:val="7"/>
                <w:highlight w:val="none"/>
              </w:rPr>
              <w:t>查询模块-按要</w:t>
            </w:r>
            <w:r>
              <w:rPr>
                <w:color w:val="auto"/>
                <w:highlight w:val="none"/>
              </w:rPr>
              <w:t xml:space="preserve"> </w:t>
            </w:r>
            <w:r>
              <w:rPr>
                <w:color w:val="auto"/>
                <w:spacing w:val="-10"/>
                <w:highlight w:val="none"/>
              </w:rPr>
              <w:t>求 搜</w:t>
            </w:r>
            <w:r>
              <w:rPr>
                <w:color w:val="auto"/>
                <w:spacing w:val="17"/>
                <w:highlight w:val="none"/>
              </w:rPr>
              <w:t xml:space="preserve"> </w:t>
            </w:r>
            <w:r>
              <w:rPr>
                <w:color w:val="auto"/>
                <w:spacing w:val="-10"/>
                <w:highlight w:val="none"/>
              </w:rPr>
              <w:t>索 栏 输 入 单</w:t>
            </w:r>
            <w:r>
              <w:rPr>
                <w:color w:val="auto"/>
                <w:spacing w:val="4"/>
                <w:highlight w:val="none"/>
              </w:rPr>
              <w:t xml:space="preserve"> </w:t>
            </w:r>
            <w:r>
              <w:rPr>
                <w:color w:val="auto"/>
                <w:spacing w:val="-10"/>
                <w:highlight w:val="none"/>
              </w:rPr>
              <w:t>位</w:t>
            </w:r>
            <w:r>
              <w:rPr>
                <w:color w:val="auto"/>
                <w:spacing w:val="8"/>
                <w:highlight w:val="none"/>
              </w:rPr>
              <w:t xml:space="preserve"> </w:t>
            </w:r>
            <w:r>
              <w:rPr>
                <w:color w:val="auto"/>
                <w:spacing w:val="-10"/>
                <w:highlight w:val="none"/>
              </w:rPr>
              <w:t>全</w:t>
            </w:r>
            <w:r>
              <w:rPr>
                <w:color w:val="auto"/>
                <w:spacing w:val="4"/>
                <w:highlight w:val="none"/>
              </w:rPr>
              <w:t xml:space="preserve"> </w:t>
            </w:r>
            <w:r>
              <w:rPr>
                <w:color w:val="auto"/>
                <w:spacing w:val="-10"/>
                <w:highlight w:val="none"/>
              </w:rPr>
              <w:t>称</w:t>
            </w:r>
            <w:r>
              <w:rPr>
                <w:color w:val="auto"/>
                <w:spacing w:val="10"/>
                <w:highlight w:val="none"/>
              </w:rPr>
              <w:t xml:space="preserve"> </w:t>
            </w:r>
            <w:r>
              <w:rPr>
                <w:color w:val="auto"/>
                <w:spacing w:val="-10"/>
                <w:highlight w:val="none"/>
              </w:rPr>
              <w:t>等 -</w:t>
            </w:r>
            <w:r>
              <w:rPr>
                <w:color w:val="auto"/>
                <w:spacing w:val="5"/>
                <w:highlight w:val="none"/>
              </w:rPr>
              <w:t xml:space="preserve"> </w:t>
            </w:r>
            <w:r>
              <w:rPr>
                <w:color w:val="auto"/>
                <w:spacing w:val="-10"/>
                <w:highlight w:val="none"/>
              </w:rPr>
              <w:t>查</w:t>
            </w:r>
            <w:r>
              <w:rPr>
                <w:color w:val="auto"/>
                <w:spacing w:val="3"/>
                <w:highlight w:val="none"/>
              </w:rPr>
              <w:t xml:space="preserve"> </w:t>
            </w:r>
            <w:r>
              <w:rPr>
                <w:color w:val="auto"/>
                <w:spacing w:val="-10"/>
                <w:highlight w:val="none"/>
              </w:rPr>
              <w:t>询</w:t>
            </w:r>
            <w:r>
              <w:rPr>
                <w:color w:val="auto"/>
                <w:spacing w:val="-11"/>
                <w:highlight w:val="none"/>
              </w:rPr>
              <w:t>)</w:t>
            </w:r>
            <w:r>
              <w:rPr>
                <w:color w:val="auto"/>
                <w:spacing w:val="19"/>
                <w:highlight w:val="none"/>
              </w:rPr>
              <w:t xml:space="preserve"> </w:t>
            </w:r>
            <w:r>
              <w:rPr>
                <w:color w:val="auto"/>
                <w:spacing w:val="-11"/>
                <w:highlight w:val="none"/>
              </w:rPr>
              <w:t>、</w:t>
            </w:r>
            <w:r>
              <w:rPr>
                <w:color w:val="auto"/>
                <w:spacing w:val="22"/>
                <w:w w:val="101"/>
                <w:highlight w:val="none"/>
              </w:rPr>
              <w:t xml:space="preserve"> </w:t>
            </w:r>
            <w:r>
              <w:rPr>
                <w:color w:val="auto"/>
                <w:spacing w:val="-11"/>
                <w:highlight w:val="none"/>
              </w:rPr>
              <w:t>中</w:t>
            </w:r>
            <w:r>
              <w:rPr>
                <w:color w:val="auto"/>
                <w:spacing w:val="27"/>
                <w:highlight w:val="none"/>
              </w:rPr>
              <w:t xml:space="preserve"> </w:t>
            </w:r>
            <w:r>
              <w:rPr>
                <w:color w:val="auto"/>
                <w:spacing w:val="-11"/>
                <w:highlight w:val="none"/>
              </w:rPr>
              <w:t>国</w:t>
            </w:r>
            <w:r>
              <w:rPr>
                <w:color w:val="auto"/>
                <w:spacing w:val="4"/>
                <w:highlight w:val="none"/>
              </w:rPr>
              <w:t xml:space="preserve"> </w:t>
            </w:r>
            <w:r>
              <w:rPr>
                <w:color w:val="auto"/>
                <w:spacing w:val="-11"/>
                <w:highlight w:val="none"/>
              </w:rPr>
              <w:t>政</w:t>
            </w:r>
            <w:r>
              <w:rPr>
                <w:color w:val="auto"/>
                <w:spacing w:val="4"/>
                <w:highlight w:val="none"/>
              </w:rPr>
              <w:t xml:space="preserve"> </w:t>
            </w:r>
            <w:r>
              <w:rPr>
                <w:color w:val="auto"/>
                <w:spacing w:val="-11"/>
                <w:highlight w:val="none"/>
              </w:rPr>
              <w:t>府</w:t>
            </w:r>
            <w:r>
              <w:rPr>
                <w:color w:val="auto"/>
                <w:spacing w:val="5"/>
                <w:highlight w:val="none"/>
              </w:rPr>
              <w:t xml:space="preserve"> </w:t>
            </w:r>
            <w:r>
              <w:rPr>
                <w:color w:val="auto"/>
                <w:spacing w:val="-11"/>
                <w:highlight w:val="none"/>
              </w:rPr>
              <w:t>采</w:t>
            </w:r>
            <w:r>
              <w:rPr>
                <w:color w:val="auto"/>
                <w:spacing w:val="3"/>
                <w:highlight w:val="none"/>
              </w:rPr>
              <w:t xml:space="preserve"> </w:t>
            </w:r>
            <w:r>
              <w:rPr>
                <w:color w:val="auto"/>
                <w:spacing w:val="-11"/>
                <w:highlight w:val="none"/>
              </w:rPr>
              <w:t>购</w:t>
            </w:r>
            <w:r>
              <w:rPr>
                <w:color w:val="auto"/>
                <w:spacing w:val="27"/>
                <w:highlight w:val="none"/>
              </w:rPr>
              <w:t xml:space="preserve"> </w:t>
            </w:r>
            <w:r>
              <w:rPr>
                <w:color w:val="auto"/>
                <w:spacing w:val="-11"/>
                <w:highlight w:val="none"/>
              </w:rPr>
              <w:t>网</w:t>
            </w:r>
            <w:r>
              <w:rPr>
                <w:color w:val="auto"/>
                <w:highlight w:val="none"/>
              </w:rPr>
              <w:t xml:space="preserve"> </w:t>
            </w:r>
            <w:r>
              <w:rPr>
                <w:color w:val="auto"/>
                <w:spacing w:val="-1"/>
                <w:highlight w:val="none"/>
              </w:rPr>
              <w:t>（</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color w:val="auto"/>
                <w:spacing w:val="-1"/>
                <w:highlight w:val="none"/>
              </w:rPr>
              <w:t>http://www.ccgp.gov.cn/sea</w:t>
            </w:r>
            <w:r>
              <w:rPr>
                <w:color w:val="auto"/>
                <w:spacing w:val="-2"/>
                <w:highlight w:val="none"/>
              </w:rPr>
              <w:t>rch/cr/</w:t>
            </w:r>
            <w:r>
              <w:rPr>
                <w:color w:val="auto"/>
                <w:spacing w:val="-2"/>
                <w:highlight w:val="none"/>
              </w:rPr>
              <w:fldChar w:fldCharType="end"/>
            </w:r>
            <w:r>
              <w:rPr>
                <w:color w:val="auto"/>
                <w:spacing w:val="-2"/>
                <w:highlight w:val="none"/>
              </w:rPr>
              <w:t>）政府采购严重违法失</w:t>
            </w:r>
            <w:r>
              <w:rPr>
                <w:color w:val="auto"/>
                <w:spacing w:val="1"/>
                <w:highlight w:val="none"/>
              </w:rPr>
              <w:t>信行为记录名单（尚在处罚期内的</w:t>
            </w:r>
            <w:r>
              <w:rPr>
                <w:color w:val="auto"/>
                <w:spacing w:val="-16"/>
                <w:highlight w:val="none"/>
              </w:rPr>
              <w:t>）</w:t>
            </w:r>
            <w:r>
              <w:rPr>
                <w:color w:val="auto"/>
                <w:spacing w:val="-27"/>
                <w:highlight w:val="none"/>
              </w:rPr>
              <w:t xml:space="preserve"> </w:t>
            </w:r>
            <w:r>
              <w:rPr>
                <w:color w:val="auto"/>
                <w:spacing w:val="-16"/>
                <w:highlight w:val="none"/>
              </w:rPr>
              <w:t>，</w:t>
            </w:r>
            <w:r>
              <w:rPr>
                <w:color w:val="auto"/>
                <w:spacing w:val="1"/>
                <w:highlight w:val="none"/>
              </w:rPr>
              <w:t>“</w:t>
            </w:r>
            <w:r>
              <w:rPr>
                <w:color w:val="auto"/>
                <w:spacing w:val="-21"/>
                <w:highlight w:val="none"/>
              </w:rPr>
              <w:t xml:space="preserve"> </w:t>
            </w:r>
            <w:r>
              <w:rPr>
                <w:color w:val="auto"/>
                <w:spacing w:val="1"/>
                <w:highlight w:val="none"/>
              </w:rPr>
              <w:t>国家企业信用信息公</w:t>
            </w:r>
            <w:r>
              <w:rPr>
                <w:color w:val="auto"/>
                <w:spacing w:val="-1"/>
                <w:highlight w:val="none"/>
              </w:rPr>
              <w:t>示系统</w:t>
            </w:r>
          </w:p>
        </w:tc>
      </w:tr>
    </w:tbl>
    <w:p w14:paraId="35A3A69E">
      <w:pPr>
        <w:pStyle w:val="6"/>
        <w:rPr>
          <w:color w:val="auto"/>
          <w:highlight w:val="none"/>
        </w:rPr>
      </w:pPr>
    </w:p>
    <w:p w14:paraId="5B792C85">
      <w:pPr>
        <w:rPr>
          <w:color w:val="auto"/>
          <w:highlight w:val="none"/>
        </w:rPr>
        <w:sectPr>
          <w:headerReference r:id="rId16" w:type="default"/>
          <w:footerReference r:id="rId17" w:type="default"/>
          <w:pgSz w:w="11906" w:h="16839"/>
          <w:pgMar w:top="1745" w:right="1050" w:bottom="1152" w:left="1050" w:header="850" w:footer="992" w:gutter="0"/>
          <w:cols w:space="720" w:num="1"/>
        </w:sectPr>
      </w:pPr>
    </w:p>
    <w:tbl>
      <w:tblPr>
        <w:tblStyle w:val="11"/>
        <w:tblW w:w="9306" w:type="dxa"/>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44FF1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9" w:hRule="atLeast"/>
        </w:trPr>
        <w:tc>
          <w:tcPr>
            <w:tcW w:w="704" w:type="dxa"/>
            <w:tcBorders>
              <w:top w:val="single" w:color="000000" w:sz="12" w:space="0"/>
              <w:left w:val="single" w:color="000000" w:sz="12" w:space="0"/>
            </w:tcBorders>
            <w:vAlign w:val="top"/>
          </w:tcPr>
          <w:p w14:paraId="5F4DEF37">
            <w:pPr>
              <w:rPr>
                <w:rFonts w:ascii="Arial"/>
                <w:color w:val="auto"/>
                <w:sz w:val="21"/>
                <w:highlight w:val="none"/>
              </w:rPr>
            </w:pPr>
          </w:p>
        </w:tc>
        <w:tc>
          <w:tcPr>
            <w:tcW w:w="1793" w:type="dxa"/>
            <w:tcBorders>
              <w:top w:val="single" w:color="000000" w:sz="12" w:space="0"/>
            </w:tcBorders>
            <w:vAlign w:val="top"/>
          </w:tcPr>
          <w:p w14:paraId="7CA666BC">
            <w:pPr>
              <w:rPr>
                <w:rFonts w:ascii="Arial"/>
                <w:color w:val="auto"/>
                <w:sz w:val="21"/>
                <w:highlight w:val="none"/>
              </w:rPr>
            </w:pPr>
          </w:p>
        </w:tc>
        <w:tc>
          <w:tcPr>
            <w:tcW w:w="6809" w:type="dxa"/>
            <w:tcBorders>
              <w:top w:val="single" w:color="000000" w:sz="12" w:space="0"/>
              <w:right w:val="single" w:color="000000" w:sz="12" w:space="0"/>
            </w:tcBorders>
            <w:vAlign w:val="top"/>
          </w:tcPr>
          <w:p w14:paraId="587417D3">
            <w:pPr>
              <w:pStyle w:val="12"/>
              <w:spacing w:before="51" w:line="196" w:lineRule="auto"/>
              <w:ind w:right="91"/>
              <w:jc w:val="both"/>
              <w:rPr>
                <w:color w:val="auto"/>
                <w:highlight w:val="none"/>
              </w:rPr>
            </w:pPr>
            <w:r>
              <w:rPr>
                <w:color w:val="auto"/>
                <w:spacing w:val="-1"/>
                <w:highlight w:val="none"/>
              </w:rPr>
              <w:t>（</w:t>
            </w:r>
            <w:r>
              <w:rPr>
                <w:color w:val="auto"/>
                <w:spacing w:val="-13"/>
                <w:highlight w:val="none"/>
              </w:rPr>
              <w:t xml:space="preserve"> </w:t>
            </w:r>
            <w:r>
              <w:rPr>
                <w:color w:val="auto"/>
                <w:highlight w:val="none"/>
              </w:rPr>
              <w:fldChar w:fldCharType="begin"/>
            </w:r>
            <w:r>
              <w:rPr>
                <w:color w:val="auto"/>
                <w:highlight w:val="none"/>
              </w:rPr>
              <w:instrText xml:space="preserve"> HYPERLINK "http://www.gsxt.gov.cn" </w:instrText>
            </w:r>
            <w:r>
              <w:rPr>
                <w:color w:val="auto"/>
                <w:highlight w:val="none"/>
              </w:rPr>
              <w:fldChar w:fldCharType="separate"/>
            </w:r>
            <w:r>
              <w:rPr>
                <w:color w:val="auto"/>
                <w:spacing w:val="-1"/>
                <w:highlight w:val="none"/>
              </w:rPr>
              <w:t>http://www.gsxt.gov.cn</w:t>
            </w:r>
            <w:r>
              <w:rPr>
                <w:color w:val="auto"/>
                <w:spacing w:val="-1"/>
                <w:highlight w:val="none"/>
              </w:rPr>
              <w:fldChar w:fldCharType="end"/>
            </w:r>
            <w:r>
              <w:rPr>
                <w:color w:val="auto"/>
                <w:spacing w:val="-22"/>
                <w:highlight w:val="none"/>
              </w:rPr>
              <w:t xml:space="preserve"> </w:t>
            </w:r>
            <w:r>
              <w:rPr>
                <w:color w:val="auto"/>
                <w:spacing w:val="-1"/>
                <w:highlight w:val="none"/>
              </w:rPr>
              <w:t>）”列入严重违法失信名单</w:t>
            </w:r>
            <w:r>
              <w:rPr>
                <w:color w:val="auto"/>
                <w:highlight w:val="none"/>
              </w:rPr>
              <w:t xml:space="preserve"> </w:t>
            </w:r>
            <w:r>
              <w:rPr>
                <w:color w:val="auto"/>
                <w:spacing w:val="-3"/>
                <w:highlight w:val="none"/>
              </w:rPr>
              <w:t>（黑名单）信息将拒绝其参加本次招标活动；</w:t>
            </w:r>
          </w:p>
        </w:tc>
      </w:tr>
      <w:tr w14:paraId="4EBDA1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704" w:type="dxa"/>
            <w:tcBorders>
              <w:left w:val="single" w:color="000000" w:sz="12" w:space="0"/>
            </w:tcBorders>
            <w:vAlign w:val="top"/>
          </w:tcPr>
          <w:p w14:paraId="0C221C89">
            <w:pPr>
              <w:pStyle w:val="12"/>
              <w:spacing w:before="240" w:line="159" w:lineRule="auto"/>
              <w:ind w:left="248"/>
              <w:rPr>
                <w:color w:val="auto"/>
                <w:highlight w:val="none"/>
              </w:rPr>
            </w:pPr>
            <w:r>
              <w:rPr>
                <w:color w:val="auto"/>
                <w:spacing w:val="-15"/>
                <w:highlight w:val="none"/>
              </w:rPr>
              <w:t>10</w:t>
            </w:r>
          </w:p>
        </w:tc>
        <w:tc>
          <w:tcPr>
            <w:tcW w:w="1793" w:type="dxa"/>
            <w:vAlign w:val="top"/>
          </w:tcPr>
          <w:p w14:paraId="39D407EA">
            <w:pPr>
              <w:pStyle w:val="12"/>
              <w:spacing w:before="203" w:line="188" w:lineRule="auto"/>
              <w:ind w:left="473"/>
              <w:rPr>
                <w:color w:val="auto"/>
                <w:highlight w:val="none"/>
              </w:rPr>
            </w:pPr>
            <w:r>
              <w:rPr>
                <w:color w:val="auto"/>
                <w:spacing w:val="-3"/>
                <w:highlight w:val="none"/>
              </w:rPr>
              <w:t>采购范围</w:t>
            </w:r>
          </w:p>
        </w:tc>
        <w:tc>
          <w:tcPr>
            <w:tcW w:w="6809" w:type="dxa"/>
            <w:tcBorders>
              <w:right w:val="single" w:color="000000" w:sz="12" w:space="0"/>
            </w:tcBorders>
            <w:vAlign w:val="top"/>
          </w:tcPr>
          <w:p w14:paraId="1D823CDB">
            <w:pPr>
              <w:pStyle w:val="12"/>
              <w:spacing w:before="203" w:line="188" w:lineRule="auto"/>
              <w:ind w:left="106"/>
              <w:rPr>
                <w:color w:val="auto"/>
                <w:highlight w:val="none"/>
              </w:rPr>
            </w:pPr>
            <w:r>
              <w:rPr>
                <w:color w:val="auto"/>
                <w:spacing w:val="-5"/>
                <w:highlight w:val="none"/>
              </w:rPr>
              <w:t>满足招标文件要求。</w:t>
            </w:r>
          </w:p>
        </w:tc>
      </w:tr>
      <w:tr w14:paraId="323C0E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01A98FF0">
            <w:pPr>
              <w:spacing w:line="282" w:lineRule="auto"/>
              <w:rPr>
                <w:rFonts w:ascii="Arial"/>
                <w:color w:val="auto"/>
                <w:sz w:val="21"/>
                <w:highlight w:val="none"/>
              </w:rPr>
            </w:pPr>
          </w:p>
          <w:p w14:paraId="74AA05D8">
            <w:pPr>
              <w:pStyle w:val="12"/>
              <w:spacing w:before="90" w:line="159" w:lineRule="auto"/>
              <w:ind w:left="248"/>
              <w:rPr>
                <w:color w:val="auto"/>
                <w:highlight w:val="none"/>
              </w:rPr>
            </w:pPr>
            <w:r>
              <w:rPr>
                <w:color w:val="auto"/>
                <w:spacing w:val="-15"/>
                <w:highlight w:val="none"/>
              </w:rPr>
              <w:t>11</w:t>
            </w:r>
          </w:p>
        </w:tc>
        <w:tc>
          <w:tcPr>
            <w:tcW w:w="1793" w:type="dxa"/>
            <w:vAlign w:val="top"/>
          </w:tcPr>
          <w:p w14:paraId="6C0A87C4">
            <w:pPr>
              <w:spacing w:line="244" w:lineRule="auto"/>
              <w:rPr>
                <w:rFonts w:ascii="Arial"/>
                <w:color w:val="auto"/>
                <w:sz w:val="21"/>
                <w:highlight w:val="none"/>
              </w:rPr>
            </w:pPr>
          </w:p>
          <w:p w14:paraId="36A08D0A">
            <w:pPr>
              <w:pStyle w:val="12"/>
              <w:spacing w:before="90" w:line="188" w:lineRule="auto"/>
              <w:ind w:left="97"/>
              <w:rPr>
                <w:color w:val="auto"/>
                <w:highlight w:val="none"/>
              </w:rPr>
            </w:pPr>
            <w:r>
              <w:rPr>
                <w:color w:val="auto"/>
                <w:spacing w:val="-2"/>
                <w:highlight w:val="none"/>
              </w:rPr>
              <w:t>联合体投标</w:t>
            </w:r>
          </w:p>
        </w:tc>
        <w:tc>
          <w:tcPr>
            <w:tcW w:w="6809" w:type="dxa"/>
            <w:tcBorders>
              <w:right w:val="single" w:color="000000" w:sz="12" w:space="0"/>
            </w:tcBorders>
            <w:vAlign w:val="top"/>
          </w:tcPr>
          <w:p w14:paraId="7EA0DE7E">
            <w:pPr>
              <w:pStyle w:val="12"/>
              <w:spacing w:before="23" w:line="208" w:lineRule="auto"/>
              <w:ind w:left="118"/>
              <w:rPr>
                <w:color w:val="auto"/>
                <w:highlight w:val="none"/>
              </w:rPr>
            </w:pPr>
            <w:r>
              <w:rPr>
                <w:rFonts w:hint="eastAsia"/>
                <w:color w:val="auto"/>
                <w:spacing w:val="4"/>
                <w:highlight w:val="none"/>
                <w:lang w:eastAsia="zh-CN"/>
              </w:rPr>
              <w:t>☑</w:t>
            </w:r>
            <w:r>
              <w:rPr>
                <w:color w:val="auto"/>
                <w:spacing w:val="13"/>
                <w:highlight w:val="none"/>
              </w:rPr>
              <w:t>不接受</w:t>
            </w:r>
          </w:p>
          <w:p w14:paraId="0D1CC0DA">
            <w:pPr>
              <w:pStyle w:val="12"/>
              <w:spacing w:before="2" w:line="173" w:lineRule="auto"/>
              <w:ind w:left="109" w:right="91" w:firstLine="12"/>
              <w:rPr>
                <w:color w:val="auto"/>
                <w:highlight w:val="none"/>
              </w:rPr>
            </w:pPr>
            <w:r>
              <w:rPr>
                <w:color w:val="auto"/>
                <w:spacing w:val="4"/>
                <w:highlight w:val="none"/>
              </w:rPr>
              <w:t>□接受，联合体投标的须在投标文件中提供联合体协议书，联合体所有</w:t>
            </w:r>
            <w:r>
              <w:rPr>
                <w:color w:val="auto"/>
                <w:spacing w:val="8"/>
                <w:highlight w:val="none"/>
              </w:rPr>
              <w:t xml:space="preserve"> </w:t>
            </w:r>
            <w:r>
              <w:rPr>
                <w:color w:val="auto"/>
                <w:spacing w:val="-3"/>
                <w:highlight w:val="none"/>
              </w:rPr>
              <w:t>成员不得超过 2 家，联合体的任何一方均不得再与其他投标单位联合。</w:t>
            </w:r>
          </w:p>
        </w:tc>
      </w:tr>
      <w:tr w14:paraId="447E6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349886C9">
            <w:pPr>
              <w:spacing w:line="283" w:lineRule="auto"/>
              <w:rPr>
                <w:rFonts w:ascii="Arial"/>
                <w:color w:val="auto"/>
                <w:sz w:val="21"/>
                <w:highlight w:val="none"/>
              </w:rPr>
            </w:pPr>
          </w:p>
          <w:p w14:paraId="418B4A78">
            <w:pPr>
              <w:pStyle w:val="12"/>
              <w:spacing w:before="91" w:line="159" w:lineRule="auto"/>
              <w:ind w:left="248"/>
              <w:rPr>
                <w:color w:val="auto"/>
                <w:highlight w:val="none"/>
              </w:rPr>
            </w:pPr>
            <w:r>
              <w:rPr>
                <w:color w:val="auto"/>
                <w:spacing w:val="-15"/>
                <w:highlight w:val="none"/>
              </w:rPr>
              <w:t>12</w:t>
            </w:r>
          </w:p>
        </w:tc>
        <w:tc>
          <w:tcPr>
            <w:tcW w:w="1793" w:type="dxa"/>
            <w:vAlign w:val="top"/>
          </w:tcPr>
          <w:p w14:paraId="2B1BFABB">
            <w:pPr>
              <w:spacing w:line="246" w:lineRule="auto"/>
              <w:rPr>
                <w:rFonts w:ascii="Arial"/>
                <w:color w:val="auto"/>
                <w:sz w:val="21"/>
                <w:highlight w:val="none"/>
              </w:rPr>
            </w:pPr>
          </w:p>
          <w:p w14:paraId="2ACE660F">
            <w:pPr>
              <w:pStyle w:val="12"/>
              <w:spacing w:before="90" w:line="188" w:lineRule="auto"/>
              <w:ind w:left="99"/>
              <w:rPr>
                <w:color w:val="auto"/>
                <w:highlight w:val="none"/>
              </w:rPr>
            </w:pPr>
            <w:r>
              <w:rPr>
                <w:color w:val="auto"/>
                <w:spacing w:val="-3"/>
                <w:highlight w:val="none"/>
              </w:rPr>
              <w:t>招标代理费</w:t>
            </w:r>
          </w:p>
        </w:tc>
        <w:tc>
          <w:tcPr>
            <w:tcW w:w="6809" w:type="dxa"/>
            <w:tcBorders>
              <w:right w:val="single" w:color="000000" w:sz="12" w:space="0"/>
            </w:tcBorders>
            <w:vAlign w:val="top"/>
          </w:tcPr>
          <w:p w14:paraId="6E09747E">
            <w:pPr>
              <w:pStyle w:val="12"/>
              <w:spacing w:before="47" w:line="180" w:lineRule="auto"/>
              <w:ind w:left="106" w:right="91" w:firstLine="26"/>
              <w:jc w:val="both"/>
              <w:rPr>
                <w:color w:val="auto"/>
                <w:highlight w:val="none"/>
              </w:rPr>
            </w:pPr>
            <w:r>
              <w:rPr>
                <w:b/>
                <w:bCs/>
                <w:color w:val="auto"/>
                <w:highlight w:val="none"/>
              </w:rPr>
              <w:t>中标单位在领取本项目中标通知书时，</w:t>
            </w:r>
            <w:r>
              <w:rPr>
                <w:b/>
                <w:bCs/>
                <w:color w:val="auto"/>
                <w:spacing w:val="-12"/>
                <w:highlight w:val="none"/>
              </w:rPr>
              <w:t xml:space="preserve"> </w:t>
            </w:r>
            <w:r>
              <w:rPr>
                <w:b/>
                <w:bCs/>
                <w:color w:val="auto"/>
                <w:highlight w:val="none"/>
              </w:rPr>
              <w:t>由中标单位向招标代理机</w:t>
            </w:r>
            <w:r>
              <w:rPr>
                <w:b/>
                <w:bCs/>
                <w:color w:val="auto"/>
                <w:spacing w:val="-1"/>
                <w:highlight w:val="none"/>
              </w:rPr>
              <w:t>构支付</w:t>
            </w:r>
            <w:r>
              <w:rPr>
                <w:b/>
                <w:bCs/>
                <w:color w:val="auto"/>
                <w:highlight w:val="none"/>
              </w:rPr>
              <w:t xml:space="preserve"> </w:t>
            </w:r>
            <w:r>
              <w:rPr>
                <w:b/>
                <w:bCs/>
                <w:color w:val="auto"/>
                <w:spacing w:val="2"/>
                <w:highlight w:val="none"/>
              </w:rPr>
              <w:t>本项目代理费。收费标准由采购单位与代理</w:t>
            </w:r>
            <w:r>
              <w:rPr>
                <w:b/>
                <w:bCs/>
                <w:color w:val="auto"/>
                <w:spacing w:val="1"/>
                <w:highlight w:val="none"/>
              </w:rPr>
              <w:t>机构自行协商，</w:t>
            </w:r>
            <w:r>
              <w:rPr>
                <w:b/>
                <w:bCs/>
                <w:color w:val="auto"/>
                <w:spacing w:val="-39"/>
                <w:highlight w:val="none"/>
              </w:rPr>
              <w:t xml:space="preserve"> </w:t>
            </w:r>
            <w:r>
              <w:rPr>
                <w:b/>
                <w:bCs/>
                <w:color w:val="auto"/>
                <w:spacing w:val="1"/>
                <w:highlight w:val="none"/>
              </w:rPr>
              <w:t>本项目招标</w:t>
            </w:r>
            <w:r>
              <w:rPr>
                <w:b/>
                <w:bCs/>
                <w:color w:val="auto"/>
                <w:highlight w:val="none"/>
              </w:rPr>
              <w:t xml:space="preserve"> </w:t>
            </w:r>
            <w:r>
              <w:rPr>
                <w:b/>
                <w:bCs/>
                <w:color w:val="auto"/>
                <w:spacing w:val="-13"/>
                <w:highlight w:val="none"/>
              </w:rPr>
              <w:t>代理费：</w:t>
            </w:r>
            <w:r>
              <w:rPr>
                <w:rFonts w:hint="eastAsia"/>
                <w:b/>
                <w:bCs/>
                <w:color w:val="auto"/>
                <w:spacing w:val="-13"/>
                <w:highlight w:val="none"/>
              </w:rPr>
              <w:t>按发改价格〔2015〕299号执行，参考《招标代理服务收费管理暂行办法》（计价格〔2002〕1980号）</w:t>
            </w:r>
            <w:r>
              <w:rPr>
                <w:rFonts w:hint="eastAsia"/>
                <w:b/>
                <w:bCs/>
                <w:color w:val="auto"/>
                <w:spacing w:val="-13"/>
                <w:highlight w:val="none"/>
                <w:lang w:val="en-US" w:eastAsia="zh-CN"/>
              </w:rPr>
              <w:t>文件</w:t>
            </w:r>
            <w:r>
              <w:rPr>
                <w:rFonts w:hint="eastAsia"/>
                <w:b/>
                <w:bCs/>
                <w:color w:val="auto"/>
                <w:spacing w:val="-13"/>
                <w:highlight w:val="none"/>
              </w:rPr>
              <w:t>收取</w:t>
            </w:r>
            <w:r>
              <w:rPr>
                <w:b/>
                <w:bCs/>
                <w:color w:val="auto"/>
                <w:spacing w:val="-13"/>
                <w:highlight w:val="none"/>
              </w:rPr>
              <w:t>。</w:t>
            </w:r>
          </w:p>
        </w:tc>
      </w:tr>
      <w:tr w14:paraId="19958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8" w:hRule="atLeast"/>
        </w:trPr>
        <w:tc>
          <w:tcPr>
            <w:tcW w:w="704" w:type="dxa"/>
            <w:tcBorders>
              <w:left w:val="single" w:color="000000" w:sz="12" w:space="0"/>
            </w:tcBorders>
            <w:vAlign w:val="top"/>
          </w:tcPr>
          <w:p w14:paraId="3181BD60">
            <w:pPr>
              <w:pStyle w:val="12"/>
              <w:spacing w:before="231" w:line="159" w:lineRule="auto"/>
              <w:ind w:left="248"/>
              <w:rPr>
                <w:color w:val="auto"/>
                <w:highlight w:val="none"/>
              </w:rPr>
            </w:pPr>
            <w:r>
              <w:rPr>
                <w:color w:val="auto"/>
                <w:spacing w:val="-15"/>
                <w:highlight w:val="none"/>
              </w:rPr>
              <w:t>13</w:t>
            </w:r>
          </w:p>
        </w:tc>
        <w:tc>
          <w:tcPr>
            <w:tcW w:w="1793" w:type="dxa"/>
            <w:vAlign w:val="top"/>
          </w:tcPr>
          <w:p w14:paraId="6386584D">
            <w:pPr>
              <w:pStyle w:val="12"/>
              <w:spacing w:before="194" w:line="188" w:lineRule="auto"/>
              <w:ind w:left="105"/>
              <w:rPr>
                <w:color w:val="auto"/>
                <w:highlight w:val="none"/>
              </w:rPr>
            </w:pPr>
            <w:r>
              <w:rPr>
                <w:color w:val="auto"/>
                <w:spacing w:val="-3"/>
                <w:highlight w:val="none"/>
              </w:rPr>
              <w:t>最高投标限价</w:t>
            </w:r>
          </w:p>
        </w:tc>
        <w:tc>
          <w:tcPr>
            <w:tcW w:w="6809" w:type="dxa"/>
            <w:tcBorders>
              <w:right w:val="single" w:color="000000" w:sz="12" w:space="0"/>
            </w:tcBorders>
            <w:vAlign w:val="top"/>
          </w:tcPr>
          <w:p w14:paraId="7E234F3C">
            <w:pPr>
              <w:pStyle w:val="12"/>
              <w:spacing w:before="42" w:line="171" w:lineRule="auto"/>
              <w:ind w:left="105" w:right="105"/>
              <w:rPr>
                <w:color w:val="auto"/>
                <w:highlight w:val="none"/>
              </w:rPr>
            </w:pPr>
            <w:r>
              <w:rPr>
                <w:color w:val="auto"/>
                <w:spacing w:val="-7"/>
                <w:highlight w:val="none"/>
              </w:rPr>
              <w:t>招标人设置投标报价最高上限：</w:t>
            </w:r>
            <w:r>
              <w:rPr>
                <w:color w:val="auto"/>
                <w:spacing w:val="-19"/>
                <w:highlight w:val="none"/>
              </w:rPr>
              <w:t xml:space="preserve"> </w:t>
            </w:r>
            <w:r>
              <w:rPr>
                <w:rFonts w:hint="eastAsia" w:ascii="微软雅黑" w:hAnsi="微软雅黑" w:eastAsia="微软雅黑" w:cs="微软雅黑"/>
                <w:color w:val="auto"/>
                <w:spacing w:val="-6"/>
                <w:sz w:val="21"/>
                <w:szCs w:val="21"/>
                <w:highlight w:val="none"/>
                <w:u w:val="single" w:color="auto"/>
                <w:lang w:val="en-US" w:eastAsia="zh-CN"/>
              </w:rPr>
              <w:t>12684900</w:t>
            </w:r>
            <w:r>
              <w:rPr>
                <w:color w:val="auto"/>
                <w:spacing w:val="-7"/>
                <w:sz w:val="22"/>
                <w:szCs w:val="22"/>
                <w:highlight w:val="none"/>
                <w:u w:val="single" w:color="auto"/>
              </w:rPr>
              <w:t>元</w:t>
            </w:r>
            <w:r>
              <w:rPr>
                <w:color w:val="auto"/>
                <w:spacing w:val="-35"/>
                <w:sz w:val="22"/>
                <w:szCs w:val="22"/>
                <w:highlight w:val="none"/>
                <w:u w:val="single" w:color="auto"/>
              </w:rPr>
              <w:t xml:space="preserve"> </w:t>
            </w:r>
            <w:r>
              <w:rPr>
                <w:color w:val="auto"/>
                <w:spacing w:val="-7"/>
                <w:highlight w:val="none"/>
              </w:rPr>
              <w:t>，</w:t>
            </w:r>
            <w:r>
              <w:rPr>
                <w:color w:val="auto"/>
                <w:spacing w:val="-39"/>
                <w:highlight w:val="none"/>
              </w:rPr>
              <w:t xml:space="preserve"> </w:t>
            </w:r>
            <w:r>
              <w:rPr>
                <w:color w:val="auto"/>
                <w:spacing w:val="-7"/>
                <w:highlight w:val="none"/>
              </w:rPr>
              <w:t>高于最高限价的，其投标</w:t>
            </w:r>
            <w:r>
              <w:rPr>
                <w:color w:val="auto"/>
                <w:highlight w:val="none"/>
              </w:rPr>
              <w:t xml:space="preserve"> </w:t>
            </w:r>
            <w:r>
              <w:rPr>
                <w:color w:val="auto"/>
                <w:spacing w:val="-4"/>
                <w:highlight w:val="none"/>
              </w:rPr>
              <w:t>文件按无效投标处理。</w:t>
            </w:r>
          </w:p>
        </w:tc>
      </w:tr>
      <w:tr w14:paraId="16110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trPr>
        <w:tc>
          <w:tcPr>
            <w:tcW w:w="704" w:type="dxa"/>
            <w:tcBorders>
              <w:left w:val="single" w:color="000000" w:sz="12" w:space="0"/>
            </w:tcBorders>
            <w:vAlign w:val="top"/>
          </w:tcPr>
          <w:p w14:paraId="7CE15802">
            <w:pPr>
              <w:pStyle w:val="12"/>
              <w:spacing w:before="234" w:line="159" w:lineRule="auto"/>
              <w:ind w:left="248"/>
              <w:rPr>
                <w:color w:val="auto"/>
                <w:highlight w:val="none"/>
              </w:rPr>
            </w:pPr>
            <w:r>
              <w:rPr>
                <w:color w:val="auto"/>
                <w:spacing w:val="-15"/>
                <w:highlight w:val="none"/>
              </w:rPr>
              <w:t>14</w:t>
            </w:r>
          </w:p>
        </w:tc>
        <w:tc>
          <w:tcPr>
            <w:tcW w:w="1793" w:type="dxa"/>
            <w:vAlign w:val="top"/>
          </w:tcPr>
          <w:p w14:paraId="106C5FE7">
            <w:pPr>
              <w:pStyle w:val="12"/>
              <w:spacing w:before="196" w:line="188" w:lineRule="auto"/>
              <w:ind w:left="99"/>
              <w:rPr>
                <w:color w:val="auto"/>
                <w:highlight w:val="none"/>
              </w:rPr>
            </w:pPr>
            <w:r>
              <w:rPr>
                <w:color w:val="auto"/>
                <w:spacing w:val="-3"/>
                <w:highlight w:val="none"/>
              </w:rPr>
              <w:t>投标有效期</w:t>
            </w:r>
          </w:p>
        </w:tc>
        <w:tc>
          <w:tcPr>
            <w:tcW w:w="6809" w:type="dxa"/>
            <w:tcBorders>
              <w:right w:val="single" w:color="000000" w:sz="12" w:space="0"/>
            </w:tcBorders>
            <w:vAlign w:val="top"/>
          </w:tcPr>
          <w:p w14:paraId="49A45750">
            <w:pPr>
              <w:pStyle w:val="12"/>
              <w:spacing w:before="43" w:line="171" w:lineRule="auto"/>
              <w:ind w:left="111" w:right="92" w:hanging="6"/>
              <w:rPr>
                <w:color w:val="auto"/>
                <w:highlight w:val="none"/>
              </w:rPr>
            </w:pPr>
            <w:r>
              <w:rPr>
                <w:color w:val="auto"/>
                <w:spacing w:val="-2"/>
                <w:highlight w:val="none"/>
              </w:rPr>
              <w:t>投标有效期为</w:t>
            </w:r>
            <w:r>
              <w:rPr>
                <w:color w:val="auto"/>
                <w:spacing w:val="52"/>
                <w:sz w:val="22"/>
                <w:szCs w:val="22"/>
                <w:highlight w:val="none"/>
                <w:u w:val="single" w:color="auto"/>
              </w:rPr>
              <w:t xml:space="preserve"> </w:t>
            </w:r>
            <w:r>
              <w:rPr>
                <w:color w:val="auto"/>
                <w:spacing w:val="-2"/>
                <w:sz w:val="22"/>
                <w:szCs w:val="22"/>
                <w:highlight w:val="none"/>
                <w:u w:val="single" w:color="auto"/>
              </w:rPr>
              <w:t>90</w:t>
            </w:r>
            <w:r>
              <w:rPr>
                <w:color w:val="auto"/>
                <w:spacing w:val="47"/>
                <w:sz w:val="22"/>
                <w:szCs w:val="22"/>
                <w:highlight w:val="none"/>
                <w:u w:val="single" w:color="auto"/>
              </w:rPr>
              <w:t xml:space="preserve"> </w:t>
            </w:r>
            <w:r>
              <w:rPr>
                <w:color w:val="auto"/>
                <w:spacing w:val="-2"/>
                <w:sz w:val="22"/>
                <w:szCs w:val="22"/>
                <w:highlight w:val="none"/>
              </w:rPr>
              <w:t xml:space="preserve"> 日历</w:t>
            </w:r>
            <w:r>
              <w:rPr>
                <w:color w:val="auto"/>
                <w:spacing w:val="-2"/>
                <w:highlight w:val="none"/>
              </w:rPr>
              <w:t>天（从投标截止之</w:t>
            </w:r>
            <w:r>
              <w:rPr>
                <w:color w:val="auto"/>
                <w:spacing w:val="-3"/>
                <w:highlight w:val="none"/>
              </w:rPr>
              <w:t>日算起）。在此期限内，凡符</w:t>
            </w:r>
            <w:r>
              <w:rPr>
                <w:color w:val="auto"/>
                <w:highlight w:val="none"/>
              </w:rPr>
              <w:t xml:space="preserve"> </w:t>
            </w:r>
            <w:r>
              <w:rPr>
                <w:color w:val="auto"/>
                <w:spacing w:val="-3"/>
                <w:highlight w:val="none"/>
              </w:rPr>
              <w:t>合本采购文件要求的投标文件均保持有效。</w:t>
            </w:r>
          </w:p>
        </w:tc>
      </w:tr>
      <w:tr w14:paraId="21E45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4" w:hRule="atLeast"/>
        </w:trPr>
        <w:tc>
          <w:tcPr>
            <w:tcW w:w="704" w:type="dxa"/>
            <w:vMerge w:val="restart"/>
            <w:tcBorders>
              <w:left w:val="single" w:color="000000" w:sz="12" w:space="0"/>
              <w:bottom w:val="nil"/>
            </w:tcBorders>
            <w:vAlign w:val="top"/>
          </w:tcPr>
          <w:p w14:paraId="3E710B11">
            <w:pPr>
              <w:rPr>
                <w:rFonts w:ascii="Arial"/>
                <w:color w:val="auto"/>
                <w:sz w:val="21"/>
                <w:highlight w:val="none"/>
              </w:rPr>
            </w:pPr>
          </w:p>
          <w:p w14:paraId="23C0067E">
            <w:pPr>
              <w:rPr>
                <w:rFonts w:ascii="Arial"/>
                <w:color w:val="auto"/>
                <w:sz w:val="21"/>
                <w:highlight w:val="none"/>
              </w:rPr>
            </w:pPr>
          </w:p>
          <w:p w14:paraId="1223F1EF">
            <w:pPr>
              <w:rPr>
                <w:rFonts w:ascii="Arial"/>
                <w:color w:val="auto"/>
                <w:sz w:val="21"/>
                <w:highlight w:val="none"/>
              </w:rPr>
            </w:pPr>
          </w:p>
          <w:p w14:paraId="3BAA7320">
            <w:pPr>
              <w:rPr>
                <w:rFonts w:ascii="Arial"/>
                <w:color w:val="auto"/>
                <w:sz w:val="21"/>
                <w:highlight w:val="none"/>
              </w:rPr>
            </w:pPr>
          </w:p>
          <w:p w14:paraId="1FF387D8">
            <w:pPr>
              <w:rPr>
                <w:rFonts w:ascii="Arial"/>
                <w:color w:val="auto"/>
                <w:sz w:val="21"/>
                <w:highlight w:val="none"/>
              </w:rPr>
            </w:pPr>
          </w:p>
          <w:p w14:paraId="4A143FAD">
            <w:pPr>
              <w:rPr>
                <w:rFonts w:ascii="Arial"/>
                <w:color w:val="auto"/>
                <w:sz w:val="21"/>
                <w:highlight w:val="none"/>
              </w:rPr>
            </w:pPr>
          </w:p>
          <w:p w14:paraId="07AA9408">
            <w:pPr>
              <w:rPr>
                <w:rFonts w:ascii="Arial"/>
                <w:color w:val="auto"/>
                <w:sz w:val="21"/>
                <w:highlight w:val="none"/>
              </w:rPr>
            </w:pPr>
          </w:p>
          <w:p w14:paraId="77C954B4">
            <w:pPr>
              <w:rPr>
                <w:rFonts w:ascii="Arial"/>
                <w:color w:val="auto"/>
                <w:sz w:val="21"/>
                <w:highlight w:val="none"/>
              </w:rPr>
            </w:pPr>
          </w:p>
          <w:p w14:paraId="40DA62BC">
            <w:pPr>
              <w:rPr>
                <w:rFonts w:ascii="Arial"/>
                <w:color w:val="auto"/>
                <w:sz w:val="21"/>
                <w:highlight w:val="none"/>
              </w:rPr>
            </w:pPr>
          </w:p>
          <w:p w14:paraId="6C50E781">
            <w:pPr>
              <w:rPr>
                <w:rFonts w:ascii="Arial"/>
                <w:color w:val="auto"/>
                <w:sz w:val="21"/>
                <w:highlight w:val="none"/>
              </w:rPr>
            </w:pPr>
          </w:p>
          <w:p w14:paraId="7C12FBB1">
            <w:pPr>
              <w:spacing w:line="241" w:lineRule="auto"/>
              <w:rPr>
                <w:rFonts w:ascii="Arial"/>
                <w:color w:val="auto"/>
                <w:sz w:val="21"/>
                <w:highlight w:val="none"/>
              </w:rPr>
            </w:pPr>
          </w:p>
          <w:p w14:paraId="1043CD89">
            <w:pPr>
              <w:spacing w:line="241" w:lineRule="auto"/>
              <w:rPr>
                <w:rFonts w:ascii="Arial"/>
                <w:color w:val="auto"/>
                <w:sz w:val="21"/>
                <w:highlight w:val="none"/>
              </w:rPr>
            </w:pPr>
          </w:p>
          <w:p w14:paraId="685F7F18">
            <w:pPr>
              <w:spacing w:line="241" w:lineRule="auto"/>
              <w:rPr>
                <w:rFonts w:ascii="Arial"/>
                <w:color w:val="auto"/>
                <w:sz w:val="21"/>
                <w:highlight w:val="none"/>
              </w:rPr>
            </w:pPr>
          </w:p>
          <w:p w14:paraId="72B693FF">
            <w:pPr>
              <w:spacing w:line="241" w:lineRule="auto"/>
              <w:rPr>
                <w:rFonts w:ascii="Arial"/>
                <w:color w:val="auto"/>
                <w:sz w:val="21"/>
                <w:highlight w:val="none"/>
              </w:rPr>
            </w:pPr>
          </w:p>
          <w:p w14:paraId="4176B074">
            <w:pPr>
              <w:spacing w:line="241" w:lineRule="auto"/>
              <w:rPr>
                <w:rFonts w:ascii="Arial"/>
                <w:color w:val="auto"/>
                <w:sz w:val="21"/>
                <w:highlight w:val="none"/>
              </w:rPr>
            </w:pPr>
          </w:p>
          <w:p w14:paraId="3058BD19">
            <w:pPr>
              <w:spacing w:line="241" w:lineRule="auto"/>
              <w:rPr>
                <w:rFonts w:ascii="Arial"/>
                <w:color w:val="auto"/>
                <w:sz w:val="21"/>
                <w:highlight w:val="none"/>
              </w:rPr>
            </w:pPr>
          </w:p>
          <w:p w14:paraId="22E29DCB">
            <w:pPr>
              <w:spacing w:line="241" w:lineRule="auto"/>
              <w:rPr>
                <w:rFonts w:ascii="Arial"/>
                <w:color w:val="auto"/>
                <w:sz w:val="21"/>
                <w:highlight w:val="none"/>
              </w:rPr>
            </w:pPr>
          </w:p>
          <w:p w14:paraId="53CB5BFA">
            <w:pPr>
              <w:spacing w:line="241" w:lineRule="auto"/>
              <w:rPr>
                <w:rFonts w:ascii="Arial"/>
                <w:color w:val="auto"/>
                <w:sz w:val="21"/>
                <w:highlight w:val="none"/>
              </w:rPr>
            </w:pPr>
          </w:p>
          <w:p w14:paraId="10AF4D4A">
            <w:pPr>
              <w:pStyle w:val="12"/>
              <w:spacing w:before="90" w:line="159" w:lineRule="auto"/>
              <w:ind w:left="248"/>
              <w:rPr>
                <w:color w:val="auto"/>
                <w:highlight w:val="none"/>
              </w:rPr>
            </w:pPr>
            <w:r>
              <w:rPr>
                <w:color w:val="auto"/>
                <w:spacing w:val="-15"/>
                <w:highlight w:val="none"/>
              </w:rPr>
              <w:t>15</w:t>
            </w:r>
          </w:p>
        </w:tc>
        <w:tc>
          <w:tcPr>
            <w:tcW w:w="1793" w:type="dxa"/>
            <w:tcBorders>
              <w:bottom w:val="single" w:color="000000" w:sz="4" w:space="0"/>
            </w:tcBorders>
            <w:vAlign w:val="top"/>
          </w:tcPr>
          <w:p w14:paraId="6FC351F5">
            <w:pPr>
              <w:spacing w:line="465" w:lineRule="auto"/>
              <w:rPr>
                <w:rFonts w:ascii="Arial"/>
                <w:color w:val="auto"/>
                <w:sz w:val="21"/>
                <w:highlight w:val="none"/>
              </w:rPr>
            </w:pPr>
          </w:p>
          <w:p w14:paraId="7DE3B6BB">
            <w:pPr>
              <w:pStyle w:val="12"/>
              <w:spacing w:before="90" w:line="189" w:lineRule="auto"/>
              <w:ind w:left="99"/>
              <w:rPr>
                <w:color w:val="auto"/>
                <w:highlight w:val="none"/>
              </w:rPr>
            </w:pPr>
            <w:r>
              <w:rPr>
                <w:color w:val="auto"/>
                <w:spacing w:val="-3"/>
                <w:highlight w:val="none"/>
              </w:rPr>
              <w:t>投标保证金</w:t>
            </w:r>
          </w:p>
        </w:tc>
        <w:tc>
          <w:tcPr>
            <w:tcW w:w="6809" w:type="dxa"/>
            <w:tcBorders>
              <w:bottom w:val="single" w:color="000000" w:sz="4" w:space="0"/>
              <w:right w:val="single" w:color="000000" w:sz="12" w:space="0"/>
            </w:tcBorders>
            <w:vAlign w:val="top"/>
          </w:tcPr>
          <w:p w14:paraId="6426C558">
            <w:pPr>
              <w:pStyle w:val="12"/>
              <w:spacing w:before="52" w:line="192" w:lineRule="auto"/>
              <w:ind w:left="105" w:right="91"/>
              <w:rPr>
                <w:color w:val="auto"/>
                <w:highlight w:val="none"/>
              </w:rPr>
            </w:pPr>
            <w:r>
              <w:rPr>
                <w:b/>
                <w:bCs/>
                <w:color w:val="auto"/>
                <w:spacing w:val="1"/>
                <w:highlight w:val="none"/>
              </w:rPr>
              <w:t>投标保证金交纳方式：</w:t>
            </w:r>
            <w:r>
              <w:rPr>
                <w:b/>
                <w:bCs/>
                <w:color w:val="auto"/>
                <w:spacing w:val="-18"/>
                <w:highlight w:val="none"/>
              </w:rPr>
              <w:t xml:space="preserve"> </w:t>
            </w:r>
            <w:r>
              <w:rPr>
                <w:color w:val="auto"/>
                <w:spacing w:val="1"/>
                <w:highlight w:val="none"/>
              </w:rPr>
              <w:t>投标保证金应当以支票、汇票、本票、网上银行</w:t>
            </w:r>
            <w:r>
              <w:rPr>
                <w:color w:val="auto"/>
                <w:highlight w:val="none"/>
              </w:rPr>
              <w:t xml:space="preserve"> </w:t>
            </w:r>
            <w:r>
              <w:rPr>
                <w:color w:val="auto"/>
                <w:spacing w:val="-2"/>
                <w:highlight w:val="none"/>
              </w:rPr>
              <w:t>支付或者金融机构、担保机构出具的保函等非现金形式交纳。</w:t>
            </w:r>
          </w:p>
          <w:p w14:paraId="2E57DC17">
            <w:pPr>
              <w:pStyle w:val="12"/>
              <w:spacing w:before="4" w:line="183" w:lineRule="auto"/>
              <w:ind w:left="105"/>
              <w:rPr>
                <w:color w:val="auto"/>
                <w:highlight w:val="none"/>
              </w:rPr>
            </w:pPr>
            <w:r>
              <w:rPr>
                <w:b/>
                <w:bCs/>
                <w:color w:val="auto"/>
                <w:spacing w:val="-5"/>
                <w:highlight w:val="none"/>
              </w:rPr>
              <w:t>投标保证金的金额：</w:t>
            </w:r>
            <w:r>
              <w:rPr>
                <w:b/>
                <w:bCs/>
                <w:color w:val="auto"/>
                <w:spacing w:val="-21"/>
                <w:highlight w:val="none"/>
              </w:rPr>
              <w:t xml:space="preserve"> </w:t>
            </w:r>
            <w:r>
              <w:rPr>
                <w:color w:val="auto"/>
                <w:spacing w:val="-5"/>
                <w:highlight w:val="none"/>
                <w:u w:val="single" w:color="auto"/>
              </w:rPr>
              <w:t>150000.00 元（大写：壹拾伍万元整）</w:t>
            </w:r>
          </w:p>
          <w:p w14:paraId="44D3A9B8">
            <w:pPr>
              <w:pStyle w:val="12"/>
              <w:spacing w:before="16" w:line="183" w:lineRule="auto"/>
              <w:ind w:left="105"/>
              <w:rPr>
                <w:color w:val="auto"/>
                <w:highlight w:val="none"/>
              </w:rPr>
            </w:pPr>
            <w:r>
              <w:rPr>
                <w:b/>
                <w:bCs/>
                <w:color w:val="auto"/>
                <w:spacing w:val="-5"/>
                <w:highlight w:val="none"/>
              </w:rPr>
              <w:t>投标保函承保期限：</w:t>
            </w:r>
            <w:r>
              <w:rPr>
                <w:b/>
                <w:bCs/>
                <w:color w:val="auto"/>
                <w:spacing w:val="-29"/>
                <w:highlight w:val="none"/>
              </w:rPr>
              <w:t xml:space="preserve"> </w:t>
            </w:r>
            <w:r>
              <w:rPr>
                <w:color w:val="auto"/>
                <w:spacing w:val="-5"/>
                <w:highlight w:val="none"/>
                <w:u w:val="single" w:color="auto"/>
              </w:rPr>
              <w:t>90</w:t>
            </w:r>
            <w:r>
              <w:rPr>
                <w:color w:val="auto"/>
                <w:spacing w:val="49"/>
                <w:highlight w:val="none"/>
                <w:u w:val="single" w:color="auto"/>
              </w:rPr>
              <w:t xml:space="preserve"> </w:t>
            </w:r>
            <w:r>
              <w:rPr>
                <w:color w:val="auto"/>
                <w:spacing w:val="-5"/>
                <w:highlight w:val="none"/>
                <w:u w:val="single" w:color="auto"/>
              </w:rPr>
              <w:t>日历天（从投标截止之日算起）</w:t>
            </w:r>
            <w:r>
              <w:rPr>
                <w:color w:val="auto"/>
                <w:highlight w:val="none"/>
                <w:u w:val="single" w:color="auto"/>
              </w:rPr>
              <w:t xml:space="preserve">     </w:t>
            </w:r>
          </w:p>
        </w:tc>
      </w:tr>
      <w:tr w14:paraId="351B0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98" w:hRule="atLeast"/>
        </w:trPr>
        <w:tc>
          <w:tcPr>
            <w:tcW w:w="704" w:type="dxa"/>
            <w:vMerge w:val="continue"/>
            <w:tcBorders>
              <w:top w:val="nil"/>
              <w:left w:val="single" w:color="000000" w:sz="12" w:space="0"/>
              <w:bottom w:val="single" w:color="000000" w:sz="12" w:space="0"/>
            </w:tcBorders>
            <w:vAlign w:val="top"/>
          </w:tcPr>
          <w:p w14:paraId="585F0550">
            <w:pPr>
              <w:rPr>
                <w:rFonts w:ascii="Arial"/>
                <w:color w:val="auto"/>
                <w:sz w:val="21"/>
                <w:highlight w:val="none"/>
              </w:rPr>
            </w:pPr>
          </w:p>
        </w:tc>
        <w:tc>
          <w:tcPr>
            <w:tcW w:w="8602" w:type="dxa"/>
            <w:gridSpan w:val="2"/>
            <w:tcBorders>
              <w:top w:val="single" w:color="000000" w:sz="4" w:space="0"/>
              <w:bottom w:val="single" w:color="000000" w:sz="12" w:space="0"/>
              <w:right w:val="single" w:color="000000" w:sz="12" w:space="0"/>
            </w:tcBorders>
            <w:vAlign w:val="top"/>
          </w:tcPr>
          <w:p w14:paraId="36BA2254">
            <w:pPr>
              <w:pStyle w:val="12"/>
              <w:spacing w:before="95" w:line="188" w:lineRule="auto"/>
              <w:ind w:left="99"/>
              <w:rPr>
                <w:color w:val="auto"/>
                <w:highlight w:val="none"/>
              </w:rPr>
            </w:pPr>
            <w:r>
              <w:rPr>
                <w:color w:val="auto"/>
                <w:spacing w:val="-6"/>
                <w:highlight w:val="none"/>
              </w:rPr>
              <w:t>投标保证金交纳要求：</w:t>
            </w:r>
          </w:p>
          <w:p w14:paraId="7F0199BE">
            <w:pPr>
              <w:pStyle w:val="12"/>
              <w:spacing w:before="37" w:line="208" w:lineRule="auto"/>
              <w:ind w:left="99" w:right="30" w:firstLine="219"/>
              <w:rPr>
                <w:color w:val="auto"/>
                <w:highlight w:val="none"/>
              </w:rPr>
            </w:pPr>
            <w:r>
              <w:rPr>
                <w:color w:val="auto"/>
                <w:spacing w:val="-10"/>
                <w:highlight w:val="none"/>
              </w:rPr>
              <w:t>1、投标保证金以电汇、网银等转账形式提</w:t>
            </w:r>
            <w:r>
              <w:rPr>
                <w:color w:val="auto"/>
                <w:spacing w:val="-11"/>
                <w:highlight w:val="none"/>
              </w:rPr>
              <w:t>交的，</w:t>
            </w:r>
            <w:r>
              <w:rPr>
                <w:color w:val="auto"/>
                <w:spacing w:val="19"/>
                <w:highlight w:val="none"/>
              </w:rPr>
              <w:t xml:space="preserve">  </w:t>
            </w:r>
            <w:r>
              <w:rPr>
                <w:color w:val="auto"/>
                <w:spacing w:val="-11"/>
                <w:highlight w:val="none"/>
              </w:rPr>
              <w:t>应在投标截止时间 202</w:t>
            </w:r>
            <w:r>
              <w:rPr>
                <w:rFonts w:hint="eastAsia"/>
                <w:color w:val="auto"/>
                <w:spacing w:val="-11"/>
                <w:highlight w:val="none"/>
                <w:lang w:val="en-US" w:eastAsia="zh-CN"/>
              </w:rPr>
              <w:t>5</w:t>
            </w:r>
            <w:r>
              <w:rPr>
                <w:color w:val="auto"/>
                <w:spacing w:val="-11"/>
                <w:highlight w:val="none"/>
              </w:rPr>
              <w:t xml:space="preserve"> 年</w:t>
            </w:r>
            <w:r>
              <w:rPr>
                <w:color w:val="auto"/>
                <w:spacing w:val="13"/>
                <w:highlight w:val="none"/>
              </w:rPr>
              <w:t xml:space="preserve"> </w:t>
            </w:r>
            <w:r>
              <w:rPr>
                <w:rFonts w:hint="eastAsia"/>
                <w:color w:val="auto"/>
                <w:spacing w:val="-11"/>
                <w:highlight w:val="none"/>
                <w:lang w:val="en-US" w:eastAsia="zh-CN"/>
              </w:rPr>
              <w:t>03</w:t>
            </w:r>
            <w:r>
              <w:rPr>
                <w:color w:val="auto"/>
                <w:spacing w:val="14"/>
                <w:highlight w:val="none"/>
              </w:rPr>
              <w:t xml:space="preserve"> </w:t>
            </w:r>
            <w:r>
              <w:rPr>
                <w:color w:val="auto"/>
                <w:spacing w:val="-11"/>
                <w:highlight w:val="none"/>
              </w:rPr>
              <w:t>月</w:t>
            </w:r>
            <w:r>
              <w:rPr>
                <w:rFonts w:hint="eastAsia"/>
                <w:color w:val="auto"/>
                <w:spacing w:val="-11"/>
                <w:highlight w:val="none"/>
                <w:lang w:val="en-US" w:eastAsia="zh-CN"/>
              </w:rPr>
              <w:t xml:space="preserve"> 27 </w:t>
            </w:r>
            <w:r>
              <w:rPr>
                <w:color w:val="auto"/>
                <w:spacing w:val="-11"/>
                <w:highlight w:val="none"/>
              </w:rPr>
              <w:t>日上</w:t>
            </w:r>
            <w:r>
              <w:rPr>
                <w:color w:val="auto"/>
                <w:highlight w:val="none"/>
              </w:rPr>
              <w:t xml:space="preserve">  </w:t>
            </w:r>
            <w:r>
              <w:rPr>
                <w:color w:val="auto"/>
                <w:spacing w:val="-3"/>
                <w:highlight w:val="none"/>
              </w:rPr>
              <w:t>午 1</w:t>
            </w:r>
            <w:r>
              <w:rPr>
                <w:rFonts w:hint="eastAsia"/>
                <w:color w:val="auto"/>
                <w:spacing w:val="-3"/>
                <w:highlight w:val="none"/>
                <w:lang w:val="en-US" w:eastAsia="zh-CN"/>
              </w:rPr>
              <w:t>0</w:t>
            </w:r>
            <w:r>
              <w:rPr>
                <w:color w:val="auto"/>
                <w:spacing w:val="-3"/>
                <w:highlight w:val="none"/>
              </w:rPr>
              <w:t>：</w:t>
            </w:r>
            <w:r>
              <w:rPr>
                <w:rFonts w:hint="eastAsia"/>
                <w:color w:val="auto"/>
                <w:spacing w:val="-3"/>
                <w:highlight w:val="none"/>
                <w:lang w:val="en-US" w:eastAsia="zh-CN"/>
              </w:rPr>
              <w:t>3</w:t>
            </w:r>
            <w:r>
              <w:rPr>
                <w:color w:val="auto"/>
                <w:spacing w:val="-3"/>
                <w:highlight w:val="none"/>
              </w:rPr>
              <w:t>0</w:t>
            </w:r>
            <w:r>
              <w:rPr>
                <w:color w:val="auto"/>
                <w:spacing w:val="19"/>
                <w:w w:val="101"/>
                <w:highlight w:val="none"/>
              </w:rPr>
              <w:t xml:space="preserve"> </w:t>
            </w:r>
            <w:r>
              <w:rPr>
                <w:color w:val="auto"/>
                <w:spacing w:val="-3"/>
                <w:highlight w:val="none"/>
              </w:rPr>
              <w:t>时（北京时间）前以总公司的基本账户一次性汇入指定账户（以到账</w:t>
            </w:r>
            <w:r>
              <w:rPr>
                <w:color w:val="auto"/>
                <w:spacing w:val="-4"/>
                <w:highlight w:val="none"/>
              </w:rPr>
              <w:t>时间为准</w:t>
            </w:r>
            <w:r>
              <w:rPr>
                <w:color w:val="auto"/>
                <w:spacing w:val="-22"/>
                <w:highlight w:val="none"/>
              </w:rPr>
              <w:t>），</w:t>
            </w:r>
            <w:r>
              <w:rPr>
                <w:color w:val="auto"/>
                <w:highlight w:val="none"/>
              </w:rPr>
              <w:t xml:space="preserve"> </w:t>
            </w:r>
            <w:r>
              <w:rPr>
                <w:color w:val="auto"/>
                <w:spacing w:val="-5"/>
                <w:highlight w:val="none"/>
              </w:rPr>
              <w:t>不接受现金及任何个人汇款。确认到账后，</w:t>
            </w:r>
            <w:r>
              <w:rPr>
                <w:color w:val="auto"/>
                <w:spacing w:val="24"/>
                <w:w w:val="101"/>
                <w:highlight w:val="none"/>
              </w:rPr>
              <w:t xml:space="preserve">  </w:t>
            </w:r>
            <w:r>
              <w:rPr>
                <w:color w:val="auto"/>
                <w:spacing w:val="-5"/>
                <w:highlight w:val="none"/>
              </w:rPr>
              <w:t>持银行交款单、基本户开户许可证（基本存款账</w:t>
            </w:r>
            <w:r>
              <w:rPr>
                <w:color w:val="auto"/>
                <w:highlight w:val="none"/>
              </w:rPr>
              <w:t xml:space="preserve">  户信息）与乌恰县政务服务和公共资源交易中心二楼换</w:t>
            </w:r>
            <w:r>
              <w:rPr>
                <w:color w:val="auto"/>
                <w:spacing w:val="-1"/>
                <w:highlight w:val="none"/>
              </w:rPr>
              <w:t>取票据收据</w:t>
            </w:r>
            <w:r>
              <w:rPr>
                <w:rFonts w:hint="eastAsia"/>
                <w:color w:val="auto"/>
                <w:spacing w:val="-1"/>
                <w:highlight w:val="none"/>
                <w:lang w:eastAsia="zh-CN"/>
              </w:rPr>
              <w:t>或财务人员，</w:t>
            </w:r>
            <w:r>
              <w:rPr>
                <w:color w:val="auto"/>
                <w:spacing w:val="-1"/>
                <w:highlight w:val="none"/>
              </w:rPr>
              <w:t>汇款凭证、</w:t>
            </w:r>
            <w:r>
              <w:rPr>
                <w:rFonts w:hint="eastAsia"/>
                <w:color w:val="auto"/>
                <w:spacing w:val="-1"/>
                <w:highlight w:val="none"/>
                <w:lang w:eastAsia="zh-CN"/>
              </w:rPr>
              <w:t>保证金票据，</w:t>
            </w:r>
            <w:r>
              <w:rPr>
                <w:color w:val="auto"/>
                <w:spacing w:val="-1"/>
                <w:highlight w:val="none"/>
              </w:rPr>
              <w:t>项目开具的</w:t>
            </w:r>
            <w:r>
              <w:rPr>
                <w:color w:val="auto"/>
                <w:highlight w:val="none"/>
              </w:rPr>
              <w:t xml:space="preserve">  </w:t>
            </w:r>
            <w:r>
              <w:rPr>
                <w:color w:val="auto"/>
                <w:spacing w:val="-2"/>
                <w:highlight w:val="none"/>
              </w:rPr>
              <w:t>票据收据原件须扫描上传，标书内附有此票据收据。</w:t>
            </w:r>
          </w:p>
          <w:p w14:paraId="79921100">
            <w:pPr>
              <w:pStyle w:val="12"/>
              <w:spacing w:before="36" w:line="201" w:lineRule="auto"/>
              <w:ind w:left="102" w:right="106" w:firstLine="203"/>
              <w:rPr>
                <w:color w:val="auto"/>
                <w:highlight w:val="none"/>
              </w:rPr>
            </w:pPr>
            <w:r>
              <w:rPr>
                <w:color w:val="auto"/>
                <w:spacing w:val="2"/>
                <w:highlight w:val="none"/>
              </w:rPr>
              <w:t>2、投标保证金以保函等票据形式提交的，金融</w:t>
            </w:r>
            <w:r>
              <w:rPr>
                <w:color w:val="auto"/>
                <w:spacing w:val="1"/>
                <w:highlight w:val="none"/>
              </w:rPr>
              <w:t>机构、担保机构出具的票据原件须扫描上</w:t>
            </w:r>
            <w:r>
              <w:rPr>
                <w:color w:val="auto"/>
                <w:highlight w:val="none"/>
              </w:rPr>
              <w:t xml:space="preserve"> </w:t>
            </w:r>
            <w:r>
              <w:rPr>
                <w:color w:val="auto"/>
                <w:spacing w:val="-4"/>
                <w:highlight w:val="none"/>
              </w:rPr>
              <w:t>传，标书内附有此票据。</w:t>
            </w:r>
          </w:p>
          <w:p w14:paraId="7FB4FC14">
            <w:pPr>
              <w:pStyle w:val="12"/>
              <w:spacing w:before="36" w:line="201" w:lineRule="auto"/>
              <w:ind w:left="104" w:right="108" w:firstLine="202"/>
              <w:rPr>
                <w:color w:val="auto"/>
                <w:highlight w:val="none"/>
              </w:rPr>
            </w:pPr>
            <w:r>
              <w:rPr>
                <w:color w:val="auto"/>
                <w:spacing w:val="1"/>
                <w:highlight w:val="none"/>
              </w:rPr>
              <w:t>3、有效投标保证金成功交纳后，截止开标时间，</w:t>
            </w:r>
            <w:r>
              <w:rPr>
                <w:color w:val="auto"/>
                <w:spacing w:val="-42"/>
                <w:highlight w:val="none"/>
              </w:rPr>
              <w:t xml:space="preserve"> </w:t>
            </w:r>
            <w:r>
              <w:rPr>
                <w:color w:val="auto"/>
                <w:spacing w:val="1"/>
                <w:highlight w:val="none"/>
              </w:rPr>
              <w:t>供应商无正当理由不参加该项目</w:t>
            </w:r>
            <w:r>
              <w:rPr>
                <w:color w:val="auto"/>
                <w:highlight w:val="none"/>
              </w:rPr>
              <w:t xml:space="preserve">投标且 </w:t>
            </w:r>
            <w:r>
              <w:rPr>
                <w:color w:val="auto"/>
                <w:spacing w:val="-3"/>
                <w:highlight w:val="none"/>
              </w:rPr>
              <w:t>不递交弃标函，投标保证金不予退还。</w:t>
            </w:r>
          </w:p>
          <w:p w14:paraId="1C34E9F2">
            <w:pPr>
              <w:pStyle w:val="12"/>
              <w:spacing w:before="37" w:line="212" w:lineRule="auto"/>
              <w:ind w:right="3661" w:firstLine="206" w:firstLineChars="100"/>
              <w:rPr>
                <w:color w:val="auto"/>
                <w:spacing w:val="1"/>
                <w:highlight w:val="none"/>
              </w:rPr>
            </w:pPr>
            <w:r>
              <w:rPr>
                <w:color w:val="auto"/>
                <w:spacing w:val="-2"/>
                <w:highlight w:val="none"/>
              </w:rPr>
              <w:t>户</w:t>
            </w:r>
            <w:r>
              <w:rPr>
                <w:color w:val="auto"/>
                <w:spacing w:val="15"/>
                <w:highlight w:val="none"/>
              </w:rPr>
              <w:t xml:space="preserve">   </w:t>
            </w:r>
            <w:r>
              <w:rPr>
                <w:color w:val="auto"/>
                <w:spacing w:val="-2"/>
                <w:highlight w:val="none"/>
              </w:rPr>
              <w:t>名：乌恰县政务服务和公共资源交易中心</w:t>
            </w:r>
            <w:r>
              <w:rPr>
                <w:color w:val="auto"/>
                <w:spacing w:val="1"/>
                <w:highlight w:val="none"/>
              </w:rPr>
              <w:t xml:space="preserve"> </w:t>
            </w:r>
          </w:p>
          <w:p w14:paraId="04964B9E">
            <w:pPr>
              <w:pStyle w:val="12"/>
              <w:spacing w:before="37" w:line="212" w:lineRule="auto"/>
              <w:ind w:right="3661" w:firstLine="180" w:firstLineChars="100"/>
              <w:rPr>
                <w:color w:val="auto"/>
                <w:highlight w:val="none"/>
              </w:rPr>
            </w:pPr>
            <w:r>
              <w:rPr>
                <w:color w:val="auto"/>
                <w:spacing w:val="-15"/>
                <w:highlight w:val="none"/>
              </w:rPr>
              <w:t>账    号：30470101040018134</w:t>
            </w:r>
          </w:p>
          <w:p w14:paraId="142496E8">
            <w:pPr>
              <w:pStyle w:val="12"/>
              <w:spacing w:before="4" w:line="212" w:lineRule="auto"/>
              <w:ind w:right="4396" w:firstLine="208" w:firstLineChars="100"/>
              <w:rPr>
                <w:color w:val="auto"/>
                <w:spacing w:val="6"/>
                <w:highlight w:val="none"/>
              </w:rPr>
            </w:pPr>
            <w:r>
              <w:rPr>
                <w:color w:val="auto"/>
                <w:spacing w:val="-1"/>
                <w:highlight w:val="none"/>
              </w:rPr>
              <w:t>行     名：中国农业银行乌恰县支行</w:t>
            </w:r>
            <w:r>
              <w:rPr>
                <w:color w:val="auto"/>
                <w:spacing w:val="6"/>
                <w:highlight w:val="none"/>
              </w:rPr>
              <w:t xml:space="preserve"> </w:t>
            </w:r>
          </w:p>
          <w:p w14:paraId="019EF146">
            <w:pPr>
              <w:pStyle w:val="12"/>
              <w:spacing w:before="4" w:line="212" w:lineRule="auto"/>
              <w:ind w:right="4396" w:firstLine="206" w:firstLineChars="100"/>
              <w:rPr>
                <w:color w:val="auto"/>
                <w:highlight w:val="none"/>
              </w:rPr>
            </w:pPr>
            <w:r>
              <w:rPr>
                <w:color w:val="auto"/>
                <w:spacing w:val="-2"/>
                <w:highlight w:val="none"/>
              </w:rPr>
              <w:t>联系人：唐先生</w:t>
            </w:r>
          </w:p>
          <w:p w14:paraId="2F0CB78A">
            <w:pPr>
              <w:pStyle w:val="12"/>
              <w:spacing w:before="3" w:line="189" w:lineRule="auto"/>
              <w:ind w:firstLine="182" w:firstLineChars="100"/>
              <w:rPr>
                <w:color w:val="auto"/>
                <w:highlight w:val="none"/>
              </w:rPr>
            </w:pPr>
            <w:r>
              <w:rPr>
                <w:color w:val="auto"/>
                <w:spacing w:val="-14"/>
                <w:highlight w:val="none"/>
              </w:rPr>
              <w:t>电    话：0908-4623359</w:t>
            </w:r>
            <w:r>
              <w:rPr>
                <w:color w:val="auto"/>
                <w:spacing w:val="-15"/>
                <w:highlight w:val="none"/>
              </w:rPr>
              <w:t>、15509080607</w:t>
            </w:r>
          </w:p>
          <w:p w14:paraId="36727229">
            <w:pPr>
              <w:pStyle w:val="12"/>
              <w:spacing w:before="36" w:line="212" w:lineRule="auto"/>
              <w:ind w:right="4094"/>
              <w:rPr>
                <w:color w:val="auto"/>
                <w:spacing w:val="-3"/>
                <w:highlight w:val="none"/>
              </w:rPr>
            </w:pPr>
            <w:r>
              <w:rPr>
                <w:color w:val="auto"/>
                <w:spacing w:val="-3"/>
                <w:highlight w:val="none"/>
              </w:rPr>
              <w:t>（备注：必须写清楚 xx 公司 xx 项目保证金）</w:t>
            </w:r>
          </w:p>
          <w:p w14:paraId="153896B9">
            <w:pPr>
              <w:pStyle w:val="12"/>
              <w:spacing w:before="36" w:line="212" w:lineRule="auto"/>
              <w:ind w:right="4094"/>
              <w:rPr>
                <w:color w:val="auto"/>
                <w:highlight w:val="none"/>
              </w:rPr>
            </w:pPr>
            <w:r>
              <w:rPr>
                <w:color w:val="auto"/>
                <w:spacing w:val="1"/>
                <w:highlight w:val="none"/>
              </w:rPr>
              <w:t xml:space="preserve"> </w:t>
            </w:r>
            <w:r>
              <w:rPr>
                <w:color w:val="auto"/>
                <w:spacing w:val="-4"/>
                <w:highlight w:val="none"/>
              </w:rPr>
              <w:t>投标保证金退还时需准备资料：</w:t>
            </w:r>
          </w:p>
          <w:p w14:paraId="79B395F6">
            <w:pPr>
              <w:pStyle w:val="12"/>
              <w:spacing w:before="4" w:line="188" w:lineRule="auto"/>
              <w:ind w:left="318"/>
              <w:rPr>
                <w:color w:val="auto"/>
                <w:highlight w:val="none"/>
              </w:rPr>
            </w:pPr>
            <w:r>
              <w:rPr>
                <w:color w:val="auto"/>
                <w:spacing w:val="-2"/>
                <w:highlight w:val="none"/>
              </w:rPr>
              <w:t>1.公共资源交易中心开具的收款收据原件；</w:t>
            </w:r>
          </w:p>
          <w:p w14:paraId="3661B4E0">
            <w:pPr>
              <w:pStyle w:val="12"/>
              <w:spacing w:before="39" w:line="209" w:lineRule="auto"/>
              <w:ind w:left="104" w:right="92" w:firstLine="200"/>
              <w:rPr>
                <w:color w:val="auto"/>
                <w:highlight w:val="none"/>
              </w:rPr>
            </w:pPr>
            <w:r>
              <w:rPr>
                <w:color w:val="auto"/>
                <w:highlight w:val="none"/>
              </w:rPr>
              <w:t>2.投标企业开具的收款收据并加盖公章（收据内内容：</w:t>
            </w:r>
            <w:r>
              <w:rPr>
                <w:color w:val="auto"/>
                <w:spacing w:val="-38"/>
                <w:highlight w:val="none"/>
              </w:rPr>
              <w:t xml:space="preserve"> </w:t>
            </w:r>
            <w:r>
              <w:rPr>
                <w:color w:val="auto"/>
                <w:highlight w:val="none"/>
              </w:rPr>
              <w:t xml:space="preserve">今收到乌恰县政务服务和公共资源 </w:t>
            </w:r>
            <w:r>
              <w:rPr>
                <w:color w:val="auto"/>
                <w:spacing w:val="-12"/>
                <w:highlight w:val="none"/>
              </w:rPr>
              <w:t>交易中心退还 XXXX 项目保证金 XX 元</w:t>
            </w:r>
            <w:r>
              <w:rPr>
                <w:color w:val="auto"/>
                <w:spacing w:val="-2"/>
                <w:highlight w:val="none"/>
              </w:rPr>
              <w:t>）；</w:t>
            </w:r>
          </w:p>
          <w:p w14:paraId="74E1A7A7">
            <w:pPr>
              <w:pStyle w:val="12"/>
              <w:spacing w:before="10" w:line="212" w:lineRule="auto"/>
              <w:ind w:left="308" w:right="3076" w:hanging="1"/>
              <w:rPr>
                <w:color w:val="auto"/>
                <w:highlight w:val="none"/>
              </w:rPr>
            </w:pPr>
            <w:r>
              <w:rPr>
                <w:color w:val="auto"/>
                <w:spacing w:val="-1"/>
                <w:highlight w:val="none"/>
              </w:rPr>
              <w:t>3.投标企业的开户许可证复印件注明联系人及联系方式；</w:t>
            </w:r>
            <w:r>
              <w:rPr>
                <w:color w:val="auto"/>
                <w:spacing w:val="3"/>
                <w:highlight w:val="none"/>
              </w:rPr>
              <w:t xml:space="preserve"> </w:t>
            </w:r>
            <w:r>
              <w:rPr>
                <w:color w:val="auto"/>
                <w:spacing w:val="-6"/>
                <w:highlight w:val="none"/>
              </w:rPr>
              <w:t>投标保证金退还时限：</w:t>
            </w:r>
          </w:p>
          <w:p w14:paraId="53032E3D">
            <w:pPr>
              <w:pStyle w:val="12"/>
              <w:spacing w:before="5" w:line="188" w:lineRule="auto"/>
              <w:ind w:left="318"/>
              <w:rPr>
                <w:color w:val="auto"/>
                <w:highlight w:val="none"/>
              </w:rPr>
            </w:pPr>
            <w:r>
              <w:rPr>
                <w:color w:val="auto"/>
                <w:spacing w:val="-7"/>
                <w:highlight w:val="none"/>
              </w:rPr>
              <w:t>1、中标供应商持合同和票据收据 5</w:t>
            </w:r>
            <w:r>
              <w:rPr>
                <w:color w:val="auto"/>
                <w:spacing w:val="49"/>
                <w:highlight w:val="none"/>
              </w:rPr>
              <w:t xml:space="preserve"> </w:t>
            </w:r>
            <w:r>
              <w:rPr>
                <w:color w:val="auto"/>
                <w:spacing w:val="-7"/>
                <w:highlight w:val="none"/>
              </w:rPr>
              <w:t>日内办理；</w:t>
            </w:r>
          </w:p>
          <w:p w14:paraId="4DD19076">
            <w:pPr>
              <w:pStyle w:val="12"/>
              <w:spacing w:before="37" w:line="234" w:lineRule="exact"/>
              <w:ind w:left="305"/>
              <w:rPr>
                <w:color w:val="auto"/>
                <w:highlight w:val="none"/>
              </w:rPr>
            </w:pPr>
            <w:r>
              <w:rPr>
                <w:color w:val="auto"/>
                <w:spacing w:val="-8"/>
                <w:highlight w:val="none"/>
              </w:rPr>
              <w:t>2、未中标供应商持收据 5</w:t>
            </w:r>
            <w:r>
              <w:rPr>
                <w:color w:val="auto"/>
                <w:spacing w:val="52"/>
                <w:highlight w:val="none"/>
              </w:rPr>
              <w:t xml:space="preserve"> </w:t>
            </w:r>
            <w:r>
              <w:rPr>
                <w:color w:val="auto"/>
                <w:spacing w:val="-8"/>
                <w:highlight w:val="none"/>
              </w:rPr>
              <w:t>日内办理；</w:t>
            </w:r>
          </w:p>
        </w:tc>
      </w:tr>
    </w:tbl>
    <w:tbl>
      <w:tblPr>
        <w:tblStyle w:val="11"/>
        <w:tblpPr w:leftFromText="180" w:rightFromText="180" w:vertAnchor="text" w:horzAnchor="page" w:tblpX="1337" w:tblpY="545"/>
        <w:tblOverlap w:val="never"/>
        <w:tblW w:w="93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2B162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704" w:type="dxa"/>
            <w:tcBorders>
              <w:top w:val="single" w:color="000000" w:sz="12" w:space="0"/>
              <w:left w:val="single" w:color="000000" w:sz="12" w:space="0"/>
            </w:tcBorders>
            <w:vAlign w:val="top"/>
          </w:tcPr>
          <w:p w14:paraId="3E52844F">
            <w:pPr>
              <w:rPr>
                <w:rFonts w:ascii="Arial"/>
                <w:color w:val="auto"/>
                <w:sz w:val="21"/>
                <w:highlight w:val="none"/>
              </w:rPr>
            </w:pPr>
          </w:p>
        </w:tc>
        <w:tc>
          <w:tcPr>
            <w:tcW w:w="8602" w:type="dxa"/>
            <w:gridSpan w:val="2"/>
            <w:tcBorders>
              <w:top w:val="single" w:color="000000" w:sz="4" w:space="0"/>
              <w:right w:val="single" w:color="000000" w:sz="12" w:space="0"/>
            </w:tcBorders>
            <w:vAlign w:val="top"/>
          </w:tcPr>
          <w:p w14:paraId="5EE9124C">
            <w:pPr>
              <w:pStyle w:val="12"/>
              <w:spacing w:before="75" w:line="188" w:lineRule="auto"/>
              <w:ind w:left="307"/>
              <w:rPr>
                <w:color w:val="auto"/>
                <w:highlight w:val="none"/>
              </w:rPr>
            </w:pPr>
            <w:r>
              <w:rPr>
                <w:color w:val="auto"/>
                <w:spacing w:val="-2"/>
                <w:highlight w:val="none"/>
              </w:rPr>
              <w:t>3、因供应商自身原因耽搁领取，超过退还时限，不承担延后退还责任。</w:t>
            </w:r>
          </w:p>
        </w:tc>
      </w:tr>
      <w:tr w14:paraId="1C296E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5" w:hRule="atLeast"/>
        </w:trPr>
        <w:tc>
          <w:tcPr>
            <w:tcW w:w="704" w:type="dxa"/>
            <w:tcBorders>
              <w:left w:val="single" w:color="000000" w:sz="12" w:space="0"/>
            </w:tcBorders>
            <w:vAlign w:val="top"/>
          </w:tcPr>
          <w:p w14:paraId="398BB44E">
            <w:pPr>
              <w:spacing w:line="285" w:lineRule="auto"/>
              <w:rPr>
                <w:rFonts w:ascii="Arial"/>
                <w:color w:val="auto"/>
                <w:sz w:val="21"/>
                <w:highlight w:val="none"/>
              </w:rPr>
            </w:pPr>
          </w:p>
          <w:p w14:paraId="2F387716">
            <w:pPr>
              <w:spacing w:line="285" w:lineRule="auto"/>
              <w:rPr>
                <w:rFonts w:ascii="Arial"/>
                <w:color w:val="auto"/>
                <w:sz w:val="21"/>
                <w:highlight w:val="none"/>
              </w:rPr>
            </w:pPr>
          </w:p>
          <w:p w14:paraId="5CF5DECC">
            <w:pPr>
              <w:spacing w:line="285" w:lineRule="auto"/>
              <w:rPr>
                <w:rFonts w:ascii="Arial"/>
                <w:color w:val="auto"/>
                <w:sz w:val="21"/>
                <w:highlight w:val="none"/>
              </w:rPr>
            </w:pPr>
          </w:p>
          <w:p w14:paraId="2A5FD69B">
            <w:pPr>
              <w:pStyle w:val="12"/>
              <w:spacing w:before="90" w:line="159" w:lineRule="auto"/>
              <w:ind w:left="248"/>
              <w:rPr>
                <w:color w:val="auto"/>
                <w:highlight w:val="none"/>
              </w:rPr>
            </w:pPr>
            <w:r>
              <w:rPr>
                <w:color w:val="auto"/>
                <w:spacing w:val="-15"/>
                <w:highlight w:val="none"/>
              </w:rPr>
              <w:t>16</w:t>
            </w:r>
          </w:p>
        </w:tc>
        <w:tc>
          <w:tcPr>
            <w:tcW w:w="1793" w:type="dxa"/>
            <w:vAlign w:val="top"/>
          </w:tcPr>
          <w:p w14:paraId="42DAE2C2">
            <w:pPr>
              <w:spacing w:line="272" w:lineRule="auto"/>
              <w:rPr>
                <w:rFonts w:ascii="Arial"/>
                <w:color w:val="auto"/>
                <w:sz w:val="21"/>
                <w:highlight w:val="none"/>
              </w:rPr>
            </w:pPr>
          </w:p>
          <w:p w14:paraId="0A588061">
            <w:pPr>
              <w:spacing w:line="273" w:lineRule="auto"/>
              <w:rPr>
                <w:rFonts w:ascii="Arial"/>
                <w:color w:val="auto"/>
                <w:sz w:val="21"/>
                <w:highlight w:val="none"/>
              </w:rPr>
            </w:pPr>
          </w:p>
          <w:p w14:paraId="598CBC92">
            <w:pPr>
              <w:spacing w:line="273" w:lineRule="auto"/>
              <w:rPr>
                <w:rFonts w:ascii="Arial"/>
                <w:color w:val="auto"/>
                <w:sz w:val="21"/>
                <w:highlight w:val="none"/>
              </w:rPr>
            </w:pPr>
          </w:p>
          <w:p w14:paraId="3C49BF31">
            <w:pPr>
              <w:pStyle w:val="12"/>
              <w:spacing w:before="90" w:line="189" w:lineRule="auto"/>
              <w:ind w:left="99"/>
              <w:rPr>
                <w:color w:val="auto"/>
                <w:highlight w:val="none"/>
              </w:rPr>
            </w:pPr>
            <w:r>
              <w:rPr>
                <w:color w:val="auto"/>
                <w:spacing w:val="-2"/>
                <w:highlight w:val="none"/>
              </w:rPr>
              <w:t>投标文件形式</w:t>
            </w:r>
          </w:p>
        </w:tc>
        <w:tc>
          <w:tcPr>
            <w:tcW w:w="6809" w:type="dxa"/>
            <w:tcBorders>
              <w:right w:val="single" w:color="000000" w:sz="12" w:space="0"/>
            </w:tcBorders>
            <w:vAlign w:val="top"/>
          </w:tcPr>
          <w:p w14:paraId="413FB46C">
            <w:pPr>
              <w:pStyle w:val="12"/>
              <w:spacing w:before="43" w:line="192" w:lineRule="auto"/>
              <w:ind w:left="105" w:right="104" w:firstLine="23"/>
              <w:rPr>
                <w:color w:val="auto"/>
                <w:highlight w:val="none"/>
              </w:rPr>
            </w:pPr>
            <w:r>
              <w:rPr>
                <w:color w:val="auto"/>
                <w:spacing w:val="-3"/>
                <w:highlight w:val="none"/>
              </w:rPr>
              <w:t>电子投标文件包括“</w:t>
            </w:r>
            <w:r>
              <w:rPr>
                <w:color w:val="auto"/>
                <w:spacing w:val="-22"/>
                <w:highlight w:val="none"/>
              </w:rPr>
              <w:t xml:space="preserve"> </w:t>
            </w:r>
            <w:r>
              <w:rPr>
                <w:color w:val="auto"/>
                <w:spacing w:val="-3"/>
                <w:highlight w:val="none"/>
              </w:rPr>
              <w:t>电子加密投标文件</w:t>
            </w:r>
            <w:r>
              <w:rPr>
                <w:color w:val="auto"/>
                <w:spacing w:val="-32"/>
                <w:highlight w:val="none"/>
              </w:rPr>
              <w:t xml:space="preserve"> </w:t>
            </w:r>
            <w:r>
              <w:rPr>
                <w:color w:val="auto"/>
                <w:spacing w:val="-3"/>
                <w:highlight w:val="none"/>
              </w:rPr>
              <w:t>”和“</w:t>
            </w:r>
            <w:r>
              <w:rPr>
                <w:color w:val="auto"/>
                <w:spacing w:val="-43"/>
                <w:highlight w:val="none"/>
              </w:rPr>
              <w:t xml:space="preserve"> </w:t>
            </w:r>
            <w:r>
              <w:rPr>
                <w:color w:val="auto"/>
                <w:spacing w:val="-3"/>
                <w:highlight w:val="none"/>
              </w:rPr>
              <w:t>备份</w:t>
            </w:r>
            <w:r>
              <w:rPr>
                <w:color w:val="auto"/>
                <w:spacing w:val="-4"/>
                <w:highlight w:val="none"/>
              </w:rPr>
              <w:t>投标文件</w:t>
            </w:r>
            <w:r>
              <w:rPr>
                <w:color w:val="auto"/>
                <w:spacing w:val="-31"/>
                <w:highlight w:val="none"/>
              </w:rPr>
              <w:t xml:space="preserve"> </w:t>
            </w:r>
            <w:r>
              <w:rPr>
                <w:color w:val="auto"/>
                <w:spacing w:val="-4"/>
                <w:highlight w:val="none"/>
              </w:rPr>
              <w:t>”，</w:t>
            </w:r>
            <w:r>
              <w:rPr>
                <w:color w:val="auto"/>
                <w:spacing w:val="-42"/>
                <w:highlight w:val="none"/>
              </w:rPr>
              <w:t xml:space="preserve"> </w:t>
            </w:r>
            <w:r>
              <w:rPr>
                <w:color w:val="auto"/>
                <w:spacing w:val="-4"/>
                <w:highlight w:val="none"/>
              </w:rPr>
              <w:t>在投标</w:t>
            </w:r>
            <w:r>
              <w:rPr>
                <w:color w:val="auto"/>
                <w:highlight w:val="none"/>
              </w:rPr>
              <w:t xml:space="preserve"> </w:t>
            </w:r>
            <w:r>
              <w:rPr>
                <w:color w:val="auto"/>
                <w:spacing w:val="-4"/>
                <w:highlight w:val="none"/>
              </w:rPr>
              <w:t>文件编制完成后同时生成。</w:t>
            </w:r>
          </w:p>
          <w:p w14:paraId="5A763850">
            <w:pPr>
              <w:pStyle w:val="12"/>
              <w:spacing w:before="3" w:line="190" w:lineRule="auto"/>
              <w:ind w:left="105" w:right="91" w:firstLine="9"/>
              <w:rPr>
                <w:color w:val="auto"/>
                <w:highlight w:val="none"/>
              </w:rPr>
            </w:pPr>
            <w:r>
              <w:rPr>
                <w:color w:val="auto"/>
                <w:spacing w:val="-2"/>
                <w:highlight w:val="none"/>
              </w:rPr>
              <w:t>1、“电子加密投标文件”是指通过“政采云电子交易客户端”完成投标</w:t>
            </w:r>
            <w:r>
              <w:rPr>
                <w:color w:val="auto"/>
                <w:spacing w:val="7"/>
                <w:highlight w:val="none"/>
              </w:rPr>
              <w:t xml:space="preserve"> </w:t>
            </w:r>
            <w:r>
              <w:rPr>
                <w:color w:val="auto"/>
                <w:spacing w:val="-2"/>
                <w:highlight w:val="none"/>
              </w:rPr>
              <w:t>文件编制后生成并加密的数据电文形式的投标文件。</w:t>
            </w:r>
          </w:p>
          <w:p w14:paraId="5B12808C">
            <w:pPr>
              <w:pStyle w:val="12"/>
              <w:spacing w:before="9" w:line="180" w:lineRule="auto"/>
              <w:ind w:left="104" w:right="91" w:hanging="3"/>
              <w:rPr>
                <w:color w:val="auto"/>
                <w:highlight w:val="none"/>
              </w:rPr>
            </w:pPr>
            <w:r>
              <w:rPr>
                <w:color w:val="auto"/>
                <w:spacing w:val="-1"/>
                <w:highlight w:val="none"/>
              </w:rPr>
              <w:t>2、“备份投标文件”是指与“电子加密投标</w:t>
            </w:r>
            <w:r>
              <w:rPr>
                <w:color w:val="auto"/>
                <w:spacing w:val="-2"/>
                <w:highlight w:val="none"/>
              </w:rPr>
              <w:t>文件”同时生成的数据电文</w:t>
            </w:r>
            <w:r>
              <w:rPr>
                <w:color w:val="auto"/>
                <w:highlight w:val="none"/>
              </w:rPr>
              <w:t xml:space="preserve"> </w:t>
            </w:r>
            <w:r>
              <w:rPr>
                <w:color w:val="auto"/>
                <w:spacing w:val="2"/>
                <w:highlight w:val="none"/>
              </w:rPr>
              <w:t>形式的电子文件（备份标书，用于供应商标书解密异常时应急使用</w:t>
            </w:r>
            <w:r>
              <w:rPr>
                <w:color w:val="auto"/>
                <w:spacing w:val="-9"/>
                <w:highlight w:val="none"/>
              </w:rPr>
              <w:t>）</w:t>
            </w:r>
            <w:r>
              <w:rPr>
                <w:color w:val="auto"/>
                <w:spacing w:val="-27"/>
                <w:highlight w:val="none"/>
              </w:rPr>
              <w:t xml:space="preserve"> </w:t>
            </w:r>
            <w:r>
              <w:rPr>
                <w:color w:val="auto"/>
                <w:spacing w:val="-9"/>
                <w:highlight w:val="none"/>
              </w:rPr>
              <w:t>，</w:t>
            </w:r>
            <w:r>
              <w:rPr>
                <w:color w:val="auto"/>
                <w:highlight w:val="none"/>
              </w:rPr>
              <w:t xml:space="preserve"> </w:t>
            </w:r>
            <w:r>
              <w:rPr>
                <w:color w:val="auto"/>
                <w:spacing w:val="-2"/>
                <w:highlight w:val="none"/>
              </w:rPr>
              <w:t>其他方式编制的备份投标文件视为无效备份投标文件。</w:t>
            </w:r>
          </w:p>
        </w:tc>
      </w:tr>
      <w:tr w14:paraId="3C669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26AD026B">
            <w:pPr>
              <w:spacing w:line="284" w:lineRule="auto"/>
              <w:rPr>
                <w:rFonts w:ascii="Arial"/>
                <w:color w:val="auto"/>
                <w:sz w:val="21"/>
                <w:highlight w:val="none"/>
              </w:rPr>
            </w:pPr>
          </w:p>
          <w:p w14:paraId="634D8F58">
            <w:pPr>
              <w:pStyle w:val="12"/>
              <w:spacing w:before="91" w:line="160" w:lineRule="auto"/>
              <w:ind w:left="257"/>
              <w:rPr>
                <w:color w:val="auto"/>
                <w:highlight w:val="none"/>
              </w:rPr>
            </w:pPr>
            <w:r>
              <w:rPr>
                <w:color w:val="auto"/>
                <w:spacing w:val="-15"/>
                <w:highlight w:val="none"/>
              </w:rPr>
              <w:t>17</w:t>
            </w:r>
          </w:p>
        </w:tc>
        <w:tc>
          <w:tcPr>
            <w:tcW w:w="1793" w:type="dxa"/>
            <w:vAlign w:val="top"/>
          </w:tcPr>
          <w:p w14:paraId="01B3D380">
            <w:pPr>
              <w:pStyle w:val="12"/>
              <w:spacing w:before="193" w:line="192" w:lineRule="auto"/>
              <w:ind w:left="103" w:right="104" w:hanging="4"/>
              <w:rPr>
                <w:color w:val="auto"/>
                <w:highlight w:val="none"/>
              </w:rPr>
            </w:pPr>
            <w:r>
              <w:rPr>
                <w:color w:val="auto"/>
                <w:spacing w:val="14"/>
                <w:highlight w:val="none"/>
              </w:rPr>
              <w:t>投标文件份数及</w:t>
            </w:r>
            <w:r>
              <w:rPr>
                <w:color w:val="auto"/>
                <w:highlight w:val="none"/>
              </w:rPr>
              <w:t xml:space="preserve"> </w:t>
            </w:r>
            <w:r>
              <w:rPr>
                <w:color w:val="auto"/>
                <w:spacing w:val="-5"/>
                <w:highlight w:val="none"/>
              </w:rPr>
              <w:t>要求</w:t>
            </w:r>
          </w:p>
        </w:tc>
        <w:tc>
          <w:tcPr>
            <w:tcW w:w="6809" w:type="dxa"/>
            <w:tcBorders>
              <w:right w:val="single" w:color="000000" w:sz="12" w:space="0"/>
            </w:tcBorders>
            <w:vAlign w:val="top"/>
          </w:tcPr>
          <w:p w14:paraId="05715C20">
            <w:pPr>
              <w:pStyle w:val="12"/>
              <w:spacing w:before="49" w:line="189" w:lineRule="auto"/>
              <w:ind w:left="209" w:right="91" w:hanging="95"/>
              <w:rPr>
                <w:color w:val="auto"/>
                <w:highlight w:val="none"/>
              </w:rPr>
            </w:pPr>
            <w:r>
              <w:rPr>
                <w:color w:val="auto"/>
                <w:spacing w:val="-11"/>
                <w:highlight w:val="none"/>
              </w:rPr>
              <w:t>1 、</w:t>
            </w:r>
            <w:r>
              <w:rPr>
                <w:color w:val="auto"/>
                <w:spacing w:val="-15"/>
                <w:highlight w:val="none"/>
              </w:rPr>
              <w:t xml:space="preserve"> </w:t>
            </w:r>
            <w:r>
              <w:rPr>
                <w:color w:val="auto"/>
                <w:spacing w:val="-11"/>
                <w:highlight w:val="none"/>
              </w:rPr>
              <w:t>一 份</w:t>
            </w:r>
            <w:r>
              <w:rPr>
                <w:color w:val="auto"/>
                <w:spacing w:val="12"/>
                <w:highlight w:val="none"/>
              </w:rPr>
              <w:t xml:space="preserve"> </w:t>
            </w:r>
            <w:r>
              <w:rPr>
                <w:color w:val="auto"/>
                <w:spacing w:val="-11"/>
                <w:highlight w:val="none"/>
              </w:rPr>
              <w:t>电 子 加 密 标 书（ “ .jmbs ”</w:t>
            </w:r>
            <w:r>
              <w:rPr>
                <w:color w:val="auto"/>
                <w:spacing w:val="-39"/>
                <w:highlight w:val="none"/>
              </w:rPr>
              <w:t xml:space="preserve"> </w:t>
            </w:r>
            <w:r>
              <w:rPr>
                <w:color w:val="auto"/>
                <w:spacing w:val="-11"/>
                <w:highlight w:val="none"/>
              </w:rPr>
              <w:t xml:space="preserve">格 式 </w:t>
            </w:r>
            <w:r>
              <w:rPr>
                <w:color w:val="auto"/>
                <w:spacing w:val="-17"/>
                <w:highlight w:val="none"/>
              </w:rPr>
              <w:t>）</w:t>
            </w:r>
            <w:r>
              <w:rPr>
                <w:color w:val="auto"/>
                <w:spacing w:val="-15"/>
                <w:highlight w:val="none"/>
              </w:rPr>
              <w:t xml:space="preserve"> </w:t>
            </w:r>
            <w:r>
              <w:rPr>
                <w:color w:val="auto"/>
                <w:spacing w:val="-17"/>
                <w:highlight w:val="none"/>
              </w:rPr>
              <w:t>，</w:t>
            </w:r>
            <w:r>
              <w:rPr>
                <w:color w:val="auto"/>
                <w:spacing w:val="-6"/>
                <w:highlight w:val="none"/>
              </w:rPr>
              <w:t xml:space="preserve"> </w:t>
            </w:r>
            <w:r>
              <w:rPr>
                <w:color w:val="auto"/>
                <w:spacing w:val="-11"/>
                <w:highlight w:val="none"/>
              </w:rPr>
              <w:t>一 份 备 份 标 书 文 件</w:t>
            </w:r>
            <w:r>
              <w:rPr>
                <w:color w:val="auto"/>
                <w:highlight w:val="none"/>
              </w:rPr>
              <w:t xml:space="preserve"> </w:t>
            </w:r>
            <w:r>
              <w:rPr>
                <w:color w:val="auto"/>
                <w:spacing w:val="-11"/>
                <w:highlight w:val="none"/>
              </w:rPr>
              <w:t>（“</w:t>
            </w:r>
            <w:r>
              <w:rPr>
                <w:color w:val="auto"/>
                <w:spacing w:val="-34"/>
                <w:highlight w:val="none"/>
              </w:rPr>
              <w:t xml:space="preserve"> </w:t>
            </w:r>
            <w:r>
              <w:rPr>
                <w:color w:val="auto"/>
                <w:spacing w:val="-11"/>
                <w:highlight w:val="none"/>
              </w:rPr>
              <w:t>.bfbs”格式）。</w:t>
            </w:r>
          </w:p>
          <w:p w14:paraId="00CDEEDC">
            <w:pPr>
              <w:pStyle w:val="12"/>
              <w:spacing w:before="11" w:line="229" w:lineRule="exact"/>
              <w:ind w:left="101"/>
              <w:rPr>
                <w:color w:val="auto"/>
                <w:highlight w:val="none"/>
              </w:rPr>
            </w:pPr>
            <w:r>
              <w:rPr>
                <w:color w:val="auto"/>
                <w:spacing w:val="-2"/>
                <w:highlight w:val="none"/>
              </w:rPr>
              <w:t>2、每份电子投标文件应包括资格证明文件和商务及技术文件两部分。</w:t>
            </w:r>
          </w:p>
        </w:tc>
      </w:tr>
      <w:tr w14:paraId="63921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7" w:hRule="atLeast"/>
        </w:trPr>
        <w:tc>
          <w:tcPr>
            <w:tcW w:w="704" w:type="dxa"/>
            <w:vMerge w:val="restart"/>
            <w:tcBorders>
              <w:left w:val="single" w:color="000000" w:sz="12" w:space="0"/>
              <w:bottom w:val="nil"/>
            </w:tcBorders>
            <w:vAlign w:val="top"/>
          </w:tcPr>
          <w:p w14:paraId="14EC2C83">
            <w:pPr>
              <w:spacing w:line="260" w:lineRule="auto"/>
              <w:rPr>
                <w:rFonts w:ascii="Arial"/>
                <w:color w:val="auto"/>
                <w:sz w:val="21"/>
                <w:highlight w:val="none"/>
              </w:rPr>
            </w:pPr>
          </w:p>
          <w:p w14:paraId="5C07E2D5">
            <w:pPr>
              <w:spacing w:line="260" w:lineRule="auto"/>
              <w:rPr>
                <w:rFonts w:ascii="Arial"/>
                <w:color w:val="auto"/>
                <w:sz w:val="21"/>
                <w:highlight w:val="none"/>
              </w:rPr>
            </w:pPr>
          </w:p>
          <w:p w14:paraId="536EEFCD">
            <w:pPr>
              <w:spacing w:line="260" w:lineRule="auto"/>
              <w:rPr>
                <w:rFonts w:ascii="Arial"/>
                <w:color w:val="auto"/>
                <w:sz w:val="21"/>
                <w:highlight w:val="none"/>
              </w:rPr>
            </w:pPr>
          </w:p>
          <w:p w14:paraId="141A9F4F">
            <w:pPr>
              <w:spacing w:line="260" w:lineRule="auto"/>
              <w:rPr>
                <w:rFonts w:ascii="Arial"/>
                <w:color w:val="auto"/>
                <w:sz w:val="21"/>
                <w:highlight w:val="none"/>
              </w:rPr>
            </w:pPr>
          </w:p>
          <w:p w14:paraId="37F7ED48">
            <w:pPr>
              <w:spacing w:line="260" w:lineRule="auto"/>
              <w:rPr>
                <w:rFonts w:ascii="Arial"/>
                <w:color w:val="auto"/>
                <w:sz w:val="21"/>
                <w:highlight w:val="none"/>
              </w:rPr>
            </w:pPr>
          </w:p>
          <w:p w14:paraId="2A00D463">
            <w:pPr>
              <w:spacing w:line="260" w:lineRule="auto"/>
              <w:rPr>
                <w:rFonts w:ascii="Arial"/>
                <w:color w:val="auto"/>
                <w:sz w:val="21"/>
                <w:highlight w:val="none"/>
              </w:rPr>
            </w:pPr>
          </w:p>
          <w:p w14:paraId="52D92386">
            <w:pPr>
              <w:spacing w:line="260" w:lineRule="auto"/>
              <w:rPr>
                <w:rFonts w:ascii="Arial"/>
                <w:color w:val="auto"/>
                <w:sz w:val="21"/>
                <w:highlight w:val="none"/>
              </w:rPr>
            </w:pPr>
          </w:p>
          <w:p w14:paraId="40C9B383">
            <w:pPr>
              <w:spacing w:line="260" w:lineRule="auto"/>
              <w:rPr>
                <w:rFonts w:ascii="Arial"/>
                <w:color w:val="auto"/>
                <w:sz w:val="21"/>
                <w:highlight w:val="none"/>
              </w:rPr>
            </w:pPr>
          </w:p>
          <w:p w14:paraId="7D6490A3">
            <w:pPr>
              <w:spacing w:line="260" w:lineRule="auto"/>
              <w:rPr>
                <w:rFonts w:ascii="Arial"/>
                <w:color w:val="auto"/>
                <w:sz w:val="21"/>
                <w:highlight w:val="none"/>
              </w:rPr>
            </w:pPr>
          </w:p>
          <w:p w14:paraId="660601C1">
            <w:pPr>
              <w:spacing w:line="261" w:lineRule="auto"/>
              <w:rPr>
                <w:rFonts w:ascii="Arial"/>
                <w:color w:val="auto"/>
                <w:sz w:val="21"/>
                <w:highlight w:val="none"/>
              </w:rPr>
            </w:pPr>
          </w:p>
          <w:p w14:paraId="4ECDB513">
            <w:pPr>
              <w:pStyle w:val="12"/>
              <w:spacing w:before="90" w:line="159" w:lineRule="auto"/>
              <w:ind w:left="257"/>
              <w:rPr>
                <w:color w:val="auto"/>
                <w:highlight w:val="none"/>
              </w:rPr>
            </w:pPr>
            <w:r>
              <w:rPr>
                <w:color w:val="auto"/>
                <w:spacing w:val="-15"/>
                <w:highlight w:val="none"/>
              </w:rPr>
              <w:t>18</w:t>
            </w:r>
          </w:p>
        </w:tc>
        <w:tc>
          <w:tcPr>
            <w:tcW w:w="1793" w:type="dxa"/>
            <w:vMerge w:val="restart"/>
            <w:tcBorders>
              <w:bottom w:val="nil"/>
            </w:tcBorders>
            <w:vAlign w:val="top"/>
          </w:tcPr>
          <w:p w14:paraId="720D1971">
            <w:pPr>
              <w:spacing w:line="242" w:lineRule="auto"/>
              <w:rPr>
                <w:rFonts w:ascii="Arial"/>
                <w:color w:val="auto"/>
                <w:sz w:val="21"/>
                <w:highlight w:val="none"/>
              </w:rPr>
            </w:pPr>
          </w:p>
          <w:p w14:paraId="0C81EE9C">
            <w:pPr>
              <w:spacing w:line="242" w:lineRule="auto"/>
              <w:rPr>
                <w:rFonts w:ascii="Arial"/>
                <w:color w:val="auto"/>
                <w:sz w:val="21"/>
                <w:highlight w:val="none"/>
              </w:rPr>
            </w:pPr>
          </w:p>
          <w:p w14:paraId="23973A0B">
            <w:pPr>
              <w:spacing w:line="242" w:lineRule="auto"/>
              <w:rPr>
                <w:rFonts w:ascii="Arial"/>
                <w:color w:val="auto"/>
                <w:sz w:val="21"/>
                <w:highlight w:val="none"/>
              </w:rPr>
            </w:pPr>
          </w:p>
          <w:p w14:paraId="4BEDD538">
            <w:pPr>
              <w:spacing w:line="242" w:lineRule="auto"/>
              <w:rPr>
                <w:rFonts w:ascii="Arial"/>
                <w:color w:val="auto"/>
                <w:sz w:val="21"/>
                <w:highlight w:val="none"/>
              </w:rPr>
            </w:pPr>
          </w:p>
          <w:p w14:paraId="67611C5A">
            <w:pPr>
              <w:spacing w:line="242" w:lineRule="auto"/>
              <w:rPr>
                <w:rFonts w:ascii="Arial"/>
                <w:color w:val="auto"/>
                <w:sz w:val="21"/>
                <w:highlight w:val="none"/>
              </w:rPr>
            </w:pPr>
          </w:p>
          <w:p w14:paraId="454FC314">
            <w:pPr>
              <w:spacing w:line="242" w:lineRule="auto"/>
              <w:rPr>
                <w:rFonts w:ascii="Arial"/>
                <w:color w:val="auto"/>
                <w:sz w:val="21"/>
                <w:highlight w:val="none"/>
              </w:rPr>
            </w:pPr>
          </w:p>
          <w:p w14:paraId="6F8EC44F">
            <w:pPr>
              <w:spacing w:line="242" w:lineRule="auto"/>
              <w:rPr>
                <w:rFonts w:ascii="Arial"/>
                <w:color w:val="auto"/>
                <w:sz w:val="21"/>
                <w:highlight w:val="none"/>
              </w:rPr>
            </w:pPr>
          </w:p>
          <w:p w14:paraId="4F08A2DB">
            <w:pPr>
              <w:spacing w:line="242" w:lineRule="auto"/>
              <w:rPr>
                <w:rFonts w:ascii="Arial"/>
                <w:color w:val="auto"/>
                <w:sz w:val="21"/>
                <w:highlight w:val="none"/>
              </w:rPr>
            </w:pPr>
          </w:p>
          <w:p w14:paraId="01864CB5">
            <w:pPr>
              <w:spacing w:line="242" w:lineRule="auto"/>
              <w:rPr>
                <w:rFonts w:ascii="Arial"/>
                <w:color w:val="auto"/>
                <w:sz w:val="21"/>
                <w:highlight w:val="none"/>
              </w:rPr>
            </w:pPr>
          </w:p>
          <w:p w14:paraId="6274C5F6">
            <w:pPr>
              <w:spacing w:line="242" w:lineRule="auto"/>
              <w:rPr>
                <w:rFonts w:ascii="Arial"/>
                <w:color w:val="auto"/>
                <w:sz w:val="21"/>
                <w:highlight w:val="none"/>
              </w:rPr>
            </w:pPr>
          </w:p>
          <w:p w14:paraId="778A4011">
            <w:pPr>
              <w:pStyle w:val="12"/>
              <w:spacing w:before="90" w:line="192" w:lineRule="auto"/>
              <w:ind w:left="99" w:right="104"/>
              <w:rPr>
                <w:color w:val="auto"/>
                <w:highlight w:val="none"/>
              </w:rPr>
            </w:pPr>
            <w:r>
              <w:rPr>
                <w:color w:val="auto"/>
                <w:spacing w:val="14"/>
                <w:highlight w:val="none"/>
              </w:rPr>
              <w:t>投标文件的上传</w:t>
            </w:r>
            <w:r>
              <w:rPr>
                <w:color w:val="auto"/>
                <w:highlight w:val="none"/>
              </w:rPr>
              <w:t xml:space="preserve"> </w:t>
            </w:r>
            <w:r>
              <w:rPr>
                <w:color w:val="auto"/>
                <w:spacing w:val="-4"/>
                <w:highlight w:val="none"/>
              </w:rPr>
              <w:t>和递交</w:t>
            </w:r>
          </w:p>
        </w:tc>
        <w:tc>
          <w:tcPr>
            <w:tcW w:w="6809" w:type="dxa"/>
            <w:tcBorders>
              <w:right w:val="single" w:color="000000" w:sz="12" w:space="0"/>
            </w:tcBorders>
            <w:vAlign w:val="top"/>
          </w:tcPr>
          <w:p w14:paraId="704B7ECB">
            <w:pPr>
              <w:pStyle w:val="12"/>
              <w:spacing w:before="50" w:line="192" w:lineRule="auto"/>
              <w:ind w:left="105" w:right="91" w:firstLine="9"/>
              <w:jc w:val="both"/>
              <w:rPr>
                <w:color w:val="auto"/>
                <w:highlight w:val="none"/>
              </w:rPr>
            </w:pPr>
            <w:r>
              <w:rPr>
                <w:color w:val="auto"/>
                <w:highlight w:val="none"/>
              </w:rPr>
              <w:t>1.</w:t>
            </w:r>
            <w:r>
              <w:rPr>
                <w:color w:val="auto"/>
                <w:spacing w:val="-5"/>
                <w:highlight w:val="none"/>
              </w:rPr>
              <w:t xml:space="preserve"> </w:t>
            </w:r>
            <w:r>
              <w:rPr>
                <w:color w:val="auto"/>
                <w:highlight w:val="none"/>
              </w:rPr>
              <w:t>电子加密投标文件：</w:t>
            </w:r>
            <w:r>
              <w:rPr>
                <w:color w:val="auto"/>
                <w:spacing w:val="-39"/>
                <w:highlight w:val="none"/>
              </w:rPr>
              <w:t xml:space="preserve"> </w:t>
            </w:r>
            <w:r>
              <w:rPr>
                <w:color w:val="auto"/>
                <w:highlight w:val="none"/>
              </w:rPr>
              <w:t>投标文件制作完成并生成加密标书，</w:t>
            </w:r>
            <w:r>
              <w:rPr>
                <w:color w:val="auto"/>
                <w:spacing w:val="-40"/>
                <w:highlight w:val="none"/>
              </w:rPr>
              <w:t xml:space="preserve"> </w:t>
            </w:r>
            <w:r>
              <w:rPr>
                <w:color w:val="auto"/>
                <w:highlight w:val="none"/>
              </w:rPr>
              <w:t xml:space="preserve">在投标截止 </w:t>
            </w:r>
            <w:r>
              <w:rPr>
                <w:color w:val="auto"/>
                <w:spacing w:val="1"/>
                <w:highlight w:val="none"/>
              </w:rPr>
              <w:t>时间前，</w:t>
            </w:r>
            <w:r>
              <w:rPr>
                <w:color w:val="auto"/>
                <w:spacing w:val="-39"/>
                <w:highlight w:val="none"/>
              </w:rPr>
              <w:t xml:space="preserve"> </w:t>
            </w:r>
            <w:r>
              <w:rPr>
                <w:color w:val="auto"/>
                <w:spacing w:val="1"/>
                <w:highlight w:val="none"/>
              </w:rPr>
              <w:t>供应商需将加密的投标文件上传至政采云平台，</w:t>
            </w:r>
            <w:r>
              <w:rPr>
                <w:color w:val="auto"/>
                <w:spacing w:val="-41"/>
                <w:highlight w:val="none"/>
              </w:rPr>
              <w:t xml:space="preserve"> </w:t>
            </w:r>
            <w:r>
              <w:rPr>
                <w:b/>
                <w:bCs/>
                <w:color w:val="auto"/>
                <w:spacing w:val="1"/>
                <w:highlight w:val="none"/>
                <w:u w:val="single" w:color="auto"/>
              </w:rPr>
              <w:t>在开标时间开</w:t>
            </w:r>
            <w:r>
              <w:rPr>
                <w:b/>
                <w:bCs/>
                <w:color w:val="auto"/>
                <w:highlight w:val="none"/>
              </w:rPr>
              <w:t xml:space="preserve"> </w:t>
            </w:r>
            <w:r>
              <w:rPr>
                <w:b/>
                <w:bCs/>
                <w:color w:val="auto"/>
                <w:spacing w:val="-3"/>
                <w:highlight w:val="none"/>
                <w:u w:val="single" w:color="auto"/>
              </w:rPr>
              <w:t>始后，待采购组织机构发出解密通知后 30 分钟内解密投标文件。</w:t>
            </w:r>
          </w:p>
          <w:p w14:paraId="1DC9F3DB">
            <w:pPr>
              <w:pStyle w:val="12"/>
              <w:spacing w:before="4" w:line="188" w:lineRule="auto"/>
              <w:jc w:val="right"/>
              <w:rPr>
                <w:color w:val="auto"/>
                <w:highlight w:val="none"/>
              </w:rPr>
            </w:pPr>
            <w:r>
              <w:rPr>
                <w:color w:val="auto"/>
                <w:highlight w:val="none"/>
              </w:rPr>
              <w:t>a.供应商未能在投标截止时间前成功上传电子加密投标文件的投标无效。</w:t>
            </w:r>
          </w:p>
          <w:p w14:paraId="789874AE">
            <w:pPr>
              <w:pStyle w:val="12"/>
              <w:spacing w:before="7" w:line="227" w:lineRule="exact"/>
              <w:ind w:right="11"/>
              <w:jc w:val="right"/>
              <w:rPr>
                <w:color w:val="auto"/>
                <w:highlight w:val="none"/>
              </w:rPr>
            </w:pPr>
            <w:r>
              <w:rPr>
                <w:color w:val="auto"/>
                <w:spacing w:val="-1"/>
                <w:position w:val="-1"/>
                <w:highlight w:val="none"/>
              </w:rPr>
              <w:t>b.供应商成功上传电子加密投标文件后，可自行打印投标文件接收回执。</w:t>
            </w:r>
          </w:p>
        </w:tc>
      </w:tr>
      <w:tr w14:paraId="558C1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1" w:hRule="atLeast"/>
        </w:trPr>
        <w:tc>
          <w:tcPr>
            <w:tcW w:w="704" w:type="dxa"/>
            <w:vMerge w:val="continue"/>
            <w:tcBorders>
              <w:top w:val="nil"/>
              <w:left w:val="single" w:color="000000" w:sz="12" w:space="0"/>
            </w:tcBorders>
            <w:vAlign w:val="top"/>
          </w:tcPr>
          <w:p w14:paraId="0940473A">
            <w:pPr>
              <w:rPr>
                <w:rFonts w:ascii="Arial"/>
                <w:color w:val="auto"/>
                <w:sz w:val="21"/>
                <w:highlight w:val="none"/>
              </w:rPr>
            </w:pPr>
          </w:p>
        </w:tc>
        <w:tc>
          <w:tcPr>
            <w:tcW w:w="1793" w:type="dxa"/>
            <w:vMerge w:val="continue"/>
            <w:tcBorders>
              <w:top w:val="nil"/>
            </w:tcBorders>
            <w:vAlign w:val="top"/>
          </w:tcPr>
          <w:p w14:paraId="1C73A817">
            <w:pPr>
              <w:rPr>
                <w:rFonts w:ascii="Arial"/>
                <w:color w:val="auto"/>
                <w:sz w:val="21"/>
                <w:highlight w:val="none"/>
              </w:rPr>
            </w:pPr>
          </w:p>
        </w:tc>
        <w:tc>
          <w:tcPr>
            <w:tcW w:w="6809" w:type="dxa"/>
            <w:tcBorders>
              <w:right w:val="single" w:color="000000" w:sz="12" w:space="0"/>
            </w:tcBorders>
            <w:vAlign w:val="top"/>
          </w:tcPr>
          <w:p w14:paraId="58C4F4D8">
            <w:pPr>
              <w:pStyle w:val="12"/>
              <w:spacing w:before="51" w:line="193" w:lineRule="auto"/>
              <w:ind w:left="104" w:right="33" w:hanging="3"/>
              <w:rPr>
                <w:color w:val="auto"/>
                <w:highlight w:val="none"/>
              </w:rPr>
            </w:pPr>
            <w:r>
              <w:rPr>
                <w:color w:val="auto"/>
                <w:spacing w:val="3"/>
                <w:highlight w:val="none"/>
              </w:rPr>
              <w:t>2.备份投标文件：</w:t>
            </w:r>
            <w:r>
              <w:rPr>
                <w:color w:val="auto"/>
                <w:spacing w:val="-37"/>
                <w:highlight w:val="none"/>
              </w:rPr>
              <w:t xml:space="preserve"> </w:t>
            </w:r>
            <w:r>
              <w:rPr>
                <w:color w:val="auto"/>
                <w:spacing w:val="3"/>
                <w:highlight w:val="none"/>
              </w:rPr>
              <w:t>供应商在投标截止时间前将加密的投标</w:t>
            </w:r>
            <w:r>
              <w:rPr>
                <w:color w:val="auto"/>
                <w:spacing w:val="2"/>
                <w:highlight w:val="none"/>
              </w:rPr>
              <w:t>文件上传至政</w:t>
            </w:r>
            <w:r>
              <w:rPr>
                <w:color w:val="auto"/>
                <w:highlight w:val="none"/>
              </w:rPr>
              <w:t xml:space="preserve">  </w:t>
            </w:r>
            <w:r>
              <w:rPr>
                <w:color w:val="auto"/>
                <w:spacing w:val="2"/>
                <w:highlight w:val="none"/>
              </w:rPr>
              <w:t>府采购云平台，</w:t>
            </w:r>
            <w:r>
              <w:rPr>
                <w:color w:val="auto"/>
                <w:spacing w:val="-39"/>
                <w:highlight w:val="none"/>
              </w:rPr>
              <w:t xml:space="preserve"> </w:t>
            </w:r>
            <w:r>
              <w:rPr>
                <w:color w:val="auto"/>
                <w:spacing w:val="2"/>
                <w:highlight w:val="none"/>
              </w:rPr>
              <w:t>还可以在投标截止时间前以电子</w:t>
            </w:r>
            <w:r>
              <w:rPr>
                <w:color w:val="auto"/>
                <w:spacing w:val="1"/>
                <w:highlight w:val="none"/>
              </w:rPr>
              <w:t>邮件方式提供备份投标</w:t>
            </w:r>
            <w:r>
              <w:rPr>
                <w:color w:val="auto"/>
                <w:highlight w:val="none"/>
              </w:rPr>
              <w:t xml:space="preserve">  </w:t>
            </w:r>
            <w:r>
              <w:rPr>
                <w:color w:val="auto"/>
                <w:spacing w:val="-18"/>
                <w:highlight w:val="none"/>
              </w:rPr>
              <w:t>文件</w:t>
            </w:r>
            <w:r>
              <w:rPr>
                <w:color w:val="auto"/>
                <w:spacing w:val="30"/>
                <w:highlight w:val="none"/>
              </w:rPr>
              <w:t xml:space="preserve"> </w:t>
            </w:r>
            <w:r>
              <w:rPr>
                <w:color w:val="auto"/>
                <w:spacing w:val="-18"/>
                <w:highlight w:val="none"/>
              </w:rPr>
              <w:t>1 份（</w:t>
            </w:r>
            <w:r>
              <w:rPr>
                <w:b/>
                <w:bCs/>
                <w:color w:val="auto"/>
                <w:spacing w:val="-18"/>
                <w:highlight w:val="none"/>
              </w:rPr>
              <w:t>接收人邮箱：</w:t>
            </w:r>
            <w:r>
              <w:rPr>
                <w:rFonts w:hint="eastAsia"/>
                <w:b/>
                <w:bCs/>
                <w:color w:val="auto"/>
                <w:spacing w:val="-18"/>
                <w:highlight w:val="none"/>
                <w:lang w:val="en-US" w:eastAsia="zh-CN"/>
              </w:rPr>
              <w:t>603805586</w:t>
            </w:r>
            <w:r>
              <w:rPr>
                <w:b/>
                <w:bCs/>
                <w:color w:val="auto"/>
                <w:spacing w:val="-18"/>
                <w:highlight w:val="none"/>
              </w:rPr>
              <w:t>@qq.com，接收人：</w:t>
            </w:r>
            <w:r>
              <w:rPr>
                <w:rFonts w:hint="eastAsia"/>
                <w:b/>
                <w:bCs/>
                <w:color w:val="auto"/>
                <w:spacing w:val="-18"/>
                <w:highlight w:val="none"/>
                <w:lang w:eastAsia="zh-CN"/>
              </w:rPr>
              <w:t>张先生</w:t>
            </w:r>
            <w:r>
              <w:rPr>
                <w:b/>
                <w:bCs/>
                <w:color w:val="auto"/>
                <w:spacing w:val="-18"/>
                <w:highlight w:val="none"/>
              </w:rPr>
              <w:t xml:space="preserve">  ，电话</w:t>
            </w:r>
            <w:r>
              <w:rPr>
                <w:b/>
                <w:bCs/>
                <w:color w:val="auto"/>
                <w:spacing w:val="29"/>
                <w:highlight w:val="none"/>
              </w:rPr>
              <w:t xml:space="preserve"> </w:t>
            </w:r>
            <w:r>
              <w:rPr>
                <w:b/>
                <w:bCs/>
                <w:color w:val="auto"/>
                <w:spacing w:val="-18"/>
                <w:highlight w:val="none"/>
              </w:rPr>
              <w:t>：</w:t>
            </w:r>
            <w:r>
              <w:rPr>
                <w:b/>
                <w:bCs/>
                <w:color w:val="auto"/>
                <w:highlight w:val="none"/>
              </w:rPr>
              <w:t xml:space="preserve"> </w:t>
            </w:r>
            <w:r>
              <w:rPr>
                <w:rFonts w:hint="eastAsia"/>
                <w:b/>
                <w:bCs/>
                <w:color w:val="auto"/>
                <w:spacing w:val="-7"/>
                <w:highlight w:val="none"/>
                <w:lang w:eastAsia="zh-CN"/>
              </w:rPr>
              <w:t>18652955232</w:t>
            </w:r>
            <w:r>
              <w:rPr>
                <w:b/>
                <w:bCs/>
                <w:color w:val="auto"/>
                <w:spacing w:val="-28"/>
                <w:highlight w:val="none"/>
              </w:rPr>
              <w:t>）</w:t>
            </w:r>
            <w:r>
              <w:rPr>
                <w:color w:val="auto"/>
                <w:spacing w:val="-28"/>
                <w:highlight w:val="none"/>
              </w:rPr>
              <w:t>，</w:t>
            </w:r>
            <w:r>
              <w:rPr>
                <w:color w:val="auto"/>
                <w:spacing w:val="-7"/>
                <w:highlight w:val="none"/>
              </w:rPr>
              <w:t>“备份投标文件”由供应商自愿提供，采购文件不作强</w:t>
            </w:r>
            <w:r>
              <w:rPr>
                <w:color w:val="auto"/>
                <w:highlight w:val="none"/>
              </w:rPr>
              <w:t xml:space="preserve">  制性要求；</w:t>
            </w:r>
            <w:r>
              <w:rPr>
                <w:color w:val="auto"/>
                <w:spacing w:val="-33"/>
                <w:highlight w:val="none"/>
              </w:rPr>
              <w:t xml:space="preserve"> </w:t>
            </w:r>
            <w:r>
              <w:rPr>
                <w:color w:val="auto"/>
                <w:highlight w:val="none"/>
              </w:rPr>
              <w:t>如不提供或未按要求提供的，</w:t>
            </w:r>
            <w:r>
              <w:rPr>
                <w:color w:val="auto"/>
                <w:spacing w:val="-20"/>
                <w:highlight w:val="none"/>
              </w:rPr>
              <w:t xml:space="preserve"> </w:t>
            </w:r>
            <w:r>
              <w:rPr>
                <w:color w:val="auto"/>
                <w:highlight w:val="none"/>
              </w:rPr>
              <w:t xml:space="preserve">当电子投标文件无法解密时，  </w:t>
            </w:r>
            <w:r>
              <w:rPr>
                <w:color w:val="auto"/>
                <w:spacing w:val="-3"/>
                <w:highlight w:val="none"/>
              </w:rPr>
              <w:t>将导致无备份投标文件而失去投标资格。</w:t>
            </w:r>
          </w:p>
          <w:p w14:paraId="750508F1">
            <w:pPr>
              <w:pStyle w:val="12"/>
              <w:spacing w:before="6" w:line="192" w:lineRule="auto"/>
              <w:ind w:left="105" w:right="30" w:hanging="5"/>
              <w:rPr>
                <w:color w:val="auto"/>
                <w:highlight w:val="none"/>
              </w:rPr>
            </w:pPr>
            <w:r>
              <w:rPr>
                <w:color w:val="auto"/>
                <w:spacing w:val="-1"/>
                <w:highlight w:val="none"/>
              </w:rPr>
              <w:t>a.备份投标文件提供要求：供应商可以将备份投标文件打包压缩并加密，</w:t>
            </w:r>
            <w:r>
              <w:rPr>
                <w:color w:val="auto"/>
                <w:spacing w:val="8"/>
                <w:highlight w:val="none"/>
              </w:rPr>
              <w:t xml:space="preserve"> </w:t>
            </w:r>
            <w:r>
              <w:rPr>
                <w:color w:val="auto"/>
                <w:spacing w:val="-2"/>
                <w:highlight w:val="none"/>
              </w:rPr>
              <w:t>压缩包命名为“XX 单位备份投标文件</w:t>
            </w:r>
            <w:r>
              <w:rPr>
                <w:color w:val="auto"/>
                <w:spacing w:val="-33"/>
                <w:highlight w:val="none"/>
              </w:rPr>
              <w:t xml:space="preserve"> </w:t>
            </w:r>
            <w:r>
              <w:rPr>
                <w:color w:val="auto"/>
                <w:spacing w:val="-2"/>
                <w:highlight w:val="none"/>
              </w:rPr>
              <w:t>”，</w:t>
            </w:r>
            <w:r>
              <w:rPr>
                <w:color w:val="auto"/>
                <w:spacing w:val="-3"/>
                <w:highlight w:val="none"/>
              </w:rPr>
              <w:t>加密密码由供应商自行保管；</w:t>
            </w:r>
            <w:r>
              <w:rPr>
                <w:color w:val="auto"/>
                <w:highlight w:val="none"/>
              </w:rPr>
              <w:t xml:space="preserve">  </w:t>
            </w:r>
            <w:r>
              <w:rPr>
                <w:color w:val="auto"/>
                <w:spacing w:val="1"/>
                <w:highlight w:val="none"/>
              </w:rPr>
              <w:t>送达时间以采购代理机构实际接收时间为准。“</w:t>
            </w:r>
            <w:r>
              <w:rPr>
                <w:color w:val="auto"/>
                <w:spacing w:val="-43"/>
                <w:highlight w:val="none"/>
              </w:rPr>
              <w:t xml:space="preserve"> </w:t>
            </w:r>
            <w:r>
              <w:rPr>
                <w:color w:val="auto"/>
                <w:spacing w:val="1"/>
                <w:highlight w:val="none"/>
              </w:rPr>
              <w:t>备份投标</w:t>
            </w:r>
            <w:r>
              <w:rPr>
                <w:color w:val="auto"/>
                <w:highlight w:val="none"/>
              </w:rPr>
              <w:t>文件</w:t>
            </w:r>
            <w:r>
              <w:rPr>
                <w:color w:val="auto"/>
                <w:spacing w:val="-32"/>
                <w:highlight w:val="none"/>
              </w:rPr>
              <w:t xml:space="preserve"> </w:t>
            </w:r>
            <w:r>
              <w:rPr>
                <w:color w:val="auto"/>
                <w:highlight w:val="none"/>
              </w:rPr>
              <w:t xml:space="preserve">”逾期或  </w:t>
            </w:r>
            <w:r>
              <w:rPr>
                <w:color w:val="auto"/>
                <w:spacing w:val="-4"/>
                <w:highlight w:val="none"/>
              </w:rPr>
              <w:t>未按要求提供的视为未提供，建议供应商提前 1  日办理邮件提供事宜。</w:t>
            </w:r>
          </w:p>
          <w:p w14:paraId="7FA53CAB">
            <w:pPr>
              <w:pStyle w:val="12"/>
              <w:spacing w:before="5" w:line="181" w:lineRule="auto"/>
              <w:ind w:left="105" w:right="91" w:hanging="9"/>
              <w:rPr>
                <w:color w:val="auto"/>
                <w:highlight w:val="none"/>
              </w:rPr>
            </w:pPr>
            <w:r>
              <w:rPr>
                <w:color w:val="auto"/>
                <w:highlight w:val="none"/>
              </w:rPr>
              <w:t>b.通过“</w:t>
            </w:r>
            <w:r>
              <w:rPr>
                <w:color w:val="auto"/>
                <w:spacing w:val="-44"/>
                <w:highlight w:val="none"/>
              </w:rPr>
              <w:t xml:space="preserve"> </w:t>
            </w:r>
            <w:r>
              <w:rPr>
                <w:color w:val="auto"/>
                <w:highlight w:val="none"/>
              </w:rPr>
              <w:t>政府采购云平台</w:t>
            </w:r>
            <w:r>
              <w:rPr>
                <w:color w:val="auto"/>
                <w:spacing w:val="-32"/>
                <w:highlight w:val="none"/>
              </w:rPr>
              <w:t xml:space="preserve"> </w:t>
            </w:r>
            <w:r>
              <w:rPr>
                <w:color w:val="auto"/>
                <w:highlight w:val="none"/>
              </w:rPr>
              <w:t>”成功上传递交的“</w:t>
            </w:r>
            <w:r>
              <w:rPr>
                <w:color w:val="auto"/>
                <w:spacing w:val="-22"/>
                <w:highlight w:val="none"/>
              </w:rPr>
              <w:t xml:space="preserve"> </w:t>
            </w:r>
            <w:r>
              <w:rPr>
                <w:color w:val="auto"/>
                <w:highlight w:val="none"/>
              </w:rPr>
              <w:t>电</w:t>
            </w:r>
            <w:r>
              <w:rPr>
                <w:color w:val="auto"/>
                <w:spacing w:val="-1"/>
                <w:highlight w:val="none"/>
              </w:rPr>
              <w:t>子加密投标文件</w:t>
            </w:r>
            <w:r>
              <w:rPr>
                <w:color w:val="auto"/>
                <w:spacing w:val="-31"/>
                <w:highlight w:val="none"/>
              </w:rPr>
              <w:t xml:space="preserve"> </w:t>
            </w:r>
            <w:r>
              <w:rPr>
                <w:color w:val="auto"/>
                <w:spacing w:val="-1"/>
                <w:highlight w:val="none"/>
              </w:rPr>
              <w:t>”已按</w:t>
            </w:r>
            <w:r>
              <w:rPr>
                <w:color w:val="auto"/>
                <w:highlight w:val="none"/>
              </w:rPr>
              <w:t xml:space="preserve"> 时解密的，“</w:t>
            </w:r>
            <w:r>
              <w:rPr>
                <w:color w:val="auto"/>
                <w:spacing w:val="-43"/>
                <w:highlight w:val="none"/>
              </w:rPr>
              <w:t xml:space="preserve"> </w:t>
            </w:r>
            <w:r>
              <w:rPr>
                <w:color w:val="auto"/>
                <w:highlight w:val="none"/>
              </w:rPr>
              <w:t>备份投标文件</w:t>
            </w:r>
            <w:r>
              <w:rPr>
                <w:color w:val="auto"/>
                <w:spacing w:val="-31"/>
                <w:highlight w:val="none"/>
              </w:rPr>
              <w:t xml:space="preserve"> </w:t>
            </w:r>
            <w:r>
              <w:rPr>
                <w:color w:val="auto"/>
                <w:highlight w:val="none"/>
              </w:rPr>
              <w:t>”</w:t>
            </w:r>
            <w:r>
              <w:rPr>
                <w:color w:val="auto"/>
                <w:spacing w:val="-34"/>
                <w:highlight w:val="none"/>
              </w:rPr>
              <w:t xml:space="preserve"> </w:t>
            </w:r>
            <w:r>
              <w:rPr>
                <w:color w:val="auto"/>
                <w:highlight w:val="none"/>
              </w:rPr>
              <w:t>自动失效。投标截止时间前，投标</w:t>
            </w:r>
            <w:r>
              <w:rPr>
                <w:color w:val="auto"/>
                <w:spacing w:val="-1"/>
                <w:highlight w:val="none"/>
              </w:rPr>
              <w:t>供应商</w:t>
            </w:r>
            <w:r>
              <w:rPr>
                <w:color w:val="auto"/>
                <w:highlight w:val="none"/>
              </w:rPr>
              <w:t xml:space="preserve"> </w:t>
            </w:r>
            <w:r>
              <w:rPr>
                <w:color w:val="auto"/>
                <w:spacing w:val="-4"/>
                <w:highlight w:val="none"/>
              </w:rPr>
              <w:t>仅提供了“备份投标文件”而未将“电子加密投标文件”</w:t>
            </w:r>
            <w:r>
              <w:rPr>
                <w:color w:val="auto"/>
                <w:spacing w:val="-5"/>
                <w:highlight w:val="none"/>
              </w:rPr>
              <w:t>成功上传至“政</w:t>
            </w:r>
            <w:r>
              <w:rPr>
                <w:color w:val="auto"/>
                <w:highlight w:val="none"/>
              </w:rPr>
              <w:t xml:space="preserve"> </w:t>
            </w:r>
            <w:r>
              <w:rPr>
                <w:color w:val="auto"/>
                <w:spacing w:val="-3"/>
                <w:highlight w:val="none"/>
              </w:rPr>
              <w:t>府采购云平台”的，投标无效。</w:t>
            </w:r>
          </w:p>
        </w:tc>
      </w:tr>
      <w:tr w14:paraId="18A87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trPr>
        <w:tc>
          <w:tcPr>
            <w:tcW w:w="704" w:type="dxa"/>
            <w:tcBorders>
              <w:left w:val="single" w:color="000000" w:sz="12" w:space="0"/>
            </w:tcBorders>
            <w:vAlign w:val="top"/>
          </w:tcPr>
          <w:p w14:paraId="66211F3B">
            <w:pPr>
              <w:pStyle w:val="12"/>
              <w:spacing w:before="244" w:line="159" w:lineRule="auto"/>
              <w:ind w:left="257"/>
              <w:rPr>
                <w:color w:val="auto"/>
                <w:highlight w:val="none"/>
              </w:rPr>
            </w:pPr>
            <w:r>
              <w:rPr>
                <w:color w:val="auto"/>
                <w:spacing w:val="-15"/>
                <w:highlight w:val="none"/>
              </w:rPr>
              <w:t>19</w:t>
            </w:r>
          </w:p>
        </w:tc>
        <w:tc>
          <w:tcPr>
            <w:tcW w:w="1793" w:type="dxa"/>
            <w:vAlign w:val="top"/>
          </w:tcPr>
          <w:p w14:paraId="01500C68">
            <w:pPr>
              <w:pStyle w:val="12"/>
              <w:spacing w:before="61" w:line="169" w:lineRule="auto"/>
              <w:ind w:left="100" w:right="217" w:hanging="1"/>
              <w:rPr>
                <w:color w:val="auto"/>
                <w:highlight w:val="none"/>
              </w:rPr>
            </w:pPr>
            <w:r>
              <w:rPr>
                <w:color w:val="auto"/>
                <w:spacing w:val="-2"/>
                <w:highlight w:val="none"/>
              </w:rPr>
              <w:t>投标截止时间及</w:t>
            </w:r>
            <w:r>
              <w:rPr>
                <w:color w:val="auto"/>
                <w:highlight w:val="none"/>
              </w:rPr>
              <w:t xml:space="preserve"> </w:t>
            </w:r>
            <w:r>
              <w:rPr>
                <w:color w:val="auto"/>
                <w:spacing w:val="-4"/>
                <w:highlight w:val="none"/>
              </w:rPr>
              <w:t>地点</w:t>
            </w:r>
          </w:p>
        </w:tc>
        <w:tc>
          <w:tcPr>
            <w:tcW w:w="6809" w:type="dxa"/>
            <w:tcBorders>
              <w:right w:val="single" w:color="000000" w:sz="12" w:space="0"/>
            </w:tcBorders>
            <w:vAlign w:val="top"/>
          </w:tcPr>
          <w:p w14:paraId="5129D123">
            <w:pPr>
              <w:pStyle w:val="12"/>
              <w:spacing w:before="62" w:line="184" w:lineRule="auto"/>
              <w:ind w:left="124"/>
              <w:rPr>
                <w:color w:val="auto"/>
                <w:highlight w:val="none"/>
              </w:rPr>
            </w:pPr>
            <w:r>
              <w:rPr>
                <w:b/>
                <w:bCs/>
                <w:color w:val="auto"/>
                <w:spacing w:val="-15"/>
                <w:highlight w:val="none"/>
              </w:rPr>
              <w:t>投标截止时间：</w:t>
            </w:r>
            <w:r>
              <w:rPr>
                <w:b/>
                <w:bCs/>
                <w:color w:val="auto"/>
                <w:spacing w:val="-39"/>
                <w:highlight w:val="none"/>
              </w:rPr>
              <w:t xml:space="preserve"> </w:t>
            </w:r>
            <w:r>
              <w:rPr>
                <w:b/>
                <w:bCs/>
                <w:color w:val="auto"/>
                <w:spacing w:val="-15"/>
                <w:highlight w:val="none"/>
              </w:rPr>
              <w:t>202</w:t>
            </w:r>
            <w:r>
              <w:rPr>
                <w:rFonts w:hint="eastAsia"/>
                <w:b/>
                <w:bCs/>
                <w:color w:val="auto"/>
                <w:spacing w:val="-15"/>
                <w:highlight w:val="none"/>
                <w:lang w:val="en-US" w:eastAsia="zh-CN"/>
              </w:rPr>
              <w:t>5</w:t>
            </w:r>
            <w:r>
              <w:rPr>
                <w:b/>
                <w:bCs/>
                <w:color w:val="auto"/>
                <w:spacing w:val="8"/>
                <w:highlight w:val="none"/>
              </w:rPr>
              <w:t xml:space="preserve"> </w:t>
            </w:r>
            <w:r>
              <w:rPr>
                <w:b/>
                <w:bCs/>
                <w:color w:val="auto"/>
                <w:spacing w:val="-15"/>
                <w:highlight w:val="none"/>
              </w:rPr>
              <w:t xml:space="preserve">年  </w:t>
            </w:r>
            <w:r>
              <w:rPr>
                <w:rFonts w:hint="eastAsia"/>
                <w:b/>
                <w:bCs/>
                <w:color w:val="auto"/>
                <w:spacing w:val="-15"/>
                <w:highlight w:val="none"/>
                <w:lang w:val="en-US" w:eastAsia="zh-CN"/>
              </w:rPr>
              <w:t xml:space="preserve">  3</w:t>
            </w:r>
            <w:r>
              <w:rPr>
                <w:b/>
                <w:bCs/>
                <w:color w:val="auto"/>
                <w:spacing w:val="-15"/>
                <w:highlight w:val="none"/>
              </w:rPr>
              <w:t>月</w:t>
            </w:r>
            <w:r>
              <w:rPr>
                <w:rFonts w:hint="eastAsia"/>
                <w:b/>
                <w:bCs/>
                <w:color w:val="auto"/>
                <w:spacing w:val="-15"/>
                <w:highlight w:val="none"/>
                <w:lang w:val="en-US" w:eastAsia="zh-CN"/>
              </w:rPr>
              <w:t xml:space="preserve">27  </w:t>
            </w:r>
            <w:r>
              <w:rPr>
                <w:b/>
                <w:bCs/>
                <w:color w:val="auto"/>
                <w:spacing w:val="-15"/>
                <w:highlight w:val="none"/>
              </w:rPr>
              <w:t xml:space="preserve">  日</w:t>
            </w:r>
            <w:r>
              <w:rPr>
                <w:b/>
                <w:bCs/>
                <w:color w:val="auto"/>
                <w:spacing w:val="13"/>
                <w:highlight w:val="none"/>
              </w:rPr>
              <w:t xml:space="preserve"> </w:t>
            </w:r>
            <w:r>
              <w:rPr>
                <w:b/>
                <w:bCs/>
                <w:color w:val="auto"/>
                <w:spacing w:val="-15"/>
                <w:highlight w:val="none"/>
              </w:rPr>
              <w:t>1</w:t>
            </w:r>
            <w:r>
              <w:rPr>
                <w:rFonts w:hint="eastAsia"/>
                <w:b/>
                <w:bCs/>
                <w:color w:val="auto"/>
                <w:spacing w:val="-15"/>
                <w:highlight w:val="none"/>
                <w:lang w:val="en-US" w:eastAsia="zh-CN"/>
              </w:rPr>
              <w:t>0</w:t>
            </w:r>
            <w:r>
              <w:rPr>
                <w:b/>
                <w:bCs/>
                <w:color w:val="auto"/>
                <w:spacing w:val="19"/>
                <w:highlight w:val="none"/>
              </w:rPr>
              <w:t xml:space="preserve"> </w:t>
            </w:r>
            <w:r>
              <w:rPr>
                <w:b/>
                <w:bCs/>
                <w:color w:val="auto"/>
                <w:spacing w:val="-15"/>
                <w:highlight w:val="none"/>
              </w:rPr>
              <w:t xml:space="preserve">时 </w:t>
            </w:r>
            <w:r>
              <w:rPr>
                <w:rFonts w:hint="eastAsia"/>
                <w:b/>
                <w:bCs/>
                <w:color w:val="auto"/>
                <w:spacing w:val="-15"/>
                <w:highlight w:val="none"/>
                <w:lang w:val="en-US" w:eastAsia="zh-CN"/>
              </w:rPr>
              <w:t>3</w:t>
            </w:r>
            <w:r>
              <w:rPr>
                <w:b/>
                <w:bCs/>
                <w:color w:val="auto"/>
                <w:spacing w:val="-15"/>
                <w:highlight w:val="none"/>
              </w:rPr>
              <w:t>0 分（北京</w:t>
            </w:r>
            <w:r>
              <w:rPr>
                <w:b/>
                <w:bCs/>
                <w:color w:val="auto"/>
                <w:spacing w:val="-16"/>
                <w:highlight w:val="none"/>
              </w:rPr>
              <w:t>时间）</w:t>
            </w:r>
          </w:p>
          <w:p w14:paraId="1C972F06">
            <w:pPr>
              <w:pStyle w:val="12"/>
              <w:spacing w:before="14" w:line="216" w:lineRule="exact"/>
              <w:ind w:left="124"/>
              <w:rPr>
                <w:color w:val="auto"/>
                <w:highlight w:val="none"/>
              </w:rPr>
            </w:pPr>
            <w:r>
              <w:rPr>
                <w:b/>
                <w:bCs/>
                <w:color w:val="auto"/>
                <w:spacing w:val="-8"/>
                <w:highlight w:val="none"/>
              </w:rPr>
              <w:t>投标地点：新疆政府采购云平台（www.zcygov.cn）上开启投标文件</w:t>
            </w:r>
          </w:p>
        </w:tc>
      </w:tr>
      <w:tr w14:paraId="00CE8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8" w:hRule="atLeast"/>
        </w:trPr>
        <w:tc>
          <w:tcPr>
            <w:tcW w:w="704" w:type="dxa"/>
            <w:tcBorders>
              <w:left w:val="single" w:color="000000" w:sz="12" w:space="0"/>
            </w:tcBorders>
            <w:vAlign w:val="top"/>
          </w:tcPr>
          <w:p w14:paraId="4F013B90">
            <w:pPr>
              <w:pStyle w:val="12"/>
              <w:spacing w:before="247" w:line="158" w:lineRule="auto"/>
              <w:ind w:left="244"/>
              <w:rPr>
                <w:color w:val="auto"/>
                <w:highlight w:val="none"/>
              </w:rPr>
            </w:pPr>
            <w:r>
              <w:rPr>
                <w:color w:val="auto"/>
                <w:spacing w:val="-12"/>
                <w:highlight w:val="none"/>
              </w:rPr>
              <w:t>20</w:t>
            </w:r>
          </w:p>
        </w:tc>
        <w:tc>
          <w:tcPr>
            <w:tcW w:w="1793" w:type="dxa"/>
            <w:vAlign w:val="top"/>
          </w:tcPr>
          <w:p w14:paraId="3F3CC0EE">
            <w:pPr>
              <w:pStyle w:val="12"/>
              <w:spacing w:before="209" w:line="188" w:lineRule="auto"/>
              <w:ind w:left="99"/>
              <w:rPr>
                <w:color w:val="auto"/>
                <w:highlight w:val="none"/>
              </w:rPr>
            </w:pPr>
            <w:r>
              <w:rPr>
                <w:color w:val="auto"/>
                <w:spacing w:val="-2"/>
                <w:highlight w:val="none"/>
              </w:rPr>
              <w:t>开标时间及地点</w:t>
            </w:r>
          </w:p>
        </w:tc>
        <w:tc>
          <w:tcPr>
            <w:tcW w:w="6809" w:type="dxa"/>
            <w:tcBorders>
              <w:right w:val="single" w:color="000000" w:sz="12" w:space="0"/>
            </w:tcBorders>
            <w:vAlign w:val="top"/>
          </w:tcPr>
          <w:p w14:paraId="10D961C9">
            <w:pPr>
              <w:pStyle w:val="12"/>
              <w:spacing w:before="63" w:line="188" w:lineRule="auto"/>
              <w:ind w:left="124"/>
              <w:rPr>
                <w:color w:val="auto"/>
                <w:highlight w:val="none"/>
              </w:rPr>
            </w:pPr>
            <w:r>
              <w:rPr>
                <w:b/>
                <w:bCs/>
                <w:color w:val="auto"/>
                <w:spacing w:val="-2"/>
                <w:highlight w:val="none"/>
              </w:rPr>
              <w:t>开标时间：同投标截止时间</w:t>
            </w:r>
          </w:p>
          <w:p w14:paraId="393B442E">
            <w:pPr>
              <w:pStyle w:val="12"/>
              <w:spacing w:before="7" w:line="214" w:lineRule="exact"/>
              <w:ind w:left="124"/>
              <w:rPr>
                <w:color w:val="auto"/>
                <w:highlight w:val="none"/>
              </w:rPr>
            </w:pPr>
            <w:r>
              <w:rPr>
                <w:b/>
                <w:bCs/>
                <w:color w:val="auto"/>
                <w:spacing w:val="-9"/>
                <w:position w:val="-1"/>
                <w:highlight w:val="none"/>
              </w:rPr>
              <w:t>开标地点：在新疆政府采购云平台（www.zcygov.</w:t>
            </w:r>
            <w:r>
              <w:rPr>
                <w:b/>
                <w:bCs/>
                <w:color w:val="auto"/>
                <w:spacing w:val="-10"/>
                <w:position w:val="-1"/>
                <w:highlight w:val="none"/>
              </w:rPr>
              <w:t>cn）</w:t>
            </w:r>
          </w:p>
        </w:tc>
      </w:tr>
      <w:tr w14:paraId="368E5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704" w:type="dxa"/>
            <w:tcBorders>
              <w:left w:val="single" w:color="000000" w:sz="12" w:space="0"/>
            </w:tcBorders>
            <w:vAlign w:val="top"/>
          </w:tcPr>
          <w:p w14:paraId="4421B130">
            <w:pPr>
              <w:spacing w:line="456" w:lineRule="auto"/>
              <w:rPr>
                <w:rFonts w:ascii="Arial"/>
                <w:color w:val="auto"/>
                <w:sz w:val="21"/>
                <w:highlight w:val="none"/>
              </w:rPr>
            </w:pPr>
          </w:p>
          <w:p w14:paraId="44014A92">
            <w:pPr>
              <w:pStyle w:val="12"/>
              <w:spacing w:before="91" w:line="159" w:lineRule="auto"/>
              <w:ind w:left="244"/>
              <w:rPr>
                <w:color w:val="auto"/>
                <w:highlight w:val="none"/>
              </w:rPr>
            </w:pPr>
            <w:r>
              <w:rPr>
                <w:color w:val="auto"/>
                <w:spacing w:val="-12"/>
                <w:highlight w:val="none"/>
              </w:rPr>
              <w:t>21</w:t>
            </w:r>
          </w:p>
        </w:tc>
        <w:tc>
          <w:tcPr>
            <w:tcW w:w="1793" w:type="dxa"/>
            <w:vAlign w:val="top"/>
          </w:tcPr>
          <w:p w14:paraId="770BC494">
            <w:pPr>
              <w:spacing w:line="275" w:lineRule="auto"/>
              <w:rPr>
                <w:rFonts w:ascii="Arial"/>
                <w:color w:val="auto"/>
                <w:sz w:val="21"/>
                <w:highlight w:val="none"/>
              </w:rPr>
            </w:pPr>
          </w:p>
          <w:p w14:paraId="10E6C403">
            <w:pPr>
              <w:pStyle w:val="12"/>
              <w:spacing w:before="90" w:line="192" w:lineRule="auto"/>
              <w:ind w:left="99" w:right="217"/>
              <w:rPr>
                <w:color w:val="auto"/>
                <w:highlight w:val="none"/>
              </w:rPr>
            </w:pPr>
            <w:r>
              <w:rPr>
                <w:color w:val="auto"/>
                <w:spacing w:val="-3"/>
                <w:highlight w:val="none"/>
              </w:rPr>
              <w:t>评标委员会的组</w:t>
            </w:r>
            <w:r>
              <w:rPr>
                <w:color w:val="auto"/>
                <w:spacing w:val="5"/>
                <w:highlight w:val="none"/>
              </w:rPr>
              <w:t xml:space="preserve"> </w:t>
            </w:r>
            <w:r>
              <w:rPr>
                <w:color w:val="auto"/>
                <w:highlight w:val="none"/>
              </w:rPr>
              <w:t>建</w:t>
            </w:r>
          </w:p>
        </w:tc>
        <w:tc>
          <w:tcPr>
            <w:tcW w:w="6809" w:type="dxa"/>
            <w:tcBorders>
              <w:right w:val="single" w:color="000000" w:sz="12" w:space="0"/>
            </w:tcBorders>
            <w:vAlign w:val="top"/>
          </w:tcPr>
          <w:p w14:paraId="02CD8ED4">
            <w:pPr>
              <w:pStyle w:val="12"/>
              <w:spacing w:before="64" w:line="188" w:lineRule="auto"/>
              <w:ind w:left="106"/>
              <w:rPr>
                <w:color w:val="auto"/>
                <w:highlight w:val="none"/>
              </w:rPr>
            </w:pPr>
            <w:r>
              <w:rPr>
                <w:color w:val="auto"/>
                <w:spacing w:val="-5"/>
                <w:highlight w:val="none"/>
              </w:rPr>
              <w:t>评标委员会由招标人依法组建；</w:t>
            </w:r>
          </w:p>
          <w:p w14:paraId="2D8F99E5">
            <w:pPr>
              <w:pStyle w:val="12"/>
              <w:spacing w:before="7" w:line="192" w:lineRule="auto"/>
              <w:ind w:left="105" w:right="91" w:firstLine="1"/>
              <w:rPr>
                <w:color w:val="auto"/>
                <w:highlight w:val="none"/>
              </w:rPr>
            </w:pPr>
            <w:r>
              <w:rPr>
                <w:color w:val="auto"/>
                <w:spacing w:val="1"/>
                <w:highlight w:val="none"/>
              </w:rPr>
              <w:t>评标专家确定方式：</w:t>
            </w:r>
            <w:r>
              <w:rPr>
                <w:color w:val="auto"/>
                <w:spacing w:val="-19"/>
                <w:highlight w:val="none"/>
              </w:rPr>
              <w:t xml:space="preserve"> </w:t>
            </w:r>
            <w:r>
              <w:rPr>
                <w:color w:val="auto"/>
                <w:spacing w:val="1"/>
                <w:highlight w:val="none"/>
              </w:rPr>
              <w:t>专家评委由招标人在开标前从政采云专家库中随机</w:t>
            </w:r>
            <w:r>
              <w:rPr>
                <w:color w:val="auto"/>
                <w:highlight w:val="none"/>
              </w:rPr>
              <w:t xml:space="preserve"> </w:t>
            </w:r>
            <w:r>
              <w:rPr>
                <w:color w:val="auto"/>
                <w:spacing w:val="-14"/>
                <w:highlight w:val="none"/>
              </w:rPr>
              <w:t>抽取；</w:t>
            </w:r>
          </w:p>
          <w:p w14:paraId="68088C73">
            <w:pPr>
              <w:pStyle w:val="12"/>
              <w:spacing w:before="5" w:line="232" w:lineRule="exact"/>
              <w:ind w:left="106"/>
              <w:rPr>
                <w:color w:val="auto"/>
                <w:highlight w:val="none"/>
              </w:rPr>
            </w:pPr>
            <w:r>
              <w:rPr>
                <w:color w:val="auto"/>
                <w:spacing w:val="-3"/>
                <w:highlight w:val="none"/>
              </w:rPr>
              <w:t>评标专家组建：由采购人代表 1 人，随机</w:t>
            </w:r>
            <w:r>
              <w:rPr>
                <w:color w:val="auto"/>
                <w:spacing w:val="-4"/>
                <w:highlight w:val="none"/>
              </w:rPr>
              <w:t>抽取专家 6 人。</w:t>
            </w:r>
          </w:p>
        </w:tc>
      </w:tr>
      <w:tr w14:paraId="2952D8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718B39A9">
            <w:pPr>
              <w:spacing w:line="305" w:lineRule="auto"/>
              <w:rPr>
                <w:rFonts w:ascii="Arial"/>
                <w:color w:val="auto"/>
                <w:sz w:val="21"/>
                <w:highlight w:val="none"/>
              </w:rPr>
            </w:pPr>
          </w:p>
          <w:p w14:paraId="5D468372">
            <w:pPr>
              <w:pStyle w:val="12"/>
              <w:spacing w:before="90" w:line="158" w:lineRule="auto"/>
              <w:ind w:left="244"/>
              <w:rPr>
                <w:color w:val="auto"/>
                <w:highlight w:val="none"/>
              </w:rPr>
            </w:pPr>
            <w:r>
              <w:rPr>
                <w:color w:val="auto"/>
                <w:spacing w:val="-12"/>
                <w:highlight w:val="none"/>
              </w:rPr>
              <w:t>23</w:t>
            </w:r>
          </w:p>
        </w:tc>
        <w:tc>
          <w:tcPr>
            <w:tcW w:w="1793" w:type="dxa"/>
            <w:vAlign w:val="top"/>
          </w:tcPr>
          <w:p w14:paraId="23C5835D">
            <w:pPr>
              <w:pStyle w:val="12"/>
              <w:spacing w:before="69" w:line="175" w:lineRule="auto"/>
              <w:ind w:left="101" w:right="217" w:hanging="1"/>
              <w:jc w:val="both"/>
              <w:rPr>
                <w:color w:val="auto"/>
                <w:highlight w:val="none"/>
              </w:rPr>
            </w:pPr>
            <w:r>
              <w:rPr>
                <w:color w:val="auto"/>
                <w:spacing w:val="-3"/>
                <w:highlight w:val="none"/>
              </w:rPr>
              <w:t>是否授权评标委</w:t>
            </w:r>
            <w:r>
              <w:rPr>
                <w:color w:val="auto"/>
                <w:spacing w:val="5"/>
                <w:highlight w:val="none"/>
              </w:rPr>
              <w:t xml:space="preserve"> </w:t>
            </w:r>
            <w:r>
              <w:rPr>
                <w:color w:val="auto"/>
                <w:spacing w:val="-3"/>
                <w:highlight w:val="none"/>
              </w:rPr>
              <w:t>员会确定中标候</w:t>
            </w:r>
            <w:r>
              <w:rPr>
                <w:color w:val="auto"/>
                <w:spacing w:val="3"/>
                <w:highlight w:val="none"/>
              </w:rPr>
              <w:t xml:space="preserve"> </w:t>
            </w:r>
            <w:r>
              <w:rPr>
                <w:color w:val="auto"/>
                <w:spacing w:val="-5"/>
                <w:highlight w:val="none"/>
              </w:rPr>
              <w:t>选人</w:t>
            </w:r>
          </w:p>
        </w:tc>
        <w:tc>
          <w:tcPr>
            <w:tcW w:w="6809" w:type="dxa"/>
            <w:tcBorders>
              <w:right w:val="single" w:color="000000" w:sz="12" w:space="0"/>
            </w:tcBorders>
            <w:vAlign w:val="top"/>
          </w:tcPr>
          <w:p w14:paraId="759866C0">
            <w:pPr>
              <w:spacing w:line="266" w:lineRule="auto"/>
              <w:rPr>
                <w:rFonts w:ascii="Arial"/>
                <w:color w:val="auto"/>
                <w:sz w:val="21"/>
                <w:highlight w:val="none"/>
              </w:rPr>
            </w:pPr>
          </w:p>
          <w:p w14:paraId="7D248915">
            <w:pPr>
              <w:pStyle w:val="12"/>
              <w:spacing w:before="90" w:line="188" w:lineRule="auto"/>
              <w:ind w:left="106"/>
              <w:rPr>
                <w:color w:val="auto"/>
                <w:highlight w:val="none"/>
              </w:rPr>
            </w:pPr>
            <w:r>
              <w:rPr>
                <w:color w:val="auto"/>
                <w:spacing w:val="-4"/>
                <w:highlight w:val="none"/>
              </w:rPr>
              <w:t>是，评标委员会推荐 3 名中标候选人。</w:t>
            </w:r>
          </w:p>
        </w:tc>
      </w:tr>
      <w:tr w14:paraId="2D78D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04" w:type="dxa"/>
            <w:tcBorders>
              <w:left w:val="single" w:color="000000" w:sz="12" w:space="0"/>
              <w:bottom w:val="single" w:color="000000" w:sz="12" w:space="0"/>
            </w:tcBorders>
            <w:vAlign w:val="top"/>
          </w:tcPr>
          <w:p w14:paraId="594D31F4">
            <w:pPr>
              <w:pStyle w:val="12"/>
              <w:spacing w:before="253" w:line="159" w:lineRule="auto"/>
              <w:ind w:left="244"/>
              <w:rPr>
                <w:color w:val="auto"/>
                <w:highlight w:val="none"/>
              </w:rPr>
            </w:pPr>
            <w:r>
              <w:rPr>
                <w:color w:val="auto"/>
                <w:spacing w:val="-12"/>
                <w:highlight w:val="none"/>
              </w:rPr>
              <w:t>24</w:t>
            </w:r>
          </w:p>
        </w:tc>
        <w:tc>
          <w:tcPr>
            <w:tcW w:w="1793" w:type="dxa"/>
            <w:tcBorders>
              <w:bottom w:val="single" w:color="000000" w:sz="12" w:space="0"/>
            </w:tcBorders>
            <w:vAlign w:val="top"/>
          </w:tcPr>
          <w:p w14:paraId="46C6B01C">
            <w:pPr>
              <w:pStyle w:val="12"/>
              <w:spacing w:before="71" w:line="172" w:lineRule="auto"/>
              <w:ind w:left="99" w:right="217" w:firstLine="27"/>
              <w:rPr>
                <w:color w:val="auto"/>
                <w:highlight w:val="none"/>
              </w:rPr>
            </w:pPr>
            <w:r>
              <w:rPr>
                <w:color w:val="auto"/>
                <w:spacing w:val="-6"/>
                <w:highlight w:val="none"/>
              </w:rPr>
              <w:t>中标候选人公示</w:t>
            </w:r>
            <w:r>
              <w:rPr>
                <w:color w:val="auto"/>
                <w:highlight w:val="none"/>
              </w:rPr>
              <w:t xml:space="preserve"> </w:t>
            </w:r>
            <w:r>
              <w:rPr>
                <w:color w:val="auto"/>
                <w:spacing w:val="-1"/>
                <w:w w:val="98"/>
                <w:highlight w:val="none"/>
              </w:rPr>
              <w:t>媒介</w:t>
            </w:r>
          </w:p>
        </w:tc>
        <w:tc>
          <w:tcPr>
            <w:tcW w:w="6809" w:type="dxa"/>
            <w:tcBorders>
              <w:bottom w:val="single" w:color="000000" w:sz="12" w:space="0"/>
              <w:right w:val="single" w:color="000000" w:sz="12" w:space="0"/>
            </w:tcBorders>
            <w:vAlign w:val="top"/>
          </w:tcPr>
          <w:p w14:paraId="7C273304">
            <w:pPr>
              <w:pStyle w:val="12"/>
              <w:spacing w:before="215" w:line="188" w:lineRule="auto"/>
              <w:ind w:left="111"/>
              <w:rPr>
                <w:color w:val="auto"/>
                <w:highlight w:val="none"/>
              </w:rPr>
            </w:pPr>
            <w:r>
              <w:rPr>
                <w:color w:val="auto"/>
                <w:spacing w:val="-2"/>
                <w:highlight w:val="none"/>
              </w:rPr>
              <w:t>克州公共资源交易中心网、新疆政府采购网，公示期为一个工作日。</w:t>
            </w:r>
          </w:p>
        </w:tc>
      </w:tr>
    </w:tbl>
    <w:p w14:paraId="3249F4FE">
      <w:pPr>
        <w:pStyle w:val="6"/>
        <w:rPr>
          <w:color w:val="auto"/>
          <w:highlight w:val="none"/>
        </w:rPr>
      </w:pPr>
    </w:p>
    <w:p w14:paraId="669A7236">
      <w:pPr>
        <w:rPr>
          <w:color w:val="auto"/>
          <w:highlight w:val="none"/>
        </w:rPr>
        <w:sectPr>
          <w:footerReference r:id="rId18" w:type="default"/>
          <w:pgSz w:w="11906" w:h="16839"/>
          <w:pgMar w:top="1745" w:right="1050" w:bottom="1150" w:left="1050" w:header="850" w:footer="992" w:gutter="0"/>
          <w:cols w:space="720" w:num="1"/>
        </w:sectPr>
      </w:pPr>
    </w:p>
    <w:tbl>
      <w:tblPr>
        <w:tblStyle w:val="11"/>
        <w:tblpPr w:leftFromText="180" w:rightFromText="180" w:vertAnchor="text" w:horzAnchor="page" w:tblpX="1282" w:tblpY="442"/>
        <w:tblOverlap w:val="never"/>
        <w:tblW w:w="93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2CBF1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5" w:hRule="atLeast"/>
        </w:trPr>
        <w:tc>
          <w:tcPr>
            <w:tcW w:w="704" w:type="dxa"/>
            <w:tcBorders>
              <w:top w:val="single" w:color="000000" w:sz="12" w:space="0"/>
              <w:left w:val="single" w:color="000000" w:sz="12" w:space="0"/>
            </w:tcBorders>
            <w:vAlign w:val="top"/>
          </w:tcPr>
          <w:p w14:paraId="23A507D1">
            <w:pPr>
              <w:spacing w:line="262" w:lineRule="auto"/>
              <w:rPr>
                <w:rFonts w:ascii="Arial"/>
                <w:color w:val="auto"/>
                <w:sz w:val="21"/>
                <w:highlight w:val="none"/>
              </w:rPr>
            </w:pPr>
          </w:p>
          <w:p w14:paraId="755FC45C">
            <w:pPr>
              <w:spacing w:line="262" w:lineRule="auto"/>
              <w:rPr>
                <w:rFonts w:ascii="Arial"/>
                <w:color w:val="auto"/>
                <w:sz w:val="21"/>
                <w:highlight w:val="none"/>
              </w:rPr>
            </w:pPr>
          </w:p>
          <w:p w14:paraId="0FFAC1BA">
            <w:pPr>
              <w:spacing w:line="262" w:lineRule="auto"/>
              <w:rPr>
                <w:rFonts w:ascii="Arial"/>
                <w:color w:val="auto"/>
                <w:sz w:val="21"/>
                <w:highlight w:val="none"/>
              </w:rPr>
            </w:pPr>
          </w:p>
          <w:p w14:paraId="6F963BF6">
            <w:pPr>
              <w:spacing w:line="262" w:lineRule="auto"/>
              <w:rPr>
                <w:rFonts w:ascii="Arial"/>
                <w:color w:val="auto"/>
                <w:sz w:val="21"/>
                <w:highlight w:val="none"/>
              </w:rPr>
            </w:pPr>
          </w:p>
          <w:p w14:paraId="08748F6B">
            <w:pPr>
              <w:pStyle w:val="12"/>
              <w:spacing w:before="90" w:line="158" w:lineRule="auto"/>
              <w:ind w:left="235"/>
              <w:rPr>
                <w:color w:val="auto"/>
                <w:highlight w:val="none"/>
              </w:rPr>
            </w:pPr>
            <w:r>
              <w:rPr>
                <w:color w:val="auto"/>
                <w:spacing w:val="-12"/>
                <w:highlight w:val="none"/>
              </w:rPr>
              <w:t>25</w:t>
            </w:r>
          </w:p>
        </w:tc>
        <w:tc>
          <w:tcPr>
            <w:tcW w:w="1793" w:type="dxa"/>
            <w:tcBorders>
              <w:top w:val="single" w:color="000000" w:sz="12" w:space="0"/>
            </w:tcBorders>
            <w:vAlign w:val="top"/>
          </w:tcPr>
          <w:p w14:paraId="643DD114">
            <w:pPr>
              <w:spacing w:line="252" w:lineRule="auto"/>
              <w:rPr>
                <w:rFonts w:ascii="Arial"/>
                <w:color w:val="auto"/>
                <w:sz w:val="21"/>
                <w:highlight w:val="none"/>
              </w:rPr>
            </w:pPr>
          </w:p>
          <w:p w14:paraId="6180F59B">
            <w:pPr>
              <w:spacing w:line="252" w:lineRule="auto"/>
              <w:rPr>
                <w:rFonts w:ascii="Arial"/>
                <w:color w:val="auto"/>
                <w:sz w:val="21"/>
                <w:highlight w:val="none"/>
              </w:rPr>
            </w:pPr>
          </w:p>
          <w:p w14:paraId="347CF23C">
            <w:pPr>
              <w:spacing w:line="253" w:lineRule="auto"/>
              <w:rPr>
                <w:rFonts w:ascii="Arial"/>
                <w:color w:val="auto"/>
                <w:sz w:val="21"/>
                <w:highlight w:val="none"/>
              </w:rPr>
            </w:pPr>
          </w:p>
          <w:p w14:paraId="6AC488E0">
            <w:pPr>
              <w:spacing w:line="253" w:lineRule="auto"/>
              <w:rPr>
                <w:rFonts w:ascii="Arial"/>
                <w:color w:val="auto"/>
                <w:sz w:val="21"/>
                <w:highlight w:val="none"/>
              </w:rPr>
            </w:pPr>
          </w:p>
          <w:p w14:paraId="53678BA4">
            <w:pPr>
              <w:pStyle w:val="12"/>
              <w:spacing w:before="90" w:line="189" w:lineRule="auto"/>
              <w:ind w:left="104"/>
              <w:rPr>
                <w:color w:val="auto"/>
                <w:highlight w:val="none"/>
              </w:rPr>
            </w:pPr>
            <w:r>
              <w:rPr>
                <w:color w:val="auto"/>
                <w:spacing w:val="-4"/>
                <w:highlight w:val="none"/>
              </w:rPr>
              <w:t>履约担保</w:t>
            </w:r>
          </w:p>
        </w:tc>
        <w:tc>
          <w:tcPr>
            <w:tcW w:w="6809" w:type="dxa"/>
            <w:tcBorders>
              <w:top w:val="single" w:color="000000" w:sz="12" w:space="0"/>
              <w:right w:val="single" w:color="000000" w:sz="12" w:space="0"/>
            </w:tcBorders>
            <w:vAlign w:val="top"/>
          </w:tcPr>
          <w:p w14:paraId="5E71B379">
            <w:pPr>
              <w:pStyle w:val="12"/>
              <w:spacing w:before="139" w:line="264" w:lineRule="auto"/>
              <w:ind w:left="110" w:right="91" w:firstLine="22"/>
              <w:jc w:val="both"/>
              <w:rPr>
                <w:color w:val="auto"/>
                <w:highlight w:val="none"/>
              </w:rPr>
            </w:pPr>
            <w:r>
              <w:rPr>
                <w:color w:val="auto"/>
                <w:spacing w:val="-4"/>
                <w:highlight w:val="none"/>
              </w:rPr>
              <w:t>中标供应商在合同签订后 5 个工作日内向采购人</w:t>
            </w:r>
            <w:r>
              <w:rPr>
                <w:color w:val="auto"/>
                <w:spacing w:val="-5"/>
                <w:highlight w:val="none"/>
              </w:rPr>
              <w:t>交纳不超过中标价 5%的</w:t>
            </w:r>
            <w:r>
              <w:rPr>
                <w:color w:val="auto"/>
                <w:highlight w:val="none"/>
              </w:rPr>
              <w:t xml:space="preserve"> </w:t>
            </w:r>
            <w:r>
              <w:rPr>
                <w:color w:val="auto"/>
                <w:spacing w:val="1"/>
                <w:highlight w:val="none"/>
              </w:rPr>
              <w:t>履约保证金（以甲乙双方签订合同为准；</w:t>
            </w:r>
            <w:r>
              <w:rPr>
                <w:color w:val="auto"/>
                <w:spacing w:val="-23"/>
                <w:highlight w:val="none"/>
              </w:rPr>
              <w:t xml:space="preserve"> </w:t>
            </w:r>
            <w:r>
              <w:rPr>
                <w:color w:val="auto"/>
                <w:spacing w:val="1"/>
                <w:highlight w:val="none"/>
              </w:rPr>
              <w:t>若以电汇、银行转账方式提交</w:t>
            </w:r>
            <w:r>
              <w:rPr>
                <w:color w:val="auto"/>
                <w:highlight w:val="none"/>
              </w:rPr>
              <w:t xml:space="preserve"> </w:t>
            </w:r>
            <w:r>
              <w:rPr>
                <w:color w:val="auto"/>
                <w:spacing w:val="-3"/>
                <w:highlight w:val="none"/>
              </w:rPr>
              <w:t>的，必须转到采购人的指定账户）。</w:t>
            </w:r>
          </w:p>
          <w:p w14:paraId="1A9C2200">
            <w:pPr>
              <w:pStyle w:val="12"/>
              <w:spacing w:before="12" w:line="234" w:lineRule="auto"/>
              <w:ind w:left="105" w:right="91" w:firstLine="1"/>
              <w:jc w:val="both"/>
              <w:rPr>
                <w:color w:val="auto"/>
                <w:highlight w:val="none"/>
              </w:rPr>
            </w:pPr>
            <w:r>
              <w:rPr>
                <w:color w:val="auto"/>
                <w:spacing w:val="2"/>
                <w:highlight w:val="none"/>
              </w:rPr>
              <w:t>如果中标供应商在建设期内没有涉及采购人的应付而未付金额或违约行</w:t>
            </w:r>
            <w:r>
              <w:rPr>
                <w:color w:val="auto"/>
                <w:spacing w:val="11"/>
                <w:highlight w:val="none"/>
              </w:rPr>
              <w:t xml:space="preserve"> </w:t>
            </w:r>
            <w:r>
              <w:rPr>
                <w:color w:val="auto"/>
                <w:spacing w:val="2"/>
                <w:highlight w:val="none"/>
              </w:rPr>
              <w:t>为，</w:t>
            </w:r>
            <w:r>
              <w:rPr>
                <w:color w:val="auto"/>
                <w:spacing w:val="-40"/>
                <w:highlight w:val="none"/>
              </w:rPr>
              <w:t xml:space="preserve"> </w:t>
            </w:r>
            <w:r>
              <w:rPr>
                <w:color w:val="auto"/>
                <w:spacing w:val="2"/>
                <w:highlight w:val="none"/>
              </w:rPr>
              <w:t>采购人在项目验收合格后或提前终止合同后全</w:t>
            </w:r>
            <w:r>
              <w:rPr>
                <w:color w:val="auto"/>
                <w:spacing w:val="1"/>
                <w:highlight w:val="none"/>
              </w:rPr>
              <w:t>额无息退还履约保证</w:t>
            </w:r>
            <w:r>
              <w:rPr>
                <w:color w:val="auto"/>
                <w:highlight w:val="none"/>
              </w:rPr>
              <w:t xml:space="preserve"> </w:t>
            </w:r>
            <w:r>
              <w:rPr>
                <w:color w:val="auto"/>
                <w:spacing w:val="-11"/>
                <w:highlight w:val="none"/>
              </w:rPr>
              <w:t>金。</w:t>
            </w:r>
          </w:p>
        </w:tc>
      </w:tr>
      <w:tr w14:paraId="35A10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9" w:hRule="atLeast"/>
        </w:trPr>
        <w:tc>
          <w:tcPr>
            <w:tcW w:w="704" w:type="dxa"/>
            <w:tcBorders>
              <w:left w:val="single" w:color="000000" w:sz="12" w:space="0"/>
            </w:tcBorders>
            <w:vAlign w:val="top"/>
          </w:tcPr>
          <w:p w14:paraId="0EA93120">
            <w:pPr>
              <w:spacing w:line="295" w:lineRule="auto"/>
              <w:rPr>
                <w:rFonts w:ascii="Arial"/>
                <w:color w:val="auto"/>
                <w:sz w:val="21"/>
                <w:highlight w:val="none"/>
              </w:rPr>
            </w:pPr>
          </w:p>
          <w:p w14:paraId="58C93299">
            <w:pPr>
              <w:spacing w:line="296" w:lineRule="auto"/>
              <w:rPr>
                <w:rFonts w:ascii="Arial"/>
                <w:color w:val="auto"/>
                <w:sz w:val="21"/>
                <w:highlight w:val="none"/>
              </w:rPr>
            </w:pPr>
          </w:p>
          <w:p w14:paraId="185687F8">
            <w:pPr>
              <w:spacing w:line="296" w:lineRule="auto"/>
              <w:rPr>
                <w:rFonts w:ascii="Arial"/>
                <w:color w:val="auto"/>
                <w:sz w:val="21"/>
                <w:highlight w:val="none"/>
              </w:rPr>
            </w:pPr>
          </w:p>
          <w:p w14:paraId="1D790DD1">
            <w:pPr>
              <w:pStyle w:val="12"/>
              <w:spacing w:before="90" w:line="158" w:lineRule="auto"/>
              <w:ind w:left="235"/>
              <w:rPr>
                <w:color w:val="auto"/>
                <w:highlight w:val="none"/>
              </w:rPr>
            </w:pPr>
            <w:r>
              <w:rPr>
                <w:color w:val="auto"/>
                <w:spacing w:val="-12"/>
                <w:highlight w:val="none"/>
              </w:rPr>
              <w:t>26</w:t>
            </w:r>
          </w:p>
        </w:tc>
        <w:tc>
          <w:tcPr>
            <w:tcW w:w="1793" w:type="dxa"/>
            <w:vAlign w:val="top"/>
          </w:tcPr>
          <w:p w14:paraId="62CD2E48">
            <w:pPr>
              <w:spacing w:line="283" w:lineRule="auto"/>
              <w:rPr>
                <w:rFonts w:ascii="Arial"/>
                <w:color w:val="auto"/>
                <w:sz w:val="21"/>
                <w:highlight w:val="none"/>
              </w:rPr>
            </w:pPr>
          </w:p>
          <w:p w14:paraId="2C300A13">
            <w:pPr>
              <w:spacing w:line="283" w:lineRule="auto"/>
              <w:rPr>
                <w:rFonts w:ascii="Arial"/>
                <w:color w:val="auto"/>
                <w:sz w:val="21"/>
                <w:highlight w:val="none"/>
              </w:rPr>
            </w:pPr>
          </w:p>
          <w:p w14:paraId="78A8E5B9">
            <w:pPr>
              <w:spacing w:line="283" w:lineRule="auto"/>
              <w:rPr>
                <w:rFonts w:ascii="Arial"/>
                <w:color w:val="auto"/>
                <w:sz w:val="21"/>
                <w:highlight w:val="none"/>
              </w:rPr>
            </w:pPr>
          </w:p>
          <w:p w14:paraId="35A0C56F">
            <w:pPr>
              <w:pStyle w:val="12"/>
              <w:spacing w:before="90" w:line="188" w:lineRule="auto"/>
              <w:ind w:left="99"/>
              <w:rPr>
                <w:color w:val="auto"/>
                <w:highlight w:val="none"/>
              </w:rPr>
            </w:pPr>
            <w:r>
              <w:rPr>
                <w:color w:val="auto"/>
                <w:spacing w:val="-2"/>
                <w:highlight w:val="none"/>
              </w:rPr>
              <w:t>招标文件领取</w:t>
            </w:r>
          </w:p>
        </w:tc>
        <w:tc>
          <w:tcPr>
            <w:tcW w:w="6809" w:type="dxa"/>
            <w:tcBorders>
              <w:right w:val="single" w:color="000000" w:sz="12" w:space="0"/>
            </w:tcBorders>
            <w:vAlign w:val="top"/>
          </w:tcPr>
          <w:p w14:paraId="278DCAEC">
            <w:pPr>
              <w:pStyle w:val="12"/>
              <w:spacing w:before="46" w:line="189" w:lineRule="auto"/>
              <w:ind w:left="120"/>
              <w:rPr>
                <w:color w:val="auto"/>
                <w:highlight w:val="none"/>
              </w:rPr>
            </w:pPr>
            <w:r>
              <w:rPr>
                <w:color w:val="auto"/>
                <w:spacing w:val="-4"/>
                <w:highlight w:val="none"/>
              </w:rPr>
              <w:t>时间：同公告时间</w:t>
            </w:r>
          </w:p>
          <w:p w14:paraId="250BAB83">
            <w:pPr>
              <w:pStyle w:val="12"/>
              <w:spacing w:before="6" w:line="172" w:lineRule="auto"/>
              <w:ind w:left="106"/>
              <w:rPr>
                <w:color w:val="auto"/>
                <w:highlight w:val="none"/>
              </w:rPr>
            </w:pPr>
            <w:r>
              <w:rPr>
                <w:color w:val="auto"/>
                <w:spacing w:val="-3"/>
                <w:highlight w:val="none"/>
              </w:rPr>
              <w:t>地点：政采云平台 http://www.zcygov.cn/</w:t>
            </w:r>
          </w:p>
          <w:p w14:paraId="73482B1E">
            <w:pPr>
              <w:pStyle w:val="12"/>
              <w:spacing w:before="30" w:line="191" w:lineRule="auto"/>
              <w:ind w:left="106" w:right="30" w:firstLine="4"/>
              <w:jc w:val="both"/>
              <w:rPr>
                <w:color w:val="auto"/>
                <w:highlight w:val="none"/>
              </w:rPr>
            </w:pPr>
            <w:r>
              <w:rPr>
                <w:color w:val="auto"/>
                <w:spacing w:val="-3"/>
                <w:highlight w:val="none"/>
              </w:rPr>
              <w:t>方式</w:t>
            </w:r>
            <w:r>
              <w:rPr>
                <w:color w:val="auto"/>
                <w:spacing w:val="-24"/>
                <w:highlight w:val="none"/>
              </w:rPr>
              <w:t>：（</w:t>
            </w:r>
            <w:r>
              <w:rPr>
                <w:color w:val="auto"/>
                <w:spacing w:val="-3"/>
                <w:highlight w:val="none"/>
              </w:rPr>
              <w:t xml:space="preserve">1）供应商登录政采云平台 </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color w:val="auto"/>
                <w:spacing w:val="-3"/>
                <w:highlight w:val="none"/>
              </w:rPr>
              <w:t>https://www.zcygov.cn/</w:t>
            </w:r>
            <w:r>
              <w:rPr>
                <w:color w:val="auto"/>
                <w:spacing w:val="-3"/>
                <w:highlight w:val="none"/>
              </w:rPr>
              <w:fldChar w:fldCharType="end"/>
            </w:r>
            <w:r>
              <w:rPr>
                <w:color w:val="auto"/>
                <w:spacing w:val="-3"/>
                <w:highlight w:val="none"/>
              </w:rPr>
              <w:t>在线申请获</w:t>
            </w:r>
            <w:r>
              <w:rPr>
                <w:color w:val="auto"/>
                <w:highlight w:val="none"/>
              </w:rPr>
              <w:t xml:space="preserve">  </w:t>
            </w:r>
            <w:r>
              <w:rPr>
                <w:color w:val="auto"/>
                <w:spacing w:val="-2"/>
                <w:highlight w:val="none"/>
              </w:rPr>
              <w:t>取采购文件（进入“项目采购”应用，在获取采</w:t>
            </w:r>
            <w:r>
              <w:rPr>
                <w:color w:val="auto"/>
                <w:spacing w:val="-3"/>
                <w:highlight w:val="none"/>
              </w:rPr>
              <w:t>购文件菜单中选择项目，</w:t>
            </w:r>
            <w:r>
              <w:rPr>
                <w:color w:val="auto"/>
                <w:highlight w:val="none"/>
              </w:rPr>
              <w:t xml:space="preserve"> </w:t>
            </w:r>
            <w:r>
              <w:rPr>
                <w:color w:val="auto"/>
                <w:spacing w:val="-3"/>
                <w:highlight w:val="none"/>
              </w:rPr>
              <w:t>申请获取采购文件）</w:t>
            </w:r>
          </w:p>
          <w:p w14:paraId="3A6BCA98">
            <w:pPr>
              <w:pStyle w:val="12"/>
              <w:spacing w:before="11" w:line="183" w:lineRule="auto"/>
              <w:jc w:val="right"/>
              <w:rPr>
                <w:color w:val="auto"/>
                <w:highlight w:val="none"/>
              </w:rPr>
            </w:pPr>
            <w:r>
              <w:rPr>
                <w:color w:val="auto"/>
                <w:spacing w:val="-5"/>
                <w:highlight w:val="none"/>
              </w:rPr>
              <w:t>（2）供应商获取招标文件前应注册成为政</w:t>
            </w:r>
            <w:r>
              <w:rPr>
                <w:color w:val="auto"/>
                <w:spacing w:val="-6"/>
                <w:highlight w:val="none"/>
              </w:rPr>
              <w:t>府采购云平台正式供应商。</w:t>
            </w:r>
          </w:p>
        </w:tc>
      </w:tr>
      <w:tr w14:paraId="6E33F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04" w:type="dxa"/>
            <w:tcBorders>
              <w:left w:val="single" w:color="000000" w:sz="12" w:space="0"/>
            </w:tcBorders>
            <w:vAlign w:val="top"/>
          </w:tcPr>
          <w:p w14:paraId="40882B7F">
            <w:pPr>
              <w:spacing w:line="244" w:lineRule="auto"/>
              <w:rPr>
                <w:rFonts w:ascii="Arial"/>
                <w:color w:val="auto"/>
                <w:sz w:val="21"/>
                <w:highlight w:val="none"/>
              </w:rPr>
            </w:pPr>
          </w:p>
          <w:p w14:paraId="5C0C28FB">
            <w:pPr>
              <w:spacing w:line="245" w:lineRule="auto"/>
              <w:rPr>
                <w:rFonts w:ascii="Arial"/>
                <w:color w:val="auto"/>
                <w:sz w:val="21"/>
                <w:highlight w:val="none"/>
              </w:rPr>
            </w:pPr>
          </w:p>
          <w:p w14:paraId="4BD2CFFB">
            <w:pPr>
              <w:spacing w:line="245" w:lineRule="auto"/>
              <w:rPr>
                <w:rFonts w:ascii="Arial"/>
                <w:color w:val="auto"/>
                <w:sz w:val="21"/>
                <w:highlight w:val="none"/>
              </w:rPr>
            </w:pPr>
          </w:p>
          <w:p w14:paraId="2746BFF2">
            <w:pPr>
              <w:spacing w:line="245" w:lineRule="auto"/>
              <w:rPr>
                <w:rFonts w:ascii="Arial"/>
                <w:color w:val="auto"/>
                <w:sz w:val="21"/>
                <w:highlight w:val="none"/>
              </w:rPr>
            </w:pPr>
          </w:p>
          <w:p w14:paraId="01FF7B12">
            <w:pPr>
              <w:spacing w:line="245" w:lineRule="auto"/>
              <w:rPr>
                <w:rFonts w:ascii="Arial"/>
                <w:color w:val="auto"/>
                <w:sz w:val="21"/>
                <w:highlight w:val="none"/>
              </w:rPr>
            </w:pPr>
          </w:p>
          <w:p w14:paraId="5FC5632A">
            <w:pPr>
              <w:spacing w:line="245" w:lineRule="auto"/>
              <w:rPr>
                <w:rFonts w:ascii="Arial"/>
                <w:color w:val="auto"/>
                <w:sz w:val="21"/>
                <w:highlight w:val="none"/>
              </w:rPr>
            </w:pPr>
          </w:p>
          <w:p w14:paraId="6235CCC2">
            <w:pPr>
              <w:spacing w:line="245" w:lineRule="auto"/>
              <w:rPr>
                <w:rFonts w:ascii="Arial"/>
                <w:color w:val="auto"/>
                <w:sz w:val="21"/>
                <w:highlight w:val="none"/>
              </w:rPr>
            </w:pPr>
          </w:p>
          <w:p w14:paraId="48E9BCF7">
            <w:pPr>
              <w:spacing w:line="245" w:lineRule="auto"/>
              <w:rPr>
                <w:rFonts w:ascii="Arial"/>
                <w:color w:val="auto"/>
                <w:sz w:val="21"/>
                <w:highlight w:val="none"/>
              </w:rPr>
            </w:pPr>
          </w:p>
          <w:p w14:paraId="019D8685">
            <w:pPr>
              <w:spacing w:line="245" w:lineRule="auto"/>
              <w:rPr>
                <w:rFonts w:ascii="Arial"/>
                <w:color w:val="auto"/>
                <w:sz w:val="21"/>
                <w:highlight w:val="none"/>
              </w:rPr>
            </w:pPr>
          </w:p>
          <w:p w14:paraId="55EAD6F6">
            <w:pPr>
              <w:spacing w:line="245" w:lineRule="auto"/>
              <w:rPr>
                <w:rFonts w:ascii="Arial"/>
                <w:color w:val="auto"/>
                <w:sz w:val="21"/>
                <w:highlight w:val="none"/>
              </w:rPr>
            </w:pPr>
          </w:p>
          <w:p w14:paraId="37B1BFF9">
            <w:pPr>
              <w:pStyle w:val="12"/>
              <w:spacing w:before="90" w:line="160" w:lineRule="auto"/>
              <w:ind w:left="235"/>
              <w:rPr>
                <w:color w:val="auto"/>
                <w:highlight w:val="none"/>
              </w:rPr>
            </w:pPr>
            <w:r>
              <w:rPr>
                <w:color w:val="auto"/>
                <w:spacing w:val="-12"/>
                <w:highlight w:val="none"/>
              </w:rPr>
              <w:t>27</w:t>
            </w:r>
          </w:p>
        </w:tc>
        <w:tc>
          <w:tcPr>
            <w:tcW w:w="1793" w:type="dxa"/>
            <w:vAlign w:val="top"/>
          </w:tcPr>
          <w:p w14:paraId="72F4D036">
            <w:pPr>
              <w:spacing w:line="251" w:lineRule="auto"/>
              <w:rPr>
                <w:rFonts w:ascii="Arial"/>
                <w:color w:val="auto"/>
                <w:sz w:val="21"/>
                <w:highlight w:val="none"/>
              </w:rPr>
            </w:pPr>
          </w:p>
          <w:p w14:paraId="09E7270F">
            <w:pPr>
              <w:spacing w:line="251" w:lineRule="auto"/>
              <w:rPr>
                <w:rFonts w:ascii="Arial"/>
                <w:color w:val="auto"/>
                <w:sz w:val="21"/>
                <w:highlight w:val="none"/>
              </w:rPr>
            </w:pPr>
          </w:p>
          <w:p w14:paraId="4826DE78">
            <w:pPr>
              <w:spacing w:line="252" w:lineRule="auto"/>
              <w:rPr>
                <w:rFonts w:ascii="Arial"/>
                <w:color w:val="auto"/>
                <w:sz w:val="21"/>
                <w:highlight w:val="none"/>
              </w:rPr>
            </w:pPr>
          </w:p>
          <w:p w14:paraId="67D243DE">
            <w:pPr>
              <w:spacing w:line="252" w:lineRule="auto"/>
              <w:rPr>
                <w:rFonts w:ascii="Arial"/>
                <w:color w:val="auto"/>
                <w:sz w:val="21"/>
                <w:highlight w:val="none"/>
              </w:rPr>
            </w:pPr>
          </w:p>
          <w:p w14:paraId="42456246">
            <w:pPr>
              <w:spacing w:line="252" w:lineRule="auto"/>
              <w:rPr>
                <w:rFonts w:ascii="Arial"/>
                <w:color w:val="auto"/>
                <w:sz w:val="21"/>
                <w:highlight w:val="none"/>
              </w:rPr>
            </w:pPr>
          </w:p>
          <w:p w14:paraId="549F2F01">
            <w:pPr>
              <w:spacing w:line="252" w:lineRule="auto"/>
              <w:rPr>
                <w:rFonts w:ascii="Arial"/>
                <w:color w:val="auto"/>
                <w:sz w:val="21"/>
                <w:highlight w:val="none"/>
              </w:rPr>
            </w:pPr>
          </w:p>
          <w:p w14:paraId="72B0DEBD">
            <w:pPr>
              <w:spacing w:line="252" w:lineRule="auto"/>
              <w:rPr>
                <w:rFonts w:ascii="Arial"/>
                <w:color w:val="auto"/>
                <w:sz w:val="21"/>
                <w:highlight w:val="none"/>
              </w:rPr>
            </w:pPr>
          </w:p>
          <w:p w14:paraId="353CCE2C">
            <w:pPr>
              <w:spacing w:line="252" w:lineRule="auto"/>
              <w:rPr>
                <w:rFonts w:ascii="Arial"/>
                <w:color w:val="auto"/>
                <w:sz w:val="21"/>
                <w:highlight w:val="none"/>
              </w:rPr>
            </w:pPr>
          </w:p>
          <w:p w14:paraId="76F4EFD8">
            <w:pPr>
              <w:spacing w:line="252" w:lineRule="auto"/>
              <w:rPr>
                <w:rFonts w:ascii="Arial"/>
                <w:color w:val="auto"/>
                <w:sz w:val="21"/>
                <w:highlight w:val="none"/>
              </w:rPr>
            </w:pPr>
          </w:p>
          <w:p w14:paraId="0E5925E9">
            <w:pPr>
              <w:pStyle w:val="12"/>
              <w:spacing w:before="90" w:line="192" w:lineRule="auto"/>
              <w:ind w:left="104" w:right="104" w:hanging="5"/>
              <w:rPr>
                <w:color w:val="auto"/>
                <w:highlight w:val="none"/>
              </w:rPr>
            </w:pPr>
            <w:r>
              <w:rPr>
                <w:color w:val="auto"/>
                <w:spacing w:val="14"/>
                <w:highlight w:val="none"/>
              </w:rPr>
              <w:t>低于成本不正当</w:t>
            </w:r>
            <w:r>
              <w:rPr>
                <w:color w:val="auto"/>
                <w:highlight w:val="none"/>
              </w:rPr>
              <w:t xml:space="preserve"> </w:t>
            </w:r>
            <w:r>
              <w:rPr>
                <w:color w:val="auto"/>
                <w:spacing w:val="-3"/>
                <w:highlight w:val="none"/>
              </w:rPr>
              <w:t>竞争预防措施</w:t>
            </w:r>
          </w:p>
        </w:tc>
        <w:tc>
          <w:tcPr>
            <w:tcW w:w="6809" w:type="dxa"/>
            <w:tcBorders>
              <w:right w:val="single" w:color="000000" w:sz="12" w:space="0"/>
            </w:tcBorders>
            <w:vAlign w:val="top"/>
          </w:tcPr>
          <w:p w14:paraId="2E6A2832">
            <w:pPr>
              <w:pStyle w:val="12"/>
              <w:spacing w:before="50" w:line="193" w:lineRule="auto"/>
              <w:ind w:left="105" w:right="20" w:firstLine="421"/>
              <w:rPr>
                <w:color w:val="auto"/>
                <w:highlight w:val="none"/>
              </w:rPr>
            </w:pPr>
            <w:r>
              <w:rPr>
                <w:color w:val="auto"/>
                <w:spacing w:val="-3"/>
                <w:highlight w:val="none"/>
              </w:rPr>
              <w:t>根据财政部令第 87 号《政府采购货物和服务招标投标管理办法》第</w:t>
            </w:r>
            <w:r>
              <w:rPr>
                <w:color w:val="auto"/>
                <w:spacing w:val="4"/>
                <w:highlight w:val="none"/>
              </w:rPr>
              <w:t xml:space="preserve">  </w:t>
            </w:r>
            <w:r>
              <w:rPr>
                <w:color w:val="auto"/>
                <w:spacing w:val="2"/>
                <w:highlight w:val="none"/>
              </w:rPr>
              <w:t>六十条：</w:t>
            </w:r>
            <w:r>
              <w:rPr>
                <w:color w:val="auto"/>
                <w:spacing w:val="-37"/>
                <w:highlight w:val="none"/>
              </w:rPr>
              <w:t xml:space="preserve"> </w:t>
            </w:r>
            <w:r>
              <w:rPr>
                <w:color w:val="auto"/>
                <w:spacing w:val="2"/>
                <w:highlight w:val="none"/>
              </w:rPr>
              <w:t>评标委员会认为投标人的报价明显</w:t>
            </w:r>
            <w:r>
              <w:rPr>
                <w:color w:val="auto"/>
                <w:spacing w:val="1"/>
                <w:highlight w:val="none"/>
              </w:rPr>
              <w:t>低于其他通过符合性审查投</w:t>
            </w:r>
            <w:r>
              <w:rPr>
                <w:color w:val="auto"/>
                <w:highlight w:val="none"/>
              </w:rPr>
              <w:t xml:space="preserve">  </w:t>
            </w:r>
            <w:r>
              <w:rPr>
                <w:color w:val="auto"/>
                <w:spacing w:val="2"/>
                <w:highlight w:val="none"/>
              </w:rPr>
              <w:t>标人的报价，有可能影响产品质量或者不能诚信履约的，应当要求其在</w:t>
            </w:r>
            <w:r>
              <w:rPr>
                <w:color w:val="auto"/>
                <w:spacing w:val="6"/>
                <w:highlight w:val="none"/>
              </w:rPr>
              <w:t xml:space="preserve">  </w:t>
            </w:r>
            <w:r>
              <w:rPr>
                <w:color w:val="auto"/>
                <w:spacing w:val="1"/>
                <w:highlight w:val="none"/>
              </w:rPr>
              <w:t>评标现场合理的时间内提供书面说明，</w:t>
            </w:r>
            <w:r>
              <w:rPr>
                <w:color w:val="auto"/>
                <w:spacing w:val="-39"/>
                <w:highlight w:val="none"/>
              </w:rPr>
              <w:t xml:space="preserve"> </w:t>
            </w:r>
            <w:r>
              <w:rPr>
                <w:color w:val="auto"/>
                <w:spacing w:val="1"/>
                <w:highlight w:val="none"/>
              </w:rPr>
              <w:t>必要时提交相关证明材料；</w:t>
            </w:r>
            <w:r>
              <w:rPr>
                <w:color w:val="auto"/>
                <w:spacing w:val="-39"/>
                <w:highlight w:val="none"/>
              </w:rPr>
              <w:t xml:space="preserve"> </w:t>
            </w:r>
            <w:r>
              <w:rPr>
                <w:color w:val="auto"/>
                <w:highlight w:val="none"/>
              </w:rPr>
              <w:t xml:space="preserve">投标  </w:t>
            </w:r>
            <w:r>
              <w:rPr>
                <w:color w:val="auto"/>
                <w:spacing w:val="1"/>
                <w:highlight w:val="none"/>
              </w:rPr>
              <w:t>人不能证明其报价合理性的，</w:t>
            </w:r>
            <w:r>
              <w:rPr>
                <w:color w:val="auto"/>
                <w:spacing w:val="-42"/>
                <w:highlight w:val="none"/>
              </w:rPr>
              <w:t xml:space="preserve"> </w:t>
            </w:r>
            <w:r>
              <w:rPr>
                <w:color w:val="auto"/>
                <w:spacing w:val="1"/>
                <w:highlight w:val="none"/>
              </w:rPr>
              <w:t>评标委员会应当将其作为无效投</w:t>
            </w:r>
            <w:r>
              <w:rPr>
                <w:color w:val="auto"/>
                <w:highlight w:val="none"/>
              </w:rPr>
              <w:t xml:space="preserve">标处理。  </w:t>
            </w:r>
            <w:r>
              <w:rPr>
                <w:color w:val="auto"/>
                <w:spacing w:val="2"/>
                <w:highlight w:val="none"/>
              </w:rPr>
              <w:t>在评标过程中，</w:t>
            </w:r>
            <w:r>
              <w:rPr>
                <w:color w:val="auto"/>
                <w:spacing w:val="-42"/>
                <w:highlight w:val="none"/>
              </w:rPr>
              <w:t xml:space="preserve"> </w:t>
            </w:r>
            <w:r>
              <w:rPr>
                <w:color w:val="auto"/>
                <w:spacing w:val="2"/>
                <w:highlight w:val="none"/>
              </w:rPr>
              <w:t>供应商报价低于其他有效供应商报价有</w:t>
            </w:r>
            <w:r>
              <w:rPr>
                <w:color w:val="auto"/>
                <w:spacing w:val="1"/>
                <w:highlight w:val="none"/>
              </w:rPr>
              <w:t>可能影响产品质</w:t>
            </w:r>
            <w:r>
              <w:rPr>
                <w:color w:val="auto"/>
                <w:highlight w:val="none"/>
              </w:rPr>
              <w:t xml:space="preserve">  </w:t>
            </w:r>
            <w:r>
              <w:rPr>
                <w:color w:val="auto"/>
                <w:spacing w:val="2"/>
                <w:highlight w:val="none"/>
              </w:rPr>
              <w:t>量或者不能诚信履约的，</w:t>
            </w:r>
            <w:r>
              <w:rPr>
                <w:color w:val="auto"/>
                <w:spacing w:val="-42"/>
                <w:highlight w:val="none"/>
              </w:rPr>
              <w:t xml:space="preserve"> </w:t>
            </w:r>
            <w:r>
              <w:rPr>
                <w:color w:val="auto"/>
                <w:spacing w:val="2"/>
                <w:highlight w:val="none"/>
              </w:rPr>
              <w:t>评标委员会应当要求其在评标</w:t>
            </w:r>
            <w:r>
              <w:rPr>
                <w:color w:val="auto"/>
                <w:spacing w:val="1"/>
                <w:highlight w:val="none"/>
              </w:rPr>
              <w:t>现场合理的时间</w:t>
            </w:r>
            <w:r>
              <w:rPr>
                <w:color w:val="auto"/>
                <w:highlight w:val="none"/>
              </w:rPr>
              <w:t xml:space="preserve">  </w:t>
            </w:r>
            <w:r>
              <w:rPr>
                <w:color w:val="auto"/>
                <w:spacing w:val="2"/>
                <w:highlight w:val="none"/>
              </w:rPr>
              <w:t>内提供成本构成书面说明，</w:t>
            </w:r>
            <w:r>
              <w:rPr>
                <w:color w:val="auto"/>
                <w:spacing w:val="-40"/>
                <w:highlight w:val="none"/>
              </w:rPr>
              <w:t xml:space="preserve"> </w:t>
            </w:r>
            <w:r>
              <w:rPr>
                <w:color w:val="auto"/>
                <w:spacing w:val="2"/>
                <w:highlight w:val="none"/>
              </w:rPr>
              <w:t>并提交相关证明材料。</w:t>
            </w:r>
            <w:r>
              <w:rPr>
                <w:color w:val="auto"/>
                <w:spacing w:val="1"/>
                <w:highlight w:val="none"/>
              </w:rPr>
              <w:t>供应商书面说明应当</w:t>
            </w:r>
            <w:r>
              <w:rPr>
                <w:color w:val="auto"/>
                <w:highlight w:val="none"/>
              </w:rPr>
              <w:t xml:space="preserve">  </w:t>
            </w:r>
            <w:r>
              <w:rPr>
                <w:color w:val="auto"/>
                <w:spacing w:val="2"/>
                <w:highlight w:val="none"/>
              </w:rPr>
              <w:t>按照国家财务会计制度的规定要求，</w:t>
            </w:r>
            <w:r>
              <w:rPr>
                <w:color w:val="auto"/>
                <w:spacing w:val="-39"/>
                <w:highlight w:val="none"/>
              </w:rPr>
              <w:t xml:space="preserve"> </w:t>
            </w:r>
            <w:r>
              <w:rPr>
                <w:color w:val="auto"/>
                <w:spacing w:val="2"/>
                <w:highlight w:val="none"/>
              </w:rPr>
              <w:t>逐项就供应</w:t>
            </w:r>
            <w:r>
              <w:rPr>
                <w:color w:val="auto"/>
                <w:spacing w:val="1"/>
                <w:highlight w:val="none"/>
              </w:rPr>
              <w:t>商提供的货物、工程和</w:t>
            </w:r>
            <w:r>
              <w:rPr>
                <w:color w:val="auto"/>
                <w:highlight w:val="none"/>
              </w:rPr>
              <w:t xml:space="preserve">  </w:t>
            </w:r>
            <w:r>
              <w:rPr>
                <w:color w:val="auto"/>
                <w:spacing w:val="-2"/>
                <w:highlight w:val="none"/>
              </w:rPr>
              <w:t>服务的主营业务成本（应根据供应商企业类型予以区别）、税金及附加、</w:t>
            </w:r>
            <w:r>
              <w:rPr>
                <w:color w:val="auto"/>
                <w:spacing w:val="1"/>
                <w:highlight w:val="none"/>
              </w:rPr>
              <w:t xml:space="preserve"> </w:t>
            </w:r>
            <w:r>
              <w:rPr>
                <w:color w:val="auto"/>
                <w:spacing w:val="2"/>
                <w:highlight w:val="none"/>
              </w:rPr>
              <w:t>销售费用、管理费用、财务费用等成本构成事项详细陈述。供应商书面</w:t>
            </w:r>
            <w:r>
              <w:rPr>
                <w:color w:val="auto"/>
                <w:spacing w:val="6"/>
                <w:highlight w:val="none"/>
              </w:rPr>
              <w:t xml:space="preserve">  </w:t>
            </w:r>
            <w:r>
              <w:rPr>
                <w:color w:val="auto"/>
                <w:spacing w:val="1"/>
                <w:highlight w:val="none"/>
              </w:rPr>
              <w:t>说明应当签字确认或者加盖公章，</w:t>
            </w:r>
            <w:r>
              <w:rPr>
                <w:color w:val="auto"/>
                <w:spacing w:val="-38"/>
                <w:highlight w:val="none"/>
              </w:rPr>
              <w:t xml:space="preserve"> </w:t>
            </w:r>
            <w:r>
              <w:rPr>
                <w:color w:val="auto"/>
                <w:spacing w:val="1"/>
                <w:highlight w:val="none"/>
              </w:rPr>
              <w:t>否则无效。书面说明的签字确认，</w:t>
            </w:r>
            <w:r>
              <w:rPr>
                <w:color w:val="auto"/>
                <w:spacing w:val="-42"/>
                <w:highlight w:val="none"/>
              </w:rPr>
              <w:t xml:space="preserve"> </w:t>
            </w:r>
            <w:r>
              <w:rPr>
                <w:color w:val="auto"/>
                <w:spacing w:val="1"/>
                <w:highlight w:val="none"/>
              </w:rPr>
              <w:t>供</w:t>
            </w:r>
            <w:r>
              <w:rPr>
                <w:color w:val="auto"/>
                <w:highlight w:val="none"/>
              </w:rPr>
              <w:t xml:space="preserve">  </w:t>
            </w:r>
            <w:r>
              <w:rPr>
                <w:color w:val="auto"/>
                <w:spacing w:val="-2"/>
                <w:highlight w:val="none"/>
              </w:rPr>
              <w:t>应商为法人的，由法定代表人或者委托代理人签字确认。</w:t>
            </w:r>
          </w:p>
          <w:p w14:paraId="3087ADE3">
            <w:pPr>
              <w:pStyle w:val="12"/>
              <w:spacing w:before="7" w:line="183" w:lineRule="auto"/>
              <w:ind w:left="107" w:right="91" w:hanging="1"/>
              <w:jc w:val="both"/>
              <w:rPr>
                <w:color w:val="auto"/>
                <w:highlight w:val="none"/>
              </w:rPr>
            </w:pPr>
            <w:r>
              <w:rPr>
                <w:color w:val="auto"/>
                <w:spacing w:val="2"/>
                <w:highlight w:val="none"/>
              </w:rPr>
              <w:t>供应商提供书面说明后，</w:t>
            </w:r>
            <w:r>
              <w:rPr>
                <w:color w:val="auto"/>
                <w:spacing w:val="-41"/>
                <w:highlight w:val="none"/>
              </w:rPr>
              <w:t xml:space="preserve"> </w:t>
            </w:r>
            <w:r>
              <w:rPr>
                <w:color w:val="auto"/>
                <w:spacing w:val="2"/>
                <w:highlight w:val="none"/>
              </w:rPr>
              <w:t>评标委员会应当结合采购</w:t>
            </w:r>
            <w:r>
              <w:rPr>
                <w:color w:val="auto"/>
                <w:spacing w:val="1"/>
                <w:highlight w:val="none"/>
              </w:rPr>
              <w:t>项目采购需求、专业</w:t>
            </w:r>
            <w:r>
              <w:rPr>
                <w:color w:val="auto"/>
                <w:highlight w:val="none"/>
              </w:rPr>
              <w:t xml:space="preserve"> </w:t>
            </w:r>
            <w:r>
              <w:rPr>
                <w:color w:val="auto"/>
                <w:spacing w:val="2"/>
                <w:highlight w:val="none"/>
              </w:rPr>
              <w:t>实际情况、供应商财务状况报告、与其他供应商比较情况等就供应商书</w:t>
            </w:r>
            <w:r>
              <w:rPr>
                <w:color w:val="auto"/>
                <w:spacing w:val="10"/>
                <w:highlight w:val="none"/>
              </w:rPr>
              <w:t xml:space="preserve"> </w:t>
            </w:r>
            <w:r>
              <w:rPr>
                <w:color w:val="auto"/>
                <w:spacing w:val="2"/>
                <w:highlight w:val="none"/>
              </w:rPr>
              <w:t>面说明进行审查评价。供应商拒绝或者变相拒绝提供有效书面说明或者</w:t>
            </w:r>
            <w:r>
              <w:rPr>
                <w:color w:val="auto"/>
                <w:spacing w:val="10"/>
                <w:highlight w:val="none"/>
              </w:rPr>
              <w:t xml:space="preserve"> </w:t>
            </w:r>
            <w:r>
              <w:rPr>
                <w:color w:val="auto"/>
                <w:spacing w:val="2"/>
                <w:highlight w:val="none"/>
              </w:rPr>
              <w:t>书面说明不能证明其报价合理性的，</w:t>
            </w:r>
            <w:r>
              <w:rPr>
                <w:color w:val="auto"/>
                <w:spacing w:val="-41"/>
                <w:highlight w:val="none"/>
              </w:rPr>
              <w:t xml:space="preserve"> </w:t>
            </w:r>
            <w:r>
              <w:rPr>
                <w:color w:val="auto"/>
                <w:spacing w:val="2"/>
                <w:highlight w:val="none"/>
              </w:rPr>
              <w:t>评标委员</w:t>
            </w:r>
            <w:r>
              <w:rPr>
                <w:color w:val="auto"/>
                <w:spacing w:val="1"/>
                <w:highlight w:val="none"/>
              </w:rPr>
              <w:t>会应当将其响应文件作为</w:t>
            </w:r>
            <w:r>
              <w:rPr>
                <w:color w:val="auto"/>
                <w:highlight w:val="none"/>
              </w:rPr>
              <w:t xml:space="preserve"> </w:t>
            </w:r>
            <w:r>
              <w:rPr>
                <w:color w:val="auto"/>
                <w:spacing w:val="-8"/>
                <w:highlight w:val="none"/>
              </w:rPr>
              <w:t>无效处理。</w:t>
            </w:r>
          </w:p>
        </w:tc>
      </w:tr>
      <w:tr w14:paraId="6BAF8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7" w:hRule="atLeast"/>
        </w:trPr>
        <w:tc>
          <w:tcPr>
            <w:tcW w:w="704" w:type="dxa"/>
            <w:tcBorders>
              <w:left w:val="single" w:color="000000" w:sz="12" w:space="0"/>
            </w:tcBorders>
            <w:shd w:val="clear" w:color="auto" w:fill="auto"/>
            <w:vAlign w:val="top"/>
          </w:tcPr>
          <w:p w14:paraId="0CE82B1C">
            <w:pPr>
              <w:spacing w:line="248" w:lineRule="auto"/>
              <w:rPr>
                <w:rFonts w:ascii="Arial"/>
                <w:color w:val="auto"/>
                <w:sz w:val="21"/>
                <w:highlight w:val="none"/>
              </w:rPr>
            </w:pPr>
          </w:p>
          <w:p w14:paraId="77A052F1">
            <w:pPr>
              <w:spacing w:line="248" w:lineRule="auto"/>
              <w:rPr>
                <w:rFonts w:ascii="Arial"/>
                <w:color w:val="auto"/>
                <w:sz w:val="21"/>
                <w:highlight w:val="none"/>
              </w:rPr>
            </w:pPr>
          </w:p>
          <w:p w14:paraId="6E919A25">
            <w:pPr>
              <w:spacing w:line="249" w:lineRule="auto"/>
              <w:rPr>
                <w:rFonts w:ascii="Arial"/>
                <w:color w:val="auto"/>
                <w:sz w:val="21"/>
                <w:highlight w:val="none"/>
              </w:rPr>
            </w:pPr>
          </w:p>
          <w:p w14:paraId="5A7F2CAA">
            <w:pPr>
              <w:spacing w:line="249" w:lineRule="auto"/>
              <w:rPr>
                <w:rFonts w:ascii="Arial"/>
                <w:color w:val="auto"/>
                <w:sz w:val="21"/>
                <w:highlight w:val="none"/>
              </w:rPr>
            </w:pPr>
          </w:p>
          <w:p w14:paraId="3FF43700">
            <w:pPr>
              <w:spacing w:line="249" w:lineRule="auto"/>
              <w:rPr>
                <w:rFonts w:ascii="Arial"/>
                <w:color w:val="auto"/>
                <w:sz w:val="21"/>
                <w:highlight w:val="none"/>
              </w:rPr>
            </w:pPr>
          </w:p>
          <w:p w14:paraId="18AB81C2">
            <w:pPr>
              <w:spacing w:line="249" w:lineRule="auto"/>
              <w:rPr>
                <w:rFonts w:ascii="Arial"/>
                <w:color w:val="auto"/>
                <w:sz w:val="21"/>
                <w:highlight w:val="none"/>
              </w:rPr>
            </w:pPr>
          </w:p>
          <w:p w14:paraId="4FEB6662">
            <w:pPr>
              <w:spacing w:line="249" w:lineRule="auto"/>
              <w:rPr>
                <w:rFonts w:ascii="Arial"/>
                <w:color w:val="auto"/>
                <w:sz w:val="21"/>
                <w:highlight w:val="none"/>
              </w:rPr>
            </w:pPr>
          </w:p>
          <w:p w14:paraId="68FC2946">
            <w:pPr>
              <w:pStyle w:val="12"/>
              <w:spacing w:before="90" w:line="158" w:lineRule="auto"/>
              <w:ind w:left="235" w:leftChars="0"/>
              <w:rPr>
                <w:rFonts w:ascii="微软雅黑" w:hAnsi="微软雅黑" w:eastAsia="微软雅黑" w:cs="微软雅黑"/>
                <w:snapToGrid w:val="0"/>
                <w:color w:val="auto"/>
                <w:kern w:val="0"/>
                <w:sz w:val="21"/>
                <w:szCs w:val="21"/>
                <w:highlight w:val="none"/>
                <w:lang w:val="en-US" w:eastAsia="en-US" w:bidi="ar-SA"/>
              </w:rPr>
            </w:pPr>
            <w:r>
              <w:rPr>
                <w:color w:val="auto"/>
                <w:spacing w:val="-12"/>
                <w:highlight w:val="none"/>
              </w:rPr>
              <w:t>28</w:t>
            </w:r>
          </w:p>
        </w:tc>
        <w:tc>
          <w:tcPr>
            <w:tcW w:w="1793" w:type="dxa"/>
            <w:shd w:val="clear" w:color="auto" w:fill="auto"/>
            <w:vAlign w:val="top"/>
          </w:tcPr>
          <w:p w14:paraId="51A55484">
            <w:pPr>
              <w:spacing w:line="243" w:lineRule="auto"/>
              <w:rPr>
                <w:rFonts w:ascii="Arial"/>
                <w:color w:val="auto"/>
                <w:sz w:val="21"/>
                <w:highlight w:val="none"/>
              </w:rPr>
            </w:pPr>
          </w:p>
          <w:p w14:paraId="6D4CF49D">
            <w:pPr>
              <w:spacing w:line="243" w:lineRule="auto"/>
              <w:rPr>
                <w:rFonts w:ascii="Arial"/>
                <w:color w:val="auto"/>
                <w:sz w:val="21"/>
                <w:highlight w:val="none"/>
              </w:rPr>
            </w:pPr>
          </w:p>
          <w:p w14:paraId="660384D6">
            <w:pPr>
              <w:spacing w:line="243" w:lineRule="auto"/>
              <w:rPr>
                <w:rFonts w:ascii="Arial"/>
                <w:color w:val="auto"/>
                <w:sz w:val="21"/>
                <w:highlight w:val="none"/>
              </w:rPr>
            </w:pPr>
          </w:p>
          <w:p w14:paraId="396717F1">
            <w:pPr>
              <w:spacing w:line="243" w:lineRule="auto"/>
              <w:rPr>
                <w:rFonts w:ascii="Arial"/>
                <w:color w:val="auto"/>
                <w:sz w:val="21"/>
                <w:highlight w:val="none"/>
              </w:rPr>
            </w:pPr>
          </w:p>
          <w:p w14:paraId="285D3964">
            <w:pPr>
              <w:spacing w:line="243" w:lineRule="auto"/>
              <w:rPr>
                <w:rFonts w:ascii="Arial"/>
                <w:color w:val="auto"/>
                <w:sz w:val="21"/>
                <w:highlight w:val="none"/>
              </w:rPr>
            </w:pPr>
          </w:p>
          <w:p w14:paraId="471F96EA">
            <w:pPr>
              <w:spacing w:line="244" w:lineRule="auto"/>
              <w:rPr>
                <w:rFonts w:ascii="Arial"/>
                <w:color w:val="auto"/>
                <w:sz w:val="21"/>
                <w:highlight w:val="none"/>
              </w:rPr>
            </w:pPr>
          </w:p>
          <w:p w14:paraId="2DA4B4CF">
            <w:pPr>
              <w:spacing w:line="244" w:lineRule="auto"/>
              <w:rPr>
                <w:rFonts w:ascii="Arial"/>
                <w:color w:val="auto"/>
                <w:sz w:val="21"/>
                <w:highlight w:val="none"/>
              </w:rPr>
            </w:pPr>
          </w:p>
          <w:p w14:paraId="3ED31981">
            <w:pPr>
              <w:pStyle w:val="12"/>
              <w:spacing w:before="90" w:line="188" w:lineRule="auto"/>
              <w:ind w:left="478" w:leftChars="0"/>
              <w:rPr>
                <w:rFonts w:ascii="微软雅黑" w:hAnsi="微软雅黑" w:eastAsia="微软雅黑" w:cs="微软雅黑"/>
                <w:snapToGrid w:val="0"/>
                <w:color w:val="auto"/>
                <w:kern w:val="0"/>
                <w:sz w:val="21"/>
                <w:szCs w:val="21"/>
                <w:highlight w:val="none"/>
                <w:lang w:val="en-US" w:eastAsia="en-US" w:bidi="ar-SA"/>
              </w:rPr>
            </w:pPr>
            <w:r>
              <w:rPr>
                <w:color w:val="auto"/>
                <w:spacing w:val="-4"/>
                <w:highlight w:val="none"/>
              </w:rPr>
              <w:t>重要说明</w:t>
            </w:r>
          </w:p>
        </w:tc>
        <w:tc>
          <w:tcPr>
            <w:tcW w:w="6809" w:type="dxa"/>
            <w:tcBorders>
              <w:right w:val="single" w:color="000000" w:sz="12" w:space="0"/>
            </w:tcBorders>
            <w:shd w:val="clear" w:color="auto" w:fill="auto"/>
            <w:vAlign w:val="top"/>
          </w:tcPr>
          <w:p w14:paraId="1266511F">
            <w:pPr>
              <w:pStyle w:val="12"/>
              <w:spacing w:before="62" w:line="192" w:lineRule="auto"/>
              <w:ind w:left="107" w:right="91" w:firstLine="7"/>
              <w:rPr>
                <w:color w:val="auto"/>
                <w:highlight w:val="none"/>
              </w:rPr>
            </w:pPr>
            <w:r>
              <w:rPr>
                <w:b/>
                <w:bCs/>
                <w:color w:val="auto"/>
                <w:spacing w:val="-4"/>
                <w:highlight w:val="none"/>
              </w:rPr>
              <w:t>1.本项目采用全流程不见面电子开评标，投标供应商需要使用 CA 加密设</w:t>
            </w:r>
            <w:r>
              <w:rPr>
                <w:b/>
                <w:bCs/>
                <w:color w:val="auto"/>
                <w:spacing w:val="12"/>
                <w:highlight w:val="none"/>
              </w:rPr>
              <w:t xml:space="preserve"> </w:t>
            </w:r>
            <w:r>
              <w:rPr>
                <w:b/>
                <w:bCs/>
                <w:color w:val="auto"/>
                <w:spacing w:val="-1"/>
                <w:highlight w:val="none"/>
              </w:rPr>
              <w:t>备，供应商可通过新疆数字证书认证中心官网</w:t>
            </w:r>
          </w:p>
          <w:p w14:paraId="2D3C4244">
            <w:pPr>
              <w:pStyle w:val="12"/>
              <w:spacing w:before="1" w:line="193" w:lineRule="auto"/>
              <w:ind w:left="101" w:right="14" w:firstLine="3"/>
              <w:rPr>
                <w:color w:val="auto"/>
                <w:highlight w:val="none"/>
              </w:rPr>
            </w:pPr>
            <w:r>
              <w:rPr>
                <w:b/>
                <w:bCs/>
                <w:color w:val="auto"/>
                <w:spacing w:val="-13"/>
                <w:highlight w:val="none"/>
              </w:rPr>
              <w:t>（</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b/>
                <w:bCs/>
                <w:color w:val="auto"/>
                <w:spacing w:val="-13"/>
                <w:highlight w:val="none"/>
              </w:rPr>
              <w:t>https://www.xjca.com.cn/</w:t>
            </w:r>
            <w:r>
              <w:rPr>
                <w:b/>
                <w:bCs/>
                <w:color w:val="auto"/>
                <w:spacing w:val="-13"/>
                <w:highlight w:val="none"/>
              </w:rPr>
              <w:fldChar w:fldCharType="end"/>
            </w:r>
            <w:r>
              <w:rPr>
                <w:b/>
                <w:bCs/>
                <w:color w:val="auto"/>
                <w:spacing w:val="-13"/>
                <w:highlight w:val="none"/>
              </w:rPr>
              <w:t>）或下载“新疆政务通”</w:t>
            </w:r>
            <w:r>
              <w:rPr>
                <w:b/>
                <w:bCs/>
                <w:color w:val="auto"/>
                <w:spacing w:val="-14"/>
                <w:highlight w:val="none"/>
              </w:rPr>
              <w:t>APP</w:t>
            </w:r>
            <w:r>
              <w:rPr>
                <w:b/>
                <w:bCs/>
                <w:color w:val="auto"/>
                <w:spacing w:val="43"/>
                <w:highlight w:val="none"/>
              </w:rPr>
              <w:t xml:space="preserve"> </w:t>
            </w:r>
            <w:r>
              <w:rPr>
                <w:b/>
                <w:bCs/>
                <w:color w:val="auto"/>
                <w:spacing w:val="-14"/>
                <w:highlight w:val="none"/>
              </w:rPr>
              <w:t>自行进行申领。</w:t>
            </w:r>
            <w:r>
              <w:rPr>
                <w:b/>
                <w:bCs/>
                <w:color w:val="auto"/>
                <w:highlight w:val="none"/>
              </w:rPr>
              <w:t xml:space="preserve"> </w:t>
            </w:r>
            <w:r>
              <w:rPr>
                <w:b/>
                <w:bCs/>
                <w:color w:val="auto"/>
                <w:spacing w:val="-2"/>
                <w:highlight w:val="none"/>
              </w:rPr>
              <w:t>2.本项目实行网上投标，采用加密电子投标文件(供应商须使</w:t>
            </w:r>
            <w:r>
              <w:rPr>
                <w:b/>
                <w:bCs/>
                <w:color w:val="auto"/>
                <w:spacing w:val="-3"/>
                <w:highlight w:val="none"/>
              </w:rPr>
              <w:t>用 CA 加密</w:t>
            </w:r>
            <w:r>
              <w:rPr>
                <w:b/>
                <w:bCs/>
                <w:color w:val="auto"/>
                <w:highlight w:val="none"/>
              </w:rPr>
              <w:t xml:space="preserve">   </w:t>
            </w:r>
            <w:r>
              <w:rPr>
                <w:b/>
                <w:bCs/>
                <w:color w:val="auto"/>
                <w:spacing w:val="-5"/>
                <w:highlight w:val="none"/>
              </w:rPr>
              <w:t>设备通过政采云电子投标客户端制作投标文</w:t>
            </w:r>
            <w:r>
              <w:rPr>
                <w:b/>
                <w:bCs/>
                <w:color w:val="auto"/>
                <w:spacing w:val="-6"/>
                <w:highlight w:val="none"/>
              </w:rPr>
              <w:t>件)。若供应商参与投标，   自</w:t>
            </w:r>
            <w:r>
              <w:rPr>
                <w:b/>
                <w:bCs/>
                <w:color w:val="auto"/>
                <w:highlight w:val="none"/>
              </w:rPr>
              <w:t xml:space="preserve">  </w:t>
            </w:r>
            <w:r>
              <w:rPr>
                <w:b/>
                <w:bCs/>
                <w:color w:val="auto"/>
                <w:spacing w:val="-4"/>
                <w:highlight w:val="none"/>
              </w:rPr>
              <w:t>行承担投标一切费用。</w:t>
            </w:r>
          </w:p>
          <w:p w14:paraId="45A9ED2C">
            <w:pPr>
              <w:pStyle w:val="12"/>
              <w:spacing w:before="4" w:line="192" w:lineRule="auto"/>
              <w:ind w:left="108" w:right="182" w:hanging="5"/>
              <w:rPr>
                <w:color w:val="auto"/>
                <w:highlight w:val="none"/>
              </w:rPr>
            </w:pPr>
            <w:r>
              <w:rPr>
                <w:b/>
                <w:bCs/>
                <w:color w:val="auto"/>
                <w:highlight w:val="none"/>
              </w:rPr>
              <w:t>3.各供应商在开标前应确保成为政府采购网正式注册入库供应商，并完</w:t>
            </w:r>
            <w:r>
              <w:rPr>
                <w:b/>
                <w:bCs/>
                <w:color w:val="auto"/>
                <w:spacing w:val="7"/>
                <w:highlight w:val="none"/>
              </w:rPr>
              <w:t xml:space="preserve"> </w:t>
            </w:r>
            <w:r>
              <w:rPr>
                <w:b/>
                <w:bCs/>
                <w:color w:val="auto"/>
                <w:spacing w:val="-7"/>
                <w:highlight w:val="none"/>
              </w:rPr>
              <w:t>成 CA 数字证书申领。因未注册入库、未办理 CA 数字证书等原因造成无</w:t>
            </w:r>
            <w:r>
              <w:rPr>
                <w:b/>
                <w:bCs/>
                <w:color w:val="auto"/>
                <w:spacing w:val="14"/>
                <w:highlight w:val="none"/>
              </w:rPr>
              <w:t xml:space="preserve"> </w:t>
            </w:r>
            <w:r>
              <w:rPr>
                <w:b/>
                <w:bCs/>
                <w:color w:val="auto"/>
                <w:spacing w:val="-3"/>
                <w:highlight w:val="none"/>
              </w:rPr>
              <w:t>法投标或投标失败等后果由供应商自行承担。</w:t>
            </w:r>
          </w:p>
          <w:p w14:paraId="5F6B9D17">
            <w:pPr>
              <w:pStyle w:val="12"/>
              <w:spacing w:before="4" w:line="192" w:lineRule="auto"/>
              <w:ind w:left="106" w:right="91" w:hanging="8"/>
              <w:rPr>
                <w:color w:val="auto"/>
                <w:highlight w:val="none"/>
              </w:rPr>
            </w:pPr>
            <w:r>
              <w:rPr>
                <w:b/>
                <w:bCs/>
                <w:color w:val="auto"/>
                <w:highlight w:val="none"/>
              </w:rPr>
              <w:t>4.供应商将政采云电子交易客户端下载、安装完成后，可通过账号密码</w:t>
            </w:r>
            <w:r>
              <w:rPr>
                <w:b/>
                <w:bCs/>
                <w:color w:val="auto"/>
                <w:spacing w:val="6"/>
                <w:highlight w:val="none"/>
              </w:rPr>
              <w:t xml:space="preserve">  </w:t>
            </w:r>
            <w:r>
              <w:rPr>
                <w:b/>
                <w:bCs/>
                <w:color w:val="auto"/>
                <w:spacing w:val="-9"/>
                <w:highlight w:val="none"/>
              </w:rPr>
              <w:t>或 CA 登录客户端进行投标文件制作。在使用政采云投标客户端时，</w:t>
            </w:r>
            <w:r>
              <w:rPr>
                <w:b/>
                <w:bCs/>
                <w:color w:val="auto"/>
                <w:spacing w:val="20"/>
                <w:highlight w:val="none"/>
              </w:rPr>
              <w:t xml:space="preserve">  </w:t>
            </w:r>
            <w:r>
              <w:rPr>
                <w:b/>
                <w:bCs/>
                <w:color w:val="auto"/>
                <w:spacing w:val="-9"/>
                <w:highlight w:val="none"/>
              </w:rPr>
              <w:t>建议</w:t>
            </w:r>
            <w:r>
              <w:rPr>
                <w:b/>
                <w:bCs/>
                <w:color w:val="auto"/>
                <w:highlight w:val="none"/>
              </w:rPr>
              <w:t xml:space="preserve"> </w:t>
            </w:r>
            <w:r>
              <w:rPr>
                <w:b/>
                <w:bCs/>
                <w:color w:val="auto"/>
                <w:spacing w:val="-10"/>
                <w:highlight w:val="none"/>
              </w:rPr>
              <w:t>使用 WIN7+64 位及以上操作系统。客户端请至新疆政</w:t>
            </w:r>
            <w:r>
              <w:rPr>
                <w:b/>
                <w:bCs/>
                <w:color w:val="auto"/>
                <w:spacing w:val="-11"/>
                <w:highlight w:val="none"/>
              </w:rPr>
              <w:t>府采购网</w:t>
            </w:r>
          </w:p>
          <w:p w14:paraId="1F63AE85">
            <w:pPr>
              <w:pStyle w:val="12"/>
              <w:spacing w:before="4" w:line="192" w:lineRule="auto"/>
              <w:ind w:left="106" w:right="91" w:hanging="8"/>
              <w:rPr>
                <w:b/>
                <w:bCs/>
                <w:color w:val="auto"/>
                <w:highlight w:val="none"/>
              </w:rPr>
            </w:pPr>
            <w:r>
              <w:rPr>
                <w:b/>
                <w:bCs/>
                <w:color w:val="auto"/>
                <w:spacing w:val="-6"/>
                <w:position w:val="1"/>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b/>
                <w:bCs/>
                <w:color w:val="auto"/>
                <w:spacing w:val="-6"/>
                <w:position w:val="1"/>
                <w:highlight w:val="none"/>
              </w:rPr>
              <w:t>http://www.ccgp-xinjiang.gov.cn/</w:t>
            </w:r>
            <w:r>
              <w:rPr>
                <w:b/>
                <w:bCs/>
                <w:color w:val="auto"/>
                <w:spacing w:val="-6"/>
                <w:position w:val="1"/>
                <w:highlight w:val="none"/>
              </w:rPr>
              <w:fldChar w:fldCharType="end"/>
            </w:r>
            <w:r>
              <w:rPr>
                <w:b/>
                <w:bCs/>
                <w:color w:val="auto"/>
                <w:spacing w:val="-6"/>
                <w:position w:val="1"/>
                <w:highlight w:val="none"/>
              </w:rPr>
              <w:t>）下载专区查看，如有问题可拨</w:t>
            </w:r>
            <w:r>
              <w:rPr>
                <w:b/>
                <w:bCs/>
                <w:color w:val="auto"/>
                <w:spacing w:val="-9"/>
                <w:highlight w:val="none"/>
              </w:rPr>
              <w:t>打</w:t>
            </w:r>
            <w:r>
              <w:rPr>
                <w:b/>
                <w:bCs/>
                <w:color w:val="auto"/>
                <w:highlight w:val="none"/>
              </w:rPr>
              <w:t>政采云客户服务热线 95763 进行咨询。</w:t>
            </w:r>
          </w:p>
          <w:p w14:paraId="3D0CA15D">
            <w:pPr>
              <w:pStyle w:val="12"/>
              <w:numPr>
                <w:ilvl w:val="0"/>
                <w:numId w:val="1"/>
              </w:numPr>
              <w:spacing w:before="4" w:line="192" w:lineRule="auto"/>
              <w:ind w:left="106" w:right="91" w:hanging="8"/>
              <w:rPr>
                <w:b/>
                <w:bCs/>
                <w:color w:val="auto"/>
                <w:highlight w:val="none"/>
              </w:rPr>
            </w:pPr>
            <w:r>
              <w:rPr>
                <w:b/>
                <w:bCs/>
                <w:color w:val="auto"/>
                <w:highlight w:val="none"/>
              </w:rPr>
              <w:t>供应商在开标时须使用制作加密电子投标文件所使用的 CA 锁及电脑， 电脑须提前配置好浏览器（建议使用谷歌浏览器），以便开标时解锁。</w:t>
            </w:r>
          </w:p>
          <w:p w14:paraId="457A073E">
            <w:pPr>
              <w:pStyle w:val="12"/>
              <w:numPr>
                <w:ilvl w:val="0"/>
                <w:numId w:val="0"/>
              </w:numPr>
              <w:spacing w:before="4" w:line="192" w:lineRule="auto"/>
              <w:ind w:left="98" w:leftChars="0" w:right="91" w:rightChars="0"/>
              <w:rPr>
                <w:rFonts w:ascii="微软雅黑" w:hAnsi="微软雅黑" w:eastAsia="微软雅黑" w:cs="微软雅黑"/>
                <w:snapToGrid w:val="0"/>
                <w:color w:val="auto"/>
                <w:kern w:val="0"/>
                <w:sz w:val="21"/>
                <w:szCs w:val="21"/>
                <w:highlight w:val="none"/>
                <w:lang w:val="en-US" w:eastAsia="en-US" w:bidi="ar-SA"/>
              </w:rPr>
            </w:pPr>
            <w:r>
              <w:rPr>
                <w:b/>
                <w:bCs/>
                <w:color w:val="auto"/>
                <w:highlight w:val="none"/>
              </w:rPr>
              <w:t xml:space="preserve"> 6.为了保证开评标顺利进行，政采云线上开标功能完全实现，供应商开  标所使用的电脑设备须具有视频及语音功能。</w:t>
            </w:r>
          </w:p>
        </w:tc>
      </w:tr>
      <w:tr w14:paraId="6DAFF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6" w:hRule="atLeast"/>
        </w:trPr>
        <w:tc>
          <w:tcPr>
            <w:tcW w:w="704" w:type="dxa"/>
            <w:tcBorders>
              <w:left w:val="single" w:color="000000" w:sz="12" w:space="0"/>
            </w:tcBorders>
            <w:vAlign w:val="top"/>
          </w:tcPr>
          <w:p w14:paraId="5FA89F65">
            <w:pPr>
              <w:pStyle w:val="12"/>
              <w:spacing w:before="90" w:line="160" w:lineRule="auto"/>
              <w:ind w:left="235"/>
              <w:rPr>
                <w:color w:val="auto"/>
                <w:spacing w:val="-12"/>
                <w:highlight w:val="none"/>
              </w:rPr>
            </w:pPr>
          </w:p>
        </w:tc>
        <w:tc>
          <w:tcPr>
            <w:tcW w:w="1793" w:type="dxa"/>
            <w:vAlign w:val="top"/>
          </w:tcPr>
          <w:p w14:paraId="0A0E5A91">
            <w:pPr>
              <w:pStyle w:val="12"/>
              <w:spacing w:before="90" w:line="192" w:lineRule="auto"/>
              <w:ind w:left="104" w:right="104" w:hanging="5"/>
              <w:rPr>
                <w:color w:val="auto"/>
                <w:spacing w:val="14"/>
                <w:highlight w:val="none"/>
              </w:rPr>
            </w:pPr>
          </w:p>
        </w:tc>
        <w:tc>
          <w:tcPr>
            <w:tcW w:w="6809" w:type="dxa"/>
            <w:tcBorders>
              <w:right w:val="single" w:color="000000" w:sz="12" w:space="0"/>
            </w:tcBorders>
            <w:vAlign w:val="top"/>
          </w:tcPr>
          <w:p w14:paraId="3DC2A96C">
            <w:pPr>
              <w:pStyle w:val="12"/>
              <w:spacing w:before="45" w:line="187" w:lineRule="auto"/>
              <w:ind w:left="114"/>
              <w:rPr>
                <w:color w:val="auto"/>
                <w:highlight w:val="none"/>
              </w:rPr>
            </w:pPr>
            <w:r>
              <w:rPr>
                <w:b/>
                <w:bCs/>
                <w:color w:val="auto"/>
                <w:spacing w:val="-8"/>
                <w:highlight w:val="none"/>
              </w:rPr>
              <w:t>1、电子招投标情况说明：</w:t>
            </w:r>
          </w:p>
          <w:p w14:paraId="203A9AF6">
            <w:pPr>
              <w:pStyle w:val="12"/>
              <w:spacing w:before="8" w:line="184" w:lineRule="auto"/>
              <w:ind w:left="105" w:right="119" w:firstLine="420"/>
              <w:rPr>
                <w:color w:val="auto"/>
                <w:highlight w:val="none"/>
              </w:rPr>
            </w:pPr>
            <w:r>
              <w:rPr>
                <w:b/>
                <w:bCs/>
                <w:color w:val="auto"/>
                <w:spacing w:val="-3"/>
                <w:highlight w:val="none"/>
              </w:rPr>
              <w:t>（1）电子招投标：本项目以数据电文形式，依托“政府采购云平台</w:t>
            </w:r>
            <w:r>
              <w:rPr>
                <w:b/>
                <w:bCs/>
                <w:color w:val="auto"/>
                <w:spacing w:val="7"/>
                <w:highlight w:val="none"/>
              </w:rPr>
              <w:t xml:space="preserve"> </w:t>
            </w:r>
            <w:r>
              <w:rPr>
                <w:b/>
                <w:bCs/>
                <w:color w:val="auto"/>
                <w:spacing w:val="-11"/>
                <w:w w:val="99"/>
                <w:highlight w:val="none"/>
              </w:rPr>
              <w:t>（www.zcygov.cn）”进行招</w:t>
            </w:r>
            <w:r>
              <w:rPr>
                <w:b/>
                <w:bCs/>
                <w:color w:val="auto"/>
                <w:spacing w:val="-12"/>
                <w:w w:val="99"/>
                <w:highlight w:val="none"/>
              </w:rPr>
              <w:t>投标活动。</w:t>
            </w:r>
          </w:p>
          <w:p w14:paraId="4EE5F2B1">
            <w:pPr>
              <w:pStyle w:val="12"/>
              <w:spacing w:before="25" w:line="193" w:lineRule="auto"/>
              <w:ind w:left="105" w:right="91" w:firstLine="420"/>
              <w:rPr>
                <w:color w:val="auto"/>
                <w:highlight w:val="none"/>
              </w:rPr>
            </w:pPr>
            <w:r>
              <w:rPr>
                <w:b/>
                <w:bCs/>
                <w:color w:val="auto"/>
                <w:spacing w:val="-2"/>
                <w:highlight w:val="none"/>
              </w:rPr>
              <w:t>（2）投标准备：注册账号--点击“商家入驻”，进行政府采购供应</w:t>
            </w:r>
            <w:r>
              <w:rPr>
                <w:b/>
                <w:bCs/>
                <w:color w:val="auto"/>
                <w:spacing w:val="12"/>
                <w:highlight w:val="none"/>
              </w:rPr>
              <w:t xml:space="preserve"> </w:t>
            </w:r>
            <w:r>
              <w:rPr>
                <w:b/>
                <w:bCs/>
                <w:color w:val="auto"/>
                <w:spacing w:val="-4"/>
                <w:highlight w:val="none"/>
              </w:rPr>
              <w:t>商资料填写；</w:t>
            </w:r>
            <w:r>
              <w:rPr>
                <w:b/>
                <w:bCs/>
                <w:color w:val="auto"/>
                <w:spacing w:val="-5"/>
                <w:highlight w:val="none"/>
              </w:rPr>
              <w:t xml:space="preserve"> </w:t>
            </w:r>
            <w:r>
              <w:rPr>
                <w:b/>
                <w:bCs/>
                <w:color w:val="auto"/>
                <w:spacing w:val="-4"/>
                <w:highlight w:val="none"/>
              </w:rPr>
              <w:t>申领 CA 数字证书---申领流程详见“新疆政府采购网-下载</w:t>
            </w:r>
            <w:r>
              <w:rPr>
                <w:b/>
                <w:bCs/>
                <w:color w:val="auto"/>
                <w:highlight w:val="none"/>
              </w:rPr>
              <w:t xml:space="preserve"> </w:t>
            </w:r>
            <w:r>
              <w:rPr>
                <w:b/>
                <w:bCs/>
                <w:color w:val="auto"/>
                <w:spacing w:val="-4"/>
                <w:highlight w:val="none"/>
              </w:rPr>
              <w:t>专区-电子交易客户端-CA 驱动和申领流程</w:t>
            </w:r>
            <w:r>
              <w:rPr>
                <w:b/>
                <w:bCs/>
                <w:color w:val="auto"/>
                <w:spacing w:val="-24"/>
                <w:highlight w:val="none"/>
              </w:rPr>
              <w:t xml:space="preserve"> </w:t>
            </w:r>
            <w:r>
              <w:rPr>
                <w:b/>
                <w:bCs/>
                <w:color w:val="auto"/>
                <w:spacing w:val="-4"/>
                <w:highlight w:val="none"/>
              </w:rPr>
              <w:t>”；</w:t>
            </w:r>
            <w:r>
              <w:rPr>
                <w:b/>
                <w:bCs/>
                <w:color w:val="auto"/>
                <w:spacing w:val="-32"/>
                <w:highlight w:val="none"/>
              </w:rPr>
              <w:t xml:space="preserve"> </w:t>
            </w:r>
            <w:r>
              <w:rPr>
                <w:b/>
                <w:bCs/>
                <w:color w:val="auto"/>
                <w:spacing w:val="-4"/>
                <w:highlight w:val="none"/>
              </w:rPr>
              <w:t>安装“</w:t>
            </w:r>
            <w:r>
              <w:rPr>
                <w:b/>
                <w:bCs/>
                <w:color w:val="auto"/>
                <w:spacing w:val="-47"/>
                <w:highlight w:val="none"/>
              </w:rPr>
              <w:t xml:space="preserve"> </w:t>
            </w:r>
            <w:r>
              <w:rPr>
                <w:b/>
                <w:bCs/>
                <w:color w:val="auto"/>
                <w:spacing w:val="-4"/>
                <w:highlight w:val="none"/>
              </w:rPr>
              <w:t>政采云电子交易客</w:t>
            </w:r>
            <w:r>
              <w:rPr>
                <w:b/>
                <w:bCs/>
                <w:color w:val="auto"/>
                <w:highlight w:val="none"/>
              </w:rPr>
              <w:t xml:space="preserve"> </w:t>
            </w:r>
            <w:r>
              <w:rPr>
                <w:b/>
                <w:bCs/>
                <w:color w:val="auto"/>
                <w:spacing w:val="2"/>
                <w:highlight w:val="none"/>
              </w:rPr>
              <w:t>户端</w:t>
            </w:r>
            <w:r>
              <w:rPr>
                <w:b/>
                <w:bCs/>
                <w:color w:val="auto"/>
                <w:spacing w:val="-23"/>
                <w:highlight w:val="none"/>
              </w:rPr>
              <w:t xml:space="preserve"> </w:t>
            </w:r>
            <w:r>
              <w:rPr>
                <w:b/>
                <w:bCs/>
                <w:color w:val="auto"/>
                <w:spacing w:val="2"/>
                <w:highlight w:val="none"/>
              </w:rPr>
              <w:t>”----前往“</w:t>
            </w:r>
            <w:r>
              <w:rPr>
                <w:b/>
                <w:bCs/>
                <w:color w:val="auto"/>
                <w:spacing w:val="-46"/>
                <w:highlight w:val="none"/>
              </w:rPr>
              <w:t xml:space="preserve"> </w:t>
            </w:r>
            <w:r>
              <w:rPr>
                <w:b/>
                <w:bCs/>
                <w:color w:val="auto"/>
                <w:spacing w:val="2"/>
                <w:highlight w:val="none"/>
              </w:rPr>
              <w:t>新疆政府采购网-下载专区-电子交易客户端</w:t>
            </w:r>
            <w:r>
              <w:rPr>
                <w:b/>
                <w:bCs/>
                <w:color w:val="auto"/>
                <w:spacing w:val="-32"/>
                <w:highlight w:val="none"/>
              </w:rPr>
              <w:t xml:space="preserve"> </w:t>
            </w:r>
            <w:r>
              <w:rPr>
                <w:b/>
                <w:bCs/>
                <w:color w:val="auto"/>
                <w:spacing w:val="2"/>
                <w:highlight w:val="none"/>
              </w:rPr>
              <w:t>”进行下</w:t>
            </w:r>
            <w:r>
              <w:rPr>
                <w:b/>
                <w:bCs/>
                <w:color w:val="auto"/>
                <w:highlight w:val="none"/>
              </w:rPr>
              <w:t xml:space="preserve"> </w:t>
            </w:r>
            <w:r>
              <w:rPr>
                <w:b/>
                <w:bCs/>
                <w:color w:val="auto"/>
                <w:spacing w:val="-7"/>
                <w:highlight w:val="none"/>
              </w:rPr>
              <w:t>载并安装。</w:t>
            </w:r>
          </w:p>
          <w:p w14:paraId="3933FD13">
            <w:pPr>
              <w:pStyle w:val="12"/>
              <w:spacing w:before="4" w:line="207" w:lineRule="auto"/>
              <w:ind w:left="106" w:right="91" w:firstLine="419"/>
              <w:jc w:val="both"/>
              <w:rPr>
                <w:color w:val="auto"/>
                <w:highlight w:val="none"/>
              </w:rPr>
            </w:pPr>
            <w:r>
              <w:rPr>
                <w:b/>
                <w:bCs/>
                <w:color w:val="auto"/>
                <w:spacing w:val="-3"/>
                <w:highlight w:val="none"/>
              </w:rPr>
              <w:t>（3）</w:t>
            </w:r>
            <w:r>
              <w:rPr>
                <w:b/>
                <w:bCs/>
                <w:color w:val="auto"/>
                <w:spacing w:val="-40"/>
                <w:highlight w:val="none"/>
              </w:rPr>
              <w:t xml:space="preserve"> </w:t>
            </w:r>
            <w:r>
              <w:rPr>
                <w:b/>
                <w:bCs/>
                <w:color w:val="auto"/>
                <w:spacing w:val="-3"/>
                <w:highlight w:val="none"/>
              </w:rPr>
              <w:t>采购文件的获取：</w:t>
            </w:r>
            <w:r>
              <w:rPr>
                <w:b/>
                <w:bCs/>
                <w:color w:val="auto"/>
                <w:spacing w:val="-32"/>
                <w:highlight w:val="none"/>
              </w:rPr>
              <w:t xml:space="preserve"> </w:t>
            </w:r>
            <w:r>
              <w:rPr>
                <w:b/>
                <w:bCs/>
                <w:color w:val="auto"/>
                <w:spacing w:val="-3"/>
                <w:highlight w:val="none"/>
              </w:rPr>
              <w:t>使用账号登录或者短信</w:t>
            </w:r>
            <w:r>
              <w:rPr>
                <w:b/>
                <w:bCs/>
                <w:color w:val="auto"/>
                <w:spacing w:val="-4"/>
                <w:highlight w:val="none"/>
              </w:rPr>
              <w:t>验证码或者使用 CA</w:t>
            </w:r>
            <w:r>
              <w:rPr>
                <w:b/>
                <w:bCs/>
                <w:color w:val="auto"/>
                <w:highlight w:val="none"/>
              </w:rPr>
              <w:t xml:space="preserve">  </w:t>
            </w:r>
            <w:r>
              <w:rPr>
                <w:b/>
                <w:bCs/>
                <w:color w:val="auto"/>
                <w:spacing w:val="-1"/>
                <w:highlight w:val="none"/>
              </w:rPr>
              <w:t>登录政采云平台；</w:t>
            </w:r>
            <w:r>
              <w:rPr>
                <w:b/>
                <w:bCs/>
                <w:color w:val="auto"/>
                <w:spacing w:val="-31"/>
                <w:highlight w:val="none"/>
              </w:rPr>
              <w:t xml:space="preserve"> </w:t>
            </w:r>
            <w:r>
              <w:rPr>
                <w:b/>
                <w:bCs/>
                <w:color w:val="auto"/>
                <w:spacing w:val="-1"/>
                <w:highlight w:val="none"/>
              </w:rPr>
              <w:t>进入“</w:t>
            </w:r>
            <w:r>
              <w:rPr>
                <w:b/>
                <w:bCs/>
                <w:color w:val="auto"/>
                <w:spacing w:val="-45"/>
                <w:highlight w:val="none"/>
              </w:rPr>
              <w:t xml:space="preserve"> </w:t>
            </w:r>
            <w:r>
              <w:rPr>
                <w:b/>
                <w:bCs/>
                <w:color w:val="auto"/>
                <w:spacing w:val="-1"/>
                <w:highlight w:val="none"/>
              </w:rPr>
              <w:t>项目采购</w:t>
            </w:r>
            <w:r>
              <w:rPr>
                <w:b/>
                <w:bCs/>
                <w:color w:val="auto"/>
                <w:spacing w:val="-32"/>
                <w:highlight w:val="none"/>
              </w:rPr>
              <w:t xml:space="preserve"> </w:t>
            </w:r>
            <w:r>
              <w:rPr>
                <w:b/>
                <w:bCs/>
                <w:color w:val="auto"/>
                <w:spacing w:val="-1"/>
                <w:highlight w:val="none"/>
              </w:rPr>
              <w:t>”应用，</w:t>
            </w:r>
            <w:r>
              <w:rPr>
                <w:b/>
                <w:bCs/>
                <w:color w:val="auto"/>
                <w:spacing w:val="-37"/>
                <w:highlight w:val="none"/>
              </w:rPr>
              <w:t xml:space="preserve"> </w:t>
            </w:r>
            <w:r>
              <w:rPr>
                <w:b/>
                <w:bCs/>
                <w:color w:val="auto"/>
                <w:spacing w:val="-1"/>
                <w:highlight w:val="none"/>
              </w:rPr>
              <w:t>在获取采购文件菜单中选择</w:t>
            </w:r>
            <w:r>
              <w:rPr>
                <w:b/>
                <w:bCs/>
                <w:color w:val="auto"/>
                <w:highlight w:val="none"/>
              </w:rPr>
              <w:t xml:space="preserve"> </w:t>
            </w:r>
            <w:r>
              <w:rPr>
                <w:b/>
                <w:bCs/>
                <w:color w:val="auto"/>
                <w:spacing w:val="-6"/>
                <w:highlight w:val="none"/>
              </w:rPr>
              <w:t>项目，获取采购文件；</w:t>
            </w:r>
          </w:p>
          <w:p w14:paraId="23262DD6">
            <w:pPr>
              <w:pStyle w:val="12"/>
              <w:spacing w:before="5" w:line="192" w:lineRule="auto"/>
              <w:ind w:left="105" w:right="91" w:firstLine="420"/>
              <w:jc w:val="both"/>
              <w:rPr>
                <w:color w:val="auto"/>
                <w:highlight w:val="none"/>
              </w:rPr>
            </w:pPr>
            <w:r>
              <w:rPr>
                <w:b/>
                <w:bCs/>
                <w:color w:val="auto"/>
                <w:spacing w:val="-2"/>
                <w:highlight w:val="none"/>
              </w:rPr>
              <w:t>（4）投标文件的制作：在“政采云电子交易客户端”中完成“填写</w:t>
            </w:r>
            <w:r>
              <w:rPr>
                <w:b/>
                <w:bCs/>
                <w:color w:val="auto"/>
                <w:spacing w:val="5"/>
                <w:highlight w:val="none"/>
              </w:rPr>
              <w:t xml:space="preserve"> </w:t>
            </w:r>
            <w:r>
              <w:rPr>
                <w:b/>
                <w:bCs/>
                <w:color w:val="auto"/>
                <w:spacing w:val="-5"/>
                <w:highlight w:val="none"/>
              </w:rPr>
              <w:t>基本信息</w:t>
            </w:r>
            <w:r>
              <w:rPr>
                <w:b/>
                <w:bCs/>
                <w:color w:val="auto"/>
                <w:spacing w:val="-17"/>
                <w:highlight w:val="none"/>
              </w:rPr>
              <w:t xml:space="preserve"> </w:t>
            </w:r>
            <w:r>
              <w:rPr>
                <w:b/>
                <w:bCs/>
                <w:color w:val="auto"/>
                <w:spacing w:val="-5"/>
                <w:highlight w:val="none"/>
              </w:rPr>
              <w:t>”、“</w:t>
            </w:r>
            <w:r>
              <w:rPr>
                <w:b/>
                <w:bCs/>
                <w:color w:val="auto"/>
                <w:spacing w:val="-44"/>
                <w:highlight w:val="none"/>
              </w:rPr>
              <w:t xml:space="preserve"> </w:t>
            </w:r>
            <w:r>
              <w:rPr>
                <w:b/>
                <w:bCs/>
                <w:color w:val="auto"/>
                <w:spacing w:val="-5"/>
                <w:highlight w:val="none"/>
              </w:rPr>
              <w:t>导入投标文件</w:t>
            </w:r>
            <w:r>
              <w:rPr>
                <w:b/>
                <w:bCs/>
                <w:color w:val="auto"/>
                <w:spacing w:val="-32"/>
                <w:highlight w:val="none"/>
              </w:rPr>
              <w:t xml:space="preserve"> </w:t>
            </w:r>
            <w:r>
              <w:rPr>
                <w:b/>
                <w:bCs/>
                <w:color w:val="auto"/>
                <w:spacing w:val="-5"/>
                <w:highlight w:val="none"/>
              </w:rPr>
              <w:t>”、“</w:t>
            </w:r>
            <w:r>
              <w:rPr>
                <w:b/>
                <w:bCs/>
                <w:color w:val="auto"/>
                <w:spacing w:val="-46"/>
                <w:highlight w:val="none"/>
              </w:rPr>
              <w:t xml:space="preserve"> </w:t>
            </w:r>
            <w:r>
              <w:rPr>
                <w:b/>
                <w:bCs/>
                <w:color w:val="auto"/>
                <w:spacing w:val="-5"/>
                <w:highlight w:val="none"/>
              </w:rPr>
              <w:t>标书关联</w:t>
            </w:r>
            <w:r>
              <w:rPr>
                <w:b/>
                <w:bCs/>
                <w:color w:val="auto"/>
                <w:spacing w:val="-32"/>
                <w:highlight w:val="none"/>
              </w:rPr>
              <w:t xml:space="preserve"> </w:t>
            </w:r>
            <w:r>
              <w:rPr>
                <w:b/>
                <w:bCs/>
                <w:color w:val="auto"/>
                <w:spacing w:val="-5"/>
                <w:highlight w:val="none"/>
              </w:rPr>
              <w:t>”、“</w:t>
            </w:r>
            <w:r>
              <w:rPr>
                <w:b/>
                <w:bCs/>
                <w:color w:val="auto"/>
                <w:spacing w:val="-46"/>
                <w:highlight w:val="none"/>
              </w:rPr>
              <w:t xml:space="preserve"> </w:t>
            </w:r>
            <w:r>
              <w:rPr>
                <w:b/>
                <w:bCs/>
                <w:color w:val="auto"/>
                <w:spacing w:val="-5"/>
                <w:highlight w:val="none"/>
              </w:rPr>
              <w:t>标书检查</w:t>
            </w:r>
            <w:r>
              <w:rPr>
                <w:b/>
                <w:bCs/>
                <w:color w:val="auto"/>
                <w:spacing w:val="-31"/>
                <w:highlight w:val="none"/>
              </w:rPr>
              <w:t xml:space="preserve"> </w:t>
            </w:r>
            <w:r>
              <w:rPr>
                <w:b/>
                <w:bCs/>
                <w:color w:val="auto"/>
                <w:spacing w:val="-5"/>
                <w:highlight w:val="none"/>
              </w:rPr>
              <w:t>”、“</w:t>
            </w:r>
            <w:r>
              <w:rPr>
                <w:b/>
                <w:bCs/>
                <w:color w:val="auto"/>
                <w:spacing w:val="-23"/>
                <w:highlight w:val="none"/>
              </w:rPr>
              <w:t xml:space="preserve"> </w:t>
            </w:r>
            <w:r>
              <w:rPr>
                <w:b/>
                <w:bCs/>
                <w:color w:val="auto"/>
                <w:spacing w:val="-5"/>
                <w:highlight w:val="none"/>
              </w:rPr>
              <w:t>电</w:t>
            </w:r>
            <w:r>
              <w:rPr>
                <w:b/>
                <w:bCs/>
                <w:color w:val="auto"/>
                <w:highlight w:val="none"/>
              </w:rPr>
              <w:t xml:space="preserve"> </w:t>
            </w:r>
            <w:r>
              <w:rPr>
                <w:b/>
                <w:bCs/>
                <w:color w:val="auto"/>
                <w:spacing w:val="-3"/>
                <w:highlight w:val="none"/>
              </w:rPr>
              <w:t>子签名”、“生成电子标书”等操作。</w:t>
            </w:r>
          </w:p>
          <w:p w14:paraId="55F99E7E">
            <w:pPr>
              <w:pStyle w:val="12"/>
              <w:spacing w:before="3" w:line="192" w:lineRule="auto"/>
              <w:ind w:left="105" w:right="91" w:firstLine="420"/>
              <w:rPr>
                <w:color w:val="auto"/>
                <w:highlight w:val="none"/>
              </w:rPr>
            </w:pPr>
            <w:r>
              <w:rPr>
                <w:b/>
                <w:bCs/>
                <w:color w:val="auto"/>
                <w:spacing w:val="-2"/>
                <w:highlight w:val="none"/>
              </w:rPr>
              <w:t>（5）投标文件的传输递交：供应商在投标截止时间前将加密的投标</w:t>
            </w:r>
            <w:r>
              <w:rPr>
                <w:b/>
                <w:bCs/>
                <w:color w:val="auto"/>
                <w:spacing w:val="5"/>
                <w:highlight w:val="none"/>
              </w:rPr>
              <w:t xml:space="preserve"> </w:t>
            </w:r>
            <w:r>
              <w:rPr>
                <w:b/>
                <w:bCs/>
                <w:color w:val="auto"/>
                <w:spacing w:val="1"/>
                <w:highlight w:val="none"/>
              </w:rPr>
              <w:t>文件上传至政府采购云平台，</w:t>
            </w:r>
            <w:r>
              <w:rPr>
                <w:b/>
                <w:bCs/>
                <w:color w:val="auto"/>
                <w:spacing w:val="-19"/>
                <w:highlight w:val="none"/>
              </w:rPr>
              <w:t xml:space="preserve"> </w:t>
            </w:r>
            <w:r>
              <w:rPr>
                <w:b/>
                <w:bCs/>
                <w:color w:val="auto"/>
                <w:spacing w:val="1"/>
                <w:highlight w:val="none"/>
              </w:rPr>
              <w:t>还可以在投标截止时间前以电子邮件方式</w:t>
            </w:r>
            <w:r>
              <w:rPr>
                <w:b/>
                <w:bCs/>
                <w:color w:val="auto"/>
                <w:highlight w:val="none"/>
              </w:rPr>
              <w:t xml:space="preserve"> </w:t>
            </w:r>
            <w:r>
              <w:rPr>
                <w:b/>
                <w:bCs/>
                <w:color w:val="auto"/>
                <w:spacing w:val="-16"/>
                <w:highlight w:val="none"/>
              </w:rPr>
              <w:t>提供备份投标文件</w:t>
            </w:r>
            <w:r>
              <w:rPr>
                <w:b/>
                <w:bCs/>
                <w:color w:val="auto"/>
                <w:spacing w:val="13"/>
                <w:highlight w:val="none"/>
              </w:rPr>
              <w:t xml:space="preserve"> </w:t>
            </w:r>
            <w:r>
              <w:rPr>
                <w:b/>
                <w:bCs/>
                <w:color w:val="auto"/>
                <w:spacing w:val="-16"/>
                <w:highlight w:val="none"/>
              </w:rPr>
              <w:t>1 份（接收人邮箱：</w:t>
            </w:r>
            <w:r>
              <w:rPr>
                <w:b/>
                <w:bCs/>
                <w:color w:val="auto"/>
                <w:spacing w:val="-30"/>
                <w:highlight w:val="none"/>
              </w:rPr>
              <w:t xml:space="preserve"> </w:t>
            </w:r>
            <w:r>
              <w:rPr>
                <w:rFonts w:hint="eastAsia"/>
                <w:b/>
                <w:bCs/>
                <w:color w:val="auto"/>
                <w:spacing w:val="-16"/>
                <w:highlight w:val="none"/>
                <w:lang w:eastAsia="zh-CN"/>
              </w:rPr>
              <w:t>603805586</w:t>
            </w:r>
            <w:r>
              <w:rPr>
                <w:b/>
                <w:bCs/>
                <w:color w:val="auto"/>
                <w:spacing w:val="-16"/>
                <w:highlight w:val="none"/>
              </w:rPr>
              <w:t>@qq.co</w:t>
            </w:r>
            <w:r>
              <w:rPr>
                <w:b/>
                <w:bCs/>
                <w:color w:val="auto"/>
                <w:spacing w:val="-17"/>
                <w:highlight w:val="none"/>
              </w:rPr>
              <w:t>m，接收人：</w:t>
            </w:r>
            <w:r>
              <w:rPr>
                <w:b/>
                <w:bCs/>
                <w:color w:val="auto"/>
                <w:spacing w:val="-38"/>
                <w:highlight w:val="none"/>
              </w:rPr>
              <w:t xml:space="preserve"> </w:t>
            </w:r>
            <w:r>
              <w:rPr>
                <w:b/>
                <w:bCs/>
                <w:color w:val="auto"/>
                <w:spacing w:val="-17"/>
                <w:highlight w:val="none"/>
              </w:rPr>
              <w:t>段</w:t>
            </w:r>
            <w:r>
              <w:rPr>
                <w:b/>
                <w:bCs/>
                <w:color w:val="auto"/>
                <w:highlight w:val="none"/>
              </w:rPr>
              <w:t xml:space="preserve"> </w:t>
            </w:r>
            <w:r>
              <w:rPr>
                <w:b/>
                <w:bCs/>
                <w:color w:val="auto"/>
                <w:spacing w:val="-8"/>
                <w:highlight w:val="none"/>
              </w:rPr>
              <w:t>先生，电话：</w:t>
            </w:r>
            <w:r>
              <w:rPr>
                <w:rFonts w:hint="eastAsia"/>
                <w:b/>
                <w:bCs/>
                <w:color w:val="auto"/>
                <w:spacing w:val="-8"/>
                <w:highlight w:val="none"/>
                <w:lang w:eastAsia="zh-CN"/>
              </w:rPr>
              <w:t>18652955232</w:t>
            </w:r>
            <w:r>
              <w:rPr>
                <w:b/>
                <w:bCs/>
                <w:color w:val="auto"/>
                <w:spacing w:val="-12"/>
                <w:highlight w:val="none"/>
              </w:rPr>
              <w:t>），</w:t>
            </w:r>
            <w:r>
              <w:rPr>
                <w:b/>
                <w:bCs/>
                <w:color w:val="auto"/>
                <w:spacing w:val="-8"/>
                <w:highlight w:val="none"/>
              </w:rPr>
              <w:t>备份投标文件可</w:t>
            </w:r>
            <w:r>
              <w:rPr>
                <w:b/>
                <w:bCs/>
                <w:color w:val="auto"/>
                <w:spacing w:val="-9"/>
                <w:highlight w:val="none"/>
              </w:rPr>
              <w:t>以打包压缩并加密，压缩</w:t>
            </w:r>
            <w:r>
              <w:rPr>
                <w:b/>
                <w:bCs/>
                <w:color w:val="auto"/>
                <w:highlight w:val="none"/>
              </w:rPr>
              <w:t xml:space="preserve"> </w:t>
            </w:r>
            <w:r>
              <w:rPr>
                <w:b/>
                <w:bCs/>
                <w:color w:val="auto"/>
                <w:spacing w:val="-5"/>
                <w:highlight w:val="none"/>
              </w:rPr>
              <w:t>包命名为“XX 单位备份投标文件</w:t>
            </w:r>
            <w:r>
              <w:rPr>
                <w:b/>
                <w:bCs/>
                <w:color w:val="auto"/>
                <w:spacing w:val="-33"/>
                <w:highlight w:val="none"/>
              </w:rPr>
              <w:t xml:space="preserve"> </w:t>
            </w:r>
            <w:r>
              <w:rPr>
                <w:b/>
                <w:bCs/>
                <w:color w:val="auto"/>
                <w:spacing w:val="-5"/>
                <w:highlight w:val="none"/>
              </w:rPr>
              <w:t>”，</w:t>
            </w:r>
            <w:r>
              <w:rPr>
                <w:b/>
                <w:bCs/>
                <w:color w:val="auto"/>
                <w:spacing w:val="-42"/>
                <w:highlight w:val="none"/>
              </w:rPr>
              <w:t xml:space="preserve"> </w:t>
            </w:r>
            <w:r>
              <w:rPr>
                <w:b/>
                <w:bCs/>
                <w:color w:val="auto"/>
                <w:spacing w:val="-5"/>
                <w:highlight w:val="none"/>
              </w:rPr>
              <w:t>加密密码由供应商自</w:t>
            </w:r>
            <w:r>
              <w:rPr>
                <w:b/>
                <w:bCs/>
                <w:color w:val="auto"/>
                <w:spacing w:val="-6"/>
                <w:highlight w:val="none"/>
              </w:rPr>
              <w:t>行保管（</w:t>
            </w:r>
            <w:r>
              <w:rPr>
                <w:b/>
                <w:bCs/>
                <w:color w:val="auto"/>
                <w:spacing w:val="-31"/>
                <w:highlight w:val="none"/>
              </w:rPr>
              <w:t xml:space="preserve"> </w:t>
            </w:r>
            <w:r>
              <w:rPr>
                <w:b/>
                <w:bCs/>
                <w:color w:val="auto"/>
                <w:spacing w:val="-6"/>
                <w:highlight w:val="none"/>
              </w:rPr>
              <w:t>“</w:t>
            </w:r>
            <w:r>
              <w:rPr>
                <w:b/>
                <w:bCs/>
                <w:color w:val="auto"/>
                <w:spacing w:val="-46"/>
                <w:highlight w:val="none"/>
              </w:rPr>
              <w:t xml:space="preserve"> </w:t>
            </w:r>
            <w:r>
              <w:rPr>
                <w:b/>
                <w:bCs/>
                <w:color w:val="auto"/>
                <w:spacing w:val="-6"/>
                <w:highlight w:val="none"/>
              </w:rPr>
              <w:t>备</w:t>
            </w:r>
            <w:r>
              <w:rPr>
                <w:b/>
                <w:bCs/>
                <w:color w:val="auto"/>
                <w:highlight w:val="none"/>
              </w:rPr>
              <w:t xml:space="preserve"> </w:t>
            </w:r>
            <w:r>
              <w:rPr>
                <w:b/>
                <w:bCs/>
                <w:color w:val="auto"/>
                <w:spacing w:val="-1"/>
                <w:highlight w:val="none"/>
              </w:rPr>
              <w:t>份投标文件</w:t>
            </w:r>
            <w:r>
              <w:rPr>
                <w:b/>
                <w:bCs/>
                <w:color w:val="auto"/>
                <w:spacing w:val="-13"/>
                <w:highlight w:val="none"/>
              </w:rPr>
              <w:t xml:space="preserve"> </w:t>
            </w:r>
            <w:r>
              <w:rPr>
                <w:b/>
                <w:bCs/>
                <w:color w:val="auto"/>
                <w:spacing w:val="-1"/>
                <w:highlight w:val="none"/>
              </w:rPr>
              <w:t>”由供应商自愿提供，</w:t>
            </w:r>
            <w:r>
              <w:rPr>
                <w:b/>
                <w:bCs/>
                <w:color w:val="auto"/>
                <w:spacing w:val="-38"/>
                <w:highlight w:val="none"/>
              </w:rPr>
              <w:t xml:space="preserve"> </w:t>
            </w:r>
            <w:r>
              <w:rPr>
                <w:b/>
                <w:bCs/>
                <w:color w:val="auto"/>
                <w:spacing w:val="-1"/>
                <w:highlight w:val="none"/>
              </w:rPr>
              <w:t>采购文件不作强制性要求；</w:t>
            </w:r>
            <w:r>
              <w:rPr>
                <w:b/>
                <w:bCs/>
                <w:color w:val="auto"/>
                <w:spacing w:val="-31"/>
                <w:highlight w:val="none"/>
              </w:rPr>
              <w:t xml:space="preserve"> </w:t>
            </w:r>
            <w:r>
              <w:rPr>
                <w:b/>
                <w:bCs/>
                <w:color w:val="auto"/>
                <w:spacing w:val="-1"/>
                <w:highlight w:val="none"/>
              </w:rPr>
              <w:t>如不提供</w:t>
            </w:r>
            <w:r>
              <w:rPr>
                <w:b/>
                <w:bCs/>
                <w:color w:val="auto"/>
                <w:highlight w:val="none"/>
              </w:rPr>
              <w:t xml:space="preserve"> 或未按要求提供的，</w:t>
            </w:r>
            <w:r>
              <w:rPr>
                <w:b/>
                <w:bCs/>
                <w:color w:val="auto"/>
                <w:spacing w:val="-12"/>
                <w:highlight w:val="none"/>
              </w:rPr>
              <w:t xml:space="preserve"> </w:t>
            </w:r>
            <w:r>
              <w:rPr>
                <w:b/>
                <w:bCs/>
                <w:color w:val="auto"/>
                <w:highlight w:val="none"/>
              </w:rPr>
              <w:t>当电子投标文件无法解密时，</w:t>
            </w:r>
            <w:r>
              <w:rPr>
                <w:b/>
                <w:bCs/>
                <w:color w:val="auto"/>
                <w:spacing w:val="-38"/>
                <w:highlight w:val="none"/>
              </w:rPr>
              <w:t xml:space="preserve"> </w:t>
            </w:r>
            <w:r>
              <w:rPr>
                <w:b/>
                <w:bCs/>
                <w:color w:val="auto"/>
                <w:highlight w:val="none"/>
              </w:rPr>
              <w:t xml:space="preserve">将导致无备份投标文 </w:t>
            </w:r>
            <w:r>
              <w:rPr>
                <w:b/>
                <w:bCs/>
                <w:color w:val="auto"/>
                <w:spacing w:val="-4"/>
                <w:highlight w:val="none"/>
              </w:rPr>
              <w:t>件而失去投标资格）。</w:t>
            </w:r>
          </w:p>
          <w:p w14:paraId="399FC0AD">
            <w:pPr>
              <w:pStyle w:val="12"/>
              <w:spacing w:before="17" w:line="192" w:lineRule="auto"/>
              <w:ind w:left="105" w:right="91" w:firstLine="420"/>
              <w:rPr>
                <w:color w:val="auto"/>
                <w:highlight w:val="none"/>
              </w:rPr>
            </w:pPr>
            <w:r>
              <w:rPr>
                <w:b/>
                <w:bCs/>
                <w:color w:val="auto"/>
                <w:spacing w:val="-2"/>
                <w:highlight w:val="none"/>
              </w:rPr>
              <w:t>（6）投标文件的解密：供应商按照平台提示和采购文件的规定在半</w:t>
            </w:r>
            <w:r>
              <w:rPr>
                <w:b/>
                <w:bCs/>
                <w:color w:val="auto"/>
                <w:spacing w:val="5"/>
                <w:highlight w:val="none"/>
              </w:rPr>
              <w:t xml:space="preserve"> </w:t>
            </w:r>
            <w:r>
              <w:rPr>
                <w:b/>
                <w:bCs/>
                <w:color w:val="auto"/>
                <w:spacing w:val="1"/>
                <w:highlight w:val="none"/>
              </w:rPr>
              <w:t>小时内完成在线解密。通过“</w:t>
            </w:r>
            <w:r>
              <w:rPr>
                <w:b/>
                <w:bCs/>
                <w:color w:val="auto"/>
                <w:spacing w:val="-45"/>
                <w:highlight w:val="none"/>
              </w:rPr>
              <w:t xml:space="preserve"> </w:t>
            </w:r>
            <w:r>
              <w:rPr>
                <w:b/>
                <w:bCs/>
                <w:color w:val="auto"/>
                <w:spacing w:val="1"/>
                <w:highlight w:val="none"/>
              </w:rPr>
              <w:t>政府采购云平台</w:t>
            </w:r>
            <w:r>
              <w:rPr>
                <w:b/>
                <w:bCs/>
                <w:color w:val="auto"/>
                <w:spacing w:val="-31"/>
                <w:highlight w:val="none"/>
              </w:rPr>
              <w:t xml:space="preserve"> </w:t>
            </w:r>
            <w:r>
              <w:rPr>
                <w:b/>
                <w:bCs/>
                <w:color w:val="auto"/>
                <w:spacing w:val="1"/>
                <w:highlight w:val="none"/>
              </w:rPr>
              <w:t>”上传递交的</w:t>
            </w:r>
            <w:r>
              <w:rPr>
                <w:b/>
                <w:bCs/>
                <w:color w:val="auto"/>
                <w:highlight w:val="none"/>
              </w:rPr>
              <w:t>投标文件无 法按时解密，</w:t>
            </w:r>
            <w:r>
              <w:rPr>
                <w:b/>
                <w:bCs/>
                <w:color w:val="auto"/>
                <w:spacing w:val="-33"/>
                <w:highlight w:val="none"/>
              </w:rPr>
              <w:t xml:space="preserve"> </w:t>
            </w:r>
            <w:r>
              <w:rPr>
                <w:b/>
                <w:bCs/>
                <w:color w:val="auto"/>
                <w:highlight w:val="none"/>
              </w:rPr>
              <w:t>投标供应商提供了备份投标文件的，</w:t>
            </w:r>
            <w:r>
              <w:rPr>
                <w:b/>
                <w:bCs/>
                <w:color w:val="auto"/>
                <w:spacing w:val="-17"/>
                <w:highlight w:val="none"/>
              </w:rPr>
              <w:t xml:space="preserve"> </w:t>
            </w:r>
            <w:r>
              <w:rPr>
                <w:b/>
                <w:bCs/>
                <w:color w:val="auto"/>
                <w:highlight w:val="none"/>
              </w:rPr>
              <w:t>以备份投标文件为依 据，</w:t>
            </w:r>
            <w:r>
              <w:rPr>
                <w:b/>
                <w:bCs/>
                <w:color w:val="auto"/>
                <w:spacing w:val="-34"/>
                <w:highlight w:val="none"/>
              </w:rPr>
              <w:t xml:space="preserve"> </w:t>
            </w:r>
            <w:r>
              <w:rPr>
                <w:b/>
                <w:bCs/>
                <w:color w:val="auto"/>
                <w:highlight w:val="none"/>
              </w:rPr>
              <w:t>否则视为投标文件撤回。通过“</w:t>
            </w:r>
            <w:r>
              <w:rPr>
                <w:b/>
                <w:bCs/>
                <w:color w:val="auto"/>
                <w:spacing w:val="-44"/>
                <w:highlight w:val="none"/>
              </w:rPr>
              <w:t xml:space="preserve"> </w:t>
            </w:r>
            <w:r>
              <w:rPr>
                <w:b/>
                <w:bCs/>
                <w:color w:val="auto"/>
                <w:highlight w:val="none"/>
              </w:rPr>
              <w:t>政府采购云平台</w:t>
            </w:r>
            <w:r>
              <w:rPr>
                <w:b/>
                <w:bCs/>
                <w:color w:val="auto"/>
                <w:spacing w:val="-32"/>
                <w:highlight w:val="none"/>
              </w:rPr>
              <w:t xml:space="preserve"> </w:t>
            </w:r>
            <w:r>
              <w:rPr>
                <w:b/>
                <w:bCs/>
                <w:color w:val="auto"/>
                <w:highlight w:val="none"/>
              </w:rPr>
              <w:t>”上传递交</w:t>
            </w:r>
            <w:r>
              <w:rPr>
                <w:b/>
                <w:bCs/>
                <w:color w:val="auto"/>
                <w:spacing w:val="-1"/>
                <w:highlight w:val="none"/>
              </w:rPr>
              <w:t>的投标</w:t>
            </w:r>
            <w:r>
              <w:rPr>
                <w:b/>
                <w:bCs/>
                <w:color w:val="auto"/>
                <w:highlight w:val="none"/>
              </w:rPr>
              <w:t xml:space="preserve"> </w:t>
            </w:r>
            <w:r>
              <w:rPr>
                <w:b/>
                <w:bCs/>
                <w:color w:val="auto"/>
                <w:spacing w:val="1"/>
                <w:highlight w:val="none"/>
              </w:rPr>
              <w:t>文件已按时解密的，</w:t>
            </w:r>
            <w:r>
              <w:rPr>
                <w:b/>
                <w:bCs/>
                <w:color w:val="auto"/>
                <w:spacing w:val="-19"/>
                <w:highlight w:val="none"/>
              </w:rPr>
              <w:t xml:space="preserve"> </w:t>
            </w:r>
            <w:r>
              <w:rPr>
                <w:b/>
                <w:bCs/>
                <w:color w:val="auto"/>
                <w:spacing w:val="1"/>
                <w:highlight w:val="none"/>
              </w:rPr>
              <w:t>备份投标文件自动失效。供应商仅提供备份投标文</w:t>
            </w:r>
            <w:r>
              <w:rPr>
                <w:b/>
                <w:bCs/>
                <w:color w:val="auto"/>
                <w:highlight w:val="none"/>
              </w:rPr>
              <w:t xml:space="preserve"> </w:t>
            </w:r>
            <w:r>
              <w:rPr>
                <w:b/>
                <w:bCs/>
                <w:color w:val="auto"/>
                <w:spacing w:val="-2"/>
                <w:highlight w:val="none"/>
              </w:rPr>
              <w:t>件，没有在电子交易平台传输递交投标文件的，投标无效。</w:t>
            </w:r>
          </w:p>
          <w:p w14:paraId="37AE0CF2">
            <w:pPr>
              <w:pStyle w:val="12"/>
              <w:spacing w:before="6" w:line="193" w:lineRule="auto"/>
              <w:ind w:left="105" w:right="91" w:firstLine="420"/>
              <w:jc w:val="both"/>
              <w:rPr>
                <w:color w:val="auto"/>
                <w:highlight w:val="none"/>
              </w:rPr>
            </w:pPr>
            <w:r>
              <w:rPr>
                <w:b/>
                <w:bCs/>
                <w:color w:val="auto"/>
                <w:spacing w:val="-1"/>
                <w:highlight w:val="none"/>
              </w:rPr>
              <w:t>（7）具体操作指南：详见政采云平台“服务中心-帮助文档-项目采</w:t>
            </w:r>
            <w:r>
              <w:rPr>
                <w:b/>
                <w:bCs/>
                <w:color w:val="auto"/>
                <w:spacing w:val="3"/>
                <w:highlight w:val="none"/>
              </w:rPr>
              <w:t xml:space="preserve"> </w:t>
            </w:r>
            <w:r>
              <w:rPr>
                <w:b/>
                <w:bCs/>
                <w:color w:val="auto"/>
                <w:spacing w:val="10"/>
                <w:highlight w:val="none"/>
              </w:rPr>
              <w:t>购-操作流程-电子招投标-政府采购项目电子交易管理操作指南-供应</w:t>
            </w:r>
            <w:r>
              <w:rPr>
                <w:b/>
                <w:bCs/>
                <w:color w:val="auto"/>
                <w:spacing w:val="17"/>
                <w:w w:val="101"/>
                <w:highlight w:val="none"/>
              </w:rPr>
              <w:t xml:space="preserve"> </w:t>
            </w:r>
            <w:r>
              <w:rPr>
                <w:b/>
                <w:bCs/>
                <w:color w:val="auto"/>
                <w:spacing w:val="-10"/>
                <w:highlight w:val="none"/>
              </w:rPr>
              <w:t>商”。</w:t>
            </w:r>
          </w:p>
          <w:p w14:paraId="51A09B72">
            <w:pPr>
              <w:pStyle w:val="12"/>
              <w:spacing w:before="3" w:line="192" w:lineRule="auto"/>
              <w:ind w:left="105" w:right="105" w:firstLine="420"/>
              <w:jc w:val="both"/>
              <w:rPr>
                <w:color w:val="auto"/>
                <w:highlight w:val="none"/>
              </w:rPr>
            </w:pPr>
            <w:r>
              <w:rPr>
                <w:b/>
                <w:bCs/>
                <w:color w:val="auto"/>
                <w:spacing w:val="13"/>
                <w:highlight w:val="none"/>
              </w:rPr>
              <w:t>（8）供应商在进行上述操作时</w:t>
            </w:r>
            <w:r>
              <w:rPr>
                <w:b/>
                <w:bCs/>
                <w:color w:val="auto"/>
                <w:spacing w:val="-38"/>
                <w:highlight w:val="none"/>
              </w:rPr>
              <w:t xml:space="preserve"> </w:t>
            </w:r>
            <w:r>
              <w:rPr>
                <w:b/>
                <w:bCs/>
                <w:color w:val="auto"/>
                <w:spacing w:val="13"/>
                <w:highlight w:val="none"/>
              </w:rPr>
              <w:t>，如遇技术问题可登录政采云</w:t>
            </w:r>
            <w:r>
              <w:rPr>
                <w:b/>
                <w:bCs/>
                <w:color w:val="auto"/>
                <w:highlight w:val="none"/>
              </w:rPr>
              <w:t xml:space="preserve"> </w:t>
            </w:r>
            <w:r>
              <w:rPr>
                <w:b/>
                <w:bCs/>
                <w:color w:val="auto"/>
                <w:spacing w:val="-6"/>
                <w:highlight w:val="none"/>
              </w:rPr>
              <w:t>（https://</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b/>
                <w:bCs/>
                <w:color w:val="auto"/>
                <w:spacing w:val="-6"/>
                <w:highlight w:val="none"/>
              </w:rPr>
              <w:t>www.zcygov.cn/</w:t>
            </w:r>
            <w:r>
              <w:rPr>
                <w:b/>
                <w:bCs/>
                <w:color w:val="auto"/>
                <w:spacing w:val="-6"/>
                <w:highlight w:val="none"/>
              </w:rPr>
              <w:fldChar w:fldCharType="end"/>
            </w:r>
            <w:r>
              <w:rPr>
                <w:b/>
                <w:bCs/>
                <w:color w:val="auto"/>
                <w:spacing w:val="1"/>
                <w:highlight w:val="none"/>
              </w:rPr>
              <w:t>），</w:t>
            </w:r>
            <w:r>
              <w:rPr>
                <w:b/>
                <w:bCs/>
                <w:color w:val="auto"/>
                <w:spacing w:val="-25"/>
                <w:highlight w:val="none"/>
              </w:rPr>
              <w:t xml:space="preserve"> </w:t>
            </w:r>
            <w:r>
              <w:rPr>
                <w:b/>
                <w:bCs/>
                <w:color w:val="auto"/>
                <w:spacing w:val="-6"/>
                <w:highlight w:val="none"/>
              </w:rPr>
              <w:t>点击右侧咨询小采，</w:t>
            </w:r>
            <w:r>
              <w:rPr>
                <w:b/>
                <w:bCs/>
                <w:color w:val="auto"/>
                <w:spacing w:val="-35"/>
                <w:highlight w:val="none"/>
              </w:rPr>
              <w:t xml:space="preserve"> </w:t>
            </w:r>
            <w:r>
              <w:rPr>
                <w:b/>
                <w:bCs/>
                <w:color w:val="auto"/>
                <w:spacing w:val="-6"/>
                <w:highlight w:val="none"/>
              </w:rPr>
              <w:t>获取采小</w:t>
            </w:r>
            <w:r>
              <w:rPr>
                <w:b/>
                <w:bCs/>
                <w:color w:val="auto"/>
                <w:spacing w:val="-7"/>
                <w:highlight w:val="none"/>
              </w:rPr>
              <w:t>蜜智能服</w:t>
            </w:r>
            <w:r>
              <w:rPr>
                <w:b/>
                <w:bCs/>
                <w:color w:val="auto"/>
                <w:highlight w:val="none"/>
              </w:rPr>
              <w:t xml:space="preserve"> </w:t>
            </w:r>
            <w:r>
              <w:rPr>
                <w:b/>
                <w:bCs/>
                <w:color w:val="auto"/>
                <w:spacing w:val="-6"/>
                <w:highlight w:val="none"/>
              </w:rPr>
              <w:t>务管家帮助，或拨打政采云服务热线</w:t>
            </w:r>
            <w:r>
              <w:rPr>
                <w:b/>
                <w:bCs/>
                <w:color w:val="auto"/>
                <w:spacing w:val="54"/>
                <w:highlight w:val="none"/>
              </w:rPr>
              <w:t xml:space="preserve"> </w:t>
            </w:r>
            <w:r>
              <w:rPr>
                <w:b/>
                <w:bCs/>
                <w:color w:val="auto"/>
                <w:spacing w:val="-6"/>
                <w:highlight w:val="none"/>
              </w:rPr>
              <w:t>95763  获取热线服务帮助。</w:t>
            </w:r>
          </w:p>
          <w:p w14:paraId="2252BE42">
            <w:pPr>
              <w:pStyle w:val="12"/>
              <w:spacing w:before="6" w:line="191" w:lineRule="auto"/>
              <w:ind w:left="105" w:right="92" w:firstLine="423"/>
              <w:rPr>
                <w:color w:val="auto"/>
                <w:highlight w:val="none"/>
              </w:rPr>
            </w:pPr>
            <w:r>
              <w:rPr>
                <w:b/>
                <w:bCs/>
                <w:color w:val="auto"/>
                <w:spacing w:val="-1"/>
                <w:highlight w:val="none"/>
              </w:rPr>
              <w:t>温馨提醒：</w:t>
            </w:r>
            <w:r>
              <w:rPr>
                <w:b/>
                <w:bCs/>
                <w:color w:val="auto"/>
                <w:spacing w:val="-28"/>
                <w:highlight w:val="none"/>
              </w:rPr>
              <w:t xml:space="preserve"> </w:t>
            </w:r>
            <w:r>
              <w:rPr>
                <w:b/>
                <w:bCs/>
                <w:color w:val="auto"/>
                <w:spacing w:val="-1"/>
                <w:highlight w:val="none"/>
              </w:rPr>
              <w:t>供应商应提前上传，</w:t>
            </w:r>
            <w:r>
              <w:rPr>
                <w:b/>
                <w:bCs/>
                <w:color w:val="auto"/>
                <w:spacing w:val="-18"/>
                <w:highlight w:val="none"/>
              </w:rPr>
              <w:t xml:space="preserve"> </w:t>
            </w:r>
            <w:r>
              <w:rPr>
                <w:b/>
                <w:bCs/>
                <w:color w:val="auto"/>
                <w:spacing w:val="-1"/>
                <w:highlight w:val="none"/>
              </w:rPr>
              <w:t>以便在上传时遇到技术问题，</w:t>
            </w:r>
            <w:r>
              <w:rPr>
                <w:b/>
                <w:bCs/>
                <w:color w:val="auto"/>
                <w:spacing w:val="-41"/>
                <w:highlight w:val="none"/>
              </w:rPr>
              <w:t xml:space="preserve"> </w:t>
            </w:r>
            <w:r>
              <w:rPr>
                <w:b/>
                <w:bCs/>
                <w:color w:val="auto"/>
                <w:spacing w:val="-1"/>
                <w:highlight w:val="none"/>
              </w:rPr>
              <w:t>有充</w:t>
            </w:r>
            <w:r>
              <w:rPr>
                <w:b/>
                <w:bCs/>
                <w:color w:val="auto"/>
                <w:highlight w:val="none"/>
              </w:rPr>
              <w:t xml:space="preserve"> </w:t>
            </w:r>
            <w:r>
              <w:rPr>
                <w:b/>
                <w:bCs/>
                <w:color w:val="auto"/>
                <w:spacing w:val="-3"/>
                <w:highlight w:val="none"/>
              </w:rPr>
              <w:t>足的时间请教平台的技术人员。</w:t>
            </w:r>
          </w:p>
          <w:p w14:paraId="12D2C751">
            <w:pPr>
              <w:pStyle w:val="12"/>
              <w:spacing w:before="7" w:line="183" w:lineRule="auto"/>
              <w:ind w:left="107" w:right="91" w:hanging="1"/>
              <w:jc w:val="both"/>
              <w:rPr>
                <w:color w:val="auto"/>
                <w:spacing w:val="2"/>
                <w:highlight w:val="none"/>
              </w:rPr>
            </w:pPr>
            <w:r>
              <w:rPr>
                <w:b/>
                <w:bCs/>
                <w:color w:val="auto"/>
                <w:spacing w:val="-7"/>
                <w:highlight w:val="none"/>
              </w:rPr>
              <w:t>2、供应商认为采购文件使自己的权益受到损害的，可以自收到采购</w:t>
            </w:r>
            <w:r>
              <w:rPr>
                <w:b/>
                <w:bCs/>
                <w:color w:val="auto"/>
                <w:highlight w:val="none"/>
              </w:rPr>
              <w:t xml:space="preserve"> </w:t>
            </w:r>
            <w:r>
              <w:rPr>
                <w:b/>
                <w:bCs/>
                <w:color w:val="auto"/>
                <w:spacing w:val="1"/>
                <w:highlight w:val="none"/>
              </w:rPr>
              <w:t>文件之日（采购文件公告期限届满之前收到采购文件的，</w:t>
            </w:r>
            <w:r>
              <w:rPr>
                <w:b/>
                <w:bCs/>
                <w:color w:val="auto"/>
                <w:spacing w:val="-18"/>
                <w:highlight w:val="none"/>
              </w:rPr>
              <w:t xml:space="preserve"> </w:t>
            </w:r>
            <w:r>
              <w:rPr>
                <w:b/>
                <w:bCs/>
                <w:color w:val="auto"/>
                <w:spacing w:val="1"/>
                <w:highlight w:val="none"/>
              </w:rPr>
              <w:t>以完成获取采</w:t>
            </w:r>
            <w:r>
              <w:rPr>
                <w:b/>
                <w:bCs/>
                <w:color w:val="auto"/>
                <w:highlight w:val="none"/>
              </w:rPr>
              <w:t xml:space="preserve"> </w:t>
            </w:r>
            <w:r>
              <w:rPr>
                <w:b/>
                <w:bCs/>
                <w:color w:val="auto"/>
                <w:spacing w:val="2"/>
                <w:highlight w:val="none"/>
              </w:rPr>
              <w:t>购文件申请后下载采购文件的时间为准）</w:t>
            </w:r>
            <w:r>
              <w:rPr>
                <w:b/>
                <w:bCs/>
                <w:color w:val="auto"/>
                <w:spacing w:val="-39"/>
                <w:highlight w:val="none"/>
              </w:rPr>
              <w:t xml:space="preserve"> </w:t>
            </w:r>
            <w:r>
              <w:rPr>
                <w:b/>
                <w:bCs/>
                <w:color w:val="auto"/>
                <w:spacing w:val="2"/>
                <w:highlight w:val="none"/>
              </w:rPr>
              <w:t>或者采</w:t>
            </w:r>
            <w:r>
              <w:rPr>
                <w:b/>
                <w:bCs/>
                <w:color w:val="auto"/>
                <w:spacing w:val="1"/>
                <w:highlight w:val="none"/>
              </w:rPr>
              <w:t>购文件公告期限届满之</w:t>
            </w:r>
            <w:r>
              <w:rPr>
                <w:b/>
                <w:bCs/>
                <w:color w:val="auto"/>
                <w:highlight w:val="none"/>
              </w:rPr>
              <w:t xml:space="preserve"> </w:t>
            </w:r>
            <w:r>
              <w:rPr>
                <w:b/>
                <w:bCs/>
                <w:color w:val="auto"/>
                <w:spacing w:val="-1"/>
                <w:highlight w:val="none"/>
              </w:rPr>
              <w:t>日（公告发布后的第 6 个工作日）</w:t>
            </w:r>
            <w:r>
              <w:rPr>
                <w:b/>
                <w:bCs/>
                <w:color w:val="auto"/>
                <w:spacing w:val="-41"/>
                <w:highlight w:val="none"/>
              </w:rPr>
              <w:t xml:space="preserve"> </w:t>
            </w:r>
            <w:r>
              <w:rPr>
                <w:b/>
                <w:bCs/>
                <w:color w:val="auto"/>
                <w:spacing w:val="-1"/>
                <w:highlight w:val="none"/>
              </w:rPr>
              <w:t>起 7 个工作日内且应当在采购响应截</w:t>
            </w:r>
            <w:r>
              <w:rPr>
                <w:b/>
                <w:bCs/>
                <w:color w:val="auto"/>
                <w:highlight w:val="none"/>
              </w:rPr>
              <w:t xml:space="preserve"> </w:t>
            </w:r>
            <w:r>
              <w:rPr>
                <w:b/>
                <w:bCs/>
                <w:color w:val="auto"/>
                <w:spacing w:val="1"/>
                <w:highlight w:val="none"/>
              </w:rPr>
              <w:t>止时间之前，</w:t>
            </w:r>
            <w:r>
              <w:rPr>
                <w:b/>
                <w:bCs/>
                <w:color w:val="auto"/>
                <w:spacing w:val="-18"/>
                <w:highlight w:val="none"/>
              </w:rPr>
              <w:t xml:space="preserve"> </w:t>
            </w:r>
            <w:r>
              <w:rPr>
                <w:b/>
                <w:bCs/>
                <w:color w:val="auto"/>
                <w:spacing w:val="1"/>
                <w:highlight w:val="none"/>
              </w:rPr>
              <w:t>以书面形式一次性向采购人和采购代理机构提出同一环节的质疑。否则，</w:t>
            </w:r>
            <w:r>
              <w:rPr>
                <w:b/>
                <w:bCs/>
                <w:color w:val="auto"/>
                <w:spacing w:val="-31"/>
                <w:highlight w:val="none"/>
              </w:rPr>
              <w:t xml:space="preserve"> </w:t>
            </w:r>
            <w:r>
              <w:rPr>
                <w:b/>
                <w:bCs/>
                <w:color w:val="auto"/>
                <w:spacing w:val="1"/>
                <w:highlight w:val="none"/>
              </w:rPr>
              <w:t>被质疑人可不予接受。质疑供应商对采购人、采购代理</w:t>
            </w:r>
            <w:r>
              <w:rPr>
                <w:b/>
                <w:bCs/>
                <w:color w:val="auto"/>
                <w:highlight w:val="none"/>
              </w:rPr>
              <w:t xml:space="preserve"> </w:t>
            </w:r>
            <w:r>
              <w:rPr>
                <w:b/>
                <w:bCs/>
                <w:color w:val="auto"/>
                <w:spacing w:val="1"/>
                <w:highlight w:val="none"/>
              </w:rPr>
              <w:t>机构的答复不满意或者采购人、采购代理机构未在规定的时间内作出答 复的， 可以在答复期满后十五个工作日内向同级政府采购监督管理部门 投诉。质疑函范本、投诉书范本请到中国政府采购网下载专区下载。未 按规定获取采购文件或逾期提出的不予受理、答复。</w:t>
            </w:r>
          </w:p>
        </w:tc>
      </w:tr>
      <w:tr w14:paraId="2B498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restart"/>
            <w:tcBorders>
              <w:left w:val="single" w:color="000000" w:sz="12" w:space="0"/>
            </w:tcBorders>
            <w:shd w:val="clear" w:color="auto" w:fill="auto"/>
            <w:vAlign w:val="top"/>
          </w:tcPr>
          <w:p w14:paraId="5AE0ED7B">
            <w:pPr>
              <w:spacing w:line="264" w:lineRule="auto"/>
              <w:rPr>
                <w:rFonts w:ascii="Arial"/>
                <w:color w:val="auto"/>
                <w:sz w:val="21"/>
                <w:highlight w:val="none"/>
              </w:rPr>
            </w:pPr>
          </w:p>
          <w:p w14:paraId="07114A85">
            <w:pPr>
              <w:spacing w:line="264" w:lineRule="auto"/>
              <w:rPr>
                <w:rFonts w:ascii="Arial"/>
                <w:color w:val="auto"/>
                <w:sz w:val="21"/>
                <w:highlight w:val="none"/>
              </w:rPr>
            </w:pPr>
          </w:p>
          <w:p w14:paraId="0AD255A5">
            <w:pPr>
              <w:spacing w:line="264" w:lineRule="auto"/>
              <w:rPr>
                <w:rFonts w:ascii="Arial"/>
                <w:color w:val="auto"/>
                <w:sz w:val="21"/>
                <w:highlight w:val="none"/>
              </w:rPr>
            </w:pPr>
          </w:p>
          <w:p w14:paraId="2FDBDA7B">
            <w:pPr>
              <w:spacing w:line="264" w:lineRule="auto"/>
              <w:rPr>
                <w:rFonts w:ascii="Arial"/>
                <w:color w:val="auto"/>
                <w:sz w:val="21"/>
                <w:highlight w:val="none"/>
              </w:rPr>
            </w:pPr>
          </w:p>
          <w:p w14:paraId="3C662B95">
            <w:pPr>
              <w:spacing w:line="264" w:lineRule="auto"/>
              <w:rPr>
                <w:rFonts w:ascii="Arial"/>
                <w:color w:val="auto"/>
                <w:sz w:val="21"/>
                <w:highlight w:val="none"/>
              </w:rPr>
            </w:pPr>
          </w:p>
          <w:p w14:paraId="01AFE99B">
            <w:pPr>
              <w:spacing w:line="264" w:lineRule="auto"/>
              <w:rPr>
                <w:rFonts w:ascii="Arial"/>
                <w:color w:val="auto"/>
                <w:sz w:val="21"/>
                <w:highlight w:val="none"/>
              </w:rPr>
            </w:pPr>
          </w:p>
          <w:p w14:paraId="76B034CB">
            <w:pPr>
              <w:spacing w:line="264" w:lineRule="auto"/>
              <w:rPr>
                <w:rFonts w:ascii="Arial"/>
                <w:color w:val="auto"/>
                <w:sz w:val="21"/>
                <w:highlight w:val="none"/>
              </w:rPr>
            </w:pPr>
          </w:p>
          <w:p w14:paraId="6AA6F680">
            <w:pPr>
              <w:pStyle w:val="12"/>
              <w:spacing w:before="90" w:line="188" w:lineRule="auto"/>
              <w:ind w:left="326" w:leftChars="0"/>
              <w:rPr>
                <w:rFonts w:ascii="微软雅黑" w:hAnsi="微软雅黑" w:eastAsia="微软雅黑" w:cs="微软雅黑"/>
                <w:snapToGrid w:val="0"/>
                <w:color w:val="auto"/>
                <w:kern w:val="0"/>
                <w:sz w:val="21"/>
                <w:szCs w:val="21"/>
                <w:highlight w:val="none"/>
                <w:lang w:val="en-US" w:eastAsia="en-US" w:bidi="ar-SA"/>
              </w:rPr>
            </w:pPr>
            <w:r>
              <w:rPr>
                <w:color w:val="auto"/>
                <w:spacing w:val="-5"/>
                <w:highlight w:val="none"/>
              </w:rPr>
              <w:t>中小微企业政策文件</w:t>
            </w:r>
          </w:p>
          <w:p w14:paraId="3BEFF4B7">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06E4EA88">
            <w:pPr>
              <w:pStyle w:val="12"/>
              <w:spacing w:before="41" w:line="187" w:lineRule="auto"/>
              <w:ind w:left="105" w:leftChars="0" w:right="103"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（1）根据财政部、工业和信息化部关于印发《政府采购促进中小企</w:t>
            </w:r>
            <w:r>
              <w:rPr>
                <w:b/>
                <w:bCs/>
                <w:color w:val="auto"/>
                <w:spacing w:val="-3"/>
                <w:highlight w:val="none"/>
              </w:rPr>
              <w:t>业发</w:t>
            </w:r>
            <w:r>
              <w:rPr>
                <w:b/>
                <w:bCs/>
                <w:color w:val="auto"/>
                <w:highlight w:val="none"/>
              </w:rPr>
              <w:t xml:space="preserve"> </w:t>
            </w:r>
            <w:r>
              <w:rPr>
                <w:b/>
                <w:bCs/>
                <w:color w:val="auto"/>
                <w:spacing w:val="-4"/>
                <w:highlight w:val="none"/>
              </w:rPr>
              <w:t>展管理办法》的通知（财库[2020]46 号</w:t>
            </w:r>
            <w:r>
              <w:rPr>
                <w:b/>
                <w:bCs/>
                <w:color w:val="auto"/>
                <w:spacing w:val="5"/>
                <w:highlight w:val="none"/>
              </w:rPr>
              <w:t>），</w:t>
            </w:r>
            <w:r>
              <w:rPr>
                <w:b/>
                <w:bCs/>
                <w:color w:val="auto"/>
                <w:spacing w:val="-4"/>
                <w:highlight w:val="none"/>
              </w:rPr>
              <w:t>投标人及其所投产品的制造</w:t>
            </w:r>
            <w:r>
              <w:rPr>
                <w:b/>
                <w:bCs/>
                <w:color w:val="auto"/>
                <w:spacing w:val="1"/>
                <w:highlight w:val="none"/>
              </w:rPr>
              <w:t xml:space="preserve"> </w:t>
            </w:r>
            <w:r>
              <w:rPr>
                <w:b/>
                <w:bCs/>
                <w:color w:val="auto"/>
                <w:spacing w:val="-1"/>
                <w:highlight w:val="none"/>
              </w:rPr>
              <w:t>商均属于《工业和信息化部、国家统计局、国家发展和改革委员会、财</w:t>
            </w:r>
            <w:r>
              <w:rPr>
                <w:b/>
                <w:bCs/>
                <w:color w:val="auto"/>
                <w:spacing w:val="8"/>
                <w:highlight w:val="none"/>
              </w:rPr>
              <w:t xml:space="preserve">  </w:t>
            </w:r>
            <w:r>
              <w:rPr>
                <w:b/>
                <w:bCs/>
                <w:color w:val="auto"/>
                <w:spacing w:val="-5"/>
                <w:highlight w:val="none"/>
              </w:rPr>
              <w:t>政部关于印发中小企业划型标准规定的通知》（工信部联企业[2011]300</w:t>
            </w:r>
            <w:r>
              <w:rPr>
                <w:b/>
                <w:bCs/>
                <w:color w:val="auto"/>
                <w:spacing w:val="14"/>
                <w:highlight w:val="none"/>
              </w:rPr>
              <w:t xml:space="preserve"> </w:t>
            </w:r>
            <w:r>
              <w:rPr>
                <w:b/>
                <w:bCs/>
                <w:color w:val="auto"/>
                <w:spacing w:val="-1"/>
                <w:highlight w:val="none"/>
              </w:rPr>
              <w:t>号）中规定的小型、微型企业标准的，按招标文件格式提供《中小企业</w:t>
            </w:r>
            <w:r>
              <w:rPr>
                <w:b/>
                <w:bCs/>
                <w:color w:val="auto"/>
                <w:spacing w:val="8"/>
                <w:highlight w:val="none"/>
              </w:rPr>
              <w:t xml:space="preserve">  </w:t>
            </w:r>
            <w:r>
              <w:rPr>
                <w:b/>
                <w:bCs/>
                <w:color w:val="auto"/>
                <w:spacing w:val="-7"/>
                <w:highlight w:val="none"/>
              </w:rPr>
              <w:t>声明函》。</w:t>
            </w:r>
          </w:p>
        </w:tc>
      </w:tr>
      <w:tr w14:paraId="48623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continue"/>
            <w:tcBorders>
              <w:left w:val="single" w:color="000000" w:sz="12" w:space="0"/>
            </w:tcBorders>
            <w:vAlign w:val="top"/>
          </w:tcPr>
          <w:p w14:paraId="730F5982">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1A51BF1D">
            <w:pPr>
              <w:pStyle w:val="12"/>
              <w:spacing w:before="48" w:line="183" w:lineRule="auto"/>
              <w:ind w:left="105" w:leftChars="0" w:right="85"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（2）根据财政部、司令部《关于政府采购支持监狱企业发展有关问题》</w:t>
            </w:r>
            <w:r>
              <w:rPr>
                <w:b/>
                <w:bCs/>
                <w:color w:val="auto"/>
                <w:spacing w:val="16"/>
                <w:highlight w:val="none"/>
              </w:rPr>
              <w:t xml:space="preserve"> </w:t>
            </w:r>
            <w:r>
              <w:rPr>
                <w:b/>
                <w:bCs/>
                <w:color w:val="auto"/>
                <w:spacing w:val="-4"/>
                <w:highlight w:val="none"/>
              </w:rPr>
              <w:t>的通知财库[2014]68 号，监狱企业参加本项目投标时，应当提供由省级</w:t>
            </w:r>
            <w:r>
              <w:rPr>
                <w:b/>
                <w:bCs/>
                <w:color w:val="auto"/>
                <w:spacing w:val="9"/>
                <w:highlight w:val="none"/>
              </w:rPr>
              <w:t xml:space="preserve">  </w:t>
            </w:r>
            <w:r>
              <w:rPr>
                <w:b/>
                <w:bCs/>
                <w:color w:val="auto"/>
                <w:spacing w:val="-1"/>
                <w:highlight w:val="none"/>
              </w:rPr>
              <w:t>以上监狱管理局、戒毒管理局（新疆生产建设兵团）出具的属于监狱企</w:t>
            </w:r>
            <w:r>
              <w:rPr>
                <w:b/>
                <w:bCs/>
                <w:color w:val="auto"/>
                <w:spacing w:val="8"/>
                <w:highlight w:val="none"/>
              </w:rPr>
              <w:t xml:space="preserve">  </w:t>
            </w:r>
            <w:r>
              <w:rPr>
                <w:b/>
                <w:bCs/>
                <w:color w:val="auto"/>
                <w:spacing w:val="-2"/>
                <w:highlight w:val="none"/>
              </w:rPr>
              <w:t>业的证明文件。监狱企业视同小型、微型企业。</w:t>
            </w:r>
          </w:p>
        </w:tc>
      </w:tr>
      <w:tr w14:paraId="04347A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continue"/>
            <w:tcBorders>
              <w:left w:val="single" w:color="000000" w:sz="12" w:space="0"/>
            </w:tcBorders>
            <w:vAlign w:val="top"/>
          </w:tcPr>
          <w:p w14:paraId="00D33A82">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7898BE33">
            <w:pPr>
              <w:pStyle w:val="12"/>
              <w:spacing w:before="54" w:line="182" w:lineRule="auto"/>
              <w:ind w:left="105" w:leftChars="0" w:right="104"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（3）根据财政部、民政部、中国残疾人联合会《关于促进残疾</w:t>
            </w:r>
            <w:r>
              <w:rPr>
                <w:b/>
                <w:bCs/>
                <w:color w:val="auto"/>
                <w:spacing w:val="-3"/>
                <w:highlight w:val="none"/>
              </w:rPr>
              <w:t>人就业政</w:t>
            </w:r>
            <w:r>
              <w:rPr>
                <w:b/>
                <w:bCs/>
                <w:color w:val="auto"/>
                <w:highlight w:val="none"/>
              </w:rPr>
              <w:t xml:space="preserve"> </w:t>
            </w:r>
            <w:r>
              <w:rPr>
                <w:b/>
                <w:bCs/>
                <w:color w:val="auto"/>
                <w:spacing w:val="-7"/>
                <w:highlight w:val="none"/>
              </w:rPr>
              <w:t>府采购政策的通知》（财库[2017]141</w:t>
            </w:r>
            <w:r>
              <w:rPr>
                <w:b/>
                <w:bCs/>
                <w:color w:val="auto"/>
                <w:spacing w:val="32"/>
                <w:highlight w:val="none"/>
              </w:rPr>
              <w:t xml:space="preserve"> </w:t>
            </w:r>
            <w:r>
              <w:rPr>
                <w:b/>
                <w:bCs/>
                <w:color w:val="auto"/>
                <w:spacing w:val="-7"/>
                <w:highlight w:val="none"/>
              </w:rPr>
              <w:t>号</w:t>
            </w:r>
            <w:r>
              <w:rPr>
                <w:b/>
                <w:bCs/>
                <w:color w:val="auto"/>
                <w:spacing w:val="-8"/>
                <w:highlight w:val="none"/>
              </w:rPr>
              <w:t>），</w:t>
            </w:r>
            <w:r>
              <w:rPr>
                <w:b/>
                <w:bCs/>
                <w:color w:val="auto"/>
                <w:spacing w:val="-7"/>
                <w:highlight w:val="none"/>
              </w:rPr>
              <w:t>在政</w:t>
            </w:r>
            <w:r>
              <w:rPr>
                <w:b/>
                <w:bCs/>
                <w:color w:val="auto"/>
                <w:spacing w:val="-8"/>
                <w:highlight w:val="none"/>
              </w:rPr>
              <w:t>府采购活动中，残疾人</w:t>
            </w:r>
            <w:r>
              <w:rPr>
                <w:b/>
                <w:bCs/>
                <w:color w:val="auto"/>
                <w:highlight w:val="none"/>
              </w:rPr>
              <w:t xml:space="preserve"> </w:t>
            </w:r>
            <w:r>
              <w:rPr>
                <w:b/>
                <w:bCs/>
                <w:color w:val="auto"/>
                <w:spacing w:val="-1"/>
                <w:highlight w:val="none"/>
              </w:rPr>
              <w:t>福利性单位视同小型、微型企业。投标人属于残疾人福利性单位的，按</w:t>
            </w:r>
            <w:r>
              <w:rPr>
                <w:b/>
                <w:bCs/>
                <w:color w:val="auto"/>
                <w:spacing w:val="7"/>
                <w:highlight w:val="none"/>
              </w:rPr>
              <w:t xml:space="preserve">  </w:t>
            </w:r>
            <w:r>
              <w:rPr>
                <w:b/>
                <w:bCs/>
                <w:color w:val="auto"/>
                <w:spacing w:val="-2"/>
                <w:highlight w:val="none"/>
              </w:rPr>
              <w:t>照招标文件格式提供残疾人福利性单位声明函。</w:t>
            </w:r>
          </w:p>
        </w:tc>
      </w:tr>
      <w:tr w14:paraId="324E71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4" w:hRule="atLeast"/>
        </w:trPr>
        <w:tc>
          <w:tcPr>
            <w:tcW w:w="2497" w:type="dxa"/>
            <w:gridSpan w:val="2"/>
            <w:tcBorders>
              <w:left w:val="single" w:color="000000" w:sz="12" w:space="0"/>
            </w:tcBorders>
            <w:shd w:val="clear" w:color="auto" w:fill="auto"/>
            <w:vAlign w:val="top"/>
          </w:tcPr>
          <w:p w14:paraId="7079A9F0">
            <w:pPr>
              <w:spacing w:line="287" w:lineRule="auto"/>
              <w:rPr>
                <w:rFonts w:ascii="Arial"/>
                <w:color w:val="auto"/>
                <w:sz w:val="21"/>
                <w:highlight w:val="none"/>
              </w:rPr>
            </w:pPr>
          </w:p>
          <w:p w14:paraId="4482284E">
            <w:pPr>
              <w:spacing w:line="287" w:lineRule="auto"/>
              <w:rPr>
                <w:rFonts w:ascii="Arial"/>
                <w:color w:val="auto"/>
                <w:sz w:val="21"/>
                <w:highlight w:val="none"/>
              </w:rPr>
            </w:pPr>
          </w:p>
          <w:p w14:paraId="6615C9A8">
            <w:pPr>
              <w:spacing w:line="288" w:lineRule="auto"/>
              <w:rPr>
                <w:rFonts w:ascii="Arial"/>
                <w:color w:val="auto"/>
                <w:sz w:val="21"/>
                <w:highlight w:val="none"/>
              </w:rPr>
            </w:pPr>
          </w:p>
          <w:p w14:paraId="6C136B64">
            <w:pPr>
              <w:pStyle w:val="12"/>
              <w:spacing w:before="90" w:line="192" w:lineRule="auto"/>
              <w:ind w:left="120" w:leftChars="0" w:right="279" w:rightChars="0" w:firstLine="13" w:firstLineChars="0"/>
              <w:rPr>
                <w:rFonts w:ascii="微软雅黑" w:hAnsi="微软雅黑" w:eastAsia="微软雅黑" w:cs="微软雅黑"/>
                <w:snapToGrid w:val="0"/>
                <w:color w:val="auto"/>
                <w:kern w:val="0"/>
                <w:sz w:val="21"/>
                <w:szCs w:val="21"/>
                <w:highlight w:val="none"/>
                <w:lang w:val="en-US" w:eastAsia="en-US" w:bidi="ar-SA"/>
              </w:rPr>
            </w:pPr>
            <w:r>
              <w:rPr>
                <w:color w:val="auto"/>
                <w:spacing w:val="-5"/>
                <w:highlight w:val="none"/>
              </w:rPr>
              <w:t>中小微企业政策文件说</w:t>
            </w:r>
            <w:r>
              <w:rPr>
                <w:color w:val="auto"/>
                <w:spacing w:val="8"/>
                <w:highlight w:val="none"/>
              </w:rPr>
              <w:t xml:space="preserve"> </w:t>
            </w:r>
            <w:r>
              <w:rPr>
                <w:color w:val="auto"/>
                <w:highlight w:val="none"/>
              </w:rPr>
              <w:t>明</w:t>
            </w:r>
          </w:p>
        </w:tc>
        <w:tc>
          <w:tcPr>
            <w:tcW w:w="6809" w:type="dxa"/>
            <w:tcBorders>
              <w:right w:val="single" w:color="000000" w:sz="12" w:space="0"/>
            </w:tcBorders>
            <w:shd w:val="clear" w:color="auto" w:fill="auto"/>
            <w:vAlign w:val="top"/>
          </w:tcPr>
          <w:p w14:paraId="7E8BE831">
            <w:pPr>
              <w:pStyle w:val="12"/>
              <w:spacing w:before="54" w:line="187" w:lineRule="auto"/>
              <w:ind w:left="114"/>
              <w:rPr>
                <w:color w:val="auto"/>
                <w:highlight w:val="none"/>
              </w:rPr>
            </w:pPr>
            <w:r>
              <w:rPr>
                <w:b/>
                <w:bCs/>
                <w:color w:val="auto"/>
                <w:spacing w:val="-1"/>
                <w:highlight w:val="none"/>
              </w:rPr>
              <w:t>1.本项目为专门面向中小企业项目，资金为</w:t>
            </w:r>
            <w:r>
              <w:rPr>
                <w:b/>
                <w:bCs/>
                <w:color w:val="auto"/>
                <w:spacing w:val="-2"/>
                <w:highlight w:val="none"/>
              </w:rPr>
              <w:t>全部预留。</w:t>
            </w:r>
          </w:p>
          <w:p w14:paraId="10A1FB37">
            <w:pPr>
              <w:pStyle w:val="12"/>
              <w:spacing w:before="89" w:line="285" w:lineRule="auto"/>
              <w:ind w:left="111" w:right="91" w:hanging="10"/>
              <w:rPr>
                <w:color w:val="auto"/>
                <w:highlight w:val="none"/>
              </w:rPr>
            </w:pPr>
            <w:r>
              <w:rPr>
                <w:b/>
                <w:bCs/>
                <w:color w:val="auto"/>
                <w:spacing w:val="2"/>
                <w:highlight w:val="none"/>
              </w:rPr>
              <w:t>2.本采购项目标的物所属行业为：</w:t>
            </w:r>
            <w:r>
              <w:rPr>
                <w:b/>
                <w:bCs/>
                <w:color w:val="auto"/>
                <w:spacing w:val="-19"/>
                <w:highlight w:val="none"/>
              </w:rPr>
              <w:t xml:space="preserve"> </w:t>
            </w:r>
            <w:r>
              <w:rPr>
                <w:b/>
                <w:bCs/>
                <w:color w:val="auto"/>
                <w:spacing w:val="2"/>
                <w:highlight w:val="none"/>
                <w:u w:val="single" w:color="auto"/>
              </w:rPr>
              <w:t>宣传牌、标识牌、</w:t>
            </w:r>
            <w:r>
              <w:rPr>
                <w:b/>
                <w:bCs/>
                <w:color w:val="auto"/>
                <w:spacing w:val="1"/>
                <w:highlight w:val="none"/>
                <w:u w:val="single" w:color="auto"/>
              </w:rPr>
              <w:t>制度牌、刺</w:t>
            </w:r>
            <w:r>
              <w:rPr>
                <w:rFonts w:hint="eastAsia"/>
                <w:b/>
                <w:bCs/>
                <w:color w:val="auto"/>
                <w:spacing w:val="1"/>
                <w:highlight w:val="none"/>
                <w:u w:val="single" w:color="auto"/>
                <w:lang w:val="en-US" w:eastAsia="zh-CN"/>
              </w:rPr>
              <w:t>铁</w:t>
            </w:r>
            <w:r>
              <w:rPr>
                <w:b/>
                <w:bCs/>
                <w:color w:val="auto"/>
                <w:spacing w:val="1"/>
                <w:highlight w:val="none"/>
                <w:u w:val="single" w:color="auto"/>
              </w:rPr>
              <w:t>丝、挂</w:t>
            </w:r>
            <w:r>
              <w:rPr>
                <w:b/>
                <w:bCs/>
                <w:color w:val="auto"/>
                <w:spacing w:val="-1"/>
                <w:highlight w:val="none"/>
                <w:u w:val="single" w:color="auto"/>
              </w:rPr>
              <w:t>线柱、加强柱、支撑柱、</w:t>
            </w:r>
            <w:r>
              <w:rPr>
                <w:rFonts w:hint="eastAsia"/>
                <w:b/>
                <w:bCs/>
                <w:color w:val="auto"/>
                <w:spacing w:val="-1"/>
                <w:highlight w:val="none"/>
                <w:u w:val="single" w:color="auto"/>
                <w:lang w:val="en-US" w:eastAsia="zh-CN"/>
              </w:rPr>
              <w:t>C25预制砼基础、</w:t>
            </w:r>
            <w:r>
              <w:rPr>
                <w:b/>
                <w:bCs/>
                <w:color w:val="auto"/>
                <w:spacing w:val="-1"/>
                <w:highlight w:val="none"/>
                <w:u w:val="single" w:color="auto"/>
              </w:rPr>
              <w:t>地锚、螺栓、绑钩、双扇门为工业</w:t>
            </w:r>
            <w:r>
              <w:rPr>
                <w:b/>
                <w:bCs/>
                <w:color w:val="auto"/>
                <w:spacing w:val="-1"/>
                <w:highlight w:val="none"/>
              </w:rPr>
              <w:t>。</w:t>
            </w:r>
          </w:p>
          <w:p w14:paraId="6DFF2A5D">
            <w:pPr>
              <w:pStyle w:val="12"/>
              <w:spacing w:before="2" w:line="181" w:lineRule="auto"/>
              <w:ind w:left="106" w:leftChars="0" w:right="91" w:rightChars="0" w:hanging="3" w:firstLine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highlight w:val="none"/>
              </w:rPr>
              <w:t>3.投标供应商在提供《中小企业声明函》时，必须将招标文件分项报价</w:t>
            </w:r>
            <w:r>
              <w:rPr>
                <w:b/>
                <w:bCs/>
                <w:color w:val="auto"/>
                <w:spacing w:val="3"/>
                <w:highlight w:val="none"/>
              </w:rPr>
              <w:t xml:space="preserve">  </w:t>
            </w:r>
            <w:r>
              <w:rPr>
                <w:b/>
                <w:bCs/>
                <w:color w:val="auto"/>
                <w:spacing w:val="-1"/>
                <w:highlight w:val="none"/>
              </w:rPr>
              <w:t>表或参数偏离表所列的采购标的物全部列入《中小企业声明函》，否则</w:t>
            </w:r>
            <w:r>
              <w:rPr>
                <w:b/>
                <w:bCs/>
                <w:color w:val="auto"/>
                <w:spacing w:val="7"/>
                <w:highlight w:val="none"/>
              </w:rPr>
              <w:t xml:space="preserve">  </w:t>
            </w:r>
            <w:r>
              <w:rPr>
                <w:b/>
                <w:bCs/>
                <w:color w:val="auto"/>
                <w:spacing w:val="-7"/>
                <w:highlight w:val="none"/>
              </w:rPr>
              <w:t>专门面向中小企业的项目做废标处理，落实 10%价格评审优惠的不享受优</w:t>
            </w:r>
            <w:r>
              <w:rPr>
                <w:b/>
                <w:bCs/>
                <w:color w:val="auto"/>
                <w:spacing w:val="4"/>
                <w:highlight w:val="none"/>
              </w:rPr>
              <w:t xml:space="preserve"> </w:t>
            </w:r>
            <w:r>
              <w:rPr>
                <w:b/>
                <w:bCs/>
                <w:color w:val="auto"/>
                <w:spacing w:val="-9"/>
                <w:highlight w:val="none"/>
              </w:rPr>
              <w:t>惠政策。</w:t>
            </w:r>
          </w:p>
        </w:tc>
      </w:tr>
      <w:tr w14:paraId="2C686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2497" w:type="dxa"/>
            <w:gridSpan w:val="2"/>
            <w:tcBorders>
              <w:left w:val="single" w:color="000000" w:sz="12" w:space="0"/>
            </w:tcBorders>
            <w:shd w:val="clear" w:color="auto" w:fill="auto"/>
            <w:vAlign w:val="top"/>
          </w:tcPr>
          <w:p w14:paraId="139D344E">
            <w:pPr>
              <w:pStyle w:val="12"/>
              <w:spacing w:before="206" w:line="189" w:lineRule="auto"/>
              <w:ind w:left="108" w:leftChars="0"/>
              <w:rPr>
                <w:rFonts w:ascii="微软雅黑" w:hAnsi="微软雅黑" w:eastAsia="微软雅黑" w:cs="微软雅黑"/>
                <w:snapToGrid w:val="0"/>
                <w:color w:val="auto"/>
                <w:kern w:val="0"/>
                <w:sz w:val="21"/>
                <w:szCs w:val="21"/>
                <w:highlight w:val="none"/>
                <w:lang w:val="en-US" w:eastAsia="en-US" w:bidi="ar-SA"/>
              </w:rPr>
            </w:pPr>
            <w:r>
              <w:rPr>
                <w:b/>
                <w:bCs/>
                <w:color w:val="auto"/>
                <w:spacing w:val="-4"/>
                <w:highlight w:val="none"/>
              </w:rPr>
              <w:t>备注</w:t>
            </w:r>
          </w:p>
        </w:tc>
        <w:tc>
          <w:tcPr>
            <w:tcW w:w="6809" w:type="dxa"/>
            <w:tcBorders>
              <w:right w:val="single" w:color="000000" w:sz="12" w:space="0"/>
            </w:tcBorders>
            <w:shd w:val="clear" w:color="auto" w:fill="auto"/>
            <w:vAlign w:val="top"/>
          </w:tcPr>
          <w:p w14:paraId="5424052F">
            <w:pPr>
              <w:pStyle w:val="12"/>
              <w:spacing w:before="61" w:line="169" w:lineRule="auto"/>
              <w:ind w:left="105" w:leftChars="0" w:right="91" w:rightChars="0"/>
              <w:rPr>
                <w:rFonts w:ascii="微软雅黑" w:hAnsi="微软雅黑" w:eastAsia="微软雅黑" w:cs="微软雅黑"/>
                <w:snapToGrid w:val="0"/>
                <w:color w:val="auto"/>
                <w:kern w:val="0"/>
                <w:sz w:val="21"/>
                <w:szCs w:val="21"/>
                <w:highlight w:val="none"/>
                <w:lang w:val="en-US" w:eastAsia="en-US" w:bidi="ar-SA"/>
              </w:rPr>
            </w:pPr>
            <w:r>
              <w:rPr>
                <w:b/>
                <w:bCs/>
                <w:color w:val="auto"/>
                <w:spacing w:val="-1"/>
                <w:highlight w:val="none"/>
              </w:rPr>
              <w:t>投标人使用相同 IP 地址的，一经发现，</w:t>
            </w:r>
            <w:r>
              <w:rPr>
                <w:b/>
                <w:bCs/>
                <w:color w:val="auto"/>
                <w:spacing w:val="-2"/>
                <w:highlight w:val="none"/>
              </w:rPr>
              <w:t>相关部门将进一步核实，查实后</w:t>
            </w:r>
            <w:r>
              <w:rPr>
                <w:b/>
                <w:bCs/>
                <w:color w:val="auto"/>
                <w:highlight w:val="none"/>
              </w:rPr>
              <w:t xml:space="preserve"> </w:t>
            </w:r>
            <w:r>
              <w:rPr>
                <w:b/>
                <w:bCs/>
                <w:color w:val="auto"/>
                <w:spacing w:val="-5"/>
                <w:highlight w:val="none"/>
              </w:rPr>
              <w:t>按串通投标处理。</w:t>
            </w:r>
          </w:p>
        </w:tc>
      </w:tr>
      <w:tr w14:paraId="4B409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9306" w:type="dxa"/>
            <w:gridSpan w:val="3"/>
            <w:tcBorders>
              <w:left w:val="single" w:color="000000" w:sz="12" w:space="0"/>
              <w:right w:val="single" w:color="000000" w:sz="12" w:space="0"/>
            </w:tcBorders>
            <w:shd w:val="clear" w:color="auto" w:fill="auto"/>
            <w:vAlign w:val="top"/>
          </w:tcPr>
          <w:p w14:paraId="78BE8DC2">
            <w:pPr>
              <w:pStyle w:val="12"/>
              <w:spacing w:before="190" w:line="188" w:lineRule="auto"/>
              <w:ind w:left="3839"/>
              <w:rPr>
                <w:color w:val="auto"/>
                <w:highlight w:val="none"/>
              </w:rPr>
            </w:pPr>
            <w:r>
              <w:rPr>
                <w:color w:val="auto"/>
                <w:spacing w:val="-4"/>
                <w:highlight w:val="none"/>
              </w:rPr>
              <w:t>中小企业划型标准规定</w:t>
            </w:r>
          </w:p>
          <w:p w14:paraId="1A6AE8CC">
            <w:pPr>
              <w:spacing w:line="324" w:lineRule="auto"/>
              <w:rPr>
                <w:rFonts w:ascii="Arial"/>
                <w:color w:val="auto"/>
                <w:sz w:val="21"/>
                <w:highlight w:val="none"/>
              </w:rPr>
            </w:pPr>
          </w:p>
          <w:p w14:paraId="33D9DDDB">
            <w:pPr>
              <w:pStyle w:val="12"/>
              <w:spacing w:before="90" w:line="232" w:lineRule="auto"/>
              <w:ind w:right="153" w:firstLine="420" w:firstLineChars="200"/>
              <w:rPr>
                <w:rFonts w:ascii="Arial"/>
                <w:color w:val="auto"/>
                <w:sz w:val="21"/>
                <w:highlight w:val="none"/>
              </w:rPr>
            </w:pPr>
            <w:r>
              <w:rPr>
                <w:color w:val="auto"/>
                <w:highlight w:val="none"/>
              </w:rPr>
              <w:t>一、根据《中华人民共和国中小企业促进法》和《</w:t>
            </w:r>
            <w:r>
              <w:rPr>
                <w:color w:val="auto"/>
                <w:spacing w:val="-1"/>
                <w:highlight w:val="none"/>
              </w:rPr>
              <w:t>国务院关于进一步促进中小企业发展的若干</w:t>
            </w:r>
            <w:r>
              <w:rPr>
                <w:color w:val="auto"/>
                <w:highlight w:val="none"/>
              </w:rPr>
              <w:t xml:space="preserve"> </w:t>
            </w:r>
            <w:r>
              <w:rPr>
                <w:color w:val="auto"/>
                <w:spacing w:val="-3"/>
                <w:highlight w:val="none"/>
              </w:rPr>
              <w:t xml:space="preserve">意见》(（国发〔2009〕[2009]36 </w:t>
            </w:r>
            <w:r>
              <w:rPr>
                <w:color w:val="auto"/>
                <w:spacing w:val="-4"/>
                <w:highlight w:val="none"/>
              </w:rPr>
              <w:t>号)，制定本规定。</w:t>
            </w:r>
          </w:p>
          <w:p w14:paraId="3B125E36">
            <w:pPr>
              <w:pStyle w:val="12"/>
              <w:spacing w:before="90" w:line="234" w:lineRule="auto"/>
              <w:ind w:right="20" w:firstLine="396" w:firstLineChars="200"/>
              <w:rPr>
                <w:rFonts w:ascii="Arial"/>
                <w:color w:val="auto"/>
                <w:sz w:val="21"/>
                <w:highlight w:val="none"/>
              </w:rPr>
            </w:pPr>
            <w:r>
              <w:rPr>
                <w:color w:val="auto"/>
                <w:spacing w:val="-6"/>
                <w:highlight w:val="none"/>
              </w:rPr>
              <w:t>二、中小企业划分为中型、小型、微型三种类型，</w:t>
            </w:r>
            <w:r>
              <w:rPr>
                <w:color w:val="auto"/>
                <w:spacing w:val="16"/>
                <w:highlight w:val="none"/>
              </w:rPr>
              <w:t xml:space="preserve">  </w:t>
            </w:r>
            <w:r>
              <w:rPr>
                <w:color w:val="auto"/>
                <w:spacing w:val="-6"/>
                <w:highlight w:val="none"/>
              </w:rPr>
              <w:t>具体</w:t>
            </w:r>
            <w:r>
              <w:rPr>
                <w:color w:val="auto"/>
                <w:spacing w:val="-7"/>
                <w:highlight w:val="none"/>
              </w:rPr>
              <w:t>标准根据企业从业人员、营业收入、</w:t>
            </w:r>
            <w:r>
              <w:rPr>
                <w:color w:val="auto"/>
                <w:highlight w:val="none"/>
              </w:rPr>
              <w:t xml:space="preserve"> </w:t>
            </w:r>
            <w:r>
              <w:rPr>
                <w:color w:val="auto"/>
                <w:spacing w:val="-3"/>
                <w:highlight w:val="none"/>
              </w:rPr>
              <w:t>资产总额等指标，结合行业特点制定。</w:t>
            </w:r>
          </w:p>
          <w:p w14:paraId="28B8265E">
            <w:pPr>
              <w:pStyle w:val="12"/>
              <w:spacing w:before="180" w:line="276" w:lineRule="auto"/>
              <w:ind w:right="154" w:firstLine="416" w:firstLineChars="200"/>
              <w:rPr>
                <w:color w:val="auto"/>
                <w:highlight w:val="none"/>
              </w:rPr>
            </w:pPr>
            <w:r>
              <w:rPr>
                <w:color w:val="auto"/>
                <w:spacing w:val="-1"/>
                <w:highlight w:val="none"/>
              </w:rPr>
              <w:t>三、本规定适用的行业包括：农、林、牧、渔业，工业（包括采矿业，制造业，电力、热</w:t>
            </w:r>
            <w:r>
              <w:rPr>
                <w:color w:val="auto"/>
                <w:spacing w:val="18"/>
                <w:highlight w:val="none"/>
              </w:rPr>
              <w:t xml:space="preserve"> </w:t>
            </w:r>
            <w:r>
              <w:rPr>
                <w:color w:val="auto"/>
                <w:highlight w:val="none"/>
              </w:rPr>
              <w:t>力、燃气及水生产和供应业</w:t>
            </w:r>
            <w:r>
              <w:rPr>
                <w:color w:val="auto"/>
                <w:spacing w:val="-1"/>
                <w:highlight w:val="none"/>
              </w:rPr>
              <w:t>），</w:t>
            </w:r>
            <w:r>
              <w:rPr>
                <w:color w:val="auto"/>
                <w:highlight w:val="none"/>
              </w:rPr>
              <w:t>建筑业，批发业，零售业，交</w:t>
            </w:r>
            <w:r>
              <w:rPr>
                <w:color w:val="auto"/>
                <w:spacing w:val="-1"/>
                <w:highlight w:val="none"/>
              </w:rPr>
              <w:t>通运输业（不含铁路运输业），仓储</w:t>
            </w:r>
            <w:r>
              <w:rPr>
                <w:color w:val="auto"/>
                <w:spacing w:val="3"/>
                <w:highlight w:val="none"/>
              </w:rPr>
              <w:t xml:space="preserve"> </w:t>
            </w:r>
            <w:r>
              <w:rPr>
                <w:color w:val="auto"/>
                <w:highlight w:val="none"/>
              </w:rPr>
              <w:t>业，邮政业，住宿业，餐饮业，信息传输业（包括电信、互</w:t>
            </w:r>
            <w:r>
              <w:rPr>
                <w:color w:val="auto"/>
                <w:spacing w:val="-1"/>
                <w:highlight w:val="none"/>
              </w:rPr>
              <w:t>联网和相关服务</w:t>
            </w:r>
            <w:r>
              <w:rPr>
                <w:color w:val="auto"/>
                <w:highlight w:val="none"/>
              </w:rPr>
              <w:t>），</w:t>
            </w:r>
            <w:r>
              <w:rPr>
                <w:color w:val="auto"/>
                <w:spacing w:val="-1"/>
                <w:highlight w:val="none"/>
              </w:rPr>
              <w:t>软件和信息技术服</w:t>
            </w:r>
            <w:r>
              <w:rPr>
                <w:color w:val="auto"/>
                <w:highlight w:val="none"/>
              </w:rPr>
              <w:t xml:space="preserve"> 务业，房地产开发经营，物业管理，租赁和商务服务业，其他未</w:t>
            </w:r>
            <w:r>
              <w:rPr>
                <w:color w:val="auto"/>
                <w:spacing w:val="-1"/>
                <w:highlight w:val="none"/>
              </w:rPr>
              <w:t>列明行业（包括科学研究和技术服</w:t>
            </w:r>
            <w:r>
              <w:rPr>
                <w:color w:val="auto"/>
                <w:highlight w:val="none"/>
              </w:rPr>
              <w:t>务业，水利、环境和公共设施管理业，居民服务、</w:t>
            </w:r>
            <w:r>
              <w:rPr>
                <w:color w:val="auto"/>
                <w:spacing w:val="-1"/>
                <w:highlight w:val="none"/>
              </w:rPr>
              <w:t>修理和其他服务业，社会工作，文化、体育和娱</w:t>
            </w:r>
            <w:r>
              <w:rPr>
                <w:color w:val="auto"/>
                <w:highlight w:val="none"/>
              </w:rPr>
              <w:t xml:space="preserve"> </w:t>
            </w:r>
            <w:r>
              <w:rPr>
                <w:color w:val="auto"/>
                <w:spacing w:val="-7"/>
                <w:highlight w:val="none"/>
              </w:rPr>
              <w:t>乐业等）。</w:t>
            </w:r>
          </w:p>
          <w:p w14:paraId="415CF057">
            <w:pPr>
              <w:pStyle w:val="12"/>
              <w:spacing w:before="180" w:line="276" w:lineRule="auto"/>
              <w:ind w:right="154" w:firstLine="416" w:firstLineChars="200"/>
              <w:rPr>
                <w:color w:val="auto"/>
                <w:spacing w:val="-1"/>
                <w:highlight w:val="none"/>
              </w:rPr>
            </w:pPr>
            <w:r>
              <w:rPr>
                <w:color w:val="auto"/>
                <w:spacing w:val="-1"/>
                <w:highlight w:val="none"/>
              </w:rPr>
              <w:t>四、各行业划型标准为：</w:t>
            </w:r>
          </w:p>
          <w:p w14:paraId="1DF4D2A9">
            <w:pPr>
              <w:pStyle w:val="12"/>
              <w:spacing w:before="90" w:line="280" w:lineRule="auto"/>
              <w:ind w:right="93"/>
              <w:jc w:val="both"/>
              <w:rPr>
                <w:color w:val="auto"/>
                <w:spacing w:val="-10"/>
                <w:highlight w:val="none"/>
              </w:rPr>
            </w:pPr>
            <w:r>
              <w:rPr>
                <w:color w:val="auto"/>
                <w:spacing w:val="-12"/>
                <w:highlight w:val="none"/>
              </w:rPr>
              <w:t>（一）农、林、牧、渔业。营业收入 20000 万元以下的为中小微型企业。其中， 营业收入 500</w:t>
            </w:r>
            <w:r>
              <w:rPr>
                <w:color w:val="auto"/>
                <w:spacing w:val="18"/>
                <w:highlight w:val="none"/>
              </w:rPr>
              <w:t xml:space="preserve"> </w:t>
            </w:r>
            <w:r>
              <w:rPr>
                <w:color w:val="auto"/>
                <w:spacing w:val="-3"/>
                <w:highlight w:val="none"/>
              </w:rPr>
              <w:t>万元及以上的为中型企业，营业收入 50 万元及以上的为小型企业，营业收入 50 万元以下的为微型</w:t>
            </w:r>
            <w:r>
              <w:rPr>
                <w:color w:val="auto"/>
                <w:spacing w:val="8"/>
                <w:highlight w:val="none"/>
              </w:rPr>
              <w:t xml:space="preserve">  </w:t>
            </w:r>
            <w:r>
              <w:rPr>
                <w:color w:val="auto"/>
                <w:spacing w:val="-10"/>
                <w:highlight w:val="none"/>
              </w:rPr>
              <w:t>企业。</w:t>
            </w:r>
          </w:p>
          <w:p w14:paraId="64F7E770">
            <w:pPr>
              <w:pStyle w:val="12"/>
              <w:spacing w:before="90" w:line="280" w:lineRule="auto"/>
              <w:ind w:right="93"/>
              <w:jc w:val="both"/>
              <w:rPr>
                <w:color w:val="auto"/>
                <w:highlight w:val="none"/>
              </w:rPr>
            </w:pPr>
            <w:r>
              <w:rPr>
                <w:color w:val="auto"/>
                <w:spacing w:val="-7"/>
                <w:highlight w:val="none"/>
              </w:rPr>
              <w:t>（二）</w:t>
            </w:r>
            <w:r>
              <w:rPr>
                <w:b/>
                <w:bCs/>
                <w:color w:val="auto"/>
                <w:spacing w:val="-7"/>
                <w:highlight w:val="none"/>
              </w:rPr>
              <w:t>工业。从业人员</w:t>
            </w:r>
            <w:r>
              <w:rPr>
                <w:b/>
                <w:bCs/>
                <w:color w:val="auto"/>
                <w:spacing w:val="18"/>
                <w:highlight w:val="none"/>
              </w:rPr>
              <w:t xml:space="preserve"> </w:t>
            </w:r>
            <w:r>
              <w:rPr>
                <w:b/>
                <w:bCs/>
                <w:color w:val="auto"/>
                <w:spacing w:val="-7"/>
                <w:highlight w:val="none"/>
              </w:rPr>
              <w:t>1000 人以下或营业收入 40000 万元以下的为中小微型企业。其中，</w:t>
            </w:r>
            <w:r>
              <w:rPr>
                <w:b/>
                <w:bCs/>
                <w:color w:val="auto"/>
                <w:highlight w:val="none"/>
              </w:rPr>
              <w:t xml:space="preserve"> </w:t>
            </w:r>
            <w:r>
              <w:rPr>
                <w:b/>
                <w:bCs/>
                <w:color w:val="auto"/>
                <w:spacing w:val="-6"/>
                <w:highlight w:val="none"/>
              </w:rPr>
              <w:t>从业人员 300 人及以上，且营业收入 2000 万元及以上的为中型企业；从业人员 20 人及以上，且营业收入 300 万元及以上的为小型企业；从业人员 20 人以下或营业收入 300 万元以下的为微型企业。</w:t>
            </w:r>
          </w:p>
          <w:p w14:paraId="2A734900">
            <w:pPr>
              <w:pStyle w:val="12"/>
              <w:spacing w:before="285" w:line="279" w:lineRule="auto"/>
              <w:ind w:right="154"/>
              <w:jc w:val="both"/>
              <w:rPr>
                <w:color w:val="auto"/>
                <w:highlight w:val="none"/>
              </w:rPr>
            </w:pPr>
            <w:r>
              <w:rPr>
                <w:color w:val="auto"/>
                <w:spacing w:val="-5"/>
                <w:highlight w:val="none"/>
              </w:rPr>
              <w:t>（三）建筑业。营业收入 80000 万元以下或资产总额 80000 万元以下的为中小微型企业。</w:t>
            </w:r>
            <w:r>
              <w:rPr>
                <w:color w:val="auto"/>
                <w:highlight w:val="none"/>
              </w:rPr>
              <w:t xml:space="preserve"> </w:t>
            </w:r>
            <w:r>
              <w:rPr>
                <w:color w:val="auto"/>
                <w:spacing w:val="-5"/>
                <w:highlight w:val="none"/>
              </w:rPr>
              <w:t>其中，营业收入 6000 万元及以上，且资产总额 5000 万元及以上的为中型企业；营</w:t>
            </w:r>
            <w:r>
              <w:rPr>
                <w:color w:val="auto"/>
                <w:spacing w:val="-6"/>
                <w:highlight w:val="none"/>
              </w:rPr>
              <w:t>业收入 300 万元</w:t>
            </w:r>
            <w:r>
              <w:rPr>
                <w:color w:val="auto"/>
                <w:highlight w:val="none"/>
              </w:rPr>
              <w:t xml:space="preserve"> </w:t>
            </w:r>
            <w:r>
              <w:rPr>
                <w:color w:val="auto"/>
                <w:spacing w:val="-4"/>
                <w:highlight w:val="none"/>
              </w:rPr>
              <w:t>及以上，且资产总额 300 万元及以上的为小</w:t>
            </w:r>
            <w:r>
              <w:rPr>
                <w:color w:val="auto"/>
                <w:spacing w:val="-5"/>
                <w:highlight w:val="none"/>
              </w:rPr>
              <w:t>型企业；营业收入 300 万元以下或资产总额 300 万元以</w:t>
            </w:r>
            <w:r>
              <w:rPr>
                <w:color w:val="auto"/>
                <w:highlight w:val="none"/>
              </w:rPr>
              <w:t xml:space="preserve"> </w:t>
            </w:r>
            <w:r>
              <w:rPr>
                <w:color w:val="auto"/>
                <w:spacing w:val="-5"/>
                <w:highlight w:val="none"/>
              </w:rPr>
              <w:t>下的为微型企业。</w:t>
            </w:r>
          </w:p>
          <w:p w14:paraId="7F75C24D">
            <w:pPr>
              <w:pStyle w:val="12"/>
              <w:spacing w:before="283" w:line="279" w:lineRule="auto"/>
              <w:ind w:right="31"/>
              <w:jc w:val="both"/>
              <w:rPr>
                <w:color w:val="auto"/>
                <w:highlight w:val="none"/>
              </w:rPr>
            </w:pPr>
            <w:r>
              <w:rPr>
                <w:color w:val="auto"/>
                <w:spacing w:val="-6"/>
                <w:highlight w:val="none"/>
              </w:rPr>
              <w:t>（四）批发业。从业人员 200 人以下或营业收入 40000 万元以下的为中小微型企</w:t>
            </w:r>
            <w:r>
              <w:rPr>
                <w:color w:val="auto"/>
                <w:spacing w:val="-7"/>
                <w:highlight w:val="none"/>
              </w:rPr>
              <w:t>业。其中，</w:t>
            </w:r>
            <w:r>
              <w:rPr>
                <w:color w:val="auto"/>
                <w:highlight w:val="none"/>
              </w:rPr>
              <w:t xml:space="preserve"> </w:t>
            </w:r>
            <w:r>
              <w:rPr>
                <w:color w:val="auto"/>
                <w:spacing w:val="-4"/>
                <w:highlight w:val="none"/>
              </w:rPr>
              <w:t>从业人员 20 人及以上，且营业收入 5000 万元及以上的为中型企业；从业人员 5 人及以上，且营业</w:t>
            </w:r>
            <w:r>
              <w:rPr>
                <w:color w:val="auto"/>
                <w:spacing w:val="1"/>
                <w:highlight w:val="none"/>
              </w:rPr>
              <w:t xml:space="preserve"> </w:t>
            </w:r>
            <w:r>
              <w:rPr>
                <w:color w:val="auto"/>
                <w:spacing w:val="-6"/>
                <w:highlight w:val="none"/>
              </w:rPr>
              <w:t>收入1000 万元及以上的为小型企业；从业人员 5 人以下或营业收入1000 万元以下的为微型企业。</w:t>
            </w:r>
          </w:p>
          <w:p w14:paraId="2993DE5D">
            <w:pPr>
              <w:pStyle w:val="12"/>
              <w:spacing w:before="283" w:line="279" w:lineRule="auto"/>
              <w:ind w:right="31"/>
              <w:jc w:val="both"/>
              <w:rPr>
                <w:color w:val="auto"/>
                <w:highlight w:val="none"/>
              </w:rPr>
            </w:pPr>
            <w:r>
              <w:rPr>
                <w:color w:val="auto"/>
                <w:spacing w:val="-6"/>
                <w:highlight w:val="none"/>
              </w:rPr>
              <w:t>（五）零售业。从业人员 300 人以下或营业收入 20000 万元以下的为中小微型企</w:t>
            </w:r>
            <w:r>
              <w:rPr>
                <w:color w:val="auto"/>
                <w:spacing w:val="-7"/>
                <w:highlight w:val="none"/>
              </w:rPr>
              <w:t>业。其中，</w:t>
            </w:r>
            <w:r>
              <w:rPr>
                <w:color w:val="auto"/>
                <w:spacing w:val="-4"/>
                <w:highlight w:val="none"/>
              </w:rPr>
              <w:t>从业人员 50 人及以上，且营业收入 500 万元及以上的为中型企业；从业人员 10 人及以上，且营业</w:t>
            </w:r>
            <w:r>
              <w:rPr>
                <w:color w:val="auto"/>
                <w:spacing w:val="1"/>
                <w:highlight w:val="none"/>
              </w:rPr>
              <w:t xml:space="preserve"> </w:t>
            </w:r>
            <w:r>
              <w:rPr>
                <w:color w:val="auto"/>
                <w:spacing w:val="-6"/>
                <w:highlight w:val="none"/>
              </w:rPr>
              <w:t>收入</w:t>
            </w:r>
            <w:r>
              <w:rPr>
                <w:color w:val="auto"/>
                <w:spacing w:val="20"/>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64F8D7AD">
            <w:pPr>
              <w:pStyle w:val="12"/>
              <w:spacing w:before="284" w:line="280" w:lineRule="auto"/>
              <w:ind w:right="31"/>
              <w:jc w:val="both"/>
              <w:rPr>
                <w:color w:val="auto"/>
                <w:highlight w:val="none"/>
              </w:rPr>
            </w:pPr>
            <w:r>
              <w:rPr>
                <w:color w:val="auto"/>
                <w:spacing w:val="-5"/>
                <w:highlight w:val="none"/>
              </w:rPr>
              <w:t>（六）交通运输业。从业人员</w:t>
            </w:r>
            <w:r>
              <w:rPr>
                <w:color w:val="auto"/>
                <w:spacing w:val="47"/>
                <w:w w:val="101"/>
                <w:highlight w:val="none"/>
              </w:rPr>
              <w:t xml:space="preserve"> </w:t>
            </w:r>
            <w:r>
              <w:rPr>
                <w:color w:val="auto"/>
                <w:spacing w:val="-5"/>
                <w:highlight w:val="none"/>
              </w:rPr>
              <w:t xml:space="preserve">1000 人以下或营业收入 </w:t>
            </w:r>
            <w:r>
              <w:rPr>
                <w:color w:val="auto"/>
                <w:spacing w:val="-6"/>
                <w:highlight w:val="none"/>
              </w:rPr>
              <w:t>30000 万元以下的为中小微型企业。</w:t>
            </w:r>
            <w:r>
              <w:rPr>
                <w:color w:val="auto"/>
                <w:highlight w:val="none"/>
              </w:rPr>
              <w:t xml:space="preserve"> </w:t>
            </w:r>
            <w:r>
              <w:rPr>
                <w:color w:val="auto"/>
                <w:spacing w:val="-6"/>
                <w:highlight w:val="none"/>
              </w:rPr>
              <w:t>其中，从业人员 300 人及以上，且营业收入 3000 万元及以上的为中型企业；从业人员 20</w:t>
            </w:r>
            <w:r>
              <w:rPr>
                <w:color w:val="auto"/>
                <w:spacing w:val="-7"/>
                <w:highlight w:val="none"/>
              </w:rPr>
              <w:t xml:space="preserve"> 人及以上，</w:t>
            </w:r>
            <w:r>
              <w:rPr>
                <w:color w:val="auto"/>
                <w:highlight w:val="none"/>
              </w:rPr>
              <w:t xml:space="preserve"> </w:t>
            </w:r>
            <w:r>
              <w:rPr>
                <w:color w:val="auto"/>
                <w:spacing w:val="-5"/>
                <w:highlight w:val="none"/>
              </w:rPr>
              <w:t>且营业收入 200 万元及以上的为小型企业；从业人员 20 人以下或营业收入 200 万元以下的为微</w:t>
            </w:r>
            <w:r>
              <w:rPr>
                <w:color w:val="auto"/>
                <w:spacing w:val="-6"/>
                <w:highlight w:val="none"/>
              </w:rPr>
              <w:t>型企</w:t>
            </w:r>
            <w:r>
              <w:rPr>
                <w:color w:val="auto"/>
                <w:highlight w:val="none"/>
              </w:rPr>
              <w:t xml:space="preserve"> </w:t>
            </w:r>
            <w:r>
              <w:rPr>
                <w:color w:val="auto"/>
                <w:spacing w:val="-11"/>
                <w:highlight w:val="none"/>
              </w:rPr>
              <w:t>业。</w:t>
            </w:r>
          </w:p>
          <w:p w14:paraId="79AEFE52">
            <w:pPr>
              <w:pStyle w:val="12"/>
              <w:spacing w:before="179" w:line="279" w:lineRule="auto"/>
              <w:ind w:right="31"/>
              <w:jc w:val="both"/>
              <w:rPr>
                <w:color w:val="auto"/>
                <w:spacing w:val="-5"/>
                <w:highlight w:val="none"/>
              </w:rPr>
            </w:pPr>
            <w:r>
              <w:rPr>
                <w:color w:val="auto"/>
                <w:spacing w:val="-6"/>
                <w:highlight w:val="none"/>
              </w:rPr>
              <w:t>（七）仓储业。从业人员 200 人以下或营业收入 30000 万元以下的为中小微型企</w:t>
            </w:r>
            <w:r>
              <w:rPr>
                <w:color w:val="auto"/>
                <w:spacing w:val="-7"/>
                <w:highlight w:val="none"/>
              </w:rPr>
              <w:t>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1000 万元及以上的为中型企业；从业人员 20 人及以上，且营</w:t>
            </w:r>
            <w:r>
              <w:rPr>
                <w:color w:val="auto"/>
                <w:highlight w:val="none"/>
              </w:rPr>
              <w:t xml:space="preserve"> </w:t>
            </w:r>
            <w:r>
              <w:rPr>
                <w:color w:val="auto"/>
                <w:spacing w:val="-5"/>
                <w:highlight w:val="none"/>
              </w:rPr>
              <w:t>业收入</w:t>
            </w:r>
            <w:r>
              <w:rPr>
                <w:color w:val="auto"/>
                <w:spacing w:val="13"/>
                <w:highlight w:val="none"/>
              </w:rPr>
              <w:t xml:space="preserve"> </w:t>
            </w:r>
            <w:r>
              <w:rPr>
                <w:color w:val="auto"/>
                <w:spacing w:val="-5"/>
                <w:highlight w:val="none"/>
              </w:rPr>
              <w:t>100 万元及以上的为小型企业；从业人员 20 人以下或营业收入 100 万元以下的为微型企业。</w:t>
            </w:r>
          </w:p>
          <w:p w14:paraId="3C408591">
            <w:pPr>
              <w:pStyle w:val="12"/>
              <w:spacing w:before="179" w:line="279" w:lineRule="auto"/>
              <w:ind w:right="31"/>
              <w:jc w:val="both"/>
              <w:rPr>
                <w:color w:val="auto"/>
                <w:highlight w:val="none"/>
              </w:rPr>
            </w:pPr>
            <w:r>
              <w:rPr>
                <w:color w:val="auto"/>
                <w:spacing w:val="-9"/>
                <w:highlight w:val="none"/>
              </w:rPr>
              <w:t>（八）邮政业。从业人员</w:t>
            </w:r>
            <w:r>
              <w:rPr>
                <w:color w:val="auto"/>
                <w:spacing w:val="13"/>
                <w:highlight w:val="none"/>
              </w:rPr>
              <w:t xml:space="preserve"> </w:t>
            </w:r>
            <w:r>
              <w:rPr>
                <w:color w:val="auto"/>
                <w:spacing w:val="-9"/>
                <w:highlight w:val="none"/>
              </w:rPr>
              <w:t>1000 人以下或营业收入 30000 万元以下的为中小微型企业。其中，</w:t>
            </w:r>
            <w:r>
              <w:rPr>
                <w:color w:val="auto"/>
                <w:highlight w:val="none"/>
              </w:rPr>
              <w:t xml:space="preserve"> </w:t>
            </w:r>
            <w:r>
              <w:rPr>
                <w:color w:val="auto"/>
                <w:spacing w:val="-4"/>
                <w:highlight w:val="none"/>
              </w:rPr>
              <w:t>从业人员 300 人及以上，且营业收入 2000</w:t>
            </w:r>
            <w:r>
              <w:rPr>
                <w:color w:val="auto"/>
                <w:spacing w:val="-5"/>
                <w:highlight w:val="none"/>
              </w:rPr>
              <w:t xml:space="preserve"> 万元及以上的为中型企业；从业人员 20 人及以上，且营</w:t>
            </w:r>
            <w:r>
              <w:rPr>
                <w:color w:val="auto"/>
                <w:highlight w:val="none"/>
              </w:rPr>
              <w:t xml:space="preserve"> </w:t>
            </w:r>
            <w:r>
              <w:rPr>
                <w:color w:val="auto"/>
                <w:spacing w:val="-5"/>
                <w:highlight w:val="none"/>
              </w:rPr>
              <w:t>业收入</w:t>
            </w:r>
            <w:r>
              <w:rPr>
                <w:color w:val="auto"/>
                <w:spacing w:val="13"/>
                <w:highlight w:val="none"/>
              </w:rPr>
              <w:t xml:space="preserve"> </w:t>
            </w:r>
            <w:r>
              <w:rPr>
                <w:color w:val="auto"/>
                <w:spacing w:val="-5"/>
                <w:highlight w:val="none"/>
              </w:rPr>
              <w:t>100 万元及以上的为小型企业；从业人员 20 人以下或营业收入 100 万元以下的为微型企业。</w:t>
            </w:r>
          </w:p>
          <w:p w14:paraId="50297393">
            <w:pPr>
              <w:pStyle w:val="12"/>
              <w:spacing w:before="283" w:line="279" w:lineRule="auto"/>
              <w:ind w:right="31"/>
              <w:jc w:val="both"/>
              <w:rPr>
                <w:color w:val="auto"/>
                <w:highlight w:val="none"/>
              </w:rPr>
            </w:pPr>
            <w:r>
              <w:rPr>
                <w:color w:val="auto"/>
                <w:spacing w:val="-6"/>
                <w:highlight w:val="none"/>
              </w:rPr>
              <w:t>（九）住宿业。从业人员 300 人以下或营业</w:t>
            </w:r>
            <w:r>
              <w:rPr>
                <w:color w:val="auto"/>
                <w:spacing w:val="-7"/>
                <w:highlight w:val="none"/>
              </w:rPr>
              <w:t>收入</w:t>
            </w:r>
            <w:r>
              <w:rPr>
                <w:color w:val="auto"/>
                <w:spacing w:val="13"/>
                <w:highlight w:val="none"/>
              </w:rPr>
              <w:t xml:space="preserve"> </w:t>
            </w:r>
            <w:r>
              <w:rPr>
                <w:color w:val="auto"/>
                <w:spacing w:val="-7"/>
                <w:highlight w:val="none"/>
              </w:rPr>
              <w:t>10000 万元以下的为中小微型企业。其中，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2000 万元及以上的为中型企业；从业人员 10 人及以上，且营</w:t>
            </w:r>
            <w:r>
              <w:rPr>
                <w:color w:val="auto"/>
                <w:highlight w:val="none"/>
              </w:rPr>
              <w:t xml:space="preserve"> </w:t>
            </w:r>
            <w:r>
              <w:rPr>
                <w:color w:val="auto"/>
                <w:spacing w:val="-6"/>
                <w:highlight w:val="none"/>
              </w:rPr>
              <w:t>业收入</w:t>
            </w:r>
            <w:r>
              <w:rPr>
                <w:color w:val="auto"/>
                <w:spacing w:val="26"/>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365AB403">
            <w:pPr>
              <w:pStyle w:val="12"/>
              <w:spacing w:before="283" w:line="279" w:lineRule="auto"/>
              <w:ind w:right="31"/>
              <w:jc w:val="both"/>
              <w:rPr>
                <w:color w:val="auto"/>
                <w:highlight w:val="none"/>
              </w:rPr>
            </w:pPr>
            <w:r>
              <w:rPr>
                <w:color w:val="auto"/>
                <w:spacing w:val="-6"/>
                <w:highlight w:val="none"/>
              </w:rPr>
              <w:t>（十）餐饮业。从业人员 300 人以下或营业</w:t>
            </w:r>
            <w:r>
              <w:rPr>
                <w:color w:val="auto"/>
                <w:spacing w:val="-7"/>
                <w:highlight w:val="none"/>
              </w:rPr>
              <w:t>收入</w:t>
            </w:r>
            <w:r>
              <w:rPr>
                <w:color w:val="auto"/>
                <w:spacing w:val="13"/>
                <w:highlight w:val="none"/>
              </w:rPr>
              <w:t xml:space="preserve"> </w:t>
            </w:r>
            <w:r>
              <w:rPr>
                <w:color w:val="auto"/>
                <w:spacing w:val="-7"/>
                <w:highlight w:val="none"/>
              </w:rPr>
              <w:t>10000 万元以下的为中小微型企业。其中，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2000 万元及以上的为中型企业；从业人员 10 人及以上，且营</w:t>
            </w:r>
            <w:r>
              <w:rPr>
                <w:color w:val="auto"/>
                <w:highlight w:val="none"/>
              </w:rPr>
              <w:t xml:space="preserve"> </w:t>
            </w:r>
            <w:r>
              <w:rPr>
                <w:color w:val="auto"/>
                <w:spacing w:val="-6"/>
                <w:highlight w:val="none"/>
              </w:rPr>
              <w:t>业收入</w:t>
            </w:r>
            <w:r>
              <w:rPr>
                <w:color w:val="auto"/>
                <w:spacing w:val="26"/>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2847E24A">
            <w:pPr>
              <w:pStyle w:val="12"/>
              <w:spacing w:before="285" w:line="279" w:lineRule="auto"/>
              <w:ind w:right="93"/>
              <w:jc w:val="both"/>
              <w:rPr>
                <w:color w:val="auto"/>
                <w:highlight w:val="none"/>
              </w:rPr>
            </w:pPr>
            <w:r>
              <w:rPr>
                <w:color w:val="auto"/>
                <w:spacing w:val="-6"/>
                <w:highlight w:val="none"/>
              </w:rPr>
              <w:t>（十一）信息传输业。从业人员</w:t>
            </w:r>
            <w:r>
              <w:rPr>
                <w:color w:val="auto"/>
                <w:spacing w:val="34"/>
                <w:w w:val="101"/>
                <w:highlight w:val="none"/>
              </w:rPr>
              <w:t xml:space="preserve"> </w:t>
            </w:r>
            <w:r>
              <w:rPr>
                <w:color w:val="auto"/>
                <w:spacing w:val="-6"/>
                <w:highlight w:val="none"/>
              </w:rPr>
              <w:t>2000 人以下或营业收入</w:t>
            </w:r>
            <w:r>
              <w:rPr>
                <w:color w:val="auto"/>
                <w:spacing w:val="13"/>
                <w:highlight w:val="none"/>
              </w:rPr>
              <w:t xml:space="preserve"> </w:t>
            </w:r>
            <w:r>
              <w:rPr>
                <w:color w:val="auto"/>
                <w:spacing w:val="-6"/>
                <w:highlight w:val="none"/>
              </w:rPr>
              <w:t>10000</w:t>
            </w:r>
            <w:r>
              <w:rPr>
                <w:color w:val="auto"/>
                <w:spacing w:val="-7"/>
                <w:highlight w:val="none"/>
              </w:rPr>
              <w:t>0 万元以下的为中小微型企</w:t>
            </w:r>
            <w:r>
              <w:rPr>
                <w:color w:val="auto"/>
                <w:highlight w:val="none"/>
              </w:rPr>
              <w:t xml:space="preserve">  </w:t>
            </w:r>
            <w:r>
              <w:rPr>
                <w:color w:val="auto"/>
                <w:spacing w:val="-6"/>
                <w:highlight w:val="none"/>
              </w:rPr>
              <w:t>业。其中，从业人员</w:t>
            </w:r>
            <w:r>
              <w:rPr>
                <w:color w:val="auto"/>
                <w:spacing w:val="32"/>
                <w:highlight w:val="none"/>
              </w:rPr>
              <w:t xml:space="preserve"> </w:t>
            </w:r>
            <w:r>
              <w:rPr>
                <w:color w:val="auto"/>
                <w:spacing w:val="-6"/>
                <w:highlight w:val="none"/>
              </w:rPr>
              <w:t>100 人及以上，且营业收入</w:t>
            </w:r>
            <w:r>
              <w:rPr>
                <w:color w:val="auto"/>
                <w:spacing w:val="13"/>
                <w:highlight w:val="none"/>
              </w:rPr>
              <w:t xml:space="preserve"> </w:t>
            </w:r>
            <w:r>
              <w:rPr>
                <w:color w:val="auto"/>
                <w:spacing w:val="-6"/>
                <w:highlight w:val="none"/>
              </w:rPr>
              <w:t>1000 万元及以上的为中型企业；从业人员</w:t>
            </w:r>
            <w:r>
              <w:rPr>
                <w:color w:val="auto"/>
                <w:spacing w:val="13"/>
                <w:highlight w:val="none"/>
              </w:rPr>
              <w:t xml:space="preserve"> </w:t>
            </w:r>
            <w:r>
              <w:rPr>
                <w:color w:val="auto"/>
                <w:spacing w:val="-6"/>
                <w:highlight w:val="none"/>
              </w:rPr>
              <w:t>10 人及</w:t>
            </w:r>
            <w:r>
              <w:rPr>
                <w:color w:val="auto"/>
                <w:highlight w:val="none"/>
              </w:rPr>
              <w:t xml:space="preserve">  </w:t>
            </w:r>
            <w:r>
              <w:rPr>
                <w:color w:val="auto"/>
                <w:spacing w:val="-6"/>
                <w:highlight w:val="none"/>
              </w:rPr>
              <w:t>以上，且营业收入</w:t>
            </w:r>
            <w:r>
              <w:rPr>
                <w:color w:val="auto"/>
                <w:spacing w:val="14"/>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w:t>
            </w:r>
            <w:r>
              <w:rPr>
                <w:color w:val="auto"/>
                <w:spacing w:val="-7"/>
                <w:highlight w:val="none"/>
              </w:rPr>
              <w:t>0 万元以下的为</w:t>
            </w:r>
            <w:r>
              <w:rPr>
                <w:color w:val="auto"/>
                <w:highlight w:val="none"/>
              </w:rPr>
              <w:t xml:space="preserve"> </w:t>
            </w:r>
            <w:r>
              <w:rPr>
                <w:color w:val="auto"/>
                <w:spacing w:val="-7"/>
                <w:highlight w:val="none"/>
              </w:rPr>
              <w:t>微型企业。</w:t>
            </w:r>
          </w:p>
          <w:p w14:paraId="3DE352C0">
            <w:pPr>
              <w:pStyle w:val="12"/>
              <w:spacing w:before="283" w:line="279" w:lineRule="auto"/>
              <w:ind w:right="92"/>
              <w:jc w:val="both"/>
              <w:rPr>
                <w:color w:val="auto"/>
                <w:highlight w:val="none"/>
              </w:rPr>
            </w:pPr>
            <w:r>
              <w:rPr>
                <w:color w:val="auto"/>
                <w:spacing w:val="-5"/>
                <w:highlight w:val="none"/>
              </w:rPr>
              <w:t>（十二）软件和信息技术服务业。从业人员</w:t>
            </w:r>
            <w:r>
              <w:rPr>
                <w:color w:val="auto"/>
                <w:spacing w:val="36"/>
                <w:highlight w:val="none"/>
              </w:rPr>
              <w:t xml:space="preserve"> </w:t>
            </w:r>
            <w:r>
              <w:rPr>
                <w:color w:val="auto"/>
                <w:spacing w:val="-5"/>
                <w:highlight w:val="none"/>
              </w:rPr>
              <w:t>300 人以下或营业收入 100</w:t>
            </w:r>
            <w:r>
              <w:rPr>
                <w:color w:val="auto"/>
                <w:spacing w:val="-6"/>
                <w:highlight w:val="none"/>
              </w:rPr>
              <w:t>00 万元以下的为中</w:t>
            </w:r>
            <w:r>
              <w:rPr>
                <w:color w:val="auto"/>
                <w:highlight w:val="none"/>
              </w:rPr>
              <w:t xml:space="preserve">  </w:t>
            </w:r>
            <w:r>
              <w:rPr>
                <w:color w:val="auto"/>
                <w:spacing w:val="-4"/>
                <w:highlight w:val="none"/>
              </w:rPr>
              <w:t>小微型企业。其中，从业人员 100 人及以上，且营</w:t>
            </w:r>
            <w:r>
              <w:rPr>
                <w:color w:val="auto"/>
                <w:spacing w:val="-5"/>
                <w:highlight w:val="none"/>
              </w:rPr>
              <w:t>业收入 1000 万元及以上的为中型企业；从业人员</w:t>
            </w:r>
            <w:r>
              <w:rPr>
                <w:color w:val="auto"/>
                <w:highlight w:val="none"/>
              </w:rPr>
              <w:t xml:space="preserve"> </w:t>
            </w:r>
            <w:r>
              <w:rPr>
                <w:color w:val="auto"/>
                <w:spacing w:val="-6"/>
                <w:highlight w:val="none"/>
              </w:rPr>
              <w:t>10 人及以上，且营业收入 50 万元及以上的为小型</w:t>
            </w:r>
            <w:r>
              <w:rPr>
                <w:color w:val="auto"/>
                <w:spacing w:val="-7"/>
                <w:highlight w:val="none"/>
              </w:rPr>
              <w:t>企业；从业人员</w:t>
            </w:r>
            <w:r>
              <w:rPr>
                <w:color w:val="auto"/>
                <w:spacing w:val="14"/>
                <w:highlight w:val="none"/>
              </w:rPr>
              <w:t xml:space="preserve"> </w:t>
            </w:r>
            <w:r>
              <w:rPr>
                <w:color w:val="auto"/>
                <w:spacing w:val="-7"/>
                <w:highlight w:val="none"/>
              </w:rPr>
              <w:t>10 人以下或营业收入 50 万元以下</w:t>
            </w:r>
            <w:r>
              <w:rPr>
                <w:color w:val="auto"/>
                <w:highlight w:val="none"/>
              </w:rPr>
              <w:t xml:space="preserve"> </w:t>
            </w:r>
            <w:r>
              <w:rPr>
                <w:color w:val="auto"/>
                <w:spacing w:val="-6"/>
                <w:highlight w:val="none"/>
              </w:rPr>
              <w:t>的为微型企业。</w:t>
            </w:r>
          </w:p>
          <w:p w14:paraId="60FD8B4A">
            <w:pPr>
              <w:pStyle w:val="12"/>
              <w:spacing w:before="284" w:line="279" w:lineRule="auto"/>
              <w:ind w:right="93"/>
              <w:jc w:val="both"/>
              <w:rPr>
                <w:color w:val="auto"/>
                <w:highlight w:val="none"/>
              </w:rPr>
            </w:pPr>
            <w:r>
              <w:rPr>
                <w:color w:val="auto"/>
                <w:spacing w:val="-7"/>
                <w:highlight w:val="none"/>
              </w:rPr>
              <w:t>（十三）房地产开发经营。营业收入 200000 万元以下或资产总额</w:t>
            </w:r>
            <w:r>
              <w:rPr>
                <w:color w:val="auto"/>
                <w:spacing w:val="31"/>
                <w:w w:val="101"/>
                <w:highlight w:val="none"/>
              </w:rPr>
              <w:t xml:space="preserve"> </w:t>
            </w:r>
            <w:r>
              <w:rPr>
                <w:color w:val="auto"/>
                <w:spacing w:val="-7"/>
                <w:highlight w:val="none"/>
              </w:rPr>
              <w:t>10000 万元以下的为中小</w:t>
            </w:r>
            <w:r>
              <w:rPr>
                <w:color w:val="auto"/>
                <w:highlight w:val="none"/>
              </w:rPr>
              <w:t xml:space="preserve"> </w:t>
            </w:r>
            <w:r>
              <w:rPr>
                <w:color w:val="auto"/>
                <w:spacing w:val="-4"/>
                <w:highlight w:val="none"/>
              </w:rPr>
              <w:t>微型企业。其中，营业收入 1000 万元及以上，且资产总额 5000 万元及以上的为中型企业；营业收</w:t>
            </w:r>
            <w:r>
              <w:rPr>
                <w:color w:val="auto"/>
                <w:spacing w:val="-6"/>
                <w:highlight w:val="none"/>
              </w:rPr>
              <w:t>入</w:t>
            </w:r>
            <w:r>
              <w:rPr>
                <w:color w:val="auto"/>
                <w:spacing w:val="13"/>
                <w:highlight w:val="none"/>
              </w:rPr>
              <w:t xml:space="preserve"> </w:t>
            </w:r>
            <w:r>
              <w:rPr>
                <w:color w:val="auto"/>
                <w:spacing w:val="-6"/>
                <w:highlight w:val="none"/>
              </w:rPr>
              <w:t>100 万元及以上，且资产总额 2000 万元及以上的为小型企业；营业</w:t>
            </w:r>
            <w:r>
              <w:rPr>
                <w:color w:val="auto"/>
                <w:spacing w:val="-7"/>
                <w:highlight w:val="none"/>
              </w:rPr>
              <w:t>收入</w:t>
            </w:r>
            <w:r>
              <w:rPr>
                <w:color w:val="auto"/>
                <w:spacing w:val="13"/>
                <w:highlight w:val="none"/>
              </w:rPr>
              <w:t xml:space="preserve"> </w:t>
            </w:r>
            <w:r>
              <w:rPr>
                <w:color w:val="auto"/>
                <w:spacing w:val="-7"/>
                <w:highlight w:val="none"/>
              </w:rPr>
              <w:t>100 万元以下或资产总额</w:t>
            </w:r>
            <w:r>
              <w:rPr>
                <w:color w:val="auto"/>
                <w:highlight w:val="none"/>
              </w:rPr>
              <w:t xml:space="preserve"> </w:t>
            </w:r>
            <w:r>
              <w:rPr>
                <w:color w:val="auto"/>
                <w:spacing w:val="-8"/>
                <w:highlight w:val="none"/>
              </w:rPr>
              <w:t>2000 万元以下的为微型企业。</w:t>
            </w:r>
          </w:p>
          <w:p w14:paraId="40587F57">
            <w:pPr>
              <w:pStyle w:val="12"/>
              <w:spacing w:before="284" w:line="280" w:lineRule="auto"/>
              <w:ind w:right="31"/>
              <w:jc w:val="both"/>
              <w:rPr>
                <w:color w:val="auto"/>
                <w:highlight w:val="none"/>
              </w:rPr>
            </w:pPr>
            <w:r>
              <w:rPr>
                <w:color w:val="auto"/>
                <w:spacing w:val="-5"/>
                <w:highlight w:val="none"/>
              </w:rPr>
              <w:t>（十四）物业管理。从业人员</w:t>
            </w:r>
            <w:r>
              <w:rPr>
                <w:color w:val="auto"/>
                <w:spacing w:val="47"/>
                <w:w w:val="101"/>
                <w:highlight w:val="none"/>
              </w:rPr>
              <w:t xml:space="preserve"> </w:t>
            </w:r>
            <w:r>
              <w:rPr>
                <w:color w:val="auto"/>
                <w:spacing w:val="-5"/>
                <w:highlight w:val="none"/>
              </w:rPr>
              <w:t>1000 人以下或营业收入 5000 万元以下的为中</w:t>
            </w:r>
            <w:r>
              <w:rPr>
                <w:color w:val="auto"/>
                <w:spacing w:val="-6"/>
                <w:highlight w:val="none"/>
              </w:rPr>
              <w:t>小微型企业。</w:t>
            </w:r>
            <w:r>
              <w:rPr>
                <w:color w:val="auto"/>
                <w:highlight w:val="none"/>
              </w:rPr>
              <w:t xml:space="preserve"> </w:t>
            </w:r>
            <w:r>
              <w:rPr>
                <w:color w:val="auto"/>
                <w:spacing w:val="-9"/>
                <w:highlight w:val="none"/>
              </w:rPr>
              <w:t>其中，从业人员 300 人及以上，且营业收入</w:t>
            </w:r>
            <w:r>
              <w:rPr>
                <w:color w:val="auto"/>
                <w:spacing w:val="14"/>
                <w:highlight w:val="none"/>
              </w:rPr>
              <w:t xml:space="preserve"> </w:t>
            </w:r>
            <w:r>
              <w:rPr>
                <w:color w:val="auto"/>
                <w:spacing w:val="-9"/>
                <w:highlight w:val="none"/>
              </w:rPr>
              <w:t>1000 万元及以上的为中型企业；从业人员</w:t>
            </w:r>
            <w:r>
              <w:rPr>
                <w:color w:val="auto"/>
                <w:spacing w:val="13"/>
                <w:highlight w:val="none"/>
              </w:rPr>
              <w:t xml:space="preserve"> </w:t>
            </w:r>
            <w:r>
              <w:rPr>
                <w:color w:val="auto"/>
                <w:spacing w:val="-9"/>
                <w:highlight w:val="none"/>
              </w:rPr>
              <w:t>10</w:t>
            </w:r>
            <w:r>
              <w:rPr>
                <w:color w:val="auto"/>
                <w:spacing w:val="-10"/>
                <w:highlight w:val="none"/>
              </w:rPr>
              <w:t>0 人及以上，</w:t>
            </w:r>
            <w:r>
              <w:rPr>
                <w:color w:val="auto"/>
                <w:highlight w:val="none"/>
              </w:rPr>
              <w:t xml:space="preserve"> </w:t>
            </w:r>
            <w:r>
              <w:rPr>
                <w:color w:val="auto"/>
                <w:spacing w:val="-4"/>
                <w:highlight w:val="none"/>
              </w:rPr>
              <w:t>且营业收入 500 万元及以上的为小型企业；从</w:t>
            </w:r>
            <w:r>
              <w:rPr>
                <w:color w:val="auto"/>
                <w:spacing w:val="-5"/>
                <w:highlight w:val="none"/>
              </w:rPr>
              <w:t>业人员 100 人以下或营业收入 500 万元以下的为微型</w:t>
            </w:r>
            <w:r>
              <w:rPr>
                <w:color w:val="auto"/>
                <w:highlight w:val="none"/>
              </w:rPr>
              <w:t xml:space="preserve">   </w:t>
            </w:r>
            <w:r>
              <w:rPr>
                <w:color w:val="auto"/>
                <w:spacing w:val="-10"/>
                <w:highlight w:val="none"/>
              </w:rPr>
              <w:t>企业。</w:t>
            </w:r>
          </w:p>
          <w:p w14:paraId="6504083F">
            <w:pPr>
              <w:pStyle w:val="12"/>
              <w:spacing w:before="181" w:line="278" w:lineRule="auto"/>
              <w:ind w:left="119" w:right="93" w:hanging="9"/>
              <w:rPr>
                <w:color w:val="auto"/>
                <w:highlight w:val="none"/>
              </w:rPr>
            </w:pPr>
            <w:r>
              <w:rPr>
                <w:color w:val="auto"/>
                <w:spacing w:val="-6"/>
                <w:highlight w:val="none"/>
              </w:rPr>
              <w:t>（十五）租赁和商务服务业。从业人员 300 人以下或资产总额</w:t>
            </w:r>
            <w:r>
              <w:rPr>
                <w:color w:val="auto"/>
                <w:spacing w:val="15"/>
                <w:highlight w:val="none"/>
              </w:rPr>
              <w:t xml:space="preserve"> </w:t>
            </w:r>
            <w:r>
              <w:rPr>
                <w:color w:val="auto"/>
                <w:spacing w:val="-6"/>
                <w:highlight w:val="none"/>
              </w:rPr>
              <w:t>120000 万元以下的为中小微</w:t>
            </w:r>
            <w:r>
              <w:rPr>
                <w:color w:val="auto"/>
                <w:highlight w:val="none"/>
              </w:rPr>
              <w:t xml:space="preserve"> </w:t>
            </w:r>
            <w:r>
              <w:rPr>
                <w:color w:val="auto"/>
                <w:spacing w:val="-4"/>
                <w:highlight w:val="none"/>
              </w:rPr>
              <w:t>型企业。其中，从业人员 100 人及以上，且资产总额 8000 万元及以上的为中型企业；从业人员</w:t>
            </w:r>
            <w:r>
              <w:rPr>
                <w:color w:val="auto"/>
                <w:spacing w:val="-5"/>
                <w:highlight w:val="none"/>
              </w:rPr>
              <w:t xml:space="preserve"> 10</w:t>
            </w:r>
            <w:r>
              <w:rPr>
                <w:color w:val="auto"/>
                <w:spacing w:val="-6"/>
                <w:highlight w:val="none"/>
              </w:rPr>
              <w:t>人及以上，且资产总额</w:t>
            </w:r>
            <w:r>
              <w:rPr>
                <w:color w:val="auto"/>
                <w:spacing w:val="14"/>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w:t>
            </w:r>
            <w:r>
              <w:rPr>
                <w:color w:val="auto"/>
                <w:spacing w:val="-7"/>
                <w:highlight w:val="none"/>
              </w:rPr>
              <w:t>资产总额</w:t>
            </w:r>
            <w:r>
              <w:rPr>
                <w:color w:val="auto"/>
                <w:spacing w:val="13"/>
                <w:highlight w:val="none"/>
              </w:rPr>
              <w:t xml:space="preserve"> </w:t>
            </w:r>
            <w:r>
              <w:rPr>
                <w:color w:val="auto"/>
                <w:spacing w:val="-7"/>
                <w:highlight w:val="none"/>
              </w:rPr>
              <w:t>100 万元以下</w:t>
            </w:r>
            <w:r>
              <w:rPr>
                <w:color w:val="auto"/>
                <w:highlight w:val="none"/>
              </w:rPr>
              <w:t xml:space="preserve"> </w:t>
            </w:r>
            <w:r>
              <w:rPr>
                <w:color w:val="auto"/>
                <w:spacing w:val="-7"/>
                <w:highlight w:val="none"/>
              </w:rPr>
              <w:t>的为微型企业。</w:t>
            </w:r>
          </w:p>
          <w:p w14:paraId="4E12337F">
            <w:pPr>
              <w:pStyle w:val="12"/>
              <w:spacing w:before="285" w:line="278" w:lineRule="auto"/>
              <w:ind w:right="181"/>
              <w:rPr>
                <w:color w:val="auto"/>
                <w:highlight w:val="none"/>
              </w:rPr>
            </w:pPr>
            <w:r>
              <w:rPr>
                <w:color w:val="auto"/>
                <w:spacing w:val="-4"/>
                <w:highlight w:val="none"/>
              </w:rPr>
              <w:t>（十六）其他未列明行业。从业人员</w:t>
            </w:r>
            <w:r>
              <w:rPr>
                <w:color w:val="auto"/>
                <w:spacing w:val="37"/>
                <w:highlight w:val="none"/>
              </w:rPr>
              <w:t xml:space="preserve"> </w:t>
            </w:r>
            <w:r>
              <w:rPr>
                <w:color w:val="auto"/>
                <w:spacing w:val="-4"/>
                <w:highlight w:val="none"/>
              </w:rPr>
              <w:t>300 人以下的为</w:t>
            </w:r>
            <w:r>
              <w:rPr>
                <w:color w:val="auto"/>
                <w:spacing w:val="-5"/>
                <w:highlight w:val="none"/>
              </w:rPr>
              <w:t>中小微型企业。其中，从业人员 100</w:t>
            </w:r>
            <w:r>
              <w:rPr>
                <w:color w:val="auto"/>
                <w:highlight w:val="none"/>
              </w:rPr>
              <w:t xml:space="preserve"> </w:t>
            </w:r>
            <w:r>
              <w:rPr>
                <w:color w:val="auto"/>
                <w:spacing w:val="-3"/>
                <w:highlight w:val="none"/>
              </w:rPr>
              <w:t>人及以上的为中型企业；从业人员 10 人及以上的为小型企业；从业人员</w:t>
            </w:r>
            <w:r>
              <w:rPr>
                <w:color w:val="auto"/>
                <w:spacing w:val="-4"/>
                <w:highlight w:val="none"/>
              </w:rPr>
              <w:t xml:space="preserve"> 10 人以下的为微型企业。</w:t>
            </w:r>
          </w:p>
          <w:p w14:paraId="48594F08">
            <w:pPr>
              <w:pStyle w:val="12"/>
              <w:spacing w:before="285" w:line="187" w:lineRule="auto"/>
              <w:ind w:firstLine="412" w:firstLineChars="200"/>
              <w:rPr>
                <w:color w:val="auto"/>
                <w:highlight w:val="none"/>
              </w:rPr>
            </w:pPr>
            <w:r>
              <w:rPr>
                <w:color w:val="auto"/>
                <w:spacing w:val="-2"/>
                <w:highlight w:val="none"/>
              </w:rPr>
              <w:t>五、企业类型的划分以统计部门的统计数据为依据。</w:t>
            </w:r>
          </w:p>
          <w:p w14:paraId="0F5FC0C4">
            <w:pPr>
              <w:spacing w:line="326" w:lineRule="auto"/>
              <w:rPr>
                <w:rFonts w:ascii="Arial"/>
                <w:color w:val="auto"/>
                <w:sz w:val="21"/>
                <w:highlight w:val="none"/>
              </w:rPr>
            </w:pPr>
          </w:p>
          <w:p w14:paraId="6ECABEE7">
            <w:pPr>
              <w:pStyle w:val="12"/>
              <w:spacing w:before="90" w:line="234" w:lineRule="auto"/>
              <w:ind w:right="181" w:firstLine="416" w:firstLineChars="200"/>
              <w:rPr>
                <w:color w:val="auto"/>
                <w:highlight w:val="none"/>
              </w:rPr>
            </w:pPr>
            <w:r>
              <w:rPr>
                <w:color w:val="auto"/>
                <w:spacing w:val="-1"/>
                <w:highlight w:val="none"/>
              </w:rPr>
              <w:t>六、本规定适用于在中华人民共和国境内依法设立的各类所有制和各种组织</w:t>
            </w:r>
            <w:r>
              <w:rPr>
                <w:color w:val="auto"/>
                <w:spacing w:val="-2"/>
                <w:highlight w:val="none"/>
              </w:rPr>
              <w:t>形式的企业。</w:t>
            </w:r>
            <w:r>
              <w:rPr>
                <w:color w:val="auto"/>
                <w:highlight w:val="none"/>
              </w:rPr>
              <w:t xml:space="preserve"> </w:t>
            </w:r>
            <w:r>
              <w:rPr>
                <w:color w:val="auto"/>
                <w:spacing w:val="-2"/>
                <w:highlight w:val="none"/>
              </w:rPr>
              <w:t>个体工商户和本规定以外的行业，参照本规定进行划型。</w:t>
            </w:r>
          </w:p>
          <w:p w14:paraId="4C99A221">
            <w:pPr>
              <w:spacing w:line="327" w:lineRule="auto"/>
              <w:rPr>
                <w:rFonts w:ascii="Arial"/>
                <w:color w:val="auto"/>
                <w:sz w:val="21"/>
                <w:highlight w:val="none"/>
              </w:rPr>
            </w:pPr>
          </w:p>
          <w:p w14:paraId="18038854">
            <w:pPr>
              <w:pStyle w:val="12"/>
              <w:spacing w:before="90" w:line="233" w:lineRule="auto"/>
              <w:ind w:right="154" w:firstLine="420" w:firstLineChars="200"/>
              <w:rPr>
                <w:color w:val="auto"/>
                <w:highlight w:val="none"/>
              </w:rPr>
            </w:pPr>
            <w:r>
              <w:rPr>
                <w:color w:val="auto"/>
                <w:highlight w:val="none"/>
              </w:rPr>
              <w:t>七、本规定的中型企业标准上限即为大型企</w:t>
            </w:r>
            <w:r>
              <w:rPr>
                <w:color w:val="auto"/>
                <w:spacing w:val="-1"/>
                <w:highlight w:val="none"/>
              </w:rPr>
              <w:t>业标准的下限，国家统计部门据此制定大中小</w:t>
            </w:r>
            <w:r>
              <w:rPr>
                <w:color w:val="auto"/>
                <w:highlight w:val="none"/>
              </w:rPr>
              <w:t xml:space="preserve"> 微型企业的统计分类。国务院有关部门据此进行相关数据分析，</w:t>
            </w:r>
            <w:r>
              <w:rPr>
                <w:color w:val="auto"/>
                <w:spacing w:val="-1"/>
                <w:highlight w:val="none"/>
              </w:rPr>
              <w:t>不得制定与本规定不一致的企业划</w:t>
            </w:r>
          </w:p>
          <w:p w14:paraId="261D173E">
            <w:pPr>
              <w:pStyle w:val="12"/>
              <w:spacing w:before="139" w:line="189" w:lineRule="auto"/>
              <w:ind w:left="116"/>
              <w:rPr>
                <w:color w:val="auto"/>
                <w:highlight w:val="none"/>
              </w:rPr>
            </w:pPr>
            <w:r>
              <w:rPr>
                <w:color w:val="auto"/>
                <w:spacing w:val="-10"/>
                <w:highlight w:val="none"/>
              </w:rPr>
              <w:t>型标准。</w:t>
            </w:r>
          </w:p>
          <w:p w14:paraId="007956C3">
            <w:pPr>
              <w:spacing w:line="323" w:lineRule="auto"/>
              <w:rPr>
                <w:rFonts w:ascii="Arial"/>
                <w:color w:val="auto"/>
                <w:sz w:val="21"/>
                <w:highlight w:val="none"/>
              </w:rPr>
            </w:pPr>
          </w:p>
          <w:p w14:paraId="789FB521">
            <w:pPr>
              <w:pStyle w:val="12"/>
              <w:spacing w:before="90" w:line="234" w:lineRule="auto"/>
              <w:ind w:right="154" w:firstLine="420" w:firstLineChars="200"/>
              <w:rPr>
                <w:color w:val="auto"/>
                <w:highlight w:val="none"/>
              </w:rPr>
            </w:pPr>
            <w:r>
              <w:rPr>
                <w:color w:val="auto"/>
                <w:highlight w:val="none"/>
              </w:rPr>
              <w:t>八、本规定由工业和信息化部、国家统计局会同有关部</w:t>
            </w:r>
            <w:r>
              <w:rPr>
                <w:color w:val="auto"/>
                <w:spacing w:val="-1"/>
                <w:highlight w:val="none"/>
              </w:rPr>
              <w:t>门根据《国民经济行业分类》修订</w:t>
            </w:r>
            <w:r>
              <w:rPr>
                <w:color w:val="auto"/>
                <w:highlight w:val="none"/>
              </w:rPr>
              <w:t xml:space="preserve"> </w:t>
            </w:r>
            <w:r>
              <w:rPr>
                <w:color w:val="auto"/>
                <w:spacing w:val="-3"/>
                <w:highlight w:val="none"/>
              </w:rPr>
              <w:t>情况和企业发展变化情况适时修订。</w:t>
            </w:r>
          </w:p>
          <w:p w14:paraId="2922724B">
            <w:pPr>
              <w:spacing w:line="325" w:lineRule="auto"/>
              <w:rPr>
                <w:rFonts w:ascii="Arial"/>
                <w:color w:val="auto"/>
                <w:sz w:val="21"/>
                <w:highlight w:val="none"/>
              </w:rPr>
            </w:pPr>
          </w:p>
          <w:p w14:paraId="2ABB1D0A">
            <w:pPr>
              <w:pStyle w:val="12"/>
              <w:spacing w:before="90" w:line="188" w:lineRule="auto"/>
              <w:ind w:firstLine="412" w:firstLineChars="200"/>
              <w:rPr>
                <w:color w:val="auto"/>
                <w:highlight w:val="none"/>
              </w:rPr>
            </w:pPr>
            <w:r>
              <w:rPr>
                <w:color w:val="auto"/>
                <w:spacing w:val="-2"/>
                <w:highlight w:val="none"/>
              </w:rPr>
              <w:t>九、本规定由工业和信息化部、国家统计局会同有关部门负责解释。</w:t>
            </w:r>
          </w:p>
          <w:p w14:paraId="102F509A">
            <w:pPr>
              <w:spacing w:line="327" w:lineRule="auto"/>
              <w:rPr>
                <w:rFonts w:ascii="Arial"/>
                <w:color w:val="auto"/>
                <w:sz w:val="21"/>
                <w:highlight w:val="none"/>
              </w:rPr>
            </w:pPr>
          </w:p>
          <w:p w14:paraId="2372D52D">
            <w:pPr>
              <w:pStyle w:val="12"/>
              <w:spacing w:before="61" w:line="169" w:lineRule="auto"/>
              <w:ind w:right="91" w:rightChars="0" w:firstLine="392" w:firstLineChars="200"/>
              <w:rPr>
                <w:b/>
                <w:bCs/>
                <w:color w:val="auto"/>
                <w:spacing w:val="-1"/>
                <w:highlight w:val="none"/>
              </w:rPr>
            </w:pPr>
            <w:r>
              <w:rPr>
                <w:color w:val="auto"/>
                <w:spacing w:val="-7"/>
                <w:highlight w:val="none"/>
              </w:rPr>
              <w:t>十、本规定自发布之日起执行，</w:t>
            </w:r>
            <w:r>
              <w:rPr>
                <w:color w:val="auto"/>
                <w:spacing w:val="16"/>
                <w:highlight w:val="none"/>
              </w:rPr>
              <w:t xml:space="preserve">  </w:t>
            </w:r>
            <w:r>
              <w:rPr>
                <w:color w:val="auto"/>
                <w:spacing w:val="-7"/>
                <w:highlight w:val="none"/>
              </w:rPr>
              <w:t>原国家经贸委、原国家计委、财政部和</w:t>
            </w:r>
            <w:r>
              <w:rPr>
                <w:color w:val="auto"/>
                <w:spacing w:val="-8"/>
                <w:highlight w:val="none"/>
              </w:rPr>
              <w:t>国家统计局 2003 年</w:t>
            </w:r>
            <w:r>
              <w:rPr>
                <w:color w:val="auto"/>
                <w:highlight w:val="none"/>
              </w:rPr>
              <w:t xml:space="preserve"> </w:t>
            </w:r>
            <w:r>
              <w:rPr>
                <w:color w:val="auto"/>
                <w:spacing w:val="-3"/>
                <w:highlight w:val="none"/>
              </w:rPr>
              <w:t>颁布的《中小企业标准暂行规定》同时废止。</w:t>
            </w:r>
          </w:p>
        </w:tc>
      </w:tr>
    </w:tbl>
    <w:p w14:paraId="6BF9AECF">
      <w:pPr>
        <w:pStyle w:val="6"/>
        <w:rPr>
          <w:color w:val="auto"/>
          <w:highlight w:val="none"/>
        </w:rPr>
      </w:pPr>
    </w:p>
    <w:p w14:paraId="14174AE8">
      <w:pPr>
        <w:pStyle w:val="6"/>
        <w:spacing w:line="300" w:lineRule="auto"/>
        <w:rPr>
          <w:color w:val="auto"/>
          <w:highlight w:val="none"/>
        </w:rPr>
      </w:pPr>
    </w:p>
    <w:p w14:paraId="023F28B0">
      <w:pPr>
        <w:pStyle w:val="6"/>
        <w:spacing w:line="300" w:lineRule="auto"/>
        <w:rPr>
          <w:color w:val="auto"/>
          <w:highlight w:val="none"/>
        </w:rPr>
      </w:pPr>
    </w:p>
    <w:p w14:paraId="3E26A39D">
      <w:pPr>
        <w:pStyle w:val="6"/>
        <w:spacing w:line="300" w:lineRule="auto"/>
        <w:rPr>
          <w:color w:val="auto"/>
          <w:highlight w:val="none"/>
        </w:rPr>
      </w:pPr>
    </w:p>
    <w:p w14:paraId="4CB75F65">
      <w:pPr>
        <w:pStyle w:val="6"/>
        <w:spacing w:line="300" w:lineRule="auto"/>
        <w:rPr>
          <w:color w:val="auto"/>
          <w:highlight w:val="none"/>
        </w:rPr>
      </w:pPr>
    </w:p>
    <w:p w14:paraId="2CAF1037">
      <w:pPr>
        <w:pStyle w:val="6"/>
        <w:spacing w:line="300" w:lineRule="auto"/>
        <w:rPr>
          <w:color w:val="auto"/>
          <w:highlight w:val="none"/>
        </w:rPr>
      </w:pPr>
    </w:p>
    <w:p w14:paraId="5F330124">
      <w:pPr>
        <w:pStyle w:val="6"/>
        <w:spacing w:line="300" w:lineRule="auto"/>
        <w:rPr>
          <w:color w:val="auto"/>
          <w:highlight w:val="none"/>
        </w:rPr>
      </w:pPr>
    </w:p>
    <w:p w14:paraId="3BA00AF9">
      <w:pPr>
        <w:pStyle w:val="6"/>
        <w:spacing w:line="300" w:lineRule="auto"/>
        <w:rPr>
          <w:color w:val="auto"/>
          <w:highlight w:val="none"/>
        </w:rPr>
      </w:pPr>
    </w:p>
    <w:p w14:paraId="653DE6B4">
      <w:pPr>
        <w:pStyle w:val="6"/>
        <w:spacing w:line="300" w:lineRule="auto"/>
        <w:rPr>
          <w:color w:val="auto"/>
          <w:highlight w:val="none"/>
        </w:rPr>
      </w:pPr>
    </w:p>
    <w:p w14:paraId="19561DB8">
      <w:pPr>
        <w:pStyle w:val="6"/>
        <w:spacing w:line="300" w:lineRule="auto"/>
        <w:rPr>
          <w:color w:val="auto"/>
          <w:highlight w:val="none"/>
        </w:rPr>
      </w:pPr>
    </w:p>
    <w:p w14:paraId="6560BA65">
      <w:pPr>
        <w:pStyle w:val="6"/>
        <w:spacing w:line="300" w:lineRule="auto"/>
        <w:rPr>
          <w:color w:val="auto"/>
          <w:highlight w:val="none"/>
        </w:rPr>
      </w:pPr>
    </w:p>
    <w:p w14:paraId="339A05DA">
      <w:pPr>
        <w:pStyle w:val="6"/>
        <w:spacing w:line="300" w:lineRule="auto"/>
        <w:rPr>
          <w:color w:val="auto"/>
          <w:highlight w:val="none"/>
        </w:rPr>
      </w:pPr>
    </w:p>
    <w:p w14:paraId="2D703410">
      <w:pPr>
        <w:pStyle w:val="6"/>
        <w:spacing w:line="300" w:lineRule="auto"/>
        <w:rPr>
          <w:color w:val="auto"/>
          <w:highlight w:val="none"/>
        </w:rPr>
      </w:pPr>
    </w:p>
    <w:p w14:paraId="48A591AB">
      <w:pPr>
        <w:pStyle w:val="6"/>
        <w:spacing w:line="300" w:lineRule="auto"/>
        <w:rPr>
          <w:color w:val="auto"/>
          <w:highlight w:val="none"/>
        </w:rPr>
      </w:pPr>
    </w:p>
    <w:p w14:paraId="48516CFE">
      <w:pPr>
        <w:pStyle w:val="6"/>
        <w:spacing w:line="300" w:lineRule="auto"/>
        <w:rPr>
          <w:color w:val="auto"/>
          <w:highlight w:val="none"/>
        </w:rPr>
      </w:pPr>
    </w:p>
    <w:p w14:paraId="6448E342">
      <w:pPr>
        <w:pStyle w:val="6"/>
        <w:spacing w:line="300" w:lineRule="auto"/>
        <w:rPr>
          <w:color w:val="auto"/>
          <w:highlight w:val="none"/>
        </w:rPr>
      </w:pPr>
    </w:p>
    <w:p w14:paraId="4F3414AE">
      <w:pPr>
        <w:pStyle w:val="6"/>
        <w:spacing w:line="300" w:lineRule="auto"/>
        <w:rPr>
          <w:color w:val="auto"/>
          <w:highlight w:val="none"/>
        </w:rPr>
      </w:pPr>
    </w:p>
    <w:p w14:paraId="6305FFBD">
      <w:pPr>
        <w:pStyle w:val="6"/>
        <w:spacing w:line="300" w:lineRule="auto"/>
        <w:rPr>
          <w:color w:val="auto"/>
          <w:highlight w:val="none"/>
        </w:rPr>
      </w:pPr>
    </w:p>
    <w:p w14:paraId="41769094">
      <w:pPr>
        <w:pStyle w:val="6"/>
        <w:spacing w:line="300" w:lineRule="auto"/>
        <w:rPr>
          <w:color w:val="auto"/>
          <w:highlight w:val="none"/>
        </w:rPr>
      </w:pPr>
    </w:p>
    <w:p w14:paraId="7671639B">
      <w:pPr>
        <w:pStyle w:val="6"/>
        <w:spacing w:line="300" w:lineRule="auto"/>
        <w:rPr>
          <w:color w:val="auto"/>
          <w:highlight w:val="none"/>
        </w:rPr>
      </w:pPr>
    </w:p>
    <w:p w14:paraId="0F886551">
      <w:pPr>
        <w:pStyle w:val="6"/>
        <w:spacing w:line="300" w:lineRule="auto"/>
        <w:rPr>
          <w:color w:val="auto"/>
          <w:highlight w:val="none"/>
        </w:rPr>
      </w:pPr>
    </w:p>
    <w:p w14:paraId="07A17FC6">
      <w:pPr>
        <w:pStyle w:val="6"/>
        <w:spacing w:line="300" w:lineRule="auto"/>
        <w:rPr>
          <w:color w:val="auto"/>
          <w:highlight w:val="none"/>
        </w:rPr>
      </w:pPr>
    </w:p>
    <w:p w14:paraId="78CEA809">
      <w:pPr>
        <w:pStyle w:val="6"/>
        <w:spacing w:line="300" w:lineRule="auto"/>
        <w:rPr>
          <w:color w:val="auto"/>
          <w:highlight w:val="none"/>
        </w:rPr>
      </w:pPr>
    </w:p>
    <w:p w14:paraId="7B77817D">
      <w:pPr>
        <w:pStyle w:val="6"/>
        <w:spacing w:line="300" w:lineRule="auto"/>
        <w:rPr>
          <w:color w:val="auto"/>
          <w:highlight w:val="none"/>
        </w:rPr>
      </w:pPr>
    </w:p>
    <w:p w14:paraId="475E8E27">
      <w:pPr>
        <w:pStyle w:val="6"/>
        <w:spacing w:line="300" w:lineRule="auto"/>
        <w:rPr>
          <w:color w:val="auto"/>
          <w:highlight w:val="none"/>
        </w:rPr>
      </w:pPr>
    </w:p>
    <w:p w14:paraId="22360ED7">
      <w:pPr>
        <w:pStyle w:val="6"/>
        <w:spacing w:line="300" w:lineRule="auto"/>
        <w:rPr>
          <w:color w:val="auto"/>
          <w:highlight w:val="none"/>
        </w:rPr>
      </w:pPr>
    </w:p>
    <w:p w14:paraId="5457BD01">
      <w:pPr>
        <w:pStyle w:val="6"/>
        <w:spacing w:line="300" w:lineRule="auto"/>
        <w:rPr>
          <w:color w:val="auto"/>
          <w:highlight w:val="none"/>
        </w:rPr>
      </w:pPr>
    </w:p>
    <w:p w14:paraId="111C5DDE">
      <w:pPr>
        <w:pStyle w:val="6"/>
        <w:spacing w:line="300" w:lineRule="auto"/>
        <w:rPr>
          <w:color w:val="auto"/>
          <w:highlight w:val="none"/>
        </w:rPr>
      </w:pPr>
    </w:p>
    <w:p w14:paraId="39E8C7AC">
      <w:pPr>
        <w:pStyle w:val="6"/>
        <w:spacing w:line="300" w:lineRule="auto"/>
        <w:rPr>
          <w:color w:val="auto"/>
          <w:highlight w:val="none"/>
        </w:rPr>
      </w:pPr>
    </w:p>
    <w:p w14:paraId="6EF8DBE2">
      <w:pPr>
        <w:pStyle w:val="6"/>
        <w:spacing w:line="300" w:lineRule="auto"/>
        <w:rPr>
          <w:color w:val="auto"/>
          <w:highlight w:val="none"/>
        </w:rPr>
      </w:pPr>
    </w:p>
    <w:p w14:paraId="2EB99D7F">
      <w:pPr>
        <w:spacing w:before="120" w:line="188" w:lineRule="auto"/>
        <w:ind w:left="3949"/>
        <w:outlineLvl w:val="1"/>
        <w:rPr>
          <w:rFonts w:ascii="微软雅黑" w:hAnsi="微软雅黑" w:eastAsia="微软雅黑" w:cs="微软雅黑"/>
          <w:color w:val="auto"/>
          <w:sz w:val="28"/>
          <w:szCs w:val="28"/>
          <w:highlight w:val="none"/>
        </w:rPr>
      </w:pPr>
      <w:bookmarkStart w:id="91" w:name="bookmark24"/>
      <w:bookmarkEnd w:id="91"/>
      <w:bookmarkStart w:id="92" w:name="bookmark23"/>
      <w:bookmarkEnd w:id="92"/>
      <w:r>
        <w:rPr>
          <w:rFonts w:ascii="微软雅黑" w:hAnsi="微软雅黑" w:eastAsia="微软雅黑" w:cs="微软雅黑"/>
          <w:b/>
          <w:bCs/>
          <w:color w:val="auto"/>
          <w:spacing w:val="-4"/>
          <w:sz w:val="28"/>
          <w:szCs w:val="28"/>
          <w:highlight w:val="none"/>
        </w:rPr>
        <w:t>二、投标人须知</w:t>
      </w:r>
    </w:p>
    <w:p w14:paraId="2DBF99AD">
      <w:pPr>
        <w:pStyle w:val="6"/>
        <w:spacing w:line="254" w:lineRule="auto"/>
        <w:rPr>
          <w:color w:val="auto"/>
          <w:highlight w:val="none"/>
        </w:rPr>
      </w:pPr>
    </w:p>
    <w:p w14:paraId="3770D612">
      <w:pPr>
        <w:spacing w:before="120" w:line="184" w:lineRule="auto"/>
        <w:ind w:left="408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11"/>
          <w:sz w:val="28"/>
          <w:szCs w:val="28"/>
          <w:highlight w:val="none"/>
        </w:rPr>
        <w:t>（一）总</w:t>
      </w:r>
      <w:r>
        <w:rPr>
          <w:rFonts w:ascii="微软雅黑" w:hAnsi="微软雅黑" w:eastAsia="微软雅黑" w:cs="微软雅黑"/>
          <w:b/>
          <w:bCs/>
          <w:color w:val="auto"/>
          <w:spacing w:val="1"/>
          <w:sz w:val="28"/>
          <w:szCs w:val="28"/>
          <w:highlight w:val="none"/>
        </w:rPr>
        <w:t xml:space="preserve">    </w:t>
      </w:r>
      <w:r>
        <w:rPr>
          <w:rFonts w:ascii="微软雅黑" w:hAnsi="微软雅黑" w:eastAsia="微软雅黑" w:cs="微软雅黑"/>
          <w:b/>
          <w:bCs/>
          <w:color w:val="auto"/>
          <w:spacing w:val="-11"/>
          <w:sz w:val="28"/>
          <w:szCs w:val="28"/>
          <w:highlight w:val="none"/>
        </w:rPr>
        <w:t>则</w:t>
      </w:r>
    </w:p>
    <w:p w14:paraId="2FEE2A6F">
      <w:pPr>
        <w:spacing w:before="132"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1.项目概况</w:t>
      </w:r>
    </w:p>
    <w:p w14:paraId="7926416C">
      <w:pPr>
        <w:spacing w:before="158" w:line="291" w:lineRule="auto"/>
        <w:ind w:left="471" w:right="4605"/>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1.1 本次招标采购项目名称：见投标人须知前附表。</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3"/>
          <w:sz w:val="21"/>
          <w:szCs w:val="21"/>
          <w:highlight w:val="none"/>
        </w:rPr>
        <w:t>项目编号：见投标人须知前附表。</w:t>
      </w:r>
    </w:p>
    <w:p w14:paraId="410CF572">
      <w:pPr>
        <w:spacing w:before="5" w:line="188" w:lineRule="auto"/>
        <w:ind w:left="2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招标人：见投标人须知前附表。</w:t>
      </w:r>
    </w:p>
    <w:p w14:paraId="5459C43E">
      <w:pPr>
        <w:spacing w:before="157" w:line="292" w:lineRule="auto"/>
        <w:ind w:left="887" w:right="4657"/>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交货期（服务周期）：见投标人须知前附表。  </w:t>
      </w:r>
      <w:r>
        <w:rPr>
          <w:rFonts w:ascii="微软雅黑" w:hAnsi="微软雅黑" w:eastAsia="微软雅黑" w:cs="微软雅黑"/>
          <w:color w:val="auto"/>
          <w:spacing w:val="-3"/>
          <w:sz w:val="21"/>
          <w:szCs w:val="21"/>
          <w:highlight w:val="none"/>
        </w:rPr>
        <w:t>交货地点：见投标人须知前附表。</w:t>
      </w:r>
    </w:p>
    <w:p w14:paraId="3646CFC6">
      <w:pPr>
        <w:spacing w:before="5"/>
        <w:ind w:left="676" w:right="5182" w:hanging="20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 招标人及联系人:</w:t>
      </w:r>
      <w:r>
        <w:rPr>
          <w:rFonts w:ascii="微软雅黑" w:hAnsi="微软雅黑" w:eastAsia="微软雅黑" w:cs="微软雅黑"/>
          <w:color w:val="auto"/>
          <w:spacing w:val="75"/>
          <w:sz w:val="21"/>
          <w:szCs w:val="21"/>
          <w:highlight w:val="none"/>
        </w:rPr>
        <w:t xml:space="preserve"> </w:t>
      </w:r>
      <w:r>
        <w:rPr>
          <w:rFonts w:ascii="微软雅黑" w:hAnsi="微软雅黑" w:eastAsia="微软雅黑" w:cs="微软雅黑"/>
          <w:color w:val="auto"/>
          <w:spacing w:val="1"/>
          <w:sz w:val="21"/>
          <w:szCs w:val="21"/>
          <w:highlight w:val="none"/>
        </w:rPr>
        <w:t>见投标人须知前附表。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代理机构及联系人:</w:t>
      </w:r>
      <w:r>
        <w:rPr>
          <w:rFonts w:ascii="微软雅黑" w:hAnsi="微软雅黑" w:eastAsia="微软雅黑" w:cs="微软雅黑"/>
          <w:color w:val="auto"/>
          <w:spacing w:val="69"/>
          <w:sz w:val="21"/>
          <w:szCs w:val="21"/>
          <w:highlight w:val="none"/>
        </w:rPr>
        <w:t xml:space="preserve"> </w:t>
      </w:r>
      <w:r>
        <w:rPr>
          <w:rFonts w:ascii="微软雅黑" w:hAnsi="微软雅黑" w:eastAsia="微软雅黑" w:cs="微软雅黑"/>
          <w:color w:val="auto"/>
          <w:spacing w:val="-1"/>
          <w:sz w:val="21"/>
          <w:szCs w:val="21"/>
          <w:highlight w:val="none"/>
        </w:rPr>
        <w:t>见投标人须知前附表。</w:t>
      </w:r>
    </w:p>
    <w:p w14:paraId="713DD329">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3"/>
          <w:sz w:val="21"/>
          <w:szCs w:val="21"/>
          <w:highlight w:val="none"/>
        </w:rPr>
        <w:t>资金来源：见投标人须知前附表。</w:t>
      </w:r>
    </w:p>
    <w:p w14:paraId="017B8804">
      <w:pPr>
        <w:spacing w:before="159"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1.4 本项目预算：见投标人须知前附表。</w:t>
      </w:r>
    </w:p>
    <w:p w14:paraId="2A124A5C">
      <w:pPr>
        <w:spacing w:before="159"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1.5 本项目控制价：见投标人须知前附表。</w:t>
      </w:r>
    </w:p>
    <w:p w14:paraId="79C6C902">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2.招标范围：</w:t>
      </w:r>
    </w:p>
    <w:p w14:paraId="1185F337">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2.1</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2"/>
          <w:sz w:val="21"/>
          <w:szCs w:val="21"/>
          <w:highlight w:val="none"/>
        </w:rPr>
        <w:t>采购内容：见投标人须知前附表。</w:t>
      </w:r>
    </w:p>
    <w:p w14:paraId="59415FE0">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2.2</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技术要求：详见采购文件第四章采购内</w:t>
      </w:r>
      <w:r>
        <w:rPr>
          <w:rFonts w:ascii="微软雅黑" w:hAnsi="微软雅黑" w:eastAsia="微软雅黑" w:cs="微软雅黑"/>
          <w:color w:val="auto"/>
          <w:spacing w:val="-2"/>
          <w:sz w:val="21"/>
          <w:szCs w:val="21"/>
          <w:highlight w:val="none"/>
        </w:rPr>
        <w:t>容及技术要求。</w:t>
      </w:r>
    </w:p>
    <w:p w14:paraId="0D1998D6">
      <w:pPr>
        <w:spacing w:before="158" w:line="188"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3.标包划分：</w:t>
      </w:r>
    </w:p>
    <w:p w14:paraId="0C8F5FE1">
      <w:pPr>
        <w:spacing w:before="158"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3.1 本项目划分：</w:t>
      </w:r>
      <w:r>
        <w:rPr>
          <w:rFonts w:ascii="微软雅黑" w:hAnsi="微软雅黑" w:eastAsia="微软雅黑" w:cs="微软雅黑"/>
          <w:color w:val="auto"/>
          <w:spacing w:val="-5"/>
          <w:sz w:val="21"/>
          <w:szCs w:val="21"/>
          <w:highlight w:val="none"/>
          <w:u w:val="single" w:color="auto"/>
        </w:rPr>
        <w:t xml:space="preserve">  1</w:t>
      </w:r>
      <w:r>
        <w:rPr>
          <w:rFonts w:ascii="微软雅黑" w:hAnsi="微软雅黑" w:eastAsia="微软雅黑" w:cs="微软雅黑"/>
          <w:color w:val="auto"/>
          <w:spacing w:val="59"/>
          <w:w w:val="101"/>
          <w:sz w:val="21"/>
          <w:szCs w:val="21"/>
          <w:highlight w:val="none"/>
          <w:u w:val="single" w:color="auto"/>
        </w:rPr>
        <w:t xml:space="preserve"> </w:t>
      </w:r>
      <w:r>
        <w:rPr>
          <w:rFonts w:ascii="微软雅黑" w:hAnsi="微软雅黑" w:eastAsia="微软雅黑" w:cs="微软雅黑"/>
          <w:color w:val="auto"/>
          <w:spacing w:val="-5"/>
          <w:sz w:val="21"/>
          <w:szCs w:val="21"/>
          <w:highlight w:val="none"/>
        </w:rPr>
        <w:t xml:space="preserve">  个标包。</w:t>
      </w:r>
    </w:p>
    <w:p w14:paraId="40ABA938">
      <w:pPr>
        <w:spacing w:before="159" w:line="188"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4.招标方式：</w:t>
      </w:r>
    </w:p>
    <w:p w14:paraId="3546B6BE">
      <w:pPr>
        <w:spacing w:before="158" w:line="187"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4.1 本项目招标方式：见投标人须知前</w:t>
      </w:r>
      <w:r>
        <w:rPr>
          <w:rFonts w:ascii="微软雅黑" w:hAnsi="微软雅黑" w:eastAsia="微软雅黑" w:cs="微软雅黑"/>
          <w:color w:val="auto"/>
          <w:spacing w:val="-2"/>
          <w:sz w:val="21"/>
          <w:szCs w:val="21"/>
          <w:highlight w:val="none"/>
        </w:rPr>
        <w:t>附表。</w:t>
      </w:r>
    </w:p>
    <w:p w14:paraId="213D59DA">
      <w:pPr>
        <w:spacing w:before="159" w:line="188"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5.计价方式：</w:t>
      </w:r>
    </w:p>
    <w:p w14:paraId="1145E1F8">
      <w:pPr>
        <w:spacing w:before="158"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5.1 本次招标项目合同采用</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固定总价  。</w:t>
      </w:r>
    </w:p>
    <w:p w14:paraId="005E6A35">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6.评标办法：</w:t>
      </w:r>
    </w:p>
    <w:p w14:paraId="22DA9D80">
      <w:pPr>
        <w:spacing w:before="158" w:line="183"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 本次招标评标采用</w:t>
      </w:r>
      <w:r>
        <w:rPr>
          <w:rFonts w:ascii="微软雅黑" w:hAnsi="微软雅黑" w:eastAsia="微软雅黑" w:cs="微软雅黑"/>
          <w:color w:val="auto"/>
          <w:sz w:val="21"/>
          <w:szCs w:val="21"/>
          <w:highlight w:val="none"/>
          <w:u w:val="single" w:color="auto"/>
        </w:rPr>
        <w:t xml:space="preserve">   综合评分法  </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1"/>
          <w:sz w:val="21"/>
          <w:szCs w:val="21"/>
          <w:highlight w:val="none"/>
        </w:rPr>
        <w:t>详见第三章评标办法）</w:t>
      </w:r>
    </w:p>
    <w:p w14:paraId="61B8FECF">
      <w:pPr>
        <w:spacing w:before="166"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7.投标人资格：</w:t>
      </w:r>
    </w:p>
    <w:p w14:paraId="33C4DF3E">
      <w:pPr>
        <w:spacing w:before="158" w:line="241" w:lineRule="auto"/>
        <w:ind w:left="82" w:right="28" w:firstLine="37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7.1 参与采购活动的投标人必须是满足《中华人民共和国政府采购法》规定条件的法人、其他组织或者</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19"/>
          <w:sz w:val="21"/>
          <w:szCs w:val="21"/>
          <w:highlight w:val="none"/>
        </w:rPr>
        <w:t>自然人：</w:t>
      </w:r>
    </w:p>
    <w:p w14:paraId="10E7DCEE">
      <w:pPr>
        <w:spacing w:before="156"/>
        <w:ind w:left="48" w:right="28" w:firstLine="41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7.2</w:t>
      </w:r>
      <w:r>
        <w:rPr>
          <w:rFonts w:ascii="微软雅黑" w:hAnsi="微软雅黑" w:eastAsia="微软雅黑" w:cs="微软雅黑"/>
          <w:color w:val="auto"/>
          <w:spacing w:val="31"/>
          <w:w w:val="101"/>
          <w:sz w:val="21"/>
          <w:szCs w:val="21"/>
          <w:highlight w:val="none"/>
        </w:rPr>
        <w:t xml:space="preserve"> </w:t>
      </w:r>
      <w:r>
        <w:rPr>
          <w:rFonts w:ascii="微软雅黑" w:hAnsi="微软雅黑" w:eastAsia="微软雅黑" w:cs="微软雅黑"/>
          <w:color w:val="auto"/>
          <w:spacing w:val="-2"/>
          <w:sz w:val="21"/>
          <w:szCs w:val="21"/>
          <w:highlight w:val="none"/>
        </w:rPr>
        <w:t>由于政府采购项目的差异性，投标人在参与具体政府采购项目</w:t>
      </w:r>
      <w:r>
        <w:rPr>
          <w:rFonts w:ascii="微软雅黑" w:hAnsi="微软雅黑" w:eastAsia="微软雅黑" w:cs="微软雅黑"/>
          <w:color w:val="auto"/>
          <w:spacing w:val="-3"/>
          <w:sz w:val="21"/>
          <w:szCs w:val="21"/>
          <w:highlight w:val="none"/>
        </w:rPr>
        <w:t>活动时，应仔细阅读该项目的资质要</w:t>
      </w:r>
      <w:r>
        <w:rPr>
          <w:rFonts w:ascii="微软雅黑" w:hAnsi="微软雅黑" w:eastAsia="微软雅黑" w:cs="微软雅黑"/>
          <w:color w:val="auto"/>
          <w:sz w:val="21"/>
          <w:szCs w:val="21"/>
          <w:highlight w:val="none"/>
        </w:rPr>
        <w:t xml:space="preserve"> 求,具体见投标人须知前附表。</w:t>
      </w:r>
    </w:p>
    <w:p w14:paraId="7BBA7813">
      <w:pPr>
        <w:rPr>
          <w:rFonts w:ascii="微软雅黑" w:hAnsi="微软雅黑" w:eastAsia="微软雅黑" w:cs="微软雅黑"/>
          <w:color w:val="auto"/>
          <w:sz w:val="21"/>
          <w:szCs w:val="21"/>
          <w:highlight w:val="none"/>
        </w:rPr>
        <w:sectPr>
          <w:footerReference r:id="rId19" w:type="default"/>
          <w:pgSz w:w="11906" w:h="16839"/>
          <w:pgMar w:top="1745" w:right="1050" w:bottom="1152" w:left="1050" w:header="850" w:footer="992" w:gutter="0"/>
          <w:cols w:space="720" w:num="1"/>
        </w:sectPr>
      </w:pPr>
    </w:p>
    <w:p w14:paraId="35C7CA8A">
      <w:pPr>
        <w:spacing w:before="172" w:line="292" w:lineRule="auto"/>
        <w:ind w:left="42" w:right="114" w:firstLine="41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7.3 根据电子化政府采购的特点，各供应商在开标前应确保成为新疆维吾尔自治区政府采购网正式注册</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3"/>
          <w:sz w:val="21"/>
          <w:szCs w:val="21"/>
          <w:highlight w:val="none"/>
        </w:rPr>
        <w:t>入库供应商，</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3"/>
          <w:sz w:val="21"/>
          <w:szCs w:val="21"/>
          <w:highlight w:val="none"/>
        </w:rPr>
        <w:t>并完成 CA 数字证书申领。因未注册入库、未办理 CA 数字证书等原因造成无法投标或投标失</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败等后果由供应商自行承担。</w:t>
      </w:r>
    </w:p>
    <w:p w14:paraId="345BFA3D">
      <w:pPr>
        <w:spacing w:before="3" w:line="292" w:lineRule="auto"/>
        <w:ind w:left="53" w:right="114" w:firstLine="40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7.4 投标人必须确保自己在信息库中注册的信息真实、准确，</w:t>
      </w:r>
      <w:r>
        <w:rPr>
          <w:rFonts w:ascii="微软雅黑" w:hAnsi="微软雅黑" w:eastAsia="微软雅黑" w:cs="微软雅黑"/>
          <w:b/>
          <w:bCs/>
          <w:color w:val="auto"/>
          <w:spacing w:val="26"/>
          <w:sz w:val="21"/>
          <w:szCs w:val="21"/>
          <w:highlight w:val="none"/>
        </w:rPr>
        <w:t xml:space="preserve"> </w:t>
      </w:r>
      <w:r>
        <w:rPr>
          <w:rFonts w:ascii="微软雅黑" w:hAnsi="微软雅黑" w:eastAsia="微软雅黑" w:cs="微软雅黑"/>
          <w:b/>
          <w:bCs/>
          <w:color w:val="auto"/>
          <w:spacing w:val="-4"/>
          <w:sz w:val="21"/>
          <w:szCs w:val="21"/>
          <w:highlight w:val="none"/>
        </w:rPr>
        <w:t>并保证投标文件中的有关信息与库中的信</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8"/>
          <w:sz w:val="21"/>
          <w:szCs w:val="21"/>
          <w:highlight w:val="none"/>
        </w:rPr>
        <w:t>息相一致。</w:t>
      </w:r>
    </w:p>
    <w:p w14:paraId="73F1CD2A">
      <w:pPr>
        <w:spacing w:before="3"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8.</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z w:val="21"/>
          <w:szCs w:val="21"/>
          <w:highlight w:val="none"/>
        </w:rPr>
        <w:t>投标费用</w:t>
      </w:r>
    </w:p>
    <w:p w14:paraId="6C9E568D">
      <w:pPr>
        <w:spacing w:before="156"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8.1 投标人准备和参加投标活动发生的费用</w:t>
      </w:r>
      <w:r>
        <w:rPr>
          <w:rFonts w:ascii="微软雅黑" w:hAnsi="微软雅黑" w:eastAsia="微软雅黑" w:cs="微软雅黑"/>
          <w:color w:val="auto"/>
          <w:spacing w:val="-2"/>
          <w:sz w:val="21"/>
          <w:szCs w:val="21"/>
          <w:highlight w:val="none"/>
        </w:rPr>
        <w:t>自理。</w:t>
      </w:r>
    </w:p>
    <w:p w14:paraId="73FAD76E">
      <w:pPr>
        <w:spacing w:before="159"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9.</w:t>
      </w:r>
      <w:r>
        <w:rPr>
          <w:rFonts w:ascii="微软雅黑" w:hAnsi="微软雅黑" w:eastAsia="微软雅黑" w:cs="微软雅黑"/>
          <w:b/>
          <w:bCs/>
          <w:color w:val="auto"/>
          <w:spacing w:val="57"/>
          <w:w w:val="101"/>
          <w:sz w:val="21"/>
          <w:szCs w:val="21"/>
          <w:highlight w:val="none"/>
        </w:rPr>
        <w:t xml:space="preserve"> </w:t>
      </w:r>
      <w:r>
        <w:rPr>
          <w:rFonts w:ascii="微软雅黑" w:hAnsi="微软雅黑" w:eastAsia="微软雅黑" w:cs="微软雅黑"/>
          <w:b/>
          <w:bCs/>
          <w:color w:val="auto"/>
          <w:sz w:val="21"/>
          <w:szCs w:val="21"/>
          <w:highlight w:val="none"/>
        </w:rPr>
        <w:t>踏勘现场</w:t>
      </w:r>
    </w:p>
    <w:p w14:paraId="2634C970">
      <w:pPr>
        <w:spacing w:before="158" w:line="291" w:lineRule="auto"/>
        <w:ind w:left="46" w:right="114" w:firstLine="4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9.1</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投标人须知前附表规定组织踏勘现场的，招标人按投标人须知前附表规定的时间、地点组织投标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人踏勘项目现场。如需踏勘现场，投标人自行踏勘现场的，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可咨询本项目采购人或采购代理机构联系</w:t>
      </w:r>
      <w:r>
        <w:rPr>
          <w:rFonts w:ascii="微软雅黑" w:hAnsi="微软雅黑" w:eastAsia="微软雅黑" w:cs="微软雅黑"/>
          <w:color w:val="auto"/>
          <w:sz w:val="21"/>
          <w:szCs w:val="21"/>
          <w:highlight w:val="none"/>
        </w:rPr>
        <w:t>人。</w:t>
      </w:r>
    </w:p>
    <w:p w14:paraId="3B63C62D">
      <w:pPr>
        <w:spacing w:before="6" w:line="188"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投标人自行踏勘现场的，可咨询本项目采购人或</w:t>
      </w:r>
      <w:r>
        <w:rPr>
          <w:rFonts w:ascii="微软雅黑" w:hAnsi="微软雅黑" w:eastAsia="微软雅黑" w:cs="微软雅黑"/>
          <w:b/>
          <w:bCs/>
          <w:color w:val="auto"/>
          <w:spacing w:val="-2"/>
          <w:sz w:val="21"/>
          <w:szCs w:val="21"/>
          <w:highlight w:val="none"/>
        </w:rPr>
        <w:t>采购代理机构联系人。</w:t>
      </w:r>
    </w:p>
    <w:p w14:paraId="775B3F68">
      <w:pPr>
        <w:spacing w:before="157" w:line="188" w:lineRule="auto"/>
        <w:ind w:left="4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9.2</w:t>
      </w:r>
      <w:r>
        <w:rPr>
          <w:rFonts w:ascii="微软雅黑" w:hAnsi="微软雅黑" w:eastAsia="微软雅黑" w:cs="微软雅黑"/>
          <w:color w:val="auto"/>
          <w:spacing w:val="62"/>
          <w:w w:val="101"/>
          <w:sz w:val="21"/>
          <w:szCs w:val="21"/>
          <w:highlight w:val="none"/>
        </w:rPr>
        <w:t xml:space="preserve"> </w:t>
      </w:r>
      <w:r>
        <w:rPr>
          <w:rFonts w:ascii="微软雅黑" w:hAnsi="微软雅黑" w:eastAsia="微软雅黑" w:cs="微软雅黑"/>
          <w:color w:val="auto"/>
          <w:spacing w:val="-2"/>
          <w:sz w:val="21"/>
          <w:szCs w:val="21"/>
          <w:highlight w:val="none"/>
        </w:rPr>
        <w:t>投标人踏勘现场发生的费用自理。</w:t>
      </w:r>
    </w:p>
    <w:p w14:paraId="2E28E152">
      <w:pPr>
        <w:spacing w:before="158" w:line="188" w:lineRule="auto"/>
        <w:ind w:left="4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9.3  除招标人的原因外，投标人自行负责在踏勘现场中所发生的人员伤亡和财产损失。</w:t>
      </w:r>
    </w:p>
    <w:p w14:paraId="54046D2B">
      <w:pPr>
        <w:spacing w:before="159"/>
        <w:ind w:left="46" w:right="114" w:firstLine="4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9.4</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招标人在踏勘现场中介绍的场地和相关的周边环境情况，供投标人在编制投标文件时参考，招标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人不对投标人据此作出的判断和决策负责。</w:t>
      </w:r>
    </w:p>
    <w:p w14:paraId="05C3A53D">
      <w:pPr>
        <w:spacing w:before="158"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10.</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5"/>
          <w:sz w:val="21"/>
          <w:szCs w:val="21"/>
          <w:highlight w:val="none"/>
        </w:rPr>
        <w:t>投标预备会</w:t>
      </w:r>
    </w:p>
    <w:p w14:paraId="33B40398">
      <w:pPr>
        <w:spacing w:before="161"/>
        <w:ind w:left="42" w:right="114"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10.1 投标人须知前附表规定召开投标预备会的，招标人按投标人须知前附表规定的时间和地点召开投</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标预备会，澄清投标人提出的问题。</w:t>
      </w:r>
    </w:p>
    <w:p w14:paraId="30ADDAEB">
      <w:pPr>
        <w:spacing w:before="158"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10.2 投标人应在投标人须知前附表规定的时间前，将提出的</w:t>
      </w:r>
      <w:r>
        <w:rPr>
          <w:rFonts w:ascii="微软雅黑" w:hAnsi="微软雅黑" w:eastAsia="微软雅黑" w:cs="微软雅黑"/>
          <w:color w:val="auto"/>
          <w:spacing w:val="-2"/>
          <w:sz w:val="21"/>
          <w:szCs w:val="21"/>
          <w:highlight w:val="none"/>
        </w:rPr>
        <w:t>问题送达招标人，以便招标人澄清。</w:t>
      </w:r>
    </w:p>
    <w:p w14:paraId="0D081875">
      <w:pPr>
        <w:spacing w:before="157" w:line="241" w:lineRule="auto"/>
        <w:ind w:left="42" w:right="114" w:firstLine="41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10.3 招标人在投标人须知前附表规定的时间，将对投标人所提的问题进行澄清。该澄清内容为采购文</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6"/>
          <w:sz w:val="21"/>
          <w:szCs w:val="21"/>
          <w:highlight w:val="none"/>
        </w:rPr>
        <w:t>件的组成部分。</w:t>
      </w:r>
    </w:p>
    <w:p w14:paraId="15F8D4DC">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11.</w:t>
      </w:r>
      <w:r>
        <w:rPr>
          <w:rFonts w:ascii="微软雅黑" w:hAnsi="微软雅黑" w:eastAsia="微软雅黑" w:cs="微软雅黑"/>
          <w:b/>
          <w:bCs/>
          <w:color w:val="auto"/>
          <w:spacing w:val="59"/>
          <w:sz w:val="21"/>
          <w:szCs w:val="21"/>
          <w:highlight w:val="none"/>
        </w:rPr>
        <w:t xml:space="preserve"> </w:t>
      </w:r>
      <w:r>
        <w:rPr>
          <w:rFonts w:ascii="微软雅黑" w:hAnsi="微软雅黑" w:eastAsia="微软雅黑" w:cs="微软雅黑"/>
          <w:b/>
          <w:bCs/>
          <w:color w:val="auto"/>
          <w:spacing w:val="-6"/>
          <w:sz w:val="21"/>
          <w:szCs w:val="21"/>
          <w:highlight w:val="none"/>
        </w:rPr>
        <w:t>联合投标</w:t>
      </w:r>
    </w:p>
    <w:p w14:paraId="76CBD894">
      <w:pPr>
        <w:spacing w:before="157" w:line="258" w:lineRule="auto"/>
        <w:ind w:left="40"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11.1  两个以上投标人可以组成一个投标联合体，以一个投标人的身份投标。以联合体形式参加投标的，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联合体各方均应当符合《政府采购法》第二十二条规定的条</w:t>
      </w:r>
      <w:r>
        <w:rPr>
          <w:rFonts w:ascii="微软雅黑" w:hAnsi="微软雅黑" w:eastAsia="微软雅黑" w:cs="微软雅黑"/>
          <w:color w:val="auto"/>
          <w:spacing w:val="1"/>
          <w:sz w:val="21"/>
          <w:szCs w:val="21"/>
          <w:highlight w:val="none"/>
        </w:rPr>
        <w:t>件。招标人根据采购项目的特殊要求规定投标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人特定条件的，联合体各方中至少应当有一方符合招标人规定</w:t>
      </w:r>
      <w:r>
        <w:rPr>
          <w:rFonts w:ascii="微软雅黑" w:hAnsi="微软雅黑" w:eastAsia="微软雅黑" w:cs="微软雅黑"/>
          <w:color w:val="auto"/>
          <w:spacing w:val="-2"/>
          <w:sz w:val="21"/>
          <w:szCs w:val="21"/>
          <w:highlight w:val="none"/>
        </w:rPr>
        <w:t>的特定条件。</w:t>
      </w:r>
    </w:p>
    <w:p w14:paraId="595B0F3B">
      <w:pPr>
        <w:spacing w:before="126"/>
        <w:ind w:left="46" w:right="114"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11.2 联合体各方之间应当签订共同投标协议，</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明确约定</w:t>
      </w:r>
      <w:r>
        <w:rPr>
          <w:rFonts w:ascii="微软雅黑" w:hAnsi="微软雅黑" w:eastAsia="微软雅黑" w:cs="微软雅黑"/>
          <w:color w:val="auto"/>
          <w:spacing w:val="-1"/>
          <w:sz w:val="21"/>
          <w:szCs w:val="21"/>
          <w:highlight w:val="none"/>
        </w:rPr>
        <w:t>联合体各方承担的工作和相应的责任，并将共</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同投标协议连同投标文件一并提交招标人。联合体各方签订共同投标协议后，</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不得再以自己名义单独</w:t>
      </w:r>
      <w:r>
        <w:rPr>
          <w:rFonts w:ascii="微软雅黑" w:hAnsi="微软雅黑" w:eastAsia="微软雅黑" w:cs="微软雅黑"/>
          <w:color w:val="auto"/>
          <w:sz w:val="21"/>
          <w:szCs w:val="21"/>
          <w:highlight w:val="none"/>
        </w:rPr>
        <w:t xml:space="preserve">在同 </w:t>
      </w:r>
      <w:r>
        <w:rPr>
          <w:rFonts w:ascii="微软雅黑" w:hAnsi="微软雅黑" w:eastAsia="微软雅黑" w:cs="微软雅黑"/>
          <w:color w:val="auto"/>
          <w:spacing w:val="-2"/>
          <w:sz w:val="21"/>
          <w:szCs w:val="21"/>
          <w:highlight w:val="none"/>
        </w:rPr>
        <w:t>一项目中投标，也不得组成新的联合体参加同一项目投标。</w:t>
      </w:r>
    </w:p>
    <w:p w14:paraId="432349CB">
      <w:pPr>
        <w:spacing w:before="119" w:line="227" w:lineRule="auto"/>
        <w:ind w:left="69" w:right="103" w:firstLine="3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11.3</w:t>
      </w:r>
      <w:r>
        <w:rPr>
          <w:rFonts w:ascii="微软雅黑" w:hAnsi="微软雅黑" w:eastAsia="微软雅黑" w:cs="微软雅黑"/>
          <w:color w:val="auto"/>
          <w:spacing w:val="64"/>
          <w:w w:val="101"/>
          <w:sz w:val="21"/>
          <w:szCs w:val="21"/>
          <w:highlight w:val="none"/>
        </w:rPr>
        <w:t xml:space="preserve"> </w:t>
      </w:r>
      <w:r>
        <w:rPr>
          <w:rFonts w:ascii="微软雅黑" w:hAnsi="微软雅黑" w:eastAsia="微软雅黑" w:cs="微软雅黑"/>
          <w:color w:val="auto"/>
          <w:spacing w:val="-1"/>
          <w:sz w:val="21"/>
          <w:szCs w:val="21"/>
          <w:highlight w:val="none"/>
        </w:rPr>
        <w:t>联合体应当确定其中一个单位为投标的全权代表，负责参加投标的一切事务，并承担投标及履约</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中应承担的全部责任与义务。</w:t>
      </w:r>
    </w:p>
    <w:p w14:paraId="48528071">
      <w:pPr>
        <w:spacing w:before="119" w:line="187"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11.4</w:t>
      </w:r>
      <w:r>
        <w:rPr>
          <w:rFonts w:ascii="微软雅黑" w:hAnsi="微软雅黑" w:eastAsia="微软雅黑" w:cs="微软雅黑"/>
          <w:color w:val="auto"/>
          <w:spacing w:val="54"/>
          <w:w w:val="101"/>
          <w:sz w:val="21"/>
          <w:szCs w:val="21"/>
          <w:highlight w:val="none"/>
        </w:rPr>
        <w:t xml:space="preserve"> </w:t>
      </w:r>
      <w:r>
        <w:rPr>
          <w:rFonts w:ascii="微软雅黑" w:hAnsi="微软雅黑" w:eastAsia="微软雅黑" w:cs="微软雅黑"/>
          <w:color w:val="auto"/>
          <w:spacing w:val="-1"/>
          <w:sz w:val="21"/>
          <w:szCs w:val="21"/>
          <w:highlight w:val="none"/>
        </w:rPr>
        <w:t>联合体各方应当共同与招标人签订采购合同，就采购</w:t>
      </w:r>
      <w:r>
        <w:rPr>
          <w:rFonts w:ascii="微软雅黑" w:hAnsi="微软雅黑" w:eastAsia="微软雅黑" w:cs="微软雅黑"/>
          <w:color w:val="auto"/>
          <w:spacing w:val="-2"/>
          <w:sz w:val="21"/>
          <w:szCs w:val="21"/>
          <w:highlight w:val="none"/>
        </w:rPr>
        <w:t>合同约定的事项对招标人承担连带责任。</w:t>
      </w:r>
    </w:p>
    <w:p w14:paraId="4473523E">
      <w:pPr>
        <w:spacing w:line="187" w:lineRule="auto"/>
        <w:rPr>
          <w:rFonts w:ascii="微软雅黑" w:hAnsi="微软雅黑" w:eastAsia="微软雅黑" w:cs="微软雅黑"/>
          <w:color w:val="auto"/>
          <w:sz w:val="21"/>
          <w:szCs w:val="21"/>
          <w:highlight w:val="none"/>
        </w:rPr>
        <w:sectPr>
          <w:headerReference r:id="rId20" w:type="default"/>
          <w:footerReference r:id="rId21" w:type="default"/>
          <w:pgSz w:w="11906" w:h="16839"/>
          <w:pgMar w:top="1745" w:right="965" w:bottom="1152" w:left="1050" w:header="850" w:footer="992" w:gutter="0"/>
          <w:cols w:space="720" w:num="1"/>
        </w:sectPr>
      </w:pPr>
    </w:p>
    <w:p w14:paraId="17557073">
      <w:pPr>
        <w:spacing w:before="171"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12.招标代理费</w:t>
      </w:r>
    </w:p>
    <w:p w14:paraId="60239214">
      <w:pPr>
        <w:spacing w:before="117" w:line="310" w:lineRule="auto"/>
        <w:ind w:left="69" w:right="62" w:firstLine="4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12.1</w:t>
      </w:r>
      <w:r>
        <w:rPr>
          <w:rFonts w:ascii="微软雅黑" w:hAnsi="微软雅黑" w:eastAsia="微软雅黑" w:cs="微软雅黑"/>
          <w:color w:val="auto"/>
          <w:spacing w:val="42"/>
          <w:w w:val="101"/>
          <w:sz w:val="21"/>
          <w:szCs w:val="21"/>
          <w:highlight w:val="none"/>
        </w:rPr>
        <w:t xml:space="preserve"> </w:t>
      </w:r>
      <w:r>
        <w:rPr>
          <w:rFonts w:ascii="微软雅黑" w:hAnsi="微软雅黑" w:eastAsia="微软雅黑" w:cs="微软雅黑"/>
          <w:b/>
          <w:bCs/>
          <w:color w:val="auto"/>
          <w:spacing w:val="-2"/>
          <w:sz w:val="21"/>
          <w:szCs w:val="21"/>
          <w:highlight w:val="none"/>
        </w:rPr>
        <w:t>中标单位在领取本项目中标通知书时，</w:t>
      </w:r>
      <w:r>
        <w:rPr>
          <w:rFonts w:ascii="微软雅黑" w:hAnsi="微软雅黑" w:eastAsia="微软雅黑" w:cs="微软雅黑"/>
          <w:b/>
          <w:bCs/>
          <w:color w:val="auto"/>
          <w:spacing w:val="-14"/>
          <w:sz w:val="21"/>
          <w:szCs w:val="21"/>
          <w:highlight w:val="none"/>
        </w:rPr>
        <w:t xml:space="preserve"> </w:t>
      </w:r>
      <w:r>
        <w:rPr>
          <w:rFonts w:ascii="微软雅黑" w:hAnsi="微软雅黑" w:eastAsia="微软雅黑" w:cs="微软雅黑"/>
          <w:b/>
          <w:bCs/>
          <w:color w:val="auto"/>
          <w:spacing w:val="-2"/>
          <w:sz w:val="21"/>
          <w:szCs w:val="21"/>
          <w:highlight w:val="none"/>
        </w:rPr>
        <w:t>由中标单位向招标代理机构支付本项目代理费。</w:t>
      </w:r>
    </w:p>
    <w:p w14:paraId="475AFB36">
      <w:pPr>
        <w:spacing w:before="45"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13.投标人应注意的事项</w:t>
      </w:r>
    </w:p>
    <w:p w14:paraId="1476FE4C">
      <w:pPr>
        <w:spacing w:before="158" w:line="258" w:lineRule="auto"/>
        <w:ind w:left="47" w:firstLine="4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13.1 投标人一旦按规定缴纳了投标保证金并参加投标，</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1"/>
          <w:sz w:val="21"/>
          <w:szCs w:val="21"/>
          <w:highlight w:val="none"/>
        </w:rPr>
        <w:t>即被认为接受了本采购文件中的所有条件和规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定。投标人必须严格按采购文件的要求编制投标文件，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6"/>
          <w:sz w:val="21"/>
          <w:szCs w:val="21"/>
          <w:highlight w:val="none"/>
        </w:rPr>
        <w:t>投标文件宜编制页码和目录，</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6"/>
          <w:sz w:val="21"/>
          <w:szCs w:val="21"/>
          <w:highlight w:val="none"/>
        </w:rPr>
        <w:t>以便评委审核。否则，</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由此产生的一切后果由投标人承担。</w:t>
      </w:r>
    </w:p>
    <w:p w14:paraId="23C1F0FC">
      <w:pPr>
        <w:spacing w:before="157"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13.2</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
          <w:sz w:val="21"/>
          <w:szCs w:val="21"/>
          <w:highlight w:val="none"/>
        </w:rPr>
        <w:t>投标人对采购内容中规定的技术参数、规格</w:t>
      </w:r>
      <w:r>
        <w:rPr>
          <w:rFonts w:ascii="微软雅黑" w:hAnsi="微软雅黑" w:eastAsia="微软雅黑" w:cs="微软雅黑"/>
          <w:color w:val="auto"/>
          <w:spacing w:val="-2"/>
          <w:sz w:val="21"/>
          <w:szCs w:val="21"/>
          <w:highlight w:val="none"/>
        </w:rPr>
        <w:t>等要求必须完全响应或优于采购文件中的要求。</w:t>
      </w:r>
    </w:p>
    <w:p w14:paraId="0E3666B6">
      <w:pPr>
        <w:spacing w:before="159"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13.3 所有投标人的投标保证金都应在采购</w:t>
      </w:r>
      <w:r>
        <w:rPr>
          <w:rFonts w:ascii="微软雅黑" w:hAnsi="微软雅黑" w:eastAsia="微软雅黑" w:cs="微软雅黑"/>
          <w:color w:val="auto"/>
          <w:spacing w:val="-2"/>
          <w:sz w:val="21"/>
          <w:szCs w:val="21"/>
          <w:highlight w:val="none"/>
        </w:rPr>
        <w:t>文件规定的投标保证金缴纳截止日期前缴纳。</w:t>
      </w:r>
    </w:p>
    <w:p w14:paraId="129ED2BF">
      <w:pPr>
        <w:spacing w:before="157" w:line="258" w:lineRule="auto"/>
        <w:ind w:left="42" w:right="62"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13.4 单位负责人为同一人或者存在直接控股、管理关系的不同供应</w:t>
      </w:r>
      <w:r>
        <w:rPr>
          <w:rFonts w:ascii="微软雅黑" w:hAnsi="微软雅黑" w:eastAsia="微软雅黑" w:cs="微软雅黑"/>
          <w:color w:val="auto"/>
          <w:spacing w:val="-1"/>
          <w:sz w:val="21"/>
          <w:szCs w:val="21"/>
          <w:highlight w:val="none"/>
        </w:rPr>
        <w:t>商，</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不得参加同一合同项下的政府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采购活动。为采购项目提供整体设计、规范编制或者项目管理、监理、检测等服务的供应商，</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不得再参加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该采购项目的其他采购活动。</w:t>
      </w:r>
    </w:p>
    <w:p w14:paraId="671A06D2">
      <w:pPr>
        <w:spacing w:before="159"/>
        <w:ind w:left="51" w:right="62"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13.5 本项目只接受成为新疆维吾尔自治区政府采购网正式注册入库并完成 CA 数字证书申领供应商参</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3"/>
          <w:sz w:val="21"/>
          <w:szCs w:val="21"/>
          <w:highlight w:val="none"/>
        </w:rPr>
        <w:t>与投标。因未注册入库、未办理 CA 数字证书等原因造成无法投标或投标失败等后果由供应商自</w:t>
      </w:r>
      <w:r>
        <w:rPr>
          <w:rFonts w:ascii="微软雅黑" w:hAnsi="微软雅黑" w:eastAsia="微软雅黑" w:cs="微软雅黑"/>
          <w:color w:val="auto"/>
          <w:spacing w:val="-4"/>
          <w:sz w:val="21"/>
          <w:szCs w:val="21"/>
          <w:highlight w:val="none"/>
        </w:rPr>
        <w:t>行承担。</w:t>
      </w:r>
    </w:p>
    <w:p w14:paraId="009C1FB1">
      <w:pPr>
        <w:spacing w:before="160"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13.6   投标人被视为充分熟悉本招标项目所在地的与履行合同有关的各种情况，包括但不限于：</w:t>
      </w:r>
    </w:p>
    <w:p w14:paraId="7922919B">
      <w:pPr>
        <w:spacing w:before="127"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（1）国家对本次投标货物和服务的生产、安装调试、验收、维修等有关法律、法规及行业管理标准；</w:t>
      </w:r>
    </w:p>
    <w:p w14:paraId="41154E01">
      <w:pPr>
        <w:spacing w:before="125"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（2）本地区有关管理部门的相关规定；</w:t>
      </w:r>
    </w:p>
    <w:p w14:paraId="664D1384">
      <w:pPr>
        <w:spacing w:before="126" w:line="227" w:lineRule="auto"/>
        <w:ind w:left="357" w:right="269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（3）招标人的相关场地情况、基础建设、电力供应情况及相关设计标准。</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3"/>
          <w:sz w:val="21"/>
          <w:szCs w:val="21"/>
          <w:highlight w:val="none"/>
        </w:rPr>
        <w:t>本采购文件不再对上述情况进行描述。</w:t>
      </w:r>
    </w:p>
    <w:p w14:paraId="4CF27556">
      <w:pPr>
        <w:pStyle w:val="6"/>
        <w:spacing w:line="278" w:lineRule="auto"/>
        <w:rPr>
          <w:color w:val="auto"/>
          <w:highlight w:val="none"/>
        </w:rPr>
      </w:pPr>
    </w:p>
    <w:p w14:paraId="1D53BF91">
      <w:pPr>
        <w:spacing w:before="121" w:line="184" w:lineRule="auto"/>
        <w:ind w:left="394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（二）招标文件</w:t>
      </w:r>
    </w:p>
    <w:p w14:paraId="2D2228C8">
      <w:pPr>
        <w:pStyle w:val="6"/>
        <w:spacing w:line="351" w:lineRule="auto"/>
        <w:rPr>
          <w:color w:val="auto"/>
          <w:highlight w:val="none"/>
        </w:rPr>
      </w:pPr>
    </w:p>
    <w:p w14:paraId="3592C0EA">
      <w:pPr>
        <w:spacing w:before="91" w:line="189"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14.</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4"/>
          <w:sz w:val="21"/>
          <w:szCs w:val="21"/>
          <w:highlight w:val="none"/>
        </w:rPr>
        <w:t>采购文件的编制依据</w:t>
      </w:r>
    </w:p>
    <w:p w14:paraId="18B676DE">
      <w:pPr>
        <w:spacing w:before="155" w:line="292" w:lineRule="auto"/>
        <w:ind w:left="66" w:right="61" w:firstLine="39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根据《中华人民共和国政府采购法》、《政府采购货物和服</w:t>
      </w:r>
      <w:r>
        <w:rPr>
          <w:rFonts w:ascii="微软雅黑" w:hAnsi="微软雅黑" w:eastAsia="微软雅黑" w:cs="微软雅黑"/>
          <w:color w:val="auto"/>
          <w:spacing w:val="1"/>
          <w:sz w:val="21"/>
          <w:szCs w:val="21"/>
          <w:highlight w:val="none"/>
        </w:rPr>
        <w:t>务招标投标管理办法》和《中华人民共和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国合同法》等相关法律法规和规章及部、省、市级规范性文件的</w:t>
      </w:r>
      <w:r>
        <w:rPr>
          <w:rFonts w:ascii="微软雅黑" w:hAnsi="微软雅黑" w:eastAsia="微软雅黑" w:cs="微软雅黑"/>
          <w:color w:val="auto"/>
          <w:spacing w:val="-5"/>
          <w:sz w:val="21"/>
          <w:szCs w:val="21"/>
          <w:highlight w:val="none"/>
        </w:rPr>
        <w:t>规定，编制本采购文件。</w:t>
      </w:r>
    </w:p>
    <w:p w14:paraId="3B66B237">
      <w:pPr>
        <w:spacing w:before="4" w:line="189"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15.</w:t>
      </w:r>
      <w:r>
        <w:rPr>
          <w:rFonts w:ascii="微软雅黑" w:hAnsi="微软雅黑" w:eastAsia="微软雅黑" w:cs="微软雅黑"/>
          <w:b/>
          <w:bCs/>
          <w:color w:val="auto"/>
          <w:spacing w:val="66"/>
          <w:w w:val="101"/>
          <w:sz w:val="21"/>
          <w:szCs w:val="21"/>
          <w:highlight w:val="none"/>
        </w:rPr>
        <w:t xml:space="preserve"> </w:t>
      </w:r>
      <w:r>
        <w:rPr>
          <w:rFonts w:ascii="微软雅黑" w:hAnsi="微软雅黑" w:eastAsia="微软雅黑" w:cs="微软雅黑"/>
          <w:b/>
          <w:bCs/>
          <w:color w:val="auto"/>
          <w:spacing w:val="-5"/>
          <w:sz w:val="21"/>
          <w:szCs w:val="21"/>
          <w:highlight w:val="none"/>
        </w:rPr>
        <w:t>采购文件的组成</w:t>
      </w:r>
    </w:p>
    <w:p w14:paraId="53A3A165">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15.1  采购文件包括内容：</w:t>
      </w:r>
    </w:p>
    <w:p w14:paraId="4D8DD453">
      <w:pPr>
        <w:spacing w:before="156" w:line="189"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第一章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招标公告</w:t>
      </w:r>
    </w:p>
    <w:p w14:paraId="17F2B5F0">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第二章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投标须知</w:t>
      </w:r>
    </w:p>
    <w:p w14:paraId="632BFD8E">
      <w:pPr>
        <w:spacing w:before="157" w:line="189"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第三章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评标办法</w:t>
      </w:r>
    </w:p>
    <w:p w14:paraId="792281FC">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第四章</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4"/>
          <w:sz w:val="21"/>
          <w:szCs w:val="21"/>
          <w:highlight w:val="none"/>
        </w:rPr>
        <w:t>采购内容及技术要求</w:t>
      </w:r>
    </w:p>
    <w:p w14:paraId="6001CD75">
      <w:pPr>
        <w:spacing w:line="188" w:lineRule="auto"/>
        <w:rPr>
          <w:rFonts w:ascii="微软雅黑" w:hAnsi="微软雅黑" w:eastAsia="微软雅黑" w:cs="微软雅黑"/>
          <w:color w:val="auto"/>
          <w:sz w:val="21"/>
          <w:szCs w:val="21"/>
          <w:highlight w:val="none"/>
        </w:rPr>
        <w:sectPr>
          <w:headerReference r:id="rId22" w:type="default"/>
          <w:footerReference r:id="rId23" w:type="default"/>
          <w:pgSz w:w="11906" w:h="16839"/>
          <w:pgMar w:top="1745" w:right="1018" w:bottom="1152" w:left="1050" w:header="850" w:footer="992" w:gutter="0"/>
          <w:cols w:space="720" w:num="1"/>
        </w:sectPr>
      </w:pPr>
    </w:p>
    <w:p w14:paraId="526B86D0">
      <w:pPr>
        <w:spacing w:before="171"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第五章</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4"/>
          <w:sz w:val="21"/>
          <w:szCs w:val="21"/>
          <w:highlight w:val="none"/>
        </w:rPr>
        <w:t>合同条款及格式</w:t>
      </w:r>
    </w:p>
    <w:p w14:paraId="53F7BFAB">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第六章</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4"/>
          <w:sz w:val="21"/>
          <w:szCs w:val="21"/>
          <w:highlight w:val="none"/>
        </w:rPr>
        <w:t>投标文件格式文本</w:t>
      </w:r>
    </w:p>
    <w:p w14:paraId="5E4E03BB">
      <w:pPr>
        <w:spacing w:before="156"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15.2  除 15.1</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2"/>
          <w:sz w:val="21"/>
          <w:szCs w:val="21"/>
          <w:highlight w:val="none"/>
        </w:rPr>
        <w:t>内容外，招标答</w:t>
      </w:r>
      <w:r>
        <w:rPr>
          <w:rFonts w:ascii="微软雅黑" w:hAnsi="微软雅黑" w:eastAsia="微软雅黑" w:cs="微软雅黑"/>
          <w:color w:val="auto"/>
          <w:spacing w:val="-3"/>
          <w:sz w:val="21"/>
          <w:szCs w:val="21"/>
          <w:highlight w:val="none"/>
        </w:rPr>
        <w:t>疑亦为采购文件的组成部分，对招标人和投标人起约束作用。</w:t>
      </w:r>
    </w:p>
    <w:p w14:paraId="04DE1A79">
      <w:pPr>
        <w:spacing w:before="127" w:line="227" w:lineRule="auto"/>
        <w:ind w:left="43" w:right="5" w:firstLine="3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15.3 投标人应仔细阅读和检查采购文件的全部内容。如发现缺页或附件不全，应及时向招标人提出，以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便补齐。如有疑问，投标人应在以书面形式一次性向采购人和采购代理机构提出同一环节的质疑。</w:t>
      </w:r>
    </w:p>
    <w:p w14:paraId="15B34687">
      <w:pPr>
        <w:spacing w:before="149" w:line="280" w:lineRule="auto"/>
        <w:ind w:left="42" w:right="5" w:firstLine="3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15.4 供应商认为采购文件使自己的权益受到损害的，可以自收到采购文件之日（采购文件公告期限届满</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之前收到采购文件的，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以完成获取采购文件申请后下载采购文件的时间为准）</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或者采购文件公告期限届满  </w:t>
      </w:r>
      <w:r>
        <w:rPr>
          <w:rFonts w:ascii="微软雅黑" w:hAnsi="微软雅黑" w:eastAsia="微软雅黑" w:cs="微软雅黑"/>
          <w:color w:val="auto"/>
          <w:spacing w:val="-1"/>
          <w:sz w:val="21"/>
          <w:szCs w:val="21"/>
          <w:highlight w:val="none"/>
        </w:rPr>
        <w:t>之日（公告发布后的第 6 个工作日）起 7 个工作日内且应当在采购响应截止时间之前，</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1"/>
          <w:sz w:val="21"/>
          <w:szCs w:val="21"/>
          <w:highlight w:val="none"/>
        </w:rPr>
        <w:t>以书面形式一次性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向采购人和采购代理机构提出同一环节的质疑。否则，</w:t>
      </w:r>
      <w:r>
        <w:rPr>
          <w:rFonts w:ascii="微软雅黑" w:hAnsi="微软雅黑" w:eastAsia="微软雅黑" w:cs="微软雅黑"/>
          <w:color w:val="auto"/>
          <w:spacing w:val="1"/>
          <w:sz w:val="21"/>
          <w:szCs w:val="21"/>
          <w:highlight w:val="none"/>
        </w:rPr>
        <w:t>被质疑人可不予接受。质疑供应商对采购人、采购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代理机构的答复不满意或者采购人、采购代理机构未在规定的时间内作出答复的，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可以在答复期满后十五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个工作日内向同级政府采购监督管理部门投诉。质疑函</w:t>
      </w:r>
      <w:r>
        <w:rPr>
          <w:rFonts w:ascii="微软雅黑" w:hAnsi="微软雅黑" w:eastAsia="微软雅黑" w:cs="微软雅黑"/>
          <w:color w:val="auto"/>
          <w:spacing w:val="1"/>
          <w:sz w:val="21"/>
          <w:szCs w:val="21"/>
          <w:highlight w:val="none"/>
        </w:rPr>
        <w:t>范本、投诉书范本请到新疆政府采购网下载专区下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载。采购文件的澄清将在政采云平台“</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pacing w:val="1"/>
          <w:sz w:val="21"/>
          <w:szCs w:val="21"/>
          <w:highlight w:val="none"/>
        </w:rPr>
        <w:t>更正公告</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 xml:space="preserve">栏目予以公告，但不指明澄清问题的来源。如果澄清内  </w:t>
      </w:r>
      <w:r>
        <w:rPr>
          <w:rFonts w:ascii="微软雅黑" w:hAnsi="微软雅黑" w:eastAsia="微软雅黑" w:cs="微软雅黑"/>
          <w:color w:val="auto"/>
          <w:spacing w:val="-2"/>
          <w:sz w:val="21"/>
          <w:szCs w:val="21"/>
          <w:highlight w:val="none"/>
        </w:rPr>
        <w:t>容影响投标文件编制的，将相应延长投标截止时间。</w:t>
      </w:r>
    </w:p>
    <w:p w14:paraId="00F34D99">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16.</w:t>
      </w:r>
      <w:r>
        <w:rPr>
          <w:rFonts w:ascii="微软雅黑" w:hAnsi="微软雅黑" w:eastAsia="微软雅黑" w:cs="微软雅黑"/>
          <w:b/>
          <w:bCs/>
          <w:color w:val="auto"/>
          <w:spacing w:val="63"/>
          <w:w w:val="101"/>
          <w:sz w:val="21"/>
          <w:szCs w:val="21"/>
          <w:highlight w:val="none"/>
        </w:rPr>
        <w:t xml:space="preserve"> </w:t>
      </w:r>
      <w:r>
        <w:rPr>
          <w:rFonts w:ascii="微软雅黑" w:hAnsi="微软雅黑" w:eastAsia="微软雅黑" w:cs="微软雅黑"/>
          <w:b/>
          <w:bCs/>
          <w:color w:val="auto"/>
          <w:spacing w:val="-3"/>
          <w:sz w:val="21"/>
          <w:szCs w:val="21"/>
          <w:highlight w:val="none"/>
        </w:rPr>
        <w:t>采购文件的修改、补充、解释</w:t>
      </w:r>
    </w:p>
    <w:p w14:paraId="0600C6BC">
      <w:pPr>
        <w:spacing w:before="126"/>
        <w:ind w:left="42" w:right="58" w:firstLine="3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16.1 采购文件发出后，招标人在规定的投标截止时间前可对采购文件进行必要的修</w:t>
      </w:r>
      <w:r>
        <w:rPr>
          <w:rFonts w:ascii="微软雅黑" w:hAnsi="微软雅黑" w:eastAsia="微软雅黑" w:cs="微软雅黑"/>
          <w:color w:val="auto"/>
          <w:spacing w:val="-3"/>
          <w:sz w:val="21"/>
          <w:szCs w:val="21"/>
          <w:highlight w:val="none"/>
        </w:rPr>
        <w:t>改和补充，并以更正</w:t>
      </w:r>
      <w:r>
        <w:rPr>
          <w:rFonts w:ascii="微软雅黑" w:hAnsi="微软雅黑" w:eastAsia="微软雅黑" w:cs="微软雅黑"/>
          <w:color w:val="auto"/>
          <w:sz w:val="21"/>
          <w:szCs w:val="21"/>
          <w:highlight w:val="none"/>
        </w:rPr>
        <w:t xml:space="preserve"> 公告形式在政采云平台</w:t>
      </w:r>
      <w:r>
        <w:rPr>
          <w:rFonts w:ascii="微软雅黑" w:hAnsi="微软雅黑" w:eastAsia="微软雅黑" w:cs="微软雅黑"/>
          <w:color w:val="auto"/>
          <w:spacing w:val="43"/>
          <w:w w:val="101"/>
          <w:sz w:val="21"/>
          <w:szCs w:val="21"/>
          <w:highlight w:val="none"/>
        </w:rPr>
        <w:t xml:space="preserve"> </w:t>
      </w:r>
      <w:r>
        <w:rPr>
          <w:rFonts w:ascii="微软雅黑" w:hAnsi="微软雅黑" w:eastAsia="微软雅黑" w:cs="微软雅黑"/>
          <w:color w:val="auto"/>
          <w:sz w:val="21"/>
          <w:szCs w:val="21"/>
          <w:highlight w:val="none"/>
        </w:rPr>
        <w:t>“更正公告”栏目予以公告，请各位投标人注意</w:t>
      </w:r>
      <w:r>
        <w:rPr>
          <w:rFonts w:ascii="微软雅黑" w:hAnsi="微软雅黑" w:eastAsia="微软雅黑" w:cs="微软雅黑"/>
          <w:color w:val="auto"/>
          <w:spacing w:val="-1"/>
          <w:sz w:val="21"/>
          <w:szCs w:val="21"/>
          <w:highlight w:val="none"/>
        </w:rPr>
        <w:t>查看有关澄清内容，如不及时查看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造成后果由投标人自负。采购文件的修改、补充等内容作为采购文件的组成部分，具有约束作用。</w:t>
      </w:r>
    </w:p>
    <w:p w14:paraId="3D13551D">
      <w:pPr>
        <w:spacing w:before="119"/>
        <w:ind w:left="43" w:firstLine="3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16.2</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1"/>
          <w:sz w:val="21"/>
          <w:szCs w:val="21"/>
          <w:highlight w:val="none"/>
        </w:rPr>
        <w:t>采购代理机构可视采购具体情况对已发出的采购文件进行必要的澄清、修改或者补充。澄清</w:t>
      </w:r>
      <w:r>
        <w:rPr>
          <w:rFonts w:ascii="微软雅黑" w:hAnsi="微软雅黑" w:eastAsia="微软雅黑" w:cs="微软雅黑"/>
          <w:color w:val="auto"/>
          <w:sz w:val="21"/>
          <w:szCs w:val="21"/>
          <w:highlight w:val="none"/>
        </w:rPr>
        <w:t xml:space="preserve">、修  </w:t>
      </w:r>
      <w:r>
        <w:rPr>
          <w:rFonts w:ascii="微软雅黑" w:hAnsi="微软雅黑" w:eastAsia="微软雅黑" w:cs="微软雅黑"/>
          <w:color w:val="auto"/>
          <w:spacing w:val="-3"/>
          <w:sz w:val="21"/>
          <w:szCs w:val="21"/>
          <w:highlight w:val="none"/>
        </w:rPr>
        <w:t>改或者补充的内容可能影响投标文件编制的，应当在投标截止时间至少 15  日前，在原公告发布媒体</w:t>
      </w:r>
      <w:r>
        <w:rPr>
          <w:rFonts w:ascii="微软雅黑" w:hAnsi="微软雅黑" w:eastAsia="微软雅黑" w:cs="微软雅黑"/>
          <w:color w:val="auto"/>
          <w:spacing w:val="-4"/>
          <w:sz w:val="21"/>
          <w:szCs w:val="21"/>
          <w:highlight w:val="none"/>
        </w:rPr>
        <w:t>上发布</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澄清公告，澄清或者修改的内容为采购文件的</w:t>
      </w:r>
      <w:r>
        <w:rPr>
          <w:rFonts w:ascii="微软雅黑" w:hAnsi="微软雅黑" w:eastAsia="微软雅黑" w:cs="微软雅黑"/>
          <w:color w:val="auto"/>
          <w:spacing w:val="-6"/>
          <w:sz w:val="21"/>
          <w:szCs w:val="21"/>
          <w:highlight w:val="none"/>
        </w:rPr>
        <w:t>组成部分；不足 15  日的，应当顺延提交投标文件的截止时间。</w:t>
      </w:r>
    </w:p>
    <w:p w14:paraId="67EAD1A4">
      <w:pPr>
        <w:spacing w:before="118" w:line="188" w:lineRule="auto"/>
        <w:ind w:left="1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16.3</w:t>
      </w:r>
      <w:r>
        <w:rPr>
          <w:rFonts w:ascii="微软雅黑" w:hAnsi="微软雅黑" w:eastAsia="微软雅黑" w:cs="微软雅黑"/>
          <w:color w:val="auto"/>
          <w:spacing w:val="76"/>
          <w:sz w:val="21"/>
          <w:szCs w:val="21"/>
          <w:highlight w:val="none"/>
        </w:rPr>
        <w:t xml:space="preserve"> </w:t>
      </w:r>
      <w:r>
        <w:rPr>
          <w:rFonts w:ascii="微软雅黑" w:hAnsi="微软雅黑" w:eastAsia="微软雅黑" w:cs="微软雅黑"/>
          <w:color w:val="auto"/>
          <w:spacing w:val="-2"/>
          <w:sz w:val="21"/>
          <w:szCs w:val="21"/>
          <w:highlight w:val="none"/>
        </w:rPr>
        <w:t>供应商在规定的时间内未对采购文件提出疑问、质疑或要求澄清的，将视其为无异议。</w:t>
      </w:r>
    </w:p>
    <w:p w14:paraId="6A1477E8">
      <w:pPr>
        <w:spacing w:before="119"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16.4</w:t>
      </w:r>
      <w:r>
        <w:rPr>
          <w:rFonts w:ascii="微软雅黑" w:hAnsi="微软雅黑" w:eastAsia="微软雅黑" w:cs="微软雅黑"/>
          <w:color w:val="auto"/>
          <w:spacing w:val="65"/>
          <w:sz w:val="21"/>
          <w:szCs w:val="21"/>
          <w:highlight w:val="none"/>
        </w:rPr>
        <w:t xml:space="preserve"> </w:t>
      </w:r>
      <w:r>
        <w:rPr>
          <w:rFonts w:ascii="微软雅黑" w:hAnsi="微软雅黑" w:eastAsia="微软雅黑" w:cs="微软雅黑"/>
          <w:color w:val="auto"/>
          <w:spacing w:val="-4"/>
          <w:sz w:val="21"/>
          <w:szCs w:val="21"/>
          <w:highlight w:val="none"/>
        </w:rPr>
        <w:t>采购文件的解释</w:t>
      </w:r>
    </w:p>
    <w:p w14:paraId="3885BA0D">
      <w:pPr>
        <w:spacing w:before="118" w:line="183"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本采购文件由招标人（或其委托的招标代理机构）负责解释。</w:t>
      </w:r>
    </w:p>
    <w:p w14:paraId="58B400C4">
      <w:pPr>
        <w:spacing w:before="125"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17.</w:t>
      </w:r>
      <w:r>
        <w:rPr>
          <w:rFonts w:ascii="微软雅黑" w:hAnsi="微软雅黑" w:eastAsia="微软雅黑" w:cs="微软雅黑"/>
          <w:b/>
          <w:bCs/>
          <w:color w:val="auto"/>
          <w:spacing w:val="66"/>
          <w:w w:val="101"/>
          <w:sz w:val="21"/>
          <w:szCs w:val="21"/>
          <w:highlight w:val="none"/>
        </w:rPr>
        <w:t xml:space="preserve"> </w:t>
      </w:r>
      <w:r>
        <w:rPr>
          <w:rFonts w:ascii="微软雅黑" w:hAnsi="微软雅黑" w:eastAsia="微软雅黑" w:cs="微软雅黑"/>
          <w:b/>
          <w:bCs/>
          <w:color w:val="auto"/>
          <w:spacing w:val="-5"/>
          <w:sz w:val="21"/>
          <w:szCs w:val="21"/>
          <w:highlight w:val="none"/>
        </w:rPr>
        <w:t>采购文件的发出</w:t>
      </w:r>
    </w:p>
    <w:p w14:paraId="17F3B6ED">
      <w:pPr>
        <w:spacing w:before="117"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17.1   采购文件、采购文件的澄清</w:t>
      </w:r>
      <w:r>
        <w:rPr>
          <w:rFonts w:ascii="微软雅黑" w:hAnsi="微软雅黑" w:eastAsia="微软雅黑" w:cs="微软雅黑"/>
          <w:color w:val="auto"/>
          <w:spacing w:val="-1"/>
          <w:sz w:val="21"/>
          <w:szCs w:val="21"/>
          <w:highlight w:val="none"/>
        </w:rPr>
        <w:t>、修改、补充及招标答疑等均应报相关部门备案后，方可发出。</w:t>
      </w:r>
    </w:p>
    <w:p w14:paraId="6BBE468D">
      <w:pPr>
        <w:pStyle w:val="6"/>
        <w:spacing w:line="279" w:lineRule="auto"/>
        <w:rPr>
          <w:color w:val="auto"/>
          <w:highlight w:val="none"/>
        </w:rPr>
      </w:pPr>
    </w:p>
    <w:p w14:paraId="675363EB">
      <w:pPr>
        <w:spacing w:before="120" w:line="184" w:lineRule="auto"/>
        <w:ind w:left="352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（三）投标文件的编制</w:t>
      </w:r>
    </w:p>
    <w:p w14:paraId="0523F2AA">
      <w:pPr>
        <w:pStyle w:val="6"/>
        <w:spacing w:line="352" w:lineRule="auto"/>
        <w:rPr>
          <w:color w:val="auto"/>
          <w:highlight w:val="none"/>
        </w:rPr>
      </w:pPr>
    </w:p>
    <w:p w14:paraId="6BD83BED">
      <w:pPr>
        <w:spacing w:before="91" w:line="187" w:lineRule="auto"/>
        <w:ind w:left="35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18.</w:t>
      </w:r>
      <w:r>
        <w:rPr>
          <w:rFonts w:ascii="微软雅黑" w:hAnsi="微软雅黑" w:eastAsia="微软雅黑" w:cs="微软雅黑"/>
          <w:b/>
          <w:bCs/>
          <w:color w:val="auto"/>
          <w:spacing w:val="57"/>
          <w:w w:val="101"/>
          <w:sz w:val="21"/>
          <w:szCs w:val="21"/>
          <w:highlight w:val="none"/>
        </w:rPr>
        <w:t xml:space="preserve"> </w:t>
      </w:r>
      <w:r>
        <w:rPr>
          <w:rFonts w:ascii="微软雅黑" w:hAnsi="微软雅黑" w:eastAsia="微软雅黑" w:cs="微软雅黑"/>
          <w:b/>
          <w:bCs/>
          <w:color w:val="auto"/>
          <w:spacing w:val="-3"/>
          <w:sz w:val="21"/>
          <w:szCs w:val="21"/>
          <w:highlight w:val="none"/>
        </w:rPr>
        <w:t>投标的语言及度量衡单位</w:t>
      </w:r>
    </w:p>
    <w:p w14:paraId="6BAF8B38">
      <w:pPr>
        <w:spacing w:before="159" w:line="292" w:lineRule="auto"/>
        <w:ind w:left="42" w:right="77" w:firstLine="292"/>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18.1 投标人提交的投标文件、技术文件和资料，以及投标人与招标人就有关投标的所有来往函电均应使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用中文。投标文件中若有英文或其他语言文字的资料，</w:t>
      </w:r>
      <w:r>
        <w:rPr>
          <w:rFonts w:ascii="微软雅黑" w:hAnsi="微软雅黑" w:eastAsia="微软雅黑" w:cs="微软雅黑"/>
          <w:color w:val="auto"/>
          <w:spacing w:val="1"/>
          <w:sz w:val="21"/>
          <w:szCs w:val="21"/>
          <w:highlight w:val="none"/>
        </w:rPr>
        <w:t>应提供相应的中文翻译资料。对不同文本投标文件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的解释发生异议的，以中文文本为准。</w:t>
      </w:r>
    </w:p>
    <w:p w14:paraId="6DA38CE2">
      <w:pPr>
        <w:spacing w:line="292" w:lineRule="auto"/>
        <w:rPr>
          <w:rFonts w:ascii="微软雅黑" w:hAnsi="微软雅黑" w:eastAsia="微软雅黑" w:cs="微软雅黑"/>
          <w:color w:val="auto"/>
          <w:sz w:val="21"/>
          <w:szCs w:val="21"/>
          <w:highlight w:val="none"/>
        </w:rPr>
        <w:sectPr>
          <w:headerReference r:id="rId24" w:type="default"/>
          <w:footerReference r:id="rId25" w:type="default"/>
          <w:pgSz w:w="11906" w:h="16839"/>
          <w:pgMar w:top="1745" w:right="1002" w:bottom="1152" w:left="1050" w:header="850" w:footer="992" w:gutter="0"/>
          <w:cols w:space="720" w:num="1"/>
        </w:sectPr>
      </w:pPr>
    </w:p>
    <w:p w14:paraId="2334398C">
      <w:pPr>
        <w:spacing w:before="171" w:line="188" w:lineRule="auto"/>
        <w:ind w:left="3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18.2 除采购文件中另有规定外，投标书所使用的度量衡均须采用法定计量单位。</w:t>
      </w:r>
    </w:p>
    <w:p w14:paraId="33C02FE1">
      <w:pPr>
        <w:spacing w:before="126" w:line="188" w:lineRule="auto"/>
        <w:ind w:left="2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19.</w:t>
      </w:r>
      <w:r>
        <w:rPr>
          <w:rFonts w:ascii="微软雅黑" w:hAnsi="微软雅黑" w:eastAsia="微软雅黑" w:cs="微软雅黑"/>
          <w:b/>
          <w:bCs/>
          <w:color w:val="auto"/>
          <w:spacing w:val="56"/>
          <w:sz w:val="21"/>
          <w:szCs w:val="21"/>
          <w:highlight w:val="none"/>
        </w:rPr>
        <w:t xml:space="preserve"> </w:t>
      </w:r>
      <w:r>
        <w:rPr>
          <w:rFonts w:ascii="微软雅黑" w:hAnsi="微软雅黑" w:eastAsia="微软雅黑" w:cs="微软雅黑"/>
          <w:b/>
          <w:bCs/>
          <w:color w:val="auto"/>
          <w:spacing w:val="-4"/>
          <w:sz w:val="21"/>
          <w:szCs w:val="21"/>
          <w:highlight w:val="none"/>
        </w:rPr>
        <w:t>投标文件的组成</w:t>
      </w:r>
    </w:p>
    <w:p w14:paraId="01E91F2E">
      <w:pPr>
        <w:spacing w:before="116"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资格证明文件和商务及技术文件两部分，两部分合成一册。</w:t>
      </w:r>
    </w:p>
    <w:p w14:paraId="3D821F1F">
      <w:pPr>
        <w:spacing w:before="149" w:line="184"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19.1</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5"/>
          <w:sz w:val="21"/>
          <w:szCs w:val="21"/>
          <w:highlight w:val="none"/>
        </w:rPr>
        <w:t>资格证明文件（包括但不限于）</w:t>
      </w:r>
    </w:p>
    <w:p w14:paraId="5F220814">
      <w:pPr>
        <w:spacing w:before="163" w:line="292" w:lineRule="auto"/>
        <w:ind w:left="47" w:right="28" w:firstLine="3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资格证明文件是证明投标人有资格参加投标和中标后有能力履行合同的文件，这些文件应能满足招标的</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4"/>
          <w:sz w:val="21"/>
          <w:szCs w:val="21"/>
          <w:highlight w:val="none"/>
        </w:rPr>
        <w:t>要求，否则作无效投标处理。</w:t>
      </w:r>
    </w:p>
    <w:p w14:paraId="56ADC24C">
      <w:pPr>
        <w:spacing w:before="5" w:line="183" w:lineRule="auto"/>
        <w:ind w:left="3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1、开标一览表（格式一）;</w:t>
      </w:r>
    </w:p>
    <w:p w14:paraId="4856664A">
      <w:pPr>
        <w:spacing w:before="163" w:line="241" w:lineRule="auto"/>
        <w:ind w:left="42" w:right="55" w:firstLine="3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2、法人或者非法人组织的营业执照等证明文件复印件（须加盖本单位公章）</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 xml:space="preserve">或自然人的身份证明复印 </w:t>
      </w:r>
      <w:r>
        <w:rPr>
          <w:rFonts w:ascii="微软雅黑" w:hAnsi="微软雅黑" w:eastAsia="微软雅黑" w:cs="微软雅黑"/>
          <w:color w:val="auto"/>
          <w:spacing w:val="20"/>
          <w:sz w:val="21"/>
          <w:szCs w:val="21"/>
          <w:highlight w:val="none"/>
        </w:rPr>
        <w:t>件;</w:t>
      </w:r>
    </w:p>
    <w:p w14:paraId="34ACEC17">
      <w:pPr>
        <w:spacing w:before="159" w:line="183" w:lineRule="auto"/>
        <w:ind w:left="34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3、法定代表人资格证明书（格式二，自然人投标的</w:t>
      </w:r>
      <w:r>
        <w:rPr>
          <w:rFonts w:ascii="微软雅黑" w:hAnsi="微软雅黑" w:eastAsia="微软雅黑" w:cs="微软雅黑"/>
          <w:color w:val="auto"/>
          <w:sz w:val="21"/>
          <w:szCs w:val="21"/>
          <w:highlight w:val="none"/>
        </w:rPr>
        <w:t>无需提供）;</w:t>
      </w:r>
    </w:p>
    <w:p w14:paraId="0D65D1F8">
      <w:pPr>
        <w:spacing w:before="165" w:line="183"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4、法定代表人授权书（格式三，自然人投标的无需提供）;</w:t>
      </w:r>
    </w:p>
    <w:p w14:paraId="3115B16F">
      <w:pPr>
        <w:spacing w:before="164" w:line="188" w:lineRule="auto"/>
        <w:ind w:left="34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5、投标保证金汇款凭证和保证金收据，或保函；</w:t>
      </w:r>
    </w:p>
    <w:p w14:paraId="77D4868A">
      <w:pPr>
        <w:spacing w:before="159" w:line="183"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6、反商业贿赂承诺书（格式自拟</w:t>
      </w:r>
      <w:r>
        <w:rPr>
          <w:rFonts w:ascii="微软雅黑" w:hAnsi="微软雅黑" w:eastAsia="微软雅黑" w:cs="微软雅黑"/>
          <w:color w:val="auto"/>
          <w:spacing w:val="2"/>
          <w:sz w:val="21"/>
          <w:szCs w:val="21"/>
          <w:highlight w:val="none"/>
        </w:rPr>
        <w:t>）；</w:t>
      </w:r>
    </w:p>
    <w:p w14:paraId="76F922F2">
      <w:pPr>
        <w:spacing w:before="164" w:line="188" w:lineRule="auto"/>
        <w:ind w:left="3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7、投标人须知资料表要求的其他资格证明文件;</w:t>
      </w:r>
    </w:p>
    <w:p w14:paraId="50D0D86A">
      <w:pPr>
        <w:spacing w:before="158" w:line="184" w:lineRule="auto"/>
        <w:ind w:left="3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19.2  商务及技术文件（包括但不限于）</w:t>
      </w:r>
    </w:p>
    <w:p w14:paraId="20045526">
      <w:pPr>
        <w:spacing w:before="133" w:line="183" w:lineRule="auto"/>
        <w:ind w:left="5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1、投标书（格式四）</w:t>
      </w:r>
    </w:p>
    <w:p w14:paraId="529608CE">
      <w:pPr>
        <w:spacing w:before="125" w:line="183" w:lineRule="auto"/>
        <w:ind w:left="5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2、投标分项报价表（格式五）</w:t>
      </w:r>
    </w:p>
    <w:p w14:paraId="003D7A48">
      <w:pPr>
        <w:spacing w:before="12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3、货物说明一览表（格式六）</w:t>
      </w:r>
    </w:p>
    <w:p w14:paraId="7AFB355B">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4、技术规格偏离表（格式七）</w:t>
      </w:r>
    </w:p>
    <w:p w14:paraId="4EABC014">
      <w:pPr>
        <w:spacing w:before="126"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5、商务条款偏离表（格式八）</w:t>
      </w:r>
    </w:p>
    <w:p w14:paraId="259EC427">
      <w:pPr>
        <w:spacing w:before="125" w:line="227" w:lineRule="auto"/>
        <w:ind w:left="1123" w:right="46" w:hanging="5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6、符合《政府采购促进中小企业发展暂行办法》、《关于</w:t>
      </w:r>
      <w:r>
        <w:rPr>
          <w:rFonts w:ascii="微软雅黑" w:hAnsi="微软雅黑" w:eastAsia="微软雅黑" w:cs="微软雅黑"/>
          <w:color w:val="auto"/>
          <w:sz w:val="21"/>
          <w:szCs w:val="21"/>
          <w:highlight w:val="none"/>
        </w:rPr>
        <w:t>政府采购支持监狱企业发展有关问题的通 知》和《三部门联合发布关于促进残疾人就业政府</w:t>
      </w:r>
      <w:r>
        <w:rPr>
          <w:rFonts w:ascii="微软雅黑" w:hAnsi="微软雅黑" w:eastAsia="微软雅黑" w:cs="微软雅黑"/>
          <w:color w:val="auto"/>
          <w:spacing w:val="-1"/>
          <w:sz w:val="21"/>
          <w:szCs w:val="21"/>
          <w:highlight w:val="none"/>
        </w:rPr>
        <w:t>采购政策的通知》条件的投标人须提交</w:t>
      </w:r>
    </w:p>
    <w:p w14:paraId="47C602F4">
      <w:pPr>
        <w:spacing w:before="117" w:line="263" w:lineRule="auto"/>
        <w:ind w:left="576" w:right="51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6-1《中小企业声明函（货物）》（格式九）</w:t>
      </w:r>
      <w:r>
        <w:rPr>
          <w:rFonts w:ascii="微软雅黑" w:hAnsi="微软雅黑" w:eastAsia="微软雅黑" w:cs="微软雅黑"/>
          <w:color w:val="auto"/>
          <w:spacing w:val="16"/>
          <w:w w:val="101"/>
          <w:sz w:val="21"/>
          <w:szCs w:val="21"/>
          <w:highlight w:val="none"/>
        </w:rPr>
        <w:t xml:space="preserve"> </w:t>
      </w:r>
      <w:r>
        <w:rPr>
          <w:rFonts w:ascii="微软雅黑" w:hAnsi="微软雅黑" w:eastAsia="微软雅黑" w:cs="微软雅黑"/>
          <w:color w:val="auto"/>
          <w:spacing w:val="-3"/>
          <w:sz w:val="21"/>
          <w:szCs w:val="21"/>
          <w:highlight w:val="none"/>
        </w:rPr>
        <w:t>6-2《残疾人福利性单位声明函》（格式十）</w:t>
      </w:r>
    </w:p>
    <w:p w14:paraId="7EC48F8D">
      <w:pPr>
        <w:spacing w:before="12"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7、投标人关联单位的说明（格式自拟）</w:t>
      </w:r>
    </w:p>
    <w:p w14:paraId="39ADAC93">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8、评分标准和细则中技术部分证明材料（格式自拟）</w:t>
      </w:r>
    </w:p>
    <w:p w14:paraId="55554247">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9、评分标准和细则中商务部分证明材料（格式自拟）</w:t>
      </w:r>
    </w:p>
    <w:p w14:paraId="3F5C889D">
      <w:pPr>
        <w:spacing w:before="125" w:line="183" w:lineRule="auto"/>
        <w:ind w:left="5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10、投标人认为有必要提供的其他证明材料（格式自拟）</w:t>
      </w:r>
    </w:p>
    <w:p w14:paraId="1434E904">
      <w:pPr>
        <w:spacing w:before="124"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u w:val="single" w:color="auto"/>
        </w:rPr>
        <w:t>注：以上材料须逐页加盖单位公章。</w:t>
      </w:r>
    </w:p>
    <w:p w14:paraId="23F3F315">
      <w:pPr>
        <w:spacing w:before="119"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19.3 投标文件的要求</w:t>
      </w:r>
    </w:p>
    <w:p w14:paraId="5AB5AEA0">
      <w:pPr>
        <w:spacing w:before="117" w:line="265" w:lineRule="auto"/>
        <w:ind w:left="53" w:right="29" w:firstLine="4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（1）供应商应仔细阅读采购文件的所有内容，按照采购文件的要求详细编制投标文件，</w:t>
      </w:r>
      <w:r>
        <w:rPr>
          <w:rFonts w:ascii="微软雅黑" w:hAnsi="微软雅黑" w:eastAsia="微软雅黑" w:cs="微软雅黑"/>
          <w:color w:val="auto"/>
          <w:spacing w:val="-2"/>
          <w:sz w:val="21"/>
          <w:szCs w:val="21"/>
          <w:highlight w:val="none"/>
        </w:rPr>
        <w:t>所提交的全部</w:t>
      </w:r>
      <w:r>
        <w:rPr>
          <w:rFonts w:ascii="微软雅黑" w:hAnsi="微软雅黑" w:eastAsia="微软雅黑" w:cs="微软雅黑"/>
          <w:color w:val="auto"/>
          <w:sz w:val="21"/>
          <w:szCs w:val="21"/>
          <w:highlight w:val="none"/>
        </w:rPr>
        <w:t xml:space="preserve"> 资料必须真实有效，</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并且要保证字迹清晰易于辨认。投标文件应对采购文件实质性内容作出响应，</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z w:val="21"/>
          <w:szCs w:val="21"/>
          <w:highlight w:val="none"/>
        </w:rPr>
        <w:t>否则按</w:t>
      </w:r>
    </w:p>
    <w:p w14:paraId="30CC40DE">
      <w:pPr>
        <w:spacing w:line="265" w:lineRule="auto"/>
        <w:rPr>
          <w:rFonts w:ascii="微软雅黑" w:hAnsi="微软雅黑" w:eastAsia="微软雅黑" w:cs="微软雅黑"/>
          <w:color w:val="auto"/>
          <w:sz w:val="21"/>
          <w:szCs w:val="21"/>
          <w:highlight w:val="none"/>
        </w:rPr>
        <w:sectPr>
          <w:headerReference r:id="rId26" w:type="default"/>
          <w:footerReference r:id="rId27" w:type="default"/>
          <w:pgSz w:w="11906" w:h="16839"/>
          <w:pgMar w:top="1745" w:right="1050" w:bottom="1152" w:left="1050" w:header="850" w:footer="992" w:gutter="0"/>
          <w:cols w:space="720" w:num="1"/>
        </w:sectPr>
      </w:pPr>
    </w:p>
    <w:p w14:paraId="6F52DCE2">
      <w:pPr>
        <w:spacing w:before="139"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无效标处理。</w:t>
      </w:r>
    </w:p>
    <w:p w14:paraId="4EA6F40C">
      <w:pPr>
        <w:spacing w:before="118" w:line="227" w:lineRule="auto"/>
        <w:ind w:left="45" w:right="149"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（2）投标文件格式应按本采购文件第六章格式要求</w:t>
      </w:r>
      <w:r>
        <w:rPr>
          <w:rFonts w:ascii="微软雅黑" w:hAnsi="微软雅黑" w:eastAsia="微软雅黑" w:cs="微软雅黑"/>
          <w:color w:val="auto"/>
          <w:spacing w:val="-2"/>
          <w:sz w:val="21"/>
          <w:szCs w:val="21"/>
          <w:highlight w:val="none"/>
        </w:rPr>
        <w:t>编制，不得对采购文件格式进行增删更改，否则按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无效标处理。</w:t>
      </w:r>
    </w:p>
    <w:p w14:paraId="47051102">
      <w:pPr>
        <w:spacing w:before="117" w:line="227" w:lineRule="auto"/>
        <w:ind w:left="57" w:right="170" w:firstLine="4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（3）对采购文件格式可更改的例外情况：采购文件第六章附件格式要求中明确规定表格中行数不够用</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2"/>
          <w:sz w:val="21"/>
          <w:szCs w:val="21"/>
          <w:highlight w:val="none"/>
        </w:rPr>
        <w:t>时可按相同格式增加行数，其他一切内容和格式不</w:t>
      </w:r>
      <w:r>
        <w:rPr>
          <w:rFonts w:ascii="微软雅黑" w:hAnsi="微软雅黑" w:eastAsia="微软雅黑" w:cs="微软雅黑"/>
          <w:color w:val="auto"/>
          <w:spacing w:val="-3"/>
          <w:sz w:val="21"/>
          <w:szCs w:val="21"/>
          <w:highlight w:val="none"/>
        </w:rPr>
        <w:t>得更改。</w:t>
      </w:r>
    </w:p>
    <w:p w14:paraId="125D38DD">
      <w:pPr>
        <w:spacing w:before="120" w:line="227" w:lineRule="auto"/>
        <w:ind w:left="43" w:right="133" w:firstLine="41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（4）投标文件为电子投标文件，</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z w:val="21"/>
          <w:szCs w:val="21"/>
          <w:highlight w:val="none"/>
        </w:rPr>
        <w:t>电子投标文件按“</w:t>
      </w:r>
      <w:r>
        <w:rPr>
          <w:rFonts w:ascii="微软雅黑" w:hAnsi="微软雅黑" w:eastAsia="微软雅黑" w:cs="微软雅黑"/>
          <w:color w:val="auto"/>
          <w:spacing w:val="-46"/>
          <w:sz w:val="21"/>
          <w:szCs w:val="21"/>
          <w:highlight w:val="none"/>
        </w:rPr>
        <w:t xml:space="preserve"> </w:t>
      </w:r>
      <w:r>
        <w:rPr>
          <w:rFonts w:ascii="微软雅黑" w:hAnsi="微软雅黑" w:eastAsia="微软雅黑" w:cs="微软雅黑"/>
          <w:color w:val="auto"/>
          <w:sz w:val="21"/>
          <w:szCs w:val="21"/>
          <w:highlight w:val="none"/>
        </w:rPr>
        <w:t>政采云</w:t>
      </w:r>
      <w:r>
        <w:rPr>
          <w:rFonts w:ascii="微软雅黑" w:hAnsi="微软雅黑" w:eastAsia="微软雅黑" w:cs="微软雅黑"/>
          <w:color w:val="auto"/>
          <w:spacing w:val="-1"/>
          <w:sz w:val="21"/>
          <w:szCs w:val="21"/>
          <w:highlight w:val="none"/>
        </w:rPr>
        <w:t>供应商项目采购-电子招投标操作指南</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本采购文件要求制作、加密传输。</w:t>
      </w:r>
    </w:p>
    <w:p w14:paraId="3B6A3A3F">
      <w:pPr>
        <w:spacing w:before="117" w:line="227" w:lineRule="auto"/>
        <w:ind w:left="42" w:right="147" w:firstLine="4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（5）投标文件未在投标截止时间前完成传输的，视为投</w:t>
      </w:r>
      <w:r>
        <w:rPr>
          <w:rFonts w:ascii="微软雅黑" w:hAnsi="微软雅黑" w:eastAsia="微软雅黑" w:cs="微软雅黑"/>
          <w:color w:val="auto"/>
          <w:spacing w:val="-2"/>
          <w:sz w:val="21"/>
          <w:szCs w:val="21"/>
          <w:highlight w:val="none"/>
        </w:rPr>
        <w:t>标文件撤回；投标文件未按时解密也未提供备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份投标文件的，亦视为投标文件撤回。</w:t>
      </w:r>
    </w:p>
    <w:p w14:paraId="54325FE1">
      <w:pPr>
        <w:spacing w:before="150"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20</w:t>
      </w:r>
      <w:r>
        <w:rPr>
          <w:rFonts w:ascii="微软雅黑" w:hAnsi="微软雅黑" w:eastAsia="微软雅黑" w:cs="微软雅黑"/>
          <w:color w:val="auto"/>
          <w:spacing w:val="-1"/>
          <w:sz w:val="21"/>
          <w:szCs w:val="21"/>
          <w:highlight w:val="none"/>
        </w:rPr>
        <w:t>.</w:t>
      </w:r>
      <w:r>
        <w:rPr>
          <w:rFonts w:ascii="微软雅黑" w:hAnsi="微软雅黑" w:eastAsia="微软雅黑" w:cs="微软雅黑"/>
          <w:b/>
          <w:bCs/>
          <w:color w:val="auto"/>
          <w:spacing w:val="-1"/>
          <w:sz w:val="21"/>
          <w:szCs w:val="21"/>
          <w:highlight w:val="none"/>
        </w:rPr>
        <w:t>投标报价</w:t>
      </w:r>
    </w:p>
    <w:p w14:paraId="6A548D02">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 投标报价文件中的单价和总价全部采用人民币表示。</w:t>
      </w:r>
    </w:p>
    <w:p w14:paraId="15E479A7">
      <w:pPr>
        <w:spacing w:before="158" w:line="187"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20.2 投标报价表上应清楚地标明投标人拟提供货物的名称、型号、数量</w:t>
      </w:r>
      <w:r>
        <w:rPr>
          <w:rFonts w:ascii="微软雅黑" w:hAnsi="微软雅黑" w:eastAsia="微软雅黑" w:cs="微软雅黑"/>
          <w:color w:val="auto"/>
          <w:spacing w:val="-2"/>
          <w:sz w:val="21"/>
          <w:szCs w:val="21"/>
          <w:highlight w:val="none"/>
        </w:rPr>
        <w:t>、单价和总价。</w:t>
      </w:r>
    </w:p>
    <w:p w14:paraId="0F23E445">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20.3 投标人只允许有一个方案、一个报价。</w:t>
      </w:r>
    </w:p>
    <w:p w14:paraId="0DBA0A44">
      <w:pPr>
        <w:spacing w:before="158" w:line="272" w:lineRule="auto"/>
        <w:ind w:left="43" w:right="61"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20.4 投标人应按“</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采购内容及技术参数要求</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”所列货物逐项进行单价报价，并最终按货物总量乘以货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物单价报总价，不得采用总价下浮的方式进行报价。综合</w:t>
      </w:r>
      <w:r>
        <w:rPr>
          <w:rFonts w:ascii="微软雅黑" w:hAnsi="微软雅黑" w:eastAsia="微软雅黑" w:cs="微软雅黑"/>
          <w:color w:val="auto"/>
          <w:spacing w:val="-2"/>
          <w:sz w:val="21"/>
          <w:szCs w:val="21"/>
          <w:highlight w:val="none"/>
        </w:rPr>
        <w:t>单价包括：货物本身价格、人工费、机械设备费、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安装费、运输费用、验货费用、损耗、技术指导、税</w:t>
      </w:r>
      <w:r>
        <w:rPr>
          <w:rFonts w:ascii="微软雅黑" w:hAnsi="微软雅黑" w:eastAsia="微软雅黑" w:cs="微软雅黑"/>
          <w:color w:val="auto"/>
          <w:spacing w:val="1"/>
          <w:sz w:val="21"/>
          <w:szCs w:val="21"/>
          <w:highlight w:val="none"/>
        </w:rPr>
        <w:t>金费用、自检费及验收合格前和质保期内发生的一切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费用、应当提供的伴随服务/售后服务费用及后期服务及国家对中标单位征收的各种税费等所有费用，</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4"/>
          <w:sz w:val="21"/>
          <w:szCs w:val="21"/>
          <w:highlight w:val="none"/>
        </w:rPr>
        <w:t>综合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单价今后将不作任何调整。</w:t>
      </w:r>
    </w:p>
    <w:p w14:paraId="524D0078">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20.5 投标报价的价格是货物交货地验收价格，其总价即为</w:t>
      </w:r>
      <w:r>
        <w:rPr>
          <w:rFonts w:ascii="微软雅黑" w:hAnsi="微软雅黑" w:eastAsia="微软雅黑" w:cs="微软雅黑"/>
          <w:color w:val="auto"/>
          <w:spacing w:val="-2"/>
          <w:sz w:val="21"/>
          <w:szCs w:val="21"/>
          <w:highlight w:val="none"/>
        </w:rPr>
        <w:t>履行合同的固定总价。</w:t>
      </w:r>
    </w:p>
    <w:p w14:paraId="0A9EB076">
      <w:pPr>
        <w:spacing w:before="159"/>
        <w:ind w:left="47" w:right="133"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20.6 技术要求中规定的安装、调试和培训费用应包括在投标价格中。投标文件报价为含税价，招标人</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4"/>
          <w:sz w:val="21"/>
          <w:szCs w:val="21"/>
          <w:highlight w:val="none"/>
        </w:rPr>
        <w:t>不再为此次招标支付任何费用。</w:t>
      </w:r>
    </w:p>
    <w:p w14:paraId="65EA08AE">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20.7 投标报价应由法定代表人或被授权人签署。</w:t>
      </w:r>
    </w:p>
    <w:p w14:paraId="45BE5FFF">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20.8 投标人投标总报价，不得高于本次招标设置的最高限价，否则将作为无</w:t>
      </w:r>
      <w:r>
        <w:rPr>
          <w:rFonts w:ascii="微软雅黑" w:hAnsi="微软雅黑" w:eastAsia="微软雅黑" w:cs="微软雅黑"/>
          <w:color w:val="auto"/>
          <w:spacing w:val="-2"/>
          <w:sz w:val="21"/>
          <w:szCs w:val="21"/>
          <w:highlight w:val="none"/>
        </w:rPr>
        <w:t>效投标处理。</w:t>
      </w:r>
    </w:p>
    <w:p w14:paraId="7EE1A911">
      <w:pPr>
        <w:spacing w:before="159"/>
        <w:ind w:left="47" w:firstLine="4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20.9 如投标文件中未列明全面实现投标货物功能而必须配置的配套</w:t>
      </w:r>
      <w:r>
        <w:rPr>
          <w:rFonts w:ascii="微软雅黑" w:hAnsi="微软雅黑" w:eastAsia="微软雅黑" w:cs="微软雅黑"/>
          <w:color w:val="auto"/>
          <w:spacing w:val="-2"/>
          <w:sz w:val="21"/>
          <w:szCs w:val="21"/>
          <w:highlight w:val="none"/>
        </w:rPr>
        <w:t>或辅助设施及相应技术措施的费用，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这些费用将被视为已包含在总投标价中。</w:t>
      </w:r>
    </w:p>
    <w:p w14:paraId="058FB90B">
      <w:pPr>
        <w:spacing w:before="157" w:line="241" w:lineRule="auto"/>
        <w:ind w:left="42" w:right="132"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20.10 总投标价中不得包含采购文件要求以外的内容，否则，在评标</w:t>
      </w:r>
      <w:r>
        <w:rPr>
          <w:rFonts w:ascii="微软雅黑" w:hAnsi="微软雅黑" w:eastAsia="微软雅黑" w:cs="微软雅黑"/>
          <w:color w:val="auto"/>
          <w:spacing w:val="-3"/>
          <w:sz w:val="21"/>
          <w:szCs w:val="21"/>
          <w:highlight w:val="none"/>
        </w:rPr>
        <w:t>时不予核减，但在授予合同时，招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标人有权将这部分价格从其中标价格中扣除。</w:t>
      </w:r>
    </w:p>
    <w:p w14:paraId="7669CC1E">
      <w:pPr>
        <w:spacing w:before="158" w:line="258" w:lineRule="auto"/>
        <w:ind w:left="44" w:right="132" w:firstLine="3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20.11 总投标价中不得缺漏采购文件所要求的内容，否则，评标时将有效投标中该项内容的最高价计入</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其评标总价，但在授予合同时，缺漏项目的报价视作已含在其他项目的报价中，</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这些项目将作为免费赠送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而包含在合同内。</w:t>
      </w:r>
    </w:p>
    <w:p w14:paraId="614E2971">
      <w:pPr>
        <w:spacing w:before="157" w:line="188" w:lineRule="auto"/>
        <w:ind w:left="4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20.12 投标人不得对从第三方采购货物的随机备品、备件另行收费，</w:t>
      </w:r>
      <w:r>
        <w:rPr>
          <w:rFonts w:ascii="微软雅黑" w:hAnsi="微软雅黑" w:eastAsia="微软雅黑" w:cs="微软雅黑"/>
          <w:color w:val="auto"/>
          <w:spacing w:val="40"/>
          <w:w w:val="101"/>
          <w:sz w:val="21"/>
          <w:szCs w:val="21"/>
          <w:highlight w:val="none"/>
        </w:rPr>
        <w:t xml:space="preserve"> </w:t>
      </w:r>
      <w:r>
        <w:rPr>
          <w:rFonts w:ascii="微软雅黑" w:hAnsi="微软雅黑" w:eastAsia="微软雅黑" w:cs="微软雅黑"/>
          <w:color w:val="auto"/>
          <w:spacing w:val="-4"/>
          <w:sz w:val="21"/>
          <w:szCs w:val="21"/>
          <w:highlight w:val="none"/>
        </w:rPr>
        <w:t>否则在计算评标价时这部分</w:t>
      </w:r>
      <w:r>
        <w:rPr>
          <w:rFonts w:ascii="微软雅黑" w:hAnsi="微软雅黑" w:eastAsia="微软雅黑" w:cs="微软雅黑"/>
          <w:color w:val="auto"/>
          <w:spacing w:val="-5"/>
          <w:sz w:val="21"/>
          <w:szCs w:val="21"/>
          <w:highlight w:val="none"/>
        </w:rPr>
        <w:t>费用将</w:t>
      </w:r>
    </w:p>
    <w:p w14:paraId="6565C878">
      <w:pPr>
        <w:spacing w:line="188" w:lineRule="auto"/>
        <w:rPr>
          <w:rFonts w:ascii="微软雅黑" w:hAnsi="微软雅黑" w:eastAsia="微软雅黑" w:cs="微软雅黑"/>
          <w:color w:val="auto"/>
          <w:sz w:val="21"/>
          <w:szCs w:val="21"/>
          <w:highlight w:val="none"/>
        </w:rPr>
        <w:sectPr>
          <w:headerReference r:id="rId28" w:type="default"/>
          <w:footerReference r:id="rId29" w:type="default"/>
          <w:pgSz w:w="11906" w:h="16839"/>
          <w:pgMar w:top="1745" w:right="946" w:bottom="1152" w:left="1050" w:header="850" w:footer="992" w:gutter="0"/>
          <w:cols w:space="720" w:num="1"/>
        </w:sectPr>
      </w:pPr>
    </w:p>
    <w:p w14:paraId="396D0CEF">
      <w:pPr>
        <w:spacing w:before="171" w:line="188"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不予扣除，在授予合同时将从中标价格中扣除该部分费用。</w:t>
      </w:r>
    </w:p>
    <w:p w14:paraId="19D6973E">
      <w:pPr>
        <w:spacing w:before="158" w:line="292" w:lineRule="auto"/>
        <w:ind w:left="43" w:right="28" w:firstLine="39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20.13 投标人应根据货物的技术状况列出随机备品备件的清单和数量，并将该备品备件价格计入总投标</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价，若所提供的产品无需备件，</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则应在投标文件中说明</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 xml:space="preserve">无论投标人在报价中列明随机备品备件的数量及 </w:t>
      </w:r>
      <w:r>
        <w:rPr>
          <w:rFonts w:ascii="微软雅黑" w:hAnsi="微软雅黑" w:eastAsia="微软雅黑" w:cs="微软雅黑"/>
          <w:color w:val="auto"/>
          <w:spacing w:val="-1"/>
          <w:sz w:val="21"/>
          <w:szCs w:val="21"/>
          <w:highlight w:val="none"/>
        </w:rPr>
        <w:t>价格多少，在质保期内招标人均无需为维护维修保养所需的专用工具和备品备件另行支付费用。</w:t>
      </w:r>
    </w:p>
    <w:p w14:paraId="5CDD7FBE">
      <w:pPr>
        <w:spacing w:before="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21.</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投标有效期</w:t>
      </w:r>
    </w:p>
    <w:p w14:paraId="54680668">
      <w:pPr>
        <w:spacing w:before="15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21.1  除投标人须知前附表另有规定外，投标有效期为 90 天。</w:t>
      </w:r>
    </w:p>
    <w:p w14:paraId="1B01DC97">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21.2 在投标有效期内，投标人撤销或修改其投标文件的，应承担采购文件和法律规定</w:t>
      </w:r>
      <w:r>
        <w:rPr>
          <w:rFonts w:ascii="微软雅黑" w:hAnsi="微软雅黑" w:eastAsia="微软雅黑" w:cs="微软雅黑"/>
          <w:color w:val="auto"/>
          <w:spacing w:val="-2"/>
          <w:sz w:val="21"/>
          <w:szCs w:val="21"/>
          <w:highlight w:val="none"/>
        </w:rPr>
        <w:t>的责任。</w:t>
      </w:r>
    </w:p>
    <w:p w14:paraId="2AE04031">
      <w:pPr>
        <w:spacing w:before="158" w:line="258" w:lineRule="auto"/>
        <w:ind w:left="42" w:right="29"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21.3</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z w:val="21"/>
          <w:szCs w:val="21"/>
          <w:highlight w:val="none"/>
        </w:rPr>
        <w:t>出现特殊情况需要延长投标有效期的，招标人以书面形式通知</w:t>
      </w:r>
      <w:r>
        <w:rPr>
          <w:rFonts w:ascii="微软雅黑" w:hAnsi="微软雅黑" w:eastAsia="微软雅黑" w:cs="微软雅黑"/>
          <w:color w:val="auto"/>
          <w:spacing w:val="-1"/>
          <w:sz w:val="21"/>
          <w:szCs w:val="21"/>
          <w:highlight w:val="none"/>
        </w:rPr>
        <w:t>所有投标人延长投标有效期。投标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人同意延长的，应相应延长其投标保证金的有效期，但不得要求或被允许修改或撤销其投标文件；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投标人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拒绝延长的，其投标失效，但投标人有权收回其投标保证金。</w:t>
      </w:r>
    </w:p>
    <w:p w14:paraId="73766A78">
      <w:pPr>
        <w:spacing w:before="159" w:line="188" w:lineRule="auto"/>
        <w:ind w:left="4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22.</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投标保证金</w:t>
      </w:r>
    </w:p>
    <w:p w14:paraId="208013B4">
      <w:pPr>
        <w:spacing w:before="125"/>
        <w:ind w:left="42" w:right="29"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22.1 投标人须知前附表规定递交投标保证金的，投标人在递交投标文件的同时，应按投标人须知前附</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表规定的金额、担保形式和第六章“</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投标文件格式</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”规定的投标保证金格式递交投标保证金，</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并作为其投 </w:t>
      </w:r>
      <w:r>
        <w:rPr>
          <w:rFonts w:ascii="微软雅黑" w:hAnsi="微软雅黑" w:eastAsia="微软雅黑" w:cs="微软雅黑"/>
          <w:color w:val="auto"/>
          <w:spacing w:val="-1"/>
          <w:sz w:val="21"/>
          <w:szCs w:val="21"/>
          <w:highlight w:val="none"/>
        </w:rPr>
        <w:t>标文件的组成部分。投标人不按要求提交投标保证金的，评标委员会将否</w:t>
      </w:r>
      <w:r>
        <w:rPr>
          <w:rFonts w:ascii="微软雅黑" w:hAnsi="微软雅黑" w:eastAsia="微软雅黑" w:cs="微软雅黑"/>
          <w:color w:val="auto"/>
          <w:spacing w:val="-2"/>
          <w:sz w:val="21"/>
          <w:szCs w:val="21"/>
          <w:highlight w:val="none"/>
        </w:rPr>
        <w:t>决其投标。</w:t>
      </w:r>
    </w:p>
    <w:p w14:paraId="603FD926">
      <w:pPr>
        <w:spacing w:before="120" w:line="227" w:lineRule="auto"/>
        <w:ind w:left="87" w:right="29" w:firstLine="3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22.2</w:t>
      </w:r>
      <w:r>
        <w:rPr>
          <w:rFonts w:ascii="微软雅黑" w:hAnsi="微软雅黑" w:eastAsia="微软雅黑" w:cs="微软雅黑"/>
          <w:color w:val="auto"/>
          <w:spacing w:val="59"/>
          <w:w w:val="101"/>
          <w:sz w:val="21"/>
          <w:szCs w:val="21"/>
          <w:highlight w:val="none"/>
        </w:rPr>
        <w:t xml:space="preserve"> </w:t>
      </w:r>
      <w:r>
        <w:rPr>
          <w:rFonts w:ascii="微软雅黑" w:hAnsi="微软雅黑" w:eastAsia="微软雅黑" w:cs="微软雅黑"/>
          <w:color w:val="auto"/>
          <w:spacing w:val="-3"/>
          <w:sz w:val="21"/>
          <w:szCs w:val="21"/>
          <w:highlight w:val="none"/>
        </w:rPr>
        <w:t>自中标通知书发出之日起 5 个工作日内退还未中标投标人的投标保证金， 自政府采购合同签订之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日起 5 个工作日内退还中标人的投标保证金。</w:t>
      </w:r>
    </w:p>
    <w:p w14:paraId="5AF2C94D">
      <w:pPr>
        <w:spacing w:before="11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22.3 有下列情形之一的，投标保证金将不予退还：</w:t>
      </w:r>
    </w:p>
    <w:p w14:paraId="2DF75EDD">
      <w:pPr>
        <w:spacing w:before="119"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（1）投标人在规定的投标有效期内撤回或修改其投标文件；</w:t>
      </w:r>
    </w:p>
    <w:p w14:paraId="3F11FA6F">
      <w:pPr>
        <w:spacing w:before="123" w:line="228" w:lineRule="auto"/>
        <w:ind w:left="43" w:right="41"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（2）中标通知书发出后三十天内，中标人无正当理由拒</w:t>
      </w:r>
      <w:r>
        <w:rPr>
          <w:rFonts w:ascii="微软雅黑" w:hAnsi="微软雅黑" w:eastAsia="微软雅黑" w:cs="微软雅黑"/>
          <w:color w:val="auto"/>
          <w:spacing w:val="-2"/>
          <w:sz w:val="21"/>
          <w:szCs w:val="21"/>
          <w:highlight w:val="none"/>
        </w:rPr>
        <w:t>签合同协议书或未按采购文件规定提交履约担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1"/>
          <w:sz w:val="21"/>
          <w:szCs w:val="21"/>
          <w:highlight w:val="none"/>
        </w:rPr>
        <w:t>保。</w:t>
      </w:r>
    </w:p>
    <w:p w14:paraId="3D95ACF7">
      <w:pPr>
        <w:spacing w:before="117"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（3）提供虚假材料谋取中标的；</w:t>
      </w:r>
    </w:p>
    <w:p w14:paraId="6C842141">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（4）经查实属于陪标、串通投标的等。</w:t>
      </w:r>
    </w:p>
    <w:p w14:paraId="134E7ACD">
      <w:pPr>
        <w:spacing w:before="12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22.4 投标保证金按投标人须知前附表第 15</w:t>
      </w:r>
      <w:r>
        <w:rPr>
          <w:rFonts w:ascii="微软雅黑" w:hAnsi="微软雅黑" w:eastAsia="微软雅黑" w:cs="微软雅黑"/>
          <w:color w:val="auto"/>
          <w:spacing w:val="-4"/>
          <w:sz w:val="21"/>
          <w:szCs w:val="21"/>
          <w:highlight w:val="none"/>
        </w:rPr>
        <w:t xml:space="preserve"> 条规定执行。</w:t>
      </w:r>
    </w:p>
    <w:p w14:paraId="58D3E0B7">
      <w:pPr>
        <w:pStyle w:val="6"/>
        <w:spacing w:line="290" w:lineRule="auto"/>
        <w:rPr>
          <w:color w:val="auto"/>
          <w:highlight w:val="none"/>
        </w:rPr>
      </w:pPr>
    </w:p>
    <w:p w14:paraId="587D60F2">
      <w:pPr>
        <w:spacing w:before="120" w:line="184" w:lineRule="auto"/>
        <w:ind w:left="24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3"/>
          <w:sz w:val="28"/>
          <w:szCs w:val="28"/>
          <w:highlight w:val="none"/>
        </w:rPr>
        <w:t>（四）投标文件的制作、上传及递交要求</w:t>
      </w:r>
    </w:p>
    <w:p w14:paraId="200AD80E">
      <w:pPr>
        <w:pStyle w:val="6"/>
        <w:spacing w:line="283" w:lineRule="auto"/>
        <w:rPr>
          <w:color w:val="auto"/>
          <w:highlight w:val="none"/>
        </w:rPr>
      </w:pPr>
    </w:p>
    <w:p w14:paraId="49E8EDEF">
      <w:pPr>
        <w:spacing w:before="91"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23.投标文件的制作要求</w:t>
      </w:r>
    </w:p>
    <w:p w14:paraId="502363B2">
      <w:pPr>
        <w:spacing w:before="124" w:line="272" w:lineRule="auto"/>
        <w:ind w:left="44" w:right="29" w:firstLine="47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（1）供应商应按照投标文件组成内容及项目招标</w:t>
      </w:r>
      <w:r>
        <w:rPr>
          <w:rFonts w:ascii="微软雅黑" w:hAnsi="微软雅黑" w:eastAsia="微软雅黑" w:cs="微软雅黑"/>
          <w:color w:val="auto"/>
          <w:spacing w:val="-3"/>
          <w:sz w:val="21"/>
          <w:szCs w:val="21"/>
          <w:highlight w:val="none"/>
        </w:rPr>
        <w:t>需求和新疆政府采购云平台要求制作投标文件，不按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采购文件和新疆政府采购云平台要求制作投标文件</w:t>
      </w:r>
      <w:r>
        <w:rPr>
          <w:rFonts w:ascii="微软雅黑" w:hAnsi="微软雅黑" w:eastAsia="微软雅黑" w:cs="微软雅黑"/>
          <w:color w:val="auto"/>
          <w:sz w:val="21"/>
          <w:szCs w:val="21"/>
          <w:highlight w:val="none"/>
        </w:rPr>
        <w:t>的将视情况处理（拒收等</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z w:val="21"/>
          <w:szCs w:val="21"/>
          <w:highlight w:val="none"/>
        </w:rPr>
        <w:t xml:space="preserve">由此产生的责任由供应商 </w:t>
      </w:r>
      <w:r>
        <w:rPr>
          <w:rFonts w:ascii="微软雅黑" w:hAnsi="微软雅黑" w:eastAsia="微软雅黑" w:cs="微软雅黑"/>
          <w:color w:val="auto"/>
          <w:spacing w:val="-7"/>
          <w:sz w:val="21"/>
          <w:szCs w:val="21"/>
          <w:highlight w:val="none"/>
        </w:rPr>
        <w:t>自行承担。</w:t>
      </w:r>
    </w:p>
    <w:p w14:paraId="3DBE4B13">
      <w:pPr>
        <w:spacing w:line="270" w:lineRule="auto"/>
        <w:ind w:left="50" w:right="10" w:firstLine="43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电子投标文件部分：供应商应根据“政采云供应商项目采购-电子招投标操作指南”及本采购文件规定</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的格式和顺序编制电子投标文件并进行关联定位。本文件《第六章</w:t>
      </w:r>
      <w:r>
        <w:rPr>
          <w:rFonts w:ascii="微软雅黑" w:hAnsi="微软雅黑" w:eastAsia="微软雅黑" w:cs="微软雅黑"/>
          <w:color w:val="auto"/>
          <w:spacing w:val="66"/>
          <w:sz w:val="21"/>
          <w:szCs w:val="21"/>
          <w:highlight w:val="none"/>
        </w:rPr>
        <w:t xml:space="preserve"> </w:t>
      </w:r>
      <w:r>
        <w:rPr>
          <w:rFonts w:ascii="微软雅黑" w:hAnsi="微软雅黑" w:eastAsia="微软雅黑" w:cs="微软雅黑"/>
          <w:color w:val="auto"/>
          <w:spacing w:val="-1"/>
          <w:sz w:val="21"/>
          <w:szCs w:val="21"/>
          <w:highlight w:val="none"/>
        </w:rPr>
        <w:t>投标文件格式》中有提供格式的，供应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商应按照格式进行编制（格式中要求提供相关证明材料的还需后附相关证明材料</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并按格式要求</w:t>
      </w:r>
      <w:r>
        <w:rPr>
          <w:rFonts w:ascii="微软雅黑" w:hAnsi="微软雅黑" w:eastAsia="微软雅黑" w:cs="微软雅黑"/>
          <w:color w:val="auto"/>
          <w:sz w:val="21"/>
          <w:szCs w:val="21"/>
          <w:highlight w:val="none"/>
        </w:rPr>
        <w:t>在指定</w:t>
      </w:r>
    </w:p>
    <w:p w14:paraId="3FF4C505">
      <w:pPr>
        <w:spacing w:line="270" w:lineRule="auto"/>
        <w:rPr>
          <w:rFonts w:ascii="微软雅黑" w:hAnsi="微软雅黑" w:eastAsia="微软雅黑" w:cs="微软雅黑"/>
          <w:color w:val="auto"/>
          <w:sz w:val="21"/>
          <w:szCs w:val="21"/>
          <w:highlight w:val="none"/>
        </w:rPr>
        <w:sectPr>
          <w:headerReference r:id="rId30" w:type="default"/>
          <w:footerReference r:id="rId31" w:type="default"/>
          <w:pgSz w:w="11906" w:h="16839"/>
          <w:pgMar w:top="1745" w:right="1050" w:bottom="1152" w:left="1050" w:header="850" w:footer="992" w:gutter="0"/>
          <w:cols w:space="720" w:num="1"/>
        </w:sectPr>
      </w:pPr>
    </w:p>
    <w:p w14:paraId="7501FEA5">
      <w:pPr>
        <w:spacing w:before="31" w:line="271" w:lineRule="auto"/>
        <w:ind w:left="42" w:right="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位置根据要求进行签章，</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否则视为未提供；</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本文件《</w:t>
      </w:r>
      <w:r>
        <w:rPr>
          <w:rFonts w:ascii="微软雅黑" w:hAnsi="微软雅黑" w:eastAsia="微软雅黑" w:cs="微软雅黑"/>
          <w:color w:val="auto"/>
          <w:sz w:val="21"/>
          <w:szCs w:val="21"/>
          <w:highlight w:val="none"/>
        </w:rPr>
        <w:t xml:space="preserve">第六章投标文件格式》未提供格式的，请供应商自行 </w:t>
      </w:r>
      <w:r>
        <w:rPr>
          <w:rFonts w:ascii="微软雅黑" w:hAnsi="微软雅黑" w:eastAsia="微软雅黑" w:cs="微软雅黑"/>
          <w:color w:val="auto"/>
          <w:spacing w:val="-2"/>
          <w:sz w:val="21"/>
          <w:szCs w:val="21"/>
          <w:highlight w:val="none"/>
        </w:rPr>
        <w:t>拟定格式，并加盖单位公章，否则视为未提供。</w:t>
      </w:r>
    </w:p>
    <w:p w14:paraId="016EB49B">
      <w:pPr>
        <w:spacing w:before="5" w:line="188"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备份电子投标文件：通过“政采云”平台电子投标工具制作投标文件所产生的</w:t>
      </w:r>
      <w:r>
        <w:rPr>
          <w:rFonts w:ascii="微软雅黑" w:hAnsi="微软雅黑" w:eastAsia="微软雅黑" w:cs="微软雅黑"/>
          <w:color w:val="auto"/>
          <w:spacing w:val="-2"/>
          <w:sz w:val="21"/>
          <w:szCs w:val="21"/>
          <w:highlight w:val="none"/>
        </w:rPr>
        <w:t>备份文件。</w:t>
      </w:r>
    </w:p>
    <w:p w14:paraId="42E272CF">
      <w:pPr>
        <w:spacing w:before="125" w:line="230" w:lineRule="auto"/>
        <w:ind w:left="45" w:right="66" w:firstLine="47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（2）供应商应对所提供的全部资料的真实性、有效性承担</w:t>
      </w:r>
      <w:r>
        <w:rPr>
          <w:rFonts w:ascii="微软雅黑" w:hAnsi="微软雅黑" w:eastAsia="微软雅黑" w:cs="微软雅黑"/>
          <w:color w:val="auto"/>
          <w:spacing w:val="-7"/>
          <w:sz w:val="21"/>
          <w:szCs w:val="21"/>
          <w:highlight w:val="none"/>
        </w:rPr>
        <w:t>法律责任，</w:t>
      </w:r>
      <w:r>
        <w:rPr>
          <w:rFonts w:ascii="微软雅黑" w:hAnsi="微软雅黑" w:eastAsia="微软雅黑" w:cs="微软雅黑"/>
          <w:color w:val="auto"/>
          <w:spacing w:val="23"/>
          <w:w w:val="101"/>
          <w:sz w:val="21"/>
          <w:szCs w:val="21"/>
          <w:highlight w:val="none"/>
        </w:rPr>
        <w:t xml:space="preserve">  </w:t>
      </w:r>
      <w:r>
        <w:rPr>
          <w:rFonts w:ascii="微软雅黑" w:hAnsi="微软雅黑" w:eastAsia="微软雅黑" w:cs="微软雅黑"/>
          <w:color w:val="auto"/>
          <w:spacing w:val="-7"/>
          <w:sz w:val="21"/>
          <w:szCs w:val="21"/>
          <w:highlight w:val="none"/>
        </w:rPr>
        <w:t>电子投标文件中所须加盖公章部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2"/>
          <w:sz w:val="21"/>
          <w:szCs w:val="21"/>
          <w:highlight w:val="none"/>
        </w:rPr>
        <w:t>分均采用 CA 签章。</w:t>
      </w:r>
    </w:p>
    <w:p w14:paraId="1D6EF23E">
      <w:pPr>
        <w:spacing w:before="126" w:line="230" w:lineRule="auto"/>
        <w:ind w:left="47" w:right="77" w:firstLine="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（3）投标文件以及供应商与采购组织机构就有关投标事宜的所有来往函电，均应以中文汉语书写。除</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1"/>
          <w:sz w:val="21"/>
          <w:szCs w:val="21"/>
          <w:highlight w:val="none"/>
        </w:rPr>
        <w:t>签字、盖章、专用名称等特殊情形外，以中文汉语以外的文字表述的投标文</w:t>
      </w:r>
      <w:r>
        <w:rPr>
          <w:rFonts w:ascii="微软雅黑" w:hAnsi="微软雅黑" w:eastAsia="微软雅黑" w:cs="微软雅黑"/>
          <w:color w:val="auto"/>
          <w:spacing w:val="-2"/>
          <w:sz w:val="21"/>
          <w:szCs w:val="21"/>
          <w:highlight w:val="none"/>
        </w:rPr>
        <w:t>件视同未提供。</w:t>
      </w:r>
    </w:p>
    <w:p w14:paraId="2EC8342C">
      <w:pPr>
        <w:spacing w:before="125" w:line="228" w:lineRule="auto"/>
        <w:ind w:left="42" w:firstLine="4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（4）投标计量单位，采购文件已有明确规定的，使用采购文件规定的计量单位；采购文件没有规定的，</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2"/>
          <w:sz w:val="21"/>
          <w:szCs w:val="21"/>
          <w:highlight w:val="none"/>
        </w:rPr>
        <w:t>应采用中华人民共和国法定计量单位（货币单位：人民币元）。</w:t>
      </w:r>
    </w:p>
    <w:p w14:paraId="7C8E0477">
      <w:pPr>
        <w:spacing w:before="134"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（5）若供应商不按采购文件的要求提供资格审查材料，其风险由供应商自行承担。</w:t>
      </w:r>
    </w:p>
    <w:p w14:paraId="604ED217">
      <w:pPr>
        <w:spacing w:before="133"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（6）与本次投标无关的内容请不要制作在内，确保投标文件有针对性、简洁明了。</w:t>
      </w:r>
    </w:p>
    <w:p w14:paraId="47B7A76E">
      <w:pPr>
        <w:spacing w:before="133"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24.投标文件的上传</w:t>
      </w:r>
    </w:p>
    <w:p w14:paraId="611BD5AB">
      <w:pPr>
        <w:spacing w:before="127" w:line="172"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（1）电子加密投标文件（“</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6"/>
          <w:sz w:val="21"/>
          <w:szCs w:val="21"/>
          <w:highlight w:val="none"/>
        </w:rPr>
        <w:t>.jmbs”格式）：</w:t>
      </w:r>
    </w:p>
    <w:p w14:paraId="74260C7D">
      <w:pPr>
        <w:spacing w:before="149" w:line="271" w:lineRule="auto"/>
        <w:ind w:left="45" w:right="61" w:firstLine="5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a.</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2"/>
          <w:sz w:val="21"/>
          <w:szCs w:val="21"/>
          <w:highlight w:val="none"/>
        </w:rPr>
        <w:t>供应商应在投标截止时间前将电子加密投标文件成功上传递交至新疆政府采</w:t>
      </w:r>
      <w:r>
        <w:rPr>
          <w:rFonts w:ascii="微软雅黑" w:hAnsi="微软雅黑" w:eastAsia="微软雅黑" w:cs="微软雅黑"/>
          <w:color w:val="auto"/>
          <w:spacing w:val="1"/>
          <w:sz w:val="21"/>
          <w:szCs w:val="21"/>
          <w:highlight w:val="none"/>
        </w:rPr>
        <w:t>购云平台，</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否则投标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4"/>
          <w:sz w:val="21"/>
          <w:szCs w:val="21"/>
          <w:highlight w:val="none"/>
        </w:rPr>
        <w:t>无效；</w:t>
      </w:r>
    </w:p>
    <w:p w14:paraId="0D5DF5E5">
      <w:pPr>
        <w:spacing w:before="4" w:line="188" w:lineRule="auto"/>
        <w:ind w:left="5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b.供应商成功上传电子加密投标文件后，可自行打印投标</w:t>
      </w:r>
      <w:r>
        <w:rPr>
          <w:rFonts w:ascii="微软雅黑" w:hAnsi="微软雅黑" w:eastAsia="微软雅黑" w:cs="微软雅黑"/>
          <w:color w:val="auto"/>
          <w:spacing w:val="-1"/>
          <w:sz w:val="21"/>
          <w:szCs w:val="21"/>
          <w:highlight w:val="none"/>
        </w:rPr>
        <w:t>文件接收回执。</w:t>
      </w:r>
    </w:p>
    <w:p w14:paraId="416E88FF">
      <w:pPr>
        <w:spacing w:before="126" w:line="184"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（2）备份投标文件（“</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pacing w:val="-5"/>
          <w:sz w:val="21"/>
          <w:szCs w:val="21"/>
          <w:highlight w:val="none"/>
        </w:rPr>
        <w:t>.bfbs”格式）：</w:t>
      </w:r>
    </w:p>
    <w:p w14:paraId="0085F344">
      <w:pPr>
        <w:spacing w:before="130" w:line="268" w:lineRule="auto"/>
        <w:ind w:left="43" w:right="61" w:firstLine="51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a.供应商可以将备份投标文件打包压缩并加密，压缩包命名为“XX 单</w:t>
      </w:r>
      <w:r>
        <w:rPr>
          <w:rFonts w:ascii="微软雅黑" w:hAnsi="微软雅黑" w:eastAsia="微软雅黑" w:cs="微软雅黑"/>
          <w:color w:val="auto"/>
          <w:spacing w:val="-3"/>
          <w:sz w:val="21"/>
          <w:szCs w:val="21"/>
          <w:highlight w:val="none"/>
        </w:rPr>
        <w:t>位备份投标文件”，加密密码由</w:t>
      </w:r>
      <w:r>
        <w:rPr>
          <w:rFonts w:ascii="微软雅黑" w:hAnsi="微软雅黑" w:eastAsia="微软雅黑" w:cs="微软雅黑"/>
          <w:color w:val="auto"/>
          <w:sz w:val="21"/>
          <w:szCs w:val="21"/>
          <w:highlight w:val="none"/>
        </w:rPr>
        <w:t xml:space="preserve"> 供应商自行保管；</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送达时间以采购代理机构实际接收时间为准。“</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z w:val="21"/>
          <w:szCs w:val="21"/>
          <w:highlight w:val="none"/>
        </w:rPr>
        <w:t>备份投标文件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”以投标</w:t>
      </w:r>
      <w:r>
        <w:rPr>
          <w:rFonts w:ascii="微软雅黑" w:hAnsi="微软雅黑" w:eastAsia="微软雅黑" w:cs="微软雅黑"/>
          <w:color w:val="auto"/>
          <w:spacing w:val="-1"/>
          <w:sz w:val="21"/>
          <w:szCs w:val="21"/>
          <w:highlight w:val="none"/>
        </w:rPr>
        <w:t>截止时间前指定</w:t>
      </w:r>
      <w:r>
        <w:rPr>
          <w:rFonts w:ascii="微软雅黑" w:hAnsi="微软雅黑" w:eastAsia="微软雅黑" w:cs="微软雅黑"/>
          <w:color w:val="auto"/>
          <w:sz w:val="21"/>
          <w:szCs w:val="21"/>
          <w:highlight w:val="none"/>
        </w:rPr>
        <w:t xml:space="preserve"> 接收邮箱最终收到的文件为准，逾期或未按</w:t>
      </w:r>
      <w:r>
        <w:rPr>
          <w:rFonts w:ascii="微软雅黑" w:hAnsi="微软雅黑" w:eastAsia="微软雅黑" w:cs="微软雅黑"/>
          <w:color w:val="auto"/>
          <w:spacing w:val="-1"/>
          <w:sz w:val="21"/>
          <w:szCs w:val="21"/>
          <w:highlight w:val="none"/>
        </w:rPr>
        <w:t>要求提供的视为未提供，建议供应商提前 1  日办理邮件提供事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宜（接收人邮箱：</w:t>
      </w:r>
      <w:r>
        <w:rPr>
          <w:rFonts w:hint="eastAsia" w:ascii="微软雅黑" w:hAnsi="微软雅黑" w:eastAsia="微软雅黑" w:cs="微软雅黑"/>
          <w:color w:val="auto"/>
          <w:spacing w:val="-13"/>
          <w:sz w:val="21"/>
          <w:szCs w:val="21"/>
          <w:highlight w:val="none"/>
          <w:lang w:eastAsia="zh-CN"/>
        </w:rPr>
        <w:t>603805586</w:t>
      </w:r>
      <w:r>
        <w:rPr>
          <w:rFonts w:ascii="微软雅黑" w:hAnsi="微软雅黑" w:eastAsia="微软雅黑" w:cs="微软雅黑"/>
          <w:color w:val="auto"/>
          <w:spacing w:val="-13"/>
          <w:sz w:val="21"/>
          <w:szCs w:val="21"/>
          <w:highlight w:val="none"/>
        </w:rPr>
        <w:t>@qq.com，接收人：</w:t>
      </w:r>
      <w:r>
        <w:rPr>
          <w:rFonts w:hint="eastAsia" w:ascii="微软雅黑" w:hAnsi="微软雅黑" w:eastAsia="微软雅黑" w:cs="微软雅黑"/>
          <w:color w:val="auto"/>
          <w:spacing w:val="-13"/>
          <w:sz w:val="21"/>
          <w:szCs w:val="21"/>
          <w:highlight w:val="none"/>
          <w:lang w:eastAsia="zh-CN"/>
        </w:rPr>
        <w:t>张先生</w:t>
      </w:r>
      <w:r>
        <w:rPr>
          <w:rFonts w:ascii="微软雅黑" w:hAnsi="微软雅黑" w:eastAsia="微软雅黑" w:cs="微软雅黑"/>
          <w:color w:val="auto"/>
          <w:spacing w:val="-13"/>
          <w:sz w:val="21"/>
          <w:szCs w:val="21"/>
          <w:highlight w:val="none"/>
        </w:rPr>
        <w:t>，电话：</w:t>
      </w:r>
      <w:r>
        <w:rPr>
          <w:rFonts w:hint="eastAsia" w:ascii="微软雅黑" w:hAnsi="微软雅黑" w:eastAsia="微软雅黑" w:cs="微软雅黑"/>
          <w:color w:val="auto"/>
          <w:spacing w:val="-13"/>
          <w:sz w:val="21"/>
          <w:szCs w:val="21"/>
          <w:highlight w:val="none"/>
          <w:lang w:eastAsia="zh-CN"/>
        </w:rPr>
        <w:t>18652955232</w:t>
      </w:r>
      <w:r>
        <w:rPr>
          <w:rFonts w:ascii="微软雅黑" w:hAnsi="微软雅黑" w:eastAsia="微软雅黑" w:cs="微软雅黑"/>
          <w:color w:val="auto"/>
          <w:spacing w:val="-13"/>
          <w:sz w:val="21"/>
          <w:szCs w:val="21"/>
          <w:highlight w:val="none"/>
        </w:rPr>
        <w:t>）</w:t>
      </w:r>
    </w:p>
    <w:p w14:paraId="2527DB88">
      <w:pPr>
        <w:spacing w:before="28" w:line="271" w:lineRule="auto"/>
        <w:ind w:left="42" w:right="61" w:firstLine="51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b.通过“新疆政府采购云平台”成功上传递交的“电子加密投标文件”已按时解密的，“备份投标文</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2"/>
          <w:sz w:val="21"/>
          <w:szCs w:val="21"/>
          <w:highlight w:val="none"/>
        </w:rPr>
        <w:t>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自动失效。投标截止时间前，投标供应商仅递交了“</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2"/>
          <w:sz w:val="21"/>
          <w:szCs w:val="21"/>
          <w:highlight w:val="none"/>
        </w:rPr>
        <w:t>备份投标文件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”而未将</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3"/>
          <w:sz w:val="21"/>
          <w:szCs w:val="21"/>
          <w:highlight w:val="none"/>
        </w:rPr>
        <w:t>电子加密投标文件</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功上传至“政府采购云平台”的，投标无效。</w:t>
      </w:r>
    </w:p>
    <w:p w14:paraId="7AA4EC24">
      <w:pPr>
        <w:spacing w:before="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25.投标文件的递交要求</w:t>
      </w:r>
    </w:p>
    <w:p w14:paraId="3AFD05EB">
      <w:pPr>
        <w:spacing w:before="126" w:line="230" w:lineRule="auto"/>
        <w:ind w:left="47" w:right="77"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（1）供应商须按照采购文件和政采云平台的要求</w:t>
      </w:r>
      <w:r>
        <w:rPr>
          <w:rFonts w:ascii="微软雅黑" w:hAnsi="微软雅黑" w:eastAsia="微软雅黑" w:cs="微软雅黑"/>
          <w:color w:val="auto"/>
          <w:spacing w:val="-2"/>
          <w:sz w:val="21"/>
          <w:szCs w:val="21"/>
          <w:highlight w:val="none"/>
        </w:rPr>
        <w:t>编制并加密投标文件。在投标文件递交截止时间以前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完成投标文件的传输递交，截止时间后递交的投标文件，将被拒收。</w:t>
      </w:r>
    </w:p>
    <w:p w14:paraId="43F9C172">
      <w:pPr>
        <w:spacing w:before="126" w:line="230" w:lineRule="auto"/>
        <w:ind w:left="44" w:right="79" w:firstLine="41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（2）备份电子投标文件必须在投标截止时间</w:t>
      </w:r>
      <w:r>
        <w:rPr>
          <w:rFonts w:ascii="微软雅黑" w:hAnsi="微软雅黑" w:eastAsia="微软雅黑" w:cs="微软雅黑"/>
          <w:color w:val="auto"/>
          <w:spacing w:val="-2"/>
          <w:sz w:val="21"/>
          <w:szCs w:val="21"/>
          <w:highlight w:val="none"/>
        </w:rPr>
        <w:t>前送达指定的投标地点。备份电子投标文件在截止时间后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提交，采购组织机构将拒绝接收。</w:t>
      </w:r>
    </w:p>
    <w:p w14:paraId="4A72B7D4">
      <w:pPr>
        <w:spacing w:before="127" w:line="230" w:lineRule="auto"/>
        <w:ind w:left="52" w:right="77"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（3）如有特殊情况，采购组织机构延长截止时间</w:t>
      </w:r>
      <w:r>
        <w:rPr>
          <w:rFonts w:ascii="微软雅黑" w:hAnsi="微软雅黑" w:eastAsia="微软雅黑" w:cs="微软雅黑"/>
          <w:color w:val="auto"/>
          <w:spacing w:val="-2"/>
          <w:sz w:val="21"/>
          <w:szCs w:val="21"/>
          <w:highlight w:val="none"/>
        </w:rPr>
        <w:t>和开标时间，采购组织机构和供应商的权利和义务将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受到新的截止时间和开标时间的约束。</w:t>
      </w:r>
    </w:p>
    <w:p w14:paraId="6FC592B6">
      <w:pPr>
        <w:spacing w:before="12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26．</w:t>
      </w:r>
      <w:r>
        <w:rPr>
          <w:rFonts w:ascii="微软雅黑" w:hAnsi="微软雅黑" w:eastAsia="微软雅黑" w:cs="微软雅黑"/>
          <w:b/>
          <w:bCs/>
          <w:color w:val="auto"/>
          <w:spacing w:val="-26"/>
          <w:sz w:val="21"/>
          <w:szCs w:val="21"/>
          <w:highlight w:val="none"/>
        </w:rPr>
        <w:t xml:space="preserve"> </w:t>
      </w:r>
      <w:r>
        <w:rPr>
          <w:rFonts w:ascii="微软雅黑" w:hAnsi="微软雅黑" w:eastAsia="微软雅黑" w:cs="微软雅黑"/>
          <w:b/>
          <w:bCs/>
          <w:color w:val="auto"/>
          <w:spacing w:val="-6"/>
          <w:sz w:val="21"/>
          <w:szCs w:val="21"/>
          <w:highlight w:val="none"/>
        </w:rPr>
        <w:t>投标文件的补充、修改与撤回</w:t>
      </w:r>
    </w:p>
    <w:p w14:paraId="1506EB8F">
      <w:pPr>
        <w:spacing w:before="12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供应商应当在投标截止时间前完成电子交易文件的传输递交</w:t>
      </w:r>
      <w:r>
        <w:rPr>
          <w:rFonts w:ascii="微软雅黑" w:hAnsi="微软雅黑" w:eastAsia="微软雅黑" w:cs="微软雅黑"/>
          <w:color w:val="auto"/>
          <w:spacing w:val="1"/>
          <w:sz w:val="21"/>
          <w:szCs w:val="21"/>
          <w:highlight w:val="none"/>
        </w:rPr>
        <w:t>，投标截止时间前可以补充、修改或者撤</w:t>
      </w:r>
    </w:p>
    <w:p w14:paraId="741F50B5">
      <w:pPr>
        <w:spacing w:line="188" w:lineRule="auto"/>
        <w:rPr>
          <w:rFonts w:ascii="微软雅黑" w:hAnsi="微软雅黑" w:eastAsia="微软雅黑" w:cs="微软雅黑"/>
          <w:color w:val="auto"/>
          <w:sz w:val="21"/>
          <w:szCs w:val="21"/>
          <w:highlight w:val="none"/>
        </w:rPr>
        <w:sectPr>
          <w:headerReference r:id="rId32" w:type="default"/>
          <w:footerReference r:id="rId33" w:type="default"/>
          <w:pgSz w:w="11906" w:h="16839"/>
          <w:pgMar w:top="1745" w:right="1018" w:bottom="1152" w:left="1050" w:header="850" w:footer="992" w:gutter="0"/>
          <w:cols w:space="720" w:num="1"/>
        </w:sectPr>
      </w:pPr>
    </w:p>
    <w:p w14:paraId="7C524EC6">
      <w:pPr>
        <w:spacing w:before="31" w:line="270" w:lineRule="auto"/>
        <w:ind w:left="42" w:right="46" w:firstLine="2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回电子交易文件。补充或者修改电子交易文件的，应</w:t>
      </w:r>
      <w:r>
        <w:rPr>
          <w:rFonts w:ascii="微软雅黑" w:hAnsi="微软雅黑" w:eastAsia="微软雅黑" w:cs="微软雅黑"/>
          <w:color w:val="auto"/>
          <w:sz w:val="21"/>
          <w:szCs w:val="21"/>
          <w:highlight w:val="none"/>
        </w:rPr>
        <w:t>当先行撤回原文件，</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补充、修改后重新传输递交。投 </w:t>
      </w:r>
      <w:r>
        <w:rPr>
          <w:rFonts w:ascii="微软雅黑" w:hAnsi="微软雅黑" w:eastAsia="微软雅黑" w:cs="微软雅黑"/>
          <w:color w:val="auto"/>
          <w:spacing w:val="1"/>
          <w:sz w:val="21"/>
          <w:szCs w:val="21"/>
          <w:highlight w:val="none"/>
        </w:rPr>
        <w:t>标截止时间前未完成传输的，视为投标文件撤回。投标截止时间后传输递交的投标文件，“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政府采购云平</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台”将予以拒收。投标截止时间后，供应商不得修改（补充）或撤回</w:t>
      </w:r>
      <w:r>
        <w:rPr>
          <w:rFonts w:ascii="微软雅黑" w:hAnsi="微软雅黑" w:eastAsia="微软雅黑" w:cs="微软雅黑"/>
          <w:color w:val="auto"/>
          <w:spacing w:val="-2"/>
          <w:sz w:val="21"/>
          <w:szCs w:val="21"/>
          <w:highlight w:val="none"/>
        </w:rPr>
        <w:t>其投标文件。</w:t>
      </w:r>
    </w:p>
    <w:p w14:paraId="4768789C">
      <w:pPr>
        <w:pStyle w:val="6"/>
        <w:spacing w:line="280" w:lineRule="auto"/>
        <w:rPr>
          <w:color w:val="auto"/>
          <w:highlight w:val="none"/>
        </w:rPr>
      </w:pPr>
    </w:p>
    <w:p w14:paraId="4354EE1F">
      <w:pPr>
        <w:spacing w:before="120" w:line="183" w:lineRule="auto"/>
        <w:ind w:left="3380"/>
        <w:rPr>
          <w:rFonts w:ascii="微软雅黑" w:hAnsi="微软雅黑" w:eastAsia="微软雅黑" w:cs="微软雅黑"/>
          <w:color w:val="auto"/>
          <w:sz w:val="28"/>
          <w:szCs w:val="28"/>
          <w:highlight w:val="none"/>
        </w:rPr>
      </w:pPr>
      <w:r>
        <w:rPr>
          <w:rFonts w:ascii="微软雅黑" w:hAnsi="微软雅黑" w:eastAsia="微软雅黑" w:cs="微软雅黑"/>
          <w:color w:val="auto"/>
          <w:spacing w:val="-3"/>
          <w:sz w:val="28"/>
          <w:szCs w:val="28"/>
          <w:highlight w:val="none"/>
        </w:rPr>
        <w:t>（五）开标、评标和定标</w:t>
      </w:r>
    </w:p>
    <w:p w14:paraId="22883E13">
      <w:pPr>
        <w:spacing w:before="30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27.</w:t>
      </w:r>
      <w:r>
        <w:rPr>
          <w:rFonts w:ascii="微软雅黑" w:hAnsi="微软雅黑" w:eastAsia="微软雅黑" w:cs="微软雅黑"/>
          <w:b/>
          <w:bCs/>
          <w:color w:val="auto"/>
          <w:spacing w:val="59"/>
          <w:sz w:val="21"/>
          <w:szCs w:val="21"/>
          <w:highlight w:val="none"/>
        </w:rPr>
        <w:t xml:space="preserve"> </w:t>
      </w:r>
      <w:r>
        <w:rPr>
          <w:rFonts w:ascii="微软雅黑" w:hAnsi="微软雅黑" w:eastAsia="微软雅黑" w:cs="微软雅黑"/>
          <w:b/>
          <w:bCs/>
          <w:color w:val="auto"/>
          <w:spacing w:val="-5"/>
          <w:sz w:val="21"/>
          <w:szCs w:val="21"/>
          <w:highlight w:val="none"/>
        </w:rPr>
        <w:t>开标</w:t>
      </w:r>
    </w:p>
    <w:p w14:paraId="5F287DFF">
      <w:pPr>
        <w:spacing w:before="12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27.1 开标邀请</w:t>
      </w:r>
    </w:p>
    <w:p w14:paraId="1B41B68B">
      <w:pPr>
        <w:spacing w:before="126" w:line="183" w:lineRule="auto"/>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（1）开标准备：本项目开标的准备工作由采购组织机构负责落实，开标过程由采购组织机构负责记录；</w:t>
      </w:r>
    </w:p>
    <w:p w14:paraId="4DCC2131">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（2）开标主持：本项目开标由采购人或者采购代理机构主持；</w:t>
      </w:r>
    </w:p>
    <w:p w14:paraId="41B44B40">
      <w:pPr>
        <w:spacing w:before="133" w:line="230" w:lineRule="auto"/>
        <w:ind w:left="43" w:right="63"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（3）开标邀请：本项目采用电子交易，采购</w:t>
      </w:r>
      <w:r>
        <w:rPr>
          <w:rFonts w:ascii="微软雅黑" w:hAnsi="微软雅黑" w:eastAsia="微软雅黑" w:cs="微软雅黑"/>
          <w:color w:val="auto"/>
          <w:spacing w:val="-2"/>
          <w:sz w:val="21"/>
          <w:szCs w:val="21"/>
          <w:highlight w:val="none"/>
        </w:rPr>
        <w:t>组织机构将按照采购文件规定的时间通过“新疆政府采购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云平台，网址：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ascii="微软雅黑" w:hAnsi="微软雅黑" w:eastAsia="微软雅黑" w:cs="微软雅黑"/>
          <w:color w:val="auto"/>
          <w:spacing w:val="-4"/>
          <w:sz w:val="21"/>
          <w:szCs w:val="21"/>
          <w:highlight w:val="none"/>
        </w:rPr>
        <w:t>www.zcygov.cn</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”组织开标、开启投标响应文件，所有供应商均</w:t>
      </w:r>
      <w:r>
        <w:rPr>
          <w:rFonts w:ascii="微软雅黑" w:hAnsi="微软雅黑" w:eastAsia="微软雅黑" w:cs="微软雅黑"/>
          <w:color w:val="auto"/>
          <w:spacing w:val="-5"/>
          <w:sz w:val="21"/>
          <w:szCs w:val="21"/>
          <w:highlight w:val="none"/>
        </w:rPr>
        <w:t>应当准时在线参加。</w:t>
      </w:r>
    </w:p>
    <w:p w14:paraId="4572CE16">
      <w:pPr>
        <w:spacing w:before="128" w:line="251" w:lineRule="auto"/>
        <w:ind w:left="42" w:right="46"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（4）供应商对开标过程和开标记录有疑义，以及认为采购人、采购代理机构相关工</w:t>
      </w:r>
      <w:r>
        <w:rPr>
          <w:rFonts w:ascii="微软雅黑" w:hAnsi="微软雅黑" w:eastAsia="微软雅黑" w:cs="微软雅黑"/>
          <w:color w:val="auto"/>
          <w:spacing w:val="-2"/>
          <w:sz w:val="21"/>
          <w:szCs w:val="21"/>
          <w:highlight w:val="none"/>
        </w:rPr>
        <w:t>作人员有需要回避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的情形的，应当场提出询问或回避申请。供应商未参加开</w:t>
      </w:r>
      <w:r>
        <w:rPr>
          <w:rFonts w:ascii="微软雅黑" w:hAnsi="微软雅黑" w:eastAsia="微软雅黑" w:cs="微软雅黑"/>
          <w:color w:val="auto"/>
          <w:spacing w:val="1"/>
          <w:sz w:val="21"/>
          <w:szCs w:val="21"/>
          <w:highlight w:val="none"/>
        </w:rPr>
        <w:t>标的视同认可开标结果，事后不得对采购相关人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员、开标过程和开标结果提出异议，</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1"/>
          <w:sz w:val="21"/>
          <w:szCs w:val="21"/>
          <w:highlight w:val="none"/>
        </w:rPr>
        <w:t>同时投标供应商因未在线参</w:t>
      </w:r>
      <w:r>
        <w:rPr>
          <w:rFonts w:ascii="微软雅黑" w:hAnsi="微软雅黑" w:eastAsia="微软雅黑" w:cs="微软雅黑"/>
          <w:color w:val="auto"/>
          <w:sz w:val="21"/>
          <w:szCs w:val="21"/>
          <w:highlight w:val="none"/>
        </w:rPr>
        <w:t xml:space="preserve">加开标而导致投标文件无法按时解密等一 </w:t>
      </w:r>
      <w:r>
        <w:rPr>
          <w:rFonts w:ascii="微软雅黑" w:hAnsi="微软雅黑" w:eastAsia="微软雅黑" w:cs="微软雅黑"/>
          <w:color w:val="auto"/>
          <w:spacing w:val="-4"/>
          <w:sz w:val="21"/>
          <w:szCs w:val="21"/>
          <w:highlight w:val="none"/>
        </w:rPr>
        <w:t>切后果由供应商自行承担。</w:t>
      </w:r>
    </w:p>
    <w:p w14:paraId="1BF97B6C">
      <w:pPr>
        <w:spacing w:before="124" w:line="184"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27.2 开标程序（先资格、商务技术后报价）</w:t>
      </w:r>
    </w:p>
    <w:p w14:paraId="51CF9944">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（1）开标时间到后，主持人宣布开标会议开始。</w:t>
      </w:r>
    </w:p>
    <w:p w14:paraId="1E441C44">
      <w:pPr>
        <w:spacing w:before="133"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（2）投标文件解密（</w:t>
      </w:r>
      <w:r>
        <w:rPr>
          <w:rFonts w:ascii="微软雅黑" w:hAnsi="微软雅黑" w:eastAsia="微软雅黑" w:cs="微软雅黑"/>
          <w:b/>
          <w:bCs/>
          <w:color w:val="auto"/>
          <w:spacing w:val="-3"/>
          <w:sz w:val="21"/>
          <w:szCs w:val="21"/>
          <w:highlight w:val="none"/>
        </w:rPr>
        <w:t>解密规定见《供应商须知前附表</w:t>
      </w:r>
      <w:r>
        <w:rPr>
          <w:rFonts w:ascii="微软雅黑" w:hAnsi="微软雅黑" w:eastAsia="微软雅黑" w:cs="微软雅黑"/>
          <w:b/>
          <w:bCs/>
          <w:color w:val="auto"/>
          <w:spacing w:val="-4"/>
          <w:sz w:val="21"/>
          <w:szCs w:val="21"/>
          <w:highlight w:val="none"/>
        </w:rPr>
        <w:t>》</w:t>
      </w:r>
      <w:r>
        <w:rPr>
          <w:rFonts w:ascii="微软雅黑" w:hAnsi="微软雅黑" w:eastAsia="微软雅黑" w:cs="微软雅黑"/>
          <w:b/>
          <w:bCs/>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p w14:paraId="0A67D79F">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（3）投标文件解密异常情况处理（</w:t>
      </w:r>
      <w:r>
        <w:rPr>
          <w:rFonts w:ascii="微软雅黑" w:hAnsi="微软雅黑" w:eastAsia="微软雅黑" w:cs="微软雅黑"/>
          <w:b/>
          <w:bCs/>
          <w:color w:val="auto"/>
          <w:spacing w:val="-3"/>
          <w:sz w:val="21"/>
          <w:szCs w:val="21"/>
          <w:highlight w:val="none"/>
        </w:rPr>
        <w:t>处理办法见《供应商须知前附表》</w:t>
      </w:r>
      <w:r>
        <w:rPr>
          <w:rFonts w:ascii="微软雅黑" w:hAnsi="微软雅黑" w:eastAsia="微软雅黑" w:cs="微软雅黑"/>
          <w:b/>
          <w:bCs/>
          <w:color w:val="auto"/>
          <w:spacing w:val="-5"/>
          <w:sz w:val="21"/>
          <w:szCs w:val="21"/>
          <w:highlight w:val="none"/>
        </w:rPr>
        <w:t xml:space="preserve"> </w:t>
      </w:r>
      <w:r>
        <w:rPr>
          <w:rFonts w:ascii="微软雅黑" w:hAnsi="微软雅黑" w:eastAsia="微软雅黑" w:cs="微软雅黑"/>
          <w:color w:val="auto"/>
          <w:spacing w:val="-3"/>
          <w:sz w:val="21"/>
          <w:szCs w:val="21"/>
          <w:highlight w:val="none"/>
        </w:rPr>
        <w:t>）。</w:t>
      </w:r>
    </w:p>
    <w:p w14:paraId="790B86F4">
      <w:pPr>
        <w:spacing w:before="134" w:line="251" w:lineRule="auto"/>
        <w:ind w:left="42" w:right="45"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（4）公布投标文件解密情况（投标文件成功解密的供应商名单等信息</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2"/>
          <w:sz w:val="21"/>
          <w:szCs w:val="21"/>
          <w:highlight w:val="none"/>
        </w:rPr>
        <w:t>组织签署</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b/>
          <w:bCs/>
          <w:color w:val="auto"/>
          <w:spacing w:val="-2"/>
          <w:sz w:val="21"/>
          <w:szCs w:val="21"/>
          <w:highlight w:val="none"/>
        </w:rPr>
        <w:t>《政府采购</w:t>
      </w:r>
      <w:r>
        <w:rPr>
          <w:rFonts w:ascii="微软雅黑" w:hAnsi="微软雅黑" w:eastAsia="微软雅黑" w:cs="微软雅黑"/>
          <w:b/>
          <w:bCs/>
          <w:color w:val="auto"/>
          <w:spacing w:val="-3"/>
          <w:sz w:val="21"/>
          <w:szCs w:val="21"/>
          <w:highlight w:val="none"/>
        </w:rPr>
        <w:t>活动现</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5"/>
          <w:sz w:val="21"/>
          <w:szCs w:val="21"/>
          <w:highlight w:val="none"/>
        </w:rPr>
        <w:t>场确认声明书》</w:t>
      </w:r>
      <w:r>
        <w:rPr>
          <w:rFonts w:ascii="微软雅黑" w:hAnsi="微软雅黑" w:eastAsia="微软雅黑" w:cs="微软雅黑"/>
          <w:b/>
          <w:bCs/>
          <w:color w:val="auto"/>
          <w:sz w:val="21"/>
          <w:szCs w:val="21"/>
          <w:highlight w:val="none"/>
        </w:rPr>
        <w:t>，</w:t>
      </w:r>
      <w:r>
        <w:rPr>
          <w:rFonts w:ascii="微软雅黑" w:hAnsi="微软雅黑" w:eastAsia="微软雅黑" w:cs="微软雅黑"/>
          <w:b/>
          <w:bCs/>
          <w:color w:val="auto"/>
          <w:spacing w:val="-5"/>
          <w:sz w:val="21"/>
          <w:szCs w:val="21"/>
          <w:highlight w:val="none"/>
        </w:rPr>
        <w:t>供应商应在</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5"/>
          <w:sz w:val="21"/>
          <w:szCs w:val="21"/>
          <w:highlight w:val="none"/>
        </w:rPr>
        <w:t>20 分钟内通过邮件形式将</w:t>
      </w:r>
      <w:r>
        <w:rPr>
          <w:rFonts w:ascii="微软雅黑" w:hAnsi="微软雅黑" w:eastAsia="微软雅黑" w:cs="微软雅黑"/>
          <w:b/>
          <w:bCs/>
          <w:color w:val="auto"/>
          <w:spacing w:val="2"/>
          <w:sz w:val="21"/>
          <w:szCs w:val="21"/>
          <w:highlight w:val="none"/>
        </w:rPr>
        <w:t xml:space="preserve">经签署的《政府采购活动现场确认声明书》发送至采购代理机构指定邮箱 </w:t>
      </w:r>
      <w:r>
        <w:rPr>
          <w:rFonts w:hint="eastAsia" w:ascii="微软雅黑" w:hAnsi="微软雅黑" w:eastAsia="微软雅黑" w:cs="微软雅黑"/>
          <w:b/>
          <w:bCs/>
          <w:color w:val="auto"/>
          <w:spacing w:val="-17"/>
          <w:w w:val="95"/>
          <w:sz w:val="21"/>
          <w:szCs w:val="21"/>
          <w:highlight w:val="none"/>
          <w:lang w:eastAsia="zh-CN"/>
        </w:rPr>
        <w:t>603805586</w:t>
      </w:r>
      <w:r>
        <w:rPr>
          <w:rFonts w:ascii="微软雅黑" w:hAnsi="微软雅黑" w:eastAsia="微软雅黑" w:cs="微软雅黑"/>
          <w:b/>
          <w:bCs/>
          <w:color w:val="auto"/>
          <w:spacing w:val="-17"/>
          <w:w w:val="95"/>
          <w:sz w:val="21"/>
          <w:szCs w:val="21"/>
          <w:highlight w:val="none"/>
        </w:rPr>
        <w:t>@qq.com</w:t>
      </w:r>
      <w:r>
        <w:rPr>
          <w:rFonts w:ascii="微软雅黑" w:hAnsi="微软雅黑" w:eastAsia="微软雅黑" w:cs="微软雅黑"/>
          <w:b/>
          <w:bCs/>
          <w:color w:val="auto"/>
          <w:spacing w:val="8"/>
          <w:sz w:val="21"/>
          <w:szCs w:val="21"/>
          <w:highlight w:val="none"/>
        </w:rPr>
        <w:t xml:space="preserve"> </w:t>
      </w:r>
      <w:r>
        <w:rPr>
          <w:rFonts w:ascii="微软雅黑" w:hAnsi="微软雅黑" w:eastAsia="微软雅黑" w:cs="微软雅黑"/>
          <w:b/>
          <w:bCs/>
          <w:color w:val="auto"/>
          <w:spacing w:val="-17"/>
          <w:w w:val="95"/>
          <w:sz w:val="21"/>
          <w:szCs w:val="21"/>
          <w:highlight w:val="none"/>
        </w:rPr>
        <w:t>逾期发送或</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rPr>
        <w:t>未发送的视为无异议</w:t>
      </w:r>
      <w:r>
        <w:rPr>
          <w:rFonts w:ascii="微软雅黑" w:hAnsi="微软雅黑" w:eastAsia="微软雅黑" w:cs="微软雅黑"/>
          <w:color w:val="auto"/>
          <w:spacing w:val="-2"/>
          <w:sz w:val="21"/>
          <w:szCs w:val="21"/>
          <w:highlight w:val="none"/>
        </w:rPr>
        <w:t>。</w:t>
      </w:r>
    </w:p>
    <w:p w14:paraId="42224935">
      <w:pPr>
        <w:spacing w:before="128" w:line="251" w:lineRule="auto"/>
        <w:ind w:left="42" w:right="58"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（5）开启标书信息（资格证明文件、商务技术文件）。</w:t>
      </w:r>
      <w:r>
        <w:rPr>
          <w:rFonts w:ascii="微软雅黑" w:hAnsi="微软雅黑" w:eastAsia="微软雅黑" w:cs="微软雅黑"/>
          <w:color w:val="auto"/>
          <w:spacing w:val="-2"/>
          <w:sz w:val="21"/>
          <w:szCs w:val="21"/>
          <w:highlight w:val="none"/>
        </w:rPr>
        <w:t>标书信息开启后，首先由采购人或采购代理机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构或评审小组依法对投标供应商的资格证明文件进行审查（具体见本章“29.3</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1"/>
          <w:sz w:val="21"/>
          <w:szCs w:val="21"/>
          <w:highlight w:val="none"/>
        </w:rPr>
        <w:t>投标供应</w:t>
      </w:r>
      <w:r>
        <w:rPr>
          <w:rFonts w:ascii="微软雅黑" w:hAnsi="微软雅黑" w:eastAsia="微软雅黑" w:cs="微软雅黑"/>
          <w:color w:val="auto"/>
          <w:spacing w:val="-2"/>
          <w:sz w:val="21"/>
          <w:szCs w:val="21"/>
          <w:highlight w:val="none"/>
        </w:rPr>
        <w:t>商资格审查”</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z w:val="21"/>
          <w:szCs w:val="21"/>
          <w:highlight w:val="none"/>
        </w:rPr>
        <w:t xml:space="preserve"> 审查结束公布投标供应商的资格符合情况。资格审查未获通过的供应商</w:t>
      </w:r>
      <w:r>
        <w:rPr>
          <w:rFonts w:ascii="微软雅黑" w:hAnsi="微软雅黑" w:eastAsia="微软雅黑" w:cs="微软雅黑"/>
          <w:color w:val="auto"/>
          <w:spacing w:val="-1"/>
          <w:sz w:val="21"/>
          <w:szCs w:val="21"/>
          <w:highlight w:val="none"/>
        </w:rPr>
        <w:t>，其商务技术文件及报价文件不再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进入评审。</w:t>
      </w:r>
    </w:p>
    <w:p w14:paraId="6EAC0ABB">
      <w:pPr>
        <w:spacing w:before="125" w:line="230" w:lineRule="auto"/>
        <w:ind w:left="42" w:right="58"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（6）商务技术评审结束后，主持人公布商务技术评审无</w:t>
      </w:r>
      <w:r>
        <w:rPr>
          <w:rFonts w:ascii="微软雅黑" w:hAnsi="微软雅黑" w:eastAsia="微软雅黑" w:cs="微软雅黑"/>
          <w:color w:val="auto"/>
          <w:spacing w:val="-2"/>
          <w:sz w:val="21"/>
          <w:szCs w:val="21"/>
          <w:highlight w:val="none"/>
        </w:rPr>
        <w:t>效投标供应商名单和商务技术评审有效投标供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应商名单及其商务技术得分情况。商务技术评审无效的供应商，其报价不再进</w:t>
      </w:r>
      <w:r>
        <w:rPr>
          <w:rFonts w:ascii="微软雅黑" w:hAnsi="微软雅黑" w:eastAsia="微软雅黑" w:cs="微软雅黑"/>
          <w:color w:val="auto"/>
          <w:spacing w:val="-2"/>
          <w:sz w:val="21"/>
          <w:szCs w:val="21"/>
          <w:highlight w:val="none"/>
        </w:rPr>
        <w:t>入评审。</w:t>
      </w:r>
    </w:p>
    <w:p w14:paraId="2053DE6F">
      <w:pPr>
        <w:spacing w:before="126" w:line="244" w:lineRule="auto"/>
        <w:ind w:left="48" w:right="61" w:firstLine="41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（7）开启有效投标供应商的报价，公布开标一览</w:t>
      </w:r>
      <w:r>
        <w:rPr>
          <w:rFonts w:ascii="微软雅黑" w:hAnsi="微软雅黑" w:eastAsia="微软雅黑" w:cs="微软雅黑"/>
          <w:color w:val="auto"/>
          <w:spacing w:val="-2"/>
          <w:sz w:val="21"/>
          <w:szCs w:val="21"/>
          <w:highlight w:val="none"/>
        </w:rPr>
        <w:t>表有关内容，并【开启签字时段】，供应商对开标纪</w:t>
      </w:r>
      <w:r>
        <w:rPr>
          <w:rFonts w:ascii="微软雅黑" w:hAnsi="微软雅黑" w:eastAsia="微软雅黑" w:cs="微软雅黑"/>
          <w:color w:val="auto"/>
          <w:sz w:val="21"/>
          <w:szCs w:val="21"/>
          <w:highlight w:val="none"/>
        </w:rPr>
        <w:t xml:space="preserve"> 录进行在线签字确认（不予确认的应说明理由，否则视为</w:t>
      </w:r>
      <w:r>
        <w:rPr>
          <w:rFonts w:ascii="微软雅黑" w:hAnsi="微软雅黑" w:eastAsia="微软雅黑" w:cs="微软雅黑"/>
          <w:color w:val="auto"/>
          <w:spacing w:val="-1"/>
          <w:sz w:val="21"/>
          <w:szCs w:val="21"/>
          <w:highlight w:val="none"/>
        </w:rPr>
        <w:t>无异议）。开标结束后，由评标委员会对报价的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合理性、准确性等进行审查核实。</w:t>
      </w:r>
    </w:p>
    <w:p w14:paraId="78E7455C">
      <w:pPr>
        <w:spacing w:before="127"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（8）评审结束后，采购代理机构在系统上</w:t>
      </w:r>
      <w:r>
        <w:rPr>
          <w:rFonts w:ascii="微软雅黑" w:hAnsi="微软雅黑" w:eastAsia="微软雅黑" w:cs="微软雅黑"/>
          <w:color w:val="auto"/>
          <w:spacing w:val="-3"/>
          <w:sz w:val="21"/>
          <w:szCs w:val="21"/>
          <w:highlight w:val="none"/>
        </w:rPr>
        <w:t>公布评审结果。</w:t>
      </w:r>
    </w:p>
    <w:p w14:paraId="0CD0DBAF">
      <w:pPr>
        <w:spacing w:line="183" w:lineRule="auto"/>
        <w:rPr>
          <w:rFonts w:ascii="微软雅黑" w:hAnsi="微软雅黑" w:eastAsia="微软雅黑" w:cs="微软雅黑"/>
          <w:color w:val="auto"/>
          <w:sz w:val="21"/>
          <w:szCs w:val="21"/>
          <w:highlight w:val="none"/>
        </w:rPr>
        <w:sectPr>
          <w:headerReference r:id="rId34" w:type="default"/>
          <w:footerReference r:id="rId35" w:type="default"/>
          <w:pgSz w:w="11906" w:h="16839"/>
          <w:pgMar w:top="1745" w:right="1034" w:bottom="1152" w:left="1050" w:header="850" w:footer="992" w:gutter="0"/>
          <w:cols w:space="720" w:num="1"/>
        </w:sectPr>
      </w:pPr>
    </w:p>
    <w:p w14:paraId="3C2E6EFC">
      <w:pPr>
        <w:spacing w:before="33" w:line="187"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特别情况说明：</w:t>
      </w:r>
    </w:p>
    <w:p w14:paraId="3D01610F">
      <w:pPr>
        <w:spacing w:before="126" w:line="271" w:lineRule="auto"/>
        <w:ind w:left="42" w:right="73" w:firstLine="3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（1）本项目采用电子交易，如遇“新疆政府采购云平台”电子化开标或评审程</w:t>
      </w:r>
      <w:r>
        <w:rPr>
          <w:rFonts w:ascii="微软雅黑" w:hAnsi="微软雅黑" w:eastAsia="微软雅黑" w:cs="微软雅黑"/>
          <w:b/>
          <w:bCs/>
          <w:color w:val="auto"/>
          <w:spacing w:val="-2"/>
          <w:sz w:val="21"/>
          <w:szCs w:val="21"/>
          <w:highlight w:val="none"/>
        </w:rPr>
        <w:t>序调整的，按调整后程</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8"/>
          <w:sz w:val="21"/>
          <w:szCs w:val="21"/>
          <w:highlight w:val="none"/>
        </w:rPr>
        <w:t>序执行。</w:t>
      </w:r>
    </w:p>
    <w:p w14:paraId="0AE4DC90">
      <w:pPr>
        <w:spacing w:before="6" w:line="271" w:lineRule="auto"/>
        <w:ind w:left="43" w:right="28" w:firstLine="370"/>
        <w:jc w:val="both"/>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（2）开标过程中需要相关当事人进行签字或盖章确认的材料将通过“政府采购云平台”进行，若因“政</w:t>
      </w:r>
      <w:r>
        <w:rPr>
          <w:rFonts w:ascii="微软雅黑" w:hAnsi="微软雅黑" w:eastAsia="微软雅黑" w:cs="微软雅黑"/>
          <w:b/>
          <w:bCs/>
          <w:color w:val="auto"/>
          <w:spacing w:val="10"/>
          <w:sz w:val="21"/>
          <w:szCs w:val="21"/>
          <w:highlight w:val="none"/>
        </w:rPr>
        <w:t xml:space="preserve"> </w:t>
      </w:r>
      <w:r>
        <w:rPr>
          <w:rFonts w:ascii="微软雅黑" w:hAnsi="微软雅黑" w:eastAsia="微软雅黑" w:cs="微软雅黑"/>
          <w:b/>
          <w:bCs/>
          <w:color w:val="auto"/>
          <w:spacing w:val="-1"/>
          <w:sz w:val="21"/>
          <w:szCs w:val="21"/>
          <w:highlight w:val="none"/>
        </w:rPr>
        <w:t>府采购云平台”技术问题无法进行签字或盖章确认的，采购组织机构将通过电子邮件等形式予以确认，</w:t>
      </w:r>
      <w:r>
        <w:rPr>
          <w:rFonts w:ascii="微软雅黑" w:hAnsi="微软雅黑" w:eastAsia="微软雅黑" w:cs="微软雅黑"/>
          <w:b/>
          <w:bCs/>
          <w:color w:val="auto"/>
          <w:spacing w:val="-33"/>
          <w:sz w:val="21"/>
          <w:szCs w:val="21"/>
          <w:highlight w:val="none"/>
        </w:rPr>
        <w:t xml:space="preserve"> </w:t>
      </w:r>
      <w:r>
        <w:rPr>
          <w:rFonts w:ascii="微软雅黑" w:hAnsi="微软雅黑" w:eastAsia="微软雅黑" w:cs="微软雅黑"/>
          <w:b/>
          <w:bCs/>
          <w:color w:val="auto"/>
          <w:spacing w:val="-1"/>
          <w:sz w:val="21"/>
          <w:szCs w:val="21"/>
          <w:highlight w:val="none"/>
          <w:u w:val="single" w:color="auto"/>
        </w:rPr>
        <w:t>请</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5"/>
          <w:sz w:val="21"/>
          <w:szCs w:val="21"/>
          <w:highlight w:val="none"/>
          <w:u w:val="single" w:color="auto"/>
        </w:rPr>
        <w:t>供应商保证办理投标事宜人员电话畅通、网络在线，</w:t>
      </w:r>
      <w:r>
        <w:rPr>
          <w:rFonts w:ascii="微软雅黑" w:hAnsi="微软雅黑" w:eastAsia="微软雅黑" w:cs="微软雅黑"/>
          <w:b/>
          <w:bCs/>
          <w:color w:val="auto"/>
          <w:spacing w:val="18"/>
          <w:sz w:val="21"/>
          <w:szCs w:val="21"/>
          <w:highlight w:val="none"/>
          <w:u w:val="single" w:color="auto"/>
        </w:rPr>
        <w:t xml:space="preserve">  </w:t>
      </w:r>
      <w:r>
        <w:rPr>
          <w:rFonts w:ascii="微软雅黑" w:hAnsi="微软雅黑" w:eastAsia="微软雅黑" w:cs="微软雅黑"/>
          <w:b/>
          <w:bCs/>
          <w:color w:val="auto"/>
          <w:spacing w:val="-5"/>
          <w:sz w:val="21"/>
          <w:szCs w:val="21"/>
          <w:highlight w:val="none"/>
          <w:u w:val="single" w:color="auto"/>
        </w:rPr>
        <w:t>签字或盖章确</w:t>
      </w:r>
      <w:r>
        <w:rPr>
          <w:rFonts w:ascii="微软雅黑" w:hAnsi="微软雅黑" w:eastAsia="微软雅黑" w:cs="微软雅黑"/>
          <w:b/>
          <w:bCs/>
          <w:color w:val="auto"/>
          <w:spacing w:val="-6"/>
          <w:sz w:val="21"/>
          <w:szCs w:val="21"/>
          <w:highlight w:val="none"/>
          <w:u w:val="single" w:color="auto"/>
        </w:rPr>
        <w:t>认的时间为 20 分钟。如未及时签字或盖</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u w:val="single" w:color="auto"/>
        </w:rPr>
        <w:t>章确认的，视为无异议</w:t>
      </w:r>
      <w:r>
        <w:rPr>
          <w:rFonts w:ascii="微软雅黑" w:hAnsi="微软雅黑" w:eastAsia="微软雅黑" w:cs="微软雅黑"/>
          <w:b/>
          <w:bCs/>
          <w:color w:val="auto"/>
          <w:spacing w:val="-2"/>
          <w:sz w:val="21"/>
          <w:szCs w:val="21"/>
          <w:highlight w:val="none"/>
        </w:rPr>
        <w:t>。</w:t>
      </w:r>
    </w:p>
    <w:p w14:paraId="051F8569">
      <w:pPr>
        <w:spacing w:before="4"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27.3</w:t>
      </w:r>
      <w:r>
        <w:rPr>
          <w:rFonts w:ascii="微软雅黑" w:hAnsi="微软雅黑" w:eastAsia="微软雅黑" w:cs="微软雅黑"/>
          <w:b/>
          <w:bCs/>
          <w:color w:val="auto"/>
          <w:spacing w:val="60"/>
          <w:sz w:val="21"/>
          <w:szCs w:val="21"/>
          <w:highlight w:val="none"/>
        </w:rPr>
        <w:t xml:space="preserve"> </w:t>
      </w:r>
      <w:r>
        <w:rPr>
          <w:rFonts w:ascii="微软雅黑" w:hAnsi="微软雅黑" w:eastAsia="微软雅黑" w:cs="微软雅黑"/>
          <w:b/>
          <w:bCs/>
          <w:color w:val="auto"/>
          <w:spacing w:val="-7"/>
          <w:sz w:val="21"/>
          <w:szCs w:val="21"/>
          <w:highlight w:val="none"/>
        </w:rPr>
        <w:t>投标供应商资格审查：</w:t>
      </w:r>
    </w:p>
    <w:p w14:paraId="6ACCCE67">
      <w:pPr>
        <w:spacing w:before="126" w:line="251" w:lineRule="auto"/>
        <w:ind w:left="43" w:right="29"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（1）开标（标书信息开启）后，采购人或采购代理机构或评审小组首先依法对投标</w:t>
      </w:r>
      <w:r>
        <w:rPr>
          <w:rFonts w:ascii="微软雅黑" w:hAnsi="微软雅黑" w:eastAsia="微软雅黑" w:cs="微软雅黑"/>
          <w:color w:val="auto"/>
          <w:spacing w:val="-2"/>
          <w:sz w:val="21"/>
          <w:szCs w:val="21"/>
          <w:highlight w:val="none"/>
        </w:rPr>
        <w:t>供应商的资格文件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进行审查，</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审查各投标供应商的资格符合情况。采购人或采购代理机构或评审小</w:t>
      </w:r>
      <w:r>
        <w:rPr>
          <w:rFonts w:ascii="微软雅黑" w:hAnsi="微软雅黑" w:eastAsia="微软雅黑" w:cs="微软雅黑"/>
          <w:color w:val="auto"/>
          <w:sz w:val="21"/>
          <w:szCs w:val="21"/>
          <w:highlight w:val="none"/>
        </w:rPr>
        <w:t xml:space="preserve">组对投标供应商所提交的 </w:t>
      </w:r>
      <w:r>
        <w:rPr>
          <w:rFonts w:ascii="微软雅黑" w:hAnsi="微软雅黑" w:eastAsia="微软雅黑" w:cs="微软雅黑"/>
          <w:color w:val="auto"/>
          <w:spacing w:val="2"/>
          <w:sz w:val="21"/>
          <w:szCs w:val="21"/>
          <w:highlight w:val="none"/>
        </w:rPr>
        <w:t>资格证明材料仅负审核的责任。如发现投标供应商所</w:t>
      </w:r>
      <w:r>
        <w:rPr>
          <w:rFonts w:ascii="微软雅黑" w:hAnsi="微软雅黑" w:eastAsia="微软雅黑" w:cs="微软雅黑"/>
          <w:color w:val="auto"/>
          <w:spacing w:val="1"/>
          <w:sz w:val="21"/>
          <w:szCs w:val="21"/>
          <w:highlight w:val="none"/>
        </w:rPr>
        <w:t>提交的资格证明材料不合法或与事实不符，采购人可</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取消其中标资格并追究投标供应商的法律责任。</w:t>
      </w:r>
    </w:p>
    <w:p w14:paraId="3FF4A21E">
      <w:pPr>
        <w:spacing w:before="125" w:line="228" w:lineRule="auto"/>
        <w:ind w:left="42" w:right="47" w:firstLine="4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（2）投标供应商提交的资格证明材料无法证明其符合采购文件规定的“投标供应商资格要求”的，采</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pacing w:val="-1"/>
          <w:sz w:val="21"/>
          <w:szCs w:val="21"/>
          <w:highlight w:val="none"/>
        </w:rPr>
        <w:t>购人或采购代理机构或评审小组将对其作“资格审查不合格”处理（</w:t>
      </w:r>
      <w:r>
        <w:rPr>
          <w:rFonts w:ascii="微软雅黑" w:hAnsi="微软雅黑" w:eastAsia="微软雅黑" w:cs="微软雅黑"/>
          <w:color w:val="auto"/>
          <w:spacing w:val="-2"/>
          <w:sz w:val="21"/>
          <w:szCs w:val="21"/>
          <w:highlight w:val="none"/>
        </w:rPr>
        <w:t>无效投标）。</w:t>
      </w:r>
    </w:p>
    <w:p w14:paraId="72E8B01A">
      <w:pPr>
        <w:spacing w:before="134"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（3）供应商信用记录查询与使用：见《供应商须知前附</w:t>
      </w:r>
      <w:r>
        <w:rPr>
          <w:rFonts w:ascii="微软雅黑" w:hAnsi="微软雅黑" w:eastAsia="微软雅黑" w:cs="微软雅黑"/>
          <w:color w:val="auto"/>
          <w:spacing w:val="-3"/>
          <w:sz w:val="21"/>
          <w:szCs w:val="21"/>
          <w:highlight w:val="none"/>
        </w:rPr>
        <w:t>表》。</w:t>
      </w:r>
    </w:p>
    <w:p w14:paraId="55C8C72E">
      <w:pPr>
        <w:spacing w:before="271" w:line="188" w:lineRule="auto"/>
        <w:ind w:left="24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28.评审工作的组织</w:t>
      </w:r>
    </w:p>
    <w:p w14:paraId="1F3B20EB">
      <w:pPr>
        <w:spacing w:before="160" w:line="289" w:lineRule="auto"/>
        <w:ind w:left="43" w:right="46" w:firstLine="2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采购人或采购代理机构负责组织本项目的评审工作，并依据</w:t>
      </w:r>
      <w:r>
        <w:rPr>
          <w:rFonts w:ascii="微软雅黑" w:hAnsi="微软雅黑" w:eastAsia="微软雅黑" w:cs="微软雅黑"/>
          <w:color w:val="auto"/>
          <w:spacing w:val="-4"/>
          <w:sz w:val="21"/>
          <w:szCs w:val="21"/>
          <w:highlight w:val="none"/>
        </w:rPr>
        <w:t>《政府采购货物和服务招标投标管理办法（财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政部第 87 号令）》第四十五条的相关规定履行职责。</w:t>
      </w:r>
    </w:p>
    <w:p w14:paraId="298374A0">
      <w:pPr>
        <w:spacing w:before="11" w:line="187" w:lineRule="auto"/>
        <w:ind w:left="24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29.</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3"/>
          <w:sz w:val="21"/>
          <w:szCs w:val="21"/>
          <w:highlight w:val="none"/>
        </w:rPr>
        <w:t>评标委员会的组建</w:t>
      </w:r>
    </w:p>
    <w:p w14:paraId="4B7CDBEB">
      <w:pPr>
        <w:spacing w:before="159"/>
        <w:ind w:left="46" w:right="29"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29.1 评标委员会由采购人或采购代理机构依法组建，成员由采购人代表 1 名、评审</w:t>
      </w:r>
      <w:r>
        <w:rPr>
          <w:rFonts w:ascii="微软雅黑" w:hAnsi="微软雅黑" w:eastAsia="微软雅黑" w:cs="微软雅黑"/>
          <w:color w:val="auto"/>
          <w:spacing w:val="-2"/>
          <w:sz w:val="21"/>
          <w:szCs w:val="21"/>
          <w:highlight w:val="none"/>
        </w:rPr>
        <w:t>专家 6 名组成，成员</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人数为 7</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10"/>
          <w:sz w:val="21"/>
          <w:szCs w:val="21"/>
          <w:highlight w:val="none"/>
        </w:rPr>
        <w:t>人。</w:t>
      </w:r>
    </w:p>
    <w:p w14:paraId="2E28BEC1">
      <w:pPr>
        <w:spacing w:before="159" w:line="241" w:lineRule="auto"/>
        <w:ind w:left="47" w:right="29" w:firstLine="20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29.2 评审专家从新疆政府采购云平台专家库中通过随机方式抽取产生。评标委员会成员名单在采购结果</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7"/>
          <w:sz w:val="21"/>
          <w:szCs w:val="21"/>
          <w:highlight w:val="none"/>
        </w:rPr>
        <w:t>公告前保密。</w:t>
      </w:r>
    </w:p>
    <w:p w14:paraId="2AABEB9D">
      <w:pPr>
        <w:spacing w:before="157"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30.评标委员会的职责</w:t>
      </w:r>
    </w:p>
    <w:p w14:paraId="57F1CCD5">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30.1</w:t>
      </w:r>
      <w:r>
        <w:rPr>
          <w:rFonts w:ascii="微软雅黑" w:hAnsi="微软雅黑" w:eastAsia="微软雅黑" w:cs="微软雅黑"/>
          <w:color w:val="auto"/>
          <w:spacing w:val="20"/>
          <w:w w:val="101"/>
          <w:sz w:val="21"/>
          <w:szCs w:val="21"/>
          <w:highlight w:val="none"/>
        </w:rPr>
        <w:t xml:space="preserve"> </w:t>
      </w:r>
      <w:r>
        <w:rPr>
          <w:rFonts w:ascii="微软雅黑" w:hAnsi="微软雅黑" w:eastAsia="微软雅黑" w:cs="微软雅黑"/>
          <w:color w:val="auto"/>
          <w:spacing w:val="-2"/>
          <w:sz w:val="21"/>
          <w:szCs w:val="21"/>
          <w:highlight w:val="none"/>
        </w:rPr>
        <w:t>审查、评价投标文件是否符合采购文件的商务、技术等实质性要求。</w:t>
      </w:r>
    </w:p>
    <w:p w14:paraId="445964D8">
      <w:pPr>
        <w:spacing w:before="158"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30.2 要求供应商对投标文件有关事项作出澄清或者说明。</w:t>
      </w:r>
    </w:p>
    <w:p w14:paraId="776F4C66">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30.3 对投标文件进行比较和评价。</w:t>
      </w:r>
    </w:p>
    <w:p w14:paraId="3F81753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30.4 确定中标候选人名单，以及根据采购人委托直接确定中标人。</w:t>
      </w:r>
    </w:p>
    <w:p w14:paraId="68DA6DFC">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30.5</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向采购人、采购代理机构或者有关部门报</w:t>
      </w:r>
      <w:r>
        <w:rPr>
          <w:rFonts w:ascii="微软雅黑" w:hAnsi="微软雅黑" w:eastAsia="微软雅黑" w:cs="微软雅黑"/>
          <w:color w:val="auto"/>
          <w:spacing w:val="-3"/>
          <w:sz w:val="21"/>
          <w:szCs w:val="21"/>
          <w:highlight w:val="none"/>
        </w:rPr>
        <w:t>告评审中发现的违法行为。</w:t>
      </w:r>
    </w:p>
    <w:p w14:paraId="6E24F629">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31.</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4"/>
          <w:sz w:val="21"/>
          <w:szCs w:val="21"/>
          <w:highlight w:val="none"/>
        </w:rPr>
        <w:t>评标原则</w:t>
      </w:r>
    </w:p>
    <w:p w14:paraId="6B1FCFA4">
      <w:pPr>
        <w:spacing w:before="157" w:line="292" w:lineRule="auto"/>
        <w:ind w:left="42" w:right="29"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31.1 评标委员会将遵循公平、公正、科学的原则，对供应商提交的投标文件进行综合评审，评标委员会</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按照采购文件规定的评标细则进行评分。</w:t>
      </w:r>
    </w:p>
    <w:p w14:paraId="741A4D80">
      <w:pPr>
        <w:spacing w:line="292" w:lineRule="auto"/>
        <w:rPr>
          <w:rFonts w:ascii="微软雅黑" w:hAnsi="微软雅黑" w:eastAsia="微软雅黑" w:cs="微软雅黑"/>
          <w:color w:val="auto"/>
          <w:sz w:val="21"/>
          <w:szCs w:val="21"/>
          <w:highlight w:val="none"/>
        </w:rPr>
        <w:sectPr>
          <w:headerReference r:id="rId36" w:type="default"/>
          <w:footerReference r:id="rId37" w:type="default"/>
          <w:pgSz w:w="11906" w:h="16839"/>
          <w:pgMar w:top="1745" w:right="1050" w:bottom="1152" w:left="1050" w:header="850" w:footer="992" w:gutter="0"/>
          <w:cols w:space="720" w:num="1"/>
        </w:sectPr>
      </w:pPr>
    </w:p>
    <w:p w14:paraId="5E7196F6">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31.2 客观公正对待所有供应商，对所有投标评</w:t>
      </w:r>
      <w:r>
        <w:rPr>
          <w:rFonts w:ascii="微软雅黑" w:hAnsi="微软雅黑" w:eastAsia="微软雅黑" w:cs="微软雅黑"/>
          <w:color w:val="auto"/>
          <w:spacing w:val="-2"/>
          <w:sz w:val="21"/>
          <w:szCs w:val="21"/>
          <w:highlight w:val="none"/>
        </w:rPr>
        <w:t>价均采用相同的程序和标准。</w:t>
      </w:r>
    </w:p>
    <w:p w14:paraId="55C6152D">
      <w:pPr>
        <w:spacing w:before="159"/>
        <w:ind w:left="44" w:right="114"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31.3 评标委员会成员对需要共同认定的事项存在争议的，按照少数服从多数的原则作出结论。持不同意</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1"/>
          <w:sz w:val="21"/>
          <w:szCs w:val="21"/>
          <w:highlight w:val="none"/>
        </w:rPr>
        <w:t>见的评标委员会成员应当在评审报告上签署不同意见及理由，否则视为同</w:t>
      </w:r>
      <w:r>
        <w:rPr>
          <w:rFonts w:ascii="微软雅黑" w:hAnsi="微软雅黑" w:eastAsia="微软雅黑" w:cs="微软雅黑"/>
          <w:color w:val="auto"/>
          <w:spacing w:val="-2"/>
          <w:sz w:val="21"/>
          <w:szCs w:val="21"/>
          <w:highlight w:val="none"/>
        </w:rPr>
        <w:t>意评审报告。</w:t>
      </w:r>
    </w:p>
    <w:p w14:paraId="2267E9CE">
      <w:pPr>
        <w:spacing w:before="158" w:line="272" w:lineRule="auto"/>
        <w:ind w:left="42" w:right="114"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31.4</w:t>
      </w:r>
      <w:r>
        <w:rPr>
          <w:rFonts w:ascii="微软雅黑" w:hAnsi="微软雅黑" w:eastAsia="微软雅黑" w:cs="微软雅黑"/>
          <w:color w:val="auto"/>
          <w:spacing w:val="61"/>
          <w:w w:val="101"/>
          <w:sz w:val="21"/>
          <w:szCs w:val="21"/>
          <w:highlight w:val="none"/>
        </w:rPr>
        <w:t xml:space="preserve"> </w:t>
      </w:r>
      <w:r>
        <w:rPr>
          <w:rFonts w:ascii="微软雅黑" w:hAnsi="微软雅黑" w:eastAsia="微软雅黑" w:cs="微软雅黑"/>
          <w:color w:val="auto"/>
          <w:sz w:val="21"/>
          <w:szCs w:val="21"/>
          <w:highlight w:val="none"/>
        </w:rPr>
        <w:t>财政部令第 87 号《政府采购货物和服</w:t>
      </w:r>
      <w:r>
        <w:rPr>
          <w:rFonts w:ascii="微软雅黑" w:hAnsi="微软雅黑" w:eastAsia="微软雅黑" w:cs="微软雅黑"/>
          <w:color w:val="auto"/>
          <w:spacing w:val="-1"/>
          <w:sz w:val="21"/>
          <w:szCs w:val="21"/>
          <w:highlight w:val="none"/>
        </w:rPr>
        <w:t>务招标投标管理办法》第三十一条规定：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使用综合评分法的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采购项目，提供相同品牌产品且通过资格审查、符合性</w:t>
      </w:r>
      <w:r>
        <w:rPr>
          <w:rFonts w:ascii="微软雅黑" w:hAnsi="微软雅黑" w:eastAsia="微软雅黑" w:cs="微软雅黑"/>
          <w:color w:val="auto"/>
          <w:spacing w:val="1"/>
          <w:sz w:val="21"/>
          <w:szCs w:val="21"/>
          <w:highlight w:val="none"/>
        </w:rPr>
        <w:t>审查的不同供应商参加同一合同项下投标的，按一</w:t>
      </w:r>
      <w:r>
        <w:rPr>
          <w:rFonts w:ascii="微软雅黑" w:hAnsi="微软雅黑" w:eastAsia="微软雅黑" w:cs="微软雅黑"/>
          <w:color w:val="auto"/>
          <w:sz w:val="21"/>
          <w:szCs w:val="21"/>
          <w:highlight w:val="none"/>
        </w:rPr>
        <w:t xml:space="preserve"> 家供应商计算，评审后得分最高的同品牌供应商获得中标人推荐资格；</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评审得分相同的，</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 xml:space="preserve">由采购人或者采 </w:t>
      </w:r>
      <w:r>
        <w:rPr>
          <w:rFonts w:ascii="微软雅黑" w:hAnsi="微软雅黑" w:eastAsia="微软雅黑" w:cs="微软雅黑"/>
          <w:color w:val="auto"/>
          <w:spacing w:val="2"/>
          <w:sz w:val="21"/>
          <w:szCs w:val="21"/>
          <w:highlight w:val="none"/>
        </w:rPr>
        <w:t>购人委托评标委员会按照采购文件规定的方式确定一个</w:t>
      </w:r>
      <w:r>
        <w:rPr>
          <w:rFonts w:ascii="微软雅黑" w:hAnsi="微软雅黑" w:eastAsia="微软雅黑" w:cs="微软雅黑"/>
          <w:color w:val="auto"/>
          <w:spacing w:val="1"/>
          <w:sz w:val="21"/>
          <w:szCs w:val="21"/>
          <w:highlight w:val="none"/>
        </w:rPr>
        <w:t>供应商获得中标人推荐资格，采购文件未规定的采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取随机抽取方式确定，其他同品牌供应商不作为中标候选人。</w:t>
      </w:r>
    </w:p>
    <w:p w14:paraId="3A220A8F">
      <w:pPr>
        <w:spacing w:before="156" w:line="292" w:lineRule="auto"/>
        <w:ind w:left="42" w:right="114" w:firstLine="2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非单一产品采购项目，采购人应当根据采购项目技术构成、产品价格比重等合理确定核心产品，</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并</w:t>
      </w:r>
      <w:r>
        <w:rPr>
          <w:rFonts w:ascii="微软雅黑" w:hAnsi="微软雅黑" w:eastAsia="微软雅黑" w:cs="微软雅黑"/>
          <w:color w:val="auto"/>
          <w:sz w:val="21"/>
          <w:szCs w:val="21"/>
          <w:highlight w:val="none"/>
        </w:rPr>
        <w:t xml:space="preserve">在采 </w:t>
      </w:r>
      <w:r>
        <w:rPr>
          <w:rFonts w:ascii="微软雅黑" w:hAnsi="微软雅黑" w:eastAsia="微软雅黑" w:cs="微软雅黑"/>
          <w:color w:val="auto"/>
          <w:spacing w:val="-1"/>
          <w:sz w:val="21"/>
          <w:szCs w:val="21"/>
          <w:highlight w:val="none"/>
        </w:rPr>
        <w:t>购文件中载明。多家供应商提供的核心产品品牌相同的</w:t>
      </w:r>
      <w:r>
        <w:rPr>
          <w:rFonts w:ascii="微软雅黑" w:hAnsi="微软雅黑" w:eastAsia="微软雅黑" w:cs="微软雅黑"/>
          <w:color w:val="auto"/>
          <w:spacing w:val="-2"/>
          <w:sz w:val="21"/>
          <w:szCs w:val="21"/>
          <w:highlight w:val="none"/>
        </w:rPr>
        <w:t>，按前款规定处理。</w:t>
      </w:r>
    </w:p>
    <w:p w14:paraId="2C7CCEBC">
      <w:pPr>
        <w:spacing w:before="5"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32.</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4"/>
          <w:sz w:val="21"/>
          <w:szCs w:val="21"/>
          <w:highlight w:val="none"/>
        </w:rPr>
        <w:t>评委纪律</w:t>
      </w:r>
    </w:p>
    <w:p w14:paraId="6B8056D3">
      <w:pPr>
        <w:spacing w:before="157" w:line="292" w:lineRule="auto"/>
        <w:ind w:left="42" w:right="114" w:firstLine="21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评标委员会成员必须严格遵守保密规定，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不得泄露评审的有关情况，任何单位和个人不得干扰、影响评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标的正常进行，评标委员会成员不得私下与投标供应商接触，</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不得出现新疆省政府采购活动现场组织管理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办法中规定的其他禁止行为。</w:t>
      </w:r>
    </w:p>
    <w:p w14:paraId="1B5A44B3">
      <w:pPr>
        <w:spacing w:before="5"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33.评标程序</w:t>
      </w:r>
    </w:p>
    <w:p w14:paraId="734AEAC9">
      <w:pPr>
        <w:spacing w:before="156"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33.1</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在评审专家中推选评标委员会组长</w:t>
      </w:r>
      <w:r>
        <w:rPr>
          <w:rFonts w:ascii="微软雅黑" w:hAnsi="微软雅黑" w:eastAsia="微软雅黑" w:cs="微软雅黑"/>
          <w:color w:val="auto"/>
          <w:spacing w:val="-2"/>
          <w:sz w:val="21"/>
          <w:szCs w:val="21"/>
          <w:highlight w:val="none"/>
        </w:rPr>
        <w:t>，采购人代表不得担任评标委员会组长。</w:t>
      </w:r>
    </w:p>
    <w:p w14:paraId="7BD9569D">
      <w:pPr>
        <w:spacing w:before="159" w:line="258" w:lineRule="auto"/>
        <w:ind w:left="42" w:firstLine="2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33.2</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评标委员会组长召集成员认真阅读采购文件以及相关补充、质疑、答复文件、项目书面说明等材料，</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熟悉采购项目的基本概况，采购项目的质量要求、数</w:t>
      </w:r>
      <w:r>
        <w:rPr>
          <w:rFonts w:ascii="微软雅黑" w:hAnsi="微软雅黑" w:eastAsia="微软雅黑" w:cs="微软雅黑"/>
          <w:color w:val="auto"/>
          <w:spacing w:val="1"/>
          <w:sz w:val="21"/>
          <w:szCs w:val="21"/>
          <w:highlight w:val="none"/>
        </w:rPr>
        <w:t>量、主要技术标准或服务需求，采购合同主要条款，</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投标文件无效情形，评审方法、评审依据、评审标准等。</w:t>
      </w:r>
    </w:p>
    <w:p w14:paraId="3E1BDDC7">
      <w:pPr>
        <w:spacing w:before="156" w:line="241" w:lineRule="auto"/>
        <w:ind w:left="47" w:right="95"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33.3</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评审人员对符合资格的供应商的投</w:t>
      </w:r>
      <w:r>
        <w:rPr>
          <w:rFonts w:ascii="微软雅黑" w:hAnsi="微软雅黑" w:eastAsia="微软雅黑" w:cs="微软雅黑"/>
          <w:color w:val="auto"/>
          <w:spacing w:val="-1"/>
          <w:sz w:val="21"/>
          <w:szCs w:val="21"/>
          <w:highlight w:val="none"/>
        </w:rPr>
        <w:t>标文件的有效性、符合性、完整性和响应程度进行审查，确定是</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否对采购文件作出实质性响应。</w:t>
      </w:r>
    </w:p>
    <w:p w14:paraId="75FB63F6">
      <w:pPr>
        <w:spacing w:before="160"/>
        <w:ind w:left="44" w:right="95"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33.4</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评审人员按采购文件规定的评审方</w:t>
      </w:r>
      <w:r>
        <w:rPr>
          <w:rFonts w:ascii="微软雅黑" w:hAnsi="微软雅黑" w:eastAsia="微软雅黑" w:cs="微软雅黑"/>
          <w:color w:val="auto"/>
          <w:spacing w:val="-1"/>
          <w:sz w:val="21"/>
          <w:szCs w:val="21"/>
          <w:highlight w:val="none"/>
        </w:rPr>
        <w:t>法和评审标准，依法独立对供应商投标文件进行评估、比较，并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给予评价或打分，不受任何单位和个人的干预。</w:t>
      </w:r>
    </w:p>
    <w:p w14:paraId="7B328645">
      <w:pPr>
        <w:spacing w:before="158" w:line="292" w:lineRule="auto"/>
        <w:ind w:left="64" w:right="114" w:firstLine="40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综合评分法货物项目的价格分值占总分值的比重(即权值)为 </w:t>
      </w:r>
      <w:r>
        <w:rPr>
          <w:rFonts w:ascii="微软雅黑" w:hAnsi="微软雅黑" w:eastAsia="微软雅黑" w:cs="微软雅黑"/>
          <w:color w:val="auto"/>
          <w:spacing w:val="-1"/>
          <w:sz w:val="21"/>
          <w:szCs w:val="21"/>
          <w:highlight w:val="none"/>
        </w:rPr>
        <w:t>30</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1"/>
          <w:sz w:val="21"/>
          <w:szCs w:val="21"/>
          <w:highlight w:val="none"/>
        </w:rPr>
        <w:t>采购项目中含不同采购对象的，</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占项目资金比例最高的采购对象确定其项目属性。其价格不列为评分因素，有特殊情况需要在上述规定范</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6"/>
          <w:sz w:val="21"/>
          <w:szCs w:val="21"/>
          <w:highlight w:val="none"/>
        </w:rPr>
        <w:t>围外设定价格分权重的。</w:t>
      </w:r>
    </w:p>
    <w:p w14:paraId="1B8F5699">
      <w:pPr>
        <w:spacing w:before="3" w:line="292" w:lineRule="auto"/>
        <w:ind w:left="42" w:right="114" w:firstLine="48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综合评分法中的价格分统一采用低价优先法计算，</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即满</w:t>
      </w:r>
      <w:r>
        <w:rPr>
          <w:rFonts w:ascii="微软雅黑" w:hAnsi="微软雅黑" w:eastAsia="微软雅黑" w:cs="微软雅黑"/>
          <w:color w:val="auto"/>
          <w:spacing w:val="-1"/>
          <w:sz w:val="21"/>
          <w:szCs w:val="21"/>
          <w:highlight w:val="none"/>
        </w:rPr>
        <w:t>足招标文件要求且最后报价最低的供应商的价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格为招标基准价，其价格分为满分。其他供应商的价格分统一按照下列公式计算：</w:t>
      </w:r>
    </w:p>
    <w:p w14:paraId="3613B04C">
      <w:pPr>
        <w:spacing w:before="5"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投标报价得分=（基准价/投标报价）×价格权值×100</w:t>
      </w:r>
    </w:p>
    <w:p w14:paraId="273171E6">
      <w:pPr>
        <w:spacing w:before="165" w:line="187" w:lineRule="auto"/>
        <w:ind w:left="5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项目评审过程中，不得去掉最后报价中的最高报价和最低报价。</w:t>
      </w:r>
    </w:p>
    <w:p w14:paraId="07DC62FA">
      <w:pPr>
        <w:spacing w:line="187" w:lineRule="auto"/>
        <w:rPr>
          <w:rFonts w:ascii="微软雅黑" w:hAnsi="微软雅黑" w:eastAsia="微软雅黑" w:cs="微软雅黑"/>
          <w:color w:val="auto"/>
          <w:sz w:val="21"/>
          <w:szCs w:val="21"/>
          <w:highlight w:val="none"/>
        </w:rPr>
        <w:sectPr>
          <w:headerReference r:id="rId38" w:type="default"/>
          <w:footerReference r:id="rId39" w:type="default"/>
          <w:pgSz w:w="11906" w:h="16839"/>
          <w:pgMar w:top="1745" w:right="965" w:bottom="1152" w:left="1050" w:header="850" w:footer="992" w:gutter="0"/>
          <w:cols w:space="720" w:num="1"/>
        </w:sectPr>
      </w:pPr>
    </w:p>
    <w:p w14:paraId="56A483D5">
      <w:pPr>
        <w:spacing w:before="171" w:line="267" w:lineRule="auto"/>
        <w:ind w:left="44"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33.5</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评审人员对各供应商投标文件非实质性内容有疑议或异议，或者审查发现明显的文字或计算错误等，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及时向评标委员会组长提出。经评标委员会商议认</w:t>
      </w:r>
      <w:r>
        <w:rPr>
          <w:rFonts w:ascii="微软雅黑" w:hAnsi="微软雅黑" w:eastAsia="微软雅黑" w:cs="微软雅黑"/>
          <w:color w:val="auto"/>
          <w:spacing w:val="1"/>
          <w:sz w:val="21"/>
          <w:szCs w:val="21"/>
          <w:highlight w:val="none"/>
        </w:rPr>
        <w:t>为需要供应商作出必要澄清、说明或者补正的，应当以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在线询标形式要求供应商作出必要的澄清、说明或</w:t>
      </w:r>
      <w:r>
        <w:rPr>
          <w:rFonts w:ascii="微软雅黑" w:hAnsi="微软雅黑" w:eastAsia="微软雅黑" w:cs="微软雅黑"/>
          <w:color w:val="auto"/>
          <w:spacing w:val="1"/>
          <w:sz w:val="21"/>
          <w:szCs w:val="21"/>
          <w:highlight w:val="none"/>
        </w:rPr>
        <w:t>者补正。澄清、说明或者补正的内容应作为政府采购项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目档案归档留存。</w:t>
      </w:r>
    </w:p>
    <w:p w14:paraId="13F86420">
      <w:pPr>
        <w:spacing w:before="154" w:line="267" w:lineRule="auto"/>
        <w:ind w:left="42" w:right="95"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33.6</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评审人员需对采购方工作人员唱票</w:t>
      </w:r>
      <w:r>
        <w:rPr>
          <w:rFonts w:ascii="微软雅黑" w:hAnsi="微软雅黑" w:eastAsia="微软雅黑" w:cs="微软雅黑"/>
          <w:color w:val="auto"/>
          <w:spacing w:val="-1"/>
          <w:sz w:val="21"/>
          <w:szCs w:val="21"/>
          <w:highlight w:val="none"/>
        </w:rPr>
        <w:t>或统计的评审结果进行确认，现场监督员应对评审结果签署监督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意见。如发现分值汇总计算错误、分项评分超出评分标</w:t>
      </w:r>
      <w:r>
        <w:rPr>
          <w:rFonts w:ascii="微软雅黑" w:hAnsi="微软雅黑" w:eastAsia="微软雅黑" w:cs="微软雅黑"/>
          <w:color w:val="auto"/>
          <w:spacing w:val="1"/>
          <w:sz w:val="21"/>
          <w:szCs w:val="21"/>
          <w:highlight w:val="none"/>
        </w:rPr>
        <w:t>准范围、客观评分不一致以及存在评分畸高、畸低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（其总评分偏离平均分</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5"/>
          <w:sz w:val="21"/>
          <w:szCs w:val="21"/>
          <w:highlight w:val="none"/>
        </w:rPr>
        <w:t>10%以上的）情形的，应由相关人员当场改正或作出书面说明；拒不改正又不作书面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说明的，由现场监督员如实记载后存入项目档案资料。</w:t>
      </w:r>
    </w:p>
    <w:p w14:paraId="7BA4F61F">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33.7</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评标委员会根据评审汇总情况和采购文件</w:t>
      </w:r>
      <w:r>
        <w:rPr>
          <w:rFonts w:ascii="微软雅黑" w:hAnsi="微软雅黑" w:eastAsia="微软雅黑" w:cs="微软雅黑"/>
          <w:color w:val="auto"/>
          <w:spacing w:val="-2"/>
          <w:sz w:val="21"/>
          <w:szCs w:val="21"/>
          <w:highlight w:val="none"/>
        </w:rPr>
        <w:t>规定确定中标候选供应商排序名单。</w:t>
      </w:r>
    </w:p>
    <w:p w14:paraId="22BCA1C0">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33.8</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1"/>
          <w:sz w:val="21"/>
          <w:szCs w:val="21"/>
          <w:highlight w:val="none"/>
        </w:rPr>
        <w:t>起草评审报告，所有评审人员须在评审报告上签字确认，对自己的</w:t>
      </w:r>
      <w:r>
        <w:rPr>
          <w:rFonts w:ascii="微软雅黑" w:hAnsi="微软雅黑" w:eastAsia="微软雅黑" w:cs="微软雅黑"/>
          <w:color w:val="auto"/>
          <w:spacing w:val="-2"/>
          <w:sz w:val="21"/>
          <w:szCs w:val="21"/>
          <w:highlight w:val="none"/>
        </w:rPr>
        <w:t>评审意见承担法律责任。</w:t>
      </w:r>
    </w:p>
    <w:p w14:paraId="0BD9A2F8">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33.9</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采购组织机构对评标委员会评审专家进</w:t>
      </w:r>
      <w:r>
        <w:rPr>
          <w:rFonts w:ascii="微软雅黑" w:hAnsi="微软雅黑" w:eastAsia="微软雅黑" w:cs="微软雅黑"/>
          <w:color w:val="auto"/>
          <w:spacing w:val="-3"/>
          <w:sz w:val="21"/>
          <w:szCs w:val="21"/>
          <w:highlight w:val="none"/>
        </w:rPr>
        <w:t>行评价。</w:t>
      </w:r>
    </w:p>
    <w:p w14:paraId="144A5058">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33.10</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4"/>
          <w:sz w:val="21"/>
          <w:szCs w:val="21"/>
          <w:highlight w:val="none"/>
        </w:rPr>
        <w:t>修改评审结果</w:t>
      </w:r>
    </w:p>
    <w:p w14:paraId="530246E7">
      <w:pPr>
        <w:spacing w:before="157" w:line="188" w:lineRule="auto"/>
        <w:ind w:left="25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评标结果汇总完成后，除下列情形外，任何人不得修改评标</w:t>
      </w:r>
      <w:r>
        <w:rPr>
          <w:rFonts w:ascii="微软雅黑" w:hAnsi="微软雅黑" w:eastAsia="微软雅黑" w:cs="微软雅黑"/>
          <w:color w:val="auto"/>
          <w:spacing w:val="-3"/>
          <w:sz w:val="21"/>
          <w:szCs w:val="21"/>
          <w:highlight w:val="none"/>
        </w:rPr>
        <w:t>结果：</w:t>
      </w:r>
    </w:p>
    <w:p w14:paraId="666FEDD3">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（1）分值汇总计算错误的；</w:t>
      </w:r>
    </w:p>
    <w:p w14:paraId="090F7154">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（2）分项评分超出评分标准范围的；</w:t>
      </w:r>
    </w:p>
    <w:p w14:paraId="45AC588D">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（3）评标委员会成员对客观评审因素评分不一致的；</w:t>
      </w:r>
    </w:p>
    <w:p w14:paraId="7BBA75EB">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（4）经评标委员会认定评分畸高、畸低的。</w:t>
      </w:r>
    </w:p>
    <w:p w14:paraId="46357370">
      <w:pPr>
        <w:spacing w:before="166" w:line="292" w:lineRule="auto"/>
        <w:ind w:left="44" w:right="114" w:firstLine="209"/>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评标报告签署前，经复核发现存在以上情形之一的，评标委员会应当当场修改评标结果，</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并在评标报告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中记载；</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评标报告签署后，采购人或者采购代理机构发现存在以上情形之一的，应当组织原评标委员会进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行重新评审，重新评审改变评标结果的，书面报告本级财政部门。</w:t>
      </w:r>
    </w:p>
    <w:p w14:paraId="4270B37E">
      <w:pPr>
        <w:spacing w:before="4"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34．</w:t>
      </w:r>
      <w:r>
        <w:rPr>
          <w:rFonts w:ascii="微软雅黑" w:hAnsi="微软雅黑" w:eastAsia="微软雅黑" w:cs="微软雅黑"/>
          <w:b/>
          <w:bCs/>
          <w:color w:val="auto"/>
          <w:spacing w:val="-25"/>
          <w:sz w:val="21"/>
          <w:szCs w:val="21"/>
          <w:highlight w:val="none"/>
        </w:rPr>
        <w:t xml:space="preserve"> </w:t>
      </w:r>
      <w:r>
        <w:rPr>
          <w:rFonts w:ascii="微软雅黑" w:hAnsi="微软雅黑" w:eastAsia="微软雅黑" w:cs="微软雅黑"/>
          <w:b/>
          <w:bCs/>
          <w:color w:val="auto"/>
          <w:spacing w:val="-7"/>
          <w:sz w:val="21"/>
          <w:szCs w:val="21"/>
          <w:highlight w:val="none"/>
        </w:rPr>
        <w:t>澄清、说明或补正的形式</w:t>
      </w:r>
    </w:p>
    <w:p w14:paraId="180B29B2">
      <w:pPr>
        <w:spacing w:before="158" w:line="258" w:lineRule="auto"/>
        <w:ind w:left="43" w:right="147"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34.1 对于投标文件中含义不明确、同类问题表述不</w:t>
      </w:r>
      <w:r>
        <w:rPr>
          <w:rFonts w:ascii="微软雅黑" w:hAnsi="微软雅黑" w:eastAsia="微软雅黑" w:cs="微软雅黑"/>
          <w:color w:val="auto"/>
          <w:spacing w:val="-1"/>
          <w:sz w:val="21"/>
          <w:szCs w:val="21"/>
          <w:highlight w:val="none"/>
        </w:rPr>
        <w:t>一致或者有明显文字和计算错误的内容，评标委员会</w:t>
      </w:r>
      <w:r>
        <w:rPr>
          <w:rFonts w:ascii="微软雅黑" w:hAnsi="微软雅黑" w:eastAsia="微软雅黑" w:cs="微软雅黑"/>
          <w:color w:val="auto"/>
          <w:sz w:val="21"/>
          <w:szCs w:val="21"/>
          <w:highlight w:val="none"/>
        </w:rPr>
        <w:t xml:space="preserve"> 将通过“政府采购云平台”在线询标的方式要求投标供应商在规定的</w:t>
      </w:r>
      <w:r>
        <w:rPr>
          <w:rFonts w:ascii="微软雅黑" w:hAnsi="微软雅黑" w:eastAsia="微软雅黑" w:cs="微软雅黑"/>
          <w:color w:val="auto"/>
          <w:spacing w:val="-1"/>
          <w:sz w:val="21"/>
          <w:szCs w:val="21"/>
          <w:highlight w:val="none"/>
        </w:rPr>
        <w:t>时间内作出必要的澄清、说明或者补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正，</w:t>
      </w:r>
      <w:r>
        <w:rPr>
          <w:rFonts w:ascii="微软雅黑" w:hAnsi="微软雅黑" w:eastAsia="微软雅黑" w:cs="微软雅黑"/>
          <w:b/>
          <w:bCs/>
          <w:color w:val="auto"/>
          <w:spacing w:val="-4"/>
          <w:sz w:val="21"/>
          <w:szCs w:val="21"/>
          <w:highlight w:val="none"/>
        </w:rPr>
        <w:t>投标供应商澄清、说明或补正时间为 20 分钟</w:t>
      </w:r>
      <w:r>
        <w:rPr>
          <w:rFonts w:ascii="微软雅黑" w:hAnsi="微软雅黑" w:eastAsia="微软雅黑" w:cs="微软雅黑"/>
          <w:color w:val="auto"/>
          <w:spacing w:val="-4"/>
          <w:sz w:val="21"/>
          <w:szCs w:val="21"/>
          <w:highlight w:val="none"/>
        </w:rPr>
        <w:t>。</w:t>
      </w:r>
    </w:p>
    <w:p w14:paraId="05446BB3">
      <w:pPr>
        <w:spacing w:before="159" w:line="267" w:lineRule="auto"/>
        <w:ind w:left="42" w:right="147"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34.2 投标供应商的澄清、说明或者补正应当通过“</w:t>
      </w:r>
      <w:r>
        <w:rPr>
          <w:rFonts w:ascii="微软雅黑" w:hAnsi="微软雅黑" w:eastAsia="微软雅黑" w:cs="微软雅黑"/>
          <w:color w:val="auto"/>
          <w:spacing w:val="-1"/>
          <w:sz w:val="21"/>
          <w:szCs w:val="21"/>
          <w:highlight w:val="none"/>
        </w:rPr>
        <w:t>政府采购云平台”在线答复的方式提交，并加盖公章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（电子印章</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1"/>
          <w:sz w:val="21"/>
          <w:szCs w:val="21"/>
          <w:highlight w:val="none"/>
        </w:rPr>
        <w:t>或者由法定代表人（负责人）或其授权的代表签字。投标供应商的澄清、说明或者补正不</w:t>
      </w:r>
      <w:r>
        <w:rPr>
          <w:rFonts w:ascii="微软雅黑" w:hAnsi="微软雅黑" w:eastAsia="微软雅黑" w:cs="微软雅黑"/>
          <w:color w:val="auto"/>
          <w:sz w:val="21"/>
          <w:szCs w:val="21"/>
          <w:highlight w:val="none"/>
        </w:rPr>
        <w:t xml:space="preserve">  得超出投标文件的范围或者改变投标文件的实质性内容，不接受投标供</w:t>
      </w:r>
      <w:r>
        <w:rPr>
          <w:rFonts w:ascii="微软雅黑" w:hAnsi="微软雅黑" w:eastAsia="微软雅黑" w:cs="微软雅黑"/>
          <w:color w:val="auto"/>
          <w:spacing w:val="-1"/>
          <w:sz w:val="21"/>
          <w:szCs w:val="21"/>
          <w:highlight w:val="none"/>
        </w:rPr>
        <w:t>应商主动对投标文件的澄清、说明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或者补正。</w:t>
      </w:r>
    </w:p>
    <w:p w14:paraId="62BA4FFB">
      <w:pPr>
        <w:spacing w:before="157" w:line="258" w:lineRule="auto"/>
        <w:ind w:left="46" w:right="147"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34.3 上述询标、澄清、说明和补正工作如因客观原</w:t>
      </w:r>
      <w:r>
        <w:rPr>
          <w:rFonts w:ascii="微软雅黑" w:hAnsi="微软雅黑" w:eastAsia="微软雅黑" w:cs="微软雅黑"/>
          <w:color w:val="auto"/>
          <w:spacing w:val="-1"/>
          <w:sz w:val="21"/>
          <w:szCs w:val="21"/>
          <w:highlight w:val="none"/>
        </w:rPr>
        <w:t>因无法通过“政府采购云平台”在线进行的，将采用</w:t>
      </w:r>
      <w:r>
        <w:rPr>
          <w:rFonts w:ascii="微软雅黑" w:hAnsi="微软雅黑" w:eastAsia="微软雅黑" w:cs="微软雅黑"/>
          <w:color w:val="auto"/>
          <w:sz w:val="21"/>
          <w:szCs w:val="21"/>
          <w:highlight w:val="none"/>
        </w:rPr>
        <w:t xml:space="preserve"> 电子邮件等形式进行，请供应商保证办理投标事宜人员电话畅</w:t>
      </w:r>
      <w:r>
        <w:rPr>
          <w:rFonts w:ascii="微软雅黑" w:hAnsi="微软雅黑" w:eastAsia="微软雅黑" w:cs="微软雅黑"/>
          <w:color w:val="auto"/>
          <w:spacing w:val="-1"/>
          <w:sz w:val="21"/>
          <w:szCs w:val="21"/>
          <w:highlight w:val="none"/>
        </w:rPr>
        <w:t>通、网络在线。如未及时进行澄清、说明或</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者补正的，视为放弃澄清、说明或者补正的权利。</w:t>
      </w:r>
    </w:p>
    <w:p w14:paraId="0DB89C77">
      <w:pPr>
        <w:spacing w:line="258" w:lineRule="auto"/>
        <w:rPr>
          <w:rFonts w:ascii="微软雅黑" w:hAnsi="微软雅黑" w:eastAsia="微软雅黑" w:cs="微软雅黑"/>
          <w:color w:val="auto"/>
          <w:sz w:val="21"/>
          <w:szCs w:val="21"/>
          <w:highlight w:val="none"/>
        </w:rPr>
        <w:sectPr>
          <w:headerReference r:id="rId40" w:type="default"/>
          <w:footerReference r:id="rId41" w:type="default"/>
          <w:pgSz w:w="11906" w:h="16839"/>
          <w:pgMar w:top="1745" w:right="965" w:bottom="1152" w:left="1050" w:header="850" w:footer="992" w:gutter="0"/>
          <w:cols w:space="720" w:num="1"/>
        </w:sectPr>
      </w:pPr>
    </w:p>
    <w:p w14:paraId="7BB3E3C2">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9"/>
          <w:sz w:val="21"/>
          <w:szCs w:val="21"/>
          <w:highlight w:val="none"/>
        </w:rPr>
        <w:t>35．</w:t>
      </w:r>
      <w:r>
        <w:rPr>
          <w:rFonts w:ascii="微软雅黑" w:hAnsi="微软雅黑" w:eastAsia="微软雅黑" w:cs="微软雅黑"/>
          <w:b/>
          <w:bCs/>
          <w:color w:val="auto"/>
          <w:spacing w:val="-33"/>
          <w:sz w:val="21"/>
          <w:szCs w:val="21"/>
          <w:highlight w:val="none"/>
        </w:rPr>
        <w:t xml:space="preserve"> </w:t>
      </w:r>
      <w:r>
        <w:rPr>
          <w:rFonts w:ascii="微软雅黑" w:hAnsi="微软雅黑" w:eastAsia="微软雅黑" w:cs="微软雅黑"/>
          <w:b/>
          <w:bCs/>
          <w:color w:val="auto"/>
          <w:spacing w:val="-9"/>
          <w:sz w:val="21"/>
          <w:szCs w:val="21"/>
          <w:highlight w:val="none"/>
        </w:rPr>
        <w:t>错误修正的原则</w:t>
      </w:r>
    </w:p>
    <w:p w14:paraId="2E6E9818">
      <w:pPr>
        <w:spacing w:before="156" w:line="292" w:lineRule="auto"/>
        <w:ind w:left="42" w:right="200" w:firstLine="23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电子交易平台客户端里开标一览表录入的投标报价或优惠率与扫描上传的报价文件信息不一致的，以扫</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描上传的报价文件信息为准进行修正。</w:t>
      </w:r>
    </w:p>
    <w:p w14:paraId="313FA734">
      <w:pPr>
        <w:spacing w:before="4"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投标文件报价出现前后不一致的，除采购文件另有规定外，按照下列规定修正：</w:t>
      </w:r>
    </w:p>
    <w:p w14:paraId="0CFBE42B">
      <w:pPr>
        <w:spacing w:before="158"/>
        <w:ind w:left="64" w:firstLine="18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35.1</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投标函中表述的内容与报价表中不一致的，以报价表为准；报价表中的内容与报价明细表不一致的，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以报价表为准；</w:t>
      </w:r>
    </w:p>
    <w:p w14:paraId="207828DD">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35.2</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2"/>
          <w:sz w:val="21"/>
          <w:szCs w:val="21"/>
          <w:highlight w:val="none"/>
        </w:rPr>
        <w:t>投标文件中的大写金额和小写金额不一致的，以大写金</w:t>
      </w:r>
      <w:r>
        <w:rPr>
          <w:rFonts w:ascii="微软雅黑" w:hAnsi="微软雅黑" w:eastAsia="微软雅黑" w:cs="微软雅黑"/>
          <w:color w:val="auto"/>
          <w:spacing w:val="-3"/>
          <w:sz w:val="21"/>
          <w:szCs w:val="21"/>
          <w:highlight w:val="none"/>
        </w:rPr>
        <w:t>额为准；</w:t>
      </w:r>
    </w:p>
    <w:p w14:paraId="42682D62">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35.3</w:t>
      </w:r>
      <w:r>
        <w:rPr>
          <w:rFonts w:ascii="微软雅黑" w:hAnsi="微软雅黑" w:eastAsia="微软雅黑" w:cs="微软雅黑"/>
          <w:color w:val="auto"/>
          <w:spacing w:val="69"/>
          <w:sz w:val="21"/>
          <w:szCs w:val="21"/>
          <w:highlight w:val="none"/>
        </w:rPr>
        <w:t xml:space="preserve"> </w:t>
      </w:r>
      <w:r>
        <w:rPr>
          <w:rFonts w:ascii="微软雅黑" w:hAnsi="微软雅黑" w:eastAsia="微软雅黑" w:cs="微软雅黑"/>
          <w:color w:val="auto"/>
          <w:spacing w:val="-2"/>
          <w:sz w:val="21"/>
          <w:szCs w:val="21"/>
          <w:highlight w:val="none"/>
        </w:rPr>
        <w:t>单价金额小数点或者百分比有明显错位的，以开标一览表的总价为准，并修改单价；</w:t>
      </w:r>
    </w:p>
    <w:p w14:paraId="5CEB1F28">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35.4  总价金额与按单价汇总金额不一致的，以单价金额计算</w:t>
      </w:r>
      <w:r>
        <w:rPr>
          <w:rFonts w:ascii="微软雅黑" w:hAnsi="微软雅黑" w:eastAsia="微软雅黑" w:cs="微软雅黑"/>
          <w:color w:val="auto"/>
          <w:spacing w:val="-3"/>
          <w:sz w:val="21"/>
          <w:szCs w:val="21"/>
          <w:highlight w:val="none"/>
        </w:rPr>
        <w:t>结果为准；</w:t>
      </w:r>
    </w:p>
    <w:p w14:paraId="7123816E">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35.5</w:t>
      </w:r>
      <w:r>
        <w:rPr>
          <w:rFonts w:ascii="微软雅黑" w:hAnsi="微软雅黑" w:eastAsia="微软雅黑" w:cs="微软雅黑"/>
          <w:color w:val="auto"/>
          <w:spacing w:val="61"/>
          <w:w w:val="101"/>
          <w:sz w:val="21"/>
          <w:szCs w:val="21"/>
          <w:highlight w:val="none"/>
        </w:rPr>
        <w:t xml:space="preserve"> </w:t>
      </w:r>
      <w:r>
        <w:rPr>
          <w:rFonts w:ascii="微软雅黑" w:hAnsi="微软雅黑" w:eastAsia="微软雅黑" w:cs="微软雅黑"/>
          <w:color w:val="auto"/>
          <w:spacing w:val="-2"/>
          <w:sz w:val="21"/>
          <w:szCs w:val="21"/>
          <w:highlight w:val="none"/>
        </w:rPr>
        <w:t>若用文字表示的数值与用数字表示的数值不一致，以文字表示的数值为准；</w:t>
      </w:r>
    </w:p>
    <w:p w14:paraId="22FB1303">
      <w:pPr>
        <w:spacing w:before="158" w:line="241" w:lineRule="auto"/>
        <w:ind w:left="47" w:right="95"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35.6</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如有多报（指数量超出采购文件需求）、重报（指同一货物重复报价</w:t>
      </w:r>
      <w:r>
        <w:rPr>
          <w:rFonts w:ascii="微软雅黑" w:hAnsi="微软雅黑" w:eastAsia="微软雅黑" w:cs="微软雅黑"/>
          <w:color w:val="auto"/>
          <w:spacing w:val="8"/>
          <w:sz w:val="21"/>
          <w:szCs w:val="21"/>
          <w:highlight w:val="none"/>
        </w:rPr>
        <w:t>），</w:t>
      </w:r>
      <w:r>
        <w:rPr>
          <w:rFonts w:ascii="微软雅黑" w:hAnsi="微软雅黑" w:eastAsia="微软雅黑" w:cs="微软雅黑"/>
          <w:color w:val="auto"/>
          <w:spacing w:val="-1"/>
          <w:sz w:val="21"/>
          <w:szCs w:val="21"/>
          <w:highlight w:val="none"/>
        </w:rPr>
        <w:t>其投标总价在评标过程中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不予调整，如其中标，其合同价按其投标单价予以调整；</w:t>
      </w:r>
    </w:p>
    <w:p w14:paraId="29191B73">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35.7</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对不同文字文本投标文件的解释发生异议的，</w:t>
      </w:r>
      <w:r>
        <w:rPr>
          <w:rFonts w:ascii="微软雅黑" w:hAnsi="微软雅黑" w:eastAsia="微软雅黑" w:cs="微软雅黑"/>
          <w:color w:val="auto"/>
          <w:spacing w:val="-3"/>
          <w:sz w:val="21"/>
          <w:szCs w:val="21"/>
          <w:highlight w:val="none"/>
        </w:rPr>
        <w:t>以中文文本为准；</w:t>
      </w:r>
    </w:p>
    <w:p w14:paraId="21BFF2B1">
      <w:pPr>
        <w:spacing w:before="157" w:line="291" w:lineRule="auto"/>
        <w:ind w:left="42" w:right="200" w:firstLine="23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同时出现两种以上不一致的，按照前款规定的顺序修正。按上述修正错误的原则及方法调整或修正投标</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z w:val="21"/>
          <w:szCs w:val="21"/>
          <w:highlight w:val="none"/>
        </w:rPr>
        <w:t>文件的投标报价，供应商确认后，以调整或修正后的投标报价为准。如</w:t>
      </w:r>
      <w:r>
        <w:rPr>
          <w:rFonts w:ascii="微软雅黑" w:hAnsi="微软雅黑" w:eastAsia="微软雅黑" w:cs="微软雅黑"/>
          <w:color w:val="auto"/>
          <w:spacing w:val="-1"/>
          <w:sz w:val="21"/>
          <w:szCs w:val="21"/>
          <w:highlight w:val="none"/>
        </w:rPr>
        <w:t>供应商拒绝调整或修正的，其投标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文件按无效标处理。</w:t>
      </w:r>
      <w:r>
        <w:rPr>
          <w:rFonts w:ascii="微软雅黑" w:hAnsi="微软雅黑" w:eastAsia="微软雅黑" w:cs="微软雅黑"/>
          <w:b/>
          <w:bCs/>
          <w:color w:val="auto"/>
          <w:spacing w:val="-1"/>
          <w:sz w:val="21"/>
          <w:szCs w:val="21"/>
          <w:highlight w:val="none"/>
        </w:rPr>
        <w:t>修正应当采用电子询标的形式，并加盖公章</w:t>
      </w:r>
      <w:r>
        <w:rPr>
          <w:rFonts w:ascii="微软雅黑" w:hAnsi="微软雅黑" w:eastAsia="微软雅黑" w:cs="微软雅黑"/>
          <w:b/>
          <w:bCs/>
          <w:color w:val="auto"/>
          <w:spacing w:val="-2"/>
          <w:sz w:val="21"/>
          <w:szCs w:val="21"/>
          <w:highlight w:val="none"/>
        </w:rPr>
        <w:t>（电子印章）。</w:t>
      </w:r>
    </w:p>
    <w:p w14:paraId="286BC6F6">
      <w:pPr>
        <w:spacing w:before="1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0"/>
          <w:sz w:val="21"/>
          <w:szCs w:val="21"/>
          <w:highlight w:val="none"/>
        </w:rPr>
        <w:t>36．</w:t>
      </w:r>
      <w:r>
        <w:rPr>
          <w:rFonts w:ascii="微软雅黑" w:hAnsi="微软雅黑" w:eastAsia="微软雅黑" w:cs="微软雅黑"/>
          <w:b/>
          <w:bCs/>
          <w:color w:val="auto"/>
          <w:spacing w:val="-32"/>
          <w:sz w:val="21"/>
          <w:szCs w:val="21"/>
          <w:highlight w:val="none"/>
        </w:rPr>
        <w:t xml:space="preserve"> </w:t>
      </w:r>
      <w:r>
        <w:rPr>
          <w:rFonts w:ascii="微软雅黑" w:hAnsi="微软雅黑" w:eastAsia="微软雅黑" w:cs="微软雅黑"/>
          <w:b/>
          <w:bCs/>
          <w:color w:val="auto"/>
          <w:spacing w:val="-10"/>
          <w:sz w:val="21"/>
          <w:szCs w:val="21"/>
          <w:highlight w:val="none"/>
        </w:rPr>
        <w:t>无效投标文件</w:t>
      </w:r>
    </w:p>
    <w:p w14:paraId="40558ABD">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有下列情形之一的，投标文件按无效标处理：</w:t>
      </w:r>
    </w:p>
    <w:p w14:paraId="3C96D073">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2"/>
          <w:sz w:val="21"/>
          <w:szCs w:val="21"/>
          <w:highlight w:val="none"/>
        </w:rPr>
        <w:t>报名的投标人与参加投标的投标人发生实质性变更的且未提供有效证明的；</w:t>
      </w:r>
    </w:p>
    <w:p w14:paraId="1A887348">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36.2 投标人提交两份或两份以上内容不同的投标文件，未声明哪一份有效的；</w:t>
      </w:r>
    </w:p>
    <w:p w14:paraId="2549BF0C">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36.3</w:t>
      </w:r>
      <w:r>
        <w:rPr>
          <w:rFonts w:ascii="微软雅黑" w:hAnsi="微软雅黑" w:eastAsia="微软雅黑" w:cs="微软雅黑"/>
          <w:color w:val="auto"/>
          <w:spacing w:val="64"/>
          <w:sz w:val="21"/>
          <w:szCs w:val="21"/>
          <w:highlight w:val="none"/>
        </w:rPr>
        <w:t xml:space="preserve"> </w:t>
      </w:r>
      <w:r>
        <w:rPr>
          <w:rFonts w:ascii="微软雅黑" w:hAnsi="微软雅黑" w:eastAsia="微软雅黑" w:cs="微软雅黑"/>
          <w:color w:val="auto"/>
          <w:spacing w:val="-2"/>
          <w:sz w:val="21"/>
          <w:szCs w:val="21"/>
          <w:highlight w:val="none"/>
        </w:rPr>
        <w:t>投标文件非投标人法定代表人签署的，未提供或提供无效的法定代表人授权书；</w:t>
      </w:r>
    </w:p>
    <w:p w14:paraId="123E2014">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36.4</w:t>
      </w:r>
      <w:r>
        <w:rPr>
          <w:rFonts w:ascii="微软雅黑" w:hAnsi="微软雅黑" w:eastAsia="微软雅黑" w:cs="微软雅黑"/>
          <w:color w:val="auto"/>
          <w:spacing w:val="64"/>
          <w:w w:val="101"/>
          <w:sz w:val="21"/>
          <w:szCs w:val="21"/>
          <w:highlight w:val="none"/>
        </w:rPr>
        <w:t xml:space="preserve"> </w:t>
      </w:r>
      <w:r>
        <w:rPr>
          <w:rFonts w:ascii="微软雅黑" w:hAnsi="微软雅黑" w:eastAsia="微软雅黑" w:cs="微软雅黑"/>
          <w:color w:val="auto"/>
          <w:spacing w:val="-5"/>
          <w:sz w:val="21"/>
          <w:szCs w:val="21"/>
          <w:highlight w:val="none"/>
        </w:rPr>
        <w:t>未按招标文件规定装订；</w:t>
      </w:r>
    </w:p>
    <w:p w14:paraId="1DAF56BD">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36.5</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投标文件内容未按招标文件规定签字或盖章的；</w:t>
      </w:r>
    </w:p>
    <w:p w14:paraId="1E12011D">
      <w:pPr>
        <w:spacing w:before="157" w:line="241" w:lineRule="auto"/>
        <w:ind w:left="44" w:right="95"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36.6</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z w:val="21"/>
          <w:szCs w:val="21"/>
          <w:highlight w:val="none"/>
        </w:rPr>
        <w:t>投标文件组成漏项或未按规定的格式编</w:t>
      </w:r>
      <w:r>
        <w:rPr>
          <w:rFonts w:ascii="微软雅黑" w:hAnsi="微软雅黑" w:eastAsia="微软雅黑" w:cs="微软雅黑"/>
          <w:color w:val="auto"/>
          <w:spacing w:val="-1"/>
          <w:sz w:val="21"/>
          <w:szCs w:val="21"/>
          <w:highlight w:val="none"/>
        </w:rPr>
        <w:t>制或投标文件正、副本份数不足或内容不全或内容字迹模糊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辨认不清的等而导致评标活动无法正常进行；</w:t>
      </w:r>
    </w:p>
    <w:p w14:paraId="63C47E65">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36.7</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投标人未按招标文件变更通知更改投标文件的；</w:t>
      </w:r>
    </w:p>
    <w:p w14:paraId="5AA39A5F">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36.8</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pacing w:val="-1"/>
          <w:sz w:val="21"/>
          <w:szCs w:val="21"/>
          <w:highlight w:val="none"/>
        </w:rPr>
        <w:t>《开标一览表》和《投标分项报价表》内容不完</w:t>
      </w:r>
      <w:r>
        <w:rPr>
          <w:rFonts w:ascii="微软雅黑" w:hAnsi="微软雅黑" w:eastAsia="微软雅黑" w:cs="微软雅黑"/>
          <w:color w:val="auto"/>
          <w:spacing w:val="-2"/>
          <w:sz w:val="21"/>
          <w:szCs w:val="21"/>
          <w:highlight w:val="none"/>
        </w:rPr>
        <w:t>整且不接受修正意见或字迹不能辨认的或未提供；</w:t>
      </w:r>
    </w:p>
    <w:p w14:paraId="453A8D3F">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36.9</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标项投标报价超过招标文件规定的预算金额或最高限价</w:t>
      </w:r>
    </w:p>
    <w:p w14:paraId="15D4F89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36.10  因投标人原因编制错误造成经评标委员会修正后的报价达到或超</w:t>
      </w:r>
      <w:r>
        <w:rPr>
          <w:rFonts w:ascii="微软雅黑" w:hAnsi="微软雅黑" w:eastAsia="微软雅黑" w:cs="微软雅黑"/>
          <w:color w:val="auto"/>
          <w:spacing w:val="-3"/>
          <w:sz w:val="21"/>
          <w:szCs w:val="21"/>
          <w:highlight w:val="none"/>
        </w:rPr>
        <w:t>过投标报价的 0.5%；</w:t>
      </w:r>
    </w:p>
    <w:p w14:paraId="387D9F3E">
      <w:pPr>
        <w:spacing w:before="157" w:line="241" w:lineRule="auto"/>
        <w:ind w:left="44" w:right="200"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36.11</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投标人的报价明显低于其他通过符合性审查投标人的报价，有可能影响产品质量或者不能诚信履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约的，且在规定时间内不能合理说明原因并提</w:t>
      </w:r>
      <w:r>
        <w:rPr>
          <w:rFonts w:ascii="微软雅黑" w:hAnsi="微软雅黑" w:eastAsia="微软雅黑" w:cs="微软雅黑"/>
          <w:color w:val="auto"/>
          <w:spacing w:val="-3"/>
          <w:sz w:val="21"/>
          <w:szCs w:val="21"/>
          <w:highlight w:val="none"/>
        </w:rPr>
        <w:t>供证明材料的；</w:t>
      </w:r>
    </w:p>
    <w:p w14:paraId="1D535904">
      <w:pPr>
        <w:spacing w:line="241" w:lineRule="auto"/>
        <w:rPr>
          <w:rFonts w:ascii="微软雅黑" w:hAnsi="微软雅黑" w:eastAsia="微软雅黑" w:cs="微软雅黑"/>
          <w:color w:val="auto"/>
          <w:sz w:val="21"/>
          <w:szCs w:val="21"/>
          <w:highlight w:val="none"/>
        </w:rPr>
        <w:sectPr>
          <w:footerReference r:id="rId42" w:type="default"/>
          <w:pgSz w:w="11906" w:h="16839"/>
          <w:pgMar w:top="1745" w:right="965" w:bottom="1152" w:left="1050" w:header="850" w:footer="992" w:gutter="0"/>
          <w:cols w:space="720" w:num="1"/>
        </w:sectPr>
      </w:pPr>
    </w:p>
    <w:p w14:paraId="577085FB">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36.12</w:t>
      </w:r>
      <w:r>
        <w:rPr>
          <w:rFonts w:ascii="微软雅黑" w:hAnsi="微软雅黑" w:eastAsia="微软雅黑" w:cs="微软雅黑"/>
          <w:color w:val="auto"/>
          <w:spacing w:val="73"/>
          <w:sz w:val="21"/>
          <w:szCs w:val="21"/>
          <w:highlight w:val="none"/>
        </w:rPr>
        <w:t xml:space="preserve"> </w:t>
      </w:r>
      <w:r>
        <w:rPr>
          <w:rFonts w:ascii="微软雅黑" w:hAnsi="微软雅黑" w:eastAsia="微软雅黑" w:cs="微软雅黑"/>
          <w:color w:val="auto"/>
          <w:spacing w:val="-4"/>
          <w:sz w:val="21"/>
          <w:szCs w:val="21"/>
          <w:highlight w:val="none"/>
        </w:rPr>
        <w:t>未实质性响应招标文件中条款要求的投标文件；</w:t>
      </w:r>
    </w:p>
    <w:p w14:paraId="600A8DFE">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36.13  不符合招标范围、技术规格、技术标</w:t>
      </w:r>
      <w:r>
        <w:rPr>
          <w:rFonts w:ascii="微软雅黑" w:hAnsi="微软雅黑" w:eastAsia="微软雅黑" w:cs="微软雅黑"/>
          <w:color w:val="auto"/>
          <w:spacing w:val="-3"/>
          <w:sz w:val="21"/>
          <w:szCs w:val="21"/>
          <w:highlight w:val="none"/>
        </w:rPr>
        <w:t>准的要求无法满足采购人使用要求；</w:t>
      </w:r>
    </w:p>
    <w:p w14:paraId="10B771C4">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36.14</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4"/>
          <w:sz w:val="21"/>
          <w:szCs w:val="21"/>
          <w:highlight w:val="none"/>
        </w:rPr>
        <w:t>投标文件附有采购人不能接受的条款；</w:t>
      </w:r>
    </w:p>
    <w:p w14:paraId="2756967B">
      <w:pPr>
        <w:spacing w:before="158"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36.15</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3"/>
          <w:sz w:val="21"/>
          <w:szCs w:val="21"/>
          <w:highlight w:val="none"/>
        </w:rPr>
        <w:t>投标文件中提供了赠品或者与本项目采购无关的其他商品、服务；</w:t>
      </w:r>
    </w:p>
    <w:p w14:paraId="19A0CE71">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36.16</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3"/>
          <w:sz w:val="21"/>
          <w:szCs w:val="21"/>
          <w:highlight w:val="none"/>
        </w:rPr>
        <w:t>投标文件中承诺的投标有效期少于招标文件中载明的投标有效期；</w:t>
      </w:r>
    </w:p>
    <w:p w14:paraId="2171598D">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36.17 投标人串通投标，妨碍其他投标人的竞争行为，损害采购人或者其他投标人的合法权益；</w:t>
      </w:r>
    </w:p>
    <w:p w14:paraId="5676DEDE">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36.18 违反国家及政府部门相关法律、法规、文件规定或经评标委员会认定的其他属于重大偏离；</w:t>
      </w:r>
    </w:p>
    <w:p w14:paraId="325A6BB0">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7"/>
          <w:sz w:val="21"/>
          <w:szCs w:val="21"/>
          <w:highlight w:val="none"/>
        </w:rPr>
        <w:t>37．</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7"/>
          <w:sz w:val="21"/>
          <w:szCs w:val="21"/>
          <w:highlight w:val="none"/>
        </w:rPr>
        <w:t>废标</w:t>
      </w:r>
    </w:p>
    <w:p w14:paraId="549F3BDE">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37.1  符合招标文件规定废标情形的；</w:t>
      </w:r>
    </w:p>
    <w:p w14:paraId="3917040C">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37.2  出现影响采购公正的违法、违规行为</w:t>
      </w:r>
      <w:r>
        <w:rPr>
          <w:rFonts w:ascii="微软雅黑" w:hAnsi="微软雅黑" w:eastAsia="微软雅黑" w:cs="微软雅黑"/>
          <w:color w:val="auto"/>
          <w:spacing w:val="-4"/>
          <w:sz w:val="21"/>
          <w:szCs w:val="21"/>
          <w:highlight w:val="none"/>
        </w:rPr>
        <w:t>的；</w:t>
      </w:r>
    </w:p>
    <w:p w14:paraId="158B9A7A">
      <w:pPr>
        <w:spacing w:before="159" w:line="183"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37.3</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供应商的报价均超过了采购预算（或最高限价），</w:t>
      </w:r>
      <w:r>
        <w:rPr>
          <w:rFonts w:ascii="微软雅黑" w:hAnsi="微软雅黑" w:eastAsia="微软雅黑" w:cs="微软雅黑"/>
          <w:color w:val="auto"/>
          <w:sz w:val="21"/>
          <w:szCs w:val="21"/>
          <w:highlight w:val="none"/>
        </w:rPr>
        <w:t>采购人不能支付的;</w:t>
      </w:r>
    </w:p>
    <w:p w14:paraId="761A314E">
      <w:pPr>
        <w:spacing w:before="164"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37.4  因重大变故，采购任务取消的。</w:t>
      </w:r>
    </w:p>
    <w:p w14:paraId="3291219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1"/>
          <w:sz w:val="21"/>
          <w:szCs w:val="21"/>
          <w:highlight w:val="none"/>
        </w:rPr>
        <w:t>38．</w:t>
      </w:r>
      <w:r>
        <w:rPr>
          <w:rFonts w:ascii="微软雅黑" w:hAnsi="微软雅黑" w:eastAsia="微软雅黑" w:cs="微软雅黑"/>
          <w:b/>
          <w:bCs/>
          <w:color w:val="auto"/>
          <w:spacing w:val="-22"/>
          <w:sz w:val="21"/>
          <w:szCs w:val="21"/>
          <w:highlight w:val="none"/>
        </w:rPr>
        <w:t xml:space="preserve"> </w:t>
      </w:r>
      <w:r>
        <w:rPr>
          <w:rFonts w:ascii="微软雅黑" w:hAnsi="微软雅黑" w:eastAsia="微软雅黑" w:cs="微软雅黑"/>
          <w:b/>
          <w:bCs/>
          <w:color w:val="auto"/>
          <w:spacing w:val="-11"/>
          <w:sz w:val="21"/>
          <w:szCs w:val="21"/>
          <w:highlight w:val="none"/>
        </w:rPr>
        <w:t>突发情况处理</w:t>
      </w:r>
    </w:p>
    <w:p w14:paraId="7C278324">
      <w:pPr>
        <w:spacing w:before="156" w:line="241" w:lineRule="auto"/>
        <w:ind w:left="42" w:right="10"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38.1</w:t>
      </w:r>
      <w:r>
        <w:rPr>
          <w:rFonts w:ascii="微软雅黑" w:hAnsi="微软雅黑" w:eastAsia="微软雅黑" w:cs="微软雅黑"/>
          <w:color w:val="auto"/>
          <w:spacing w:val="77"/>
          <w:sz w:val="21"/>
          <w:szCs w:val="21"/>
          <w:highlight w:val="none"/>
        </w:rPr>
        <w:t xml:space="preserve"> </w:t>
      </w:r>
      <w:r>
        <w:rPr>
          <w:rFonts w:ascii="微软雅黑" w:hAnsi="微软雅黑" w:eastAsia="微软雅黑" w:cs="微软雅黑"/>
          <w:color w:val="auto"/>
          <w:spacing w:val="-1"/>
          <w:sz w:val="21"/>
          <w:szCs w:val="21"/>
          <w:highlight w:val="none"/>
        </w:rPr>
        <w:t>采购过程中出现以下情形，导致电子交易平台无法正常运行，或者无法保证电子交易的公平、公正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和安全时，采购组织机构可中止电子交易活动：</w:t>
      </w:r>
    </w:p>
    <w:p w14:paraId="3562720F">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（1）电子交易平台发生故障而无法登录访问的；</w:t>
      </w:r>
    </w:p>
    <w:p w14:paraId="00748876">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（2）电子交易平台应用或数据库出现错误，不能进行正常操作的；</w:t>
      </w:r>
    </w:p>
    <w:p w14:paraId="7B57F7E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（3）电子交易平台发现严重安全漏洞，有潜在泄密危险的；</w:t>
      </w:r>
    </w:p>
    <w:p w14:paraId="24B625A1">
      <w:pPr>
        <w:spacing w:before="166"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（4）病毒发作导致不能进行正常操作的；</w:t>
      </w:r>
    </w:p>
    <w:p w14:paraId="39E56652">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（5）其他无法保证电子交易的公平、公正</w:t>
      </w:r>
      <w:r>
        <w:rPr>
          <w:rFonts w:ascii="微软雅黑" w:hAnsi="微软雅黑" w:eastAsia="微软雅黑" w:cs="微软雅黑"/>
          <w:color w:val="auto"/>
          <w:spacing w:val="-3"/>
          <w:sz w:val="21"/>
          <w:szCs w:val="21"/>
          <w:highlight w:val="none"/>
        </w:rPr>
        <w:t>和安全的情况。</w:t>
      </w:r>
    </w:p>
    <w:p w14:paraId="13A8933D">
      <w:pPr>
        <w:spacing w:before="164" w:line="292" w:lineRule="auto"/>
        <w:ind w:left="49" w:right="115" w:firstLine="2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出现前款规定情形，不影响采购公平、公正性的，采购组织机构可以待上述情形消除后继续组织电子交</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1"/>
          <w:sz w:val="21"/>
          <w:szCs w:val="21"/>
          <w:highlight w:val="none"/>
        </w:rPr>
        <w:t>易活动，也可以决定某些环节以纸质形式进行；影响或可能影响采购公平、公正性的，应当重</w:t>
      </w:r>
      <w:r>
        <w:rPr>
          <w:rFonts w:ascii="微软雅黑" w:hAnsi="微软雅黑" w:eastAsia="微软雅黑" w:cs="微软雅黑"/>
          <w:color w:val="auto"/>
          <w:spacing w:val="-2"/>
          <w:sz w:val="21"/>
          <w:szCs w:val="21"/>
          <w:highlight w:val="none"/>
        </w:rPr>
        <w:t>新采购。</w:t>
      </w:r>
    </w:p>
    <w:p w14:paraId="5B49AB07">
      <w:pPr>
        <w:spacing w:before="2" w:line="241" w:lineRule="auto"/>
        <w:ind w:left="42" w:right="10" w:firstLine="2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38.2</w:t>
      </w:r>
      <w:r>
        <w:rPr>
          <w:rFonts w:ascii="微软雅黑" w:hAnsi="微软雅黑" w:eastAsia="微软雅黑" w:cs="微软雅黑"/>
          <w:color w:val="auto"/>
          <w:spacing w:val="77"/>
          <w:sz w:val="21"/>
          <w:szCs w:val="21"/>
          <w:highlight w:val="none"/>
        </w:rPr>
        <w:t xml:space="preserve"> </w:t>
      </w:r>
      <w:r>
        <w:rPr>
          <w:rFonts w:ascii="微软雅黑" w:hAnsi="微软雅黑" w:eastAsia="微软雅黑" w:cs="微软雅黑"/>
          <w:color w:val="auto"/>
          <w:spacing w:val="-1"/>
          <w:sz w:val="21"/>
          <w:szCs w:val="21"/>
          <w:highlight w:val="none"/>
        </w:rPr>
        <w:t>采购代理机构或评审小组因不可抗力（不可抗力包括但不限于自然灾害、断电、传播疫病等）原因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造成电子交易活动无法正常运行的，将采取以下措施：</w:t>
      </w:r>
    </w:p>
    <w:p w14:paraId="1DA0D7BC">
      <w:pPr>
        <w:spacing w:before="157" w:line="241" w:lineRule="auto"/>
        <w:ind w:left="49" w:right="46" w:firstLine="2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（1）短时间内能消除不可抗力因素的，采购代理</w:t>
      </w:r>
      <w:r>
        <w:rPr>
          <w:rFonts w:ascii="微软雅黑" w:hAnsi="微软雅黑" w:eastAsia="微软雅黑" w:cs="微软雅黑"/>
          <w:color w:val="auto"/>
          <w:spacing w:val="-2"/>
          <w:sz w:val="21"/>
          <w:szCs w:val="21"/>
          <w:highlight w:val="none"/>
        </w:rPr>
        <w:t>机构或评审小组在消除不可抗力因素后继续组织电子交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易活动；</w:t>
      </w:r>
    </w:p>
    <w:p w14:paraId="655D09BB">
      <w:pPr>
        <w:spacing w:before="157" w:line="272" w:lineRule="auto"/>
        <w:ind w:left="48" w:right="55"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（2）长时间内无法消除不可抗力因素的，采购代理机构或评审小组将中止电子交易活动。中止电子交易</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3"/>
          <w:sz w:val="21"/>
          <w:szCs w:val="21"/>
          <w:highlight w:val="none"/>
        </w:rPr>
        <w:t>活动的，采购人应当重新组织政府采购活动。</w:t>
      </w:r>
    </w:p>
    <w:p w14:paraId="191DADCB">
      <w:pPr>
        <w:spacing w:before="1"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39.  定标</w:t>
      </w:r>
    </w:p>
    <w:p w14:paraId="743BE1FC">
      <w:pPr>
        <w:spacing w:before="141" w:line="183" w:lineRule="auto"/>
        <w:ind w:left="5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39.1 采购结果确认（确定中标供应商）</w:t>
      </w:r>
    </w:p>
    <w:p w14:paraId="0813A2B9">
      <w:pPr>
        <w:spacing w:before="165" w:line="183" w:lineRule="auto"/>
        <w:ind w:left="25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采购结果确认（确定中标供应商</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本项目由采购人根据评标委员</w:t>
      </w:r>
      <w:r>
        <w:rPr>
          <w:rFonts w:ascii="微软雅黑" w:hAnsi="微软雅黑" w:eastAsia="微软雅黑" w:cs="微软雅黑"/>
          <w:color w:val="auto"/>
          <w:spacing w:val="-1"/>
          <w:sz w:val="21"/>
          <w:szCs w:val="21"/>
          <w:highlight w:val="none"/>
        </w:rPr>
        <w:t>会提交的《评审报告》，通过“政府</w:t>
      </w:r>
    </w:p>
    <w:p w14:paraId="4CF40F5E">
      <w:pPr>
        <w:spacing w:line="183" w:lineRule="auto"/>
        <w:rPr>
          <w:rFonts w:ascii="微软雅黑" w:hAnsi="微软雅黑" w:eastAsia="微软雅黑" w:cs="微软雅黑"/>
          <w:color w:val="auto"/>
          <w:sz w:val="21"/>
          <w:szCs w:val="21"/>
          <w:highlight w:val="none"/>
        </w:rPr>
        <w:sectPr>
          <w:headerReference r:id="rId43" w:type="default"/>
          <w:footerReference r:id="rId44" w:type="default"/>
          <w:pgSz w:w="11906" w:h="16839"/>
          <w:pgMar w:top="1745" w:right="1050" w:bottom="1152" w:left="1050" w:header="850" w:footer="992" w:gutter="0"/>
          <w:cols w:space="720" w:num="1"/>
        </w:sectPr>
      </w:pPr>
    </w:p>
    <w:p w14:paraId="2B04AAB1">
      <w:pPr>
        <w:spacing w:before="171"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采购云平台”依法确认采购结果、确定中标供应商。具体流程如</w:t>
      </w:r>
      <w:r>
        <w:rPr>
          <w:rFonts w:ascii="微软雅黑" w:hAnsi="微软雅黑" w:eastAsia="微软雅黑" w:cs="微软雅黑"/>
          <w:color w:val="auto"/>
          <w:spacing w:val="-3"/>
          <w:sz w:val="21"/>
          <w:szCs w:val="21"/>
          <w:highlight w:val="none"/>
        </w:rPr>
        <w:t>下：</w:t>
      </w:r>
    </w:p>
    <w:p w14:paraId="4A53B91C">
      <w:pPr>
        <w:spacing w:before="158"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（1）采购代理机构将在评审结束后</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4"/>
          <w:sz w:val="21"/>
          <w:szCs w:val="21"/>
          <w:highlight w:val="none"/>
        </w:rPr>
        <w:t>2 个工作日内将评审报告送采购人。</w:t>
      </w:r>
    </w:p>
    <w:p w14:paraId="1FF47825">
      <w:pPr>
        <w:spacing w:before="163" w:line="241" w:lineRule="auto"/>
        <w:ind w:left="47" w:right="28" w:firstLine="20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（2）采购人将在收到评审报告之日起 5 个工作日内，在评审报告推荐的中标候选供应商名单中按顺序确</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2"/>
          <w:sz w:val="21"/>
          <w:szCs w:val="21"/>
          <w:highlight w:val="none"/>
        </w:rPr>
        <w:t>定中标供应商，并将确认意见以书面形式回复采购代理机构。</w:t>
      </w:r>
    </w:p>
    <w:p w14:paraId="2261EC9B">
      <w:pPr>
        <w:spacing w:before="156" w:line="233" w:lineRule="auto"/>
        <w:ind w:left="42" w:right="62"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39.2 采购结果经采购人确认后 2 个工作日内，采购代理机构将在</w:t>
      </w:r>
      <w:r>
        <w:rPr>
          <w:rFonts w:ascii="微软雅黑" w:hAnsi="微软雅黑" w:eastAsia="微软雅黑" w:cs="微软雅黑"/>
          <w:b/>
          <w:bCs/>
          <w:color w:val="auto"/>
          <w:spacing w:val="-1"/>
          <w:sz w:val="21"/>
          <w:szCs w:val="21"/>
          <w:highlight w:val="none"/>
        </w:rPr>
        <w:t>克州公共资源交</w:t>
      </w:r>
      <w:r>
        <w:rPr>
          <w:rFonts w:ascii="微软雅黑" w:hAnsi="微软雅黑" w:eastAsia="微软雅黑" w:cs="微软雅黑"/>
          <w:b/>
          <w:bCs/>
          <w:color w:val="auto"/>
          <w:spacing w:val="-2"/>
          <w:sz w:val="21"/>
          <w:szCs w:val="21"/>
          <w:highlight w:val="none"/>
        </w:rPr>
        <w:t>易中心网、新疆政府采</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6"/>
          <w:sz w:val="21"/>
          <w:szCs w:val="21"/>
          <w:highlight w:val="none"/>
        </w:rPr>
        <w:t>购网（www.zjzfcg.gov.cn）上</w:t>
      </w:r>
      <w:r>
        <w:rPr>
          <w:rFonts w:ascii="微软雅黑" w:hAnsi="微软雅黑" w:eastAsia="微软雅黑" w:cs="微软雅黑"/>
          <w:b/>
          <w:bCs/>
          <w:color w:val="auto"/>
          <w:spacing w:val="-7"/>
          <w:sz w:val="21"/>
          <w:szCs w:val="21"/>
          <w:highlight w:val="none"/>
        </w:rPr>
        <w:t>公告采购结果，中标公告期限为</w:t>
      </w:r>
      <w:r>
        <w:rPr>
          <w:rFonts w:ascii="微软雅黑" w:hAnsi="微软雅黑" w:eastAsia="微软雅黑" w:cs="微软雅黑"/>
          <w:b/>
          <w:bCs/>
          <w:color w:val="auto"/>
          <w:spacing w:val="13"/>
          <w:sz w:val="21"/>
          <w:szCs w:val="21"/>
          <w:highlight w:val="none"/>
        </w:rPr>
        <w:t xml:space="preserve"> </w:t>
      </w:r>
      <w:r>
        <w:rPr>
          <w:rFonts w:ascii="微软雅黑" w:hAnsi="微软雅黑" w:eastAsia="微软雅黑" w:cs="微软雅黑"/>
          <w:b/>
          <w:bCs/>
          <w:color w:val="auto"/>
          <w:spacing w:val="-7"/>
          <w:sz w:val="21"/>
          <w:szCs w:val="21"/>
          <w:highlight w:val="none"/>
        </w:rPr>
        <w:t>1 个工作日。</w:t>
      </w:r>
    </w:p>
    <w:p w14:paraId="79474243">
      <w:pPr>
        <w:spacing w:before="181"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40.</w:t>
      </w:r>
      <w:r>
        <w:rPr>
          <w:rFonts w:ascii="微软雅黑" w:hAnsi="微软雅黑" w:eastAsia="微软雅黑" w:cs="微软雅黑"/>
          <w:b/>
          <w:bCs/>
          <w:color w:val="auto"/>
          <w:spacing w:val="12"/>
          <w:sz w:val="21"/>
          <w:szCs w:val="21"/>
          <w:highlight w:val="none"/>
        </w:rPr>
        <w:t xml:space="preserve">  </w:t>
      </w:r>
      <w:r>
        <w:rPr>
          <w:rFonts w:ascii="微软雅黑" w:hAnsi="微软雅黑" w:eastAsia="微软雅黑" w:cs="微软雅黑"/>
          <w:b/>
          <w:bCs/>
          <w:color w:val="auto"/>
          <w:spacing w:val="-6"/>
          <w:sz w:val="21"/>
          <w:szCs w:val="21"/>
          <w:highlight w:val="none"/>
        </w:rPr>
        <w:t>中标通知书</w:t>
      </w:r>
    </w:p>
    <w:p w14:paraId="7D2E57EE">
      <w:pPr>
        <w:spacing w:before="159"/>
        <w:ind w:left="64" w:right="62" w:firstLine="18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40.1 在中标通知书发出前，招标人将中标侯选人的情况在克州</w:t>
      </w:r>
      <w:r>
        <w:rPr>
          <w:rFonts w:ascii="微软雅黑" w:hAnsi="微软雅黑" w:eastAsia="微软雅黑" w:cs="微软雅黑"/>
          <w:color w:val="auto"/>
          <w:spacing w:val="-1"/>
          <w:sz w:val="21"/>
          <w:szCs w:val="21"/>
          <w:highlight w:val="none"/>
        </w:rPr>
        <w:t>公共资源交易中心网、新疆政府采购网予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以公示，</w:t>
      </w:r>
      <w:r>
        <w:rPr>
          <w:rFonts w:ascii="微软雅黑" w:hAnsi="微软雅黑" w:eastAsia="微软雅黑" w:cs="微软雅黑"/>
          <w:b/>
          <w:bCs/>
          <w:color w:val="auto"/>
          <w:spacing w:val="-2"/>
          <w:sz w:val="21"/>
          <w:szCs w:val="21"/>
          <w:highlight w:val="none"/>
        </w:rPr>
        <w:t>公示期为一个工作日。待公示期结束后，</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采购组织机构向中标人发出中标</w:t>
      </w:r>
      <w:r>
        <w:rPr>
          <w:rFonts w:ascii="微软雅黑" w:hAnsi="微软雅黑" w:eastAsia="微软雅黑" w:cs="微软雅黑"/>
          <w:color w:val="auto"/>
          <w:spacing w:val="-3"/>
          <w:sz w:val="21"/>
          <w:szCs w:val="21"/>
          <w:highlight w:val="none"/>
        </w:rPr>
        <w:t>通知书。</w:t>
      </w:r>
    </w:p>
    <w:p w14:paraId="32AFBE6A">
      <w:pPr>
        <w:spacing w:before="157" w:line="258" w:lineRule="auto"/>
        <w:ind w:left="42" w:right="62" w:firstLine="2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40.2</w:t>
      </w:r>
      <w:r>
        <w:rPr>
          <w:rFonts w:ascii="微软雅黑" w:hAnsi="微软雅黑" w:eastAsia="微软雅黑" w:cs="微软雅黑"/>
          <w:color w:val="auto"/>
          <w:spacing w:val="31"/>
          <w:w w:val="101"/>
          <w:sz w:val="21"/>
          <w:szCs w:val="21"/>
          <w:highlight w:val="none"/>
        </w:rPr>
        <w:t xml:space="preserve"> </w:t>
      </w:r>
      <w:r>
        <w:rPr>
          <w:rFonts w:ascii="微软雅黑" w:hAnsi="微软雅黑" w:eastAsia="微软雅黑" w:cs="微软雅黑"/>
          <w:color w:val="auto"/>
          <w:spacing w:val="-1"/>
          <w:sz w:val="21"/>
          <w:szCs w:val="21"/>
          <w:highlight w:val="none"/>
        </w:rPr>
        <w:t>中标通知书作为签订合同的重要依据，对采购人和中标供应商均具有法律效力。采购人改变中</w:t>
      </w:r>
      <w:r>
        <w:rPr>
          <w:rFonts w:ascii="微软雅黑" w:hAnsi="微软雅黑" w:eastAsia="微软雅黑" w:cs="微软雅黑"/>
          <w:color w:val="auto"/>
          <w:spacing w:val="-2"/>
          <w:sz w:val="21"/>
          <w:szCs w:val="21"/>
          <w:highlight w:val="none"/>
        </w:rPr>
        <w:t>标结</w:t>
      </w:r>
      <w:r>
        <w:rPr>
          <w:rFonts w:ascii="微软雅黑" w:hAnsi="微软雅黑" w:eastAsia="微软雅黑" w:cs="微软雅黑"/>
          <w:color w:val="auto"/>
          <w:sz w:val="21"/>
          <w:szCs w:val="21"/>
          <w:highlight w:val="none"/>
        </w:rPr>
        <w:t xml:space="preserve"> 果或者中标供应商放弃中标项目的都应承担法律责任。中标供应商不得</w:t>
      </w:r>
      <w:r>
        <w:rPr>
          <w:rFonts w:ascii="微软雅黑" w:hAnsi="微软雅黑" w:eastAsia="微软雅黑" w:cs="微软雅黑"/>
          <w:color w:val="auto"/>
          <w:spacing w:val="-1"/>
          <w:sz w:val="21"/>
          <w:szCs w:val="21"/>
          <w:highlight w:val="none"/>
        </w:rPr>
        <w:t>向他人转让中标项目，也不得将中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标项目肢解后分别向他人转让。</w:t>
      </w:r>
    </w:p>
    <w:p w14:paraId="507D81ED">
      <w:pPr>
        <w:spacing w:before="254" w:line="184" w:lineRule="auto"/>
        <w:ind w:left="38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6"/>
          <w:sz w:val="28"/>
          <w:szCs w:val="28"/>
          <w:highlight w:val="none"/>
        </w:rPr>
        <w:t>（六）合同的授予</w:t>
      </w:r>
    </w:p>
    <w:p w14:paraId="4BB07620">
      <w:pPr>
        <w:spacing w:before="133"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1"/>
          <w:sz w:val="21"/>
          <w:szCs w:val="21"/>
          <w:highlight w:val="none"/>
        </w:rPr>
        <w:t>41．</w:t>
      </w:r>
      <w:r>
        <w:rPr>
          <w:rFonts w:ascii="微软雅黑" w:hAnsi="微软雅黑" w:eastAsia="微软雅黑" w:cs="微软雅黑"/>
          <w:b/>
          <w:bCs/>
          <w:color w:val="auto"/>
          <w:spacing w:val="-28"/>
          <w:sz w:val="21"/>
          <w:szCs w:val="21"/>
          <w:highlight w:val="none"/>
        </w:rPr>
        <w:t xml:space="preserve"> </w:t>
      </w:r>
      <w:r>
        <w:rPr>
          <w:rFonts w:ascii="微软雅黑" w:hAnsi="微软雅黑" w:eastAsia="微软雅黑" w:cs="微软雅黑"/>
          <w:b/>
          <w:bCs/>
          <w:color w:val="auto"/>
          <w:spacing w:val="-11"/>
          <w:sz w:val="21"/>
          <w:szCs w:val="21"/>
          <w:highlight w:val="none"/>
        </w:rPr>
        <w:t>履约保证金</w:t>
      </w:r>
    </w:p>
    <w:p w14:paraId="47EDABB8">
      <w:pPr>
        <w:spacing w:before="157" w:line="257" w:lineRule="auto"/>
        <w:ind w:left="42" w:right="29" w:firstLine="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41.1  中标供应商在签订合同后 5 个工作日内向采购人交纳不超过中标价 5%的履约保证金（以甲乙双</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1"/>
          <w:sz w:val="21"/>
          <w:szCs w:val="21"/>
          <w:highlight w:val="none"/>
        </w:rPr>
        <w:t>方签订合同为准，本项目履约保证金接收保函形式；</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若以电</w:t>
      </w:r>
      <w:r>
        <w:rPr>
          <w:rFonts w:ascii="微软雅黑" w:hAnsi="微软雅黑" w:eastAsia="微软雅黑" w:cs="微软雅黑"/>
          <w:color w:val="auto"/>
          <w:sz w:val="21"/>
          <w:szCs w:val="21"/>
          <w:highlight w:val="none"/>
        </w:rPr>
        <w:t>汇、银行转账方式提交的，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必须转到采购人的 </w:t>
      </w:r>
      <w:r>
        <w:rPr>
          <w:rFonts w:ascii="微软雅黑" w:hAnsi="微软雅黑" w:eastAsia="微软雅黑" w:cs="微软雅黑"/>
          <w:color w:val="auto"/>
          <w:spacing w:val="-6"/>
          <w:sz w:val="21"/>
          <w:szCs w:val="21"/>
          <w:highlight w:val="none"/>
        </w:rPr>
        <w:t>指定账户）。</w:t>
      </w:r>
    </w:p>
    <w:p w14:paraId="257D3427">
      <w:pPr>
        <w:spacing w:before="163" w:line="241" w:lineRule="auto"/>
        <w:ind w:left="46" w:right="10" w:firstLine="19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41.2</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z w:val="21"/>
          <w:szCs w:val="21"/>
          <w:highlight w:val="none"/>
        </w:rPr>
        <w:t>签订合同后，如中标供应商不按合同</w:t>
      </w:r>
      <w:r>
        <w:rPr>
          <w:rFonts w:ascii="微软雅黑" w:hAnsi="微软雅黑" w:eastAsia="微软雅黑" w:cs="微软雅黑"/>
          <w:color w:val="auto"/>
          <w:spacing w:val="-1"/>
          <w:sz w:val="21"/>
          <w:szCs w:val="21"/>
          <w:highlight w:val="none"/>
        </w:rPr>
        <w:t>约定履约的，履约保证金不予退还，履约保证金不足以赔偿损</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失的，按实际损失赔偿。</w:t>
      </w:r>
    </w:p>
    <w:p w14:paraId="121544FE">
      <w:pPr>
        <w:spacing w:before="159"/>
        <w:ind w:left="44" w:right="10"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41.3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rPr>
        <w:t>如果中标供应商在建设期内没有涉及采购人</w:t>
      </w:r>
      <w:r>
        <w:rPr>
          <w:rFonts w:ascii="微软雅黑" w:hAnsi="微软雅黑" w:eastAsia="微软雅黑" w:cs="微软雅黑"/>
          <w:color w:val="auto"/>
          <w:spacing w:val="-1"/>
          <w:sz w:val="21"/>
          <w:szCs w:val="21"/>
          <w:highlight w:val="none"/>
        </w:rPr>
        <w:t>的应付而未付金额或违约行为，采购人在项目验收合格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后或提前终止合同后全额无息退还履约保证金。</w:t>
      </w:r>
    </w:p>
    <w:p w14:paraId="4BE51207">
      <w:pPr>
        <w:spacing w:before="159"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9"/>
          <w:sz w:val="21"/>
          <w:szCs w:val="21"/>
          <w:highlight w:val="none"/>
        </w:rPr>
        <w:t>42．</w:t>
      </w:r>
      <w:r>
        <w:rPr>
          <w:rFonts w:ascii="微软雅黑" w:hAnsi="微软雅黑" w:eastAsia="微软雅黑" w:cs="微软雅黑"/>
          <w:b/>
          <w:bCs/>
          <w:color w:val="auto"/>
          <w:spacing w:val="-27"/>
          <w:sz w:val="21"/>
          <w:szCs w:val="21"/>
          <w:highlight w:val="none"/>
        </w:rPr>
        <w:t xml:space="preserve"> </w:t>
      </w:r>
      <w:r>
        <w:rPr>
          <w:rFonts w:ascii="微软雅黑" w:hAnsi="微软雅黑" w:eastAsia="微软雅黑" w:cs="微软雅黑"/>
          <w:b/>
          <w:bCs/>
          <w:color w:val="auto"/>
          <w:spacing w:val="-9"/>
          <w:sz w:val="21"/>
          <w:szCs w:val="21"/>
          <w:highlight w:val="none"/>
        </w:rPr>
        <w:t>签订合同及公告</w:t>
      </w:r>
    </w:p>
    <w:p w14:paraId="60D6BBEC">
      <w:pPr>
        <w:spacing w:before="159"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42.1 采购人在中标通知书发出之日起 30  日内与中</w:t>
      </w:r>
      <w:r>
        <w:rPr>
          <w:rFonts w:ascii="微软雅黑" w:hAnsi="微软雅黑" w:eastAsia="微软雅黑" w:cs="微软雅黑"/>
          <w:color w:val="auto"/>
          <w:spacing w:val="-5"/>
          <w:sz w:val="21"/>
          <w:szCs w:val="21"/>
          <w:highlight w:val="none"/>
        </w:rPr>
        <w:t>标供应商签订合同。</w:t>
      </w:r>
    </w:p>
    <w:p w14:paraId="0E18E1CB">
      <w:pPr>
        <w:spacing w:before="157"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42.2</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中标供应商拖延、拒签合同的,取消中标资格。</w:t>
      </w:r>
    </w:p>
    <w:p w14:paraId="77261898">
      <w:pPr>
        <w:spacing w:before="156" w:line="241" w:lineRule="auto"/>
        <w:ind w:left="48" w:right="10" w:firstLine="19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42.3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rPr>
        <w:t>采购文件、中标供应商的投标文件及评标过</w:t>
      </w:r>
      <w:r>
        <w:rPr>
          <w:rFonts w:ascii="微软雅黑" w:hAnsi="微软雅黑" w:eastAsia="微软雅黑" w:cs="微软雅黑"/>
          <w:color w:val="auto"/>
          <w:spacing w:val="-1"/>
          <w:sz w:val="21"/>
          <w:szCs w:val="21"/>
          <w:highlight w:val="none"/>
        </w:rPr>
        <w:t>程中有关澄清文件等均作为签订合同的依据。所签订的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合同不得对采购文件和中标供应商的投标文件的内容作实质性修改。</w:t>
      </w:r>
    </w:p>
    <w:p w14:paraId="1D663B63">
      <w:pPr>
        <w:spacing w:before="158" w:line="241" w:lineRule="auto"/>
        <w:ind w:left="44" w:right="62"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42.4 采购人应当自政府采购合同签订之日起 2 个工作日内，在省级以上财政部门指定的政府</w:t>
      </w:r>
      <w:r>
        <w:rPr>
          <w:rFonts w:ascii="微软雅黑" w:hAnsi="微软雅黑" w:eastAsia="微软雅黑" w:cs="微软雅黑"/>
          <w:color w:val="auto"/>
          <w:spacing w:val="-2"/>
          <w:sz w:val="21"/>
          <w:szCs w:val="21"/>
          <w:highlight w:val="none"/>
        </w:rPr>
        <w:t>采购信息发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布媒体及相关网站上公告。</w:t>
      </w:r>
    </w:p>
    <w:p w14:paraId="57CE3564">
      <w:pPr>
        <w:spacing w:before="156" w:line="241" w:lineRule="auto"/>
        <w:ind w:left="63" w:right="62" w:firstLine="1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42.5 采购人应当自政府采购合同签订之日起 7 个工作日内，将政府采购合同副本报同级人民</w:t>
      </w:r>
      <w:r>
        <w:rPr>
          <w:rFonts w:ascii="微软雅黑" w:hAnsi="微软雅黑" w:eastAsia="微软雅黑" w:cs="微软雅黑"/>
          <w:color w:val="auto"/>
          <w:spacing w:val="-2"/>
          <w:sz w:val="21"/>
          <w:szCs w:val="21"/>
          <w:highlight w:val="none"/>
        </w:rPr>
        <w:t>政府财政部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门备案以及采购代理机构存档。</w:t>
      </w:r>
    </w:p>
    <w:p w14:paraId="7D3B6499">
      <w:pPr>
        <w:spacing w:line="241" w:lineRule="auto"/>
        <w:rPr>
          <w:rFonts w:ascii="微软雅黑" w:hAnsi="微软雅黑" w:eastAsia="微软雅黑" w:cs="微软雅黑"/>
          <w:color w:val="auto"/>
          <w:sz w:val="21"/>
          <w:szCs w:val="21"/>
          <w:highlight w:val="none"/>
        </w:rPr>
        <w:sectPr>
          <w:footerReference r:id="rId45" w:type="default"/>
          <w:pgSz w:w="11906" w:h="16839"/>
          <w:pgMar w:top="1745" w:right="1050" w:bottom="1152" w:left="1050" w:header="850" w:footer="992" w:gutter="0"/>
          <w:cols w:space="720" w:num="1"/>
        </w:sectPr>
      </w:pPr>
    </w:p>
    <w:p w14:paraId="76353CAA">
      <w:pPr>
        <w:spacing w:before="110" w:line="184" w:lineRule="auto"/>
        <w:ind w:left="38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（七）纪律和监督</w:t>
      </w:r>
    </w:p>
    <w:p w14:paraId="75BD1A33">
      <w:pPr>
        <w:spacing w:before="132"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43.</w:t>
      </w:r>
      <w:r>
        <w:rPr>
          <w:rFonts w:ascii="微软雅黑" w:hAnsi="微软雅黑" w:eastAsia="微软雅黑" w:cs="微软雅黑"/>
          <w:b/>
          <w:bCs/>
          <w:color w:val="auto"/>
          <w:spacing w:val="68"/>
          <w:w w:val="101"/>
          <w:sz w:val="21"/>
          <w:szCs w:val="21"/>
          <w:highlight w:val="none"/>
        </w:rPr>
        <w:t xml:space="preserve"> </w:t>
      </w:r>
      <w:r>
        <w:rPr>
          <w:rFonts w:ascii="微软雅黑" w:hAnsi="微软雅黑" w:eastAsia="微软雅黑" w:cs="微软雅黑"/>
          <w:b/>
          <w:bCs/>
          <w:color w:val="auto"/>
          <w:spacing w:val="-3"/>
          <w:sz w:val="21"/>
          <w:szCs w:val="21"/>
          <w:highlight w:val="none"/>
        </w:rPr>
        <w:t>对招标人的纪律要求</w:t>
      </w:r>
    </w:p>
    <w:p w14:paraId="4665CB34">
      <w:pPr>
        <w:spacing w:before="156" w:line="292" w:lineRule="auto"/>
        <w:ind w:left="48" w:right="132" w:firstLine="3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43.1 招标人不得泄漏招标投标活动中应当保密的情况和资料，不得与投标人串通损害国家利益，社会公</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4"/>
          <w:sz w:val="21"/>
          <w:szCs w:val="21"/>
          <w:highlight w:val="none"/>
        </w:rPr>
        <w:t>共利益或者他人合法权益。</w:t>
      </w:r>
    </w:p>
    <w:p w14:paraId="6310D88F">
      <w:pPr>
        <w:spacing w:before="4"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44.</w:t>
      </w:r>
      <w:r>
        <w:rPr>
          <w:rFonts w:ascii="微软雅黑" w:hAnsi="微软雅黑" w:eastAsia="微软雅黑" w:cs="微软雅黑"/>
          <w:b/>
          <w:bCs/>
          <w:color w:val="auto"/>
          <w:spacing w:val="68"/>
          <w:w w:val="101"/>
          <w:sz w:val="21"/>
          <w:szCs w:val="21"/>
          <w:highlight w:val="none"/>
        </w:rPr>
        <w:t xml:space="preserve"> </w:t>
      </w:r>
      <w:r>
        <w:rPr>
          <w:rFonts w:ascii="微软雅黑" w:hAnsi="微软雅黑" w:eastAsia="微软雅黑" w:cs="微软雅黑"/>
          <w:b/>
          <w:bCs/>
          <w:color w:val="auto"/>
          <w:spacing w:val="-3"/>
          <w:sz w:val="21"/>
          <w:szCs w:val="21"/>
          <w:highlight w:val="none"/>
        </w:rPr>
        <w:t>对投标人的纪律要求</w:t>
      </w:r>
    </w:p>
    <w:p w14:paraId="409B2CEC">
      <w:pPr>
        <w:spacing w:before="156" w:line="292" w:lineRule="auto"/>
        <w:ind w:left="47" w:firstLine="3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44.1 投标人不得相互串通投标或者与招标人串通投标，不得向</w:t>
      </w:r>
      <w:r>
        <w:rPr>
          <w:rFonts w:ascii="微软雅黑" w:hAnsi="微软雅黑" w:eastAsia="微软雅黑" w:cs="微软雅黑"/>
          <w:color w:val="auto"/>
          <w:spacing w:val="-4"/>
          <w:sz w:val="21"/>
          <w:szCs w:val="21"/>
          <w:highlight w:val="none"/>
        </w:rPr>
        <w:t>招标人或者评标委员会成员行贿谋取中标，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不得以他人名义投标或者以其他方式弄虚作假骗取中标；投标人不得以任何方式干扰、影响评标工</w:t>
      </w:r>
      <w:r>
        <w:rPr>
          <w:rFonts w:ascii="微软雅黑" w:hAnsi="微软雅黑" w:eastAsia="微软雅黑" w:cs="微软雅黑"/>
          <w:color w:val="auto"/>
          <w:spacing w:val="-2"/>
          <w:sz w:val="21"/>
          <w:szCs w:val="21"/>
          <w:highlight w:val="none"/>
        </w:rPr>
        <w:t>作。</w:t>
      </w:r>
    </w:p>
    <w:p w14:paraId="67A67FAE">
      <w:pPr>
        <w:spacing w:before="5" w:line="187"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45.</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2"/>
          <w:sz w:val="21"/>
          <w:szCs w:val="21"/>
          <w:highlight w:val="none"/>
        </w:rPr>
        <w:t>对评标委员会成员的纪律要求</w:t>
      </w:r>
    </w:p>
    <w:p w14:paraId="1A90058B">
      <w:pPr>
        <w:spacing w:before="158" w:line="241" w:lineRule="auto"/>
        <w:ind w:left="42" w:right="132" w:firstLine="3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45.1 评标委员会成员不得收受他人的财物或者其他好处，不得向他人透漏对投标文件的评审和比较、中</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标候选人的推荐情况以及评标有关的其他情况。</w:t>
      </w:r>
    </w:p>
    <w:p w14:paraId="29B1B488">
      <w:pPr>
        <w:spacing w:before="156" w:line="241" w:lineRule="auto"/>
        <w:ind w:left="49" w:right="132" w:firstLine="3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45.2 在评标活动中，评标委员会成员不得擅离职守，影响评标程序正常进行，不得使用第三章“评标办</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法”没有规定的评审因素和标准进行评标。</w:t>
      </w:r>
    </w:p>
    <w:p w14:paraId="7904650F">
      <w:pPr>
        <w:spacing w:before="158"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46.</w:t>
      </w:r>
      <w:r>
        <w:rPr>
          <w:rFonts w:ascii="微软雅黑" w:hAnsi="微软雅黑" w:eastAsia="微软雅黑" w:cs="微软雅黑"/>
          <w:b/>
          <w:bCs/>
          <w:color w:val="auto"/>
          <w:spacing w:val="73"/>
          <w:w w:val="101"/>
          <w:sz w:val="21"/>
          <w:szCs w:val="21"/>
          <w:highlight w:val="none"/>
        </w:rPr>
        <w:t xml:space="preserve"> </w:t>
      </w:r>
      <w:r>
        <w:rPr>
          <w:rFonts w:ascii="微软雅黑" w:hAnsi="微软雅黑" w:eastAsia="微软雅黑" w:cs="微软雅黑"/>
          <w:b/>
          <w:bCs/>
          <w:color w:val="auto"/>
          <w:spacing w:val="-2"/>
          <w:sz w:val="21"/>
          <w:szCs w:val="21"/>
          <w:highlight w:val="none"/>
        </w:rPr>
        <w:t>对与评标活动有关的工作人员的纪律要求</w:t>
      </w:r>
    </w:p>
    <w:p w14:paraId="16FE745A">
      <w:pPr>
        <w:spacing w:before="158" w:line="292" w:lineRule="auto"/>
        <w:ind w:left="42" w:right="132" w:firstLine="30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46.1 与评标活动有关的工作人员不得收受他人的财物或者其他好处，不得向他人透漏对投标文件的评审</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
          <w:sz w:val="21"/>
          <w:szCs w:val="21"/>
          <w:highlight w:val="none"/>
        </w:rPr>
        <w:t>和比较、中标候选人的推荐情况以及评标有关的其他情况。在评标活动中，</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与评标活动有关的工作人</w:t>
      </w:r>
      <w:r>
        <w:rPr>
          <w:rFonts w:ascii="微软雅黑" w:hAnsi="微软雅黑" w:eastAsia="微软雅黑" w:cs="微软雅黑"/>
          <w:color w:val="auto"/>
          <w:sz w:val="21"/>
          <w:szCs w:val="21"/>
          <w:highlight w:val="none"/>
        </w:rPr>
        <w:t xml:space="preserve">员不 </w:t>
      </w:r>
      <w:r>
        <w:rPr>
          <w:rFonts w:ascii="微软雅黑" w:hAnsi="微软雅黑" w:eastAsia="微软雅黑" w:cs="微软雅黑"/>
          <w:color w:val="auto"/>
          <w:spacing w:val="-3"/>
          <w:sz w:val="21"/>
          <w:szCs w:val="21"/>
          <w:highlight w:val="none"/>
        </w:rPr>
        <w:t>得擅离职守，影响评标程序正常进行。</w:t>
      </w:r>
    </w:p>
    <w:p w14:paraId="1B8C9AD3">
      <w:pPr>
        <w:spacing w:before="148" w:line="184" w:lineRule="auto"/>
        <w:ind w:left="422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（八）质疑与投诉</w:t>
      </w:r>
    </w:p>
    <w:p w14:paraId="33AFB1F2">
      <w:pPr>
        <w:spacing w:before="300"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47．</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9"/>
          <w:sz w:val="21"/>
          <w:szCs w:val="21"/>
          <w:highlight w:val="none"/>
        </w:rPr>
        <w:t>质疑和投诉</w:t>
      </w:r>
    </w:p>
    <w:p w14:paraId="35B3225C">
      <w:pPr>
        <w:spacing w:before="158" w:line="292" w:lineRule="auto"/>
        <w:ind w:left="44" w:right="132"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47.1.供应商认为采购文件、采购过程和中标、成交结果使自己的权益受到损害的，</w:t>
      </w:r>
      <w:r>
        <w:rPr>
          <w:rFonts w:ascii="微软雅黑" w:hAnsi="微软雅黑" w:eastAsia="微软雅黑" w:cs="微软雅黑"/>
          <w:color w:val="auto"/>
          <w:spacing w:val="23"/>
          <w:w w:val="101"/>
          <w:sz w:val="21"/>
          <w:szCs w:val="21"/>
          <w:highlight w:val="none"/>
        </w:rPr>
        <w:t xml:space="preserve">  </w:t>
      </w:r>
      <w:r>
        <w:rPr>
          <w:rFonts w:ascii="微软雅黑" w:hAnsi="微软雅黑" w:eastAsia="微软雅黑" w:cs="微软雅黑"/>
          <w:color w:val="auto"/>
          <w:spacing w:val="-3"/>
          <w:sz w:val="21"/>
          <w:szCs w:val="21"/>
          <w:highlight w:val="none"/>
        </w:rPr>
        <w:t>可以在知道或者应知</w:t>
      </w:r>
      <w:r>
        <w:rPr>
          <w:rFonts w:ascii="微软雅黑" w:hAnsi="微软雅黑" w:eastAsia="微软雅黑" w:cs="微软雅黑"/>
          <w:color w:val="auto"/>
          <w:sz w:val="21"/>
          <w:szCs w:val="21"/>
          <w:highlight w:val="none"/>
        </w:rPr>
        <w:t xml:space="preserve"> 其权益受到损害之日起七个工作日内，以书面形式向采购人提出质</w:t>
      </w:r>
      <w:r>
        <w:rPr>
          <w:rFonts w:ascii="微软雅黑" w:hAnsi="微软雅黑" w:eastAsia="微软雅黑" w:cs="微软雅黑"/>
          <w:color w:val="auto"/>
          <w:spacing w:val="-1"/>
          <w:sz w:val="21"/>
          <w:szCs w:val="21"/>
          <w:highlight w:val="none"/>
        </w:rPr>
        <w:t>疑。供应商应当在法定质疑期内一次性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提出针对同一采购程序环节的质疑。供应商应知其权益受到损害之日，是指：</w:t>
      </w:r>
    </w:p>
    <w:p w14:paraId="7B33168C">
      <w:pPr>
        <w:spacing w:before="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（一）对可以质疑的采购文件提出质疑的，为收到采购文件</w:t>
      </w:r>
      <w:r>
        <w:rPr>
          <w:rFonts w:ascii="微软雅黑" w:hAnsi="微软雅黑" w:eastAsia="微软雅黑" w:cs="微软雅黑"/>
          <w:color w:val="auto"/>
          <w:spacing w:val="-2"/>
          <w:sz w:val="21"/>
          <w:szCs w:val="21"/>
          <w:highlight w:val="none"/>
        </w:rPr>
        <w:t>之日或者采购文件公告期限届满之日；</w:t>
      </w:r>
    </w:p>
    <w:p w14:paraId="480A650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（二）对采购过程提出质疑的，为各采购程序环节</w:t>
      </w:r>
      <w:r>
        <w:rPr>
          <w:rFonts w:ascii="微软雅黑" w:hAnsi="微软雅黑" w:eastAsia="微软雅黑" w:cs="微软雅黑"/>
          <w:color w:val="auto"/>
          <w:spacing w:val="-3"/>
          <w:sz w:val="21"/>
          <w:szCs w:val="21"/>
          <w:highlight w:val="none"/>
        </w:rPr>
        <w:t>结束之日；</w:t>
      </w:r>
    </w:p>
    <w:p w14:paraId="76554CF0">
      <w:pPr>
        <w:spacing w:before="166"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（三）对中标或者成交结果提出质疑的，为中标或者成交结果公告期</w:t>
      </w:r>
      <w:r>
        <w:rPr>
          <w:rFonts w:ascii="微软雅黑" w:hAnsi="微软雅黑" w:eastAsia="微软雅黑" w:cs="微软雅黑"/>
          <w:color w:val="auto"/>
          <w:spacing w:val="-2"/>
          <w:sz w:val="21"/>
          <w:szCs w:val="21"/>
          <w:highlight w:val="none"/>
        </w:rPr>
        <w:t>限届满之日。</w:t>
      </w:r>
    </w:p>
    <w:p w14:paraId="45412767">
      <w:pPr>
        <w:spacing w:before="162" w:line="257" w:lineRule="auto"/>
        <w:ind w:left="43" w:right="166" w:firstLine="20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47.2 供应商提出质疑应当提交质疑函和必要的证明材料。质疑</w:t>
      </w:r>
      <w:r>
        <w:rPr>
          <w:rFonts w:ascii="微软雅黑" w:hAnsi="微软雅黑" w:eastAsia="微软雅黑" w:cs="微软雅黑"/>
          <w:color w:val="auto"/>
          <w:spacing w:val="-1"/>
          <w:sz w:val="21"/>
          <w:szCs w:val="21"/>
          <w:highlight w:val="none"/>
        </w:rPr>
        <w:t>函应当包括下列内容：供应商的姓名或者</w:t>
      </w:r>
      <w:r>
        <w:rPr>
          <w:rFonts w:ascii="微软雅黑" w:hAnsi="微软雅黑" w:eastAsia="微软雅黑" w:cs="微软雅黑"/>
          <w:color w:val="auto"/>
          <w:sz w:val="21"/>
          <w:szCs w:val="21"/>
          <w:highlight w:val="none"/>
        </w:rPr>
        <w:t xml:space="preserve"> 名称、地址、邮编、联系人及联系电话；质疑项目的名称、编号；具</w:t>
      </w:r>
      <w:r>
        <w:rPr>
          <w:rFonts w:ascii="微软雅黑" w:hAnsi="微软雅黑" w:eastAsia="微软雅黑" w:cs="微软雅黑"/>
          <w:color w:val="auto"/>
          <w:spacing w:val="-1"/>
          <w:sz w:val="21"/>
          <w:szCs w:val="21"/>
          <w:highlight w:val="none"/>
        </w:rPr>
        <w:t>体、明确的质疑事项和与质疑事项相</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关的请求；事实依据；必要的法律依据；提出质疑的日期。（具体格式详见附件）</w:t>
      </w:r>
    </w:p>
    <w:p w14:paraId="11ACEB1B">
      <w:pPr>
        <w:spacing w:before="164" w:line="292" w:lineRule="auto"/>
        <w:ind w:left="46" w:right="71"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供应商为自然人的，应当由本人签字；供应商为法人或者其他组织的，应当由法定代表人、主要负责人，</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3"/>
          <w:sz w:val="21"/>
          <w:szCs w:val="21"/>
          <w:highlight w:val="none"/>
        </w:rPr>
        <w:t>或者其授权代表签字或者盖章，并加盖公章。</w:t>
      </w:r>
    </w:p>
    <w:p w14:paraId="0EA3BB30">
      <w:pPr>
        <w:spacing w:before="5"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47.3 供应商质疑、投诉应当有明确的请求和必要的证明材料。供</w:t>
      </w:r>
      <w:r>
        <w:rPr>
          <w:rFonts w:ascii="微软雅黑" w:hAnsi="微软雅黑" w:eastAsia="微软雅黑" w:cs="微软雅黑"/>
          <w:color w:val="auto"/>
          <w:spacing w:val="-1"/>
          <w:sz w:val="21"/>
          <w:szCs w:val="21"/>
          <w:highlight w:val="none"/>
        </w:rPr>
        <w:t>应商投诉的事项不得超出已质疑事项的</w:t>
      </w:r>
    </w:p>
    <w:p w14:paraId="3D88AB97">
      <w:pPr>
        <w:spacing w:line="187" w:lineRule="auto"/>
        <w:rPr>
          <w:rFonts w:ascii="微软雅黑" w:hAnsi="微软雅黑" w:eastAsia="微软雅黑" w:cs="微软雅黑"/>
          <w:color w:val="auto"/>
          <w:sz w:val="21"/>
          <w:szCs w:val="21"/>
          <w:highlight w:val="none"/>
        </w:rPr>
        <w:sectPr>
          <w:headerReference r:id="rId46" w:type="default"/>
          <w:footerReference r:id="rId47" w:type="default"/>
          <w:pgSz w:w="11906" w:h="16839"/>
          <w:pgMar w:top="1745" w:right="946" w:bottom="1152" w:left="1050" w:header="850" w:footer="992" w:gutter="0"/>
          <w:cols w:space="720" w:num="1"/>
        </w:sectPr>
      </w:pPr>
    </w:p>
    <w:p w14:paraId="67FCC125">
      <w:pPr>
        <w:spacing w:before="171" w:line="187" w:lineRule="auto"/>
        <w:ind w:left="5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范围。采购人及采购代理机构按《政府采购质疑和投诉办</w:t>
      </w:r>
      <w:r>
        <w:rPr>
          <w:rFonts w:ascii="微软雅黑" w:hAnsi="微软雅黑" w:eastAsia="微软雅黑" w:cs="微软雅黑"/>
          <w:color w:val="auto"/>
          <w:spacing w:val="-2"/>
          <w:sz w:val="21"/>
          <w:szCs w:val="21"/>
          <w:highlight w:val="none"/>
        </w:rPr>
        <w:t>法》进行处理供应商质疑事项。</w:t>
      </w:r>
    </w:p>
    <w:p w14:paraId="1211F57D">
      <w:pPr>
        <w:spacing w:before="159"/>
        <w:ind w:left="68" w:right="95" w:firstLine="17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47.4 质疑供应商对采购人、采购代理机构的质疑答复不满意，</w:t>
      </w:r>
      <w:r>
        <w:rPr>
          <w:rFonts w:ascii="微软雅黑" w:hAnsi="微软雅黑" w:eastAsia="微软雅黑" w:cs="微软雅黑"/>
          <w:color w:val="auto"/>
          <w:spacing w:val="-1"/>
          <w:sz w:val="21"/>
          <w:szCs w:val="21"/>
          <w:highlight w:val="none"/>
        </w:rPr>
        <w:t>或者采购人、采购代理机构未在规定期限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内作出答复的，供应商可以在答复期满后 15 个工作日内向同级财政部门</w:t>
      </w:r>
      <w:r>
        <w:rPr>
          <w:rFonts w:ascii="微软雅黑" w:hAnsi="微软雅黑" w:eastAsia="微软雅黑" w:cs="微软雅黑"/>
          <w:color w:val="auto"/>
          <w:spacing w:val="-4"/>
          <w:sz w:val="21"/>
          <w:szCs w:val="21"/>
          <w:highlight w:val="none"/>
        </w:rPr>
        <w:t>提起投诉。</w:t>
      </w:r>
    </w:p>
    <w:p w14:paraId="3B588B36">
      <w:pPr>
        <w:spacing w:before="157"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47.5 供应商有下列情形之一的，采购代理机构将报送克</w:t>
      </w:r>
      <w:r>
        <w:rPr>
          <w:rFonts w:ascii="微软雅黑" w:hAnsi="微软雅黑" w:eastAsia="微软雅黑" w:cs="微软雅黑"/>
          <w:color w:val="auto"/>
          <w:spacing w:val="-2"/>
          <w:sz w:val="21"/>
          <w:szCs w:val="21"/>
          <w:highlight w:val="none"/>
        </w:rPr>
        <w:t>州财政局，将其列入不良行为记录名单：</w:t>
      </w:r>
    </w:p>
    <w:p w14:paraId="22CDD7F4">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（一）一年内三次以上投诉均查无实据的；</w:t>
      </w:r>
    </w:p>
    <w:p w14:paraId="24F1D46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（二）捏造事实或者提供虚假质疑材料的。</w:t>
      </w:r>
    </w:p>
    <w:p w14:paraId="4E0C7FEF">
      <w:pPr>
        <w:spacing w:before="166"/>
        <w:ind w:left="41" w:firstLine="2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（三）以非法手段取得证明材料。证据来源的合法性存在明显疑问，质疑人无法证明其取得方式合法的，</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3"/>
          <w:sz w:val="21"/>
          <w:szCs w:val="21"/>
          <w:highlight w:val="none"/>
        </w:rPr>
        <w:t>视为以非法手段取得证明材料。</w:t>
      </w:r>
    </w:p>
    <w:p w14:paraId="4AED09A2">
      <w:pPr>
        <w:pStyle w:val="6"/>
        <w:spacing w:line="307" w:lineRule="auto"/>
        <w:rPr>
          <w:color w:val="auto"/>
          <w:highlight w:val="none"/>
        </w:rPr>
      </w:pPr>
    </w:p>
    <w:p w14:paraId="267E35F1">
      <w:pPr>
        <w:spacing w:before="90"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6"/>
          <w:sz w:val="21"/>
          <w:szCs w:val="21"/>
          <w:highlight w:val="none"/>
        </w:rPr>
        <w:t>附件：</w:t>
      </w:r>
    </w:p>
    <w:p w14:paraId="5837AE6E">
      <w:pPr>
        <w:spacing w:before="130" w:line="184" w:lineRule="auto"/>
        <w:ind w:left="2204"/>
        <w:outlineLvl w:val="1"/>
        <w:rPr>
          <w:rFonts w:ascii="微软雅黑" w:hAnsi="微软雅黑" w:eastAsia="微软雅黑" w:cs="微软雅黑"/>
          <w:color w:val="auto"/>
          <w:sz w:val="32"/>
          <w:szCs w:val="32"/>
          <w:highlight w:val="none"/>
        </w:rPr>
      </w:pPr>
      <w:bookmarkStart w:id="93" w:name="bookmark28"/>
      <w:bookmarkEnd w:id="93"/>
      <w:bookmarkStart w:id="94" w:name="bookmark25"/>
      <w:bookmarkEnd w:id="94"/>
      <w:bookmarkStart w:id="95" w:name="bookmark26"/>
      <w:bookmarkEnd w:id="95"/>
      <w:r>
        <w:rPr>
          <w:rFonts w:ascii="微软雅黑" w:hAnsi="微软雅黑" w:eastAsia="微软雅黑" w:cs="微软雅黑"/>
          <w:b/>
          <w:bCs/>
          <w:color w:val="auto"/>
          <w:spacing w:val="-2"/>
          <w:sz w:val="32"/>
          <w:szCs w:val="32"/>
          <w:highlight w:val="none"/>
        </w:rPr>
        <w:t>政府采购投诉书（范本）、质疑函范本</w:t>
      </w:r>
    </w:p>
    <w:p w14:paraId="16889440">
      <w:pPr>
        <w:spacing w:before="102" w:line="188" w:lineRule="auto"/>
        <w:ind w:left="439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投诉书范本</w:t>
      </w:r>
    </w:p>
    <w:p w14:paraId="36289C50">
      <w:pPr>
        <w:pStyle w:val="6"/>
        <w:spacing w:line="370" w:lineRule="auto"/>
        <w:rPr>
          <w:color w:val="auto"/>
          <w:highlight w:val="none"/>
        </w:rPr>
      </w:pPr>
    </w:p>
    <w:p w14:paraId="2F84CB73">
      <w:pPr>
        <w:spacing w:before="90" w:line="188" w:lineRule="auto"/>
        <w:ind w:left="46"/>
        <w:outlineLvl w:val="1"/>
        <w:rPr>
          <w:rFonts w:ascii="微软雅黑" w:hAnsi="微软雅黑" w:eastAsia="微软雅黑" w:cs="微软雅黑"/>
          <w:color w:val="auto"/>
          <w:sz w:val="21"/>
          <w:szCs w:val="21"/>
          <w:highlight w:val="none"/>
        </w:rPr>
      </w:pPr>
      <w:bookmarkStart w:id="96" w:name="bookmark27"/>
      <w:bookmarkEnd w:id="96"/>
      <w:r>
        <w:rPr>
          <w:rFonts w:ascii="微软雅黑" w:hAnsi="微软雅黑" w:eastAsia="微软雅黑" w:cs="微软雅黑"/>
          <w:color w:val="auto"/>
          <w:spacing w:val="-3"/>
          <w:sz w:val="21"/>
          <w:szCs w:val="21"/>
          <w:highlight w:val="none"/>
        </w:rPr>
        <w:t>一、投诉相关主体基本情况</w:t>
      </w:r>
    </w:p>
    <w:p w14:paraId="0581C652">
      <w:pPr>
        <w:spacing w:before="30" w:line="187" w:lineRule="auto"/>
        <w:ind w:left="42"/>
        <w:rPr>
          <w:color w:val="auto"/>
          <w:sz w:val="21"/>
          <w:szCs w:val="21"/>
          <w:highlight w:val="none"/>
        </w:rPr>
      </w:pPr>
      <w:r>
        <w:rPr>
          <w:rFonts w:ascii="微软雅黑" w:hAnsi="微软雅黑" w:eastAsia="微软雅黑" w:cs="微软雅黑"/>
          <w:color w:val="auto"/>
          <w:spacing w:val="-4"/>
          <w:sz w:val="21"/>
          <w:szCs w:val="21"/>
          <w:highlight w:val="none"/>
        </w:rPr>
        <w:t>投诉人：</w:t>
      </w:r>
      <w:r>
        <w:rPr>
          <w:color w:val="auto"/>
          <w:position w:val="-3"/>
          <w:sz w:val="21"/>
          <w:szCs w:val="21"/>
          <w:highlight w:val="none"/>
        </w:rPr>
        <w:drawing>
          <wp:inline distT="0" distB="0" distL="0" distR="0">
            <wp:extent cx="3133725" cy="63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6"/>
                    <a:stretch>
                      <a:fillRect/>
                    </a:stretch>
                  </pic:blipFill>
                  <pic:spPr>
                    <a:xfrm>
                      <a:off x="0" y="0"/>
                      <a:ext cx="3133725" cy="6667"/>
                    </a:xfrm>
                    <a:prstGeom prst="rect">
                      <a:avLst/>
                    </a:prstGeom>
                  </pic:spPr>
                </pic:pic>
              </a:graphicData>
            </a:graphic>
          </wp:inline>
        </w:drawing>
      </w:r>
    </w:p>
    <w:p w14:paraId="7E13C3B6">
      <w:pPr>
        <w:spacing w:before="31" w:line="187"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地         址：</w:t>
      </w:r>
      <w:r>
        <w:rPr>
          <w:color w:val="auto"/>
          <w:position w:val="-3"/>
          <w:sz w:val="21"/>
          <w:szCs w:val="21"/>
          <w:highlight w:val="none"/>
        </w:rPr>
        <w:drawing>
          <wp:inline distT="0" distB="0" distL="0" distR="0">
            <wp:extent cx="1933575" cy="63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1933575" cy="6667"/>
                    </a:xfrm>
                    <a:prstGeom prst="rect">
                      <a:avLst/>
                    </a:prstGeom>
                  </pic:spPr>
                </pic:pic>
              </a:graphicData>
            </a:graphic>
          </wp:inline>
        </w:drawing>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6"/>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7365C255">
      <w:pPr>
        <w:spacing w:before="31" w:line="187" w:lineRule="auto"/>
        <w:ind w:left="49"/>
        <w:rPr>
          <w:color w:val="auto"/>
          <w:sz w:val="21"/>
          <w:szCs w:val="21"/>
          <w:highlight w:val="none"/>
        </w:rPr>
      </w:pPr>
      <w:r>
        <w:rPr>
          <w:rFonts w:ascii="微软雅黑" w:hAnsi="微软雅黑" w:eastAsia="微软雅黑" w:cs="微软雅黑"/>
          <w:color w:val="auto"/>
          <w:spacing w:val="-1"/>
          <w:sz w:val="21"/>
          <w:szCs w:val="21"/>
          <w:highlight w:val="none"/>
        </w:rPr>
        <w:t>法定代表人/主要负责人：</w:t>
      </w:r>
      <w:r>
        <w:rPr>
          <w:color w:val="auto"/>
          <w:position w:val="-3"/>
          <w:sz w:val="21"/>
          <w:szCs w:val="21"/>
          <w:highlight w:val="none"/>
        </w:rPr>
        <w:drawing>
          <wp:inline distT="0" distB="0" distL="0" distR="0">
            <wp:extent cx="2333625" cy="63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8"/>
                    <a:stretch>
                      <a:fillRect/>
                    </a:stretch>
                  </pic:blipFill>
                  <pic:spPr>
                    <a:xfrm>
                      <a:off x="0" y="0"/>
                      <a:ext cx="2333625" cy="6667"/>
                    </a:xfrm>
                    <a:prstGeom prst="rect">
                      <a:avLst/>
                    </a:prstGeom>
                  </pic:spPr>
                </pic:pic>
              </a:graphicData>
            </a:graphic>
          </wp:inline>
        </w:drawing>
      </w:r>
    </w:p>
    <w:p w14:paraId="438E2C6C">
      <w:pPr>
        <w:spacing w:before="32"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3000375" cy="63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9"/>
                    <a:stretch>
                      <a:fillRect/>
                    </a:stretch>
                  </pic:blipFill>
                  <pic:spPr>
                    <a:xfrm>
                      <a:off x="0" y="0"/>
                      <a:ext cx="3000375" cy="6667"/>
                    </a:xfrm>
                    <a:prstGeom prst="rect">
                      <a:avLst/>
                    </a:prstGeom>
                  </pic:spPr>
                </pic:pic>
              </a:graphicData>
            </a:graphic>
          </wp:inline>
        </w:drawing>
      </w:r>
    </w:p>
    <w:p w14:paraId="54C32119">
      <w:pPr>
        <w:spacing w:before="31" w:line="187" w:lineRule="auto"/>
        <w:ind w:left="42"/>
        <w:rPr>
          <w:color w:val="auto"/>
          <w:sz w:val="21"/>
          <w:szCs w:val="21"/>
          <w:highlight w:val="none"/>
        </w:rPr>
      </w:pPr>
      <w:r>
        <w:rPr>
          <w:rFonts w:ascii="微软雅黑" w:hAnsi="微软雅黑" w:eastAsia="微软雅黑" w:cs="微软雅黑"/>
          <w:color w:val="auto"/>
          <w:spacing w:val="-18"/>
          <w:sz w:val="21"/>
          <w:szCs w:val="21"/>
          <w:highlight w:val="none"/>
        </w:rPr>
        <w:t>授权代表：</w:t>
      </w:r>
      <w:r>
        <w:rPr>
          <w:color w:val="auto"/>
          <w:position w:val="-3"/>
          <w:sz w:val="21"/>
          <w:szCs w:val="21"/>
          <w:highlight w:val="none"/>
        </w:rPr>
        <w:drawing>
          <wp:inline distT="0" distB="0" distL="0" distR="0">
            <wp:extent cx="852170" cy="63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0"/>
                    <a:stretch>
                      <a:fillRect/>
                    </a:stretch>
                  </pic:blipFill>
                  <pic:spPr>
                    <a:xfrm>
                      <a:off x="0" y="0"/>
                      <a:ext cx="852223" cy="6667"/>
                    </a:xfrm>
                    <a:prstGeom prst="rect">
                      <a:avLst/>
                    </a:prstGeom>
                  </pic:spPr>
                </pic:pic>
              </a:graphicData>
            </a:graphic>
          </wp:inline>
        </w:drawing>
      </w:r>
      <w:r>
        <w:rPr>
          <w:rFonts w:ascii="微软雅黑" w:hAnsi="微软雅黑" w:eastAsia="微软雅黑" w:cs="微软雅黑"/>
          <w:color w:val="auto"/>
          <w:spacing w:val="-49"/>
          <w:sz w:val="21"/>
          <w:szCs w:val="21"/>
          <w:highlight w:val="none"/>
        </w:rPr>
        <w:t xml:space="preserve"> </w:t>
      </w:r>
      <w:r>
        <w:rPr>
          <w:rFonts w:ascii="微软雅黑" w:hAnsi="微软雅黑" w:eastAsia="微软雅黑" w:cs="微软雅黑"/>
          <w:color w:val="auto"/>
          <w:spacing w:val="-18"/>
          <w:sz w:val="21"/>
          <w:szCs w:val="21"/>
          <w:highlight w:val="none"/>
        </w:rPr>
        <w:t>联系电话：</w:t>
      </w:r>
      <w:r>
        <w:rPr>
          <w:color w:val="auto"/>
          <w:position w:val="-3"/>
          <w:sz w:val="21"/>
          <w:szCs w:val="21"/>
          <w:highlight w:val="none"/>
        </w:rPr>
        <w:drawing>
          <wp:inline distT="0" distB="0" distL="0" distR="0">
            <wp:extent cx="1310640" cy="63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1"/>
                    <a:stretch>
                      <a:fillRect/>
                    </a:stretch>
                  </pic:blipFill>
                  <pic:spPr>
                    <a:xfrm>
                      <a:off x="0" y="0"/>
                      <a:ext cx="1311113" cy="6667"/>
                    </a:xfrm>
                    <a:prstGeom prst="rect">
                      <a:avLst/>
                    </a:prstGeom>
                  </pic:spPr>
                </pic:pic>
              </a:graphicData>
            </a:graphic>
          </wp:inline>
        </w:drawing>
      </w:r>
    </w:p>
    <w:sdt>
      <w:sdtPr>
        <w:rPr>
          <w:rFonts w:ascii="微软雅黑" w:hAnsi="微软雅黑" w:eastAsia="微软雅黑" w:cs="微软雅黑"/>
          <w:color w:val="auto"/>
          <w:sz w:val="21"/>
          <w:szCs w:val="21"/>
          <w:highlight w:val="none"/>
        </w:rPr>
        <w:id w:val="147474341"/>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79A556A0">
          <w:pPr>
            <w:tabs>
              <w:tab w:val="right" w:leader="dot" w:pos="4707"/>
            </w:tabs>
            <w:spacing w:before="30"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057DFFC9">
          <w:pPr>
            <w:spacing w:before="29" w:line="189"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被投诉人</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10"/>
              <w:sz w:val="21"/>
              <w:szCs w:val="21"/>
              <w:highlight w:val="none"/>
            </w:rPr>
            <w:t>1：</w:t>
          </w:r>
          <w:r>
            <w:rPr>
              <w:rFonts w:ascii="微软雅黑" w:hAnsi="微软雅黑" w:eastAsia="微软雅黑" w:cs="微软雅黑"/>
              <w:color w:val="auto"/>
              <w:sz w:val="21"/>
              <w:szCs w:val="21"/>
              <w:highlight w:val="none"/>
              <w:u w:val="single" w:color="auto"/>
            </w:rPr>
            <w:t xml:space="preserve">                                                                             </w:t>
          </w:r>
        </w:p>
        <w:p w14:paraId="43E8BAAF">
          <w:pPr>
            <w:tabs>
              <w:tab w:val="right" w:leader="dot" w:pos="4707"/>
            </w:tabs>
            <w:spacing w:before="28"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148E87C8">
          <w:pPr>
            <w:tabs>
              <w:tab w:val="right" w:leader="dot" w:pos="3342"/>
            </w:tabs>
            <w:spacing w:before="28" w:line="189"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联系人：</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49"/>
              <w:sz w:val="21"/>
              <w:szCs w:val="21"/>
              <w:highlight w:val="none"/>
            </w:rPr>
            <w:t xml:space="preserve"> </w:t>
          </w:r>
          <w:r>
            <w:rPr>
              <w:rFonts w:ascii="微软雅黑" w:hAnsi="微软雅黑" w:eastAsia="微软雅黑" w:cs="微软雅黑"/>
              <w:color w:val="auto"/>
              <w:spacing w:val="-3"/>
              <w:sz w:val="21"/>
              <w:szCs w:val="21"/>
              <w:highlight w:val="none"/>
            </w:rPr>
            <w:t>联系电话：</w:t>
          </w:r>
          <w:r>
            <w:rPr>
              <w:rFonts w:ascii="微软雅黑" w:hAnsi="微软雅黑" w:eastAsia="微软雅黑" w:cs="微软雅黑"/>
              <w:color w:val="auto"/>
              <w:sz w:val="21"/>
              <w:szCs w:val="21"/>
              <w:highlight w:val="none"/>
              <w:u w:val="single" w:color="auto"/>
            </w:rPr>
            <w:t xml:space="preserve">                                       </w:t>
          </w:r>
        </w:p>
      </w:sdtContent>
    </w:sdt>
    <w:p w14:paraId="703897E2">
      <w:pPr>
        <w:spacing w:before="28" w:line="208" w:lineRule="auto"/>
        <w:ind w:left="50" w:right="8810" w:hanging="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被投诉人 2</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8"/>
          <w:sz w:val="21"/>
          <w:szCs w:val="21"/>
          <w:highlight w:val="none"/>
        </w:rPr>
        <w:t>……</w:t>
      </w:r>
    </w:p>
    <w:sdt>
      <w:sdtPr>
        <w:rPr>
          <w:rFonts w:ascii="微软雅黑" w:hAnsi="微软雅黑" w:eastAsia="微软雅黑" w:cs="微软雅黑"/>
          <w:color w:val="auto"/>
          <w:sz w:val="21"/>
          <w:szCs w:val="21"/>
          <w:highlight w:val="none"/>
        </w:rPr>
        <w:id w:val="147478731"/>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4E5310A1">
          <w:pPr>
            <w:spacing w:before="1"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相关供应商：</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 xml:space="preserve">                            </w:t>
          </w:r>
        </w:p>
        <w:p w14:paraId="33FB80AE">
          <w:pPr>
            <w:tabs>
              <w:tab w:val="right" w:leader="dot" w:pos="4707"/>
            </w:tabs>
            <w:spacing w:before="28"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15E32DD8">
          <w:pPr>
            <w:tabs>
              <w:tab w:val="right" w:leader="dot" w:pos="3342"/>
            </w:tabs>
            <w:spacing w:before="29" w:line="189"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联系人：</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50"/>
              <w:sz w:val="21"/>
              <w:szCs w:val="21"/>
              <w:highlight w:val="none"/>
            </w:rPr>
            <w:t xml:space="preserve"> </w:t>
          </w:r>
          <w:r>
            <w:rPr>
              <w:rFonts w:ascii="微软雅黑" w:hAnsi="微软雅黑" w:eastAsia="微软雅黑" w:cs="微软雅黑"/>
              <w:color w:val="auto"/>
              <w:spacing w:val="-1"/>
              <w:sz w:val="21"/>
              <w:szCs w:val="21"/>
              <w:highlight w:val="none"/>
            </w:rPr>
            <w:t>联系电话：</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 xml:space="preserve">   </w:t>
          </w:r>
        </w:p>
      </w:sdtContent>
    </w:sdt>
    <w:p w14:paraId="3EADFA2B">
      <w:pPr>
        <w:spacing w:before="29" w:line="187" w:lineRule="auto"/>
        <w:ind w:left="49"/>
        <w:outlineLvl w:val="1"/>
        <w:rPr>
          <w:rFonts w:ascii="微软雅黑" w:hAnsi="微软雅黑" w:eastAsia="微软雅黑" w:cs="微软雅黑"/>
          <w:color w:val="auto"/>
          <w:sz w:val="21"/>
          <w:szCs w:val="21"/>
          <w:highlight w:val="none"/>
        </w:rPr>
      </w:pPr>
      <w:bookmarkStart w:id="97" w:name="bookmark29"/>
      <w:bookmarkEnd w:id="97"/>
      <w:bookmarkStart w:id="98" w:name="bookmark30"/>
      <w:bookmarkEnd w:id="98"/>
      <w:r>
        <w:rPr>
          <w:rFonts w:ascii="微软雅黑" w:hAnsi="微软雅黑" w:eastAsia="微软雅黑" w:cs="微软雅黑"/>
          <w:color w:val="auto"/>
          <w:spacing w:val="-2"/>
          <w:sz w:val="21"/>
          <w:szCs w:val="21"/>
          <w:highlight w:val="none"/>
        </w:rPr>
        <w:t>二、投诉项目基本情况</w:t>
      </w:r>
    </w:p>
    <w:p w14:paraId="7179F59D">
      <w:pPr>
        <w:spacing w:before="31" w:line="187" w:lineRule="auto"/>
        <w:ind w:left="44"/>
        <w:rPr>
          <w:color w:val="auto"/>
          <w:sz w:val="21"/>
          <w:szCs w:val="21"/>
          <w:highlight w:val="none"/>
        </w:rPr>
      </w:pPr>
      <w:r>
        <w:rPr>
          <w:rFonts w:ascii="微软雅黑" w:hAnsi="微软雅黑" w:eastAsia="微软雅黑" w:cs="微软雅黑"/>
          <w:color w:val="auto"/>
          <w:spacing w:val="-3"/>
          <w:sz w:val="21"/>
          <w:szCs w:val="21"/>
          <w:highlight w:val="none"/>
        </w:rPr>
        <w:t>采购项目名称：</w:t>
      </w:r>
      <w:r>
        <w:rPr>
          <w:color w:val="auto"/>
          <w:position w:val="-3"/>
          <w:sz w:val="21"/>
          <w:szCs w:val="21"/>
          <w:highlight w:val="none"/>
        </w:rPr>
        <w:drawing>
          <wp:inline distT="0" distB="0" distL="0" distR="0">
            <wp:extent cx="2667000" cy="63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2"/>
                    <a:stretch>
                      <a:fillRect/>
                    </a:stretch>
                  </pic:blipFill>
                  <pic:spPr>
                    <a:xfrm>
                      <a:off x="0" y="0"/>
                      <a:ext cx="2667000" cy="6667"/>
                    </a:xfrm>
                    <a:prstGeom prst="rect">
                      <a:avLst/>
                    </a:prstGeom>
                  </pic:spPr>
                </pic:pic>
              </a:graphicData>
            </a:graphic>
          </wp:inline>
        </w:drawing>
      </w:r>
    </w:p>
    <w:p w14:paraId="4E15673D">
      <w:pPr>
        <w:spacing w:before="31" w:line="187" w:lineRule="auto"/>
        <w:ind w:left="44"/>
        <w:rPr>
          <w:color w:val="auto"/>
          <w:sz w:val="21"/>
          <w:szCs w:val="21"/>
          <w:highlight w:val="none"/>
        </w:rPr>
      </w:pPr>
      <w:r>
        <w:rPr>
          <w:rFonts w:ascii="微软雅黑" w:hAnsi="微软雅黑" w:eastAsia="微软雅黑" w:cs="微软雅黑"/>
          <w:color w:val="auto"/>
          <w:spacing w:val="-4"/>
          <w:sz w:val="21"/>
          <w:szCs w:val="21"/>
          <w:highlight w:val="none"/>
        </w:rPr>
        <w:t>采购项目编号：</w:t>
      </w:r>
      <w:r>
        <w:rPr>
          <w:color w:val="auto"/>
          <w:position w:val="-3"/>
          <w:sz w:val="21"/>
          <w:szCs w:val="21"/>
          <w:highlight w:val="none"/>
        </w:rPr>
        <w:drawing>
          <wp:inline distT="0" distB="0" distL="0" distR="0">
            <wp:extent cx="1133475" cy="63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3"/>
                    <a:stretch>
                      <a:fillRect/>
                    </a:stretch>
                  </pic:blipFill>
                  <pic:spPr>
                    <a:xfrm>
                      <a:off x="0" y="0"/>
                      <a:ext cx="113347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包号：</w:t>
      </w:r>
      <w:r>
        <w:rPr>
          <w:color w:val="auto"/>
          <w:position w:val="-3"/>
          <w:sz w:val="21"/>
          <w:szCs w:val="21"/>
          <w:highlight w:val="none"/>
        </w:rPr>
        <w:drawing>
          <wp:inline distT="0" distB="0" distL="0" distR="0">
            <wp:extent cx="933450" cy="63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4"/>
                    <a:stretch>
                      <a:fillRect/>
                    </a:stretch>
                  </pic:blipFill>
                  <pic:spPr>
                    <a:xfrm>
                      <a:off x="0" y="0"/>
                      <a:ext cx="933450" cy="6667"/>
                    </a:xfrm>
                    <a:prstGeom prst="rect">
                      <a:avLst/>
                    </a:prstGeom>
                  </pic:spPr>
                </pic:pic>
              </a:graphicData>
            </a:graphic>
          </wp:inline>
        </w:drawing>
      </w:r>
    </w:p>
    <w:p w14:paraId="745C2750">
      <w:pPr>
        <w:spacing w:before="32"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采购人名称：</w:t>
      </w:r>
      <w:r>
        <w:rPr>
          <w:rFonts w:ascii="微软雅黑" w:hAnsi="微软雅黑" w:eastAsia="微软雅黑" w:cs="微软雅黑"/>
          <w:color w:val="auto"/>
          <w:spacing w:val="-1"/>
          <w:sz w:val="21"/>
          <w:szCs w:val="21"/>
          <w:highlight w:val="none"/>
          <w:u w:val="single" w:color="auto"/>
        </w:rPr>
        <w:t xml:space="preserve">                                                                             </w:t>
      </w:r>
    </w:p>
    <w:p w14:paraId="0358B156">
      <w:pPr>
        <w:spacing w:before="29" w:line="187" w:lineRule="auto"/>
        <w:ind w:left="47"/>
        <w:rPr>
          <w:color w:val="auto"/>
          <w:sz w:val="21"/>
          <w:szCs w:val="21"/>
          <w:highlight w:val="none"/>
        </w:rPr>
      </w:pPr>
      <w:r>
        <w:rPr>
          <w:rFonts w:ascii="微软雅黑" w:hAnsi="微软雅黑" w:eastAsia="微软雅黑" w:cs="微软雅黑"/>
          <w:color w:val="auto"/>
          <w:spacing w:val="-3"/>
          <w:sz w:val="21"/>
          <w:szCs w:val="21"/>
          <w:highlight w:val="none"/>
        </w:rPr>
        <w:t>代理机构名称：</w:t>
      </w:r>
      <w:r>
        <w:rPr>
          <w:color w:val="auto"/>
          <w:position w:val="-3"/>
          <w:sz w:val="21"/>
          <w:szCs w:val="21"/>
          <w:highlight w:val="none"/>
        </w:rPr>
        <w:drawing>
          <wp:inline distT="0" distB="0" distL="0" distR="0">
            <wp:extent cx="2733675" cy="635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5"/>
                    <a:stretch>
                      <a:fillRect/>
                    </a:stretch>
                  </pic:blipFill>
                  <pic:spPr>
                    <a:xfrm>
                      <a:off x="0" y="0"/>
                      <a:ext cx="2733675" cy="6667"/>
                    </a:xfrm>
                    <a:prstGeom prst="rect">
                      <a:avLst/>
                    </a:prstGeom>
                  </pic:spPr>
                </pic:pic>
              </a:graphicData>
            </a:graphic>
          </wp:inline>
        </w:drawing>
      </w:r>
    </w:p>
    <w:p w14:paraId="6E530AF6">
      <w:pPr>
        <w:spacing w:before="32"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采购文件公告:</w:t>
      </w:r>
      <w:r>
        <w:rPr>
          <w:rFonts w:ascii="微软雅黑" w:hAnsi="微软雅黑" w:eastAsia="微软雅黑" w:cs="微软雅黑"/>
          <w:color w:val="auto"/>
          <w:spacing w:val="2"/>
          <w:sz w:val="21"/>
          <w:szCs w:val="21"/>
          <w:highlight w:val="none"/>
          <w:u w:val="dotted" w:color="auto"/>
        </w:rPr>
        <w:t>是/否</w:t>
      </w:r>
      <w:r>
        <w:rPr>
          <w:rFonts w:ascii="微软雅黑" w:hAnsi="微软雅黑" w:eastAsia="微软雅黑" w:cs="微软雅黑"/>
          <w:color w:val="auto"/>
          <w:spacing w:val="66"/>
          <w:sz w:val="21"/>
          <w:szCs w:val="21"/>
          <w:highlight w:val="none"/>
          <w:u w:val="dotted" w:color="auto"/>
        </w:rPr>
        <w:t xml:space="preserve"> </w:t>
      </w:r>
      <w:r>
        <w:rPr>
          <w:rFonts w:ascii="微软雅黑" w:hAnsi="微软雅黑" w:eastAsia="微软雅黑" w:cs="微软雅黑"/>
          <w:color w:val="auto"/>
          <w:spacing w:val="2"/>
          <w:sz w:val="21"/>
          <w:szCs w:val="21"/>
          <w:highlight w:val="none"/>
        </w:rPr>
        <w:t>公告期限：</w:t>
      </w:r>
      <w:r>
        <w:rPr>
          <w:color w:val="auto"/>
          <w:position w:val="-3"/>
          <w:sz w:val="21"/>
          <w:szCs w:val="21"/>
          <w:highlight w:val="none"/>
        </w:rPr>
        <w:drawing>
          <wp:inline distT="0" distB="0" distL="0" distR="0">
            <wp:extent cx="2200275" cy="63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6"/>
                    <a:stretch>
                      <a:fillRect/>
                    </a:stretch>
                  </pic:blipFill>
                  <pic:spPr>
                    <a:xfrm>
                      <a:off x="0" y="0"/>
                      <a:ext cx="2200275" cy="6667"/>
                    </a:xfrm>
                    <a:prstGeom prst="rect">
                      <a:avLst/>
                    </a:prstGeom>
                  </pic:spPr>
                </pic:pic>
              </a:graphicData>
            </a:graphic>
          </wp:inline>
        </w:drawing>
      </w:r>
    </w:p>
    <w:p w14:paraId="72397ECB">
      <w:pPr>
        <w:spacing w:before="31"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采购结果公告:</w:t>
      </w:r>
      <w:r>
        <w:rPr>
          <w:rFonts w:ascii="微软雅黑" w:hAnsi="微软雅黑" w:eastAsia="微软雅黑" w:cs="微软雅黑"/>
          <w:color w:val="auto"/>
          <w:spacing w:val="2"/>
          <w:sz w:val="21"/>
          <w:szCs w:val="21"/>
          <w:highlight w:val="none"/>
          <w:u w:val="dotted" w:color="auto"/>
        </w:rPr>
        <w:t>是/否</w:t>
      </w:r>
      <w:r>
        <w:rPr>
          <w:rFonts w:ascii="微软雅黑" w:hAnsi="微软雅黑" w:eastAsia="微软雅黑" w:cs="微软雅黑"/>
          <w:color w:val="auto"/>
          <w:spacing w:val="66"/>
          <w:sz w:val="21"/>
          <w:szCs w:val="21"/>
          <w:highlight w:val="none"/>
          <w:u w:val="dotted" w:color="auto"/>
        </w:rPr>
        <w:t xml:space="preserve"> </w:t>
      </w:r>
      <w:r>
        <w:rPr>
          <w:rFonts w:ascii="微软雅黑" w:hAnsi="微软雅黑" w:eastAsia="微软雅黑" w:cs="微软雅黑"/>
          <w:color w:val="auto"/>
          <w:spacing w:val="2"/>
          <w:sz w:val="21"/>
          <w:szCs w:val="21"/>
          <w:highlight w:val="none"/>
        </w:rPr>
        <w:t>公告期限：</w:t>
      </w:r>
      <w:r>
        <w:rPr>
          <w:color w:val="auto"/>
          <w:position w:val="-3"/>
          <w:sz w:val="21"/>
          <w:szCs w:val="21"/>
          <w:highlight w:val="none"/>
        </w:rPr>
        <w:drawing>
          <wp:inline distT="0" distB="0" distL="0" distR="0">
            <wp:extent cx="1600200" cy="63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7"/>
                    <a:stretch>
                      <a:fillRect/>
                    </a:stretch>
                  </pic:blipFill>
                  <pic:spPr>
                    <a:xfrm>
                      <a:off x="0" y="0"/>
                      <a:ext cx="1600200" cy="6667"/>
                    </a:xfrm>
                    <a:prstGeom prst="rect">
                      <a:avLst/>
                    </a:prstGeom>
                  </pic:spPr>
                </pic:pic>
              </a:graphicData>
            </a:graphic>
          </wp:inline>
        </w:drawing>
      </w:r>
    </w:p>
    <w:p w14:paraId="39798DE9">
      <w:pPr>
        <w:spacing w:before="31" w:line="188" w:lineRule="auto"/>
        <w:ind w:left="48"/>
        <w:outlineLvl w:val="1"/>
        <w:rPr>
          <w:rFonts w:ascii="微软雅黑" w:hAnsi="微软雅黑" w:eastAsia="微软雅黑" w:cs="微软雅黑"/>
          <w:color w:val="auto"/>
          <w:sz w:val="21"/>
          <w:szCs w:val="21"/>
          <w:highlight w:val="none"/>
        </w:rPr>
      </w:pPr>
      <w:bookmarkStart w:id="99" w:name="bookmark32"/>
      <w:bookmarkEnd w:id="99"/>
      <w:bookmarkStart w:id="100" w:name="bookmark31"/>
      <w:bookmarkEnd w:id="100"/>
      <w:r>
        <w:rPr>
          <w:rFonts w:ascii="微软雅黑" w:hAnsi="微软雅黑" w:eastAsia="微软雅黑" w:cs="微软雅黑"/>
          <w:color w:val="auto"/>
          <w:spacing w:val="-3"/>
          <w:sz w:val="21"/>
          <w:szCs w:val="21"/>
          <w:highlight w:val="none"/>
        </w:rPr>
        <w:t>三、质疑基本情况</w:t>
      </w:r>
    </w:p>
    <w:p w14:paraId="0D648939">
      <w:pPr>
        <w:spacing w:before="30" w:line="187" w:lineRule="auto"/>
        <w:ind w:left="462"/>
        <w:rPr>
          <w:color w:val="auto"/>
          <w:sz w:val="21"/>
          <w:szCs w:val="21"/>
          <w:highlight w:val="none"/>
        </w:rPr>
      </w:pPr>
      <w:r>
        <w:rPr>
          <w:rFonts w:ascii="微软雅黑" w:hAnsi="微软雅黑" w:eastAsia="微软雅黑" w:cs="微软雅黑"/>
          <w:color w:val="auto"/>
          <w:spacing w:val="-4"/>
          <w:sz w:val="21"/>
          <w:szCs w:val="21"/>
          <w:highlight w:val="none"/>
        </w:rPr>
        <w:t>投诉人于</w:t>
      </w:r>
      <w:r>
        <w:rPr>
          <w:color w:val="auto"/>
          <w:position w:val="-3"/>
          <w:sz w:val="21"/>
          <w:szCs w:val="21"/>
          <w:highlight w:val="none"/>
        </w:rPr>
        <w:drawing>
          <wp:inline distT="0" distB="0" distL="0" distR="0">
            <wp:extent cx="200025" cy="63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8"/>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4"/>
          <w:sz w:val="21"/>
          <w:szCs w:val="21"/>
          <w:highlight w:val="none"/>
        </w:rPr>
        <w:t>年</w:t>
      </w:r>
      <w:r>
        <w:rPr>
          <w:color w:val="auto"/>
          <w:position w:val="-3"/>
          <w:sz w:val="21"/>
          <w:szCs w:val="21"/>
          <w:highlight w:val="none"/>
        </w:rPr>
        <w:drawing>
          <wp:inline distT="0" distB="0" distL="0" distR="0">
            <wp:extent cx="200025" cy="63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9"/>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4"/>
          <w:sz w:val="21"/>
          <w:szCs w:val="21"/>
          <w:highlight w:val="none"/>
        </w:rPr>
        <w:t>月</w:t>
      </w:r>
      <w:r>
        <w:rPr>
          <w:color w:val="auto"/>
          <w:position w:val="-3"/>
          <w:sz w:val="21"/>
          <w:szCs w:val="21"/>
          <w:highlight w:val="none"/>
        </w:rPr>
        <w:drawing>
          <wp:inline distT="0" distB="0" distL="0" distR="0">
            <wp:extent cx="133350" cy="63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0"/>
                    <a:stretch>
                      <a:fillRect/>
                    </a:stretch>
                  </pic:blipFill>
                  <pic:spPr>
                    <a:xfrm>
                      <a:off x="0" y="0"/>
                      <a:ext cx="133350" cy="6667"/>
                    </a:xfrm>
                    <a:prstGeom prst="rect">
                      <a:avLst/>
                    </a:prstGeom>
                  </pic:spPr>
                </pic:pic>
              </a:graphicData>
            </a:graphic>
          </wp:inline>
        </w:drawing>
      </w:r>
      <w:r>
        <w:rPr>
          <w:rFonts w:ascii="微软雅黑" w:hAnsi="微软雅黑" w:eastAsia="微软雅黑" w:cs="微软雅黑"/>
          <w:color w:val="auto"/>
          <w:spacing w:val="-4"/>
          <w:sz w:val="21"/>
          <w:szCs w:val="21"/>
          <w:highlight w:val="none"/>
        </w:rPr>
        <w:t xml:space="preserve"> 日,向</w:t>
      </w:r>
      <w:r>
        <w:rPr>
          <w:color w:val="auto"/>
          <w:position w:val="-3"/>
          <w:sz w:val="21"/>
          <w:szCs w:val="21"/>
          <w:highlight w:val="none"/>
        </w:rPr>
        <w:drawing>
          <wp:inline distT="0" distB="0" distL="0" distR="0">
            <wp:extent cx="1266825" cy="63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1"/>
                    <a:stretch>
                      <a:fillRect/>
                    </a:stretch>
                  </pic:blipFill>
                  <pic:spPr>
                    <a:xfrm>
                      <a:off x="0" y="0"/>
                      <a:ext cx="1266825" cy="6667"/>
                    </a:xfrm>
                    <a:prstGeom prst="rect">
                      <a:avLst/>
                    </a:prstGeom>
                  </pic:spPr>
                </pic:pic>
              </a:graphicData>
            </a:graphic>
          </wp:inline>
        </w:drawing>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4"/>
          <w:sz w:val="21"/>
          <w:szCs w:val="21"/>
          <w:highlight w:val="none"/>
        </w:rPr>
        <w:t>提出质疑，质疑事项为：</w:t>
      </w:r>
      <w:r>
        <w:rPr>
          <w:color w:val="auto"/>
          <w:position w:val="-3"/>
          <w:sz w:val="21"/>
          <w:szCs w:val="21"/>
          <w:highlight w:val="none"/>
        </w:rPr>
        <w:drawing>
          <wp:inline distT="0" distB="0" distL="0" distR="0">
            <wp:extent cx="1520825" cy="63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2"/>
                    <a:stretch>
                      <a:fillRect/>
                    </a:stretch>
                  </pic:blipFill>
                  <pic:spPr>
                    <a:xfrm>
                      <a:off x="0" y="0"/>
                      <a:ext cx="1521459" cy="6667"/>
                    </a:xfrm>
                    <a:prstGeom prst="rect">
                      <a:avLst/>
                    </a:prstGeom>
                  </pic:spPr>
                </pic:pic>
              </a:graphicData>
            </a:graphic>
          </wp:inline>
        </w:drawing>
      </w:r>
    </w:p>
    <w:p w14:paraId="3E96BADB">
      <w:pPr>
        <w:pStyle w:val="6"/>
        <w:tabs>
          <w:tab w:val="left" w:pos="5594"/>
        </w:tabs>
        <w:spacing w:before="43"/>
        <w:ind w:left="29"/>
        <w:rPr>
          <w:color w:val="auto"/>
          <w:highlight w:val="none"/>
        </w:rPr>
      </w:pPr>
      <w:r>
        <w:rPr>
          <w:color w:val="auto"/>
          <w:highlight w:val="none"/>
          <w:u w:val="single" w:color="auto"/>
        </w:rPr>
        <w:tab/>
      </w:r>
    </w:p>
    <w:p w14:paraId="58170006">
      <w:pPr>
        <w:spacing w:before="58" w:line="187" w:lineRule="auto"/>
        <w:ind w:left="3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u w:val="dotted" w:color="auto"/>
        </w:rPr>
        <w:t>采购人/代理机构</w:t>
      </w:r>
      <w:r>
        <w:rPr>
          <w:rFonts w:ascii="微软雅黑" w:hAnsi="微软雅黑" w:eastAsia="微软雅黑" w:cs="微软雅黑"/>
          <w:color w:val="auto"/>
          <w:spacing w:val="-2"/>
          <w:sz w:val="21"/>
          <w:szCs w:val="21"/>
          <w:highlight w:val="none"/>
        </w:rPr>
        <w:t>于</w:t>
      </w:r>
      <w:r>
        <w:rPr>
          <w:color w:val="auto"/>
          <w:position w:val="-3"/>
          <w:sz w:val="21"/>
          <w:szCs w:val="21"/>
          <w:highlight w:val="none"/>
        </w:rPr>
        <w:drawing>
          <wp:inline distT="0" distB="0" distL="0" distR="0">
            <wp:extent cx="200025" cy="63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3"/>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年</w:t>
      </w:r>
      <w:r>
        <w:rPr>
          <w:color w:val="auto"/>
          <w:position w:val="-3"/>
          <w:sz w:val="21"/>
          <w:szCs w:val="21"/>
          <w:highlight w:val="none"/>
        </w:rPr>
        <w:drawing>
          <wp:inline distT="0" distB="0" distL="0" distR="0">
            <wp:extent cx="200025" cy="63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4"/>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月</w:t>
      </w:r>
      <w:r>
        <w:rPr>
          <w:color w:val="auto"/>
          <w:position w:val="-3"/>
          <w:sz w:val="21"/>
          <w:szCs w:val="21"/>
          <w:highlight w:val="none"/>
        </w:rPr>
        <w:drawing>
          <wp:inline distT="0" distB="0" distL="0" distR="0">
            <wp:extent cx="200025" cy="63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5"/>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pacing w:val="-2"/>
          <w:sz w:val="21"/>
          <w:szCs w:val="21"/>
          <w:highlight w:val="none"/>
        </w:rPr>
        <w:t>日,就质疑事项作出了答复/没有在法定期限内作出答复。</w:t>
      </w:r>
    </w:p>
    <w:p w14:paraId="7AEF580E">
      <w:pPr>
        <w:spacing w:line="187" w:lineRule="auto"/>
        <w:rPr>
          <w:rFonts w:ascii="微软雅黑" w:hAnsi="微软雅黑" w:eastAsia="微软雅黑" w:cs="微软雅黑"/>
          <w:color w:val="auto"/>
          <w:sz w:val="21"/>
          <w:szCs w:val="21"/>
          <w:highlight w:val="none"/>
        </w:rPr>
        <w:sectPr>
          <w:headerReference r:id="rId48" w:type="default"/>
          <w:footerReference r:id="rId49" w:type="default"/>
          <w:pgSz w:w="11906" w:h="16839"/>
          <w:pgMar w:top="1745" w:right="1018" w:bottom="1152" w:left="1050" w:header="850" w:footer="992" w:gutter="0"/>
          <w:cols w:space="720" w:num="1"/>
        </w:sectPr>
      </w:pPr>
    </w:p>
    <w:p w14:paraId="30826824">
      <w:pPr>
        <w:spacing w:before="53" w:line="187" w:lineRule="auto"/>
        <w:ind w:left="67"/>
        <w:outlineLvl w:val="1"/>
        <w:rPr>
          <w:rFonts w:ascii="微软雅黑" w:hAnsi="微软雅黑" w:eastAsia="微软雅黑" w:cs="微软雅黑"/>
          <w:color w:val="auto"/>
          <w:sz w:val="21"/>
          <w:szCs w:val="21"/>
          <w:highlight w:val="none"/>
        </w:rPr>
      </w:pPr>
      <w:bookmarkStart w:id="101" w:name="bookmark33"/>
      <w:bookmarkEnd w:id="101"/>
      <w:bookmarkStart w:id="102" w:name="bookmark34"/>
      <w:bookmarkEnd w:id="102"/>
      <w:r>
        <w:rPr>
          <w:rFonts w:ascii="微软雅黑" w:hAnsi="微软雅黑" w:eastAsia="微软雅黑" w:cs="微软雅黑"/>
          <w:color w:val="auto"/>
          <w:spacing w:val="-4"/>
          <w:sz w:val="21"/>
          <w:szCs w:val="21"/>
          <w:highlight w:val="none"/>
        </w:rPr>
        <w:t>四、投诉事项具体内容</w:t>
      </w:r>
    </w:p>
    <w:p w14:paraId="1138A578">
      <w:pPr>
        <w:spacing w:before="31" w:line="187" w:lineRule="auto"/>
        <w:ind w:left="42"/>
        <w:rPr>
          <w:color w:val="auto"/>
          <w:sz w:val="21"/>
          <w:szCs w:val="21"/>
          <w:highlight w:val="none"/>
        </w:rPr>
      </w:pPr>
      <w:r>
        <w:rPr>
          <w:rFonts w:ascii="微软雅黑" w:hAnsi="微软雅黑" w:eastAsia="微软雅黑" w:cs="微软雅黑"/>
          <w:color w:val="auto"/>
          <w:spacing w:val="-7"/>
          <w:sz w:val="21"/>
          <w:szCs w:val="21"/>
          <w:highlight w:val="none"/>
        </w:rPr>
        <w:t>投诉事项  1：</w:t>
      </w:r>
      <w:r>
        <w:rPr>
          <w:color w:val="auto"/>
          <w:position w:val="-3"/>
          <w:sz w:val="21"/>
          <w:szCs w:val="21"/>
          <w:highlight w:val="none"/>
        </w:rPr>
        <w:drawing>
          <wp:inline distT="0" distB="0" distL="0" distR="0">
            <wp:extent cx="2600325" cy="63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6"/>
                    <a:stretch>
                      <a:fillRect/>
                    </a:stretch>
                  </pic:blipFill>
                  <pic:spPr>
                    <a:xfrm>
                      <a:off x="0" y="0"/>
                      <a:ext cx="2600325" cy="6667"/>
                    </a:xfrm>
                    <a:prstGeom prst="rect">
                      <a:avLst/>
                    </a:prstGeom>
                  </pic:spPr>
                </pic:pic>
              </a:graphicData>
            </a:graphic>
          </wp:inline>
        </w:drawing>
      </w:r>
    </w:p>
    <w:p w14:paraId="1EC29CB3">
      <w:pPr>
        <w:spacing w:before="31"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事实依据：</w:t>
      </w:r>
      <w:r>
        <w:rPr>
          <w:color w:val="auto"/>
          <w:position w:val="-3"/>
          <w:sz w:val="21"/>
          <w:szCs w:val="21"/>
          <w:highlight w:val="none"/>
        </w:rPr>
        <w:drawing>
          <wp:inline distT="0" distB="0" distL="0" distR="0">
            <wp:extent cx="2733675" cy="63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7"/>
                    <a:stretch>
                      <a:fillRect/>
                    </a:stretch>
                  </pic:blipFill>
                  <pic:spPr>
                    <a:xfrm>
                      <a:off x="0" y="0"/>
                      <a:ext cx="2733675" cy="6667"/>
                    </a:xfrm>
                    <a:prstGeom prst="rect">
                      <a:avLst/>
                    </a:prstGeom>
                  </pic:spPr>
                </pic:pic>
              </a:graphicData>
            </a:graphic>
          </wp:inline>
        </w:drawing>
      </w:r>
    </w:p>
    <w:p w14:paraId="00683E33">
      <w:pPr>
        <w:pStyle w:val="6"/>
        <w:spacing w:line="251" w:lineRule="auto"/>
        <w:rPr>
          <w:color w:val="auto"/>
          <w:highlight w:val="none"/>
        </w:rPr>
      </w:pPr>
      <w:r>
        <w:rPr>
          <w:color w:val="auto"/>
          <w:highlight w:val="none"/>
        </w:rPr>
        <w:pict>
          <v:shape id="_x0000_s1028" o:spid="_x0000_s1028" style="position:absolute;left:0pt;margin-left:1.7pt;margin-top:12pt;height:0.55pt;width:283.5pt;z-index:251663360;mso-width-relative:page;mso-height-relative:page;" filled="f" stroked="t" coordsize="5670,11" path="m0,5l5670,5e">
            <v:fill on="f" focussize="0,0"/>
            <v:stroke weight="0.52pt" color="#000000" miterlimit="10" joinstyle="miter" dashstyle="dash"/>
            <v:imagedata o:title=""/>
            <o:lock v:ext="edit"/>
          </v:shape>
        </w:pict>
      </w:r>
    </w:p>
    <w:p w14:paraId="6D5DBA12">
      <w:pPr>
        <w:spacing w:before="90" w:line="187" w:lineRule="auto"/>
        <w:ind w:left="49"/>
        <w:rPr>
          <w:color w:val="auto"/>
          <w:sz w:val="21"/>
          <w:szCs w:val="21"/>
          <w:highlight w:val="none"/>
        </w:rPr>
      </w:pPr>
      <w:r>
        <w:rPr>
          <w:rFonts w:ascii="微软雅黑" w:hAnsi="微软雅黑" w:eastAsia="微软雅黑" w:cs="微软雅黑"/>
          <w:color w:val="auto"/>
          <w:spacing w:val="-5"/>
          <w:sz w:val="21"/>
          <w:szCs w:val="21"/>
          <w:highlight w:val="none"/>
        </w:rPr>
        <w:t>法律依据：</w:t>
      </w:r>
      <w:r>
        <w:rPr>
          <w:color w:val="auto"/>
          <w:position w:val="-3"/>
          <w:sz w:val="21"/>
          <w:szCs w:val="21"/>
          <w:highlight w:val="none"/>
        </w:rPr>
        <w:drawing>
          <wp:inline distT="0" distB="0" distL="0" distR="0">
            <wp:extent cx="2800350" cy="635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8"/>
                    <a:stretch>
                      <a:fillRect/>
                    </a:stretch>
                  </pic:blipFill>
                  <pic:spPr>
                    <a:xfrm>
                      <a:off x="0" y="0"/>
                      <a:ext cx="2800350" cy="6667"/>
                    </a:xfrm>
                    <a:prstGeom prst="rect">
                      <a:avLst/>
                    </a:prstGeom>
                  </pic:spPr>
                </pic:pic>
              </a:graphicData>
            </a:graphic>
          </wp:inline>
        </w:drawing>
      </w:r>
    </w:p>
    <w:p w14:paraId="70B103CA">
      <w:pPr>
        <w:pStyle w:val="6"/>
        <w:spacing w:line="250" w:lineRule="auto"/>
        <w:rPr>
          <w:color w:val="auto"/>
          <w:highlight w:val="none"/>
        </w:rPr>
      </w:pPr>
      <w:r>
        <w:rPr>
          <w:color w:val="auto"/>
          <w:highlight w:val="none"/>
        </w:rPr>
        <w:pict>
          <v:shape id="_x0000_s1029" o:spid="_x0000_s1029" style="position:absolute;left:0pt;margin-left:1.7pt;margin-top:11.95pt;height:0.55pt;width:283.5pt;z-index:251664384;mso-width-relative:page;mso-height-relative:page;" filled="f" stroked="t" coordsize="5670,11" path="m0,5l5670,5e">
            <v:fill on="f" focussize="0,0"/>
            <v:stroke weight="0.52pt" color="#000000" miterlimit="10" joinstyle="miter" dashstyle="dash"/>
            <v:imagedata o:title=""/>
            <o:lock v:ext="edit"/>
          </v:shape>
        </w:pict>
      </w:r>
    </w:p>
    <w:p w14:paraId="4E0E13F5">
      <w:pPr>
        <w:spacing w:before="90" w:line="208" w:lineRule="auto"/>
        <w:ind w:left="50" w:right="8777" w:hanging="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投诉事项 2</w:t>
      </w:r>
      <w:r>
        <w:rPr>
          <w:rFonts w:ascii="微软雅黑" w:hAnsi="微软雅黑" w:eastAsia="微软雅黑" w:cs="微软雅黑"/>
          <w:color w:val="auto"/>
          <w:sz w:val="21"/>
          <w:szCs w:val="21"/>
          <w:highlight w:val="none"/>
        </w:rPr>
        <w:t xml:space="preserve"> </w:t>
      </w:r>
      <w:bookmarkStart w:id="103" w:name="bookmark36"/>
      <w:bookmarkEnd w:id="103"/>
      <w:r>
        <w:rPr>
          <w:rFonts w:ascii="微软雅黑" w:hAnsi="微软雅黑" w:eastAsia="微软雅黑" w:cs="微软雅黑"/>
          <w:color w:val="auto"/>
          <w:spacing w:val="28"/>
          <w:sz w:val="21"/>
          <w:szCs w:val="21"/>
          <w:highlight w:val="none"/>
        </w:rPr>
        <w:t>……</w:t>
      </w:r>
    </w:p>
    <w:p w14:paraId="4BE5C085">
      <w:pPr>
        <w:spacing w:line="187" w:lineRule="auto"/>
        <w:ind w:left="46"/>
        <w:outlineLvl w:val="1"/>
        <w:rPr>
          <w:rFonts w:ascii="微软雅黑" w:hAnsi="微软雅黑" w:eastAsia="微软雅黑" w:cs="微软雅黑"/>
          <w:color w:val="auto"/>
          <w:sz w:val="21"/>
          <w:szCs w:val="21"/>
          <w:highlight w:val="none"/>
        </w:rPr>
      </w:pPr>
      <w:bookmarkStart w:id="104" w:name="bookmark35"/>
      <w:bookmarkEnd w:id="104"/>
      <w:r>
        <w:rPr>
          <w:rFonts w:ascii="微软雅黑" w:hAnsi="微软雅黑" w:eastAsia="微软雅黑" w:cs="微软雅黑"/>
          <w:color w:val="auto"/>
          <w:spacing w:val="-2"/>
          <w:sz w:val="21"/>
          <w:szCs w:val="21"/>
          <w:highlight w:val="none"/>
        </w:rPr>
        <w:t>五、与投诉事项相关的投诉请求</w:t>
      </w:r>
    </w:p>
    <w:p w14:paraId="11456CA0">
      <w:pPr>
        <w:spacing w:before="31" w:line="187" w:lineRule="auto"/>
        <w:ind w:left="42"/>
        <w:rPr>
          <w:color w:val="auto"/>
          <w:sz w:val="21"/>
          <w:szCs w:val="21"/>
          <w:highlight w:val="none"/>
        </w:rPr>
      </w:pPr>
      <w:r>
        <w:rPr>
          <w:rFonts w:ascii="微软雅黑" w:hAnsi="微软雅黑" w:eastAsia="微软雅黑" w:cs="微软雅黑"/>
          <w:color w:val="auto"/>
          <w:spacing w:val="-5"/>
          <w:sz w:val="21"/>
          <w:szCs w:val="21"/>
          <w:highlight w:val="none"/>
        </w:rPr>
        <w:t>请求：</w:t>
      </w:r>
      <w:r>
        <w:rPr>
          <w:color w:val="auto"/>
          <w:position w:val="-3"/>
          <w:sz w:val="21"/>
          <w:szCs w:val="21"/>
          <w:highlight w:val="none"/>
        </w:rPr>
        <w:drawing>
          <wp:inline distT="0" distB="0" distL="0" distR="0">
            <wp:extent cx="3067050" cy="63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9"/>
                    <a:stretch>
                      <a:fillRect/>
                    </a:stretch>
                  </pic:blipFill>
                  <pic:spPr>
                    <a:xfrm>
                      <a:off x="0" y="0"/>
                      <a:ext cx="3067050" cy="6667"/>
                    </a:xfrm>
                    <a:prstGeom prst="rect">
                      <a:avLst/>
                    </a:prstGeom>
                  </pic:spPr>
                </pic:pic>
              </a:graphicData>
            </a:graphic>
          </wp:inline>
        </w:drawing>
      </w:r>
    </w:p>
    <w:p w14:paraId="3EC16BAD">
      <w:pPr>
        <w:pStyle w:val="6"/>
        <w:spacing w:line="251" w:lineRule="auto"/>
        <w:rPr>
          <w:color w:val="auto"/>
          <w:highlight w:val="none"/>
        </w:rPr>
      </w:pPr>
    </w:p>
    <w:p w14:paraId="65FF9A7C">
      <w:pPr>
        <w:spacing w:before="91" w:line="183"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 xml:space="preserve">签字(签章)：                               </w:t>
      </w:r>
      <w:r>
        <w:rPr>
          <w:rFonts w:ascii="微软雅黑" w:hAnsi="微软雅黑" w:eastAsia="微软雅黑" w:cs="微软雅黑"/>
          <w:color w:val="auto"/>
          <w:spacing w:val="-3"/>
          <w:sz w:val="21"/>
          <w:szCs w:val="21"/>
          <w:highlight w:val="none"/>
        </w:rPr>
        <w:t xml:space="preserve">   公章：</w:t>
      </w:r>
    </w:p>
    <w:p w14:paraId="7F1CB9F4">
      <w:pPr>
        <w:spacing w:before="36" w:line="188" w:lineRule="auto"/>
        <w:ind w:left="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4"/>
          <w:sz w:val="21"/>
          <w:szCs w:val="21"/>
          <w:highlight w:val="none"/>
        </w:rPr>
        <w:t>日期：</w:t>
      </w:r>
    </w:p>
    <w:p w14:paraId="6F7B6340">
      <w:pPr>
        <w:spacing w:before="31"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投诉书制作说明：</w:t>
      </w:r>
    </w:p>
    <w:p w14:paraId="7D1AA255">
      <w:pPr>
        <w:spacing w:before="31" w:line="206" w:lineRule="auto"/>
        <w:ind w:left="50" w:right="28"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1.投诉人提起投诉时，应当提交投诉书和必要的证明材料，</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并按照被投诉</w:t>
      </w:r>
      <w:r>
        <w:rPr>
          <w:rFonts w:ascii="微软雅黑" w:hAnsi="微软雅黑" w:eastAsia="微软雅黑" w:cs="微软雅黑"/>
          <w:color w:val="auto"/>
          <w:spacing w:val="1"/>
          <w:sz w:val="21"/>
          <w:szCs w:val="21"/>
          <w:highlight w:val="none"/>
        </w:rPr>
        <w:t>人和与投诉事项有关的供应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商数量提供投诉书副本。</w:t>
      </w:r>
    </w:p>
    <w:p w14:paraId="5E794EA4">
      <w:pPr>
        <w:spacing w:before="4" w:line="207" w:lineRule="auto"/>
        <w:ind w:left="42" w:right="115" w:firstLine="41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2.投诉人若委托代理人进行投诉的，投诉书应按照要求</w:t>
      </w:r>
      <w:r>
        <w:rPr>
          <w:rFonts w:ascii="微软雅黑" w:hAnsi="微软雅黑" w:eastAsia="微软雅黑" w:cs="微软雅黑"/>
          <w:color w:val="auto"/>
          <w:sz w:val="21"/>
          <w:szCs w:val="21"/>
          <w:highlight w:val="none"/>
        </w:rPr>
        <w:t>列明“授权代表”的有关内容，并在附件中提 交由投诉人签署的授权委托书。授权委托书应当载明代理人的姓名或者</w:t>
      </w:r>
      <w:r>
        <w:rPr>
          <w:rFonts w:ascii="微软雅黑" w:hAnsi="微软雅黑" w:eastAsia="微软雅黑" w:cs="微软雅黑"/>
          <w:color w:val="auto"/>
          <w:spacing w:val="-1"/>
          <w:sz w:val="21"/>
          <w:szCs w:val="21"/>
          <w:highlight w:val="none"/>
        </w:rPr>
        <w:t>名称、代理事项、具体权限、期限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和相关事项。</w:t>
      </w:r>
    </w:p>
    <w:p w14:paraId="2D1B2B3F">
      <w:pPr>
        <w:spacing w:before="5"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3.投诉人若对项目的某一分包进行投诉，投诉书应列明具体分</w:t>
      </w:r>
      <w:r>
        <w:rPr>
          <w:rFonts w:ascii="微软雅黑" w:hAnsi="微软雅黑" w:eastAsia="微软雅黑" w:cs="微软雅黑"/>
          <w:color w:val="auto"/>
          <w:spacing w:val="-1"/>
          <w:sz w:val="21"/>
          <w:szCs w:val="21"/>
          <w:highlight w:val="none"/>
        </w:rPr>
        <w:t>包号。</w:t>
      </w:r>
    </w:p>
    <w:p w14:paraId="1558C9DA">
      <w:pPr>
        <w:spacing w:before="31" w:line="206" w:lineRule="auto"/>
        <w:ind w:left="460" w:right="2662"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4.投诉书应简要列明质疑事项，质疑函、质疑答复等作为附件材料提供。 5.投诉书的投诉事项应具体、明确，并有必要的事实依据和法律</w:t>
      </w:r>
      <w:r>
        <w:rPr>
          <w:rFonts w:ascii="微软雅黑" w:hAnsi="微软雅黑" w:eastAsia="微软雅黑" w:cs="微软雅黑"/>
          <w:color w:val="auto"/>
          <w:spacing w:val="-1"/>
          <w:sz w:val="21"/>
          <w:szCs w:val="21"/>
          <w:highlight w:val="none"/>
        </w:rPr>
        <w:t>依据。</w:t>
      </w:r>
    </w:p>
    <w:p w14:paraId="2A027DDE">
      <w:pPr>
        <w:spacing w:before="6" w:line="187"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6.投诉书的投诉请求应与投诉事项相关。</w:t>
      </w:r>
    </w:p>
    <w:p w14:paraId="5ACB6CDD">
      <w:pPr>
        <w:spacing w:before="32" w:line="206" w:lineRule="auto"/>
        <w:ind w:left="44" w:right="115"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7.投诉人为自然人的，投诉书应当由本人签字；</w:t>
      </w:r>
      <w:r>
        <w:rPr>
          <w:rFonts w:ascii="微软雅黑" w:hAnsi="微软雅黑" w:eastAsia="微软雅黑" w:cs="微软雅黑"/>
          <w:color w:val="auto"/>
          <w:sz w:val="21"/>
          <w:szCs w:val="21"/>
          <w:highlight w:val="none"/>
        </w:rPr>
        <w:t xml:space="preserve">投诉人为法人或者其他组织的，投诉书应当由法定代 </w:t>
      </w:r>
      <w:r>
        <w:rPr>
          <w:rFonts w:ascii="微软雅黑" w:hAnsi="微软雅黑" w:eastAsia="微软雅黑" w:cs="微软雅黑"/>
          <w:color w:val="auto"/>
          <w:spacing w:val="-2"/>
          <w:sz w:val="21"/>
          <w:szCs w:val="21"/>
          <w:highlight w:val="none"/>
        </w:rPr>
        <w:t>表人、主要负责人，或者其授权代表签字或者盖章，并加盖公章。</w:t>
      </w:r>
    </w:p>
    <w:p w14:paraId="777F24AF">
      <w:pPr>
        <w:spacing w:before="107" w:line="187" w:lineRule="auto"/>
        <w:ind w:left="3962"/>
        <w:outlineLvl w:val="1"/>
        <w:rPr>
          <w:rFonts w:ascii="微软雅黑" w:hAnsi="微软雅黑" w:eastAsia="微软雅黑" w:cs="微软雅黑"/>
          <w:color w:val="auto"/>
          <w:sz w:val="32"/>
          <w:szCs w:val="32"/>
          <w:highlight w:val="none"/>
        </w:rPr>
      </w:pPr>
      <w:bookmarkStart w:id="105" w:name="bookmark40"/>
      <w:bookmarkEnd w:id="105"/>
      <w:bookmarkStart w:id="106" w:name="bookmark38"/>
      <w:bookmarkEnd w:id="106"/>
      <w:bookmarkStart w:id="107" w:name="bookmark37"/>
      <w:bookmarkEnd w:id="107"/>
      <w:r>
        <w:rPr>
          <w:rFonts w:ascii="微软雅黑" w:hAnsi="微软雅黑" w:eastAsia="微软雅黑" w:cs="微软雅黑"/>
          <w:b/>
          <w:bCs/>
          <w:color w:val="auto"/>
          <w:spacing w:val="-3"/>
          <w:sz w:val="32"/>
          <w:szCs w:val="32"/>
          <w:highlight w:val="none"/>
        </w:rPr>
        <w:t>投诉相关说明</w:t>
      </w:r>
    </w:p>
    <w:p w14:paraId="577B706B">
      <w:pPr>
        <w:spacing w:before="181" w:line="265" w:lineRule="auto"/>
        <w:ind w:left="48" w:right="115" w:firstLine="41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投诉人应当满足《政府采购法》、《政府采购法实施条例》和《政</w:t>
      </w:r>
      <w:r>
        <w:rPr>
          <w:rFonts w:ascii="微软雅黑" w:hAnsi="微软雅黑" w:eastAsia="微软雅黑" w:cs="微软雅黑"/>
          <w:color w:val="auto"/>
          <w:spacing w:val="-1"/>
          <w:sz w:val="21"/>
          <w:szCs w:val="21"/>
          <w:highlight w:val="none"/>
        </w:rPr>
        <w:t>府采购供应商投诉处理办法》的相</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9"/>
          <w:sz w:val="21"/>
          <w:szCs w:val="21"/>
          <w:highlight w:val="none"/>
        </w:rPr>
        <w:t>关规定。</w:t>
      </w:r>
    </w:p>
    <w:p w14:paraId="77A69019">
      <w:pPr>
        <w:spacing w:before="4" w:line="187" w:lineRule="auto"/>
        <w:ind w:left="684"/>
        <w:outlineLvl w:val="1"/>
        <w:rPr>
          <w:rFonts w:ascii="微软雅黑" w:hAnsi="微软雅黑" w:eastAsia="微软雅黑" w:cs="微软雅黑"/>
          <w:color w:val="auto"/>
          <w:sz w:val="21"/>
          <w:szCs w:val="21"/>
          <w:highlight w:val="none"/>
        </w:rPr>
      </w:pPr>
      <w:bookmarkStart w:id="108" w:name="bookmark39"/>
      <w:bookmarkEnd w:id="108"/>
      <w:r>
        <w:rPr>
          <w:rFonts w:ascii="微软雅黑" w:hAnsi="微软雅黑" w:eastAsia="微软雅黑" w:cs="微软雅黑"/>
          <w:b/>
          <w:bCs/>
          <w:color w:val="auto"/>
          <w:spacing w:val="-3"/>
          <w:sz w:val="21"/>
          <w:szCs w:val="21"/>
          <w:highlight w:val="none"/>
        </w:rPr>
        <w:t>一、质疑前置及时间要求</w:t>
      </w:r>
    </w:p>
    <w:p w14:paraId="5FAEC916">
      <w:pPr>
        <w:spacing w:before="119" w:line="265" w:lineRule="auto"/>
        <w:ind w:left="64" w:right="115" w:firstLine="3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《中华人民共和国政府采购法》第五十一条：供应商对政府采购活动事项有</w:t>
      </w:r>
      <w:r>
        <w:rPr>
          <w:rFonts w:ascii="微软雅黑" w:hAnsi="微软雅黑" w:eastAsia="微软雅黑" w:cs="微软雅黑"/>
          <w:color w:val="auto"/>
          <w:spacing w:val="-1"/>
          <w:sz w:val="21"/>
          <w:szCs w:val="21"/>
          <w:highlight w:val="none"/>
        </w:rPr>
        <w:t>疑问的，可以向采购人提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出询问，采购人应当及时作出答复，但答复的内容不得涉及商业秘密。</w:t>
      </w:r>
    </w:p>
    <w:p w14:paraId="3BCB8652">
      <w:pPr>
        <w:spacing w:before="4" w:line="265" w:lineRule="auto"/>
        <w:ind w:left="43" w:right="10" w:firstLine="53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第五十二条：供应商认为采购文件、采购过程</w:t>
      </w:r>
      <w:r>
        <w:rPr>
          <w:rFonts w:ascii="微软雅黑" w:hAnsi="微软雅黑" w:eastAsia="微软雅黑" w:cs="微软雅黑"/>
          <w:color w:val="auto"/>
          <w:spacing w:val="-1"/>
          <w:sz w:val="21"/>
          <w:szCs w:val="21"/>
          <w:highlight w:val="none"/>
        </w:rPr>
        <w:t>和中标、中标结果使自己的权益受到损害的，可以在知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道或者应知其权益受到损害之日起七个工作日内，以书面形式向采</w:t>
      </w:r>
      <w:r>
        <w:rPr>
          <w:rFonts w:ascii="微软雅黑" w:hAnsi="微软雅黑" w:eastAsia="微软雅黑" w:cs="微软雅黑"/>
          <w:color w:val="auto"/>
          <w:spacing w:val="-2"/>
          <w:sz w:val="21"/>
          <w:szCs w:val="21"/>
          <w:highlight w:val="none"/>
        </w:rPr>
        <w:t>购人提出质疑。</w:t>
      </w:r>
    </w:p>
    <w:p w14:paraId="56FF2903">
      <w:pPr>
        <w:spacing w:before="5" w:line="265" w:lineRule="auto"/>
        <w:ind w:left="43" w:right="10" w:firstLine="53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第五十三条：采购人应当在收到供应商的书面</w:t>
      </w:r>
      <w:r>
        <w:rPr>
          <w:rFonts w:ascii="微软雅黑" w:hAnsi="微软雅黑" w:eastAsia="微软雅黑" w:cs="微软雅黑"/>
          <w:color w:val="auto"/>
          <w:spacing w:val="-1"/>
          <w:sz w:val="21"/>
          <w:szCs w:val="21"/>
          <w:highlight w:val="none"/>
        </w:rPr>
        <w:t>质疑后七个工作日内作出答复，并以书面形式通知质疑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供应商和其他有关供应商，但答复的内容不得涉及商业秘密。</w:t>
      </w:r>
    </w:p>
    <w:p w14:paraId="50FC0D83">
      <w:pPr>
        <w:spacing w:before="4" w:line="265" w:lineRule="auto"/>
        <w:ind w:left="55" w:right="115" w:firstLine="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第五十五条:质疑供应商对采购人、采购代理机构的答复不满意或者</w:t>
      </w:r>
      <w:r>
        <w:rPr>
          <w:rFonts w:ascii="微软雅黑" w:hAnsi="微软雅黑" w:eastAsia="微软雅黑" w:cs="微软雅黑"/>
          <w:color w:val="auto"/>
          <w:sz w:val="21"/>
          <w:szCs w:val="21"/>
          <w:highlight w:val="none"/>
        </w:rPr>
        <w:t xml:space="preserve">采购人、采购代理机构未在规定 </w:t>
      </w:r>
      <w:r>
        <w:rPr>
          <w:rFonts w:ascii="微软雅黑" w:hAnsi="微软雅黑" w:eastAsia="微软雅黑" w:cs="微软雅黑"/>
          <w:color w:val="auto"/>
          <w:spacing w:val="-1"/>
          <w:sz w:val="21"/>
          <w:szCs w:val="21"/>
          <w:highlight w:val="none"/>
        </w:rPr>
        <w:t>的时间内作出答复的，可以在答复期满后十五个工作日内向同级</w:t>
      </w:r>
      <w:r>
        <w:rPr>
          <w:rFonts w:ascii="微软雅黑" w:hAnsi="微软雅黑" w:eastAsia="微软雅黑" w:cs="微软雅黑"/>
          <w:color w:val="auto"/>
          <w:spacing w:val="-2"/>
          <w:sz w:val="21"/>
          <w:szCs w:val="21"/>
          <w:highlight w:val="none"/>
        </w:rPr>
        <w:t>政府采购监督管理部门投诉。</w:t>
      </w:r>
    </w:p>
    <w:p w14:paraId="60DDD1D4">
      <w:pPr>
        <w:spacing w:before="3" w:line="265" w:lineRule="auto"/>
        <w:ind w:left="50" w:right="137" w:firstLine="6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《政府采购实施条例》第五十五条：供应商质疑、投诉应当有明确的请求和必要的证明材料。供应</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商投诉的事项不得超出质疑事项的范围。</w:t>
      </w:r>
    </w:p>
    <w:p w14:paraId="2E38BDC2">
      <w:pPr>
        <w:spacing w:line="265" w:lineRule="auto"/>
        <w:rPr>
          <w:rFonts w:ascii="微软雅黑" w:hAnsi="微软雅黑" w:eastAsia="微软雅黑" w:cs="微软雅黑"/>
          <w:color w:val="auto"/>
          <w:sz w:val="21"/>
          <w:szCs w:val="21"/>
          <w:highlight w:val="none"/>
        </w:rPr>
        <w:sectPr>
          <w:headerReference r:id="rId50" w:type="default"/>
          <w:footerReference r:id="rId51" w:type="default"/>
          <w:pgSz w:w="11906" w:h="16839"/>
          <w:pgMar w:top="1745" w:right="1050" w:bottom="1152" w:left="1050" w:header="850" w:footer="992" w:gutter="0"/>
          <w:cols w:space="720" w:num="1"/>
        </w:sectPr>
      </w:pPr>
    </w:p>
    <w:p w14:paraId="258799D8">
      <w:pPr>
        <w:spacing w:before="139" w:line="188" w:lineRule="auto"/>
        <w:ind w:left="469"/>
        <w:outlineLvl w:val="1"/>
        <w:rPr>
          <w:rFonts w:ascii="微软雅黑" w:hAnsi="微软雅黑" w:eastAsia="微软雅黑" w:cs="微软雅黑"/>
          <w:color w:val="auto"/>
          <w:sz w:val="21"/>
          <w:szCs w:val="21"/>
          <w:highlight w:val="none"/>
        </w:rPr>
      </w:pPr>
      <w:bookmarkStart w:id="109" w:name="bookmark42"/>
      <w:bookmarkEnd w:id="109"/>
      <w:bookmarkStart w:id="110" w:name="bookmark41"/>
      <w:bookmarkEnd w:id="110"/>
      <w:r>
        <w:rPr>
          <w:rFonts w:ascii="微软雅黑" w:hAnsi="微软雅黑" w:eastAsia="微软雅黑" w:cs="微软雅黑"/>
          <w:b/>
          <w:bCs/>
          <w:color w:val="auto"/>
          <w:spacing w:val="-3"/>
          <w:sz w:val="21"/>
          <w:szCs w:val="21"/>
          <w:highlight w:val="none"/>
        </w:rPr>
        <w:t>二、书面方式</w:t>
      </w:r>
    </w:p>
    <w:p w14:paraId="7FA6E3F9">
      <w:pPr>
        <w:spacing w:before="11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《政府采购供应商投诉处理办法》第八条：投诉人投诉</w:t>
      </w:r>
    </w:p>
    <w:p w14:paraId="4B8A1C45">
      <w:pPr>
        <w:spacing w:before="118" w:line="265" w:lineRule="auto"/>
        <w:ind w:left="356" w:right="1192" w:hanging="2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时，应当提交投诉书，并按照被投诉人以及与投诉事项</w:t>
      </w:r>
      <w:r>
        <w:rPr>
          <w:rFonts w:ascii="微软雅黑" w:hAnsi="微软雅黑" w:eastAsia="微软雅黑" w:cs="微软雅黑"/>
          <w:color w:val="auto"/>
          <w:spacing w:val="-2"/>
          <w:sz w:val="21"/>
          <w:szCs w:val="21"/>
          <w:highlight w:val="none"/>
        </w:rPr>
        <w:t>有关的供应商数量提供投诉书的副本。</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投诉书应当包括下列主要内容：</w:t>
      </w:r>
    </w:p>
    <w:p w14:paraId="6865EEB6">
      <w:pPr>
        <w:spacing w:before="4"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（一）       投诉人和被投诉人的名称、地址、电话等；</w:t>
      </w:r>
    </w:p>
    <w:p w14:paraId="52EFE1A4">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       具体的投诉事项及事实依据；</w:t>
      </w:r>
    </w:p>
    <w:p w14:paraId="28E120DE">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       质疑和质疑答复情况及相关证明材料；</w:t>
      </w:r>
    </w:p>
    <w:p w14:paraId="3D2B41AF">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       提起投诉的日期。</w:t>
      </w:r>
    </w:p>
    <w:p w14:paraId="4C4A8F65">
      <w:pPr>
        <w:spacing w:before="125" w:line="265" w:lineRule="auto"/>
        <w:ind w:left="47" w:right="29" w:firstLine="6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投诉书应当署名。投诉人为自然人，应当由本人签字；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投诉人为法人或者其他</w:t>
      </w:r>
      <w:r>
        <w:rPr>
          <w:rFonts w:ascii="微软雅黑" w:hAnsi="微软雅黑" w:eastAsia="微软雅黑" w:cs="微软雅黑"/>
          <w:color w:val="auto"/>
          <w:sz w:val="21"/>
          <w:szCs w:val="21"/>
          <w:highlight w:val="none"/>
        </w:rPr>
        <w:t xml:space="preserve">组织的，应当由法定 </w:t>
      </w:r>
      <w:r>
        <w:rPr>
          <w:rFonts w:ascii="微软雅黑" w:hAnsi="微软雅黑" w:eastAsia="微软雅黑" w:cs="微软雅黑"/>
          <w:color w:val="auto"/>
          <w:spacing w:val="-3"/>
          <w:sz w:val="21"/>
          <w:szCs w:val="21"/>
          <w:highlight w:val="none"/>
        </w:rPr>
        <w:t>代表人或者主要负责人签字并加盖公章。</w:t>
      </w:r>
    </w:p>
    <w:p w14:paraId="6559912C">
      <w:pPr>
        <w:spacing w:before="5" w:line="265" w:lineRule="auto"/>
        <w:ind w:left="42" w:right="29" w:firstLine="640"/>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《政府采购供应商投诉处理办法》第九条：</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投诉人可以委托代理人办理投诉事务。代</w:t>
      </w:r>
      <w:r>
        <w:rPr>
          <w:rFonts w:ascii="微软雅黑" w:hAnsi="微软雅黑" w:eastAsia="微软雅黑" w:cs="微软雅黑"/>
          <w:color w:val="auto"/>
          <w:sz w:val="21"/>
          <w:szCs w:val="21"/>
          <w:highlight w:val="none"/>
        </w:rPr>
        <w:t xml:space="preserve">理人办理投书 </w:t>
      </w:r>
      <w:r>
        <w:rPr>
          <w:rFonts w:ascii="微软雅黑" w:hAnsi="微软雅黑" w:eastAsia="微软雅黑" w:cs="微软雅黑"/>
          <w:color w:val="auto"/>
          <w:spacing w:val="1"/>
          <w:sz w:val="21"/>
          <w:szCs w:val="21"/>
          <w:highlight w:val="none"/>
        </w:rPr>
        <w:t>事务时，</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除提交投诉书外，</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还应当向同级财政部门</w:t>
      </w:r>
      <w:r>
        <w:rPr>
          <w:rFonts w:ascii="微软雅黑" w:hAnsi="微软雅黑" w:eastAsia="微软雅黑" w:cs="微软雅黑"/>
          <w:color w:val="auto"/>
          <w:sz w:val="21"/>
          <w:szCs w:val="21"/>
          <w:highlight w:val="none"/>
        </w:rPr>
        <w:t xml:space="preserve">提交投诉人的授权委托书，授权委托书应当载明委托代 </w:t>
      </w:r>
      <w:r>
        <w:rPr>
          <w:rFonts w:ascii="微软雅黑" w:hAnsi="微软雅黑" w:eastAsia="微软雅黑" w:cs="微软雅黑"/>
          <w:color w:val="auto"/>
          <w:spacing w:val="-4"/>
          <w:sz w:val="21"/>
          <w:szCs w:val="21"/>
          <w:highlight w:val="none"/>
        </w:rPr>
        <w:t>理的具体权限和事项。</w:t>
      </w:r>
    </w:p>
    <w:p w14:paraId="53ECCAC9">
      <w:pPr>
        <w:spacing w:before="5" w:line="188" w:lineRule="auto"/>
        <w:ind w:left="68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《政府采购供应商投诉处理办法》第十条：投诉人提起投诉应当符合下列条件：</w:t>
      </w:r>
    </w:p>
    <w:p w14:paraId="7273F679">
      <w:pPr>
        <w:spacing w:before="119"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（一）       投诉人是参与所投诉政府采购活动的供应商；</w:t>
      </w:r>
    </w:p>
    <w:p w14:paraId="4FCCF236">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       提起投诉诉前已依法进行质疑；</w:t>
      </w:r>
    </w:p>
    <w:p w14:paraId="589C920D">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       投诉书内容符合本办法的规定；</w:t>
      </w:r>
    </w:p>
    <w:p w14:paraId="65C9EC26">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       在投诉有效期内提起投诉；</w:t>
      </w:r>
    </w:p>
    <w:p w14:paraId="4AA0363B">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（五）       属于本级财政部门管辖；</w:t>
      </w:r>
    </w:p>
    <w:p w14:paraId="1B6C40F4">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（六）</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5"/>
          <w:sz w:val="21"/>
          <w:szCs w:val="21"/>
          <w:highlight w:val="none"/>
        </w:rPr>
        <w:t>同一投诉事项未经财政部门投诉处理；</w:t>
      </w:r>
    </w:p>
    <w:p w14:paraId="2B33832B">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（七）</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4"/>
          <w:sz w:val="21"/>
          <w:szCs w:val="21"/>
          <w:highlight w:val="none"/>
        </w:rPr>
        <w:t>国务院财政部门规定的其他条件。</w:t>
      </w:r>
    </w:p>
    <w:p w14:paraId="3EF248C2">
      <w:pPr>
        <w:pStyle w:val="6"/>
        <w:spacing w:line="345" w:lineRule="auto"/>
        <w:rPr>
          <w:color w:val="auto"/>
          <w:highlight w:val="none"/>
        </w:rPr>
      </w:pPr>
    </w:p>
    <w:p w14:paraId="59B2962C">
      <w:pPr>
        <w:spacing w:before="90" w:line="188" w:lineRule="auto"/>
        <w:ind w:left="468"/>
        <w:outlineLvl w:val="1"/>
        <w:rPr>
          <w:rFonts w:ascii="微软雅黑" w:hAnsi="微软雅黑" w:eastAsia="微软雅黑" w:cs="微软雅黑"/>
          <w:color w:val="auto"/>
          <w:sz w:val="21"/>
          <w:szCs w:val="21"/>
          <w:highlight w:val="none"/>
        </w:rPr>
      </w:pPr>
      <w:bookmarkStart w:id="111" w:name="bookmark43"/>
      <w:bookmarkEnd w:id="111"/>
      <w:bookmarkStart w:id="112" w:name="bookmark44"/>
      <w:bookmarkEnd w:id="112"/>
      <w:r>
        <w:rPr>
          <w:rFonts w:ascii="微软雅黑" w:hAnsi="微软雅黑" w:eastAsia="微软雅黑" w:cs="微软雅黑"/>
          <w:b/>
          <w:bCs/>
          <w:color w:val="auto"/>
          <w:spacing w:val="-2"/>
          <w:sz w:val="21"/>
          <w:szCs w:val="21"/>
          <w:highlight w:val="none"/>
        </w:rPr>
        <w:t>三、虚假、恶意投诉法律责任</w:t>
      </w:r>
    </w:p>
    <w:p w14:paraId="3ED5A525">
      <w:pPr>
        <w:spacing w:before="117" w:line="265" w:lineRule="auto"/>
        <w:ind w:left="48" w:right="28" w:firstLine="42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第七十三条：</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供应商捏造实施、提供虚假材料或者以非法手段取得证明材料进行投</w:t>
      </w:r>
      <w:r>
        <w:rPr>
          <w:rFonts w:ascii="微软雅黑" w:hAnsi="微软雅黑" w:eastAsia="微软雅黑" w:cs="微软雅黑"/>
          <w:color w:val="auto"/>
          <w:spacing w:val="-1"/>
          <w:sz w:val="21"/>
          <w:szCs w:val="21"/>
          <w:highlight w:val="none"/>
        </w:rPr>
        <w:t>诉的，</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1"/>
          <w:sz w:val="21"/>
          <w:szCs w:val="21"/>
          <w:highlight w:val="none"/>
        </w:rPr>
        <w:t>由财政部门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列入不良行为记录名单，禁止其 1 至 3 年内参加政府采购活动。</w:t>
      </w:r>
    </w:p>
    <w:p w14:paraId="533B5A03">
      <w:pPr>
        <w:spacing w:before="4" w:line="265" w:lineRule="auto"/>
        <w:ind w:left="43" w:right="28" w:firstLine="41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《政府采购供应商投诉处理办法》第二十六条：</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投诉人有下列情形之一的</w:t>
      </w:r>
      <w:r>
        <w:rPr>
          <w:rFonts w:ascii="微软雅黑" w:hAnsi="微软雅黑" w:eastAsia="微软雅黑" w:cs="微软雅黑"/>
          <w:color w:val="auto"/>
          <w:sz w:val="21"/>
          <w:szCs w:val="21"/>
          <w:highlight w:val="none"/>
        </w:rPr>
        <w:t>，属于虚假、恶意投诉，</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财 </w:t>
      </w:r>
      <w:r>
        <w:rPr>
          <w:rFonts w:ascii="微软雅黑" w:hAnsi="微软雅黑" w:eastAsia="微软雅黑" w:cs="微软雅黑"/>
          <w:color w:val="auto"/>
          <w:spacing w:val="-2"/>
          <w:sz w:val="21"/>
          <w:szCs w:val="21"/>
          <w:highlight w:val="none"/>
        </w:rPr>
        <w:t>政部门应当驳回投诉，将其列入不良行为记录名单，并依法予以处罚：</w:t>
      </w:r>
    </w:p>
    <w:p w14:paraId="6E7FA410">
      <w:pPr>
        <w:spacing w:before="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（一）1</w:t>
      </w:r>
      <w:r>
        <w:rPr>
          <w:rFonts w:ascii="微软雅黑" w:hAnsi="微软雅黑" w:eastAsia="微软雅黑" w:cs="微软雅黑"/>
          <w:color w:val="auto"/>
          <w:spacing w:val="46"/>
          <w:w w:val="101"/>
          <w:sz w:val="21"/>
          <w:szCs w:val="21"/>
          <w:highlight w:val="none"/>
        </w:rPr>
        <w:t xml:space="preserve"> </w:t>
      </w:r>
      <w:r>
        <w:rPr>
          <w:rFonts w:ascii="微软雅黑" w:hAnsi="微软雅黑" w:eastAsia="微软雅黑" w:cs="微软雅黑"/>
          <w:color w:val="auto"/>
          <w:spacing w:val="-8"/>
          <w:sz w:val="21"/>
          <w:szCs w:val="21"/>
          <w:highlight w:val="none"/>
        </w:rPr>
        <w:t>年内 3 次以上投诉均查无实据的；</w:t>
      </w:r>
    </w:p>
    <w:p w14:paraId="5F657DE9">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（二）捏造事实或者提供虚假投诉材料的。</w:t>
      </w:r>
    </w:p>
    <w:p w14:paraId="13562FFA">
      <w:pPr>
        <w:pStyle w:val="6"/>
        <w:spacing w:line="345" w:lineRule="auto"/>
        <w:rPr>
          <w:color w:val="auto"/>
          <w:highlight w:val="none"/>
        </w:rPr>
      </w:pPr>
    </w:p>
    <w:p w14:paraId="5B9A0C2D">
      <w:pPr>
        <w:spacing w:before="91" w:line="188" w:lineRule="auto"/>
        <w:ind w:left="45"/>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1"/>
          <w:sz w:val="21"/>
          <w:szCs w:val="21"/>
          <w:highlight w:val="none"/>
        </w:rPr>
        <w:t>递交投诉书地址：乌恰县财政局政府采购办</w:t>
      </w:r>
      <w:r>
        <w:rPr>
          <w:rFonts w:hint="eastAsia" w:ascii="微软雅黑" w:hAnsi="微软雅黑" w:eastAsia="微软雅黑" w:cs="微软雅黑"/>
          <w:color w:val="auto"/>
          <w:spacing w:val="-1"/>
          <w:sz w:val="21"/>
          <w:szCs w:val="21"/>
          <w:highlight w:val="none"/>
          <w:lang w:eastAsia="zh-CN"/>
        </w:rPr>
        <w:t>。</w:t>
      </w:r>
    </w:p>
    <w:p w14:paraId="5656AEA8">
      <w:pPr>
        <w:spacing w:line="188" w:lineRule="auto"/>
        <w:rPr>
          <w:rFonts w:ascii="微软雅黑" w:hAnsi="微软雅黑" w:eastAsia="微软雅黑" w:cs="微软雅黑"/>
          <w:color w:val="auto"/>
          <w:sz w:val="21"/>
          <w:szCs w:val="21"/>
          <w:highlight w:val="none"/>
        </w:rPr>
        <w:sectPr>
          <w:footerReference r:id="rId52" w:type="default"/>
          <w:pgSz w:w="11906" w:h="16839"/>
          <w:pgMar w:top="1745" w:right="1050" w:bottom="1152" w:left="1050" w:header="850" w:footer="992" w:gutter="0"/>
          <w:cols w:space="720" w:num="1"/>
        </w:sectPr>
      </w:pPr>
    </w:p>
    <w:p w14:paraId="1405C601">
      <w:pPr>
        <w:spacing w:before="51" w:line="188" w:lineRule="auto"/>
        <w:ind w:left="4395"/>
        <w:rPr>
          <w:rFonts w:ascii="微软雅黑" w:hAnsi="微软雅黑" w:eastAsia="微软雅黑" w:cs="微软雅黑"/>
          <w:color w:val="auto"/>
          <w:sz w:val="21"/>
          <w:szCs w:val="21"/>
          <w:highlight w:val="none"/>
        </w:rPr>
      </w:pPr>
      <w:bookmarkStart w:id="113" w:name="bookmark46"/>
      <w:bookmarkEnd w:id="113"/>
      <w:r>
        <w:rPr>
          <w:rFonts w:ascii="微软雅黑" w:hAnsi="微软雅黑" w:eastAsia="微软雅黑" w:cs="微软雅黑"/>
          <w:b/>
          <w:bCs/>
          <w:color w:val="auto"/>
          <w:spacing w:val="-4"/>
          <w:sz w:val="21"/>
          <w:szCs w:val="21"/>
          <w:highlight w:val="none"/>
        </w:rPr>
        <w:t>质疑函范本</w:t>
      </w:r>
    </w:p>
    <w:p w14:paraId="23BC4D8E">
      <w:pPr>
        <w:spacing w:before="322" w:line="188" w:lineRule="auto"/>
        <w:ind w:left="46"/>
        <w:outlineLvl w:val="1"/>
        <w:rPr>
          <w:rFonts w:ascii="微软雅黑" w:hAnsi="微软雅黑" w:eastAsia="微软雅黑" w:cs="微软雅黑"/>
          <w:color w:val="auto"/>
          <w:sz w:val="21"/>
          <w:szCs w:val="21"/>
          <w:highlight w:val="none"/>
        </w:rPr>
      </w:pPr>
      <w:bookmarkStart w:id="114" w:name="bookmark45"/>
      <w:bookmarkEnd w:id="114"/>
      <w:r>
        <w:rPr>
          <w:rFonts w:ascii="微软雅黑" w:hAnsi="微软雅黑" w:eastAsia="微软雅黑" w:cs="微软雅黑"/>
          <w:color w:val="auto"/>
          <w:spacing w:val="-4"/>
          <w:sz w:val="21"/>
          <w:szCs w:val="21"/>
          <w:highlight w:val="none"/>
        </w:rPr>
        <w:t>一、质疑供应商基本信息</w:t>
      </w:r>
    </w:p>
    <w:p w14:paraId="5A183E30">
      <w:pPr>
        <w:spacing w:before="126" w:line="187" w:lineRule="auto"/>
        <w:ind w:left="47"/>
        <w:rPr>
          <w:color w:val="auto"/>
          <w:sz w:val="21"/>
          <w:szCs w:val="21"/>
          <w:highlight w:val="none"/>
        </w:rPr>
      </w:pPr>
      <w:r>
        <w:rPr>
          <w:rFonts w:ascii="微软雅黑" w:hAnsi="微软雅黑" w:eastAsia="微软雅黑" w:cs="微软雅黑"/>
          <w:color w:val="auto"/>
          <w:spacing w:val="-4"/>
          <w:sz w:val="21"/>
          <w:szCs w:val="21"/>
          <w:highlight w:val="none"/>
        </w:rPr>
        <w:t>质疑供应商：</w:t>
      </w:r>
      <w:r>
        <w:rPr>
          <w:color w:val="auto"/>
          <w:position w:val="-3"/>
          <w:sz w:val="21"/>
          <w:szCs w:val="21"/>
          <w:highlight w:val="none"/>
        </w:rPr>
        <w:drawing>
          <wp:inline distT="0" distB="0" distL="0" distR="0">
            <wp:extent cx="2667000" cy="63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0"/>
                    <a:stretch>
                      <a:fillRect/>
                    </a:stretch>
                  </pic:blipFill>
                  <pic:spPr>
                    <a:xfrm>
                      <a:off x="0" y="0"/>
                      <a:ext cx="2667000" cy="6667"/>
                    </a:xfrm>
                    <a:prstGeom prst="rect">
                      <a:avLst/>
                    </a:prstGeom>
                  </pic:spPr>
                </pic:pic>
              </a:graphicData>
            </a:graphic>
          </wp:inline>
        </w:drawing>
      </w:r>
    </w:p>
    <w:p w14:paraId="187B23FC">
      <w:pPr>
        <w:spacing w:before="128" w:line="187" w:lineRule="auto"/>
        <w:ind w:left="43"/>
        <w:rPr>
          <w:color w:val="auto"/>
          <w:sz w:val="21"/>
          <w:szCs w:val="21"/>
          <w:highlight w:val="none"/>
        </w:rPr>
      </w:pPr>
      <w:r>
        <w:rPr>
          <w:rFonts w:ascii="微软雅黑" w:hAnsi="微软雅黑" w:eastAsia="微软雅黑" w:cs="微软雅黑"/>
          <w:color w:val="auto"/>
          <w:spacing w:val="-8"/>
          <w:sz w:val="21"/>
          <w:szCs w:val="21"/>
          <w:highlight w:val="none"/>
        </w:rPr>
        <w:t>地址：</w:t>
      </w:r>
      <w:r>
        <w:rPr>
          <w:color w:val="auto"/>
          <w:position w:val="-3"/>
          <w:sz w:val="21"/>
          <w:szCs w:val="21"/>
          <w:highlight w:val="none"/>
        </w:rPr>
        <w:drawing>
          <wp:inline distT="0" distB="0" distL="0" distR="0">
            <wp:extent cx="1733550" cy="63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1"/>
                    <a:stretch>
                      <a:fillRect/>
                    </a:stretch>
                  </pic:blipFill>
                  <pic:spPr>
                    <a:xfrm>
                      <a:off x="0" y="0"/>
                      <a:ext cx="1733550" cy="6667"/>
                    </a:xfrm>
                    <a:prstGeom prst="rect">
                      <a:avLst/>
                    </a:prstGeom>
                  </pic:spPr>
                </pic:pic>
              </a:graphicData>
            </a:graphic>
          </wp:inline>
        </w:drawing>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8"/>
          <w:sz w:val="21"/>
          <w:szCs w:val="21"/>
          <w:highlight w:val="none"/>
        </w:rPr>
        <w:t>邮编：</w:t>
      </w:r>
      <w:r>
        <w:rPr>
          <w:color w:val="auto"/>
          <w:position w:val="-3"/>
          <w:sz w:val="21"/>
          <w:szCs w:val="21"/>
          <w:highlight w:val="none"/>
        </w:rPr>
        <w:drawing>
          <wp:inline distT="0" distB="0" distL="0" distR="0">
            <wp:extent cx="3400425" cy="635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2"/>
                    <a:stretch>
                      <a:fillRect/>
                    </a:stretch>
                  </pic:blipFill>
                  <pic:spPr>
                    <a:xfrm>
                      <a:off x="0" y="0"/>
                      <a:ext cx="3400425" cy="6667"/>
                    </a:xfrm>
                    <a:prstGeom prst="rect">
                      <a:avLst/>
                    </a:prstGeom>
                  </pic:spPr>
                </pic:pic>
              </a:graphicData>
            </a:graphic>
          </wp:inline>
        </w:drawing>
      </w:r>
    </w:p>
    <w:p w14:paraId="770157C9">
      <w:pPr>
        <w:spacing w:before="128"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联系人：</w:t>
      </w:r>
      <w:r>
        <w:rPr>
          <w:color w:val="auto"/>
          <w:position w:val="-3"/>
          <w:sz w:val="21"/>
          <w:szCs w:val="21"/>
          <w:highlight w:val="none"/>
        </w:rPr>
        <w:drawing>
          <wp:inline distT="0" distB="0" distL="0" distR="0">
            <wp:extent cx="1466850" cy="63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3"/>
                    <a:stretch>
                      <a:fillRect/>
                    </a:stretch>
                  </pic:blipFill>
                  <pic:spPr>
                    <a:xfrm>
                      <a:off x="0" y="0"/>
                      <a:ext cx="1466850" cy="6667"/>
                    </a:xfrm>
                    <a:prstGeom prst="rect">
                      <a:avLst/>
                    </a:prstGeom>
                  </pic:spPr>
                </pic:pic>
              </a:graphicData>
            </a:graphic>
          </wp:inline>
        </w:drawing>
      </w:r>
      <w:r>
        <w:rPr>
          <w:rFonts w:ascii="微软雅黑" w:hAnsi="微软雅黑" w:eastAsia="微软雅黑" w:cs="微软雅黑"/>
          <w:color w:val="auto"/>
          <w:spacing w:val="-48"/>
          <w:sz w:val="21"/>
          <w:szCs w:val="21"/>
          <w:highlight w:val="none"/>
        </w:rPr>
        <w:t xml:space="preserve"> </w:t>
      </w: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2000250" cy="63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4"/>
                    <a:stretch>
                      <a:fillRect/>
                    </a:stretch>
                  </pic:blipFill>
                  <pic:spPr>
                    <a:xfrm>
                      <a:off x="0" y="0"/>
                      <a:ext cx="2000250" cy="6667"/>
                    </a:xfrm>
                    <a:prstGeom prst="rect">
                      <a:avLst/>
                    </a:prstGeom>
                  </pic:spPr>
                </pic:pic>
              </a:graphicData>
            </a:graphic>
          </wp:inline>
        </w:drawing>
      </w:r>
    </w:p>
    <w:p w14:paraId="258B0E18">
      <w:pPr>
        <w:spacing w:before="127"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授权代表：</w:t>
      </w:r>
      <w:r>
        <w:rPr>
          <w:color w:val="auto"/>
          <w:position w:val="-3"/>
          <w:sz w:val="21"/>
          <w:szCs w:val="21"/>
          <w:highlight w:val="none"/>
        </w:rPr>
        <w:drawing>
          <wp:inline distT="0" distB="0" distL="0" distR="0">
            <wp:extent cx="2800350" cy="63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5"/>
                    <a:stretch>
                      <a:fillRect/>
                    </a:stretch>
                  </pic:blipFill>
                  <pic:spPr>
                    <a:xfrm>
                      <a:off x="0" y="0"/>
                      <a:ext cx="2800350" cy="6667"/>
                    </a:xfrm>
                    <a:prstGeom prst="rect">
                      <a:avLst/>
                    </a:prstGeom>
                  </pic:spPr>
                </pic:pic>
              </a:graphicData>
            </a:graphic>
          </wp:inline>
        </w:drawing>
      </w:r>
    </w:p>
    <w:p w14:paraId="55C3DE52">
      <w:pPr>
        <w:spacing w:before="128"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2867025" cy="63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6"/>
                    <a:stretch>
                      <a:fillRect/>
                    </a:stretch>
                  </pic:blipFill>
                  <pic:spPr>
                    <a:xfrm>
                      <a:off x="0" y="0"/>
                      <a:ext cx="2867025" cy="6667"/>
                    </a:xfrm>
                    <a:prstGeom prst="rect">
                      <a:avLst/>
                    </a:prstGeom>
                  </pic:spPr>
                </pic:pic>
              </a:graphicData>
            </a:graphic>
          </wp:inline>
        </w:drawing>
      </w:r>
    </w:p>
    <w:p w14:paraId="5B4914A4">
      <w:pPr>
        <w:spacing w:before="128" w:line="187" w:lineRule="auto"/>
        <w:ind w:left="43"/>
        <w:rPr>
          <w:color w:val="auto"/>
          <w:sz w:val="21"/>
          <w:szCs w:val="21"/>
          <w:highlight w:val="none"/>
        </w:rPr>
      </w:pPr>
      <w:r>
        <w:rPr>
          <w:rFonts w:ascii="微软雅黑" w:hAnsi="微软雅黑" w:eastAsia="微软雅黑" w:cs="微软雅黑"/>
          <w:color w:val="auto"/>
          <w:spacing w:val="-9"/>
          <w:sz w:val="21"/>
          <w:szCs w:val="21"/>
          <w:highlight w:val="none"/>
        </w:rPr>
        <w:t>地址：</w:t>
      </w:r>
      <w:r>
        <w:rPr>
          <w:rFonts w:ascii="微软雅黑" w:hAnsi="微软雅黑" w:eastAsia="微软雅黑" w:cs="微软雅黑"/>
          <w:color w:val="auto"/>
          <w:spacing w:val="51"/>
          <w:sz w:val="21"/>
          <w:szCs w:val="21"/>
          <w:highlight w:val="none"/>
        </w:rPr>
        <w:t xml:space="preserve"> </w:t>
      </w:r>
      <w:r>
        <w:rPr>
          <w:color w:val="auto"/>
          <w:position w:val="-3"/>
          <w:sz w:val="21"/>
          <w:szCs w:val="21"/>
          <w:highlight w:val="none"/>
        </w:rPr>
        <w:drawing>
          <wp:inline distT="0" distB="0" distL="0" distR="0">
            <wp:extent cx="1600200" cy="63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7"/>
                    <a:stretch>
                      <a:fillRect/>
                    </a:stretch>
                  </pic:blipFill>
                  <pic:spPr>
                    <a:xfrm>
                      <a:off x="0" y="0"/>
                      <a:ext cx="1600200" cy="6667"/>
                    </a:xfrm>
                    <a:prstGeom prst="rect">
                      <a:avLst/>
                    </a:prstGeom>
                  </pic:spPr>
                </pic:pic>
              </a:graphicData>
            </a:graphic>
          </wp:inline>
        </w:drawing>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9"/>
          <w:sz w:val="21"/>
          <w:szCs w:val="21"/>
          <w:highlight w:val="none"/>
        </w:rPr>
        <w:t>邮编：</w:t>
      </w:r>
      <w:r>
        <w:rPr>
          <w:color w:val="auto"/>
          <w:position w:val="-3"/>
          <w:sz w:val="21"/>
          <w:szCs w:val="21"/>
          <w:highlight w:val="none"/>
        </w:rPr>
        <w:drawing>
          <wp:inline distT="0" distB="0" distL="0" distR="0">
            <wp:extent cx="3200400" cy="635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8"/>
                    <a:stretch>
                      <a:fillRect/>
                    </a:stretch>
                  </pic:blipFill>
                  <pic:spPr>
                    <a:xfrm>
                      <a:off x="0" y="0"/>
                      <a:ext cx="3200400" cy="6667"/>
                    </a:xfrm>
                    <a:prstGeom prst="rect">
                      <a:avLst/>
                    </a:prstGeom>
                  </pic:spPr>
                </pic:pic>
              </a:graphicData>
            </a:graphic>
          </wp:inline>
        </w:drawing>
      </w:r>
    </w:p>
    <w:p w14:paraId="3CC658E0">
      <w:pPr>
        <w:spacing w:before="127" w:line="187" w:lineRule="auto"/>
        <w:ind w:left="49"/>
        <w:outlineLvl w:val="1"/>
        <w:rPr>
          <w:rFonts w:ascii="微软雅黑" w:hAnsi="微软雅黑" w:eastAsia="微软雅黑" w:cs="微软雅黑"/>
          <w:color w:val="auto"/>
          <w:sz w:val="21"/>
          <w:szCs w:val="21"/>
          <w:highlight w:val="none"/>
        </w:rPr>
      </w:pPr>
      <w:bookmarkStart w:id="115" w:name="bookmark48"/>
      <w:bookmarkEnd w:id="115"/>
      <w:bookmarkStart w:id="116" w:name="bookmark47"/>
      <w:bookmarkEnd w:id="116"/>
      <w:r>
        <w:rPr>
          <w:rFonts w:ascii="微软雅黑" w:hAnsi="微软雅黑" w:eastAsia="微软雅黑" w:cs="微软雅黑"/>
          <w:color w:val="auto"/>
          <w:spacing w:val="-2"/>
          <w:sz w:val="21"/>
          <w:szCs w:val="21"/>
          <w:highlight w:val="none"/>
        </w:rPr>
        <w:t>二、质疑项目基本情况</w:t>
      </w:r>
    </w:p>
    <w:p w14:paraId="3C207C63">
      <w:pPr>
        <w:spacing w:before="128" w:line="187" w:lineRule="auto"/>
        <w:ind w:left="47"/>
        <w:rPr>
          <w:color w:val="auto"/>
          <w:sz w:val="21"/>
          <w:szCs w:val="21"/>
          <w:highlight w:val="none"/>
        </w:rPr>
      </w:pPr>
      <w:r>
        <w:rPr>
          <w:rFonts w:ascii="微软雅黑" w:hAnsi="微软雅黑" w:eastAsia="微软雅黑" w:cs="微软雅黑"/>
          <w:color w:val="auto"/>
          <w:spacing w:val="-3"/>
          <w:sz w:val="21"/>
          <w:szCs w:val="21"/>
          <w:highlight w:val="none"/>
        </w:rPr>
        <w:t>质疑项目的名称：</w:t>
      </w:r>
      <w:r>
        <w:rPr>
          <w:color w:val="auto"/>
          <w:position w:val="-3"/>
          <w:sz w:val="21"/>
          <w:szCs w:val="21"/>
          <w:highlight w:val="none"/>
        </w:rPr>
        <w:drawing>
          <wp:inline distT="0" distB="0" distL="0" distR="0">
            <wp:extent cx="2533650" cy="63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9"/>
                    <a:stretch>
                      <a:fillRect/>
                    </a:stretch>
                  </pic:blipFill>
                  <pic:spPr>
                    <a:xfrm>
                      <a:off x="0" y="0"/>
                      <a:ext cx="2533650" cy="6667"/>
                    </a:xfrm>
                    <a:prstGeom prst="rect">
                      <a:avLst/>
                    </a:prstGeom>
                  </pic:spPr>
                </pic:pic>
              </a:graphicData>
            </a:graphic>
          </wp:inline>
        </w:drawing>
      </w:r>
    </w:p>
    <w:p w14:paraId="78793EF2">
      <w:pPr>
        <w:spacing w:before="128" w:line="187" w:lineRule="auto"/>
        <w:ind w:left="47"/>
        <w:rPr>
          <w:color w:val="auto"/>
          <w:sz w:val="21"/>
          <w:szCs w:val="21"/>
          <w:highlight w:val="none"/>
        </w:rPr>
      </w:pPr>
      <w:r>
        <w:rPr>
          <w:rFonts w:ascii="微软雅黑" w:hAnsi="微软雅黑" w:eastAsia="微软雅黑" w:cs="微软雅黑"/>
          <w:color w:val="auto"/>
          <w:spacing w:val="-4"/>
          <w:sz w:val="21"/>
          <w:szCs w:val="21"/>
          <w:highlight w:val="none"/>
        </w:rPr>
        <w:t>质疑项目的编号：</w:t>
      </w:r>
      <w:r>
        <w:rPr>
          <w:color w:val="auto"/>
          <w:position w:val="-3"/>
          <w:sz w:val="21"/>
          <w:szCs w:val="21"/>
          <w:highlight w:val="none"/>
        </w:rPr>
        <w:drawing>
          <wp:inline distT="0" distB="0" distL="0" distR="0">
            <wp:extent cx="1000125" cy="6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0"/>
                    <a:stretch>
                      <a:fillRect/>
                    </a:stretch>
                  </pic:blipFill>
                  <pic:spPr>
                    <a:xfrm>
                      <a:off x="0" y="0"/>
                      <a:ext cx="100012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包号：</w:t>
      </w:r>
      <w:r>
        <w:rPr>
          <w:color w:val="auto"/>
          <w:position w:val="-3"/>
          <w:sz w:val="21"/>
          <w:szCs w:val="21"/>
          <w:highlight w:val="none"/>
        </w:rPr>
        <w:drawing>
          <wp:inline distT="0" distB="0" distL="0" distR="0">
            <wp:extent cx="1133475" cy="63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1"/>
                    <a:stretch>
                      <a:fillRect/>
                    </a:stretch>
                  </pic:blipFill>
                  <pic:spPr>
                    <a:xfrm>
                      <a:off x="0" y="0"/>
                      <a:ext cx="1133475" cy="6667"/>
                    </a:xfrm>
                    <a:prstGeom prst="rect">
                      <a:avLst/>
                    </a:prstGeom>
                  </pic:spPr>
                </pic:pic>
              </a:graphicData>
            </a:graphic>
          </wp:inline>
        </w:drawing>
      </w:r>
    </w:p>
    <w:p w14:paraId="5F1D024E">
      <w:pPr>
        <w:spacing w:before="128" w:line="187" w:lineRule="auto"/>
        <w:ind w:left="44"/>
        <w:rPr>
          <w:color w:val="auto"/>
          <w:sz w:val="21"/>
          <w:szCs w:val="21"/>
          <w:highlight w:val="none"/>
        </w:rPr>
      </w:pPr>
      <w:r>
        <w:rPr>
          <w:rFonts w:ascii="微软雅黑" w:hAnsi="微软雅黑" w:eastAsia="微软雅黑" w:cs="微软雅黑"/>
          <w:color w:val="auto"/>
          <w:spacing w:val="-3"/>
          <w:sz w:val="21"/>
          <w:szCs w:val="21"/>
          <w:highlight w:val="none"/>
        </w:rPr>
        <w:t>采购人名称：</w:t>
      </w:r>
      <w:r>
        <w:rPr>
          <w:color w:val="auto"/>
          <w:position w:val="-3"/>
          <w:sz w:val="21"/>
          <w:szCs w:val="21"/>
          <w:highlight w:val="none"/>
        </w:rPr>
        <w:drawing>
          <wp:inline distT="0" distB="0" distL="0" distR="0">
            <wp:extent cx="2733675" cy="63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2"/>
                    <a:stretch>
                      <a:fillRect/>
                    </a:stretch>
                  </pic:blipFill>
                  <pic:spPr>
                    <a:xfrm>
                      <a:off x="0" y="0"/>
                      <a:ext cx="2733675" cy="6667"/>
                    </a:xfrm>
                    <a:prstGeom prst="rect">
                      <a:avLst/>
                    </a:prstGeom>
                  </pic:spPr>
                </pic:pic>
              </a:graphicData>
            </a:graphic>
          </wp:inline>
        </w:drawing>
      </w:r>
    </w:p>
    <w:p w14:paraId="1088891C">
      <w:pPr>
        <w:spacing w:before="128"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采购文件获取日期：</w:t>
      </w:r>
      <w:r>
        <w:rPr>
          <w:color w:val="auto"/>
          <w:position w:val="-3"/>
          <w:sz w:val="21"/>
          <w:szCs w:val="21"/>
          <w:highlight w:val="none"/>
        </w:rPr>
        <w:drawing>
          <wp:inline distT="0" distB="0" distL="0" distR="0">
            <wp:extent cx="2867025" cy="63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3"/>
                    <a:stretch>
                      <a:fillRect/>
                    </a:stretch>
                  </pic:blipFill>
                  <pic:spPr>
                    <a:xfrm>
                      <a:off x="0" y="0"/>
                      <a:ext cx="2867025" cy="6667"/>
                    </a:xfrm>
                    <a:prstGeom prst="rect">
                      <a:avLst/>
                    </a:prstGeom>
                  </pic:spPr>
                </pic:pic>
              </a:graphicData>
            </a:graphic>
          </wp:inline>
        </w:drawing>
      </w:r>
    </w:p>
    <w:p w14:paraId="7C4B2E71">
      <w:pPr>
        <w:spacing w:before="127" w:line="187" w:lineRule="auto"/>
        <w:ind w:left="48"/>
        <w:outlineLvl w:val="1"/>
        <w:rPr>
          <w:rFonts w:ascii="微软雅黑" w:hAnsi="微软雅黑" w:eastAsia="微软雅黑" w:cs="微软雅黑"/>
          <w:color w:val="auto"/>
          <w:sz w:val="21"/>
          <w:szCs w:val="21"/>
          <w:highlight w:val="none"/>
        </w:rPr>
      </w:pPr>
      <w:bookmarkStart w:id="117" w:name="bookmark50"/>
      <w:bookmarkEnd w:id="117"/>
      <w:bookmarkStart w:id="118" w:name="bookmark49"/>
      <w:bookmarkEnd w:id="118"/>
      <w:r>
        <w:rPr>
          <w:rFonts w:ascii="微软雅黑" w:hAnsi="微软雅黑" w:eastAsia="微软雅黑" w:cs="微软雅黑"/>
          <w:color w:val="auto"/>
          <w:spacing w:val="-2"/>
          <w:sz w:val="21"/>
          <w:szCs w:val="21"/>
          <w:highlight w:val="none"/>
        </w:rPr>
        <w:t>三、质疑事项具体内容</w:t>
      </w:r>
    </w:p>
    <w:p w14:paraId="63BB8615">
      <w:pPr>
        <w:spacing w:before="128" w:line="187" w:lineRule="auto"/>
        <w:ind w:left="47"/>
        <w:rPr>
          <w:color w:val="auto"/>
          <w:sz w:val="21"/>
          <w:szCs w:val="21"/>
          <w:highlight w:val="none"/>
        </w:rPr>
      </w:pPr>
      <w:r>
        <w:rPr>
          <w:rFonts w:ascii="微软雅黑" w:hAnsi="微软雅黑" w:eastAsia="微软雅黑" w:cs="微软雅黑"/>
          <w:color w:val="auto"/>
          <w:spacing w:val="-10"/>
          <w:sz w:val="21"/>
          <w:szCs w:val="21"/>
          <w:highlight w:val="none"/>
        </w:rPr>
        <w:t>质疑事项</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0"/>
          <w:sz w:val="21"/>
          <w:szCs w:val="21"/>
          <w:highlight w:val="none"/>
        </w:rPr>
        <w:t>1：</w:t>
      </w:r>
      <w:r>
        <w:rPr>
          <w:color w:val="auto"/>
          <w:position w:val="-3"/>
          <w:sz w:val="21"/>
          <w:szCs w:val="21"/>
          <w:highlight w:val="none"/>
        </w:rPr>
        <w:drawing>
          <wp:inline distT="0" distB="0" distL="0" distR="0">
            <wp:extent cx="2733675" cy="63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4"/>
                    <a:stretch>
                      <a:fillRect/>
                    </a:stretch>
                  </pic:blipFill>
                  <pic:spPr>
                    <a:xfrm>
                      <a:off x="0" y="0"/>
                      <a:ext cx="2733675" cy="6667"/>
                    </a:xfrm>
                    <a:prstGeom prst="rect">
                      <a:avLst/>
                    </a:prstGeom>
                  </pic:spPr>
                </pic:pic>
              </a:graphicData>
            </a:graphic>
          </wp:inline>
        </w:drawing>
      </w:r>
    </w:p>
    <w:p w14:paraId="04596F90">
      <w:pPr>
        <w:spacing w:before="128"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事实依据：</w:t>
      </w:r>
      <w:r>
        <w:rPr>
          <w:color w:val="auto"/>
          <w:position w:val="-3"/>
          <w:sz w:val="21"/>
          <w:szCs w:val="21"/>
          <w:highlight w:val="none"/>
        </w:rPr>
        <w:drawing>
          <wp:inline distT="0" distB="0" distL="0" distR="0">
            <wp:extent cx="2800350" cy="63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5"/>
                    <a:stretch>
                      <a:fillRect/>
                    </a:stretch>
                  </pic:blipFill>
                  <pic:spPr>
                    <a:xfrm>
                      <a:off x="0" y="0"/>
                      <a:ext cx="2800350" cy="6667"/>
                    </a:xfrm>
                    <a:prstGeom prst="rect">
                      <a:avLst/>
                    </a:prstGeom>
                  </pic:spPr>
                </pic:pic>
              </a:graphicData>
            </a:graphic>
          </wp:inline>
        </w:drawing>
      </w:r>
    </w:p>
    <w:p w14:paraId="03F9F134">
      <w:pPr>
        <w:pStyle w:val="6"/>
        <w:tabs>
          <w:tab w:val="left" w:pos="5804"/>
        </w:tabs>
        <w:spacing w:before="139"/>
        <w:ind w:left="29"/>
        <w:rPr>
          <w:color w:val="auto"/>
          <w:highlight w:val="none"/>
        </w:rPr>
      </w:pPr>
      <w:r>
        <w:rPr>
          <w:color w:val="auto"/>
          <w:highlight w:val="none"/>
          <w:u w:val="single" w:color="auto"/>
        </w:rPr>
        <w:tab/>
      </w:r>
    </w:p>
    <w:p w14:paraId="7C9CD102">
      <w:pPr>
        <w:spacing w:before="156" w:line="187" w:lineRule="auto"/>
        <w:ind w:left="49"/>
        <w:rPr>
          <w:color w:val="auto"/>
          <w:sz w:val="21"/>
          <w:szCs w:val="21"/>
          <w:highlight w:val="none"/>
        </w:rPr>
      </w:pPr>
      <w:r>
        <w:rPr>
          <w:rFonts w:ascii="微软雅黑" w:hAnsi="微软雅黑" w:eastAsia="微软雅黑" w:cs="微软雅黑"/>
          <w:color w:val="auto"/>
          <w:spacing w:val="-5"/>
          <w:sz w:val="21"/>
          <w:szCs w:val="21"/>
          <w:highlight w:val="none"/>
        </w:rPr>
        <w:t>法律依据：</w:t>
      </w:r>
      <w:r>
        <w:rPr>
          <w:color w:val="auto"/>
          <w:position w:val="-3"/>
          <w:sz w:val="21"/>
          <w:szCs w:val="21"/>
          <w:highlight w:val="none"/>
        </w:rPr>
        <w:drawing>
          <wp:inline distT="0" distB="0" distL="0" distR="0">
            <wp:extent cx="2800350" cy="63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6"/>
                    <a:stretch>
                      <a:fillRect/>
                    </a:stretch>
                  </pic:blipFill>
                  <pic:spPr>
                    <a:xfrm>
                      <a:off x="0" y="0"/>
                      <a:ext cx="2800350" cy="6667"/>
                    </a:xfrm>
                    <a:prstGeom prst="rect">
                      <a:avLst/>
                    </a:prstGeom>
                  </pic:spPr>
                </pic:pic>
              </a:graphicData>
            </a:graphic>
          </wp:inline>
        </w:drawing>
      </w:r>
    </w:p>
    <w:p w14:paraId="761076E7">
      <w:pPr>
        <w:pStyle w:val="6"/>
        <w:spacing w:line="443" w:lineRule="auto"/>
        <w:rPr>
          <w:color w:val="auto"/>
          <w:highlight w:val="none"/>
        </w:rPr>
      </w:pPr>
      <w:r>
        <w:rPr>
          <w:color w:val="auto"/>
          <w:highlight w:val="none"/>
        </w:rPr>
        <w:pict>
          <v:shape id="_x0000_s1030" o:spid="_x0000_s1030" style="position:absolute;left:0pt;margin-left:1.7pt;margin-top:16.8pt;height:0.55pt;width:278.25pt;z-index:251665408;mso-width-relative:page;mso-height-relative:page;" filled="f" stroked="t" coordsize="5565,11" path="m0,5l5565,5e">
            <v:fill on="f" focussize="0,0"/>
            <v:stroke weight="0.52pt" color="#000000" miterlimit="10" joinstyle="miter" dashstyle="dash"/>
            <v:imagedata o:title=""/>
            <o:lock v:ext="edit"/>
          </v:shape>
        </w:pict>
      </w:r>
    </w:p>
    <w:p w14:paraId="494CA848">
      <w:pPr>
        <w:spacing w:before="90" w:line="272" w:lineRule="auto"/>
        <w:ind w:left="50" w:right="8777" w:hanging="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质疑事项 2</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8"/>
          <w:sz w:val="21"/>
          <w:szCs w:val="21"/>
          <w:highlight w:val="none"/>
        </w:rPr>
        <w:t>……</w:t>
      </w:r>
    </w:p>
    <w:p w14:paraId="4034CF98">
      <w:pPr>
        <w:spacing w:line="187" w:lineRule="auto"/>
        <w:ind w:left="67"/>
        <w:outlineLvl w:val="1"/>
        <w:rPr>
          <w:rFonts w:ascii="微软雅黑" w:hAnsi="微软雅黑" w:eastAsia="微软雅黑" w:cs="微软雅黑"/>
          <w:color w:val="auto"/>
          <w:sz w:val="21"/>
          <w:szCs w:val="21"/>
          <w:highlight w:val="none"/>
        </w:rPr>
      </w:pPr>
      <w:bookmarkStart w:id="119" w:name="bookmark52"/>
      <w:bookmarkEnd w:id="119"/>
      <w:bookmarkStart w:id="120" w:name="bookmark51"/>
      <w:bookmarkEnd w:id="120"/>
      <w:r>
        <w:rPr>
          <w:rFonts w:ascii="微软雅黑" w:hAnsi="微软雅黑" w:eastAsia="微软雅黑" w:cs="微软雅黑"/>
          <w:color w:val="auto"/>
          <w:spacing w:val="-3"/>
          <w:sz w:val="21"/>
          <w:szCs w:val="21"/>
          <w:highlight w:val="none"/>
        </w:rPr>
        <w:t>四、与质疑事项相关的质疑请求</w:t>
      </w:r>
    </w:p>
    <w:p w14:paraId="38F9C32A">
      <w:pPr>
        <w:spacing w:before="128" w:line="187" w:lineRule="auto"/>
        <w:ind w:left="42"/>
        <w:rPr>
          <w:color w:val="auto"/>
          <w:sz w:val="21"/>
          <w:szCs w:val="21"/>
          <w:highlight w:val="none"/>
        </w:rPr>
      </w:pPr>
      <w:r>
        <w:rPr>
          <w:rFonts w:ascii="微软雅黑" w:hAnsi="微软雅黑" w:eastAsia="微软雅黑" w:cs="微软雅黑"/>
          <w:color w:val="auto"/>
          <w:spacing w:val="-5"/>
          <w:sz w:val="21"/>
          <w:szCs w:val="21"/>
          <w:highlight w:val="none"/>
        </w:rPr>
        <w:t>请求：</w:t>
      </w:r>
      <w:r>
        <w:rPr>
          <w:color w:val="auto"/>
          <w:position w:val="-3"/>
          <w:sz w:val="21"/>
          <w:szCs w:val="21"/>
          <w:highlight w:val="none"/>
        </w:rPr>
        <w:drawing>
          <wp:inline distT="0" distB="0" distL="0" distR="0">
            <wp:extent cx="3133725" cy="635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7"/>
                    <a:stretch>
                      <a:fillRect/>
                    </a:stretch>
                  </pic:blipFill>
                  <pic:spPr>
                    <a:xfrm>
                      <a:off x="0" y="0"/>
                      <a:ext cx="3133725" cy="6667"/>
                    </a:xfrm>
                    <a:prstGeom prst="rect">
                      <a:avLst/>
                    </a:prstGeom>
                  </pic:spPr>
                </pic:pic>
              </a:graphicData>
            </a:graphic>
          </wp:inline>
        </w:drawing>
      </w:r>
    </w:p>
    <w:p w14:paraId="51E9C9BB">
      <w:pPr>
        <w:spacing w:before="148" w:line="183"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 xml:space="preserve">签字(签章)：                               </w:t>
      </w:r>
      <w:r>
        <w:rPr>
          <w:rFonts w:ascii="微软雅黑" w:hAnsi="微软雅黑" w:eastAsia="微软雅黑" w:cs="微软雅黑"/>
          <w:color w:val="auto"/>
          <w:spacing w:val="-3"/>
          <w:sz w:val="21"/>
          <w:szCs w:val="21"/>
          <w:highlight w:val="none"/>
        </w:rPr>
        <w:t xml:space="preserve">   公章：</w:t>
      </w:r>
    </w:p>
    <w:p w14:paraId="724F7019">
      <w:pPr>
        <w:spacing w:before="36" w:line="188" w:lineRule="auto"/>
        <w:ind w:left="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4"/>
          <w:sz w:val="21"/>
          <w:szCs w:val="21"/>
          <w:highlight w:val="none"/>
        </w:rPr>
        <w:t>日期：</w:t>
      </w:r>
    </w:p>
    <w:p w14:paraId="6F5C7377">
      <w:pPr>
        <w:spacing w:line="188" w:lineRule="auto"/>
        <w:rPr>
          <w:rFonts w:ascii="微软雅黑" w:hAnsi="微软雅黑" w:eastAsia="微软雅黑" w:cs="微软雅黑"/>
          <w:color w:val="auto"/>
          <w:sz w:val="21"/>
          <w:szCs w:val="21"/>
          <w:highlight w:val="none"/>
        </w:rPr>
        <w:sectPr>
          <w:footerReference r:id="rId53" w:type="default"/>
          <w:pgSz w:w="11906" w:h="16839"/>
          <w:pgMar w:top="1745" w:right="1050" w:bottom="1152" w:left="1050" w:header="850" w:footer="992" w:gutter="0"/>
          <w:cols w:space="720" w:num="1"/>
        </w:sectPr>
      </w:pPr>
    </w:p>
    <w:p w14:paraId="405D9E9F">
      <w:pPr>
        <w:spacing w:before="52" w:line="187"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质疑函制作说明：</w:t>
      </w:r>
    </w:p>
    <w:p w14:paraId="18044298">
      <w:pPr>
        <w:spacing w:before="30"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1.供应商提出质疑时，应提交质疑函和必要的证明材料。</w:t>
      </w:r>
    </w:p>
    <w:p w14:paraId="7B7FF5DE">
      <w:pPr>
        <w:spacing w:before="28" w:line="207" w:lineRule="auto"/>
        <w:ind w:left="42" w:right="115"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2.质疑供应商若委托代理人进行质疑的，质疑函应按要</w:t>
      </w:r>
      <w:r>
        <w:rPr>
          <w:rFonts w:ascii="微软雅黑" w:hAnsi="微软雅黑" w:eastAsia="微软雅黑" w:cs="微软雅黑"/>
          <w:color w:val="auto"/>
          <w:sz w:val="21"/>
          <w:szCs w:val="21"/>
          <w:highlight w:val="none"/>
        </w:rPr>
        <w:t>求列明“授权代表”的有关内容，并在附件中 提交由质疑供应商签署的授权委托书。授权委托书应载明代理人的姓名</w:t>
      </w:r>
      <w:r>
        <w:rPr>
          <w:rFonts w:ascii="微软雅黑" w:hAnsi="微软雅黑" w:eastAsia="微软雅黑" w:cs="微软雅黑"/>
          <w:color w:val="auto"/>
          <w:spacing w:val="-1"/>
          <w:sz w:val="21"/>
          <w:szCs w:val="21"/>
          <w:highlight w:val="none"/>
        </w:rPr>
        <w:t>或者名称、代理事项、具体权限、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期限和相关事项。</w:t>
      </w:r>
    </w:p>
    <w:p w14:paraId="4FA90CDF">
      <w:pPr>
        <w:spacing w:before="5"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3.质疑供应商若对项目的某一分包进行质疑，质疑函中应列明具体分</w:t>
      </w:r>
      <w:r>
        <w:rPr>
          <w:rFonts w:ascii="微软雅黑" w:hAnsi="微软雅黑" w:eastAsia="微软雅黑" w:cs="微软雅黑"/>
          <w:color w:val="auto"/>
          <w:spacing w:val="-1"/>
          <w:sz w:val="21"/>
          <w:szCs w:val="21"/>
          <w:highlight w:val="none"/>
        </w:rPr>
        <w:t>包号。</w:t>
      </w:r>
    </w:p>
    <w:p w14:paraId="13A25B4E">
      <w:pPr>
        <w:spacing w:before="32" w:line="187"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4.质疑函的质疑事项应具体、明确，并有必要的事实依据和法律依据。</w:t>
      </w:r>
    </w:p>
    <w:p w14:paraId="3A4B8000">
      <w:pPr>
        <w:spacing w:before="31"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5.质疑函的质疑请求应与质疑事项相关。</w:t>
      </w:r>
    </w:p>
    <w:p w14:paraId="0E5775FD">
      <w:pPr>
        <w:spacing w:before="32" w:line="206" w:lineRule="auto"/>
        <w:ind w:left="47" w:right="115"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6.质疑供应商为自然人的，质疑函应由本人签字；质疑供</w:t>
      </w:r>
      <w:r>
        <w:rPr>
          <w:rFonts w:ascii="微软雅黑" w:hAnsi="微软雅黑" w:eastAsia="微软雅黑" w:cs="微软雅黑"/>
          <w:color w:val="auto"/>
          <w:sz w:val="21"/>
          <w:szCs w:val="21"/>
          <w:highlight w:val="none"/>
        </w:rPr>
        <w:t xml:space="preserve">应商为法人或者其他组织的，质疑函应由法 </w:t>
      </w:r>
      <w:r>
        <w:rPr>
          <w:rFonts w:ascii="微软雅黑" w:hAnsi="微软雅黑" w:eastAsia="微软雅黑" w:cs="微软雅黑"/>
          <w:color w:val="auto"/>
          <w:spacing w:val="-2"/>
          <w:sz w:val="21"/>
          <w:szCs w:val="21"/>
          <w:highlight w:val="none"/>
        </w:rPr>
        <w:t>定代表人、主要负责人，或者其授权代表签字或者盖章，并加盖公章。</w:t>
      </w:r>
    </w:p>
    <w:p w14:paraId="5AB8079F">
      <w:pPr>
        <w:spacing w:line="206" w:lineRule="auto"/>
        <w:rPr>
          <w:rFonts w:ascii="微软雅黑" w:hAnsi="微软雅黑" w:eastAsia="微软雅黑" w:cs="微软雅黑"/>
          <w:color w:val="auto"/>
          <w:sz w:val="21"/>
          <w:szCs w:val="21"/>
          <w:highlight w:val="none"/>
        </w:rPr>
        <w:sectPr>
          <w:footerReference r:id="rId54" w:type="default"/>
          <w:pgSz w:w="11906" w:h="16839"/>
          <w:pgMar w:top="1745" w:right="1050" w:bottom="1152" w:left="1050" w:header="850" w:footer="992" w:gutter="0"/>
          <w:cols w:space="720" w:num="1"/>
        </w:sectPr>
      </w:pPr>
    </w:p>
    <w:p w14:paraId="2C1A6635">
      <w:pPr>
        <w:spacing w:before="93" w:line="189" w:lineRule="auto"/>
        <w:ind w:left="3734"/>
        <w:outlineLvl w:val="0"/>
        <w:rPr>
          <w:rFonts w:ascii="微软雅黑" w:hAnsi="微软雅黑" w:eastAsia="微软雅黑" w:cs="微软雅黑"/>
          <w:color w:val="auto"/>
          <w:sz w:val="30"/>
          <w:szCs w:val="30"/>
          <w:highlight w:val="none"/>
        </w:rPr>
      </w:pPr>
      <w:bookmarkStart w:id="121" w:name="bookmark53"/>
      <w:bookmarkEnd w:id="121"/>
      <w:r>
        <w:rPr>
          <w:rFonts w:ascii="微软雅黑" w:hAnsi="微软雅黑" w:eastAsia="微软雅黑" w:cs="微软雅黑"/>
          <w:color w:val="auto"/>
          <w:spacing w:val="-7"/>
          <w:sz w:val="30"/>
          <w:szCs w:val="30"/>
          <w:highlight w:val="none"/>
        </w:rPr>
        <w:t>第三章</w:t>
      </w:r>
      <w:r>
        <w:rPr>
          <w:rFonts w:ascii="微软雅黑" w:hAnsi="微软雅黑" w:eastAsia="微软雅黑" w:cs="微软雅黑"/>
          <w:color w:val="auto"/>
          <w:spacing w:val="18"/>
          <w:sz w:val="30"/>
          <w:szCs w:val="30"/>
          <w:highlight w:val="none"/>
        </w:rPr>
        <w:t xml:space="preserve">   </w:t>
      </w:r>
      <w:r>
        <w:rPr>
          <w:rFonts w:ascii="微软雅黑" w:hAnsi="微软雅黑" w:eastAsia="微软雅黑" w:cs="微软雅黑"/>
          <w:color w:val="auto"/>
          <w:spacing w:val="-7"/>
          <w:sz w:val="30"/>
          <w:szCs w:val="30"/>
          <w:highlight w:val="none"/>
        </w:rPr>
        <w:t>评标办法</w:t>
      </w:r>
    </w:p>
    <w:p w14:paraId="6B11322C">
      <w:pPr>
        <w:spacing w:before="115" w:line="188" w:lineRule="auto"/>
        <w:ind w:left="4224"/>
        <w:outlineLvl w:val="1"/>
        <w:rPr>
          <w:rFonts w:ascii="微软雅黑" w:hAnsi="微软雅黑" w:eastAsia="微软雅黑" w:cs="微软雅黑"/>
          <w:color w:val="auto"/>
          <w:sz w:val="28"/>
          <w:szCs w:val="28"/>
          <w:highlight w:val="none"/>
        </w:rPr>
      </w:pPr>
      <w:bookmarkStart w:id="122" w:name="bookmark55"/>
      <w:bookmarkEnd w:id="122"/>
      <w:bookmarkStart w:id="123" w:name="bookmark56"/>
      <w:bookmarkEnd w:id="123"/>
      <w:bookmarkStart w:id="124" w:name="bookmark54"/>
      <w:bookmarkEnd w:id="124"/>
      <w:r>
        <w:rPr>
          <w:rFonts w:ascii="微软雅黑" w:hAnsi="微软雅黑" w:eastAsia="微软雅黑" w:cs="微软雅黑"/>
          <w:b/>
          <w:bCs/>
          <w:color w:val="auto"/>
          <w:spacing w:val="-9"/>
          <w:w w:val="96"/>
          <w:sz w:val="28"/>
          <w:szCs w:val="28"/>
          <w:highlight w:val="none"/>
        </w:rPr>
        <w:t>一</w:t>
      </w:r>
      <w:r>
        <w:rPr>
          <w:rFonts w:ascii="微软雅黑" w:hAnsi="微软雅黑" w:eastAsia="微软雅黑" w:cs="微软雅黑"/>
          <w:b/>
          <w:bCs/>
          <w:color w:val="auto"/>
          <w:spacing w:val="22"/>
          <w:sz w:val="28"/>
          <w:szCs w:val="28"/>
          <w:highlight w:val="none"/>
        </w:rPr>
        <w:t xml:space="preserve">   </w:t>
      </w:r>
      <w:r>
        <w:rPr>
          <w:rFonts w:ascii="微软雅黑" w:hAnsi="微软雅黑" w:eastAsia="微软雅黑" w:cs="微软雅黑"/>
          <w:b/>
          <w:bCs/>
          <w:color w:val="auto"/>
          <w:spacing w:val="-9"/>
          <w:w w:val="96"/>
          <w:sz w:val="28"/>
          <w:szCs w:val="28"/>
          <w:highlight w:val="none"/>
        </w:rPr>
        <w:t>总</w:t>
      </w:r>
      <w:r>
        <w:rPr>
          <w:rFonts w:ascii="微软雅黑" w:hAnsi="微软雅黑" w:eastAsia="微软雅黑" w:cs="微软雅黑"/>
          <w:b/>
          <w:bCs/>
          <w:color w:val="auto"/>
          <w:spacing w:val="17"/>
          <w:sz w:val="28"/>
          <w:szCs w:val="28"/>
          <w:highlight w:val="none"/>
        </w:rPr>
        <w:t xml:space="preserve">   </w:t>
      </w:r>
      <w:r>
        <w:rPr>
          <w:rFonts w:ascii="微软雅黑" w:hAnsi="微软雅黑" w:eastAsia="微软雅黑" w:cs="微软雅黑"/>
          <w:b/>
          <w:bCs/>
          <w:color w:val="auto"/>
          <w:spacing w:val="-9"/>
          <w:w w:val="96"/>
          <w:sz w:val="28"/>
          <w:szCs w:val="28"/>
          <w:highlight w:val="none"/>
        </w:rPr>
        <w:t>则</w:t>
      </w:r>
    </w:p>
    <w:p w14:paraId="01C4C64E">
      <w:pPr>
        <w:spacing w:before="244"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1、一般规定</w:t>
      </w:r>
    </w:p>
    <w:p w14:paraId="598C95B0">
      <w:pPr>
        <w:spacing w:before="156" w:line="241" w:lineRule="auto"/>
        <w:ind w:left="45" w:right="37" w:firstLine="54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1.1 本项目的招标按照《中华人民共和国政府采购法》、《政府采购货物和服务招标投标管理办法》 </w:t>
      </w:r>
      <w:r>
        <w:rPr>
          <w:rFonts w:ascii="微软雅黑" w:hAnsi="微软雅黑" w:eastAsia="微软雅黑" w:cs="微软雅黑"/>
          <w:color w:val="auto"/>
          <w:spacing w:val="-4"/>
          <w:sz w:val="21"/>
          <w:szCs w:val="21"/>
          <w:highlight w:val="none"/>
        </w:rPr>
        <w:t>及政府采购的有关规定进行。</w:t>
      </w:r>
    </w:p>
    <w:p w14:paraId="485AC095">
      <w:pPr>
        <w:spacing w:before="157"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 评标必须遵循公开、公平、公正、诚实信用的原则。</w:t>
      </w:r>
    </w:p>
    <w:p w14:paraId="7437DEB0">
      <w:pPr>
        <w:spacing w:before="158"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 招标代理机构组织招标、开标、评标工作，全过程接受政府采购有关部门的监督、管理和指导。</w:t>
      </w:r>
    </w:p>
    <w:p w14:paraId="514C5D7B">
      <w:pPr>
        <w:spacing w:before="158"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1.4 评标按照招标文件规定的内容进行，采取符合招标文件要求的综合评分法；</w:t>
      </w:r>
    </w:p>
    <w:p w14:paraId="0C389EE4">
      <w:pPr>
        <w:spacing w:before="157" w:line="241" w:lineRule="auto"/>
        <w:ind w:left="47" w:right="29" w:firstLine="54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1.5 本办法的评标对象是指投标人按照招标文件要求提供的</w:t>
      </w:r>
      <w:r>
        <w:rPr>
          <w:rFonts w:ascii="微软雅黑" w:hAnsi="微软雅黑" w:eastAsia="微软雅黑" w:cs="微软雅黑"/>
          <w:color w:val="auto"/>
          <w:spacing w:val="-1"/>
          <w:sz w:val="21"/>
          <w:szCs w:val="21"/>
          <w:highlight w:val="none"/>
        </w:rPr>
        <w:t>有效投标文件，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包括投标人应评标委员会</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要求对原投标文件作出的正式书面澄清文件。</w:t>
      </w:r>
    </w:p>
    <w:p w14:paraId="76CD53AC">
      <w:pPr>
        <w:spacing w:before="156"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2、评标组织机构的组成</w:t>
      </w:r>
    </w:p>
    <w:p w14:paraId="7A6D7805">
      <w:pPr>
        <w:spacing w:before="155" w:line="276" w:lineRule="auto"/>
        <w:ind w:left="42" w:right="28" w:firstLine="4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 xml:space="preserve">2.1  </w:t>
      </w:r>
      <w:r>
        <w:rPr>
          <w:rFonts w:ascii="微软雅黑" w:hAnsi="微软雅黑" w:eastAsia="微软雅黑" w:cs="微软雅黑"/>
          <w:color w:val="auto"/>
          <w:spacing w:val="-2"/>
          <w:sz w:val="21"/>
          <w:szCs w:val="21"/>
          <w:highlight w:val="none"/>
        </w:rPr>
        <w:t>评标委员会由采购人代表和有关技术、经济等方面的专家组成，成员人数应当为 5 人或 5 人以上</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6"/>
          <w:sz w:val="21"/>
          <w:szCs w:val="21"/>
          <w:highlight w:val="none"/>
        </w:rPr>
        <w:t>单数。其中，</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6"/>
          <w:sz w:val="21"/>
          <w:szCs w:val="21"/>
          <w:highlight w:val="none"/>
        </w:rPr>
        <w:t>技术、经济等方面的专家不得少于成员总数的三分之二。采购数额在</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1000 万元以</w:t>
      </w:r>
      <w:r>
        <w:rPr>
          <w:rFonts w:ascii="微软雅黑" w:hAnsi="微软雅黑" w:eastAsia="微软雅黑" w:cs="微软雅黑"/>
          <w:color w:val="auto"/>
          <w:spacing w:val="-7"/>
          <w:sz w:val="21"/>
          <w:szCs w:val="21"/>
          <w:highlight w:val="none"/>
        </w:rPr>
        <w:t>上、技术复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杂的项目，评标委员会中技术、经济方面的专家人数应</w:t>
      </w:r>
      <w:r>
        <w:rPr>
          <w:rFonts w:ascii="微软雅黑" w:hAnsi="微软雅黑" w:eastAsia="微软雅黑" w:cs="微软雅黑"/>
          <w:color w:val="auto"/>
          <w:spacing w:val="1"/>
          <w:sz w:val="21"/>
          <w:szCs w:val="21"/>
          <w:highlight w:val="none"/>
        </w:rPr>
        <w:t>当为</w:t>
      </w:r>
      <w:r>
        <w:rPr>
          <w:rFonts w:ascii="微软雅黑" w:hAnsi="微软雅黑" w:eastAsia="微软雅黑" w:cs="微软雅黑"/>
          <w:b/>
          <w:bCs/>
          <w:color w:val="auto"/>
          <w:spacing w:val="1"/>
          <w:sz w:val="21"/>
          <w:szCs w:val="21"/>
          <w:highlight w:val="none"/>
        </w:rPr>
        <w:t>七</w:t>
      </w:r>
      <w:r>
        <w:rPr>
          <w:rFonts w:ascii="微软雅黑" w:hAnsi="微软雅黑" w:eastAsia="微软雅黑" w:cs="微软雅黑"/>
          <w:color w:val="auto"/>
          <w:spacing w:val="1"/>
          <w:sz w:val="21"/>
          <w:szCs w:val="21"/>
          <w:highlight w:val="none"/>
        </w:rPr>
        <w:t>人以上单数。采购人应当从同级或上一级财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政部门设立的政府采购评审专家库中，</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通过随机方式抽取评标专家。采购人对技术复杂、专业性极强的采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购项目，</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通过随机方式难以确定合适评标专家的，经设区的市</w:t>
      </w:r>
      <w:r>
        <w:rPr>
          <w:rFonts w:ascii="微软雅黑" w:hAnsi="微软雅黑" w:eastAsia="微软雅黑" w:cs="微软雅黑"/>
          <w:color w:val="auto"/>
          <w:sz w:val="21"/>
          <w:szCs w:val="21"/>
          <w:highlight w:val="none"/>
        </w:rPr>
        <w:t>、自治州以上人民政府财政部门同意，</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可以 </w:t>
      </w:r>
      <w:r>
        <w:rPr>
          <w:rFonts w:ascii="微软雅黑" w:hAnsi="微软雅黑" w:eastAsia="微软雅黑" w:cs="微软雅黑"/>
          <w:color w:val="auto"/>
          <w:spacing w:val="-3"/>
          <w:sz w:val="21"/>
          <w:szCs w:val="21"/>
          <w:highlight w:val="none"/>
        </w:rPr>
        <w:t>采取选择性方式确定评标专家。</w:t>
      </w:r>
    </w:p>
    <w:p w14:paraId="38A3B3EF">
      <w:pPr>
        <w:spacing w:before="157"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2.2 评标工作组由招标人及有关专家组成，由评标委员会确认，并接受其领导。</w:t>
      </w:r>
    </w:p>
    <w:p w14:paraId="56CD84BB">
      <w:pPr>
        <w:spacing w:before="160"/>
        <w:ind w:left="69" w:right="29" w:firstLine="5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2.3 评标委员会应相对独立工作，</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z w:val="21"/>
          <w:szCs w:val="21"/>
          <w:highlight w:val="none"/>
        </w:rPr>
        <w:t>负责评标、撰写技术、商务评标报告。采购代理机构负责评标</w:t>
      </w:r>
      <w:r>
        <w:rPr>
          <w:rFonts w:ascii="微软雅黑" w:hAnsi="微软雅黑" w:eastAsia="微软雅黑" w:cs="微软雅黑"/>
          <w:color w:val="auto"/>
          <w:spacing w:val="-1"/>
          <w:sz w:val="21"/>
          <w:szCs w:val="21"/>
          <w:highlight w:val="none"/>
        </w:rPr>
        <w:t>过程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中资料的保管、发放、回收，整理、汇总评标资料。</w:t>
      </w:r>
    </w:p>
    <w:p w14:paraId="1D00D6A2">
      <w:pPr>
        <w:spacing w:before="158" w:line="187"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3、评标委员会职责</w:t>
      </w:r>
    </w:p>
    <w:p w14:paraId="12CDEFB8">
      <w:pPr>
        <w:spacing w:before="159"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3.1</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审查投标文件是否符合招标文件要求，并作出评价；</w:t>
      </w:r>
    </w:p>
    <w:p w14:paraId="3E08D3A8">
      <w:pPr>
        <w:spacing w:before="158" w:line="187"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3.2 要求投标人对投标文件有关事项作出解释或者澄清；</w:t>
      </w:r>
    </w:p>
    <w:p w14:paraId="3CADF0FC">
      <w:pPr>
        <w:spacing w:before="159"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3.3 推荐中标候选人名单；</w:t>
      </w:r>
    </w:p>
    <w:p w14:paraId="415C2803">
      <w:pPr>
        <w:spacing w:before="157"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3.4</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向招标人、招标代理机构或者有关部门报告非法干预评标工作的行为。</w:t>
      </w:r>
    </w:p>
    <w:p w14:paraId="5FEA4ABE">
      <w:pPr>
        <w:spacing w:before="158" w:line="187"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4、评标委员会义务</w:t>
      </w:r>
    </w:p>
    <w:p w14:paraId="20A70C7E">
      <w:pPr>
        <w:spacing w:before="160"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4.1 遵纪守法，客观、公正、廉洁地履行职责；</w:t>
      </w:r>
    </w:p>
    <w:p w14:paraId="2DEB3521">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 按照招标文件规定的评标方法和评标标准进行评标，对评审意见承担</w:t>
      </w:r>
      <w:r>
        <w:rPr>
          <w:rFonts w:ascii="微软雅黑" w:hAnsi="微软雅黑" w:eastAsia="微软雅黑" w:cs="微软雅黑"/>
          <w:color w:val="auto"/>
          <w:spacing w:val="-2"/>
          <w:sz w:val="21"/>
          <w:szCs w:val="21"/>
          <w:highlight w:val="none"/>
        </w:rPr>
        <w:t>个人责任；</w:t>
      </w:r>
    </w:p>
    <w:p w14:paraId="5A32BF86">
      <w:pPr>
        <w:spacing w:before="157"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4.3 对评标过程和结果，以及投标人的商业秘密保密；</w:t>
      </w:r>
    </w:p>
    <w:p w14:paraId="0A7668EA">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4.4 参与评标报告的起草；</w:t>
      </w:r>
    </w:p>
    <w:p w14:paraId="3F5AD7DD">
      <w:pPr>
        <w:spacing w:line="188" w:lineRule="auto"/>
        <w:rPr>
          <w:rFonts w:ascii="微软雅黑" w:hAnsi="微软雅黑" w:eastAsia="微软雅黑" w:cs="微软雅黑"/>
          <w:color w:val="auto"/>
          <w:sz w:val="21"/>
          <w:szCs w:val="21"/>
          <w:highlight w:val="none"/>
        </w:rPr>
        <w:sectPr>
          <w:footerReference r:id="rId55" w:type="default"/>
          <w:pgSz w:w="11906" w:h="16839"/>
          <w:pgMar w:top="1745" w:right="1050" w:bottom="1152" w:left="1050" w:header="850" w:footer="992" w:gutter="0"/>
          <w:cols w:space="720" w:num="1"/>
        </w:sectPr>
      </w:pPr>
    </w:p>
    <w:p w14:paraId="4810D983">
      <w:pPr>
        <w:pStyle w:val="6"/>
        <w:spacing w:line="448" w:lineRule="auto"/>
        <w:rPr>
          <w:color w:val="auto"/>
          <w:highlight w:val="none"/>
        </w:rPr>
      </w:pPr>
    </w:p>
    <w:p w14:paraId="4459A455">
      <w:pPr>
        <w:spacing w:line="884" w:lineRule="exact"/>
        <w:ind w:firstLine="359"/>
        <w:rPr>
          <w:color w:val="auto"/>
          <w:highlight w:val="none"/>
        </w:rPr>
      </w:pPr>
      <w:r>
        <w:rPr>
          <w:color w:val="auto"/>
          <w:highlight w:val="none"/>
        </w:rPr>
        <w:pict>
          <v:shape id="_x0000_s1031" o:spid="_x0000_s1031" style="position:absolute;left:0pt;margin-left:0.25pt;margin-top:44.45pt;height:0.5pt;width:490.25pt;z-index:251666432;mso-width-relative:page;mso-height-relative:page;" filled="f" stroked="t" coordsize="9805,10" path="m0,5l9804,5e">
            <v:fill on="f" focussize="0,0"/>
            <v:stroke weight="0.5pt" color="#FFFFFF" miterlimit="10" joinstyle="miter"/>
            <v:imagedata o:title=""/>
            <o:lock v:ext="edit" aspectratio="f"/>
          </v:shape>
        </w:pict>
      </w:r>
    </w:p>
    <w:p w14:paraId="6A081E58">
      <w:pPr>
        <w:spacing w:before="181"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4.5 配合有关部门的投诉处理工作；</w:t>
      </w:r>
    </w:p>
    <w:p w14:paraId="37745B60">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4.6 配合招标人、招标代理机构答复投标供应商提出的质疑。</w:t>
      </w:r>
    </w:p>
    <w:p w14:paraId="78723D75">
      <w:pPr>
        <w:spacing w:before="158"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5、</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8"/>
          <w:sz w:val="21"/>
          <w:szCs w:val="21"/>
          <w:highlight w:val="none"/>
        </w:rPr>
        <w:t>评标程序</w:t>
      </w:r>
    </w:p>
    <w:p w14:paraId="446BE6C5">
      <w:pPr>
        <w:spacing w:before="158"/>
        <w:ind w:left="43" w:right="71" w:firstLine="53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5.1 本次评标首先由评标委员会对投标人的投标文件进行初审，对未能通过初审的投标文件作无效标</w:t>
      </w:r>
      <w:r>
        <w:rPr>
          <w:rFonts w:ascii="微软雅黑" w:hAnsi="微软雅黑" w:eastAsia="微软雅黑" w:cs="微软雅黑"/>
          <w:color w:val="auto"/>
          <w:spacing w:val="18"/>
          <w:w w:val="101"/>
          <w:sz w:val="21"/>
          <w:szCs w:val="21"/>
          <w:highlight w:val="none"/>
        </w:rPr>
        <w:t xml:space="preserve"> </w:t>
      </w:r>
      <w:r>
        <w:rPr>
          <w:rFonts w:ascii="微软雅黑" w:hAnsi="微软雅黑" w:eastAsia="微软雅黑" w:cs="微软雅黑"/>
          <w:color w:val="auto"/>
          <w:spacing w:val="-14"/>
          <w:sz w:val="21"/>
          <w:szCs w:val="21"/>
          <w:highlight w:val="none"/>
        </w:rPr>
        <w:t>处理；</w:t>
      </w:r>
    </w:p>
    <w:p w14:paraId="4F93FCC4">
      <w:pPr>
        <w:spacing w:before="158"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5.2 对通过初审的投标人的投标文件进行详细的比较和评价。如需要，进行必要</w:t>
      </w:r>
      <w:r>
        <w:rPr>
          <w:rFonts w:ascii="微软雅黑" w:hAnsi="微软雅黑" w:eastAsia="微软雅黑" w:cs="微软雅黑"/>
          <w:color w:val="auto"/>
          <w:spacing w:val="-2"/>
          <w:sz w:val="21"/>
          <w:szCs w:val="21"/>
          <w:highlight w:val="none"/>
        </w:rPr>
        <w:t>的澄清工作；</w:t>
      </w:r>
    </w:p>
    <w:p w14:paraId="53FFA055">
      <w:pPr>
        <w:spacing w:before="62" w:line="232" w:lineRule="auto"/>
        <w:ind w:left="42" w:firstLine="47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 xml:space="preserve">5.3 依据评分标准以及各项权值，各位评委单独就每个投标人的投标文件进行价格、技术、  </w:t>
      </w:r>
      <w:r>
        <w:rPr>
          <w:color w:val="auto"/>
          <w:highlight w:val="none"/>
        </w:rPr>
        <w:fldChar w:fldCharType="begin"/>
      </w:r>
      <w:r>
        <w:rPr>
          <w:color w:val="auto"/>
          <w:highlight w:val="none"/>
        </w:rPr>
        <w:instrText xml:space="preserve"> HYPERLINK "http://zhidao.baidu.com/search?word=%E8%B4%A2%E5%8A%A1%E7%8A%B6%E5%86%B5&amp;fr=qb_search_exp&amp;ie=utf8&amp;eid_gfrom=151" </w:instrText>
      </w:r>
      <w:r>
        <w:rPr>
          <w:color w:val="auto"/>
          <w:highlight w:val="none"/>
        </w:rPr>
        <w:fldChar w:fldCharType="separate"/>
      </w:r>
      <w:r>
        <w:rPr>
          <w:rFonts w:ascii="微软雅黑" w:hAnsi="微软雅黑" w:eastAsia="微软雅黑" w:cs="微软雅黑"/>
          <w:color w:val="auto"/>
          <w:spacing w:val="-4"/>
          <w:sz w:val="21"/>
          <w:szCs w:val="21"/>
          <w:highlight w:val="none"/>
        </w:rPr>
        <w:t>财务状况</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
          <w:sz w:val="21"/>
          <w:szCs w:val="21"/>
          <w:highlight w:val="none"/>
        </w:rPr>
        <w:t>信誉、业绩、服务、对招标文件的响应程度，</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1"/>
          <w:sz w:val="21"/>
          <w:szCs w:val="21"/>
          <w:highlight w:val="none"/>
        </w:rPr>
        <w:t>以及相应的比重或者权值</w:t>
      </w:r>
      <w:r>
        <w:rPr>
          <w:rFonts w:ascii="微软雅黑" w:hAnsi="微软雅黑" w:eastAsia="微软雅黑" w:cs="微软雅黑"/>
          <w:color w:val="auto"/>
          <w:sz w:val="21"/>
          <w:szCs w:val="21"/>
          <w:highlight w:val="none"/>
        </w:rPr>
        <w:t>等各项因素进行综合评审后，按最  终综合得分由高向低排序，</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由评标委员会推荐综合得分最高的投标人为第一中标候选人，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综合得分第二名  </w:t>
      </w:r>
      <w:r>
        <w:rPr>
          <w:rFonts w:ascii="微软雅黑" w:hAnsi="微软雅黑" w:eastAsia="微软雅黑" w:cs="微软雅黑"/>
          <w:color w:val="auto"/>
          <w:spacing w:val="-1"/>
          <w:sz w:val="21"/>
          <w:szCs w:val="21"/>
          <w:highlight w:val="none"/>
        </w:rPr>
        <w:t>的投标人为第二中标候选人，综合得分第三名的投标人</w:t>
      </w:r>
      <w:r>
        <w:rPr>
          <w:rFonts w:ascii="微软雅黑" w:hAnsi="微软雅黑" w:eastAsia="微软雅黑" w:cs="微软雅黑"/>
          <w:color w:val="auto"/>
          <w:spacing w:val="-2"/>
          <w:sz w:val="21"/>
          <w:szCs w:val="21"/>
          <w:highlight w:val="none"/>
        </w:rPr>
        <w:t>为第三中标候选人。</w:t>
      </w:r>
    </w:p>
    <w:p w14:paraId="2C291507">
      <w:pPr>
        <w:spacing w:before="145" w:line="188" w:lineRule="auto"/>
        <w:ind w:left="3809"/>
        <w:outlineLvl w:val="1"/>
        <w:rPr>
          <w:rFonts w:ascii="微软雅黑" w:hAnsi="微软雅黑" w:eastAsia="微软雅黑" w:cs="微软雅黑"/>
          <w:color w:val="auto"/>
          <w:sz w:val="28"/>
          <w:szCs w:val="28"/>
          <w:highlight w:val="none"/>
        </w:rPr>
      </w:pPr>
      <w:bookmarkStart w:id="125" w:name="bookmark58"/>
      <w:bookmarkEnd w:id="125"/>
      <w:bookmarkStart w:id="126" w:name="bookmark57"/>
      <w:bookmarkEnd w:id="126"/>
      <w:r>
        <w:rPr>
          <w:rFonts w:ascii="微软雅黑" w:hAnsi="微软雅黑" w:eastAsia="微软雅黑" w:cs="微软雅黑"/>
          <w:b/>
          <w:bCs/>
          <w:color w:val="auto"/>
          <w:spacing w:val="-7"/>
          <w:sz w:val="28"/>
          <w:szCs w:val="28"/>
          <w:highlight w:val="none"/>
        </w:rPr>
        <w:t>二</w:t>
      </w:r>
      <w:r>
        <w:rPr>
          <w:rFonts w:ascii="微软雅黑" w:hAnsi="微软雅黑" w:eastAsia="微软雅黑" w:cs="微软雅黑"/>
          <w:b/>
          <w:bCs/>
          <w:color w:val="auto"/>
          <w:spacing w:val="17"/>
          <w:sz w:val="28"/>
          <w:szCs w:val="28"/>
          <w:highlight w:val="none"/>
        </w:rPr>
        <w:t xml:space="preserve">   </w:t>
      </w:r>
      <w:r>
        <w:rPr>
          <w:rFonts w:ascii="微软雅黑" w:hAnsi="微软雅黑" w:eastAsia="微软雅黑" w:cs="微软雅黑"/>
          <w:b/>
          <w:bCs/>
          <w:color w:val="auto"/>
          <w:spacing w:val="-7"/>
          <w:sz w:val="28"/>
          <w:szCs w:val="28"/>
          <w:highlight w:val="none"/>
        </w:rPr>
        <w:t>投标文件初审</w:t>
      </w:r>
    </w:p>
    <w:p w14:paraId="592963EB">
      <w:pPr>
        <w:spacing w:before="213" w:line="188"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6.资格性审查:</w:t>
      </w:r>
    </w:p>
    <w:p w14:paraId="15748464">
      <w:pPr>
        <w:spacing w:before="118" w:line="173"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 评审细则</w:t>
      </w:r>
    </w:p>
    <w:tbl>
      <w:tblPr>
        <w:tblStyle w:val="11"/>
        <w:tblW w:w="9339"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549"/>
        <w:gridCol w:w="5396"/>
        <w:gridCol w:w="1304"/>
        <w:gridCol w:w="1200"/>
      </w:tblGrid>
      <w:tr w14:paraId="6DAEB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90" w:type="dxa"/>
            <w:vMerge w:val="restart"/>
            <w:tcBorders>
              <w:bottom w:val="nil"/>
            </w:tcBorders>
            <w:vAlign w:val="top"/>
          </w:tcPr>
          <w:p w14:paraId="25440C99">
            <w:pPr>
              <w:spacing w:line="276" w:lineRule="auto"/>
              <w:rPr>
                <w:rFonts w:ascii="Arial"/>
                <w:color w:val="auto"/>
                <w:sz w:val="21"/>
                <w:highlight w:val="none"/>
              </w:rPr>
            </w:pPr>
          </w:p>
          <w:p w14:paraId="6BBA0B74">
            <w:pPr>
              <w:pStyle w:val="12"/>
              <w:spacing w:before="90" w:line="188" w:lineRule="auto"/>
              <w:ind w:left="242"/>
              <w:rPr>
                <w:color w:val="auto"/>
                <w:highlight w:val="none"/>
              </w:rPr>
            </w:pPr>
            <w:r>
              <w:rPr>
                <w:b/>
                <w:bCs/>
                <w:color w:val="auto"/>
                <w:spacing w:val="-4"/>
                <w:highlight w:val="none"/>
              </w:rPr>
              <w:t>项目</w:t>
            </w:r>
          </w:p>
        </w:tc>
        <w:tc>
          <w:tcPr>
            <w:tcW w:w="5945" w:type="dxa"/>
            <w:gridSpan w:val="2"/>
            <w:vMerge w:val="restart"/>
            <w:tcBorders>
              <w:bottom w:val="nil"/>
            </w:tcBorders>
            <w:vAlign w:val="top"/>
          </w:tcPr>
          <w:p w14:paraId="04BC9148">
            <w:pPr>
              <w:spacing w:line="276" w:lineRule="auto"/>
              <w:rPr>
                <w:rFonts w:ascii="Arial"/>
                <w:color w:val="auto"/>
                <w:sz w:val="21"/>
                <w:highlight w:val="none"/>
              </w:rPr>
            </w:pPr>
          </w:p>
          <w:p w14:paraId="1778B92D">
            <w:pPr>
              <w:pStyle w:val="12"/>
              <w:spacing w:before="90" w:line="188" w:lineRule="auto"/>
              <w:ind w:left="2561"/>
              <w:rPr>
                <w:color w:val="auto"/>
                <w:highlight w:val="none"/>
              </w:rPr>
            </w:pPr>
            <w:r>
              <w:rPr>
                <w:b/>
                <w:bCs/>
                <w:color w:val="auto"/>
                <w:spacing w:val="-3"/>
                <w:highlight w:val="none"/>
              </w:rPr>
              <w:t>评审内容</w:t>
            </w:r>
          </w:p>
        </w:tc>
        <w:tc>
          <w:tcPr>
            <w:tcW w:w="2504" w:type="dxa"/>
            <w:gridSpan w:val="2"/>
            <w:vAlign w:val="top"/>
          </w:tcPr>
          <w:p w14:paraId="469B03E5">
            <w:pPr>
              <w:pStyle w:val="12"/>
              <w:spacing w:before="130" w:line="188" w:lineRule="auto"/>
              <w:ind w:left="843"/>
              <w:rPr>
                <w:color w:val="auto"/>
                <w:highlight w:val="none"/>
              </w:rPr>
            </w:pPr>
            <w:r>
              <w:rPr>
                <w:b/>
                <w:bCs/>
                <w:color w:val="auto"/>
                <w:spacing w:val="-3"/>
                <w:highlight w:val="none"/>
              </w:rPr>
              <w:t>评审意见</w:t>
            </w:r>
          </w:p>
        </w:tc>
      </w:tr>
      <w:tr w14:paraId="7D7AF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90" w:type="dxa"/>
            <w:vMerge w:val="continue"/>
            <w:tcBorders>
              <w:top w:val="nil"/>
            </w:tcBorders>
            <w:vAlign w:val="top"/>
          </w:tcPr>
          <w:p w14:paraId="32EAEE3C">
            <w:pPr>
              <w:rPr>
                <w:rFonts w:ascii="Arial"/>
                <w:color w:val="auto"/>
                <w:sz w:val="21"/>
                <w:highlight w:val="none"/>
              </w:rPr>
            </w:pPr>
          </w:p>
        </w:tc>
        <w:tc>
          <w:tcPr>
            <w:tcW w:w="5945" w:type="dxa"/>
            <w:gridSpan w:val="2"/>
            <w:vMerge w:val="continue"/>
            <w:tcBorders>
              <w:top w:val="nil"/>
            </w:tcBorders>
            <w:vAlign w:val="top"/>
          </w:tcPr>
          <w:p w14:paraId="47FDDDF1">
            <w:pPr>
              <w:rPr>
                <w:rFonts w:ascii="Arial"/>
                <w:color w:val="auto"/>
                <w:sz w:val="21"/>
                <w:highlight w:val="none"/>
              </w:rPr>
            </w:pPr>
          </w:p>
        </w:tc>
        <w:tc>
          <w:tcPr>
            <w:tcW w:w="1304" w:type="dxa"/>
            <w:vAlign w:val="top"/>
          </w:tcPr>
          <w:p w14:paraId="19716E1F">
            <w:pPr>
              <w:pStyle w:val="12"/>
              <w:spacing w:before="110" w:line="188" w:lineRule="auto"/>
              <w:ind w:left="187"/>
              <w:rPr>
                <w:color w:val="auto"/>
                <w:sz w:val="24"/>
                <w:szCs w:val="24"/>
                <w:highlight w:val="none"/>
              </w:rPr>
            </w:pPr>
            <w:r>
              <w:rPr>
                <w:color w:val="auto"/>
                <w:spacing w:val="-4"/>
                <w:sz w:val="24"/>
                <w:szCs w:val="24"/>
                <w:highlight w:val="none"/>
              </w:rPr>
              <w:t>是否合格</w:t>
            </w:r>
          </w:p>
        </w:tc>
        <w:tc>
          <w:tcPr>
            <w:tcW w:w="1200" w:type="dxa"/>
            <w:vAlign w:val="top"/>
          </w:tcPr>
          <w:p w14:paraId="1AFD6560">
            <w:pPr>
              <w:pStyle w:val="12"/>
              <w:spacing w:before="110" w:line="188" w:lineRule="auto"/>
              <w:ind w:left="133"/>
              <w:rPr>
                <w:color w:val="auto"/>
                <w:sz w:val="24"/>
                <w:szCs w:val="24"/>
                <w:highlight w:val="none"/>
              </w:rPr>
            </w:pPr>
            <w:r>
              <w:rPr>
                <w:color w:val="auto"/>
                <w:spacing w:val="-4"/>
                <w:sz w:val="24"/>
                <w:szCs w:val="24"/>
                <w:highlight w:val="none"/>
              </w:rPr>
              <w:t>是否合格</w:t>
            </w:r>
          </w:p>
        </w:tc>
      </w:tr>
      <w:tr w14:paraId="772D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890" w:type="dxa"/>
            <w:vMerge w:val="restart"/>
            <w:tcBorders>
              <w:bottom w:val="nil"/>
            </w:tcBorders>
            <w:vAlign w:val="top"/>
          </w:tcPr>
          <w:p w14:paraId="00CA7BBA">
            <w:pPr>
              <w:spacing w:line="248" w:lineRule="auto"/>
              <w:rPr>
                <w:rFonts w:ascii="Arial"/>
                <w:color w:val="auto"/>
                <w:sz w:val="21"/>
                <w:highlight w:val="none"/>
              </w:rPr>
            </w:pPr>
          </w:p>
          <w:p w14:paraId="2B578748">
            <w:pPr>
              <w:spacing w:line="249" w:lineRule="auto"/>
              <w:rPr>
                <w:rFonts w:ascii="Arial"/>
                <w:color w:val="auto"/>
                <w:sz w:val="21"/>
                <w:highlight w:val="none"/>
              </w:rPr>
            </w:pPr>
          </w:p>
          <w:p w14:paraId="37B9BB48">
            <w:pPr>
              <w:spacing w:line="249" w:lineRule="auto"/>
              <w:rPr>
                <w:rFonts w:ascii="Arial"/>
                <w:color w:val="auto"/>
                <w:sz w:val="21"/>
                <w:highlight w:val="none"/>
              </w:rPr>
            </w:pPr>
          </w:p>
          <w:p w14:paraId="3CB9AE78">
            <w:pPr>
              <w:spacing w:line="249" w:lineRule="auto"/>
              <w:rPr>
                <w:rFonts w:ascii="Arial"/>
                <w:color w:val="auto"/>
                <w:sz w:val="21"/>
                <w:highlight w:val="none"/>
              </w:rPr>
            </w:pPr>
          </w:p>
          <w:p w14:paraId="7426BA09">
            <w:pPr>
              <w:spacing w:line="249" w:lineRule="auto"/>
              <w:rPr>
                <w:rFonts w:ascii="Arial"/>
                <w:color w:val="auto"/>
                <w:sz w:val="21"/>
                <w:highlight w:val="none"/>
              </w:rPr>
            </w:pPr>
          </w:p>
          <w:p w14:paraId="75A7F625">
            <w:pPr>
              <w:spacing w:line="249" w:lineRule="auto"/>
              <w:rPr>
                <w:rFonts w:ascii="Arial"/>
                <w:color w:val="auto"/>
                <w:sz w:val="21"/>
                <w:highlight w:val="none"/>
              </w:rPr>
            </w:pPr>
          </w:p>
          <w:p w14:paraId="416F73DC">
            <w:pPr>
              <w:spacing w:line="249" w:lineRule="auto"/>
              <w:rPr>
                <w:rFonts w:ascii="Arial"/>
                <w:color w:val="auto"/>
                <w:sz w:val="21"/>
                <w:highlight w:val="none"/>
              </w:rPr>
            </w:pPr>
          </w:p>
          <w:p w14:paraId="3246BB48">
            <w:pPr>
              <w:pStyle w:val="12"/>
              <w:spacing w:before="90" w:line="207" w:lineRule="auto"/>
              <w:ind w:left="310" w:right="284" w:firstLine="52"/>
              <w:jc w:val="both"/>
              <w:rPr>
                <w:color w:val="auto"/>
                <w:highlight w:val="none"/>
              </w:rPr>
            </w:pPr>
            <w:r>
              <w:rPr>
                <w:color w:val="auto"/>
                <w:spacing w:val="-21"/>
                <w:w w:val="95"/>
                <w:highlight w:val="none"/>
              </w:rPr>
              <w:t>审</w:t>
            </w:r>
            <w:r>
              <w:rPr>
                <w:color w:val="auto"/>
                <w:highlight w:val="none"/>
              </w:rPr>
              <w:t xml:space="preserve">  </w:t>
            </w:r>
            <w:r>
              <w:rPr>
                <w:color w:val="auto"/>
                <w:spacing w:val="22"/>
                <w:highlight w:val="none"/>
              </w:rPr>
              <w:t>查</w:t>
            </w:r>
            <w:r>
              <w:rPr>
                <w:color w:val="auto"/>
                <w:highlight w:val="none"/>
              </w:rPr>
              <w:t xml:space="preserve">  </w:t>
            </w:r>
            <w:r>
              <w:rPr>
                <w:color w:val="auto"/>
                <w:spacing w:val="22"/>
                <w:highlight w:val="none"/>
              </w:rPr>
              <w:t>标</w:t>
            </w:r>
            <w:r>
              <w:rPr>
                <w:color w:val="auto"/>
                <w:highlight w:val="none"/>
              </w:rPr>
              <w:t xml:space="preserve">  </w:t>
            </w:r>
            <w:r>
              <w:rPr>
                <w:color w:val="auto"/>
                <w:spacing w:val="22"/>
                <w:highlight w:val="none"/>
              </w:rPr>
              <w:t>准</w:t>
            </w:r>
            <w:r>
              <w:rPr>
                <w:color w:val="auto"/>
                <w:highlight w:val="none"/>
              </w:rPr>
              <w:t xml:space="preserve">  </w:t>
            </w:r>
            <w:r>
              <w:rPr>
                <w:color w:val="auto"/>
                <w:spacing w:val="2"/>
                <w:highlight w:val="none"/>
              </w:rPr>
              <w:t>(适</w:t>
            </w:r>
            <w:r>
              <w:rPr>
                <w:color w:val="auto"/>
                <w:highlight w:val="none"/>
              </w:rPr>
              <w:t xml:space="preserve"> </w:t>
            </w:r>
            <w:r>
              <w:rPr>
                <w:color w:val="auto"/>
                <w:spacing w:val="22"/>
                <w:highlight w:val="none"/>
              </w:rPr>
              <w:t>用</w:t>
            </w:r>
            <w:r>
              <w:rPr>
                <w:color w:val="auto"/>
                <w:highlight w:val="none"/>
              </w:rPr>
              <w:t xml:space="preserve">  </w:t>
            </w:r>
            <w:r>
              <w:rPr>
                <w:color w:val="auto"/>
                <w:spacing w:val="22"/>
                <w:highlight w:val="none"/>
              </w:rPr>
              <w:t>于</w:t>
            </w:r>
            <w:r>
              <w:rPr>
                <w:color w:val="auto"/>
                <w:highlight w:val="none"/>
              </w:rPr>
              <w:t xml:space="preserve">  </w:t>
            </w:r>
            <w:r>
              <w:rPr>
                <w:color w:val="auto"/>
                <w:spacing w:val="22"/>
                <w:highlight w:val="none"/>
              </w:rPr>
              <w:t>资</w:t>
            </w:r>
            <w:r>
              <w:rPr>
                <w:color w:val="auto"/>
                <w:highlight w:val="none"/>
              </w:rPr>
              <w:t xml:space="preserve">  </w:t>
            </w:r>
            <w:r>
              <w:rPr>
                <w:color w:val="auto"/>
                <w:spacing w:val="22"/>
                <w:highlight w:val="none"/>
              </w:rPr>
              <w:t>格</w:t>
            </w:r>
            <w:r>
              <w:rPr>
                <w:color w:val="auto"/>
                <w:highlight w:val="none"/>
              </w:rPr>
              <w:t xml:space="preserve">  </w:t>
            </w:r>
            <w:r>
              <w:rPr>
                <w:color w:val="auto"/>
                <w:spacing w:val="22"/>
                <w:highlight w:val="none"/>
              </w:rPr>
              <w:t>后</w:t>
            </w:r>
            <w:r>
              <w:rPr>
                <w:color w:val="auto"/>
                <w:highlight w:val="none"/>
              </w:rPr>
              <w:t xml:space="preserve">  </w:t>
            </w:r>
            <w:r>
              <w:rPr>
                <w:color w:val="auto"/>
                <w:spacing w:val="2"/>
                <w:highlight w:val="none"/>
              </w:rPr>
              <w:t>审)</w:t>
            </w:r>
          </w:p>
        </w:tc>
        <w:tc>
          <w:tcPr>
            <w:tcW w:w="549" w:type="dxa"/>
            <w:vAlign w:val="top"/>
          </w:tcPr>
          <w:p w14:paraId="2A165B12">
            <w:pPr>
              <w:spacing w:line="357" w:lineRule="auto"/>
              <w:rPr>
                <w:rFonts w:ascii="Arial"/>
                <w:color w:val="auto"/>
                <w:sz w:val="21"/>
                <w:highlight w:val="none"/>
              </w:rPr>
            </w:pPr>
          </w:p>
          <w:p w14:paraId="15B0CE72">
            <w:pPr>
              <w:pStyle w:val="12"/>
              <w:spacing w:before="103" w:line="159" w:lineRule="auto"/>
              <w:ind w:left="125"/>
              <w:rPr>
                <w:color w:val="auto"/>
                <w:sz w:val="24"/>
                <w:szCs w:val="24"/>
                <w:highlight w:val="none"/>
              </w:rPr>
            </w:pPr>
            <w:r>
              <w:rPr>
                <w:color w:val="auto"/>
                <w:sz w:val="24"/>
                <w:szCs w:val="24"/>
                <w:highlight w:val="none"/>
              </w:rPr>
              <w:t>1</w:t>
            </w:r>
          </w:p>
        </w:tc>
        <w:tc>
          <w:tcPr>
            <w:tcW w:w="5396" w:type="dxa"/>
            <w:vAlign w:val="top"/>
          </w:tcPr>
          <w:p w14:paraId="6043B9F5">
            <w:pPr>
              <w:pStyle w:val="12"/>
              <w:spacing w:before="104" w:line="214" w:lineRule="auto"/>
              <w:ind w:left="113" w:right="100" w:firstLine="5"/>
              <w:jc w:val="both"/>
              <w:rPr>
                <w:color w:val="auto"/>
                <w:highlight w:val="none"/>
              </w:rPr>
            </w:pPr>
            <w:r>
              <w:rPr>
                <w:color w:val="auto"/>
                <w:spacing w:val="-4"/>
                <w:highlight w:val="none"/>
              </w:rPr>
              <w:t>合格有效的营业执照（三证合一）【法人或者非法人组织</w:t>
            </w:r>
            <w:r>
              <w:rPr>
                <w:color w:val="auto"/>
                <w:highlight w:val="none"/>
              </w:rPr>
              <w:t xml:space="preserve"> </w:t>
            </w:r>
            <w:r>
              <w:rPr>
                <w:color w:val="auto"/>
                <w:spacing w:val="-3"/>
                <w:highlight w:val="none"/>
              </w:rPr>
              <w:t>的营业执照等证明文件（须加盖本单位章）或自</w:t>
            </w:r>
            <w:r>
              <w:rPr>
                <w:color w:val="auto"/>
                <w:spacing w:val="-4"/>
                <w:highlight w:val="none"/>
              </w:rPr>
              <w:t>然人的身</w:t>
            </w:r>
            <w:r>
              <w:rPr>
                <w:color w:val="auto"/>
                <w:highlight w:val="none"/>
              </w:rPr>
              <w:t xml:space="preserve"> </w:t>
            </w:r>
            <w:r>
              <w:rPr>
                <w:color w:val="auto"/>
                <w:spacing w:val="-10"/>
                <w:highlight w:val="none"/>
              </w:rPr>
              <w:t>份证明】；</w:t>
            </w:r>
          </w:p>
        </w:tc>
        <w:tc>
          <w:tcPr>
            <w:tcW w:w="1304" w:type="dxa"/>
            <w:vAlign w:val="top"/>
          </w:tcPr>
          <w:p w14:paraId="6A4B7442">
            <w:pPr>
              <w:rPr>
                <w:rFonts w:ascii="Arial"/>
                <w:color w:val="auto"/>
                <w:sz w:val="21"/>
                <w:highlight w:val="none"/>
              </w:rPr>
            </w:pPr>
          </w:p>
        </w:tc>
        <w:tc>
          <w:tcPr>
            <w:tcW w:w="1200" w:type="dxa"/>
            <w:vAlign w:val="top"/>
          </w:tcPr>
          <w:p w14:paraId="66763611">
            <w:pPr>
              <w:rPr>
                <w:rFonts w:ascii="Arial"/>
                <w:color w:val="auto"/>
                <w:sz w:val="21"/>
                <w:highlight w:val="none"/>
              </w:rPr>
            </w:pPr>
          </w:p>
        </w:tc>
      </w:tr>
      <w:tr w14:paraId="0DBEA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90" w:type="dxa"/>
            <w:vMerge w:val="continue"/>
            <w:tcBorders>
              <w:top w:val="nil"/>
              <w:bottom w:val="nil"/>
            </w:tcBorders>
            <w:vAlign w:val="top"/>
          </w:tcPr>
          <w:p w14:paraId="2550587E">
            <w:pPr>
              <w:rPr>
                <w:rFonts w:ascii="Arial"/>
                <w:color w:val="auto"/>
                <w:sz w:val="21"/>
                <w:highlight w:val="none"/>
              </w:rPr>
            </w:pPr>
          </w:p>
        </w:tc>
        <w:tc>
          <w:tcPr>
            <w:tcW w:w="549" w:type="dxa"/>
            <w:vAlign w:val="top"/>
          </w:tcPr>
          <w:p w14:paraId="3BFF3270">
            <w:pPr>
              <w:pStyle w:val="12"/>
              <w:spacing w:before="284" w:line="159" w:lineRule="auto"/>
              <w:ind w:left="110"/>
              <w:rPr>
                <w:color w:val="auto"/>
                <w:sz w:val="24"/>
                <w:szCs w:val="24"/>
                <w:highlight w:val="none"/>
              </w:rPr>
            </w:pPr>
            <w:r>
              <w:rPr>
                <w:color w:val="auto"/>
                <w:sz w:val="24"/>
                <w:szCs w:val="24"/>
                <w:highlight w:val="none"/>
              </w:rPr>
              <w:t>2</w:t>
            </w:r>
          </w:p>
        </w:tc>
        <w:tc>
          <w:tcPr>
            <w:tcW w:w="5396" w:type="dxa"/>
            <w:vAlign w:val="top"/>
          </w:tcPr>
          <w:p w14:paraId="4E529FC9">
            <w:pPr>
              <w:pStyle w:val="12"/>
              <w:spacing w:before="105" w:line="201" w:lineRule="auto"/>
              <w:ind w:left="113" w:right="100" w:firstLine="6"/>
              <w:rPr>
                <w:color w:val="auto"/>
                <w:highlight w:val="none"/>
              </w:rPr>
            </w:pPr>
            <w:r>
              <w:rPr>
                <w:color w:val="auto"/>
                <w:spacing w:val="-4"/>
                <w:highlight w:val="none"/>
              </w:rPr>
              <w:t>法定代表人参与投标须提供法定代表人资格证明，授权委</w:t>
            </w:r>
            <w:r>
              <w:rPr>
                <w:color w:val="auto"/>
                <w:spacing w:val="14"/>
                <w:highlight w:val="none"/>
              </w:rPr>
              <w:t xml:space="preserve"> </w:t>
            </w:r>
            <w:r>
              <w:rPr>
                <w:color w:val="auto"/>
                <w:spacing w:val="-3"/>
                <w:highlight w:val="none"/>
              </w:rPr>
              <w:t>托人参与投标须提供法定代表人授权委托书；</w:t>
            </w:r>
          </w:p>
        </w:tc>
        <w:tc>
          <w:tcPr>
            <w:tcW w:w="1304" w:type="dxa"/>
            <w:vAlign w:val="top"/>
          </w:tcPr>
          <w:p w14:paraId="6ACBD23B">
            <w:pPr>
              <w:rPr>
                <w:rFonts w:ascii="Arial"/>
                <w:color w:val="auto"/>
                <w:sz w:val="21"/>
                <w:highlight w:val="none"/>
              </w:rPr>
            </w:pPr>
          </w:p>
        </w:tc>
        <w:tc>
          <w:tcPr>
            <w:tcW w:w="1200" w:type="dxa"/>
            <w:vAlign w:val="top"/>
          </w:tcPr>
          <w:p w14:paraId="1A49A403">
            <w:pPr>
              <w:rPr>
                <w:rFonts w:ascii="Arial"/>
                <w:color w:val="auto"/>
                <w:sz w:val="21"/>
                <w:highlight w:val="none"/>
              </w:rPr>
            </w:pPr>
          </w:p>
        </w:tc>
      </w:tr>
      <w:tr w14:paraId="2A61D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890" w:type="dxa"/>
            <w:vMerge w:val="continue"/>
            <w:tcBorders>
              <w:top w:val="nil"/>
              <w:bottom w:val="nil"/>
            </w:tcBorders>
            <w:vAlign w:val="top"/>
          </w:tcPr>
          <w:p w14:paraId="2B7FF44A">
            <w:pPr>
              <w:rPr>
                <w:rFonts w:ascii="Arial"/>
                <w:color w:val="auto"/>
                <w:sz w:val="21"/>
                <w:highlight w:val="none"/>
              </w:rPr>
            </w:pPr>
          </w:p>
        </w:tc>
        <w:tc>
          <w:tcPr>
            <w:tcW w:w="549" w:type="dxa"/>
            <w:vAlign w:val="top"/>
          </w:tcPr>
          <w:p w14:paraId="6F838E25">
            <w:pPr>
              <w:spacing w:line="360" w:lineRule="auto"/>
              <w:rPr>
                <w:rFonts w:ascii="Arial"/>
                <w:color w:val="auto"/>
                <w:sz w:val="21"/>
                <w:highlight w:val="none"/>
              </w:rPr>
            </w:pPr>
          </w:p>
          <w:p w14:paraId="1A6CA160">
            <w:pPr>
              <w:pStyle w:val="12"/>
              <w:spacing w:before="103" w:line="158" w:lineRule="auto"/>
              <w:ind w:left="112"/>
              <w:rPr>
                <w:color w:val="auto"/>
                <w:sz w:val="24"/>
                <w:szCs w:val="24"/>
                <w:highlight w:val="none"/>
              </w:rPr>
            </w:pPr>
            <w:r>
              <w:rPr>
                <w:color w:val="auto"/>
                <w:sz w:val="24"/>
                <w:szCs w:val="24"/>
                <w:highlight w:val="none"/>
              </w:rPr>
              <w:t>3</w:t>
            </w:r>
          </w:p>
        </w:tc>
        <w:tc>
          <w:tcPr>
            <w:tcW w:w="5396" w:type="dxa"/>
            <w:vAlign w:val="top"/>
          </w:tcPr>
          <w:p w14:paraId="7CF27B90">
            <w:pPr>
              <w:pStyle w:val="12"/>
              <w:spacing w:before="109" w:line="213" w:lineRule="auto"/>
              <w:ind w:left="121" w:right="100" w:hanging="8"/>
              <w:jc w:val="both"/>
              <w:rPr>
                <w:color w:val="auto"/>
                <w:highlight w:val="none"/>
              </w:rPr>
            </w:pPr>
            <w:r>
              <w:rPr>
                <w:color w:val="auto"/>
                <w:spacing w:val="-4"/>
                <w:highlight w:val="none"/>
              </w:rPr>
              <w:t>投标企业须提供投标人（被授权在职人员）</w:t>
            </w:r>
            <w:r>
              <w:rPr>
                <w:color w:val="auto"/>
                <w:spacing w:val="-5"/>
                <w:highlight w:val="none"/>
              </w:rPr>
              <w:t>近 6 个月内任</w:t>
            </w:r>
            <w:r>
              <w:rPr>
                <w:color w:val="auto"/>
                <w:highlight w:val="none"/>
              </w:rPr>
              <w:t xml:space="preserve"> </w:t>
            </w:r>
            <w:r>
              <w:rPr>
                <w:color w:val="auto"/>
                <w:spacing w:val="-5"/>
                <w:highlight w:val="none"/>
              </w:rPr>
              <w:t>意 1 个月社保证明（如若法定代表人参加投标事宜，则只</w:t>
            </w:r>
            <w:r>
              <w:rPr>
                <w:color w:val="auto"/>
                <w:spacing w:val="10"/>
                <w:highlight w:val="none"/>
              </w:rPr>
              <w:t xml:space="preserve"> </w:t>
            </w:r>
            <w:r>
              <w:rPr>
                <w:color w:val="auto"/>
                <w:spacing w:val="-1"/>
                <w:highlight w:val="none"/>
              </w:rPr>
              <w:t>需出具法人身份证正反面复印件，无需出具社保</w:t>
            </w:r>
            <w:r>
              <w:rPr>
                <w:color w:val="auto"/>
                <w:spacing w:val="8"/>
                <w:highlight w:val="none"/>
              </w:rPr>
              <w:t>）</w:t>
            </w:r>
            <w:r>
              <w:rPr>
                <w:color w:val="auto"/>
                <w:spacing w:val="21"/>
                <w:w w:val="101"/>
                <w:highlight w:val="none"/>
              </w:rPr>
              <w:t xml:space="preserve"> </w:t>
            </w:r>
            <w:r>
              <w:rPr>
                <w:color w:val="auto"/>
                <w:spacing w:val="8"/>
                <w:highlight w:val="none"/>
              </w:rPr>
              <w:t>；</w:t>
            </w:r>
          </w:p>
        </w:tc>
        <w:tc>
          <w:tcPr>
            <w:tcW w:w="1304" w:type="dxa"/>
            <w:vAlign w:val="top"/>
          </w:tcPr>
          <w:p w14:paraId="5A164312">
            <w:pPr>
              <w:rPr>
                <w:rFonts w:ascii="Arial"/>
                <w:color w:val="auto"/>
                <w:sz w:val="21"/>
                <w:highlight w:val="none"/>
              </w:rPr>
            </w:pPr>
          </w:p>
        </w:tc>
        <w:tc>
          <w:tcPr>
            <w:tcW w:w="1200" w:type="dxa"/>
            <w:vAlign w:val="top"/>
          </w:tcPr>
          <w:p w14:paraId="227D94A9">
            <w:pPr>
              <w:rPr>
                <w:rFonts w:ascii="Arial"/>
                <w:color w:val="auto"/>
                <w:sz w:val="21"/>
                <w:highlight w:val="none"/>
              </w:rPr>
            </w:pPr>
          </w:p>
        </w:tc>
      </w:tr>
      <w:tr w14:paraId="4D3A6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4" w:hRule="atLeast"/>
        </w:trPr>
        <w:tc>
          <w:tcPr>
            <w:tcW w:w="890" w:type="dxa"/>
            <w:vMerge w:val="continue"/>
            <w:tcBorders>
              <w:top w:val="nil"/>
            </w:tcBorders>
            <w:vAlign w:val="top"/>
          </w:tcPr>
          <w:p w14:paraId="5D43AE35">
            <w:pPr>
              <w:rPr>
                <w:rFonts w:ascii="Arial"/>
                <w:color w:val="auto"/>
                <w:sz w:val="21"/>
                <w:highlight w:val="none"/>
              </w:rPr>
            </w:pPr>
          </w:p>
        </w:tc>
        <w:tc>
          <w:tcPr>
            <w:tcW w:w="549" w:type="dxa"/>
            <w:vAlign w:val="top"/>
          </w:tcPr>
          <w:p w14:paraId="0636F54C">
            <w:pPr>
              <w:spacing w:line="266" w:lineRule="auto"/>
              <w:rPr>
                <w:rFonts w:ascii="Arial"/>
                <w:color w:val="auto"/>
                <w:sz w:val="21"/>
                <w:highlight w:val="none"/>
              </w:rPr>
            </w:pPr>
          </w:p>
          <w:p w14:paraId="76E1DCE2">
            <w:pPr>
              <w:spacing w:line="266" w:lineRule="auto"/>
              <w:rPr>
                <w:rFonts w:ascii="Arial"/>
                <w:color w:val="auto"/>
                <w:sz w:val="21"/>
                <w:highlight w:val="none"/>
              </w:rPr>
            </w:pPr>
          </w:p>
          <w:p w14:paraId="6D36F146">
            <w:pPr>
              <w:spacing w:line="266" w:lineRule="auto"/>
              <w:rPr>
                <w:rFonts w:ascii="Arial"/>
                <w:color w:val="auto"/>
                <w:sz w:val="21"/>
                <w:highlight w:val="none"/>
              </w:rPr>
            </w:pPr>
          </w:p>
          <w:p w14:paraId="1F216F3D">
            <w:pPr>
              <w:spacing w:line="266" w:lineRule="auto"/>
              <w:rPr>
                <w:rFonts w:ascii="Arial"/>
                <w:color w:val="auto"/>
                <w:sz w:val="21"/>
                <w:highlight w:val="none"/>
              </w:rPr>
            </w:pPr>
          </w:p>
          <w:p w14:paraId="5D45DAE9">
            <w:pPr>
              <w:spacing w:line="266" w:lineRule="auto"/>
              <w:rPr>
                <w:rFonts w:ascii="Arial"/>
                <w:color w:val="auto"/>
                <w:sz w:val="21"/>
                <w:highlight w:val="none"/>
              </w:rPr>
            </w:pPr>
          </w:p>
          <w:p w14:paraId="267B57AF">
            <w:pPr>
              <w:spacing w:line="267" w:lineRule="auto"/>
              <w:rPr>
                <w:rFonts w:ascii="Arial"/>
                <w:color w:val="auto"/>
                <w:sz w:val="21"/>
                <w:highlight w:val="none"/>
              </w:rPr>
            </w:pPr>
          </w:p>
          <w:p w14:paraId="5933863C">
            <w:pPr>
              <w:spacing w:line="267" w:lineRule="auto"/>
              <w:rPr>
                <w:rFonts w:ascii="Arial"/>
                <w:color w:val="auto"/>
                <w:sz w:val="21"/>
                <w:highlight w:val="none"/>
              </w:rPr>
            </w:pPr>
          </w:p>
          <w:p w14:paraId="11629ED7">
            <w:pPr>
              <w:pStyle w:val="12"/>
              <w:spacing w:before="103" w:line="159" w:lineRule="auto"/>
              <w:ind w:left="106"/>
              <w:rPr>
                <w:color w:val="auto"/>
                <w:sz w:val="24"/>
                <w:szCs w:val="24"/>
                <w:highlight w:val="none"/>
              </w:rPr>
            </w:pPr>
            <w:r>
              <w:rPr>
                <w:color w:val="auto"/>
                <w:sz w:val="24"/>
                <w:szCs w:val="24"/>
                <w:highlight w:val="none"/>
              </w:rPr>
              <w:t>4</w:t>
            </w:r>
          </w:p>
        </w:tc>
        <w:tc>
          <w:tcPr>
            <w:tcW w:w="5396" w:type="dxa"/>
            <w:vAlign w:val="top"/>
          </w:tcPr>
          <w:p w14:paraId="1EE0D098">
            <w:pPr>
              <w:pStyle w:val="12"/>
              <w:spacing w:before="53" w:line="207" w:lineRule="auto"/>
              <w:ind w:left="111" w:right="35" w:firstLine="3"/>
              <w:rPr>
                <w:color w:val="auto"/>
                <w:highlight w:val="none"/>
              </w:rPr>
            </w:pPr>
            <w:r>
              <w:rPr>
                <w:color w:val="auto"/>
                <w:spacing w:val="-4"/>
                <w:highlight w:val="none"/>
              </w:rPr>
              <w:t>根据《财政部关于在政府采购活动中查询及使用信用记录</w:t>
            </w:r>
            <w:r>
              <w:rPr>
                <w:color w:val="auto"/>
                <w:spacing w:val="3"/>
                <w:highlight w:val="none"/>
              </w:rPr>
              <w:t xml:space="preserve">  </w:t>
            </w:r>
            <w:r>
              <w:rPr>
                <w:color w:val="auto"/>
                <w:spacing w:val="-7"/>
                <w:highlight w:val="none"/>
              </w:rPr>
              <w:t>有关问题的通知》（财库﹝2016﹞125</w:t>
            </w:r>
            <w:r>
              <w:rPr>
                <w:color w:val="auto"/>
                <w:spacing w:val="35"/>
                <w:highlight w:val="none"/>
              </w:rPr>
              <w:t xml:space="preserve"> </w:t>
            </w:r>
            <w:r>
              <w:rPr>
                <w:color w:val="auto"/>
                <w:spacing w:val="-7"/>
                <w:highlight w:val="none"/>
              </w:rPr>
              <w:t>号）的要求，凡拟</w:t>
            </w:r>
            <w:r>
              <w:rPr>
                <w:color w:val="auto"/>
                <w:highlight w:val="none"/>
              </w:rPr>
              <w:t xml:space="preserve">  </w:t>
            </w:r>
            <w:r>
              <w:rPr>
                <w:color w:val="auto"/>
                <w:spacing w:val="8"/>
                <w:highlight w:val="none"/>
              </w:rPr>
              <w:t>参加本次招标项目的供应商，</w:t>
            </w:r>
            <w:r>
              <w:rPr>
                <w:color w:val="auto"/>
                <w:spacing w:val="-3"/>
                <w:highlight w:val="none"/>
              </w:rPr>
              <w:t xml:space="preserve"> </w:t>
            </w:r>
            <w:r>
              <w:rPr>
                <w:color w:val="auto"/>
                <w:spacing w:val="8"/>
                <w:highlight w:val="none"/>
              </w:rPr>
              <w:t>如在“</w:t>
            </w:r>
            <w:r>
              <w:rPr>
                <w:color w:val="auto"/>
                <w:spacing w:val="-32"/>
                <w:highlight w:val="none"/>
              </w:rPr>
              <w:t xml:space="preserve"> </w:t>
            </w:r>
            <w:r>
              <w:rPr>
                <w:color w:val="auto"/>
                <w:spacing w:val="8"/>
                <w:highlight w:val="none"/>
              </w:rPr>
              <w:t>信用中国</w:t>
            </w:r>
            <w:r>
              <w:rPr>
                <w:color w:val="auto"/>
                <w:spacing w:val="-18"/>
                <w:highlight w:val="none"/>
              </w:rPr>
              <w:t xml:space="preserve"> </w:t>
            </w:r>
            <w:r>
              <w:rPr>
                <w:color w:val="auto"/>
                <w:spacing w:val="8"/>
                <w:highlight w:val="none"/>
              </w:rPr>
              <w:t>”</w:t>
            </w:r>
            <w:r>
              <w:rPr>
                <w:color w:val="auto"/>
                <w:spacing w:val="-37"/>
                <w:highlight w:val="none"/>
              </w:rPr>
              <w:t xml:space="preserve"> </w:t>
            </w:r>
            <w:r>
              <w:rPr>
                <w:color w:val="auto"/>
                <w:spacing w:val="8"/>
                <w:highlight w:val="none"/>
              </w:rPr>
              <w:t>网站</w:t>
            </w:r>
            <w:r>
              <w:rPr>
                <w:color w:val="auto"/>
                <w:highlight w:val="none"/>
              </w:rPr>
              <w:t xml:space="preserve">  </w:t>
            </w:r>
            <w:r>
              <w:rPr>
                <w:color w:val="auto"/>
                <w:spacing w:val="-2"/>
                <w:highlight w:val="none"/>
              </w:rPr>
              <w:t>（</w:t>
            </w:r>
            <w:r>
              <w:rPr>
                <w:color w:val="auto"/>
                <w:spacing w:val="54"/>
                <w:w w:val="101"/>
                <w:highlight w:val="none"/>
              </w:rPr>
              <w:t xml:space="preserve"> </w:t>
            </w:r>
            <w:r>
              <w:rPr>
                <w:color w:val="auto"/>
                <w:spacing w:val="-2"/>
                <w:highlight w:val="none"/>
              </w:rPr>
              <w:t>www.creditchina.gov.cn）</w:t>
            </w:r>
            <w:r>
              <w:rPr>
                <w:color w:val="auto"/>
                <w:spacing w:val="38"/>
                <w:w w:val="101"/>
                <w:highlight w:val="none"/>
              </w:rPr>
              <w:t xml:space="preserve"> </w:t>
            </w:r>
            <w:r>
              <w:rPr>
                <w:color w:val="auto"/>
                <w:spacing w:val="-3"/>
                <w:highlight w:val="none"/>
              </w:rPr>
              <w:t>被列入失信被执行人、政</w:t>
            </w:r>
            <w:r>
              <w:rPr>
                <w:color w:val="auto"/>
                <w:highlight w:val="none"/>
              </w:rPr>
              <w:t xml:space="preserve"> </w:t>
            </w:r>
            <w:r>
              <w:rPr>
                <w:color w:val="auto"/>
                <w:spacing w:val="-3"/>
                <w:highlight w:val="none"/>
              </w:rPr>
              <w:t>府采购严重违法失信行为记录名单、重大税收违法失</w:t>
            </w:r>
            <w:r>
              <w:rPr>
                <w:color w:val="auto"/>
                <w:spacing w:val="-4"/>
                <w:highlight w:val="none"/>
              </w:rPr>
              <w:t>信主</w:t>
            </w:r>
            <w:r>
              <w:rPr>
                <w:color w:val="auto"/>
                <w:highlight w:val="none"/>
              </w:rPr>
              <w:t xml:space="preserve">  </w:t>
            </w:r>
            <w:r>
              <w:rPr>
                <w:color w:val="auto"/>
                <w:spacing w:val="3"/>
                <w:highlight w:val="none"/>
              </w:rPr>
              <w:t>体(信用服务-重点领域严重失信主体名单查询-点击相关</w:t>
            </w:r>
            <w:r>
              <w:rPr>
                <w:color w:val="auto"/>
                <w:spacing w:val="6"/>
                <w:highlight w:val="none"/>
              </w:rPr>
              <w:t xml:space="preserve">  </w:t>
            </w:r>
            <w:r>
              <w:rPr>
                <w:color w:val="auto"/>
                <w:spacing w:val="3"/>
                <w:highlight w:val="none"/>
              </w:rPr>
              <w:t>查询模块-按要求搜索栏输入单位全称等-查询)、中国政</w:t>
            </w:r>
            <w:r>
              <w:rPr>
                <w:color w:val="auto"/>
                <w:spacing w:val="6"/>
                <w:highlight w:val="none"/>
              </w:rPr>
              <w:t xml:space="preserve">  </w:t>
            </w:r>
            <w:r>
              <w:rPr>
                <w:color w:val="auto"/>
                <w:spacing w:val="-2"/>
                <w:highlight w:val="none"/>
              </w:rPr>
              <w:t>府采购网（</w:t>
            </w:r>
            <w:r>
              <w:rPr>
                <w:color w:val="auto"/>
                <w:spacing w:val="-15"/>
                <w:highlight w:val="none"/>
              </w:rPr>
              <w:t xml:space="preserve"> </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color w:val="auto"/>
                <w:spacing w:val="-2"/>
                <w:highlight w:val="none"/>
              </w:rPr>
              <w:t>http://www.ccgp.gov.cn/search/cr/</w:t>
            </w:r>
            <w:r>
              <w:rPr>
                <w:color w:val="auto"/>
                <w:spacing w:val="-2"/>
                <w:highlight w:val="none"/>
              </w:rPr>
              <w:fldChar w:fldCharType="end"/>
            </w:r>
            <w:r>
              <w:rPr>
                <w:color w:val="auto"/>
                <w:spacing w:val="-27"/>
                <w:highlight w:val="none"/>
              </w:rPr>
              <w:t xml:space="preserve"> </w:t>
            </w:r>
            <w:r>
              <w:rPr>
                <w:color w:val="auto"/>
                <w:spacing w:val="-2"/>
                <w:highlight w:val="none"/>
              </w:rPr>
              <w:t>）政府</w:t>
            </w:r>
            <w:r>
              <w:rPr>
                <w:color w:val="auto"/>
                <w:highlight w:val="none"/>
              </w:rPr>
              <w:t xml:space="preserve">  </w:t>
            </w:r>
            <w:r>
              <w:rPr>
                <w:color w:val="auto"/>
                <w:spacing w:val="5"/>
                <w:highlight w:val="none"/>
              </w:rPr>
              <w:t>采购严重违法失信行为记录名单（尚在处罚期内的），</w:t>
            </w:r>
          </w:p>
          <w:p w14:paraId="3DBAD20D">
            <w:pPr>
              <w:pStyle w:val="12"/>
              <w:spacing w:before="12" w:line="205" w:lineRule="auto"/>
              <w:ind w:left="113" w:right="100" w:hanging="22"/>
              <w:rPr>
                <w:color w:val="auto"/>
                <w:highlight w:val="none"/>
              </w:rPr>
            </w:pPr>
            <w:r>
              <w:rPr>
                <w:color w:val="auto"/>
                <w:spacing w:val="-10"/>
                <w:highlight w:val="none"/>
              </w:rPr>
              <w:t>“    国    家</w:t>
            </w:r>
            <w:r>
              <w:rPr>
                <w:color w:val="auto"/>
                <w:spacing w:val="11"/>
                <w:highlight w:val="none"/>
              </w:rPr>
              <w:t xml:space="preserve">   </w:t>
            </w:r>
            <w:r>
              <w:rPr>
                <w:color w:val="auto"/>
                <w:spacing w:val="-10"/>
                <w:highlight w:val="none"/>
              </w:rPr>
              <w:t>企</w:t>
            </w:r>
            <w:r>
              <w:rPr>
                <w:color w:val="auto"/>
                <w:spacing w:val="10"/>
                <w:highlight w:val="none"/>
              </w:rPr>
              <w:t xml:space="preserve">   </w:t>
            </w:r>
            <w:r>
              <w:rPr>
                <w:color w:val="auto"/>
                <w:spacing w:val="-10"/>
                <w:highlight w:val="none"/>
              </w:rPr>
              <w:t>业</w:t>
            </w:r>
            <w:r>
              <w:rPr>
                <w:color w:val="auto"/>
                <w:spacing w:val="11"/>
                <w:highlight w:val="none"/>
              </w:rPr>
              <w:t xml:space="preserve">   </w:t>
            </w:r>
            <w:r>
              <w:rPr>
                <w:color w:val="auto"/>
                <w:spacing w:val="-10"/>
                <w:highlight w:val="none"/>
              </w:rPr>
              <w:t>信</w:t>
            </w:r>
            <w:r>
              <w:rPr>
                <w:color w:val="auto"/>
                <w:spacing w:val="11"/>
                <w:highlight w:val="none"/>
              </w:rPr>
              <w:t xml:space="preserve">   </w:t>
            </w:r>
            <w:r>
              <w:rPr>
                <w:color w:val="auto"/>
                <w:spacing w:val="-10"/>
                <w:highlight w:val="none"/>
              </w:rPr>
              <w:t>用</w:t>
            </w:r>
            <w:r>
              <w:rPr>
                <w:color w:val="auto"/>
                <w:spacing w:val="10"/>
                <w:highlight w:val="none"/>
              </w:rPr>
              <w:t xml:space="preserve">   </w:t>
            </w:r>
            <w:r>
              <w:rPr>
                <w:color w:val="auto"/>
                <w:spacing w:val="-10"/>
                <w:highlight w:val="none"/>
              </w:rPr>
              <w:t>信    息</w:t>
            </w:r>
            <w:r>
              <w:rPr>
                <w:color w:val="auto"/>
                <w:spacing w:val="13"/>
                <w:highlight w:val="none"/>
              </w:rPr>
              <w:t xml:space="preserve">   </w:t>
            </w:r>
            <w:r>
              <w:rPr>
                <w:color w:val="auto"/>
                <w:spacing w:val="-10"/>
                <w:highlight w:val="none"/>
              </w:rPr>
              <w:t>公</w:t>
            </w:r>
            <w:r>
              <w:rPr>
                <w:color w:val="auto"/>
                <w:spacing w:val="11"/>
                <w:highlight w:val="none"/>
              </w:rPr>
              <w:t xml:space="preserve">   </w:t>
            </w:r>
            <w:r>
              <w:rPr>
                <w:color w:val="auto"/>
                <w:spacing w:val="-10"/>
                <w:highlight w:val="none"/>
              </w:rPr>
              <w:t>示    系</w:t>
            </w:r>
            <w:r>
              <w:rPr>
                <w:color w:val="auto"/>
                <w:spacing w:val="12"/>
                <w:highlight w:val="none"/>
              </w:rPr>
              <w:t xml:space="preserve">   </w:t>
            </w:r>
            <w:r>
              <w:rPr>
                <w:color w:val="auto"/>
                <w:spacing w:val="-10"/>
                <w:highlight w:val="none"/>
              </w:rPr>
              <w:t>统</w:t>
            </w:r>
            <w:r>
              <w:rPr>
                <w:color w:val="auto"/>
                <w:highlight w:val="none"/>
              </w:rPr>
              <w:t xml:space="preserve"> </w:t>
            </w:r>
            <w:r>
              <w:rPr>
                <w:color w:val="auto"/>
                <w:spacing w:val="1"/>
                <w:highlight w:val="none"/>
              </w:rPr>
              <w:t>（</w:t>
            </w:r>
            <w:r>
              <w:rPr>
                <w:color w:val="auto"/>
                <w:spacing w:val="-31"/>
                <w:highlight w:val="none"/>
              </w:rPr>
              <w:t xml:space="preserve"> </w:t>
            </w:r>
            <w:r>
              <w:rPr>
                <w:color w:val="auto"/>
                <w:highlight w:val="none"/>
              </w:rPr>
              <w:fldChar w:fldCharType="begin"/>
            </w:r>
            <w:r>
              <w:rPr>
                <w:color w:val="auto"/>
                <w:highlight w:val="none"/>
              </w:rPr>
              <w:instrText xml:space="preserve"> HYPERLINK "http://www.gsxt.gov.cn" </w:instrText>
            </w:r>
            <w:r>
              <w:rPr>
                <w:color w:val="auto"/>
                <w:highlight w:val="none"/>
              </w:rPr>
              <w:fldChar w:fldCharType="separate"/>
            </w:r>
            <w:r>
              <w:rPr>
                <w:color w:val="auto"/>
                <w:highlight w:val="none"/>
              </w:rPr>
              <w:t>http</w:t>
            </w:r>
            <w:r>
              <w:rPr>
                <w:color w:val="auto"/>
                <w:spacing w:val="1"/>
                <w:highlight w:val="none"/>
              </w:rPr>
              <w:t>://</w:t>
            </w:r>
            <w:r>
              <w:rPr>
                <w:color w:val="auto"/>
                <w:highlight w:val="none"/>
              </w:rPr>
              <w:t>www</w:t>
            </w:r>
            <w:r>
              <w:rPr>
                <w:color w:val="auto"/>
                <w:spacing w:val="1"/>
                <w:highlight w:val="none"/>
              </w:rPr>
              <w:t>.</w:t>
            </w:r>
            <w:r>
              <w:rPr>
                <w:color w:val="auto"/>
                <w:highlight w:val="none"/>
              </w:rPr>
              <w:t>gsxt</w:t>
            </w:r>
            <w:r>
              <w:rPr>
                <w:color w:val="auto"/>
                <w:spacing w:val="1"/>
                <w:highlight w:val="none"/>
              </w:rPr>
              <w:t>.</w:t>
            </w:r>
            <w:r>
              <w:rPr>
                <w:color w:val="auto"/>
                <w:highlight w:val="none"/>
              </w:rPr>
              <w:t>gov</w:t>
            </w:r>
            <w:r>
              <w:rPr>
                <w:color w:val="auto"/>
                <w:spacing w:val="1"/>
                <w:highlight w:val="none"/>
              </w:rPr>
              <w:t>.</w:t>
            </w:r>
            <w:r>
              <w:rPr>
                <w:color w:val="auto"/>
                <w:highlight w:val="none"/>
              </w:rPr>
              <w:t>cn</w:t>
            </w:r>
            <w:r>
              <w:rPr>
                <w:color w:val="auto"/>
                <w:highlight w:val="none"/>
              </w:rPr>
              <w:fldChar w:fldCharType="end"/>
            </w:r>
            <w:r>
              <w:rPr>
                <w:color w:val="auto"/>
                <w:spacing w:val="-20"/>
                <w:highlight w:val="none"/>
              </w:rPr>
              <w:t xml:space="preserve"> </w:t>
            </w:r>
            <w:r>
              <w:rPr>
                <w:color w:val="auto"/>
                <w:spacing w:val="1"/>
                <w:highlight w:val="none"/>
              </w:rPr>
              <w:t>）</w:t>
            </w:r>
            <w:r>
              <w:rPr>
                <w:color w:val="auto"/>
                <w:spacing w:val="-42"/>
                <w:highlight w:val="none"/>
              </w:rPr>
              <w:t xml:space="preserve"> </w:t>
            </w:r>
            <w:r>
              <w:rPr>
                <w:color w:val="auto"/>
                <w:spacing w:val="1"/>
                <w:highlight w:val="none"/>
              </w:rPr>
              <w:t>”列入严重违法失信名单</w:t>
            </w:r>
            <w:r>
              <w:rPr>
                <w:color w:val="auto"/>
                <w:highlight w:val="none"/>
              </w:rPr>
              <w:t xml:space="preserve"> </w:t>
            </w:r>
            <w:r>
              <w:rPr>
                <w:color w:val="auto"/>
                <w:spacing w:val="-3"/>
                <w:highlight w:val="none"/>
              </w:rPr>
              <w:t>（黑名单）信息将拒绝其参加本次招标活动；</w:t>
            </w:r>
          </w:p>
        </w:tc>
        <w:tc>
          <w:tcPr>
            <w:tcW w:w="1304" w:type="dxa"/>
            <w:vAlign w:val="top"/>
          </w:tcPr>
          <w:p w14:paraId="75EF65CC">
            <w:pPr>
              <w:rPr>
                <w:rFonts w:ascii="Arial"/>
                <w:color w:val="auto"/>
                <w:sz w:val="21"/>
                <w:highlight w:val="none"/>
              </w:rPr>
            </w:pPr>
          </w:p>
        </w:tc>
        <w:tc>
          <w:tcPr>
            <w:tcW w:w="1200" w:type="dxa"/>
            <w:vAlign w:val="top"/>
          </w:tcPr>
          <w:p w14:paraId="7F3B295B">
            <w:pPr>
              <w:rPr>
                <w:rFonts w:ascii="Arial"/>
                <w:color w:val="auto"/>
                <w:sz w:val="21"/>
                <w:highlight w:val="none"/>
              </w:rPr>
            </w:pPr>
          </w:p>
        </w:tc>
      </w:tr>
    </w:tbl>
    <w:p w14:paraId="6BD45A58">
      <w:pPr>
        <w:pStyle w:val="6"/>
        <w:rPr>
          <w:color w:val="auto"/>
          <w:highlight w:val="none"/>
        </w:rPr>
      </w:pPr>
    </w:p>
    <w:p w14:paraId="7186C9CD">
      <w:pPr>
        <w:rPr>
          <w:color w:val="auto"/>
          <w:highlight w:val="none"/>
        </w:rPr>
        <w:sectPr>
          <w:headerReference r:id="rId56" w:type="default"/>
          <w:footerReference r:id="rId57" w:type="default"/>
          <w:pgSz w:w="11906" w:h="16839"/>
          <w:pgMar w:top="400" w:right="1008" w:bottom="1152" w:left="1050" w:header="0" w:footer="992" w:gutter="0"/>
          <w:cols w:space="720" w:num="1"/>
        </w:sectPr>
      </w:pPr>
    </w:p>
    <w:tbl>
      <w:tblPr>
        <w:tblStyle w:val="11"/>
        <w:tblW w:w="9339"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549"/>
        <w:gridCol w:w="5396"/>
        <w:gridCol w:w="1304"/>
        <w:gridCol w:w="1200"/>
      </w:tblGrid>
      <w:tr w14:paraId="12FA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890" w:type="dxa"/>
            <w:vMerge w:val="restart"/>
            <w:tcBorders>
              <w:bottom w:val="nil"/>
            </w:tcBorders>
            <w:vAlign w:val="top"/>
          </w:tcPr>
          <w:p w14:paraId="51A84395">
            <w:pPr>
              <w:rPr>
                <w:rFonts w:ascii="Arial"/>
                <w:color w:val="auto"/>
                <w:sz w:val="21"/>
                <w:highlight w:val="none"/>
              </w:rPr>
            </w:pPr>
          </w:p>
        </w:tc>
        <w:tc>
          <w:tcPr>
            <w:tcW w:w="549" w:type="dxa"/>
            <w:vAlign w:val="top"/>
          </w:tcPr>
          <w:p w14:paraId="6327492A">
            <w:pPr>
              <w:spacing w:line="362" w:lineRule="auto"/>
              <w:rPr>
                <w:rFonts w:ascii="Arial"/>
                <w:color w:val="auto"/>
                <w:sz w:val="21"/>
                <w:highlight w:val="none"/>
              </w:rPr>
            </w:pPr>
          </w:p>
          <w:p w14:paraId="2DD8BD4C">
            <w:pPr>
              <w:pStyle w:val="12"/>
              <w:spacing w:before="103" w:line="157" w:lineRule="auto"/>
              <w:ind w:left="112"/>
              <w:rPr>
                <w:color w:val="auto"/>
                <w:sz w:val="24"/>
                <w:szCs w:val="24"/>
                <w:highlight w:val="none"/>
              </w:rPr>
            </w:pPr>
            <w:r>
              <w:rPr>
                <w:color w:val="auto"/>
                <w:sz w:val="24"/>
                <w:szCs w:val="24"/>
                <w:highlight w:val="none"/>
              </w:rPr>
              <w:t>5</w:t>
            </w:r>
          </w:p>
        </w:tc>
        <w:tc>
          <w:tcPr>
            <w:tcW w:w="5396" w:type="dxa"/>
            <w:vAlign w:val="top"/>
          </w:tcPr>
          <w:p w14:paraId="7BD6C325">
            <w:pPr>
              <w:pStyle w:val="12"/>
              <w:spacing w:before="107" w:line="188" w:lineRule="auto"/>
              <w:ind w:left="114"/>
              <w:rPr>
                <w:color w:val="auto"/>
                <w:highlight w:val="none"/>
              </w:rPr>
            </w:pPr>
            <w:r>
              <w:rPr>
                <w:color w:val="auto"/>
                <w:spacing w:val="-2"/>
                <w:highlight w:val="none"/>
              </w:rPr>
              <w:t>供应商为中小企业</w:t>
            </w:r>
          </w:p>
          <w:p w14:paraId="3A186311">
            <w:pPr>
              <w:pStyle w:val="12"/>
              <w:spacing w:before="78" w:line="201" w:lineRule="auto"/>
              <w:ind w:left="113" w:right="100"/>
              <w:rPr>
                <w:color w:val="auto"/>
                <w:highlight w:val="none"/>
              </w:rPr>
            </w:pPr>
            <w:r>
              <w:rPr>
                <w:color w:val="auto"/>
                <w:spacing w:val="-3"/>
                <w:highlight w:val="none"/>
              </w:rPr>
              <w:t>请根据要求单独上传《中小企业声明函》。格式</w:t>
            </w:r>
            <w:r>
              <w:rPr>
                <w:color w:val="auto"/>
                <w:spacing w:val="-4"/>
                <w:highlight w:val="none"/>
              </w:rPr>
              <w:t>以采购文</w:t>
            </w:r>
            <w:r>
              <w:rPr>
                <w:color w:val="auto"/>
                <w:highlight w:val="none"/>
              </w:rPr>
              <w:t xml:space="preserve"> </w:t>
            </w:r>
            <w:r>
              <w:rPr>
                <w:color w:val="auto"/>
                <w:spacing w:val="-9"/>
                <w:highlight w:val="none"/>
              </w:rPr>
              <w:t>件要求为准；</w:t>
            </w:r>
          </w:p>
        </w:tc>
        <w:tc>
          <w:tcPr>
            <w:tcW w:w="1304" w:type="dxa"/>
            <w:vAlign w:val="top"/>
          </w:tcPr>
          <w:p w14:paraId="36000000">
            <w:pPr>
              <w:rPr>
                <w:rFonts w:ascii="Arial"/>
                <w:color w:val="auto"/>
                <w:sz w:val="21"/>
                <w:highlight w:val="none"/>
              </w:rPr>
            </w:pPr>
          </w:p>
        </w:tc>
        <w:tc>
          <w:tcPr>
            <w:tcW w:w="1200" w:type="dxa"/>
            <w:vAlign w:val="top"/>
          </w:tcPr>
          <w:p w14:paraId="1C0550E4">
            <w:pPr>
              <w:rPr>
                <w:rFonts w:ascii="Arial"/>
                <w:color w:val="auto"/>
                <w:sz w:val="21"/>
                <w:highlight w:val="none"/>
              </w:rPr>
            </w:pPr>
          </w:p>
        </w:tc>
      </w:tr>
      <w:tr w14:paraId="24614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890" w:type="dxa"/>
            <w:vMerge w:val="continue"/>
            <w:tcBorders>
              <w:top w:val="nil"/>
              <w:bottom w:val="nil"/>
            </w:tcBorders>
            <w:vAlign w:val="top"/>
          </w:tcPr>
          <w:p w14:paraId="29AD9796">
            <w:pPr>
              <w:rPr>
                <w:rFonts w:ascii="Arial"/>
                <w:color w:val="auto"/>
                <w:sz w:val="21"/>
                <w:highlight w:val="none"/>
              </w:rPr>
            </w:pPr>
          </w:p>
        </w:tc>
        <w:tc>
          <w:tcPr>
            <w:tcW w:w="549" w:type="dxa"/>
            <w:vAlign w:val="top"/>
          </w:tcPr>
          <w:p w14:paraId="5C3DF7F8">
            <w:pPr>
              <w:pStyle w:val="12"/>
              <w:spacing w:before="333" w:line="158" w:lineRule="auto"/>
              <w:ind w:left="109"/>
              <w:rPr>
                <w:color w:val="auto"/>
                <w:sz w:val="24"/>
                <w:szCs w:val="24"/>
                <w:highlight w:val="none"/>
              </w:rPr>
            </w:pPr>
            <w:r>
              <w:rPr>
                <w:color w:val="auto"/>
                <w:sz w:val="24"/>
                <w:szCs w:val="24"/>
                <w:highlight w:val="none"/>
              </w:rPr>
              <w:t>6</w:t>
            </w:r>
          </w:p>
        </w:tc>
        <w:tc>
          <w:tcPr>
            <w:tcW w:w="5396" w:type="dxa"/>
            <w:vAlign w:val="top"/>
          </w:tcPr>
          <w:p w14:paraId="1F8E5264">
            <w:pPr>
              <w:spacing w:line="243" w:lineRule="auto"/>
              <w:rPr>
                <w:rFonts w:ascii="Arial"/>
                <w:color w:val="auto"/>
                <w:sz w:val="21"/>
                <w:highlight w:val="none"/>
              </w:rPr>
            </w:pPr>
          </w:p>
          <w:p w14:paraId="2E40BB68">
            <w:pPr>
              <w:pStyle w:val="12"/>
              <w:spacing w:before="90" w:line="188" w:lineRule="auto"/>
              <w:ind w:left="113"/>
              <w:rPr>
                <w:color w:val="auto"/>
                <w:highlight w:val="none"/>
              </w:rPr>
            </w:pPr>
            <w:r>
              <w:rPr>
                <w:color w:val="auto"/>
                <w:spacing w:val="-3"/>
                <w:highlight w:val="none"/>
              </w:rPr>
              <w:t>投标保证金汇款凭证和保证金收据，或保函；</w:t>
            </w:r>
          </w:p>
        </w:tc>
        <w:tc>
          <w:tcPr>
            <w:tcW w:w="1304" w:type="dxa"/>
            <w:vAlign w:val="top"/>
          </w:tcPr>
          <w:p w14:paraId="09DEA768">
            <w:pPr>
              <w:rPr>
                <w:rFonts w:ascii="Arial"/>
                <w:color w:val="auto"/>
                <w:sz w:val="21"/>
                <w:highlight w:val="none"/>
              </w:rPr>
            </w:pPr>
          </w:p>
        </w:tc>
        <w:tc>
          <w:tcPr>
            <w:tcW w:w="1200" w:type="dxa"/>
            <w:vAlign w:val="top"/>
          </w:tcPr>
          <w:p w14:paraId="585C1F55">
            <w:pPr>
              <w:rPr>
                <w:rFonts w:ascii="Arial"/>
                <w:color w:val="auto"/>
                <w:sz w:val="21"/>
                <w:highlight w:val="none"/>
              </w:rPr>
            </w:pPr>
          </w:p>
        </w:tc>
      </w:tr>
      <w:tr w14:paraId="54D8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90" w:type="dxa"/>
            <w:vMerge w:val="continue"/>
            <w:tcBorders>
              <w:top w:val="nil"/>
            </w:tcBorders>
            <w:vAlign w:val="top"/>
          </w:tcPr>
          <w:p w14:paraId="788F85E9">
            <w:pPr>
              <w:rPr>
                <w:rFonts w:ascii="Arial"/>
                <w:color w:val="auto"/>
                <w:sz w:val="21"/>
                <w:highlight w:val="none"/>
              </w:rPr>
            </w:pPr>
          </w:p>
        </w:tc>
        <w:tc>
          <w:tcPr>
            <w:tcW w:w="8449" w:type="dxa"/>
            <w:gridSpan w:val="4"/>
            <w:vAlign w:val="top"/>
          </w:tcPr>
          <w:p w14:paraId="2D5A0665">
            <w:pPr>
              <w:pStyle w:val="12"/>
              <w:spacing w:before="202" w:line="197" w:lineRule="auto"/>
              <w:ind w:left="119" w:right="200" w:firstLine="434"/>
              <w:rPr>
                <w:color w:val="auto"/>
                <w:sz w:val="22"/>
                <w:szCs w:val="22"/>
                <w:highlight w:val="none"/>
              </w:rPr>
            </w:pPr>
            <w:r>
              <w:rPr>
                <w:b/>
                <w:bCs/>
                <w:color w:val="auto"/>
                <w:spacing w:val="-1"/>
                <w:sz w:val="22"/>
                <w:szCs w:val="22"/>
                <w:highlight w:val="none"/>
              </w:rPr>
              <w:t>评审结果“ √”表示合格；“×”表示不合格， 一项不合格结果为不合格，如不</w:t>
            </w:r>
            <w:r>
              <w:rPr>
                <w:b/>
                <w:bCs/>
                <w:color w:val="auto"/>
                <w:spacing w:val="7"/>
                <w:sz w:val="22"/>
                <w:szCs w:val="22"/>
                <w:highlight w:val="none"/>
              </w:rPr>
              <w:t xml:space="preserve"> </w:t>
            </w:r>
            <w:r>
              <w:rPr>
                <w:b/>
                <w:bCs/>
                <w:color w:val="auto"/>
                <w:spacing w:val="-4"/>
                <w:sz w:val="22"/>
                <w:szCs w:val="22"/>
                <w:highlight w:val="none"/>
              </w:rPr>
              <w:t>合格，请在结果中写明原因。</w:t>
            </w:r>
          </w:p>
        </w:tc>
      </w:tr>
    </w:tbl>
    <w:p w14:paraId="77B5CD88">
      <w:pPr>
        <w:spacing w:before="139" w:line="265" w:lineRule="auto"/>
        <w:ind w:left="42" w:right="29" w:firstLine="501"/>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6.2 如评标专家在检验电子标书过程中，</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z w:val="21"/>
          <w:szCs w:val="21"/>
          <w:highlight w:val="none"/>
        </w:rPr>
        <w:t xml:space="preserve">如果由于投标人自身原因导致评标专家无法查看并检验电子 </w:t>
      </w:r>
      <w:r>
        <w:rPr>
          <w:rFonts w:ascii="微软雅黑" w:hAnsi="微软雅黑" w:eastAsia="微软雅黑" w:cs="微软雅黑"/>
          <w:b/>
          <w:bCs/>
          <w:color w:val="auto"/>
          <w:spacing w:val="-1"/>
          <w:sz w:val="21"/>
          <w:szCs w:val="21"/>
          <w:highlight w:val="none"/>
        </w:rPr>
        <w:t>标书中以上相关资料的，否决其投标。即使投标单位将原件携带至现场的，同样按无效投标处理。</w:t>
      </w:r>
    </w:p>
    <w:p w14:paraId="307953AF">
      <w:pPr>
        <w:spacing w:line="265" w:lineRule="auto"/>
        <w:rPr>
          <w:rFonts w:ascii="微软雅黑" w:hAnsi="微软雅黑" w:eastAsia="微软雅黑" w:cs="微软雅黑"/>
          <w:color w:val="auto"/>
          <w:sz w:val="21"/>
          <w:szCs w:val="21"/>
          <w:highlight w:val="none"/>
        </w:rPr>
        <w:sectPr>
          <w:headerReference r:id="rId58" w:type="default"/>
          <w:footerReference r:id="rId59" w:type="default"/>
          <w:pgSz w:w="11906" w:h="16839"/>
          <w:pgMar w:top="1745" w:right="1050" w:bottom="1152" w:left="1050" w:header="850" w:footer="992" w:gutter="0"/>
          <w:cols w:space="720" w:num="1"/>
        </w:sectPr>
      </w:pPr>
    </w:p>
    <w:p w14:paraId="15851A0A">
      <w:pPr>
        <w:spacing w:before="328"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7.符合性审查</w:t>
      </w:r>
    </w:p>
    <w:p w14:paraId="150F0D72">
      <w:pPr>
        <w:spacing w:before="157" w:line="188" w:lineRule="auto"/>
        <w:ind w:left="3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7．</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11"/>
          <w:sz w:val="21"/>
          <w:szCs w:val="21"/>
          <w:highlight w:val="none"/>
        </w:rPr>
        <w:t>1 评审细则</w:t>
      </w:r>
    </w:p>
    <w:p w14:paraId="28CE693C">
      <w:pPr>
        <w:spacing w:before="28"/>
        <w:rPr>
          <w:color w:val="auto"/>
          <w:highlight w:val="none"/>
        </w:rPr>
      </w:pPr>
    </w:p>
    <w:tbl>
      <w:tblPr>
        <w:tblStyle w:val="11"/>
        <w:tblW w:w="9498" w:type="dxa"/>
        <w:tblInd w:w="1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6"/>
        <w:gridCol w:w="495"/>
        <w:gridCol w:w="6572"/>
        <w:gridCol w:w="752"/>
        <w:gridCol w:w="753"/>
      </w:tblGrid>
      <w:tr w14:paraId="6CE7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0" w:hRule="atLeast"/>
        </w:trPr>
        <w:tc>
          <w:tcPr>
            <w:tcW w:w="926" w:type="dxa"/>
            <w:tcBorders>
              <w:top w:val="single" w:color="000000" w:sz="4" w:space="0"/>
              <w:left w:val="single" w:color="000000" w:sz="4" w:space="0"/>
            </w:tcBorders>
            <w:vAlign w:val="top"/>
          </w:tcPr>
          <w:p w14:paraId="06940CF7">
            <w:pPr>
              <w:pStyle w:val="12"/>
              <w:spacing w:before="238" w:line="188" w:lineRule="auto"/>
              <w:ind w:left="232"/>
              <w:rPr>
                <w:color w:val="auto"/>
                <w:sz w:val="24"/>
                <w:szCs w:val="24"/>
                <w:highlight w:val="none"/>
              </w:rPr>
            </w:pPr>
            <w:r>
              <w:rPr>
                <w:b/>
                <w:bCs/>
                <w:color w:val="auto"/>
                <w:spacing w:val="-5"/>
                <w:sz w:val="24"/>
                <w:szCs w:val="24"/>
                <w:highlight w:val="none"/>
              </w:rPr>
              <w:t>项目</w:t>
            </w:r>
          </w:p>
        </w:tc>
        <w:tc>
          <w:tcPr>
            <w:tcW w:w="7067" w:type="dxa"/>
            <w:gridSpan w:val="2"/>
            <w:tcBorders>
              <w:top w:val="single" w:color="000000" w:sz="4" w:space="0"/>
            </w:tcBorders>
            <w:vAlign w:val="top"/>
          </w:tcPr>
          <w:p w14:paraId="7A6CCEF7">
            <w:pPr>
              <w:pStyle w:val="12"/>
              <w:spacing w:before="239" w:line="188" w:lineRule="auto"/>
              <w:ind w:left="3062"/>
              <w:rPr>
                <w:color w:val="auto"/>
                <w:sz w:val="24"/>
                <w:szCs w:val="24"/>
                <w:highlight w:val="none"/>
              </w:rPr>
            </w:pPr>
            <w:r>
              <w:rPr>
                <w:b/>
                <w:bCs/>
                <w:color w:val="auto"/>
                <w:spacing w:val="-4"/>
                <w:sz w:val="24"/>
                <w:szCs w:val="24"/>
                <w:highlight w:val="none"/>
              </w:rPr>
              <w:t>评审内容</w:t>
            </w:r>
          </w:p>
        </w:tc>
        <w:tc>
          <w:tcPr>
            <w:tcW w:w="1505" w:type="dxa"/>
            <w:gridSpan w:val="2"/>
            <w:tcBorders>
              <w:top w:val="single" w:color="000000" w:sz="4" w:space="0"/>
              <w:right w:val="single" w:color="000000" w:sz="4" w:space="0"/>
            </w:tcBorders>
            <w:vAlign w:val="top"/>
          </w:tcPr>
          <w:p w14:paraId="4DA95736">
            <w:pPr>
              <w:pStyle w:val="12"/>
              <w:spacing w:before="238" w:line="188" w:lineRule="auto"/>
              <w:ind w:left="283"/>
              <w:rPr>
                <w:color w:val="auto"/>
                <w:sz w:val="24"/>
                <w:szCs w:val="24"/>
                <w:highlight w:val="none"/>
              </w:rPr>
            </w:pPr>
            <w:r>
              <w:rPr>
                <w:b/>
                <w:bCs/>
                <w:color w:val="auto"/>
                <w:spacing w:val="-4"/>
                <w:sz w:val="24"/>
                <w:szCs w:val="24"/>
                <w:highlight w:val="none"/>
              </w:rPr>
              <w:t>评审意见</w:t>
            </w:r>
          </w:p>
        </w:tc>
      </w:tr>
      <w:tr w14:paraId="28AA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926" w:type="dxa"/>
            <w:tcBorders>
              <w:left w:val="single" w:color="000000" w:sz="4" w:space="0"/>
              <w:bottom w:val="single" w:color="000000" w:sz="4" w:space="0"/>
            </w:tcBorders>
            <w:vAlign w:val="top"/>
          </w:tcPr>
          <w:p w14:paraId="5B42AFB7">
            <w:pPr>
              <w:rPr>
                <w:rFonts w:ascii="Arial"/>
                <w:color w:val="auto"/>
                <w:sz w:val="21"/>
                <w:highlight w:val="none"/>
              </w:rPr>
            </w:pPr>
          </w:p>
        </w:tc>
        <w:tc>
          <w:tcPr>
            <w:tcW w:w="7067" w:type="dxa"/>
            <w:gridSpan w:val="2"/>
            <w:tcBorders>
              <w:bottom w:val="single" w:color="000000" w:sz="4" w:space="0"/>
            </w:tcBorders>
            <w:vAlign w:val="top"/>
          </w:tcPr>
          <w:p w14:paraId="001949A9">
            <w:pPr>
              <w:rPr>
                <w:rFonts w:ascii="Arial"/>
                <w:color w:val="auto"/>
                <w:sz w:val="21"/>
                <w:highlight w:val="none"/>
              </w:rPr>
            </w:pPr>
          </w:p>
        </w:tc>
        <w:tc>
          <w:tcPr>
            <w:tcW w:w="752" w:type="dxa"/>
            <w:vAlign w:val="top"/>
          </w:tcPr>
          <w:p w14:paraId="7289915F">
            <w:pPr>
              <w:pStyle w:val="12"/>
              <w:spacing w:before="263" w:line="207" w:lineRule="auto"/>
              <w:ind w:left="328"/>
              <w:rPr>
                <w:color w:val="auto"/>
                <w:highlight w:val="none"/>
              </w:rPr>
            </w:pPr>
            <w:r>
              <w:rPr>
                <w:color w:val="auto"/>
                <w:spacing w:val="2"/>
                <w:highlight w:val="none"/>
              </w:rPr>
              <w:t>√</w:t>
            </w:r>
          </w:p>
        </w:tc>
        <w:tc>
          <w:tcPr>
            <w:tcW w:w="753" w:type="dxa"/>
            <w:tcBorders>
              <w:right w:val="single" w:color="000000" w:sz="4" w:space="0"/>
            </w:tcBorders>
            <w:vAlign w:val="top"/>
          </w:tcPr>
          <w:p w14:paraId="652876C3">
            <w:pPr>
              <w:pStyle w:val="12"/>
              <w:spacing w:before="262" w:line="219" w:lineRule="auto"/>
              <w:ind w:left="349"/>
              <w:rPr>
                <w:color w:val="auto"/>
                <w:highlight w:val="none"/>
              </w:rPr>
            </w:pPr>
            <w:r>
              <w:rPr>
                <w:color w:val="auto"/>
                <w:spacing w:val="14"/>
                <w:highlight w:val="none"/>
              </w:rPr>
              <w:t>×</w:t>
            </w:r>
          </w:p>
        </w:tc>
      </w:tr>
      <w:tr w14:paraId="7BFA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926" w:type="dxa"/>
            <w:vMerge w:val="restart"/>
            <w:tcBorders>
              <w:top w:val="single" w:color="000000" w:sz="4" w:space="0"/>
              <w:left w:val="single" w:color="000000" w:sz="4" w:space="0"/>
              <w:bottom w:val="nil"/>
              <w:right w:val="single" w:color="000000" w:sz="4" w:space="0"/>
            </w:tcBorders>
            <w:textDirection w:val="tbRlV"/>
            <w:vAlign w:val="top"/>
          </w:tcPr>
          <w:p w14:paraId="53BF14E4">
            <w:pPr>
              <w:spacing w:line="254" w:lineRule="auto"/>
              <w:rPr>
                <w:rFonts w:ascii="Arial"/>
                <w:color w:val="auto"/>
                <w:sz w:val="21"/>
                <w:highlight w:val="none"/>
              </w:rPr>
            </w:pPr>
          </w:p>
          <w:p w14:paraId="08DDA403">
            <w:pPr>
              <w:pStyle w:val="12"/>
              <w:spacing w:before="92" w:line="174" w:lineRule="auto"/>
              <w:ind w:left="2442"/>
              <w:rPr>
                <w:color w:val="auto"/>
                <w:highlight w:val="none"/>
              </w:rPr>
            </w:pPr>
            <w:r>
              <w:rPr>
                <w:color w:val="auto"/>
                <w:spacing w:val="4"/>
                <w:highlight w:val="none"/>
              </w:rPr>
              <w:t>审</w:t>
            </w:r>
            <w:r>
              <w:rPr>
                <w:color w:val="auto"/>
                <w:spacing w:val="37"/>
                <w:highlight w:val="none"/>
              </w:rPr>
              <w:t xml:space="preserve"> </w:t>
            </w:r>
            <w:r>
              <w:rPr>
                <w:color w:val="auto"/>
                <w:spacing w:val="4"/>
                <w:highlight w:val="none"/>
              </w:rPr>
              <w:t>查</w:t>
            </w:r>
            <w:r>
              <w:rPr>
                <w:color w:val="auto"/>
                <w:spacing w:val="35"/>
                <w:highlight w:val="none"/>
              </w:rPr>
              <w:t xml:space="preserve"> </w:t>
            </w:r>
            <w:r>
              <w:rPr>
                <w:color w:val="auto"/>
                <w:spacing w:val="4"/>
                <w:highlight w:val="none"/>
              </w:rPr>
              <w:t>标</w:t>
            </w:r>
            <w:r>
              <w:rPr>
                <w:color w:val="auto"/>
                <w:spacing w:val="35"/>
                <w:highlight w:val="none"/>
              </w:rPr>
              <w:t xml:space="preserve"> </w:t>
            </w:r>
            <w:r>
              <w:rPr>
                <w:color w:val="auto"/>
                <w:spacing w:val="4"/>
                <w:highlight w:val="none"/>
              </w:rPr>
              <w:t>准</w:t>
            </w:r>
          </w:p>
        </w:tc>
        <w:tc>
          <w:tcPr>
            <w:tcW w:w="495" w:type="dxa"/>
            <w:tcBorders>
              <w:top w:val="single" w:color="000000" w:sz="4" w:space="0"/>
              <w:left w:val="single" w:color="000000" w:sz="4" w:space="0"/>
              <w:right w:val="single" w:color="000000" w:sz="4" w:space="0"/>
            </w:tcBorders>
            <w:vAlign w:val="top"/>
          </w:tcPr>
          <w:p w14:paraId="3FCE3834">
            <w:pPr>
              <w:pStyle w:val="12"/>
              <w:spacing w:before="253" w:line="159" w:lineRule="auto"/>
              <w:ind w:left="210"/>
              <w:rPr>
                <w:color w:val="auto"/>
                <w:sz w:val="20"/>
                <w:szCs w:val="20"/>
                <w:highlight w:val="none"/>
              </w:rPr>
            </w:pPr>
            <w:r>
              <w:rPr>
                <w:color w:val="auto"/>
                <w:sz w:val="20"/>
                <w:szCs w:val="20"/>
                <w:highlight w:val="none"/>
              </w:rPr>
              <w:t>1</w:t>
            </w:r>
          </w:p>
        </w:tc>
        <w:tc>
          <w:tcPr>
            <w:tcW w:w="6572" w:type="dxa"/>
            <w:tcBorders>
              <w:top w:val="single" w:color="000000" w:sz="4" w:space="0"/>
              <w:left w:val="single" w:color="000000" w:sz="4" w:space="0"/>
              <w:right w:val="single" w:color="000000" w:sz="4" w:space="0"/>
            </w:tcBorders>
            <w:vAlign w:val="top"/>
          </w:tcPr>
          <w:p w14:paraId="51DB64CF">
            <w:pPr>
              <w:pStyle w:val="12"/>
              <w:spacing w:before="255" w:line="187" w:lineRule="auto"/>
              <w:jc w:val="right"/>
              <w:rPr>
                <w:color w:val="auto"/>
                <w:highlight w:val="none"/>
              </w:rPr>
            </w:pPr>
            <w:r>
              <w:rPr>
                <w:color w:val="auto"/>
                <w:spacing w:val="-2"/>
                <w:highlight w:val="none"/>
              </w:rPr>
              <w:t>由政府立项核准、审批的采购项目,</w:t>
            </w:r>
            <w:r>
              <w:rPr>
                <w:color w:val="auto"/>
                <w:spacing w:val="70"/>
                <w:highlight w:val="none"/>
              </w:rPr>
              <w:t xml:space="preserve"> </w:t>
            </w:r>
            <w:r>
              <w:rPr>
                <w:color w:val="auto"/>
                <w:spacing w:val="-2"/>
                <w:highlight w:val="none"/>
              </w:rPr>
              <w:t>报价未高于设定的采购预算价的。</w:t>
            </w:r>
          </w:p>
        </w:tc>
        <w:tc>
          <w:tcPr>
            <w:tcW w:w="752" w:type="dxa"/>
            <w:tcBorders>
              <w:left w:val="single" w:color="000000" w:sz="4" w:space="0"/>
              <w:right w:val="single" w:color="000000" w:sz="4" w:space="0"/>
            </w:tcBorders>
            <w:vAlign w:val="top"/>
          </w:tcPr>
          <w:p w14:paraId="10C05E09">
            <w:pPr>
              <w:rPr>
                <w:rFonts w:ascii="Arial"/>
                <w:color w:val="auto"/>
                <w:sz w:val="21"/>
                <w:highlight w:val="none"/>
              </w:rPr>
            </w:pPr>
          </w:p>
        </w:tc>
        <w:tc>
          <w:tcPr>
            <w:tcW w:w="753" w:type="dxa"/>
            <w:tcBorders>
              <w:left w:val="single" w:color="000000" w:sz="4" w:space="0"/>
              <w:right w:val="single" w:color="000000" w:sz="4" w:space="0"/>
            </w:tcBorders>
            <w:vAlign w:val="top"/>
          </w:tcPr>
          <w:p w14:paraId="61753192">
            <w:pPr>
              <w:rPr>
                <w:rFonts w:ascii="Arial"/>
                <w:color w:val="auto"/>
                <w:sz w:val="21"/>
                <w:highlight w:val="none"/>
              </w:rPr>
            </w:pPr>
          </w:p>
        </w:tc>
      </w:tr>
      <w:tr w14:paraId="7D40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926" w:type="dxa"/>
            <w:vMerge w:val="continue"/>
            <w:tcBorders>
              <w:top w:val="nil"/>
              <w:left w:val="single" w:color="000000" w:sz="4" w:space="0"/>
              <w:bottom w:val="nil"/>
              <w:right w:val="single" w:color="000000" w:sz="4" w:space="0"/>
            </w:tcBorders>
            <w:textDirection w:val="tbRlV"/>
            <w:vAlign w:val="top"/>
          </w:tcPr>
          <w:p w14:paraId="73955346">
            <w:pPr>
              <w:rPr>
                <w:rFonts w:ascii="Arial"/>
                <w:color w:val="auto"/>
                <w:sz w:val="21"/>
                <w:highlight w:val="none"/>
              </w:rPr>
            </w:pPr>
          </w:p>
        </w:tc>
        <w:tc>
          <w:tcPr>
            <w:tcW w:w="495" w:type="dxa"/>
            <w:tcBorders>
              <w:left w:val="single" w:color="000000" w:sz="4" w:space="0"/>
              <w:bottom w:val="single" w:color="000000" w:sz="4" w:space="0"/>
              <w:right w:val="single" w:color="000000" w:sz="4" w:space="0"/>
            </w:tcBorders>
            <w:vAlign w:val="top"/>
          </w:tcPr>
          <w:p w14:paraId="3B1D51B6">
            <w:pPr>
              <w:pStyle w:val="12"/>
              <w:spacing w:before="254" w:line="159" w:lineRule="auto"/>
              <w:ind w:left="197"/>
              <w:rPr>
                <w:color w:val="auto"/>
                <w:sz w:val="20"/>
                <w:szCs w:val="20"/>
                <w:highlight w:val="none"/>
              </w:rPr>
            </w:pPr>
            <w:r>
              <w:rPr>
                <w:color w:val="auto"/>
                <w:sz w:val="20"/>
                <w:szCs w:val="20"/>
                <w:highlight w:val="none"/>
              </w:rPr>
              <w:t>2</w:t>
            </w:r>
          </w:p>
        </w:tc>
        <w:tc>
          <w:tcPr>
            <w:tcW w:w="6572" w:type="dxa"/>
            <w:tcBorders>
              <w:left w:val="single" w:color="000000" w:sz="4" w:space="0"/>
              <w:bottom w:val="single" w:color="000000" w:sz="4" w:space="0"/>
              <w:right w:val="single" w:color="000000" w:sz="4" w:space="0"/>
            </w:tcBorders>
            <w:vAlign w:val="top"/>
          </w:tcPr>
          <w:p w14:paraId="07BB4A78">
            <w:pPr>
              <w:pStyle w:val="12"/>
              <w:spacing w:before="256" w:line="188" w:lineRule="auto"/>
              <w:ind w:right="19"/>
              <w:jc w:val="right"/>
              <w:rPr>
                <w:color w:val="auto"/>
                <w:highlight w:val="none"/>
              </w:rPr>
            </w:pPr>
            <w:r>
              <w:rPr>
                <w:color w:val="auto"/>
                <w:spacing w:val="-3"/>
                <w:highlight w:val="none"/>
              </w:rPr>
              <w:t>法定代表人身份证明及授权委托书有效，且符合招标文件规定的格式。</w:t>
            </w:r>
          </w:p>
        </w:tc>
        <w:tc>
          <w:tcPr>
            <w:tcW w:w="752" w:type="dxa"/>
            <w:tcBorders>
              <w:left w:val="single" w:color="000000" w:sz="4" w:space="0"/>
            </w:tcBorders>
            <w:vAlign w:val="top"/>
          </w:tcPr>
          <w:p w14:paraId="64C2BA46">
            <w:pPr>
              <w:rPr>
                <w:rFonts w:ascii="Arial"/>
                <w:color w:val="auto"/>
                <w:sz w:val="21"/>
                <w:highlight w:val="none"/>
              </w:rPr>
            </w:pPr>
          </w:p>
        </w:tc>
        <w:tc>
          <w:tcPr>
            <w:tcW w:w="753" w:type="dxa"/>
            <w:tcBorders>
              <w:right w:val="single" w:color="000000" w:sz="4" w:space="0"/>
            </w:tcBorders>
            <w:vAlign w:val="top"/>
          </w:tcPr>
          <w:p w14:paraId="65F856C5">
            <w:pPr>
              <w:rPr>
                <w:rFonts w:ascii="Arial"/>
                <w:color w:val="auto"/>
                <w:sz w:val="21"/>
                <w:highlight w:val="none"/>
              </w:rPr>
            </w:pPr>
          </w:p>
        </w:tc>
      </w:tr>
      <w:tr w14:paraId="3F4F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926" w:type="dxa"/>
            <w:vMerge w:val="continue"/>
            <w:tcBorders>
              <w:top w:val="nil"/>
              <w:left w:val="single" w:color="000000" w:sz="4" w:space="0"/>
              <w:bottom w:val="nil"/>
              <w:right w:val="single" w:color="000000" w:sz="4" w:space="0"/>
            </w:tcBorders>
            <w:textDirection w:val="tbRlV"/>
            <w:vAlign w:val="top"/>
          </w:tcPr>
          <w:p w14:paraId="084AA79A">
            <w:pPr>
              <w:rPr>
                <w:rFonts w:ascii="Arial"/>
                <w:color w:val="auto"/>
                <w:sz w:val="21"/>
                <w:highlight w:val="none"/>
              </w:rPr>
            </w:pPr>
          </w:p>
        </w:tc>
        <w:tc>
          <w:tcPr>
            <w:tcW w:w="495" w:type="dxa"/>
            <w:tcBorders>
              <w:top w:val="single" w:color="000000" w:sz="4" w:space="0"/>
              <w:left w:val="single" w:color="000000" w:sz="4" w:space="0"/>
              <w:right w:val="single" w:color="000000" w:sz="4" w:space="0"/>
            </w:tcBorders>
            <w:vAlign w:val="top"/>
          </w:tcPr>
          <w:p w14:paraId="536D9AB9">
            <w:pPr>
              <w:pStyle w:val="12"/>
              <w:spacing w:before="223" w:line="158" w:lineRule="auto"/>
              <w:ind w:left="199"/>
              <w:rPr>
                <w:color w:val="auto"/>
                <w:sz w:val="20"/>
                <w:szCs w:val="20"/>
                <w:highlight w:val="none"/>
              </w:rPr>
            </w:pPr>
            <w:r>
              <w:rPr>
                <w:color w:val="auto"/>
                <w:sz w:val="20"/>
                <w:szCs w:val="20"/>
                <w:highlight w:val="none"/>
              </w:rPr>
              <w:t>3</w:t>
            </w:r>
          </w:p>
        </w:tc>
        <w:tc>
          <w:tcPr>
            <w:tcW w:w="6572" w:type="dxa"/>
            <w:tcBorders>
              <w:top w:val="single" w:color="000000" w:sz="4" w:space="0"/>
              <w:left w:val="single" w:color="000000" w:sz="4" w:space="0"/>
              <w:right w:val="single" w:color="000000" w:sz="4" w:space="0"/>
            </w:tcBorders>
            <w:vAlign w:val="top"/>
          </w:tcPr>
          <w:p w14:paraId="211AD340">
            <w:pPr>
              <w:pStyle w:val="12"/>
              <w:spacing w:before="225" w:line="188" w:lineRule="auto"/>
              <w:ind w:left="114"/>
              <w:rPr>
                <w:color w:val="auto"/>
                <w:highlight w:val="none"/>
              </w:rPr>
            </w:pPr>
            <w:r>
              <w:rPr>
                <w:color w:val="auto"/>
                <w:spacing w:val="-5"/>
                <w:highlight w:val="none"/>
              </w:rPr>
              <w:t>只有一个方案投标。</w:t>
            </w:r>
          </w:p>
        </w:tc>
        <w:tc>
          <w:tcPr>
            <w:tcW w:w="752" w:type="dxa"/>
            <w:tcBorders>
              <w:left w:val="single" w:color="000000" w:sz="4" w:space="0"/>
            </w:tcBorders>
            <w:vAlign w:val="top"/>
          </w:tcPr>
          <w:p w14:paraId="7AAC0896">
            <w:pPr>
              <w:rPr>
                <w:rFonts w:ascii="Arial"/>
                <w:color w:val="auto"/>
                <w:sz w:val="21"/>
                <w:highlight w:val="none"/>
              </w:rPr>
            </w:pPr>
          </w:p>
        </w:tc>
        <w:tc>
          <w:tcPr>
            <w:tcW w:w="753" w:type="dxa"/>
            <w:tcBorders>
              <w:right w:val="single" w:color="000000" w:sz="4" w:space="0"/>
            </w:tcBorders>
            <w:vAlign w:val="top"/>
          </w:tcPr>
          <w:p w14:paraId="35A75DC2">
            <w:pPr>
              <w:rPr>
                <w:rFonts w:ascii="Arial"/>
                <w:color w:val="auto"/>
                <w:sz w:val="21"/>
                <w:highlight w:val="none"/>
              </w:rPr>
            </w:pPr>
          </w:p>
        </w:tc>
      </w:tr>
      <w:tr w14:paraId="4FF9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3" w:hRule="atLeast"/>
        </w:trPr>
        <w:tc>
          <w:tcPr>
            <w:tcW w:w="926" w:type="dxa"/>
            <w:vMerge w:val="continue"/>
            <w:tcBorders>
              <w:top w:val="nil"/>
              <w:left w:val="single" w:color="000000" w:sz="4" w:space="0"/>
              <w:bottom w:val="nil"/>
              <w:right w:val="single" w:color="000000" w:sz="4" w:space="0"/>
            </w:tcBorders>
            <w:textDirection w:val="tbRlV"/>
            <w:vAlign w:val="top"/>
          </w:tcPr>
          <w:p w14:paraId="7D0EB3EE">
            <w:pPr>
              <w:rPr>
                <w:rFonts w:ascii="Arial"/>
                <w:color w:val="auto"/>
                <w:sz w:val="21"/>
                <w:highlight w:val="none"/>
              </w:rPr>
            </w:pPr>
          </w:p>
        </w:tc>
        <w:tc>
          <w:tcPr>
            <w:tcW w:w="495" w:type="dxa"/>
            <w:tcBorders>
              <w:left w:val="single" w:color="000000" w:sz="4" w:space="0"/>
            </w:tcBorders>
            <w:vAlign w:val="top"/>
          </w:tcPr>
          <w:p w14:paraId="5DFD3E04">
            <w:pPr>
              <w:pStyle w:val="12"/>
              <w:spacing w:before="162" w:line="159" w:lineRule="auto"/>
              <w:ind w:left="194"/>
              <w:rPr>
                <w:color w:val="auto"/>
                <w:sz w:val="20"/>
                <w:szCs w:val="20"/>
                <w:highlight w:val="none"/>
              </w:rPr>
            </w:pPr>
            <w:r>
              <w:rPr>
                <w:color w:val="auto"/>
                <w:sz w:val="20"/>
                <w:szCs w:val="20"/>
                <w:highlight w:val="none"/>
              </w:rPr>
              <w:t>4</w:t>
            </w:r>
          </w:p>
        </w:tc>
        <w:tc>
          <w:tcPr>
            <w:tcW w:w="6572" w:type="dxa"/>
            <w:tcBorders>
              <w:right w:val="single" w:color="000000" w:sz="4" w:space="0"/>
            </w:tcBorders>
            <w:vAlign w:val="top"/>
          </w:tcPr>
          <w:p w14:paraId="45E508C2">
            <w:pPr>
              <w:pStyle w:val="12"/>
              <w:spacing w:before="163" w:line="186" w:lineRule="auto"/>
              <w:ind w:left="109"/>
              <w:rPr>
                <w:color w:val="auto"/>
                <w:highlight w:val="none"/>
              </w:rPr>
            </w:pPr>
            <w:r>
              <w:rPr>
                <w:color w:val="auto"/>
                <w:spacing w:val="-3"/>
                <w:highlight w:val="none"/>
              </w:rPr>
              <w:t>投标文件内容齐全、无遗漏。</w:t>
            </w:r>
          </w:p>
        </w:tc>
        <w:tc>
          <w:tcPr>
            <w:tcW w:w="752" w:type="dxa"/>
            <w:tcBorders>
              <w:left w:val="single" w:color="000000" w:sz="4" w:space="0"/>
            </w:tcBorders>
            <w:vAlign w:val="top"/>
          </w:tcPr>
          <w:p w14:paraId="3D37A897">
            <w:pPr>
              <w:rPr>
                <w:rFonts w:ascii="Arial"/>
                <w:color w:val="auto"/>
                <w:sz w:val="21"/>
                <w:highlight w:val="none"/>
              </w:rPr>
            </w:pPr>
          </w:p>
        </w:tc>
        <w:tc>
          <w:tcPr>
            <w:tcW w:w="753" w:type="dxa"/>
            <w:tcBorders>
              <w:right w:val="single" w:color="000000" w:sz="4" w:space="0"/>
            </w:tcBorders>
            <w:vAlign w:val="top"/>
          </w:tcPr>
          <w:p w14:paraId="55D9CE48">
            <w:pPr>
              <w:rPr>
                <w:rFonts w:ascii="Arial"/>
                <w:color w:val="auto"/>
                <w:sz w:val="21"/>
                <w:highlight w:val="none"/>
              </w:rPr>
            </w:pPr>
          </w:p>
        </w:tc>
      </w:tr>
      <w:tr w14:paraId="61D03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3" w:hRule="atLeast"/>
        </w:trPr>
        <w:tc>
          <w:tcPr>
            <w:tcW w:w="926" w:type="dxa"/>
            <w:vMerge w:val="continue"/>
            <w:tcBorders>
              <w:top w:val="nil"/>
              <w:left w:val="single" w:color="000000" w:sz="4" w:space="0"/>
              <w:bottom w:val="nil"/>
              <w:right w:val="single" w:color="000000" w:sz="4" w:space="0"/>
            </w:tcBorders>
            <w:textDirection w:val="tbRlV"/>
            <w:vAlign w:val="top"/>
          </w:tcPr>
          <w:p w14:paraId="4B832AAA">
            <w:pPr>
              <w:rPr>
                <w:rFonts w:ascii="Arial"/>
                <w:color w:val="auto"/>
                <w:sz w:val="21"/>
                <w:highlight w:val="none"/>
              </w:rPr>
            </w:pPr>
          </w:p>
        </w:tc>
        <w:tc>
          <w:tcPr>
            <w:tcW w:w="495" w:type="dxa"/>
            <w:tcBorders>
              <w:left w:val="single" w:color="000000" w:sz="4" w:space="0"/>
              <w:bottom w:val="single" w:color="000000" w:sz="4" w:space="0"/>
              <w:right w:val="single" w:color="000000" w:sz="4" w:space="0"/>
            </w:tcBorders>
            <w:vAlign w:val="top"/>
          </w:tcPr>
          <w:p w14:paraId="28464400">
            <w:pPr>
              <w:pStyle w:val="12"/>
              <w:spacing w:before="310" w:line="157" w:lineRule="auto"/>
              <w:ind w:left="199"/>
              <w:rPr>
                <w:color w:val="auto"/>
                <w:sz w:val="20"/>
                <w:szCs w:val="20"/>
                <w:highlight w:val="none"/>
              </w:rPr>
            </w:pPr>
            <w:r>
              <w:rPr>
                <w:color w:val="auto"/>
                <w:sz w:val="20"/>
                <w:szCs w:val="20"/>
                <w:highlight w:val="none"/>
              </w:rPr>
              <w:t>5</w:t>
            </w:r>
          </w:p>
        </w:tc>
        <w:tc>
          <w:tcPr>
            <w:tcW w:w="6572" w:type="dxa"/>
            <w:tcBorders>
              <w:left w:val="single" w:color="000000" w:sz="4" w:space="0"/>
              <w:bottom w:val="single" w:color="000000" w:sz="4" w:space="0"/>
              <w:right w:val="single" w:color="000000" w:sz="4" w:space="0"/>
            </w:tcBorders>
            <w:vAlign w:val="top"/>
          </w:tcPr>
          <w:p w14:paraId="061EE46D">
            <w:pPr>
              <w:pStyle w:val="12"/>
              <w:spacing w:before="310" w:line="188" w:lineRule="auto"/>
              <w:ind w:left="113"/>
              <w:rPr>
                <w:color w:val="auto"/>
                <w:highlight w:val="none"/>
              </w:rPr>
            </w:pPr>
            <w:r>
              <w:rPr>
                <w:color w:val="auto"/>
                <w:spacing w:val="-3"/>
                <w:highlight w:val="none"/>
              </w:rPr>
              <w:t>满足招标文件提出的交货地点、质保期。</w:t>
            </w:r>
          </w:p>
        </w:tc>
        <w:tc>
          <w:tcPr>
            <w:tcW w:w="752" w:type="dxa"/>
            <w:tcBorders>
              <w:left w:val="single" w:color="000000" w:sz="4" w:space="0"/>
              <w:bottom w:val="single" w:color="000000" w:sz="4" w:space="0"/>
              <w:right w:val="single" w:color="000000" w:sz="4" w:space="0"/>
            </w:tcBorders>
            <w:vAlign w:val="top"/>
          </w:tcPr>
          <w:p w14:paraId="5AB853B4">
            <w:pPr>
              <w:rPr>
                <w:rFonts w:ascii="Arial"/>
                <w:color w:val="auto"/>
                <w:sz w:val="21"/>
                <w:highlight w:val="none"/>
              </w:rPr>
            </w:pPr>
          </w:p>
        </w:tc>
        <w:tc>
          <w:tcPr>
            <w:tcW w:w="753" w:type="dxa"/>
            <w:tcBorders>
              <w:left w:val="single" w:color="000000" w:sz="4" w:space="0"/>
              <w:bottom w:val="single" w:color="000000" w:sz="4" w:space="0"/>
              <w:right w:val="single" w:color="000000" w:sz="4" w:space="0"/>
            </w:tcBorders>
            <w:vAlign w:val="top"/>
          </w:tcPr>
          <w:p w14:paraId="729855AE">
            <w:pPr>
              <w:rPr>
                <w:rFonts w:ascii="Arial"/>
                <w:color w:val="auto"/>
                <w:sz w:val="21"/>
                <w:highlight w:val="none"/>
              </w:rPr>
            </w:pPr>
          </w:p>
        </w:tc>
      </w:tr>
      <w:tr w14:paraId="7A645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8" w:hRule="atLeast"/>
        </w:trPr>
        <w:tc>
          <w:tcPr>
            <w:tcW w:w="926" w:type="dxa"/>
            <w:vMerge w:val="continue"/>
            <w:tcBorders>
              <w:top w:val="nil"/>
              <w:left w:val="single" w:color="000000" w:sz="4" w:space="0"/>
              <w:bottom w:val="nil"/>
              <w:right w:val="single" w:color="000000" w:sz="4" w:space="0"/>
            </w:tcBorders>
            <w:textDirection w:val="tbRlV"/>
            <w:vAlign w:val="top"/>
          </w:tcPr>
          <w:p w14:paraId="79009746">
            <w:pPr>
              <w:rPr>
                <w:rFonts w:ascii="Arial"/>
                <w:color w:val="auto"/>
                <w:sz w:val="21"/>
                <w:highlight w:val="none"/>
              </w:rPr>
            </w:pPr>
          </w:p>
        </w:tc>
        <w:tc>
          <w:tcPr>
            <w:tcW w:w="495" w:type="dxa"/>
            <w:tcBorders>
              <w:top w:val="single" w:color="000000" w:sz="4" w:space="0"/>
              <w:left w:val="single" w:color="000000" w:sz="4" w:space="0"/>
            </w:tcBorders>
            <w:vAlign w:val="top"/>
          </w:tcPr>
          <w:p w14:paraId="20EB25BF">
            <w:pPr>
              <w:pStyle w:val="12"/>
              <w:spacing w:before="254" w:line="158" w:lineRule="auto"/>
              <w:ind w:left="197"/>
              <w:rPr>
                <w:color w:val="auto"/>
                <w:sz w:val="20"/>
                <w:szCs w:val="20"/>
                <w:highlight w:val="none"/>
              </w:rPr>
            </w:pPr>
            <w:r>
              <w:rPr>
                <w:color w:val="auto"/>
                <w:sz w:val="20"/>
                <w:szCs w:val="20"/>
                <w:highlight w:val="none"/>
              </w:rPr>
              <w:t>6</w:t>
            </w:r>
          </w:p>
        </w:tc>
        <w:tc>
          <w:tcPr>
            <w:tcW w:w="6572" w:type="dxa"/>
            <w:tcBorders>
              <w:top w:val="single" w:color="000000" w:sz="4" w:space="0"/>
              <w:right w:val="single" w:color="000000" w:sz="4" w:space="0"/>
            </w:tcBorders>
            <w:vAlign w:val="top"/>
          </w:tcPr>
          <w:p w14:paraId="158AF229">
            <w:pPr>
              <w:pStyle w:val="12"/>
              <w:spacing w:before="256" w:line="188" w:lineRule="auto"/>
              <w:ind w:left="109"/>
              <w:rPr>
                <w:color w:val="auto"/>
                <w:highlight w:val="none"/>
              </w:rPr>
            </w:pPr>
            <w:r>
              <w:rPr>
                <w:color w:val="auto"/>
                <w:spacing w:val="-3"/>
                <w:highlight w:val="none"/>
              </w:rPr>
              <w:t>投标文件是否附有招标人不能接受的条件。</w:t>
            </w:r>
          </w:p>
        </w:tc>
        <w:tc>
          <w:tcPr>
            <w:tcW w:w="752" w:type="dxa"/>
            <w:tcBorders>
              <w:top w:val="single" w:color="000000" w:sz="4" w:space="0"/>
              <w:left w:val="single" w:color="000000" w:sz="4" w:space="0"/>
            </w:tcBorders>
            <w:vAlign w:val="top"/>
          </w:tcPr>
          <w:p w14:paraId="63AC15A7">
            <w:pPr>
              <w:rPr>
                <w:rFonts w:ascii="Arial"/>
                <w:color w:val="auto"/>
                <w:sz w:val="21"/>
                <w:highlight w:val="none"/>
              </w:rPr>
            </w:pPr>
          </w:p>
        </w:tc>
        <w:tc>
          <w:tcPr>
            <w:tcW w:w="753" w:type="dxa"/>
            <w:tcBorders>
              <w:top w:val="single" w:color="000000" w:sz="4" w:space="0"/>
              <w:right w:val="single" w:color="000000" w:sz="4" w:space="0"/>
            </w:tcBorders>
            <w:vAlign w:val="top"/>
          </w:tcPr>
          <w:p w14:paraId="1532FD5A">
            <w:pPr>
              <w:rPr>
                <w:rFonts w:ascii="Arial"/>
                <w:color w:val="auto"/>
                <w:sz w:val="21"/>
                <w:highlight w:val="none"/>
              </w:rPr>
            </w:pPr>
          </w:p>
        </w:tc>
      </w:tr>
      <w:tr w14:paraId="2E5B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bottom w:val="nil"/>
              <w:right w:val="single" w:color="000000" w:sz="4" w:space="0"/>
            </w:tcBorders>
            <w:textDirection w:val="tbRlV"/>
            <w:vAlign w:val="top"/>
          </w:tcPr>
          <w:p w14:paraId="36B98C9D">
            <w:pPr>
              <w:rPr>
                <w:rFonts w:ascii="Arial"/>
                <w:color w:val="auto"/>
                <w:sz w:val="21"/>
                <w:highlight w:val="none"/>
              </w:rPr>
            </w:pPr>
          </w:p>
        </w:tc>
        <w:tc>
          <w:tcPr>
            <w:tcW w:w="495" w:type="dxa"/>
            <w:tcBorders>
              <w:left w:val="single" w:color="000000" w:sz="4" w:space="0"/>
            </w:tcBorders>
            <w:vAlign w:val="top"/>
          </w:tcPr>
          <w:p w14:paraId="604D0E54">
            <w:pPr>
              <w:pStyle w:val="12"/>
              <w:spacing w:before="311" w:line="159" w:lineRule="auto"/>
              <w:ind w:left="200"/>
              <w:rPr>
                <w:color w:val="auto"/>
                <w:sz w:val="20"/>
                <w:szCs w:val="20"/>
                <w:highlight w:val="none"/>
              </w:rPr>
            </w:pPr>
            <w:r>
              <w:rPr>
                <w:color w:val="auto"/>
                <w:sz w:val="20"/>
                <w:szCs w:val="20"/>
                <w:highlight w:val="none"/>
              </w:rPr>
              <w:t>7</w:t>
            </w:r>
          </w:p>
        </w:tc>
        <w:tc>
          <w:tcPr>
            <w:tcW w:w="6572" w:type="dxa"/>
            <w:tcBorders>
              <w:right w:val="single" w:color="000000" w:sz="4" w:space="0"/>
            </w:tcBorders>
            <w:vAlign w:val="top"/>
          </w:tcPr>
          <w:p w14:paraId="3735F22F">
            <w:pPr>
              <w:pStyle w:val="12"/>
              <w:spacing w:before="311" w:line="187" w:lineRule="auto"/>
              <w:ind w:left="111"/>
              <w:rPr>
                <w:color w:val="auto"/>
                <w:highlight w:val="none"/>
              </w:rPr>
            </w:pPr>
            <w:r>
              <w:rPr>
                <w:color w:val="auto"/>
                <w:spacing w:val="-3"/>
                <w:highlight w:val="none"/>
              </w:rPr>
              <w:t>满足招标文件提出的数量及质量要求。</w:t>
            </w:r>
          </w:p>
        </w:tc>
        <w:tc>
          <w:tcPr>
            <w:tcW w:w="752" w:type="dxa"/>
            <w:tcBorders>
              <w:left w:val="single" w:color="000000" w:sz="4" w:space="0"/>
            </w:tcBorders>
            <w:vAlign w:val="top"/>
          </w:tcPr>
          <w:p w14:paraId="0705B030">
            <w:pPr>
              <w:rPr>
                <w:rFonts w:ascii="Arial"/>
                <w:color w:val="auto"/>
                <w:sz w:val="21"/>
                <w:highlight w:val="none"/>
              </w:rPr>
            </w:pPr>
          </w:p>
        </w:tc>
        <w:tc>
          <w:tcPr>
            <w:tcW w:w="753" w:type="dxa"/>
            <w:tcBorders>
              <w:right w:val="single" w:color="000000" w:sz="4" w:space="0"/>
            </w:tcBorders>
            <w:vAlign w:val="top"/>
          </w:tcPr>
          <w:p w14:paraId="05F88636">
            <w:pPr>
              <w:rPr>
                <w:rFonts w:ascii="Arial"/>
                <w:color w:val="auto"/>
                <w:sz w:val="21"/>
                <w:highlight w:val="none"/>
              </w:rPr>
            </w:pPr>
          </w:p>
        </w:tc>
      </w:tr>
      <w:tr w14:paraId="784D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bottom w:val="nil"/>
              <w:right w:val="single" w:color="000000" w:sz="4" w:space="0"/>
            </w:tcBorders>
            <w:textDirection w:val="tbRlV"/>
            <w:vAlign w:val="top"/>
          </w:tcPr>
          <w:p w14:paraId="42B88762">
            <w:pPr>
              <w:rPr>
                <w:rFonts w:ascii="Arial"/>
                <w:color w:val="auto"/>
                <w:sz w:val="21"/>
                <w:highlight w:val="none"/>
              </w:rPr>
            </w:pPr>
          </w:p>
        </w:tc>
        <w:tc>
          <w:tcPr>
            <w:tcW w:w="495" w:type="dxa"/>
            <w:tcBorders>
              <w:left w:val="single" w:color="000000" w:sz="4" w:space="0"/>
            </w:tcBorders>
            <w:vAlign w:val="top"/>
          </w:tcPr>
          <w:p w14:paraId="51BABC0F">
            <w:pPr>
              <w:pStyle w:val="12"/>
              <w:spacing w:before="311" w:line="158" w:lineRule="auto"/>
              <w:ind w:left="196"/>
              <w:rPr>
                <w:color w:val="auto"/>
                <w:sz w:val="20"/>
                <w:szCs w:val="20"/>
                <w:highlight w:val="none"/>
              </w:rPr>
            </w:pPr>
            <w:r>
              <w:rPr>
                <w:color w:val="auto"/>
                <w:sz w:val="20"/>
                <w:szCs w:val="20"/>
                <w:highlight w:val="none"/>
              </w:rPr>
              <w:t>8</w:t>
            </w:r>
          </w:p>
        </w:tc>
        <w:tc>
          <w:tcPr>
            <w:tcW w:w="6572" w:type="dxa"/>
            <w:tcBorders>
              <w:right w:val="single" w:color="000000" w:sz="4" w:space="0"/>
            </w:tcBorders>
            <w:vAlign w:val="top"/>
          </w:tcPr>
          <w:p w14:paraId="068FBD6D">
            <w:pPr>
              <w:pStyle w:val="12"/>
              <w:spacing w:before="312" w:line="188" w:lineRule="auto"/>
              <w:ind w:left="109"/>
              <w:rPr>
                <w:color w:val="auto"/>
                <w:highlight w:val="none"/>
              </w:rPr>
            </w:pPr>
            <w:r>
              <w:rPr>
                <w:color w:val="auto"/>
                <w:spacing w:val="-3"/>
                <w:highlight w:val="none"/>
              </w:rPr>
              <w:t>投标有效期满足招标文件要求。</w:t>
            </w:r>
          </w:p>
        </w:tc>
        <w:tc>
          <w:tcPr>
            <w:tcW w:w="752" w:type="dxa"/>
            <w:tcBorders>
              <w:left w:val="single" w:color="000000" w:sz="4" w:space="0"/>
            </w:tcBorders>
            <w:vAlign w:val="top"/>
          </w:tcPr>
          <w:p w14:paraId="29C897D8">
            <w:pPr>
              <w:rPr>
                <w:rFonts w:ascii="Arial"/>
                <w:color w:val="auto"/>
                <w:sz w:val="21"/>
                <w:highlight w:val="none"/>
              </w:rPr>
            </w:pPr>
          </w:p>
        </w:tc>
        <w:tc>
          <w:tcPr>
            <w:tcW w:w="753" w:type="dxa"/>
            <w:tcBorders>
              <w:right w:val="single" w:color="000000" w:sz="4" w:space="0"/>
            </w:tcBorders>
            <w:vAlign w:val="top"/>
          </w:tcPr>
          <w:p w14:paraId="2F3EB074">
            <w:pPr>
              <w:rPr>
                <w:rFonts w:ascii="Arial"/>
                <w:color w:val="auto"/>
                <w:sz w:val="21"/>
                <w:highlight w:val="none"/>
              </w:rPr>
            </w:pPr>
          </w:p>
        </w:tc>
      </w:tr>
      <w:tr w14:paraId="66068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right w:val="single" w:color="000000" w:sz="4" w:space="0"/>
            </w:tcBorders>
            <w:textDirection w:val="tbRlV"/>
            <w:vAlign w:val="top"/>
          </w:tcPr>
          <w:p w14:paraId="393C7BEA">
            <w:pPr>
              <w:rPr>
                <w:rFonts w:ascii="Arial"/>
                <w:color w:val="auto"/>
                <w:sz w:val="21"/>
                <w:highlight w:val="none"/>
              </w:rPr>
            </w:pPr>
          </w:p>
        </w:tc>
        <w:tc>
          <w:tcPr>
            <w:tcW w:w="495" w:type="dxa"/>
            <w:tcBorders>
              <w:left w:val="single" w:color="000000" w:sz="4" w:space="0"/>
            </w:tcBorders>
            <w:vAlign w:val="top"/>
          </w:tcPr>
          <w:p w14:paraId="579E2B89">
            <w:pPr>
              <w:pStyle w:val="12"/>
              <w:spacing w:before="312" w:line="158" w:lineRule="auto"/>
              <w:ind w:left="196"/>
              <w:rPr>
                <w:color w:val="auto"/>
                <w:sz w:val="20"/>
                <w:szCs w:val="20"/>
                <w:highlight w:val="none"/>
              </w:rPr>
            </w:pPr>
            <w:r>
              <w:rPr>
                <w:color w:val="auto"/>
                <w:sz w:val="20"/>
                <w:szCs w:val="20"/>
                <w:highlight w:val="none"/>
              </w:rPr>
              <w:t>9</w:t>
            </w:r>
          </w:p>
        </w:tc>
        <w:tc>
          <w:tcPr>
            <w:tcW w:w="6572" w:type="dxa"/>
            <w:tcBorders>
              <w:right w:val="single" w:color="000000" w:sz="4" w:space="0"/>
            </w:tcBorders>
            <w:vAlign w:val="top"/>
          </w:tcPr>
          <w:p w14:paraId="4EE54F91">
            <w:pPr>
              <w:pStyle w:val="12"/>
              <w:spacing w:before="313" w:line="189" w:lineRule="auto"/>
              <w:ind w:left="109"/>
              <w:rPr>
                <w:color w:val="auto"/>
                <w:highlight w:val="none"/>
              </w:rPr>
            </w:pPr>
            <w:r>
              <w:rPr>
                <w:color w:val="auto"/>
                <w:spacing w:val="-3"/>
                <w:highlight w:val="none"/>
              </w:rPr>
              <w:t>投标人详细地址、联系人、电话。</w:t>
            </w:r>
          </w:p>
        </w:tc>
        <w:tc>
          <w:tcPr>
            <w:tcW w:w="752" w:type="dxa"/>
            <w:tcBorders>
              <w:left w:val="single" w:color="000000" w:sz="4" w:space="0"/>
            </w:tcBorders>
            <w:vAlign w:val="top"/>
          </w:tcPr>
          <w:p w14:paraId="23A88FDB">
            <w:pPr>
              <w:rPr>
                <w:rFonts w:ascii="Arial"/>
                <w:color w:val="auto"/>
                <w:sz w:val="21"/>
                <w:highlight w:val="none"/>
              </w:rPr>
            </w:pPr>
          </w:p>
        </w:tc>
        <w:tc>
          <w:tcPr>
            <w:tcW w:w="753" w:type="dxa"/>
            <w:tcBorders>
              <w:right w:val="single" w:color="000000" w:sz="4" w:space="0"/>
            </w:tcBorders>
            <w:vAlign w:val="top"/>
          </w:tcPr>
          <w:p w14:paraId="457C3EB6">
            <w:pPr>
              <w:rPr>
                <w:rFonts w:ascii="Arial"/>
                <w:color w:val="auto"/>
                <w:sz w:val="21"/>
                <w:highlight w:val="none"/>
              </w:rPr>
            </w:pPr>
          </w:p>
        </w:tc>
      </w:tr>
      <w:tr w14:paraId="38BE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5" w:hRule="atLeast"/>
        </w:trPr>
        <w:tc>
          <w:tcPr>
            <w:tcW w:w="7993" w:type="dxa"/>
            <w:gridSpan w:val="3"/>
            <w:tcBorders>
              <w:left w:val="single" w:color="000000" w:sz="4" w:space="0"/>
              <w:right w:val="single" w:color="000000" w:sz="4" w:space="0"/>
            </w:tcBorders>
            <w:vAlign w:val="top"/>
          </w:tcPr>
          <w:p w14:paraId="40CF21C3">
            <w:pPr>
              <w:pStyle w:val="12"/>
              <w:spacing w:before="271" w:line="188" w:lineRule="auto"/>
              <w:ind w:left="2565"/>
              <w:rPr>
                <w:color w:val="auto"/>
                <w:highlight w:val="none"/>
              </w:rPr>
            </w:pPr>
            <w:r>
              <w:rPr>
                <w:color w:val="auto"/>
                <w:spacing w:val="-5"/>
                <w:highlight w:val="none"/>
              </w:rPr>
              <w:t>评审结果：须写通过或者不通过</w:t>
            </w:r>
          </w:p>
        </w:tc>
        <w:tc>
          <w:tcPr>
            <w:tcW w:w="1505" w:type="dxa"/>
            <w:gridSpan w:val="2"/>
            <w:tcBorders>
              <w:left w:val="single" w:color="000000" w:sz="4" w:space="0"/>
              <w:right w:val="single" w:color="000000" w:sz="4" w:space="0"/>
            </w:tcBorders>
            <w:vAlign w:val="top"/>
          </w:tcPr>
          <w:p w14:paraId="5FBA07B0">
            <w:pPr>
              <w:rPr>
                <w:rFonts w:ascii="Arial"/>
                <w:color w:val="auto"/>
                <w:sz w:val="21"/>
                <w:highlight w:val="none"/>
              </w:rPr>
            </w:pPr>
          </w:p>
        </w:tc>
      </w:tr>
      <w:tr w14:paraId="5445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5" w:hRule="atLeast"/>
        </w:trPr>
        <w:tc>
          <w:tcPr>
            <w:tcW w:w="9498" w:type="dxa"/>
            <w:gridSpan w:val="5"/>
            <w:tcBorders>
              <w:left w:val="single" w:color="000000" w:sz="4" w:space="0"/>
              <w:bottom w:val="single" w:color="000000" w:sz="4" w:space="0"/>
              <w:right w:val="single" w:color="000000" w:sz="4" w:space="0"/>
            </w:tcBorders>
            <w:vAlign w:val="top"/>
          </w:tcPr>
          <w:p w14:paraId="5FFA9D06">
            <w:pPr>
              <w:pStyle w:val="12"/>
              <w:spacing w:before="306" w:line="187" w:lineRule="auto"/>
              <w:ind w:left="491"/>
              <w:rPr>
                <w:color w:val="auto"/>
                <w:highlight w:val="none"/>
              </w:rPr>
            </w:pPr>
            <w:r>
              <w:rPr>
                <w:color w:val="auto"/>
                <w:spacing w:val="-3"/>
                <w:highlight w:val="none"/>
              </w:rPr>
              <w:t>结论：</w:t>
            </w:r>
            <w:r>
              <w:rPr>
                <w:color w:val="auto"/>
                <w:spacing w:val="-40"/>
                <w:highlight w:val="none"/>
              </w:rPr>
              <w:t xml:space="preserve"> </w:t>
            </w:r>
            <w:r>
              <w:rPr>
                <w:color w:val="auto"/>
                <w:spacing w:val="-3"/>
                <w:highlight w:val="none"/>
              </w:rPr>
              <w:t>通过评审打“ √</w:t>
            </w:r>
            <w:r>
              <w:rPr>
                <w:color w:val="auto"/>
                <w:spacing w:val="-38"/>
                <w:highlight w:val="none"/>
              </w:rPr>
              <w:t xml:space="preserve"> </w:t>
            </w:r>
            <w:r>
              <w:rPr>
                <w:color w:val="auto"/>
                <w:spacing w:val="-3"/>
                <w:highlight w:val="none"/>
              </w:rPr>
              <w:t>”,</w:t>
            </w:r>
            <w:r>
              <w:rPr>
                <w:color w:val="auto"/>
                <w:spacing w:val="18"/>
                <w:highlight w:val="none"/>
              </w:rPr>
              <w:t xml:space="preserve">  </w:t>
            </w:r>
            <w:r>
              <w:rPr>
                <w:color w:val="auto"/>
                <w:spacing w:val="-3"/>
                <w:highlight w:val="none"/>
              </w:rPr>
              <w:t>未通过评审打“×”     注：如有一项不合格，作废标处理。</w:t>
            </w:r>
          </w:p>
        </w:tc>
      </w:tr>
    </w:tbl>
    <w:p w14:paraId="0F0EF351">
      <w:pPr>
        <w:pStyle w:val="6"/>
        <w:spacing w:line="407" w:lineRule="auto"/>
        <w:rPr>
          <w:color w:val="auto"/>
          <w:highlight w:val="none"/>
        </w:rPr>
      </w:pPr>
    </w:p>
    <w:p w14:paraId="4D48FDE5">
      <w:pPr>
        <w:spacing w:before="90" w:line="227" w:lineRule="auto"/>
        <w:ind w:left="47" w:right="52" w:firstLine="5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7.2 评委会判定投标文件的响应性只根据投标文件本身</w:t>
      </w:r>
      <w:r>
        <w:rPr>
          <w:rFonts w:ascii="微软雅黑" w:hAnsi="微软雅黑" w:eastAsia="微软雅黑" w:cs="微软雅黑"/>
          <w:color w:val="auto"/>
          <w:sz w:val="21"/>
          <w:szCs w:val="21"/>
          <w:highlight w:val="none"/>
        </w:rPr>
        <w:t>的内容，</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而不寻求外部的证据，但投标有不真 </w:t>
      </w:r>
      <w:r>
        <w:rPr>
          <w:rFonts w:ascii="微软雅黑" w:hAnsi="微软雅黑" w:eastAsia="微软雅黑" w:cs="微软雅黑"/>
          <w:color w:val="auto"/>
          <w:spacing w:val="-4"/>
          <w:sz w:val="21"/>
          <w:szCs w:val="21"/>
          <w:highlight w:val="none"/>
        </w:rPr>
        <w:t>实不正确的内容时除外。</w:t>
      </w:r>
    </w:p>
    <w:p w14:paraId="6524BC50">
      <w:pPr>
        <w:spacing w:before="117" w:line="227" w:lineRule="auto"/>
        <w:ind w:left="47" w:right="52" w:firstLine="4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 xml:space="preserve">7.3 如果投标文件实质上没有响应采购文件的要求，评委会将予以拒绝，投标人不得通过修正或撤销 </w:t>
      </w:r>
      <w:r>
        <w:rPr>
          <w:rFonts w:ascii="微软雅黑" w:hAnsi="微软雅黑" w:eastAsia="微软雅黑" w:cs="微软雅黑"/>
          <w:color w:val="auto"/>
          <w:spacing w:val="-2"/>
          <w:sz w:val="21"/>
          <w:szCs w:val="21"/>
          <w:highlight w:val="none"/>
        </w:rPr>
        <w:t>不符合要求的偏离或保留，而使其投标成为实质上响应的投标。</w:t>
      </w:r>
    </w:p>
    <w:p w14:paraId="59A0D749">
      <w:pPr>
        <w:spacing w:before="120" w:line="227" w:lineRule="auto"/>
        <w:ind w:left="47" w:firstLine="5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7.4 投标人可在现场 20 分钟内对评标委员会的评审结论提出异议，评标委员会根据采购文件及有关规</w:t>
      </w:r>
      <w:r>
        <w:rPr>
          <w:rFonts w:ascii="微软雅黑" w:hAnsi="微软雅黑" w:eastAsia="微软雅黑" w:cs="微软雅黑"/>
          <w:color w:val="auto"/>
          <w:spacing w:val="18"/>
          <w:w w:val="101"/>
          <w:sz w:val="21"/>
          <w:szCs w:val="21"/>
          <w:highlight w:val="none"/>
        </w:rPr>
        <w:t xml:space="preserve"> </w:t>
      </w:r>
      <w:r>
        <w:rPr>
          <w:rFonts w:ascii="微软雅黑" w:hAnsi="微软雅黑" w:eastAsia="微软雅黑" w:cs="微软雅黑"/>
          <w:color w:val="auto"/>
          <w:spacing w:val="-2"/>
          <w:sz w:val="21"/>
          <w:szCs w:val="21"/>
          <w:highlight w:val="none"/>
        </w:rPr>
        <w:t>定对投标人的异议进行复议</w:t>
      </w:r>
    </w:p>
    <w:p w14:paraId="6AAB8D6E">
      <w:pPr>
        <w:spacing w:before="117" w:line="188" w:lineRule="auto"/>
        <w:ind w:left="5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7.5 只有通过初审的投标人才能进入下一步评标</w:t>
      </w:r>
      <w:r>
        <w:rPr>
          <w:rFonts w:ascii="微软雅黑" w:hAnsi="微软雅黑" w:eastAsia="微软雅黑" w:cs="微软雅黑"/>
          <w:color w:val="auto"/>
          <w:spacing w:val="-2"/>
          <w:sz w:val="21"/>
          <w:szCs w:val="21"/>
          <w:highlight w:val="none"/>
        </w:rPr>
        <w:t>程序。</w:t>
      </w:r>
    </w:p>
    <w:p w14:paraId="49A0BAB5">
      <w:pPr>
        <w:spacing w:line="188" w:lineRule="auto"/>
        <w:rPr>
          <w:rFonts w:ascii="微软雅黑" w:hAnsi="微软雅黑" w:eastAsia="微软雅黑" w:cs="微软雅黑"/>
          <w:color w:val="auto"/>
          <w:sz w:val="21"/>
          <w:szCs w:val="21"/>
          <w:highlight w:val="none"/>
        </w:rPr>
        <w:sectPr>
          <w:headerReference r:id="rId60" w:type="default"/>
          <w:footerReference r:id="rId61" w:type="default"/>
          <w:pgSz w:w="11906" w:h="16839"/>
          <w:pgMar w:top="1745" w:right="1027" w:bottom="1152" w:left="1050" w:header="850" w:footer="992" w:gutter="0"/>
          <w:cols w:space="720" w:num="1"/>
        </w:sectPr>
      </w:pPr>
    </w:p>
    <w:p w14:paraId="050197A0">
      <w:pPr>
        <w:spacing w:before="141" w:line="265" w:lineRule="auto"/>
        <w:ind w:left="42" w:right="80" w:firstLine="422"/>
        <w:jc w:val="both"/>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温馨提示：投标文件资格审查资料请精心准备,如评标专家在检验电子标书过程中，如果由于投标人自</w:t>
      </w:r>
      <w:r>
        <w:rPr>
          <w:rFonts w:ascii="微软雅黑" w:hAnsi="微软雅黑" w:eastAsia="微软雅黑" w:cs="微软雅黑"/>
          <w:b/>
          <w:bCs/>
          <w:color w:val="auto"/>
          <w:spacing w:val="8"/>
          <w:sz w:val="21"/>
          <w:szCs w:val="21"/>
          <w:highlight w:val="none"/>
        </w:rPr>
        <w:t xml:space="preserve"> </w:t>
      </w:r>
      <w:r>
        <w:rPr>
          <w:rFonts w:ascii="微软雅黑" w:hAnsi="微软雅黑" w:eastAsia="微软雅黑" w:cs="微软雅黑"/>
          <w:b/>
          <w:bCs/>
          <w:color w:val="auto"/>
          <w:spacing w:val="1"/>
          <w:sz w:val="21"/>
          <w:szCs w:val="21"/>
          <w:highlight w:val="none"/>
        </w:rPr>
        <w:t>身原因导致评标专家无法查看并检验电子标书中以上相关资料的，</w:t>
      </w:r>
      <w:r>
        <w:rPr>
          <w:rFonts w:ascii="微软雅黑" w:hAnsi="微软雅黑" w:eastAsia="微软雅黑" w:cs="微软雅黑"/>
          <w:b/>
          <w:bCs/>
          <w:color w:val="auto"/>
          <w:spacing w:val="-38"/>
          <w:sz w:val="21"/>
          <w:szCs w:val="21"/>
          <w:highlight w:val="none"/>
        </w:rPr>
        <w:t xml:space="preserve"> </w:t>
      </w:r>
      <w:r>
        <w:rPr>
          <w:rFonts w:ascii="微软雅黑" w:hAnsi="微软雅黑" w:eastAsia="微软雅黑" w:cs="微软雅黑"/>
          <w:b/>
          <w:bCs/>
          <w:color w:val="auto"/>
          <w:spacing w:val="1"/>
          <w:sz w:val="21"/>
          <w:szCs w:val="21"/>
          <w:highlight w:val="none"/>
        </w:rPr>
        <w:t>按无效投标处理。即使投标单位将原件</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携带至现场的，同样按无效投标处理。</w:t>
      </w:r>
    </w:p>
    <w:p w14:paraId="485FDBE8">
      <w:pPr>
        <w:spacing w:before="134" w:line="171" w:lineRule="auto"/>
        <w:ind w:left="3448"/>
        <w:outlineLvl w:val="1"/>
        <w:rPr>
          <w:rFonts w:ascii="微软雅黑" w:hAnsi="微软雅黑" w:eastAsia="微软雅黑" w:cs="微软雅黑"/>
          <w:color w:val="auto"/>
          <w:sz w:val="24"/>
          <w:szCs w:val="24"/>
          <w:highlight w:val="none"/>
        </w:rPr>
      </w:pPr>
      <w:bookmarkStart w:id="127" w:name="bookmark60"/>
      <w:bookmarkEnd w:id="127"/>
      <w:bookmarkStart w:id="128" w:name="bookmark59"/>
      <w:bookmarkEnd w:id="128"/>
      <w:r>
        <w:rPr>
          <w:rFonts w:ascii="微软雅黑" w:hAnsi="微软雅黑" w:eastAsia="微软雅黑" w:cs="微软雅黑"/>
          <w:b/>
          <w:bCs/>
          <w:color w:val="auto"/>
          <w:spacing w:val="-4"/>
          <w:sz w:val="28"/>
          <w:szCs w:val="28"/>
          <w:highlight w:val="none"/>
        </w:rPr>
        <w:t>三</w:t>
      </w:r>
      <w:r>
        <w:rPr>
          <w:rFonts w:ascii="微软雅黑" w:hAnsi="微软雅黑" w:eastAsia="微软雅黑" w:cs="微软雅黑"/>
          <w:b/>
          <w:bCs/>
          <w:color w:val="auto"/>
          <w:spacing w:val="15"/>
          <w:sz w:val="28"/>
          <w:szCs w:val="28"/>
          <w:highlight w:val="none"/>
        </w:rPr>
        <w:t xml:space="preserve">   </w:t>
      </w:r>
      <w:r>
        <w:rPr>
          <w:rFonts w:ascii="微软雅黑" w:hAnsi="微软雅黑" w:eastAsia="微软雅黑" w:cs="微软雅黑"/>
          <w:b/>
          <w:bCs/>
          <w:color w:val="auto"/>
          <w:spacing w:val="-4"/>
          <w:sz w:val="24"/>
          <w:szCs w:val="24"/>
          <w:highlight w:val="none"/>
        </w:rPr>
        <w:t>投标文件的澄清和补正</w:t>
      </w:r>
    </w:p>
    <w:p w14:paraId="214B7B33">
      <w:pPr>
        <w:spacing w:before="116"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8．</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4"/>
          <w:sz w:val="21"/>
          <w:szCs w:val="21"/>
          <w:highlight w:val="none"/>
        </w:rPr>
        <w:t>澄清、说明或补正的形式</w:t>
      </w:r>
    </w:p>
    <w:p w14:paraId="61510749">
      <w:pPr>
        <w:spacing w:before="156" w:line="258" w:lineRule="auto"/>
        <w:ind w:left="42" w:right="18"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8.1 对于投标文件中含义不明确、同类问题表述</w:t>
      </w:r>
      <w:r>
        <w:rPr>
          <w:rFonts w:ascii="微软雅黑" w:hAnsi="微软雅黑" w:eastAsia="微软雅黑" w:cs="微软雅黑"/>
          <w:color w:val="auto"/>
          <w:spacing w:val="-2"/>
          <w:sz w:val="21"/>
          <w:szCs w:val="21"/>
          <w:highlight w:val="none"/>
        </w:rPr>
        <w:t>不一致或者有明显文字和计算错误的内容，评标委员会将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通过“政府采购云平台”在线询标的方式要求投标供应商在规定的时间内作出必要的澄清、说明或者补正，</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4"/>
          <w:sz w:val="21"/>
          <w:szCs w:val="21"/>
          <w:highlight w:val="none"/>
        </w:rPr>
        <w:t>投标供应商澄清、说明或补正时间为 20 分钟。</w:t>
      </w:r>
    </w:p>
    <w:p w14:paraId="4409A7FF">
      <w:pPr>
        <w:spacing w:before="159" w:line="238" w:lineRule="auto"/>
        <w:ind w:left="42" w:right="185"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8.2 投标供应商的澄清、说明或者补正应当通过“政府采购云平台”在线答复的方式提交，并加盖公章 </w:t>
      </w:r>
      <w:r>
        <w:rPr>
          <w:rFonts w:ascii="微软雅黑" w:hAnsi="微软雅黑" w:eastAsia="微软雅黑" w:cs="微软雅黑"/>
          <w:color w:val="auto"/>
          <w:spacing w:val="-1"/>
          <w:sz w:val="21"/>
          <w:szCs w:val="21"/>
          <w:highlight w:val="none"/>
        </w:rPr>
        <w:t>（电子印章</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1"/>
          <w:sz w:val="21"/>
          <w:szCs w:val="21"/>
          <w:highlight w:val="none"/>
        </w:rPr>
        <w:t>或者由法定代表人（负责人）或其授权的代表签字。投标供应商的澄清、说明或者补正不</w:t>
      </w:r>
    </w:p>
    <w:p w14:paraId="6303D06A">
      <w:pPr>
        <w:spacing w:before="165" w:line="292" w:lineRule="auto"/>
        <w:ind w:left="45" w:right="166" w:hanging="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得超出投标文件的范围或者改变投标文件的实质性内容，不接受投标</w:t>
      </w:r>
      <w:r>
        <w:rPr>
          <w:rFonts w:ascii="微软雅黑" w:hAnsi="微软雅黑" w:eastAsia="微软雅黑" w:cs="微软雅黑"/>
          <w:color w:val="auto"/>
          <w:spacing w:val="-1"/>
          <w:sz w:val="21"/>
          <w:szCs w:val="21"/>
          <w:highlight w:val="none"/>
        </w:rPr>
        <w:t>供应商主动对投标文件的澄清、说明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8"/>
          <w:sz w:val="21"/>
          <w:szCs w:val="21"/>
          <w:highlight w:val="none"/>
        </w:rPr>
        <w:t>或者补正。</w:t>
      </w:r>
    </w:p>
    <w:p w14:paraId="11341105">
      <w:pPr>
        <w:spacing w:before="2" w:line="258" w:lineRule="auto"/>
        <w:ind w:left="46" w:right="80"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8.3 上述询标、澄清、说明和补正工作如因客观</w:t>
      </w:r>
      <w:r>
        <w:rPr>
          <w:rFonts w:ascii="微软雅黑" w:hAnsi="微软雅黑" w:eastAsia="微软雅黑" w:cs="微软雅黑"/>
          <w:color w:val="auto"/>
          <w:spacing w:val="-2"/>
          <w:sz w:val="21"/>
          <w:szCs w:val="21"/>
          <w:highlight w:val="none"/>
        </w:rPr>
        <w:t>原因无法通过“政府采购云平台”在线进行的，将采用电</w:t>
      </w:r>
      <w:r>
        <w:rPr>
          <w:rFonts w:ascii="微软雅黑" w:hAnsi="微软雅黑" w:eastAsia="微软雅黑" w:cs="微软雅黑"/>
          <w:color w:val="auto"/>
          <w:sz w:val="21"/>
          <w:szCs w:val="21"/>
          <w:highlight w:val="none"/>
        </w:rPr>
        <w:t xml:space="preserve"> 子邮件等形式进行，请供应商保证办理投标事宜人员电话畅通</w:t>
      </w:r>
      <w:r>
        <w:rPr>
          <w:rFonts w:ascii="微软雅黑" w:hAnsi="微软雅黑" w:eastAsia="微软雅黑" w:cs="微软雅黑"/>
          <w:color w:val="auto"/>
          <w:spacing w:val="-1"/>
          <w:sz w:val="21"/>
          <w:szCs w:val="21"/>
          <w:highlight w:val="none"/>
        </w:rPr>
        <w:t>、网络在线。如未及时进行澄清、说明或者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补正的，视为放弃澄清、说明或者补正的权</w:t>
      </w:r>
      <w:r>
        <w:rPr>
          <w:rFonts w:ascii="微软雅黑" w:hAnsi="微软雅黑" w:eastAsia="微软雅黑" w:cs="微软雅黑"/>
          <w:color w:val="auto"/>
          <w:spacing w:val="-3"/>
          <w:sz w:val="21"/>
          <w:szCs w:val="21"/>
          <w:highlight w:val="none"/>
        </w:rPr>
        <w:t>利。</w:t>
      </w:r>
    </w:p>
    <w:p w14:paraId="14153484">
      <w:pPr>
        <w:spacing w:before="159"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9．</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6"/>
          <w:sz w:val="21"/>
          <w:szCs w:val="21"/>
          <w:highlight w:val="none"/>
        </w:rPr>
        <w:t>错误修正的原则</w:t>
      </w:r>
    </w:p>
    <w:p w14:paraId="3C32D7CB">
      <w:pPr>
        <w:spacing w:before="156" w:line="292" w:lineRule="auto"/>
        <w:ind w:left="42" w:right="166" w:firstLine="23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电子交易平台客户端里开标一览表录入的投标报价或优惠率与扫描上传的报价文件信息不一致的，以扫</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描上传的报价文件信息为准进行修正。</w:t>
      </w:r>
    </w:p>
    <w:p w14:paraId="2B6E4309">
      <w:pPr>
        <w:spacing w:before="5"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投标文件报价出现前后不一致的，除采购文件另有规定外，按照下列规定修正：</w:t>
      </w:r>
    </w:p>
    <w:p w14:paraId="3E44A85C">
      <w:pPr>
        <w:spacing w:before="159"/>
        <w:ind w:left="64" w:firstLine="1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9.1</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rPr>
        <w:t>投标函中表述的内容与报价表中不一致的，以报价表为准；报价表中的内容与报价明细表不一致的，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以报价表为准；</w:t>
      </w:r>
    </w:p>
    <w:p w14:paraId="2C4D7854">
      <w:pPr>
        <w:spacing w:before="158"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9.2</w:t>
      </w:r>
      <w:r>
        <w:rPr>
          <w:rFonts w:ascii="微软雅黑" w:hAnsi="微软雅黑" w:eastAsia="微软雅黑" w:cs="微软雅黑"/>
          <w:color w:val="auto"/>
          <w:spacing w:val="72"/>
          <w:sz w:val="21"/>
          <w:szCs w:val="21"/>
          <w:highlight w:val="none"/>
        </w:rPr>
        <w:t xml:space="preserve"> </w:t>
      </w:r>
      <w:r>
        <w:rPr>
          <w:rFonts w:ascii="微软雅黑" w:hAnsi="微软雅黑" w:eastAsia="微软雅黑" w:cs="微软雅黑"/>
          <w:color w:val="auto"/>
          <w:spacing w:val="-2"/>
          <w:sz w:val="21"/>
          <w:szCs w:val="21"/>
          <w:highlight w:val="none"/>
        </w:rPr>
        <w:t>投标文件中的大写金额和小写金额不一致的，以大写金额为准；</w:t>
      </w:r>
    </w:p>
    <w:p w14:paraId="3E0223DD">
      <w:pPr>
        <w:spacing w:before="159"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9.3</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1"/>
          <w:sz w:val="21"/>
          <w:szCs w:val="21"/>
          <w:highlight w:val="none"/>
        </w:rPr>
        <w:t>单价金额小数点或者百分比有明显错位的，以开标一览表</w:t>
      </w:r>
      <w:r>
        <w:rPr>
          <w:rFonts w:ascii="微软雅黑" w:hAnsi="微软雅黑" w:eastAsia="微软雅黑" w:cs="微软雅黑"/>
          <w:color w:val="auto"/>
          <w:spacing w:val="-2"/>
          <w:sz w:val="21"/>
          <w:szCs w:val="21"/>
          <w:highlight w:val="none"/>
        </w:rPr>
        <w:t>的总价为准，并修改单价；</w:t>
      </w:r>
    </w:p>
    <w:p w14:paraId="1618B24F">
      <w:pPr>
        <w:spacing w:before="160"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9.4  总价金额与按单价汇总金额不一致的，以单价金额计算结果为准；</w:t>
      </w:r>
    </w:p>
    <w:p w14:paraId="49579940">
      <w:pPr>
        <w:spacing w:before="159"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9.5</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
          <w:sz w:val="21"/>
          <w:szCs w:val="21"/>
          <w:highlight w:val="none"/>
        </w:rPr>
        <w:t>若用文字表示的数值与用数字表示的数值不一致</w:t>
      </w:r>
      <w:r>
        <w:rPr>
          <w:rFonts w:ascii="微软雅黑" w:hAnsi="微软雅黑" w:eastAsia="微软雅黑" w:cs="微软雅黑"/>
          <w:color w:val="auto"/>
          <w:spacing w:val="-2"/>
          <w:sz w:val="21"/>
          <w:szCs w:val="21"/>
          <w:highlight w:val="none"/>
        </w:rPr>
        <w:t>，以文字表示的数值为准；</w:t>
      </w:r>
    </w:p>
    <w:p w14:paraId="28182797">
      <w:pPr>
        <w:spacing w:before="157" w:line="241" w:lineRule="auto"/>
        <w:ind w:left="47" w:right="166" w:firstLine="19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9.6</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z w:val="21"/>
          <w:szCs w:val="21"/>
          <w:highlight w:val="none"/>
        </w:rPr>
        <w:t>如有多报（指数量超出采购文件需求）、重报（指同一货物重复报价），其投标总</w:t>
      </w:r>
      <w:r>
        <w:rPr>
          <w:rFonts w:ascii="微软雅黑" w:hAnsi="微软雅黑" w:eastAsia="微软雅黑" w:cs="微软雅黑"/>
          <w:color w:val="auto"/>
          <w:spacing w:val="-1"/>
          <w:sz w:val="21"/>
          <w:szCs w:val="21"/>
          <w:highlight w:val="none"/>
        </w:rPr>
        <w:t>价在评标过程中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不予调整，如其中标，其合同价按其投标单价予以调整；</w:t>
      </w:r>
    </w:p>
    <w:p w14:paraId="56294D16">
      <w:pPr>
        <w:spacing w:before="158"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9.7</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2"/>
          <w:sz w:val="21"/>
          <w:szCs w:val="21"/>
          <w:highlight w:val="none"/>
        </w:rPr>
        <w:t>对不同文字文本投标文件的解释发生异议的，以中文文本为准；</w:t>
      </w:r>
    </w:p>
    <w:p w14:paraId="05C24ABB">
      <w:pPr>
        <w:spacing w:before="156" w:line="291" w:lineRule="auto"/>
        <w:ind w:left="42" w:right="166" w:firstLine="23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同时出现两种以上不一致的，按照前款规定的顺序修正。按上述修正错误的原则及方法调整或修正投标</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z w:val="21"/>
          <w:szCs w:val="21"/>
          <w:highlight w:val="none"/>
        </w:rPr>
        <w:t>文件的投标报价，供应商确认后，以调整或修正后的投标报价为准。如</w:t>
      </w:r>
      <w:r>
        <w:rPr>
          <w:rFonts w:ascii="微软雅黑" w:hAnsi="微软雅黑" w:eastAsia="微软雅黑" w:cs="微软雅黑"/>
          <w:color w:val="auto"/>
          <w:spacing w:val="-1"/>
          <w:sz w:val="21"/>
          <w:szCs w:val="21"/>
          <w:highlight w:val="none"/>
        </w:rPr>
        <w:t>供应商拒绝调整或修正的，其投标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文件按无效标处理。修正应当采用电子询标的形式，并加盖公章</w:t>
      </w:r>
      <w:r>
        <w:rPr>
          <w:rFonts w:ascii="微软雅黑" w:hAnsi="微软雅黑" w:eastAsia="微软雅黑" w:cs="微软雅黑"/>
          <w:color w:val="auto"/>
          <w:spacing w:val="-2"/>
          <w:sz w:val="21"/>
          <w:szCs w:val="21"/>
          <w:highlight w:val="none"/>
        </w:rPr>
        <w:t>（电子印章）。</w:t>
      </w:r>
    </w:p>
    <w:p w14:paraId="45F7F6CB">
      <w:pPr>
        <w:spacing w:line="291" w:lineRule="auto"/>
        <w:rPr>
          <w:rFonts w:ascii="微软雅黑" w:hAnsi="微软雅黑" w:eastAsia="微软雅黑" w:cs="微软雅黑"/>
          <w:color w:val="auto"/>
          <w:sz w:val="21"/>
          <w:szCs w:val="21"/>
          <w:highlight w:val="none"/>
        </w:rPr>
        <w:sectPr>
          <w:headerReference r:id="rId62" w:type="default"/>
          <w:footerReference r:id="rId63" w:type="default"/>
          <w:pgSz w:w="11906" w:h="16839"/>
          <w:pgMar w:top="1745" w:right="999" w:bottom="1152" w:left="1050" w:header="850" w:footer="992" w:gutter="0"/>
          <w:cols w:space="720" w:num="1"/>
        </w:sectPr>
      </w:pPr>
    </w:p>
    <w:p w14:paraId="08364E8D">
      <w:pPr>
        <w:spacing w:before="114" w:line="187" w:lineRule="auto"/>
        <w:ind w:left="4166"/>
        <w:outlineLvl w:val="1"/>
        <w:rPr>
          <w:rFonts w:ascii="微软雅黑" w:hAnsi="微软雅黑" w:eastAsia="微软雅黑" w:cs="微软雅黑"/>
          <w:color w:val="auto"/>
          <w:sz w:val="24"/>
          <w:szCs w:val="24"/>
          <w:highlight w:val="none"/>
        </w:rPr>
      </w:pPr>
      <w:bookmarkStart w:id="129" w:name="bookmark61"/>
      <w:bookmarkEnd w:id="129"/>
      <w:bookmarkStart w:id="130" w:name="bookmark62"/>
      <w:bookmarkEnd w:id="130"/>
      <w:r>
        <w:rPr>
          <w:rFonts w:ascii="微软雅黑" w:hAnsi="微软雅黑" w:eastAsia="微软雅黑" w:cs="微软雅黑"/>
          <w:b/>
          <w:bCs/>
          <w:color w:val="auto"/>
          <w:spacing w:val="-10"/>
          <w:w w:val="98"/>
          <w:sz w:val="24"/>
          <w:szCs w:val="24"/>
          <w:highlight w:val="none"/>
        </w:rPr>
        <w:t>四</w:t>
      </w:r>
      <w:r>
        <w:rPr>
          <w:rFonts w:ascii="微软雅黑" w:hAnsi="微软雅黑" w:eastAsia="微软雅黑" w:cs="微软雅黑"/>
          <w:b/>
          <w:bCs/>
          <w:color w:val="auto"/>
          <w:spacing w:val="14"/>
          <w:sz w:val="24"/>
          <w:szCs w:val="24"/>
          <w:highlight w:val="none"/>
        </w:rPr>
        <w:t xml:space="preserve">  </w:t>
      </w:r>
      <w:r>
        <w:rPr>
          <w:rFonts w:ascii="微软雅黑" w:hAnsi="微软雅黑" w:eastAsia="微软雅黑" w:cs="微软雅黑"/>
          <w:b/>
          <w:bCs/>
          <w:color w:val="auto"/>
          <w:spacing w:val="-10"/>
          <w:w w:val="98"/>
          <w:sz w:val="24"/>
          <w:szCs w:val="24"/>
          <w:highlight w:val="none"/>
        </w:rPr>
        <w:t>比较与评价</w:t>
      </w:r>
    </w:p>
    <w:p w14:paraId="2C5DEFBC">
      <w:pPr>
        <w:spacing w:before="137"/>
        <w:ind w:left="44" w:right="61" w:firstLine="5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10.1 评标委员会按招标文件中规定的评标方法和标</w:t>
      </w:r>
      <w:r>
        <w:rPr>
          <w:rFonts w:ascii="微软雅黑" w:hAnsi="微软雅黑" w:eastAsia="微软雅黑" w:cs="微软雅黑"/>
          <w:color w:val="auto"/>
          <w:spacing w:val="-3"/>
          <w:sz w:val="21"/>
          <w:szCs w:val="21"/>
          <w:highlight w:val="none"/>
        </w:rPr>
        <w:t>准，对资格性检查和符合性检查合格的投标文件进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行商务和技术评估、综合比较与评价。</w:t>
      </w:r>
    </w:p>
    <w:p w14:paraId="76CACAB3">
      <w:pPr>
        <w:spacing w:before="158" w:line="238" w:lineRule="auto"/>
        <w:ind w:left="50" w:right="61" w:firstLine="5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10.2 评标委员会根据商务和技术评估的结</w:t>
      </w:r>
      <w:r>
        <w:rPr>
          <w:rFonts w:ascii="微软雅黑" w:hAnsi="微软雅黑" w:eastAsia="微软雅黑" w:cs="微软雅黑"/>
          <w:color w:val="auto"/>
          <w:spacing w:val="-3"/>
          <w:sz w:val="21"/>
          <w:szCs w:val="21"/>
          <w:highlight w:val="none"/>
        </w:rPr>
        <w:t>果，采用综合评分法，分别对投标文件的商务、技术、价格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等内容进行打分。其中，商务评估、技术评估、价格评估的</w:t>
      </w:r>
      <w:r>
        <w:rPr>
          <w:rFonts w:ascii="微软雅黑" w:hAnsi="微软雅黑" w:eastAsia="微软雅黑" w:cs="微软雅黑"/>
          <w:color w:val="auto"/>
          <w:spacing w:val="-2"/>
          <w:sz w:val="21"/>
          <w:szCs w:val="21"/>
          <w:highlight w:val="none"/>
        </w:rPr>
        <w:t>评分权值（详见附件 1）。</w:t>
      </w:r>
    </w:p>
    <w:p w14:paraId="116E8AAB">
      <w:pPr>
        <w:spacing w:before="165"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10.2.1 评委打分办法</w:t>
      </w:r>
    </w:p>
    <w:p w14:paraId="211B9EDC">
      <w:pPr>
        <w:spacing w:before="157"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（1）参加评分的评委应尽力体现客观、实事求是，避免学派偏见和个人偏好。</w:t>
      </w:r>
    </w:p>
    <w:p w14:paraId="05EDDD26">
      <w:pPr>
        <w:spacing w:before="166"/>
        <w:ind w:left="80" w:firstLine="5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（2）衡量、对比的依据，应以招标文件、投标文件、</w:t>
      </w:r>
      <w:r>
        <w:rPr>
          <w:rFonts w:ascii="微软雅黑" w:hAnsi="微软雅黑" w:eastAsia="微软雅黑" w:cs="微软雅黑"/>
          <w:color w:val="auto"/>
          <w:spacing w:val="-3"/>
          <w:sz w:val="21"/>
          <w:szCs w:val="21"/>
          <w:highlight w:val="none"/>
        </w:rPr>
        <w:t>提供的正式试验数据、质询澄清中的文字为准，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口头回答和收集的资料只作为参考。</w:t>
      </w:r>
    </w:p>
    <w:p w14:paraId="7ECF847C">
      <w:pPr>
        <w:spacing w:before="159"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（3）评分主要是为比较各投标人的价格、商务和技术综合排序。</w:t>
      </w:r>
    </w:p>
    <w:p w14:paraId="3B66C931">
      <w:pPr>
        <w:spacing w:before="165"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（4）评委打分采取记名形式。</w:t>
      </w:r>
    </w:p>
    <w:p w14:paraId="69A49B92">
      <w:pPr>
        <w:spacing w:before="164" w:line="241" w:lineRule="auto"/>
        <w:ind w:left="42" w:right="62" w:firstLine="53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（5）各评委根据提供的技术打分表独立自主打分，任何人不得要求评委统一打分或</w:t>
      </w:r>
      <w:r>
        <w:rPr>
          <w:rFonts w:ascii="微软雅黑" w:hAnsi="微软雅黑" w:eastAsia="微软雅黑" w:cs="微软雅黑"/>
          <w:color w:val="auto"/>
          <w:sz w:val="21"/>
          <w:szCs w:val="21"/>
          <w:highlight w:val="none"/>
        </w:rPr>
        <w:t xml:space="preserve">统一确定等次顺 </w:t>
      </w:r>
      <w:r>
        <w:rPr>
          <w:rFonts w:ascii="微软雅黑" w:hAnsi="微软雅黑" w:eastAsia="微软雅黑" w:cs="微软雅黑"/>
          <w:color w:val="auto"/>
          <w:spacing w:val="-11"/>
          <w:sz w:val="21"/>
          <w:szCs w:val="21"/>
          <w:highlight w:val="none"/>
        </w:rPr>
        <w:t>序。</w:t>
      </w:r>
    </w:p>
    <w:p w14:paraId="66AEEA7B">
      <w:pPr>
        <w:spacing w:before="156" w:line="241" w:lineRule="auto"/>
        <w:ind w:left="42" w:right="75" w:firstLine="5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（6）对打分表中的每项条款，各评委应根据投标文件</w:t>
      </w:r>
      <w:r>
        <w:rPr>
          <w:rFonts w:ascii="微软雅黑" w:hAnsi="微软雅黑" w:eastAsia="微软雅黑" w:cs="微软雅黑"/>
          <w:color w:val="auto"/>
          <w:sz w:val="21"/>
          <w:szCs w:val="21"/>
          <w:highlight w:val="none"/>
        </w:rPr>
        <w:t xml:space="preserve">、澄清材料、招标文件要求，按满足的程度给 </w:t>
      </w:r>
      <w:r>
        <w:rPr>
          <w:rFonts w:ascii="微软雅黑" w:hAnsi="微软雅黑" w:eastAsia="微软雅黑" w:cs="微软雅黑"/>
          <w:color w:val="auto"/>
          <w:spacing w:val="-6"/>
          <w:sz w:val="21"/>
          <w:szCs w:val="21"/>
          <w:highlight w:val="none"/>
        </w:rPr>
        <w:t>投标人打分。</w:t>
      </w:r>
    </w:p>
    <w:p w14:paraId="67DC8409">
      <w:pPr>
        <w:spacing w:before="158"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（7）评分程序</w:t>
      </w:r>
    </w:p>
    <w:p w14:paraId="70BF8774">
      <w:pPr>
        <w:spacing w:before="164" w:line="241" w:lineRule="auto"/>
        <w:ind w:left="45" w:right="61" w:firstLine="5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1)就投标人的投标文件对照整理出商务、技术评标因素对比表、偏</w:t>
      </w:r>
      <w:r>
        <w:rPr>
          <w:rFonts w:ascii="微软雅黑" w:hAnsi="微软雅黑" w:eastAsia="微软雅黑" w:cs="微软雅黑"/>
          <w:color w:val="auto"/>
          <w:spacing w:val="-5"/>
          <w:sz w:val="21"/>
          <w:szCs w:val="21"/>
          <w:highlight w:val="none"/>
        </w:rPr>
        <w:t>差表，</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并在经过校核的基础上逐项</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0"/>
          <w:sz w:val="21"/>
          <w:szCs w:val="21"/>
          <w:highlight w:val="none"/>
        </w:rPr>
        <w:t>打分。</w:t>
      </w:r>
    </w:p>
    <w:p w14:paraId="49948CE4">
      <w:pPr>
        <w:spacing w:before="158" w:line="183" w:lineRule="auto"/>
        <w:ind w:left="5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2)各评委独立完成打分后，将评分表交给代理机构，由代理机构组织进行分数统计。</w:t>
      </w:r>
    </w:p>
    <w:p w14:paraId="2A4C9F4F">
      <w:pPr>
        <w:spacing w:before="16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3)最终汇总表中各投标人得分应为评委打分的算术平均值。</w:t>
      </w:r>
    </w:p>
    <w:p w14:paraId="72936078">
      <w:pPr>
        <w:spacing w:line="183" w:lineRule="auto"/>
        <w:rPr>
          <w:rFonts w:ascii="微软雅黑" w:hAnsi="微软雅黑" w:eastAsia="微软雅黑" w:cs="微软雅黑"/>
          <w:color w:val="auto"/>
          <w:sz w:val="21"/>
          <w:szCs w:val="21"/>
          <w:highlight w:val="none"/>
        </w:rPr>
        <w:sectPr>
          <w:headerReference r:id="rId64" w:type="default"/>
          <w:footerReference r:id="rId65" w:type="default"/>
          <w:pgSz w:w="11906" w:h="16839"/>
          <w:pgMar w:top="1745" w:right="1018" w:bottom="1152" w:left="1050" w:header="850" w:footer="992" w:gutter="0"/>
          <w:cols w:space="720" w:num="1"/>
        </w:sectPr>
      </w:pPr>
    </w:p>
    <w:p w14:paraId="3E1838B8">
      <w:pPr>
        <w:pStyle w:val="6"/>
        <w:spacing w:line="448" w:lineRule="auto"/>
        <w:rPr>
          <w:color w:val="auto"/>
          <w:highlight w:val="none"/>
        </w:rPr>
      </w:pPr>
    </w:p>
    <w:p w14:paraId="5B01237A">
      <w:pPr>
        <w:tabs>
          <w:tab w:val="left" w:pos="1130"/>
        </w:tabs>
        <w:spacing w:line="884" w:lineRule="exact"/>
        <w:ind w:firstLine="645"/>
        <w:rPr>
          <w:color w:val="auto"/>
          <w:highlight w:val="none"/>
        </w:rPr>
      </w:pPr>
      <w:r>
        <w:rPr>
          <w:color w:val="auto"/>
          <w:highlight w:val="none"/>
        </w:rPr>
        <w:pict>
          <v:shape id="_x0000_s1032" o:spid="_x0000_s1032" style="position:absolute;left:0pt;margin-left:14.6pt;margin-top:44.45pt;height:0.5pt;width:490.25pt;z-index:251667456;mso-width-relative:page;mso-height-relative:page;" filled="f" stroked="t" coordsize="9805,10" path="m0,5l9804,5e">
            <v:fill on="f" focussize="0,0"/>
            <v:stroke weight="0.5pt" color="#FFFFFF" miterlimit="10" joinstyle="miter"/>
            <v:imagedata o:title=""/>
            <o:lock v:ext="edit" aspectratio="f"/>
          </v:shape>
        </w:pict>
      </w:r>
      <w:r>
        <w:rPr>
          <w:rFonts w:hint="eastAsia"/>
          <w:color w:val="auto"/>
          <w:highlight w:val="none"/>
          <w:lang w:eastAsia="zh-CN"/>
        </w:rPr>
        <w:tab/>
      </w:r>
    </w:p>
    <w:p w14:paraId="7A932EE5">
      <w:pPr>
        <w:spacing w:before="181" w:line="179" w:lineRule="auto"/>
        <w:ind w:left="869"/>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（8）评分标准和细则（综合评分法评分标准）</w:t>
      </w: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2422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759" w:type="dxa"/>
            <w:vAlign w:val="top"/>
          </w:tcPr>
          <w:p w14:paraId="1920609B">
            <w:pPr>
              <w:pStyle w:val="12"/>
              <w:spacing w:before="243" w:line="188" w:lineRule="auto"/>
              <w:ind w:left="181"/>
              <w:rPr>
                <w:color w:val="auto"/>
                <w:sz w:val="22"/>
                <w:szCs w:val="22"/>
                <w:highlight w:val="none"/>
              </w:rPr>
            </w:pPr>
            <w:r>
              <w:rPr>
                <w:color w:val="auto"/>
                <w:spacing w:val="-4"/>
                <w:sz w:val="22"/>
                <w:szCs w:val="22"/>
                <w:highlight w:val="none"/>
              </w:rPr>
              <w:t>序号</w:t>
            </w:r>
          </w:p>
        </w:tc>
        <w:tc>
          <w:tcPr>
            <w:tcW w:w="1192" w:type="dxa"/>
            <w:vAlign w:val="top"/>
          </w:tcPr>
          <w:p w14:paraId="65CC196A">
            <w:pPr>
              <w:pStyle w:val="12"/>
              <w:spacing w:before="124" w:line="170" w:lineRule="auto"/>
              <w:ind w:left="287" w:right="140" w:hanging="111"/>
              <w:rPr>
                <w:color w:val="auto"/>
                <w:sz w:val="22"/>
                <w:szCs w:val="22"/>
                <w:highlight w:val="none"/>
              </w:rPr>
            </w:pPr>
            <w:r>
              <w:rPr>
                <w:color w:val="auto"/>
                <w:spacing w:val="-4"/>
                <w:sz w:val="22"/>
                <w:szCs w:val="22"/>
                <w:highlight w:val="none"/>
              </w:rPr>
              <w:t>评分因素</w:t>
            </w:r>
            <w:r>
              <w:rPr>
                <w:color w:val="auto"/>
                <w:sz w:val="22"/>
                <w:szCs w:val="22"/>
                <w:highlight w:val="none"/>
              </w:rPr>
              <w:t xml:space="preserve"> </w:t>
            </w:r>
            <w:r>
              <w:rPr>
                <w:color w:val="auto"/>
                <w:spacing w:val="-4"/>
                <w:sz w:val="22"/>
                <w:szCs w:val="22"/>
                <w:highlight w:val="none"/>
              </w:rPr>
              <w:t>及权重</w:t>
            </w:r>
          </w:p>
        </w:tc>
        <w:tc>
          <w:tcPr>
            <w:tcW w:w="1080" w:type="dxa"/>
            <w:vAlign w:val="top"/>
          </w:tcPr>
          <w:p w14:paraId="6B9D6109">
            <w:pPr>
              <w:pStyle w:val="12"/>
              <w:spacing w:before="243" w:line="188" w:lineRule="auto"/>
              <w:ind w:left="343"/>
              <w:rPr>
                <w:color w:val="auto"/>
                <w:sz w:val="22"/>
                <w:szCs w:val="22"/>
                <w:highlight w:val="none"/>
              </w:rPr>
            </w:pPr>
            <w:r>
              <w:rPr>
                <w:color w:val="auto"/>
                <w:spacing w:val="-4"/>
                <w:w w:val="99"/>
                <w:sz w:val="22"/>
                <w:szCs w:val="22"/>
                <w:highlight w:val="none"/>
              </w:rPr>
              <w:t>分值</w:t>
            </w:r>
          </w:p>
        </w:tc>
        <w:tc>
          <w:tcPr>
            <w:tcW w:w="6786" w:type="dxa"/>
            <w:vAlign w:val="top"/>
          </w:tcPr>
          <w:p w14:paraId="4FE555C0">
            <w:pPr>
              <w:pStyle w:val="12"/>
              <w:spacing w:before="243" w:line="188" w:lineRule="auto"/>
              <w:ind w:left="2978"/>
              <w:rPr>
                <w:color w:val="auto"/>
                <w:sz w:val="22"/>
                <w:szCs w:val="22"/>
                <w:highlight w:val="none"/>
              </w:rPr>
            </w:pPr>
            <w:r>
              <w:rPr>
                <w:color w:val="auto"/>
                <w:spacing w:val="-3"/>
                <w:sz w:val="22"/>
                <w:szCs w:val="22"/>
                <w:highlight w:val="none"/>
              </w:rPr>
              <w:t>评分标准</w:t>
            </w:r>
          </w:p>
        </w:tc>
        <w:tc>
          <w:tcPr>
            <w:tcW w:w="551" w:type="dxa"/>
            <w:vAlign w:val="top"/>
          </w:tcPr>
          <w:p w14:paraId="261AA95D">
            <w:pPr>
              <w:pStyle w:val="12"/>
              <w:spacing w:before="124" w:line="170" w:lineRule="auto"/>
              <w:ind w:left="190" w:right="157" w:hanging="12"/>
              <w:rPr>
                <w:color w:val="auto"/>
                <w:sz w:val="22"/>
                <w:szCs w:val="22"/>
                <w:highlight w:val="none"/>
              </w:rPr>
            </w:pPr>
            <w:r>
              <w:rPr>
                <w:color w:val="auto"/>
                <w:spacing w:val="-5"/>
                <w:w w:val="95"/>
                <w:sz w:val="22"/>
                <w:szCs w:val="22"/>
                <w:highlight w:val="none"/>
              </w:rPr>
              <w:t>说</w:t>
            </w:r>
            <w:r>
              <w:rPr>
                <w:color w:val="auto"/>
                <w:sz w:val="22"/>
                <w:szCs w:val="22"/>
                <w:highlight w:val="none"/>
              </w:rPr>
              <w:t xml:space="preserve"> </w:t>
            </w:r>
            <w:r>
              <w:rPr>
                <w:color w:val="auto"/>
                <w:spacing w:val="-29"/>
                <w:sz w:val="22"/>
                <w:szCs w:val="22"/>
                <w:highlight w:val="none"/>
              </w:rPr>
              <w:t>明</w:t>
            </w:r>
          </w:p>
        </w:tc>
      </w:tr>
      <w:tr w14:paraId="79ADB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759" w:type="dxa"/>
            <w:vAlign w:val="top"/>
          </w:tcPr>
          <w:p w14:paraId="2568E144">
            <w:pPr>
              <w:spacing w:line="252" w:lineRule="auto"/>
              <w:rPr>
                <w:rFonts w:ascii="Arial"/>
                <w:color w:val="auto"/>
                <w:sz w:val="21"/>
                <w:highlight w:val="none"/>
              </w:rPr>
            </w:pPr>
          </w:p>
          <w:p w14:paraId="501FB329">
            <w:pPr>
              <w:spacing w:line="252" w:lineRule="auto"/>
              <w:rPr>
                <w:rFonts w:ascii="Arial"/>
                <w:color w:val="auto"/>
                <w:sz w:val="21"/>
                <w:highlight w:val="none"/>
              </w:rPr>
            </w:pPr>
          </w:p>
          <w:p w14:paraId="15106A0E">
            <w:pPr>
              <w:spacing w:line="252" w:lineRule="auto"/>
              <w:rPr>
                <w:rFonts w:ascii="Arial"/>
                <w:color w:val="auto"/>
                <w:sz w:val="21"/>
                <w:highlight w:val="none"/>
              </w:rPr>
            </w:pPr>
          </w:p>
          <w:p w14:paraId="443B2B9A">
            <w:pPr>
              <w:pStyle w:val="12"/>
              <w:spacing w:before="94" w:line="159" w:lineRule="auto"/>
              <w:ind w:left="355"/>
              <w:rPr>
                <w:color w:val="auto"/>
                <w:sz w:val="22"/>
                <w:szCs w:val="22"/>
                <w:highlight w:val="none"/>
              </w:rPr>
            </w:pPr>
            <w:r>
              <w:rPr>
                <w:color w:val="auto"/>
                <w:sz w:val="22"/>
                <w:szCs w:val="22"/>
                <w:highlight w:val="none"/>
              </w:rPr>
              <w:t>1</w:t>
            </w:r>
          </w:p>
        </w:tc>
        <w:tc>
          <w:tcPr>
            <w:tcW w:w="1192" w:type="dxa"/>
            <w:vAlign w:val="top"/>
          </w:tcPr>
          <w:p w14:paraId="364054A8">
            <w:pPr>
              <w:spacing w:line="298" w:lineRule="auto"/>
              <w:rPr>
                <w:rFonts w:ascii="Arial"/>
                <w:color w:val="auto"/>
                <w:sz w:val="21"/>
                <w:highlight w:val="none"/>
              </w:rPr>
            </w:pPr>
          </w:p>
          <w:p w14:paraId="6F80B463">
            <w:pPr>
              <w:spacing w:line="298" w:lineRule="auto"/>
              <w:rPr>
                <w:rFonts w:ascii="Arial"/>
                <w:color w:val="auto"/>
                <w:sz w:val="21"/>
                <w:highlight w:val="none"/>
              </w:rPr>
            </w:pPr>
          </w:p>
          <w:p w14:paraId="7404A60E">
            <w:pPr>
              <w:pStyle w:val="12"/>
              <w:spacing w:before="95" w:line="168" w:lineRule="auto"/>
              <w:ind w:left="203" w:right="140" w:hanging="28"/>
              <w:rPr>
                <w:color w:val="auto"/>
                <w:sz w:val="22"/>
                <w:szCs w:val="22"/>
                <w:highlight w:val="none"/>
              </w:rPr>
            </w:pPr>
            <w:r>
              <w:rPr>
                <w:color w:val="auto"/>
                <w:spacing w:val="-4"/>
                <w:sz w:val="22"/>
                <w:szCs w:val="22"/>
                <w:highlight w:val="none"/>
              </w:rPr>
              <w:t>投标报价</w:t>
            </w:r>
            <w:r>
              <w:rPr>
                <w:color w:val="auto"/>
                <w:spacing w:val="1"/>
                <w:sz w:val="22"/>
                <w:szCs w:val="22"/>
                <w:highlight w:val="none"/>
              </w:rPr>
              <w:t xml:space="preserve"> </w:t>
            </w:r>
            <w:r>
              <w:rPr>
                <w:color w:val="auto"/>
                <w:spacing w:val="-10"/>
                <w:sz w:val="22"/>
                <w:szCs w:val="22"/>
                <w:highlight w:val="none"/>
              </w:rPr>
              <w:t>（30</w:t>
            </w:r>
            <w:r>
              <w:rPr>
                <w:color w:val="auto"/>
                <w:spacing w:val="22"/>
                <w:w w:val="101"/>
                <w:sz w:val="22"/>
                <w:szCs w:val="22"/>
                <w:highlight w:val="none"/>
              </w:rPr>
              <w:t xml:space="preserve"> </w:t>
            </w:r>
            <w:r>
              <w:rPr>
                <w:color w:val="auto"/>
                <w:spacing w:val="-10"/>
                <w:sz w:val="22"/>
                <w:szCs w:val="22"/>
                <w:highlight w:val="none"/>
              </w:rPr>
              <w:t>分)</w:t>
            </w:r>
          </w:p>
        </w:tc>
        <w:tc>
          <w:tcPr>
            <w:tcW w:w="1080" w:type="dxa"/>
            <w:vAlign w:val="top"/>
          </w:tcPr>
          <w:p w14:paraId="45934A1E">
            <w:pPr>
              <w:spacing w:line="358" w:lineRule="auto"/>
              <w:rPr>
                <w:rFonts w:ascii="Arial"/>
                <w:color w:val="auto"/>
                <w:sz w:val="21"/>
                <w:highlight w:val="none"/>
              </w:rPr>
            </w:pPr>
          </w:p>
          <w:p w14:paraId="67BF4483">
            <w:pPr>
              <w:spacing w:line="358" w:lineRule="auto"/>
              <w:rPr>
                <w:rFonts w:ascii="Arial"/>
                <w:color w:val="auto"/>
                <w:sz w:val="21"/>
                <w:highlight w:val="none"/>
              </w:rPr>
            </w:pPr>
          </w:p>
          <w:p w14:paraId="1A30A3B5">
            <w:pPr>
              <w:pStyle w:val="12"/>
              <w:spacing w:before="95" w:line="183" w:lineRule="auto"/>
              <w:ind w:left="112"/>
              <w:rPr>
                <w:color w:val="auto"/>
                <w:sz w:val="22"/>
                <w:szCs w:val="22"/>
                <w:highlight w:val="none"/>
              </w:rPr>
            </w:pPr>
            <w:r>
              <w:rPr>
                <w:color w:val="auto"/>
                <w:spacing w:val="-10"/>
                <w:sz w:val="22"/>
                <w:szCs w:val="22"/>
                <w:highlight w:val="none"/>
              </w:rPr>
              <w:t>30（分）</w:t>
            </w:r>
          </w:p>
        </w:tc>
        <w:tc>
          <w:tcPr>
            <w:tcW w:w="6786" w:type="dxa"/>
            <w:vAlign w:val="top"/>
          </w:tcPr>
          <w:p w14:paraId="0AA96BC8">
            <w:pPr>
              <w:pStyle w:val="12"/>
              <w:spacing w:before="45" w:line="197" w:lineRule="auto"/>
              <w:ind w:left="115"/>
              <w:jc w:val="both"/>
              <w:rPr>
                <w:color w:val="auto"/>
                <w:sz w:val="22"/>
                <w:szCs w:val="22"/>
                <w:highlight w:val="none"/>
              </w:rPr>
            </w:pPr>
            <w:r>
              <w:rPr>
                <w:color w:val="auto"/>
                <w:spacing w:val="-2"/>
                <w:sz w:val="22"/>
                <w:szCs w:val="22"/>
                <w:highlight w:val="none"/>
              </w:rPr>
              <w:t>各供应商的价格得分的计算公式：采用低价优先法计算，即满足招标</w:t>
            </w:r>
            <w:r>
              <w:rPr>
                <w:color w:val="auto"/>
                <w:spacing w:val="7"/>
                <w:sz w:val="22"/>
                <w:szCs w:val="22"/>
                <w:highlight w:val="none"/>
              </w:rPr>
              <w:t xml:space="preserve">  </w:t>
            </w:r>
            <w:r>
              <w:rPr>
                <w:color w:val="auto"/>
                <w:spacing w:val="-5"/>
                <w:sz w:val="22"/>
                <w:szCs w:val="22"/>
                <w:highlight w:val="none"/>
              </w:rPr>
              <w:t>文件要求且投标价格最低的投标报价为评标基准价，其价</w:t>
            </w:r>
            <w:r>
              <w:rPr>
                <w:color w:val="auto"/>
                <w:spacing w:val="-6"/>
                <w:sz w:val="22"/>
                <w:szCs w:val="22"/>
                <w:highlight w:val="none"/>
              </w:rPr>
              <w:t>格分为满分。</w:t>
            </w:r>
            <w:r>
              <w:rPr>
                <w:color w:val="auto"/>
                <w:sz w:val="22"/>
                <w:szCs w:val="22"/>
                <w:highlight w:val="none"/>
              </w:rPr>
              <w:t xml:space="preserve"> </w:t>
            </w:r>
            <w:r>
              <w:rPr>
                <w:color w:val="auto"/>
                <w:spacing w:val="-4"/>
                <w:sz w:val="22"/>
                <w:szCs w:val="22"/>
                <w:highlight w:val="none"/>
              </w:rPr>
              <w:t>其他投标人的价格分统一按照下列公式计算：</w:t>
            </w:r>
          </w:p>
          <w:p w14:paraId="71B94E38">
            <w:pPr>
              <w:pStyle w:val="12"/>
              <w:spacing w:before="3" w:line="197" w:lineRule="auto"/>
              <w:ind w:left="130" w:right="98" w:hanging="16"/>
              <w:rPr>
                <w:color w:val="auto"/>
                <w:sz w:val="22"/>
                <w:szCs w:val="22"/>
                <w:highlight w:val="none"/>
              </w:rPr>
            </w:pPr>
            <w:r>
              <w:rPr>
                <w:color w:val="auto"/>
                <w:spacing w:val="1"/>
                <w:sz w:val="22"/>
                <w:szCs w:val="22"/>
                <w:highlight w:val="none"/>
              </w:rPr>
              <w:t>投标报价得分=(评标基准价／投标报价)×价格权值×100。计算分数</w:t>
            </w:r>
            <w:r>
              <w:rPr>
                <w:color w:val="auto"/>
                <w:spacing w:val="5"/>
                <w:sz w:val="22"/>
                <w:szCs w:val="22"/>
                <w:highlight w:val="none"/>
              </w:rPr>
              <w:t xml:space="preserve"> </w:t>
            </w:r>
            <w:r>
              <w:rPr>
                <w:color w:val="auto"/>
                <w:spacing w:val="-2"/>
                <w:sz w:val="22"/>
                <w:szCs w:val="22"/>
                <w:highlight w:val="none"/>
              </w:rPr>
              <w:t>时四舍五入取小数点后两位,分数最高不超过 30 分。</w:t>
            </w:r>
          </w:p>
          <w:p w14:paraId="5685F8F6">
            <w:pPr>
              <w:pStyle w:val="12"/>
              <w:spacing w:before="5" w:line="163" w:lineRule="auto"/>
              <w:ind w:left="116"/>
              <w:rPr>
                <w:color w:val="auto"/>
                <w:sz w:val="22"/>
                <w:szCs w:val="22"/>
                <w:highlight w:val="none"/>
              </w:rPr>
            </w:pPr>
            <w:r>
              <w:rPr>
                <w:color w:val="auto"/>
                <w:spacing w:val="-2"/>
                <w:sz w:val="22"/>
                <w:szCs w:val="22"/>
                <w:highlight w:val="none"/>
              </w:rPr>
              <w:t>评标过程中，不得去掉报价中的最低和最高报价。</w:t>
            </w:r>
          </w:p>
        </w:tc>
        <w:tc>
          <w:tcPr>
            <w:tcW w:w="551" w:type="dxa"/>
            <w:vAlign w:val="top"/>
          </w:tcPr>
          <w:p w14:paraId="5B749382">
            <w:pPr>
              <w:rPr>
                <w:rFonts w:ascii="Arial"/>
                <w:color w:val="auto"/>
                <w:sz w:val="21"/>
                <w:highlight w:val="none"/>
              </w:rPr>
            </w:pPr>
          </w:p>
        </w:tc>
      </w:tr>
      <w:tr w14:paraId="4D358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4" w:hRule="atLeast"/>
        </w:trPr>
        <w:tc>
          <w:tcPr>
            <w:tcW w:w="759" w:type="dxa"/>
            <w:vMerge w:val="restart"/>
            <w:tcBorders>
              <w:bottom w:val="nil"/>
            </w:tcBorders>
            <w:vAlign w:val="top"/>
          </w:tcPr>
          <w:p w14:paraId="3AA9961F">
            <w:pPr>
              <w:spacing w:line="243" w:lineRule="auto"/>
              <w:rPr>
                <w:rFonts w:ascii="Arial"/>
                <w:color w:val="auto"/>
                <w:sz w:val="21"/>
                <w:highlight w:val="none"/>
              </w:rPr>
            </w:pPr>
          </w:p>
          <w:p w14:paraId="3A5BFD24">
            <w:pPr>
              <w:spacing w:line="243" w:lineRule="auto"/>
              <w:rPr>
                <w:rFonts w:ascii="Arial"/>
                <w:color w:val="auto"/>
                <w:sz w:val="21"/>
                <w:highlight w:val="none"/>
              </w:rPr>
            </w:pPr>
          </w:p>
          <w:p w14:paraId="079F7546">
            <w:pPr>
              <w:spacing w:line="244" w:lineRule="auto"/>
              <w:rPr>
                <w:rFonts w:ascii="Arial"/>
                <w:color w:val="auto"/>
                <w:sz w:val="21"/>
                <w:highlight w:val="none"/>
              </w:rPr>
            </w:pPr>
          </w:p>
          <w:p w14:paraId="7A5017B0">
            <w:pPr>
              <w:spacing w:line="244" w:lineRule="auto"/>
              <w:rPr>
                <w:rFonts w:ascii="Arial"/>
                <w:color w:val="auto"/>
                <w:sz w:val="21"/>
                <w:highlight w:val="none"/>
              </w:rPr>
            </w:pPr>
          </w:p>
          <w:p w14:paraId="5FF2BDBD">
            <w:pPr>
              <w:spacing w:line="244" w:lineRule="auto"/>
              <w:rPr>
                <w:rFonts w:ascii="Arial"/>
                <w:color w:val="auto"/>
                <w:sz w:val="21"/>
                <w:highlight w:val="none"/>
              </w:rPr>
            </w:pPr>
          </w:p>
          <w:p w14:paraId="246E1922">
            <w:pPr>
              <w:spacing w:line="244" w:lineRule="auto"/>
              <w:rPr>
                <w:rFonts w:ascii="Arial"/>
                <w:color w:val="auto"/>
                <w:sz w:val="21"/>
                <w:highlight w:val="none"/>
              </w:rPr>
            </w:pPr>
          </w:p>
          <w:p w14:paraId="1650F736">
            <w:pPr>
              <w:spacing w:line="244" w:lineRule="auto"/>
              <w:rPr>
                <w:rFonts w:ascii="Arial"/>
                <w:color w:val="auto"/>
                <w:sz w:val="21"/>
                <w:highlight w:val="none"/>
              </w:rPr>
            </w:pPr>
          </w:p>
          <w:p w14:paraId="3BA73351">
            <w:pPr>
              <w:spacing w:line="244" w:lineRule="auto"/>
              <w:rPr>
                <w:rFonts w:ascii="Arial"/>
                <w:color w:val="auto"/>
                <w:sz w:val="21"/>
                <w:highlight w:val="none"/>
              </w:rPr>
            </w:pPr>
          </w:p>
          <w:p w14:paraId="6E509FB8">
            <w:pPr>
              <w:spacing w:line="244" w:lineRule="auto"/>
              <w:rPr>
                <w:rFonts w:ascii="Arial"/>
                <w:color w:val="auto"/>
                <w:sz w:val="21"/>
                <w:highlight w:val="none"/>
              </w:rPr>
            </w:pPr>
          </w:p>
          <w:p w14:paraId="6D275312">
            <w:pPr>
              <w:spacing w:line="244" w:lineRule="auto"/>
              <w:rPr>
                <w:rFonts w:ascii="Arial"/>
                <w:color w:val="auto"/>
                <w:sz w:val="21"/>
                <w:highlight w:val="none"/>
              </w:rPr>
            </w:pPr>
          </w:p>
          <w:p w14:paraId="148F9CFB">
            <w:pPr>
              <w:spacing w:line="244" w:lineRule="auto"/>
              <w:rPr>
                <w:rFonts w:ascii="Arial"/>
                <w:color w:val="auto"/>
                <w:sz w:val="21"/>
                <w:highlight w:val="none"/>
              </w:rPr>
            </w:pPr>
          </w:p>
          <w:p w14:paraId="1F92D997">
            <w:pPr>
              <w:spacing w:line="244" w:lineRule="auto"/>
              <w:rPr>
                <w:rFonts w:ascii="Arial"/>
                <w:color w:val="auto"/>
                <w:sz w:val="21"/>
                <w:highlight w:val="none"/>
              </w:rPr>
            </w:pPr>
          </w:p>
          <w:p w14:paraId="179CB538">
            <w:pPr>
              <w:spacing w:line="244" w:lineRule="auto"/>
              <w:rPr>
                <w:rFonts w:ascii="Arial"/>
                <w:color w:val="auto"/>
                <w:sz w:val="21"/>
                <w:highlight w:val="none"/>
              </w:rPr>
            </w:pPr>
          </w:p>
          <w:p w14:paraId="5F7711C8">
            <w:pPr>
              <w:spacing w:line="244" w:lineRule="auto"/>
              <w:rPr>
                <w:rFonts w:ascii="Arial"/>
                <w:color w:val="auto"/>
                <w:sz w:val="21"/>
                <w:highlight w:val="none"/>
              </w:rPr>
            </w:pPr>
          </w:p>
          <w:p w14:paraId="37C58590">
            <w:pPr>
              <w:spacing w:line="244" w:lineRule="auto"/>
              <w:rPr>
                <w:rFonts w:ascii="Arial"/>
                <w:color w:val="auto"/>
                <w:sz w:val="21"/>
                <w:highlight w:val="none"/>
              </w:rPr>
            </w:pPr>
          </w:p>
          <w:p w14:paraId="1F371F72">
            <w:pPr>
              <w:spacing w:line="244" w:lineRule="auto"/>
              <w:rPr>
                <w:rFonts w:ascii="Arial"/>
                <w:color w:val="auto"/>
                <w:sz w:val="21"/>
                <w:highlight w:val="none"/>
              </w:rPr>
            </w:pPr>
          </w:p>
          <w:p w14:paraId="391F4D7D">
            <w:pPr>
              <w:spacing w:line="244" w:lineRule="auto"/>
              <w:rPr>
                <w:rFonts w:ascii="Arial"/>
                <w:color w:val="auto"/>
                <w:sz w:val="21"/>
                <w:highlight w:val="none"/>
              </w:rPr>
            </w:pPr>
          </w:p>
          <w:p w14:paraId="3DF641F4">
            <w:pPr>
              <w:spacing w:line="244" w:lineRule="auto"/>
              <w:rPr>
                <w:rFonts w:ascii="Arial"/>
                <w:color w:val="auto"/>
                <w:sz w:val="21"/>
                <w:highlight w:val="none"/>
              </w:rPr>
            </w:pPr>
          </w:p>
          <w:p w14:paraId="02878948">
            <w:pPr>
              <w:spacing w:line="244" w:lineRule="auto"/>
              <w:rPr>
                <w:rFonts w:ascii="Arial"/>
                <w:color w:val="auto"/>
                <w:sz w:val="21"/>
                <w:highlight w:val="none"/>
              </w:rPr>
            </w:pPr>
          </w:p>
          <w:p w14:paraId="3890EAA3">
            <w:pPr>
              <w:spacing w:line="244" w:lineRule="auto"/>
              <w:rPr>
                <w:rFonts w:ascii="Arial"/>
                <w:color w:val="auto"/>
                <w:sz w:val="21"/>
                <w:highlight w:val="none"/>
              </w:rPr>
            </w:pPr>
          </w:p>
          <w:p w14:paraId="5364B542">
            <w:pPr>
              <w:pStyle w:val="12"/>
              <w:spacing w:before="94" w:line="159" w:lineRule="auto"/>
              <w:ind w:left="341"/>
              <w:rPr>
                <w:color w:val="auto"/>
                <w:sz w:val="22"/>
                <w:szCs w:val="22"/>
                <w:highlight w:val="none"/>
              </w:rPr>
            </w:pPr>
            <w:r>
              <w:rPr>
                <w:color w:val="auto"/>
                <w:sz w:val="22"/>
                <w:szCs w:val="22"/>
                <w:highlight w:val="none"/>
              </w:rPr>
              <w:t>2</w:t>
            </w:r>
          </w:p>
        </w:tc>
        <w:tc>
          <w:tcPr>
            <w:tcW w:w="1192" w:type="dxa"/>
            <w:vMerge w:val="restart"/>
            <w:tcBorders>
              <w:bottom w:val="nil"/>
            </w:tcBorders>
            <w:vAlign w:val="top"/>
          </w:tcPr>
          <w:p w14:paraId="43D8F26E">
            <w:pPr>
              <w:spacing w:line="242" w:lineRule="auto"/>
              <w:rPr>
                <w:rFonts w:ascii="Arial"/>
                <w:color w:val="auto"/>
                <w:sz w:val="21"/>
                <w:highlight w:val="none"/>
              </w:rPr>
            </w:pPr>
          </w:p>
          <w:p w14:paraId="2CC2FA6D">
            <w:pPr>
              <w:spacing w:line="243" w:lineRule="auto"/>
              <w:rPr>
                <w:rFonts w:ascii="Arial"/>
                <w:color w:val="auto"/>
                <w:sz w:val="21"/>
                <w:highlight w:val="none"/>
              </w:rPr>
            </w:pPr>
          </w:p>
          <w:p w14:paraId="53FC2125">
            <w:pPr>
              <w:spacing w:line="243" w:lineRule="auto"/>
              <w:rPr>
                <w:rFonts w:ascii="Arial"/>
                <w:color w:val="auto"/>
                <w:sz w:val="21"/>
                <w:highlight w:val="none"/>
              </w:rPr>
            </w:pPr>
          </w:p>
          <w:p w14:paraId="7D8074DD">
            <w:pPr>
              <w:spacing w:line="243" w:lineRule="auto"/>
              <w:rPr>
                <w:rFonts w:ascii="Arial"/>
                <w:color w:val="auto"/>
                <w:sz w:val="21"/>
                <w:highlight w:val="none"/>
              </w:rPr>
            </w:pPr>
          </w:p>
          <w:p w14:paraId="44F6AEB2">
            <w:pPr>
              <w:spacing w:line="243" w:lineRule="auto"/>
              <w:rPr>
                <w:rFonts w:ascii="Arial"/>
                <w:color w:val="auto"/>
                <w:sz w:val="21"/>
                <w:highlight w:val="none"/>
              </w:rPr>
            </w:pPr>
          </w:p>
          <w:p w14:paraId="391559E6">
            <w:pPr>
              <w:spacing w:line="243" w:lineRule="auto"/>
              <w:rPr>
                <w:rFonts w:ascii="Arial"/>
                <w:color w:val="auto"/>
                <w:sz w:val="21"/>
                <w:highlight w:val="none"/>
              </w:rPr>
            </w:pPr>
          </w:p>
          <w:p w14:paraId="502F8522">
            <w:pPr>
              <w:spacing w:line="243" w:lineRule="auto"/>
              <w:rPr>
                <w:rFonts w:ascii="Arial"/>
                <w:color w:val="auto"/>
                <w:sz w:val="21"/>
                <w:highlight w:val="none"/>
              </w:rPr>
            </w:pPr>
          </w:p>
          <w:p w14:paraId="5589F0F4">
            <w:pPr>
              <w:spacing w:line="243" w:lineRule="auto"/>
              <w:rPr>
                <w:rFonts w:ascii="Arial"/>
                <w:color w:val="auto"/>
                <w:sz w:val="21"/>
                <w:highlight w:val="none"/>
              </w:rPr>
            </w:pPr>
          </w:p>
          <w:p w14:paraId="2251500A">
            <w:pPr>
              <w:spacing w:line="243" w:lineRule="auto"/>
              <w:rPr>
                <w:rFonts w:ascii="Arial"/>
                <w:color w:val="auto"/>
                <w:sz w:val="21"/>
                <w:highlight w:val="none"/>
              </w:rPr>
            </w:pPr>
          </w:p>
          <w:p w14:paraId="27BDF743">
            <w:pPr>
              <w:spacing w:line="243" w:lineRule="auto"/>
              <w:rPr>
                <w:rFonts w:ascii="Arial"/>
                <w:color w:val="auto"/>
                <w:sz w:val="21"/>
                <w:highlight w:val="none"/>
              </w:rPr>
            </w:pPr>
          </w:p>
          <w:p w14:paraId="61CC28D4">
            <w:pPr>
              <w:spacing w:line="243" w:lineRule="auto"/>
              <w:rPr>
                <w:rFonts w:ascii="Arial"/>
                <w:color w:val="auto"/>
                <w:sz w:val="21"/>
                <w:highlight w:val="none"/>
              </w:rPr>
            </w:pPr>
          </w:p>
          <w:p w14:paraId="4EC19BAE">
            <w:pPr>
              <w:spacing w:line="243" w:lineRule="auto"/>
              <w:rPr>
                <w:rFonts w:ascii="Arial"/>
                <w:color w:val="auto"/>
                <w:sz w:val="21"/>
                <w:highlight w:val="none"/>
              </w:rPr>
            </w:pPr>
          </w:p>
          <w:p w14:paraId="57446D98">
            <w:pPr>
              <w:spacing w:line="243" w:lineRule="auto"/>
              <w:rPr>
                <w:rFonts w:ascii="Arial"/>
                <w:color w:val="auto"/>
                <w:sz w:val="21"/>
                <w:highlight w:val="none"/>
              </w:rPr>
            </w:pPr>
          </w:p>
          <w:p w14:paraId="603870AB">
            <w:pPr>
              <w:spacing w:line="243" w:lineRule="auto"/>
              <w:rPr>
                <w:rFonts w:ascii="Arial"/>
                <w:color w:val="auto"/>
                <w:sz w:val="21"/>
                <w:highlight w:val="none"/>
              </w:rPr>
            </w:pPr>
          </w:p>
          <w:p w14:paraId="610D6E3A">
            <w:pPr>
              <w:spacing w:line="243" w:lineRule="auto"/>
              <w:rPr>
                <w:rFonts w:ascii="Arial"/>
                <w:color w:val="auto"/>
                <w:sz w:val="21"/>
                <w:highlight w:val="none"/>
              </w:rPr>
            </w:pPr>
          </w:p>
          <w:p w14:paraId="2D4AD7EB">
            <w:pPr>
              <w:spacing w:line="243" w:lineRule="auto"/>
              <w:rPr>
                <w:rFonts w:ascii="Arial"/>
                <w:color w:val="auto"/>
                <w:sz w:val="21"/>
                <w:highlight w:val="none"/>
              </w:rPr>
            </w:pPr>
          </w:p>
          <w:p w14:paraId="65B33902">
            <w:pPr>
              <w:spacing w:line="243" w:lineRule="auto"/>
              <w:rPr>
                <w:rFonts w:ascii="Arial"/>
                <w:color w:val="auto"/>
                <w:sz w:val="21"/>
                <w:highlight w:val="none"/>
              </w:rPr>
            </w:pPr>
          </w:p>
          <w:p w14:paraId="73E8491F">
            <w:pPr>
              <w:spacing w:line="243" w:lineRule="auto"/>
              <w:rPr>
                <w:rFonts w:ascii="Arial"/>
                <w:color w:val="auto"/>
                <w:sz w:val="21"/>
                <w:highlight w:val="none"/>
              </w:rPr>
            </w:pPr>
          </w:p>
          <w:p w14:paraId="02F35D1A">
            <w:pPr>
              <w:pStyle w:val="12"/>
              <w:spacing w:before="94" w:line="168" w:lineRule="auto"/>
              <w:ind w:left="148" w:right="127" w:firstLine="28"/>
              <w:rPr>
                <w:color w:val="auto"/>
                <w:sz w:val="22"/>
                <w:szCs w:val="22"/>
                <w:highlight w:val="none"/>
              </w:rPr>
            </w:pPr>
            <w:r>
              <w:rPr>
                <w:color w:val="auto"/>
                <w:spacing w:val="-4"/>
                <w:sz w:val="22"/>
                <w:szCs w:val="22"/>
                <w:highlight w:val="none"/>
              </w:rPr>
              <w:t>技术部分</w:t>
            </w:r>
            <w:r>
              <w:rPr>
                <w:color w:val="auto"/>
                <w:sz w:val="22"/>
                <w:szCs w:val="22"/>
                <w:highlight w:val="none"/>
              </w:rPr>
              <w:t xml:space="preserve"> </w:t>
            </w:r>
            <w:r>
              <w:rPr>
                <w:color w:val="auto"/>
                <w:spacing w:val="-20"/>
                <w:sz w:val="22"/>
                <w:szCs w:val="22"/>
                <w:highlight w:val="none"/>
              </w:rPr>
              <w:t>（50</w:t>
            </w:r>
            <w:r>
              <w:rPr>
                <w:color w:val="auto"/>
                <w:spacing w:val="21"/>
                <w:w w:val="101"/>
                <w:sz w:val="22"/>
                <w:szCs w:val="22"/>
                <w:highlight w:val="none"/>
              </w:rPr>
              <w:t xml:space="preserve"> </w:t>
            </w:r>
            <w:r>
              <w:rPr>
                <w:color w:val="auto"/>
                <w:spacing w:val="-20"/>
                <w:sz w:val="22"/>
                <w:szCs w:val="22"/>
                <w:highlight w:val="none"/>
              </w:rPr>
              <w:t>分）</w:t>
            </w:r>
          </w:p>
        </w:tc>
        <w:tc>
          <w:tcPr>
            <w:tcW w:w="1080" w:type="dxa"/>
            <w:vAlign w:val="top"/>
          </w:tcPr>
          <w:p w14:paraId="233B9D74">
            <w:pPr>
              <w:spacing w:line="265" w:lineRule="auto"/>
              <w:rPr>
                <w:rFonts w:ascii="Arial"/>
                <w:color w:val="auto"/>
                <w:sz w:val="21"/>
                <w:highlight w:val="none"/>
              </w:rPr>
            </w:pPr>
          </w:p>
          <w:p w14:paraId="13905F3D">
            <w:pPr>
              <w:spacing w:line="265" w:lineRule="auto"/>
              <w:rPr>
                <w:rFonts w:ascii="Arial"/>
                <w:color w:val="auto"/>
                <w:sz w:val="21"/>
                <w:highlight w:val="none"/>
              </w:rPr>
            </w:pPr>
          </w:p>
          <w:p w14:paraId="54CA8E46">
            <w:pPr>
              <w:spacing w:line="265" w:lineRule="auto"/>
              <w:rPr>
                <w:rFonts w:ascii="Arial"/>
                <w:color w:val="auto"/>
                <w:sz w:val="21"/>
                <w:highlight w:val="none"/>
              </w:rPr>
            </w:pPr>
          </w:p>
          <w:p w14:paraId="7F71892B">
            <w:pPr>
              <w:spacing w:line="265" w:lineRule="auto"/>
              <w:rPr>
                <w:rFonts w:ascii="Arial"/>
                <w:color w:val="auto"/>
                <w:sz w:val="21"/>
                <w:highlight w:val="none"/>
              </w:rPr>
            </w:pPr>
          </w:p>
          <w:p w14:paraId="14A2FF0B">
            <w:pPr>
              <w:spacing w:line="265" w:lineRule="auto"/>
              <w:rPr>
                <w:rFonts w:ascii="Arial"/>
                <w:color w:val="auto"/>
                <w:sz w:val="21"/>
                <w:highlight w:val="none"/>
              </w:rPr>
            </w:pPr>
          </w:p>
          <w:p w14:paraId="68A493B1">
            <w:pPr>
              <w:spacing w:line="265" w:lineRule="auto"/>
              <w:rPr>
                <w:rFonts w:ascii="Arial"/>
                <w:color w:val="auto"/>
                <w:sz w:val="21"/>
                <w:highlight w:val="none"/>
              </w:rPr>
            </w:pPr>
          </w:p>
          <w:p w14:paraId="37A54681">
            <w:pPr>
              <w:spacing w:line="266" w:lineRule="auto"/>
              <w:rPr>
                <w:rFonts w:ascii="Arial"/>
                <w:color w:val="auto"/>
                <w:sz w:val="21"/>
                <w:highlight w:val="none"/>
              </w:rPr>
            </w:pPr>
          </w:p>
          <w:p w14:paraId="1210C7F9">
            <w:pPr>
              <w:spacing w:line="266" w:lineRule="auto"/>
              <w:rPr>
                <w:rFonts w:ascii="Arial"/>
                <w:color w:val="auto"/>
                <w:sz w:val="21"/>
                <w:highlight w:val="none"/>
              </w:rPr>
            </w:pPr>
          </w:p>
          <w:p w14:paraId="3AF6B8D9">
            <w:pPr>
              <w:pStyle w:val="12"/>
              <w:spacing w:before="95" w:line="183" w:lineRule="auto"/>
              <w:ind w:left="123"/>
              <w:rPr>
                <w:color w:val="auto"/>
                <w:sz w:val="22"/>
                <w:szCs w:val="22"/>
                <w:highlight w:val="none"/>
              </w:rPr>
            </w:pPr>
            <w:r>
              <w:rPr>
                <w:color w:val="auto"/>
                <w:spacing w:val="-12"/>
                <w:sz w:val="22"/>
                <w:szCs w:val="22"/>
                <w:highlight w:val="none"/>
              </w:rPr>
              <w:t>12（分）</w:t>
            </w:r>
          </w:p>
        </w:tc>
        <w:tc>
          <w:tcPr>
            <w:tcW w:w="6786" w:type="dxa"/>
            <w:vAlign w:val="top"/>
          </w:tcPr>
          <w:p w14:paraId="58159165">
            <w:pPr>
              <w:pStyle w:val="12"/>
              <w:spacing w:before="44" w:line="195" w:lineRule="auto"/>
              <w:ind w:left="115" w:right="23" w:firstLine="9"/>
              <w:rPr>
                <w:color w:val="auto"/>
                <w:sz w:val="22"/>
                <w:szCs w:val="22"/>
                <w:highlight w:val="none"/>
              </w:rPr>
            </w:pPr>
            <w:r>
              <w:rPr>
                <w:color w:val="auto"/>
                <w:spacing w:val="-3"/>
                <w:sz w:val="22"/>
                <w:szCs w:val="22"/>
                <w:highlight w:val="none"/>
              </w:rPr>
              <w:t>1、实施方案（内容须包括针对本项目整体思路</w:t>
            </w:r>
            <w:r>
              <w:rPr>
                <w:color w:val="auto"/>
                <w:spacing w:val="-4"/>
                <w:sz w:val="22"/>
                <w:szCs w:val="22"/>
                <w:highlight w:val="none"/>
              </w:rPr>
              <w:t>方案、质量管理方案、</w:t>
            </w:r>
            <w:r>
              <w:rPr>
                <w:color w:val="auto"/>
                <w:sz w:val="22"/>
                <w:szCs w:val="22"/>
                <w:highlight w:val="none"/>
              </w:rPr>
              <w:t xml:space="preserve"> </w:t>
            </w:r>
            <w:r>
              <w:rPr>
                <w:color w:val="auto"/>
                <w:spacing w:val="-5"/>
                <w:sz w:val="22"/>
                <w:szCs w:val="22"/>
                <w:highlight w:val="none"/>
              </w:rPr>
              <w:t>计划管理方案、施工方案</w:t>
            </w:r>
            <w:r>
              <w:rPr>
                <w:color w:val="auto"/>
                <w:spacing w:val="-2"/>
                <w:sz w:val="22"/>
                <w:szCs w:val="22"/>
                <w:highlight w:val="none"/>
              </w:rPr>
              <w:t>）；</w:t>
            </w:r>
          </w:p>
          <w:p w14:paraId="37043F2F">
            <w:pPr>
              <w:pStyle w:val="12"/>
              <w:spacing w:before="1" w:line="183" w:lineRule="auto"/>
              <w:ind w:left="119" w:right="93" w:firstLine="21"/>
              <w:jc w:val="both"/>
              <w:rPr>
                <w:color w:val="auto"/>
                <w:sz w:val="24"/>
                <w:szCs w:val="24"/>
                <w:highlight w:val="none"/>
              </w:rPr>
            </w:pPr>
            <w:r>
              <w:rPr>
                <w:color w:val="auto"/>
                <w:spacing w:val="-7"/>
                <w:sz w:val="24"/>
                <w:szCs w:val="24"/>
                <w:highlight w:val="none"/>
              </w:rPr>
              <w:t>以上方案内容完整全面且科学合理、与项目采购需求吻合可行性</w:t>
            </w:r>
            <w:r>
              <w:rPr>
                <w:color w:val="auto"/>
                <w:spacing w:val="15"/>
                <w:sz w:val="24"/>
                <w:szCs w:val="24"/>
                <w:highlight w:val="none"/>
              </w:rPr>
              <w:t xml:space="preserve"> </w:t>
            </w:r>
            <w:r>
              <w:rPr>
                <w:color w:val="auto"/>
                <w:spacing w:val="-6"/>
                <w:sz w:val="24"/>
                <w:szCs w:val="24"/>
                <w:highlight w:val="none"/>
              </w:rPr>
              <w:t>高、思路清晰、层次结构细化，有具体详细的阐述且符合项目需</w:t>
            </w:r>
            <w:r>
              <w:rPr>
                <w:color w:val="auto"/>
                <w:spacing w:val="9"/>
                <w:sz w:val="24"/>
                <w:szCs w:val="24"/>
                <w:highlight w:val="none"/>
              </w:rPr>
              <w:t xml:space="preserve"> </w:t>
            </w:r>
            <w:r>
              <w:rPr>
                <w:color w:val="auto"/>
                <w:spacing w:val="-7"/>
                <w:sz w:val="24"/>
                <w:szCs w:val="24"/>
                <w:highlight w:val="none"/>
              </w:rPr>
              <w:t>求的得 6</w:t>
            </w:r>
            <w:r>
              <w:rPr>
                <w:color w:val="auto"/>
                <w:spacing w:val="66"/>
                <w:sz w:val="24"/>
                <w:szCs w:val="24"/>
                <w:highlight w:val="none"/>
              </w:rPr>
              <w:t xml:space="preserve"> </w:t>
            </w:r>
            <w:r>
              <w:rPr>
                <w:color w:val="auto"/>
                <w:spacing w:val="-7"/>
                <w:sz w:val="24"/>
                <w:szCs w:val="24"/>
                <w:highlight w:val="none"/>
              </w:rPr>
              <w:t>分，</w:t>
            </w:r>
            <w:r>
              <w:rPr>
                <w:color w:val="auto"/>
                <w:spacing w:val="-47"/>
                <w:sz w:val="24"/>
                <w:szCs w:val="24"/>
                <w:highlight w:val="none"/>
              </w:rPr>
              <w:t xml:space="preserve"> </w:t>
            </w:r>
            <w:r>
              <w:rPr>
                <w:color w:val="auto"/>
                <w:spacing w:val="-7"/>
                <w:sz w:val="24"/>
                <w:szCs w:val="24"/>
                <w:highlight w:val="none"/>
              </w:rPr>
              <w:t>每缺少一项内容扣  1.5</w:t>
            </w:r>
            <w:r>
              <w:rPr>
                <w:color w:val="auto"/>
                <w:spacing w:val="62"/>
                <w:w w:val="101"/>
                <w:sz w:val="24"/>
                <w:szCs w:val="24"/>
                <w:highlight w:val="none"/>
              </w:rPr>
              <w:t xml:space="preserve"> </w:t>
            </w:r>
            <w:r>
              <w:rPr>
                <w:color w:val="auto"/>
                <w:spacing w:val="-7"/>
                <w:sz w:val="24"/>
                <w:szCs w:val="24"/>
                <w:highlight w:val="none"/>
              </w:rPr>
              <w:t>分；</w:t>
            </w:r>
            <w:r>
              <w:rPr>
                <w:color w:val="auto"/>
                <w:spacing w:val="-41"/>
                <w:sz w:val="24"/>
                <w:szCs w:val="24"/>
                <w:highlight w:val="none"/>
              </w:rPr>
              <w:t xml:space="preserve"> </w:t>
            </w:r>
            <w:r>
              <w:rPr>
                <w:color w:val="auto"/>
                <w:spacing w:val="-7"/>
                <w:sz w:val="24"/>
                <w:szCs w:val="24"/>
                <w:highlight w:val="none"/>
              </w:rPr>
              <w:t>每有一项内容不完整</w:t>
            </w:r>
            <w:r>
              <w:rPr>
                <w:color w:val="auto"/>
                <w:sz w:val="24"/>
                <w:szCs w:val="24"/>
                <w:highlight w:val="none"/>
              </w:rPr>
              <w:t xml:space="preserve"> </w:t>
            </w:r>
            <w:r>
              <w:rPr>
                <w:color w:val="auto"/>
                <w:spacing w:val="3"/>
                <w:sz w:val="24"/>
                <w:szCs w:val="24"/>
                <w:highlight w:val="none"/>
              </w:rPr>
              <w:t>或未能满足采购需求的或每有一处不具有针对性或逻辑性错误</w:t>
            </w:r>
            <w:r>
              <w:rPr>
                <w:color w:val="auto"/>
                <w:sz w:val="24"/>
                <w:szCs w:val="24"/>
                <w:highlight w:val="none"/>
              </w:rPr>
              <w:t xml:space="preserve"> </w:t>
            </w:r>
            <w:r>
              <w:rPr>
                <w:color w:val="auto"/>
                <w:spacing w:val="-9"/>
                <w:sz w:val="24"/>
                <w:szCs w:val="24"/>
                <w:highlight w:val="none"/>
              </w:rPr>
              <w:t>且不完整的扣 1 分；</w:t>
            </w:r>
            <w:r>
              <w:rPr>
                <w:color w:val="auto"/>
                <w:spacing w:val="-38"/>
                <w:sz w:val="24"/>
                <w:szCs w:val="24"/>
                <w:highlight w:val="none"/>
              </w:rPr>
              <w:t xml:space="preserve"> </w:t>
            </w:r>
            <w:r>
              <w:rPr>
                <w:color w:val="auto"/>
                <w:spacing w:val="-9"/>
                <w:sz w:val="24"/>
                <w:szCs w:val="24"/>
                <w:highlight w:val="none"/>
              </w:rPr>
              <w:t>扣完为止。</w:t>
            </w:r>
          </w:p>
          <w:p w14:paraId="3780F090">
            <w:pPr>
              <w:pStyle w:val="12"/>
              <w:spacing w:before="2" w:line="194" w:lineRule="auto"/>
              <w:ind w:left="132" w:right="111" w:hanging="21"/>
              <w:rPr>
                <w:color w:val="auto"/>
                <w:sz w:val="22"/>
                <w:szCs w:val="22"/>
                <w:highlight w:val="none"/>
              </w:rPr>
            </w:pPr>
            <w:r>
              <w:rPr>
                <w:color w:val="auto"/>
                <w:spacing w:val="1"/>
                <w:sz w:val="22"/>
                <w:szCs w:val="22"/>
                <w:highlight w:val="none"/>
              </w:rPr>
              <w:t>2、管理职责分工（内容须包括队伍建设、内部管理的职责分工、人</w:t>
            </w:r>
            <w:r>
              <w:rPr>
                <w:color w:val="auto"/>
                <w:spacing w:val="12"/>
                <w:sz w:val="22"/>
                <w:szCs w:val="22"/>
                <w:highlight w:val="none"/>
              </w:rPr>
              <w:t xml:space="preserve"> </w:t>
            </w:r>
            <w:r>
              <w:rPr>
                <w:color w:val="auto"/>
                <w:spacing w:val="-5"/>
                <w:sz w:val="22"/>
                <w:szCs w:val="22"/>
                <w:highlight w:val="none"/>
              </w:rPr>
              <w:t>员稳定措施、本项目所需装备工具配备</w:t>
            </w:r>
            <w:r>
              <w:rPr>
                <w:color w:val="auto"/>
                <w:spacing w:val="4"/>
                <w:sz w:val="22"/>
                <w:szCs w:val="22"/>
                <w:highlight w:val="none"/>
              </w:rPr>
              <w:t>）；</w:t>
            </w:r>
          </w:p>
          <w:p w14:paraId="5B8A7319">
            <w:pPr>
              <w:pStyle w:val="12"/>
              <w:spacing w:before="2" w:line="176" w:lineRule="auto"/>
              <w:ind w:left="119" w:right="93" w:firstLine="21"/>
              <w:jc w:val="both"/>
              <w:rPr>
                <w:color w:val="auto"/>
                <w:sz w:val="24"/>
                <w:szCs w:val="24"/>
                <w:highlight w:val="none"/>
              </w:rPr>
            </w:pPr>
            <w:r>
              <w:rPr>
                <w:color w:val="auto"/>
                <w:spacing w:val="-7"/>
                <w:sz w:val="24"/>
                <w:szCs w:val="24"/>
                <w:highlight w:val="none"/>
              </w:rPr>
              <w:t>以上方案内容完整全面且科学合理、与项目采购需求吻合可行性</w:t>
            </w:r>
            <w:r>
              <w:rPr>
                <w:color w:val="auto"/>
                <w:spacing w:val="15"/>
                <w:sz w:val="24"/>
                <w:szCs w:val="24"/>
                <w:highlight w:val="none"/>
              </w:rPr>
              <w:t xml:space="preserve"> </w:t>
            </w:r>
            <w:r>
              <w:rPr>
                <w:color w:val="auto"/>
                <w:spacing w:val="-6"/>
                <w:sz w:val="24"/>
                <w:szCs w:val="24"/>
                <w:highlight w:val="none"/>
              </w:rPr>
              <w:t>高、思路清晰、层次结构细化，有具体详细的阐述且符合项目需</w:t>
            </w:r>
            <w:r>
              <w:rPr>
                <w:color w:val="auto"/>
                <w:spacing w:val="9"/>
                <w:sz w:val="24"/>
                <w:szCs w:val="24"/>
                <w:highlight w:val="none"/>
              </w:rPr>
              <w:t xml:space="preserve"> </w:t>
            </w:r>
            <w:r>
              <w:rPr>
                <w:color w:val="auto"/>
                <w:spacing w:val="-7"/>
                <w:sz w:val="24"/>
                <w:szCs w:val="24"/>
                <w:highlight w:val="none"/>
              </w:rPr>
              <w:t>求的得 6</w:t>
            </w:r>
            <w:r>
              <w:rPr>
                <w:color w:val="auto"/>
                <w:spacing w:val="66"/>
                <w:sz w:val="24"/>
                <w:szCs w:val="24"/>
                <w:highlight w:val="none"/>
              </w:rPr>
              <w:t xml:space="preserve"> </w:t>
            </w:r>
            <w:r>
              <w:rPr>
                <w:color w:val="auto"/>
                <w:spacing w:val="-7"/>
                <w:sz w:val="24"/>
                <w:szCs w:val="24"/>
                <w:highlight w:val="none"/>
              </w:rPr>
              <w:t>分，</w:t>
            </w:r>
            <w:r>
              <w:rPr>
                <w:color w:val="auto"/>
                <w:spacing w:val="-47"/>
                <w:sz w:val="24"/>
                <w:szCs w:val="24"/>
                <w:highlight w:val="none"/>
              </w:rPr>
              <w:t xml:space="preserve"> </w:t>
            </w:r>
            <w:r>
              <w:rPr>
                <w:color w:val="auto"/>
                <w:spacing w:val="-7"/>
                <w:sz w:val="24"/>
                <w:szCs w:val="24"/>
                <w:highlight w:val="none"/>
              </w:rPr>
              <w:t>每缺少一项内容扣  1.5</w:t>
            </w:r>
            <w:r>
              <w:rPr>
                <w:color w:val="auto"/>
                <w:spacing w:val="62"/>
                <w:w w:val="101"/>
                <w:sz w:val="24"/>
                <w:szCs w:val="24"/>
                <w:highlight w:val="none"/>
              </w:rPr>
              <w:t xml:space="preserve"> </w:t>
            </w:r>
            <w:r>
              <w:rPr>
                <w:color w:val="auto"/>
                <w:spacing w:val="-7"/>
                <w:sz w:val="24"/>
                <w:szCs w:val="24"/>
                <w:highlight w:val="none"/>
              </w:rPr>
              <w:t>分；</w:t>
            </w:r>
            <w:r>
              <w:rPr>
                <w:color w:val="auto"/>
                <w:spacing w:val="-41"/>
                <w:sz w:val="24"/>
                <w:szCs w:val="24"/>
                <w:highlight w:val="none"/>
              </w:rPr>
              <w:t xml:space="preserve"> </w:t>
            </w:r>
            <w:r>
              <w:rPr>
                <w:color w:val="auto"/>
                <w:spacing w:val="-7"/>
                <w:sz w:val="24"/>
                <w:szCs w:val="24"/>
                <w:highlight w:val="none"/>
              </w:rPr>
              <w:t>每有一项内容不完整</w:t>
            </w:r>
            <w:r>
              <w:rPr>
                <w:color w:val="auto"/>
                <w:sz w:val="24"/>
                <w:szCs w:val="24"/>
                <w:highlight w:val="none"/>
              </w:rPr>
              <w:t xml:space="preserve"> </w:t>
            </w:r>
            <w:r>
              <w:rPr>
                <w:color w:val="auto"/>
                <w:spacing w:val="3"/>
                <w:sz w:val="24"/>
                <w:szCs w:val="24"/>
                <w:highlight w:val="none"/>
              </w:rPr>
              <w:t>或未能满足采购需求的或每有一处不具有针对性或逻辑性错误</w:t>
            </w:r>
            <w:r>
              <w:rPr>
                <w:color w:val="auto"/>
                <w:sz w:val="24"/>
                <w:szCs w:val="24"/>
                <w:highlight w:val="none"/>
              </w:rPr>
              <w:t xml:space="preserve"> </w:t>
            </w:r>
            <w:r>
              <w:rPr>
                <w:color w:val="auto"/>
                <w:spacing w:val="-9"/>
                <w:sz w:val="24"/>
                <w:szCs w:val="24"/>
                <w:highlight w:val="none"/>
              </w:rPr>
              <w:t>且不完整的扣 1 分；</w:t>
            </w:r>
            <w:r>
              <w:rPr>
                <w:color w:val="auto"/>
                <w:spacing w:val="-38"/>
                <w:sz w:val="24"/>
                <w:szCs w:val="24"/>
                <w:highlight w:val="none"/>
              </w:rPr>
              <w:t xml:space="preserve"> </w:t>
            </w:r>
            <w:r>
              <w:rPr>
                <w:color w:val="auto"/>
                <w:spacing w:val="-9"/>
                <w:sz w:val="24"/>
                <w:szCs w:val="24"/>
                <w:highlight w:val="none"/>
              </w:rPr>
              <w:t>扣完为止。</w:t>
            </w:r>
          </w:p>
        </w:tc>
        <w:tc>
          <w:tcPr>
            <w:tcW w:w="551" w:type="dxa"/>
            <w:vAlign w:val="top"/>
          </w:tcPr>
          <w:p w14:paraId="33910697">
            <w:pPr>
              <w:rPr>
                <w:rFonts w:ascii="Arial"/>
                <w:color w:val="auto"/>
                <w:sz w:val="21"/>
                <w:highlight w:val="none"/>
              </w:rPr>
            </w:pPr>
          </w:p>
        </w:tc>
      </w:tr>
      <w:tr w14:paraId="219A6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2" w:hRule="atLeast"/>
        </w:trPr>
        <w:tc>
          <w:tcPr>
            <w:tcW w:w="759" w:type="dxa"/>
            <w:vMerge w:val="continue"/>
            <w:tcBorders>
              <w:top w:val="nil"/>
              <w:bottom w:val="nil"/>
            </w:tcBorders>
            <w:vAlign w:val="top"/>
          </w:tcPr>
          <w:p w14:paraId="60BFBD2F">
            <w:pPr>
              <w:rPr>
                <w:rFonts w:ascii="Arial"/>
                <w:color w:val="auto"/>
                <w:sz w:val="21"/>
                <w:highlight w:val="none"/>
              </w:rPr>
            </w:pPr>
          </w:p>
        </w:tc>
        <w:tc>
          <w:tcPr>
            <w:tcW w:w="1192" w:type="dxa"/>
            <w:vMerge w:val="continue"/>
            <w:tcBorders>
              <w:top w:val="nil"/>
              <w:bottom w:val="nil"/>
            </w:tcBorders>
            <w:vAlign w:val="top"/>
          </w:tcPr>
          <w:p w14:paraId="58F26E23">
            <w:pPr>
              <w:rPr>
                <w:rFonts w:ascii="Arial"/>
                <w:color w:val="auto"/>
                <w:sz w:val="21"/>
                <w:highlight w:val="none"/>
              </w:rPr>
            </w:pPr>
          </w:p>
        </w:tc>
        <w:tc>
          <w:tcPr>
            <w:tcW w:w="1080" w:type="dxa"/>
            <w:vAlign w:val="top"/>
          </w:tcPr>
          <w:p w14:paraId="3D073FE7">
            <w:pPr>
              <w:spacing w:line="258" w:lineRule="auto"/>
              <w:rPr>
                <w:rFonts w:ascii="Arial"/>
                <w:color w:val="auto"/>
                <w:sz w:val="21"/>
                <w:highlight w:val="none"/>
              </w:rPr>
            </w:pPr>
          </w:p>
          <w:p w14:paraId="6EEEA0CA">
            <w:pPr>
              <w:spacing w:line="258" w:lineRule="auto"/>
              <w:rPr>
                <w:rFonts w:ascii="Arial"/>
                <w:color w:val="auto"/>
                <w:sz w:val="21"/>
                <w:highlight w:val="none"/>
              </w:rPr>
            </w:pPr>
          </w:p>
          <w:p w14:paraId="285A8A8E">
            <w:pPr>
              <w:spacing w:line="258" w:lineRule="auto"/>
              <w:rPr>
                <w:rFonts w:ascii="Arial"/>
                <w:color w:val="auto"/>
                <w:sz w:val="21"/>
                <w:highlight w:val="none"/>
              </w:rPr>
            </w:pPr>
          </w:p>
          <w:p w14:paraId="19A71793">
            <w:pPr>
              <w:spacing w:line="258" w:lineRule="auto"/>
              <w:rPr>
                <w:rFonts w:ascii="Arial"/>
                <w:color w:val="auto"/>
                <w:sz w:val="21"/>
                <w:highlight w:val="none"/>
              </w:rPr>
            </w:pPr>
          </w:p>
          <w:p w14:paraId="2FA86DF8">
            <w:pPr>
              <w:spacing w:line="258" w:lineRule="auto"/>
              <w:rPr>
                <w:rFonts w:ascii="Arial"/>
                <w:color w:val="auto"/>
                <w:sz w:val="21"/>
                <w:highlight w:val="none"/>
              </w:rPr>
            </w:pPr>
          </w:p>
          <w:p w14:paraId="096BE898">
            <w:pPr>
              <w:spacing w:line="258" w:lineRule="auto"/>
              <w:rPr>
                <w:rFonts w:ascii="Arial"/>
                <w:color w:val="auto"/>
                <w:sz w:val="21"/>
                <w:highlight w:val="none"/>
              </w:rPr>
            </w:pPr>
          </w:p>
          <w:p w14:paraId="08FFD5FB">
            <w:pPr>
              <w:spacing w:line="258" w:lineRule="auto"/>
              <w:rPr>
                <w:rFonts w:ascii="Arial"/>
                <w:color w:val="auto"/>
                <w:sz w:val="21"/>
                <w:highlight w:val="none"/>
              </w:rPr>
            </w:pPr>
          </w:p>
          <w:p w14:paraId="025F03C4">
            <w:pPr>
              <w:spacing w:line="258" w:lineRule="auto"/>
              <w:rPr>
                <w:rFonts w:ascii="Arial"/>
                <w:color w:val="auto"/>
                <w:sz w:val="21"/>
                <w:highlight w:val="none"/>
              </w:rPr>
            </w:pPr>
          </w:p>
          <w:p w14:paraId="1F8114CD">
            <w:pPr>
              <w:spacing w:line="259" w:lineRule="auto"/>
              <w:rPr>
                <w:rFonts w:ascii="Arial"/>
                <w:color w:val="auto"/>
                <w:sz w:val="21"/>
                <w:highlight w:val="none"/>
              </w:rPr>
            </w:pPr>
          </w:p>
          <w:p w14:paraId="62E76397">
            <w:pPr>
              <w:spacing w:line="259" w:lineRule="auto"/>
              <w:rPr>
                <w:rFonts w:ascii="Arial"/>
                <w:color w:val="auto"/>
                <w:sz w:val="21"/>
                <w:highlight w:val="none"/>
              </w:rPr>
            </w:pPr>
          </w:p>
          <w:p w14:paraId="29E89B40">
            <w:pPr>
              <w:spacing w:line="259" w:lineRule="auto"/>
              <w:rPr>
                <w:rFonts w:ascii="Arial"/>
                <w:color w:val="auto"/>
                <w:sz w:val="21"/>
                <w:highlight w:val="none"/>
              </w:rPr>
            </w:pPr>
          </w:p>
          <w:p w14:paraId="1D10CD5A">
            <w:pPr>
              <w:spacing w:line="259" w:lineRule="auto"/>
              <w:rPr>
                <w:rFonts w:ascii="Arial"/>
                <w:color w:val="auto"/>
                <w:sz w:val="21"/>
                <w:highlight w:val="none"/>
              </w:rPr>
            </w:pPr>
          </w:p>
          <w:p w14:paraId="2F64DFA6">
            <w:pPr>
              <w:pStyle w:val="12"/>
              <w:spacing w:before="95" w:line="183" w:lineRule="auto"/>
              <w:ind w:left="110"/>
              <w:rPr>
                <w:color w:val="auto"/>
                <w:sz w:val="22"/>
                <w:szCs w:val="22"/>
                <w:highlight w:val="none"/>
              </w:rPr>
            </w:pPr>
            <w:r>
              <w:rPr>
                <w:color w:val="auto"/>
                <w:spacing w:val="-10"/>
                <w:sz w:val="22"/>
                <w:szCs w:val="22"/>
                <w:highlight w:val="none"/>
              </w:rPr>
              <w:t>20（分）</w:t>
            </w:r>
          </w:p>
        </w:tc>
        <w:tc>
          <w:tcPr>
            <w:tcW w:w="6786" w:type="dxa"/>
            <w:vAlign w:val="top"/>
          </w:tcPr>
          <w:p w14:paraId="4F2673F6">
            <w:pPr>
              <w:pStyle w:val="12"/>
              <w:spacing w:before="51" w:line="197" w:lineRule="auto"/>
              <w:ind w:left="117" w:right="98" w:hanging="3"/>
              <w:jc w:val="both"/>
              <w:rPr>
                <w:color w:val="auto"/>
                <w:sz w:val="22"/>
                <w:szCs w:val="22"/>
                <w:highlight w:val="none"/>
              </w:rPr>
            </w:pPr>
            <w:r>
              <w:rPr>
                <w:b/>
                <w:bCs/>
                <w:color w:val="auto"/>
                <w:spacing w:val="-1"/>
                <w:sz w:val="22"/>
                <w:szCs w:val="22"/>
                <w:highlight w:val="none"/>
              </w:rPr>
              <w:t>加工工艺及安装能力</w:t>
            </w:r>
            <w:r>
              <w:rPr>
                <w:color w:val="auto"/>
                <w:spacing w:val="-1"/>
                <w:sz w:val="22"/>
                <w:szCs w:val="22"/>
                <w:highlight w:val="none"/>
              </w:rPr>
              <w:t>：在满足招标文件实质性要求</w:t>
            </w:r>
            <w:r>
              <w:rPr>
                <w:color w:val="auto"/>
                <w:spacing w:val="-2"/>
                <w:sz w:val="22"/>
                <w:szCs w:val="22"/>
                <w:highlight w:val="none"/>
              </w:rPr>
              <w:t>的前提下，评审专</w:t>
            </w:r>
            <w:r>
              <w:rPr>
                <w:color w:val="auto"/>
                <w:sz w:val="22"/>
                <w:szCs w:val="22"/>
                <w:highlight w:val="none"/>
              </w:rPr>
              <w:t xml:space="preserve"> </w:t>
            </w:r>
            <w:r>
              <w:rPr>
                <w:color w:val="auto"/>
                <w:spacing w:val="-2"/>
                <w:sz w:val="22"/>
                <w:szCs w:val="22"/>
                <w:highlight w:val="none"/>
              </w:rPr>
              <w:t>家根据供应商针对本项目提供的草原围栏的加工工艺、安装能力和加</w:t>
            </w:r>
            <w:r>
              <w:rPr>
                <w:color w:val="auto"/>
                <w:spacing w:val="18"/>
                <w:w w:val="101"/>
                <w:sz w:val="22"/>
                <w:szCs w:val="22"/>
                <w:highlight w:val="none"/>
              </w:rPr>
              <w:t xml:space="preserve"> </w:t>
            </w:r>
            <w:r>
              <w:rPr>
                <w:color w:val="auto"/>
                <w:spacing w:val="-4"/>
                <w:sz w:val="22"/>
                <w:szCs w:val="22"/>
                <w:highlight w:val="none"/>
              </w:rPr>
              <w:t>固管护等方面内容进行评审，包括但不限于：</w:t>
            </w:r>
          </w:p>
          <w:p w14:paraId="3380436D">
            <w:pPr>
              <w:pStyle w:val="12"/>
              <w:spacing w:before="3" w:line="181" w:lineRule="auto"/>
              <w:ind w:left="108"/>
              <w:rPr>
                <w:color w:val="auto"/>
                <w:sz w:val="22"/>
                <w:szCs w:val="22"/>
                <w:highlight w:val="none"/>
              </w:rPr>
            </w:pPr>
            <w:r>
              <w:rPr>
                <w:color w:val="auto"/>
                <w:spacing w:val="-4"/>
                <w:sz w:val="22"/>
                <w:szCs w:val="22"/>
                <w:highlight w:val="none"/>
              </w:rPr>
              <w:t>①围栏加工工艺及加工进度计划；</w:t>
            </w:r>
          </w:p>
          <w:p w14:paraId="55263F0E">
            <w:pPr>
              <w:pStyle w:val="12"/>
              <w:spacing w:before="27" w:line="181" w:lineRule="auto"/>
              <w:ind w:left="107"/>
              <w:rPr>
                <w:color w:val="auto"/>
                <w:sz w:val="22"/>
                <w:szCs w:val="22"/>
                <w:highlight w:val="none"/>
              </w:rPr>
            </w:pPr>
            <w:r>
              <w:rPr>
                <w:color w:val="auto"/>
                <w:spacing w:val="-4"/>
                <w:sz w:val="22"/>
                <w:szCs w:val="22"/>
                <w:highlight w:val="none"/>
              </w:rPr>
              <w:t>②安装准备时间安排及计划；</w:t>
            </w:r>
          </w:p>
          <w:p w14:paraId="369A5427">
            <w:pPr>
              <w:pStyle w:val="12"/>
              <w:spacing w:before="27" w:line="181" w:lineRule="auto"/>
              <w:ind w:left="107"/>
              <w:rPr>
                <w:color w:val="auto"/>
                <w:sz w:val="22"/>
                <w:szCs w:val="22"/>
                <w:highlight w:val="none"/>
              </w:rPr>
            </w:pPr>
            <w:r>
              <w:rPr>
                <w:color w:val="auto"/>
                <w:spacing w:val="-4"/>
                <w:sz w:val="22"/>
                <w:szCs w:val="22"/>
                <w:highlight w:val="none"/>
              </w:rPr>
              <w:t>③安装加固技术文件的保存管理；</w:t>
            </w:r>
          </w:p>
          <w:p w14:paraId="16FE4F88">
            <w:pPr>
              <w:pStyle w:val="12"/>
              <w:spacing w:before="27" w:line="181" w:lineRule="auto"/>
              <w:ind w:left="107"/>
              <w:rPr>
                <w:color w:val="auto"/>
                <w:sz w:val="22"/>
                <w:szCs w:val="22"/>
                <w:highlight w:val="none"/>
              </w:rPr>
            </w:pPr>
            <w:r>
              <w:rPr>
                <w:color w:val="auto"/>
                <w:spacing w:val="-3"/>
                <w:sz w:val="22"/>
                <w:szCs w:val="22"/>
                <w:highlight w:val="none"/>
              </w:rPr>
              <w:t>④拟用于安装加固劳动人员的组织规划；</w:t>
            </w:r>
          </w:p>
          <w:p w14:paraId="1C0560B9">
            <w:pPr>
              <w:pStyle w:val="12"/>
              <w:spacing w:before="27" w:line="181" w:lineRule="auto"/>
              <w:ind w:left="107"/>
              <w:rPr>
                <w:color w:val="auto"/>
                <w:sz w:val="22"/>
                <w:szCs w:val="22"/>
                <w:highlight w:val="none"/>
              </w:rPr>
            </w:pPr>
            <w:r>
              <w:rPr>
                <w:color w:val="auto"/>
                <w:spacing w:val="-4"/>
                <w:sz w:val="22"/>
                <w:szCs w:val="22"/>
                <w:highlight w:val="none"/>
              </w:rPr>
              <w:t>⑤安装工具及机械设备的分配；</w:t>
            </w:r>
          </w:p>
          <w:p w14:paraId="42364F2C">
            <w:pPr>
              <w:pStyle w:val="12"/>
              <w:spacing w:before="28" w:line="181" w:lineRule="auto"/>
              <w:ind w:left="107"/>
              <w:rPr>
                <w:color w:val="auto"/>
                <w:sz w:val="22"/>
                <w:szCs w:val="22"/>
                <w:highlight w:val="none"/>
              </w:rPr>
            </w:pPr>
            <w:r>
              <w:rPr>
                <w:color w:val="auto"/>
                <w:spacing w:val="-5"/>
                <w:sz w:val="22"/>
                <w:szCs w:val="22"/>
                <w:highlight w:val="none"/>
              </w:rPr>
              <w:t>⑥质量方针及质量目标；</w:t>
            </w:r>
          </w:p>
          <w:p w14:paraId="1D763B49">
            <w:pPr>
              <w:pStyle w:val="12"/>
              <w:spacing w:before="27" w:line="181" w:lineRule="auto"/>
              <w:ind w:left="107"/>
              <w:rPr>
                <w:color w:val="auto"/>
                <w:sz w:val="22"/>
                <w:szCs w:val="22"/>
                <w:highlight w:val="none"/>
              </w:rPr>
            </w:pPr>
            <w:r>
              <w:rPr>
                <w:color w:val="auto"/>
                <w:spacing w:val="-3"/>
                <w:sz w:val="22"/>
                <w:szCs w:val="22"/>
                <w:highlight w:val="none"/>
              </w:rPr>
              <w:t>⑦影响安装进度的因素分析及解决措施；</w:t>
            </w:r>
          </w:p>
          <w:p w14:paraId="45CCE36B">
            <w:pPr>
              <w:pStyle w:val="12"/>
              <w:spacing w:before="27" w:line="181" w:lineRule="auto"/>
              <w:ind w:left="107"/>
              <w:rPr>
                <w:color w:val="auto"/>
                <w:sz w:val="22"/>
                <w:szCs w:val="22"/>
                <w:highlight w:val="none"/>
              </w:rPr>
            </w:pPr>
            <w:r>
              <w:rPr>
                <w:color w:val="auto"/>
                <w:spacing w:val="-3"/>
                <w:sz w:val="22"/>
                <w:szCs w:val="22"/>
                <w:highlight w:val="none"/>
              </w:rPr>
              <w:t>⑧安全生产、事故控制、安全生产隐患防治；</w:t>
            </w:r>
          </w:p>
          <w:p w14:paraId="7B6BACA3">
            <w:pPr>
              <w:pStyle w:val="12"/>
              <w:spacing w:before="28" w:line="181" w:lineRule="auto"/>
              <w:ind w:left="107"/>
              <w:rPr>
                <w:color w:val="auto"/>
                <w:sz w:val="22"/>
                <w:szCs w:val="22"/>
                <w:highlight w:val="none"/>
              </w:rPr>
            </w:pPr>
            <w:r>
              <w:rPr>
                <w:color w:val="auto"/>
                <w:spacing w:val="-5"/>
                <w:sz w:val="22"/>
                <w:szCs w:val="22"/>
                <w:highlight w:val="none"/>
              </w:rPr>
              <w:t>⑨草原围栏成品保护措施；</w:t>
            </w:r>
          </w:p>
          <w:p w14:paraId="7A228D99">
            <w:pPr>
              <w:pStyle w:val="12"/>
              <w:spacing w:before="27" w:line="181" w:lineRule="auto"/>
              <w:ind w:left="107"/>
              <w:rPr>
                <w:color w:val="auto"/>
                <w:sz w:val="22"/>
                <w:szCs w:val="22"/>
                <w:highlight w:val="none"/>
              </w:rPr>
            </w:pPr>
            <w:r>
              <w:rPr>
                <w:color w:val="auto"/>
                <w:spacing w:val="-2"/>
                <w:sz w:val="22"/>
                <w:szCs w:val="22"/>
                <w:highlight w:val="none"/>
              </w:rPr>
              <w:t>⑩扬尘防治措施、环境管理目标及方案。</w:t>
            </w:r>
          </w:p>
          <w:p w14:paraId="72233A93">
            <w:pPr>
              <w:pStyle w:val="12"/>
              <w:spacing w:before="30" w:line="190" w:lineRule="auto"/>
              <w:ind w:left="115" w:firstLine="22"/>
              <w:jc w:val="both"/>
              <w:rPr>
                <w:color w:val="auto"/>
                <w:sz w:val="22"/>
                <w:szCs w:val="22"/>
                <w:highlight w:val="none"/>
              </w:rPr>
            </w:pPr>
            <w:r>
              <w:rPr>
                <w:color w:val="auto"/>
                <w:spacing w:val="-3"/>
                <w:sz w:val="22"/>
                <w:szCs w:val="22"/>
                <w:highlight w:val="none"/>
              </w:rPr>
              <w:t>以上  10  项内容均提供，方案完整</w:t>
            </w:r>
            <w:r>
              <w:rPr>
                <w:color w:val="auto"/>
                <w:spacing w:val="-4"/>
                <w:sz w:val="22"/>
                <w:szCs w:val="22"/>
                <w:highlight w:val="none"/>
              </w:rPr>
              <w:t>全面，科学合理，逻辑清晰，贴合</w:t>
            </w:r>
            <w:r>
              <w:rPr>
                <w:color w:val="auto"/>
                <w:sz w:val="22"/>
                <w:szCs w:val="22"/>
                <w:highlight w:val="none"/>
              </w:rPr>
              <w:t xml:space="preserve">  采购需求，</w:t>
            </w:r>
            <w:r>
              <w:rPr>
                <w:color w:val="auto"/>
                <w:spacing w:val="-37"/>
                <w:sz w:val="22"/>
                <w:szCs w:val="22"/>
                <w:highlight w:val="none"/>
              </w:rPr>
              <w:t xml:space="preserve"> </w:t>
            </w:r>
            <w:r>
              <w:rPr>
                <w:color w:val="auto"/>
                <w:sz w:val="22"/>
                <w:szCs w:val="22"/>
                <w:highlight w:val="none"/>
              </w:rPr>
              <w:t>可行性高，</w:t>
            </w:r>
            <w:r>
              <w:rPr>
                <w:color w:val="auto"/>
                <w:spacing w:val="-41"/>
                <w:sz w:val="22"/>
                <w:szCs w:val="22"/>
                <w:highlight w:val="none"/>
              </w:rPr>
              <w:t xml:space="preserve"> </w:t>
            </w:r>
            <w:r>
              <w:rPr>
                <w:color w:val="auto"/>
                <w:sz w:val="22"/>
                <w:szCs w:val="22"/>
                <w:highlight w:val="none"/>
              </w:rPr>
              <w:t>针对性强，</w:t>
            </w:r>
            <w:r>
              <w:rPr>
                <w:color w:val="auto"/>
                <w:spacing w:val="-36"/>
                <w:sz w:val="22"/>
                <w:szCs w:val="22"/>
                <w:highlight w:val="none"/>
              </w:rPr>
              <w:t xml:space="preserve"> </w:t>
            </w:r>
            <w:r>
              <w:rPr>
                <w:color w:val="auto"/>
                <w:sz w:val="22"/>
                <w:szCs w:val="22"/>
                <w:highlight w:val="none"/>
              </w:rPr>
              <w:t>完全符合项目实际情况得满</w:t>
            </w:r>
            <w:r>
              <w:rPr>
                <w:color w:val="auto"/>
                <w:spacing w:val="-1"/>
                <w:sz w:val="22"/>
                <w:szCs w:val="22"/>
                <w:highlight w:val="none"/>
              </w:rPr>
              <w:t>分 20</w:t>
            </w:r>
            <w:r>
              <w:rPr>
                <w:color w:val="auto"/>
                <w:sz w:val="22"/>
                <w:szCs w:val="22"/>
                <w:highlight w:val="none"/>
              </w:rPr>
              <w:t xml:space="preserve">  </w:t>
            </w:r>
            <w:r>
              <w:rPr>
                <w:color w:val="auto"/>
                <w:spacing w:val="-3"/>
                <w:sz w:val="22"/>
                <w:szCs w:val="22"/>
                <w:highlight w:val="none"/>
              </w:rPr>
              <w:t>分；其中每有一项内容未提供的扣</w:t>
            </w:r>
            <w:r>
              <w:rPr>
                <w:color w:val="auto"/>
                <w:spacing w:val="56"/>
                <w:sz w:val="22"/>
                <w:szCs w:val="22"/>
                <w:highlight w:val="none"/>
              </w:rPr>
              <w:t xml:space="preserve"> </w:t>
            </w:r>
            <w:r>
              <w:rPr>
                <w:color w:val="auto"/>
                <w:spacing w:val="-3"/>
                <w:sz w:val="22"/>
                <w:szCs w:val="22"/>
                <w:highlight w:val="none"/>
              </w:rPr>
              <w:t>2</w:t>
            </w:r>
            <w:r>
              <w:rPr>
                <w:color w:val="auto"/>
                <w:spacing w:val="62"/>
                <w:sz w:val="22"/>
                <w:szCs w:val="22"/>
                <w:highlight w:val="none"/>
              </w:rPr>
              <w:t xml:space="preserve"> </w:t>
            </w:r>
            <w:r>
              <w:rPr>
                <w:color w:val="auto"/>
                <w:spacing w:val="-3"/>
                <w:sz w:val="22"/>
                <w:szCs w:val="22"/>
                <w:highlight w:val="none"/>
              </w:rPr>
              <w:t>分；每有一项</w:t>
            </w:r>
            <w:r>
              <w:rPr>
                <w:color w:val="auto"/>
                <w:spacing w:val="-4"/>
                <w:sz w:val="22"/>
                <w:szCs w:val="22"/>
                <w:highlight w:val="none"/>
              </w:rPr>
              <w:t>内容阐述不全面、</w:t>
            </w:r>
            <w:r>
              <w:rPr>
                <w:color w:val="auto"/>
                <w:sz w:val="22"/>
                <w:szCs w:val="22"/>
                <w:highlight w:val="none"/>
              </w:rPr>
              <w:t xml:space="preserve"> </w:t>
            </w:r>
            <w:r>
              <w:rPr>
                <w:color w:val="auto"/>
                <w:spacing w:val="-1"/>
                <w:sz w:val="22"/>
                <w:szCs w:val="22"/>
                <w:highlight w:val="none"/>
              </w:rPr>
              <w:t>不符合项目实际情况、无法满足采购需求或内容</w:t>
            </w:r>
            <w:r>
              <w:rPr>
                <w:color w:val="auto"/>
                <w:spacing w:val="-2"/>
                <w:sz w:val="22"/>
                <w:szCs w:val="22"/>
                <w:highlight w:val="none"/>
              </w:rPr>
              <w:t>存在缺陷、瑕疵、描</w:t>
            </w:r>
            <w:r>
              <w:rPr>
                <w:color w:val="auto"/>
                <w:sz w:val="22"/>
                <w:szCs w:val="22"/>
                <w:highlight w:val="none"/>
              </w:rPr>
              <w:t xml:space="preserve">  </w:t>
            </w:r>
            <w:r>
              <w:rPr>
                <w:color w:val="auto"/>
                <w:spacing w:val="-5"/>
                <w:sz w:val="22"/>
                <w:szCs w:val="22"/>
                <w:highlight w:val="none"/>
              </w:rPr>
              <w:t>述不清楚的扣  1 分，直至扣完为止。</w:t>
            </w:r>
          </w:p>
        </w:tc>
        <w:tc>
          <w:tcPr>
            <w:tcW w:w="551" w:type="dxa"/>
            <w:vAlign w:val="top"/>
          </w:tcPr>
          <w:p w14:paraId="4AEF7B37">
            <w:pPr>
              <w:rPr>
                <w:rFonts w:ascii="Arial"/>
                <w:color w:val="auto"/>
                <w:sz w:val="21"/>
                <w:highlight w:val="none"/>
              </w:rPr>
            </w:pPr>
          </w:p>
        </w:tc>
      </w:tr>
      <w:tr w14:paraId="5CDE8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9" w:type="dxa"/>
            <w:vMerge w:val="continue"/>
            <w:tcBorders>
              <w:top w:val="nil"/>
            </w:tcBorders>
            <w:vAlign w:val="top"/>
          </w:tcPr>
          <w:p w14:paraId="0489F66D">
            <w:pPr>
              <w:rPr>
                <w:rFonts w:ascii="Arial"/>
                <w:color w:val="auto"/>
                <w:sz w:val="21"/>
                <w:highlight w:val="none"/>
              </w:rPr>
            </w:pPr>
          </w:p>
        </w:tc>
        <w:tc>
          <w:tcPr>
            <w:tcW w:w="1192" w:type="dxa"/>
            <w:vMerge w:val="continue"/>
            <w:tcBorders>
              <w:top w:val="nil"/>
            </w:tcBorders>
            <w:vAlign w:val="top"/>
          </w:tcPr>
          <w:p w14:paraId="40766417">
            <w:pPr>
              <w:rPr>
                <w:rFonts w:ascii="Arial"/>
                <w:color w:val="auto"/>
                <w:sz w:val="21"/>
                <w:highlight w:val="none"/>
              </w:rPr>
            </w:pPr>
          </w:p>
        </w:tc>
        <w:tc>
          <w:tcPr>
            <w:tcW w:w="1080" w:type="dxa"/>
            <w:vAlign w:val="top"/>
          </w:tcPr>
          <w:p w14:paraId="7C869EE5">
            <w:pPr>
              <w:pStyle w:val="12"/>
              <w:spacing w:before="137" w:line="164" w:lineRule="auto"/>
              <w:ind w:left="123"/>
              <w:rPr>
                <w:color w:val="auto"/>
                <w:sz w:val="22"/>
                <w:szCs w:val="22"/>
                <w:highlight w:val="none"/>
              </w:rPr>
            </w:pPr>
            <w:r>
              <w:rPr>
                <w:color w:val="auto"/>
                <w:spacing w:val="-12"/>
                <w:sz w:val="22"/>
                <w:szCs w:val="22"/>
                <w:highlight w:val="none"/>
              </w:rPr>
              <w:t>10（分）</w:t>
            </w:r>
          </w:p>
        </w:tc>
        <w:tc>
          <w:tcPr>
            <w:tcW w:w="6786" w:type="dxa"/>
            <w:vAlign w:val="top"/>
          </w:tcPr>
          <w:p w14:paraId="564B494A">
            <w:pPr>
              <w:pStyle w:val="12"/>
              <w:spacing w:before="98" w:line="187" w:lineRule="auto"/>
              <w:ind w:left="116"/>
              <w:rPr>
                <w:color w:val="auto"/>
                <w:sz w:val="22"/>
                <w:szCs w:val="22"/>
                <w:highlight w:val="none"/>
              </w:rPr>
            </w:pPr>
            <w:r>
              <w:rPr>
                <w:b/>
                <w:bCs/>
                <w:color w:val="auto"/>
                <w:spacing w:val="-4"/>
                <w:sz w:val="22"/>
                <w:szCs w:val="22"/>
                <w:highlight w:val="none"/>
              </w:rPr>
              <w:t>技术参数：</w:t>
            </w:r>
            <w:r>
              <w:rPr>
                <w:b/>
                <w:bCs/>
                <w:color w:val="auto"/>
                <w:spacing w:val="-38"/>
                <w:sz w:val="22"/>
                <w:szCs w:val="22"/>
                <w:highlight w:val="none"/>
              </w:rPr>
              <w:t xml:space="preserve"> </w:t>
            </w:r>
            <w:r>
              <w:rPr>
                <w:color w:val="auto"/>
                <w:spacing w:val="-4"/>
                <w:sz w:val="22"/>
                <w:szCs w:val="22"/>
                <w:highlight w:val="none"/>
              </w:rPr>
              <w:t>完全满足招标要求的得 8 分；</w:t>
            </w:r>
            <w:r>
              <w:rPr>
                <w:color w:val="auto"/>
                <w:spacing w:val="-42"/>
                <w:sz w:val="22"/>
                <w:szCs w:val="22"/>
                <w:highlight w:val="none"/>
              </w:rPr>
              <w:t xml:space="preserve"> </w:t>
            </w:r>
            <w:r>
              <w:rPr>
                <w:color w:val="auto"/>
                <w:spacing w:val="-4"/>
                <w:sz w:val="22"/>
                <w:szCs w:val="22"/>
                <w:highlight w:val="none"/>
              </w:rPr>
              <w:t>每有一项技术指标高于</w:t>
            </w:r>
            <w:r>
              <w:rPr>
                <w:color w:val="auto"/>
                <w:spacing w:val="-5"/>
                <w:sz w:val="22"/>
                <w:szCs w:val="22"/>
                <w:highlight w:val="none"/>
              </w:rPr>
              <w:t>招标</w:t>
            </w:r>
          </w:p>
        </w:tc>
        <w:tc>
          <w:tcPr>
            <w:tcW w:w="551" w:type="dxa"/>
            <w:vAlign w:val="top"/>
          </w:tcPr>
          <w:p w14:paraId="5D79769E">
            <w:pPr>
              <w:rPr>
                <w:rFonts w:ascii="Arial"/>
                <w:color w:val="auto"/>
                <w:sz w:val="21"/>
                <w:highlight w:val="none"/>
              </w:rPr>
            </w:pPr>
          </w:p>
        </w:tc>
      </w:tr>
    </w:tbl>
    <w:p w14:paraId="0ED369BF">
      <w:pPr>
        <w:pStyle w:val="6"/>
        <w:rPr>
          <w:color w:val="auto"/>
          <w:highlight w:val="none"/>
        </w:rPr>
      </w:pPr>
    </w:p>
    <w:p w14:paraId="720FC1CE">
      <w:pPr>
        <w:rPr>
          <w:color w:val="auto"/>
          <w:highlight w:val="none"/>
        </w:rPr>
        <w:sectPr>
          <w:headerReference r:id="rId66" w:type="default"/>
          <w:footerReference r:id="rId67" w:type="default"/>
          <w:pgSz w:w="11906" w:h="16839"/>
          <w:pgMar w:top="400" w:right="763" w:bottom="1152" w:left="764" w:header="0" w:footer="992" w:gutter="0"/>
          <w:cols w:space="720" w:num="1"/>
        </w:sectPr>
      </w:pPr>
    </w:p>
    <w:p w14:paraId="21159A55">
      <w:pPr>
        <w:pStyle w:val="6"/>
        <w:spacing w:line="448" w:lineRule="auto"/>
        <w:rPr>
          <w:color w:val="auto"/>
          <w:highlight w:val="none"/>
        </w:rPr>
      </w:pPr>
    </w:p>
    <w:p w14:paraId="1FC8809A">
      <w:pPr>
        <w:spacing w:line="884" w:lineRule="exact"/>
        <w:ind w:firstLine="645"/>
        <w:rPr>
          <w:color w:val="auto"/>
          <w:highlight w:val="none"/>
        </w:rPr>
      </w:pP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770AE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759" w:type="dxa"/>
            <w:vMerge w:val="restart"/>
            <w:tcBorders>
              <w:bottom w:val="nil"/>
            </w:tcBorders>
            <w:vAlign w:val="top"/>
          </w:tcPr>
          <w:p w14:paraId="7117F486">
            <w:pPr>
              <w:rPr>
                <w:rFonts w:ascii="Arial"/>
                <w:color w:val="auto"/>
                <w:sz w:val="21"/>
                <w:highlight w:val="none"/>
              </w:rPr>
            </w:pPr>
          </w:p>
        </w:tc>
        <w:tc>
          <w:tcPr>
            <w:tcW w:w="1192" w:type="dxa"/>
            <w:vMerge w:val="restart"/>
            <w:tcBorders>
              <w:bottom w:val="nil"/>
            </w:tcBorders>
            <w:vAlign w:val="top"/>
          </w:tcPr>
          <w:p w14:paraId="7DEC4283">
            <w:pPr>
              <w:rPr>
                <w:rFonts w:ascii="Arial"/>
                <w:color w:val="auto"/>
                <w:sz w:val="21"/>
                <w:highlight w:val="none"/>
              </w:rPr>
            </w:pPr>
          </w:p>
        </w:tc>
        <w:tc>
          <w:tcPr>
            <w:tcW w:w="1080" w:type="dxa"/>
            <w:vAlign w:val="top"/>
          </w:tcPr>
          <w:p w14:paraId="709E0264">
            <w:pPr>
              <w:rPr>
                <w:rFonts w:ascii="Arial"/>
                <w:color w:val="auto"/>
                <w:sz w:val="21"/>
                <w:highlight w:val="none"/>
              </w:rPr>
            </w:pPr>
          </w:p>
        </w:tc>
        <w:tc>
          <w:tcPr>
            <w:tcW w:w="6786" w:type="dxa"/>
            <w:vAlign w:val="top"/>
          </w:tcPr>
          <w:p w14:paraId="5A42142B">
            <w:pPr>
              <w:pStyle w:val="12"/>
              <w:spacing w:before="57" w:line="188" w:lineRule="auto"/>
              <w:ind w:left="115"/>
              <w:rPr>
                <w:color w:val="auto"/>
                <w:sz w:val="22"/>
                <w:szCs w:val="22"/>
                <w:highlight w:val="none"/>
              </w:rPr>
            </w:pPr>
            <w:r>
              <w:rPr>
                <w:color w:val="auto"/>
                <w:spacing w:val="-4"/>
                <w:sz w:val="22"/>
                <w:szCs w:val="22"/>
                <w:highlight w:val="none"/>
              </w:rPr>
              <w:t>文件要求的得 0.5  分，最多 2 分。</w:t>
            </w:r>
          </w:p>
          <w:p w14:paraId="4CBA5835">
            <w:pPr>
              <w:pStyle w:val="12"/>
              <w:spacing w:before="17" w:line="181" w:lineRule="auto"/>
              <w:ind w:left="114" w:right="98" w:firstLine="6"/>
              <w:rPr>
                <w:color w:val="auto"/>
                <w:sz w:val="22"/>
                <w:szCs w:val="22"/>
                <w:highlight w:val="none"/>
              </w:rPr>
            </w:pPr>
            <w:r>
              <w:rPr>
                <w:b/>
                <w:bCs/>
                <w:color w:val="auto"/>
                <w:spacing w:val="-2"/>
                <w:sz w:val="22"/>
                <w:szCs w:val="22"/>
                <w:highlight w:val="none"/>
              </w:rPr>
              <w:t>注：</w:t>
            </w:r>
            <w:r>
              <w:rPr>
                <w:b/>
                <w:bCs/>
                <w:color w:val="auto"/>
                <w:spacing w:val="-42"/>
                <w:sz w:val="22"/>
                <w:szCs w:val="22"/>
                <w:highlight w:val="none"/>
              </w:rPr>
              <w:t xml:space="preserve"> </w:t>
            </w:r>
            <w:r>
              <w:rPr>
                <w:b/>
                <w:bCs/>
                <w:color w:val="auto"/>
                <w:spacing w:val="-2"/>
                <w:sz w:val="22"/>
                <w:szCs w:val="22"/>
                <w:highlight w:val="none"/>
              </w:rPr>
              <w:t>高于招标文件要求的，根据供应商自身的需</w:t>
            </w:r>
            <w:r>
              <w:rPr>
                <w:b/>
                <w:bCs/>
                <w:color w:val="auto"/>
                <w:spacing w:val="-3"/>
                <w:sz w:val="22"/>
                <w:szCs w:val="22"/>
                <w:highlight w:val="none"/>
              </w:rPr>
              <w:t>求提供必要的证明资</w:t>
            </w:r>
            <w:r>
              <w:rPr>
                <w:b/>
                <w:bCs/>
                <w:color w:val="auto"/>
                <w:sz w:val="22"/>
                <w:szCs w:val="22"/>
                <w:highlight w:val="none"/>
              </w:rPr>
              <w:t xml:space="preserve"> </w:t>
            </w:r>
            <w:r>
              <w:rPr>
                <w:b/>
                <w:bCs/>
                <w:color w:val="auto"/>
                <w:spacing w:val="-5"/>
                <w:sz w:val="22"/>
                <w:szCs w:val="22"/>
                <w:highlight w:val="none"/>
              </w:rPr>
              <w:t>料，未提供不得分。</w:t>
            </w:r>
          </w:p>
        </w:tc>
        <w:tc>
          <w:tcPr>
            <w:tcW w:w="551" w:type="dxa"/>
            <w:vAlign w:val="top"/>
          </w:tcPr>
          <w:p w14:paraId="3DAC7F37">
            <w:pPr>
              <w:rPr>
                <w:rFonts w:ascii="Arial"/>
                <w:color w:val="auto"/>
                <w:sz w:val="21"/>
                <w:highlight w:val="none"/>
              </w:rPr>
            </w:pPr>
          </w:p>
        </w:tc>
      </w:tr>
      <w:tr w14:paraId="4B84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759" w:type="dxa"/>
            <w:vMerge w:val="continue"/>
            <w:tcBorders>
              <w:top w:val="nil"/>
            </w:tcBorders>
            <w:vAlign w:val="top"/>
          </w:tcPr>
          <w:p w14:paraId="2686DE6A">
            <w:pPr>
              <w:rPr>
                <w:rFonts w:ascii="Arial"/>
                <w:color w:val="auto"/>
                <w:sz w:val="21"/>
                <w:highlight w:val="none"/>
              </w:rPr>
            </w:pPr>
          </w:p>
        </w:tc>
        <w:tc>
          <w:tcPr>
            <w:tcW w:w="1192" w:type="dxa"/>
            <w:vMerge w:val="continue"/>
            <w:tcBorders>
              <w:top w:val="nil"/>
            </w:tcBorders>
            <w:vAlign w:val="top"/>
          </w:tcPr>
          <w:p w14:paraId="7715CCCE">
            <w:pPr>
              <w:rPr>
                <w:rFonts w:ascii="Arial"/>
                <w:color w:val="auto"/>
                <w:sz w:val="21"/>
                <w:highlight w:val="none"/>
              </w:rPr>
            </w:pPr>
          </w:p>
        </w:tc>
        <w:tc>
          <w:tcPr>
            <w:tcW w:w="1080" w:type="dxa"/>
            <w:vAlign w:val="top"/>
          </w:tcPr>
          <w:p w14:paraId="557A1F81">
            <w:pPr>
              <w:spacing w:line="290" w:lineRule="auto"/>
              <w:rPr>
                <w:rFonts w:ascii="Arial"/>
                <w:color w:val="auto"/>
                <w:sz w:val="21"/>
                <w:highlight w:val="none"/>
              </w:rPr>
            </w:pPr>
          </w:p>
          <w:p w14:paraId="13188CC6">
            <w:pPr>
              <w:spacing w:line="290" w:lineRule="auto"/>
              <w:rPr>
                <w:rFonts w:ascii="Arial"/>
                <w:color w:val="auto"/>
                <w:sz w:val="21"/>
                <w:highlight w:val="none"/>
              </w:rPr>
            </w:pPr>
          </w:p>
          <w:p w14:paraId="1EAFE5AD">
            <w:pPr>
              <w:spacing w:line="291" w:lineRule="auto"/>
              <w:rPr>
                <w:rFonts w:ascii="Arial"/>
                <w:color w:val="auto"/>
                <w:sz w:val="21"/>
                <w:highlight w:val="none"/>
              </w:rPr>
            </w:pPr>
          </w:p>
          <w:p w14:paraId="4B6017E9">
            <w:pPr>
              <w:spacing w:line="291" w:lineRule="auto"/>
              <w:rPr>
                <w:rFonts w:ascii="Arial"/>
                <w:color w:val="auto"/>
                <w:sz w:val="21"/>
                <w:highlight w:val="none"/>
              </w:rPr>
            </w:pPr>
          </w:p>
          <w:p w14:paraId="13B2C9A1">
            <w:pPr>
              <w:pStyle w:val="12"/>
              <w:spacing w:before="94" w:line="183" w:lineRule="auto"/>
              <w:ind w:left="157"/>
              <w:rPr>
                <w:color w:val="auto"/>
                <w:sz w:val="22"/>
                <w:szCs w:val="22"/>
                <w:highlight w:val="none"/>
              </w:rPr>
            </w:pPr>
            <w:r>
              <w:rPr>
                <w:color w:val="auto"/>
                <w:spacing w:val="-8"/>
                <w:sz w:val="22"/>
                <w:szCs w:val="22"/>
                <w:highlight w:val="none"/>
              </w:rPr>
              <w:t>2（分）</w:t>
            </w:r>
          </w:p>
        </w:tc>
        <w:tc>
          <w:tcPr>
            <w:tcW w:w="6786" w:type="dxa"/>
            <w:vAlign w:val="top"/>
          </w:tcPr>
          <w:p w14:paraId="4C7D454E">
            <w:pPr>
              <w:pStyle w:val="12"/>
              <w:spacing w:before="41" w:line="198" w:lineRule="auto"/>
              <w:ind w:left="111" w:right="98" w:firstLine="9"/>
              <w:jc w:val="both"/>
              <w:rPr>
                <w:color w:val="auto"/>
                <w:sz w:val="22"/>
                <w:szCs w:val="22"/>
                <w:highlight w:val="none"/>
              </w:rPr>
            </w:pPr>
            <w:r>
              <w:rPr>
                <w:b/>
                <w:bCs/>
                <w:color w:val="auto"/>
                <w:spacing w:val="-2"/>
                <w:sz w:val="22"/>
                <w:szCs w:val="22"/>
                <w:highlight w:val="none"/>
              </w:rPr>
              <w:t>车辆配置：</w:t>
            </w:r>
            <w:r>
              <w:rPr>
                <w:color w:val="auto"/>
                <w:spacing w:val="-2"/>
                <w:sz w:val="22"/>
                <w:szCs w:val="22"/>
                <w:highlight w:val="none"/>
              </w:rPr>
              <w:t>根据供应商拟用于本项目货物配送的车辆配备情况进行打</w:t>
            </w:r>
            <w:r>
              <w:rPr>
                <w:color w:val="auto"/>
                <w:spacing w:val="16"/>
                <w:sz w:val="22"/>
                <w:szCs w:val="22"/>
                <w:highlight w:val="none"/>
              </w:rPr>
              <w:t xml:space="preserve"> </w:t>
            </w:r>
            <w:r>
              <w:rPr>
                <w:color w:val="auto"/>
                <w:spacing w:val="-1"/>
                <w:sz w:val="22"/>
                <w:szCs w:val="22"/>
                <w:highlight w:val="none"/>
              </w:rPr>
              <w:t>分（如货车、皮卡车、铲车等</w:t>
            </w:r>
            <w:r>
              <w:rPr>
                <w:color w:val="auto"/>
                <w:spacing w:val="-3"/>
                <w:sz w:val="22"/>
                <w:szCs w:val="22"/>
                <w:highlight w:val="none"/>
              </w:rPr>
              <w:t>），</w:t>
            </w:r>
            <w:r>
              <w:rPr>
                <w:color w:val="auto"/>
                <w:spacing w:val="-1"/>
                <w:sz w:val="22"/>
                <w:szCs w:val="22"/>
                <w:highlight w:val="none"/>
              </w:rPr>
              <w:t>每提供一辆车辆得 0.5 分，最高得</w:t>
            </w:r>
            <w:r>
              <w:rPr>
                <w:color w:val="auto"/>
                <w:spacing w:val="1"/>
                <w:sz w:val="22"/>
                <w:szCs w:val="22"/>
                <w:highlight w:val="none"/>
              </w:rPr>
              <w:t xml:space="preserve"> </w:t>
            </w:r>
            <w:r>
              <w:rPr>
                <w:color w:val="auto"/>
                <w:spacing w:val="-18"/>
                <w:sz w:val="22"/>
                <w:szCs w:val="22"/>
                <w:highlight w:val="none"/>
              </w:rPr>
              <w:t>2</w:t>
            </w:r>
            <w:r>
              <w:rPr>
                <w:color w:val="auto"/>
                <w:spacing w:val="62"/>
                <w:sz w:val="22"/>
                <w:szCs w:val="22"/>
                <w:highlight w:val="none"/>
              </w:rPr>
              <w:t xml:space="preserve"> </w:t>
            </w:r>
            <w:r>
              <w:rPr>
                <w:color w:val="auto"/>
                <w:spacing w:val="-18"/>
                <w:sz w:val="22"/>
                <w:szCs w:val="22"/>
                <w:highlight w:val="none"/>
              </w:rPr>
              <w:t>分。</w:t>
            </w:r>
          </w:p>
          <w:p w14:paraId="3160C4FE">
            <w:pPr>
              <w:pStyle w:val="12"/>
              <w:spacing w:before="1" w:line="187" w:lineRule="auto"/>
              <w:ind w:left="120" w:right="98" w:hanging="5"/>
              <w:jc w:val="both"/>
              <w:rPr>
                <w:color w:val="auto"/>
                <w:sz w:val="22"/>
                <w:szCs w:val="22"/>
                <w:highlight w:val="none"/>
              </w:rPr>
            </w:pPr>
            <w:r>
              <w:rPr>
                <w:color w:val="auto"/>
                <w:spacing w:val="-3"/>
                <w:sz w:val="22"/>
                <w:szCs w:val="22"/>
                <w:highlight w:val="none"/>
              </w:rPr>
              <w:t>（</w:t>
            </w:r>
            <w:r>
              <w:rPr>
                <w:b/>
                <w:bCs/>
                <w:color w:val="auto"/>
                <w:spacing w:val="-3"/>
                <w:sz w:val="22"/>
                <w:szCs w:val="22"/>
                <w:highlight w:val="none"/>
              </w:rPr>
              <w:t>注： 自有车辆须提供车辆照片、车辆行</w:t>
            </w:r>
            <w:r>
              <w:rPr>
                <w:b/>
                <w:bCs/>
                <w:color w:val="auto"/>
                <w:spacing w:val="-4"/>
                <w:sz w:val="22"/>
                <w:szCs w:val="22"/>
                <w:highlight w:val="none"/>
              </w:rPr>
              <w:t>驶证或登记证扫描件，租赁</w:t>
            </w:r>
            <w:r>
              <w:rPr>
                <w:b/>
                <w:bCs/>
                <w:color w:val="auto"/>
                <w:sz w:val="22"/>
                <w:szCs w:val="22"/>
                <w:highlight w:val="none"/>
              </w:rPr>
              <w:t xml:space="preserve"> </w:t>
            </w:r>
            <w:r>
              <w:rPr>
                <w:b/>
                <w:bCs/>
                <w:color w:val="auto"/>
                <w:spacing w:val="-2"/>
                <w:sz w:val="22"/>
                <w:szCs w:val="22"/>
                <w:highlight w:val="none"/>
              </w:rPr>
              <w:t>车辆须提供车辆照片、车辆租赁协议扫描件。未提供证明材料或提供</w:t>
            </w:r>
            <w:r>
              <w:rPr>
                <w:b/>
                <w:bCs/>
                <w:color w:val="auto"/>
                <w:spacing w:val="16"/>
                <w:sz w:val="22"/>
                <w:szCs w:val="22"/>
                <w:highlight w:val="none"/>
              </w:rPr>
              <w:t xml:space="preserve"> </w:t>
            </w:r>
            <w:r>
              <w:rPr>
                <w:b/>
                <w:bCs/>
                <w:color w:val="auto"/>
                <w:spacing w:val="-2"/>
                <w:sz w:val="22"/>
                <w:szCs w:val="22"/>
                <w:highlight w:val="none"/>
              </w:rPr>
              <w:t>不全的此项不得分。</w:t>
            </w:r>
            <w:r>
              <w:rPr>
                <w:color w:val="auto"/>
                <w:spacing w:val="-2"/>
                <w:sz w:val="22"/>
                <w:szCs w:val="22"/>
                <w:highlight w:val="none"/>
              </w:rPr>
              <w:t>）</w:t>
            </w:r>
          </w:p>
        </w:tc>
        <w:tc>
          <w:tcPr>
            <w:tcW w:w="551" w:type="dxa"/>
            <w:vAlign w:val="top"/>
          </w:tcPr>
          <w:p w14:paraId="300B3EA2">
            <w:pPr>
              <w:rPr>
                <w:rFonts w:ascii="Arial"/>
                <w:color w:val="auto"/>
                <w:sz w:val="21"/>
                <w:highlight w:val="none"/>
              </w:rPr>
            </w:pPr>
          </w:p>
        </w:tc>
      </w:tr>
      <w:tr w14:paraId="13A55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5" w:hRule="atLeast"/>
        </w:trPr>
        <w:tc>
          <w:tcPr>
            <w:tcW w:w="759" w:type="dxa"/>
            <w:vAlign w:val="top"/>
          </w:tcPr>
          <w:p w14:paraId="365A4241">
            <w:pPr>
              <w:rPr>
                <w:rFonts w:ascii="Arial"/>
                <w:color w:val="auto"/>
                <w:sz w:val="21"/>
                <w:highlight w:val="none"/>
              </w:rPr>
            </w:pPr>
          </w:p>
        </w:tc>
        <w:tc>
          <w:tcPr>
            <w:tcW w:w="1192" w:type="dxa"/>
            <w:vAlign w:val="top"/>
          </w:tcPr>
          <w:p w14:paraId="712EF804">
            <w:pPr>
              <w:rPr>
                <w:rFonts w:ascii="Arial"/>
                <w:color w:val="auto"/>
                <w:sz w:val="21"/>
                <w:highlight w:val="none"/>
              </w:rPr>
            </w:pPr>
          </w:p>
        </w:tc>
        <w:tc>
          <w:tcPr>
            <w:tcW w:w="1080" w:type="dxa"/>
            <w:vAlign w:val="top"/>
          </w:tcPr>
          <w:p w14:paraId="62960000">
            <w:pPr>
              <w:spacing w:line="250" w:lineRule="auto"/>
              <w:rPr>
                <w:rFonts w:ascii="Arial"/>
                <w:color w:val="auto"/>
                <w:sz w:val="21"/>
                <w:highlight w:val="none"/>
              </w:rPr>
            </w:pPr>
          </w:p>
          <w:p w14:paraId="7D5ADE3F">
            <w:pPr>
              <w:spacing w:line="250" w:lineRule="auto"/>
              <w:rPr>
                <w:rFonts w:ascii="Arial"/>
                <w:color w:val="auto"/>
                <w:sz w:val="21"/>
                <w:highlight w:val="none"/>
              </w:rPr>
            </w:pPr>
          </w:p>
          <w:p w14:paraId="3FF4E7F1">
            <w:pPr>
              <w:spacing w:line="251" w:lineRule="auto"/>
              <w:rPr>
                <w:rFonts w:ascii="Arial"/>
                <w:color w:val="auto"/>
                <w:sz w:val="21"/>
                <w:highlight w:val="none"/>
              </w:rPr>
            </w:pPr>
          </w:p>
          <w:p w14:paraId="67FA303F">
            <w:pPr>
              <w:spacing w:line="251" w:lineRule="auto"/>
              <w:rPr>
                <w:rFonts w:ascii="Arial"/>
                <w:color w:val="auto"/>
                <w:sz w:val="21"/>
                <w:highlight w:val="none"/>
              </w:rPr>
            </w:pPr>
          </w:p>
          <w:p w14:paraId="497C3087">
            <w:pPr>
              <w:spacing w:line="251" w:lineRule="auto"/>
              <w:rPr>
                <w:rFonts w:ascii="Arial"/>
                <w:color w:val="auto"/>
                <w:sz w:val="21"/>
                <w:highlight w:val="none"/>
              </w:rPr>
            </w:pPr>
          </w:p>
          <w:p w14:paraId="323317BC">
            <w:pPr>
              <w:spacing w:line="251" w:lineRule="auto"/>
              <w:rPr>
                <w:rFonts w:ascii="Arial"/>
                <w:color w:val="auto"/>
                <w:sz w:val="21"/>
                <w:highlight w:val="none"/>
              </w:rPr>
            </w:pPr>
          </w:p>
          <w:p w14:paraId="04F4C8E3">
            <w:pPr>
              <w:spacing w:line="251" w:lineRule="auto"/>
              <w:rPr>
                <w:rFonts w:ascii="Arial"/>
                <w:color w:val="auto"/>
                <w:sz w:val="21"/>
                <w:highlight w:val="none"/>
              </w:rPr>
            </w:pPr>
          </w:p>
          <w:p w14:paraId="78D046F6">
            <w:pPr>
              <w:spacing w:line="251" w:lineRule="auto"/>
              <w:rPr>
                <w:rFonts w:ascii="Arial"/>
                <w:color w:val="auto"/>
                <w:sz w:val="21"/>
                <w:highlight w:val="none"/>
              </w:rPr>
            </w:pPr>
          </w:p>
          <w:p w14:paraId="27F75BF3">
            <w:pPr>
              <w:pStyle w:val="12"/>
              <w:spacing w:before="95" w:line="183" w:lineRule="auto"/>
              <w:ind w:left="156"/>
              <w:rPr>
                <w:color w:val="auto"/>
                <w:sz w:val="22"/>
                <w:szCs w:val="22"/>
                <w:highlight w:val="none"/>
              </w:rPr>
            </w:pPr>
            <w:r>
              <w:rPr>
                <w:color w:val="auto"/>
                <w:spacing w:val="-8"/>
                <w:sz w:val="22"/>
                <w:szCs w:val="22"/>
                <w:highlight w:val="none"/>
              </w:rPr>
              <w:t>6（分）</w:t>
            </w:r>
          </w:p>
        </w:tc>
        <w:tc>
          <w:tcPr>
            <w:tcW w:w="6786" w:type="dxa"/>
            <w:vAlign w:val="top"/>
          </w:tcPr>
          <w:p w14:paraId="1D25F5A6">
            <w:pPr>
              <w:pStyle w:val="12"/>
              <w:spacing w:before="45" w:line="196" w:lineRule="auto"/>
              <w:ind w:left="108" w:right="36" w:firstLine="11"/>
              <w:jc w:val="both"/>
              <w:rPr>
                <w:color w:val="auto"/>
                <w:sz w:val="22"/>
                <w:szCs w:val="22"/>
                <w:highlight w:val="none"/>
              </w:rPr>
            </w:pPr>
            <w:r>
              <w:rPr>
                <w:b/>
                <w:bCs/>
                <w:color w:val="auto"/>
                <w:spacing w:val="-7"/>
                <w:sz w:val="22"/>
                <w:szCs w:val="22"/>
                <w:highlight w:val="none"/>
              </w:rPr>
              <w:t>履约能力</w:t>
            </w:r>
            <w:r>
              <w:rPr>
                <w:color w:val="auto"/>
                <w:spacing w:val="-7"/>
                <w:sz w:val="22"/>
                <w:szCs w:val="22"/>
                <w:highlight w:val="none"/>
              </w:rPr>
              <w:t>：供应商根据项目实际情况提供详细的总体履约方案，包括：</w:t>
            </w:r>
            <w:r>
              <w:rPr>
                <w:color w:val="auto"/>
                <w:spacing w:val="15"/>
                <w:sz w:val="22"/>
                <w:szCs w:val="22"/>
                <w:highlight w:val="none"/>
              </w:rPr>
              <w:t xml:space="preserve"> </w:t>
            </w:r>
            <w:r>
              <w:rPr>
                <w:color w:val="auto"/>
                <w:spacing w:val="1"/>
                <w:sz w:val="22"/>
                <w:szCs w:val="22"/>
                <w:highlight w:val="none"/>
              </w:rPr>
              <w:t>①围栏及配套设施的详细供货计划、配送方式及相关流程(须</w:t>
            </w:r>
            <w:r>
              <w:rPr>
                <w:color w:val="auto"/>
                <w:sz w:val="22"/>
                <w:szCs w:val="22"/>
                <w:highlight w:val="none"/>
              </w:rPr>
              <w:t xml:space="preserve">包含供   </w:t>
            </w:r>
            <w:r>
              <w:rPr>
                <w:color w:val="auto"/>
                <w:spacing w:val="-4"/>
                <w:sz w:val="22"/>
                <w:szCs w:val="22"/>
                <w:highlight w:val="none"/>
              </w:rPr>
              <w:t>货流程、退货流程、换货流程</w:t>
            </w:r>
            <w:r>
              <w:rPr>
                <w:color w:val="auto"/>
                <w:spacing w:val="-1"/>
                <w:sz w:val="22"/>
                <w:szCs w:val="22"/>
                <w:highlight w:val="none"/>
              </w:rPr>
              <w:t>）；</w:t>
            </w:r>
          </w:p>
          <w:p w14:paraId="78AC6FA8">
            <w:pPr>
              <w:pStyle w:val="12"/>
              <w:spacing w:before="11" w:line="191" w:lineRule="auto"/>
              <w:ind w:left="115" w:right="110" w:hanging="8"/>
              <w:rPr>
                <w:color w:val="auto"/>
                <w:sz w:val="22"/>
                <w:szCs w:val="22"/>
                <w:highlight w:val="none"/>
              </w:rPr>
            </w:pPr>
            <w:r>
              <w:rPr>
                <w:color w:val="auto"/>
                <w:spacing w:val="-2"/>
                <w:sz w:val="22"/>
                <w:szCs w:val="22"/>
                <w:highlight w:val="none"/>
              </w:rPr>
              <w:t>②项目人员组织保障责任分工（附本项目参与成员表及岗位分配表、</w:t>
            </w:r>
            <w:r>
              <w:rPr>
                <w:color w:val="auto"/>
                <w:spacing w:val="16"/>
                <w:w w:val="101"/>
                <w:sz w:val="22"/>
                <w:szCs w:val="22"/>
                <w:highlight w:val="none"/>
              </w:rPr>
              <w:t xml:space="preserve"> </w:t>
            </w:r>
            <w:r>
              <w:rPr>
                <w:color w:val="auto"/>
                <w:spacing w:val="-8"/>
                <w:sz w:val="22"/>
                <w:szCs w:val="22"/>
                <w:highlight w:val="none"/>
              </w:rPr>
              <w:t>项目经理职责</w:t>
            </w:r>
            <w:r>
              <w:rPr>
                <w:color w:val="auto"/>
                <w:spacing w:val="-4"/>
                <w:sz w:val="22"/>
                <w:szCs w:val="22"/>
                <w:highlight w:val="none"/>
              </w:rPr>
              <w:t>）；</w:t>
            </w:r>
          </w:p>
          <w:p w14:paraId="6D64DBC1">
            <w:pPr>
              <w:pStyle w:val="12"/>
              <w:spacing w:before="22" w:line="181" w:lineRule="auto"/>
              <w:ind w:left="107"/>
              <w:rPr>
                <w:color w:val="auto"/>
                <w:sz w:val="22"/>
                <w:szCs w:val="22"/>
                <w:highlight w:val="none"/>
              </w:rPr>
            </w:pPr>
            <w:r>
              <w:rPr>
                <w:color w:val="auto"/>
                <w:spacing w:val="-3"/>
                <w:sz w:val="22"/>
                <w:szCs w:val="22"/>
                <w:highlight w:val="none"/>
              </w:rPr>
              <w:t>③项目实施期间投入的工器具配置方案；</w:t>
            </w:r>
          </w:p>
          <w:p w14:paraId="2BB34C2F">
            <w:pPr>
              <w:pStyle w:val="12"/>
              <w:spacing w:before="27" w:line="181" w:lineRule="auto"/>
              <w:ind w:left="107"/>
              <w:rPr>
                <w:color w:val="auto"/>
                <w:sz w:val="22"/>
                <w:szCs w:val="22"/>
                <w:highlight w:val="none"/>
              </w:rPr>
            </w:pPr>
            <w:r>
              <w:rPr>
                <w:color w:val="auto"/>
                <w:spacing w:val="-4"/>
                <w:sz w:val="22"/>
                <w:szCs w:val="22"/>
                <w:highlight w:val="none"/>
              </w:rPr>
              <w:t>④针对围栏安装流程作出详细方案；</w:t>
            </w:r>
          </w:p>
          <w:p w14:paraId="3A5D78F5">
            <w:pPr>
              <w:pStyle w:val="12"/>
              <w:spacing w:before="27" w:line="181" w:lineRule="auto"/>
              <w:ind w:left="107"/>
              <w:rPr>
                <w:color w:val="auto"/>
                <w:sz w:val="22"/>
                <w:szCs w:val="22"/>
                <w:highlight w:val="none"/>
              </w:rPr>
            </w:pPr>
            <w:r>
              <w:rPr>
                <w:color w:val="auto"/>
                <w:spacing w:val="-3"/>
                <w:sz w:val="22"/>
                <w:szCs w:val="22"/>
                <w:highlight w:val="none"/>
              </w:rPr>
              <w:t>⑤针对围栏安装完成后的加固作出详细方案；</w:t>
            </w:r>
          </w:p>
          <w:p w14:paraId="65EDECAD">
            <w:pPr>
              <w:pStyle w:val="12"/>
              <w:spacing w:before="27" w:line="181" w:lineRule="auto"/>
              <w:ind w:left="107"/>
              <w:rPr>
                <w:color w:val="auto"/>
                <w:sz w:val="22"/>
                <w:szCs w:val="22"/>
                <w:highlight w:val="none"/>
              </w:rPr>
            </w:pPr>
            <w:r>
              <w:rPr>
                <w:color w:val="auto"/>
                <w:spacing w:val="-2"/>
                <w:sz w:val="22"/>
                <w:szCs w:val="22"/>
                <w:highlight w:val="none"/>
              </w:rPr>
              <w:t>⑥针对后期设备的管护、维修及保养做出详细方案。</w:t>
            </w:r>
          </w:p>
          <w:p w14:paraId="70D534C7">
            <w:pPr>
              <w:pStyle w:val="12"/>
              <w:spacing w:before="27" w:line="191" w:lineRule="auto"/>
              <w:ind w:left="110" w:right="23" w:firstLine="5"/>
              <w:jc w:val="both"/>
              <w:rPr>
                <w:color w:val="auto"/>
                <w:sz w:val="22"/>
                <w:szCs w:val="22"/>
                <w:highlight w:val="none"/>
              </w:rPr>
            </w:pPr>
            <w:r>
              <w:rPr>
                <w:color w:val="auto"/>
                <w:spacing w:val="-6"/>
                <w:sz w:val="22"/>
                <w:szCs w:val="22"/>
                <w:highlight w:val="none"/>
              </w:rPr>
              <w:t>评标委员会根据项目实际情况，方案完整全面，科学合理，逻辑清晰，</w:t>
            </w:r>
            <w:r>
              <w:rPr>
                <w:color w:val="auto"/>
                <w:spacing w:val="1"/>
                <w:sz w:val="22"/>
                <w:szCs w:val="22"/>
                <w:highlight w:val="none"/>
              </w:rPr>
              <w:t xml:space="preserve"> </w:t>
            </w:r>
            <w:r>
              <w:rPr>
                <w:color w:val="auto"/>
                <w:spacing w:val="-1"/>
                <w:sz w:val="22"/>
                <w:szCs w:val="22"/>
                <w:highlight w:val="none"/>
              </w:rPr>
              <w:t>贴合采购需求，可行性高，针对性强，完全符合项目实际情</w:t>
            </w:r>
            <w:r>
              <w:rPr>
                <w:color w:val="auto"/>
                <w:spacing w:val="-2"/>
                <w:sz w:val="22"/>
                <w:szCs w:val="22"/>
                <w:highlight w:val="none"/>
              </w:rPr>
              <w:t>况得满分</w:t>
            </w:r>
            <w:r>
              <w:rPr>
                <w:color w:val="auto"/>
                <w:sz w:val="22"/>
                <w:szCs w:val="22"/>
                <w:highlight w:val="none"/>
              </w:rPr>
              <w:t xml:space="preserve">  </w:t>
            </w:r>
            <w:r>
              <w:rPr>
                <w:color w:val="auto"/>
                <w:spacing w:val="-6"/>
                <w:sz w:val="22"/>
                <w:szCs w:val="22"/>
                <w:highlight w:val="none"/>
              </w:rPr>
              <w:t>6 分；其中每有一项内容未提供的扣 1 分；每有一项内容阐述不全面、</w:t>
            </w:r>
            <w:r>
              <w:rPr>
                <w:color w:val="auto"/>
                <w:spacing w:val="11"/>
                <w:sz w:val="22"/>
                <w:szCs w:val="22"/>
                <w:highlight w:val="none"/>
              </w:rPr>
              <w:t xml:space="preserve"> </w:t>
            </w:r>
            <w:r>
              <w:rPr>
                <w:color w:val="auto"/>
                <w:spacing w:val="-1"/>
                <w:sz w:val="22"/>
                <w:szCs w:val="22"/>
                <w:highlight w:val="none"/>
              </w:rPr>
              <w:t>不符合项目实际情况、无法满足采购需求或内容存在缺陷、</w:t>
            </w:r>
            <w:r>
              <w:rPr>
                <w:color w:val="auto"/>
                <w:spacing w:val="-2"/>
                <w:sz w:val="22"/>
                <w:szCs w:val="22"/>
                <w:highlight w:val="none"/>
              </w:rPr>
              <w:t>瑕疵、描</w:t>
            </w:r>
            <w:r>
              <w:rPr>
                <w:color w:val="auto"/>
                <w:sz w:val="22"/>
                <w:szCs w:val="22"/>
                <w:highlight w:val="none"/>
              </w:rPr>
              <w:t xml:space="preserve">  </w:t>
            </w:r>
            <w:r>
              <w:rPr>
                <w:color w:val="auto"/>
                <w:spacing w:val="-2"/>
                <w:sz w:val="22"/>
                <w:szCs w:val="22"/>
                <w:highlight w:val="none"/>
              </w:rPr>
              <w:t>述不清楚的扣 0.5 分，直至扣完为止。</w:t>
            </w:r>
          </w:p>
        </w:tc>
        <w:tc>
          <w:tcPr>
            <w:tcW w:w="551" w:type="dxa"/>
            <w:vAlign w:val="top"/>
          </w:tcPr>
          <w:p w14:paraId="7E64980D">
            <w:pPr>
              <w:rPr>
                <w:rFonts w:ascii="Arial"/>
                <w:color w:val="auto"/>
                <w:sz w:val="21"/>
                <w:highlight w:val="none"/>
              </w:rPr>
            </w:pPr>
          </w:p>
        </w:tc>
      </w:tr>
      <w:tr w14:paraId="43346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59" w:type="dxa"/>
            <w:vMerge w:val="restart"/>
            <w:tcBorders>
              <w:bottom w:val="nil"/>
            </w:tcBorders>
            <w:vAlign w:val="top"/>
          </w:tcPr>
          <w:p w14:paraId="2940EFF6">
            <w:pPr>
              <w:spacing w:line="250" w:lineRule="auto"/>
              <w:rPr>
                <w:rFonts w:ascii="Arial"/>
                <w:color w:val="auto"/>
                <w:sz w:val="21"/>
                <w:highlight w:val="none"/>
              </w:rPr>
            </w:pPr>
          </w:p>
          <w:p w14:paraId="3DD691E4">
            <w:pPr>
              <w:spacing w:line="250" w:lineRule="auto"/>
              <w:rPr>
                <w:rFonts w:ascii="Arial"/>
                <w:color w:val="auto"/>
                <w:sz w:val="21"/>
                <w:highlight w:val="none"/>
              </w:rPr>
            </w:pPr>
          </w:p>
          <w:p w14:paraId="11911747">
            <w:pPr>
              <w:spacing w:line="250" w:lineRule="auto"/>
              <w:rPr>
                <w:rFonts w:ascii="Arial"/>
                <w:color w:val="auto"/>
                <w:sz w:val="21"/>
                <w:highlight w:val="none"/>
              </w:rPr>
            </w:pPr>
          </w:p>
          <w:p w14:paraId="0ED91DC8">
            <w:pPr>
              <w:spacing w:line="250" w:lineRule="auto"/>
              <w:rPr>
                <w:rFonts w:ascii="Arial"/>
                <w:color w:val="auto"/>
                <w:sz w:val="21"/>
                <w:highlight w:val="none"/>
              </w:rPr>
            </w:pPr>
          </w:p>
          <w:p w14:paraId="19861937">
            <w:pPr>
              <w:spacing w:line="250" w:lineRule="auto"/>
              <w:rPr>
                <w:rFonts w:ascii="Arial"/>
                <w:color w:val="auto"/>
                <w:sz w:val="21"/>
                <w:highlight w:val="none"/>
              </w:rPr>
            </w:pPr>
          </w:p>
          <w:p w14:paraId="29289C01">
            <w:pPr>
              <w:spacing w:line="250" w:lineRule="auto"/>
              <w:rPr>
                <w:rFonts w:ascii="Arial"/>
                <w:color w:val="auto"/>
                <w:sz w:val="21"/>
                <w:highlight w:val="none"/>
              </w:rPr>
            </w:pPr>
          </w:p>
          <w:p w14:paraId="6EB7CBD3">
            <w:pPr>
              <w:spacing w:line="250" w:lineRule="auto"/>
              <w:rPr>
                <w:rFonts w:ascii="Arial"/>
                <w:color w:val="auto"/>
                <w:sz w:val="21"/>
                <w:highlight w:val="none"/>
              </w:rPr>
            </w:pPr>
          </w:p>
          <w:p w14:paraId="73E4D65E">
            <w:pPr>
              <w:spacing w:line="250" w:lineRule="auto"/>
              <w:rPr>
                <w:rFonts w:ascii="Arial"/>
                <w:color w:val="auto"/>
                <w:sz w:val="21"/>
                <w:highlight w:val="none"/>
              </w:rPr>
            </w:pPr>
          </w:p>
          <w:p w14:paraId="286A00D1">
            <w:pPr>
              <w:spacing w:line="250" w:lineRule="auto"/>
              <w:rPr>
                <w:rFonts w:ascii="Arial"/>
                <w:color w:val="auto"/>
                <w:sz w:val="21"/>
                <w:highlight w:val="none"/>
              </w:rPr>
            </w:pPr>
          </w:p>
          <w:p w14:paraId="32FC0D28">
            <w:pPr>
              <w:spacing w:line="250" w:lineRule="auto"/>
              <w:rPr>
                <w:rFonts w:ascii="Arial"/>
                <w:color w:val="auto"/>
                <w:sz w:val="21"/>
                <w:highlight w:val="none"/>
              </w:rPr>
            </w:pPr>
          </w:p>
          <w:p w14:paraId="25901472">
            <w:pPr>
              <w:spacing w:line="250" w:lineRule="auto"/>
              <w:rPr>
                <w:rFonts w:ascii="Arial"/>
                <w:color w:val="auto"/>
                <w:sz w:val="21"/>
                <w:highlight w:val="none"/>
              </w:rPr>
            </w:pPr>
          </w:p>
          <w:p w14:paraId="4C930EE2">
            <w:pPr>
              <w:spacing w:line="251" w:lineRule="auto"/>
              <w:rPr>
                <w:rFonts w:ascii="Arial"/>
                <w:color w:val="auto"/>
                <w:sz w:val="21"/>
                <w:highlight w:val="none"/>
              </w:rPr>
            </w:pPr>
          </w:p>
          <w:p w14:paraId="147AEBE4">
            <w:pPr>
              <w:pStyle w:val="12"/>
              <w:spacing w:before="94" w:line="158" w:lineRule="auto"/>
              <w:ind w:left="329"/>
              <w:rPr>
                <w:color w:val="auto"/>
                <w:sz w:val="22"/>
                <w:szCs w:val="22"/>
                <w:highlight w:val="none"/>
              </w:rPr>
            </w:pPr>
            <w:r>
              <w:rPr>
                <w:color w:val="auto"/>
                <w:sz w:val="22"/>
                <w:szCs w:val="22"/>
                <w:highlight w:val="none"/>
              </w:rPr>
              <w:t>3</w:t>
            </w:r>
          </w:p>
        </w:tc>
        <w:tc>
          <w:tcPr>
            <w:tcW w:w="1192" w:type="dxa"/>
            <w:vMerge w:val="restart"/>
            <w:tcBorders>
              <w:bottom w:val="nil"/>
            </w:tcBorders>
            <w:vAlign w:val="top"/>
          </w:tcPr>
          <w:p w14:paraId="343A6870">
            <w:pPr>
              <w:spacing w:line="258" w:lineRule="auto"/>
              <w:rPr>
                <w:rFonts w:ascii="Arial"/>
                <w:color w:val="auto"/>
                <w:sz w:val="21"/>
                <w:highlight w:val="none"/>
              </w:rPr>
            </w:pPr>
          </w:p>
          <w:p w14:paraId="66015210">
            <w:pPr>
              <w:spacing w:line="258" w:lineRule="auto"/>
              <w:rPr>
                <w:rFonts w:ascii="Arial"/>
                <w:color w:val="auto"/>
                <w:sz w:val="21"/>
                <w:highlight w:val="none"/>
              </w:rPr>
            </w:pPr>
          </w:p>
          <w:p w14:paraId="623CF479">
            <w:pPr>
              <w:spacing w:line="258" w:lineRule="auto"/>
              <w:rPr>
                <w:rFonts w:ascii="Arial"/>
                <w:color w:val="auto"/>
                <w:sz w:val="21"/>
                <w:highlight w:val="none"/>
              </w:rPr>
            </w:pPr>
          </w:p>
          <w:p w14:paraId="1E3A4763">
            <w:pPr>
              <w:spacing w:line="258" w:lineRule="auto"/>
              <w:rPr>
                <w:rFonts w:ascii="Arial"/>
                <w:color w:val="auto"/>
                <w:sz w:val="21"/>
                <w:highlight w:val="none"/>
              </w:rPr>
            </w:pPr>
          </w:p>
          <w:p w14:paraId="48789772">
            <w:pPr>
              <w:spacing w:line="258" w:lineRule="auto"/>
              <w:rPr>
                <w:rFonts w:ascii="Arial"/>
                <w:color w:val="auto"/>
                <w:sz w:val="21"/>
                <w:highlight w:val="none"/>
              </w:rPr>
            </w:pPr>
          </w:p>
          <w:p w14:paraId="6C9B4185">
            <w:pPr>
              <w:spacing w:line="258" w:lineRule="auto"/>
              <w:rPr>
                <w:rFonts w:ascii="Arial"/>
                <w:color w:val="auto"/>
                <w:sz w:val="21"/>
                <w:highlight w:val="none"/>
              </w:rPr>
            </w:pPr>
          </w:p>
          <w:p w14:paraId="57E1E2BE">
            <w:pPr>
              <w:spacing w:line="258" w:lineRule="auto"/>
              <w:rPr>
                <w:rFonts w:ascii="Arial"/>
                <w:color w:val="auto"/>
                <w:sz w:val="21"/>
                <w:highlight w:val="none"/>
              </w:rPr>
            </w:pPr>
          </w:p>
          <w:p w14:paraId="487C8461">
            <w:pPr>
              <w:spacing w:line="259" w:lineRule="auto"/>
              <w:rPr>
                <w:rFonts w:ascii="Arial"/>
                <w:color w:val="auto"/>
                <w:sz w:val="21"/>
                <w:highlight w:val="none"/>
              </w:rPr>
            </w:pPr>
          </w:p>
          <w:p w14:paraId="46302143">
            <w:pPr>
              <w:spacing w:line="259" w:lineRule="auto"/>
              <w:rPr>
                <w:rFonts w:ascii="Arial"/>
                <w:color w:val="auto"/>
                <w:sz w:val="21"/>
                <w:highlight w:val="none"/>
              </w:rPr>
            </w:pPr>
          </w:p>
          <w:p w14:paraId="49058E1F">
            <w:pPr>
              <w:spacing w:line="259" w:lineRule="auto"/>
              <w:rPr>
                <w:rFonts w:ascii="Arial"/>
                <w:color w:val="auto"/>
                <w:sz w:val="21"/>
                <w:highlight w:val="none"/>
              </w:rPr>
            </w:pPr>
          </w:p>
          <w:p w14:paraId="742444E0">
            <w:pPr>
              <w:spacing w:line="259" w:lineRule="auto"/>
              <w:rPr>
                <w:rFonts w:ascii="Arial"/>
                <w:color w:val="auto"/>
                <w:sz w:val="21"/>
                <w:highlight w:val="none"/>
              </w:rPr>
            </w:pPr>
          </w:p>
          <w:p w14:paraId="4733D9BC">
            <w:pPr>
              <w:pStyle w:val="12"/>
              <w:spacing w:before="94" w:line="168" w:lineRule="auto"/>
              <w:ind w:left="113" w:right="105" w:firstLine="7"/>
              <w:rPr>
                <w:color w:val="auto"/>
                <w:sz w:val="22"/>
                <w:szCs w:val="22"/>
                <w:highlight w:val="none"/>
              </w:rPr>
            </w:pPr>
            <w:r>
              <w:rPr>
                <w:color w:val="auto"/>
                <w:spacing w:val="18"/>
                <w:sz w:val="22"/>
                <w:szCs w:val="22"/>
                <w:highlight w:val="none"/>
              </w:rPr>
              <w:t>商务部分</w:t>
            </w:r>
            <w:r>
              <w:rPr>
                <w:color w:val="auto"/>
                <w:spacing w:val="1"/>
                <w:sz w:val="22"/>
                <w:szCs w:val="22"/>
                <w:highlight w:val="none"/>
              </w:rPr>
              <w:t xml:space="preserve"> </w:t>
            </w:r>
            <w:r>
              <w:rPr>
                <w:color w:val="auto"/>
                <w:spacing w:val="-17"/>
                <w:sz w:val="22"/>
                <w:szCs w:val="22"/>
                <w:highlight w:val="none"/>
              </w:rPr>
              <w:t>（20</w:t>
            </w:r>
            <w:r>
              <w:rPr>
                <w:color w:val="auto"/>
                <w:spacing w:val="22"/>
                <w:w w:val="101"/>
                <w:sz w:val="22"/>
                <w:szCs w:val="22"/>
                <w:highlight w:val="none"/>
              </w:rPr>
              <w:t xml:space="preserve"> </w:t>
            </w:r>
            <w:r>
              <w:rPr>
                <w:color w:val="auto"/>
                <w:spacing w:val="-17"/>
                <w:sz w:val="22"/>
                <w:szCs w:val="22"/>
                <w:highlight w:val="none"/>
              </w:rPr>
              <w:t>分）</w:t>
            </w:r>
          </w:p>
        </w:tc>
        <w:tc>
          <w:tcPr>
            <w:tcW w:w="1080" w:type="dxa"/>
            <w:vAlign w:val="top"/>
          </w:tcPr>
          <w:p w14:paraId="57BF4329">
            <w:pPr>
              <w:spacing w:line="287" w:lineRule="auto"/>
              <w:rPr>
                <w:rFonts w:ascii="Arial"/>
                <w:color w:val="auto"/>
                <w:sz w:val="21"/>
                <w:highlight w:val="none"/>
              </w:rPr>
            </w:pPr>
          </w:p>
          <w:p w14:paraId="628F71D7">
            <w:pPr>
              <w:spacing w:line="288" w:lineRule="auto"/>
              <w:rPr>
                <w:rFonts w:ascii="Arial"/>
                <w:color w:val="auto"/>
                <w:sz w:val="21"/>
                <w:highlight w:val="none"/>
              </w:rPr>
            </w:pPr>
          </w:p>
          <w:p w14:paraId="75C07F31">
            <w:pPr>
              <w:pStyle w:val="12"/>
              <w:spacing w:before="94" w:line="183" w:lineRule="auto"/>
              <w:ind w:left="146"/>
              <w:rPr>
                <w:color w:val="auto"/>
                <w:sz w:val="22"/>
                <w:szCs w:val="22"/>
                <w:highlight w:val="none"/>
              </w:rPr>
            </w:pPr>
            <w:r>
              <w:rPr>
                <w:color w:val="auto"/>
                <w:spacing w:val="-12"/>
                <w:sz w:val="22"/>
                <w:szCs w:val="22"/>
                <w:highlight w:val="none"/>
              </w:rPr>
              <w:t>(2</w:t>
            </w:r>
            <w:r>
              <w:rPr>
                <w:color w:val="auto"/>
                <w:spacing w:val="9"/>
                <w:sz w:val="22"/>
                <w:szCs w:val="22"/>
                <w:highlight w:val="none"/>
              </w:rPr>
              <w:t xml:space="preserve"> </w:t>
            </w:r>
            <w:r>
              <w:rPr>
                <w:color w:val="auto"/>
                <w:spacing w:val="-12"/>
                <w:sz w:val="22"/>
                <w:szCs w:val="22"/>
                <w:highlight w:val="none"/>
              </w:rPr>
              <w:t>分）</w:t>
            </w:r>
          </w:p>
        </w:tc>
        <w:tc>
          <w:tcPr>
            <w:tcW w:w="6786" w:type="dxa"/>
            <w:vAlign w:val="top"/>
          </w:tcPr>
          <w:p w14:paraId="1F65C957">
            <w:pPr>
              <w:spacing w:line="264" w:lineRule="auto"/>
              <w:rPr>
                <w:rFonts w:ascii="Arial"/>
                <w:color w:val="auto"/>
                <w:sz w:val="21"/>
                <w:highlight w:val="none"/>
              </w:rPr>
            </w:pPr>
          </w:p>
          <w:p w14:paraId="0BA6AF69">
            <w:pPr>
              <w:pStyle w:val="12"/>
              <w:spacing w:before="94" w:line="197" w:lineRule="auto"/>
              <w:ind w:left="114" w:right="97" w:firstLine="5"/>
              <w:rPr>
                <w:color w:val="auto"/>
                <w:sz w:val="22"/>
                <w:szCs w:val="22"/>
                <w:highlight w:val="none"/>
              </w:rPr>
            </w:pPr>
            <w:r>
              <w:rPr>
                <w:b/>
                <w:bCs/>
                <w:color w:val="auto"/>
                <w:spacing w:val="-4"/>
                <w:sz w:val="22"/>
                <w:szCs w:val="22"/>
                <w:highlight w:val="none"/>
              </w:rPr>
              <w:t>质保期（管护期</w:t>
            </w:r>
            <w:r>
              <w:rPr>
                <w:b/>
                <w:bCs/>
                <w:color w:val="auto"/>
                <w:spacing w:val="-10"/>
                <w:sz w:val="22"/>
                <w:szCs w:val="22"/>
                <w:highlight w:val="none"/>
              </w:rPr>
              <w:t>）</w:t>
            </w:r>
            <w:r>
              <w:rPr>
                <w:color w:val="auto"/>
                <w:spacing w:val="-10"/>
                <w:sz w:val="22"/>
                <w:szCs w:val="22"/>
                <w:highlight w:val="none"/>
              </w:rPr>
              <w:t>：</w:t>
            </w:r>
            <w:r>
              <w:rPr>
                <w:color w:val="auto"/>
                <w:spacing w:val="-4"/>
                <w:sz w:val="22"/>
                <w:szCs w:val="22"/>
                <w:highlight w:val="none"/>
              </w:rPr>
              <w:t>满足招标文件质保期要求得 1 分；</w:t>
            </w:r>
            <w:r>
              <w:rPr>
                <w:color w:val="auto"/>
                <w:spacing w:val="-40"/>
                <w:sz w:val="22"/>
                <w:szCs w:val="22"/>
                <w:highlight w:val="none"/>
              </w:rPr>
              <w:t xml:space="preserve"> </w:t>
            </w:r>
            <w:r>
              <w:rPr>
                <w:color w:val="auto"/>
                <w:spacing w:val="-4"/>
                <w:sz w:val="22"/>
                <w:szCs w:val="22"/>
                <w:highlight w:val="none"/>
              </w:rPr>
              <w:t>每增加 3 个月</w:t>
            </w:r>
            <w:r>
              <w:rPr>
                <w:color w:val="auto"/>
                <w:sz w:val="22"/>
                <w:szCs w:val="22"/>
                <w:highlight w:val="none"/>
              </w:rPr>
              <w:t xml:space="preserve"> </w:t>
            </w:r>
            <w:r>
              <w:rPr>
                <w:color w:val="auto"/>
                <w:spacing w:val="-7"/>
                <w:sz w:val="22"/>
                <w:szCs w:val="22"/>
                <w:highlight w:val="none"/>
              </w:rPr>
              <w:t>加 0.5 分，最高得</w:t>
            </w:r>
            <w:r>
              <w:rPr>
                <w:color w:val="auto"/>
                <w:spacing w:val="20"/>
                <w:sz w:val="22"/>
                <w:szCs w:val="22"/>
                <w:highlight w:val="none"/>
              </w:rPr>
              <w:t xml:space="preserve"> </w:t>
            </w:r>
            <w:r>
              <w:rPr>
                <w:color w:val="auto"/>
                <w:spacing w:val="-7"/>
                <w:sz w:val="22"/>
                <w:szCs w:val="22"/>
                <w:highlight w:val="none"/>
              </w:rPr>
              <w:t>1</w:t>
            </w:r>
            <w:r>
              <w:rPr>
                <w:color w:val="auto"/>
                <w:spacing w:val="7"/>
                <w:sz w:val="22"/>
                <w:szCs w:val="22"/>
                <w:highlight w:val="none"/>
              </w:rPr>
              <w:t xml:space="preserve"> </w:t>
            </w:r>
            <w:r>
              <w:rPr>
                <w:color w:val="auto"/>
                <w:spacing w:val="-7"/>
                <w:sz w:val="22"/>
                <w:szCs w:val="22"/>
                <w:highlight w:val="none"/>
              </w:rPr>
              <w:t>分；</w:t>
            </w:r>
          </w:p>
        </w:tc>
        <w:tc>
          <w:tcPr>
            <w:tcW w:w="551" w:type="dxa"/>
            <w:vAlign w:val="top"/>
          </w:tcPr>
          <w:p w14:paraId="18FDA81E">
            <w:pPr>
              <w:rPr>
                <w:rFonts w:ascii="Arial"/>
                <w:color w:val="auto"/>
                <w:sz w:val="21"/>
                <w:highlight w:val="none"/>
              </w:rPr>
            </w:pPr>
          </w:p>
        </w:tc>
      </w:tr>
      <w:tr w14:paraId="5CA7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3" w:hRule="atLeast"/>
        </w:trPr>
        <w:tc>
          <w:tcPr>
            <w:tcW w:w="759" w:type="dxa"/>
            <w:vMerge w:val="continue"/>
            <w:tcBorders>
              <w:top w:val="nil"/>
              <w:bottom w:val="nil"/>
            </w:tcBorders>
            <w:vAlign w:val="top"/>
          </w:tcPr>
          <w:p w14:paraId="7D1CD738">
            <w:pPr>
              <w:rPr>
                <w:rFonts w:ascii="Arial"/>
                <w:color w:val="auto"/>
                <w:sz w:val="21"/>
                <w:highlight w:val="none"/>
              </w:rPr>
            </w:pPr>
          </w:p>
        </w:tc>
        <w:tc>
          <w:tcPr>
            <w:tcW w:w="1192" w:type="dxa"/>
            <w:vMerge w:val="continue"/>
            <w:tcBorders>
              <w:top w:val="nil"/>
              <w:bottom w:val="nil"/>
            </w:tcBorders>
            <w:vAlign w:val="top"/>
          </w:tcPr>
          <w:p w14:paraId="593CC55F">
            <w:pPr>
              <w:rPr>
                <w:rFonts w:ascii="Arial"/>
                <w:color w:val="auto"/>
                <w:sz w:val="21"/>
                <w:highlight w:val="none"/>
              </w:rPr>
            </w:pPr>
          </w:p>
        </w:tc>
        <w:tc>
          <w:tcPr>
            <w:tcW w:w="1080" w:type="dxa"/>
            <w:vAlign w:val="top"/>
          </w:tcPr>
          <w:p w14:paraId="65A41EEF">
            <w:pPr>
              <w:spacing w:line="268" w:lineRule="auto"/>
              <w:rPr>
                <w:rFonts w:ascii="Arial"/>
                <w:color w:val="auto"/>
                <w:sz w:val="21"/>
                <w:highlight w:val="none"/>
              </w:rPr>
            </w:pPr>
          </w:p>
          <w:p w14:paraId="52B2FD8D">
            <w:pPr>
              <w:spacing w:line="268" w:lineRule="auto"/>
              <w:rPr>
                <w:rFonts w:ascii="Arial"/>
                <w:color w:val="auto"/>
                <w:sz w:val="21"/>
                <w:highlight w:val="none"/>
              </w:rPr>
            </w:pPr>
          </w:p>
          <w:p w14:paraId="105DDACE">
            <w:pPr>
              <w:spacing w:line="268" w:lineRule="auto"/>
              <w:rPr>
                <w:rFonts w:ascii="Arial"/>
                <w:color w:val="auto"/>
                <w:sz w:val="21"/>
                <w:highlight w:val="none"/>
              </w:rPr>
            </w:pPr>
          </w:p>
          <w:p w14:paraId="4106FDF2">
            <w:pPr>
              <w:spacing w:line="268" w:lineRule="auto"/>
              <w:rPr>
                <w:rFonts w:ascii="Arial"/>
                <w:color w:val="auto"/>
                <w:sz w:val="21"/>
                <w:highlight w:val="none"/>
              </w:rPr>
            </w:pPr>
          </w:p>
          <w:p w14:paraId="47B80D21">
            <w:pPr>
              <w:spacing w:line="268" w:lineRule="auto"/>
              <w:rPr>
                <w:rFonts w:ascii="Arial"/>
                <w:color w:val="auto"/>
                <w:sz w:val="21"/>
                <w:highlight w:val="none"/>
              </w:rPr>
            </w:pPr>
          </w:p>
          <w:p w14:paraId="4FE9BFD0">
            <w:pPr>
              <w:spacing w:line="268" w:lineRule="auto"/>
              <w:rPr>
                <w:rFonts w:ascii="Arial"/>
                <w:color w:val="auto"/>
                <w:sz w:val="21"/>
                <w:highlight w:val="none"/>
              </w:rPr>
            </w:pPr>
          </w:p>
          <w:p w14:paraId="5C45C912">
            <w:pPr>
              <w:spacing w:line="268" w:lineRule="auto"/>
              <w:rPr>
                <w:rFonts w:ascii="Arial"/>
                <w:color w:val="auto"/>
                <w:sz w:val="21"/>
                <w:highlight w:val="none"/>
              </w:rPr>
            </w:pPr>
          </w:p>
          <w:p w14:paraId="512EFB89">
            <w:pPr>
              <w:pStyle w:val="12"/>
              <w:spacing w:before="94" w:line="183" w:lineRule="auto"/>
              <w:ind w:left="108"/>
              <w:rPr>
                <w:color w:val="auto"/>
                <w:sz w:val="22"/>
                <w:szCs w:val="22"/>
                <w:highlight w:val="none"/>
              </w:rPr>
            </w:pPr>
            <w:r>
              <w:rPr>
                <w:color w:val="auto"/>
                <w:spacing w:val="-8"/>
                <w:sz w:val="22"/>
                <w:szCs w:val="22"/>
                <w:highlight w:val="none"/>
              </w:rPr>
              <w:t>8（分）</w:t>
            </w:r>
          </w:p>
        </w:tc>
        <w:tc>
          <w:tcPr>
            <w:tcW w:w="6786" w:type="dxa"/>
            <w:vAlign w:val="top"/>
          </w:tcPr>
          <w:p w14:paraId="4DC7C4AA">
            <w:pPr>
              <w:pStyle w:val="12"/>
              <w:spacing w:before="49" w:line="188" w:lineRule="auto"/>
              <w:ind w:left="116"/>
              <w:rPr>
                <w:color w:val="auto"/>
                <w:sz w:val="22"/>
                <w:szCs w:val="22"/>
                <w:highlight w:val="none"/>
              </w:rPr>
            </w:pPr>
            <w:r>
              <w:rPr>
                <w:b/>
                <w:bCs/>
                <w:color w:val="auto"/>
                <w:spacing w:val="-8"/>
                <w:sz w:val="22"/>
                <w:szCs w:val="22"/>
                <w:highlight w:val="none"/>
              </w:rPr>
              <w:t>项目人员配备：</w:t>
            </w:r>
          </w:p>
          <w:p w14:paraId="33C7563D">
            <w:pPr>
              <w:pStyle w:val="12"/>
              <w:spacing w:before="15" w:line="191" w:lineRule="auto"/>
              <w:ind w:left="124" w:right="98"/>
              <w:rPr>
                <w:color w:val="auto"/>
                <w:sz w:val="22"/>
                <w:szCs w:val="22"/>
                <w:highlight w:val="none"/>
              </w:rPr>
            </w:pPr>
            <w:r>
              <w:rPr>
                <w:color w:val="auto"/>
                <w:sz w:val="22"/>
                <w:szCs w:val="22"/>
                <w:highlight w:val="none"/>
              </w:rPr>
              <w:t>1、拟派本项目的项目经理：</w:t>
            </w:r>
            <w:r>
              <w:rPr>
                <w:color w:val="auto"/>
                <w:spacing w:val="-23"/>
                <w:sz w:val="22"/>
                <w:szCs w:val="22"/>
                <w:highlight w:val="none"/>
              </w:rPr>
              <w:t xml:space="preserve"> </w:t>
            </w:r>
            <w:r>
              <w:rPr>
                <w:color w:val="auto"/>
                <w:sz w:val="22"/>
                <w:szCs w:val="22"/>
                <w:highlight w:val="none"/>
              </w:rPr>
              <w:t xml:space="preserve">具有中华人民共和国一级建造师注册证 </w:t>
            </w:r>
            <w:r>
              <w:rPr>
                <w:color w:val="auto"/>
                <w:spacing w:val="-5"/>
                <w:sz w:val="22"/>
                <w:szCs w:val="22"/>
                <w:highlight w:val="none"/>
              </w:rPr>
              <w:t>书（市政公用工程专业）证书得</w:t>
            </w:r>
            <w:r>
              <w:rPr>
                <w:color w:val="auto"/>
                <w:spacing w:val="61"/>
                <w:w w:val="101"/>
                <w:sz w:val="22"/>
                <w:szCs w:val="22"/>
                <w:highlight w:val="none"/>
              </w:rPr>
              <w:t xml:space="preserve"> </w:t>
            </w:r>
            <w:r>
              <w:rPr>
                <w:color w:val="auto"/>
                <w:spacing w:val="-5"/>
                <w:sz w:val="22"/>
                <w:szCs w:val="22"/>
                <w:highlight w:val="none"/>
              </w:rPr>
              <w:t>2</w:t>
            </w:r>
            <w:r>
              <w:rPr>
                <w:color w:val="auto"/>
                <w:spacing w:val="62"/>
                <w:sz w:val="22"/>
                <w:szCs w:val="22"/>
                <w:highlight w:val="none"/>
              </w:rPr>
              <w:t xml:space="preserve"> </w:t>
            </w:r>
            <w:r>
              <w:rPr>
                <w:color w:val="auto"/>
                <w:spacing w:val="-5"/>
                <w:sz w:val="22"/>
                <w:szCs w:val="22"/>
                <w:highlight w:val="none"/>
              </w:rPr>
              <w:t>分。</w:t>
            </w:r>
          </w:p>
          <w:p w14:paraId="602C21D0">
            <w:pPr>
              <w:pStyle w:val="12"/>
              <w:spacing w:before="144" w:line="193" w:lineRule="auto"/>
              <w:ind w:left="116" w:right="2" w:hanging="5"/>
              <w:rPr>
                <w:color w:val="auto"/>
                <w:sz w:val="22"/>
                <w:szCs w:val="22"/>
                <w:highlight w:val="none"/>
              </w:rPr>
            </w:pPr>
            <w:r>
              <w:rPr>
                <w:color w:val="auto"/>
                <w:spacing w:val="-8"/>
                <w:sz w:val="22"/>
                <w:szCs w:val="22"/>
                <w:highlight w:val="none"/>
              </w:rPr>
              <w:t>2、项目班组人员配备合理，拟派本项目的项目团队（不含项目经理）</w:t>
            </w:r>
            <w:r>
              <w:rPr>
                <w:color w:val="auto"/>
                <w:sz w:val="22"/>
                <w:szCs w:val="22"/>
                <w:highlight w:val="none"/>
              </w:rPr>
              <w:t xml:space="preserve"> </w:t>
            </w:r>
            <w:r>
              <w:rPr>
                <w:color w:val="auto"/>
                <w:spacing w:val="-5"/>
                <w:sz w:val="22"/>
                <w:szCs w:val="22"/>
                <w:highlight w:val="none"/>
              </w:rPr>
              <w:t>进行综合评分，包括但不限于：</w:t>
            </w:r>
          </w:p>
          <w:p w14:paraId="50A8CE06">
            <w:pPr>
              <w:pStyle w:val="12"/>
              <w:spacing w:before="15" w:line="197" w:lineRule="auto"/>
              <w:ind w:left="117" w:right="110"/>
              <w:rPr>
                <w:color w:val="auto"/>
                <w:sz w:val="20"/>
                <w:szCs w:val="20"/>
                <w:highlight w:val="none"/>
              </w:rPr>
            </w:pPr>
            <w:r>
              <w:rPr>
                <w:color w:val="auto"/>
                <w:spacing w:val="-2"/>
                <w:sz w:val="22"/>
                <w:szCs w:val="22"/>
                <w:highlight w:val="none"/>
              </w:rPr>
              <w:t>对本项目配备人员负责草原围栏的拉设、测量、运输、装卸、施工、</w:t>
            </w:r>
            <w:r>
              <w:rPr>
                <w:color w:val="auto"/>
                <w:spacing w:val="7"/>
                <w:sz w:val="22"/>
                <w:szCs w:val="22"/>
                <w:highlight w:val="none"/>
              </w:rPr>
              <w:t xml:space="preserve"> </w:t>
            </w:r>
            <w:r>
              <w:rPr>
                <w:color w:val="auto"/>
                <w:spacing w:val="-2"/>
                <w:sz w:val="22"/>
                <w:szCs w:val="22"/>
                <w:highlight w:val="none"/>
              </w:rPr>
              <w:t>安装、围栏加固、质量保证及后期管护，</w:t>
            </w:r>
            <w:r>
              <w:rPr>
                <w:color w:val="auto"/>
                <w:spacing w:val="-2"/>
                <w:sz w:val="20"/>
                <w:szCs w:val="20"/>
                <w:highlight w:val="none"/>
              </w:rPr>
              <w:t>投入本项目人员得 6 分。</w:t>
            </w:r>
          </w:p>
          <w:p w14:paraId="721CADAC">
            <w:pPr>
              <w:pStyle w:val="12"/>
              <w:spacing w:before="4" w:line="181" w:lineRule="auto"/>
              <w:ind w:left="108"/>
              <w:rPr>
                <w:color w:val="auto"/>
                <w:sz w:val="22"/>
                <w:szCs w:val="22"/>
                <w:highlight w:val="none"/>
              </w:rPr>
            </w:pPr>
            <w:r>
              <w:rPr>
                <w:color w:val="auto"/>
                <w:spacing w:val="-3"/>
                <w:sz w:val="22"/>
                <w:szCs w:val="22"/>
                <w:highlight w:val="none"/>
              </w:rPr>
              <w:t>①提供市政工程专业高级工程师，得 1 分。</w:t>
            </w:r>
          </w:p>
          <w:p w14:paraId="649BB695">
            <w:pPr>
              <w:pStyle w:val="12"/>
              <w:spacing w:before="28" w:line="181" w:lineRule="auto"/>
              <w:jc w:val="right"/>
              <w:rPr>
                <w:color w:val="auto"/>
                <w:sz w:val="22"/>
                <w:szCs w:val="22"/>
                <w:highlight w:val="none"/>
              </w:rPr>
            </w:pPr>
            <w:r>
              <w:rPr>
                <w:color w:val="auto"/>
                <w:spacing w:val="-9"/>
                <w:sz w:val="22"/>
                <w:szCs w:val="22"/>
                <w:highlight w:val="none"/>
              </w:rPr>
              <w:t>②提供市政中级工程师，得</w:t>
            </w:r>
            <w:r>
              <w:rPr>
                <w:color w:val="auto"/>
                <w:spacing w:val="16"/>
                <w:sz w:val="22"/>
                <w:szCs w:val="22"/>
                <w:highlight w:val="none"/>
              </w:rPr>
              <w:t xml:space="preserve"> </w:t>
            </w:r>
            <w:r>
              <w:rPr>
                <w:color w:val="auto"/>
                <w:spacing w:val="-9"/>
                <w:sz w:val="22"/>
                <w:szCs w:val="22"/>
                <w:highlight w:val="none"/>
              </w:rPr>
              <w:t>1 分；每增加</w:t>
            </w:r>
            <w:r>
              <w:rPr>
                <w:color w:val="auto"/>
                <w:spacing w:val="14"/>
                <w:sz w:val="22"/>
                <w:szCs w:val="22"/>
                <w:highlight w:val="none"/>
              </w:rPr>
              <w:t xml:space="preserve"> </w:t>
            </w:r>
            <w:r>
              <w:rPr>
                <w:color w:val="auto"/>
                <w:spacing w:val="-9"/>
                <w:sz w:val="22"/>
                <w:szCs w:val="22"/>
                <w:highlight w:val="none"/>
              </w:rPr>
              <w:t>1 人得 0.5 分，最高得</w:t>
            </w:r>
            <w:r>
              <w:rPr>
                <w:color w:val="auto"/>
                <w:spacing w:val="14"/>
                <w:sz w:val="22"/>
                <w:szCs w:val="22"/>
                <w:highlight w:val="none"/>
              </w:rPr>
              <w:t xml:space="preserve"> </w:t>
            </w:r>
            <w:r>
              <w:rPr>
                <w:color w:val="auto"/>
                <w:spacing w:val="-9"/>
                <w:sz w:val="22"/>
                <w:szCs w:val="22"/>
                <w:highlight w:val="none"/>
              </w:rPr>
              <w:t>1 分。</w:t>
            </w:r>
          </w:p>
          <w:p w14:paraId="3E157239">
            <w:pPr>
              <w:pStyle w:val="12"/>
              <w:spacing w:before="29" w:line="193" w:lineRule="auto"/>
              <w:ind w:left="117" w:right="153" w:hanging="10"/>
              <w:rPr>
                <w:color w:val="auto"/>
                <w:sz w:val="22"/>
                <w:szCs w:val="22"/>
                <w:highlight w:val="none"/>
              </w:rPr>
            </w:pPr>
            <w:r>
              <w:rPr>
                <w:color w:val="auto"/>
                <w:spacing w:val="-4"/>
                <w:sz w:val="22"/>
                <w:szCs w:val="22"/>
                <w:highlight w:val="none"/>
              </w:rPr>
              <w:t>③具有履行合同劳动人员，得 1 分；每增加 1 人得 0.5</w:t>
            </w:r>
            <w:r>
              <w:rPr>
                <w:color w:val="auto"/>
                <w:spacing w:val="8"/>
                <w:sz w:val="22"/>
                <w:szCs w:val="22"/>
                <w:highlight w:val="none"/>
              </w:rPr>
              <w:t xml:space="preserve"> </w:t>
            </w:r>
            <w:r>
              <w:rPr>
                <w:color w:val="auto"/>
                <w:spacing w:val="-4"/>
                <w:sz w:val="22"/>
                <w:szCs w:val="22"/>
                <w:highlight w:val="none"/>
              </w:rPr>
              <w:t>分，最高得 2</w:t>
            </w:r>
            <w:r>
              <w:rPr>
                <w:color w:val="auto"/>
                <w:sz w:val="22"/>
                <w:szCs w:val="22"/>
                <w:highlight w:val="none"/>
              </w:rPr>
              <w:t xml:space="preserve"> </w:t>
            </w:r>
            <w:r>
              <w:rPr>
                <w:color w:val="auto"/>
                <w:spacing w:val="-12"/>
                <w:sz w:val="22"/>
                <w:szCs w:val="22"/>
                <w:highlight w:val="none"/>
              </w:rPr>
              <w:t>分。</w:t>
            </w:r>
          </w:p>
          <w:p w14:paraId="39A169C8">
            <w:pPr>
              <w:pStyle w:val="12"/>
              <w:spacing w:before="17" w:line="178" w:lineRule="auto"/>
              <w:ind w:left="121" w:right="98" w:hanging="6"/>
              <w:rPr>
                <w:color w:val="auto"/>
                <w:sz w:val="22"/>
                <w:szCs w:val="22"/>
                <w:highlight w:val="none"/>
              </w:rPr>
            </w:pPr>
            <w:r>
              <w:rPr>
                <w:color w:val="auto"/>
                <w:spacing w:val="-1"/>
                <w:sz w:val="22"/>
                <w:szCs w:val="22"/>
                <w:highlight w:val="none"/>
              </w:rPr>
              <w:t>（</w:t>
            </w:r>
            <w:r>
              <w:rPr>
                <w:b/>
                <w:bCs/>
                <w:color w:val="auto"/>
                <w:spacing w:val="-1"/>
                <w:sz w:val="22"/>
                <w:szCs w:val="22"/>
                <w:highlight w:val="none"/>
              </w:rPr>
              <w:t>注：投标文件内须提供人员姓名、联系电话、</w:t>
            </w:r>
            <w:r>
              <w:rPr>
                <w:b/>
                <w:bCs/>
                <w:color w:val="auto"/>
                <w:spacing w:val="-2"/>
                <w:sz w:val="22"/>
                <w:szCs w:val="22"/>
                <w:highlight w:val="none"/>
              </w:rPr>
              <w:t>身份证正反面、劳动</w:t>
            </w:r>
            <w:r>
              <w:rPr>
                <w:b/>
                <w:bCs/>
                <w:color w:val="auto"/>
                <w:sz w:val="22"/>
                <w:szCs w:val="22"/>
                <w:highlight w:val="none"/>
              </w:rPr>
              <w:t xml:space="preserve"> </w:t>
            </w:r>
            <w:r>
              <w:rPr>
                <w:b/>
                <w:bCs/>
                <w:color w:val="auto"/>
                <w:spacing w:val="-3"/>
                <w:sz w:val="22"/>
                <w:szCs w:val="22"/>
                <w:highlight w:val="none"/>
              </w:rPr>
              <w:t>合同及近 1 个月缴纳的社保证明，否则视为无效。</w:t>
            </w:r>
            <w:r>
              <w:rPr>
                <w:color w:val="auto"/>
                <w:spacing w:val="-3"/>
                <w:sz w:val="22"/>
                <w:szCs w:val="22"/>
                <w:highlight w:val="none"/>
              </w:rPr>
              <w:t>）</w:t>
            </w:r>
          </w:p>
        </w:tc>
        <w:tc>
          <w:tcPr>
            <w:tcW w:w="551" w:type="dxa"/>
            <w:vAlign w:val="top"/>
          </w:tcPr>
          <w:p w14:paraId="0F1EFBCB">
            <w:pPr>
              <w:rPr>
                <w:rFonts w:ascii="Arial"/>
                <w:color w:val="auto"/>
                <w:sz w:val="21"/>
                <w:highlight w:val="none"/>
              </w:rPr>
            </w:pPr>
          </w:p>
        </w:tc>
      </w:tr>
      <w:tr w14:paraId="2D199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59" w:type="dxa"/>
            <w:vMerge w:val="continue"/>
            <w:tcBorders>
              <w:top w:val="nil"/>
            </w:tcBorders>
            <w:vAlign w:val="top"/>
          </w:tcPr>
          <w:p w14:paraId="0D657839">
            <w:pPr>
              <w:rPr>
                <w:rFonts w:ascii="Arial"/>
                <w:color w:val="auto"/>
                <w:sz w:val="21"/>
                <w:highlight w:val="none"/>
              </w:rPr>
            </w:pPr>
          </w:p>
        </w:tc>
        <w:tc>
          <w:tcPr>
            <w:tcW w:w="1192" w:type="dxa"/>
            <w:vMerge w:val="continue"/>
            <w:tcBorders>
              <w:top w:val="nil"/>
            </w:tcBorders>
            <w:vAlign w:val="top"/>
          </w:tcPr>
          <w:p w14:paraId="1DFA30FB">
            <w:pPr>
              <w:rPr>
                <w:rFonts w:ascii="Arial"/>
                <w:color w:val="auto"/>
                <w:sz w:val="21"/>
                <w:highlight w:val="none"/>
              </w:rPr>
            </w:pPr>
          </w:p>
        </w:tc>
        <w:tc>
          <w:tcPr>
            <w:tcW w:w="1080" w:type="dxa"/>
            <w:vAlign w:val="top"/>
          </w:tcPr>
          <w:p w14:paraId="281FBBBF">
            <w:pPr>
              <w:spacing w:line="289" w:lineRule="auto"/>
              <w:rPr>
                <w:rFonts w:ascii="Arial"/>
                <w:color w:val="auto"/>
                <w:sz w:val="21"/>
                <w:highlight w:val="none"/>
              </w:rPr>
            </w:pPr>
          </w:p>
          <w:p w14:paraId="53656324">
            <w:pPr>
              <w:spacing w:line="289" w:lineRule="auto"/>
              <w:rPr>
                <w:rFonts w:ascii="Arial"/>
                <w:color w:val="auto"/>
                <w:sz w:val="21"/>
                <w:highlight w:val="none"/>
              </w:rPr>
            </w:pPr>
          </w:p>
          <w:p w14:paraId="48777B45">
            <w:pPr>
              <w:pStyle w:val="12"/>
              <w:spacing w:before="95" w:line="161" w:lineRule="auto"/>
              <w:ind w:left="123"/>
              <w:rPr>
                <w:color w:val="auto"/>
                <w:sz w:val="22"/>
                <w:szCs w:val="22"/>
                <w:highlight w:val="none"/>
              </w:rPr>
            </w:pPr>
            <w:r>
              <w:rPr>
                <w:color w:val="auto"/>
                <w:spacing w:val="-12"/>
                <w:sz w:val="22"/>
                <w:szCs w:val="22"/>
                <w:highlight w:val="none"/>
              </w:rPr>
              <w:t>10（分）</w:t>
            </w:r>
          </w:p>
        </w:tc>
        <w:tc>
          <w:tcPr>
            <w:tcW w:w="6786" w:type="dxa"/>
            <w:vAlign w:val="top"/>
          </w:tcPr>
          <w:p w14:paraId="2BD0EAA3">
            <w:pPr>
              <w:pStyle w:val="12"/>
              <w:spacing w:before="52" w:line="186" w:lineRule="auto"/>
              <w:ind w:left="115" w:right="10"/>
              <w:rPr>
                <w:color w:val="auto"/>
                <w:sz w:val="22"/>
                <w:szCs w:val="22"/>
                <w:highlight w:val="none"/>
              </w:rPr>
            </w:pPr>
            <w:r>
              <w:rPr>
                <w:b/>
                <w:bCs/>
                <w:color w:val="auto"/>
                <w:spacing w:val="-6"/>
                <w:sz w:val="22"/>
                <w:szCs w:val="22"/>
                <w:highlight w:val="none"/>
              </w:rPr>
              <w:t>应急响应预案及售后服务方案：</w:t>
            </w:r>
            <w:r>
              <w:rPr>
                <w:color w:val="auto"/>
                <w:spacing w:val="-6"/>
                <w:sz w:val="22"/>
                <w:szCs w:val="22"/>
                <w:highlight w:val="none"/>
              </w:rPr>
              <w:t>在满足招标文件实质性要求的前提下，</w:t>
            </w:r>
            <w:r>
              <w:rPr>
                <w:color w:val="auto"/>
                <w:spacing w:val="14"/>
                <w:sz w:val="22"/>
                <w:szCs w:val="22"/>
                <w:highlight w:val="none"/>
              </w:rPr>
              <w:t xml:space="preserve"> </w:t>
            </w:r>
            <w:r>
              <w:rPr>
                <w:color w:val="auto"/>
                <w:spacing w:val="-1"/>
                <w:sz w:val="22"/>
                <w:szCs w:val="22"/>
                <w:highlight w:val="none"/>
              </w:rPr>
              <w:t>评审专家根据供应商针对本项目制定的应急响应预案及售后服务方</w:t>
            </w:r>
            <w:r>
              <w:rPr>
                <w:color w:val="auto"/>
                <w:spacing w:val="2"/>
                <w:sz w:val="22"/>
                <w:szCs w:val="22"/>
                <w:highlight w:val="none"/>
              </w:rPr>
              <w:t xml:space="preserve">     </w:t>
            </w:r>
            <w:r>
              <w:rPr>
                <w:color w:val="auto"/>
                <w:spacing w:val="-7"/>
                <w:sz w:val="22"/>
                <w:szCs w:val="22"/>
                <w:highlight w:val="none"/>
              </w:rPr>
              <w:t>案，进行综合评审：</w:t>
            </w:r>
          </w:p>
        </w:tc>
        <w:tc>
          <w:tcPr>
            <w:tcW w:w="551" w:type="dxa"/>
            <w:vAlign w:val="top"/>
          </w:tcPr>
          <w:p w14:paraId="1A231C6F">
            <w:pPr>
              <w:rPr>
                <w:rFonts w:ascii="Arial"/>
                <w:color w:val="auto"/>
                <w:sz w:val="21"/>
                <w:highlight w:val="none"/>
              </w:rPr>
            </w:pPr>
          </w:p>
        </w:tc>
      </w:tr>
    </w:tbl>
    <w:p w14:paraId="76A2813F">
      <w:pPr>
        <w:pStyle w:val="6"/>
        <w:rPr>
          <w:color w:val="auto"/>
          <w:highlight w:val="none"/>
        </w:rPr>
      </w:pPr>
    </w:p>
    <w:p w14:paraId="5CF0B3C1">
      <w:pPr>
        <w:rPr>
          <w:color w:val="auto"/>
          <w:highlight w:val="none"/>
        </w:rPr>
        <w:sectPr>
          <w:footerReference r:id="rId68" w:type="default"/>
          <w:pgSz w:w="11906" w:h="16839"/>
          <w:pgMar w:top="400" w:right="763" w:bottom="1152" w:left="764" w:header="0" w:footer="992" w:gutter="0"/>
          <w:cols w:space="720" w:num="1"/>
        </w:sectPr>
      </w:pPr>
    </w:p>
    <w:p w14:paraId="3D5284C1">
      <w:pPr>
        <w:pStyle w:val="6"/>
        <w:spacing w:line="448" w:lineRule="auto"/>
        <w:rPr>
          <w:color w:val="auto"/>
          <w:highlight w:val="none"/>
        </w:rPr>
      </w:pPr>
    </w:p>
    <w:p w14:paraId="75A9F7D3">
      <w:pPr>
        <w:spacing w:line="884" w:lineRule="exact"/>
        <w:ind w:firstLine="645"/>
        <w:rPr>
          <w:color w:val="auto"/>
          <w:highlight w:val="none"/>
        </w:rPr>
      </w:pP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462B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9" w:hRule="atLeast"/>
        </w:trPr>
        <w:tc>
          <w:tcPr>
            <w:tcW w:w="759" w:type="dxa"/>
            <w:vAlign w:val="top"/>
          </w:tcPr>
          <w:p w14:paraId="361B3EDB">
            <w:pPr>
              <w:rPr>
                <w:rFonts w:ascii="Arial"/>
                <w:color w:val="auto"/>
                <w:sz w:val="21"/>
                <w:highlight w:val="none"/>
              </w:rPr>
            </w:pPr>
          </w:p>
        </w:tc>
        <w:tc>
          <w:tcPr>
            <w:tcW w:w="1192" w:type="dxa"/>
            <w:vAlign w:val="top"/>
          </w:tcPr>
          <w:p w14:paraId="55550FC8">
            <w:pPr>
              <w:rPr>
                <w:rFonts w:ascii="Arial"/>
                <w:color w:val="auto"/>
                <w:sz w:val="21"/>
                <w:highlight w:val="none"/>
              </w:rPr>
            </w:pPr>
          </w:p>
        </w:tc>
        <w:tc>
          <w:tcPr>
            <w:tcW w:w="1080" w:type="dxa"/>
            <w:vAlign w:val="top"/>
          </w:tcPr>
          <w:p w14:paraId="7DBD1BC2">
            <w:pPr>
              <w:rPr>
                <w:rFonts w:ascii="Arial"/>
                <w:color w:val="auto"/>
                <w:sz w:val="21"/>
                <w:highlight w:val="none"/>
              </w:rPr>
            </w:pPr>
          </w:p>
        </w:tc>
        <w:tc>
          <w:tcPr>
            <w:tcW w:w="6786" w:type="dxa"/>
            <w:vAlign w:val="top"/>
          </w:tcPr>
          <w:p w14:paraId="2C0726ED">
            <w:pPr>
              <w:pStyle w:val="12"/>
              <w:spacing w:before="57" w:line="181" w:lineRule="auto"/>
              <w:ind w:left="108"/>
              <w:rPr>
                <w:color w:val="auto"/>
                <w:sz w:val="22"/>
                <w:szCs w:val="22"/>
                <w:highlight w:val="none"/>
              </w:rPr>
            </w:pPr>
            <w:r>
              <w:rPr>
                <w:color w:val="auto"/>
                <w:spacing w:val="-5"/>
                <w:sz w:val="22"/>
                <w:szCs w:val="22"/>
                <w:highlight w:val="none"/>
              </w:rPr>
              <w:t>①应急预案的方针及原则；</w:t>
            </w:r>
          </w:p>
          <w:p w14:paraId="498A01CB">
            <w:pPr>
              <w:pStyle w:val="12"/>
              <w:spacing w:before="27" w:line="181" w:lineRule="auto"/>
              <w:ind w:left="107"/>
              <w:rPr>
                <w:color w:val="auto"/>
                <w:sz w:val="22"/>
                <w:szCs w:val="22"/>
                <w:highlight w:val="none"/>
              </w:rPr>
            </w:pPr>
            <w:r>
              <w:rPr>
                <w:color w:val="auto"/>
                <w:spacing w:val="-5"/>
                <w:sz w:val="22"/>
                <w:szCs w:val="22"/>
                <w:highlight w:val="none"/>
              </w:rPr>
              <w:t>②应急事故发生处理流程；</w:t>
            </w:r>
          </w:p>
          <w:p w14:paraId="3B84E800">
            <w:pPr>
              <w:pStyle w:val="12"/>
              <w:spacing w:before="27" w:line="181" w:lineRule="auto"/>
              <w:ind w:left="107"/>
              <w:rPr>
                <w:color w:val="auto"/>
                <w:sz w:val="22"/>
                <w:szCs w:val="22"/>
                <w:highlight w:val="none"/>
              </w:rPr>
            </w:pPr>
            <w:r>
              <w:rPr>
                <w:color w:val="auto"/>
                <w:spacing w:val="-4"/>
                <w:sz w:val="22"/>
                <w:szCs w:val="22"/>
                <w:highlight w:val="none"/>
              </w:rPr>
              <w:t>③应急人员分配及管理安排；</w:t>
            </w:r>
          </w:p>
          <w:p w14:paraId="395E0107">
            <w:pPr>
              <w:pStyle w:val="12"/>
              <w:spacing w:before="27" w:line="181" w:lineRule="auto"/>
              <w:ind w:left="107"/>
              <w:rPr>
                <w:color w:val="auto"/>
                <w:sz w:val="22"/>
                <w:szCs w:val="22"/>
                <w:highlight w:val="none"/>
              </w:rPr>
            </w:pPr>
            <w:r>
              <w:rPr>
                <w:color w:val="auto"/>
                <w:spacing w:val="-7"/>
                <w:sz w:val="22"/>
                <w:szCs w:val="22"/>
                <w:highlight w:val="none"/>
              </w:rPr>
              <w:t>④应急设备配置；</w:t>
            </w:r>
          </w:p>
          <w:p w14:paraId="727333DB">
            <w:pPr>
              <w:pStyle w:val="12"/>
              <w:spacing w:before="27" w:line="181" w:lineRule="auto"/>
              <w:ind w:left="107"/>
              <w:rPr>
                <w:color w:val="auto"/>
                <w:sz w:val="22"/>
                <w:szCs w:val="22"/>
                <w:highlight w:val="none"/>
              </w:rPr>
            </w:pPr>
            <w:r>
              <w:rPr>
                <w:color w:val="auto"/>
                <w:spacing w:val="-3"/>
                <w:sz w:val="22"/>
                <w:szCs w:val="22"/>
                <w:highlight w:val="none"/>
              </w:rPr>
              <w:t>⑤突发事件的处理预案（极端天气、自然灾害等</w:t>
            </w:r>
            <w:r>
              <w:rPr>
                <w:color w:val="auto"/>
                <w:spacing w:val="4"/>
                <w:sz w:val="22"/>
                <w:szCs w:val="22"/>
                <w:highlight w:val="none"/>
              </w:rPr>
              <w:t>）；</w:t>
            </w:r>
          </w:p>
          <w:p w14:paraId="02F7C2AE">
            <w:pPr>
              <w:pStyle w:val="12"/>
              <w:spacing w:before="27" w:line="181" w:lineRule="auto"/>
              <w:ind w:left="107"/>
              <w:rPr>
                <w:color w:val="auto"/>
                <w:sz w:val="22"/>
                <w:szCs w:val="22"/>
                <w:highlight w:val="none"/>
              </w:rPr>
            </w:pPr>
            <w:r>
              <w:rPr>
                <w:color w:val="auto"/>
                <w:spacing w:val="-2"/>
                <w:sz w:val="22"/>
                <w:szCs w:val="22"/>
                <w:highlight w:val="none"/>
              </w:rPr>
              <w:t>⑥售后服务流程（紧急维护、重要服务、电话回访维</w:t>
            </w:r>
            <w:r>
              <w:rPr>
                <w:color w:val="auto"/>
                <w:spacing w:val="-3"/>
                <w:sz w:val="22"/>
                <w:szCs w:val="22"/>
                <w:highlight w:val="none"/>
              </w:rPr>
              <w:t>护等</w:t>
            </w:r>
            <w:r>
              <w:rPr>
                <w:color w:val="auto"/>
                <w:spacing w:val="-1"/>
                <w:sz w:val="22"/>
                <w:szCs w:val="22"/>
                <w:highlight w:val="none"/>
              </w:rPr>
              <w:t>）；</w:t>
            </w:r>
          </w:p>
          <w:p w14:paraId="0076EA33">
            <w:pPr>
              <w:pStyle w:val="12"/>
              <w:spacing w:before="27" w:line="181" w:lineRule="auto"/>
              <w:ind w:left="107"/>
              <w:rPr>
                <w:color w:val="auto"/>
                <w:sz w:val="22"/>
                <w:szCs w:val="22"/>
                <w:highlight w:val="none"/>
              </w:rPr>
            </w:pPr>
            <w:r>
              <w:rPr>
                <w:color w:val="auto"/>
                <w:spacing w:val="-4"/>
                <w:sz w:val="22"/>
                <w:szCs w:val="22"/>
                <w:highlight w:val="none"/>
              </w:rPr>
              <w:t>⑦售后服务专线（联系人及联系电话</w:t>
            </w:r>
            <w:r>
              <w:rPr>
                <w:color w:val="auto"/>
                <w:spacing w:val="5"/>
                <w:sz w:val="22"/>
                <w:szCs w:val="22"/>
                <w:highlight w:val="none"/>
              </w:rPr>
              <w:t>）；</w:t>
            </w:r>
          </w:p>
          <w:p w14:paraId="51A46522">
            <w:pPr>
              <w:pStyle w:val="12"/>
              <w:spacing w:before="27" w:line="181" w:lineRule="auto"/>
              <w:ind w:left="107"/>
              <w:rPr>
                <w:color w:val="auto"/>
                <w:sz w:val="22"/>
                <w:szCs w:val="22"/>
                <w:highlight w:val="none"/>
              </w:rPr>
            </w:pPr>
            <w:r>
              <w:rPr>
                <w:color w:val="auto"/>
                <w:spacing w:val="-4"/>
                <w:sz w:val="22"/>
                <w:szCs w:val="22"/>
                <w:highlight w:val="none"/>
              </w:rPr>
              <w:t>⑧售后服务响应时间及质量保证；</w:t>
            </w:r>
          </w:p>
          <w:p w14:paraId="7C39D09E">
            <w:pPr>
              <w:pStyle w:val="12"/>
              <w:spacing w:before="27" w:line="181" w:lineRule="auto"/>
              <w:ind w:left="107"/>
              <w:rPr>
                <w:color w:val="auto"/>
                <w:sz w:val="22"/>
                <w:szCs w:val="22"/>
                <w:highlight w:val="none"/>
              </w:rPr>
            </w:pPr>
            <w:r>
              <w:rPr>
                <w:color w:val="auto"/>
                <w:spacing w:val="-4"/>
                <w:sz w:val="22"/>
                <w:szCs w:val="22"/>
                <w:highlight w:val="none"/>
              </w:rPr>
              <w:t>⑨问题货物的维修更换响应时间；</w:t>
            </w:r>
          </w:p>
          <w:p w14:paraId="7B62E0F8">
            <w:pPr>
              <w:pStyle w:val="12"/>
              <w:spacing w:before="28" w:line="181" w:lineRule="auto"/>
              <w:ind w:left="107"/>
              <w:rPr>
                <w:color w:val="auto"/>
                <w:sz w:val="22"/>
                <w:szCs w:val="22"/>
                <w:highlight w:val="none"/>
              </w:rPr>
            </w:pPr>
            <w:r>
              <w:rPr>
                <w:color w:val="auto"/>
                <w:spacing w:val="-4"/>
                <w:sz w:val="22"/>
                <w:szCs w:val="22"/>
                <w:highlight w:val="none"/>
              </w:rPr>
              <w:t>⑩定期回访巡检。</w:t>
            </w:r>
          </w:p>
          <w:p w14:paraId="73CB3DCF">
            <w:pPr>
              <w:pStyle w:val="12"/>
              <w:spacing w:before="27" w:line="191" w:lineRule="auto"/>
              <w:ind w:left="115" w:firstLine="22"/>
              <w:jc w:val="both"/>
              <w:rPr>
                <w:color w:val="auto"/>
                <w:sz w:val="22"/>
                <w:szCs w:val="22"/>
                <w:highlight w:val="none"/>
              </w:rPr>
            </w:pPr>
            <w:r>
              <w:rPr>
                <w:color w:val="auto"/>
                <w:spacing w:val="-3"/>
                <w:sz w:val="22"/>
                <w:szCs w:val="22"/>
                <w:highlight w:val="none"/>
              </w:rPr>
              <w:t>以上  10  项内容均提供，方案完整</w:t>
            </w:r>
            <w:r>
              <w:rPr>
                <w:color w:val="auto"/>
                <w:spacing w:val="-4"/>
                <w:sz w:val="22"/>
                <w:szCs w:val="22"/>
                <w:highlight w:val="none"/>
              </w:rPr>
              <w:t>全面，科学合理，逻辑清晰，贴合</w:t>
            </w:r>
            <w:r>
              <w:rPr>
                <w:color w:val="auto"/>
                <w:sz w:val="22"/>
                <w:szCs w:val="22"/>
                <w:highlight w:val="none"/>
              </w:rPr>
              <w:t xml:space="preserve">  </w:t>
            </w:r>
            <w:r>
              <w:rPr>
                <w:color w:val="auto"/>
                <w:spacing w:val="-1"/>
                <w:sz w:val="22"/>
                <w:szCs w:val="22"/>
                <w:highlight w:val="none"/>
              </w:rPr>
              <w:t>采购需求，</w:t>
            </w:r>
            <w:r>
              <w:rPr>
                <w:color w:val="auto"/>
                <w:spacing w:val="-42"/>
                <w:sz w:val="22"/>
                <w:szCs w:val="22"/>
                <w:highlight w:val="none"/>
              </w:rPr>
              <w:t xml:space="preserve"> </w:t>
            </w:r>
            <w:r>
              <w:rPr>
                <w:color w:val="auto"/>
                <w:spacing w:val="-1"/>
                <w:sz w:val="22"/>
                <w:szCs w:val="22"/>
                <w:highlight w:val="none"/>
              </w:rPr>
              <w:t>可行性高，针对性强，</w:t>
            </w:r>
            <w:r>
              <w:rPr>
                <w:color w:val="auto"/>
                <w:spacing w:val="-40"/>
                <w:sz w:val="22"/>
                <w:szCs w:val="22"/>
                <w:highlight w:val="none"/>
              </w:rPr>
              <w:t xml:space="preserve"> </w:t>
            </w:r>
            <w:r>
              <w:rPr>
                <w:color w:val="auto"/>
                <w:spacing w:val="-1"/>
                <w:sz w:val="22"/>
                <w:szCs w:val="22"/>
                <w:highlight w:val="none"/>
              </w:rPr>
              <w:t>完全符合项目实际情况得满分</w:t>
            </w:r>
            <w:r>
              <w:rPr>
                <w:color w:val="auto"/>
                <w:spacing w:val="-2"/>
                <w:sz w:val="22"/>
                <w:szCs w:val="22"/>
                <w:highlight w:val="none"/>
              </w:rPr>
              <w:t xml:space="preserve">  10</w:t>
            </w:r>
            <w:r>
              <w:rPr>
                <w:color w:val="auto"/>
                <w:sz w:val="22"/>
                <w:szCs w:val="22"/>
                <w:highlight w:val="none"/>
              </w:rPr>
              <w:t xml:space="preserve">  </w:t>
            </w:r>
            <w:r>
              <w:rPr>
                <w:color w:val="auto"/>
                <w:spacing w:val="-3"/>
                <w:sz w:val="22"/>
                <w:szCs w:val="22"/>
                <w:highlight w:val="none"/>
              </w:rPr>
              <w:t>分；其中每有一项内容未提供的扣  1  分；每有一</w:t>
            </w:r>
            <w:r>
              <w:rPr>
                <w:color w:val="auto"/>
                <w:spacing w:val="-4"/>
                <w:sz w:val="22"/>
                <w:szCs w:val="22"/>
                <w:highlight w:val="none"/>
              </w:rPr>
              <w:t>项内容阐述不全面、</w:t>
            </w:r>
            <w:r>
              <w:rPr>
                <w:color w:val="auto"/>
                <w:sz w:val="22"/>
                <w:szCs w:val="22"/>
                <w:highlight w:val="none"/>
              </w:rPr>
              <w:t xml:space="preserve"> </w:t>
            </w:r>
            <w:r>
              <w:rPr>
                <w:color w:val="auto"/>
                <w:spacing w:val="-1"/>
                <w:sz w:val="22"/>
                <w:szCs w:val="22"/>
                <w:highlight w:val="none"/>
              </w:rPr>
              <w:t>不符合项目实际情况、无法满足采购需求或内容</w:t>
            </w:r>
            <w:r>
              <w:rPr>
                <w:color w:val="auto"/>
                <w:spacing w:val="-2"/>
                <w:sz w:val="22"/>
                <w:szCs w:val="22"/>
                <w:highlight w:val="none"/>
              </w:rPr>
              <w:t>存在缺陷、瑕疵、描</w:t>
            </w:r>
            <w:r>
              <w:rPr>
                <w:color w:val="auto"/>
                <w:sz w:val="22"/>
                <w:szCs w:val="22"/>
                <w:highlight w:val="none"/>
              </w:rPr>
              <w:t xml:space="preserve">  </w:t>
            </w:r>
            <w:r>
              <w:rPr>
                <w:color w:val="auto"/>
                <w:spacing w:val="-3"/>
                <w:sz w:val="22"/>
                <w:szCs w:val="22"/>
                <w:highlight w:val="none"/>
              </w:rPr>
              <w:t>述不清楚的扣</w:t>
            </w:r>
            <w:r>
              <w:rPr>
                <w:color w:val="auto"/>
                <w:spacing w:val="61"/>
                <w:sz w:val="22"/>
                <w:szCs w:val="22"/>
                <w:highlight w:val="none"/>
              </w:rPr>
              <w:t xml:space="preserve"> </w:t>
            </w:r>
            <w:r>
              <w:rPr>
                <w:color w:val="auto"/>
                <w:spacing w:val="-3"/>
                <w:sz w:val="22"/>
                <w:szCs w:val="22"/>
                <w:highlight w:val="none"/>
              </w:rPr>
              <w:t>0.5</w:t>
            </w:r>
            <w:r>
              <w:rPr>
                <w:color w:val="auto"/>
                <w:spacing w:val="62"/>
                <w:sz w:val="22"/>
                <w:szCs w:val="22"/>
                <w:highlight w:val="none"/>
              </w:rPr>
              <w:t xml:space="preserve"> </w:t>
            </w:r>
            <w:r>
              <w:rPr>
                <w:color w:val="auto"/>
                <w:spacing w:val="-3"/>
                <w:sz w:val="22"/>
                <w:szCs w:val="22"/>
                <w:highlight w:val="none"/>
              </w:rPr>
              <w:t>分，直至扣完为止。</w:t>
            </w:r>
          </w:p>
        </w:tc>
        <w:tc>
          <w:tcPr>
            <w:tcW w:w="551" w:type="dxa"/>
            <w:vAlign w:val="top"/>
          </w:tcPr>
          <w:p w14:paraId="771924D4">
            <w:pPr>
              <w:rPr>
                <w:rFonts w:ascii="Arial"/>
                <w:color w:val="auto"/>
                <w:sz w:val="21"/>
                <w:highlight w:val="none"/>
              </w:rPr>
            </w:pPr>
          </w:p>
        </w:tc>
      </w:tr>
    </w:tbl>
    <w:p w14:paraId="1C959450">
      <w:pPr>
        <w:spacing w:before="211" w:line="358" w:lineRule="auto"/>
        <w:ind w:left="325" w:right="317"/>
        <w:jc w:val="both"/>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注：以上有缺陷、瑕疵</w:t>
      </w:r>
      <w:r>
        <w:rPr>
          <w:rFonts w:ascii="宋体" w:hAnsi="宋体" w:eastAsia="宋体" w:cs="宋体"/>
          <w:color w:val="auto"/>
          <w:spacing w:val="-4"/>
          <w:sz w:val="19"/>
          <w:szCs w:val="19"/>
          <w:highlight w:val="none"/>
        </w:rPr>
        <w:t>、</w:t>
      </w:r>
      <w:r>
        <w:rPr>
          <w:rFonts w:ascii="宋体" w:hAnsi="宋体" w:eastAsia="宋体" w:cs="宋体"/>
          <w:b/>
          <w:bCs/>
          <w:color w:val="auto"/>
          <w:spacing w:val="-4"/>
          <w:sz w:val="24"/>
          <w:szCs w:val="24"/>
          <w:highlight w:val="none"/>
        </w:rPr>
        <w:t>描述不清楚是指，</w:t>
      </w:r>
      <w:r>
        <w:rPr>
          <w:rFonts w:ascii="Arial Unicode MS" w:hAnsi="Arial Unicode MS" w:eastAsia="Arial Unicode MS" w:cs="Arial Unicode MS"/>
          <w:b/>
          <w:bCs/>
          <w:color w:val="auto"/>
          <w:spacing w:val="-4"/>
          <w:sz w:val="24"/>
          <w:szCs w:val="24"/>
          <w:highlight w:val="none"/>
        </w:rPr>
        <w:t>①</w:t>
      </w:r>
      <w:r>
        <w:rPr>
          <w:rFonts w:ascii="宋体" w:hAnsi="宋体" w:eastAsia="宋体" w:cs="宋体"/>
          <w:b/>
          <w:bCs/>
          <w:color w:val="auto"/>
          <w:spacing w:val="-4"/>
          <w:sz w:val="24"/>
          <w:szCs w:val="24"/>
          <w:highlight w:val="none"/>
        </w:rPr>
        <w:t>只有单纯的文件描述，前后内容无法连贯，内容</w:t>
      </w:r>
      <w:r>
        <w:rPr>
          <w:rFonts w:ascii="宋体" w:hAnsi="宋体" w:eastAsia="宋体" w:cs="宋体"/>
          <w:color w:val="auto"/>
          <w:spacing w:val="7"/>
          <w:sz w:val="24"/>
          <w:szCs w:val="24"/>
          <w:highlight w:val="none"/>
        </w:rPr>
        <w:t xml:space="preserve"> </w:t>
      </w:r>
      <w:r>
        <w:rPr>
          <w:rFonts w:ascii="宋体" w:hAnsi="宋体" w:eastAsia="宋体" w:cs="宋体"/>
          <w:b/>
          <w:bCs/>
          <w:color w:val="auto"/>
          <w:spacing w:val="-2"/>
          <w:sz w:val="24"/>
          <w:szCs w:val="24"/>
          <w:highlight w:val="none"/>
        </w:rPr>
        <w:t>脱离了实际情况，不具备实施的可能性；</w:t>
      </w:r>
      <w:r>
        <w:rPr>
          <w:rFonts w:ascii="Arial Unicode MS" w:hAnsi="Arial Unicode MS" w:eastAsia="Arial Unicode MS" w:cs="Arial Unicode MS"/>
          <w:b/>
          <w:bCs/>
          <w:color w:val="auto"/>
          <w:spacing w:val="-2"/>
          <w:sz w:val="24"/>
          <w:szCs w:val="24"/>
          <w:highlight w:val="none"/>
        </w:rPr>
        <w:t>②</w:t>
      </w:r>
      <w:r>
        <w:rPr>
          <w:rFonts w:ascii="宋体" w:hAnsi="宋体" w:eastAsia="宋体" w:cs="宋体"/>
          <w:b/>
          <w:bCs/>
          <w:color w:val="auto"/>
          <w:spacing w:val="-2"/>
          <w:sz w:val="24"/>
          <w:szCs w:val="24"/>
          <w:highlight w:val="none"/>
        </w:rPr>
        <w:t>套用其他项目方案，前后内容互相矛盾，存在与</w:t>
      </w:r>
      <w:r>
        <w:rPr>
          <w:rFonts w:ascii="宋体" w:hAnsi="宋体" w:eastAsia="宋体" w:cs="宋体"/>
          <w:color w:val="auto"/>
          <w:spacing w:val="1"/>
          <w:sz w:val="24"/>
          <w:szCs w:val="24"/>
          <w:highlight w:val="none"/>
        </w:rPr>
        <w:t xml:space="preserve">  </w:t>
      </w:r>
      <w:r>
        <w:rPr>
          <w:rFonts w:ascii="宋体" w:hAnsi="宋体" w:eastAsia="宋体" w:cs="宋体"/>
          <w:b/>
          <w:bCs/>
          <w:color w:val="auto"/>
          <w:spacing w:val="-2"/>
          <w:sz w:val="24"/>
          <w:szCs w:val="24"/>
          <w:highlight w:val="none"/>
        </w:rPr>
        <w:t>本项目无关的内容；</w:t>
      </w:r>
      <w:r>
        <w:rPr>
          <w:rFonts w:ascii="Arial Unicode MS" w:hAnsi="Arial Unicode MS" w:eastAsia="Arial Unicode MS" w:cs="Arial Unicode MS"/>
          <w:b/>
          <w:bCs/>
          <w:color w:val="auto"/>
          <w:spacing w:val="-2"/>
          <w:sz w:val="24"/>
          <w:szCs w:val="24"/>
          <w:highlight w:val="none"/>
        </w:rPr>
        <w:t>③</w:t>
      </w:r>
      <w:r>
        <w:rPr>
          <w:rFonts w:ascii="宋体" w:hAnsi="宋体" w:eastAsia="宋体" w:cs="宋体"/>
          <w:b/>
          <w:bCs/>
          <w:color w:val="auto"/>
          <w:spacing w:val="-2"/>
          <w:sz w:val="24"/>
          <w:szCs w:val="24"/>
          <w:highlight w:val="none"/>
        </w:rPr>
        <w:t>内容不满足项目要求、与本项目无关或与本项目不匹配、项目涉及的</w:t>
      </w:r>
      <w:r>
        <w:rPr>
          <w:rFonts w:ascii="宋体" w:hAnsi="宋体" w:eastAsia="宋体" w:cs="宋体"/>
          <w:color w:val="auto"/>
          <w:spacing w:val="1"/>
          <w:sz w:val="24"/>
          <w:szCs w:val="24"/>
          <w:highlight w:val="none"/>
        </w:rPr>
        <w:t xml:space="preserve">  </w:t>
      </w:r>
      <w:r>
        <w:rPr>
          <w:rFonts w:ascii="宋体" w:hAnsi="宋体" w:eastAsia="宋体" w:cs="宋体"/>
          <w:b/>
          <w:bCs/>
          <w:color w:val="auto"/>
          <w:spacing w:val="-3"/>
          <w:sz w:val="24"/>
          <w:szCs w:val="24"/>
          <w:highlight w:val="none"/>
        </w:rPr>
        <w:t>项目名称、地点不一致。</w:t>
      </w:r>
    </w:p>
    <w:p w14:paraId="051493B6">
      <w:pPr>
        <w:spacing w:line="358" w:lineRule="auto"/>
        <w:rPr>
          <w:rFonts w:ascii="宋体" w:hAnsi="宋体" w:eastAsia="宋体" w:cs="宋体"/>
          <w:color w:val="auto"/>
          <w:sz w:val="24"/>
          <w:szCs w:val="24"/>
          <w:highlight w:val="none"/>
        </w:rPr>
        <w:sectPr>
          <w:footerReference r:id="rId69" w:type="default"/>
          <w:pgSz w:w="11906" w:h="16839"/>
          <w:pgMar w:top="400" w:right="763" w:bottom="1152" w:left="764" w:header="0" w:footer="992" w:gutter="0"/>
          <w:cols w:space="720" w:num="1"/>
        </w:sectPr>
      </w:pPr>
    </w:p>
    <w:p w14:paraId="4EFA0286">
      <w:pPr>
        <w:spacing w:before="171"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10.2.2 价格评分方法</w:t>
      </w:r>
    </w:p>
    <w:p w14:paraId="2964786B">
      <w:pPr>
        <w:spacing w:before="158" w:line="289" w:lineRule="auto"/>
        <w:ind w:left="42" w:right="28" w:firstLine="5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满足招标文件技术要求且投标价格最低的投标报价为评标基准价，其价格分为满分。其</w:t>
      </w:r>
      <w:r>
        <w:rPr>
          <w:rFonts w:ascii="微软雅黑" w:hAnsi="微软雅黑" w:eastAsia="微软雅黑" w:cs="微软雅黑"/>
          <w:color w:val="auto"/>
          <w:spacing w:val="-2"/>
          <w:sz w:val="21"/>
          <w:szCs w:val="21"/>
          <w:highlight w:val="none"/>
        </w:rPr>
        <w:t>他投标人的价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格分别按照下列公式计算：  投标报价得分=（评标基准价/投标报价）×价格</w:t>
      </w:r>
      <w:r>
        <w:rPr>
          <w:rFonts w:ascii="微软雅黑" w:hAnsi="微软雅黑" w:eastAsia="微软雅黑" w:cs="微软雅黑"/>
          <w:color w:val="auto"/>
          <w:spacing w:val="-2"/>
          <w:sz w:val="21"/>
          <w:szCs w:val="21"/>
          <w:highlight w:val="none"/>
        </w:rPr>
        <w:t>权重。</w:t>
      </w:r>
    </w:p>
    <w:p w14:paraId="687C0A9D">
      <w:pPr>
        <w:spacing w:before="108" w:line="189" w:lineRule="auto"/>
        <w:ind w:left="3841"/>
        <w:rPr>
          <w:rFonts w:ascii="微软雅黑" w:hAnsi="微软雅黑" w:eastAsia="微软雅黑" w:cs="微软雅黑"/>
          <w:color w:val="auto"/>
          <w:sz w:val="24"/>
          <w:szCs w:val="24"/>
          <w:highlight w:val="none"/>
        </w:rPr>
      </w:pPr>
      <w:bookmarkStart w:id="131" w:name="bookmark64"/>
      <w:bookmarkEnd w:id="131"/>
      <w:r>
        <w:rPr>
          <w:rFonts w:ascii="微软雅黑" w:hAnsi="微软雅黑" w:eastAsia="微软雅黑" w:cs="微软雅黑"/>
          <w:b/>
          <w:bCs/>
          <w:color w:val="auto"/>
          <w:spacing w:val="-5"/>
          <w:sz w:val="24"/>
          <w:szCs w:val="24"/>
          <w:highlight w:val="none"/>
        </w:rPr>
        <w:t>五</w:t>
      </w:r>
      <w:r>
        <w:rPr>
          <w:rFonts w:ascii="微软雅黑" w:hAnsi="微软雅黑" w:eastAsia="微软雅黑" w:cs="微软雅黑"/>
          <w:b/>
          <w:bCs/>
          <w:color w:val="auto"/>
          <w:spacing w:val="15"/>
          <w:sz w:val="24"/>
          <w:szCs w:val="24"/>
          <w:highlight w:val="none"/>
        </w:rPr>
        <w:t xml:space="preserve">   </w:t>
      </w:r>
      <w:r>
        <w:rPr>
          <w:rFonts w:ascii="微软雅黑" w:hAnsi="微软雅黑" w:eastAsia="微软雅黑" w:cs="微软雅黑"/>
          <w:b/>
          <w:bCs/>
          <w:color w:val="auto"/>
          <w:spacing w:val="-5"/>
          <w:sz w:val="24"/>
          <w:szCs w:val="24"/>
          <w:highlight w:val="none"/>
        </w:rPr>
        <w:t>推荐中标候选人</w:t>
      </w:r>
    </w:p>
    <w:p w14:paraId="7AE3F52D">
      <w:pPr>
        <w:spacing w:before="101"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11.1 评标委员会推荐 3 名中标候选人，并标明排序。</w:t>
      </w:r>
    </w:p>
    <w:p w14:paraId="27F36CDE">
      <w:pPr>
        <w:spacing w:before="119" w:line="187"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11.2 如出现报价相同情况，则由招标人现场抽签确定中标候选人排名顺序。</w:t>
      </w:r>
    </w:p>
    <w:p w14:paraId="04814A13">
      <w:pPr>
        <w:spacing w:before="119"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12.无效投标条款</w:t>
      </w:r>
    </w:p>
    <w:p w14:paraId="6370F4BA">
      <w:pPr>
        <w:spacing w:before="11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12.1 投标文件有下列情形之一的,其投标文件</w:t>
      </w:r>
      <w:r>
        <w:rPr>
          <w:rFonts w:ascii="微软雅黑" w:hAnsi="微软雅黑" w:eastAsia="微软雅黑" w:cs="微软雅黑"/>
          <w:color w:val="auto"/>
          <w:spacing w:val="2"/>
          <w:sz w:val="21"/>
          <w:szCs w:val="21"/>
          <w:highlight w:val="none"/>
        </w:rPr>
        <w:t>拒收:</w:t>
      </w:r>
    </w:p>
    <w:p w14:paraId="7EF8FA4F">
      <w:pPr>
        <w:spacing w:before="118"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(1)</w:t>
      </w:r>
      <w:r>
        <w:rPr>
          <w:rFonts w:ascii="微软雅黑" w:hAnsi="微软雅黑" w:eastAsia="微软雅黑" w:cs="微软雅黑"/>
          <w:b/>
          <w:bCs/>
          <w:color w:val="auto"/>
          <w:spacing w:val="58"/>
          <w:sz w:val="21"/>
          <w:szCs w:val="21"/>
          <w:highlight w:val="none"/>
        </w:rPr>
        <w:t xml:space="preserve"> </w:t>
      </w:r>
      <w:r>
        <w:rPr>
          <w:rFonts w:ascii="微软雅黑" w:hAnsi="微软雅黑" w:eastAsia="微软雅黑" w:cs="微软雅黑"/>
          <w:b/>
          <w:bCs/>
          <w:color w:val="auto"/>
          <w:spacing w:val="-1"/>
          <w:sz w:val="21"/>
          <w:szCs w:val="21"/>
          <w:highlight w:val="none"/>
        </w:rPr>
        <w:t>未在开标截止时间前通过网上招标投标</w:t>
      </w:r>
      <w:r>
        <w:rPr>
          <w:rFonts w:ascii="微软雅黑" w:hAnsi="微软雅黑" w:eastAsia="微软雅黑" w:cs="微软雅黑"/>
          <w:b/>
          <w:bCs/>
          <w:color w:val="auto"/>
          <w:spacing w:val="-2"/>
          <w:sz w:val="21"/>
          <w:szCs w:val="21"/>
          <w:highlight w:val="none"/>
        </w:rPr>
        <w:t>系统递交有效电子投标文件的，开标系统不予接收。</w:t>
      </w:r>
    </w:p>
    <w:p w14:paraId="709AC3DC">
      <w:pPr>
        <w:spacing w:before="123" w:line="247" w:lineRule="auto"/>
        <w:ind w:left="42" w:right="29" w:firstLine="42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（2）所有投标人应在规定时间里完成投标文件的解密</w:t>
      </w:r>
      <w:r>
        <w:rPr>
          <w:rFonts w:ascii="微软雅黑" w:hAnsi="微软雅黑" w:eastAsia="微软雅黑" w:cs="微软雅黑"/>
          <w:b/>
          <w:bCs/>
          <w:color w:val="auto"/>
          <w:spacing w:val="-5"/>
          <w:sz w:val="21"/>
          <w:szCs w:val="21"/>
          <w:highlight w:val="none"/>
        </w:rPr>
        <w:t>工作【投标人使用其有效加密锁（CA 锁）进行解</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密（因投标人原因未能提供有效 CA 锁对其投标文件进行解密的，其投标文件按无</w:t>
      </w:r>
      <w:r>
        <w:rPr>
          <w:rFonts w:ascii="微软雅黑" w:hAnsi="微软雅黑" w:eastAsia="微软雅黑" w:cs="微软雅黑"/>
          <w:b/>
          <w:bCs/>
          <w:color w:val="auto"/>
          <w:spacing w:val="-4"/>
          <w:sz w:val="21"/>
          <w:szCs w:val="21"/>
          <w:highlight w:val="none"/>
        </w:rPr>
        <w:t>效标处理），以网上招投</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rPr>
        <w:t>标系统解密倒计时为准】，  因系统原因未能成功解密的投标文件，</w:t>
      </w:r>
      <w:r>
        <w:rPr>
          <w:rFonts w:ascii="微软雅黑" w:hAnsi="微软雅黑" w:eastAsia="微软雅黑" w:cs="微软雅黑"/>
          <w:b/>
          <w:bCs/>
          <w:color w:val="auto"/>
          <w:spacing w:val="-21"/>
          <w:sz w:val="21"/>
          <w:szCs w:val="21"/>
          <w:highlight w:val="none"/>
        </w:rPr>
        <w:t xml:space="preserve"> </w:t>
      </w:r>
      <w:r>
        <w:rPr>
          <w:rFonts w:ascii="微软雅黑" w:hAnsi="微软雅黑" w:eastAsia="微软雅黑" w:cs="微软雅黑"/>
          <w:b/>
          <w:bCs/>
          <w:color w:val="auto"/>
          <w:spacing w:val="-2"/>
          <w:sz w:val="21"/>
          <w:szCs w:val="21"/>
          <w:highlight w:val="none"/>
        </w:rPr>
        <w:t>可导入备份投标文件。备份投标文件也</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无法导入的，则投标文件被否决。</w:t>
      </w:r>
    </w:p>
    <w:p w14:paraId="77EEBA4D">
      <w:pPr>
        <w:spacing w:before="118"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12.2 投标人有下列情形之一的,资格审查后其投标作无效投标处理：</w:t>
      </w:r>
    </w:p>
    <w:p w14:paraId="4E0EA347">
      <w:pPr>
        <w:spacing w:before="119"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(1)投标人为本项目提供招标代理服务的；</w:t>
      </w:r>
    </w:p>
    <w:p w14:paraId="672CD753">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(2)投标人与在本项目代理机构存在相互任职或工作的；</w:t>
      </w:r>
    </w:p>
    <w:p w14:paraId="30C25149">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(3)投标保证金未按规定要求缴纳的；</w:t>
      </w:r>
    </w:p>
    <w:p w14:paraId="1E2C924F">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(4)评标专家无法查看并检验电子标书中相关资料的；</w:t>
      </w:r>
    </w:p>
    <w:p w14:paraId="7C07D57D">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(5)联合体投标未提交联合体协议的；</w:t>
      </w:r>
    </w:p>
    <w:p w14:paraId="1D9A7B7C">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(6)被暂停营业的；</w:t>
      </w:r>
    </w:p>
    <w:p w14:paraId="5F6FE232">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(7)被暂停或取消投标资格的；</w:t>
      </w:r>
    </w:p>
    <w:p w14:paraId="57566611">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(8)财产被接管或冻结的；</w:t>
      </w:r>
    </w:p>
    <w:p w14:paraId="3A02820B">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(9)投标人单位负责人为同一人或者存在控股、管理关系的不</w:t>
      </w:r>
      <w:r>
        <w:rPr>
          <w:rFonts w:ascii="微软雅黑" w:hAnsi="微软雅黑" w:eastAsia="微软雅黑" w:cs="微软雅黑"/>
          <w:color w:val="auto"/>
          <w:spacing w:val="-2"/>
          <w:sz w:val="21"/>
          <w:szCs w:val="21"/>
          <w:highlight w:val="none"/>
        </w:rPr>
        <w:t>同单位的；</w:t>
      </w:r>
    </w:p>
    <w:p w14:paraId="1EB8EAF3">
      <w:pPr>
        <w:spacing w:before="125"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（10）投标人基本资格条件和特定资格条件中有一项及以上不符合要求的；</w:t>
      </w:r>
    </w:p>
    <w:p w14:paraId="13A23734">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3"/>
          <w:sz w:val="21"/>
          <w:szCs w:val="21"/>
          <w:highlight w:val="none"/>
        </w:rPr>
        <w:t>（11）投标人使用相同的</w:t>
      </w:r>
      <w:r>
        <w:rPr>
          <w:rFonts w:ascii="微软雅黑" w:hAnsi="微软雅黑" w:eastAsia="微软雅黑" w:cs="微软雅黑"/>
          <w:color w:val="auto"/>
          <w:spacing w:val="24"/>
          <w:w w:val="101"/>
          <w:sz w:val="21"/>
          <w:szCs w:val="21"/>
          <w:highlight w:val="none"/>
        </w:rPr>
        <w:t xml:space="preserve"> </w:t>
      </w:r>
      <w:r>
        <w:rPr>
          <w:rFonts w:ascii="微软雅黑" w:hAnsi="微软雅黑" w:eastAsia="微软雅黑" w:cs="微软雅黑"/>
          <w:color w:val="auto"/>
          <w:spacing w:val="-13"/>
          <w:sz w:val="21"/>
          <w:szCs w:val="21"/>
          <w:highlight w:val="none"/>
        </w:rPr>
        <w:t>MAC 地址进行报名的；</w:t>
      </w:r>
    </w:p>
    <w:p w14:paraId="49ADD69C">
      <w:pPr>
        <w:spacing w:before="126"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（12）其它情形，经评标委员会委提出按无效投</w:t>
      </w:r>
      <w:r>
        <w:rPr>
          <w:rFonts w:ascii="微软雅黑" w:hAnsi="微软雅黑" w:eastAsia="微软雅黑" w:cs="微软雅黑"/>
          <w:color w:val="auto"/>
          <w:spacing w:val="-3"/>
          <w:sz w:val="21"/>
          <w:szCs w:val="21"/>
          <w:highlight w:val="none"/>
        </w:rPr>
        <w:t>标处理，并经采购办监督部门核准的；</w:t>
      </w:r>
    </w:p>
    <w:p w14:paraId="48A9F899">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（13）投标人使用相同 IP 地址报名的，一经发现，监管部门将进一步核实，查实后</w:t>
      </w:r>
      <w:r>
        <w:rPr>
          <w:rFonts w:ascii="微软雅黑" w:hAnsi="微软雅黑" w:eastAsia="微软雅黑" w:cs="微软雅黑"/>
          <w:color w:val="auto"/>
          <w:spacing w:val="-3"/>
          <w:sz w:val="21"/>
          <w:szCs w:val="21"/>
          <w:highlight w:val="none"/>
        </w:rPr>
        <w:t>按串通投标处理；</w:t>
      </w:r>
    </w:p>
    <w:p w14:paraId="3D1725DD">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（14）采购文件规定的其它无效投标情形。</w:t>
      </w:r>
    </w:p>
    <w:p w14:paraId="3C629B14">
      <w:pPr>
        <w:spacing w:before="124"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投标人有下列情形之一的,符合性审查后其投标按无效投标处理：</w:t>
      </w:r>
    </w:p>
    <w:p w14:paraId="7A95613A">
      <w:pPr>
        <w:spacing w:before="119" w:line="227" w:lineRule="auto"/>
        <w:ind w:left="55" w:right="29" w:firstLine="4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2"/>
          <w:sz w:val="21"/>
          <w:szCs w:val="21"/>
          <w:highlight w:val="none"/>
        </w:rPr>
        <w:t>投标文件签字、盖章不全，经评标委员会一致认定对开评标内容</w:t>
      </w:r>
      <w:r>
        <w:rPr>
          <w:rFonts w:ascii="微软雅黑" w:hAnsi="微软雅黑" w:eastAsia="微软雅黑" w:cs="微软雅黑"/>
          <w:color w:val="auto"/>
          <w:spacing w:val="1"/>
          <w:sz w:val="21"/>
          <w:szCs w:val="21"/>
          <w:highlight w:val="none"/>
        </w:rPr>
        <w:t>有实质性影响并经监督部门核准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9"/>
          <w:sz w:val="21"/>
          <w:szCs w:val="21"/>
          <w:highlight w:val="none"/>
        </w:rPr>
        <w:t>的；</w:t>
      </w:r>
    </w:p>
    <w:p w14:paraId="472C76C5">
      <w:pPr>
        <w:spacing w:before="118"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(2)未按规定的格式填写，实质性内容不全或关键字迹模糊、无法辨认;</w:t>
      </w:r>
      <w:r>
        <w:rPr>
          <w:rFonts w:ascii="微软雅黑" w:hAnsi="微软雅黑" w:eastAsia="微软雅黑" w:cs="微软雅黑"/>
          <w:color w:val="auto"/>
          <w:spacing w:val="64"/>
          <w:sz w:val="21"/>
          <w:szCs w:val="21"/>
          <w:highlight w:val="none"/>
        </w:rPr>
        <w:t xml:space="preserve"> </w:t>
      </w:r>
      <w:r>
        <w:rPr>
          <w:rFonts w:ascii="微软雅黑" w:hAnsi="微软雅黑" w:eastAsia="微软雅黑" w:cs="微软雅黑"/>
          <w:color w:val="auto"/>
          <w:sz w:val="21"/>
          <w:szCs w:val="21"/>
          <w:highlight w:val="none"/>
        </w:rPr>
        <w:t>经监督部门核准的；</w:t>
      </w:r>
    </w:p>
    <w:p w14:paraId="0B7AE8A0">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(4)同一投标人提交两个以上不同的投标文件或者投标报价，但采购文件规定提交备选方案的除外；</w:t>
      </w:r>
    </w:p>
    <w:p w14:paraId="5170E7F8">
      <w:pPr>
        <w:spacing w:line="183" w:lineRule="auto"/>
        <w:rPr>
          <w:rFonts w:ascii="微软雅黑" w:hAnsi="微软雅黑" w:eastAsia="微软雅黑" w:cs="微软雅黑"/>
          <w:color w:val="auto"/>
          <w:sz w:val="21"/>
          <w:szCs w:val="21"/>
          <w:highlight w:val="none"/>
        </w:rPr>
        <w:sectPr>
          <w:headerReference r:id="rId70" w:type="default"/>
          <w:footerReference r:id="rId71" w:type="default"/>
          <w:pgSz w:w="11906" w:h="16839"/>
          <w:pgMar w:top="1745" w:right="1050" w:bottom="1152" w:left="1050" w:header="850" w:footer="992" w:gutter="0"/>
          <w:cols w:space="720" w:num="1"/>
        </w:sectPr>
      </w:pPr>
    </w:p>
    <w:p w14:paraId="22A5C1B4">
      <w:pPr>
        <w:spacing w:before="140"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(3)投标文件没有对采购文件的实质性要求和条件作出响应;</w:t>
      </w:r>
    </w:p>
    <w:p w14:paraId="41775464">
      <w:pPr>
        <w:spacing w:before="124" w:line="227" w:lineRule="auto"/>
        <w:ind w:left="42" w:right="28" w:firstLine="4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(4)投标报价超出规定的投标限价或公布的采购预算的；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注：投标人的投标报价各项单价均不得高于招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标文件给定的单价最高限价，否则，其投标</w:t>
      </w:r>
      <w:r>
        <w:rPr>
          <w:rFonts w:ascii="微软雅黑" w:hAnsi="微软雅黑" w:eastAsia="微软雅黑" w:cs="微软雅黑"/>
          <w:color w:val="auto"/>
          <w:spacing w:val="-2"/>
          <w:sz w:val="21"/>
          <w:szCs w:val="21"/>
          <w:highlight w:val="none"/>
        </w:rPr>
        <w:t>文件将按无效投标处理。</w:t>
      </w:r>
    </w:p>
    <w:p w14:paraId="323BA4C8">
      <w:pPr>
        <w:spacing w:before="118" w:line="227" w:lineRule="auto"/>
        <w:ind w:left="42" w:right="28" w:firstLine="4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(5)不按评标委员会要求澄清、说明或补正的，</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4"/>
          <w:sz w:val="21"/>
          <w:szCs w:val="21"/>
          <w:highlight w:val="none"/>
        </w:rPr>
        <w:t>或者评标委员会根据采购文件的规定对采购文件的计算</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2"/>
          <w:sz w:val="21"/>
          <w:szCs w:val="21"/>
          <w:highlight w:val="none"/>
        </w:rPr>
        <w:t>错误进行修正后，投标人不接受修正的投标报价的。</w:t>
      </w:r>
    </w:p>
    <w:p w14:paraId="6EE59FA4">
      <w:pPr>
        <w:spacing w:before="118"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（6）其它情形，经评标委员会委提出按无效投标处理，并采购办监督部门核</w:t>
      </w:r>
      <w:r>
        <w:rPr>
          <w:rFonts w:ascii="微软雅黑" w:hAnsi="微软雅黑" w:eastAsia="微软雅黑" w:cs="微软雅黑"/>
          <w:color w:val="auto"/>
          <w:spacing w:val="-3"/>
          <w:sz w:val="21"/>
          <w:szCs w:val="21"/>
          <w:highlight w:val="none"/>
        </w:rPr>
        <w:t>准的；</w:t>
      </w:r>
    </w:p>
    <w:p w14:paraId="14BDEDF4">
      <w:pPr>
        <w:spacing w:before="20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（7）未按照招标文件的规定提交投标保证金的；</w:t>
      </w:r>
    </w:p>
    <w:p w14:paraId="10567B7A">
      <w:pPr>
        <w:spacing w:before="2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（8）投标文件含有采购人不能接受的附加条件的;</w:t>
      </w:r>
    </w:p>
    <w:p w14:paraId="60D93B75">
      <w:pPr>
        <w:spacing w:before="226"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（9）采购文件规定的其它无效投标情形。</w:t>
      </w:r>
    </w:p>
    <w:p w14:paraId="7AFE0C06">
      <w:pPr>
        <w:spacing w:before="144"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12.4</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1"/>
          <w:sz w:val="21"/>
          <w:szCs w:val="21"/>
          <w:highlight w:val="none"/>
        </w:rPr>
        <w:t>投标人有下列情形之一的,</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详细评审后其投</w:t>
      </w:r>
      <w:r>
        <w:rPr>
          <w:rFonts w:ascii="微软雅黑" w:hAnsi="微软雅黑" w:eastAsia="微软雅黑" w:cs="微软雅黑"/>
          <w:color w:val="auto"/>
          <w:spacing w:val="-2"/>
          <w:sz w:val="21"/>
          <w:szCs w:val="21"/>
          <w:highlight w:val="none"/>
        </w:rPr>
        <w:t>标按无效投标处理：</w:t>
      </w:r>
    </w:p>
    <w:p w14:paraId="01473E71">
      <w:pPr>
        <w:spacing w:before="119"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(1)投标产品不符合必须强制执行的国家标准的；</w:t>
      </w:r>
    </w:p>
    <w:p w14:paraId="4F211367">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(2)投标人有串通投标、弄虚作假、行贿等违法行为；</w:t>
      </w:r>
    </w:p>
    <w:p w14:paraId="3DE4781B">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(3)投标文件含有违反国家法律、法规的内容，或附有招标人不能接受的条件</w:t>
      </w:r>
      <w:r>
        <w:rPr>
          <w:rFonts w:ascii="微软雅黑" w:hAnsi="微软雅黑" w:eastAsia="微软雅黑" w:cs="微软雅黑"/>
          <w:color w:val="auto"/>
          <w:spacing w:val="-2"/>
          <w:sz w:val="21"/>
          <w:szCs w:val="21"/>
          <w:highlight w:val="none"/>
        </w:rPr>
        <w:t>的；</w:t>
      </w:r>
    </w:p>
    <w:p w14:paraId="6B882135">
      <w:pPr>
        <w:spacing w:before="115" w:line="250" w:lineRule="auto"/>
        <w:ind w:left="64" w:right="29" w:firstLine="2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（4）在同一项目（或同一标段）</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z w:val="21"/>
          <w:szCs w:val="21"/>
          <w:highlight w:val="none"/>
        </w:rPr>
        <w:t>中有多个投标人有效投标报价接近最高</w:t>
      </w:r>
      <w:r>
        <w:rPr>
          <w:rFonts w:ascii="微软雅黑" w:hAnsi="微软雅黑" w:eastAsia="微软雅黑" w:cs="微软雅黑"/>
          <w:color w:val="auto"/>
          <w:spacing w:val="-1"/>
          <w:sz w:val="21"/>
          <w:szCs w:val="21"/>
          <w:highlight w:val="none"/>
        </w:rPr>
        <w:t>限价，</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且评标委员会认为报价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出现异常的，可以宣布其投标无效；</w:t>
      </w:r>
    </w:p>
    <w:p w14:paraId="30DEA104">
      <w:pPr>
        <w:spacing w:before="187"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（5）报价明显低于其他投标人，且不能证明报价合理性的投标无效；</w:t>
      </w:r>
    </w:p>
    <w:p w14:paraId="10D635E7">
      <w:pPr>
        <w:spacing w:before="193"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（6）拒不确认评标委员会评审修正的投标无效；</w:t>
      </w:r>
    </w:p>
    <w:p w14:paraId="66E9A54D">
      <w:pPr>
        <w:spacing w:before="202"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（7）其它情形，经评标委员会委提出按无效投标处理，并采购办监督部门核</w:t>
      </w:r>
      <w:r>
        <w:rPr>
          <w:rFonts w:ascii="微软雅黑" w:hAnsi="微软雅黑" w:eastAsia="微软雅黑" w:cs="微软雅黑"/>
          <w:color w:val="auto"/>
          <w:spacing w:val="-3"/>
          <w:sz w:val="21"/>
          <w:szCs w:val="21"/>
          <w:highlight w:val="none"/>
        </w:rPr>
        <w:t>准的；</w:t>
      </w:r>
    </w:p>
    <w:p w14:paraId="098886C4">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（8）采购文件规定的其它无效投标情形。</w:t>
      </w:r>
    </w:p>
    <w:p w14:paraId="56AA2682">
      <w:pPr>
        <w:spacing w:line="183" w:lineRule="auto"/>
        <w:rPr>
          <w:rFonts w:ascii="微软雅黑" w:hAnsi="微软雅黑" w:eastAsia="微软雅黑" w:cs="微软雅黑"/>
          <w:color w:val="auto"/>
          <w:sz w:val="21"/>
          <w:szCs w:val="21"/>
          <w:highlight w:val="none"/>
        </w:rPr>
        <w:sectPr>
          <w:footerReference r:id="rId72" w:type="default"/>
          <w:pgSz w:w="11906" w:h="16839"/>
          <w:pgMar w:top="1745" w:right="1050" w:bottom="1152" w:left="1050" w:header="850" w:footer="992" w:gutter="0"/>
          <w:cols w:space="720" w:num="1"/>
        </w:sectPr>
      </w:pPr>
    </w:p>
    <w:p w14:paraId="3D5CB301">
      <w:pPr>
        <w:pStyle w:val="6"/>
        <w:spacing w:line="447" w:lineRule="auto"/>
        <w:rPr>
          <w:color w:val="auto"/>
          <w:highlight w:val="none"/>
        </w:rPr>
      </w:pPr>
    </w:p>
    <w:p w14:paraId="58B59C31">
      <w:pPr>
        <w:spacing w:line="884" w:lineRule="exact"/>
        <w:ind w:firstLine="987"/>
        <w:rPr>
          <w:color w:val="auto"/>
          <w:highlight w:val="none"/>
        </w:rPr>
      </w:pPr>
      <w:r>
        <w:rPr>
          <w:color w:val="auto"/>
          <w:highlight w:val="none"/>
        </w:rPr>
        <w:pict>
          <v:shape id="_x0000_s1033" o:spid="_x0000_s1033" style="position:absolute;left:0pt;margin-left:48.2pt;margin-top:44.45pt;height:0.5pt;width:418.5pt;z-index:251668480;mso-width-relative:page;mso-height-relative:page;" filled="f" stroked="t" coordsize="8370,10" path="m0,5l8369,5e">
            <v:fill on="f" focussize="0,0"/>
            <v:stroke weight="0.5pt" color="#FFFFFF" miterlimit="10" joinstyle="miter"/>
            <v:imagedata o:title=""/>
            <o:lock v:ext="edit" aspectratio="f"/>
          </v:shape>
        </w:pict>
      </w:r>
    </w:p>
    <w:p w14:paraId="619471DE">
      <w:pPr>
        <w:spacing w:before="178" w:line="187" w:lineRule="auto"/>
        <w:ind w:left="2593"/>
        <w:rPr>
          <w:rFonts w:ascii="微软雅黑" w:hAnsi="微软雅黑" w:eastAsia="微软雅黑" w:cs="微软雅黑"/>
          <w:color w:val="auto"/>
          <w:sz w:val="32"/>
          <w:szCs w:val="32"/>
          <w:highlight w:val="none"/>
        </w:rPr>
      </w:pPr>
      <w:bookmarkStart w:id="132" w:name="bookmark66"/>
      <w:bookmarkEnd w:id="132"/>
      <w:r>
        <w:rPr>
          <w:rFonts w:ascii="微软雅黑" w:hAnsi="微软雅黑" w:eastAsia="微软雅黑" w:cs="微软雅黑"/>
          <w:b/>
          <w:bCs/>
          <w:color w:val="auto"/>
          <w:spacing w:val="-2"/>
          <w:sz w:val="32"/>
          <w:szCs w:val="32"/>
          <w:highlight w:val="none"/>
        </w:rPr>
        <w:t>第四章</w:t>
      </w:r>
      <w:r>
        <w:rPr>
          <w:rFonts w:ascii="微软雅黑" w:hAnsi="微软雅黑" w:eastAsia="微软雅黑" w:cs="微软雅黑"/>
          <w:b/>
          <w:bCs/>
          <w:color w:val="auto"/>
          <w:spacing w:val="24"/>
          <w:w w:val="101"/>
          <w:sz w:val="32"/>
          <w:szCs w:val="32"/>
          <w:highlight w:val="none"/>
        </w:rPr>
        <w:t xml:space="preserve">   </w:t>
      </w:r>
      <w:r>
        <w:rPr>
          <w:rFonts w:ascii="微软雅黑" w:hAnsi="微软雅黑" w:eastAsia="微软雅黑" w:cs="微软雅黑"/>
          <w:b/>
          <w:bCs/>
          <w:color w:val="auto"/>
          <w:spacing w:val="-2"/>
          <w:sz w:val="32"/>
          <w:szCs w:val="32"/>
          <w:highlight w:val="none"/>
        </w:rPr>
        <w:t>技术规格、数量及质量要求</w:t>
      </w:r>
    </w:p>
    <w:p w14:paraId="3B0BF973">
      <w:pPr>
        <w:spacing w:line="54" w:lineRule="exact"/>
        <w:rPr>
          <w:color w:val="auto"/>
          <w:highlight w:val="none"/>
        </w:rPr>
      </w:pPr>
    </w:p>
    <w:tbl>
      <w:tblPr>
        <w:tblStyle w:val="11"/>
        <w:tblW w:w="91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041"/>
        <w:gridCol w:w="5097"/>
        <w:gridCol w:w="1007"/>
        <w:gridCol w:w="544"/>
        <w:gridCol w:w="834"/>
      </w:tblGrid>
      <w:tr w14:paraId="7FD9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634" w:type="dxa"/>
            <w:vAlign w:val="top"/>
          </w:tcPr>
          <w:p w14:paraId="7CAD104E">
            <w:pPr>
              <w:pStyle w:val="12"/>
              <w:spacing w:before="137" w:line="188" w:lineRule="auto"/>
              <w:ind w:left="145"/>
              <w:rPr>
                <w:rFonts w:hint="eastAsia" w:ascii="宋体" w:hAnsi="宋体" w:eastAsia="宋体" w:cs="宋体"/>
                <w:color w:val="auto"/>
                <w:sz w:val="21"/>
                <w:szCs w:val="21"/>
                <w:highlight w:val="none"/>
              </w:rPr>
            </w:pPr>
            <w:r>
              <w:rPr>
                <w:rFonts w:hint="eastAsia" w:ascii="宋体" w:hAnsi="宋体" w:eastAsia="宋体" w:cs="宋体"/>
                <w:color w:val="auto"/>
                <w:spacing w:val="-5"/>
                <w:w w:val="99"/>
                <w:sz w:val="21"/>
                <w:szCs w:val="21"/>
                <w:highlight w:val="none"/>
              </w:rPr>
              <w:t>序号</w:t>
            </w:r>
          </w:p>
        </w:tc>
        <w:tc>
          <w:tcPr>
            <w:tcW w:w="1041" w:type="dxa"/>
            <w:vAlign w:val="top"/>
          </w:tcPr>
          <w:p w14:paraId="05081544">
            <w:pPr>
              <w:pStyle w:val="12"/>
              <w:spacing w:before="137" w:line="188" w:lineRule="auto"/>
              <w:ind w:left="377"/>
              <w:rPr>
                <w:rFonts w:hint="eastAsia" w:ascii="宋体" w:hAnsi="宋体" w:eastAsia="宋体" w:cs="宋体"/>
                <w:color w:val="auto"/>
                <w:sz w:val="21"/>
                <w:szCs w:val="21"/>
                <w:highlight w:val="none"/>
              </w:rPr>
            </w:pPr>
            <w:r>
              <w:rPr>
                <w:rFonts w:hint="eastAsia" w:ascii="宋体" w:hAnsi="宋体" w:eastAsia="宋体" w:cs="宋体"/>
                <w:color w:val="auto"/>
                <w:spacing w:val="-3"/>
                <w:w w:val="98"/>
                <w:sz w:val="21"/>
                <w:szCs w:val="21"/>
                <w:highlight w:val="none"/>
              </w:rPr>
              <w:t>名称</w:t>
            </w:r>
          </w:p>
        </w:tc>
        <w:tc>
          <w:tcPr>
            <w:tcW w:w="5097" w:type="dxa"/>
            <w:vAlign w:val="top"/>
          </w:tcPr>
          <w:p w14:paraId="4EF3825D">
            <w:pPr>
              <w:pStyle w:val="12"/>
              <w:spacing w:before="136" w:line="188" w:lineRule="auto"/>
              <w:ind w:left="251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技术规格</w:t>
            </w:r>
          </w:p>
        </w:tc>
        <w:tc>
          <w:tcPr>
            <w:tcW w:w="1007" w:type="dxa"/>
            <w:vAlign w:val="top"/>
          </w:tcPr>
          <w:p w14:paraId="29FA696B">
            <w:pPr>
              <w:pStyle w:val="12"/>
              <w:spacing w:before="136" w:line="187" w:lineRule="auto"/>
              <w:ind w:left="337"/>
              <w:rPr>
                <w:rFonts w:hint="eastAsia" w:ascii="宋体" w:hAnsi="宋体" w:eastAsia="宋体" w:cs="宋体"/>
                <w:color w:val="auto"/>
                <w:sz w:val="21"/>
                <w:szCs w:val="21"/>
                <w:highlight w:val="none"/>
              </w:rPr>
            </w:pPr>
            <w:r>
              <w:rPr>
                <w:rFonts w:hint="eastAsia" w:ascii="宋体" w:hAnsi="宋体" w:eastAsia="宋体" w:cs="宋体"/>
                <w:color w:val="auto"/>
                <w:spacing w:val="-3"/>
                <w:w w:val="98"/>
                <w:sz w:val="21"/>
                <w:szCs w:val="21"/>
                <w:highlight w:val="none"/>
              </w:rPr>
              <w:t>数量</w:t>
            </w:r>
          </w:p>
        </w:tc>
        <w:tc>
          <w:tcPr>
            <w:tcW w:w="544" w:type="dxa"/>
            <w:vAlign w:val="top"/>
          </w:tcPr>
          <w:p w14:paraId="5AB290C5">
            <w:pPr>
              <w:pStyle w:val="12"/>
              <w:spacing w:before="136" w:line="189" w:lineRule="auto"/>
              <w:ind w:left="143"/>
              <w:rPr>
                <w:rFonts w:hint="eastAsia" w:ascii="宋体" w:hAnsi="宋体" w:eastAsia="宋体" w:cs="宋体"/>
                <w:color w:val="auto"/>
                <w:sz w:val="21"/>
                <w:szCs w:val="21"/>
                <w:highlight w:val="none"/>
              </w:rPr>
            </w:pPr>
            <w:r>
              <w:rPr>
                <w:rFonts w:hint="eastAsia" w:ascii="宋体" w:hAnsi="宋体" w:eastAsia="宋体" w:cs="宋体"/>
                <w:color w:val="auto"/>
                <w:spacing w:val="-7"/>
                <w:w w:val="99"/>
                <w:sz w:val="21"/>
                <w:szCs w:val="21"/>
                <w:highlight w:val="none"/>
              </w:rPr>
              <w:t>单位</w:t>
            </w:r>
          </w:p>
        </w:tc>
        <w:tc>
          <w:tcPr>
            <w:tcW w:w="834" w:type="dxa"/>
            <w:vAlign w:val="top"/>
          </w:tcPr>
          <w:p w14:paraId="50271115">
            <w:pPr>
              <w:pStyle w:val="12"/>
              <w:spacing w:before="136" w:line="190" w:lineRule="auto"/>
              <w:ind w:left="130"/>
              <w:rPr>
                <w:rFonts w:hint="eastAsia" w:ascii="宋体" w:hAnsi="宋体" w:eastAsia="宋体" w:cs="宋体"/>
                <w:color w:val="auto"/>
                <w:sz w:val="21"/>
                <w:szCs w:val="21"/>
                <w:highlight w:val="none"/>
              </w:rPr>
            </w:pPr>
            <w:r>
              <w:rPr>
                <w:rFonts w:hint="eastAsia" w:ascii="宋体" w:hAnsi="宋体" w:eastAsia="宋体" w:cs="宋体"/>
                <w:color w:val="auto"/>
                <w:spacing w:val="-2"/>
                <w:w w:val="97"/>
                <w:sz w:val="21"/>
                <w:szCs w:val="21"/>
                <w:highlight w:val="none"/>
              </w:rPr>
              <w:t>备注</w:t>
            </w:r>
          </w:p>
        </w:tc>
      </w:tr>
      <w:tr w14:paraId="22997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634" w:type="dxa"/>
            <w:vAlign w:val="center"/>
          </w:tcPr>
          <w:p w14:paraId="58984175">
            <w:pPr>
              <w:pStyle w:val="12"/>
              <w:spacing w:before="137" w:line="188" w:lineRule="auto"/>
              <w:ind w:left="145"/>
              <w:jc w:val="center"/>
              <w:rPr>
                <w:rFonts w:hint="eastAsia" w:ascii="宋体" w:hAnsi="宋体" w:eastAsia="宋体" w:cs="宋体"/>
                <w:color w:val="auto"/>
                <w:spacing w:val="-5"/>
                <w:w w:val="99"/>
                <w:sz w:val="21"/>
                <w:szCs w:val="21"/>
                <w:highlight w:val="none"/>
                <w:lang w:val="en-US" w:eastAsia="zh-CN"/>
              </w:rPr>
            </w:pPr>
            <w:r>
              <w:rPr>
                <w:rFonts w:hint="eastAsia" w:ascii="宋体" w:hAnsi="宋体" w:eastAsia="宋体" w:cs="宋体"/>
                <w:color w:val="auto"/>
                <w:spacing w:val="-5"/>
                <w:w w:val="99"/>
                <w:sz w:val="21"/>
                <w:szCs w:val="21"/>
                <w:highlight w:val="none"/>
                <w:lang w:val="en-US" w:eastAsia="zh-CN"/>
              </w:rPr>
              <w:t>1</w:t>
            </w:r>
          </w:p>
        </w:tc>
        <w:tc>
          <w:tcPr>
            <w:tcW w:w="1041" w:type="dxa"/>
            <w:vAlign w:val="center"/>
          </w:tcPr>
          <w:p w14:paraId="5F26560D">
            <w:pPr>
              <w:pStyle w:val="12"/>
              <w:spacing w:before="137" w:line="188" w:lineRule="auto"/>
              <w:jc w:val="center"/>
              <w:rPr>
                <w:rFonts w:hint="eastAsia" w:ascii="宋体" w:hAnsi="宋体" w:eastAsia="宋体" w:cs="宋体"/>
                <w:color w:val="auto"/>
                <w:spacing w:val="-3"/>
                <w:w w:val="98"/>
                <w:sz w:val="21"/>
                <w:szCs w:val="21"/>
                <w:highlight w:val="none"/>
              </w:rPr>
            </w:pPr>
            <w:r>
              <w:rPr>
                <w:rFonts w:hint="eastAsia" w:ascii="宋体" w:hAnsi="宋体" w:eastAsia="宋体" w:cs="宋体"/>
                <w:color w:val="auto"/>
                <w:spacing w:val="-3"/>
                <w:w w:val="98"/>
                <w:sz w:val="21"/>
                <w:szCs w:val="21"/>
                <w:highlight w:val="none"/>
                <w:lang w:val="en-US" w:eastAsia="zh-CN"/>
              </w:rPr>
              <w:t>草地围栏</w:t>
            </w:r>
          </w:p>
        </w:tc>
        <w:tc>
          <w:tcPr>
            <w:tcW w:w="7482" w:type="dxa"/>
            <w:gridSpan w:val="4"/>
            <w:vAlign w:val="top"/>
          </w:tcPr>
          <w:p w14:paraId="754CE4E3">
            <w:pPr>
              <w:pStyle w:val="12"/>
              <w:spacing w:before="136" w:line="190" w:lineRule="auto"/>
              <w:ind w:left="130"/>
              <w:jc w:val="center"/>
              <w:rPr>
                <w:rFonts w:hint="eastAsia" w:ascii="宋体" w:hAnsi="宋体" w:eastAsia="宋体" w:cs="宋体"/>
                <w:color w:val="auto"/>
                <w:spacing w:val="-2"/>
                <w:w w:val="97"/>
                <w:sz w:val="21"/>
                <w:szCs w:val="21"/>
                <w:highlight w:val="none"/>
              </w:rPr>
            </w:pP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角钢立柱刺丝</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水平</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5</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道，交叉</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2</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道</w:t>
            </w:r>
          </w:p>
        </w:tc>
      </w:tr>
      <w:tr w14:paraId="2BDA6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atLeast"/>
        </w:trPr>
        <w:tc>
          <w:tcPr>
            <w:tcW w:w="634" w:type="dxa"/>
            <w:vAlign w:val="center"/>
          </w:tcPr>
          <w:p w14:paraId="559FAB85">
            <w:pPr>
              <w:pStyle w:val="12"/>
              <w:spacing w:before="251"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1.1</w:t>
            </w:r>
          </w:p>
        </w:tc>
        <w:tc>
          <w:tcPr>
            <w:tcW w:w="1041" w:type="dxa"/>
            <w:vAlign w:val="center"/>
          </w:tcPr>
          <w:p w14:paraId="51A5F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刺铁丝</w:t>
            </w:r>
          </w:p>
        </w:tc>
        <w:tc>
          <w:tcPr>
            <w:tcW w:w="5097" w:type="dxa"/>
            <w:vAlign w:val="top"/>
          </w:tcPr>
          <w:p w14:paraId="665D181E">
            <w:pPr>
              <w:widowControl/>
              <w:kinsoku w:val="0"/>
              <w:autoSpaceDE w:val="0"/>
              <w:autoSpaceDN w:val="0"/>
              <w:adjustRightInd w:val="0"/>
              <w:snapToGrid w:val="0"/>
              <w:spacing w:line="240" w:lineRule="auto"/>
              <w:ind w:firstLine="0" w:firstLineChars="0"/>
              <w:jc w:val="left"/>
              <w:textAlignment w:val="baseline"/>
              <w:rPr>
                <w:rFonts w:hint="default" w:ascii="Arial" w:hAnsi="Arial" w:eastAsia="Arial" w:cs="Arial"/>
                <w:snapToGrid w:val="0"/>
                <w:color w:val="auto"/>
                <w:kern w:val="0"/>
                <w:sz w:val="21"/>
                <w:szCs w:val="21"/>
                <w:highlight w:val="none"/>
                <w:lang w:val="en-US" w:eastAsia="zh-CN" w:bidi="ar-SA"/>
              </w:rPr>
            </w:pPr>
            <w:r>
              <w:rPr>
                <w:rFonts w:hint="default" w:ascii="Arial" w:hAnsi="Arial" w:eastAsia="Arial" w:cs="Arial"/>
                <w:snapToGrid w:val="0"/>
                <w:color w:val="auto"/>
                <w:kern w:val="0"/>
                <w:sz w:val="21"/>
                <w:szCs w:val="21"/>
                <w:highlight w:val="none"/>
                <w:lang w:val="en-US" w:eastAsia="zh-CN" w:bidi="ar-SA"/>
              </w:rPr>
              <w:t>铁线主丝（股线）和刺丝分别为Ф2.8和Ф2.2低碳热镀锌钢丝，镀锌层重量不少于80g/m，抗拉强度350-660Mpa。2根主丝转数为7-8转/m，刺线头数4个，每米刺数10个，刺长15mm；丝线重量为1kg/6.7m左右。纬线顶部和底端2道为φ2.8mm中碳镀锌钢丝，抗拉强度为≥900MPa；中间</w:t>
            </w:r>
            <w:r>
              <w:rPr>
                <w:rFonts w:hint="eastAsia" w:ascii="Arial" w:hAnsi="Arial" w:eastAsia="Arial" w:cs="Arial"/>
                <w:snapToGrid w:val="0"/>
                <w:color w:val="auto"/>
                <w:kern w:val="0"/>
                <w:sz w:val="21"/>
                <w:szCs w:val="21"/>
                <w:highlight w:val="none"/>
                <w:lang w:val="en-US" w:eastAsia="zh-CN" w:bidi="ar-SA"/>
              </w:rPr>
              <w:t>6</w:t>
            </w:r>
            <w:r>
              <w:rPr>
                <w:rFonts w:hint="default" w:ascii="Arial" w:hAnsi="Arial" w:eastAsia="Arial" w:cs="Arial"/>
                <w:snapToGrid w:val="0"/>
                <w:color w:val="auto"/>
                <w:kern w:val="0"/>
                <w:sz w:val="21"/>
                <w:szCs w:val="21"/>
                <w:highlight w:val="none"/>
                <w:lang w:val="en-US" w:eastAsia="zh-CN" w:bidi="ar-SA"/>
              </w:rPr>
              <w:t>道为φ2.5mm中碳镀锌钢丝，抗拉强度为≥900MPa。</w:t>
            </w:r>
          </w:p>
          <w:p w14:paraId="7C164995">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p>
        </w:tc>
        <w:tc>
          <w:tcPr>
            <w:tcW w:w="1007" w:type="dxa"/>
            <w:vAlign w:val="center"/>
          </w:tcPr>
          <w:p w14:paraId="1A94F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1780168</w:t>
            </w:r>
          </w:p>
        </w:tc>
        <w:tc>
          <w:tcPr>
            <w:tcW w:w="544" w:type="dxa"/>
            <w:vAlign w:val="center"/>
          </w:tcPr>
          <w:p w14:paraId="06930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34" w:type="dxa"/>
            <w:shd w:val="clear" w:color="auto" w:fill="auto"/>
            <w:vAlign w:val="center"/>
          </w:tcPr>
          <w:p w14:paraId="1D256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18A4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54FCC516">
            <w:pPr>
              <w:pStyle w:val="12"/>
              <w:spacing w:before="252"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1.2</w:t>
            </w:r>
          </w:p>
        </w:tc>
        <w:tc>
          <w:tcPr>
            <w:tcW w:w="1041" w:type="dxa"/>
            <w:vAlign w:val="center"/>
          </w:tcPr>
          <w:p w14:paraId="1547A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挂线柱</w:t>
            </w:r>
          </w:p>
        </w:tc>
        <w:tc>
          <w:tcPr>
            <w:tcW w:w="5097" w:type="dxa"/>
            <w:vAlign w:val="top"/>
          </w:tcPr>
          <w:p w14:paraId="6E77D620">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角钢∠40x4mm，长2m，热轧等边角钢</w:t>
            </w:r>
          </w:p>
        </w:tc>
        <w:tc>
          <w:tcPr>
            <w:tcW w:w="1007" w:type="dxa"/>
            <w:vAlign w:val="center"/>
          </w:tcPr>
          <w:p w14:paraId="76AC1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44504</w:t>
            </w:r>
          </w:p>
        </w:tc>
        <w:tc>
          <w:tcPr>
            <w:tcW w:w="544" w:type="dxa"/>
            <w:vAlign w:val="center"/>
          </w:tcPr>
          <w:p w14:paraId="69717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66647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09E12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334F4898">
            <w:pPr>
              <w:pStyle w:val="12"/>
              <w:spacing w:before="253"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1.3</w:t>
            </w:r>
          </w:p>
        </w:tc>
        <w:tc>
          <w:tcPr>
            <w:tcW w:w="1041" w:type="dxa"/>
            <w:vAlign w:val="center"/>
          </w:tcPr>
          <w:p w14:paraId="08123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加强柱</w:t>
            </w:r>
          </w:p>
        </w:tc>
        <w:tc>
          <w:tcPr>
            <w:tcW w:w="5097" w:type="dxa"/>
            <w:vAlign w:val="top"/>
          </w:tcPr>
          <w:p w14:paraId="13012428">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角钢∠63x6mm，长2m，热轧等边角钢，加强</w:t>
            </w:r>
            <w:r>
              <w:rPr>
                <w:rFonts w:hint="eastAsia" w:ascii="Arial" w:hAnsi="Arial" w:eastAsia="Arial" w:cs="Arial"/>
                <w:snapToGrid w:val="0"/>
                <w:color w:val="auto"/>
                <w:kern w:val="0"/>
                <w:sz w:val="21"/>
                <w:szCs w:val="21"/>
                <w:highlight w:val="none"/>
                <w:lang w:val="en-US" w:eastAsia="zh-CN" w:bidi="ar-SA"/>
              </w:rPr>
              <w:t>柱</w:t>
            </w:r>
            <w:r>
              <w:rPr>
                <w:rFonts w:hint="eastAsia" w:ascii="Arial" w:hAnsi="Arial" w:eastAsia="Arial" w:cs="Arial"/>
                <w:snapToGrid w:val="0"/>
                <w:color w:val="auto"/>
                <w:kern w:val="0"/>
                <w:sz w:val="21"/>
                <w:szCs w:val="21"/>
                <w:highlight w:val="none"/>
                <w:lang w:val="en-US" w:eastAsia="en-US" w:bidi="ar-SA"/>
              </w:rPr>
              <w:t>和支撑</w:t>
            </w:r>
            <w:r>
              <w:rPr>
                <w:rFonts w:hint="eastAsia" w:ascii="Arial" w:hAnsi="Arial" w:eastAsia="Arial" w:cs="Arial"/>
                <w:snapToGrid w:val="0"/>
                <w:color w:val="auto"/>
                <w:kern w:val="0"/>
                <w:sz w:val="21"/>
                <w:szCs w:val="21"/>
                <w:highlight w:val="none"/>
                <w:lang w:val="en-US" w:eastAsia="zh-CN" w:bidi="ar-SA"/>
              </w:rPr>
              <w:t>柱</w:t>
            </w:r>
            <w:r>
              <w:rPr>
                <w:rFonts w:hint="eastAsia" w:ascii="Arial" w:hAnsi="Arial" w:eastAsia="Arial" w:cs="Arial"/>
                <w:snapToGrid w:val="0"/>
                <w:color w:val="auto"/>
                <w:kern w:val="0"/>
                <w:sz w:val="21"/>
                <w:szCs w:val="21"/>
                <w:highlight w:val="none"/>
                <w:lang w:val="en-US" w:eastAsia="en-US" w:bidi="ar-SA"/>
              </w:rPr>
              <w:t>设置地锚</w:t>
            </w:r>
          </w:p>
        </w:tc>
        <w:tc>
          <w:tcPr>
            <w:tcW w:w="1007" w:type="dxa"/>
            <w:vAlign w:val="center"/>
          </w:tcPr>
          <w:p w14:paraId="65610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2225</w:t>
            </w:r>
          </w:p>
        </w:tc>
        <w:tc>
          <w:tcPr>
            <w:tcW w:w="544" w:type="dxa"/>
            <w:vAlign w:val="center"/>
          </w:tcPr>
          <w:p w14:paraId="6F945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5D53F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1F03F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4" w:type="dxa"/>
            <w:vAlign w:val="center"/>
          </w:tcPr>
          <w:p w14:paraId="7BD9CEA7">
            <w:pPr>
              <w:pStyle w:val="12"/>
              <w:spacing w:before="95" w:line="15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1.4</w:t>
            </w:r>
          </w:p>
        </w:tc>
        <w:tc>
          <w:tcPr>
            <w:tcW w:w="1041" w:type="dxa"/>
            <w:vAlign w:val="center"/>
          </w:tcPr>
          <w:p w14:paraId="4E8CA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支撑柱</w:t>
            </w:r>
          </w:p>
        </w:tc>
        <w:tc>
          <w:tcPr>
            <w:tcW w:w="5097" w:type="dxa"/>
            <w:vAlign w:val="top"/>
          </w:tcPr>
          <w:p w14:paraId="4D341063">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钢管Ф40x3.5mm，长2.5m</w:t>
            </w:r>
          </w:p>
        </w:tc>
        <w:tc>
          <w:tcPr>
            <w:tcW w:w="1007" w:type="dxa"/>
            <w:vAlign w:val="center"/>
          </w:tcPr>
          <w:p w14:paraId="28541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2225</w:t>
            </w:r>
          </w:p>
        </w:tc>
        <w:tc>
          <w:tcPr>
            <w:tcW w:w="544" w:type="dxa"/>
            <w:vAlign w:val="center"/>
          </w:tcPr>
          <w:p w14:paraId="2E09E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077FF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6E222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34" w:type="dxa"/>
            <w:vAlign w:val="center"/>
          </w:tcPr>
          <w:p w14:paraId="075D8044">
            <w:pPr>
              <w:pStyle w:val="12"/>
              <w:spacing w:before="93" w:line="222" w:lineRule="exact"/>
              <w:ind w:left="211"/>
              <w:jc w:val="both"/>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1.5</w:t>
            </w:r>
          </w:p>
        </w:tc>
        <w:tc>
          <w:tcPr>
            <w:tcW w:w="1041" w:type="dxa"/>
            <w:vAlign w:val="center"/>
          </w:tcPr>
          <w:p w14:paraId="4FC1D9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地锚</w:t>
            </w:r>
          </w:p>
        </w:tc>
        <w:tc>
          <w:tcPr>
            <w:tcW w:w="5097" w:type="dxa"/>
            <w:vAlign w:val="top"/>
          </w:tcPr>
          <w:p w14:paraId="096DE779">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∠40mm</w:t>
            </w:r>
            <w:r>
              <w:rPr>
                <w:rFonts w:hint="eastAsia" w:ascii="Arial" w:hAnsi="Arial" w:eastAsia="Arial" w:cs="Arial"/>
                <w:snapToGrid w:val="0"/>
                <w:color w:val="auto"/>
                <w:kern w:val="0"/>
                <w:sz w:val="21"/>
                <w:szCs w:val="21"/>
                <w:highlight w:val="none"/>
                <w:lang w:val="en-US" w:eastAsia="zh-CN" w:bidi="ar-SA"/>
              </w:rPr>
              <w:t>x</w:t>
            </w:r>
            <w:r>
              <w:rPr>
                <w:rFonts w:hint="eastAsia" w:ascii="Arial" w:hAnsi="Arial" w:eastAsia="Arial" w:cs="Arial"/>
                <w:snapToGrid w:val="0"/>
                <w:color w:val="auto"/>
                <w:kern w:val="0"/>
                <w:sz w:val="21"/>
                <w:szCs w:val="21"/>
                <w:highlight w:val="none"/>
                <w:lang w:val="en-US" w:eastAsia="en-US" w:bidi="ar-SA"/>
              </w:rPr>
              <w:t>4mm 热型等边角钢，长700mm，材质为A3钢</w:t>
            </w:r>
            <w:r>
              <w:rPr>
                <w:rFonts w:hint="eastAsia" w:ascii="Arial" w:hAnsi="Arial" w:eastAsia="Arial" w:cs="Arial"/>
                <w:snapToGrid w:val="0"/>
                <w:color w:val="auto"/>
                <w:kern w:val="0"/>
                <w:sz w:val="21"/>
                <w:szCs w:val="21"/>
                <w:highlight w:val="none"/>
                <w:lang w:val="en-US" w:eastAsia="zh-CN" w:bidi="ar-SA"/>
              </w:rPr>
              <w:t>;</w:t>
            </w:r>
            <w:r>
              <w:rPr>
                <w:rFonts w:hint="eastAsia" w:ascii="Arial" w:hAnsi="Arial" w:eastAsia="Arial" w:cs="Arial"/>
                <w:snapToGrid w:val="0"/>
                <w:color w:val="auto"/>
                <w:kern w:val="0"/>
                <w:sz w:val="21"/>
                <w:szCs w:val="21"/>
                <w:highlight w:val="none"/>
                <w:lang w:val="en-US" w:eastAsia="en-US" w:bidi="ar-SA"/>
              </w:rPr>
              <w:t>底端两边均切出 45°角。</w:t>
            </w:r>
          </w:p>
        </w:tc>
        <w:tc>
          <w:tcPr>
            <w:tcW w:w="1007" w:type="dxa"/>
            <w:vAlign w:val="center"/>
          </w:tcPr>
          <w:p w14:paraId="68694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w:t>
            </w:r>
          </w:p>
        </w:tc>
        <w:tc>
          <w:tcPr>
            <w:tcW w:w="544" w:type="dxa"/>
            <w:vAlign w:val="center"/>
          </w:tcPr>
          <w:p w14:paraId="5379B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5D766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17108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47F35EF4">
            <w:pPr>
              <w:pStyle w:val="12"/>
              <w:spacing w:before="256"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1.6</w:t>
            </w:r>
          </w:p>
        </w:tc>
        <w:tc>
          <w:tcPr>
            <w:tcW w:w="1041" w:type="dxa"/>
            <w:vAlign w:val="center"/>
          </w:tcPr>
          <w:p w14:paraId="6FC24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螺栓</w:t>
            </w:r>
          </w:p>
        </w:tc>
        <w:tc>
          <w:tcPr>
            <w:tcW w:w="5097" w:type="dxa"/>
            <w:vAlign w:val="top"/>
          </w:tcPr>
          <w:p w14:paraId="3C3D411F">
            <w:pPr>
              <w:pStyle w:val="12"/>
              <w:spacing w:before="53" w:line="186" w:lineRule="auto"/>
              <w:ind w:right="118" w:rightChars="0"/>
              <w:jc w:val="both"/>
              <w:rPr>
                <w:rFonts w:hint="eastAsia" w:ascii="宋体" w:hAnsi="宋体" w:eastAsia="宋体" w:cs="宋体"/>
                <w:color w:val="auto"/>
                <w:sz w:val="21"/>
                <w:szCs w:val="21"/>
                <w:highlight w:val="none"/>
              </w:rPr>
            </w:pPr>
            <w:bookmarkStart w:id="179" w:name="_GoBack"/>
            <w:bookmarkEnd w:id="179"/>
            <w:r>
              <w:rPr>
                <w:rFonts w:hint="eastAsia" w:ascii="Arial" w:hAnsi="Arial" w:eastAsia="Arial" w:cs="Arial"/>
                <w:snapToGrid w:val="0"/>
                <w:color w:val="auto"/>
                <w:kern w:val="0"/>
                <w:sz w:val="21"/>
                <w:szCs w:val="21"/>
                <w:highlight w:val="none"/>
                <w:lang w:val="en-US" w:eastAsia="en-US" w:bidi="ar-SA"/>
              </w:rPr>
              <w:t>M16x30</w:t>
            </w:r>
          </w:p>
        </w:tc>
        <w:tc>
          <w:tcPr>
            <w:tcW w:w="1007" w:type="dxa"/>
            <w:vAlign w:val="center"/>
          </w:tcPr>
          <w:p w14:paraId="150DB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w:t>
            </w:r>
          </w:p>
        </w:tc>
        <w:tc>
          <w:tcPr>
            <w:tcW w:w="544" w:type="dxa"/>
            <w:vAlign w:val="center"/>
          </w:tcPr>
          <w:p w14:paraId="4CC6B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834" w:type="dxa"/>
            <w:shd w:val="clear" w:color="auto" w:fill="auto"/>
            <w:vAlign w:val="center"/>
          </w:tcPr>
          <w:p w14:paraId="0686B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3D99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4" w:type="dxa"/>
            <w:vAlign w:val="center"/>
          </w:tcPr>
          <w:p w14:paraId="4E8A80E4">
            <w:pPr>
              <w:pStyle w:val="12"/>
              <w:spacing w:before="94" w:line="221" w:lineRule="exact"/>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1.7</w:t>
            </w:r>
          </w:p>
        </w:tc>
        <w:tc>
          <w:tcPr>
            <w:tcW w:w="1041" w:type="dxa"/>
            <w:vAlign w:val="center"/>
          </w:tcPr>
          <w:p w14:paraId="3572B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绑钩</w:t>
            </w:r>
          </w:p>
        </w:tc>
        <w:tc>
          <w:tcPr>
            <w:tcW w:w="5097" w:type="dxa"/>
            <w:vAlign w:val="top"/>
          </w:tcPr>
          <w:p w14:paraId="7BD4BB4E">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eastAsia="en-US"/>
              </w:rPr>
              <w:t>绑钩为Ф2.5mm低碳丝，总长130mm</w:t>
            </w:r>
          </w:p>
        </w:tc>
        <w:tc>
          <w:tcPr>
            <w:tcW w:w="1007" w:type="dxa"/>
            <w:vAlign w:val="center"/>
          </w:tcPr>
          <w:p w14:paraId="2967C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352163</w:t>
            </w:r>
          </w:p>
        </w:tc>
        <w:tc>
          <w:tcPr>
            <w:tcW w:w="544" w:type="dxa"/>
            <w:vAlign w:val="center"/>
          </w:tcPr>
          <w:p w14:paraId="51101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834" w:type="dxa"/>
            <w:shd w:val="clear" w:color="auto" w:fill="auto"/>
            <w:vAlign w:val="center"/>
          </w:tcPr>
          <w:p w14:paraId="08268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D51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34" w:type="dxa"/>
            <w:vAlign w:val="center"/>
          </w:tcPr>
          <w:p w14:paraId="36C4900A">
            <w:pPr>
              <w:pStyle w:val="12"/>
              <w:spacing w:before="257" w:line="15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1.8</w:t>
            </w:r>
          </w:p>
        </w:tc>
        <w:tc>
          <w:tcPr>
            <w:tcW w:w="1041" w:type="dxa"/>
            <w:vAlign w:val="center"/>
          </w:tcPr>
          <w:p w14:paraId="02590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双扇门</w:t>
            </w:r>
          </w:p>
        </w:tc>
        <w:tc>
          <w:tcPr>
            <w:tcW w:w="5097" w:type="dxa"/>
            <w:vAlign w:val="top"/>
          </w:tcPr>
          <w:p w14:paraId="60925B92">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default" w:ascii="Arial" w:hAnsi="Arial" w:eastAsia="Arial" w:cs="Arial"/>
                <w:snapToGrid w:val="0"/>
                <w:color w:val="auto"/>
                <w:kern w:val="0"/>
                <w:sz w:val="21"/>
                <w:szCs w:val="21"/>
                <w:highlight w:val="none"/>
                <w:lang w:val="en-US" w:eastAsia="zh-CN"/>
              </w:rPr>
              <w:t>围栏门包括门柱、门销、门框、门网、门耳、支撑柱和地锚等。门柱采用长2000mm的∠90mm×90mm×8mm热轧等边角钢制成；门框3000mm×1200mm，由40mm钢管焊接；由门框顶端算起，自上而下在150mm和1990mm处焊接2个由25mm无缝钢管做成的60mm长门耳；门网由Ф2.8mm的低碳热度锌钢丝编织，网眼80mm×80mm，要求不扭曲，不变形；门销为M14×140mm钢筋；门耳采用45#无缝钢管；围栏门内框每隔226mm预焊一个由Ф6钢筋制成的U字形挂钩，待门网挂好后，将挂钩敲击合垄焊接在门框上即可；支撑柱为长2500mm的40mm×3.5mm焊接钢管。</w:t>
            </w:r>
          </w:p>
        </w:tc>
        <w:tc>
          <w:tcPr>
            <w:tcW w:w="1007" w:type="dxa"/>
            <w:vAlign w:val="center"/>
          </w:tcPr>
          <w:p w14:paraId="39266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60</w:t>
            </w:r>
          </w:p>
        </w:tc>
        <w:tc>
          <w:tcPr>
            <w:tcW w:w="544" w:type="dxa"/>
            <w:vAlign w:val="center"/>
          </w:tcPr>
          <w:p w14:paraId="2465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834" w:type="dxa"/>
            <w:shd w:val="clear" w:color="auto" w:fill="auto"/>
            <w:vAlign w:val="center"/>
          </w:tcPr>
          <w:p w14:paraId="5C5E0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41A0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vAlign w:val="center"/>
          </w:tcPr>
          <w:p w14:paraId="21E87A83">
            <w:pPr>
              <w:pStyle w:val="12"/>
              <w:spacing w:before="94" w:line="221" w:lineRule="exact"/>
              <w:ind w:left="211"/>
              <w:jc w:val="both"/>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1.9</w:t>
            </w:r>
          </w:p>
        </w:tc>
        <w:tc>
          <w:tcPr>
            <w:tcW w:w="1041" w:type="dxa"/>
            <w:vAlign w:val="center"/>
          </w:tcPr>
          <w:p w14:paraId="71DB7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C25预制砼基础</w:t>
            </w:r>
          </w:p>
        </w:tc>
        <w:tc>
          <w:tcPr>
            <w:tcW w:w="5097" w:type="dxa"/>
            <w:vAlign w:val="top"/>
          </w:tcPr>
          <w:p w14:paraId="60972B0D">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C25预制砼基础</w:t>
            </w:r>
          </w:p>
        </w:tc>
        <w:tc>
          <w:tcPr>
            <w:tcW w:w="1007" w:type="dxa"/>
            <w:vAlign w:val="center"/>
          </w:tcPr>
          <w:p w14:paraId="471DF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440.59</w:t>
            </w:r>
          </w:p>
        </w:tc>
        <w:tc>
          <w:tcPr>
            <w:tcW w:w="544" w:type="dxa"/>
            <w:vAlign w:val="center"/>
          </w:tcPr>
          <w:p w14:paraId="3847E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m³</w:t>
            </w:r>
          </w:p>
        </w:tc>
        <w:tc>
          <w:tcPr>
            <w:tcW w:w="834" w:type="dxa"/>
            <w:shd w:val="clear" w:color="auto" w:fill="auto"/>
            <w:vAlign w:val="center"/>
          </w:tcPr>
          <w:p w14:paraId="6D318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79F76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 w:hRule="atLeast"/>
        </w:trPr>
        <w:tc>
          <w:tcPr>
            <w:tcW w:w="634" w:type="dxa"/>
            <w:vAlign w:val="center"/>
          </w:tcPr>
          <w:p w14:paraId="21C629C9">
            <w:pPr>
              <w:pStyle w:val="12"/>
              <w:spacing w:before="94" w:line="159" w:lineRule="auto"/>
              <w:jc w:val="center"/>
              <w:rPr>
                <w:rFonts w:hint="eastAsia" w:ascii="宋体" w:hAnsi="宋体" w:eastAsia="宋体" w:cs="宋体"/>
                <w:color w:val="auto"/>
                <w:spacing w:val="5"/>
                <w:position w:val="-4"/>
                <w:sz w:val="21"/>
                <w:szCs w:val="21"/>
                <w:highlight w:val="none"/>
              </w:rPr>
            </w:pPr>
            <w:r>
              <w:rPr>
                <w:rFonts w:hint="eastAsia" w:ascii="宋体" w:hAnsi="宋体" w:eastAsia="宋体" w:cs="宋体"/>
                <w:color w:val="auto"/>
                <w:sz w:val="21"/>
                <w:szCs w:val="21"/>
                <w:highlight w:val="none"/>
                <w:lang w:val="en-US" w:eastAsia="zh-CN"/>
              </w:rPr>
              <w:t>2</w:t>
            </w:r>
          </w:p>
        </w:tc>
        <w:tc>
          <w:tcPr>
            <w:tcW w:w="1041" w:type="dxa"/>
            <w:vAlign w:val="center"/>
          </w:tcPr>
          <w:p w14:paraId="344318ED">
            <w:pPr>
              <w:pStyle w:val="12"/>
              <w:spacing w:before="94" w:line="188" w:lineRule="auto"/>
              <w:jc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导视牌</w:t>
            </w:r>
          </w:p>
        </w:tc>
        <w:tc>
          <w:tcPr>
            <w:tcW w:w="7482" w:type="dxa"/>
            <w:gridSpan w:val="4"/>
            <w:vAlign w:val="center"/>
          </w:tcPr>
          <w:p w14:paraId="05EA2002">
            <w:pPr>
              <w:spacing w:line="242" w:lineRule="auto"/>
              <w:jc w:val="center"/>
              <w:rPr>
                <w:rFonts w:hint="eastAsia" w:ascii="宋体" w:hAnsi="宋体" w:eastAsia="宋体" w:cs="宋体"/>
                <w:color w:val="auto"/>
                <w:sz w:val="21"/>
                <w:szCs w:val="21"/>
                <w:highlight w:val="none"/>
              </w:rPr>
            </w:pPr>
          </w:p>
          <w:p w14:paraId="4944C401">
            <w:pPr>
              <w:jc w:val="center"/>
              <w:rPr>
                <w:rFonts w:hint="eastAsia" w:ascii="宋体" w:hAnsi="宋体" w:eastAsia="宋体" w:cs="宋体"/>
                <w:color w:val="auto"/>
                <w:sz w:val="21"/>
                <w:szCs w:val="21"/>
                <w:highlight w:val="none"/>
              </w:rPr>
            </w:pPr>
          </w:p>
        </w:tc>
      </w:tr>
      <w:tr w14:paraId="03124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444E8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1041" w:type="dxa"/>
            <w:shd w:val="clear" w:color="auto" w:fill="auto"/>
            <w:vAlign w:val="center"/>
          </w:tcPr>
          <w:p w14:paraId="2B5C3F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禁牧宣传牌</w:t>
            </w:r>
          </w:p>
        </w:tc>
        <w:tc>
          <w:tcPr>
            <w:tcW w:w="5097" w:type="dxa"/>
            <w:vAlign w:val="top"/>
          </w:tcPr>
          <w:p w14:paraId="18CD5F01">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尺寸:2mx3m，面板为3mm钢板，2根立柱为D60钢管壁厚5mm长度 3.7m</w:t>
            </w:r>
          </w:p>
        </w:tc>
        <w:tc>
          <w:tcPr>
            <w:tcW w:w="1007" w:type="dxa"/>
            <w:shd w:val="clear" w:color="auto" w:fill="auto"/>
            <w:vAlign w:val="center"/>
          </w:tcPr>
          <w:p w14:paraId="5B951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544" w:type="dxa"/>
            <w:shd w:val="clear" w:color="auto" w:fill="auto"/>
            <w:vAlign w:val="center"/>
          </w:tcPr>
          <w:p w14:paraId="74B18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4155D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2×3m</w:t>
            </w:r>
          </w:p>
        </w:tc>
      </w:tr>
      <w:tr w14:paraId="0D8F3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3062A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1041" w:type="dxa"/>
            <w:shd w:val="clear" w:color="auto" w:fill="auto"/>
            <w:vAlign w:val="center"/>
          </w:tcPr>
          <w:p w14:paraId="54308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标识牌</w:t>
            </w:r>
          </w:p>
        </w:tc>
        <w:tc>
          <w:tcPr>
            <w:tcW w:w="5097" w:type="dxa"/>
            <w:vAlign w:val="top"/>
          </w:tcPr>
          <w:p w14:paraId="1347F42B">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尺寸:1.2mx2m，面板为3mm钢板，2根立柱为D60钢管壁厚 5mm 长度 3m</w:t>
            </w:r>
          </w:p>
        </w:tc>
        <w:tc>
          <w:tcPr>
            <w:tcW w:w="1007" w:type="dxa"/>
            <w:shd w:val="clear" w:color="auto" w:fill="auto"/>
            <w:vAlign w:val="center"/>
          </w:tcPr>
          <w:p w14:paraId="7719E2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544" w:type="dxa"/>
            <w:shd w:val="clear" w:color="auto" w:fill="auto"/>
            <w:vAlign w:val="center"/>
          </w:tcPr>
          <w:p w14:paraId="25801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6DD35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1.2×2m</w:t>
            </w:r>
          </w:p>
        </w:tc>
      </w:tr>
      <w:tr w14:paraId="4430B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669CE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1041" w:type="dxa"/>
            <w:shd w:val="clear" w:color="auto" w:fill="auto"/>
            <w:vAlign w:val="center"/>
          </w:tcPr>
          <w:p w14:paraId="28C0B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制度牌</w:t>
            </w:r>
          </w:p>
        </w:tc>
        <w:tc>
          <w:tcPr>
            <w:tcW w:w="5097" w:type="dxa"/>
            <w:vAlign w:val="top"/>
          </w:tcPr>
          <w:p w14:paraId="5A2A333F">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尺寸:0.8mx1.0m，面板为 3mm钢板，2 根立柱为D60钢管壁厚5mm 长度2.5m</w:t>
            </w:r>
          </w:p>
        </w:tc>
        <w:tc>
          <w:tcPr>
            <w:tcW w:w="1007" w:type="dxa"/>
            <w:shd w:val="clear" w:color="auto" w:fill="auto"/>
            <w:vAlign w:val="center"/>
          </w:tcPr>
          <w:p w14:paraId="6683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544" w:type="dxa"/>
            <w:shd w:val="clear" w:color="auto" w:fill="auto"/>
            <w:vAlign w:val="center"/>
          </w:tcPr>
          <w:p w14:paraId="790DD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7F6FD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0.8×1m</w:t>
            </w:r>
          </w:p>
        </w:tc>
      </w:tr>
      <w:tr w14:paraId="77A98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157" w:type="dxa"/>
            <w:gridSpan w:val="6"/>
            <w:vAlign w:val="top"/>
          </w:tcPr>
          <w:p w14:paraId="7004F3F9">
            <w:pPr>
              <w:pStyle w:val="12"/>
              <w:spacing w:before="60" w:line="205" w:lineRule="auto"/>
              <w:ind w:left="118" w:right="30"/>
              <w:jc w:val="both"/>
              <w:rPr>
                <w:rFonts w:hint="eastAsia" w:eastAsia="微软雅黑"/>
                <w:color w:val="auto"/>
                <w:sz w:val="22"/>
                <w:szCs w:val="22"/>
                <w:highlight w:val="none"/>
                <w:lang w:eastAsia="zh-CN"/>
              </w:rPr>
            </w:pPr>
            <w:r>
              <w:rPr>
                <w:color w:val="auto"/>
                <w:spacing w:val="-2"/>
                <w:sz w:val="22"/>
                <w:szCs w:val="22"/>
                <w:highlight w:val="none"/>
              </w:rPr>
              <w:t>备注：</w:t>
            </w:r>
            <w:r>
              <w:rPr>
                <w:rFonts w:hint="eastAsia"/>
                <w:color w:val="auto"/>
                <w:spacing w:val="-2"/>
                <w:sz w:val="22"/>
                <w:szCs w:val="22"/>
                <w:highlight w:val="none"/>
                <w:lang w:eastAsia="zh-CN"/>
              </w:rPr>
              <w:t>（</w:t>
            </w:r>
            <w:r>
              <w:rPr>
                <w:rFonts w:hint="eastAsia"/>
                <w:color w:val="auto"/>
                <w:spacing w:val="-2"/>
                <w:sz w:val="22"/>
                <w:szCs w:val="22"/>
                <w:highlight w:val="none"/>
                <w:lang w:val="en-US" w:eastAsia="zh-CN"/>
              </w:rPr>
              <w:t>1</w:t>
            </w:r>
            <w:r>
              <w:rPr>
                <w:rFonts w:hint="eastAsia"/>
                <w:color w:val="auto"/>
                <w:spacing w:val="-2"/>
                <w:sz w:val="22"/>
                <w:szCs w:val="22"/>
                <w:highlight w:val="none"/>
                <w:lang w:eastAsia="zh-CN"/>
              </w:rPr>
              <w:t>）</w:t>
            </w:r>
            <w:r>
              <w:rPr>
                <w:color w:val="auto"/>
                <w:spacing w:val="-2"/>
                <w:sz w:val="22"/>
                <w:szCs w:val="22"/>
                <w:highlight w:val="none"/>
              </w:rPr>
              <w:t>项目区域实施面积27.924万亩，位于托云乡托云村、库瓦特村、波斯坦铁列克乡乔尔波村、依买克村、膘尔托阔依乡膘尔托阔依村等</w:t>
            </w:r>
            <w:r>
              <w:rPr>
                <w:rFonts w:hint="eastAsia"/>
                <w:color w:val="auto"/>
                <w:spacing w:val="-2"/>
                <w:sz w:val="22"/>
                <w:szCs w:val="22"/>
                <w:highlight w:val="none"/>
                <w:lang w:eastAsia="zh-CN"/>
              </w:rPr>
              <w:t>。</w:t>
            </w:r>
          </w:p>
          <w:p w14:paraId="3F7F2BDA">
            <w:pPr>
              <w:pStyle w:val="12"/>
              <w:spacing w:before="6" w:line="183" w:lineRule="auto"/>
              <w:ind w:left="149"/>
              <w:rPr>
                <w:color w:val="auto"/>
                <w:sz w:val="22"/>
                <w:szCs w:val="22"/>
                <w:highlight w:val="none"/>
              </w:rPr>
            </w:pPr>
            <w:r>
              <w:rPr>
                <w:color w:val="auto"/>
                <w:spacing w:val="3"/>
                <w:sz w:val="22"/>
                <w:szCs w:val="22"/>
                <w:highlight w:val="none"/>
              </w:rPr>
              <w:t>(2)本次采购项目所含采购费、运输费、安装等关于此项目的所有费用。</w:t>
            </w:r>
          </w:p>
          <w:p w14:paraId="1268F649">
            <w:pPr>
              <w:pStyle w:val="12"/>
              <w:spacing w:before="36" w:line="186" w:lineRule="auto"/>
              <w:ind w:left="115" w:right="105" w:firstLine="2"/>
              <w:rPr>
                <w:color w:val="auto"/>
                <w:sz w:val="22"/>
                <w:szCs w:val="22"/>
                <w:highlight w:val="none"/>
              </w:rPr>
            </w:pPr>
            <w:r>
              <w:rPr>
                <w:color w:val="auto"/>
                <w:sz w:val="22"/>
                <w:szCs w:val="22"/>
                <w:highlight w:val="none"/>
              </w:rPr>
              <w:t>（3）本项目自签订合同之日起所有设施设备均管护 5 年（含</w:t>
            </w:r>
            <w:r>
              <w:rPr>
                <w:color w:val="auto"/>
                <w:spacing w:val="-1"/>
                <w:sz w:val="22"/>
                <w:szCs w:val="22"/>
                <w:highlight w:val="none"/>
              </w:rPr>
              <w:t>建设期</w:t>
            </w:r>
            <w:r>
              <w:rPr>
                <w:color w:val="auto"/>
                <w:spacing w:val="-21"/>
                <w:sz w:val="22"/>
                <w:szCs w:val="22"/>
                <w:highlight w:val="none"/>
              </w:rPr>
              <w:t>），</w:t>
            </w:r>
            <w:r>
              <w:rPr>
                <w:color w:val="auto"/>
                <w:spacing w:val="-32"/>
                <w:sz w:val="22"/>
                <w:szCs w:val="22"/>
                <w:highlight w:val="none"/>
              </w:rPr>
              <w:t xml:space="preserve"> </w:t>
            </w:r>
            <w:r>
              <w:rPr>
                <w:color w:val="auto"/>
                <w:spacing w:val="-1"/>
                <w:sz w:val="22"/>
                <w:szCs w:val="22"/>
                <w:highlight w:val="none"/>
              </w:rPr>
              <w:t>管护期内如有损坏设施设备等均</w:t>
            </w:r>
            <w:r>
              <w:rPr>
                <w:color w:val="auto"/>
                <w:spacing w:val="1"/>
                <w:sz w:val="22"/>
                <w:szCs w:val="22"/>
                <w:highlight w:val="none"/>
              </w:rPr>
              <w:t>有中标方承担并及时更换维修。</w:t>
            </w:r>
          </w:p>
        </w:tc>
      </w:tr>
    </w:tbl>
    <w:p w14:paraId="7B9A9802">
      <w:pPr>
        <w:spacing w:before="120" w:line="184" w:lineRule="auto"/>
        <w:ind w:left="8475"/>
        <w:rPr>
          <w:rFonts w:ascii="宋体" w:hAnsi="宋体" w:eastAsia="宋体" w:cs="宋体"/>
          <w:color w:val="auto"/>
          <w:sz w:val="16"/>
          <w:szCs w:val="16"/>
          <w:highlight w:val="none"/>
        </w:rPr>
        <w:sectPr>
          <w:headerReference r:id="rId73" w:type="default"/>
          <w:footerReference r:id="rId74" w:type="default"/>
          <w:pgSz w:w="11905" w:h="16839"/>
          <w:pgMar w:top="400" w:right="809" w:bottom="400" w:left="809" w:header="0" w:footer="0" w:gutter="0"/>
          <w:cols w:space="720" w:num="1"/>
        </w:sectPr>
      </w:pPr>
    </w:p>
    <w:p w14:paraId="7C6DD042">
      <w:pPr>
        <w:pStyle w:val="7"/>
        <w:spacing w:line="720" w:lineRule="auto"/>
        <w:ind w:left="0" w:leftChars="0" w:firstLine="0" w:firstLineChars="0"/>
        <w:jc w:val="center"/>
        <w:rPr>
          <w:color w:val="auto"/>
          <w:highlight w:val="none"/>
        </w:rPr>
      </w:pPr>
      <w:bookmarkStart w:id="133" w:name="bookmark68"/>
      <w:bookmarkEnd w:id="133"/>
      <w:bookmarkStart w:id="134" w:name="bookmark67"/>
      <w:bookmarkEnd w:id="134"/>
      <w:r>
        <w:rPr>
          <w:rFonts w:ascii="微软雅黑" w:hAnsi="微软雅黑" w:eastAsia="微软雅黑" w:cs="微软雅黑"/>
          <w:b/>
          <w:bCs/>
          <w:color w:val="auto"/>
          <w:spacing w:val="-4"/>
          <w:sz w:val="28"/>
          <w:szCs w:val="28"/>
          <w:highlight w:val="none"/>
        </w:rPr>
        <w:t>设计图</w:t>
      </w:r>
      <w:r>
        <w:rPr>
          <w:color w:val="auto"/>
          <w:highlight w:val="none"/>
        </w:rPr>
        <w:drawing>
          <wp:inline distT="0" distB="0" distL="114300" distR="114300">
            <wp:extent cx="7457440" cy="5327015"/>
            <wp:effectExtent l="0" t="0" r="698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8"/>
                    <a:stretch>
                      <a:fillRect/>
                    </a:stretch>
                  </pic:blipFill>
                  <pic:spPr>
                    <a:xfrm rot="16200000">
                      <a:off x="0" y="0"/>
                      <a:ext cx="7457440" cy="5327015"/>
                    </a:xfrm>
                    <a:prstGeom prst="rect">
                      <a:avLst/>
                    </a:prstGeom>
                    <a:noFill/>
                    <a:ln>
                      <a:noFill/>
                    </a:ln>
                  </pic:spPr>
                </pic:pic>
              </a:graphicData>
            </a:graphic>
          </wp:inline>
        </w:drawing>
      </w:r>
    </w:p>
    <w:p w14:paraId="398E39FA">
      <w:pPr>
        <w:pStyle w:val="7"/>
        <w:spacing w:line="720" w:lineRule="auto"/>
        <w:ind w:left="0" w:leftChars="0" w:firstLine="0" w:firstLineChars="0"/>
        <w:rPr>
          <w:color w:val="auto"/>
          <w:highlight w:val="none"/>
        </w:rPr>
      </w:pPr>
      <w:r>
        <w:rPr>
          <w:color w:val="auto"/>
          <w:highlight w:val="none"/>
        </w:rPr>
        <w:drawing>
          <wp:inline distT="0" distB="0" distL="114300" distR="114300">
            <wp:extent cx="8531860" cy="6061075"/>
            <wp:effectExtent l="0" t="0" r="444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9"/>
                    <a:stretch>
                      <a:fillRect/>
                    </a:stretch>
                  </pic:blipFill>
                  <pic:spPr>
                    <a:xfrm rot="16200000">
                      <a:off x="0" y="0"/>
                      <a:ext cx="8531860" cy="6061075"/>
                    </a:xfrm>
                    <a:prstGeom prst="rect">
                      <a:avLst/>
                    </a:prstGeom>
                    <a:noFill/>
                    <a:ln>
                      <a:noFill/>
                    </a:ln>
                  </pic:spPr>
                </pic:pic>
              </a:graphicData>
            </a:graphic>
          </wp:inline>
        </w:drawing>
      </w:r>
      <w:r>
        <w:rPr>
          <w:color w:val="auto"/>
          <w:highlight w:val="none"/>
        </w:rPr>
        <w:br w:type="page"/>
      </w:r>
      <w:r>
        <w:rPr>
          <w:color w:val="auto"/>
          <w:highlight w:val="none"/>
        </w:rPr>
        <w:drawing>
          <wp:inline distT="0" distB="0" distL="114300" distR="114300">
            <wp:extent cx="8528050" cy="6006465"/>
            <wp:effectExtent l="0" t="0" r="1333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0"/>
                    <a:stretch>
                      <a:fillRect/>
                    </a:stretch>
                  </pic:blipFill>
                  <pic:spPr>
                    <a:xfrm rot="16200000">
                      <a:off x="0" y="0"/>
                      <a:ext cx="8528050" cy="6006465"/>
                    </a:xfrm>
                    <a:prstGeom prst="rect">
                      <a:avLst/>
                    </a:prstGeom>
                    <a:noFill/>
                    <a:ln>
                      <a:noFill/>
                    </a:ln>
                  </pic:spPr>
                </pic:pic>
              </a:graphicData>
            </a:graphic>
          </wp:inline>
        </w:drawing>
      </w:r>
    </w:p>
    <w:p w14:paraId="2966D874">
      <w:pPr>
        <w:pStyle w:val="7"/>
        <w:spacing w:line="720" w:lineRule="auto"/>
        <w:ind w:left="0" w:leftChars="0" w:firstLine="0" w:firstLineChars="0"/>
        <w:rPr>
          <w:rFonts w:hint="eastAsia" w:ascii="Times New Roman" w:hAnsi="Times New Roman" w:eastAsia="宋体" w:cs="Times New Roman"/>
          <w:color w:val="auto"/>
          <w:sz w:val="21"/>
          <w:szCs w:val="21"/>
          <w:highlight w:val="none"/>
        </w:rPr>
        <w:sectPr>
          <w:pgSz w:w="11907" w:h="16840"/>
          <w:pgMar w:top="1701" w:right="1440" w:bottom="1701" w:left="1440" w:header="964" w:footer="964" w:gutter="0"/>
          <w:pgBorders>
            <w:top w:val="none" w:sz="0" w:space="0"/>
            <w:left w:val="none" w:sz="0" w:space="0"/>
            <w:bottom w:val="none" w:sz="0" w:space="0"/>
            <w:right w:val="none" w:sz="0" w:space="0"/>
          </w:pgBorders>
          <w:pgNumType w:fmt="decimal"/>
          <w:cols w:space="720" w:num="1"/>
          <w:docGrid w:linePitch="312" w:charSpace="0"/>
        </w:sectPr>
      </w:pPr>
      <w:r>
        <w:rPr>
          <w:color w:val="auto"/>
          <w:highlight w:val="none"/>
        </w:rPr>
        <w:drawing>
          <wp:inline distT="0" distB="0" distL="114300" distR="114300">
            <wp:extent cx="8115935" cy="5697855"/>
            <wp:effectExtent l="0" t="0" r="1905" b="698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1"/>
                    <a:stretch>
                      <a:fillRect/>
                    </a:stretch>
                  </pic:blipFill>
                  <pic:spPr>
                    <a:xfrm rot="16200000">
                      <a:off x="0" y="0"/>
                      <a:ext cx="8115935" cy="5697855"/>
                    </a:xfrm>
                    <a:prstGeom prst="rect">
                      <a:avLst/>
                    </a:prstGeom>
                    <a:noFill/>
                    <a:ln>
                      <a:noFill/>
                    </a:ln>
                  </pic:spPr>
                </pic:pic>
              </a:graphicData>
            </a:graphic>
          </wp:inline>
        </w:drawing>
      </w:r>
    </w:p>
    <w:p w14:paraId="1F595BB8">
      <w:pPr>
        <w:ind w:left="0" w:leftChars="0" w:firstLine="0" w:firstLineChars="0"/>
        <w:rPr>
          <w:rFonts w:hint="eastAsia"/>
          <w:color w:val="auto"/>
          <w:highlight w:val="none"/>
        </w:rPr>
      </w:pPr>
      <w:r>
        <w:rPr>
          <w:color w:val="auto"/>
          <w:highlight w:val="none"/>
        </w:rPr>
        <w:drawing>
          <wp:inline distT="0" distB="0" distL="114300" distR="114300">
            <wp:extent cx="8488045" cy="5932170"/>
            <wp:effectExtent l="0" t="0" r="1143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2"/>
                    <a:stretch>
                      <a:fillRect/>
                    </a:stretch>
                  </pic:blipFill>
                  <pic:spPr>
                    <a:xfrm rot="-5400000">
                      <a:off x="0" y="0"/>
                      <a:ext cx="8488045" cy="5932170"/>
                    </a:xfrm>
                    <a:prstGeom prst="rect">
                      <a:avLst/>
                    </a:prstGeom>
                    <a:noFill/>
                    <a:ln>
                      <a:noFill/>
                    </a:ln>
                  </pic:spPr>
                </pic:pic>
              </a:graphicData>
            </a:graphic>
          </wp:inline>
        </w:drawing>
      </w:r>
    </w:p>
    <w:p w14:paraId="65E9C932">
      <w:pPr>
        <w:ind w:firstLine="0" w:firstLineChars="0"/>
        <w:rPr>
          <w:rFonts w:hint="default" w:ascii="Times New Roman" w:hAnsi="Times New Roman" w:cs="Times New Roman"/>
          <w:color w:val="auto"/>
          <w:highlight w:val="none"/>
          <w:lang w:val="en-US" w:eastAsia="zh-CN"/>
        </w:rPr>
      </w:pPr>
      <w:r>
        <w:rPr>
          <w:color w:val="auto"/>
          <w:highlight w:val="none"/>
        </w:rPr>
        <w:drawing>
          <wp:inline distT="0" distB="0" distL="114300" distR="114300">
            <wp:extent cx="8564245" cy="6098540"/>
            <wp:effectExtent l="0" t="0" r="12700"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3"/>
                    <a:stretch>
                      <a:fillRect/>
                    </a:stretch>
                  </pic:blipFill>
                  <pic:spPr>
                    <a:xfrm rot="-5400000">
                      <a:off x="0" y="0"/>
                      <a:ext cx="8564245" cy="6098540"/>
                    </a:xfrm>
                    <a:prstGeom prst="rect">
                      <a:avLst/>
                    </a:prstGeom>
                    <a:noFill/>
                    <a:ln>
                      <a:noFill/>
                    </a:ln>
                  </pic:spPr>
                </pic:pic>
              </a:graphicData>
            </a:graphic>
          </wp:inline>
        </w:drawing>
      </w:r>
    </w:p>
    <w:p w14:paraId="72B478B7">
      <w:pPr>
        <w:ind w:firstLine="0" w:firstLineChars="0"/>
        <w:rPr>
          <w:rFonts w:hint="default" w:ascii="Times New Roman" w:hAnsi="Times New Roman" w:cs="Times New Roman"/>
          <w:color w:val="auto"/>
          <w:highlight w:val="none"/>
          <w:lang w:val="en-US" w:eastAsia="zh-CN"/>
        </w:rPr>
      </w:pPr>
      <w:r>
        <w:rPr>
          <w:color w:val="auto"/>
          <w:highlight w:val="none"/>
        </w:rPr>
        <w:drawing>
          <wp:inline distT="0" distB="0" distL="114300" distR="114300">
            <wp:extent cx="8525510" cy="6086475"/>
            <wp:effectExtent l="0" t="0" r="952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4"/>
                    <a:stretch>
                      <a:fillRect/>
                    </a:stretch>
                  </pic:blipFill>
                  <pic:spPr>
                    <a:xfrm rot="-5400000">
                      <a:off x="0" y="0"/>
                      <a:ext cx="8525510" cy="6086475"/>
                    </a:xfrm>
                    <a:prstGeom prst="rect">
                      <a:avLst/>
                    </a:prstGeom>
                    <a:noFill/>
                    <a:ln>
                      <a:noFill/>
                    </a:ln>
                  </pic:spPr>
                </pic:pic>
              </a:graphicData>
            </a:graphic>
          </wp:inline>
        </w:drawing>
      </w:r>
    </w:p>
    <w:p w14:paraId="327D0049">
      <w:pPr>
        <w:pStyle w:val="6"/>
        <w:spacing w:line="254" w:lineRule="auto"/>
        <w:rPr>
          <w:color w:val="auto"/>
          <w:highlight w:val="none"/>
        </w:rPr>
      </w:pPr>
      <w:r>
        <w:rPr>
          <w:color w:val="auto"/>
          <w:highlight w:val="none"/>
        </w:rPr>
        <w:drawing>
          <wp:inline distT="0" distB="0" distL="114300" distR="114300">
            <wp:extent cx="8552180" cy="6064885"/>
            <wp:effectExtent l="0" t="0" r="635" b="1270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5"/>
                    <a:stretch>
                      <a:fillRect/>
                    </a:stretch>
                  </pic:blipFill>
                  <pic:spPr>
                    <a:xfrm rot="-5400000">
                      <a:off x="0" y="0"/>
                      <a:ext cx="8552180" cy="6064885"/>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br w:type="page"/>
      </w:r>
      <w:r>
        <w:rPr>
          <w:color w:val="auto"/>
          <w:highlight w:val="none"/>
        </w:rPr>
        <w:drawing>
          <wp:inline distT="0" distB="0" distL="114300" distR="114300">
            <wp:extent cx="8517255" cy="6018530"/>
            <wp:effectExtent l="0" t="0" r="127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6"/>
                    <a:stretch>
                      <a:fillRect/>
                    </a:stretch>
                  </pic:blipFill>
                  <pic:spPr>
                    <a:xfrm rot="-5400000">
                      <a:off x="0" y="0"/>
                      <a:ext cx="8517255" cy="6018530"/>
                    </a:xfrm>
                    <a:prstGeom prst="rect">
                      <a:avLst/>
                    </a:prstGeom>
                    <a:noFill/>
                    <a:ln>
                      <a:noFill/>
                    </a:ln>
                  </pic:spPr>
                </pic:pic>
              </a:graphicData>
            </a:graphic>
          </wp:inline>
        </w:drawing>
      </w:r>
    </w:p>
    <w:p w14:paraId="2B619450">
      <w:pPr>
        <w:spacing w:before="51" w:line="184" w:lineRule="auto"/>
        <w:ind w:left="7522"/>
        <w:rPr>
          <w:rFonts w:ascii="Times New Roman" w:hAnsi="Times New Roman" w:eastAsia="Times New Roman" w:cs="Times New Roman"/>
          <w:color w:val="auto"/>
          <w:sz w:val="18"/>
          <w:szCs w:val="18"/>
          <w:highlight w:val="none"/>
        </w:rPr>
      </w:pPr>
    </w:p>
    <w:p w14:paraId="15E6F440">
      <w:pPr>
        <w:spacing w:line="218" w:lineRule="auto"/>
        <w:rPr>
          <w:rFonts w:ascii="宋体" w:hAnsi="宋体" w:eastAsia="宋体" w:cs="宋体"/>
          <w:color w:val="auto"/>
          <w:sz w:val="16"/>
          <w:szCs w:val="16"/>
          <w:highlight w:val="none"/>
        </w:rPr>
        <w:sectPr>
          <w:pgSz w:w="11905" w:h="16839"/>
          <w:pgMar w:top="400" w:right="998" w:bottom="400" w:left="1768" w:header="0" w:footer="0" w:gutter="0"/>
          <w:cols w:space="720" w:num="1"/>
        </w:sectPr>
      </w:pPr>
    </w:p>
    <w:p w14:paraId="0E734F17">
      <w:pPr>
        <w:pStyle w:val="6"/>
        <w:spacing w:line="447" w:lineRule="auto"/>
        <w:rPr>
          <w:color w:val="auto"/>
          <w:highlight w:val="none"/>
        </w:rPr>
      </w:pPr>
    </w:p>
    <w:p w14:paraId="1B72FEF3">
      <w:pPr>
        <w:spacing w:before="137" w:line="188" w:lineRule="auto"/>
        <w:ind w:left="3362"/>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二、商务要求</w:t>
      </w:r>
    </w:p>
    <w:p w14:paraId="16771FB0">
      <w:pPr>
        <w:spacing w:before="126"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（一）</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4"/>
          <w:sz w:val="21"/>
          <w:szCs w:val="21"/>
          <w:highlight w:val="none"/>
        </w:rPr>
        <w:t>实施（交货）</w:t>
      </w:r>
      <w:r>
        <w:rPr>
          <w:rFonts w:ascii="微软雅黑" w:hAnsi="微软雅黑" w:eastAsia="微软雅黑" w:cs="微软雅黑"/>
          <w:b/>
          <w:bCs/>
          <w:color w:val="auto"/>
          <w:spacing w:val="-27"/>
          <w:sz w:val="21"/>
          <w:szCs w:val="21"/>
          <w:highlight w:val="none"/>
        </w:rPr>
        <w:t xml:space="preserve"> </w:t>
      </w:r>
      <w:r>
        <w:rPr>
          <w:rFonts w:ascii="微软雅黑" w:hAnsi="微软雅黑" w:eastAsia="微软雅黑" w:cs="微软雅黑"/>
          <w:b/>
          <w:bCs/>
          <w:color w:val="auto"/>
          <w:spacing w:val="-4"/>
          <w:sz w:val="21"/>
          <w:szCs w:val="21"/>
          <w:highlight w:val="none"/>
        </w:rPr>
        <w:t>时间</w:t>
      </w:r>
      <w:r>
        <w:rPr>
          <w:rFonts w:ascii="微软雅黑" w:hAnsi="微软雅黑" w:eastAsia="微软雅黑" w:cs="微软雅黑"/>
          <w:b/>
          <w:bCs/>
          <w:color w:val="auto"/>
          <w:spacing w:val="37"/>
          <w:sz w:val="21"/>
          <w:szCs w:val="21"/>
          <w:highlight w:val="none"/>
        </w:rPr>
        <w:t xml:space="preserve"> </w:t>
      </w:r>
      <w:r>
        <w:rPr>
          <w:rFonts w:ascii="微软雅黑" w:hAnsi="微软雅黑" w:eastAsia="微软雅黑" w:cs="微软雅黑"/>
          <w:color w:val="auto"/>
          <w:spacing w:val="-4"/>
          <w:sz w:val="21"/>
          <w:szCs w:val="21"/>
          <w:highlight w:val="none"/>
        </w:rPr>
        <w:t>：</w:t>
      </w:r>
    </w:p>
    <w:p w14:paraId="1338ED3E">
      <w:pPr>
        <w:spacing w:before="51" w:line="288" w:lineRule="auto"/>
        <w:ind w:left="255" w:right="1338" w:firstLine="23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以甲乙双方签订合同为准（严格按照采购单位的时间要求按时供货</w:t>
      </w:r>
      <w:r>
        <w:rPr>
          <w:rFonts w:hint="eastAsia" w:ascii="微软雅黑" w:hAnsi="微软雅黑" w:eastAsia="微软雅黑" w:cs="微软雅黑"/>
          <w:color w:val="auto"/>
          <w:sz w:val="21"/>
          <w:szCs w:val="21"/>
          <w:highlight w:val="none"/>
          <w:lang w:eastAsia="zh-CN"/>
        </w:rPr>
        <w:t>）</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b/>
          <w:bCs/>
          <w:color w:val="auto"/>
          <w:spacing w:val="-3"/>
          <w:sz w:val="21"/>
          <w:szCs w:val="21"/>
          <w:highlight w:val="none"/>
        </w:rPr>
        <w:t>（二）</w:t>
      </w:r>
      <w:r>
        <w:rPr>
          <w:rFonts w:ascii="微软雅黑" w:hAnsi="微软雅黑" w:eastAsia="微软雅黑" w:cs="微软雅黑"/>
          <w:b/>
          <w:bCs/>
          <w:color w:val="auto"/>
          <w:spacing w:val="-32"/>
          <w:sz w:val="21"/>
          <w:szCs w:val="21"/>
          <w:highlight w:val="none"/>
        </w:rPr>
        <w:t xml:space="preserve"> </w:t>
      </w:r>
      <w:r>
        <w:rPr>
          <w:rFonts w:ascii="微软雅黑" w:hAnsi="微软雅黑" w:eastAsia="微软雅黑" w:cs="微软雅黑"/>
          <w:b/>
          <w:bCs/>
          <w:color w:val="auto"/>
          <w:spacing w:val="-3"/>
          <w:sz w:val="21"/>
          <w:szCs w:val="21"/>
          <w:highlight w:val="none"/>
        </w:rPr>
        <w:t>实施（交货）</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b/>
          <w:bCs/>
          <w:color w:val="auto"/>
          <w:spacing w:val="-3"/>
          <w:sz w:val="21"/>
          <w:szCs w:val="21"/>
          <w:highlight w:val="none"/>
        </w:rPr>
        <w:t>地点</w:t>
      </w:r>
      <w:r>
        <w:rPr>
          <w:rFonts w:ascii="微软雅黑" w:hAnsi="微软雅黑" w:eastAsia="微软雅黑" w:cs="微软雅黑"/>
          <w:b/>
          <w:bCs/>
          <w:color w:val="auto"/>
          <w:spacing w:val="37"/>
          <w:sz w:val="21"/>
          <w:szCs w:val="21"/>
          <w:highlight w:val="none"/>
        </w:rPr>
        <w:t xml:space="preserve"> </w:t>
      </w:r>
      <w:r>
        <w:rPr>
          <w:rFonts w:ascii="微软雅黑" w:hAnsi="微软雅黑" w:eastAsia="微软雅黑" w:cs="微软雅黑"/>
          <w:color w:val="auto"/>
          <w:spacing w:val="-3"/>
          <w:sz w:val="21"/>
          <w:szCs w:val="21"/>
          <w:highlight w:val="none"/>
        </w:rPr>
        <w:t>：</w:t>
      </w:r>
    </w:p>
    <w:p w14:paraId="2B7BA08A">
      <w:pPr>
        <w:spacing w:before="14" w:line="183" w:lineRule="auto"/>
        <w:ind w:left="49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甲方指定地点（具体以签订合同为准）</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z w:val="21"/>
          <w:szCs w:val="21"/>
          <w:highlight w:val="none"/>
        </w:rPr>
        <w:t>。</w:t>
      </w:r>
    </w:p>
    <w:p w14:paraId="452E22F5">
      <w:pPr>
        <w:spacing w:before="16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（三）报价要求</w:t>
      </w:r>
    </w:p>
    <w:p w14:paraId="50504953">
      <w:pPr>
        <w:spacing w:before="166" w:line="292" w:lineRule="auto"/>
        <w:ind w:left="42" w:right="31" w:firstLine="213"/>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本次报价为人民币报价，投标报价应包括（包含但不限于</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综合单价包括：</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货物本身</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价格、人工费、设备费、安装费、运输费用、验货费用、</w:t>
      </w:r>
      <w:r>
        <w:rPr>
          <w:rFonts w:ascii="微软雅黑" w:hAnsi="微软雅黑" w:eastAsia="微软雅黑" w:cs="微软雅黑"/>
          <w:color w:val="auto"/>
          <w:spacing w:val="2"/>
          <w:sz w:val="21"/>
          <w:szCs w:val="21"/>
          <w:highlight w:val="none"/>
        </w:rPr>
        <w:t>损耗、技术指导、税金费用、自</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检费及验收合格前和质保期内发生的一切费用、应当提供的伴随服务/售后服务费用及后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期服务及国家对中标单位征收的各种税费等所有费用，</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综合单价今后将不作任何调</w:t>
      </w:r>
      <w:r>
        <w:rPr>
          <w:rFonts w:ascii="微软雅黑" w:hAnsi="微软雅黑" w:eastAsia="微软雅黑" w:cs="微软雅黑"/>
          <w:color w:val="auto"/>
          <w:spacing w:val="1"/>
          <w:sz w:val="21"/>
          <w:szCs w:val="21"/>
          <w:highlight w:val="none"/>
        </w:rPr>
        <w:t>整。</w:t>
      </w:r>
    </w:p>
    <w:p w14:paraId="6EC0EC05">
      <w:pPr>
        <w:spacing w:before="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（四）</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pacing w:val="-1"/>
          <w:sz w:val="21"/>
          <w:szCs w:val="21"/>
          <w:highlight w:val="none"/>
        </w:rPr>
        <w:t>质量要求及技术标准</w:t>
      </w:r>
    </w:p>
    <w:p w14:paraId="28B5889D">
      <w:pPr>
        <w:spacing w:before="164"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1、供应方交付的货物的技术标准不低于国家标准。</w:t>
      </w:r>
    </w:p>
    <w:p w14:paraId="26EBFA26">
      <w:pPr>
        <w:spacing w:before="158"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（五）</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
          <w:sz w:val="21"/>
          <w:szCs w:val="21"/>
          <w:highlight w:val="none"/>
        </w:rPr>
        <w:t>售后服务、理赔、质量技术及验收保</w:t>
      </w:r>
      <w:r>
        <w:rPr>
          <w:rFonts w:ascii="微软雅黑" w:hAnsi="微软雅黑" w:eastAsia="微软雅黑" w:cs="微软雅黑"/>
          <w:b/>
          <w:bCs/>
          <w:color w:val="auto"/>
          <w:sz w:val="21"/>
          <w:szCs w:val="21"/>
          <w:highlight w:val="none"/>
        </w:rPr>
        <w:t>证的承诺</w:t>
      </w:r>
    </w:p>
    <w:p w14:paraId="597E2896">
      <w:pPr>
        <w:spacing w:before="162" w:line="257" w:lineRule="auto"/>
        <w:ind w:left="43" w:right="31" w:firstLine="47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1、产品质量：</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在合同期内， 甲方正常使用乙方所供产品而出现质量问题时，</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z w:val="21"/>
          <w:szCs w:val="21"/>
          <w:highlight w:val="none"/>
        </w:rPr>
        <w:t>乙方负 责。产品使用： 甲方在使用乙方所供产品中出现问题需乙方解决时，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 xml:space="preserve">乙方应无偿解决（退 </w:t>
      </w:r>
      <w:r>
        <w:rPr>
          <w:rFonts w:ascii="微软雅黑" w:hAnsi="微软雅黑" w:eastAsia="微软雅黑" w:cs="微软雅黑"/>
          <w:color w:val="auto"/>
          <w:spacing w:val="-4"/>
          <w:sz w:val="21"/>
          <w:szCs w:val="21"/>
          <w:highlight w:val="none"/>
        </w:rPr>
        <w:t>换货）</w:t>
      </w:r>
    </w:p>
    <w:p w14:paraId="34B9E97E">
      <w:pPr>
        <w:spacing w:before="163" w:line="241" w:lineRule="auto"/>
        <w:ind w:left="64" w:right="50" w:firstLine="43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2、货物到达现场后，</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供应商应在使用单位人员在场情况下当面共同清点、检查，</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出检查记录，双方签字确认。</w:t>
      </w:r>
    </w:p>
    <w:p w14:paraId="6F728774">
      <w:pPr>
        <w:spacing w:before="156" w:line="241" w:lineRule="auto"/>
        <w:ind w:left="42" w:right="49" w:firstLine="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3、供应商提供的货物未达到招标文件规定要求，</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且对采购人造成损失的，</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
          <w:sz w:val="21"/>
          <w:szCs w:val="21"/>
          <w:highlight w:val="none"/>
        </w:rPr>
        <w:t>由供应商</w:t>
      </w:r>
      <w:r>
        <w:rPr>
          <w:rFonts w:ascii="微软雅黑" w:hAnsi="微软雅黑" w:eastAsia="微软雅黑" w:cs="微软雅黑"/>
          <w:color w:val="auto"/>
          <w:sz w:val="21"/>
          <w:szCs w:val="21"/>
          <w:highlight w:val="none"/>
        </w:rPr>
        <w:t xml:space="preserve"> 承担一切责任，</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并赔偿所造成的损失。</w:t>
      </w:r>
    </w:p>
    <w:p w14:paraId="72BB318B">
      <w:pPr>
        <w:spacing w:before="158"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（六）付款方式</w:t>
      </w:r>
    </w:p>
    <w:p w14:paraId="7A7245D2">
      <w:pPr>
        <w:spacing w:before="164"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3"/>
          <w:sz w:val="21"/>
          <w:szCs w:val="21"/>
          <w:highlight w:val="none"/>
        </w:rPr>
        <w:t>签订合同后付 40%，</w:t>
      </w:r>
      <w:r>
        <w:rPr>
          <w:rFonts w:ascii="微软雅黑" w:hAnsi="微软雅黑" w:eastAsia="微软雅黑" w:cs="微软雅黑"/>
          <w:b/>
          <w:bCs/>
          <w:color w:val="auto"/>
          <w:spacing w:val="-36"/>
          <w:sz w:val="21"/>
          <w:szCs w:val="21"/>
          <w:highlight w:val="none"/>
        </w:rPr>
        <w:t xml:space="preserve"> </w:t>
      </w:r>
      <w:r>
        <w:rPr>
          <w:rFonts w:ascii="微软雅黑" w:hAnsi="微软雅黑" w:eastAsia="微软雅黑" w:cs="微软雅黑"/>
          <w:b/>
          <w:bCs/>
          <w:color w:val="auto"/>
          <w:spacing w:val="-13"/>
          <w:sz w:val="21"/>
          <w:szCs w:val="21"/>
          <w:highlight w:val="none"/>
        </w:rPr>
        <w:t>安装完成后付 50</w:t>
      </w:r>
      <w:r>
        <w:rPr>
          <w:rFonts w:ascii="微软雅黑" w:hAnsi="微软雅黑" w:eastAsia="微软雅黑" w:cs="微软雅黑"/>
          <w:b/>
          <w:bCs/>
          <w:color w:val="auto"/>
          <w:spacing w:val="-14"/>
          <w:sz w:val="21"/>
          <w:szCs w:val="21"/>
          <w:highlight w:val="none"/>
        </w:rPr>
        <w:t>%，</w:t>
      </w:r>
      <w:r>
        <w:rPr>
          <w:rFonts w:ascii="微软雅黑" w:hAnsi="微软雅黑" w:eastAsia="微软雅黑" w:cs="微软雅黑"/>
          <w:b/>
          <w:bCs/>
          <w:color w:val="auto"/>
          <w:spacing w:val="-40"/>
          <w:sz w:val="21"/>
          <w:szCs w:val="21"/>
          <w:highlight w:val="none"/>
        </w:rPr>
        <w:t xml:space="preserve"> </w:t>
      </w:r>
      <w:r>
        <w:rPr>
          <w:rFonts w:ascii="微软雅黑" w:hAnsi="微软雅黑" w:eastAsia="微软雅黑" w:cs="微软雅黑"/>
          <w:b/>
          <w:bCs/>
          <w:color w:val="auto"/>
          <w:spacing w:val="-14"/>
          <w:sz w:val="21"/>
          <w:szCs w:val="21"/>
          <w:highlight w:val="none"/>
        </w:rPr>
        <w:t>验收合格后付</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14"/>
          <w:sz w:val="21"/>
          <w:szCs w:val="21"/>
          <w:highlight w:val="none"/>
        </w:rPr>
        <w:t xml:space="preserve">10%  </w:t>
      </w:r>
      <w:r>
        <w:rPr>
          <w:rFonts w:ascii="微软雅黑" w:hAnsi="微软雅黑" w:eastAsia="微软雅黑" w:cs="微软雅黑"/>
          <w:color w:val="auto"/>
          <w:spacing w:val="-14"/>
          <w:sz w:val="21"/>
          <w:szCs w:val="21"/>
          <w:highlight w:val="none"/>
        </w:rPr>
        <w:t>。</w:t>
      </w:r>
    </w:p>
    <w:p w14:paraId="7C970E61">
      <w:pPr>
        <w:spacing w:before="157"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（七）</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b/>
          <w:bCs/>
          <w:color w:val="auto"/>
          <w:spacing w:val="-3"/>
          <w:sz w:val="21"/>
          <w:szCs w:val="21"/>
          <w:highlight w:val="none"/>
        </w:rPr>
        <w:t>知识产权</w:t>
      </w:r>
    </w:p>
    <w:p w14:paraId="4F311E06">
      <w:pPr>
        <w:spacing w:before="165" w:line="292" w:lineRule="auto"/>
        <w:ind w:left="43" w:right="32" w:firstLine="46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采购人在中华人民共和国境内使用投标人提供的货物及服务时免受第三方提出的侵</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犯其专利权或其它知识产权的起诉。如果第三方提出侵权指控，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中标人应承担由此而引起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的一切法律责任和费用。</w:t>
      </w:r>
    </w:p>
    <w:p w14:paraId="16F90679">
      <w:pPr>
        <w:spacing w:before="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（八）</w:t>
      </w:r>
      <w:r>
        <w:rPr>
          <w:rFonts w:ascii="微软雅黑" w:hAnsi="微软雅黑" w:eastAsia="微软雅黑" w:cs="微软雅黑"/>
          <w:b/>
          <w:bCs/>
          <w:color w:val="auto"/>
          <w:spacing w:val="-38"/>
          <w:sz w:val="21"/>
          <w:szCs w:val="21"/>
          <w:highlight w:val="none"/>
        </w:rPr>
        <w:t xml:space="preserve"> </w:t>
      </w:r>
      <w:r>
        <w:rPr>
          <w:rFonts w:ascii="微软雅黑" w:hAnsi="微软雅黑" w:eastAsia="微软雅黑" w:cs="微软雅黑"/>
          <w:b/>
          <w:bCs/>
          <w:color w:val="auto"/>
          <w:spacing w:val="-6"/>
          <w:sz w:val="21"/>
          <w:szCs w:val="21"/>
          <w:highlight w:val="none"/>
        </w:rPr>
        <w:t>其他</w:t>
      </w:r>
    </w:p>
    <w:p w14:paraId="7174831B">
      <w:pPr>
        <w:spacing w:before="165"/>
        <w:ind w:left="42" w:right="32" w:firstLine="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1、投标人必须在投标文件中对以上条款和服务承诺明确在</w:t>
      </w:r>
      <w:r>
        <w:rPr>
          <w:rFonts w:ascii="微软雅黑" w:hAnsi="微软雅黑" w:eastAsia="微软雅黑" w:cs="微软雅黑"/>
          <w:b/>
          <w:bCs/>
          <w:color w:val="auto"/>
          <w:spacing w:val="3"/>
          <w:sz w:val="21"/>
          <w:szCs w:val="21"/>
          <w:highlight w:val="none"/>
        </w:rPr>
        <w:t>商务技术偏离表</w:t>
      </w:r>
      <w:r>
        <w:rPr>
          <w:rFonts w:ascii="微软雅黑" w:hAnsi="微软雅黑" w:eastAsia="微软雅黑" w:cs="微软雅黑"/>
          <w:color w:val="auto"/>
          <w:spacing w:val="3"/>
          <w:sz w:val="21"/>
          <w:szCs w:val="21"/>
          <w:highlight w:val="none"/>
        </w:rPr>
        <w:t>列出，</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3"/>
          <w:sz w:val="21"/>
          <w:szCs w:val="21"/>
          <w:highlight w:val="none"/>
        </w:rPr>
        <w:t>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诺内容必须达到本篇及招标文件其他条款的要求。</w:t>
      </w:r>
    </w:p>
    <w:p w14:paraId="6C6BF3A3">
      <w:pPr>
        <w:spacing w:before="159" w:line="188" w:lineRule="auto"/>
        <w:ind w:left="5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2、其他未尽事宜由供需双方在采购合同中详细约定。</w:t>
      </w:r>
    </w:p>
    <w:p w14:paraId="791EFAB1">
      <w:pPr>
        <w:spacing w:before="52" w:line="184" w:lineRule="auto"/>
        <w:rPr>
          <w:rFonts w:ascii="宋体" w:hAnsi="宋体" w:eastAsia="宋体" w:cs="宋体"/>
          <w:color w:val="auto"/>
          <w:sz w:val="16"/>
          <w:szCs w:val="16"/>
          <w:highlight w:val="none"/>
        </w:rPr>
        <w:sectPr>
          <w:pgSz w:w="11905" w:h="16839"/>
          <w:pgMar w:top="400" w:right="1767" w:bottom="400" w:left="1768" w:header="0" w:footer="0" w:gutter="0"/>
          <w:cols w:space="720" w:num="1"/>
        </w:sectPr>
      </w:pPr>
    </w:p>
    <w:p w14:paraId="69B99542">
      <w:pPr>
        <w:pStyle w:val="6"/>
        <w:spacing w:line="447" w:lineRule="auto"/>
        <w:rPr>
          <w:color w:val="auto"/>
          <w:highlight w:val="none"/>
        </w:rPr>
      </w:pPr>
    </w:p>
    <w:p w14:paraId="3AF3D8B1">
      <w:pPr>
        <w:spacing w:before="136" w:line="187" w:lineRule="auto"/>
        <w:ind w:left="2550"/>
        <w:rPr>
          <w:rFonts w:ascii="微软雅黑" w:hAnsi="微软雅黑" w:eastAsia="微软雅黑" w:cs="微软雅黑"/>
          <w:color w:val="auto"/>
          <w:sz w:val="30"/>
          <w:szCs w:val="30"/>
          <w:highlight w:val="none"/>
        </w:rPr>
      </w:pPr>
      <w:bookmarkStart w:id="135" w:name="bookmark70"/>
      <w:bookmarkEnd w:id="135"/>
      <w:bookmarkStart w:id="136" w:name="bookmark72"/>
      <w:bookmarkEnd w:id="136"/>
      <w:r>
        <w:rPr>
          <w:rFonts w:ascii="微软雅黑" w:hAnsi="微软雅黑" w:eastAsia="微软雅黑" w:cs="微软雅黑"/>
          <w:b/>
          <w:bCs/>
          <w:color w:val="auto"/>
          <w:spacing w:val="-4"/>
          <w:sz w:val="30"/>
          <w:szCs w:val="30"/>
          <w:highlight w:val="none"/>
        </w:rPr>
        <w:t>第五章</w:t>
      </w:r>
      <w:r>
        <w:rPr>
          <w:rFonts w:ascii="微软雅黑" w:hAnsi="微软雅黑" w:eastAsia="微软雅黑" w:cs="微软雅黑"/>
          <w:b/>
          <w:bCs/>
          <w:color w:val="auto"/>
          <w:spacing w:val="23"/>
          <w:sz w:val="30"/>
          <w:szCs w:val="30"/>
          <w:highlight w:val="none"/>
        </w:rPr>
        <w:t xml:space="preserve">   </w:t>
      </w:r>
      <w:r>
        <w:rPr>
          <w:rFonts w:ascii="微软雅黑" w:hAnsi="微软雅黑" w:eastAsia="微软雅黑" w:cs="微软雅黑"/>
          <w:b/>
          <w:bCs/>
          <w:color w:val="auto"/>
          <w:spacing w:val="-4"/>
          <w:sz w:val="30"/>
          <w:szCs w:val="30"/>
          <w:highlight w:val="none"/>
        </w:rPr>
        <w:t>合同条款及格式</w:t>
      </w:r>
    </w:p>
    <w:p w14:paraId="4D50DEE9">
      <w:pPr>
        <w:spacing w:before="156" w:line="183" w:lineRule="auto"/>
        <w:ind w:left="16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（本合同为合同样稿，</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最终稿由供需双方协商后确定）</w:t>
      </w:r>
    </w:p>
    <w:p w14:paraId="10824605">
      <w:pPr>
        <w:spacing w:before="223" w:line="188" w:lineRule="auto"/>
        <w:ind w:left="3187"/>
        <w:rPr>
          <w:rFonts w:ascii="微软雅黑" w:hAnsi="微软雅黑" w:eastAsia="微软雅黑" w:cs="微软雅黑"/>
          <w:color w:val="auto"/>
          <w:sz w:val="30"/>
          <w:szCs w:val="30"/>
          <w:highlight w:val="none"/>
        </w:rPr>
      </w:pPr>
      <w:r>
        <w:rPr>
          <w:rFonts w:ascii="宋体" w:hAnsi="宋体" w:eastAsia="宋体" w:cs="宋体"/>
          <w:b/>
          <w:bCs/>
          <w:color w:val="auto"/>
          <w:spacing w:val="-6"/>
          <w:sz w:val="30"/>
          <w:szCs w:val="30"/>
          <w:highlight w:val="none"/>
        </w:rPr>
        <w:t>一</w:t>
      </w:r>
      <w:r>
        <w:rPr>
          <w:rFonts w:ascii="宋体" w:hAnsi="宋体" w:eastAsia="宋体" w:cs="宋体"/>
          <w:color w:val="auto"/>
          <w:spacing w:val="89"/>
          <w:sz w:val="30"/>
          <w:szCs w:val="30"/>
          <w:highlight w:val="none"/>
        </w:rPr>
        <w:t xml:space="preserve"> </w:t>
      </w:r>
      <w:r>
        <w:rPr>
          <w:rFonts w:ascii="微软雅黑" w:hAnsi="微软雅黑" w:eastAsia="微软雅黑" w:cs="微软雅黑"/>
          <w:b/>
          <w:bCs/>
          <w:color w:val="auto"/>
          <w:spacing w:val="-6"/>
          <w:sz w:val="30"/>
          <w:szCs w:val="30"/>
          <w:highlight w:val="none"/>
        </w:rPr>
        <w:t>合同协议书</w:t>
      </w:r>
    </w:p>
    <w:p w14:paraId="1E8A242D">
      <w:pPr>
        <w:spacing w:before="142" w:line="188" w:lineRule="auto"/>
        <w:ind w:left="2789"/>
        <w:rPr>
          <w:rFonts w:ascii="微软雅黑" w:hAnsi="微软雅黑" w:eastAsia="微软雅黑" w:cs="微软雅黑"/>
          <w:color w:val="auto"/>
          <w:sz w:val="24"/>
          <w:szCs w:val="24"/>
          <w:highlight w:val="none"/>
        </w:rPr>
      </w:pPr>
      <w:r>
        <w:rPr>
          <w:rFonts w:ascii="微软雅黑" w:hAnsi="微软雅黑" w:eastAsia="微软雅黑" w:cs="微软雅黑"/>
          <w:b/>
          <w:bCs/>
          <w:color w:val="auto"/>
          <w:spacing w:val="-3"/>
          <w:sz w:val="32"/>
          <w:szCs w:val="32"/>
          <w:highlight w:val="none"/>
        </w:rPr>
        <w:t xml:space="preserve">合同名称                 </w:t>
      </w:r>
      <w:r>
        <w:rPr>
          <w:rFonts w:ascii="微软雅黑" w:hAnsi="微软雅黑" w:eastAsia="微软雅黑" w:cs="微软雅黑"/>
          <w:color w:val="auto"/>
          <w:spacing w:val="-3"/>
          <w:sz w:val="24"/>
          <w:szCs w:val="24"/>
          <w:highlight w:val="none"/>
        </w:rPr>
        <w:t>编号</w:t>
      </w:r>
    </w:p>
    <w:p w14:paraId="2BE843AA">
      <w:pPr>
        <w:spacing w:before="207"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买</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 xml:space="preserve">方：                                                         </w:t>
      </w:r>
      <w:r>
        <w:rPr>
          <w:rFonts w:ascii="微软雅黑" w:hAnsi="微软雅黑" w:eastAsia="微软雅黑" w:cs="微软雅黑"/>
          <w:color w:val="auto"/>
          <w:spacing w:val="-6"/>
          <w:sz w:val="21"/>
          <w:szCs w:val="21"/>
          <w:highlight w:val="none"/>
        </w:rPr>
        <w:t xml:space="preserve">        卖</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方：</w:t>
      </w:r>
    </w:p>
    <w:p w14:paraId="3E37C64B">
      <w:pPr>
        <w:spacing w:before="138" w:line="189" w:lineRule="auto"/>
        <w:ind w:left="49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电</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 xml:space="preserve">话：                                                                  电     </w:t>
      </w:r>
      <w:r>
        <w:rPr>
          <w:rFonts w:ascii="微软雅黑" w:hAnsi="微软雅黑" w:eastAsia="微软雅黑" w:cs="微软雅黑"/>
          <w:color w:val="auto"/>
          <w:spacing w:val="-7"/>
          <w:sz w:val="21"/>
          <w:szCs w:val="21"/>
          <w:highlight w:val="none"/>
        </w:rPr>
        <w:t xml:space="preserve">   话：</w:t>
      </w:r>
    </w:p>
    <w:p w14:paraId="23B6B306">
      <w:pPr>
        <w:spacing w:before="137"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住</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3"/>
          <w:sz w:val="21"/>
          <w:szCs w:val="21"/>
          <w:highlight w:val="none"/>
        </w:rPr>
        <w:t xml:space="preserve">所：                            </w:t>
      </w:r>
      <w:r>
        <w:rPr>
          <w:rFonts w:ascii="微软雅黑" w:hAnsi="微软雅黑" w:eastAsia="微软雅黑" w:cs="微软雅黑"/>
          <w:color w:val="auto"/>
          <w:spacing w:val="-4"/>
          <w:sz w:val="21"/>
          <w:szCs w:val="21"/>
          <w:highlight w:val="none"/>
        </w:rPr>
        <w:t xml:space="preserve">                                   住        所：</w:t>
      </w:r>
    </w:p>
    <w:p w14:paraId="17BD3B9E">
      <w:pPr>
        <w:tabs>
          <w:tab w:val="left" w:pos="574"/>
        </w:tabs>
        <w:spacing w:before="138" w:line="278" w:lineRule="auto"/>
        <w:ind w:left="42" w:firstLine="41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5"/>
          <w:sz w:val="21"/>
          <w:szCs w:val="21"/>
          <w:highlight w:val="none"/>
          <w:u w:val="single" w:color="auto"/>
        </w:rPr>
        <w:t>（买方）</w:t>
      </w:r>
      <w:r>
        <w:rPr>
          <w:rFonts w:ascii="微软雅黑" w:hAnsi="微软雅黑" w:eastAsia="微软雅黑" w:cs="微软雅黑"/>
          <w:color w:val="auto"/>
          <w:spacing w:val="-23"/>
          <w:sz w:val="21"/>
          <w:szCs w:val="21"/>
          <w:highlight w:val="none"/>
          <w:u w:val="single" w:color="auto"/>
        </w:rPr>
        <w:t xml:space="preserve"> </w:t>
      </w:r>
      <w:r>
        <w:rPr>
          <w:rFonts w:ascii="微软雅黑" w:hAnsi="微软雅黑" w:eastAsia="微软雅黑" w:cs="微软雅黑"/>
          <w:color w:val="auto"/>
          <w:spacing w:val="-5"/>
          <w:sz w:val="21"/>
          <w:szCs w:val="21"/>
          <w:highlight w:val="none"/>
        </w:rPr>
        <w:t>的</w:t>
      </w:r>
      <w:r>
        <w:rPr>
          <w:rFonts w:ascii="微软雅黑" w:hAnsi="微软雅黑" w:eastAsia="微软雅黑" w:cs="微软雅黑"/>
          <w:color w:val="auto"/>
          <w:spacing w:val="-5"/>
          <w:sz w:val="21"/>
          <w:szCs w:val="21"/>
          <w:highlight w:val="none"/>
          <w:u w:val="single" w:color="auto"/>
        </w:rPr>
        <w:t>（项目名称）</w:t>
      </w:r>
      <w:r>
        <w:rPr>
          <w:rFonts w:ascii="微软雅黑" w:hAnsi="微软雅黑" w:eastAsia="微软雅黑" w:cs="微软雅黑"/>
          <w:color w:val="auto"/>
          <w:spacing w:val="-15"/>
          <w:sz w:val="21"/>
          <w:szCs w:val="21"/>
          <w:highlight w:val="none"/>
          <w:u w:val="single" w:color="auto"/>
        </w:rPr>
        <w:t xml:space="preserve"> </w:t>
      </w:r>
      <w:r>
        <w:rPr>
          <w:rFonts w:ascii="微软雅黑" w:hAnsi="微软雅黑" w:eastAsia="微软雅黑" w:cs="微软雅黑"/>
          <w:color w:val="auto"/>
          <w:spacing w:val="-5"/>
          <w:sz w:val="21"/>
          <w:szCs w:val="21"/>
          <w:highlight w:val="none"/>
        </w:rPr>
        <w:t>中所需</w:t>
      </w:r>
      <w:r>
        <w:rPr>
          <w:rFonts w:ascii="微软雅黑" w:hAnsi="微软雅黑" w:eastAsia="微软雅黑" w:cs="微软雅黑"/>
          <w:color w:val="auto"/>
          <w:spacing w:val="-5"/>
          <w:sz w:val="21"/>
          <w:szCs w:val="21"/>
          <w:highlight w:val="none"/>
          <w:u w:val="single" w:color="auto"/>
        </w:rPr>
        <w:t>（产品名称）</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5"/>
          <w:sz w:val="21"/>
          <w:szCs w:val="21"/>
          <w:highlight w:val="none"/>
        </w:rPr>
        <w:t>经公开招标，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5"/>
          <w:sz w:val="21"/>
          <w:szCs w:val="21"/>
          <w:highlight w:val="none"/>
        </w:rPr>
        <w:t>确定</w:t>
      </w:r>
      <w:r>
        <w:rPr>
          <w:rFonts w:ascii="微软雅黑" w:hAnsi="微软雅黑" w:eastAsia="微软雅黑" w:cs="微软雅黑"/>
          <w:color w:val="auto"/>
          <w:spacing w:val="-5"/>
          <w:sz w:val="21"/>
          <w:szCs w:val="21"/>
          <w:highlight w:val="none"/>
          <w:u w:val="single" w:color="auto"/>
        </w:rPr>
        <w:t>（卖方）</w:t>
      </w:r>
      <w:r>
        <w:rPr>
          <w:rFonts w:ascii="微软雅黑" w:hAnsi="微软雅黑" w:eastAsia="微软雅黑" w:cs="微软雅黑"/>
          <w:color w:val="auto"/>
          <w:spacing w:val="-35"/>
          <w:sz w:val="21"/>
          <w:szCs w:val="21"/>
          <w:highlight w:val="none"/>
          <w:u w:val="single" w:color="auto"/>
        </w:rPr>
        <w:t xml:space="preserve"> </w:t>
      </w:r>
      <w:r>
        <w:rPr>
          <w:rFonts w:ascii="微软雅黑" w:hAnsi="微软雅黑" w:eastAsia="微软雅黑" w:cs="微软雅黑"/>
          <w:color w:val="auto"/>
          <w:spacing w:val="-5"/>
          <w:sz w:val="21"/>
          <w:szCs w:val="21"/>
          <w:highlight w:val="none"/>
        </w:rPr>
        <w:t>为中标人。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按照中华人民共和国合同法的规定，</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
          <w:sz w:val="21"/>
          <w:szCs w:val="21"/>
          <w:highlight w:val="none"/>
        </w:rPr>
        <w:t>买卖双方同意按照下述的条款和条件，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签署本合同。</w:t>
      </w:r>
    </w:p>
    <w:p w14:paraId="4450B4CE">
      <w:pPr>
        <w:spacing w:before="5"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1、本合同文件</w:t>
      </w:r>
    </w:p>
    <w:p w14:paraId="3A0AD80A">
      <w:pPr>
        <w:spacing w:before="137"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下列每一文件均应作为合同的组成部分进行阅读和解释：</w:t>
      </w:r>
    </w:p>
    <w:p w14:paraId="737BC530">
      <w:pPr>
        <w:spacing w:before="138"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采购文件（2）投标文件（3）</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4"/>
          <w:sz w:val="21"/>
          <w:szCs w:val="21"/>
          <w:highlight w:val="none"/>
        </w:rPr>
        <w:t>中标通知书</w:t>
      </w:r>
    </w:p>
    <w:p w14:paraId="40389B14">
      <w:pPr>
        <w:spacing w:before="146"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（4）经双方确认进入合同的其它文件、补充条款或说明</w:t>
      </w:r>
    </w:p>
    <w:p w14:paraId="173E048C">
      <w:pPr>
        <w:spacing w:before="145" w:line="187"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2、采购标的、数量、质量要求</w:t>
      </w:r>
    </w:p>
    <w:p w14:paraId="04D14D39">
      <w:pPr>
        <w:spacing w:before="139"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3、合同总价</w:t>
      </w:r>
    </w:p>
    <w:p w14:paraId="48CB35C2">
      <w:pPr>
        <w:spacing w:before="137" w:line="188" w:lineRule="auto"/>
        <w:ind w:left="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合同总价为</w:t>
      </w:r>
      <w:r>
        <w:rPr>
          <w:rFonts w:ascii="微软雅黑" w:hAnsi="微软雅黑" w:eastAsia="微软雅黑" w:cs="微软雅黑"/>
          <w:color w:val="auto"/>
          <w:spacing w:val="51"/>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2"/>
          <w:sz w:val="21"/>
          <w:szCs w:val="21"/>
          <w:highlight w:val="none"/>
        </w:rPr>
        <w:t>元人民币。</w:t>
      </w:r>
    </w:p>
    <w:p w14:paraId="59F6B567">
      <w:pPr>
        <w:spacing w:before="42"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4、付款方式</w:t>
      </w:r>
      <w:r>
        <w:rPr>
          <w:rFonts w:ascii="微软雅黑" w:hAnsi="微软雅黑" w:eastAsia="微软雅黑" w:cs="微软雅黑"/>
          <w:b/>
          <w:bCs/>
          <w:color w:val="auto"/>
          <w:spacing w:val="-1"/>
          <w:sz w:val="21"/>
          <w:szCs w:val="21"/>
          <w:highlight w:val="none"/>
        </w:rPr>
        <w:t>：</w:t>
      </w:r>
      <w:r>
        <w:rPr>
          <w:rFonts w:ascii="微软雅黑" w:hAnsi="微软雅黑" w:eastAsia="微软雅黑" w:cs="微软雅黑"/>
          <w:b/>
          <w:bCs/>
          <w:color w:val="auto"/>
          <w:spacing w:val="1"/>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w:t>
      </w:r>
    </w:p>
    <w:p w14:paraId="684812A1">
      <w:pPr>
        <w:spacing w:before="124" w:line="183"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5、合同供货（服务）</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期限及地点和方式</w:t>
      </w:r>
    </w:p>
    <w:p w14:paraId="28D01831">
      <w:pPr>
        <w:spacing w:before="228" w:line="188"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6、验收要求及违约责任</w:t>
      </w:r>
    </w:p>
    <w:p w14:paraId="3E39C59F">
      <w:pPr>
        <w:spacing w:before="138" w:line="188" w:lineRule="auto"/>
        <w:ind w:left="46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7、违约责任及解决争议方法</w:t>
      </w:r>
    </w:p>
    <w:p w14:paraId="0A53C58A">
      <w:pPr>
        <w:spacing w:before="137" w:line="188" w:lineRule="auto"/>
        <w:ind w:left="463"/>
        <w:outlineLvl w:val="1"/>
        <w:rPr>
          <w:rFonts w:ascii="微软雅黑" w:hAnsi="微软雅黑" w:eastAsia="微软雅黑" w:cs="微软雅黑"/>
          <w:color w:val="auto"/>
          <w:sz w:val="21"/>
          <w:szCs w:val="21"/>
          <w:highlight w:val="none"/>
        </w:rPr>
      </w:pPr>
      <w:bookmarkStart w:id="137" w:name="bookmark93"/>
      <w:bookmarkEnd w:id="137"/>
      <w:r>
        <w:rPr>
          <w:rFonts w:ascii="微软雅黑" w:hAnsi="微软雅黑" w:eastAsia="微软雅黑" w:cs="微软雅黑"/>
          <w:color w:val="auto"/>
          <w:spacing w:val="-2"/>
          <w:sz w:val="21"/>
          <w:szCs w:val="21"/>
          <w:highlight w:val="none"/>
        </w:rPr>
        <w:t>8、合同的生效</w:t>
      </w:r>
    </w:p>
    <w:p w14:paraId="6EA26469">
      <w:pPr>
        <w:spacing w:before="139" w:line="278" w:lineRule="auto"/>
        <w:ind w:left="469" w:right="2663" w:firstLine="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合同经双方授权代表签署，</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买卖双方加盖印章之后</w:t>
      </w:r>
      <w:r>
        <w:rPr>
          <w:rFonts w:ascii="微软雅黑" w:hAnsi="微软雅黑" w:eastAsia="微软雅黑" w:cs="微软雅黑"/>
          <w:color w:val="auto"/>
          <w:spacing w:val="-1"/>
          <w:sz w:val="21"/>
          <w:szCs w:val="21"/>
          <w:highlight w:val="none"/>
        </w:rPr>
        <w:t>生效。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本合同一式</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份，双方各执</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份。</w:t>
      </w:r>
    </w:p>
    <w:p w14:paraId="6E511B9E">
      <w:pPr>
        <w:spacing w:before="4"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 xml:space="preserve">买    方：                                               </w:t>
      </w:r>
      <w:r>
        <w:rPr>
          <w:rFonts w:ascii="微软雅黑" w:hAnsi="微软雅黑" w:eastAsia="微软雅黑" w:cs="微软雅黑"/>
          <w:color w:val="auto"/>
          <w:spacing w:val="-6"/>
          <w:sz w:val="21"/>
          <w:szCs w:val="21"/>
          <w:highlight w:val="none"/>
        </w:rPr>
        <w:t xml:space="preserve">         卖    方：</w:t>
      </w:r>
    </w:p>
    <w:p w14:paraId="5B7087E2">
      <w:pPr>
        <w:spacing w:before="139"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称</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1"/>
          <w:sz w:val="21"/>
          <w:szCs w:val="21"/>
          <w:highlight w:val="none"/>
        </w:rPr>
        <w:t>盖章）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名</w:t>
      </w:r>
      <w:r>
        <w:rPr>
          <w:rFonts w:ascii="微软雅黑" w:hAnsi="微软雅黑" w:eastAsia="微软雅黑" w:cs="微软雅黑"/>
          <w:color w:val="auto"/>
          <w:spacing w:val="16"/>
          <w:w w:val="101"/>
          <w:sz w:val="21"/>
          <w:szCs w:val="21"/>
          <w:highlight w:val="none"/>
        </w:rPr>
        <w:t xml:space="preserve">   </w:t>
      </w:r>
      <w:r>
        <w:rPr>
          <w:rFonts w:ascii="微软雅黑" w:hAnsi="微软雅黑" w:eastAsia="微软雅黑" w:cs="微软雅黑"/>
          <w:color w:val="auto"/>
          <w:spacing w:val="1"/>
          <w:sz w:val="21"/>
          <w:szCs w:val="21"/>
          <w:highlight w:val="none"/>
        </w:rPr>
        <w:t>称</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1"/>
          <w:sz w:val="21"/>
          <w:szCs w:val="21"/>
          <w:highlight w:val="none"/>
        </w:rPr>
        <w:t>盖章）</w:t>
      </w:r>
    </w:p>
    <w:p w14:paraId="6430F00D">
      <w:pPr>
        <w:spacing w:before="145" w:line="183"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法定代表人（或委托代理人</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
          <w:sz w:val="21"/>
          <w:szCs w:val="21"/>
          <w:highlight w:val="none"/>
        </w:rPr>
        <w:t>签字）  法定代表人（或委托代理人</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
          <w:sz w:val="21"/>
          <w:szCs w:val="21"/>
          <w:highlight w:val="none"/>
        </w:rPr>
        <w:t>签字）</w:t>
      </w:r>
    </w:p>
    <w:p w14:paraId="51DB5468">
      <w:pPr>
        <w:spacing w:before="145" w:line="194"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地</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4"/>
          <w:sz w:val="21"/>
          <w:szCs w:val="21"/>
          <w:highlight w:val="none"/>
        </w:rPr>
        <w:t xml:space="preserve">址：                                                  </w:t>
      </w:r>
      <w:r>
        <w:rPr>
          <w:rFonts w:ascii="微软雅黑" w:hAnsi="微软雅黑" w:eastAsia="微软雅黑" w:cs="微软雅黑"/>
          <w:color w:val="auto"/>
          <w:spacing w:val="-5"/>
          <w:sz w:val="21"/>
          <w:szCs w:val="21"/>
          <w:highlight w:val="none"/>
        </w:rPr>
        <w:t xml:space="preserve"> 地</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址：</w:t>
      </w:r>
    </w:p>
    <w:p w14:paraId="60555C47">
      <w:pPr>
        <w:spacing w:before="129" w:line="188" w:lineRule="auto"/>
        <w:ind w:left="48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 xml:space="preserve">邮政编码：                                              </w:t>
      </w:r>
      <w:r>
        <w:rPr>
          <w:rFonts w:ascii="微软雅黑" w:hAnsi="微软雅黑" w:eastAsia="微软雅黑" w:cs="微软雅黑"/>
          <w:color w:val="auto"/>
          <w:spacing w:val="-2"/>
          <w:sz w:val="21"/>
          <w:szCs w:val="21"/>
          <w:highlight w:val="none"/>
        </w:rPr>
        <w:t xml:space="preserve">   邮政编码：</w:t>
      </w:r>
    </w:p>
    <w:p w14:paraId="0C104626">
      <w:pPr>
        <w:spacing w:before="137" w:line="189" w:lineRule="auto"/>
        <w:ind w:left="49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电</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 xml:space="preserve">话：                                          </w:t>
      </w:r>
      <w:r>
        <w:rPr>
          <w:rFonts w:ascii="微软雅黑" w:hAnsi="微软雅黑" w:eastAsia="微软雅黑" w:cs="微软雅黑"/>
          <w:color w:val="auto"/>
          <w:spacing w:val="-7"/>
          <w:sz w:val="21"/>
          <w:szCs w:val="21"/>
          <w:highlight w:val="none"/>
        </w:rPr>
        <w:t xml:space="preserve">           电        话：</w:t>
      </w:r>
    </w:p>
    <w:p w14:paraId="310C30D1">
      <w:pPr>
        <w:spacing w:before="136"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开户银行：                                                开户银行：</w:t>
      </w:r>
    </w:p>
    <w:p w14:paraId="5D0F5561">
      <w:pPr>
        <w:spacing w:before="164" w:line="190" w:lineRule="auto"/>
        <w:ind w:firstLine="400" w:firstLineChars="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帐</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 xml:space="preserve">号：                                         </w:t>
      </w:r>
      <w:r>
        <w:rPr>
          <w:rFonts w:ascii="微软雅黑" w:hAnsi="微软雅黑" w:eastAsia="微软雅黑" w:cs="微软雅黑"/>
          <w:color w:val="auto"/>
          <w:spacing w:val="-6"/>
          <w:sz w:val="21"/>
          <w:szCs w:val="21"/>
          <w:highlight w:val="none"/>
        </w:rPr>
        <w:t xml:space="preserve">           帐</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号：</w:t>
      </w:r>
    </w:p>
    <w:p w14:paraId="31BE76A8">
      <w:pPr>
        <w:spacing w:before="201" w:line="188" w:lineRule="auto"/>
        <w:ind w:left="3304"/>
        <w:rPr>
          <w:rFonts w:ascii="微软雅黑" w:hAnsi="微软雅黑" w:eastAsia="微软雅黑" w:cs="微软雅黑"/>
          <w:b/>
          <w:bCs/>
          <w:color w:val="auto"/>
          <w:spacing w:val="-10"/>
          <w:sz w:val="30"/>
          <w:szCs w:val="30"/>
          <w:highlight w:val="none"/>
        </w:rPr>
      </w:pPr>
      <w:bookmarkStart w:id="138" w:name="bookmark74"/>
      <w:bookmarkEnd w:id="138"/>
      <w:bookmarkStart w:id="139" w:name="bookmark76"/>
      <w:bookmarkEnd w:id="139"/>
    </w:p>
    <w:p w14:paraId="54BCD1B2">
      <w:pPr>
        <w:spacing w:before="201" w:line="188" w:lineRule="auto"/>
        <w:ind w:left="3304"/>
        <w:rPr>
          <w:rFonts w:ascii="微软雅黑" w:hAnsi="微软雅黑" w:eastAsia="微软雅黑" w:cs="微软雅黑"/>
          <w:b/>
          <w:bCs/>
          <w:color w:val="auto"/>
          <w:spacing w:val="-10"/>
          <w:sz w:val="30"/>
          <w:szCs w:val="30"/>
          <w:highlight w:val="none"/>
        </w:rPr>
      </w:pPr>
    </w:p>
    <w:p w14:paraId="03F9B144">
      <w:pPr>
        <w:spacing w:before="201" w:line="188" w:lineRule="auto"/>
        <w:ind w:left="3304"/>
        <w:rPr>
          <w:rFonts w:ascii="微软雅黑" w:hAnsi="微软雅黑" w:eastAsia="微软雅黑" w:cs="微软雅黑"/>
          <w:b/>
          <w:bCs/>
          <w:color w:val="auto"/>
          <w:spacing w:val="-10"/>
          <w:sz w:val="30"/>
          <w:szCs w:val="30"/>
          <w:highlight w:val="none"/>
        </w:rPr>
      </w:pPr>
    </w:p>
    <w:p w14:paraId="10839161">
      <w:pPr>
        <w:spacing w:before="201" w:line="188" w:lineRule="auto"/>
        <w:ind w:left="3304"/>
        <w:rPr>
          <w:rFonts w:ascii="微软雅黑" w:hAnsi="微软雅黑" w:eastAsia="微软雅黑" w:cs="微软雅黑"/>
          <w:color w:val="auto"/>
          <w:sz w:val="30"/>
          <w:szCs w:val="30"/>
          <w:highlight w:val="none"/>
        </w:rPr>
      </w:pPr>
      <w:r>
        <w:rPr>
          <w:rFonts w:ascii="微软雅黑" w:hAnsi="微软雅黑" w:eastAsia="微软雅黑" w:cs="微软雅黑"/>
          <w:b/>
          <w:bCs/>
          <w:color w:val="auto"/>
          <w:spacing w:val="-10"/>
          <w:sz w:val="30"/>
          <w:szCs w:val="30"/>
          <w:highlight w:val="none"/>
        </w:rPr>
        <w:t>二</w:t>
      </w:r>
      <w:r>
        <w:rPr>
          <w:rFonts w:ascii="微软雅黑" w:hAnsi="微软雅黑" w:eastAsia="微软雅黑" w:cs="微软雅黑"/>
          <w:b/>
          <w:bCs/>
          <w:color w:val="auto"/>
          <w:spacing w:val="22"/>
          <w:sz w:val="30"/>
          <w:szCs w:val="30"/>
          <w:highlight w:val="none"/>
        </w:rPr>
        <w:t xml:space="preserve">   </w:t>
      </w:r>
      <w:r>
        <w:rPr>
          <w:rFonts w:ascii="微软雅黑" w:hAnsi="微软雅黑" w:eastAsia="微软雅黑" w:cs="微软雅黑"/>
          <w:b/>
          <w:bCs/>
          <w:color w:val="auto"/>
          <w:spacing w:val="-10"/>
          <w:sz w:val="30"/>
          <w:szCs w:val="30"/>
          <w:highlight w:val="none"/>
        </w:rPr>
        <w:t>合同条款</w:t>
      </w:r>
    </w:p>
    <w:p w14:paraId="5A351907">
      <w:pPr>
        <w:spacing w:before="147" w:line="188" w:lineRule="auto"/>
        <w:ind w:left="4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一.</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3"/>
          <w:sz w:val="21"/>
          <w:szCs w:val="21"/>
          <w:highlight w:val="none"/>
        </w:rPr>
        <w:t>合同文件</w:t>
      </w:r>
    </w:p>
    <w:p w14:paraId="68FF9A0B">
      <w:pPr>
        <w:spacing w:before="156"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1、合同文件适用法律</w:t>
      </w:r>
    </w:p>
    <w:p w14:paraId="1BF3343C">
      <w:pPr>
        <w:spacing w:before="158" w:line="292" w:lineRule="auto"/>
        <w:ind w:left="49" w:right="61" w:firstLine="63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适用于合同文件的法律是中华人民共和国现行法律</w:t>
      </w:r>
      <w:r>
        <w:rPr>
          <w:rFonts w:ascii="微软雅黑" w:hAnsi="微软雅黑" w:eastAsia="微软雅黑" w:cs="微软雅黑"/>
          <w:color w:val="auto"/>
          <w:spacing w:val="2"/>
          <w:sz w:val="21"/>
          <w:szCs w:val="21"/>
          <w:highlight w:val="none"/>
        </w:rPr>
        <w:t>、法规及招标人所在地的地方性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法规。</w:t>
      </w:r>
    </w:p>
    <w:p w14:paraId="364AE3F0">
      <w:pPr>
        <w:spacing w:before="4" w:line="187"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2、合同文件组成和解释顺序</w:t>
      </w:r>
    </w:p>
    <w:p w14:paraId="7AB95C4F">
      <w:pPr>
        <w:spacing w:before="158" w:line="292" w:lineRule="auto"/>
        <w:ind w:left="574" w:right="4370" w:firstLine="3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(1)合同文件的组成和解释顺序如下：</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0"/>
          <w:sz w:val="21"/>
          <w:szCs w:val="21"/>
          <w:highlight w:val="none"/>
        </w:rPr>
        <w:t>&lt;1&gt;合同的主要条款；</w:t>
      </w:r>
    </w:p>
    <w:p w14:paraId="0D40B1E5">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&lt;2&gt;合同的一般性条款；</w:t>
      </w:r>
    </w:p>
    <w:p w14:paraId="1C78FF4C">
      <w:pPr>
        <w:spacing w:before="157" w:line="292" w:lineRule="auto"/>
        <w:ind w:left="574" w:right="30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&lt;3&gt;洽商、变更等明确双方权利义务的纪要、协议；</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5"/>
          <w:sz w:val="21"/>
          <w:szCs w:val="21"/>
          <w:highlight w:val="none"/>
        </w:rPr>
        <w:t>&lt;4&gt;中标通知书、投标文件和采购文件；</w:t>
      </w:r>
    </w:p>
    <w:p w14:paraId="507DD957">
      <w:pPr>
        <w:spacing w:before="3" w:line="292" w:lineRule="auto"/>
        <w:ind w:left="574" w:right="22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&lt;5&gt;有关图纸、标准、规范和其它有关技术资料、技术要求。</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2"/>
          <w:sz w:val="21"/>
          <w:szCs w:val="21"/>
          <w:highlight w:val="none"/>
        </w:rPr>
        <w:t>&lt;6&gt;合同的主要条款的效力优于合同的一般性</w:t>
      </w:r>
      <w:r>
        <w:rPr>
          <w:rFonts w:ascii="微软雅黑" w:hAnsi="微软雅黑" w:eastAsia="微软雅黑" w:cs="微软雅黑"/>
          <w:color w:val="auto"/>
          <w:spacing w:val="-3"/>
          <w:sz w:val="21"/>
          <w:szCs w:val="21"/>
          <w:highlight w:val="none"/>
        </w:rPr>
        <w:t>条款的效力。</w:t>
      </w:r>
    </w:p>
    <w:p w14:paraId="3CE97A09">
      <w:pPr>
        <w:spacing w:before="4" w:line="188"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3、合同文件使用文字</w:t>
      </w:r>
    </w:p>
    <w:p w14:paraId="1B37AFFD">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(1)合同文件使用中文书写、解释和说明。</w:t>
      </w:r>
    </w:p>
    <w:p w14:paraId="2AC47387">
      <w:pPr>
        <w:spacing w:before="166"/>
        <w:ind w:left="46"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(2)合同文件使用技术性条款约定的为国家标准和规范；国家没有相应标准、规范时，</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2"/>
          <w:sz w:val="21"/>
          <w:szCs w:val="21"/>
          <w:highlight w:val="none"/>
        </w:rPr>
        <w:t>可使用行业标准、规范。非标货物应按约定的技术性条款的标准和规范。</w:t>
      </w:r>
    </w:p>
    <w:p w14:paraId="08C55CE7">
      <w:pPr>
        <w:spacing w:before="158" w:line="188" w:lineRule="auto"/>
        <w:ind w:left="49"/>
        <w:rPr>
          <w:rFonts w:ascii="微软雅黑" w:hAnsi="微软雅黑" w:eastAsia="微软雅黑" w:cs="微软雅黑"/>
          <w:color w:val="auto"/>
          <w:sz w:val="21"/>
          <w:szCs w:val="21"/>
          <w:highlight w:val="none"/>
        </w:rPr>
      </w:pPr>
      <w:bookmarkStart w:id="140" w:name="bookmark78"/>
      <w:bookmarkEnd w:id="140"/>
      <w:r>
        <w:rPr>
          <w:rFonts w:ascii="微软雅黑" w:hAnsi="微软雅黑" w:eastAsia="微软雅黑" w:cs="微软雅黑"/>
          <w:b/>
          <w:bCs/>
          <w:color w:val="auto"/>
          <w:spacing w:val="3"/>
          <w:sz w:val="21"/>
          <w:szCs w:val="21"/>
          <w:highlight w:val="none"/>
        </w:rPr>
        <w:t>二.</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3"/>
          <w:sz w:val="21"/>
          <w:szCs w:val="21"/>
          <w:highlight w:val="none"/>
        </w:rPr>
        <w:t>标的物的一般条款</w:t>
      </w:r>
    </w:p>
    <w:p w14:paraId="6BC75EC5">
      <w:pPr>
        <w:spacing w:before="158" w:line="188" w:lineRule="auto"/>
        <w:ind w:left="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4、完整物权</w:t>
      </w:r>
    </w:p>
    <w:p w14:paraId="202F1DBF">
      <w:pPr>
        <w:spacing w:before="158" w:line="289" w:lineRule="auto"/>
        <w:ind w:left="48" w:right="40" w:firstLine="6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对于出卖的标的物，</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卖方应当拥有完整物权，</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并且卖方负有保证第三人不得向买方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主张任何权利（包括知识产权）</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的义务。</w:t>
      </w:r>
    </w:p>
    <w:p w14:paraId="41FD0C07">
      <w:pPr>
        <w:spacing w:before="12" w:line="188"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5、质量保证</w:t>
      </w:r>
    </w:p>
    <w:p w14:paraId="6828DDC9">
      <w:pPr>
        <w:spacing w:before="158" w:line="272" w:lineRule="auto"/>
        <w:ind w:left="43" w:right="61"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(1)卖方应保证所供标的物是全新的，</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未使用过的，</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并且是非长期积</w:t>
      </w:r>
      <w:r>
        <w:rPr>
          <w:rFonts w:ascii="微软雅黑" w:hAnsi="微软雅黑" w:eastAsia="微软雅黑" w:cs="微软雅黑"/>
          <w:color w:val="auto"/>
          <w:spacing w:val="1"/>
          <w:sz w:val="21"/>
          <w:szCs w:val="21"/>
          <w:highlight w:val="none"/>
        </w:rPr>
        <w:t>压的库存商品，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完全符合合同规定的质量、规格和性能的要求，</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卖方应保证其提供的</w:t>
      </w:r>
      <w:r>
        <w:rPr>
          <w:rFonts w:ascii="微软雅黑" w:hAnsi="微软雅黑" w:eastAsia="微软雅黑" w:cs="微软雅黑"/>
          <w:color w:val="auto"/>
          <w:spacing w:val="1"/>
          <w:sz w:val="21"/>
          <w:szCs w:val="21"/>
          <w:highlight w:val="none"/>
        </w:rPr>
        <w:t>标的物在正确安装，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正常使用和保养条件下，</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在其标称的使用寿命期内应具有满意的性能。在卖方承诺的质量</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保证期限内，</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卖方应对由于设计、工艺或材料的缺陷及伴随服务而造成的任</w:t>
      </w:r>
      <w:r>
        <w:rPr>
          <w:rFonts w:ascii="微软雅黑" w:hAnsi="微软雅黑" w:eastAsia="微软雅黑" w:cs="微软雅黑"/>
          <w:color w:val="auto"/>
          <w:spacing w:val="1"/>
          <w:sz w:val="21"/>
          <w:szCs w:val="21"/>
          <w:highlight w:val="none"/>
        </w:rPr>
        <w:t>何不足或故障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负责。</w:t>
      </w:r>
    </w:p>
    <w:p w14:paraId="00D36078">
      <w:pPr>
        <w:spacing w:before="158" w:line="276" w:lineRule="auto"/>
        <w:ind w:left="35" w:right="61" w:firstLine="570"/>
        <w:rPr>
          <w:rFonts w:ascii="Times New Roman" w:hAnsi="Times New Roman" w:eastAsia="Times New Roman" w:cs="Times New Roman"/>
          <w:color w:val="auto"/>
          <w:sz w:val="18"/>
          <w:szCs w:val="18"/>
          <w:highlight w:val="none"/>
        </w:rPr>
        <w:sectPr>
          <w:pgSz w:w="11905" w:h="16839"/>
          <w:pgMar w:top="400" w:right="1738" w:bottom="400" w:left="1768" w:header="0" w:footer="0" w:gutter="0"/>
          <w:cols w:space="720" w:num="1"/>
        </w:sectPr>
      </w:pPr>
      <w:r>
        <w:rPr>
          <w:rFonts w:ascii="微软雅黑" w:hAnsi="微软雅黑" w:eastAsia="微软雅黑" w:cs="微软雅黑"/>
          <w:color w:val="auto"/>
          <w:spacing w:val="2"/>
          <w:sz w:val="21"/>
          <w:szCs w:val="21"/>
          <w:highlight w:val="none"/>
        </w:rPr>
        <w:t>(2)根据买方按检验标准自己检验的结果或当地技监部门的检验结果，</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或者在质量保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证期内，</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如果标的物的数量、质量或规格与合同</w:t>
      </w:r>
      <w:r>
        <w:rPr>
          <w:rFonts w:ascii="微软雅黑" w:hAnsi="微软雅黑" w:eastAsia="微软雅黑" w:cs="微软雅黑"/>
          <w:color w:val="auto"/>
          <w:spacing w:val="1"/>
          <w:sz w:val="21"/>
          <w:szCs w:val="21"/>
          <w:highlight w:val="none"/>
        </w:rPr>
        <w:t>不符或证实标的物是有缺陷的，</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包括潜在</w:t>
      </w:r>
      <w:r>
        <w:rPr>
          <w:rFonts w:ascii="微软雅黑" w:hAnsi="微软雅黑" w:eastAsia="微软雅黑" w:cs="微软雅黑"/>
          <w:color w:val="auto"/>
          <w:sz w:val="21"/>
          <w:szCs w:val="21"/>
          <w:highlight w:val="none"/>
        </w:rPr>
        <w:t xml:space="preserve"> </w:t>
      </w:r>
      <w:r>
        <w:rPr>
          <w:rFonts w:ascii="宋体" w:hAnsi="宋体" w:eastAsia="宋体" w:cs="宋体"/>
          <w:color w:val="auto"/>
          <w:spacing w:val="-1"/>
          <w:sz w:val="16"/>
          <w:szCs w:val="16"/>
          <w:highlight w:val="none"/>
        </w:rPr>
        <w:t xml:space="preserve">                                             </w:t>
      </w:r>
    </w:p>
    <w:p w14:paraId="2E209225">
      <w:pPr>
        <w:pStyle w:val="6"/>
        <w:spacing w:line="447" w:lineRule="auto"/>
        <w:rPr>
          <w:color w:val="auto"/>
          <w:highlight w:val="none"/>
        </w:rPr>
      </w:pPr>
    </w:p>
    <w:p w14:paraId="7C5F65FC">
      <w:pPr>
        <w:spacing w:line="884" w:lineRule="exact"/>
        <w:ind w:firstLine="28"/>
        <w:rPr>
          <w:color w:val="auto"/>
          <w:highlight w:val="none"/>
        </w:rPr>
      </w:pPr>
      <w:r>
        <w:rPr>
          <w:color w:val="auto"/>
          <w:highlight w:val="none"/>
        </w:rPr>
        <w:pict>
          <v:shape id="_x0000_s1042" o:spid="_x0000_s1042" style="position:absolute;left:0pt;margin-left:0.25pt;margin-top:44.45pt;height:0.5pt;width:418.5pt;z-index:251669504;mso-width-relative:page;mso-height-relative:page;" filled="f" stroked="t" coordsize="8370,10" path="m0,5l8369,5e">
            <v:fill on="f" focussize="0,0"/>
            <v:stroke weight="0.5pt" color="#FFFFFF" miterlimit="10" joinstyle="miter"/>
            <v:imagedata o:title=""/>
            <o:lock v:ext="edit" aspectratio="f"/>
          </v:shape>
        </w:pict>
      </w:r>
    </w:p>
    <w:p w14:paraId="60CDFD87">
      <w:pPr>
        <w:spacing w:before="181"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缺陷或使用不符合要求的材料等，</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买方应尽快以书面形式</w:t>
      </w:r>
      <w:r>
        <w:rPr>
          <w:rFonts w:ascii="微软雅黑" w:hAnsi="微软雅黑" w:eastAsia="微软雅黑" w:cs="微软雅黑"/>
          <w:color w:val="auto"/>
          <w:spacing w:val="1"/>
          <w:sz w:val="21"/>
          <w:szCs w:val="21"/>
          <w:highlight w:val="none"/>
        </w:rPr>
        <w:t>通知卖方并提出索赔。</w:t>
      </w:r>
    </w:p>
    <w:p w14:paraId="3A245D1A">
      <w:pPr>
        <w:spacing w:before="156" w:line="257" w:lineRule="auto"/>
        <w:ind w:left="47" w:right="65" w:firstLine="5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(3)除合同主要条款规定外，</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合同条款中标的物的质量保证期均自标的物通过最终验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收之日起计算，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且质量保证期按不低于国家标准和卖方承诺的高于国家标准的质保</w:t>
      </w:r>
      <w:r>
        <w:rPr>
          <w:rFonts w:ascii="微软雅黑" w:hAnsi="微软雅黑" w:eastAsia="微软雅黑" w:cs="微软雅黑"/>
          <w:color w:val="auto"/>
          <w:spacing w:val="1"/>
          <w:sz w:val="21"/>
          <w:szCs w:val="21"/>
          <w:highlight w:val="none"/>
        </w:rPr>
        <w:t>期（卖</w:t>
      </w:r>
      <w:r>
        <w:rPr>
          <w:rFonts w:ascii="微软雅黑" w:hAnsi="微软雅黑" w:eastAsia="微软雅黑" w:cs="微软雅黑"/>
          <w:color w:val="auto"/>
          <w:sz w:val="21"/>
          <w:szCs w:val="21"/>
          <w:highlight w:val="none"/>
        </w:rPr>
        <w:t xml:space="preserve"> 方有特殊要求的除外）</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w:t>
      </w:r>
    </w:p>
    <w:p w14:paraId="1BC6CE0A">
      <w:pPr>
        <w:spacing w:before="165" w:line="188"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6、包装</w:t>
      </w:r>
    </w:p>
    <w:p w14:paraId="2019E948">
      <w:pPr>
        <w:spacing w:before="158" w:line="292" w:lineRule="auto"/>
        <w:ind w:left="42" w:right="54" w:firstLine="489"/>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卖方应当按照约定的包装方式交付标的物。对包装方式没有约定或者约定不明确的，</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
          <w:sz w:val="21"/>
          <w:szCs w:val="21"/>
          <w:highlight w:val="none"/>
        </w:rPr>
        <w:t>应当按照双方补充协议约定的方式包装，</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或者按照通用的方式包装，</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没有通用方式的，应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当采取足以保护标的物的包装方式。</w:t>
      </w:r>
    </w:p>
    <w:p w14:paraId="4E6E542A">
      <w:pPr>
        <w:spacing w:before="3"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7、伴随服务</w:t>
      </w:r>
    </w:p>
    <w:p w14:paraId="3A9E4A3D">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(1)卖方除应履行按期按量交付合格标的物的义务之外，</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还应提供下列服务：</w:t>
      </w:r>
    </w:p>
    <w:p w14:paraId="0894E3B4">
      <w:pPr>
        <w:spacing w:before="165" w:line="183"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&lt;1&gt;标的物的现场安装或指导安装、启动、调试、监督（如果必须安装、调试的</w:t>
      </w:r>
    </w:p>
    <w:p w14:paraId="40C596E3">
      <w:pPr>
        <w:spacing w:before="165" w:line="183"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w w:val="95"/>
          <w:sz w:val="21"/>
          <w:szCs w:val="21"/>
          <w:highlight w:val="none"/>
        </w:rPr>
        <w:t>话</w:t>
      </w:r>
      <w:r>
        <w:rPr>
          <w:rFonts w:ascii="微软雅黑" w:hAnsi="微软雅黑" w:eastAsia="微软雅黑" w:cs="微软雅黑"/>
          <w:color w:val="auto"/>
          <w:sz w:val="21"/>
          <w:szCs w:val="21"/>
          <w:highlight w:val="none"/>
        </w:rPr>
        <w:t>）；</w:t>
      </w:r>
    </w:p>
    <w:p w14:paraId="5B1EB279">
      <w:pPr>
        <w:spacing w:before="165"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&lt;2&gt;提供标的物组装和一般维修所必须的工具；</w:t>
      </w:r>
    </w:p>
    <w:p w14:paraId="1E2BD3D1">
      <w:pPr>
        <w:spacing w:before="159" w:line="291" w:lineRule="auto"/>
        <w:ind w:left="48" w:right="65" w:firstLine="5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&lt;3&gt;在合同规定的期限内对所提供标的物实行运行监督、维修服务的前提条件是该服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2"/>
          <w:sz w:val="21"/>
          <w:szCs w:val="21"/>
          <w:highlight w:val="none"/>
        </w:rPr>
        <w:t>务并不能免除卖方在质量保证期内所承担的</w:t>
      </w:r>
      <w:r>
        <w:rPr>
          <w:rFonts w:ascii="微软雅黑" w:hAnsi="微软雅黑" w:eastAsia="微软雅黑" w:cs="微软雅黑"/>
          <w:color w:val="auto"/>
          <w:spacing w:val="1"/>
          <w:sz w:val="21"/>
          <w:szCs w:val="21"/>
          <w:highlight w:val="none"/>
        </w:rPr>
        <w:t>义务；</w:t>
      </w:r>
    </w:p>
    <w:p w14:paraId="075EA821">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&lt;4&gt;对买方技术人员的技术指导或培训。</w:t>
      </w:r>
    </w:p>
    <w:p w14:paraId="4C2713E1">
      <w:pPr>
        <w:spacing w:before="158" w:line="292" w:lineRule="auto"/>
        <w:ind w:left="42" w:right="65"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(2)除合同另有规定之外，</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伴随服务的费用均已含在合同价</w:t>
      </w:r>
      <w:r>
        <w:rPr>
          <w:rFonts w:ascii="微软雅黑" w:hAnsi="微软雅黑" w:eastAsia="微软雅黑" w:cs="微软雅黑"/>
          <w:color w:val="auto"/>
          <w:spacing w:val="1"/>
          <w:sz w:val="21"/>
          <w:szCs w:val="21"/>
          <w:highlight w:val="none"/>
        </w:rPr>
        <w:t>款中，</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买方不再另行进行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支付。</w:t>
      </w:r>
    </w:p>
    <w:p w14:paraId="3D097C81">
      <w:pPr>
        <w:spacing w:before="4" w:line="188" w:lineRule="auto"/>
        <w:ind w:left="48"/>
        <w:rPr>
          <w:rFonts w:ascii="微软雅黑" w:hAnsi="微软雅黑" w:eastAsia="微软雅黑" w:cs="微软雅黑"/>
          <w:color w:val="auto"/>
          <w:sz w:val="21"/>
          <w:szCs w:val="21"/>
          <w:highlight w:val="none"/>
        </w:rPr>
      </w:pPr>
      <w:bookmarkStart w:id="141" w:name="bookmark80"/>
      <w:bookmarkEnd w:id="141"/>
      <w:r>
        <w:rPr>
          <w:rFonts w:ascii="微软雅黑" w:hAnsi="微软雅黑" w:eastAsia="微软雅黑" w:cs="微软雅黑"/>
          <w:b/>
          <w:bCs/>
          <w:color w:val="auto"/>
          <w:spacing w:val="3"/>
          <w:sz w:val="21"/>
          <w:szCs w:val="21"/>
          <w:highlight w:val="none"/>
        </w:rPr>
        <w:t>三.</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3"/>
          <w:sz w:val="21"/>
          <w:szCs w:val="21"/>
          <w:highlight w:val="none"/>
        </w:rPr>
        <w:t>标的物的交付、检验和验收</w:t>
      </w:r>
    </w:p>
    <w:p w14:paraId="5472269D">
      <w:pPr>
        <w:spacing w:before="157" w:line="189"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8、标的物的交付</w:t>
      </w:r>
    </w:p>
    <w:p w14:paraId="6BD2D8FB">
      <w:pPr>
        <w:spacing w:before="157"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(1)标的物的所有权自标的物交付时转移。</w:t>
      </w:r>
    </w:p>
    <w:p w14:paraId="3155FF15">
      <w:pPr>
        <w:spacing w:before="166"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(2)卖方应当按照约定的期限和约定的地点交付符合采购文件要求的标的物。</w:t>
      </w:r>
    </w:p>
    <w:p w14:paraId="3BF7BBB5">
      <w:pPr>
        <w:spacing w:before="163" w:line="241" w:lineRule="auto"/>
        <w:ind w:left="42" w:right="65"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(3)</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8"/>
          <w:sz w:val="21"/>
          <w:szCs w:val="21"/>
          <w:highlight w:val="none"/>
        </w:rPr>
        <w:t>卖方应当按照约定或者交易习惯向招标人交付提取标的物单证以外的有关</w:t>
      </w:r>
      <w:r>
        <w:rPr>
          <w:rFonts w:ascii="微软雅黑" w:hAnsi="微软雅黑" w:eastAsia="微软雅黑" w:cs="微软雅黑"/>
          <w:color w:val="auto"/>
          <w:spacing w:val="7"/>
          <w:sz w:val="21"/>
          <w:szCs w:val="21"/>
          <w:highlight w:val="none"/>
        </w:rPr>
        <w:t>单证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和资料。</w:t>
      </w:r>
    </w:p>
    <w:p w14:paraId="6A4B2AD5">
      <w:pPr>
        <w:spacing w:before="158" w:line="188"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9、检验和验收</w:t>
      </w:r>
    </w:p>
    <w:p w14:paraId="65F65D69">
      <w:pPr>
        <w:spacing w:before="156" w:line="258" w:lineRule="auto"/>
        <w:ind w:left="47" w:right="65"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(1)在交货时，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卖方应配合买方对标的物的质量、规格、性能、数量等进行详细而全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面的检验，</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并出具一份合格检验证明，</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合格检验证明作为验收的依据</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但不能作为有关标 </w:t>
      </w:r>
      <w:r>
        <w:rPr>
          <w:rFonts w:ascii="微软雅黑" w:hAnsi="微软雅黑" w:eastAsia="微软雅黑" w:cs="微软雅黑"/>
          <w:color w:val="auto"/>
          <w:spacing w:val="2"/>
          <w:sz w:val="21"/>
          <w:szCs w:val="21"/>
          <w:highlight w:val="none"/>
        </w:rPr>
        <w:t>的物质量、规格、数量或性能的最终检验结</w:t>
      </w:r>
      <w:r>
        <w:rPr>
          <w:rFonts w:ascii="微软雅黑" w:hAnsi="微软雅黑" w:eastAsia="微软雅黑" w:cs="微软雅黑"/>
          <w:color w:val="auto"/>
          <w:spacing w:val="1"/>
          <w:sz w:val="21"/>
          <w:szCs w:val="21"/>
          <w:highlight w:val="none"/>
        </w:rPr>
        <w:t>果。</w:t>
      </w:r>
    </w:p>
    <w:p w14:paraId="746D67CF">
      <w:pPr>
        <w:spacing w:before="161"/>
        <w:ind w:left="4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(2)买方根据合同规定的内容和验收标准进行验收，经检验无误后出具验收合格证明，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2"/>
          <w:sz w:val="21"/>
          <w:szCs w:val="21"/>
          <w:highlight w:val="none"/>
        </w:rPr>
        <w:t>该证明作为最终付款所需文件的组成部分。</w:t>
      </w:r>
    </w:p>
    <w:p w14:paraId="40C553E7">
      <w:pPr>
        <w:spacing w:before="292" w:line="224" w:lineRule="auto"/>
        <w:ind w:left="35"/>
        <w:rPr>
          <w:rFonts w:ascii="Times New Roman" w:hAnsi="Times New Roman" w:eastAsia="Times New Roman" w:cs="Times New Roman"/>
          <w:color w:val="auto"/>
          <w:sz w:val="18"/>
          <w:szCs w:val="18"/>
          <w:highlight w:val="none"/>
        </w:rPr>
      </w:pPr>
      <w:r>
        <w:rPr>
          <w:rFonts w:ascii="宋体" w:hAnsi="宋体" w:eastAsia="宋体" w:cs="宋体"/>
          <w:color w:val="auto"/>
          <w:spacing w:val="-1"/>
          <w:sz w:val="16"/>
          <w:szCs w:val="16"/>
          <w:highlight w:val="none"/>
        </w:rPr>
        <w:t xml:space="preserve">                              </w:t>
      </w:r>
    </w:p>
    <w:p w14:paraId="5C841133">
      <w:pPr>
        <w:spacing w:line="224" w:lineRule="auto"/>
        <w:rPr>
          <w:rFonts w:ascii="Times New Roman" w:hAnsi="Times New Roman" w:eastAsia="Times New Roman" w:cs="Times New Roman"/>
          <w:color w:val="auto"/>
          <w:sz w:val="18"/>
          <w:szCs w:val="18"/>
          <w:highlight w:val="none"/>
        </w:rPr>
        <w:sectPr>
          <w:pgSz w:w="11905" w:h="16839"/>
          <w:pgMar w:top="400" w:right="1734" w:bottom="400" w:left="1768" w:header="0" w:footer="0" w:gutter="0"/>
          <w:cols w:space="720" w:num="1"/>
        </w:sectPr>
      </w:pPr>
    </w:p>
    <w:p w14:paraId="16296425">
      <w:pPr>
        <w:pStyle w:val="6"/>
        <w:spacing w:line="447" w:lineRule="auto"/>
        <w:rPr>
          <w:color w:val="auto"/>
          <w:highlight w:val="none"/>
        </w:rPr>
      </w:pPr>
    </w:p>
    <w:p w14:paraId="1F1A61FC">
      <w:pPr>
        <w:spacing w:line="884" w:lineRule="exact"/>
        <w:ind w:firstLine="28"/>
        <w:rPr>
          <w:color w:val="auto"/>
          <w:highlight w:val="none"/>
        </w:rPr>
      </w:pPr>
      <w:r>
        <w:rPr>
          <w:color w:val="auto"/>
          <w:highlight w:val="none"/>
        </w:rPr>
        <w:pict>
          <v:shape id="_x0000_s1043" o:spid="_x0000_s1043" style="position:absolute;left:0pt;margin-left:0.25pt;margin-top:44.45pt;height:0.5pt;width:418.5pt;z-index:251670528;mso-width-relative:page;mso-height-relative:page;" filled="f" stroked="t" coordsize="8370,10" path="m0,5l8369,5e">
            <v:fill on="f" focussize="0,0"/>
            <v:stroke weight="0.5pt" color="#FFFFFF" miterlimit="10" joinstyle="miter"/>
            <v:imagedata o:title=""/>
            <o:lock v:ext="edit" aspectratio="f"/>
          </v:shape>
        </w:pict>
      </w:r>
    </w:p>
    <w:p w14:paraId="29FD9C39">
      <w:pPr>
        <w:spacing w:before="181" w:line="292" w:lineRule="auto"/>
        <w:ind w:left="69" w:right="32" w:firstLine="53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(3)验收期限自标的物交付之日起三十天内。特殊情况需延长的，双方应在合同条款</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9"/>
          <w:sz w:val="21"/>
          <w:szCs w:val="21"/>
          <w:highlight w:val="none"/>
        </w:rPr>
        <w:t>中约定。</w:t>
      </w:r>
    </w:p>
    <w:p w14:paraId="258EE7CE">
      <w:pPr>
        <w:spacing w:before="3" w:line="188" w:lineRule="auto"/>
        <w:ind w:left="67"/>
        <w:rPr>
          <w:rFonts w:ascii="微软雅黑" w:hAnsi="微软雅黑" w:eastAsia="微软雅黑" w:cs="微软雅黑"/>
          <w:color w:val="auto"/>
          <w:sz w:val="21"/>
          <w:szCs w:val="21"/>
          <w:highlight w:val="none"/>
        </w:rPr>
      </w:pPr>
      <w:bookmarkStart w:id="142" w:name="bookmark82"/>
      <w:bookmarkEnd w:id="142"/>
      <w:r>
        <w:rPr>
          <w:rFonts w:ascii="微软雅黑" w:hAnsi="微软雅黑" w:eastAsia="微软雅黑" w:cs="微软雅黑"/>
          <w:b/>
          <w:bCs/>
          <w:color w:val="auto"/>
          <w:spacing w:val="2"/>
          <w:sz w:val="21"/>
          <w:szCs w:val="21"/>
          <w:highlight w:val="none"/>
        </w:rPr>
        <w:t>四.</w:t>
      </w:r>
      <w:r>
        <w:rPr>
          <w:rFonts w:ascii="微软雅黑" w:hAnsi="微软雅黑" w:eastAsia="微软雅黑" w:cs="微软雅黑"/>
          <w:b/>
          <w:bCs/>
          <w:color w:val="auto"/>
          <w:spacing w:val="62"/>
          <w:w w:val="101"/>
          <w:sz w:val="21"/>
          <w:szCs w:val="21"/>
          <w:highlight w:val="none"/>
        </w:rPr>
        <w:t xml:space="preserve"> </w:t>
      </w:r>
      <w:r>
        <w:rPr>
          <w:rFonts w:ascii="微软雅黑" w:hAnsi="微软雅黑" w:eastAsia="微软雅黑" w:cs="微软雅黑"/>
          <w:b/>
          <w:bCs/>
          <w:color w:val="auto"/>
          <w:spacing w:val="2"/>
          <w:sz w:val="21"/>
          <w:szCs w:val="21"/>
          <w:highlight w:val="none"/>
        </w:rPr>
        <w:t>对标的物提出异议的时间和办法</w:t>
      </w:r>
    </w:p>
    <w:p w14:paraId="744C3D8C">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10、对标的物提出异议的时间和办法</w:t>
      </w:r>
    </w:p>
    <w:p w14:paraId="05D14776">
      <w:pPr>
        <w:spacing w:before="158"/>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(1)买方在验收过程中，应当于双方约定的检验期间内将标的物的数量或质量不符合</w:t>
      </w:r>
      <w:r>
        <w:rPr>
          <w:rFonts w:ascii="微软雅黑" w:hAnsi="微软雅黑" w:eastAsia="微软雅黑" w:cs="微软雅黑"/>
          <w:color w:val="auto"/>
          <w:spacing w:val="2"/>
          <w:sz w:val="21"/>
          <w:szCs w:val="21"/>
          <w:highlight w:val="none"/>
        </w:rPr>
        <w:t xml:space="preserve"> 约定的情形及处理方式以书面形式通知卖方。</w:t>
      </w:r>
    </w:p>
    <w:p w14:paraId="2537E94B">
      <w:pPr>
        <w:spacing w:before="157"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(2)如买方在验收期满后既不出具验收合格证明又未提出书面异议</w:t>
      </w:r>
      <w:r>
        <w:rPr>
          <w:rFonts w:ascii="微软雅黑" w:hAnsi="微软雅黑" w:eastAsia="微软雅黑" w:cs="微软雅黑"/>
          <w:color w:val="auto"/>
          <w:spacing w:val="8"/>
          <w:sz w:val="21"/>
          <w:szCs w:val="21"/>
          <w:highlight w:val="none"/>
        </w:rPr>
        <w:t>的视为卖方所交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标的物符合合同规定。</w:t>
      </w:r>
    </w:p>
    <w:p w14:paraId="0062C92C">
      <w:pPr>
        <w:spacing w:before="158"/>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(3)卖方应在收到买方书面异议后 3 天内负责处理问题，</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否则将视为默认买方提出的</w:t>
      </w:r>
      <w:r>
        <w:rPr>
          <w:rFonts w:ascii="微软雅黑" w:hAnsi="微软雅黑" w:eastAsia="微软雅黑" w:cs="微软雅黑"/>
          <w:color w:val="auto"/>
          <w:sz w:val="21"/>
          <w:szCs w:val="21"/>
          <w:highlight w:val="none"/>
        </w:rPr>
        <w:t xml:space="preserve"> 异议和处理意见。</w:t>
      </w:r>
    </w:p>
    <w:p w14:paraId="6CB7A846">
      <w:pPr>
        <w:spacing w:before="158" w:line="188" w:lineRule="auto"/>
        <w:ind w:left="46"/>
        <w:rPr>
          <w:rFonts w:ascii="微软雅黑" w:hAnsi="微软雅黑" w:eastAsia="微软雅黑" w:cs="微软雅黑"/>
          <w:color w:val="auto"/>
          <w:sz w:val="21"/>
          <w:szCs w:val="21"/>
          <w:highlight w:val="none"/>
        </w:rPr>
      </w:pPr>
      <w:bookmarkStart w:id="143" w:name="bookmark84"/>
      <w:bookmarkEnd w:id="143"/>
      <w:r>
        <w:rPr>
          <w:rFonts w:ascii="微软雅黑" w:hAnsi="微软雅黑" w:eastAsia="微软雅黑" w:cs="微软雅黑"/>
          <w:b/>
          <w:bCs/>
          <w:color w:val="auto"/>
          <w:spacing w:val="2"/>
          <w:sz w:val="21"/>
          <w:szCs w:val="21"/>
          <w:highlight w:val="none"/>
        </w:rPr>
        <w:t>五.  合同价款和支付</w:t>
      </w:r>
    </w:p>
    <w:p w14:paraId="19CAF086">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11、合同价款和支付</w:t>
      </w:r>
    </w:p>
    <w:p w14:paraId="37DAA9C4">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(1)本合同的结算货币为人民币，</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单位元。</w:t>
      </w:r>
    </w:p>
    <w:p w14:paraId="67B42A7C">
      <w:pPr>
        <w:spacing w:before="164" w:line="292" w:lineRule="auto"/>
        <w:ind w:left="43" w:right="32"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(2)</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8"/>
          <w:sz w:val="21"/>
          <w:szCs w:val="21"/>
          <w:highlight w:val="none"/>
        </w:rPr>
        <w:t>卖方应按照双方签订的合同规定交货并在合同主要条款规定的期限内持下</w:t>
      </w:r>
      <w:r>
        <w:rPr>
          <w:rFonts w:ascii="微软雅黑" w:hAnsi="微软雅黑" w:eastAsia="微软雅黑" w:cs="微软雅黑"/>
          <w:color w:val="auto"/>
          <w:spacing w:val="7"/>
          <w:sz w:val="21"/>
          <w:szCs w:val="21"/>
          <w:highlight w:val="none"/>
        </w:rPr>
        <w:t>列单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据结算货款：</w:t>
      </w:r>
    </w:p>
    <w:p w14:paraId="69389C29">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&lt;1&gt;合格的销售发票；</w:t>
      </w:r>
    </w:p>
    <w:p w14:paraId="39065C54">
      <w:pPr>
        <w:spacing w:before="158"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&lt;2&gt;买方盖章签收后的送货回单和验收合</w:t>
      </w:r>
      <w:r>
        <w:rPr>
          <w:rFonts w:ascii="微软雅黑" w:hAnsi="微软雅黑" w:eastAsia="微软雅黑" w:cs="微软雅黑"/>
          <w:color w:val="auto"/>
          <w:spacing w:val="-4"/>
          <w:sz w:val="21"/>
          <w:szCs w:val="21"/>
          <w:highlight w:val="none"/>
        </w:rPr>
        <w:t>格证明。</w:t>
      </w:r>
    </w:p>
    <w:p w14:paraId="454F5B3C">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(3)买方应按合同主要条款规定的期限和方式付</w:t>
      </w:r>
      <w:r>
        <w:rPr>
          <w:rFonts w:ascii="微软雅黑" w:hAnsi="微软雅黑" w:eastAsia="微软雅黑" w:cs="微软雅黑"/>
          <w:color w:val="auto"/>
          <w:spacing w:val="2"/>
          <w:sz w:val="21"/>
          <w:szCs w:val="21"/>
          <w:highlight w:val="none"/>
        </w:rPr>
        <w:t>款。</w:t>
      </w:r>
    </w:p>
    <w:p w14:paraId="68C61089">
      <w:pPr>
        <w:spacing w:before="164" w:line="241" w:lineRule="auto"/>
        <w:ind w:left="49" w:right="32" w:firstLine="5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(4)根据现行税法对买方征收的与本合同有关的一切税费均由买方承担；</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根据现行税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法对卖方征收的与本合同有关的一切税费均由卖方承担。</w:t>
      </w:r>
    </w:p>
    <w:p w14:paraId="0B98E592">
      <w:pPr>
        <w:spacing w:before="158" w:line="188" w:lineRule="auto"/>
        <w:ind w:left="44"/>
        <w:rPr>
          <w:rFonts w:ascii="微软雅黑" w:hAnsi="微软雅黑" w:eastAsia="微软雅黑" w:cs="微软雅黑"/>
          <w:color w:val="auto"/>
          <w:sz w:val="21"/>
          <w:szCs w:val="21"/>
          <w:highlight w:val="none"/>
        </w:rPr>
      </w:pPr>
      <w:bookmarkStart w:id="144" w:name="bookmark86"/>
      <w:bookmarkEnd w:id="144"/>
      <w:r>
        <w:rPr>
          <w:rFonts w:ascii="微软雅黑" w:hAnsi="微软雅黑" w:eastAsia="微软雅黑" w:cs="微软雅黑"/>
          <w:b/>
          <w:bCs/>
          <w:color w:val="auto"/>
          <w:spacing w:val="4"/>
          <w:sz w:val="21"/>
          <w:szCs w:val="21"/>
          <w:highlight w:val="none"/>
        </w:rPr>
        <w:t>六.</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违约责任</w:t>
      </w:r>
    </w:p>
    <w:p w14:paraId="2063DF2E">
      <w:pPr>
        <w:spacing w:before="157"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12、违约责任</w:t>
      </w:r>
    </w:p>
    <w:p w14:paraId="6F11F1F5">
      <w:pPr>
        <w:spacing w:before="156" w:line="292" w:lineRule="auto"/>
        <w:ind w:left="46" w:right="32" w:firstLine="4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合同一方不履行合同义务或者履行合同义务不符合约定的，应当承担继续履行、采取</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补救措施或者赔偿损失等违约责任。</w:t>
      </w:r>
    </w:p>
    <w:p w14:paraId="12BE89D7">
      <w:pPr>
        <w:spacing w:before="4"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13、买方违约责任</w:t>
      </w:r>
    </w:p>
    <w:p w14:paraId="2FA62D92">
      <w:pPr>
        <w:spacing w:before="156" w:line="241" w:lineRule="auto"/>
        <w:ind w:left="44" w:right="2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(1)在合同生效后，</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买方要求退货的，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3"/>
          <w:sz w:val="21"/>
          <w:szCs w:val="21"/>
          <w:highlight w:val="none"/>
        </w:rPr>
        <w:t>应向卖方</w:t>
      </w:r>
      <w:r>
        <w:rPr>
          <w:rFonts w:ascii="微软雅黑" w:hAnsi="微软雅黑" w:eastAsia="微软雅黑" w:cs="微软雅黑"/>
          <w:color w:val="auto"/>
          <w:spacing w:val="-4"/>
          <w:sz w:val="21"/>
          <w:szCs w:val="21"/>
          <w:highlight w:val="none"/>
        </w:rPr>
        <w:t>偿付合同总价款的 5%</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4"/>
          <w:sz w:val="21"/>
          <w:szCs w:val="21"/>
          <w:highlight w:val="none"/>
        </w:rPr>
        <w:t>作为违约金，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违约金不足以补偿损失的，</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卖方有权要求甲</w:t>
      </w:r>
      <w:r>
        <w:rPr>
          <w:rFonts w:ascii="微软雅黑" w:hAnsi="微软雅黑" w:eastAsia="微软雅黑" w:cs="微软雅黑"/>
          <w:color w:val="auto"/>
          <w:sz w:val="21"/>
          <w:szCs w:val="21"/>
          <w:highlight w:val="none"/>
        </w:rPr>
        <w:t>方补足。</w:t>
      </w:r>
    </w:p>
    <w:p w14:paraId="25F5C190">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(2)买方逾期付款的应按照逾期付款金额的每天万分之四支付逾期付款违约金。</w:t>
      </w:r>
    </w:p>
    <w:p w14:paraId="7F16894F">
      <w:pPr>
        <w:spacing w:before="164"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(3)买方违反合同规定，拒绝接收卖方交付的符合采购文件要求的合格标的物，应当</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承担卖方由此造成的损失。</w:t>
      </w:r>
    </w:p>
    <w:p w14:paraId="22667718">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1F56D6A0">
      <w:pPr>
        <w:pStyle w:val="6"/>
        <w:spacing w:line="447" w:lineRule="auto"/>
        <w:rPr>
          <w:color w:val="auto"/>
          <w:highlight w:val="none"/>
        </w:rPr>
      </w:pPr>
    </w:p>
    <w:p w14:paraId="34B81070">
      <w:pPr>
        <w:spacing w:line="884" w:lineRule="exact"/>
        <w:ind w:firstLine="28"/>
        <w:rPr>
          <w:color w:val="auto"/>
          <w:highlight w:val="none"/>
        </w:rPr>
      </w:pPr>
      <w:r>
        <w:rPr>
          <w:color w:val="auto"/>
          <w:highlight w:val="none"/>
        </w:rPr>
        <w:pict>
          <v:shape id="_x0000_s1044" o:spid="_x0000_s1044" style="position:absolute;left:0pt;margin-left:0.25pt;margin-top:44.45pt;height:0.5pt;width:418.5pt;z-index:251671552;mso-width-relative:page;mso-height-relative:page;" filled="f" stroked="t" coordsize="8370,10" path="m0,5l8369,5e">
            <v:fill on="f" focussize="0,0"/>
            <v:stroke weight="0.5pt" color="#FFFFFF" miterlimit="10" joinstyle="miter"/>
            <v:imagedata o:title=""/>
            <o:lock v:ext="edit" aspectratio="f"/>
          </v:shape>
        </w:pict>
      </w:r>
    </w:p>
    <w:p w14:paraId="39C9FEB3">
      <w:pPr>
        <w:spacing w:before="182"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14、卖方违约责任</w:t>
      </w:r>
    </w:p>
    <w:p w14:paraId="2A6D770C">
      <w:pPr>
        <w:spacing w:before="157" w:line="258" w:lineRule="auto"/>
        <w:ind w:left="45" w:right="32" w:firstLine="5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(1)卖方不能交货（逾期超过五天视为不能交货</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或交货不合格从而影响买方按期</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正常使用的，应向买方偿付合同总价款 5%</w:t>
      </w:r>
      <w:r>
        <w:rPr>
          <w:rFonts w:ascii="微软雅黑" w:hAnsi="微软雅黑" w:eastAsia="微软雅黑" w:cs="微软雅黑"/>
          <w:color w:val="auto"/>
          <w:spacing w:val="-2"/>
          <w:sz w:val="21"/>
          <w:szCs w:val="21"/>
          <w:highlight w:val="none"/>
        </w:rPr>
        <w:t>的违约金，违约金不足以补偿损失的，买方有权</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要求卖方补足。</w:t>
      </w:r>
    </w:p>
    <w:p w14:paraId="0017A1B4">
      <w:pPr>
        <w:spacing w:before="156" w:line="258" w:lineRule="auto"/>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(2)卖方逾期交货的，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应在发货前与买方和政府采购管理</w:t>
      </w:r>
      <w:r>
        <w:rPr>
          <w:rFonts w:ascii="微软雅黑" w:hAnsi="微软雅黑" w:eastAsia="微软雅黑" w:cs="微软雅黑"/>
          <w:color w:val="auto"/>
          <w:spacing w:val="1"/>
          <w:sz w:val="21"/>
          <w:szCs w:val="21"/>
          <w:highlight w:val="none"/>
        </w:rPr>
        <w:t>部门协商，</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买方仍需求的，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卖方应立即发货并应按照逾期交货部分货款的每天万分之四支付逾期交货违约金，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同时承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担买方因此遭致的损失费用。</w:t>
      </w:r>
    </w:p>
    <w:p w14:paraId="0B171B0A">
      <w:pPr>
        <w:spacing w:before="159"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15、不可抗力</w:t>
      </w:r>
    </w:p>
    <w:p w14:paraId="12CEE447">
      <w:pPr>
        <w:spacing w:before="158"/>
        <w:ind w:left="43" w:right="74"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(1)因水灾、火灾、地震、战争等不可抗力不能履行合同的，</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根据不可抗力的影响，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部分或者全部免除责任。但合同一方迟延履行后发生不可抗力的，</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不能免除责任。</w:t>
      </w:r>
    </w:p>
    <w:p w14:paraId="44741773">
      <w:pPr>
        <w:spacing w:before="159"/>
        <w:ind w:left="46" w:right="32"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(2)合同一方因不可抗力不能履行合同的，应当及时通知对方，</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2"/>
          <w:sz w:val="21"/>
          <w:szCs w:val="21"/>
          <w:highlight w:val="none"/>
        </w:rPr>
        <w:t>以减轻可能给对方造</w:t>
      </w:r>
      <w:r>
        <w:rPr>
          <w:rFonts w:ascii="微软雅黑" w:hAnsi="微软雅黑" w:eastAsia="微软雅黑" w:cs="微软雅黑"/>
          <w:color w:val="auto"/>
          <w:sz w:val="21"/>
          <w:szCs w:val="21"/>
          <w:highlight w:val="none"/>
        </w:rPr>
        <w:t xml:space="preserve"> 成的损失，</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并应当在合理期限内提供证明。</w:t>
      </w:r>
    </w:p>
    <w:p w14:paraId="50735AE5">
      <w:pPr>
        <w:spacing w:before="159" w:line="188" w:lineRule="auto"/>
        <w:ind w:left="47"/>
        <w:rPr>
          <w:rFonts w:ascii="微软雅黑" w:hAnsi="微软雅黑" w:eastAsia="微软雅黑" w:cs="微软雅黑"/>
          <w:color w:val="auto"/>
          <w:sz w:val="21"/>
          <w:szCs w:val="21"/>
          <w:highlight w:val="none"/>
        </w:rPr>
      </w:pPr>
      <w:bookmarkStart w:id="145" w:name="bookmark88"/>
      <w:bookmarkEnd w:id="145"/>
      <w:r>
        <w:rPr>
          <w:rFonts w:ascii="微软雅黑" w:hAnsi="微软雅黑" w:eastAsia="微软雅黑" w:cs="微软雅黑"/>
          <w:b/>
          <w:bCs/>
          <w:color w:val="auto"/>
          <w:spacing w:val="1"/>
          <w:sz w:val="21"/>
          <w:szCs w:val="21"/>
          <w:highlight w:val="none"/>
        </w:rPr>
        <w:t>七.</w:t>
      </w:r>
      <w:r>
        <w:rPr>
          <w:rFonts w:ascii="微软雅黑" w:hAnsi="微软雅黑" w:eastAsia="微软雅黑" w:cs="微软雅黑"/>
          <w:b/>
          <w:bCs/>
          <w:color w:val="auto"/>
          <w:spacing w:val="5"/>
          <w:sz w:val="21"/>
          <w:szCs w:val="21"/>
          <w:highlight w:val="none"/>
        </w:rPr>
        <w:t xml:space="preserve">  </w:t>
      </w:r>
      <w:r>
        <w:rPr>
          <w:rFonts w:ascii="微软雅黑" w:hAnsi="微软雅黑" w:eastAsia="微软雅黑" w:cs="微软雅黑"/>
          <w:b/>
          <w:bCs/>
          <w:color w:val="auto"/>
          <w:spacing w:val="1"/>
          <w:sz w:val="21"/>
          <w:szCs w:val="21"/>
          <w:highlight w:val="none"/>
        </w:rPr>
        <w:t>索赔</w:t>
      </w:r>
    </w:p>
    <w:p w14:paraId="788F1B81">
      <w:pPr>
        <w:spacing w:before="157"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16、索赔</w:t>
      </w:r>
    </w:p>
    <w:p w14:paraId="045D2203">
      <w:pPr>
        <w:spacing w:before="156" w:line="241" w:lineRule="auto"/>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(1)</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8"/>
          <w:sz w:val="21"/>
          <w:szCs w:val="21"/>
          <w:highlight w:val="none"/>
        </w:rPr>
        <w:t>买方有权根据当地产品质量检验机构或其它有权威部门出具的检验证书向卖方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提出索赔。</w:t>
      </w:r>
    </w:p>
    <w:p w14:paraId="0708D208">
      <w:pPr>
        <w:spacing w:before="156"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(2)在本合同规定的检验期和质量保证期</w:t>
      </w:r>
      <w:r>
        <w:rPr>
          <w:rFonts w:ascii="微软雅黑" w:hAnsi="微软雅黑" w:eastAsia="微软雅黑" w:cs="微软雅黑"/>
          <w:color w:val="auto"/>
          <w:spacing w:val="2"/>
          <w:sz w:val="21"/>
          <w:szCs w:val="21"/>
          <w:highlight w:val="none"/>
        </w:rPr>
        <w:t>内，</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如果卖方对买方提出的索赔或差异有责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任，</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则卖方应按买方同意的下列一种或多种方式解决索赔事宜：</w:t>
      </w:r>
    </w:p>
    <w:p w14:paraId="2953A58E">
      <w:pPr>
        <w:spacing w:before="158" w:line="292" w:lineRule="auto"/>
        <w:ind w:left="42" w:right="31" w:firstLine="53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&lt;1&gt;卖方同意退货，</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并按合同规定的货币将货款退还给买方，</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并承担由此发生的一切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损失和费用，</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包括利息、银行手续费、运费、保险费、检验费、仓储费、装卸费以</w:t>
      </w:r>
      <w:r>
        <w:rPr>
          <w:rFonts w:ascii="微软雅黑" w:hAnsi="微软雅黑" w:eastAsia="微软雅黑" w:cs="微软雅黑"/>
          <w:color w:val="auto"/>
          <w:spacing w:val="1"/>
          <w:sz w:val="21"/>
          <w:szCs w:val="21"/>
          <w:highlight w:val="none"/>
        </w:rPr>
        <w:t>及为保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护退回标的物所需的其它必要费用；</w:t>
      </w:r>
    </w:p>
    <w:p w14:paraId="3D7887C7">
      <w:pPr>
        <w:spacing w:before="3" w:line="292" w:lineRule="auto"/>
        <w:ind w:left="42" w:right="32" w:firstLine="53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&lt;2&gt;根据标的物的低劣程度、损坏程度以及甲方遭受损失的数额，经双方协商确定降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低标的物的价格；</w:t>
      </w:r>
    </w:p>
    <w:p w14:paraId="3C251021">
      <w:pPr>
        <w:spacing w:before="5" w:line="292" w:lineRule="auto"/>
        <w:ind w:left="42" w:right="32" w:firstLine="53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&lt;3&gt;用符合规格、质量和性能要求的新零件、部件或标的物来更换有缺陷的部分或修</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补缺陷部分，</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卖方应承担一切费用和风险并负担买方所发生的一切直接费用。同时，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卖方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应按合同规定，</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相应延长修补或被更换部件或</w:t>
      </w:r>
      <w:r>
        <w:rPr>
          <w:rFonts w:ascii="微软雅黑" w:hAnsi="微软雅黑" w:eastAsia="微软雅黑" w:cs="微软雅黑"/>
          <w:color w:val="auto"/>
          <w:spacing w:val="1"/>
          <w:sz w:val="21"/>
          <w:szCs w:val="21"/>
          <w:highlight w:val="none"/>
        </w:rPr>
        <w:t>标的物的质量保证期。</w:t>
      </w:r>
    </w:p>
    <w:p w14:paraId="0940D3D9">
      <w:pPr>
        <w:spacing w:before="6" w:line="292" w:lineRule="auto"/>
        <w:ind w:left="42" w:right="32" w:firstLine="563"/>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(3)如果在买方发出索赔通知后七天内，</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卖方未能答复，</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上</w:t>
      </w:r>
      <w:r>
        <w:rPr>
          <w:rFonts w:ascii="微软雅黑" w:hAnsi="微软雅黑" w:eastAsia="微软雅黑" w:cs="微软雅黑"/>
          <w:color w:val="auto"/>
          <w:spacing w:val="1"/>
          <w:sz w:val="21"/>
          <w:szCs w:val="21"/>
          <w:highlight w:val="none"/>
        </w:rPr>
        <w:t>述索赔应视为已被卖方接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受。若卖方未在买方提出索赔通知后七天内或买方同意</w:t>
      </w:r>
      <w:r>
        <w:rPr>
          <w:rFonts w:ascii="微软雅黑" w:hAnsi="微软雅黑" w:eastAsia="微软雅黑" w:cs="微软雅黑"/>
          <w:color w:val="auto"/>
          <w:spacing w:val="2"/>
          <w:sz w:val="21"/>
          <w:szCs w:val="21"/>
          <w:highlight w:val="none"/>
        </w:rPr>
        <w:t>的更长时间内，按照合同规定的任</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何一种方法解决索赔事宜，</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买方将从未付款或卖方开具的履约保证金中扣回索赔金额，</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如</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果这些金额不足以补偿索赔金额，</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买方有权</w:t>
      </w:r>
      <w:r>
        <w:rPr>
          <w:rFonts w:ascii="微软雅黑" w:hAnsi="微软雅黑" w:eastAsia="微软雅黑" w:cs="微软雅黑"/>
          <w:color w:val="auto"/>
          <w:spacing w:val="1"/>
          <w:sz w:val="21"/>
          <w:szCs w:val="21"/>
          <w:highlight w:val="none"/>
        </w:rPr>
        <w:t>向卖方提出对不足部分的补偿。</w:t>
      </w:r>
    </w:p>
    <w:p w14:paraId="2081CE3A">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7505DC22">
      <w:pPr>
        <w:pStyle w:val="6"/>
        <w:spacing w:line="447" w:lineRule="auto"/>
        <w:rPr>
          <w:color w:val="auto"/>
          <w:highlight w:val="none"/>
        </w:rPr>
      </w:pPr>
    </w:p>
    <w:p w14:paraId="45A62569">
      <w:pPr>
        <w:spacing w:line="884" w:lineRule="exact"/>
        <w:ind w:firstLine="28"/>
        <w:rPr>
          <w:color w:val="auto"/>
          <w:highlight w:val="none"/>
        </w:rPr>
      </w:pPr>
      <w:r>
        <w:rPr>
          <w:color w:val="auto"/>
          <w:highlight w:val="none"/>
        </w:rPr>
        <w:pict>
          <v:shape id="_x0000_s1045" o:spid="_x0000_s1045" style="position:absolute;left:0pt;margin-left:0.25pt;margin-top:44.45pt;height:0.5pt;width:418.5pt;z-index:251672576;mso-width-relative:page;mso-height-relative:page;" filled="f" stroked="t" coordsize="8370,10" path="m0,5l8369,5e">
            <v:fill on="f" focussize="0,0"/>
            <v:stroke weight="0.5pt" color="#FFFFFF" miterlimit="10" joinstyle="miter"/>
            <v:imagedata o:title=""/>
            <o:lock v:ext="edit" aspectratio="f"/>
          </v:shape>
        </w:pict>
      </w:r>
    </w:p>
    <w:p w14:paraId="750BBE07">
      <w:pPr>
        <w:spacing w:before="180" w:line="292"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(4)买方提出索赔的书面材料应报当地政府采购管理部门备案。卖方同意的索赔方案</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应报当地政府采购管理部门审核。</w:t>
      </w:r>
    </w:p>
    <w:p w14:paraId="31BD1F15">
      <w:pPr>
        <w:spacing w:before="4" w:line="187" w:lineRule="auto"/>
        <w:ind w:left="42"/>
        <w:rPr>
          <w:rFonts w:ascii="微软雅黑" w:hAnsi="微软雅黑" w:eastAsia="微软雅黑" w:cs="微软雅黑"/>
          <w:color w:val="auto"/>
          <w:sz w:val="21"/>
          <w:szCs w:val="21"/>
          <w:highlight w:val="none"/>
        </w:rPr>
      </w:pPr>
      <w:bookmarkStart w:id="146" w:name="bookmark90"/>
      <w:bookmarkEnd w:id="146"/>
      <w:r>
        <w:rPr>
          <w:rFonts w:ascii="微软雅黑" w:hAnsi="微软雅黑" w:eastAsia="微软雅黑" w:cs="微软雅黑"/>
          <w:b/>
          <w:bCs/>
          <w:color w:val="auto"/>
          <w:spacing w:val="4"/>
          <w:sz w:val="21"/>
          <w:szCs w:val="21"/>
          <w:highlight w:val="none"/>
        </w:rPr>
        <w:t>八.</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4"/>
          <w:sz w:val="21"/>
          <w:szCs w:val="21"/>
          <w:highlight w:val="none"/>
        </w:rPr>
        <w:t>履约保证金</w:t>
      </w:r>
    </w:p>
    <w:p w14:paraId="3B509D40">
      <w:pPr>
        <w:spacing w:before="158"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17、履约保证金</w:t>
      </w:r>
    </w:p>
    <w:p w14:paraId="205C557D">
      <w:pPr>
        <w:spacing w:before="157"/>
        <w:ind w:left="46" w:right="32"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(1)卖方应在本合同签订时，按采购文件</w:t>
      </w:r>
      <w:r>
        <w:rPr>
          <w:rFonts w:ascii="微软雅黑" w:hAnsi="微软雅黑" w:eastAsia="微软雅黑" w:cs="微软雅黑"/>
          <w:color w:val="auto"/>
          <w:spacing w:val="2"/>
          <w:sz w:val="21"/>
          <w:szCs w:val="21"/>
          <w:highlight w:val="none"/>
        </w:rPr>
        <w:t>的约定提供相应的履约保证金，</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保证金的有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效期应不低于合同有效期。</w:t>
      </w:r>
    </w:p>
    <w:p w14:paraId="43555F8C">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(2)如果卖方未能履行合同规定的任何义务，</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买方有权从履约保证金中取得补偿。</w:t>
      </w:r>
    </w:p>
    <w:p w14:paraId="713D9710">
      <w:pPr>
        <w:spacing w:before="164" w:line="242" w:lineRule="auto"/>
        <w:ind w:left="47" w:right="457"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(3)履约保证金（无息）</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将在卖方履行完合同义务，</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买方支付合同价款的五天内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退回。</w:t>
      </w:r>
    </w:p>
    <w:p w14:paraId="064C5D2E">
      <w:pPr>
        <w:spacing w:before="154" w:line="188" w:lineRule="auto"/>
        <w:ind w:left="50"/>
        <w:rPr>
          <w:rFonts w:ascii="微软雅黑" w:hAnsi="微软雅黑" w:eastAsia="微软雅黑" w:cs="微软雅黑"/>
          <w:color w:val="auto"/>
          <w:sz w:val="21"/>
          <w:szCs w:val="21"/>
          <w:highlight w:val="none"/>
        </w:rPr>
      </w:pPr>
      <w:bookmarkStart w:id="147" w:name="bookmark92"/>
      <w:bookmarkEnd w:id="147"/>
      <w:r>
        <w:rPr>
          <w:rFonts w:ascii="微软雅黑" w:hAnsi="微软雅黑" w:eastAsia="微软雅黑" w:cs="微软雅黑"/>
          <w:b/>
          <w:bCs/>
          <w:color w:val="auto"/>
          <w:spacing w:val="2"/>
          <w:sz w:val="21"/>
          <w:szCs w:val="21"/>
          <w:highlight w:val="none"/>
        </w:rPr>
        <w:t>九.</w:t>
      </w:r>
      <w:r>
        <w:rPr>
          <w:rFonts w:ascii="微软雅黑" w:hAnsi="微软雅黑" w:eastAsia="微软雅黑" w:cs="微软雅黑"/>
          <w:b/>
          <w:bCs/>
          <w:color w:val="auto"/>
          <w:spacing w:val="18"/>
          <w:sz w:val="21"/>
          <w:szCs w:val="21"/>
          <w:highlight w:val="none"/>
        </w:rPr>
        <w:t xml:space="preserve">   </w:t>
      </w:r>
      <w:r>
        <w:rPr>
          <w:rFonts w:ascii="微软雅黑" w:hAnsi="微软雅黑" w:eastAsia="微软雅黑" w:cs="微软雅黑"/>
          <w:b/>
          <w:bCs/>
          <w:color w:val="auto"/>
          <w:spacing w:val="2"/>
          <w:sz w:val="21"/>
          <w:szCs w:val="21"/>
          <w:highlight w:val="none"/>
        </w:rPr>
        <w:t>合同的解除和转让</w:t>
      </w:r>
    </w:p>
    <w:p w14:paraId="07C64E66">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18、合同的解除</w:t>
      </w:r>
    </w:p>
    <w:p w14:paraId="6FF1530C">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(1)买方和卖方协商一致，</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可以解除合同。</w:t>
      </w:r>
    </w:p>
    <w:p w14:paraId="2AE0DE25">
      <w:pPr>
        <w:spacing w:before="165"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(2)有下列情形之一，</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合同一方可以解除合同：</w:t>
      </w:r>
    </w:p>
    <w:p w14:paraId="6D37B84A">
      <w:pPr>
        <w:spacing w:before="164" w:line="241" w:lineRule="auto"/>
        <w:ind w:left="574" w:right="2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&lt;1&gt;因不可抗力致使不能实现合同目的，</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3"/>
          <w:sz w:val="21"/>
          <w:szCs w:val="21"/>
          <w:highlight w:val="none"/>
        </w:rPr>
        <w:t>未受不可抗力影响的一方有权解除合同；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&lt;2&gt;因合同一方违约导致合同不能履行，</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另一方有权解除合同。</w:t>
      </w:r>
    </w:p>
    <w:p w14:paraId="4653C45E">
      <w:pPr>
        <w:spacing w:before="156" w:line="241" w:lineRule="auto"/>
        <w:ind w:left="47" w:right="32" w:firstLine="5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(3)有权解除合同的一方，应当在违约事实或不可抗力发生之后三十天内书面通知对</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方以主张解除合同，</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合同在书面通知到达对方时解</w:t>
      </w:r>
      <w:r>
        <w:rPr>
          <w:rFonts w:ascii="微软雅黑" w:hAnsi="微软雅黑" w:eastAsia="微软雅黑" w:cs="微软雅黑"/>
          <w:color w:val="auto"/>
          <w:sz w:val="21"/>
          <w:szCs w:val="21"/>
          <w:highlight w:val="none"/>
        </w:rPr>
        <w:t>除。</w:t>
      </w:r>
    </w:p>
    <w:p w14:paraId="7C5B91CE">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19、合同的转让</w:t>
      </w:r>
    </w:p>
    <w:p w14:paraId="29264241">
      <w:pPr>
        <w:spacing w:before="158" w:line="188" w:lineRule="auto"/>
        <w:ind w:left="68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合同的部分和全部都不得转让。</w:t>
      </w:r>
    </w:p>
    <w:p w14:paraId="1B09C16F">
      <w:pPr>
        <w:spacing w:before="158" w:line="188" w:lineRule="auto"/>
        <w:ind w:left="48"/>
        <w:rPr>
          <w:rFonts w:ascii="微软雅黑" w:hAnsi="微软雅黑" w:eastAsia="微软雅黑" w:cs="微软雅黑"/>
          <w:color w:val="auto"/>
          <w:sz w:val="21"/>
          <w:szCs w:val="21"/>
          <w:highlight w:val="none"/>
        </w:rPr>
      </w:pPr>
      <w:bookmarkStart w:id="148" w:name="bookmark94"/>
      <w:bookmarkEnd w:id="148"/>
      <w:r>
        <w:rPr>
          <w:rFonts w:ascii="微软雅黑" w:hAnsi="微软雅黑" w:eastAsia="微软雅黑" w:cs="微软雅黑"/>
          <w:b/>
          <w:bCs/>
          <w:color w:val="auto"/>
          <w:spacing w:val="2"/>
          <w:sz w:val="21"/>
          <w:szCs w:val="21"/>
          <w:highlight w:val="none"/>
        </w:rPr>
        <w:t>十.  合同的生效</w:t>
      </w:r>
    </w:p>
    <w:p w14:paraId="5229CC7B">
      <w:pPr>
        <w:spacing w:before="157" w:line="188"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20、合同的生效</w:t>
      </w:r>
    </w:p>
    <w:p w14:paraId="70267B72">
      <w:pPr>
        <w:spacing w:before="157" w:line="292" w:lineRule="auto"/>
        <w:ind w:left="44" w:right="32" w:firstLine="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本合同在双方签字盖章并在招标人收到中标人提交的履约保证金后，</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经招标采购管</w:t>
      </w:r>
      <w:r>
        <w:rPr>
          <w:rFonts w:ascii="微软雅黑" w:hAnsi="微软雅黑" w:eastAsia="微软雅黑" w:cs="微软雅黑"/>
          <w:color w:val="auto"/>
          <w:sz w:val="21"/>
          <w:szCs w:val="21"/>
          <w:highlight w:val="none"/>
        </w:rPr>
        <w:t xml:space="preserve"> 理部门备案后生效。</w:t>
      </w:r>
    </w:p>
    <w:p w14:paraId="4E1407BB">
      <w:pPr>
        <w:spacing w:before="4" w:line="188" w:lineRule="auto"/>
        <w:ind w:left="48"/>
        <w:rPr>
          <w:rFonts w:ascii="微软雅黑" w:hAnsi="微软雅黑" w:eastAsia="微软雅黑" w:cs="微软雅黑"/>
          <w:color w:val="auto"/>
          <w:sz w:val="21"/>
          <w:szCs w:val="21"/>
          <w:highlight w:val="none"/>
        </w:rPr>
      </w:pPr>
      <w:bookmarkStart w:id="149" w:name="bookmark96"/>
      <w:bookmarkEnd w:id="149"/>
      <w:r>
        <w:rPr>
          <w:rFonts w:ascii="微软雅黑" w:hAnsi="微软雅黑" w:eastAsia="微软雅黑" w:cs="微软雅黑"/>
          <w:b/>
          <w:bCs/>
          <w:color w:val="auto"/>
          <w:spacing w:val="3"/>
          <w:sz w:val="21"/>
          <w:szCs w:val="21"/>
          <w:highlight w:val="none"/>
        </w:rPr>
        <w:t>十一.</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3"/>
          <w:sz w:val="21"/>
          <w:szCs w:val="21"/>
          <w:highlight w:val="none"/>
        </w:rPr>
        <w:t>争议解决</w:t>
      </w:r>
    </w:p>
    <w:p w14:paraId="55224D34">
      <w:pPr>
        <w:spacing w:before="158" w:line="189"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21、争议解决</w:t>
      </w:r>
    </w:p>
    <w:p w14:paraId="4D530980">
      <w:pPr>
        <w:spacing w:before="156" w:line="188" w:lineRule="auto"/>
        <w:ind w:left="6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买卖双方因合同发生争议，</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1"/>
          <w:sz w:val="21"/>
          <w:szCs w:val="21"/>
          <w:highlight w:val="none"/>
        </w:rPr>
        <w:t>进行调解，</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协商不成，</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可选择：</w:t>
      </w:r>
    </w:p>
    <w:p w14:paraId="535D04DE">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(1)双方同时申请仲裁；</w:t>
      </w:r>
    </w:p>
    <w:p w14:paraId="50DC94F3">
      <w:pPr>
        <w:spacing w:before="165"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(2)向买方所在地人民法院提起诉讼。</w:t>
      </w:r>
    </w:p>
    <w:p w14:paraId="6A116E6C">
      <w:pPr>
        <w:spacing w:before="164" w:line="188" w:lineRule="auto"/>
        <w:ind w:left="48"/>
        <w:rPr>
          <w:rFonts w:ascii="微软雅黑" w:hAnsi="微软雅黑" w:eastAsia="微软雅黑" w:cs="微软雅黑"/>
          <w:color w:val="auto"/>
          <w:sz w:val="21"/>
          <w:szCs w:val="21"/>
          <w:highlight w:val="none"/>
        </w:rPr>
      </w:pPr>
      <w:bookmarkStart w:id="150" w:name="bookmark98"/>
      <w:bookmarkEnd w:id="150"/>
      <w:r>
        <w:rPr>
          <w:rFonts w:ascii="微软雅黑" w:hAnsi="微软雅黑" w:eastAsia="微软雅黑" w:cs="微软雅黑"/>
          <w:b/>
          <w:bCs/>
          <w:color w:val="auto"/>
          <w:spacing w:val="3"/>
          <w:sz w:val="21"/>
          <w:szCs w:val="21"/>
          <w:highlight w:val="none"/>
        </w:rPr>
        <w:t>十二</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3"/>
          <w:sz w:val="21"/>
          <w:szCs w:val="21"/>
          <w:highlight w:val="none"/>
        </w:rPr>
        <w:t>.附则</w:t>
      </w:r>
    </w:p>
    <w:p w14:paraId="13FEF67E">
      <w:pPr>
        <w:spacing w:before="158" w:line="187"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22、合同份数。</w:t>
      </w:r>
    </w:p>
    <w:p w14:paraId="2CCA1007">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79C1BA44">
      <w:pPr>
        <w:pStyle w:val="6"/>
        <w:spacing w:line="447" w:lineRule="auto"/>
        <w:rPr>
          <w:color w:val="auto"/>
          <w:highlight w:val="none"/>
        </w:rPr>
      </w:pPr>
    </w:p>
    <w:p w14:paraId="08FEDB53">
      <w:pPr>
        <w:spacing w:line="884" w:lineRule="exact"/>
        <w:ind w:firstLine="28"/>
        <w:rPr>
          <w:color w:val="auto"/>
          <w:highlight w:val="none"/>
        </w:rPr>
      </w:pPr>
      <w:r>
        <w:rPr>
          <w:color w:val="auto"/>
          <w:highlight w:val="none"/>
        </w:rPr>
        <w:pict>
          <v:shape id="_x0000_s1046" o:spid="_x0000_s1046" style="position:absolute;left:0pt;margin-left:0.25pt;margin-top:44.45pt;height:0.5pt;width:418.5pt;z-index:251673600;mso-width-relative:page;mso-height-relative:page;" filled="f" stroked="t" coordsize="8370,10" path="m0,5l8369,5e">
            <v:fill on="f" focussize="0,0"/>
            <v:stroke weight="0.5pt" color="#FFFFFF" miterlimit="10" joinstyle="miter"/>
            <v:imagedata o:title=""/>
            <o:lock v:ext="edit" aspectratio="f"/>
          </v:shape>
        </w:pict>
      </w:r>
    </w:p>
    <w:p w14:paraId="455D4B30">
      <w:pPr>
        <w:spacing w:before="181" w:line="188" w:lineRule="auto"/>
        <w:jc w:val="right"/>
        <w:outlineLvl w:val="1"/>
        <w:rPr>
          <w:rFonts w:ascii="微软雅黑" w:hAnsi="微软雅黑" w:eastAsia="微软雅黑" w:cs="微软雅黑"/>
          <w:color w:val="auto"/>
          <w:spacing w:val="1"/>
          <w:sz w:val="21"/>
          <w:szCs w:val="21"/>
          <w:highlight w:val="none"/>
        </w:rPr>
      </w:pPr>
      <w:bookmarkStart w:id="151" w:name="bookmark109"/>
      <w:bookmarkEnd w:id="151"/>
    </w:p>
    <w:p w14:paraId="67E0600F">
      <w:pPr>
        <w:spacing w:before="181" w:line="188" w:lineRule="auto"/>
        <w:jc w:val="right"/>
        <w:outlineLvl w:val="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本合同一式陆份，</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1"/>
          <w:sz w:val="21"/>
          <w:szCs w:val="21"/>
          <w:highlight w:val="none"/>
        </w:rPr>
        <w:t>买卖双方各执二份，招标代理机构一份，招标采购管理部门一份。</w:t>
      </w:r>
    </w:p>
    <w:p w14:paraId="131DA170">
      <w:pPr>
        <w:spacing w:before="158" w:line="189"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23、未尽事宜</w:t>
      </w:r>
    </w:p>
    <w:p w14:paraId="0D86091F">
      <w:pPr>
        <w:spacing w:before="154" w:line="292" w:lineRule="auto"/>
        <w:ind w:left="38" w:right="108" w:firstLine="5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本合同未尽事宜应按《中华人民共和国政府采购法》</w:t>
      </w:r>
      <w:r>
        <w:rPr>
          <w:rFonts w:ascii="微软雅黑" w:hAnsi="微软雅黑" w:eastAsia="微软雅黑" w:cs="微软雅黑"/>
          <w:color w:val="auto"/>
          <w:spacing w:val="1"/>
          <w:sz w:val="21"/>
          <w:szCs w:val="21"/>
          <w:highlight w:val="none"/>
        </w:rPr>
        <w:t>、《中华人民共和国合同法》、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《中华人民共和国产品质量法》之规定解释。</w:t>
      </w:r>
    </w:p>
    <w:p w14:paraId="45B7271A">
      <w:pPr>
        <w:pStyle w:val="6"/>
        <w:spacing w:line="243" w:lineRule="auto"/>
        <w:rPr>
          <w:color w:val="auto"/>
          <w:highlight w:val="none"/>
        </w:rPr>
      </w:pPr>
    </w:p>
    <w:p w14:paraId="087F9EB5">
      <w:pPr>
        <w:pStyle w:val="6"/>
        <w:spacing w:line="243" w:lineRule="auto"/>
        <w:rPr>
          <w:color w:val="auto"/>
          <w:highlight w:val="none"/>
        </w:rPr>
      </w:pPr>
    </w:p>
    <w:p w14:paraId="1D20AECE">
      <w:pPr>
        <w:pStyle w:val="6"/>
        <w:spacing w:line="243" w:lineRule="auto"/>
        <w:rPr>
          <w:color w:val="auto"/>
          <w:highlight w:val="none"/>
        </w:rPr>
      </w:pPr>
    </w:p>
    <w:p w14:paraId="4993DD08">
      <w:pPr>
        <w:pStyle w:val="6"/>
        <w:spacing w:line="243" w:lineRule="auto"/>
        <w:rPr>
          <w:color w:val="auto"/>
          <w:highlight w:val="none"/>
        </w:rPr>
      </w:pPr>
    </w:p>
    <w:p w14:paraId="3F9B96DE">
      <w:pPr>
        <w:pStyle w:val="6"/>
        <w:spacing w:line="243" w:lineRule="auto"/>
        <w:rPr>
          <w:color w:val="auto"/>
          <w:highlight w:val="none"/>
        </w:rPr>
      </w:pPr>
    </w:p>
    <w:p w14:paraId="1185AFE2">
      <w:pPr>
        <w:pStyle w:val="6"/>
        <w:spacing w:line="243" w:lineRule="auto"/>
        <w:rPr>
          <w:color w:val="auto"/>
          <w:highlight w:val="none"/>
        </w:rPr>
      </w:pPr>
    </w:p>
    <w:p w14:paraId="1AC62568">
      <w:pPr>
        <w:pStyle w:val="6"/>
        <w:spacing w:line="243" w:lineRule="auto"/>
        <w:rPr>
          <w:color w:val="auto"/>
          <w:highlight w:val="none"/>
        </w:rPr>
      </w:pPr>
    </w:p>
    <w:p w14:paraId="3036AE8B">
      <w:pPr>
        <w:pStyle w:val="6"/>
        <w:spacing w:line="243" w:lineRule="auto"/>
        <w:rPr>
          <w:color w:val="auto"/>
          <w:highlight w:val="none"/>
        </w:rPr>
      </w:pPr>
    </w:p>
    <w:p w14:paraId="327B2EAC">
      <w:pPr>
        <w:pStyle w:val="6"/>
        <w:spacing w:line="243" w:lineRule="auto"/>
        <w:rPr>
          <w:color w:val="auto"/>
          <w:highlight w:val="none"/>
        </w:rPr>
      </w:pPr>
    </w:p>
    <w:p w14:paraId="12EE029A">
      <w:pPr>
        <w:pStyle w:val="6"/>
        <w:spacing w:line="243" w:lineRule="auto"/>
        <w:rPr>
          <w:color w:val="auto"/>
          <w:highlight w:val="none"/>
        </w:rPr>
      </w:pPr>
    </w:p>
    <w:p w14:paraId="12C017E1">
      <w:pPr>
        <w:pStyle w:val="6"/>
        <w:spacing w:line="243" w:lineRule="auto"/>
        <w:rPr>
          <w:color w:val="auto"/>
          <w:highlight w:val="none"/>
        </w:rPr>
      </w:pPr>
    </w:p>
    <w:p w14:paraId="1D396C16">
      <w:pPr>
        <w:pStyle w:val="6"/>
        <w:spacing w:line="243" w:lineRule="auto"/>
        <w:rPr>
          <w:color w:val="auto"/>
          <w:highlight w:val="none"/>
        </w:rPr>
      </w:pPr>
    </w:p>
    <w:p w14:paraId="1EFD457A">
      <w:pPr>
        <w:pStyle w:val="6"/>
        <w:spacing w:line="243" w:lineRule="auto"/>
        <w:rPr>
          <w:color w:val="auto"/>
          <w:highlight w:val="none"/>
        </w:rPr>
      </w:pPr>
    </w:p>
    <w:p w14:paraId="74875C2A">
      <w:pPr>
        <w:pStyle w:val="6"/>
        <w:spacing w:line="244" w:lineRule="auto"/>
        <w:rPr>
          <w:color w:val="auto"/>
          <w:highlight w:val="none"/>
        </w:rPr>
      </w:pPr>
    </w:p>
    <w:p w14:paraId="795103B0">
      <w:pPr>
        <w:pStyle w:val="6"/>
        <w:spacing w:line="244" w:lineRule="auto"/>
        <w:rPr>
          <w:color w:val="auto"/>
          <w:highlight w:val="none"/>
        </w:rPr>
      </w:pPr>
    </w:p>
    <w:p w14:paraId="2BB44A18">
      <w:pPr>
        <w:pStyle w:val="6"/>
        <w:spacing w:line="244" w:lineRule="auto"/>
        <w:rPr>
          <w:color w:val="auto"/>
          <w:highlight w:val="none"/>
        </w:rPr>
      </w:pPr>
    </w:p>
    <w:p w14:paraId="3A52946E">
      <w:pPr>
        <w:pStyle w:val="6"/>
        <w:spacing w:line="244" w:lineRule="auto"/>
        <w:rPr>
          <w:color w:val="auto"/>
          <w:highlight w:val="none"/>
        </w:rPr>
      </w:pPr>
    </w:p>
    <w:p w14:paraId="6D18D680">
      <w:pPr>
        <w:pStyle w:val="6"/>
        <w:spacing w:line="244" w:lineRule="auto"/>
        <w:rPr>
          <w:color w:val="auto"/>
          <w:highlight w:val="none"/>
        </w:rPr>
      </w:pPr>
    </w:p>
    <w:p w14:paraId="45F3A403">
      <w:pPr>
        <w:pStyle w:val="6"/>
        <w:spacing w:line="244" w:lineRule="auto"/>
        <w:rPr>
          <w:color w:val="auto"/>
          <w:highlight w:val="none"/>
        </w:rPr>
      </w:pPr>
    </w:p>
    <w:p w14:paraId="7CBBA816">
      <w:pPr>
        <w:pStyle w:val="6"/>
        <w:spacing w:line="244" w:lineRule="auto"/>
        <w:rPr>
          <w:color w:val="auto"/>
          <w:highlight w:val="none"/>
        </w:rPr>
      </w:pPr>
    </w:p>
    <w:p w14:paraId="5A962E88">
      <w:pPr>
        <w:pStyle w:val="6"/>
        <w:spacing w:line="244" w:lineRule="auto"/>
        <w:rPr>
          <w:color w:val="auto"/>
          <w:highlight w:val="none"/>
        </w:rPr>
      </w:pPr>
    </w:p>
    <w:p w14:paraId="085FF4BE">
      <w:pPr>
        <w:pStyle w:val="6"/>
        <w:spacing w:line="244" w:lineRule="auto"/>
        <w:rPr>
          <w:color w:val="auto"/>
          <w:highlight w:val="none"/>
        </w:rPr>
      </w:pPr>
    </w:p>
    <w:p w14:paraId="1B98BF11">
      <w:pPr>
        <w:pStyle w:val="6"/>
        <w:spacing w:line="244" w:lineRule="auto"/>
        <w:rPr>
          <w:color w:val="auto"/>
          <w:highlight w:val="none"/>
        </w:rPr>
      </w:pPr>
    </w:p>
    <w:p w14:paraId="27E9BA9C">
      <w:pPr>
        <w:pStyle w:val="6"/>
        <w:spacing w:line="244" w:lineRule="auto"/>
        <w:rPr>
          <w:color w:val="auto"/>
          <w:highlight w:val="none"/>
        </w:rPr>
      </w:pPr>
    </w:p>
    <w:p w14:paraId="0EEDC31F">
      <w:pPr>
        <w:pStyle w:val="6"/>
        <w:spacing w:line="244" w:lineRule="auto"/>
        <w:rPr>
          <w:color w:val="auto"/>
          <w:highlight w:val="none"/>
        </w:rPr>
      </w:pPr>
    </w:p>
    <w:p w14:paraId="3F4F93A7">
      <w:pPr>
        <w:pStyle w:val="6"/>
        <w:spacing w:line="244" w:lineRule="auto"/>
        <w:rPr>
          <w:color w:val="auto"/>
          <w:highlight w:val="none"/>
        </w:rPr>
      </w:pPr>
    </w:p>
    <w:p w14:paraId="618EB518">
      <w:pPr>
        <w:pStyle w:val="6"/>
        <w:spacing w:line="244" w:lineRule="auto"/>
        <w:rPr>
          <w:color w:val="auto"/>
          <w:highlight w:val="none"/>
        </w:rPr>
      </w:pPr>
    </w:p>
    <w:p w14:paraId="28C3132C">
      <w:pPr>
        <w:pStyle w:val="6"/>
        <w:spacing w:line="244" w:lineRule="auto"/>
        <w:rPr>
          <w:color w:val="auto"/>
          <w:highlight w:val="none"/>
        </w:rPr>
      </w:pPr>
    </w:p>
    <w:p w14:paraId="69695681">
      <w:pPr>
        <w:pStyle w:val="6"/>
        <w:spacing w:line="244" w:lineRule="auto"/>
        <w:rPr>
          <w:color w:val="auto"/>
          <w:highlight w:val="none"/>
        </w:rPr>
      </w:pPr>
    </w:p>
    <w:p w14:paraId="0B6B8798">
      <w:pPr>
        <w:pStyle w:val="6"/>
        <w:spacing w:line="244" w:lineRule="auto"/>
        <w:rPr>
          <w:color w:val="auto"/>
          <w:highlight w:val="none"/>
        </w:rPr>
      </w:pPr>
    </w:p>
    <w:p w14:paraId="237523F3">
      <w:pPr>
        <w:pStyle w:val="6"/>
        <w:spacing w:line="244" w:lineRule="auto"/>
        <w:rPr>
          <w:color w:val="auto"/>
          <w:highlight w:val="none"/>
        </w:rPr>
      </w:pPr>
    </w:p>
    <w:p w14:paraId="5B02D7AC">
      <w:pPr>
        <w:pStyle w:val="6"/>
        <w:spacing w:line="244" w:lineRule="auto"/>
        <w:rPr>
          <w:color w:val="auto"/>
          <w:highlight w:val="none"/>
        </w:rPr>
      </w:pPr>
    </w:p>
    <w:p w14:paraId="06E874C5">
      <w:pPr>
        <w:pStyle w:val="6"/>
        <w:spacing w:line="244" w:lineRule="auto"/>
        <w:rPr>
          <w:color w:val="auto"/>
          <w:highlight w:val="none"/>
        </w:rPr>
      </w:pPr>
    </w:p>
    <w:p w14:paraId="0BB9F3BC">
      <w:pPr>
        <w:pStyle w:val="6"/>
        <w:spacing w:line="244" w:lineRule="auto"/>
        <w:rPr>
          <w:color w:val="auto"/>
          <w:highlight w:val="none"/>
        </w:rPr>
      </w:pPr>
    </w:p>
    <w:p w14:paraId="14B255AF">
      <w:pPr>
        <w:pStyle w:val="6"/>
        <w:spacing w:line="244" w:lineRule="auto"/>
        <w:rPr>
          <w:color w:val="auto"/>
          <w:highlight w:val="none"/>
        </w:rPr>
      </w:pPr>
    </w:p>
    <w:p w14:paraId="0D77BF63">
      <w:pPr>
        <w:pStyle w:val="6"/>
        <w:spacing w:line="244" w:lineRule="auto"/>
        <w:rPr>
          <w:color w:val="auto"/>
          <w:highlight w:val="none"/>
        </w:rPr>
      </w:pPr>
    </w:p>
    <w:p w14:paraId="704B6197">
      <w:pPr>
        <w:pStyle w:val="6"/>
        <w:spacing w:line="244" w:lineRule="auto"/>
        <w:rPr>
          <w:color w:val="auto"/>
          <w:highlight w:val="none"/>
        </w:rPr>
      </w:pPr>
    </w:p>
    <w:p w14:paraId="70EB63A1">
      <w:pPr>
        <w:pStyle w:val="6"/>
        <w:spacing w:line="244" w:lineRule="auto"/>
        <w:rPr>
          <w:color w:val="auto"/>
          <w:highlight w:val="none"/>
        </w:rPr>
      </w:pPr>
    </w:p>
    <w:p w14:paraId="781258EE">
      <w:pPr>
        <w:pStyle w:val="6"/>
        <w:spacing w:line="244" w:lineRule="auto"/>
        <w:rPr>
          <w:color w:val="auto"/>
          <w:highlight w:val="none"/>
        </w:rPr>
      </w:pPr>
    </w:p>
    <w:p w14:paraId="30B2AE71">
      <w:pPr>
        <w:pStyle w:val="6"/>
        <w:spacing w:line="244" w:lineRule="auto"/>
        <w:rPr>
          <w:color w:val="auto"/>
          <w:highlight w:val="none"/>
        </w:rPr>
      </w:pPr>
    </w:p>
    <w:p w14:paraId="6E583382">
      <w:pPr>
        <w:pStyle w:val="6"/>
        <w:spacing w:line="244" w:lineRule="auto"/>
        <w:rPr>
          <w:color w:val="auto"/>
          <w:highlight w:val="none"/>
        </w:rPr>
      </w:pPr>
    </w:p>
    <w:p w14:paraId="4A608FEA">
      <w:pPr>
        <w:pStyle w:val="6"/>
        <w:spacing w:line="244" w:lineRule="auto"/>
        <w:rPr>
          <w:color w:val="auto"/>
          <w:highlight w:val="none"/>
        </w:rPr>
      </w:pPr>
    </w:p>
    <w:p w14:paraId="08C9A193">
      <w:pPr>
        <w:pStyle w:val="6"/>
        <w:spacing w:line="244" w:lineRule="auto"/>
        <w:rPr>
          <w:color w:val="auto"/>
          <w:highlight w:val="none"/>
        </w:rPr>
      </w:pPr>
    </w:p>
    <w:p w14:paraId="1027A6E4">
      <w:pPr>
        <w:pStyle w:val="6"/>
        <w:spacing w:line="244" w:lineRule="auto"/>
        <w:rPr>
          <w:color w:val="auto"/>
          <w:highlight w:val="none"/>
        </w:rPr>
      </w:pPr>
    </w:p>
    <w:p w14:paraId="664BAC91">
      <w:pPr>
        <w:pStyle w:val="6"/>
        <w:spacing w:line="244" w:lineRule="auto"/>
        <w:rPr>
          <w:color w:val="auto"/>
          <w:highlight w:val="none"/>
        </w:rPr>
      </w:pPr>
    </w:p>
    <w:p w14:paraId="4C30321D">
      <w:pPr>
        <w:spacing w:line="224" w:lineRule="auto"/>
        <w:rPr>
          <w:rFonts w:ascii="Times New Roman" w:hAnsi="Times New Roman" w:eastAsia="Times New Roman" w:cs="Times New Roman"/>
          <w:color w:val="auto"/>
          <w:sz w:val="18"/>
          <w:szCs w:val="18"/>
          <w:highlight w:val="none"/>
        </w:rPr>
        <w:sectPr>
          <w:pgSz w:w="11905" w:h="16839"/>
          <w:pgMar w:top="400" w:right="1620" w:bottom="400" w:left="1768" w:header="0" w:footer="0" w:gutter="0"/>
          <w:cols w:space="720" w:num="1"/>
        </w:sectPr>
      </w:pPr>
    </w:p>
    <w:p w14:paraId="6988A683">
      <w:pPr>
        <w:pStyle w:val="6"/>
        <w:spacing w:line="447" w:lineRule="auto"/>
        <w:rPr>
          <w:color w:val="auto"/>
          <w:highlight w:val="none"/>
        </w:rPr>
      </w:pPr>
    </w:p>
    <w:p w14:paraId="716D6E99">
      <w:pPr>
        <w:spacing w:line="884" w:lineRule="exact"/>
        <w:ind w:firstLine="28"/>
        <w:rPr>
          <w:color w:val="auto"/>
          <w:highlight w:val="none"/>
        </w:rPr>
      </w:pPr>
      <w:r>
        <w:rPr>
          <w:color w:val="auto"/>
          <w:highlight w:val="none"/>
        </w:rPr>
        <w:pict>
          <v:shape id="_x0000_s1047" o:spid="_x0000_s1047" style="position:absolute;left:0pt;margin-left:0.25pt;margin-top:44.45pt;height:0.5pt;width:418.5pt;z-index:251674624;mso-width-relative:page;mso-height-relative:page;" filled="f" stroked="t" coordsize="8370,10" path="m0,5l8369,5e">
            <v:fill on="f" focussize="0,0"/>
            <v:stroke weight="0.5pt" color="#FFFFFF" miterlimit="10" joinstyle="miter"/>
            <v:imagedata o:title=""/>
            <o:lock v:ext="edit" aspectratio="f"/>
          </v:shape>
        </w:pict>
      </w:r>
    </w:p>
    <w:p w14:paraId="189C2351">
      <w:pPr>
        <w:spacing w:before="187" w:line="393" w:lineRule="auto"/>
        <w:ind w:left="55" w:right="2671" w:firstLine="2646"/>
        <w:rPr>
          <w:rFonts w:ascii="微软雅黑" w:hAnsi="微软雅黑" w:eastAsia="微软雅黑" w:cs="微软雅黑"/>
          <w:color w:val="auto"/>
          <w:sz w:val="24"/>
          <w:szCs w:val="24"/>
          <w:highlight w:val="none"/>
        </w:rPr>
      </w:pPr>
      <w:bookmarkStart w:id="152" w:name="bookmark102"/>
      <w:bookmarkEnd w:id="152"/>
      <w:bookmarkStart w:id="153" w:name="bookmark100"/>
      <w:bookmarkEnd w:id="153"/>
      <w:r>
        <w:rPr>
          <w:rFonts w:ascii="微软雅黑" w:hAnsi="微软雅黑" w:eastAsia="微软雅黑" w:cs="微软雅黑"/>
          <w:b/>
          <w:bCs/>
          <w:color w:val="auto"/>
          <w:spacing w:val="-4"/>
          <w:sz w:val="30"/>
          <w:szCs w:val="30"/>
          <w:highlight w:val="none"/>
        </w:rPr>
        <w:t>第六章</w:t>
      </w:r>
      <w:r>
        <w:rPr>
          <w:rFonts w:ascii="微软雅黑" w:hAnsi="微软雅黑" w:eastAsia="微软雅黑" w:cs="微软雅黑"/>
          <w:b/>
          <w:bCs/>
          <w:color w:val="auto"/>
          <w:spacing w:val="20"/>
          <w:sz w:val="30"/>
          <w:szCs w:val="30"/>
          <w:highlight w:val="none"/>
        </w:rPr>
        <w:t xml:space="preserve">   </w:t>
      </w:r>
      <w:r>
        <w:rPr>
          <w:rFonts w:ascii="微软雅黑" w:hAnsi="微软雅黑" w:eastAsia="微软雅黑" w:cs="微软雅黑"/>
          <w:b/>
          <w:bCs/>
          <w:color w:val="auto"/>
          <w:spacing w:val="-4"/>
          <w:sz w:val="30"/>
          <w:szCs w:val="30"/>
          <w:highlight w:val="none"/>
        </w:rPr>
        <w:t>投标文件格式</w:t>
      </w:r>
      <w:r>
        <w:rPr>
          <w:rFonts w:ascii="微软雅黑" w:hAnsi="微软雅黑" w:eastAsia="微软雅黑" w:cs="微软雅黑"/>
          <w:b/>
          <w:bCs/>
          <w:color w:val="auto"/>
          <w:spacing w:val="2"/>
          <w:sz w:val="30"/>
          <w:szCs w:val="30"/>
          <w:highlight w:val="none"/>
        </w:rPr>
        <w:t xml:space="preserve"> </w:t>
      </w:r>
      <w:r>
        <w:rPr>
          <w:rFonts w:ascii="微软雅黑" w:hAnsi="微软雅黑" w:eastAsia="微软雅黑" w:cs="微软雅黑"/>
          <w:b/>
          <w:bCs/>
          <w:color w:val="auto"/>
          <w:sz w:val="24"/>
          <w:szCs w:val="24"/>
          <w:highlight w:val="none"/>
        </w:rPr>
        <w:t>第一部分</w:t>
      </w:r>
      <w:r>
        <w:rPr>
          <w:rFonts w:ascii="微软雅黑" w:hAnsi="微软雅黑" w:eastAsia="微软雅黑" w:cs="微软雅黑"/>
          <w:b/>
          <w:bCs/>
          <w:color w:val="auto"/>
          <w:spacing w:val="69"/>
          <w:w w:val="101"/>
          <w:sz w:val="24"/>
          <w:szCs w:val="24"/>
          <w:highlight w:val="none"/>
        </w:rPr>
        <w:t xml:space="preserve"> </w:t>
      </w:r>
      <w:r>
        <w:rPr>
          <w:rFonts w:ascii="微软雅黑" w:hAnsi="微软雅黑" w:eastAsia="微软雅黑" w:cs="微软雅黑"/>
          <w:b/>
          <w:bCs/>
          <w:color w:val="auto"/>
          <w:sz w:val="24"/>
          <w:szCs w:val="24"/>
          <w:highlight w:val="none"/>
        </w:rPr>
        <w:t>开标一览表及资格证明文件</w:t>
      </w:r>
    </w:p>
    <w:p w14:paraId="0CD0DFD4">
      <w:pPr>
        <w:spacing w:before="102" w:line="183" w:lineRule="auto"/>
        <w:ind w:left="3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1、开标一览表（格式一）</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w:t>
      </w:r>
    </w:p>
    <w:p w14:paraId="4E9DDB56">
      <w:pPr>
        <w:spacing w:before="163" w:line="241" w:lineRule="auto"/>
        <w:ind w:left="55" w:right="45" w:firstLine="29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2、法人或者非法人组织的营业执照等证明文件复印件（须加盖本单位公章）</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或自然人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的身份证明复印件</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w:t>
      </w:r>
    </w:p>
    <w:p w14:paraId="2D573AE4">
      <w:pPr>
        <w:spacing w:before="158" w:line="183" w:lineRule="auto"/>
        <w:ind w:left="35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3、法定代表人资格证明书（格式二， 自然人投标的无需提供）</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z w:val="21"/>
          <w:szCs w:val="21"/>
          <w:highlight w:val="none"/>
        </w:rPr>
        <w:t>;</w:t>
      </w:r>
    </w:p>
    <w:p w14:paraId="1BE0F5E1">
      <w:pPr>
        <w:spacing w:before="165" w:line="183" w:lineRule="auto"/>
        <w:ind w:left="34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4、法定代表人授权书（格式三， 自然人投标的无需提供）</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z w:val="21"/>
          <w:szCs w:val="21"/>
          <w:highlight w:val="none"/>
        </w:rPr>
        <w:t>;</w:t>
      </w:r>
    </w:p>
    <w:p w14:paraId="0775ACBE">
      <w:pPr>
        <w:spacing w:before="164" w:line="188" w:lineRule="auto"/>
        <w:ind w:left="353"/>
        <w:outlineLvl w:val="1"/>
        <w:rPr>
          <w:rFonts w:ascii="微软雅黑" w:hAnsi="微软雅黑" w:eastAsia="微软雅黑" w:cs="微软雅黑"/>
          <w:color w:val="auto"/>
          <w:sz w:val="21"/>
          <w:szCs w:val="21"/>
          <w:highlight w:val="none"/>
        </w:rPr>
      </w:pPr>
      <w:bookmarkStart w:id="154" w:name="bookmark111"/>
      <w:bookmarkEnd w:id="154"/>
      <w:r>
        <w:rPr>
          <w:rFonts w:ascii="微软雅黑" w:hAnsi="微软雅黑" w:eastAsia="微软雅黑" w:cs="微软雅黑"/>
          <w:color w:val="auto"/>
          <w:sz w:val="21"/>
          <w:szCs w:val="21"/>
          <w:highlight w:val="none"/>
        </w:rPr>
        <w:t>5、投标保证金汇款凭证和保证金收据，</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或保函；</w:t>
      </w:r>
    </w:p>
    <w:p w14:paraId="434123D2">
      <w:pPr>
        <w:spacing w:before="159" w:line="183" w:lineRule="auto"/>
        <w:ind w:left="3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6、反商业贿赂承诺书（格式自拟</w:t>
      </w:r>
      <w:r>
        <w:rPr>
          <w:rFonts w:ascii="微软雅黑" w:hAnsi="微软雅黑" w:eastAsia="微软雅黑" w:cs="微软雅黑"/>
          <w:color w:val="auto"/>
          <w:sz w:val="21"/>
          <w:szCs w:val="21"/>
          <w:highlight w:val="none"/>
        </w:rPr>
        <w:t>）；</w:t>
      </w:r>
    </w:p>
    <w:p w14:paraId="6DC54179">
      <w:pPr>
        <w:spacing w:before="164" w:line="188" w:lineRule="auto"/>
        <w:ind w:left="35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7、投标人须知资料表要求的其他资格证明文</w:t>
      </w:r>
      <w:r>
        <w:rPr>
          <w:rFonts w:ascii="微软雅黑" w:hAnsi="微软雅黑" w:eastAsia="微软雅黑" w:cs="微软雅黑"/>
          <w:color w:val="auto"/>
          <w:spacing w:val="3"/>
          <w:sz w:val="21"/>
          <w:szCs w:val="21"/>
          <w:highlight w:val="none"/>
        </w:rPr>
        <w:t>件;</w:t>
      </w:r>
    </w:p>
    <w:p w14:paraId="586E2855">
      <w:pPr>
        <w:pStyle w:val="6"/>
        <w:spacing w:line="242" w:lineRule="auto"/>
        <w:rPr>
          <w:color w:val="auto"/>
          <w:highlight w:val="none"/>
        </w:rPr>
      </w:pPr>
    </w:p>
    <w:p w14:paraId="4FACF226">
      <w:pPr>
        <w:pStyle w:val="6"/>
        <w:spacing w:line="242" w:lineRule="auto"/>
        <w:rPr>
          <w:color w:val="auto"/>
          <w:highlight w:val="none"/>
        </w:rPr>
      </w:pPr>
    </w:p>
    <w:p w14:paraId="6276CBFA">
      <w:pPr>
        <w:pStyle w:val="6"/>
        <w:spacing w:line="242" w:lineRule="auto"/>
        <w:rPr>
          <w:color w:val="auto"/>
          <w:highlight w:val="none"/>
        </w:rPr>
      </w:pPr>
    </w:p>
    <w:p w14:paraId="0FA6E5A2">
      <w:pPr>
        <w:pStyle w:val="6"/>
        <w:spacing w:line="242" w:lineRule="auto"/>
        <w:rPr>
          <w:color w:val="auto"/>
          <w:highlight w:val="none"/>
        </w:rPr>
      </w:pPr>
    </w:p>
    <w:p w14:paraId="04DF1671">
      <w:pPr>
        <w:pStyle w:val="6"/>
        <w:spacing w:line="242" w:lineRule="auto"/>
        <w:rPr>
          <w:color w:val="auto"/>
          <w:highlight w:val="none"/>
        </w:rPr>
      </w:pPr>
    </w:p>
    <w:p w14:paraId="168DB889">
      <w:pPr>
        <w:pStyle w:val="6"/>
        <w:spacing w:line="242" w:lineRule="auto"/>
        <w:rPr>
          <w:color w:val="auto"/>
          <w:highlight w:val="none"/>
        </w:rPr>
      </w:pPr>
    </w:p>
    <w:p w14:paraId="019125B6">
      <w:pPr>
        <w:pStyle w:val="6"/>
        <w:spacing w:line="242" w:lineRule="auto"/>
        <w:rPr>
          <w:color w:val="auto"/>
          <w:highlight w:val="none"/>
        </w:rPr>
      </w:pPr>
    </w:p>
    <w:p w14:paraId="637DBF5E">
      <w:pPr>
        <w:pStyle w:val="6"/>
        <w:spacing w:line="242" w:lineRule="auto"/>
        <w:rPr>
          <w:color w:val="auto"/>
          <w:highlight w:val="none"/>
        </w:rPr>
      </w:pPr>
    </w:p>
    <w:p w14:paraId="7A4ED870">
      <w:pPr>
        <w:pStyle w:val="6"/>
        <w:spacing w:line="242" w:lineRule="auto"/>
        <w:rPr>
          <w:color w:val="auto"/>
          <w:highlight w:val="none"/>
        </w:rPr>
      </w:pPr>
    </w:p>
    <w:p w14:paraId="36055113">
      <w:pPr>
        <w:pStyle w:val="6"/>
        <w:spacing w:line="242" w:lineRule="auto"/>
        <w:rPr>
          <w:color w:val="auto"/>
          <w:highlight w:val="none"/>
        </w:rPr>
      </w:pPr>
    </w:p>
    <w:p w14:paraId="3CDB7E38">
      <w:pPr>
        <w:pStyle w:val="6"/>
        <w:spacing w:line="242" w:lineRule="auto"/>
        <w:rPr>
          <w:color w:val="auto"/>
          <w:highlight w:val="none"/>
        </w:rPr>
      </w:pPr>
    </w:p>
    <w:p w14:paraId="2FC3F558">
      <w:pPr>
        <w:pStyle w:val="6"/>
        <w:spacing w:line="242" w:lineRule="auto"/>
        <w:rPr>
          <w:color w:val="auto"/>
          <w:highlight w:val="none"/>
        </w:rPr>
      </w:pPr>
    </w:p>
    <w:p w14:paraId="61469B16">
      <w:pPr>
        <w:pStyle w:val="6"/>
        <w:spacing w:line="242" w:lineRule="auto"/>
        <w:rPr>
          <w:color w:val="auto"/>
          <w:highlight w:val="none"/>
        </w:rPr>
      </w:pPr>
    </w:p>
    <w:p w14:paraId="6E8251EC">
      <w:pPr>
        <w:pStyle w:val="6"/>
        <w:spacing w:line="242" w:lineRule="auto"/>
        <w:rPr>
          <w:color w:val="auto"/>
          <w:highlight w:val="none"/>
        </w:rPr>
      </w:pPr>
    </w:p>
    <w:p w14:paraId="41CADB5C">
      <w:pPr>
        <w:pStyle w:val="6"/>
        <w:spacing w:line="242" w:lineRule="auto"/>
        <w:rPr>
          <w:color w:val="auto"/>
          <w:highlight w:val="none"/>
        </w:rPr>
      </w:pPr>
    </w:p>
    <w:p w14:paraId="0CAFA2CC">
      <w:pPr>
        <w:pStyle w:val="6"/>
        <w:spacing w:line="242" w:lineRule="auto"/>
        <w:rPr>
          <w:color w:val="auto"/>
          <w:highlight w:val="none"/>
        </w:rPr>
      </w:pPr>
    </w:p>
    <w:p w14:paraId="0114AA96">
      <w:pPr>
        <w:pStyle w:val="6"/>
        <w:spacing w:line="242" w:lineRule="auto"/>
        <w:rPr>
          <w:color w:val="auto"/>
          <w:highlight w:val="none"/>
        </w:rPr>
      </w:pPr>
    </w:p>
    <w:p w14:paraId="63C00BB9">
      <w:pPr>
        <w:pStyle w:val="6"/>
        <w:spacing w:line="242" w:lineRule="auto"/>
        <w:rPr>
          <w:color w:val="auto"/>
          <w:highlight w:val="none"/>
        </w:rPr>
      </w:pPr>
    </w:p>
    <w:p w14:paraId="1ACB349C">
      <w:pPr>
        <w:pStyle w:val="6"/>
        <w:spacing w:line="243" w:lineRule="auto"/>
        <w:rPr>
          <w:color w:val="auto"/>
          <w:highlight w:val="none"/>
        </w:rPr>
      </w:pPr>
    </w:p>
    <w:p w14:paraId="58CAEC56">
      <w:pPr>
        <w:pStyle w:val="6"/>
        <w:spacing w:line="243" w:lineRule="auto"/>
        <w:rPr>
          <w:color w:val="auto"/>
          <w:highlight w:val="none"/>
        </w:rPr>
      </w:pPr>
    </w:p>
    <w:p w14:paraId="714BC648">
      <w:pPr>
        <w:pStyle w:val="6"/>
        <w:spacing w:line="243" w:lineRule="auto"/>
        <w:rPr>
          <w:color w:val="auto"/>
          <w:highlight w:val="none"/>
        </w:rPr>
      </w:pPr>
    </w:p>
    <w:p w14:paraId="50B08814">
      <w:pPr>
        <w:pStyle w:val="6"/>
        <w:spacing w:line="243" w:lineRule="auto"/>
        <w:rPr>
          <w:color w:val="auto"/>
          <w:highlight w:val="none"/>
        </w:rPr>
      </w:pPr>
    </w:p>
    <w:p w14:paraId="47250D9B">
      <w:pPr>
        <w:pStyle w:val="6"/>
        <w:spacing w:line="243" w:lineRule="auto"/>
        <w:rPr>
          <w:color w:val="auto"/>
          <w:highlight w:val="none"/>
        </w:rPr>
      </w:pPr>
    </w:p>
    <w:p w14:paraId="365CDA63">
      <w:pPr>
        <w:pStyle w:val="6"/>
        <w:spacing w:line="243" w:lineRule="auto"/>
        <w:rPr>
          <w:color w:val="auto"/>
          <w:highlight w:val="none"/>
        </w:rPr>
      </w:pPr>
    </w:p>
    <w:p w14:paraId="0D28102D">
      <w:pPr>
        <w:pStyle w:val="6"/>
        <w:spacing w:line="243" w:lineRule="auto"/>
        <w:rPr>
          <w:color w:val="auto"/>
          <w:highlight w:val="none"/>
        </w:rPr>
      </w:pPr>
    </w:p>
    <w:p w14:paraId="32BE703C">
      <w:pPr>
        <w:pStyle w:val="6"/>
        <w:spacing w:line="243" w:lineRule="auto"/>
        <w:rPr>
          <w:color w:val="auto"/>
          <w:highlight w:val="none"/>
        </w:rPr>
      </w:pPr>
    </w:p>
    <w:p w14:paraId="221B928C">
      <w:pPr>
        <w:pStyle w:val="6"/>
        <w:spacing w:line="243" w:lineRule="auto"/>
        <w:rPr>
          <w:color w:val="auto"/>
          <w:highlight w:val="none"/>
        </w:rPr>
      </w:pPr>
    </w:p>
    <w:p w14:paraId="22D0E873">
      <w:pPr>
        <w:pStyle w:val="6"/>
        <w:spacing w:line="243" w:lineRule="auto"/>
        <w:rPr>
          <w:color w:val="auto"/>
          <w:highlight w:val="none"/>
        </w:rPr>
      </w:pPr>
    </w:p>
    <w:p w14:paraId="5816CAB9">
      <w:pPr>
        <w:pStyle w:val="6"/>
        <w:spacing w:line="243" w:lineRule="auto"/>
        <w:rPr>
          <w:color w:val="auto"/>
          <w:highlight w:val="none"/>
        </w:rPr>
      </w:pPr>
    </w:p>
    <w:p w14:paraId="57C045A5">
      <w:pPr>
        <w:pStyle w:val="6"/>
        <w:spacing w:line="243" w:lineRule="auto"/>
        <w:rPr>
          <w:color w:val="auto"/>
          <w:highlight w:val="none"/>
        </w:rPr>
      </w:pPr>
    </w:p>
    <w:p w14:paraId="410F481C">
      <w:pPr>
        <w:pStyle w:val="6"/>
        <w:spacing w:line="243" w:lineRule="auto"/>
        <w:rPr>
          <w:color w:val="auto"/>
          <w:highlight w:val="none"/>
        </w:rPr>
      </w:pPr>
    </w:p>
    <w:p w14:paraId="32D2F776">
      <w:pPr>
        <w:pStyle w:val="6"/>
        <w:spacing w:line="243" w:lineRule="auto"/>
        <w:rPr>
          <w:color w:val="auto"/>
          <w:highlight w:val="none"/>
        </w:rPr>
      </w:pPr>
    </w:p>
    <w:p w14:paraId="1E945DA7">
      <w:pPr>
        <w:pStyle w:val="6"/>
        <w:spacing w:line="243" w:lineRule="auto"/>
        <w:rPr>
          <w:color w:val="auto"/>
          <w:highlight w:val="none"/>
        </w:rPr>
      </w:pPr>
    </w:p>
    <w:p w14:paraId="4E376D84">
      <w:pPr>
        <w:pStyle w:val="6"/>
        <w:spacing w:line="243" w:lineRule="auto"/>
        <w:rPr>
          <w:color w:val="auto"/>
          <w:highlight w:val="none"/>
        </w:rPr>
      </w:pPr>
    </w:p>
    <w:p w14:paraId="34A1E266">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307E9A1A">
      <w:pPr>
        <w:pStyle w:val="6"/>
        <w:spacing w:line="447" w:lineRule="auto"/>
        <w:rPr>
          <w:color w:val="auto"/>
          <w:highlight w:val="none"/>
        </w:rPr>
      </w:pPr>
    </w:p>
    <w:p w14:paraId="20D82432">
      <w:pPr>
        <w:spacing w:line="884" w:lineRule="exact"/>
        <w:ind w:firstLine="28"/>
        <w:rPr>
          <w:color w:val="auto"/>
          <w:highlight w:val="none"/>
        </w:rPr>
      </w:pPr>
      <w:r>
        <w:rPr>
          <w:color w:val="auto"/>
          <w:highlight w:val="none"/>
        </w:rPr>
        <w:pict>
          <v:shape id="_x0000_s1048" o:spid="_x0000_s1048" style="position:absolute;left:0pt;margin-left:0.25pt;margin-top:44.45pt;height:0.5pt;width:418.5pt;z-index:251675648;mso-width-relative:page;mso-height-relative:page;" filled="f" stroked="t" coordsize="8370,10" path="m0,5l8369,5e">
            <v:fill on="f" focussize="0,0"/>
            <v:stroke weight="0.5pt" color="#FFFFFF" miterlimit="10" joinstyle="miter"/>
            <v:imagedata o:title=""/>
            <o:lock v:ext="edit" aspectratio="f"/>
          </v:shape>
        </w:pict>
      </w:r>
    </w:p>
    <w:p w14:paraId="0C77C878">
      <w:pPr>
        <w:spacing w:before="53" w:line="184" w:lineRule="auto"/>
        <w:ind w:left="2812"/>
        <w:rPr>
          <w:rFonts w:ascii="微软雅黑" w:hAnsi="微软雅黑" w:eastAsia="微软雅黑" w:cs="微软雅黑"/>
          <w:color w:val="auto"/>
          <w:sz w:val="24"/>
          <w:szCs w:val="24"/>
          <w:highlight w:val="none"/>
        </w:rPr>
      </w:pPr>
      <w:bookmarkStart w:id="155" w:name="bookmark104"/>
      <w:bookmarkEnd w:id="155"/>
      <w:r>
        <w:rPr>
          <w:rFonts w:ascii="微软雅黑" w:hAnsi="微软雅黑" w:eastAsia="微软雅黑" w:cs="微软雅黑"/>
          <w:b/>
          <w:bCs/>
          <w:color w:val="auto"/>
          <w:spacing w:val="-3"/>
          <w:sz w:val="24"/>
          <w:szCs w:val="24"/>
          <w:highlight w:val="none"/>
        </w:rPr>
        <w:t>1、开标一览表（格式一）</w:t>
      </w:r>
    </w:p>
    <w:p w14:paraId="4EE05D3A">
      <w:pPr>
        <w:pStyle w:val="6"/>
        <w:spacing w:line="355" w:lineRule="auto"/>
        <w:rPr>
          <w:color w:val="auto"/>
          <w:highlight w:val="none"/>
        </w:rPr>
      </w:pPr>
    </w:p>
    <w:p w14:paraId="3166DA83">
      <w:pPr>
        <w:spacing w:before="120" w:line="188" w:lineRule="auto"/>
        <w:ind w:left="3495"/>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开标一览表</w:t>
      </w:r>
    </w:p>
    <w:p w14:paraId="3D833565">
      <w:pPr>
        <w:pStyle w:val="6"/>
        <w:spacing w:line="268" w:lineRule="auto"/>
        <w:rPr>
          <w:color w:val="auto"/>
          <w:highlight w:val="none"/>
        </w:rPr>
      </w:pPr>
    </w:p>
    <w:p w14:paraId="1C63FB29">
      <w:pPr>
        <w:pStyle w:val="6"/>
        <w:spacing w:line="269" w:lineRule="auto"/>
        <w:rPr>
          <w:color w:val="auto"/>
          <w:highlight w:val="none"/>
        </w:rPr>
      </w:pPr>
    </w:p>
    <w:p w14:paraId="186BFE76">
      <w:pPr>
        <w:spacing w:before="90"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招标项目名称：</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49922536">
      <w:pPr>
        <w:spacing w:before="220"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招标项目编号：</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56AD524">
      <w:pPr>
        <w:spacing w:before="219" w:line="183" w:lineRule="auto"/>
        <w:ind w:left="52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单位：</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元（人民币）</w:t>
      </w:r>
    </w:p>
    <w:p w14:paraId="53106734">
      <w:pPr>
        <w:spacing w:line="57" w:lineRule="auto"/>
        <w:rPr>
          <w:rFonts w:ascii="Arial"/>
          <w:color w:val="auto"/>
          <w:sz w:val="2"/>
          <w:highlight w:val="none"/>
        </w:rPr>
      </w:pPr>
    </w:p>
    <w:tbl>
      <w:tblPr>
        <w:tblStyle w:val="11"/>
        <w:tblW w:w="8780"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973"/>
        <w:gridCol w:w="6183"/>
      </w:tblGrid>
      <w:tr w14:paraId="729F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597" w:type="dxa"/>
            <w:gridSpan w:val="2"/>
            <w:vAlign w:val="top"/>
          </w:tcPr>
          <w:p w14:paraId="3A7D929A">
            <w:pPr>
              <w:pStyle w:val="12"/>
              <w:spacing w:before="208" w:line="187" w:lineRule="auto"/>
              <w:ind w:left="666"/>
              <w:rPr>
                <w:color w:val="auto"/>
                <w:highlight w:val="none"/>
              </w:rPr>
            </w:pPr>
            <w:r>
              <w:rPr>
                <w:color w:val="auto"/>
                <w:highlight w:val="none"/>
              </w:rPr>
              <w:t>投标项目名称</w:t>
            </w:r>
          </w:p>
        </w:tc>
        <w:tc>
          <w:tcPr>
            <w:tcW w:w="6183" w:type="dxa"/>
            <w:vAlign w:val="top"/>
          </w:tcPr>
          <w:p w14:paraId="638758D7">
            <w:pPr>
              <w:rPr>
                <w:rFonts w:ascii="Arial"/>
                <w:color w:val="auto"/>
                <w:sz w:val="21"/>
                <w:highlight w:val="none"/>
              </w:rPr>
            </w:pPr>
          </w:p>
        </w:tc>
      </w:tr>
      <w:tr w14:paraId="1FFAF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597" w:type="dxa"/>
            <w:gridSpan w:val="2"/>
            <w:vAlign w:val="top"/>
          </w:tcPr>
          <w:p w14:paraId="1B4A2F20">
            <w:pPr>
              <w:pStyle w:val="12"/>
              <w:spacing w:before="162" w:line="188" w:lineRule="auto"/>
              <w:ind w:left="991"/>
              <w:rPr>
                <w:color w:val="auto"/>
                <w:highlight w:val="none"/>
              </w:rPr>
            </w:pPr>
            <w:r>
              <w:rPr>
                <w:color w:val="auto"/>
                <w:spacing w:val="-5"/>
                <w:highlight w:val="none"/>
              </w:rPr>
              <w:t>交货期</w:t>
            </w:r>
          </w:p>
        </w:tc>
        <w:tc>
          <w:tcPr>
            <w:tcW w:w="6183" w:type="dxa"/>
            <w:vAlign w:val="top"/>
          </w:tcPr>
          <w:p w14:paraId="7087AE35">
            <w:pPr>
              <w:rPr>
                <w:rFonts w:ascii="Arial"/>
                <w:color w:val="auto"/>
                <w:sz w:val="21"/>
                <w:highlight w:val="none"/>
              </w:rPr>
            </w:pPr>
          </w:p>
        </w:tc>
      </w:tr>
      <w:tr w14:paraId="0097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597" w:type="dxa"/>
            <w:gridSpan w:val="2"/>
            <w:vAlign w:val="top"/>
          </w:tcPr>
          <w:p w14:paraId="5534CC46">
            <w:pPr>
              <w:pStyle w:val="12"/>
              <w:spacing w:before="203" w:line="188" w:lineRule="auto"/>
              <w:ind w:left="991"/>
              <w:rPr>
                <w:color w:val="auto"/>
                <w:highlight w:val="none"/>
              </w:rPr>
            </w:pPr>
            <w:r>
              <w:rPr>
                <w:color w:val="auto"/>
                <w:spacing w:val="-2"/>
                <w:w w:val="98"/>
                <w:highlight w:val="none"/>
              </w:rPr>
              <w:t>质保期</w:t>
            </w:r>
          </w:p>
        </w:tc>
        <w:tc>
          <w:tcPr>
            <w:tcW w:w="6183" w:type="dxa"/>
            <w:vAlign w:val="top"/>
          </w:tcPr>
          <w:p w14:paraId="2E416903">
            <w:pPr>
              <w:rPr>
                <w:rFonts w:ascii="Arial"/>
                <w:color w:val="auto"/>
                <w:sz w:val="21"/>
                <w:highlight w:val="none"/>
              </w:rPr>
            </w:pPr>
          </w:p>
        </w:tc>
      </w:tr>
      <w:tr w14:paraId="6FE1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597" w:type="dxa"/>
            <w:gridSpan w:val="2"/>
            <w:vAlign w:val="top"/>
          </w:tcPr>
          <w:p w14:paraId="3BF30919">
            <w:pPr>
              <w:pStyle w:val="12"/>
              <w:spacing w:before="197" w:line="188" w:lineRule="auto"/>
              <w:ind w:left="772"/>
              <w:rPr>
                <w:color w:val="auto"/>
                <w:highlight w:val="none"/>
              </w:rPr>
            </w:pPr>
            <w:r>
              <w:rPr>
                <w:color w:val="auto"/>
                <w:spacing w:val="-1"/>
                <w:highlight w:val="none"/>
              </w:rPr>
              <w:t>投标有效期</w:t>
            </w:r>
          </w:p>
        </w:tc>
        <w:tc>
          <w:tcPr>
            <w:tcW w:w="6183" w:type="dxa"/>
            <w:vAlign w:val="top"/>
          </w:tcPr>
          <w:p w14:paraId="7A6AD968">
            <w:pPr>
              <w:rPr>
                <w:rFonts w:ascii="Arial"/>
                <w:color w:val="auto"/>
                <w:sz w:val="21"/>
                <w:highlight w:val="none"/>
              </w:rPr>
            </w:pPr>
          </w:p>
        </w:tc>
      </w:tr>
      <w:tr w14:paraId="0D54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624" w:type="dxa"/>
            <w:vMerge w:val="restart"/>
            <w:tcBorders>
              <w:bottom w:val="nil"/>
            </w:tcBorders>
            <w:vAlign w:val="top"/>
          </w:tcPr>
          <w:p w14:paraId="61C29DF3">
            <w:pPr>
              <w:spacing w:line="249" w:lineRule="auto"/>
              <w:rPr>
                <w:rFonts w:ascii="Arial"/>
                <w:color w:val="auto"/>
                <w:sz w:val="21"/>
                <w:highlight w:val="none"/>
              </w:rPr>
            </w:pPr>
          </w:p>
          <w:p w14:paraId="22DDDE3F">
            <w:pPr>
              <w:pStyle w:val="12"/>
              <w:spacing w:before="90" w:line="213" w:lineRule="auto"/>
              <w:ind w:left="286" w:right="292" w:firstLine="105"/>
              <w:rPr>
                <w:color w:val="auto"/>
                <w:highlight w:val="none"/>
              </w:rPr>
            </w:pPr>
            <w:r>
              <w:rPr>
                <w:color w:val="auto"/>
                <w:spacing w:val="-1"/>
                <w:highlight w:val="none"/>
              </w:rPr>
              <w:t>投标报价</w:t>
            </w:r>
            <w:r>
              <w:rPr>
                <w:color w:val="auto"/>
                <w:highlight w:val="none"/>
              </w:rPr>
              <w:t xml:space="preserve">  </w:t>
            </w:r>
            <w:r>
              <w:rPr>
                <w:color w:val="auto"/>
                <w:spacing w:val="-4"/>
                <w:highlight w:val="none"/>
              </w:rPr>
              <w:t>（人民币）</w:t>
            </w:r>
          </w:p>
        </w:tc>
        <w:tc>
          <w:tcPr>
            <w:tcW w:w="973" w:type="dxa"/>
            <w:vAlign w:val="top"/>
          </w:tcPr>
          <w:p w14:paraId="6957A043">
            <w:pPr>
              <w:pStyle w:val="12"/>
              <w:spacing w:before="199" w:line="191" w:lineRule="auto"/>
              <w:ind w:left="279"/>
              <w:rPr>
                <w:color w:val="auto"/>
                <w:highlight w:val="none"/>
              </w:rPr>
            </w:pPr>
            <w:r>
              <w:rPr>
                <w:color w:val="auto"/>
                <w:spacing w:val="-6"/>
                <w:highlight w:val="none"/>
              </w:rPr>
              <w:t>小写</w:t>
            </w:r>
          </w:p>
        </w:tc>
        <w:tc>
          <w:tcPr>
            <w:tcW w:w="6183" w:type="dxa"/>
            <w:vAlign w:val="top"/>
          </w:tcPr>
          <w:p w14:paraId="3835E7B7">
            <w:pPr>
              <w:rPr>
                <w:rFonts w:ascii="Arial"/>
                <w:color w:val="auto"/>
                <w:sz w:val="21"/>
                <w:highlight w:val="none"/>
              </w:rPr>
            </w:pPr>
          </w:p>
        </w:tc>
      </w:tr>
      <w:tr w14:paraId="2F91E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624" w:type="dxa"/>
            <w:vMerge w:val="continue"/>
            <w:tcBorders>
              <w:top w:val="nil"/>
            </w:tcBorders>
            <w:vAlign w:val="top"/>
          </w:tcPr>
          <w:p w14:paraId="16734E81">
            <w:pPr>
              <w:rPr>
                <w:rFonts w:ascii="Arial"/>
                <w:color w:val="auto"/>
                <w:sz w:val="21"/>
                <w:highlight w:val="none"/>
              </w:rPr>
            </w:pPr>
          </w:p>
        </w:tc>
        <w:tc>
          <w:tcPr>
            <w:tcW w:w="973" w:type="dxa"/>
            <w:vAlign w:val="top"/>
          </w:tcPr>
          <w:p w14:paraId="2E148FD7">
            <w:pPr>
              <w:pStyle w:val="12"/>
              <w:spacing w:before="200" w:line="189" w:lineRule="auto"/>
              <w:ind w:left="282"/>
              <w:rPr>
                <w:color w:val="auto"/>
                <w:highlight w:val="none"/>
              </w:rPr>
            </w:pPr>
            <w:r>
              <w:rPr>
                <w:color w:val="auto"/>
                <w:spacing w:val="-4"/>
                <w:w w:val="98"/>
                <w:highlight w:val="none"/>
              </w:rPr>
              <w:t>大写</w:t>
            </w:r>
          </w:p>
        </w:tc>
        <w:tc>
          <w:tcPr>
            <w:tcW w:w="6183" w:type="dxa"/>
            <w:vAlign w:val="top"/>
          </w:tcPr>
          <w:p w14:paraId="22E4E38E">
            <w:pPr>
              <w:rPr>
                <w:rFonts w:ascii="Arial"/>
                <w:color w:val="auto"/>
                <w:sz w:val="21"/>
                <w:highlight w:val="none"/>
              </w:rPr>
            </w:pPr>
          </w:p>
        </w:tc>
      </w:tr>
    </w:tbl>
    <w:p w14:paraId="52DA70DE">
      <w:pPr>
        <w:spacing w:before="219" w:line="188"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填写说明：</w:t>
      </w:r>
    </w:p>
    <w:p w14:paraId="65960FC6">
      <w:pPr>
        <w:spacing w:before="220" w:line="332" w:lineRule="auto"/>
        <w:ind w:left="42" w:right="579" w:firstLine="4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1.开标时，</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3"/>
          <w:sz w:val="21"/>
          <w:szCs w:val="21"/>
          <w:highlight w:val="none"/>
        </w:rPr>
        <w:t>本表中的内容与投标文件中的投标函、货物价格</w:t>
      </w:r>
      <w:r>
        <w:rPr>
          <w:rFonts w:ascii="微软雅黑" w:hAnsi="微软雅黑" w:eastAsia="微软雅黑" w:cs="微软雅黑"/>
          <w:color w:val="auto"/>
          <w:spacing w:val="2"/>
          <w:sz w:val="21"/>
          <w:szCs w:val="21"/>
          <w:highlight w:val="none"/>
        </w:rPr>
        <w:t>明细表及分项价格表的内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容不一致的，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以本表为准；</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大写金额与小写金额不一致的，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以大写金额为准；</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总价金额与</w:t>
      </w:r>
      <w:r>
        <w:rPr>
          <w:rFonts w:ascii="微软雅黑" w:hAnsi="微软雅黑" w:eastAsia="微软雅黑" w:cs="微软雅黑"/>
          <w:color w:val="auto"/>
          <w:sz w:val="21"/>
          <w:szCs w:val="21"/>
          <w:highlight w:val="none"/>
        </w:rPr>
        <w:t xml:space="preserve"> 按单价汇总金额不一致的，</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z w:val="21"/>
          <w:szCs w:val="21"/>
          <w:highlight w:val="none"/>
        </w:rPr>
        <w:t>以单价金额计算结果为准；</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单价金额小数点有明显错位的，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应 </w:t>
      </w:r>
      <w:r>
        <w:rPr>
          <w:rFonts w:ascii="微软雅黑" w:hAnsi="微软雅黑" w:eastAsia="微软雅黑" w:cs="微软雅黑"/>
          <w:color w:val="auto"/>
          <w:spacing w:val="-1"/>
          <w:sz w:val="21"/>
          <w:szCs w:val="21"/>
          <w:highlight w:val="none"/>
        </w:rPr>
        <w:t>以总价为准，</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并修改单价。</w:t>
      </w:r>
    </w:p>
    <w:p w14:paraId="640C6421">
      <w:pPr>
        <w:spacing w:before="3" w:line="332" w:lineRule="auto"/>
        <w:ind w:left="43" w:right="580"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2.投标总价为招标范围所列全部招标项目的报价总和，</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3"/>
          <w:sz w:val="21"/>
          <w:szCs w:val="21"/>
          <w:highlight w:val="none"/>
        </w:rPr>
        <w:t>并应与投标报价明细表及分项</w:t>
      </w:r>
      <w:r>
        <w:rPr>
          <w:rFonts w:ascii="微软雅黑" w:hAnsi="微软雅黑" w:eastAsia="微软雅黑" w:cs="微软雅黑"/>
          <w:color w:val="auto"/>
          <w:sz w:val="21"/>
          <w:szCs w:val="21"/>
          <w:highlight w:val="none"/>
        </w:rPr>
        <w:t xml:space="preserve"> 价格表保持一致。</w:t>
      </w:r>
    </w:p>
    <w:p w14:paraId="50E4586A">
      <w:pPr>
        <w:spacing w:before="4"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3.必须在投标文件中装订。</w:t>
      </w:r>
    </w:p>
    <w:p w14:paraId="4413EC79">
      <w:pPr>
        <w:spacing w:before="218"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4.投标报价不得填报选择性报价。</w:t>
      </w:r>
    </w:p>
    <w:p w14:paraId="3486E78E">
      <w:pPr>
        <w:spacing w:before="218" w:line="183" w:lineRule="auto"/>
        <w:ind w:left="4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投标人名称：</w:t>
      </w:r>
      <w:r>
        <w:rPr>
          <w:rFonts w:ascii="微软雅黑" w:hAnsi="微软雅黑" w:eastAsia="微软雅黑" w:cs="微软雅黑"/>
          <w:color w:val="auto"/>
          <w:spacing w:val="6"/>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（加盖公章）         </w:t>
      </w:r>
    </w:p>
    <w:p w14:paraId="31DA8A47">
      <w:pPr>
        <w:spacing w:before="226" w:line="183"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法定代表人（签字或盖章</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5E465B15">
      <w:pPr>
        <w:spacing w:before="226" w:line="331" w:lineRule="auto"/>
        <w:ind w:left="474" w:right="4092"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授权代表人（签字或盖章</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3"/>
          <w:sz w:val="21"/>
          <w:szCs w:val="21"/>
          <w:highlight w:val="none"/>
        </w:rPr>
        <w:t>签署日期：</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3"/>
          <w:sz w:val="21"/>
          <w:szCs w:val="21"/>
          <w:highlight w:val="none"/>
        </w:rPr>
        <w:t>年</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4"/>
          <w:sz w:val="21"/>
          <w:szCs w:val="21"/>
          <w:highlight w:val="none"/>
          <w:u w:val="single" w:color="auto"/>
        </w:rPr>
        <w:t xml:space="preserve">        </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3"/>
          <w:sz w:val="21"/>
          <w:szCs w:val="21"/>
          <w:highlight w:val="none"/>
        </w:rPr>
        <w:t xml:space="preserve">月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3"/>
          <w:sz w:val="21"/>
          <w:szCs w:val="21"/>
          <w:highlight w:val="none"/>
        </w:rPr>
        <w:t xml:space="preserve"> 日</w:t>
      </w:r>
    </w:p>
    <w:p w14:paraId="33493051">
      <w:pPr>
        <w:spacing w:line="224" w:lineRule="auto"/>
        <w:rPr>
          <w:rFonts w:ascii="Times New Roman" w:hAnsi="Times New Roman" w:eastAsia="Times New Roman" w:cs="Times New Roman"/>
          <w:color w:val="auto"/>
          <w:sz w:val="18"/>
          <w:szCs w:val="18"/>
          <w:highlight w:val="none"/>
        </w:rPr>
        <w:sectPr>
          <w:pgSz w:w="11905" w:h="16839"/>
          <w:pgMar w:top="400" w:right="1220" w:bottom="400" w:left="1768" w:header="0" w:footer="0" w:gutter="0"/>
          <w:cols w:space="720" w:num="1"/>
        </w:sectPr>
      </w:pPr>
    </w:p>
    <w:p w14:paraId="28137B97">
      <w:pPr>
        <w:pStyle w:val="6"/>
        <w:spacing w:line="447" w:lineRule="auto"/>
        <w:rPr>
          <w:color w:val="auto"/>
          <w:highlight w:val="none"/>
        </w:rPr>
      </w:pPr>
    </w:p>
    <w:p w14:paraId="490A19F5">
      <w:pPr>
        <w:spacing w:line="884" w:lineRule="exact"/>
        <w:ind w:firstLine="28"/>
        <w:rPr>
          <w:color w:val="auto"/>
          <w:highlight w:val="none"/>
        </w:rPr>
      </w:pPr>
    </w:p>
    <w:p w14:paraId="043B2D53">
      <w:pPr>
        <w:pStyle w:val="6"/>
        <w:spacing w:line="456" w:lineRule="auto"/>
        <w:rPr>
          <w:color w:val="auto"/>
          <w:highlight w:val="none"/>
        </w:rPr>
      </w:pPr>
      <w:r>
        <w:rPr>
          <w:color w:val="auto"/>
          <w:highlight w:val="none"/>
        </w:rPr>
        <w:pict>
          <v:shape id="_x0000_s1049" o:spid="_x0000_s1049" style="position:absolute;left:0pt;margin-left:0.25pt;margin-top:0.25pt;height:0.5pt;width:418.5pt;z-index:251676672;mso-width-relative:page;mso-height-relative:page;" filled="f" stroked="t" coordsize="8370,10" path="m0,5l8369,5e">
            <v:fill on="f" focussize="0,0"/>
            <v:stroke weight="0.5pt" color="#FFFFFF" miterlimit="10" joinstyle="miter"/>
            <v:imagedata o:title=""/>
            <o:lock v:ext="edit" aspectratio="f"/>
          </v:shape>
        </w:pict>
      </w:r>
    </w:p>
    <w:p w14:paraId="280ACAB8">
      <w:pPr>
        <w:spacing w:before="90" w:line="187" w:lineRule="auto"/>
        <w:ind w:left="997"/>
        <w:rPr>
          <w:rFonts w:ascii="微软雅黑" w:hAnsi="微软雅黑" w:eastAsia="微软雅黑" w:cs="微软雅黑"/>
          <w:color w:val="auto"/>
          <w:sz w:val="21"/>
          <w:szCs w:val="21"/>
          <w:highlight w:val="none"/>
        </w:rPr>
      </w:pPr>
      <w:bookmarkStart w:id="156" w:name="bookmark106"/>
      <w:bookmarkEnd w:id="156"/>
      <w:r>
        <w:rPr>
          <w:rFonts w:ascii="微软雅黑" w:hAnsi="微软雅黑" w:eastAsia="微软雅黑" w:cs="微软雅黑"/>
          <w:b/>
          <w:bCs/>
          <w:color w:val="auto"/>
          <w:sz w:val="21"/>
          <w:szCs w:val="21"/>
          <w:highlight w:val="none"/>
        </w:rPr>
        <w:t>2</w:t>
      </w:r>
      <w:r>
        <w:rPr>
          <w:rFonts w:ascii="微软雅黑" w:hAnsi="微软雅黑" w:eastAsia="微软雅黑" w:cs="微软雅黑"/>
          <w:b/>
          <w:bCs/>
          <w:color w:val="auto"/>
          <w:spacing w:val="-28"/>
          <w:sz w:val="21"/>
          <w:szCs w:val="21"/>
          <w:highlight w:val="none"/>
        </w:rPr>
        <w:t xml:space="preserve"> </w:t>
      </w:r>
      <w:r>
        <w:rPr>
          <w:rFonts w:ascii="微软雅黑" w:hAnsi="微软雅黑" w:eastAsia="微软雅黑" w:cs="微软雅黑"/>
          <w:b/>
          <w:bCs/>
          <w:color w:val="auto"/>
          <w:sz w:val="21"/>
          <w:szCs w:val="21"/>
          <w:highlight w:val="none"/>
        </w:rPr>
        <w:t>、  法人或者非法人组织的营业执照等证明文件或自然人的身份证明</w:t>
      </w:r>
    </w:p>
    <w:p w14:paraId="2E02F051">
      <w:pPr>
        <w:pStyle w:val="6"/>
        <w:spacing w:line="274" w:lineRule="auto"/>
        <w:rPr>
          <w:color w:val="auto"/>
          <w:highlight w:val="none"/>
        </w:rPr>
      </w:pPr>
    </w:p>
    <w:p w14:paraId="307D830E">
      <w:pPr>
        <w:pStyle w:val="6"/>
        <w:spacing w:line="274" w:lineRule="auto"/>
        <w:rPr>
          <w:color w:val="auto"/>
          <w:highlight w:val="none"/>
        </w:rPr>
      </w:pPr>
    </w:p>
    <w:p w14:paraId="43086E14">
      <w:pPr>
        <w:pStyle w:val="6"/>
        <w:spacing w:line="275" w:lineRule="auto"/>
        <w:rPr>
          <w:color w:val="auto"/>
          <w:highlight w:val="none"/>
        </w:rPr>
      </w:pPr>
    </w:p>
    <w:p w14:paraId="4CC097CC">
      <w:pPr>
        <w:spacing w:before="90"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1.提供有效的营业执照等证明文件复印件，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复印件上应加盖本单位公章。</w:t>
      </w:r>
    </w:p>
    <w:p w14:paraId="14D01895">
      <w:pPr>
        <w:spacing w:before="117" w:line="188" w:lineRule="auto"/>
        <w:ind w:left="122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65"/>
          <w:w w:val="101"/>
          <w:sz w:val="21"/>
          <w:szCs w:val="21"/>
          <w:highlight w:val="none"/>
        </w:rPr>
        <w:t xml:space="preserve"> </w:t>
      </w:r>
      <w:r>
        <w:rPr>
          <w:rFonts w:ascii="微软雅黑" w:hAnsi="微软雅黑" w:eastAsia="微软雅黑" w:cs="微软雅黑"/>
          <w:color w:val="auto"/>
          <w:spacing w:val="2"/>
          <w:sz w:val="21"/>
          <w:szCs w:val="21"/>
          <w:highlight w:val="none"/>
        </w:rPr>
        <w:t>投标人为自然人的，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应提供身份证明的复印件。</w:t>
      </w:r>
    </w:p>
    <w:p w14:paraId="21ECFEBB">
      <w:pPr>
        <w:pStyle w:val="6"/>
        <w:spacing w:line="243" w:lineRule="auto"/>
        <w:rPr>
          <w:color w:val="auto"/>
          <w:highlight w:val="none"/>
        </w:rPr>
      </w:pPr>
    </w:p>
    <w:p w14:paraId="68CDA217">
      <w:pPr>
        <w:pStyle w:val="6"/>
        <w:spacing w:line="243" w:lineRule="auto"/>
        <w:rPr>
          <w:color w:val="auto"/>
          <w:highlight w:val="none"/>
        </w:rPr>
      </w:pPr>
    </w:p>
    <w:p w14:paraId="59A92918">
      <w:pPr>
        <w:pStyle w:val="6"/>
        <w:spacing w:line="243" w:lineRule="auto"/>
        <w:rPr>
          <w:color w:val="auto"/>
          <w:highlight w:val="none"/>
        </w:rPr>
      </w:pPr>
    </w:p>
    <w:p w14:paraId="3B88660F">
      <w:pPr>
        <w:pStyle w:val="6"/>
        <w:spacing w:line="243" w:lineRule="auto"/>
        <w:rPr>
          <w:color w:val="auto"/>
          <w:highlight w:val="none"/>
        </w:rPr>
      </w:pPr>
    </w:p>
    <w:p w14:paraId="67ADA096">
      <w:pPr>
        <w:pStyle w:val="6"/>
        <w:spacing w:line="243" w:lineRule="auto"/>
        <w:rPr>
          <w:color w:val="auto"/>
          <w:highlight w:val="none"/>
        </w:rPr>
      </w:pPr>
    </w:p>
    <w:p w14:paraId="085CD604">
      <w:pPr>
        <w:pStyle w:val="6"/>
        <w:spacing w:line="243" w:lineRule="auto"/>
        <w:rPr>
          <w:color w:val="auto"/>
          <w:highlight w:val="none"/>
        </w:rPr>
      </w:pPr>
    </w:p>
    <w:p w14:paraId="7602397C">
      <w:pPr>
        <w:pStyle w:val="6"/>
        <w:spacing w:line="243" w:lineRule="auto"/>
        <w:rPr>
          <w:color w:val="auto"/>
          <w:highlight w:val="none"/>
        </w:rPr>
      </w:pPr>
    </w:p>
    <w:p w14:paraId="6B470975">
      <w:pPr>
        <w:pStyle w:val="6"/>
        <w:spacing w:line="243" w:lineRule="auto"/>
        <w:rPr>
          <w:color w:val="auto"/>
          <w:highlight w:val="none"/>
        </w:rPr>
      </w:pPr>
    </w:p>
    <w:p w14:paraId="59ECFB62">
      <w:pPr>
        <w:pStyle w:val="6"/>
        <w:spacing w:line="243" w:lineRule="auto"/>
        <w:rPr>
          <w:color w:val="auto"/>
          <w:highlight w:val="none"/>
        </w:rPr>
      </w:pPr>
    </w:p>
    <w:p w14:paraId="6204381B">
      <w:pPr>
        <w:pStyle w:val="6"/>
        <w:spacing w:line="243" w:lineRule="auto"/>
        <w:rPr>
          <w:color w:val="auto"/>
          <w:highlight w:val="none"/>
        </w:rPr>
      </w:pPr>
    </w:p>
    <w:p w14:paraId="6763F760">
      <w:pPr>
        <w:pStyle w:val="6"/>
        <w:spacing w:line="243" w:lineRule="auto"/>
        <w:rPr>
          <w:color w:val="auto"/>
          <w:highlight w:val="none"/>
        </w:rPr>
      </w:pPr>
    </w:p>
    <w:p w14:paraId="4A1C7353">
      <w:pPr>
        <w:pStyle w:val="6"/>
        <w:spacing w:line="243" w:lineRule="auto"/>
        <w:rPr>
          <w:color w:val="auto"/>
          <w:highlight w:val="none"/>
        </w:rPr>
      </w:pPr>
    </w:p>
    <w:p w14:paraId="2CA38193">
      <w:pPr>
        <w:pStyle w:val="6"/>
        <w:spacing w:line="243" w:lineRule="auto"/>
        <w:rPr>
          <w:color w:val="auto"/>
          <w:highlight w:val="none"/>
        </w:rPr>
      </w:pPr>
    </w:p>
    <w:p w14:paraId="1F473871">
      <w:pPr>
        <w:pStyle w:val="6"/>
        <w:spacing w:line="243" w:lineRule="auto"/>
        <w:rPr>
          <w:color w:val="auto"/>
          <w:highlight w:val="none"/>
        </w:rPr>
      </w:pPr>
    </w:p>
    <w:p w14:paraId="10E58BDF">
      <w:pPr>
        <w:pStyle w:val="6"/>
        <w:spacing w:line="243" w:lineRule="auto"/>
        <w:rPr>
          <w:color w:val="auto"/>
          <w:highlight w:val="none"/>
        </w:rPr>
      </w:pPr>
    </w:p>
    <w:p w14:paraId="61A55ABC">
      <w:pPr>
        <w:pStyle w:val="6"/>
        <w:spacing w:line="243" w:lineRule="auto"/>
        <w:rPr>
          <w:color w:val="auto"/>
          <w:highlight w:val="none"/>
        </w:rPr>
      </w:pPr>
    </w:p>
    <w:p w14:paraId="15EEFE3A">
      <w:pPr>
        <w:pStyle w:val="6"/>
        <w:spacing w:line="244" w:lineRule="auto"/>
        <w:rPr>
          <w:color w:val="auto"/>
          <w:highlight w:val="none"/>
        </w:rPr>
      </w:pPr>
    </w:p>
    <w:p w14:paraId="4D7C9C2F">
      <w:pPr>
        <w:pStyle w:val="6"/>
        <w:spacing w:line="244" w:lineRule="auto"/>
        <w:rPr>
          <w:color w:val="auto"/>
          <w:highlight w:val="none"/>
        </w:rPr>
      </w:pPr>
    </w:p>
    <w:p w14:paraId="4560B62E">
      <w:pPr>
        <w:pStyle w:val="6"/>
        <w:spacing w:line="244" w:lineRule="auto"/>
        <w:rPr>
          <w:color w:val="auto"/>
          <w:highlight w:val="none"/>
        </w:rPr>
      </w:pPr>
    </w:p>
    <w:p w14:paraId="40690051">
      <w:pPr>
        <w:pStyle w:val="6"/>
        <w:spacing w:line="244" w:lineRule="auto"/>
        <w:rPr>
          <w:color w:val="auto"/>
          <w:highlight w:val="none"/>
        </w:rPr>
      </w:pPr>
    </w:p>
    <w:p w14:paraId="5DE640B4">
      <w:pPr>
        <w:pStyle w:val="6"/>
        <w:spacing w:line="244" w:lineRule="auto"/>
        <w:rPr>
          <w:color w:val="auto"/>
          <w:highlight w:val="none"/>
        </w:rPr>
      </w:pPr>
    </w:p>
    <w:p w14:paraId="0D503F0D">
      <w:pPr>
        <w:pStyle w:val="6"/>
        <w:spacing w:line="244" w:lineRule="auto"/>
        <w:rPr>
          <w:color w:val="auto"/>
          <w:highlight w:val="none"/>
        </w:rPr>
      </w:pPr>
    </w:p>
    <w:p w14:paraId="5399ADE4">
      <w:pPr>
        <w:pStyle w:val="6"/>
        <w:spacing w:line="244" w:lineRule="auto"/>
        <w:rPr>
          <w:color w:val="auto"/>
          <w:highlight w:val="none"/>
        </w:rPr>
      </w:pPr>
    </w:p>
    <w:p w14:paraId="0FC7B676">
      <w:pPr>
        <w:pStyle w:val="6"/>
        <w:spacing w:line="244" w:lineRule="auto"/>
        <w:rPr>
          <w:color w:val="auto"/>
          <w:highlight w:val="none"/>
        </w:rPr>
      </w:pPr>
    </w:p>
    <w:p w14:paraId="7D880432">
      <w:pPr>
        <w:pStyle w:val="6"/>
        <w:spacing w:line="244" w:lineRule="auto"/>
        <w:rPr>
          <w:color w:val="auto"/>
          <w:highlight w:val="none"/>
        </w:rPr>
      </w:pPr>
    </w:p>
    <w:p w14:paraId="37C7C4A7">
      <w:pPr>
        <w:pStyle w:val="6"/>
        <w:spacing w:line="244" w:lineRule="auto"/>
        <w:rPr>
          <w:color w:val="auto"/>
          <w:highlight w:val="none"/>
        </w:rPr>
      </w:pPr>
    </w:p>
    <w:p w14:paraId="6156606A">
      <w:pPr>
        <w:pStyle w:val="6"/>
        <w:spacing w:line="244" w:lineRule="auto"/>
        <w:rPr>
          <w:color w:val="auto"/>
          <w:highlight w:val="none"/>
        </w:rPr>
      </w:pPr>
    </w:p>
    <w:p w14:paraId="4BA74C7F">
      <w:pPr>
        <w:pStyle w:val="6"/>
        <w:spacing w:line="244" w:lineRule="auto"/>
        <w:rPr>
          <w:color w:val="auto"/>
          <w:highlight w:val="none"/>
        </w:rPr>
      </w:pPr>
    </w:p>
    <w:p w14:paraId="7B1308E8">
      <w:pPr>
        <w:pStyle w:val="6"/>
        <w:spacing w:line="244" w:lineRule="auto"/>
        <w:rPr>
          <w:color w:val="auto"/>
          <w:highlight w:val="none"/>
        </w:rPr>
      </w:pPr>
    </w:p>
    <w:p w14:paraId="30DDCF15">
      <w:pPr>
        <w:pStyle w:val="6"/>
        <w:spacing w:line="244" w:lineRule="auto"/>
        <w:rPr>
          <w:color w:val="auto"/>
          <w:highlight w:val="none"/>
        </w:rPr>
      </w:pPr>
    </w:p>
    <w:p w14:paraId="1F256814">
      <w:pPr>
        <w:pStyle w:val="6"/>
        <w:spacing w:line="244" w:lineRule="auto"/>
        <w:rPr>
          <w:color w:val="auto"/>
          <w:highlight w:val="none"/>
        </w:rPr>
      </w:pPr>
    </w:p>
    <w:p w14:paraId="21DB7A2C">
      <w:pPr>
        <w:pStyle w:val="6"/>
        <w:spacing w:line="244" w:lineRule="auto"/>
        <w:rPr>
          <w:color w:val="auto"/>
          <w:highlight w:val="none"/>
        </w:rPr>
      </w:pPr>
    </w:p>
    <w:p w14:paraId="60BD01C1">
      <w:pPr>
        <w:pStyle w:val="6"/>
        <w:spacing w:line="244" w:lineRule="auto"/>
        <w:rPr>
          <w:color w:val="auto"/>
          <w:highlight w:val="none"/>
        </w:rPr>
      </w:pPr>
    </w:p>
    <w:p w14:paraId="1F083468">
      <w:pPr>
        <w:pStyle w:val="6"/>
        <w:spacing w:line="244" w:lineRule="auto"/>
        <w:rPr>
          <w:color w:val="auto"/>
          <w:highlight w:val="none"/>
        </w:rPr>
      </w:pPr>
    </w:p>
    <w:p w14:paraId="6E9CAFDA">
      <w:pPr>
        <w:pStyle w:val="6"/>
        <w:spacing w:line="244" w:lineRule="auto"/>
        <w:rPr>
          <w:color w:val="auto"/>
          <w:highlight w:val="none"/>
        </w:rPr>
      </w:pPr>
    </w:p>
    <w:p w14:paraId="260525E3">
      <w:pPr>
        <w:pStyle w:val="6"/>
        <w:spacing w:line="244" w:lineRule="auto"/>
        <w:rPr>
          <w:color w:val="auto"/>
          <w:highlight w:val="none"/>
        </w:rPr>
      </w:pPr>
    </w:p>
    <w:p w14:paraId="73A63096">
      <w:pPr>
        <w:pStyle w:val="6"/>
        <w:spacing w:line="244" w:lineRule="auto"/>
        <w:rPr>
          <w:color w:val="auto"/>
          <w:highlight w:val="none"/>
        </w:rPr>
      </w:pPr>
    </w:p>
    <w:p w14:paraId="365D4D84">
      <w:pPr>
        <w:pStyle w:val="6"/>
        <w:spacing w:line="244" w:lineRule="auto"/>
        <w:rPr>
          <w:color w:val="auto"/>
          <w:highlight w:val="none"/>
        </w:rPr>
      </w:pPr>
    </w:p>
    <w:p w14:paraId="7693C783">
      <w:pPr>
        <w:pStyle w:val="6"/>
        <w:spacing w:line="244" w:lineRule="auto"/>
        <w:rPr>
          <w:color w:val="auto"/>
          <w:highlight w:val="none"/>
        </w:rPr>
      </w:pPr>
    </w:p>
    <w:p w14:paraId="074D57A5">
      <w:pPr>
        <w:pStyle w:val="6"/>
        <w:spacing w:line="244" w:lineRule="auto"/>
        <w:rPr>
          <w:color w:val="auto"/>
          <w:highlight w:val="none"/>
        </w:rPr>
      </w:pPr>
    </w:p>
    <w:p w14:paraId="58593B95">
      <w:pPr>
        <w:pStyle w:val="6"/>
        <w:spacing w:line="244" w:lineRule="auto"/>
        <w:rPr>
          <w:color w:val="auto"/>
          <w:highlight w:val="none"/>
        </w:rPr>
      </w:pPr>
    </w:p>
    <w:p w14:paraId="01C1DBA2">
      <w:pPr>
        <w:pStyle w:val="6"/>
        <w:spacing w:line="244" w:lineRule="auto"/>
        <w:rPr>
          <w:color w:val="auto"/>
          <w:highlight w:val="none"/>
        </w:rPr>
      </w:pPr>
    </w:p>
    <w:p w14:paraId="719078DE">
      <w:pPr>
        <w:pStyle w:val="6"/>
        <w:spacing w:line="244" w:lineRule="auto"/>
        <w:rPr>
          <w:color w:val="auto"/>
          <w:highlight w:val="none"/>
        </w:rPr>
      </w:pPr>
    </w:p>
    <w:p w14:paraId="32505321">
      <w:pPr>
        <w:pStyle w:val="6"/>
        <w:spacing w:line="244" w:lineRule="auto"/>
        <w:rPr>
          <w:color w:val="auto"/>
          <w:highlight w:val="none"/>
        </w:rPr>
      </w:pPr>
    </w:p>
    <w:p w14:paraId="327EA279">
      <w:pPr>
        <w:pStyle w:val="6"/>
        <w:spacing w:line="244" w:lineRule="auto"/>
        <w:rPr>
          <w:color w:val="auto"/>
          <w:highlight w:val="none"/>
        </w:rPr>
      </w:pPr>
    </w:p>
    <w:p w14:paraId="50E6D4D9">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8F8A251">
      <w:pPr>
        <w:pStyle w:val="6"/>
        <w:spacing w:line="447" w:lineRule="auto"/>
        <w:rPr>
          <w:color w:val="auto"/>
          <w:highlight w:val="none"/>
        </w:rPr>
      </w:pPr>
    </w:p>
    <w:p w14:paraId="7099D83F">
      <w:pPr>
        <w:spacing w:line="884" w:lineRule="exact"/>
        <w:ind w:firstLine="28"/>
        <w:rPr>
          <w:color w:val="auto"/>
          <w:highlight w:val="none"/>
        </w:rPr>
      </w:pPr>
      <w:r>
        <w:rPr>
          <w:color w:val="auto"/>
          <w:highlight w:val="none"/>
        </w:rPr>
        <w:pict>
          <v:shape id="_x0000_s1050" o:spid="_x0000_s1050" style="position:absolute;left:0pt;margin-left:0.25pt;margin-top:44.45pt;height:0.5pt;width:418.5pt;z-index:251678720;mso-width-relative:page;mso-height-relative:page;" filled="f" stroked="t" coordsize="8370,10" path="m0,5l8369,5e">
            <v:fill on="f" focussize="0,0"/>
            <v:stroke weight="0.5pt" color="#FFFFFF" miterlimit="10" joinstyle="miter"/>
            <v:imagedata o:title=""/>
            <o:lock v:ext="edit" aspectratio="f"/>
          </v:shape>
        </w:pict>
      </w:r>
    </w:p>
    <w:p w14:paraId="72D1C9ED">
      <w:pPr>
        <w:spacing w:before="68" w:line="184" w:lineRule="auto"/>
        <w:ind w:left="1212"/>
        <w:rPr>
          <w:rFonts w:ascii="微软雅黑" w:hAnsi="微软雅黑" w:eastAsia="微软雅黑" w:cs="微软雅黑"/>
          <w:color w:val="auto"/>
          <w:sz w:val="21"/>
          <w:szCs w:val="21"/>
          <w:highlight w:val="none"/>
        </w:rPr>
      </w:pPr>
      <w:bookmarkStart w:id="157" w:name="bookmark108"/>
      <w:bookmarkEnd w:id="157"/>
      <w:r>
        <w:rPr>
          <w:rFonts w:ascii="微软雅黑" w:hAnsi="微软雅黑" w:eastAsia="微软雅黑" w:cs="微软雅黑"/>
          <w:b/>
          <w:bCs/>
          <w:color w:val="auto"/>
          <w:spacing w:val="-1"/>
          <w:sz w:val="21"/>
          <w:szCs w:val="21"/>
          <w:highlight w:val="none"/>
        </w:rPr>
        <w:t>3  、法定代表人资格证明书（格式二， 自然人</w:t>
      </w:r>
      <w:r>
        <w:rPr>
          <w:rFonts w:ascii="微软雅黑" w:hAnsi="微软雅黑" w:eastAsia="微软雅黑" w:cs="微软雅黑"/>
          <w:b/>
          <w:bCs/>
          <w:color w:val="auto"/>
          <w:spacing w:val="-2"/>
          <w:sz w:val="21"/>
          <w:szCs w:val="21"/>
          <w:highlight w:val="none"/>
        </w:rPr>
        <w:t>投标的无需提供）</w:t>
      </w:r>
    </w:p>
    <w:p w14:paraId="5BA27458">
      <w:pPr>
        <w:pStyle w:val="6"/>
        <w:spacing w:line="357" w:lineRule="auto"/>
        <w:rPr>
          <w:color w:val="auto"/>
          <w:highlight w:val="none"/>
        </w:rPr>
      </w:pPr>
    </w:p>
    <w:p w14:paraId="43C79350">
      <w:pPr>
        <w:spacing w:before="91"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致：</w:t>
      </w:r>
    </w:p>
    <w:p w14:paraId="7DF83CD4">
      <w:pPr>
        <w:pStyle w:val="6"/>
        <w:spacing w:line="366" w:lineRule="auto"/>
        <w:rPr>
          <w:color w:val="auto"/>
          <w:highlight w:val="none"/>
        </w:rPr>
      </w:pPr>
    </w:p>
    <w:p w14:paraId="13B3092F">
      <w:pPr>
        <w:tabs>
          <w:tab w:val="left" w:pos="1626"/>
        </w:tabs>
        <w:spacing w:before="90" w:line="331" w:lineRule="auto"/>
        <w:ind w:left="261" w:right="1228" w:firstLine="300"/>
        <w:rPr>
          <w:rFonts w:ascii="微软雅黑" w:hAnsi="微软雅黑" w:eastAsia="微软雅黑" w:cs="微软雅黑"/>
          <w:color w:val="auto"/>
          <w:sz w:val="21"/>
          <w:szCs w:val="21"/>
          <w:highlight w:val="none"/>
          <w:u w:val="singl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2"/>
          <w:sz w:val="21"/>
          <w:szCs w:val="21"/>
          <w:highlight w:val="none"/>
        </w:rPr>
        <w:t>同志，现任我单位</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职务，</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为法定代表人，特此证明。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签发日期：</w:t>
      </w:r>
      <w:r>
        <w:rPr>
          <w:rFonts w:ascii="微软雅黑" w:hAnsi="微软雅黑" w:eastAsia="微软雅黑" w:cs="微软雅黑"/>
          <w:color w:val="auto"/>
          <w:spacing w:val="1"/>
          <w:sz w:val="21"/>
          <w:szCs w:val="21"/>
          <w:highlight w:val="none"/>
          <w:u w:val="single"/>
        </w:rPr>
        <w:t xml:space="preserve">                     </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单位：</w:t>
      </w:r>
    </w:p>
    <w:p w14:paraId="4CF06D02">
      <w:pPr>
        <w:spacing w:before="5" w:line="188" w:lineRule="auto"/>
        <w:ind w:left="2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附：</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代表人性别：</w:t>
      </w:r>
      <w:r>
        <w:rPr>
          <w:rFonts w:ascii="微软雅黑" w:hAnsi="微软雅黑" w:eastAsia="微软雅黑" w:cs="微软雅黑"/>
          <w:color w:val="auto"/>
          <w:spacing w:val="-1"/>
          <w:sz w:val="21"/>
          <w:szCs w:val="21"/>
          <w:highlight w:val="none"/>
          <w:u w:val="single"/>
        </w:rPr>
        <w:t xml:space="preserve">           </w:t>
      </w:r>
      <w:r>
        <w:rPr>
          <w:rFonts w:ascii="微软雅黑" w:hAnsi="微软雅黑" w:eastAsia="微软雅黑" w:cs="微软雅黑"/>
          <w:color w:val="auto"/>
          <w:spacing w:val="-2"/>
          <w:sz w:val="21"/>
          <w:szCs w:val="21"/>
          <w:highlight w:val="none"/>
          <w:u w:val="single"/>
        </w:rPr>
        <w:t xml:space="preserve">       </w:t>
      </w:r>
      <w:r>
        <w:rPr>
          <w:rFonts w:ascii="微软雅黑" w:hAnsi="微软雅黑" w:eastAsia="微软雅黑" w:cs="微软雅黑"/>
          <w:color w:val="auto"/>
          <w:spacing w:val="-2"/>
          <w:sz w:val="21"/>
          <w:szCs w:val="21"/>
          <w:highlight w:val="none"/>
        </w:rPr>
        <w:t xml:space="preserve">   年龄：</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身份证号码：</w:t>
      </w:r>
    </w:p>
    <w:p w14:paraId="523439E2">
      <w:pPr>
        <w:spacing w:before="217" w:line="189" w:lineRule="auto"/>
        <w:ind w:left="25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联系电话：</w:t>
      </w:r>
    </w:p>
    <w:p w14:paraId="5DE94B31">
      <w:pPr>
        <w:spacing w:before="216" w:line="188" w:lineRule="auto"/>
        <w:ind w:left="261"/>
        <w:rPr>
          <w:rFonts w:ascii="微软雅黑" w:hAnsi="微软雅黑" w:eastAsia="微软雅黑" w:cs="微软雅黑"/>
          <w:color w:val="auto"/>
          <w:sz w:val="21"/>
          <w:szCs w:val="21"/>
          <w:highlight w:val="none"/>
          <w:u w:val="single"/>
        </w:rPr>
      </w:pPr>
      <w:r>
        <w:rPr>
          <w:rFonts w:ascii="微软雅黑" w:hAnsi="微软雅黑" w:eastAsia="微软雅黑" w:cs="微软雅黑"/>
          <w:color w:val="auto"/>
          <w:sz w:val="21"/>
          <w:szCs w:val="21"/>
          <w:highlight w:val="none"/>
        </w:rPr>
        <w:t>营业执照号码：</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经济性质：</w:t>
      </w:r>
    </w:p>
    <w:p w14:paraId="4D1CBBCE">
      <w:pPr>
        <w:spacing w:before="218" w:line="188"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说明：</w:t>
      </w:r>
    </w:p>
    <w:p w14:paraId="7E7556AE">
      <w:pPr>
        <w:spacing w:before="217" w:line="188" w:lineRule="auto"/>
        <w:ind w:left="2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1、法定代表人为企业事业单位、国家机关、</w:t>
      </w:r>
      <w:r>
        <w:rPr>
          <w:rFonts w:ascii="微软雅黑" w:hAnsi="微软雅黑" w:eastAsia="微软雅黑" w:cs="微软雅黑"/>
          <w:color w:val="auto"/>
          <w:spacing w:val="1"/>
          <w:sz w:val="21"/>
          <w:szCs w:val="21"/>
          <w:highlight w:val="none"/>
        </w:rPr>
        <w:t>社会团体的主要行政负责人。</w:t>
      </w:r>
    </w:p>
    <w:p w14:paraId="73C63636">
      <w:pPr>
        <w:spacing w:before="218"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2、内容必须填写真实、清楚、涂改无效，</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不得转让。</w:t>
      </w:r>
    </w:p>
    <w:p w14:paraId="4D7C8E7B">
      <w:pPr>
        <w:pStyle w:val="6"/>
        <w:spacing w:line="273" w:lineRule="auto"/>
        <w:rPr>
          <w:color w:val="auto"/>
          <w:highlight w:val="none"/>
        </w:rPr>
      </w:pPr>
    </w:p>
    <w:p w14:paraId="5DED8740">
      <w:pPr>
        <w:pStyle w:val="6"/>
        <w:spacing w:line="274" w:lineRule="auto"/>
        <w:rPr>
          <w:color w:val="auto"/>
          <w:highlight w:val="none"/>
        </w:rPr>
      </w:pPr>
      <w:r>
        <w:rPr>
          <w:color w:val="auto"/>
          <w:highlight w:val="none"/>
        </w:rPr>
        <w:pict>
          <v:group id="_x0000_s1051" o:spid="_x0000_s1051" o:spt="203" style="position:absolute;left:0pt;margin-left:255.1pt;margin-top:13.5pt;height:125.5pt;width:184.5pt;z-index:251677696;mso-width-relative:page;mso-height-relative:page;" coordsize="3690,2510">
            <o:lock v:ext="edit"/>
            <v:shape id="_x0000_s1052" o:spid="_x0000_s1052" style="position:absolute;left:0;top:0;height:2510;width:3690;" filled="f" stroked="t" coordsize="3690,2510" path="m319,7c236,7,157,40,98,98c40,157,7,236,7,319l7,2190c7,2273,40,2352,98,2411c157,2469,236,2502,319,2502l3370,2502c3453,2502,3532,2469,3591,2411c3649,2352,3682,2273,3682,2190l3682,319c3682,236,3649,157,3591,98c3532,40,3453,7,3370,7l319,7xe">
              <v:fill on="f" focussize="0,0"/>
              <v:stroke color="#000000" miterlimit="10" joinstyle="miter"/>
              <v:imagedata o:title=""/>
              <o:lock v:ext="edit"/>
            </v:shape>
            <v:shape id="_x0000_s1053" o:spid="_x0000_s1053" o:spt="202" type="#_x0000_t202" style="position:absolute;left:-20;top:-20;height:2590;width:3730;" filled="f" stroked="f" coordsize="21600,21600">
              <v:path/>
              <v:fill on="f" focussize="0,0"/>
              <v:stroke on="f"/>
              <v:imagedata o:title=""/>
              <o:lock v:ext="edit" aspectratio="f"/>
              <v:textbox inset="0mm,0mm,0mm,0mm">
                <w:txbxContent>
                  <w:p w14:paraId="75D65ED6">
                    <w:pPr>
                      <w:pStyle w:val="6"/>
                      <w:spacing w:line="287" w:lineRule="auto"/>
                    </w:pPr>
                  </w:p>
                  <w:p w14:paraId="692659D1">
                    <w:pPr>
                      <w:pStyle w:val="6"/>
                      <w:spacing w:line="287" w:lineRule="auto"/>
                    </w:pPr>
                  </w:p>
                  <w:p w14:paraId="714C7528">
                    <w:pPr>
                      <w:pStyle w:val="6"/>
                      <w:spacing w:line="288" w:lineRule="auto"/>
                    </w:pPr>
                  </w:p>
                  <w:p w14:paraId="2EF915E8">
                    <w:pPr>
                      <w:pStyle w:val="6"/>
                      <w:spacing w:line="288" w:lineRule="auto"/>
                    </w:pPr>
                  </w:p>
                  <w:p w14:paraId="684A430C">
                    <w:pPr>
                      <w:spacing w:before="69" w:line="220" w:lineRule="auto"/>
                      <w:ind w:left="701"/>
                      <w:rPr>
                        <w:rFonts w:ascii="宋体" w:hAnsi="宋体" w:eastAsia="宋体" w:cs="宋体"/>
                        <w:sz w:val="21"/>
                        <w:szCs w:val="21"/>
                      </w:rPr>
                    </w:pPr>
                    <w:r>
                      <w:rPr>
                        <w:rFonts w:ascii="宋体" w:hAnsi="宋体" w:eastAsia="宋体" w:cs="宋体"/>
                        <w:spacing w:val="2"/>
                        <w:sz w:val="21"/>
                        <w:szCs w:val="21"/>
                      </w:rPr>
                      <w:t>法定代表人身份证复印件</w:t>
                    </w:r>
                  </w:p>
                </w:txbxContent>
              </v:textbox>
            </v:shape>
          </v:group>
        </w:pict>
      </w:r>
    </w:p>
    <w:p w14:paraId="10A36865">
      <w:pPr>
        <w:pStyle w:val="6"/>
        <w:spacing w:line="2510" w:lineRule="exact"/>
        <w:ind w:firstLine="649"/>
        <w:rPr>
          <w:color w:val="auto"/>
          <w:highlight w:val="none"/>
        </w:rPr>
      </w:pPr>
      <w:r>
        <w:rPr>
          <w:color w:val="auto"/>
          <w:position w:val="-50"/>
          <w:highlight w:val="none"/>
        </w:rPr>
        <w:pict>
          <v:group id="_x0000_s1054" o:spid="_x0000_s1054" o:spt="203" style="height:125.5pt;width:184.5pt;" coordsize="3690,2510">
            <o:lock v:ext="edit"/>
            <v:shape id="_x0000_s1055" o:spid="_x0000_s1055" style="position:absolute;left:0;top:0;height:2510;width:3690;" filled="f" stroked="t" coordsize="3690,2510" path="m319,7c236,7,157,40,98,98c40,157,7,236,7,319l7,2190c7,2273,40,2352,98,2411c157,2469,236,2502,319,2502l3370,2502c3453,2502,3532,2469,3591,2411c3649,2352,3682,2273,3682,2190l3682,319c3682,236,3649,157,3591,98c3532,40,3453,7,3370,7l319,7xe">
              <v:fill on="f" focussize="0,0"/>
              <v:stroke color="#000000" miterlimit="10" joinstyle="miter"/>
              <v:imagedata o:title=""/>
              <o:lock v:ext="edit"/>
            </v:shape>
            <v:shape id="_x0000_s1056" o:spid="_x0000_s1056" o:spt="202" type="#_x0000_t202" style="position:absolute;left:-20;top:-20;height:2550;width:3730;" filled="f" stroked="f" coordsize="21600,21600">
              <v:path/>
              <v:fill on="f" focussize="0,0"/>
              <v:stroke on="f"/>
              <v:imagedata o:title=""/>
              <o:lock v:ext="edit" aspectratio="f"/>
              <v:textbox inset="0mm,0mm,0mm,0mm">
                <w:txbxContent>
                  <w:p w14:paraId="20DA5861">
                    <w:pPr>
                      <w:spacing w:line="287" w:lineRule="auto"/>
                      <w:rPr>
                        <w:rFonts w:ascii="Arial"/>
                        <w:sz w:val="21"/>
                      </w:rPr>
                    </w:pPr>
                  </w:p>
                  <w:p w14:paraId="1E361CB0">
                    <w:pPr>
                      <w:spacing w:line="287" w:lineRule="auto"/>
                      <w:rPr>
                        <w:rFonts w:ascii="Arial"/>
                        <w:sz w:val="21"/>
                      </w:rPr>
                    </w:pPr>
                  </w:p>
                  <w:p w14:paraId="696B3701">
                    <w:pPr>
                      <w:spacing w:line="288" w:lineRule="auto"/>
                      <w:rPr>
                        <w:rFonts w:ascii="Arial"/>
                        <w:sz w:val="21"/>
                      </w:rPr>
                    </w:pPr>
                  </w:p>
                  <w:p w14:paraId="7234312A">
                    <w:pPr>
                      <w:spacing w:line="288" w:lineRule="auto"/>
                      <w:rPr>
                        <w:rFonts w:ascii="Arial"/>
                        <w:sz w:val="21"/>
                      </w:rPr>
                    </w:pPr>
                  </w:p>
                  <w:p w14:paraId="427AA3C0">
                    <w:pPr>
                      <w:spacing w:before="69" w:line="220" w:lineRule="auto"/>
                      <w:ind w:left="701"/>
                      <w:rPr>
                        <w:rFonts w:ascii="宋体" w:hAnsi="宋体" w:eastAsia="宋体" w:cs="宋体"/>
                        <w:sz w:val="21"/>
                        <w:szCs w:val="21"/>
                      </w:rPr>
                    </w:pPr>
                    <w:r>
                      <w:rPr>
                        <w:rFonts w:ascii="宋体" w:hAnsi="宋体" w:eastAsia="宋体" w:cs="宋体"/>
                        <w:spacing w:val="2"/>
                        <w:sz w:val="21"/>
                        <w:szCs w:val="21"/>
                      </w:rPr>
                      <w:t>法定代表人身份证复印件</w:t>
                    </w:r>
                  </w:p>
                </w:txbxContent>
              </v:textbox>
            </v:shape>
            <w10:wrap type="none"/>
            <w10:anchorlock/>
          </v:group>
        </w:pict>
      </w:r>
    </w:p>
    <w:p w14:paraId="671A71A8">
      <w:pPr>
        <w:pStyle w:val="6"/>
        <w:spacing w:line="402" w:lineRule="auto"/>
        <w:rPr>
          <w:color w:val="auto"/>
          <w:highlight w:val="none"/>
        </w:rPr>
      </w:pPr>
    </w:p>
    <w:p w14:paraId="03B5B8EA">
      <w:pPr>
        <w:tabs>
          <w:tab w:val="left" w:pos="5462"/>
          <w:tab w:val="left" w:pos="5570"/>
        </w:tabs>
        <w:spacing w:before="90" w:line="243" w:lineRule="auto"/>
        <w:ind w:left="472" w:right="3222" w:hanging="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投标人（盖单位公章）</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法定代表人（签字或盖章</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4"/>
          <w:sz w:val="21"/>
          <w:szCs w:val="21"/>
          <w:highlight w:val="none"/>
        </w:rPr>
        <w:t>日</w:t>
      </w:r>
    </w:p>
    <w:p w14:paraId="239317ED">
      <w:pPr>
        <w:pStyle w:val="6"/>
        <w:spacing w:line="248" w:lineRule="auto"/>
        <w:rPr>
          <w:color w:val="auto"/>
          <w:highlight w:val="none"/>
        </w:rPr>
      </w:pPr>
    </w:p>
    <w:p w14:paraId="2BA5C954">
      <w:pPr>
        <w:pStyle w:val="6"/>
        <w:spacing w:line="248" w:lineRule="auto"/>
        <w:rPr>
          <w:color w:val="auto"/>
          <w:highlight w:val="none"/>
        </w:rPr>
      </w:pPr>
    </w:p>
    <w:p w14:paraId="1AD500F3">
      <w:pPr>
        <w:pStyle w:val="6"/>
        <w:spacing w:line="248" w:lineRule="auto"/>
        <w:rPr>
          <w:color w:val="auto"/>
          <w:highlight w:val="none"/>
        </w:rPr>
      </w:pPr>
    </w:p>
    <w:p w14:paraId="47899EDC">
      <w:pPr>
        <w:pStyle w:val="6"/>
        <w:spacing w:line="248" w:lineRule="auto"/>
        <w:rPr>
          <w:color w:val="auto"/>
          <w:highlight w:val="none"/>
        </w:rPr>
      </w:pPr>
    </w:p>
    <w:p w14:paraId="34C7C7F4">
      <w:pPr>
        <w:pStyle w:val="6"/>
        <w:spacing w:line="248" w:lineRule="auto"/>
        <w:rPr>
          <w:color w:val="auto"/>
          <w:highlight w:val="none"/>
        </w:rPr>
      </w:pPr>
    </w:p>
    <w:p w14:paraId="06226AEB">
      <w:pPr>
        <w:pStyle w:val="6"/>
        <w:spacing w:line="248" w:lineRule="auto"/>
        <w:rPr>
          <w:color w:val="auto"/>
          <w:highlight w:val="none"/>
        </w:rPr>
      </w:pPr>
    </w:p>
    <w:p w14:paraId="3121677A">
      <w:pPr>
        <w:pStyle w:val="6"/>
        <w:spacing w:line="248" w:lineRule="auto"/>
        <w:rPr>
          <w:color w:val="auto"/>
          <w:highlight w:val="none"/>
        </w:rPr>
      </w:pPr>
    </w:p>
    <w:p w14:paraId="00704E6C">
      <w:pPr>
        <w:pStyle w:val="6"/>
        <w:spacing w:line="248" w:lineRule="auto"/>
        <w:rPr>
          <w:color w:val="auto"/>
          <w:highlight w:val="none"/>
        </w:rPr>
      </w:pPr>
    </w:p>
    <w:p w14:paraId="658A98F0">
      <w:pPr>
        <w:pStyle w:val="6"/>
        <w:spacing w:line="248" w:lineRule="auto"/>
        <w:rPr>
          <w:color w:val="auto"/>
          <w:highlight w:val="none"/>
        </w:rPr>
      </w:pPr>
    </w:p>
    <w:p w14:paraId="7703C57D">
      <w:pPr>
        <w:pStyle w:val="6"/>
        <w:spacing w:line="248" w:lineRule="auto"/>
        <w:rPr>
          <w:color w:val="auto"/>
          <w:highlight w:val="none"/>
        </w:rPr>
      </w:pPr>
    </w:p>
    <w:p w14:paraId="43451BD1">
      <w:pPr>
        <w:pStyle w:val="6"/>
        <w:spacing w:line="248" w:lineRule="auto"/>
        <w:rPr>
          <w:color w:val="auto"/>
          <w:highlight w:val="none"/>
        </w:rPr>
      </w:pPr>
    </w:p>
    <w:p w14:paraId="5375C4B2">
      <w:pPr>
        <w:pStyle w:val="6"/>
        <w:spacing w:line="249" w:lineRule="auto"/>
        <w:rPr>
          <w:color w:val="auto"/>
          <w:highlight w:val="none"/>
        </w:rPr>
      </w:pPr>
    </w:p>
    <w:p w14:paraId="4D7CA25A">
      <w:pPr>
        <w:spacing w:line="224" w:lineRule="auto"/>
        <w:rPr>
          <w:rFonts w:ascii="Times New Roman" w:hAnsi="Times New Roman" w:eastAsia="Times New Roman" w:cs="Times New Roman"/>
          <w:color w:val="auto"/>
          <w:sz w:val="18"/>
          <w:szCs w:val="18"/>
          <w:highlight w:val="none"/>
        </w:rPr>
        <w:sectPr>
          <w:pgSz w:w="11905" w:h="16839"/>
          <w:pgMar w:top="400" w:right="1344" w:bottom="400" w:left="1768" w:header="0" w:footer="0" w:gutter="0"/>
          <w:cols w:space="720" w:num="1"/>
        </w:sectPr>
      </w:pPr>
    </w:p>
    <w:p w14:paraId="78686DB5">
      <w:pPr>
        <w:pStyle w:val="6"/>
        <w:spacing w:line="447" w:lineRule="auto"/>
        <w:rPr>
          <w:color w:val="auto"/>
          <w:highlight w:val="none"/>
        </w:rPr>
      </w:pPr>
    </w:p>
    <w:p w14:paraId="189F161C">
      <w:pPr>
        <w:spacing w:line="884" w:lineRule="exact"/>
        <w:ind w:firstLine="29"/>
        <w:rPr>
          <w:color w:val="auto"/>
          <w:highlight w:val="none"/>
        </w:rPr>
      </w:pPr>
      <w:r>
        <w:rPr>
          <w:color w:val="auto"/>
          <w:highlight w:val="none"/>
        </w:rPr>
        <w:pict>
          <v:shape id="_x0000_s1057" o:spid="_x0000_s1057" style="position:absolute;left:0pt;margin-left:0.25pt;margin-top:44.45pt;height:0.5pt;width:418.5pt;z-index:251679744;mso-width-relative:page;mso-height-relative:page;" filled="f" stroked="t" coordsize="8370,10" path="m0,5l8369,5e">
            <v:fill on="f" focussize="0,0"/>
            <v:stroke weight="0.5pt" color="#FFFFFF" miterlimit="10" joinstyle="miter"/>
            <v:imagedata o:title=""/>
            <o:lock v:ext="edit" aspectratio="f"/>
          </v:shape>
        </w:pict>
      </w:r>
    </w:p>
    <w:p w14:paraId="222A1329">
      <w:pPr>
        <w:spacing w:before="69" w:line="183" w:lineRule="auto"/>
        <w:ind w:left="1314"/>
        <w:rPr>
          <w:rFonts w:ascii="微软雅黑" w:hAnsi="微软雅黑" w:eastAsia="微软雅黑" w:cs="微软雅黑"/>
          <w:color w:val="auto"/>
          <w:sz w:val="21"/>
          <w:szCs w:val="21"/>
          <w:highlight w:val="none"/>
        </w:rPr>
      </w:pPr>
      <w:bookmarkStart w:id="158" w:name="bookmark110"/>
      <w:bookmarkEnd w:id="158"/>
      <w:r>
        <w:rPr>
          <w:rFonts w:ascii="微软雅黑" w:hAnsi="微软雅黑" w:eastAsia="微软雅黑" w:cs="微软雅黑"/>
          <w:b/>
          <w:bCs/>
          <w:color w:val="auto"/>
          <w:sz w:val="21"/>
          <w:szCs w:val="21"/>
          <w:highlight w:val="none"/>
        </w:rPr>
        <w:t>4  、法定代表人授权委托书(格式三， 自然人投标的无需提供)</w:t>
      </w:r>
    </w:p>
    <w:p w14:paraId="094D95EC">
      <w:pPr>
        <w:pStyle w:val="6"/>
        <w:spacing w:line="341" w:lineRule="auto"/>
        <w:rPr>
          <w:color w:val="auto"/>
          <w:highlight w:val="none"/>
        </w:rPr>
      </w:pPr>
    </w:p>
    <w:p w14:paraId="4B7134F5">
      <w:pPr>
        <w:pStyle w:val="6"/>
        <w:spacing w:line="342" w:lineRule="auto"/>
        <w:rPr>
          <w:color w:val="auto"/>
          <w:highlight w:val="none"/>
        </w:rPr>
      </w:pPr>
    </w:p>
    <w:p w14:paraId="62420226">
      <w:pPr>
        <w:spacing w:before="94" w:line="317" w:lineRule="auto"/>
        <w:ind w:left="45" w:right="450" w:firstLine="4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本授权书声明：</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注册于</w:t>
      </w:r>
      <w:r>
        <w:rPr>
          <w:rFonts w:ascii="微软雅黑" w:hAnsi="微软雅黑" w:eastAsia="微软雅黑" w:cs="微软雅黑"/>
          <w:color w:val="auto"/>
          <w:spacing w:val="-2"/>
          <w:sz w:val="21"/>
          <w:szCs w:val="21"/>
          <w:highlight w:val="none"/>
          <w:u w:val="single" w:color="auto"/>
        </w:rPr>
        <w:t>（国家或地区的名称）</w:t>
      </w:r>
      <w:r>
        <w:rPr>
          <w:rFonts w:ascii="微软雅黑" w:hAnsi="微软雅黑" w:eastAsia="微软雅黑" w:cs="微软雅黑"/>
          <w:color w:val="auto"/>
          <w:spacing w:val="-29"/>
          <w:sz w:val="21"/>
          <w:szCs w:val="21"/>
          <w:highlight w:val="none"/>
          <w:u w:val="single" w:color="auto"/>
        </w:rPr>
        <w:t xml:space="preserve"> </w:t>
      </w:r>
      <w:r>
        <w:rPr>
          <w:rFonts w:ascii="微软雅黑" w:hAnsi="微软雅黑" w:eastAsia="微软雅黑" w:cs="微软雅黑"/>
          <w:color w:val="auto"/>
          <w:spacing w:val="-2"/>
          <w:sz w:val="21"/>
          <w:szCs w:val="21"/>
          <w:highlight w:val="none"/>
        </w:rPr>
        <w:t>的（</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i/>
          <w:iCs/>
          <w:color w:val="auto"/>
          <w:spacing w:val="-2"/>
          <w:sz w:val="22"/>
          <w:szCs w:val="22"/>
          <w:highlight w:val="none"/>
          <w:u w:val="single" w:color="auto"/>
        </w:rPr>
        <w:t>投标人</w:t>
      </w:r>
      <w:r>
        <w:rPr>
          <w:rFonts w:ascii="微软雅黑" w:hAnsi="微软雅黑" w:eastAsia="微软雅黑" w:cs="微软雅黑"/>
          <w:color w:val="auto"/>
          <w:spacing w:val="-3"/>
          <w:sz w:val="21"/>
          <w:szCs w:val="21"/>
          <w:highlight w:val="none"/>
        </w:rPr>
        <w:t>）的在下面签字的（</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42"/>
          <w:sz w:val="21"/>
          <w:szCs w:val="21"/>
          <w:highlight w:val="none"/>
          <w:u w:val="single" w:color="auto"/>
        </w:rPr>
        <w:t xml:space="preserve"> </w:t>
      </w:r>
      <w:r>
        <w:rPr>
          <w:rFonts w:ascii="微软雅黑" w:hAnsi="微软雅黑" w:eastAsia="微软雅黑" w:cs="微软雅黑"/>
          <w:color w:val="auto"/>
          <w:spacing w:val="-3"/>
          <w:sz w:val="21"/>
          <w:szCs w:val="21"/>
          <w:highlight w:val="none"/>
          <w:u w:val="single" w:color="auto"/>
        </w:rPr>
        <w:t>法人代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u w:val="single" w:color="auto"/>
        </w:rPr>
        <w:t>表姓名、职务</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）代表我单位授权（</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44"/>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单位名称</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3"/>
          <w:sz w:val="21"/>
          <w:szCs w:val="21"/>
          <w:highlight w:val="none"/>
        </w:rPr>
        <w:t>）的在下面签字的（</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3"/>
          <w:sz w:val="21"/>
          <w:szCs w:val="21"/>
          <w:highlight w:val="none"/>
          <w:u w:val="single" w:color="auto"/>
        </w:rPr>
        <w:t>被授权人的姓名、职务</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为我单位的合法代理人，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就（</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47"/>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项目名称</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）投标，</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以我单位名义处理一切与之</w:t>
      </w:r>
      <w:r>
        <w:rPr>
          <w:rFonts w:ascii="微软雅黑" w:hAnsi="微软雅黑" w:eastAsia="微软雅黑" w:cs="微软雅黑"/>
          <w:color w:val="auto"/>
          <w:spacing w:val="-2"/>
          <w:sz w:val="21"/>
          <w:szCs w:val="21"/>
          <w:highlight w:val="none"/>
        </w:rPr>
        <w:t>有关的事务。</w:t>
      </w:r>
    </w:p>
    <w:p w14:paraId="0579D79E">
      <w:pPr>
        <w:spacing w:before="10" w:line="188" w:lineRule="auto"/>
        <w:ind w:left="47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本授权书于</w:t>
      </w:r>
      <w:r>
        <w:rPr>
          <w:rFonts w:ascii="微软雅黑" w:hAnsi="微软雅黑" w:eastAsia="微软雅黑" w:cs="微软雅黑"/>
          <w:color w:val="auto"/>
          <w:spacing w:val="-50"/>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z w:val="21"/>
          <w:szCs w:val="21"/>
          <w:highlight w:val="none"/>
        </w:rPr>
        <w:t>年</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4"/>
          <w:sz w:val="21"/>
          <w:szCs w:val="21"/>
          <w:highlight w:val="none"/>
          <w:u w:val="single" w:color="auto"/>
        </w:rPr>
        <w:t xml:space="preserve">        </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月</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z w:val="21"/>
          <w:szCs w:val="21"/>
          <w:highlight w:val="none"/>
        </w:rPr>
        <w:t xml:space="preserve"> 日签字生效,特此声明。</w:t>
      </w:r>
    </w:p>
    <w:p w14:paraId="1C38DAA4">
      <w:pPr>
        <w:pStyle w:val="6"/>
        <w:spacing w:line="266" w:lineRule="auto"/>
        <w:rPr>
          <w:color w:val="auto"/>
          <w:highlight w:val="none"/>
        </w:rPr>
      </w:pPr>
    </w:p>
    <w:p w14:paraId="19F1C32E">
      <w:pPr>
        <w:shd w:val="clear" w:color="auto" w:fill="FFFFFF"/>
        <w:snapToGrid w:val="0"/>
        <w:spacing w:line="500" w:lineRule="exact"/>
        <w:ind w:firstLine="560" w:firstLineChars="200"/>
        <w:rPr>
          <w:rFonts w:hint="default" w:asciiTheme="minorAscii" w:hAnsiTheme="minorAscii" w:eastAsiaTheme="minorEastAsia" w:cstheme="minorEastAsia"/>
          <w:color w:val="auto"/>
          <w:sz w:val="28"/>
          <w:szCs w:val="28"/>
          <w:highlight w:val="none"/>
        </w:rPr>
      </w:pPr>
      <w:r>
        <w:rPr>
          <w:rFonts w:hint="default" w:asciiTheme="minorAscii" w:hAnsiTheme="minorAscii"/>
          <w:color w:val="auto"/>
          <w:sz w:val="28"/>
          <w:highlight w:val="none"/>
        </w:rPr>
        <mc:AlternateContent>
          <mc:Choice Requires="wps">
            <w:drawing>
              <wp:anchor distT="0" distB="0" distL="114300" distR="114300" simplePos="0" relativeHeight="251700224" behindDoc="0" locked="0" layoutInCell="1" allowOverlap="1">
                <wp:simplePos x="0" y="0"/>
                <wp:positionH relativeFrom="column">
                  <wp:posOffset>2820035</wp:posOffset>
                </wp:positionH>
                <wp:positionV relativeFrom="paragraph">
                  <wp:posOffset>121920</wp:posOffset>
                </wp:positionV>
                <wp:extent cx="2054225" cy="1274445"/>
                <wp:effectExtent l="4445" t="4445" r="13970" b="16510"/>
                <wp:wrapNone/>
                <wp:docPr id="65" name="文本框 65"/>
                <wp:cNvGraphicFramePr/>
                <a:graphic xmlns:a="http://schemas.openxmlformats.org/drawingml/2006/main">
                  <a:graphicData uri="http://schemas.microsoft.com/office/word/2010/wordprocessingShape">
                    <wps:wsp>
                      <wps:cNvSpPr txBox="1"/>
                      <wps:spPr>
                        <a:xfrm>
                          <a:off x="3963035" y="5009515"/>
                          <a:ext cx="2054225" cy="1274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BB4425">
                            <w:pPr>
                              <w:rPr>
                                <w:rFonts w:hint="eastAsia" w:eastAsia="宋体"/>
                                <w:lang w:eastAsia="zh-CN"/>
                              </w:rPr>
                            </w:pPr>
                            <w:r>
                              <w:rPr>
                                <w:rFonts w:hint="eastAsia" w:eastAsia="宋体"/>
                                <w:lang w:val="en-US" w:eastAsia="zh-CN"/>
                              </w:rPr>
                              <w:t>法人身份证复印件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05pt;margin-top:9.6pt;height:100.35pt;width:161.75pt;z-index:251700224;mso-width-relative:page;mso-height-relative:page;" fillcolor="#FFFFFF [3201]" filled="t" stroked="t" coordsize="21600,21600" o:gfxdata="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r/vUvXAAAACgEAAA8AAAAAAAAAAQAgAAAAIgAAAGRycy9kb3ducmV2LnhtbFBL&#10;AQIUABQAAAAIAIdO4kCfGB/LaQIAAMYEAAAOAAAAAAAAAAEAIAAAACYBAABkcnMvZTJvRG9jLnht&#10;bFBLBQYAAAAABgAGAFkBAAABBgAAAAA=&#10;">
                <v:fill on="t" focussize="0,0"/>
                <v:stroke weight="0.5pt" color="#000000 [3204]" joinstyle="round"/>
                <v:imagedata o:title=""/>
                <o:lock v:ext="edit" aspectratio="f"/>
                <v:textbox>
                  <w:txbxContent>
                    <w:p w14:paraId="65BB4425">
                      <w:pPr>
                        <w:rPr>
                          <w:rFonts w:hint="eastAsia" w:eastAsia="宋体"/>
                          <w:lang w:eastAsia="zh-CN"/>
                        </w:rPr>
                      </w:pPr>
                      <w:r>
                        <w:rPr>
                          <w:rFonts w:hint="eastAsia" w:eastAsia="宋体"/>
                          <w:lang w:val="en-US" w:eastAsia="zh-CN"/>
                        </w:rPr>
                        <w:t>法人身份证复印件</w:t>
                      </w:r>
                    </w:p>
                  </w:txbxContent>
                </v:textbox>
              </v:shape>
            </w:pict>
          </mc:Fallback>
        </mc:AlternateContent>
      </w:r>
      <w:r>
        <w:rPr>
          <w:rFonts w:hint="default" w:asciiTheme="minorAscii" w:hAnsiTheme="minorAscii"/>
          <w:color w:val="auto"/>
          <w:sz w:val="28"/>
          <w:highlight w:val="none"/>
        </w:rPr>
        <mc:AlternateContent>
          <mc:Choice Requires="wps">
            <w:drawing>
              <wp:anchor distT="0" distB="0" distL="114300" distR="114300" simplePos="0" relativeHeight="251699200" behindDoc="0" locked="0" layoutInCell="1" allowOverlap="1">
                <wp:simplePos x="0" y="0"/>
                <wp:positionH relativeFrom="column">
                  <wp:posOffset>229870</wp:posOffset>
                </wp:positionH>
                <wp:positionV relativeFrom="paragraph">
                  <wp:posOffset>113030</wp:posOffset>
                </wp:positionV>
                <wp:extent cx="2148205" cy="1303020"/>
                <wp:effectExtent l="4445" t="4445" r="11430" b="18415"/>
                <wp:wrapNone/>
                <wp:docPr id="67" name="文本框 67"/>
                <wp:cNvGraphicFramePr/>
                <a:graphic xmlns:a="http://schemas.openxmlformats.org/drawingml/2006/main">
                  <a:graphicData uri="http://schemas.microsoft.com/office/word/2010/wordprocessingShape">
                    <wps:wsp>
                      <wps:cNvSpPr txBox="1"/>
                      <wps:spPr>
                        <a:xfrm>
                          <a:off x="1600835" y="4864735"/>
                          <a:ext cx="2148205" cy="1303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FDE918">
                            <w:pPr>
                              <w:rPr>
                                <w:rFonts w:hint="default" w:eastAsia="宋体"/>
                                <w:lang w:val="en-US" w:eastAsia="zh-CN"/>
                              </w:rPr>
                            </w:pPr>
                            <w:r>
                              <w:rPr>
                                <w:rFonts w:hint="eastAsia" w:eastAsia="宋体"/>
                                <w:lang w:val="en-US" w:eastAsia="zh-CN"/>
                              </w:rPr>
                              <w:t>法人身份证复印件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8.9pt;height:102.6pt;width:169.15pt;z-index:251699200;mso-width-relative:page;mso-height-relative:page;" fillcolor="#FFFFFF [3201]" filled="t" stroked="t" coordsize="21600,21600" o:gfxdata="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CkG79UAAAAJAQAADwAAAAAAAAABACAAAAAiAAAAZHJzL2Rvd25yZXYueG1sUEsBAhQA&#10;FAAAAAgAh07iQCO4ZxhnAgAAxgQAAA4AAAAAAAAAAQAgAAAAJAEAAGRycy9lMm9Eb2MueG1sUEsF&#10;BgAAAAAGAAYAWQEAAP0FAAAAAA==&#10;">
                <v:fill on="t" focussize="0,0"/>
                <v:stroke weight="0.5pt" color="#000000 [3204]" joinstyle="round"/>
                <v:imagedata o:title=""/>
                <o:lock v:ext="edit" aspectratio="f"/>
                <v:textbox>
                  <w:txbxContent>
                    <w:p w14:paraId="69FDE918">
                      <w:pPr>
                        <w:rPr>
                          <w:rFonts w:hint="default" w:eastAsia="宋体"/>
                          <w:lang w:val="en-US" w:eastAsia="zh-CN"/>
                        </w:rPr>
                      </w:pPr>
                      <w:r>
                        <w:rPr>
                          <w:rFonts w:hint="eastAsia" w:eastAsia="宋体"/>
                          <w:lang w:val="en-US" w:eastAsia="zh-CN"/>
                        </w:rPr>
                        <w:t>法人身份证复印件</w:t>
                      </w:r>
                    </w:p>
                  </w:txbxContent>
                </v:textbox>
              </v:shape>
            </w:pict>
          </mc:Fallback>
        </mc:AlternateContent>
      </w:r>
    </w:p>
    <w:p w14:paraId="3A91D219">
      <w:pPr>
        <w:shd w:val="clear" w:color="auto" w:fill="FFFFFF"/>
        <w:snapToGrid w:val="0"/>
        <w:spacing w:line="500" w:lineRule="exact"/>
        <w:ind w:firstLine="560" w:firstLineChars="200"/>
        <w:jc w:val="center"/>
        <w:rPr>
          <w:rFonts w:hint="default" w:asciiTheme="minorAscii" w:hAnsiTheme="minorAscii" w:eastAsiaTheme="minorEastAsia" w:cstheme="minorEastAsia"/>
          <w:color w:val="auto"/>
          <w:sz w:val="28"/>
          <w:szCs w:val="28"/>
          <w:highlight w:val="none"/>
        </w:rPr>
      </w:pPr>
    </w:p>
    <w:p w14:paraId="595FBF13">
      <w:pPr>
        <w:shd w:val="clear" w:color="auto" w:fill="FFFFFF"/>
        <w:snapToGrid w:val="0"/>
        <w:spacing w:line="500" w:lineRule="exact"/>
        <w:ind w:firstLine="560" w:firstLineChars="200"/>
        <w:rPr>
          <w:rFonts w:hint="default" w:asciiTheme="minorAscii" w:hAnsiTheme="minorAscii" w:eastAsiaTheme="minorEastAsia" w:cstheme="minorEastAsia"/>
          <w:color w:val="auto"/>
          <w:sz w:val="28"/>
          <w:szCs w:val="28"/>
          <w:highlight w:val="none"/>
        </w:rPr>
      </w:pPr>
    </w:p>
    <w:p w14:paraId="0677BDA7">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641DB882">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2C377EBD">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r>
        <w:rPr>
          <w:rFonts w:hint="default" w:asciiTheme="minorAscii" w:hAnsiTheme="minorAscii"/>
          <w:color w:val="auto"/>
          <w:sz w:val="28"/>
          <w:highlight w:val="none"/>
        </w:rPr>
        <mc:AlternateContent>
          <mc:Choice Requires="wps">
            <w:drawing>
              <wp:anchor distT="0" distB="0" distL="114300" distR="114300" simplePos="0" relativeHeight="251702272" behindDoc="0" locked="0" layoutInCell="1" allowOverlap="1">
                <wp:simplePos x="0" y="0"/>
                <wp:positionH relativeFrom="column">
                  <wp:posOffset>2835275</wp:posOffset>
                </wp:positionH>
                <wp:positionV relativeFrom="paragraph">
                  <wp:posOffset>55245</wp:posOffset>
                </wp:positionV>
                <wp:extent cx="2095500" cy="1324610"/>
                <wp:effectExtent l="4445" t="4445" r="18415" b="12065"/>
                <wp:wrapNone/>
                <wp:docPr id="69" name="文本框 69"/>
                <wp:cNvGraphicFramePr/>
                <a:graphic xmlns:a="http://schemas.openxmlformats.org/drawingml/2006/main">
                  <a:graphicData uri="http://schemas.microsoft.com/office/word/2010/wordprocessingShape">
                    <wps:wsp>
                      <wps:cNvSpPr txBox="1"/>
                      <wps:spPr>
                        <a:xfrm>
                          <a:off x="4496435" y="6599555"/>
                          <a:ext cx="2095500" cy="1324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4E560D">
                            <w:pPr>
                              <w:rPr>
                                <w:rFonts w:hint="default" w:eastAsia="宋体"/>
                                <w:lang w:val="en-US" w:eastAsia="zh-CN"/>
                              </w:rPr>
                            </w:pPr>
                            <w:r>
                              <w:rPr>
                                <w:rFonts w:hint="eastAsia" w:eastAsia="宋体"/>
                                <w:lang w:val="en-US" w:eastAsia="zh-CN"/>
                              </w:rPr>
                              <w:t>委托人身份证复印件</w:t>
                            </w:r>
                          </w:p>
                          <w:p w14:paraId="33475C15">
                            <w:pP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5pt;margin-top:4.35pt;height:104.3pt;width:165pt;z-index:251702272;mso-width-relative:page;mso-height-relative:page;" fillcolor="#FFFFFF [3201]" filled="t" stroked="t" coordsize="21600,21600" o:gfxdata="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ovz1NYAAAAJAQAADwAAAAAAAAABACAAAAAiAAAAZHJzL2Rvd25yZXYueG1sUEsBAhQA&#10;FAAAAAgAh07iQNpFVC1mAgAAxgQAAA4AAAAAAAAAAQAgAAAAJQEAAGRycy9lMm9Eb2MueG1sUEsF&#10;BgAAAAAGAAYAWQEAAP0FAAAAAA==&#10;">
                <v:fill on="t" focussize="0,0"/>
                <v:stroke weight="0.5pt" color="#000000 [3204]" joinstyle="round"/>
                <v:imagedata o:title=""/>
                <o:lock v:ext="edit" aspectratio="f"/>
                <v:textbox>
                  <w:txbxContent>
                    <w:p w14:paraId="5B4E560D">
                      <w:pPr>
                        <w:rPr>
                          <w:rFonts w:hint="default" w:eastAsia="宋体"/>
                          <w:lang w:val="en-US" w:eastAsia="zh-CN"/>
                        </w:rPr>
                      </w:pPr>
                      <w:r>
                        <w:rPr>
                          <w:rFonts w:hint="eastAsia" w:eastAsia="宋体"/>
                          <w:lang w:val="en-US" w:eastAsia="zh-CN"/>
                        </w:rPr>
                        <w:t>委托人身份证复印件</w:t>
                      </w:r>
                    </w:p>
                    <w:p w14:paraId="33475C15">
                      <w:pPr>
                        <w:rPr>
                          <w:rFonts w:hint="eastAsia" w:eastAsia="宋体"/>
                          <w:lang w:eastAsia="zh-CN"/>
                        </w:rPr>
                      </w:pPr>
                    </w:p>
                  </w:txbxContent>
                </v:textbox>
              </v:shape>
            </w:pict>
          </mc:Fallback>
        </mc:AlternateContent>
      </w:r>
      <w:r>
        <w:rPr>
          <w:rFonts w:hint="default" w:asciiTheme="minorAscii" w:hAnsiTheme="minorAscii"/>
          <w:color w:val="auto"/>
          <w:sz w:val="28"/>
          <w:highlight w:val="none"/>
        </w:rPr>
        <mc:AlternateContent>
          <mc:Choice Requires="wps">
            <w:drawing>
              <wp:anchor distT="0" distB="0" distL="114300" distR="114300" simplePos="0" relativeHeight="251701248" behindDoc="0" locked="0" layoutInCell="1" allowOverlap="1">
                <wp:simplePos x="0" y="0"/>
                <wp:positionH relativeFrom="column">
                  <wp:posOffset>245110</wp:posOffset>
                </wp:positionH>
                <wp:positionV relativeFrom="paragraph">
                  <wp:posOffset>38735</wp:posOffset>
                </wp:positionV>
                <wp:extent cx="2132965" cy="1330325"/>
                <wp:effectExtent l="4445" t="4445" r="11430" b="6350"/>
                <wp:wrapNone/>
                <wp:docPr id="71" name="文本框 71"/>
                <wp:cNvGraphicFramePr/>
                <a:graphic xmlns:a="http://schemas.openxmlformats.org/drawingml/2006/main">
                  <a:graphicData uri="http://schemas.microsoft.com/office/word/2010/wordprocessingShape">
                    <wps:wsp>
                      <wps:cNvSpPr txBox="1"/>
                      <wps:spPr>
                        <a:xfrm>
                          <a:off x="1958975" y="6348095"/>
                          <a:ext cx="2132965" cy="1330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E3B1B6">
                            <w:pPr>
                              <w:rPr>
                                <w:rFonts w:hint="default" w:eastAsia="宋体"/>
                                <w:lang w:val="en-US" w:eastAsia="zh-CN"/>
                              </w:rPr>
                            </w:pPr>
                            <w:r>
                              <w:rPr>
                                <w:rFonts w:hint="eastAsia" w:eastAsia="宋体"/>
                                <w:lang w:val="en-US" w:eastAsia="zh-CN"/>
                              </w:rPr>
                              <w:t>委托人身份证复印件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3.05pt;height:104.75pt;width:167.95pt;z-index:251701248;mso-width-relative:page;mso-height-relative:page;" fillcolor="#FFFFFF [3201]" filled="t" stroked="t" coordsize="21600,21600" o:gfxdata="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I0TjDWAAAACAEAAA8AAAAAAAAAAQAgAAAAIgAAAGRycy9kb3ducmV2LnhtbFBLAQIU&#10;ABQAAAAIAIdO4kANX5IcZwIAAMYEAAAOAAAAAAAAAAEAIAAAACUBAABkcnMvZTJvRG9jLnhtbFBL&#10;BQYAAAAABgAGAFkBAAD+BQAAAAA=&#10;">
                <v:fill on="t" focussize="0,0"/>
                <v:stroke weight="0.5pt" color="#000000 [3204]" joinstyle="round"/>
                <v:imagedata o:title=""/>
                <o:lock v:ext="edit" aspectratio="f"/>
                <v:textbox>
                  <w:txbxContent>
                    <w:p w14:paraId="22E3B1B6">
                      <w:pPr>
                        <w:rPr>
                          <w:rFonts w:hint="default" w:eastAsia="宋体"/>
                          <w:lang w:val="en-US" w:eastAsia="zh-CN"/>
                        </w:rPr>
                      </w:pPr>
                      <w:r>
                        <w:rPr>
                          <w:rFonts w:hint="eastAsia" w:eastAsia="宋体"/>
                          <w:lang w:val="en-US" w:eastAsia="zh-CN"/>
                        </w:rPr>
                        <w:t>委托人身份证复印件</w:t>
                      </w:r>
                    </w:p>
                  </w:txbxContent>
                </v:textbox>
              </v:shape>
            </w:pict>
          </mc:Fallback>
        </mc:AlternateContent>
      </w:r>
    </w:p>
    <w:p w14:paraId="7FFD340C">
      <w:pPr>
        <w:shd w:val="clear" w:color="auto" w:fill="FFFFFF"/>
        <w:tabs>
          <w:tab w:val="left" w:pos="5173"/>
        </w:tabs>
        <w:snapToGrid w:val="0"/>
        <w:spacing w:line="500" w:lineRule="exact"/>
        <w:rPr>
          <w:rFonts w:hint="default" w:asciiTheme="minorAscii" w:hAnsiTheme="minorAscii" w:eastAsiaTheme="minorEastAsia" w:cstheme="minorEastAsia"/>
          <w:color w:val="auto"/>
          <w:sz w:val="28"/>
          <w:szCs w:val="28"/>
          <w:highlight w:val="none"/>
          <w:lang w:eastAsia="zh-CN"/>
        </w:rPr>
      </w:pPr>
      <w:r>
        <w:rPr>
          <w:rFonts w:hint="default" w:asciiTheme="minorAscii" w:hAnsiTheme="minorAscii" w:eastAsiaTheme="minorEastAsia" w:cstheme="minorEastAsia"/>
          <w:color w:val="auto"/>
          <w:sz w:val="28"/>
          <w:szCs w:val="28"/>
          <w:highlight w:val="none"/>
          <w:lang w:eastAsia="zh-CN"/>
        </w:rPr>
        <w:tab/>
      </w:r>
    </w:p>
    <w:p w14:paraId="1875E6C3">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74E1EE35">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49ECC6E4">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0B1F9BDF">
      <w:pPr>
        <w:pStyle w:val="6"/>
        <w:spacing w:line="266" w:lineRule="auto"/>
        <w:rPr>
          <w:color w:val="auto"/>
          <w:highlight w:val="none"/>
        </w:rPr>
      </w:pPr>
    </w:p>
    <w:p w14:paraId="52F2E531">
      <w:pPr>
        <w:pStyle w:val="6"/>
        <w:spacing w:line="266" w:lineRule="auto"/>
        <w:rPr>
          <w:color w:val="auto"/>
          <w:highlight w:val="none"/>
        </w:rPr>
      </w:pPr>
    </w:p>
    <w:p w14:paraId="73FD3325">
      <w:pPr>
        <w:spacing w:before="91" w:line="183" w:lineRule="auto"/>
        <w:ind w:left="4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投标人（盖单位公章）</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1"/>
          <w:sz w:val="21"/>
          <w:szCs w:val="21"/>
          <w:highlight w:val="none"/>
          <w:u w:val="single" w:color="auto"/>
        </w:rPr>
        <w:t xml:space="preserve">                                              </w:t>
      </w:r>
    </w:p>
    <w:p w14:paraId="704C818B">
      <w:pPr>
        <w:spacing w:before="50" w:line="183"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法定代表人（签字或盖章</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2E8E2B78">
      <w:pPr>
        <w:spacing w:before="51" w:line="183" w:lineRule="auto"/>
        <w:ind w:left="47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委托代理人（签字或盖章</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2AF258E7">
      <w:pPr>
        <w:spacing w:before="130"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4"/>
          <w:sz w:val="21"/>
          <w:szCs w:val="21"/>
          <w:highlight w:val="none"/>
        </w:rPr>
        <w:t>日</w:t>
      </w:r>
    </w:p>
    <w:p w14:paraId="00CEA692">
      <w:pPr>
        <w:pStyle w:val="6"/>
        <w:spacing w:line="250" w:lineRule="auto"/>
        <w:rPr>
          <w:color w:val="auto"/>
          <w:highlight w:val="none"/>
        </w:rPr>
      </w:pPr>
    </w:p>
    <w:p w14:paraId="1E93C7D1">
      <w:pPr>
        <w:pStyle w:val="6"/>
        <w:spacing w:line="250" w:lineRule="auto"/>
        <w:rPr>
          <w:color w:val="auto"/>
          <w:highlight w:val="none"/>
        </w:rPr>
      </w:pPr>
    </w:p>
    <w:p w14:paraId="209CBC27">
      <w:pPr>
        <w:pStyle w:val="6"/>
        <w:spacing w:line="251" w:lineRule="auto"/>
        <w:rPr>
          <w:color w:val="auto"/>
          <w:highlight w:val="none"/>
        </w:rPr>
      </w:pPr>
    </w:p>
    <w:p w14:paraId="48CCA282">
      <w:pPr>
        <w:pStyle w:val="6"/>
        <w:spacing w:line="251" w:lineRule="auto"/>
        <w:rPr>
          <w:color w:val="auto"/>
          <w:highlight w:val="none"/>
        </w:rPr>
      </w:pPr>
    </w:p>
    <w:p w14:paraId="586F0024">
      <w:pPr>
        <w:pStyle w:val="6"/>
        <w:spacing w:line="251" w:lineRule="auto"/>
        <w:rPr>
          <w:color w:val="auto"/>
          <w:highlight w:val="none"/>
        </w:rPr>
      </w:pPr>
    </w:p>
    <w:p w14:paraId="50969931">
      <w:pPr>
        <w:pStyle w:val="6"/>
        <w:spacing w:line="251" w:lineRule="auto"/>
        <w:rPr>
          <w:color w:val="auto"/>
          <w:highlight w:val="none"/>
        </w:rPr>
      </w:pPr>
    </w:p>
    <w:p w14:paraId="2706A487">
      <w:pPr>
        <w:pStyle w:val="6"/>
        <w:spacing w:line="251" w:lineRule="auto"/>
        <w:rPr>
          <w:color w:val="auto"/>
          <w:highlight w:val="none"/>
        </w:rPr>
      </w:pPr>
    </w:p>
    <w:p w14:paraId="28CA64E1">
      <w:pPr>
        <w:pStyle w:val="6"/>
        <w:spacing w:line="251" w:lineRule="auto"/>
        <w:rPr>
          <w:color w:val="auto"/>
          <w:highlight w:val="none"/>
        </w:rPr>
      </w:pPr>
    </w:p>
    <w:p w14:paraId="740B3AF1">
      <w:pPr>
        <w:pStyle w:val="6"/>
        <w:spacing w:line="251" w:lineRule="auto"/>
        <w:rPr>
          <w:color w:val="auto"/>
          <w:highlight w:val="none"/>
        </w:rPr>
      </w:pPr>
    </w:p>
    <w:p w14:paraId="4FAF07C3">
      <w:pPr>
        <w:pStyle w:val="6"/>
        <w:spacing w:line="251" w:lineRule="auto"/>
        <w:rPr>
          <w:color w:val="auto"/>
          <w:highlight w:val="none"/>
        </w:rPr>
      </w:pPr>
    </w:p>
    <w:p w14:paraId="1F464C49">
      <w:pPr>
        <w:pStyle w:val="6"/>
        <w:spacing w:line="251" w:lineRule="auto"/>
        <w:rPr>
          <w:color w:val="auto"/>
          <w:highlight w:val="none"/>
        </w:rPr>
      </w:pPr>
    </w:p>
    <w:p w14:paraId="6A78DA12">
      <w:pPr>
        <w:pStyle w:val="6"/>
        <w:spacing w:line="251" w:lineRule="auto"/>
        <w:rPr>
          <w:color w:val="auto"/>
          <w:highlight w:val="none"/>
        </w:rPr>
      </w:pPr>
    </w:p>
    <w:p w14:paraId="0AD9BCB7">
      <w:pPr>
        <w:pStyle w:val="6"/>
        <w:spacing w:line="251" w:lineRule="auto"/>
        <w:rPr>
          <w:color w:val="auto"/>
          <w:highlight w:val="none"/>
        </w:rPr>
      </w:pPr>
    </w:p>
    <w:p w14:paraId="7E9793C1">
      <w:pPr>
        <w:spacing w:line="224" w:lineRule="auto"/>
        <w:rPr>
          <w:rFonts w:ascii="Times New Roman" w:hAnsi="Times New Roman" w:eastAsia="Times New Roman" w:cs="Times New Roman"/>
          <w:color w:val="auto"/>
          <w:sz w:val="18"/>
          <w:szCs w:val="18"/>
          <w:highlight w:val="none"/>
        </w:rPr>
        <w:sectPr>
          <w:pgSz w:w="11905" w:h="16839"/>
          <w:pgMar w:top="400" w:right="1349" w:bottom="400" w:left="1767" w:header="0" w:footer="0" w:gutter="0"/>
          <w:cols w:space="720" w:num="1"/>
        </w:sectPr>
      </w:pPr>
    </w:p>
    <w:p w14:paraId="3F94580E">
      <w:pPr>
        <w:pStyle w:val="6"/>
        <w:spacing w:line="447" w:lineRule="auto"/>
        <w:rPr>
          <w:color w:val="auto"/>
          <w:highlight w:val="none"/>
        </w:rPr>
      </w:pPr>
    </w:p>
    <w:p w14:paraId="73F0009A">
      <w:pPr>
        <w:spacing w:line="884" w:lineRule="exact"/>
        <w:ind w:firstLine="28"/>
        <w:rPr>
          <w:color w:val="auto"/>
          <w:highlight w:val="none"/>
        </w:rPr>
      </w:pPr>
      <w:r>
        <w:rPr>
          <w:color w:val="auto"/>
          <w:highlight w:val="none"/>
        </w:rPr>
        <w:pict>
          <v:shape id="_x0000_s1069" o:spid="_x0000_s1069" style="position:absolute;left:0pt;margin-left:0.25pt;margin-top:44.45pt;height:0.5pt;width:418.5pt;z-index:251680768;mso-width-relative:page;mso-height-relative:page;" filled="f" stroked="t" coordsize="8370,10" path="m0,5l8369,5e">
            <v:fill on="f" focussize="0,0"/>
            <v:stroke weight="0.5pt" color="#FFFFFF" miterlimit="10" joinstyle="miter"/>
            <v:imagedata o:title=""/>
            <o:lock v:ext="edit" aspectratio="f"/>
          </v:shape>
        </w:pict>
      </w:r>
    </w:p>
    <w:p w14:paraId="6ED44CA9">
      <w:pPr>
        <w:pStyle w:val="6"/>
        <w:spacing w:line="301" w:lineRule="auto"/>
        <w:rPr>
          <w:color w:val="auto"/>
          <w:highlight w:val="none"/>
        </w:rPr>
      </w:pPr>
    </w:p>
    <w:p w14:paraId="5892F2E7">
      <w:pPr>
        <w:spacing w:before="91" w:line="188" w:lineRule="auto"/>
        <w:ind w:left="40"/>
        <w:outlineLvl w:val="0"/>
        <w:rPr>
          <w:rFonts w:ascii="微软雅黑" w:hAnsi="微软雅黑" w:eastAsia="微软雅黑" w:cs="微软雅黑"/>
          <w:color w:val="auto"/>
          <w:sz w:val="21"/>
          <w:szCs w:val="21"/>
          <w:highlight w:val="none"/>
        </w:rPr>
      </w:pPr>
      <w:bookmarkStart w:id="159" w:name="bookmark117"/>
      <w:bookmarkEnd w:id="159"/>
      <w:bookmarkStart w:id="160" w:name="bookmark112"/>
      <w:bookmarkEnd w:id="160"/>
      <w:r>
        <w:rPr>
          <w:rFonts w:ascii="微软雅黑" w:hAnsi="微软雅黑" w:eastAsia="微软雅黑" w:cs="微软雅黑"/>
          <w:b/>
          <w:bCs/>
          <w:color w:val="auto"/>
          <w:spacing w:val="-1"/>
          <w:sz w:val="21"/>
          <w:szCs w:val="21"/>
          <w:highlight w:val="none"/>
        </w:rPr>
        <w:t>5、投标保证金汇款凭证和保证金收据，</w:t>
      </w:r>
      <w:r>
        <w:rPr>
          <w:rFonts w:ascii="微软雅黑" w:hAnsi="微软雅黑" w:eastAsia="微软雅黑" w:cs="微软雅黑"/>
          <w:b/>
          <w:bCs/>
          <w:color w:val="auto"/>
          <w:spacing w:val="-21"/>
          <w:sz w:val="21"/>
          <w:szCs w:val="21"/>
          <w:highlight w:val="none"/>
        </w:rPr>
        <w:t xml:space="preserve"> </w:t>
      </w:r>
      <w:r>
        <w:rPr>
          <w:rFonts w:ascii="微软雅黑" w:hAnsi="微软雅黑" w:eastAsia="微软雅黑" w:cs="微软雅黑"/>
          <w:b/>
          <w:bCs/>
          <w:color w:val="auto"/>
          <w:spacing w:val="-1"/>
          <w:sz w:val="21"/>
          <w:szCs w:val="21"/>
          <w:highlight w:val="none"/>
        </w:rPr>
        <w:t>或保函</w:t>
      </w:r>
    </w:p>
    <w:p w14:paraId="57A9EF94">
      <w:pPr>
        <w:pStyle w:val="6"/>
        <w:spacing w:line="274" w:lineRule="auto"/>
        <w:rPr>
          <w:color w:val="auto"/>
          <w:highlight w:val="none"/>
        </w:rPr>
      </w:pPr>
    </w:p>
    <w:p w14:paraId="124E069A">
      <w:pPr>
        <w:spacing w:before="90" w:line="215" w:lineRule="auto"/>
        <w:ind w:left="43" w:right="32" w:firstLine="4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投标人可将本项目投标保证金支付的汇款凭证、支票、汇票和或保证金收据（如有）</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的扫描件作为缴纳凭证及投标保证金收据一起制</w:t>
      </w:r>
      <w:r>
        <w:rPr>
          <w:rFonts w:ascii="微软雅黑" w:hAnsi="微软雅黑" w:eastAsia="微软雅黑" w:cs="微软雅黑"/>
          <w:color w:val="auto"/>
          <w:spacing w:val="2"/>
          <w:sz w:val="21"/>
          <w:szCs w:val="21"/>
          <w:highlight w:val="none"/>
        </w:rPr>
        <w:t>作在本部分，扫描件上应加盖本单位章；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使用银行保函等其他投标担保函的，</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应将担保函制作在本部分中；</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如采用政府采购信用担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保形式的，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应参考（政府采购投标担保函</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（参考</w:t>
      </w:r>
      <w:r>
        <w:rPr>
          <w:rFonts w:ascii="微软雅黑" w:hAnsi="微软雅黑" w:eastAsia="微软雅黑" w:cs="微软雅黑"/>
          <w:color w:val="auto"/>
          <w:spacing w:val="1"/>
          <w:sz w:val="21"/>
          <w:szCs w:val="21"/>
          <w:highlight w:val="none"/>
        </w:rPr>
        <w:t>用）</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w:t>
      </w:r>
    </w:p>
    <w:p w14:paraId="62A1CF0C">
      <w:pPr>
        <w:spacing w:before="24"/>
        <w:rPr>
          <w:color w:val="auto"/>
          <w:highlight w:val="none"/>
        </w:rPr>
      </w:pPr>
    </w:p>
    <w:p w14:paraId="42C485CC">
      <w:pPr>
        <w:spacing w:before="24"/>
        <w:rPr>
          <w:color w:val="auto"/>
          <w:highlight w:val="none"/>
        </w:rPr>
      </w:pPr>
    </w:p>
    <w:p w14:paraId="415EB278">
      <w:pPr>
        <w:spacing w:before="24"/>
        <w:rPr>
          <w:color w:val="auto"/>
          <w:highlight w:val="none"/>
        </w:rPr>
      </w:pPr>
    </w:p>
    <w:p w14:paraId="0F0AE4B8">
      <w:pPr>
        <w:spacing w:before="23"/>
        <w:rPr>
          <w:color w:val="auto"/>
          <w:highlight w:val="none"/>
        </w:rPr>
      </w:pPr>
    </w:p>
    <w:tbl>
      <w:tblPr>
        <w:tblStyle w:val="11"/>
        <w:tblW w:w="7879" w:type="dxa"/>
        <w:tblInd w:w="21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879"/>
      </w:tblGrid>
      <w:tr w14:paraId="1C5C8C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325" w:hRule="atLeast"/>
        </w:trPr>
        <w:tc>
          <w:tcPr>
            <w:tcW w:w="7879" w:type="dxa"/>
            <w:vAlign w:val="top"/>
          </w:tcPr>
          <w:p w14:paraId="3732D735">
            <w:pPr>
              <w:spacing w:line="307" w:lineRule="auto"/>
              <w:rPr>
                <w:rFonts w:ascii="Arial"/>
                <w:color w:val="auto"/>
                <w:sz w:val="21"/>
                <w:highlight w:val="none"/>
              </w:rPr>
            </w:pPr>
          </w:p>
          <w:p w14:paraId="525DDB16">
            <w:pPr>
              <w:spacing w:line="308" w:lineRule="auto"/>
              <w:rPr>
                <w:rFonts w:ascii="Arial"/>
                <w:color w:val="auto"/>
                <w:sz w:val="21"/>
                <w:highlight w:val="none"/>
              </w:rPr>
            </w:pPr>
          </w:p>
          <w:p w14:paraId="6D839C6E">
            <w:pPr>
              <w:pStyle w:val="12"/>
              <w:spacing w:before="90" w:line="188" w:lineRule="auto"/>
              <w:ind w:left="3201"/>
              <w:rPr>
                <w:color w:val="auto"/>
                <w:highlight w:val="none"/>
              </w:rPr>
            </w:pPr>
            <w:r>
              <w:rPr>
                <w:b/>
                <w:bCs/>
                <w:color w:val="auto"/>
                <w:highlight w:val="none"/>
              </w:rPr>
              <w:t>投标保证金收据</w:t>
            </w:r>
          </w:p>
        </w:tc>
      </w:tr>
    </w:tbl>
    <w:p w14:paraId="33C71F85">
      <w:pPr>
        <w:spacing w:before="27"/>
        <w:rPr>
          <w:color w:val="auto"/>
          <w:highlight w:val="none"/>
        </w:rPr>
      </w:pPr>
    </w:p>
    <w:p w14:paraId="7E23AC7A">
      <w:pPr>
        <w:spacing w:before="27"/>
        <w:rPr>
          <w:color w:val="auto"/>
          <w:highlight w:val="none"/>
        </w:rPr>
      </w:pPr>
    </w:p>
    <w:p w14:paraId="75881492">
      <w:pPr>
        <w:spacing w:before="27"/>
        <w:rPr>
          <w:color w:val="auto"/>
          <w:highlight w:val="none"/>
        </w:rPr>
      </w:pPr>
    </w:p>
    <w:p w14:paraId="6E63F594">
      <w:pPr>
        <w:spacing w:before="27"/>
        <w:rPr>
          <w:color w:val="auto"/>
          <w:highlight w:val="none"/>
        </w:rPr>
      </w:pPr>
    </w:p>
    <w:tbl>
      <w:tblPr>
        <w:tblStyle w:val="11"/>
        <w:tblW w:w="7879" w:type="dxa"/>
        <w:tblInd w:w="21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879"/>
      </w:tblGrid>
      <w:tr w14:paraId="64C51A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326" w:hRule="atLeast"/>
        </w:trPr>
        <w:tc>
          <w:tcPr>
            <w:tcW w:w="7879" w:type="dxa"/>
            <w:vAlign w:val="top"/>
          </w:tcPr>
          <w:p w14:paraId="29358A48">
            <w:pPr>
              <w:spacing w:line="312" w:lineRule="auto"/>
              <w:rPr>
                <w:rFonts w:ascii="Arial"/>
                <w:color w:val="auto"/>
                <w:sz w:val="21"/>
                <w:highlight w:val="none"/>
              </w:rPr>
            </w:pPr>
          </w:p>
          <w:p w14:paraId="207D70E3">
            <w:pPr>
              <w:spacing w:line="313" w:lineRule="auto"/>
              <w:rPr>
                <w:rFonts w:ascii="Arial"/>
                <w:color w:val="auto"/>
                <w:sz w:val="21"/>
                <w:highlight w:val="none"/>
              </w:rPr>
            </w:pPr>
          </w:p>
          <w:p w14:paraId="6A5E4A96">
            <w:pPr>
              <w:spacing w:line="313" w:lineRule="auto"/>
              <w:rPr>
                <w:rFonts w:ascii="Arial"/>
                <w:color w:val="auto"/>
                <w:sz w:val="21"/>
                <w:highlight w:val="none"/>
              </w:rPr>
            </w:pPr>
          </w:p>
          <w:p w14:paraId="68C2B6B9">
            <w:pPr>
              <w:pStyle w:val="12"/>
              <w:spacing w:before="90" w:line="188" w:lineRule="auto"/>
              <w:ind w:left="3529"/>
              <w:rPr>
                <w:color w:val="auto"/>
                <w:highlight w:val="none"/>
              </w:rPr>
            </w:pPr>
            <w:r>
              <w:rPr>
                <w:b/>
                <w:bCs/>
                <w:color w:val="auto"/>
                <w:spacing w:val="-3"/>
                <w:highlight w:val="none"/>
              </w:rPr>
              <w:t>汇款凭证</w:t>
            </w:r>
          </w:p>
        </w:tc>
      </w:tr>
    </w:tbl>
    <w:p w14:paraId="15243C63">
      <w:pPr>
        <w:pStyle w:val="6"/>
        <w:spacing w:line="254" w:lineRule="auto"/>
        <w:rPr>
          <w:color w:val="auto"/>
          <w:highlight w:val="none"/>
        </w:rPr>
      </w:pPr>
    </w:p>
    <w:p w14:paraId="6FBC963A">
      <w:pPr>
        <w:pStyle w:val="6"/>
        <w:spacing w:line="254" w:lineRule="auto"/>
        <w:rPr>
          <w:color w:val="auto"/>
          <w:highlight w:val="none"/>
        </w:rPr>
      </w:pPr>
    </w:p>
    <w:p w14:paraId="79007F8E">
      <w:pPr>
        <w:pStyle w:val="6"/>
        <w:spacing w:line="254" w:lineRule="auto"/>
        <w:rPr>
          <w:color w:val="auto"/>
          <w:highlight w:val="none"/>
        </w:rPr>
      </w:pPr>
    </w:p>
    <w:p w14:paraId="703C8901">
      <w:pPr>
        <w:pStyle w:val="6"/>
        <w:spacing w:line="254" w:lineRule="auto"/>
        <w:rPr>
          <w:color w:val="auto"/>
          <w:highlight w:val="none"/>
        </w:rPr>
      </w:pPr>
    </w:p>
    <w:p w14:paraId="44CAABA6">
      <w:pPr>
        <w:pStyle w:val="6"/>
        <w:spacing w:line="254" w:lineRule="auto"/>
        <w:rPr>
          <w:color w:val="auto"/>
          <w:highlight w:val="none"/>
        </w:rPr>
      </w:pPr>
    </w:p>
    <w:p w14:paraId="6B35C421">
      <w:pPr>
        <w:pStyle w:val="6"/>
        <w:spacing w:line="254" w:lineRule="auto"/>
        <w:rPr>
          <w:color w:val="auto"/>
          <w:highlight w:val="none"/>
        </w:rPr>
      </w:pPr>
    </w:p>
    <w:p w14:paraId="7E0FEED2">
      <w:pPr>
        <w:pStyle w:val="6"/>
        <w:spacing w:line="255" w:lineRule="auto"/>
        <w:rPr>
          <w:color w:val="auto"/>
          <w:highlight w:val="none"/>
        </w:rPr>
      </w:pPr>
    </w:p>
    <w:p w14:paraId="53675A4A">
      <w:pPr>
        <w:pStyle w:val="6"/>
        <w:spacing w:line="255" w:lineRule="auto"/>
        <w:rPr>
          <w:color w:val="auto"/>
          <w:highlight w:val="none"/>
        </w:rPr>
      </w:pPr>
    </w:p>
    <w:p w14:paraId="16EF6674">
      <w:pPr>
        <w:pStyle w:val="6"/>
        <w:spacing w:line="255" w:lineRule="auto"/>
        <w:rPr>
          <w:color w:val="auto"/>
          <w:highlight w:val="none"/>
        </w:rPr>
      </w:pPr>
    </w:p>
    <w:p w14:paraId="1E571D74">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3884A763">
      <w:pPr>
        <w:pStyle w:val="6"/>
        <w:spacing w:line="447" w:lineRule="auto"/>
        <w:rPr>
          <w:color w:val="auto"/>
          <w:highlight w:val="none"/>
        </w:rPr>
      </w:pPr>
    </w:p>
    <w:p w14:paraId="43BCA6B1">
      <w:pPr>
        <w:spacing w:line="884" w:lineRule="exact"/>
        <w:ind w:firstLine="28"/>
        <w:rPr>
          <w:color w:val="auto"/>
          <w:highlight w:val="none"/>
        </w:rPr>
      </w:pPr>
      <w:r>
        <w:rPr>
          <w:color w:val="auto"/>
          <w:highlight w:val="none"/>
        </w:rPr>
        <w:pict>
          <v:shape id="_x0000_s1070" o:spid="_x0000_s1070" style="position:absolute;left:0pt;margin-left:0.25pt;margin-top:44.45pt;height:0.5pt;width:418.5pt;z-index:251681792;mso-width-relative:page;mso-height-relative:page;" filled="f" stroked="t" coordsize="8370,10" path="m0,5l8369,5e">
            <v:fill on="f" focussize="0,0"/>
            <v:stroke weight="0.5pt" color="#FFFFFF" miterlimit="10" joinstyle="miter"/>
            <v:imagedata o:title=""/>
            <o:lock v:ext="edit" aspectratio="f"/>
          </v:shape>
        </w:pict>
      </w:r>
    </w:p>
    <w:p w14:paraId="1042B2BC">
      <w:pPr>
        <w:pStyle w:val="6"/>
        <w:spacing w:line="301" w:lineRule="auto"/>
        <w:rPr>
          <w:color w:val="auto"/>
          <w:highlight w:val="none"/>
        </w:rPr>
      </w:pPr>
    </w:p>
    <w:p w14:paraId="691E4403">
      <w:pPr>
        <w:spacing w:before="90" w:line="184" w:lineRule="auto"/>
        <w:ind w:left="222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政府采购投标担保函</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4"/>
          <w:sz w:val="21"/>
          <w:szCs w:val="21"/>
          <w:highlight w:val="none"/>
        </w:rPr>
        <w:t>（项目用</w:t>
      </w:r>
      <w:r>
        <w:rPr>
          <w:rFonts w:ascii="微软雅黑" w:hAnsi="微软雅黑" w:eastAsia="微软雅黑" w:cs="微软雅黑"/>
          <w:b/>
          <w:bCs/>
          <w:color w:val="auto"/>
          <w:spacing w:val="-10"/>
          <w:sz w:val="21"/>
          <w:szCs w:val="21"/>
          <w:highlight w:val="none"/>
        </w:rPr>
        <w:t>）（</w:t>
      </w:r>
      <w:r>
        <w:rPr>
          <w:rFonts w:ascii="微软雅黑" w:hAnsi="微软雅黑" w:eastAsia="微软雅黑" w:cs="微软雅黑"/>
          <w:b/>
          <w:bCs/>
          <w:color w:val="auto"/>
          <w:spacing w:val="4"/>
          <w:sz w:val="21"/>
          <w:szCs w:val="21"/>
          <w:highlight w:val="none"/>
        </w:rPr>
        <w:t>参考）</w:t>
      </w:r>
    </w:p>
    <w:p w14:paraId="30352D4A">
      <w:pPr>
        <w:spacing w:before="49" w:line="189"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编号：</w:t>
      </w:r>
    </w:p>
    <w:p w14:paraId="7714F9D9">
      <w:pPr>
        <w:tabs>
          <w:tab w:val="left" w:pos="2053"/>
        </w:tabs>
        <w:spacing w:before="41" w:line="183" w:lineRule="auto"/>
        <w:ind w:left="13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2"/>
          <w:sz w:val="21"/>
          <w:szCs w:val="21"/>
          <w:highlight w:val="none"/>
        </w:rPr>
        <w:t>（采购人或采购代理机构</w:t>
      </w:r>
      <w:r>
        <w:rPr>
          <w:rFonts w:ascii="微软雅黑" w:hAnsi="微软雅黑" w:eastAsia="微软雅黑" w:cs="微软雅黑"/>
          <w:color w:val="auto"/>
          <w:spacing w:val="4"/>
          <w:sz w:val="21"/>
          <w:szCs w:val="21"/>
          <w:highlight w:val="none"/>
        </w:rPr>
        <w:t>）：</w:t>
      </w:r>
    </w:p>
    <w:p w14:paraId="1F10E50D">
      <w:pPr>
        <w:tabs>
          <w:tab w:val="left" w:pos="8340"/>
        </w:tabs>
        <w:spacing w:before="49" w:line="216" w:lineRule="auto"/>
        <w:ind w:left="43" w:right="74" w:firstLine="42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鉴于</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rPr>
        <w:t>（以下简称“</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投标人”）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拟参加编号为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2"/>
          <w:sz w:val="21"/>
          <w:szCs w:val="21"/>
          <w:highlight w:val="none"/>
        </w:rPr>
        <w:t>的</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项目（以下简称“</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本项目”）投标，</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根据本项目招标文件，</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供应商参加投标时应向你方交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纳投标保证金，</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且可以投标担保函的形式交纳投标保证金。应供应商的申请，</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我方以保证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的方式向你方提供如下投标保证金担保：</w:t>
      </w:r>
    </w:p>
    <w:p w14:paraId="1FB49357">
      <w:pPr>
        <w:spacing w:before="4" w:line="187" w:lineRule="auto"/>
        <w:ind w:left="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一、保证责任的情形及保证金额</w:t>
      </w:r>
    </w:p>
    <w:p w14:paraId="17AAF247">
      <w:pPr>
        <w:spacing w:before="44" w:line="183"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（一）</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在投标人出现下列情形之一时，</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我方承担保证责任：</w:t>
      </w:r>
    </w:p>
    <w:p w14:paraId="3A09D347">
      <w:pPr>
        <w:spacing w:before="50"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 中标后投标人无正当理由不与采购人或者采购代理机构签订《政府采购合同</w:t>
      </w:r>
      <w:r>
        <w:rPr>
          <w:rFonts w:ascii="微软雅黑" w:hAnsi="微软雅黑" w:eastAsia="微软雅黑" w:cs="微软雅黑"/>
          <w:color w:val="auto"/>
          <w:spacing w:val="-2"/>
          <w:sz w:val="21"/>
          <w:szCs w:val="21"/>
          <w:highlight w:val="none"/>
        </w:rPr>
        <w:t>》；</w:t>
      </w:r>
    </w:p>
    <w:p w14:paraId="7E6D8DB2">
      <w:pPr>
        <w:spacing w:before="42" w:line="188"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招标文件规定的投标人应当缴纳保证金的其他情形。</w:t>
      </w:r>
    </w:p>
    <w:p w14:paraId="1F3D39C9">
      <w:pPr>
        <w:spacing w:before="43" w:line="202" w:lineRule="auto"/>
        <w:ind w:left="79" w:right="91" w:firstLine="1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（二）</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我方承担保证责任的最高金额为人民币</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元（大写</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4"/>
          <w:sz w:val="21"/>
          <w:szCs w:val="21"/>
          <w:highlight w:val="none"/>
        </w:rPr>
        <w:t>），</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即本项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目的投标保证金金额。</w:t>
      </w:r>
    </w:p>
    <w:p w14:paraId="5EC21B1A">
      <w:pPr>
        <w:spacing w:before="43" w:line="188"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二、保证的方式及保证期间</w:t>
      </w:r>
    </w:p>
    <w:p w14:paraId="1BA9D180">
      <w:pPr>
        <w:spacing w:before="43" w:line="188"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我方保证的方式为：</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连带责任保证。</w:t>
      </w:r>
    </w:p>
    <w:p w14:paraId="13BEB4A9">
      <w:pPr>
        <w:spacing w:before="43" w:line="188"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我方的保证期间为： 自本保函生效之日起</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pacing w:val="8"/>
          <w:sz w:val="21"/>
          <w:szCs w:val="21"/>
          <w:highlight w:val="none"/>
          <w:u w:val="single" w:color="auto"/>
        </w:rPr>
        <w:t xml:space="preserve">      </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个月止。</w:t>
      </w:r>
    </w:p>
    <w:p w14:paraId="40AC2CD3">
      <w:pPr>
        <w:spacing w:before="44" w:line="188" w:lineRule="auto"/>
        <w:ind w:left="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三、承担保证责任的程序</w:t>
      </w:r>
    </w:p>
    <w:p w14:paraId="6BAE6CB3">
      <w:pPr>
        <w:spacing w:before="42" w:line="207" w:lineRule="auto"/>
        <w:ind w:left="42" w:firstLine="43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z w:val="21"/>
          <w:szCs w:val="21"/>
          <w:highlight w:val="none"/>
        </w:rPr>
        <w:t xml:space="preserve">你方要求我方承担保证责任的，应在本保函保证期间内向我方发出书面索赔通知。 </w:t>
      </w:r>
      <w:r>
        <w:rPr>
          <w:rFonts w:ascii="微软雅黑" w:hAnsi="微软雅黑" w:eastAsia="微软雅黑" w:cs="微软雅黑"/>
          <w:color w:val="auto"/>
          <w:spacing w:val="2"/>
          <w:sz w:val="21"/>
          <w:szCs w:val="21"/>
          <w:highlight w:val="none"/>
        </w:rPr>
        <w:t>索赔通知应写明要求索赔的金额，支付款项应到达的账号，</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并附有证明投标人发生我方应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承担保证责任情形的事实材料。</w:t>
      </w:r>
    </w:p>
    <w:p w14:paraId="705C65F9">
      <w:pPr>
        <w:spacing w:before="43" w:line="202" w:lineRule="auto"/>
        <w:ind w:left="42" w:right="77" w:firstLine="4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我方在收到索赔通知及相关证明材料后</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在</w:t>
      </w:r>
      <w:r>
        <w:rPr>
          <w:rFonts w:ascii="微软雅黑" w:hAnsi="微软雅黑" w:eastAsia="微软雅黑" w:cs="微软雅黑"/>
          <w:color w:val="auto"/>
          <w:spacing w:val="-55"/>
          <w:sz w:val="21"/>
          <w:szCs w:val="21"/>
          <w:highlight w:val="none"/>
        </w:rPr>
        <w:t xml:space="preserve"> </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个工作日内进行审查，</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1"/>
          <w:sz w:val="21"/>
          <w:szCs w:val="21"/>
          <w:highlight w:val="none"/>
        </w:rPr>
        <w:t>符合应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承担保证责任情形的，</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我方应按照你方的要求代投标人向</w:t>
      </w:r>
      <w:r>
        <w:rPr>
          <w:rFonts w:ascii="微软雅黑" w:hAnsi="微软雅黑" w:eastAsia="微软雅黑" w:cs="微软雅黑"/>
          <w:color w:val="auto"/>
          <w:spacing w:val="1"/>
          <w:sz w:val="21"/>
          <w:szCs w:val="21"/>
          <w:highlight w:val="none"/>
        </w:rPr>
        <w:t>你方支付投标保证金。</w:t>
      </w:r>
    </w:p>
    <w:p w14:paraId="36514DF8">
      <w:pPr>
        <w:spacing w:before="42" w:line="189"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四、保证责任的终止</w:t>
      </w:r>
    </w:p>
    <w:p w14:paraId="0598658D">
      <w:pPr>
        <w:spacing w:before="43" w:line="202" w:lineRule="auto"/>
        <w:ind w:left="43" w:right="77" w:firstLine="4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1"/>
          <w:sz w:val="21"/>
          <w:szCs w:val="21"/>
          <w:highlight w:val="none"/>
        </w:rPr>
        <w:t>保证期间届满你方未向我方书面主张保证责任的， 自保证期间届满次日起，</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我方</w:t>
      </w:r>
      <w:r>
        <w:rPr>
          <w:rFonts w:ascii="微软雅黑" w:hAnsi="微软雅黑" w:eastAsia="微软雅黑" w:cs="微软雅黑"/>
          <w:color w:val="auto"/>
          <w:sz w:val="21"/>
          <w:szCs w:val="21"/>
          <w:highlight w:val="none"/>
        </w:rPr>
        <w:t xml:space="preserve"> 保证责任自动终止。</w:t>
      </w:r>
    </w:p>
    <w:p w14:paraId="521BD064">
      <w:pPr>
        <w:spacing w:before="42" w:line="200" w:lineRule="auto"/>
        <w:ind w:left="43" w:right="77"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2"/>
          <w:sz w:val="21"/>
          <w:szCs w:val="21"/>
          <w:highlight w:val="none"/>
        </w:rPr>
        <w:t>我方按照本保函向你贵方履行了保证责任后， 自我方向你贵方支付款项（支付款</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项从我方账户划出）</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1"/>
          <w:sz w:val="21"/>
          <w:szCs w:val="21"/>
          <w:highlight w:val="none"/>
        </w:rPr>
        <w:t>之日起，</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保证责任终止。</w:t>
      </w:r>
    </w:p>
    <w:p w14:paraId="5706325B">
      <w:pPr>
        <w:spacing w:before="52" w:line="202" w:lineRule="auto"/>
        <w:ind w:left="55" w:right="77" w:firstLine="4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3"/>
          <w:sz w:val="21"/>
          <w:szCs w:val="21"/>
          <w:highlight w:val="none"/>
        </w:rPr>
        <w:t>按照法律法规的规定或出现我方保证责任终止的其它情形的，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我方在本保函项下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的保证责任亦终止。</w:t>
      </w:r>
    </w:p>
    <w:p w14:paraId="75AAB0E4">
      <w:pPr>
        <w:spacing w:before="41" w:line="188" w:lineRule="auto"/>
        <w:ind w:left="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五、免责条款</w:t>
      </w:r>
    </w:p>
    <w:p w14:paraId="4586BA89">
      <w:pPr>
        <w:spacing w:before="43" w:line="202" w:lineRule="auto"/>
        <w:ind w:left="43" w:right="77" w:firstLine="4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3"/>
          <w:sz w:val="21"/>
          <w:szCs w:val="21"/>
          <w:highlight w:val="none"/>
        </w:rPr>
        <w:t>依照法律规定或你方与投标人的另行约定，</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全部或者部分免除投标人投标保证金</w:t>
      </w:r>
      <w:r>
        <w:rPr>
          <w:rFonts w:ascii="微软雅黑" w:hAnsi="微软雅黑" w:eastAsia="微软雅黑" w:cs="微软雅黑"/>
          <w:color w:val="auto"/>
          <w:sz w:val="21"/>
          <w:szCs w:val="21"/>
          <w:highlight w:val="none"/>
        </w:rPr>
        <w:t xml:space="preserve"> 义务时，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我方亦免除相应的保证责任。</w:t>
      </w:r>
    </w:p>
    <w:p w14:paraId="39BB7FBC">
      <w:pPr>
        <w:spacing w:before="43" w:line="203" w:lineRule="auto"/>
        <w:ind w:left="42" w:right="93" w:firstLine="4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2"/>
          <w:sz w:val="21"/>
          <w:szCs w:val="21"/>
          <w:highlight w:val="none"/>
        </w:rPr>
        <w:t>因你方原因致使投标人发生本保函第一条第（一）</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款约定情形的，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我方不承担保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证责任。</w:t>
      </w:r>
    </w:p>
    <w:p w14:paraId="6A68F418">
      <w:pPr>
        <w:spacing w:before="41"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因不可抗力造成投标人发生本保函第一条约定情形的，</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我方不承担保证责</w:t>
      </w:r>
      <w:r>
        <w:rPr>
          <w:rFonts w:ascii="微软雅黑" w:hAnsi="微软雅黑" w:eastAsia="微软雅黑" w:cs="微软雅黑"/>
          <w:color w:val="auto"/>
          <w:spacing w:val="-1"/>
          <w:sz w:val="21"/>
          <w:szCs w:val="21"/>
          <w:highlight w:val="none"/>
        </w:rPr>
        <w:t>任。</w:t>
      </w:r>
    </w:p>
    <w:p w14:paraId="366B02D4">
      <w:pPr>
        <w:spacing w:before="44" w:line="202" w:lineRule="auto"/>
        <w:ind w:left="47" w:right="77" w:firstLine="41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你方或其他有权机关对招标文件进行任何澄清或修改，</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3"/>
          <w:sz w:val="21"/>
          <w:szCs w:val="21"/>
          <w:highlight w:val="none"/>
        </w:rPr>
        <w:t>加重</w:t>
      </w:r>
      <w:r>
        <w:rPr>
          <w:rFonts w:ascii="微软雅黑" w:hAnsi="微软雅黑" w:eastAsia="微软雅黑" w:cs="微软雅黑"/>
          <w:color w:val="auto"/>
          <w:spacing w:val="2"/>
          <w:sz w:val="21"/>
          <w:szCs w:val="21"/>
          <w:highlight w:val="none"/>
        </w:rPr>
        <w:t>我方保证责任的，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方对加重部分不承担保证责任，</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但该澄清或修改经我方</w:t>
      </w:r>
      <w:r>
        <w:rPr>
          <w:rFonts w:ascii="微软雅黑" w:hAnsi="微软雅黑" w:eastAsia="微软雅黑" w:cs="微软雅黑"/>
          <w:color w:val="auto"/>
          <w:spacing w:val="1"/>
          <w:sz w:val="21"/>
          <w:szCs w:val="21"/>
          <w:highlight w:val="none"/>
        </w:rPr>
        <w:t>事先书面同意的除外。</w:t>
      </w:r>
    </w:p>
    <w:p w14:paraId="1C541080">
      <w:pPr>
        <w:spacing w:before="42" w:line="189" w:lineRule="auto"/>
        <w:ind w:left="47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六、争议的解决</w:t>
      </w:r>
    </w:p>
    <w:p w14:paraId="256642C1">
      <w:pPr>
        <w:spacing w:before="42" w:line="215" w:lineRule="auto"/>
        <w:ind w:left="54" w:right="77" w:firstLine="43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因本保函发生的纠纷，</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z w:val="21"/>
          <w:szCs w:val="21"/>
          <w:highlight w:val="none"/>
        </w:rPr>
        <w:t>由你我双方协商解决，</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协商不成的，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通过诉讼程序解决，诉讼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管辖地法院为</w:t>
      </w:r>
      <w:r>
        <w:rPr>
          <w:rFonts w:ascii="微软雅黑" w:hAnsi="微软雅黑" w:eastAsia="微软雅黑" w:cs="微软雅黑"/>
          <w:color w:val="auto"/>
          <w:spacing w:val="-52"/>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法院。</w:t>
      </w:r>
    </w:p>
    <w:p w14:paraId="59345A76">
      <w:pPr>
        <w:spacing w:line="224" w:lineRule="auto"/>
        <w:rPr>
          <w:rFonts w:ascii="Times New Roman" w:hAnsi="Times New Roman" w:eastAsia="Times New Roman" w:cs="Times New Roman"/>
          <w:color w:val="auto"/>
          <w:sz w:val="18"/>
          <w:szCs w:val="18"/>
          <w:highlight w:val="none"/>
        </w:rPr>
        <w:sectPr>
          <w:pgSz w:w="11905" w:h="16839"/>
          <w:pgMar w:top="400" w:right="1722" w:bottom="400" w:left="1768" w:header="0" w:footer="0" w:gutter="0"/>
          <w:cols w:space="720" w:num="1"/>
        </w:sectPr>
      </w:pPr>
    </w:p>
    <w:p w14:paraId="2194C54B">
      <w:pPr>
        <w:pStyle w:val="6"/>
        <w:spacing w:line="447" w:lineRule="auto"/>
        <w:rPr>
          <w:color w:val="auto"/>
          <w:highlight w:val="none"/>
        </w:rPr>
      </w:pPr>
    </w:p>
    <w:p w14:paraId="4D4E13FD">
      <w:pPr>
        <w:spacing w:line="884" w:lineRule="exact"/>
        <w:ind w:firstLine="28"/>
        <w:rPr>
          <w:color w:val="auto"/>
          <w:highlight w:val="none"/>
        </w:rPr>
      </w:pPr>
      <w:r>
        <w:rPr>
          <w:color w:val="auto"/>
          <w:highlight w:val="none"/>
        </w:rPr>
        <w:pict>
          <v:shape id="_x0000_s1071" o:spid="_x0000_s1071" style="position:absolute;left:0pt;margin-left:0.25pt;margin-top:44.45pt;height:0.5pt;width:418.5pt;z-index:251682816;mso-width-relative:page;mso-height-relative:page;" filled="f" stroked="t" coordsize="8370,10" path="m0,5l8369,5e">
            <v:fill on="f" focussize="0,0"/>
            <v:stroke weight="0.5pt" color="#FFFFFF" miterlimit="10" joinstyle="miter"/>
            <v:imagedata o:title=""/>
            <o:lock v:ext="edit" aspectratio="f"/>
          </v:shape>
        </w:pict>
      </w:r>
    </w:p>
    <w:p w14:paraId="366622A5">
      <w:pPr>
        <w:spacing w:before="69" w:line="188" w:lineRule="auto"/>
        <w:ind w:left="473"/>
        <w:outlineLvl w:val="1"/>
        <w:rPr>
          <w:rFonts w:ascii="微软雅黑" w:hAnsi="微软雅黑" w:eastAsia="微软雅黑" w:cs="微软雅黑"/>
          <w:color w:val="auto"/>
          <w:sz w:val="21"/>
          <w:szCs w:val="21"/>
          <w:highlight w:val="none"/>
        </w:rPr>
      </w:pPr>
      <w:bookmarkStart w:id="161" w:name="bookmark121"/>
      <w:bookmarkEnd w:id="161"/>
      <w:r>
        <w:rPr>
          <w:rFonts w:ascii="微软雅黑" w:hAnsi="微软雅黑" w:eastAsia="微软雅黑" w:cs="微软雅黑"/>
          <w:color w:val="auto"/>
          <w:sz w:val="21"/>
          <w:szCs w:val="21"/>
          <w:highlight w:val="none"/>
        </w:rPr>
        <w:t>七、保函的生效</w:t>
      </w:r>
    </w:p>
    <w:p w14:paraId="575277B3">
      <w:pPr>
        <w:spacing w:before="42"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本保函自我方加盖公章之日起生效。</w:t>
      </w:r>
    </w:p>
    <w:p w14:paraId="34B09322">
      <w:pPr>
        <w:spacing w:before="43" w:line="183" w:lineRule="auto"/>
        <w:ind w:left="56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保证人</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4"/>
          <w:sz w:val="21"/>
          <w:szCs w:val="21"/>
          <w:highlight w:val="none"/>
        </w:rPr>
        <w:t>公章）</w:t>
      </w:r>
    </w:p>
    <w:p w14:paraId="50EDE2D6">
      <w:pPr>
        <w:pStyle w:val="6"/>
        <w:spacing w:line="282" w:lineRule="auto"/>
        <w:rPr>
          <w:color w:val="auto"/>
          <w:highlight w:val="none"/>
        </w:rPr>
      </w:pPr>
    </w:p>
    <w:p w14:paraId="667D601C">
      <w:pPr>
        <w:spacing w:before="90" w:line="188" w:lineRule="auto"/>
        <w:ind w:left="59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年</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月            日</w:t>
      </w:r>
    </w:p>
    <w:p w14:paraId="14722B1E">
      <w:pPr>
        <w:pStyle w:val="6"/>
        <w:spacing w:line="244" w:lineRule="auto"/>
        <w:rPr>
          <w:color w:val="auto"/>
          <w:highlight w:val="none"/>
        </w:rPr>
      </w:pPr>
    </w:p>
    <w:p w14:paraId="39A488E1">
      <w:pPr>
        <w:pStyle w:val="6"/>
        <w:spacing w:line="244" w:lineRule="auto"/>
        <w:rPr>
          <w:color w:val="auto"/>
          <w:highlight w:val="none"/>
        </w:rPr>
      </w:pPr>
    </w:p>
    <w:p w14:paraId="5B1380CE">
      <w:pPr>
        <w:pStyle w:val="6"/>
        <w:spacing w:line="244" w:lineRule="auto"/>
        <w:rPr>
          <w:color w:val="auto"/>
          <w:highlight w:val="none"/>
        </w:rPr>
      </w:pPr>
    </w:p>
    <w:p w14:paraId="337D6B87">
      <w:pPr>
        <w:pStyle w:val="6"/>
        <w:spacing w:line="244" w:lineRule="auto"/>
        <w:rPr>
          <w:color w:val="auto"/>
          <w:highlight w:val="none"/>
        </w:rPr>
      </w:pPr>
    </w:p>
    <w:p w14:paraId="59DD5F36">
      <w:pPr>
        <w:pStyle w:val="6"/>
        <w:spacing w:line="244" w:lineRule="auto"/>
        <w:rPr>
          <w:color w:val="auto"/>
          <w:highlight w:val="none"/>
        </w:rPr>
      </w:pPr>
    </w:p>
    <w:p w14:paraId="360743F9">
      <w:pPr>
        <w:pStyle w:val="6"/>
        <w:spacing w:line="244" w:lineRule="auto"/>
        <w:rPr>
          <w:color w:val="auto"/>
          <w:highlight w:val="none"/>
        </w:rPr>
      </w:pPr>
    </w:p>
    <w:p w14:paraId="598BAA57">
      <w:pPr>
        <w:pStyle w:val="6"/>
        <w:spacing w:line="244" w:lineRule="auto"/>
        <w:rPr>
          <w:color w:val="auto"/>
          <w:highlight w:val="none"/>
        </w:rPr>
      </w:pPr>
    </w:p>
    <w:p w14:paraId="39E2E9C5">
      <w:pPr>
        <w:pStyle w:val="6"/>
        <w:spacing w:line="244" w:lineRule="auto"/>
        <w:rPr>
          <w:color w:val="auto"/>
          <w:highlight w:val="none"/>
        </w:rPr>
      </w:pPr>
    </w:p>
    <w:p w14:paraId="2401AC1C">
      <w:pPr>
        <w:pStyle w:val="6"/>
        <w:spacing w:line="244" w:lineRule="auto"/>
        <w:rPr>
          <w:color w:val="auto"/>
          <w:highlight w:val="none"/>
        </w:rPr>
      </w:pPr>
    </w:p>
    <w:p w14:paraId="166603A6">
      <w:pPr>
        <w:pStyle w:val="6"/>
        <w:spacing w:line="244" w:lineRule="auto"/>
        <w:rPr>
          <w:color w:val="auto"/>
          <w:highlight w:val="none"/>
        </w:rPr>
      </w:pPr>
    </w:p>
    <w:p w14:paraId="4FFC54C3">
      <w:pPr>
        <w:pStyle w:val="6"/>
        <w:spacing w:line="244" w:lineRule="auto"/>
        <w:rPr>
          <w:color w:val="auto"/>
          <w:highlight w:val="none"/>
        </w:rPr>
      </w:pPr>
    </w:p>
    <w:p w14:paraId="3883DFA3">
      <w:pPr>
        <w:pStyle w:val="6"/>
        <w:spacing w:line="244" w:lineRule="auto"/>
        <w:rPr>
          <w:color w:val="auto"/>
          <w:highlight w:val="none"/>
        </w:rPr>
      </w:pPr>
    </w:p>
    <w:p w14:paraId="5D4ECB7C">
      <w:pPr>
        <w:pStyle w:val="6"/>
        <w:spacing w:line="244" w:lineRule="auto"/>
        <w:rPr>
          <w:color w:val="auto"/>
          <w:highlight w:val="none"/>
        </w:rPr>
      </w:pPr>
    </w:p>
    <w:p w14:paraId="10363C46">
      <w:pPr>
        <w:pStyle w:val="6"/>
        <w:spacing w:line="244" w:lineRule="auto"/>
        <w:rPr>
          <w:color w:val="auto"/>
          <w:highlight w:val="none"/>
        </w:rPr>
      </w:pPr>
    </w:p>
    <w:p w14:paraId="2B05C464">
      <w:pPr>
        <w:pStyle w:val="6"/>
        <w:spacing w:line="244" w:lineRule="auto"/>
        <w:rPr>
          <w:color w:val="auto"/>
          <w:highlight w:val="none"/>
        </w:rPr>
      </w:pPr>
    </w:p>
    <w:p w14:paraId="0928E438">
      <w:pPr>
        <w:pStyle w:val="6"/>
        <w:spacing w:line="244" w:lineRule="auto"/>
        <w:rPr>
          <w:color w:val="auto"/>
          <w:highlight w:val="none"/>
        </w:rPr>
      </w:pPr>
    </w:p>
    <w:p w14:paraId="61EA38F3">
      <w:pPr>
        <w:pStyle w:val="6"/>
        <w:spacing w:line="244" w:lineRule="auto"/>
        <w:rPr>
          <w:color w:val="auto"/>
          <w:highlight w:val="none"/>
        </w:rPr>
      </w:pPr>
    </w:p>
    <w:p w14:paraId="7B11B55D">
      <w:pPr>
        <w:pStyle w:val="6"/>
        <w:spacing w:line="244" w:lineRule="auto"/>
        <w:rPr>
          <w:color w:val="auto"/>
          <w:highlight w:val="none"/>
        </w:rPr>
      </w:pPr>
    </w:p>
    <w:p w14:paraId="2CC5647D">
      <w:pPr>
        <w:pStyle w:val="6"/>
        <w:spacing w:line="244" w:lineRule="auto"/>
        <w:rPr>
          <w:color w:val="auto"/>
          <w:highlight w:val="none"/>
        </w:rPr>
      </w:pPr>
    </w:p>
    <w:p w14:paraId="4161EA15">
      <w:pPr>
        <w:pStyle w:val="6"/>
        <w:spacing w:line="244" w:lineRule="auto"/>
        <w:rPr>
          <w:color w:val="auto"/>
          <w:highlight w:val="none"/>
        </w:rPr>
      </w:pPr>
    </w:p>
    <w:p w14:paraId="7ECFEDB0">
      <w:pPr>
        <w:pStyle w:val="6"/>
        <w:spacing w:line="245" w:lineRule="auto"/>
        <w:rPr>
          <w:color w:val="auto"/>
          <w:highlight w:val="none"/>
        </w:rPr>
      </w:pPr>
    </w:p>
    <w:p w14:paraId="6CD56AD6">
      <w:pPr>
        <w:pStyle w:val="6"/>
        <w:spacing w:line="245" w:lineRule="auto"/>
        <w:rPr>
          <w:color w:val="auto"/>
          <w:highlight w:val="none"/>
        </w:rPr>
      </w:pPr>
    </w:p>
    <w:p w14:paraId="3A38CBF5">
      <w:pPr>
        <w:pStyle w:val="6"/>
        <w:spacing w:line="245" w:lineRule="auto"/>
        <w:rPr>
          <w:color w:val="auto"/>
          <w:highlight w:val="none"/>
        </w:rPr>
      </w:pPr>
    </w:p>
    <w:p w14:paraId="2F2B6C5A">
      <w:pPr>
        <w:pStyle w:val="6"/>
        <w:spacing w:line="245" w:lineRule="auto"/>
        <w:rPr>
          <w:color w:val="auto"/>
          <w:highlight w:val="none"/>
        </w:rPr>
      </w:pPr>
    </w:p>
    <w:p w14:paraId="35883FE1">
      <w:pPr>
        <w:pStyle w:val="6"/>
        <w:spacing w:line="245" w:lineRule="auto"/>
        <w:rPr>
          <w:color w:val="auto"/>
          <w:highlight w:val="none"/>
        </w:rPr>
      </w:pPr>
    </w:p>
    <w:p w14:paraId="42608D3A">
      <w:pPr>
        <w:pStyle w:val="6"/>
        <w:spacing w:line="245" w:lineRule="auto"/>
        <w:rPr>
          <w:color w:val="auto"/>
          <w:highlight w:val="none"/>
        </w:rPr>
      </w:pPr>
    </w:p>
    <w:p w14:paraId="39663709">
      <w:pPr>
        <w:pStyle w:val="6"/>
        <w:spacing w:line="245" w:lineRule="auto"/>
        <w:rPr>
          <w:color w:val="auto"/>
          <w:highlight w:val="none"/>
        </w:rPr>
      </w:pPr>
    </w:p>
    <w:p w14:paraId="0CAF5C68">
      <w:pPr>
        <w:pStyle w:val="6"/>
        <w:spacing w:line="245" w:lineRule="auto"/>
        <w:rPr>
          <w:color w:val="auto"/>
          <w:highlight w:val="none"/>
        </w:rPr>
      </w:pPr>
    </w:p>
    <w:p w14:paraId="4BD7B578">
      <w:pPr>
        <w:pStyle w:val="6"/>
        <w:spacing w:line="245" w:lineRule="auto"/>
        <w:rPr>
          <w:color w:val="auto"/>
          <w:highlight w:val="none"/>
        </w:rPr>
      </w:pPr>
    </w:p>
    <w:p w14:paraId="69C6AC5B">
      <w:pPr>
        <w:pStyle w:val="6"/>
        <w:spacing w:line="245" w:lineRule="auto"/>
        <w:rPr>
          <w:color w:val="auto"/>
          <w:highlight w:val="none"/>
        </w:rPr>
      </w:pPr>
    </w:p>
    <w:p w14:paraId="4ADD6C02">
      <w:pPr>
        <w:pStyle w:val="6"/>
        <w:spacing w:line="245" w:lineRule="auto"/>
        <w:rPr>
          <w:color w:val="auto"/>
          <w:highlight w:val="none"/>
        </w:rPr>
      </w:pPr>
    </w:p>
    <w:p w14:paraId="3EB25648">
      <w:pPr>
        <w:pStyle w:val="6"/>
        <w:spacing w:line="245" w:lineRule="auto"/>
        <w:rPr>
          <w:color w:val="auto"/>
          <w:highlight w:val="none"/>
        </w:rPr>
      </w:pPr>
    </w:p>
    <w:p w14:paraId="2F3725E2">
      <w:pPr>
        <w:pStyle w:val="6"/>
        <w:spacing w:line="245" w:lineRule="auto"/>
        <w:rPr>
          <w:color w:val="auto"/>
          <w:highlight w:val="none"/>
        </w:rPr>
      </w:pPr>
    </w:p>
    <w:p w14:paraId="2A749DB2">
      <w:pPr>
        <w:pStyle w:val="6"/>
        <w:spacing w:line="245" w:lineRule="auto"/>
        <w:rPr>
          <w:color w:val="auto"/>
          <w:highlight w:val="none"/>
        </w:rPr>
      </w:pPr>
    </w:p>
    <w:p w14:paraId="560A4C63">
      <w:pPr>
        <w:pStyle w:val="6"/>
        <w:spacing w:line="245" w:lineRule="auto"/>
        <w:rPr>
          <w:color w:val="auto"/>
          <w:highlight w:val="none"/>
        </w:rPr>
      </w:pPr>
    </w:p>
    <w:p w14:paraId="592A0D09">
      <w:pPr>
        <w:pStyle w:val="6"/>
        <w:spacing w:line="245" w:lineRule="auto"/>
        <w:rPr>
          <w:color w:val="auto"/>
          <w:highlight w:val="none"/>
        </w:rPr>
      </w:pPr>
    </w:p>
    <w:p w14:paraId="020B6FA7">
      <w:pPr>
        <w:pStyle w:val="6"/>
        <w:spacing w:line="245" w:lineRule="auto"/>
        <w:rPr>
          <w:color w:val="auto"/>
          <w:highlight w:val="none"/>
        </w:rPr>
      </w:pPr>
    </w:p>
    <w:p w14:paraId="06717532">
      <w:pPr>
        <w:pStyle w:val="6"/>
        <w:spacing w:line="245" w:lineRule="auto"/>
        <w:rPr>
          <w:color w:val="auto"/>
          <w:highlight w:val="none"/>
        </w:rPr>
      </w:pPr>
    </w:p>
    <w:p w14:paraId="2CBF3C28">
      <w:pPr>
        <w:pStyle w:val="6"/>
        <w:spacing w:line="245" w:lineRule="auto"/>
        <w:rPr>
          <w:color w:val="auto"/>
          <w:highlight w:val="none"/>
        </w:rPr>
      </w:pPr>
    </w:p>
    <w:p w14:paraId="19AF0BE7">
      <w:pPr>
        <w:pStyle w:val="6"/>
        <w:spacing w:line="245" w:lineRule="auto"/>
        <w:rPr>
          <w:color w:val="auto"/>
          <w:highlight w:val="none"/>
        </w:rPr>
      </w:pPr>
    </w:p>
    <w:p w14:paraId="627DDD36">
      <w:pPr>
        <w:pStyle w:val="6"/>
        <w:spacing w:line="245" w:lineRule="auto"/>
        <w:rPr>
          <w:color w:val="auto"/>
          <w:highlight w:val="none"/>
        </w:rPr>
      </w:pPr>
    </w:p>
    <w:p w14:paraId="09D39652">
      <w:pPr>
        <w:pStyle w:val="6"/>
        <w:spacing w:line="245" w:lineRule="auto"/>
        <w:rPr>
          <w:color w:val="auto"/>
          <w:highlight w:val="none"/>
        </w:rPr>
      </w:pPr>
    </w:p>
    <w:p w14:paraId="6694CC73">
      <w:pPr>
        <w:pStyle w:val="6"/>
        <w:spacing w:line="245" w:lineRule="auto"/>
        <w:rPr>
          <w:color w:val="auto"/>
          <w:highlight w:val="none"/>
        </w:rPr>
      </w:pPr>
    </w:p>
    <w:p w14:paraId="794CFCB8">
      <w:pPr>
        <w:pStyle w:val="6"/>
        <w:spacing w:line="245" w:lineRule="auto"/>
        <w:rPr>
          <w:color w:val="auto"/>
          <w:highlight w:val="none"/>
        </w:rPr>
      </w:pPr>
    </w:p>
    <w:p w14:paraId="7A751E4D">
      <w:pPr>
        <w:pStyle w:val="6"/>
        <w:spacing w:line="245" w:lineRule="auto"/>
        <w:rPr>
          <w:color w:val="auto"/>
          <w:highlight w:val="none"/>
        </w:rPr>
      </w:pPr>
    </w:p>
    <w:p w14:paraId="13EF0689">
      <w:pPr>
        <w:pStyle w:val="6"/>
        <w:spacing w:line="245" w:lineRule="auto"/>
        <w:rPr>
          <w:color w:val="auto"/>
          <w:highlight w:val="none"/>
        </w:rPr>
      </w:pPr>
    </w:p>
    <w:p w14:paraId="7811C046">
      <w:pPr>
        <w:pStyle w:val="6"/>
        <w:spacing w:line="245" w:lineRule="auto"/>
        <w:rPr>
          <w:color w:val="auto"/>
          <w:highlight w:val="none"/>
        </w:rPr>
      </w:pPr>
    </w:p>
    <w:p w14:paraId="7E472E81">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52B4B9B8">
      <w:pPr>
        <w:pStyle w:val="6"/>
        <w:spacing w:line="447" w:lineRule="auto"/>
        <w:rPr>
          <w:color w:val="auto"/>
          <w:highlight w:val="none"/>
        </w:rPr>
      </w:pPr>
    </w:p>
    <w:p w14:paraId="568F43D9">
      <w:pPr>
        <w:spacing w:line="884" w:lineRule="exact"/>
        <w:ind w:firstLine="28"/>
        <w:rPr>
          <w:color w:val="auto"/>
          <w:highlight w:val="none"/>
        </w:rPr>
      </w:pPr>
      <w:r>
        <w:rPr>
          <w:color w:val="auto"/>
          <w:highlight w:val="none"/>
        </w:rPr>
        <w:pict>
          <v:shape id="_x0000_s1072" o:spid="_x0000_s1072" style="position:absolute;left:0pt;margin-left:0.25pt;margin-top:44.45pt;height:0.5pt;width:418.5pt;z-index:251683840;mso-width-relative:page;mso-height-relative:page;" filled="f" stroked="t" coordsize="8370,10" path="m0,5l8369,5e">
            <v:fill on="f" focussize="0,0"/>
            <v:stroke weight="0.5pt" color="#FFFFFF" miterlimit="10" joinstyle="miter"/>
            <v:imagedata o:title=""/>
            <o:lock v:ext="edit" aspectratio="f"/>
          </v:shape>
        </w:pict>
      </w:r>
    </w:p>
    <w:p w14:paraId="00637DE9">
      <w:pPr>
        <w:pStyle w:val="6"/>
        <w:spacing w:line="301" w:lineRule="auto"/>
        <w:rPr>
          <w:color w:val="auto"/>
          <w:highlight w:val="none"/>
        </w:rPr>
      </w:pPr>
    </w:p>
    <w:p w14:paraId="61BF7F49">
      <w:pPr>
        <w:spacing w:before="90" w:line="184" w:lineRule="auto"/>
        <w:ind w:left="38"/>
        <w:outlineLvl w:val="1"/>
        <w:rPr>
          <w:rFonts w:ascii="微软雅黑" w:hAnsi="微软雅黑" w:eastAsia="微软雅黑" w:cs="微软雅黑"/>
          <w:color w:val="auto"/>
          <w:sz w:val="21"/>
          <w:szCs w:val="21"/>
          <w:highlight w:val="none"/>
        </w:rPr>
      </w:pPr>
      <w:bookmarkStart w:id="162" w:name="bookmark123"/>
      <w:bookmarkEnd w:id="162"/>
      <w:bookmarkStart w:id="163" w:name="bookmark114"/>
      <w:bookmarkEnd w:id="163"/>
      <w:r>
        <w:rPr>
          <w:rFonts w:ascii="微软雅黑" w:hAnsi="微软雅黑" w:eastAsia="微软雅黑" w:cs="微软雅黑"/>
          <w:b/>
          <w:bCs/>
          <w:color w:val="auto"/>
          <w:sz w:val="21"/>
          <w:szCs w:val="21"/>
          <w:highlight w:val="none"/>
        </w:rPr>
        <w:t>6、反商业贿赂承诺书（格式自拟</w:t>
      </w:r>
      <w:r>
        <w:rPr>
          <w:rFonts w:ascii="微软雅黑" w:hAnsi="微软雅黑" w:eastAsia="微软雅黑" w:cs="微软雅黑"/>
          <w:b/>
          <w:bCs/>
          <w:color w:val="auto"/>
          <w:spacing w:val="3"/>
          <w:sz w:val="21"/>
          <w:szCs w:val="21"/>
          <w:highlight w:val="none"/>
        </w:rPr>
        <w:t>）；</w:t>
      </w:r>
    </w:p>
    <w:p w14:paraId="3B6D7D23">
      <w:pPr>
        <w:pStyle w:val="6"/>
        <w:spacing w:line="243" w:lineRule="auto"/>
        <w:rPr>
          <w:color w:val="auto"/>
          <w:highlight w:val="none"/>
        </w:rPr>
      </w:pPr>
    </w:p>
    <w:p w14:paraId="334A56A7">
      <w:pPr>
        <w:pStyle w:val="6"/>
        <w:spacing w:line="243" w:lineRule="auto"/>
        <w:rPr>
          <w:color w:val="auto"/>
          <w:highlight w:val="none"/>
        </w:rPr>
      </w:pPr>
    </w:p>
    <w:p w14:paraId="3041AF92">
      <w:pPr>
        <w:pStyle w:val="6"/>
        <w:spacing w:line="243" w:lineRule="auto"/>
        <w:rPr>
          <w:color w:val="auto"/>
          <w:highlight w:val="none"/>
        </w:rPr>
      </w:pPr>
    </w:p>
    <w:p w14:paraId="47C64A4F">
      <w:pPr>
        <w:pStyle w:val="6"/>
        <w:spacing w:line="244" w:lineRule="auto"/>
        <w:rPr>
          <w:color w:val="auto"/>
          <w:highlight w:val="none"/>
        </w:rPr>
      </w:pPr>
    </w:p>
    <w:p w14:paraId="567BF122">
      <w:pPr>
        <w:pStyle w:val="6"/>
        <w:spacing w:line="244" w:lineRule="auto"/>
        <w:rPr>
          <w:color w:val="auto"/>
          <w:highlight w:val="none"/>
        </w:rPr>
      </w:pPr>
    </w:p>
    <w:p w14:paraId="1BFC3E2C">
      <w:pPr>
        <w:pStyle w:val="6"/>
        <w:spacing w:line="244" w:lineRule="auto"/>
        <w:rPr>
          <w:color w:val="auto"/>
          <w:highlight w:val="none"/>
        </w:rPr>
      </w:pPr>
    </w:p>
    <w:p w14:paraId="3582F99F">
      <w:pPr>
        <w:pStyle w:val="6"/>
        <w:spacing w:line="244" w:lineRule="auto"/>
        <w:rPr>
          <w:color w:val="auto"/>
          <w:highlight w:val="none"/>
        </w:rPr>
      </w:pPr>
    </w:p>
    <w:p w14:paraId="3C588DF0">
      <w:pPr>
        <w:pStyle w:val="6"/>
        <w:spacing w:line="244" w:lineRule="auto"/>
        <w:rPr>
          <w:color w:val="auto"/>
          <w:highlight w:val="none"/>
        </w:rPr>
      </w:pPr>
    </w:p>
    <w:p w14:paraId="5FEC3A39">
      <w:pPr>
        <w:pStyle w:val="6"/>
        <w:spacing w:line="244" w:lineRule="auto"/>
        <w:rPr>
          <w:color w:val="auto"/>
          <w:highlight w:val="none"/>
        </w:rPr>
      </w:pPr>
    </w:p>
    <w:p w14:paraId="480E88D6">
      <w:pPr>
        <w:pStyle w:val="6"/>
        <w:spacing w:line="244" w:lineRule="auto"/>
        <w:rPr>
          <w:color w:val="auto"/>
          <w:highlight w:val="none"/>
        </w:rPr>
      </w:pPr>
    </w:p>
    <w:p w14:paraId="14074922">
      <w:pPr>
        <w:pStyle w:val="6"/>
        <w:spacing w:line="244" w:lineRule="auto"/>
        <w:rPr>
          <w:color w:val="auto"/>
          <w:highlight w:val="none"/>
        </w:rPr>
      </w:pPr>
    </w:p>
    <w:p w14:paraId="3E81C545">
      <w:pPr>
        <w:pStyle w:val="6"/>
        <w:spacing w:line="244" w:lineRule="auto"/>
        <w:rPr>
          <w:color w:val="auto"/>
          <w:highlight w:val="none"/>
        </w:rPr>
      </w:pPr>
    </w:p>
    <w:p w14:paraId="1B755CB9">
      <w:pPr>
        <w:pStyle w:val="6"/>
        <w:spacing w:line="244" w:lineRule="auto"/>
        <w:rPr>
          <w:color w:val="auto"/>
          <w:highlight w:val="none"/>
        </w:rPr>
      </w:pPr>
    </w:p>
    <w:p w14:paraId="2A1FF33E">
      <w:pPr>
        <w:pStyle w:val="6"/>
        <w:spacing w:line="244" w:lineRule="auto"/>
        <w:rPr>
          <w:color w:val="auto"/>
          <w:highlight w:val="none"/>
        </w:rPr>
      </w:pPr>
    </w:p>
    <w:p w14:paraId="75347BDD">
      <w:pPr>
        <w:pStyle w:val="6"/>
        <w:spacing w:line="244" w:lineRule="auto"/>
        <w:rPr>
          <w:color w:val="auto"/>
          <w:highlight w:val="none"/>
        </w:rPr>
      </w:pPr>
    </w:p>
    <w:p w14:paraId="0D9850F1">
      <w:pPr>
        <w:pStyle w:val="6"/>
        <w:spacing w:line="244" w:lineRule="auto"/>
        <w:rPr>
          <w:color w:val="auto"/>
          <w:highlight w:val="none"/>
        </w:rPr>
      </w:pPr>
    </w:p>
    <w:p w14:paraId="65FC2EFE">
      <w:pPr>
        <w:pStyle w:val="6"/>
        <w:spacing w:line="244" w:lineRule="auto"/>
        <w:rPr>
          <w:color w:val="auto"/>
          <w:highlight w:val="none"/>
        </w:rPr>
      </w:pPr>
    </w:p>
    <w:p w14:paraId="02C0683A">
      <w:pPr>
        <w:pStyle w:val="6"/>
        <w:spacing w:line="244" w:lineRule="auto"/>
        <w:rPr>
          <w:color w:val="auto"/>
          <w:highlight w:val="none"/>
        </w:rPr>
      </w:pPr>
    </w:p>
    <w:p w14:paraId="58A62457">
      <w:pPr>
        <w:pStyle w:val="6"/>
        <w:spacing w:line="244" w:lineRule="auto"/>
        <w:rPr>
          <w:color w:val="auto"/>
          <w:highlight w:val="none"/>
        </w:rPr>
      </w:pPr>
    </w:p>
    <w:p w14:paraId="5C458D45">
      <w:pPr>
        <w:pStyle w:val="6"/>
        <w:spacing w:line="244" w:lineRule="auto"/>
        <w:rPr>
          <w:color w:val="auto"/>
          <w:highlight w:val="none"/>
        </w:rPr>
      </w:pPr>
    </w:p>
    <w:p w14:paraId="6F46FEE0">
      <w:pPr>
        <w:pStyle w:val="6"/>
        <w:spacing w:line="244" w:lineRule="auto"/>
        <w:rPr>
          <w:color w:val="auto"/>
          <w:highlight w:val="none"/>
        </w:rPr>
      </w:pPr>
    </w:p>
    <w:p w14:paraId="18FC21D1">
      <w:pPr>
        <w:pStyle w:val="6"/>
        <w:spacing w:line="244" w:lineRule="auto"/>
        <w:rPr>
          <w:color w:val="auto"/>
          <w:highlight w:val="none"/>
        </w:rPr>
      </w:pPr>
    </w:p>
    <w:p w14:paraId="4D5C80FB">
      <w:pPr>
        <w:pStyle w:val="6"/>
        <w:spacing w:line="244" w:lineRule="auto"/>
        <w:rPr>
          <w:color w:val="auto"/>
          <w:highlight w:val="none"/>
        </w:rPr>
      </w:pPr>
    </w:p>
    <w:p w14:paraId="00929B44">
      <w:pPr>
        <w:pStyle w:val="6"/>
        <w:spacing w:line="244" w:lineRule="auto"/>
        <w:rPr>
          <w:color w:val="auto"/>
          <w:highlight w:val="none"/>
        </w:rPr>
      </w:pPr>
    </w:p>
    <w:p w14:paraId="4B114D98">
      <w:pPr>
        <w:pStyle w:val="6"/>
        <w:spacing w:line="244" w:lineRule="auto"/>
        <w:rPr>
          <w:color w:val="auto"/>
          <w:highlight w:val="none"/>
        </w:rPr>
      </w:pPr>
    </w:p>
    <w:p w14:paraId="1D7D123E">
      <w:pPr>
        <w:pStyle w:val="6"/>
        <w:spacing w:line="244" w:lineRule="auto"/>
        <w:rPr>
          <w:color w:val="auto"/>
          <w:highlight w:val="none"/>
        </w:rPr>
      </w:pPr>
    </w:p>
    <w:p w14:paraId="68856E10">
      <w:pPr>
        <w:pStyle w:val="6"/>
        <w:spacing w:line="244" w:lineRule="auto"/>
        <w:rPr>
          <w:color w:val="auto"/>
          <w:highlight w:val="none"/>
        </w:rPr>
      </w:pPr>
    </w:p>
    <w:p w14:paraId="73C52259">
      <w:pPr>
        <w:pStyle w:val="6"/>
        <w:spacing w:line="244" w:lineRule="auto"/>
        <w:rPr>
          <w:color w:val="auto"/>
          <w:highlight w:val="none"/>
        </w:rPr>
      </w:pPr>
    </w:p>
    <w:p w14:paraId="75579358">
      <w:pPr>
        <w:pStyle w:val="6"/>
        <w:spacing w:line="244" w:lineRule="auto"/>
        <w:rPr>
          <w:color w:val="auto"/>
          <w:highlight w:val="none"/>
        </w:rPr>
      </w:pPr>
    </w:p>
    <w:p w14:paraId="20A7C233">
      <w:pPr>
        <w:pStyle w:val="6"/>
        <w:spacing w:line="244" w:lineRule="auto"/>
        <w:rPr>
          <w:color w:val="auto"/>
          <w:highlight w:val="none"/>
        </w:rPr>
      </w:pPr>
    </w:p>
    <w:p w14:paraId="7E9C92F8">
      <w:pPr>
        <w:pStyle w:val="6"/>
        <w:spacing w:line="244" w:lineRule="auto"/>
        <w:rPr>
          <w:color w:val="auto"/>
          <w:highlight w:val="none"/>
        </w:rPr>
      </w:pPr>
    </w:p>
    <w:p w14:paraId="5388029C">
      <w:pPr>
        <w:pStyle w:val="6"/>
        <w:spacing w:line="244" w:lineRule="auto"/>
        <w:rPr>
          <w:color w:val="auto"/>
          <w:highlight w:val="none"/>
        </w:rPr>
      </w:pPr>
    </w:p>
    <w:p w14:paraId="08950DC3">
      <w:pPr>
        <w:pStyle w:val="6"/>
        <w:spacing w:line="244" w:lineRule="auto"/>
        <w:rPr>
          <w:color w:val="auto"/>
          <w:highlight w:val="none"/>
        </w:rPr>
      </w:pPr>
    </w:p>
    <w:p w14:paraId="0E0EE93C">
      <w:pPr>
        <w:pStyle w:val="6"/>
        <w:spacing w:line="244" w:lineRule="auto"/>
        <w:rPr>
          <w:color w:val="auto"/>
          <w:highlight w:val="none"/>
        </w:rPr>
      </w:pPr>
    </w:p>
    <w:p w14:paraId="365D4EAE">
      <w:pPr>
        <w:pStyle w:val="6"/>
        <w:spacing w:line="244" w:lineRule="auto"/>
        <w:rPr>
          <w:color w:val="auto"/>
          <w:highlight w:val="none"/>
        </w:rPr>
      </w:pPr>
    </w:p>
    <w:p w14:paraId="0C83C54B">
      <w:pPr>
        <w:pStyle w:val="6"/>
        <w:spacing w:line="244" w:lineRule="auto"/>
        <w:rPr>
          <w:color w:val="auto"/>
          <w:highlight w:val="none"/>
        </w:rPr>
      </w:pPr>
    </w:p>
    <w:p w14:paraId="10178AA5">
      <w:pPr>
        <w:pStyle w:val="6"/>
        <w:spacing w:line="244" w:lineRule="auto"/>
        <w:rPr>
          <w:color w:val="auto"/>
          <w:highlight w:val="none"/>
        </w:rPr>
      </w:pPr>
    </w:p>
    <w:p w14:paraId="3CF48FB6">
      <w:pPr>
        <w:pStyle w:val="6"/>
        <w:spacing w:line="244" w:lineRule="auto"/>
        <w:rPr>
          <w:color w:val="auto"/>
          <w:highlight w:val="none"/>
        </w:rPr>
      </w:pPr>
    </w:p>
    <w:p w14:paraId="2CD1E275">
      <w:pPr>
        <w:pStyle w:val="6"/>
        <w:spacing w:line="244" w:lineRule="auto"/>
        <w:rPr>
          <w:color w:val="auto"/>
          <w:highlight w:val="none"/>
        </w:rPr>
      </w:pPr>
    </w:p>
    <w:p w14:paraId="6EC09CF4">
      <w:pPr>
        <w:pStyle w:val="6"/>
        <w:spacing w:line="244" w:lineRule="auto"/>
        <w:rPr>
          <w:color w:val="auto"/>
          <w:highlight w:val="none"/>
        </w:rPr>
      </w:pPr>
    </w:p>
    <w:p w14:paraId="6C329C97">
      <w:pPr>
        <w:pStyle w:val="6"/>
        <w:spacing w:line="244" w:lineRule="auto"/>
        <w:rPr>
          <w:color w:val="auto"/>
          <w:highlight w:val="none"/>
        </w:rPr>
      </w:pPr>
    </w:p>
    <w:p w14:paraId="0FA747D6">
      <w:pPr>
        <w:pStyle w:val="6"/>
        <w:spacing w:line="244" w:lineRule="auto"/>
        <w:rPr>
          <w:color w:val="auto"/>
          <w:highlight w:val="none"/>
        </w:rPr>
      </w:pPr>
    </w:p>
    <w:p w14:paraId="346731F0">
      <w:pPr>
        <w:pStyle w:val="6"/>
        <w:spacing w:line="244" w:lineRule="auto"/>
        <w:rPr>
          <w:color w:val="auto"/>
          <w:highlight w:val="none"/>
        </w:rPr>
      </w:pPr>
    </w:p>
    <w:p w14:paraId="3B8AC84A">
      <w:pPr>
        <w:pStyle w:val="6"/>
        <w:spacing w:line="244" w:lineRule="auto"/>
        <w:rPr>
          <w:color w:val="auto"/>
          <w:highlight w:val="none"/>
        </w:rPr>
      </w:pPr>
    </w:p>
    <w:p w14:paraId="68BCCD81">
      <w:pPr>
        <w:pStyle w:val="6"/>
        <w:spacing w:line="244" w:lineRule="auto"/>
        <w:rPr>
          <w:color w:val="auto"/>
          <w:highlight w:val="none"/>
        </w:rPr>
      </w:pPr>
    </w:p>
    <w:p w14:paraId="3EF154A0">
      <w:pPr>
        <w:pStyle w:val="6"/>
        <w:spacing w:line="244" w:lineRule="auto"/>
        <w:rPr>
          <w:color w:val="auto"/>
          <w:highlight w:val="none"/>
        </w:rPr>
      </w:pPr>
    </w:p>
    <w:p w14:paraId="64E9A941">
      <w:pPr>
        <w:pStyle w:val="6"/>
        <w:spacing w:line="244" w:lineRule="auto"/>
        <w:rPr>
          <w:color w:val="auto"/>
          <w:highlight w:val="none"/>
        </w:rPr>
      </w:pPr>
    </w:p>
    <w:p w14:paraId="2C4BE4CB">
      <w:pPr>
        <w:pStyle w:val="6"/>
        <w:spacing w:line="244" w:lineRule="auto"/>
        <w:rPr>
          <w:color w:val="auto"/>
          <w:highlight w:val="none"/>
        </w:rPr>
      </w:pPr>
    </w:p>
    <w:p w14:paraId="09447FF0">
      <w:pPr>
        <w:pStyle w:val="6"/>
        <w:spacing w:line="244" w:lineRule="auto"/>
        <w:rPr>
          <w:color w:val="auto"/>
          <w:highlight w:val="none"/>
        </w:rPr>
      </w:pPr>
    </w:p>
    <w:p w14:paraId="0B2EB27D">
      <w:pPr>
        <w:pStyle w:val="6"/>
        <w:spacing w:line="244" w:lineRule="auto"/>
        <w:rPr>
          <w:color w:val="auto"/>
          <w:highlight w:val="none"/>
        </w:rPr>
      </w:pPr>
    </w:p>
    <w:p w14:paraId="7382358C">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C040A62">
      <w:pPr>
        <w:pStyle w:val="6"/>
        <w:spacing w:line="447" w:lineRule="auto"/>
        <w:rPr>
          <w:color w:val="auto"/>
          <w:highlight w:val="none"/>
        </w:rPr>
      </w:pPr>
    </w:p>
    <w:p w14:paraId="2B110D6D">
      <w:pPr>
        <w:pStyle w:val="6"/>
        <w:spacing w:line="302" w:lineRule="auto"/>
        <w:rPr>
          <w:color w:val="auto"/>
          <w:highlight w:val="none"/>
        </w:rPr>
      </w:pPr>
      <w:r>
        <w:rPr>
          <w:color w:val="auto"/>
          <w:highlight w:val="none"/>
        </w:rPr>
        <w:pict>
          <v:shape id="_x0000_s1073" o:spid="_x0000_s1073" style="position:absolute;left:0pt;margin-left:0.25pt;margin-top:0.25pt;height:0.5pt;width:418.5pt;z-index:251684864;mso-width-relative:page;mso-height-relative:page;" filled="f" stroked="t" coordsize="8370,10" path="m0,5l8369,5e">
            <v:fill on="f" focussize="0,0"/>
            <v:stroke weight="0.5pt" color="#FFFFFF" miterlimit="10" joinstyle="miter"/>
            <v:imagedata o:title=""/>
            <o:lock v:ext="edit" aspectratio="f"/>
          </v:shape>
        </w:pict>
      </w:r>
    </w:p>
    <w:p w14:paraId="5F9298B9">
      <w:pPr>
        <w:spacing w:before="90" w:line="187" w:lineRule="auto"/>
        <w:ind w:left="41"/>
        <w:outlineLvl w:val="1"/>
        <w:rPr>
          <w:rFonts w:ascii="微软雅黑" w:hAnsi="微软雅黑" w:eastAsia="微软雅黑" w:cs="微软雅黑"/>
          <w:color w:val="auto"/>
          <w:sz w:val="21"/>
          <w:szCs w:val="21"/>
          <w:highlight w:val="none"/>
        </w:rPr>
      </w:pPr>
      <w:bookmarkStart w:id="164" w:name="bookmark125"/>
      <w:bookmarkEnd w:id="164"/>
      <w:bookmarkStart w:id="165" w:name="bookmark116"/>
      <w:bookmarkEnd w:id="165"/>
      <w:r>
        <w:rPr>
          <w:rFonts w:ascii="微软雅黑" w:hAnsi="微软雅黑" w:eastAsia="微软雅黑" w:cs="微软雅黑"/>
          <w:b/>
          <w:bCs/>
          <w:color w:val="auto"/>
          <w:spacing w:val="-1"/>
          <w:sz w:val="21"/>
          <w:szCs w:val="21"/>
          <w:highlight w:val="none"/>
        </w:rPr>
        <w:t>7</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
          <w:sz w:val="21"/>
          <w:szCs w:val="21"/>
          <w:highlight w:val="none"/>
        </w:rPr>
        <w:t>、</w:t>
      </w:r>
      <w:r>
        <w:rPr>
          <w:rFonts w:ascii="微软雅黑" w:hAnsi="微软雅黑" w:eastAsia="微软雅黑" w:cs="微软雅黑"/>
          <w:b/>
          <w:bCs/>
          <w:color w:val="auto"/>
          <w:spacing w:val="58"/>
          <w:sz w:val="21"/>
          <w:szCs w:val="21"/>
          <w:highlight w:val="none"/>
        </w:rPr>
        <w:t xml:space="preserve"> </w:t>
      </w:r>
      <w:r>
        <w:rPr>
          <w:rFonts w:ascii="微软雅黑" w:hAnsi="微软雅黑" w:eastAsia="微软雅黑" w:cs="微软雅黑"/>
          <w:b/>
          <w:bCs/>
          <w:color w:val="auto"/>
          <w:spacing w:val="-1"/>
          <w:sz w:val="21"/>
          <w:szCs w:val="21"/>
          <w:highlight w:val="none"/>
        </w:rPr>
        <w:t>投标人须知资料表要求的其他资格证明</w:t>
      </w:r>
      <w:r>
        <w:rPr>
          <w:rFonts w:ascii="微软雅黑" w:hAnsi="微软雅黑" w:eastAsia="微软雅黑" w:cs="微软雅黑"/>
          <w:b/>
          <w:bCs/>
          <w:color w:val="auto"/>
          <w:spacing w:val="-2"/>
          <w:sz w:val="21"/>
          <w:szCs w:val="21"/>
          <w:highlight w:val="none"/>
        </w:rPr>
        <w:t>文件</w:t>
      </w:r>
    </w:p>
    <w:p w14:paraId="7EC8AA0A">
      <w:pPr>
        <w:pStyle w:val="6"/>
        <w:spacing w:line="307" w:lineRule="auto"/>
        <w:rPr>
          <w:color w:val="auto"/>
          <w:highlight w:val="none"/>
        </w:rPr>
      </w:pPr>
    </w:p>
    <w:p w14:paraId="024F9B4B">
      <w:pPr>
        <w:pStyle w:val="6"/>
        <w:spacing w:line="308" w:lineRule="auto"/>
        <w:rPr>
          <w:color w:val="auto"/>
          <w:highlight w:val="none"/>
        </w:rPr>
      </w:pPr>
    </w:p>
    <w:p w14:paraId="63F5E2D9">
      <w:pPr>
        <w:pStyle w:val="6"/>
        <w:spacing w:line="308" w:lineRule="auto"/>
        <w:rPr>
          <w:color w:val="auto"/>
          <w:highlight w:val="none"/>
        </w:rPr>
      </w:pPr>
    </w:p>
    <w:p w14:paraId="7363D34A">
      <w:pPr>
        <w:spacing w:before="90"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投标人须知资料表</w:t>
      </w:r>
      <w:r>
        <w:rPr>
          <w:rFonts w:ascii="微软雅黑" w:hAnsi="微软雅黑" w:eastAsia="微软雅黑" w:cs="微软雅黑"/>
          <w:color w:val="auto"/>
          <w:spacing w:val="2"/>
          <w:sz w:val="21"/>
          <w:szCs w:val="21"/>
          <w:highlight w:val="none"/>
        </w:rPr>
        <w:t>要求的其他资格证明文件。</w:t>
      </w:r>
    </w:p>
    <w:p w14:paraId="38AA76FD">
      <w:pPr>
        <w:spacing w:before="43" w:line="183" w:lineRule="auto"/>
        <w:ind w:left="12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2"/>
          <w:sz w:val="21"/>
          <w:szCs w:val="21"/>
          <w:highlight w:val="none"/>
        </w:rPr>
        <w:t>复印件上应加盖本单位公章（自然人投标的无需盖公章，</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需要</w:t>
      </w:r>
      <w:r>
        <w:rPr>
          <w:rFonts w:ascii="微软雅黑" w:hAnsi="微软雅黑" w:eastAsia="微软雅黑" w:cs="微软雅黑"/>
          <w:color w:val="auto"/>
          <w:spacing w:val="1"/>
          <w:sz w:val="21"/>
          <w:szCs w:val="21"/>
          <w:highlight w:val="none"/>
        </w:rPr>
        <w:t>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p>
    <w:p w14:paraId="22153A82">
      <w:pPr>
        <w:spacing w:before="50" w:line="187" w:lineRule="auto"/>
        <w:ind w:left="121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3"/>
          <w:sz w:val="21"/>
          <w:szCs w:val="21"/>
          <w:highlight w:val="none"/>
        </w:rPr>
        <w:t>本项目不接受联合体。</w:t>
      </w:r>
    </w:p>
    <w:p w14:paraId="13F1A6E0">
      <w:pPr>
        <w:pStyle w:val="6"/>
        <w:spacing w:line="244" w:lineRule="auto"/>
        <w:rPr>
          <w:color w:val="auto"/>
          <w:highlight w:val="none"/>
        </w:rPr>
      </w:pPr>
    </w:p>
    <w:p w14:paraId="29532B25">
      <w:pPr>
        <w:pStyle w:val="6"/>
        <w:spacing w:line="244" w:lineRule="auto"/>
        <w:rPr>
          <w:color w:val="auto"/>
          <w:highlight w:val="none"/>
        </w:rPr>
      </w:pPr>
    </w:p>
    <w:p w14:paraId="3EA448E7">
      <w:pPr>
        <w:pStyle w:val="6"/>
        <w:spacing w:line="244" w:lineRule="auto"/>
        <w:rPr>
          <w:color w:val="auto"/>
          <w:highlight w:val="none"/>
        </w:rPr>
      </w:pPr>
    </w:p>
    <w:p w14:paraId="0F8DD345">
      <w:pPr>
        <w:pStyle w:val="6"/>
        <w:spacing w:line="244" w:lineRule="auto"/>
        <w:rPr>
          <w:color w:val="auto"/>
          <w:highlight w:val="none"/>
        </w:rPr>
      </w:pPr>
    </w:p>
    <w:p w14:paraId="4779760D">
      <w:pPr>
        <w:pStyle w:val="6"/>
        <w:spacing w:line="244" w:lineRule="auto"/>
        <w:rPr>
          <w:color w:val="auto"/>
          <w:highlight w:val="none"/>
        </w:rPr>
      </w:pPr>
    </w:p>
    <w:p w14:paraId="57ABE692">
      <w:pPr>
        <w:pStyle w:val="6"/>
        <w:spacing w:line="244" w:lineRule="auto"/>
        <w:rPr>
          <w:color w:val="auto"/>
          <w:highlight w:val="none"/>
        </w:rPr>
      </w:pPr>
    </w:p>
    <w:p w14:paraId="35504494">
      <w:pPr>
        <w:pStyle w:val="6"/>
        <w:spacing w:line="244" w:lineRule="auto"/>
        <w:rPr>
          <w:color w:val="auto"/>
          <w:highlight w:val="none"/>
        </w:rPr>
      </w:pPr>
    </w:p>
    <w:p w14:paraId="5F18E194">
      <w:pPr>
        <w:pStyle w:val="6"/>
        <w:spacing w:line="244" w:lineRule="auto"/>
        <w:rPr>
          <w:color w:val="auto"/>
          <w:highlight w:val="none"/>
        </w:rPr>
      </w:pPr>
    </w:p>
    <w:p w14:paraId="1137E960">
      <w:pPr>
        <w:pStyle w:val="6"/>
        <w:spacing w:line="244" w:lineRule="auto"/>
        <w:rPr>
          <w:color w:val="auto"/>
          <w:highlight w:val="none"/>
        </w:rPr>
      </w:pPr>
    </w:p>
    <w:p w14:paraId="7E7A6AE0">
      <w:pPr>
        <w:pStyle w:val="6"/>
        <w:spacing w:line="244" w:lineRule="auto"/>
        <w:rPr>
          <w:color w:val="auto"/>
          <w:highlight w:val="none"/>
        </w:rPr>
      </w:pPr>
    </w:p>
    <w:p w14:paraId="3A451368">
      <w:pPr>
        <w:pStyle w:val="6"/>
        <w:spacing w:line="244" w:lineRule="auto"/>
        <w:rPr>
          <w:color w:val="auto"/>
          <w:highlight w:val="none"/>
        </w:rPr>
      </w:pPr>
    </w:p>
    <w:p w14:paraId="68ED4E2F">
      <w:pPr>
        <w:pStyle w:val="6"/>
        <w:spacing w:line="244" w:lineRule="auto"/>
        <w:rPr>
          <w:color w:val="auto"/>
          <w:highlight w:val="none"/>
        </w:rPr>
      </w:pPr>
    </w:p>
    <w:p w14:paraId="57CCB388">
      <w:pPr>
        <w:pStyle w:val="6"/>
        <w:spacing w:line="244" w:lineRule="auto"/>
        <w:rPr>
          <w:color w:val="auto"/>
          <w:highlight w:val="none"/>
        </w:rPr>
      </w:pPr>
    </w:p>
    <w:p w14:paraId="0B4A0B94">
      <w:pPr>
        <w:pStyle w:val="6"/>
        <w:spacing w:line="244" w:lineRule="auto"/>
        <w:rPr>
          <w:color w:val="auto"/>
          <w:highlight w:val="none"/>
        </w:rPr>
      </w:pPr>
    </w:p>
    <w:p w14:paraId="23C3E6C0">
      <w:pPr>
        <w:pStyle w:val="6"/>
        <w:spacing w:line="244" w:lineRule="auto"/>
        <w:rPr>
          <w:color w:val="auto"/>
          <w:highlight w:val="none"/>
        </w:rPr>
      </w:pPr>
    </w:p>
    <w:p w14:paraId="2D79688A">
      <w:pPr>
        <w:pStyle w:val="6"/>
        <w:spacing w:line="244" w:lineRule="auto"/>
        <w:rPr>
          <w:color w:val="auto"/>
          <w:highlight w:val="none"/>
        </w:rPr>
      </w:pPr>
    </w:p>
    <w:p w14:paraId="113A18CA">
      <w:pPr>
        <w:pStyle w:val="6"/>
        <w:spacing w:line="244" w:lineRule="auto"/>
        <w:rPr>
          <w:color w:val="auto"/>
          <w:highlight w:val="none"/>
        </w:rPr>
      </w:pPr>
    </w:p>
    <w:p w14:paraId="5E0334A8">
      <w:pPr>
        <w:pStyle w:val="6"/>
        <w:spacing w:line="244" w:lineRule="auto"/>
        <w:rPr>
          <w:color w:val="auto"/>
          <w:highlight w:val="none"/>
        </w:rPr>
      </w:pPr>
    </w:p>
    <w:p w14:paraId="6C4A6371">
      <w:pPr>
        <w:pStyle w:val="6"/>
        <w:spacing w:line="244" w:lineRule="auto"/>
        <w:rPr>
          <w:color w:val="auto"/>
          <w:highlight w:val="none"/>
        </w:rPr>
      </w:pPr>
    </w:p>
    <w:p w14:paraId="3CE28FB6">
      <w:pPr>
        <w:pStyle w:val="6"/>
        <w:spacing w:line="244" w:lineRule="auto"/>
        <w:rPr>
          <w:color w:val="auto"/>
          <w:highlight w:val="none"/>
        </w:rPr>
      </w:pPr>
    </w:p>
    <w:p w14:paraId="073EB42F">
      <w:pPr>
        <w:pStyle w:val="6"/>
        <w:spacing w:line="244" w:lineRule="auto"/>
        <w:rPr>
          <w:color w:val="auto"/>
          <w:highlight w:val="none"/>
        </w:rPr>
      </w:pPr>
    </w:p>
    <w:p w14:paraId="0D8B21CA">
      <w:pPr>
        <w:pStyle w:val="6"/>
        <w:spacing w:line="244" w:lineRule="auto"/>
        <w:rPr>
          <w:color w:val="auto"/>
          <w:highlight w:val="none"/>
        </w:rPr>
      </w:pPr>
    </w:p>
    <w:p w14:paraId="3C7E6BE2">
      <w:pPr>
        <w:pStyle w:val="6"/>
        <w:spacing w:line="244" w:lineRule="auto"/>
        <w:rPr>
          <w:color w:val="auto"/>
          <w:highlight w:val="none"/>
        </w:rPr>
      </w:pPr>
    </w:p>
    <w:p w14:paraId="65FB2AFC">
      <w:pPr>
        <w:pStyle w:val="6"/>
        <w:spacing w:line="244" w:lineRule="auto"/>
        <w:rPr>
          <w:color w:val="auto"/>
          <w:highlight w:val="none"/>
        </w:rPr>
      </w:pPr>
    </w:p>
    <w:p w14:paraId="478F7E02">
      <w:pPr>
        <w:pStyle w:val="6"/>
        <w:spacing w:line="244" w:lineRule="auto"/>
        <w:rPr>
          <w:color w:val="auto"/>
          <w:highlight w:val="none"/>
        </w:rPr>
      </w:pPr>
    </w:p>
    <w:p w14:paraId="2420BD16">
      <w:pPr>
        <w:pStyle w:val="6"/>
        <w:spacing w:line="244" w:lineRule="auto"/>
        <w:rPr>
          <w:color w:val="auto"/>
          <w:highlight w:val="none"/>
        </w:rPr>
      </w:pPr>
    </w:p>
    <w:p w14:paraId="26FBD423">
      <w:pPr>
        <w:pStyle w:val="6"/>
        <w:spacing w:line="244" w:lineRule="auto"/>
        <w:rPr>
          <w:color w:val="auto"/>
          <w:highlight w:val="none"/>
        </w:rPr>
      </w:pPr>
    </w:p>
    <w:p w14:paraId="0217774F">
      <w:pPr>
        <w:pStyle w:val="6"/>
        <w:spacing w:line="244" w:lineRule="auto"/>
        <w:rPr>
          <w:color w:val="auto"/>
          <w:highlight w:val="none"/>
        </w:rPr>
      </w:pPr>
    </w:p>
    <w:p w14:paraId="3BB205F2">
      <w:pPr>
        <w:pStyle w:val="6"/>
        <w:spacing w:line="244" w:lineRule="auto"/>
        <w:rPr>
          <w:color w:val="auto"/>
          <w:highlight w:val="none"/>
        </w:rPr>
      </w:pPr>
    </w:p>
    <w:p w14:paraId="7B9794EF">
      <w:pPr>
        <w:pStyle w:val="6"/>
        <w:spacing w:line="244" w:lineRule="auto"/>
        <w:rPr>
          <w:color w:val="auto"/>
          <w:highlight w:val="none"/>
        </w:rPr>
      </w:pPr>
    </w:p>
    <w:p w14:paraId="6B674CC9">
      <w:pPr>
        <w:pStyle w:val="6"/>
        <w:spacing w:line="244" w:lineRule="auto"/>
        <w:rPr>
          <w:color w:val="auto"/>
          <w:highlight w:val="none"/>
        </w:rPr>
      </w:pPr>
    </w:p>
    <w:p w14:paraId="188D629D">
      <w:pPr>
        <w:pStyle w:val="6"/>
        <w:spacing w:line="244" w:lineRule="auto"/>
        <w:rPr>
          <w:color w:val="auto"/>
          <w:highlight w:val="none"/>
        </w:rPr>
      </w:pPr>
    </w:p>
    <w:p w14:paraId="0B8917F6">
      <w:pPr>
        <w:pStyle w:val="6"/>
        <w:spacing w:line="244" w:lineRule="auto"/>
        <w:rPr>
          <w:color w:val="auto"/>
          <w:highlight w:val="none"/>
        </w:rPr>
      </w:pPr>
    </w:p>
    <w:p w14:paraId="578E8C14">
      <w:pPr>
        <w:pStyle w:val="6"/>
        <w:spacing w:line="244" w:lineRule="auto"/>
        <w:rPr>
          <w:color w:val="auto"/>
          <w:highlight w:val="none"/>
        </w:rPr>
      </w:pPr>
    </w:p>
    <w:p w14:paraId="56DBF5F7">
      <w:pPr>
        <w:pStyle w:val="6"/>
        <w:spacing w:line="244" w:lineRule="auto"/>
        <w:rPr>
          <w:color w:val="auto"/>
          <w:highlight w:val="none"/>
        </w:rPr>
      </w:pPr>
    </w:p>
    <w:p w14:paraId="62D9E772">
      <w:pPr>
        <w:pStyle w:val="6"/>
        <w:spacing w:line="244" w:lineRule="auto"/>
        <w:rPr>
          <w:color w:val="auto"/>
          <w:highlight w:val="none"/>
        </w:rPr>
      </w:pPr>
    </w:p>
    <w:p w14:paraId="10453CC8">
      <w:pPr>
        <w:pStyle w:val="6"/>
        <w:spacing w:line="244" w:lineRule="auto"/>
        <w:rPr>
          <w:color w:val="auto"/>
          <w:highlight w:val="none"/>
        </w:rPr>
      </w:pPr>
    </w:p>
    <w:p w14:paraId="6A647434">
      <w:pPr>
        <w:pStyle w:val="6"/>
        <w:spacing w:line="244" w:lineRule="auto"/>
        <w:rPr>
          <w:color w:val="auto"/>
          <w:highlight w:val="none"/>
        </w:rPr>
      </w:pPr>
    </w:p>
    <w:p w14:paraId="65A8927E">
      <w:pPr>
        <w:pStyle w:val="6"/>
        <w:spacing w:line="245" w:lineRule="auto"/>
        <w:rPr>
          <w:color w:val="auto"/>
          <w:highlight w:val="none"/>
        </w:rPr>
      </w:pPr>
    </w:p>
    <w:p w14:paraId="39C456D7">
      <w:pPr>
        <w:pStyle w:val="6"/>
        <w:spacing w:line="245" w:lineRule="auto"/>
        <w:rPr>
          <w:color w:val="auto"/>
          <w:highlight w:val="none"/>
        </w:rPr>
      </w:pPr>
    </w:p>
    <w:p w14:paraId="037D5326">
      <w:pPr>
        <w:pStyle w:val="6"/>
        <w:spacing w:line="245" w:lineRule="auto"/>
        <w:rPr>
          <w:color w:val="auto"/>
          <w:highlight w:val="none"/>
        </w:rPr>
      </w:pPr>
    </w:p>
    <w:p w14:paraId="75BD24DB">
      <w:pPr>
        <w:pStyle w:val="6"/>
        <w:spacing w:line="245" w:lineRule="auto"/>
        <w:rPr>
          <w:color w:val="auto"/>
          <w:highlight w:val="none"/>
        </w:rPr>
      </w:pPr>
    </w:p>
    <w:p w14:paraId="4EDD9590">
      <w:pPr>
        <w:pStyle w:val="6"/>
        <w:spacing w:line="245" w:lineRule="auto"/>
        <w:rPr>
          <w:color w:val="auto"/>
          <w:highlight w:val="none"/>
        </w:rPr>
      </w:pPr>
    </w:p>
    <w:p w14:paraId="7DC5B161">
      <w:pPr>
        <w:pStyle w:val="6"/>
        <w:spacing w:line="245" w:lineRule="auto"/>
        <w:rPr>
          <w:color w:val="auto"/>
          <w:highlight w:val="none"/>
        </w:rPr>
      </w:pPr>
    </w:p>
    <w:p w14:paraId="423FE1FB">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327D9E1">
      <w:pPr>
        <w:pStyle w:val="6"/>
        <w:spacing w:line="447" w:lineRule="auto"/>
        <w:rPr>
          <w:color w:val="auto"/>
          <w:highlight w:val="none"/>
        </w:rPr>
      </w:pPr>
    </w:p>
    <w:p w14:paraId="76F2FC2C">
      <w:pPr>
        <w:spacing w:line="884" w:lineRule="exact"/>
        <w:ind w:firstLine="28"/>
        <w:rPr>
          <w:color w:val="auto"/>
          <w:highlight w:val="none"/>
        </w:rPr>
      </w:pPr>
      <w:r>
        <w:rPr>
          <w:color w:val="auto"/>
          <w:highlight w:val="none"/>
        </w:rPr>
        <w:pict>
          <v:shape id="_x0000_s1074" o:spid="_x0000_s1074" style="position:absolute;left:0pt;margin-left:0.25pt;margin-top:44.45pt;height:0.5pt;width:418.5pt;z-index:251685888;mso-width-relative:page;mso-height-relative:page;" filled="f" stroked="t" coordsize="8370,10" path="m0,5l8369,5e">
            <v:fill on="f" focussize="0,0"/>
            <v:stroke weight="0.5pt" color="#FFFFFF" miterlimit="10" joinstyle="miter"/>
            <v:imagedata o:title=""/>
            <o:lock v:ext="edit" aspectratio="f"/>
          </v:shape>
        </w:pict>
      </w:r>
    </w:p>
    <w:p w14:paraId="4FB04463">
      <w:pPr>
        <w:spacing w:before="299" w:line="187" w:lineRule="auto"/>
        <w:ind w:left="2928"/>
        <w:rPr>
          <w:rFonts w:ascii="微软雅黑" w:hAnsi="微软雅黑" w:eastAsia="微软雅黑" w:cs="微软雅黑"/>
          <w:color w:val="auto"/>
          <w:sz w:val="21"/>
          <w:szCs w:val="21"/>
          <w:highlight w:val="none"/>
        </w:rPr>
      </w:pPr>
      <w:bookmarkStart w:id="166" w:name="bookmark118"/>
      <w:bookmarkEnd w:id="166"/>
      <w:r>
        <w:rPr>
          <w:rFonts w:ascii="微软雅黑" w:hAnsi="微软雅黑" w:eastAsia="微软雅黑" w:cs="微软雅黑"/>
          <w:b/>
          <w:bCs/>
          <w:color w:val="auto"/>
          <w:spacing w:val="-2"/>
          <w:sz w:val="21"/>
          <w:szCs w:val="21"/>
          <w:highlight w:val="none"/>
        </w:rPr>
        <w:t>第二部分</w:t>
      </w:r>
      <w:r>
        <w:rPr>
          <w:rFonts w:ascii="微软雅黑" w:hAnsi="微软雅黑" w:eastAsia="微软雅黑" w:cs="微软雅黑"/>
          <w:b/>
          <w:bCs/>
          <w:color w:val="auto"/>
          <w:spacing w:val="18"/>
          <w:sz w:val="21"/>
          <w:szCs w:val="21"/>
          <w:highlight w:val="none"/>
        </w:rPr>
        <w:t xml:space="preserve">   </w:t>
      </w:r>
      <w:r>
        <w:rPr>
          <w:rFonts w:ascii="微软雅黑" w:hAnsi="微软雅黑" w:eastAsia="微软雅黑" w:cs="微软雅黑"/>
          <w:b/>
          <w:bCs/>
          <w:color w:val="auto"/>
          <w:spacing w:val="-2"/>
          <w:sz w:val="21"/>
          <w:szCs w:val="21"/>
          <w:highlight w:val="none"/>
        </w:rPr>
        <w:t>商务及技术文件</w:t>
      </w:r>
    </w:p>
    <w:p w14:paraId="7EE4281E">
      <w:pPr>
        <w:pStyle w:val="6"/>
        <w:spacing w:line="302" w:lineRule="auto"/>
        <w:rPr>
          <w:color w:val="auto"/>
          <w:highlight w:val="none"/>
        </w:rPr>
      </w:pPr>
    </w:p>
    <w:p w14:paraId="1525AE83">
      <w:pPr>
        <w:spacing w:before="90" w:line="183" w:lineRule="auto"/>
        <w:ind w:left="5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1、投标书（格式四）</w:t>
      </w:r>
    </w:p>
    <w:p w14:paraId="4E496C9F">
      <w:pPr>
        <w:spacing w:before="125" w:line="183" w:lineRule="auto"/>
        <w:ind w:left="58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2、投标分项报价表（格式五）</w:t>
      </w:r>
    </w:p>
    <w:p w14:paraId="3C927B8F">
      <w:pPr>
        <w:spacing w:before="125" w:line="183" w:lineRule="auto"/>
        <w:ind w:left="58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3、货物说明一览表（格式六）</w:t>
      </w:r>
    </w:p>
    <w:p w14:paraId="06E27FB6">
      <w:pPr>
        <w:spacing w:before="125" w:line="183" w:lineRule="auto"/>
        <w:ind w:left="58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4、技术规格偏离表（格式七）</w:t>
      </w:r>
    </w:p>
    <w:p w14:paraId="5D6A8FAB">
      <w:pPr>
        <w:spacing w:before="125" w:line="183" w:lineRule="auto"/>
        <w:ind w:left="588"/>
        <w:outlineLvl w:val="1"/>
        <w:rPr>
          <w:rFonts w:ascii="微软雅黑" w:hAnsi="微软雅黑" w:eastAsia="微软雅黑" w:cs="微软雅黑"/>
          <w:color w:val="auto"/>
          <w:sz w:val="21"/>
          <w:szCs w:val="21"/>
          <w:highlight w:val="none"/>
        </w:rPr>
      </w:pPr>
      <w:bookmarkStart w:id="167" w:name="bookmark127"/>
      <w:bookmarkEnd w:id="167"/>
      <w:r>
        <w:rPr>
          <w:rFonts w:ascii="微软雅黑" w:hAnsi="微软雅黑" w:eastAsia="微软雅黑" w:cs="微软雅黑"/>
          <w:color w:val="auto"/>
          <w:sz w:val="21"/>
          <w:szCs w:val="21"/>
          <w:highlight w:val="none"/>
        </w:rPr>
        <w:t>5、商务条款偏离表（格式八）</w:t>
      </w:r>
    </w:p>
    <w:p w14:paraId="35EF27E5">
      <w:pPr>
        <w:spacing w:before="125" w:line="265" w:lineRule="auto"/>
        <w:ind w:left="1130" w:right="32" w:hanging="5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6、符合《政府采购促进中小企业发展暂行办法》、《关于政府采</w:t>
      </w:r>
      <w:r>
        <w:rPr>
          <w:rFonts w:ascii="微软雅黑" w:hAnsi="微软雅黑" w:eastAsia="微软雅黑" w:cs="微软雅黑"/>
          <w:color w:val="auto"/>
          <w:spacing w:val="1"/>
          <w:sz w:val="21"/>
          <w:szCs w:val="21"/>
          <w:highlight w:val="none"/>
        </w:rPr>
        <w:t>购支持监狱企业发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展有关问题的通知》和《三部门联合发布关于促进残疾人就业政府采</w:t>
      </w:r>
      <w:r>
        <w:rPr>
          <w:rFonts w:ascii="微软雅黑" w:hAnsi="微软雅黑" w:eastAsia="微软雅黑" w:cs="微软雅黑"/>
          <w:color w:val="auto"/>
          <w:spacing w:val="1"/>
          <w:sz w:val="21"/>
          <w:szCs w:val="21"/>
          <w:highlight w:val="none"/>
        </w:rPr>
        <w:t>购政策的</w:t>
      </w:r>
    </w:p>
    <w:p w14:paraId="60A5FB69">
      <w:pPr>
        <w:spacing w:before="3" w:line="188" w:lineRule="auto"/>
        <w:ind w:left="11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通知》条件的投标人须提交</w:t>
      </w:r>
    </w:p>
    <w:p w14:paraId="037094F2">
      <w:pPr>
        <w:spacing w:before="117" w:line="263" w:lineRule="auto"/>
        <w:ind w:left="581" w:right="365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6-1《中小企业声明函（货物）》（格式九）</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6-2《残疾人福利性单位声明函》（格式十）</w:t>
      </w:r>
    </w:p>
    <w:p w14:paraId="08053265">
      <w:pPr>
        <w:spacing w:before="12" w:line="183" w:lineRule="auto"/>
        <w:ind w:left="58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7、投标人关联单位的说明（格式自拟）</w:t>
      </w:r>
    </w:p>
    <w:p w14:paraId="595F65EE">
      <w:pPr>
        <w:spacing w:before="12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8、评分标准和细则中技术部分证明材料（格式自拟）</w:t>
      </w:r>
    </w:p>
    <w:p w14:paraId="7BF06B14">
      <w:pPr>
        <w:spacing w:before="126"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9、评分标准和细则中商务部分证明材料（格式自拟）</w:t>
      </w:r>
    </w:p>
    <w:p w14:paraId="78046A78">
      <w:pPr>
        <w:spacing w:before="125" w:line="183" w:lineRule="auto"/>
        <w:ind w:left="5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10、投标人认为有必要提供的其他证明材料（格式自拟）</w:t>
      </w:r>
    </w:p>
    <w:p w14:paraId="22F7652E">
      <w:pPr>
        <w:pStyle w:val="6"/>
        <w:spacing w:line="247" w:lineRule="auto"/>
        <w:rPr>
          <w:color w:val="auto"/>
          <w:highlight w:val="none"/>
        </w:rPr>
      </w:pPr>
    </w:p>
    <w:p w14:paraId="1ABD1FAF">
      <w:pPr>
        <w:pStyle w:val="6"/>
        <w:spacing w:line="247" w:lineRule="auto"/>
        <w:rPr>
          <w:color w:val="auto"/>
          <w:highlight w:val="none"/>
        </w:rPr>
      </w:pPr>
    </w:p>
    <w:p w14:paraId="6C71EF1C">
      <w:pPr>
        <w:pStyle w:val="6"/>
        <w:spacing w:line="248" w:lineRule="auto"/>
        <w:rPr>
          <w:color w:val="auto"/>
          <w:highlight w:val="none"/>
        </w:rPr>
      </w:pPr>
    </w:p>
    <w:p w14:paraId="023149E5">
      <w:pPr>
        <w:pStyle w:val="6"/>
        <w:spacing w:line="248" w:lineRule="auto"/>
        <w:rPr>
          <w:color w:val="auto"/>
          <w:highlight w:val="none"/>
        </w:rPr>
      </w:pPr>
    </w:p>
    <w:p w14:paraId="05F96355">
      <w:pPr>
        <w:pStyle w:val="6"/>
        <w:spacing w:line="248" w:lineRule="auto"/>
        <w:rPr>
          <w:color w:val="auto"/>
          <w:highlight w:val="none"/>
        </w:rPr>
      </w:pPr>
    </w:p>
    <w:p w14:paraId="0038EE20">
      <w:pPr>
        <w:pStyle w:val="6"/>
        <w:spacing w:line="248" w:lineRule="auto"/>
        <w:rPr>
          <w:color w:val="auto"/>
          <w:highlight w:val="none"/>
        </w:rPr>
      </w:pPr>
    </w:p>
    <w:p w14:paraId="2F364B6B">
      <w:pPr>
        <w:pStyle w:val="6"/>
        <w:spacing w:line="248" w:lineRule="auto"/>
        <w:rPr>
          <w:color w:val="auto"/>
          <w:highlight w:val="none"/>
        </w:rPr>
      </w:pPr>
    </w:p>
    <w:p w14:paraId="1617C122">
      <w:pPr>
        <w:pStyle w:val="6"/>
        <w:spacing w:line="248" w:lineRule="auto"/>
        <w:rPr>
          <w:color w:val="auto"/>
          <w:highlight w:val="none"/>
        </w:rPr>
      </w:pPr>
    </w:p>
    <w:p w14:paraId="339A4143">
      <w:pPr>
        <w:pStyle w:val="6"/>
        <w:spacing w:line="248" w:lineRule="auto"/>
        <w:rPr>
          <w:color w:val="auto"/>
          <w:highlight w:val="none"/>
        </w:rPr>
      </w:pPr>
    </w:p>
    <w:p w14:paraId="2C0A4A73">
      <w:pPr>
        <w:pStyle w:val="6"/>
        <w:spacing w:line="248" w:lineRule="auto"/>
        <w:rPr>
          <w:color w:val="auto"/>
          <w:highlight w:val="none"/>
        </w:rPr>
      </w:pPr>
    </w:p>
    <w:p w14:paraId="1329F523">
      <w:pPr>
        <w:pStyle w:val="6"/>
        <w:spacing w:line="248" w:lineRule="auto"/>
        <w:rPr>
          <w:color w:val="auto"/>
          <w:highlight w:val="none"/>
        </w:rPr>
      </w:pPr>
    </w:p>
    <w:p w14:paraId="21B35055">
      <w:pPr>
        <w:pStyle w:val="6"/>
        <w:spacing w:line="248" w:lineRule="auto"/>
        <w:rPr>
          <w:color w:val="auto"/>
          <w:highlight w:val="none"/>
        </w:rPr>
      </w:pPr>
    </w:p>
    <w:p w14:paraId="0627088E">
      <w:pPr>
        <w:pStyle w:val="6"/>
        <w:spacing w:line="248" w:lineRule="auto"/>
        <w:rPr>
          <w:color w:val="auto"/>
          <w:highlight w:val="none"/>
        </w:rPr>
      </w:pPr>
    </w:p>
    <w:p w14:paraId="061D34C2">
      <w:pPr>
        <w:pStyle w:val="6"/>
        <w:spacing w:line="248" w:lineRule="auto"/>
        <w:rPr>
          <w:color w:val="auto"/>
          <w:highlight w:val="none"/>
        </w:rPr>
      </w:pPr>
    </w:p>
    <w:p w14:paraId="7B5E6C88">
      <w:pPr>
        <w:pStyle w:val="6"/>
        <w:spacing w:line="248" w:lineRule="auto"/>
        <w:rPr>
          <w:color w:val="auto"/>
          <w:highlight w:val="none"/>
        </w:rPr>
      </w:pPr>
    </w:p>
    <w:p w14:paraId="5A6E99C3">
      <w:pPr>
        <w:pStyle w:val="6"/>
        <w:spacing w:line="248" w:lineRule="auto"/>
        <w:rPr>
          <w:color w:val="auto"/>
          <w:highlight w:val="none"/>
        </w:rPr>
      </w:pPr>
    </w:p>
    <w:p w14:paraId="2CF11301">
      <w:pPr>
        <w:pStyle w:val="6"/>
        <w:spacing w:line="248" w:lineRule="auto"/>
        <w:rPr>
          <w:color w:val="auto"/>
          <w:highlight w:val="none"/>
        </w:rPr>
      </w:pPr>
    </w:p>
    <w:p w14:paraId="34512307">
      <w:pPr>
        <w:pStyle w:val="6"/>
        <w:spacing w:line="248" w:lineRule="auto"/>
        <w:rPr>
          <w:color w:val="auto"/>
          <w:highlight w:val="none"/>
        </w:rPr>
      </w:pPr>
    </w:p>
    <w:p w14:paraId="4CD729B9">
      <w:pPr>
        <w:pStyle w:val="6"/>
        <w:spacing w:line="248" w:lineRule="auto"/>
        <w:rPr>
          <w:color w:val="auto"/>
          <w:highlight w:val="none"/>
        </w:rPr>
      </w:pPr>
    </w:p>
    <w:p w14:paraId="471B6CC2">
      <w:pPr>
        <w:pStyle w:val="6"/>
        <w:spacing w:line="248" w:lineRule="auto"/>
        <w:rPr>
          <w:color w:val="auto"/>
          <w:highlight w:val="none"/>
        </w:rPr>
      </w:pPr>
    </w:p>
    <w:p w14:paraId="2863B4F8">
      <w:pPr>
        <w:pStyle w:val="6"/>
        <w:spacing w:line="248" w:lineRule="auto"/>
        <w:rPr>
          <w:color w:val="auto"/>
          <w:highlight w:val="none"/>
        </w:rPr>
      </w:pPr>
    </w:p>
    <w:p w14:paraId="18FE3BB8">
      <w:pPr>
        <w:pStyle w:val="6"/>
        <w:spacing w:line="248" w:lineRule="auto"/>
        <w:rPr>
          <w:color w:val="auto"/>
          <w:highlight w:val="none"/>
        </w:rPr>
      </w:pPr>
    </w:p>
    <w:p w14:paraId="78F8CA60">
      <w:pPr>
        <w:pStyle w:val="6"/>
        <w:spacing w:line="248" w:lineRule="auto"/>
        <w:rPr>
          <w:color w:val="auto"/>
          <w:highlight w:val="none"/>
        </w:rPr>
      </w:pPr>
    </w:p>
    <w:p w14:paraId="4604A10A">
      <w:pPr>
        <w:pStyle w:val="6"/>
        <w:spacing w:line="248" w:lineRule="auto"/>
        <w:rPr>
          <w:color w:val="auto"/>
          <w:highlight w:val="none"/>
        </w:rPr>
      </w:pPr>
    </w:p>
    <w:p w14:paraId="54ADE046">
      <w:pPr>
        <w:pStyle w:val="6"/>
        <w:spacing w:line="248" w:lineRule="auto"/>
        <w:rPr>
          <w:color w:val="auto"/>
          <w:highlight w:val="none"/>
        </w:rPr>
      </w:pPr>
    </w:p>
    <w:p w14:paraId="6ADE277A">
      <w:pPr>
        <w:pStyle w:val="6"/>
        <w:spacing w:line="248" w:lineRule="auto"/>
        <w:rPr>
          <w:color w:val="auto"/>
          <w:highlight w:val="none"/>
        </w:rPr>
      </w:pPr>
    </w:p>
    <w:p w14:paraId="1E908E2D">
      <w:pPr>
        <w:pStyle w:val="6"/>
        <w:spacing w:line="248" w:lineRule="auto"/>
        <w:rPr>
          <w:color w:val="auto"/>
          <w:highlight w:val="none"/>
        </w:rPr>
      </w:pPr>
    </w:p>
    <w:p w14:paraId="68BBC707">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003BFD77">
      <w:pPr>
        <w:pStyle w:val="6"/>
        <w:spacing w:line="447" w:lineRule="auto"/>
        <w:rPr>
          <w:color w:val="auto"/>
          <w:highlight w:val="none"/>
        </w:rPr>
      </w:pPr>
    </w:p>
    <w:p w14:paraId="724A8362">
      <w:pPr>
        <w:spacing w:line="884" w:lineRule="exact"/>
        <w:ind w:firstLine="28"/>
        <w:rPr>
          <w:color w:val="auto"/>
          <w:highlight w:val="none"/>
        </w:rPr>
      </w:pPr>
      <w:r>
        <w:rPr>
          <w:color w:val="auto"/>
          <w:highlight w:val="none"/>
        </w:rPr>
        <w:pict>
          <v:shape id="_x0000_s1075" o:spid="_x0000_s1075" style="position:absolute;left:0pt;margin-left:0.25pt;margin-top:44.45pt;height:0.5pt;width:418.5pt;z-index:251686912;mso-width-relative:page;mso-height-relative:page;" filled="f" stroked="t" coordsize="8370,10" path="m0,5l8369,5e">
            <v:fill on="f" focussize="0,0"/>
            <v:stroke weight="0.5pt" color="#FFFFFF" miterlimit="10" joinstyle="miter"/>
            <v:imagedata o:title=""/>
            <o:lock v:ext="edit" aspectratio="f"/>
          </v:shape>
        </w:pict>
      </w:r>
    </w:p>
    <w:p w14:paraId="14F0C4D8">
      <w:pPr>
        <w:spacing w:before="68" w:line="184" w:lineRule="auto"/>
        <w:ind w:left="3141"/>
        <w:rPr>
          <w:rFonts w:ascii="微软雅黑" w:hAnsi="微软雅黑" w:eastAsia="微软雅黑" w:cs="微软雅黑"/>
          <w:color w:val="auto"/>
          <w:sz w:val="21"/>
          <w:szCs w:val="21"/>
          <w:highlight w:val="none"/>
        </w:rPr>
      </w:pPr>
      <w:bookmarkStart w:id="168" w:name="bookmark120"/>
      <w:bookmarkEnd w:id="168"/>
      <w:r>
        <w:rPr>
          <w:rFonts w:ascii="微软雅黑" w:hAnsi="微软雅黑" w:eastAsia="微软雅黑" w:cs="微软雅黑"/>
          <w:b/>
          <w:bCs/>
          <w:color w:val="auto"/>
          <w:spacing w:val="-4"/>
          <w:sz w:val="21"/>
          <w:szCs w:val="21"/>
          <w:highlight w:val="none"/>
        </w:rPr>
        <w:t>1  、投标书（格式四）</w:t>
      </w:r>
    </w:p>
    <w:p w14:paraId="3D32A396">
      <w:pPr>
        <w:pStyle w:val="6"/>
        <w:spacing w:line="282" w:lineRule="auto"/>
        <w:rPr>
          <w:color w:val="auto"/>
          <w:highlight w:val="none"/>
        </w:rPr>
      </w:pPr>
    </w:p>
    <w:p w14:paraId="6488F34F">
      <w:pPr>
        <w:spacing w:before="90"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致：</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3"/>
          <w:sz w:val="21"/>
          <w:szCs w:val="21"/>
          <w:highlight w:val="none"/>
          <w:u w:val="single" w:color="auto"/>
        </w:rPr>
        <w:t>采购代理机构</w:t>
      </w:r>
    </w:p>
    <w:p w14:paraId="332142D7">
      <w:pPr>
        <w:pStyle w:val="6"/>
        <w:spacing w:line="277" w:lineRule="auto"/>
        <w:rPr>
          <w:color w:val="auto"/>
          <w:highlight w:val="none"/>
        </w:rPr>
      </w:pPr>
    </w:p>
    <w:p w14:paraId="0F54EB9D">
      <w:pPr>
        <w:spacing w:before="90" w:line="215" w:lineRule="auto"/>
        <w:ind w:left="44" w:right="30" w:firstLine="42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根据贵方（采购项目名称)</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63"/>
          <w:w w:val="101"/>
          <w:sz w:val="21"/>
          <w:szCs w:val="21"/>
          <w:highlight w:val="none"/>
        </w:rPr>
        <w:t xml:space="preserve"> </w:t>
      </w:r>
      <w:r>
        <w:rPr>
          <w:rFonts w:ascii="微软雅黑" w:hAnsi="微软雅黑" w:eastAsia="微软雅黑" w:cs="微软雅黑"/>
          <w:color w:val="auto"/>
          <w:spacing w:val="11"/>
          <w:sz w:val="21"/>
          <w:szCs w:val="21"/>
          <w:highlight w:val="none"/>
        </w:rPr>
        <w:t>项目的投标邀请(</w:t>
      </w:r>
      <w:r>
        <w:rPr>
          <w:rFonts w:ascii="微软雅黑" w:hAnsi="微软雅黑" w:eastAsia="微软雅黑" w:cs="微软雅黑"/>
          <w:color w:val="auto"/>
          <w:spacing w:val="11"/>
          <w:sz w:val="21"/>
          <w:szCs w:val="21"/>
          <w:highlight w:val="none"/>
          <w:u w:val="single" w:color="auto"/>
        </w:rPr>
        <w:t>招</w:t>
      </w:r>
      <w:r>
        <w:rPr>
          <w:rFonts w:ascii="微软雅黑" w:hAnsi="微软雅黑" w:eastAsia="微软雅黑" w:cs="微软雅黑"/>
          <w:color w:val="auto"/>
          <w:spacing w:val="10"/>
          <w:sz w:val="21"/>
          <w:szCs w:val="21"/>
          <w:highlight w:val="none"/>
          <w:u w:val="single" w:color="auto"/>
        </w:rPr>
        <w:t>标编号</w:t>
      </w:r>
      <w:r>
        <w:rPr>
          <w:rFonts w:ascii="微软雅黑" w:hAnsi="微软雅黑" w:eastAsia="微软雅黑" w:cs="微软雅黑"/>
          <w:color w:val="auto"/>
          <w:spacing w:val="10"/>
          <w:sz w:val="21"/>
          <w:szCs w:val="21"/>
          <w:highlight w:val="none"/>
        </w:rPr>
        <w:t>),签字代表(</w:t>
      </w:r>
      <w:r>
        <w:rPr>
          <w:rFonts w:ascii="微软雅黑" w:hAnsi="微软雅黑" w:eastAsia="微软雅黑" w:cs="微软雅黑"/>
          <w:color w:val="auto"/>
          <w:spacing w:val="10"/>
          <w:sz w:val="21"/>
          <w:szCs w:val="21"/>
          <w:highlight w:val="none"/>
          <w:u w:val="single" w:color="auto"/>
        </w:rPr>
        <w:t>姓名、职务)</w:t>
      </w:r>
      <w:r>
        <w:rPr>
          <w:rFonts w:ascii="微软雅黑" w:hAnsi="微软雅黑" w:eastAsia="微软雅黑" w:cs="微软雅黑"/>
          <w:color w:val="auto"/>
          <w:sz w:val="21"/>
          <w:szCs w:val="21"/>
          <w:highlight w:val="none"/>
        </w:rPr>
        <w:t xml:space="preserve"> 经正式授权并代表投标人（</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z w:val="21"/>
          <w:szCs w:val="21"/>
          <w:highlight w:val="none"/>
          <w:u w:val="single" w:color="auto"/>
        </w:rPr>
        <w:t>名称、地址</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）提交加密电子投标文件</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z w:val="21"/>
          <w:szCs w:val="21"/>
          <w:highlight w:val="none"/>
        </w:rPr>
        <w:t>份，</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并以</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z w:val="21"/>
          <w:szCs w:val="21"/>
          <w:highlight w:val="none"/>
        </w:rPr>
        <w:t>形式 出具的金额为人民币</w:t>
      </w:r>
      <w:r>
        <w:rPr>
          <w:rFonts w:ascii="微软雅黑" w:hAnsi="微软雅黑" w:eastAsia="微软雅黑" w:cs="微软雅黑"/>
          <w:color w:val="auto"/>
          <w:spacing w:val="-48"/>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元的投标保证金。</w:t>
      </w:r>
    </w:p>
    <w:p w14:paraId="66751F0B">
      <w:pPr>
        <w:spacing w:before="5"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据此，</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签字代表宣布如下：</w:t>
      </w:r>
    </w:p>
    <w:p w14:paraId="3C66DC2F">
      <w:pPr>
        <w:spacing w:before="42" w:line="200" w:lineRule="auto"/>
        <w:ind w:left="820" w:right="32" w:hanging="23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（1）附投标书报价中规定的投标总价详见开标一览表，</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u w:val="single" w:color="auto"/>
        </w:rPr>
        <w:t>其中由小型和微型企业</w:t>
      </w:r>
      <w:r>
        <w:rPr>
          <w:rFonts w:ascii="微软雅黑" w:hAnsi="微软雅黑" w:eastAsia="微软雅黑" w:cs="微软雅黑"/>
          <w:color w:val="auto"/>
          <w:spacing w:val="1"/>
          <w:sz w:val="21"/>
          <w:szCs w:val="21"/>
          <w:highlight w:val="none"/>
        </w:rPr>
        <w:t>制造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产品的价格为</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（用文字和数字表示</w:t>
      </w:r>
      <w:r>
        <w:rPr>
          <w:rFonts w:ascii="微软雅黑" w:hAnsi="微软雅黑" w:eastAsia="微软雅黑" w:cs="微软雅黑"/>
          <w:color w:val="auto"/>
          <w:spacing w:val="-12"/>
          <w:sz w:val="21"/>
          <w:szCs w:val="21"/>
          <w:highlight w:val="none"/>
          <w:u w:val="single" w:color="auto"/>
        </w:rPr>
        <w:t>）</w:t>
      </w:r>
      <w:r>
        <w:rPr>
          <w:rFonts w:ascii="微软雅黑" w:hAnsi="微软雅黑" w:eastAsia="微软雅黑" w:cs="微软雅黑"/>
          <w:color w:val="auto"/>
          <w:spacing w:val="-27"/>
          <w:sz w:val="21"/>
          <w:szCs w:val="21"/>
          <w:highlight w:val="none"/>
          <w:u w:val="single" w:color="auto"/>
        </w:rPr>
        <w:t xml:space="preserve"> </w:t>
      </w:r>
      <w:r>
        <w:rPr>
          <w:rFonts w:ascii="微软雅黑" w:hAnsi="微软雅黑" w:eastAsia="微软雅黑" w:cs="微软雅黑"/>
          <w:color w:val="auto"/>
          <w:spacing w:val="-12"/>
          <w:sz w:val="21"/>
          <w:szCs w:val="21"/>
          <w:highlight w:val="none"/>
          <w:u w:val="single" w:color="auto"/>
        </w:rPr>
        <w:t>，</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占投标价的 ‥</w:t>
      </w:r>
      <w:r>
        <w:rPr>
          <w:rFonts w:ascii="微软雅黑" w:hAnsi="微软雅黑" w:eastAsia="微软雅黑" w:cs="微软雅黑"/>
          <w:color w:val="auto"/>
          <w:spacing w:val="2"/>
          <w:sz w:val="21"/>
          <w:szCs w:val="21"/>
          <w:highlight w:val="none"/>
        </w:rPr>
        <w:t>%</w:t>
      </w:r>
    </w:p>
    <w:p w14:paraId="45ECDF1B">
      <w:pPr>
        <w:spacing w:before="51" w:line="183" w:lineRule="auto"/>
        <w:ind w:left="59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（2）本投标有效期为投标标截止之日起</w:t>
      </w:r>
      <w:r>
        <w:rPr>
          <w:rFonts w:ascii="微软雅黑" w:hAnsi="微软雅黑" w:eastAsia="微软雅黑" w:cs="微软雅黑"/>
          <w:color w:val="auto"/>
          <w:spacing w:val="-46"/>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z w:val="21"/>
          <w:szCs w:val="21"/>
          <w:highlight w:val="none"/>
        </w:rPr>
        <w:t>个日历日。</w:t>
      </w:r>
    </w:p>
    <w:p w14:paraId="74EAD6B7">
      <w:pPr>
        <w:spacing w:before="49" w:line="200" w:lineRule="auto"/>
        <w:ind w:left="1132" w:right="46" w:hanging="5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（3）联合体中的大中型企业、法人或者非</w:t>
      </w:r>
      <w:r>
        <w:rPr>
          <w:rFonts w:ascii="微软雅黑" w:hAnsi="微软雅黑" w:eastAsia="微软雅黑" w:cs="微软雅黑"/>
          <w:color w:val="auto"/>
          <w:sz w:val="21"/>
          <w:szCs w:val="21"/>
          <w:highlight w:val="none"/>
        </w:rPr>
        <w:t>法人组织，</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 xml:space="preserve">与联合体中的小型、微型企业 </w:t>
      </w:r>
      <w:r>
        <w:rPr>
          <w:rFonts w:ascii="微软雅黑" w:hAnsi="微软雅黑" w:eastAsia="微软雅黑" w:cs="微软雅黑"/>
          <w:color w:val="auto"/>
          <w:spacing w:val="1"/>
          <w:sz w:val="21"/>
          <w:szCs w:val="21"/>
          <w:highlight w:val="none"/>
        </w:rPr>
        <w:t>之间</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8"/>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1"/>
          <w:sz w:val="21"/>
          <w:szCs w:val="21"/>
          <w:highlight w:val="none"/>
        </w:rPr>
        <w:t>存在、不存在）投资关系（如果是联合体的话）</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p>
    <w:p w14:paraId="68A941FC">
      <w:pPr>
        <w:spacing w:before="50" w:line="202" w:lineRule="auto"/>
        <w:ind w:left="1138" w:right="67" w:hanging="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2"/>
          <w:sz w:val="21"/>
          <w:szCs w:val="21"/>
          <w:highlight w:val="none"/>
        </w:rPr>
        <w:t>已详细审查全部招标文件，</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包括所有补充通知（如果有的话</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完全理解并同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意放弃对这方面有不明、误解和质疑的权力。</w:t>
      </w:r>
    </w:p>
    <w:p w14:paraId="0446F705">
      <w:pPr>
        <w:spacing w:before="44" w:line="183" w:lineRule="auto"/>
        <w:ind w:left="5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在规定的开标时间后，遵守招标文件中有关保证金的规定。</w:t>
      </w:r>
    </w:p>
    <w:p w14:paraId="771F296A">
      <w:pPr>
        <w:spacing w:before="50" w:line="202" w:lineRule="auto"/>
        <w:ind w:left="1142" w:right="45" w:hanging="5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（6）我方不是为本项目提供整体设计、规范编制或者项目管理、监理、检测等服务</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的供应商，</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我方不是采购代理机构的附属机构。</w:t>
      </w:r>
    </w:p>
    <w:p w14:paraId="736542A8">
      <w:pPr>
        <w:spacing w:before="44" w:line="202" w:lineRule="auto"/>
        <w:ind w:left="1136" w:right="32" w:hanging="54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（7）在领取中标通知书的同时按招标文件规定的形式，</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z w:val="21"/>
          <w:szCs w:val="21"/>
          <w:highlight w:val="none"/>
        </w:rPr>
        <w:t xml:space="preserve">向贵方一次性支付中标服务 </w:t>
      </w:r>
      <w:r>
        <w:rPr>
          <w:rFonts w:ascii="微软雅黑" w:hAnsi="微软雅黑" w:eastAsia="微软雅黑" w:cs="微软雅黑"/>
          <w:color w:val="auto"/>
          <w:spacing w:val="-11"/>
          <w:sz w:val="21"/>
          <w:szCs w:val="21"/>
          <w:highlight w:val="none"/>
        </w:rPr>
        <w:t>费。</w:t>
      </w:r>
    </w:p>
    <w:p w14:paraId="09082C62">
      <w:pPr>
        <w:spacing w:before="43" w:line="202" w:lineRule="auto"/>
        <w:ind w:left="1134" w:right="32" w:hanging="54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（8）按照贵方可能要求，</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提供与其投标有关的一切数据或资料，</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 xml:space="preserve">完全理解贵方不一 </w:t>
      </w:r>
      <w:r>
        <w:rPr>
          <w:rFonts w:ascii="微软雅黑" w:hAnsi="微软雅黑" w:eastAsia="微软雅黑" w:cs="微软雅黑"/>
          <w:color w:val="auto"/>
          <w:spacing w:val="1"/>
          <w:sz w:val="21"/>
          <w:szCs w:val="21"/>
          <w:highlight w:val="none"/>
        </w:rPr>
        <w:t>定接受最低价的投标或收到的任何投标。</w:t>
      </w:r>
    </w:p>
    <w:p w14:paraId="7E18CD19">
      <w:pPr>
        <w:spacing w:before="42" w:line="203" w:lineRule="auto"/>
        <w:ind w:left="409" w:right="3241" w:firstLine="18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（9）按照招标文件的规定履行合同责任和义务。</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1"/>
          <w:sz w:val="21"/>
          <w:szCs w:val="21"/>
          <w:highlight w:val="none"/>
        </w:rPr>
        <w:t>与本投标有关的一切正式往来信函请寄：</w:t>
      </w:r>
    </w:p>
    <w:p w14:paraId="3334DCC1">
      <w:pPr>
        <w:spacing w:before="41"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地址</w:t>
      </w:r>
      <w:r>
        <w:rPr>
          <w:rFonts w:ascii="微软雅黑" w:hAnsi="微软雅黑" w:eastAsia="微软雅黑" w:cs="微软雅黑"/>
          <w:color w:val="auto"/>
          <w:spacing w:val="-52"/>
          <w:sz w:val="21"/>
          <w:szCs w:val="21"/>
          <w:highlight w:val="none"/>
        </w:rPr>
        <w:t xml:space="preserve"> </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2"/>
          <w:sz w:val="21"/>
          <w:szCs w:val="21"/>
          <w:highlight w:val="none"/>
        </w:rPr>
        <w:t xml:space="preserve">         传真</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41F07F3">
      <w:pPr>
        <w:spacing w:before="43" w:line="189" w:lineRule="auto"/>
        <w:ind w:left="61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电话</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1"/>
          <w:sz w:val="21"/>
          <w:szCs w:val="21"/>
          <w:highlight w:val="none"/>
        </w:rPr>
        <w:t>电子函件</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660F8D7">
      <w:pPr>
        <w:pStyle w:val="6"/>
        <w:spacing w:line="274" w:lineRule="auto"/>
        <w:rPr>
          <w:color w:val="auto"/>
          <w:highlight w:val="none"/>
        </w:rPr>
      </w:pPr>
    </w:p>
    <w:p w14:paraId="439F0B5B">
      <w:pPr>
        <w:spacing w:before="91" w:line="183" w:lineRule="auto"/>
        <w:ind w:left="5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法定代表人或其委托代理人（签字或盖章）-----------------</w:t>
      </w:r>
    </w:p>
    <w:p w14:paraId="1FD24713">
      <w:pPr>
        <w:spacing w:before="50" w:line="183"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投标人名称（全称）-----------</w:t>
      </w:r>
      <w:r>
        <w:rPr>
          <w:rFonts w:ascii="微软雅黑" w:hAnsi="微软雅黑" w:eastAsia="微软雅黑" w:cs="微软雅黑"/>
          <w:color w:val="auto"/>
          <w:spacing w:val="10"/>
          <w:sz w:val="21"/>
          <w:szCs w:val="21"/>
          <w:highlight w:val="none"/>
        </w:rPr>
        <w:t>------</w:t>
      </w:r>
    </w:p>
    <w:sdt>
      <w:sdtPr>
        <w:rPr>
          <w:rFonts w:ascii="微软雅黑" w:hAnsi="微软雅黑" w:eastAsia="微软雅黑" w:cs="微软雅黑"/>
          <w:color w:val="auto"/>
          <w:sz w:val="21"/>
          <w:szCs w:val="21"/>
          <w:highlight w:val="none"/>
        </w:rPr>
        <w:id w:val="147455286"/>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46E90768">
          <w:pPr>
            <w:spacing w:before="51" w:line="183"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投标人开户银行（全称）</w:t>
          </w:r>
          <w:r>
            <w:rPr>
              <w:rFonts w:ascii="微软雅黑" w:hAnsi="微软雅黑" w:eastAsia="微软雅黑" w:cs="微软雅黑"/>
              <w:color w:val="auto"/>
              <w:sz w:val="21"/>
              <w:szCs w:val="21"/>
              <w:highlight w:val="none"/>
              <w:u w:val="single" w:color="auto"/>
            </w:rPr>
            <w:t xml:space="preserve">                       </w:t>
          </w:r>
        </w:p>
        <w:p w14:paraId="6977FAE7">
          <w:pPr>
            <w:spacing w:before="50" w:line="188"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投标人银行帐号</w:t>
          </w:r>
          <w:r>
            <w:rPr>
              <w:rFonts w:ascii="微软雅黑" w:hAnsi="微软雅黑" w:eastAsia="微软雅黑" w:cs="微软雅黑"/>
              <w:color w:val="auto"/>
              <w:spacing w:val="-55"/>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12BC7DC6">
          <w:pPr>
            <w:tabs>
              <w:tab w:val="right" w:leader="hyphen" w:pos="4518"/>
            </w:tabs>
            <w:spacing w:before="42" w:line="189"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投标人单位章</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z w:val="21"/>
              <w:szCs w:val="21"/>
              <w:highlight w:val="none"/>
            </w:rPr>
            <w:tab/>
          </w:r>
        </w:p>
        <w:p w14:paraId="209B36FC">
          <w:pPr>
            <w:tabs>
              <w:tab w:val="right" w:leader="hyphen" w:pos="4307"/>
            </w:tabs>
            <w:spacing w:before="41" w:line="188" w:lineRule="auto"/>
            <w:ind w:left="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8"/>
              <w:sz w:val="21"/>
              <w:szCs w:val="21"/>
              <w:highlight w:val="none"/>
            </w:rPr>
            <w:t>日期</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z w:val="21"/>
              <w:szCs w:val="21"/>
              <w:highlight w:val="none"/>
            </w:rPr>
            <w:tab/>
          </w:r>
        </w:p>
      </w:sdtContent>
    </w:sdt>
    <w:p w14:paraId="6C09CAB8">
      <w:pPr>
        <w:pStyle w:val="6"/>
        <w:spacing w:line="242" w:lineRule="auto"/>
        <w:rPr>
          <w:color w:val="auto"/>
          <w:highlight w:val="none"/>
        </w:rPr>
      </w:pPr>
    </w:p>
    <w:p w14:paraId="5B4D2A85">
      <w:pPr>
        <w:pStyle w:val="6"/>
        <w:spacing w:line="242" w:lineRule="auto"/>
        <w:rPr>
          <w:color w:val="auto"/>
          <w:highlight w:val="none"/>
        </w:rPr>
      </w:pPr>
    </w:p>
    <w:p w14:paraId="63059C2B">
      <w:pPr>
        <w:pStyle w:val="6"/>
        <w:spacing w:line="242" w:lineRule="auto"/>
        <w:rPr>
          <w:color w:val="auto"/>
          <w:highlight w:val="none"/>
        </w:rPr>
      </w:pPr>
    </w:p>
    <w:p w14:paraId="62A9FFD3">
      <w:pPr>
        <w:pStyle w:val="6"/>
        <w:spacing w:line="242" w:lineRule="auto"/>
        <w:rPr>
          <w:color w:val="auto"/>
          <w:highlight w:val="none"/>
        </w:rPr>
      </w:pPr>
    </w:p>
    <w:p w14:paraId="69345B6A">
      <w:pPr>
        <w:pStyle w:val="6"/>
        <w:spacing w:line="242" w:lineRule="auto"/>
        <w:rPr>
          <w:color w:val="auto"/>
          <w:highlight w:val="none"/>
        </w:rPr>
      </w:pPr>
    </w:p>
    <w:p w14:paraId="3C177D83">
      <w:pPr>
        <w:pStyle w:val="6"/>
        <w:spacing w:line="242" w:lineRule="auto"/>
        <w:rPr>
          <w:color w:val="auto"/>
          <w:highlight w:val="none"/>
        </w:rPr>
      </w:pPr>
    </w:p>
    <w:p w14:paraId="0922E888">
      <w:pPr>
        <w:pStyle w:val="6"/>
        <w:spacing w:line="242" w:lineRule="auto"/>
        <w:rPr>
          <w:color w:val="auto"/>
          <w:highlight w:val="none"/>
        </w:rPr>
      </w:pPr>
    </w:p>
    <w:p w14:paraId="4A3CAD62">
      <w:pPr>
        <w:pStyle w:val="6"/>
        <w:spacing w:line="243" w:lineRule="auto"/>
        <w:rPr>
          <w:color w:val="auto"/>
          <w:highlight w:val="none"/>
        </w:rPr>
      </w:pPr>
    </w:p>
    <w:p w14:paraId="27C2E364">
      <w:pPr>
        <w:pStyle w:val="6"/>
        <w:spacing w:line="243" w:lineRule="auto"/>
        <w:rPr>
          <w:color w:val="auto"/>
          <w:highlight w:val="none"/>
        </w:rPr>
      </w:pPr>
    </w:p>
    <w:p w14:paraId="7DD7C1F4">
      <w:pPr>
        <w:pStyle w:val="6"/>
        <w:spacing w:line="243" w:lineRule="auto"/>
        <w:rPr>
          <w:color w:val="auto"/>
          <w:highlight w:val="none"/>
        </w:rPr>
      </w:pPr>
    </w:p>
    <w:p w14:paraId="7BD7D694">
      <w:pPr>
        <w:pStyle w:val="6"/>
        <w:spacing w:line="243" w:lineRule="auto"/>
        <w:rPr>
          <w:color w:val="auto"/>
          <w:highlight w:val="none"/>
        </w:rPr>
      </w:pPr>
    </w:p>
    <w:p w14:paraId="0728CCD1">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FFD40AA">
      <w:pPr>
        <w:pStyle w:val="6"/>
        <w:spacing w:line="447" w:lineRule="auto"/>
        <w:rPr>
          <w:color w:val="auto"/>
          <w:highlight w:val="none"/>
        </w:rPr>
      </w:pPr>
    </w:p>
    <w:p w14:paraId="4E379576">
      <w:pPr>
        <w:spacing w:line="884" w:lineRule="exact"/>
        <w:ind w:firstLine="31"/>
        <w:rPr>
          <w:color w:val="auto"/>
          <w:highlight w:val="none"/>
        </w:rPr>
      </w:pPr>
      <w:r>
        <w:rPr>
          <w:color w:val="auto"/>
          <w:highlight w:val="none"/>
        </w:rPr>
        <w:pict>
          <v:shape id="_x0000_s1076" o:spid="_x0000_s1076" style="position:absolute;left:0pt;margin-left:0.4pt;margin-top:44.45pt;height:0.5pt;width:418.5pt;z-index:251687936;mso-width-relative:page;mso-height-relative:page;" filled="f" stroked="t" coordsize="8370,10" path="m0,5l8369,5e">
            <v:fill on="f" focussize="0,0"/>
            <v:stroke weight="0.5pt" color="#FFFFFF" miterlimit="10" joinstyle="miter"/>
            <v:imagedata o:title=""/>
            <o:lock v:ext="edit" aspectratio="f"/>
          </v:shape>
        </w:pict>
      </w:r>
    </w:p>
    <w:p w14:paraId="7663BE98">
      <w:pPr>
        <w:spacing w:before="68" w:line="184" w:lineRule="auto"/>
        <w:ind w:left="2705"/>
        <w:rPr>
          <w:rFonts w:ascii="微软雅黑" w:hAnsi="微软雅黑" w:eastAsia="微软雅黑" w:cs="微软雅黑"/>
          <w:color w:val="auto"/>
          <w:sz w:val="21"/>
          <w:szCs w:val="21"/>
          <w:highlight w:val="none"/>
        </w:rPr>
      </w:pPr>
      <w:bookmarkStart w:id="169" w:name="bookmark122"/>
      <w:bookmarkEnd w:id="169"/>
      <w:r>
        <w:rPr>
          <w:rFonts w:ascii="微软雅黑" w:hAnsi="微软雅黑" w:eastAsia="微软雅黑" w:cs="微软雅黑"/>
          <w:b/>
          <w:bCs/>
          <w:color w:val="auto"/>
          <w:spacing w:val="-2"/>
          <w:sz w:val="21"/>
          <w:szCs w:val="21"/>
          <w:highlight w:val="none"/>
        </w:rPr>
        <w:t>2  、投标分项报价表（格式五）</w:t>
      </w:r>
    </w:p>
    <w:p w14:paraId="308516C7">
      <w:pPr>
        <w:pStyle w:val="6"/>
        <w:spacing w:line="282" w:lineRule="auto"/>
        <w:rPr>
          <w:color w:val="auto"/>
          <w:highlight w:val="none"/>
        </w:rPr>
      </w:pPr>
    </w:p>
    <w:p w14:paraId="382D2386">
      <w:pPr>
        <w:spacing w:before="90" w:line="187" w:lineRule="auto"/>
        <w:ind w:left="5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项目名称:                                    招标编号</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p w14:paraId="6AC5D5C8">
      <w:pPr>
        <w:spacing w:before="43" w:line="177" w:lineRule="auto"/>
        <w:ind w:left="58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报价单位：</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人民币</w:t>
      </w:r>
      <w:r>
        <w:rPr>
          <w:rFonts w:ascii="微软雅黑" w:hAnsi="微软雅黑" w:eastAsia="微软雅黑" w:cs="微软雅黑"/>
          <w:b/>
          <w:bCs/>
          <w:color w:val="auto"/>
          <w:spacing w:val="-2"/>
          <w:sz w:val="21"/>
          <w:szCs w:val="21"/>
          <w:highlight w:val="none"/>
        </w:rPr>
        <w:t>元</w:t>
      </w:r>
    </w:p>
    <w:tbl>
      <w:tblPr>
        <w:tblStyle w:val="11"/>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7"/>
        <w:gridCol w:w="1105"/>
        <w:gridCol w:w="1180"/>
        <w:gridCol w:w="1258"/>
        <w:gridCol w:w="1427"/>
        <w:gridCol w:w="1019"/>
        <w:gridCol w:w="809"/>
        <w:gridCol w:w="859"/>
      </w:tblGrid>
      <w:tr w14:paraId="5627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07" w:type="dxa"/>
            <w:vAlign w:val="top"/>
          </w:tcPr>
          <w:p w14:paraId="51CD14B5">
            <w:pPr>
              <w:pStyle w:val="12"/>
              <w:spacing w:before="285" w:line="188" w:lineRule="auto"/>
              <w:ind w:left="147"/>
              <w:rPr>
                <w:color w:val="auto"/>
                <w:highlight w:val="none"/>
              </w:rPr>
            </w:pPr>
            <w:r>
              <w:rPr>
                <w:color w:val="auto"/>
                <w:spacing w:val="-5"/>
                <w:w w:val="99"/>
                <w:highlight w:val="none"/>
              </w:rPr>
              <w:t>序号</w:t>
            </w:r>
          </w:p>
        </w:tc>
        <w:tc>
          <w:tcPr>
            <w:tcW w:w="1105" w:type="dxa"/>
            <w:vAlign w:val="top"/>
          </w:tcPr>
          <w:p w14:paraId="2CF1F71C">
            <w:pPr>
              <w:pStyle w:val="12"/>
              <w:spacing w:before="284" w:line="188" w:lineRule="auto"/>
              <w:ind w:left="135"/>
              <w:rPr>
                <w:color w:val="auto"/>
                <w:highlight w:val="none"/>
              </w:rPr>
            </w:pPr>
            <w:r>
              <w:rPr>
                <w:color w:val="auto"/>
                <w:spacing w:val="-3"/>
                <w:highlight w:val="none"/>
              </w:rPr>
              <w:t>货物名称</w:t>
            </w:r>
          </w:p>
        </w:tc>
        <w:tc>
          <w:tcPr>
            <w:tcW w:w="1180" w:type="dxa"/>
            <w:vAlign w:val="top"/>
          </w:tcPr>
          <w:p w14:paraId="6963B40E">
            <w:pPr>
              <w:pStyle w:val="12"/>
              <w:spacing w:before="285" w:line="188" w:lineRule="auto"/>
              <w:ind w:left="172"/>
              <w:rPr>
                <w:color w:val="auto"/>
                <w:highlight w:val="none"/>
              </w:rPr>
            </w:pPr>
            <w:r>
              <w:rPr>
                <w:color w:val="auto"/>
                <w:spacing w:val="-2"/>
                <w:highlight w:val="none"/>
              </w:rPr>
              <w:t>产品规格</w:t>
            </w:r>
          </w:p>
        </w:tc>
        <w:tc>
          <w:tcPr>
            <w:tcW w:w="1258" w:type="dxa"/>
            <w:vAlign w:val="top"/>
          </w:tcPr>
          <w:p w14:paraId="48A0C5C9">
            <w:pPr>
              <w:pStyle w:val="12"/>
              <w:spacing w:before="284" w:line="187" w:lineRule="auto"/>
              <w:ind w:left="424"/>
              <w:rPr>
                <w:color w:val="auto"/>
                <w:highlight w:val="none"/>
              </w:rPr>
            </w:pPr>
            <w:r>
              <w:rPr>
                <w:color w:val="auto"/>
                <w:spacing w:val="-3"/>
                <w:w w:val="99"/>
                <w:highlight w:val="none"/>
              </w:rPr>
              <w:t>数量</w:t>
            </w:r>
          </w:p>
        </w:tc>
        <w:tc>
          <w:tcPr>
            <w:tcW w:w="1427" w:type="dxa"/>
            <w:vAlign w:val="top"/>
          </w:tcPr>
          <w:p w14:paraId="41FE1FEC">
            <w:pPr>
              <w:pStyle w:val="12"/>
              <w:spacing w:before="284" w:line="189" w:lineRule="auto"/>
              <w:ind w:left="515"/>
              <w:rPr>
                <w:color w:val="auto"/>
                <w:highlight w:val="none"/>
              </w:rPr>
            </w:pPr>
            <w:r>
              <w:rPr>
                <w:color w:val="auto"/>
                <w:spacing w:val="-5"/>
                <w:w w:val="98"/>
                <w:highlight w:val="none"/>
              </w:rPr>
              <w:t>单位</w:t>
            </w:r>
          </w:p>
        </w:tc>
        <w:tc>
          <w:tcPr>
            <w:tcW w:w="1019" w:type="dxa"/>
            <w:vAlign w:val="top"/>
          </w:tcPr>
          <w:p w14:paraId="074C7B6C">
            <w:pPr>
              <w:pStyle w:val="12"/>
              <w:spacing w:before="284" w:line="188" w:lineRule="auto"/>
              <w:ind w:left="312"/>
              <w:rPr>
                <w:color w:val="auto"/>
                <w:highlight w:val="none"/>
              </w:rPr>
            </w:pPr>
            <w:r>
              <w:rPr>
                <w:color w:val="auto"/>
                <w:spacing w:val="-5"/>
                <w:w w:val="98"/>
                <w:highlight w:val="none"/>
              </w:rPr>
              <w:t>单价</w:t>
            </w:r>
          </w:p>
        </w:tc>
        <w:tc>
          <w:tcPr>
            <w:tcW w:w="809" w:type="dxa"/>
            <w:vAlign w:val="top"/>
          </w:tcPr>
          <w:p w14:paraId="6159BE4B">
            <w:pPr>
              <w:pStyle w:val="12"/>
              <w:spacing w:before="284" w:line="188" w:lineRule="auto"/>
              <w:ind w:left="213"/>
              <w:rPr>
                <w:color w:val="auto"/>
                <w:highlight w:val="none"/>
              </w:rPr>
            </w:pPr>
            <w:r>
              <w:rPr>
                <w:color w:val="auto"/>
                <w:spacing w:val="-4"/>
                <w:w w:val="97"/>
                <w:highlight w:val="none"/>
              </w:rPr>
              <w:t>总价</w:t>
            </w:r>
          </w:p>
        </w:tc>
        <w:tc>
          <w:tcPr>
            <w:tcW w:w="859" w:type="dxa"/>
            <w:vAlign w:val="top"/>
          </w:tcPr>
          <w:p w14:paraId="3C4DFBF1">
            <w:pPr>
              <w:pStyle w:val="12"/>
              <w:spacing w:before="284" w:line="190" w:lineRule="auto"/>
              <w:ind w:left="229"/>
              <w:rPr>
                <w:color w:val="auto"/>
                <w:highlight w:val="none"/>
              </w:rPr>
            </w:pPr>
            <w:r>
              <w:rPr>
                <w:color w:val="auto"/>
                <w:spacing w:val="-2"/>
                <w:w w:val="98"/>
                <w:highlight w:val="none"/>
              </w:rPr>
              <w:t>备注</w:t>
            </w:r>
          </w:p>
        </w:tc>
      </w:tr>
      <w:tr w14:paraId="14C79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07" w:type="dxa"/>
            <w:vAlign w:val="top"/>
          </w:tcPr>
          <w:p w14:paraId="28CBBD3A">
            <w:pPr>
              <w:pStyle w:val="12"/>
              <w:spacing w:before="153" w:line="159" w:lineRule="auto"/>
              <w:ind w:left="125"/>
              <w:rPr>
                <w:color w:val="auto"/>
                <w:highlight w:val="none"/>
              </w:rPr>
            </w:pPr>
            <w:r>
              <w:rPr>
                <w:color w:val="auto"/>
                <w:spacing w:val="7"/>
                <w:highlight w:val="none"/>
              </w:rPr>
              <w:t>1.</w:t>
            </w:r>
          </w:p>
        </w:tc>
        <w:tc>
          <w:tcPr>
            <w:tcW w:w="1105" w:type="dxa"/>
            <w:vAlign w:val="top"/>
          </w:tcPr>
          <w:p w14:paraId="480EE9D7">
            <w:pPr>
              <w:rPr>
                <w:rFonts w:ascii="Arial"/>
                <w:color w:val="auto"/>
                <w:sz w:val="21"/>
                <w:highlight w:val="none"/>
              </w:rPr>
            </w:pPr>
          </w:p>
        </w:tc>
        <w:tc>
          <w:tcPr>
            <w:tcW w:w="1180" w:type="dxa"/>
            <w:vAlign w:val="top"/>
          </w:tcPr>
          <w:p w14:paraId="7C4A8CC4">
            <w:pPr>
              <w:rPr>
                <w:rFonts w:ascii="Arial"/>
                <w:color w:val="auto"/>
                <w:sz w:val="21"/>
                <w:highlight w:val="none"/>
              </w:rPr>
            </w:pPr>
          </w:p>
        </w:tc>
        <w:tc>
          <w:tcPr>
            <w:tcW w:w="1258" w:type="dxa"/>
            <w:vAlign w:val="top"/>
          </w:tcPr>
          <w:p w14:paraId="174CAFE9">
            <w:pPr>
              <w:rPr>
                <w:rFonts w:ascii="Arial"/>
                <w:color w:val="auto"/>
                <w:sz w:val="21"/>
                <w:highlight w:val="none"/>
              </w:rPr>
            </w:pPr>
          </w:p>
        </w:tc>
        <w:tc>
          <w:tcPr>
            <w:tcW w:w="1427" w:type="dxa"/>
            <w:vAlign w:val="top"/>
          </w:tcPr>
          <w:p w14:paraId="4DDD6566">
            <w:pPr>
              <w:rPr>
                <w:rFonts w:ascii="Arial"/>
                <w:color w:val="auto"/>
                <w:sz w:val="21"/>
                <w:highlight w:val="none"/>
              </w:rPr>
            </w:pPr>
          </w:p>
        </w:tc>
        <w:tc>
          <w:tcPr>
            <w:tcW w:w="1019" w:type="dxa"/>
            <w:vAlign w:val="top"/>
          </w:tcPr>
          <w:p w14:paraId="54A0A09A">
            <w:pPr>
              <w:rPr>
                <w:rFonts w:ascii="Arial"/>
                <w:color w:val="auto"/>
                <w:sz w:val="21"/>
                <w:highlight w:val="none"/>
              </w:rPr>
            </w:pPr>
          </w:p>
        </w:tc>
        <w:tc>
          <w:tcPr>
            <w:tcW w:w="809" w:type="dxa"/>
            <w:vAlign w:val="top"/>
          </w:tcPr>
          <w:p w14:paraId="2CE619F4">
            <w:pPr>
              <w:rPr>
                <w:rFonts w:ascii="Arial"/>
                <w:color w:val="auto"/>
                <w:sz w:val="21"/>
                <w:highlight w:val="none"/>
              </w:rPr>
            </w:pPr>
          </w:p>
        </w:tc>
        <w:tc>
          <w:tcPr>
            <w:tcW w:w="859" w:type="dxa"/>
            <w:vAlign w:val="top"/>
          </w:tcPr>
          <w:p w14:paraId="4ED0C39D">
            <w:pPr>
              <w:rPr>
                <w:rFonts w:ascii="Arial"/>
                <w:color w:val="auto"/>
                <w:sz w:val="21"/>
                <w:highlight w:val="none"/>
              </w:rPr>
            </w:pPr>
          </w:p>
        </w:tc>
      </w:tr>
      <w:tr w14:paraId="610F6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07" w:type="dxa"/>
            <w:vAlign w:val="top"/>
          </w:tcPr>
          <w:p w14:paraId="364B68E8">
            <w:pPr>
              <w:pStyle w:val="12"/>
              <w:spacing w:before="189" w:line="159" w:lineRule="auto"/>
              <w:ind w:left="112"/>
              <w:rPr>
                <w:color w:val="auto"/>
                <w:highlight w:val="none"/>
              </w:rPr>
            </w:pPr>
            <w:r>
              <w:rPr>
                <w:color w:val="auto"/>
                <w:spacing w:val="14"/>
                <w:highlight w:val="none"/>
              </w:rPr>
              <w:t>2.</w:t>
            </w:r>
          </w:p>
        </w:tc>
        <w:tc>
          <w:tcPr>
            <w:tcW w:w="1105" w:type="dxa"/>
            <w:vAlign w:val="top"/>
          </w:tcPr>
          <w:p w14:paraId="290AD324">
            <w:pPr>
              <w:rPr>
                <w:rFonts w:ascii="Arial"/>
                <w:color w:val="auto"/>
                <w:sz w:val="21"/>
                <w:highlight w:val="none"/>
              </w:rPr>
            </w:pPr>
          </w:p>
        </w:tc>
        <w:tc>
          <w:tcPr>
            <w:tcW w:w="1180" w:type="dxa"/>
            <w:vAlign w:val="top"/>
          </w:tcPr>
          <w:p w14:paraId="7C6E0B71">
            <w:pPr>
              <w:rPr>
                <w:rFonts w:ascii="Arial"/>
                <w:color w:val="auto"/>
                <w:sz w:val="21"/>
                <w:highlight w:val="none"/>
              </w:rPr>
            </w:pPr>
          </w:p>
        </w:tc>
        <w:tc>
          <w:tcPr>
            <w:tcW w:w="1258" w:type="dxa"/>
            <w:vAlign w:val="top"/>
          </w:tcPr>
          <w:p w14:paraId="1C6A1F6B">
            <w:pPr>
              <w:rPr>
                <w:rFonts w:ascii="Arial"/>
                <w:color w:val="auto"/>
                <w:sz w:val="21"/>
                <w:highlight w:val="none"/>
              </w:rPr>
            </w:pPr>
          </w:p>
        </w:tc>
        <w:tc>
          <w:tcPr>
            <w:tcW w:w="1427" w:type="dxa"/>
            <w:vAlign w:val="top"/>
          </w:tcPr>
          <w:p w14:paraId="2D8F430B">
            <w:pPr>
              <w:rPr>
                <w:rFonts w:ascii="Arial"/>
                <w:color w:val="auto"/>
                <w:sz w:val="21"/>
                <w:highlight w:val="none"/>
              </w:rPr>
            </w:pPr>
          </w:p>
        </w:tc>
        <w:tc>
          <w:tcPr>
            <w:tcW w:w="1019" w:type="dxa"/>
            <w:vAlign w:val="top"/>
          </w:tcPr>
          <w:p w14:paraId="1AC14AB2">
            <w:pPr>
              <w:rPr>
                <w:rFonts w:ascii="Arial"/>
                <w:color w:val="auto"/>
                <w:sz w:val="21"/>
                <w:highlight w:val="none"/>
              </w:rPr>
            </w:pPr>
          </w:p>
        </w:tc>
        <w:tc>
          <w:tcPr>
            <w:tcW w:w="809" w:type="dxa"/>
            <w:vAlign w:val="top"/>
          </w:tcPr>
          <w:p w14:paraId="1D70E070">
            <w:pPr>
              <w:rPr>
                <w:rFonts w:ascii="Arial"/>
                <w:color w:val="auto"/>
                <w:sz w:val="21"/>
                <w:highlight w:val="none"/>
              </w:rPr>
            </w:pPr>
          </w:p>
        </w:tc>
        <w:tc>
          <w:tcPr>
            <w:tcW w:w="859" w:type="dxa"/>
            <w:vAlign w:val="top"/>
          </w:tcPr>
          <w:p w14:paraId="05D0B78D">
            <w:pPr>
              <w:rPr>
                <w:rFonts w:ascii="Arial"/>
                <w:color w:val="auto"/>
                <w:sz w:val="21"/>
                <w:highlight w:val="none"/>
              </w:rPr>
            </w:pPr>
          </w:p>
        </w:tc>
      </w:tr>
      <w:tr w14:paraId="173F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07" w:type="dxa"/>
            <w:vAlign w:val="top"/>
          </w:tcPr>
          <w:p w14:paraId="0D397837">
            <w:pPr>
              <w:pStyle w:val="12"/>
              <w:spacing w:before="190" w:line="159" w:lineRule="auto"/>
              <w:ind w:left="114"/>
              <w:rPr>
                <w:color w:val="auto"/>
                <w:highlight w:val="none"/>
              </w:rPr>
            </w:pPr>
            <w:r>
              <w:rPr>
                <w:color w:val="auto"/>
                <w:spacing w:val="13"/>
                <w:highlight w:val="none"/>
              </w:rPr>
              <w:t>3.</w:t>
            </w:r>
          </w:p>
        </w:tc>
        <w:tc>
          <w:tcPr>
            <w:tcW w:w="1105" w:type="dxa"/>
            <w:vAlign w:val="top"/>
          </w:tcPr>
          <w:p w14:paraId="0BF855C2">
            <w:pPr>
              <w:rPr>
                <w:rFonts w:ascii="Arial"/>
                <w:color w:val="auto"/>
                <w:sz w:val="21"/>
                <w:highlight w:val="none"/>
              </w:rPr>
            </w:pPr>
          </w:p>
        </w:tc>
        <w:tc>
          <w:tcPr>
            <w:tcW w:w="1180" w:type="dxa"/>
            <w:vAlign w:val="top"/>
          </w:tcPr>
          <w:p w14:paraId="60302252">
            <w:pPr>
              <w:rPr>
                <w:rFonts w:ascii="Arial"/>
                <w:color w:val="auto"/>
                <w:sz w:val="21"/>
                <w:highlight w:val="none"/>
              </w:rPr>
            </w:pPr>
          </w:p>
        </w:tc>
        <w:tc>
          <w:tcPr>
            <w:tcW w:w="1258" w:type="dxa"/>
            <w:vAlign w:val="top"/>
          </w:tcPr>
          <w:p w14:paraId="67C72DE7">
            <w:pPr>
              <w:rPr>
                <w:rFonts w:ascii="Arial"/>
                <w:color w:val="auto"/>
                <w:sz w:val="21"/>
                <w:highlight w:val="none"/>
              </w:rPr>
            </w:pPr>
          </w:p>
        </w:tc>
        <w:tc>
          <w:tcPr>
            <w:tcW w:w="1427" w:type="dxa"/>
            <w:vAlign w:val="top"/>
          </w:tcPr>
          <w:p w14:paraId="24C2113F">
            <w:pPr>
              <w:rPr>
                <w:rFonts w:ascii="Arial"/>
                <w:color w:val="auto"/>
                <w:sz w:val="21"/>
                <w:highlight w:val="none"/>
              </w:rPr>
            </w:pPr>
          </w:p>
        </w:tc>
        <w:tc>
          <w:tcPr>
            <w:tcW w:w="1019" w:type="dxa"/>
            <w:vAlign w:val="top"/>
          </w:tcPr>
          <w:p w14:paraId="70DD7A0B">
            <w:pPr>
              <w:rPr>
                <w:rFonts w:ascii="Arial"/>
                <w:color w:val="auto"/>
                <w:sz w:val="21"/>
                <w:highlight w:val="none"/>
              </w:rPr>
            </w:pPr>
          </w:p>
        </w:tc>
        <w:tc>
          <w:tcPr>
            <w:tcW w:w="809" w:type="dxa"/>
            <w:vAlign w:val="top"/>
          </w:tcPr>
          <w:p w14:paraId="0A45ADE8">
            <w:pPr>
              <w:rPr>
                <w:rFonts w:ascii="Arial"/>
                <w:color w:val="auto"/>
                <w:sz w:val="21"/>
                <w:highlight w:val="none"/>
              </w:rPr>
            </w:pPr>
          </w:p>
        </w:tc>
        <w:tc>
          <w:tcPr>
            <w:tcW w:w="859" w:type="dxa"/>
            <w:vAlign w:val="top"/>
          </w:tcPr>
          <w:p w14:paraId="462A2AD7">
            <w:pPr>
              <w:rPr>
                <w:rFonts w:ascii="Arial"/>
                <w:color w:val="auto"/>
                <w:sz w:val="21"/>
                <w:highlight w:val="none"/>
              </w:rPr>
            </w:pPr>
          </w:p>
        </w:tc>
      </w:tr>
      <w:tr w14:paraId="21978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07" w:type="dxa"/>
            <w:vAlign w:val="top"/>
          </w:tcPr>
          <w:p w14:paraId="3EFEC0E0">
            <w:pPr>
              <w:pStyle w:val="12"/>
              <w:spacing w:before="192" w:line="159" w:lineRule="auto"/>
              <w:ind w:left="109"/>
              <w:rPr>
                <w:color w:val="auto"/>
                <w:highlight w:val="none"/>
              </w:rPr>
            </w:pPr>
            <w:r>
              <w:rPr>
                <w:color w:val="auto"/>
                <w:spacing w:val="15"/>
                <w:highlight w:val="none"/>
              </w:rPr>
              <w:t>4.</w:t>
            </w:r>
          </w:p>
        </w:tc>
        <w:tc>
          <w:tcPr>
            <w:tcW w:w="1105" w:type="dxa"/>
            <w:vAlign w:val="top"/>
          </w:tcPr>
          <w:p w14:paraId="6582864C">
            <w:pPr>
              <w:rPr>
                <w:rFonts w:ascii="Arial"/>
                <w:color w:val="auto"/>
                <w:sz w:val="21"/>
                <w:highlight w:val="none"/>
              </w:rPr>
            </w:pPr>
          </w:p>
        </w:tc>
        <w:tc>
          <w:tcPr>
            <w:tcW w:w="1180" w:type="dxa"/>
            <w:vAlign w:val="top"/>
          </w:tcPr>
          <w:p w14:paraId="49CFE2B9">
            <w:pPr>
              <w:rPr>
                <w:rFonts w:ascii="Arial"/>
                <w:color w:val="auto"/>
                <w:sz w:val="21"/>
                <w:highlight w:val="none"/>
              </w:rPr>
            </w:pPr>
          </w:p>
        </w:tc>
        <w:tc>
          <w:tcPr>
            <w:tcW w:w="1258" w:type="dxa"/>
            <w:vAlign w:val="top"/>
          </w:tcPr>
          <w:p w14:paraId="743D31C8">
            <w:pPr>
              <w:rPr>
                <w:rFonts w:ascii="Arial"/>
                <w:color w:val="auto"/>
                <w:sz w:val="21"/>
                <w:highlight w:val="none"/>
              </w:rPr>
            </w:pPr>
          </w:p>
        </w:tc>
        <w:tc>
          <w:tcPr>
            <w:tcW w:w="1427" w:type="dxa"/>
            <w:vAlign w:val="top"/>
          </w:tcPr>
          <w:p w14:paraId="0A047349">
            <w:pPr>
              <w:rPr>
                <w:rFonts w:ascii="Arial"/>
                <w:color w:val="auto"/>
                <w:sz w:val="21"/>
                <w:highlight w:val="none"/>
              </w:rPr>
            </w:pPr>
          </w:p>
        </w:tc>
        <w:tc>
          <w:tcPr>
            <w:tcW w:w="1019" w:type="dxa"/>
            <w:vAlign w:val="top"/>
          </w:tcPr>
          <w:p w14:paraId="2DD23A8D">
            <w:pPr>
              <w:rPr>
                <w:rFonts w:ascii="Arial"/>
                <w:color w:val="auto"/>
                <w:sz w:val="21"/>
                <w:highlight w:val="none"/>
              </w:rPr>
            </w:pPr>
          </w:p>
        </w:tc>
        <w:tc>
          <w:tcPr>
            <w:tcW w:w="809" w:type="dxa"/>
            <w:vAlign w:val="top"/>
          </w:tcPr>
          <w:p w14:paraId="3FAE6902">
            <w:pPr>
              <w:rPr>
                <w:rFonts w:ascii="Arial"/>
                <w:color w:val="auto"/>
                <w:sz w:val="21"/>
                <w:highlight w:val="none"/>
              </w:rPr>
            </w:pPr>
          </w:p>
        </w:tc>
        <w:tc>
          <w:tcPr>
            <w:tcW w:w="859" w:type="dxa"/>
            <w:vAlign w:val="top"/>
          </w:tcPr>
          <w:p w14:paraId="524A0027">
            <w:pPr>
              <w:rPr>
                <w:rFonts w:ascii="Arial"/>
                <w:color w:val="auto"/>
                <w:sz w:val="21"/>
                <w:highlight w:val="none"/>
              </w:rPr>
            </w:pPr>
          </w:p>
        </w:tc>
      </w:tr>
      <w:tr w14:paraId="4A8F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707" w:type="dxa"/>
            <w:vAlign w:val="top"/>
          </w:tcPr>
          <w:p w14:paraId="73CD2CE1">
            <w:pPr>
              <w:pStyle w:val="12"/>
              <w:spacing w:before="202" w:line="157" w:lineRule="auto"/>
              <w:ind w:left="114"/>
              <w:rPr>
                <w:color w:val="auto"/>
                <w:highlight w:val="none"/>
              </w:rPr>
            </w:pPr>
            <w:r>
              <w:rPr>
                <w:color w:val="auto"/>
                <w:spacing w:val="13"/>
                <w:highlight w:val="none"/>
              </w:rPr>
              <w:t>5.</w:t>
            </w:r>
          </w:p>
        </w:tc>
        <w:tc>
          <w:tcPr>
            <w:tcW w:w="1105" w:type="dxa"/>
            <w:vAlign w:val="top"/>
          </w:tcPr>
          <w:p w14:paraId="37DDDC79">
            <w:pPr>
              <w:rPr>
                <w:rFonts w:ascii="Arial"/>
                <w:color w:val="auto"/>
                <w:sz w:val="21"/>
                <w:highlight w:val="none"/>
              </w:rPr>
            </w:pPr>
          </w:p>
        </w:tc>
        <w:tc>
          <w:tcPr>
            <w:tcW w:w="1180" w:type="dxa"/>
            <w:vAlign w:val="top"/>
          </w:tcPr>
          <w:p w14:paraId="1ADC5E68">
            <w:pPr>
              <w:rPr>
                <w:rFonts w:ascii="Arial"/>
                <w:color w:val="auto"/>
                <w:sz w:val="21"/>
                <w:highlight w:val="none"/>
              </w:rPr>
            </w:pPr>
          </w:p>
        </w:tc>
        <w:tc>
          <w:tcPr>
            <w:tcW w:w="1258" w:type="dxa"/>
            <w:vAlign w:val="top"/>
          </w:tcPr>
          <w:p w14:paraId="3043176E">
            <w:pPr>
              <w:rPr>
                <w:rFonts w:ascii="Arial"/>
                <w:color w:val="auto"/>
                <w:sz w:val="21"/>
                <w:highlight w:val="none"/>
              </w:rPr>
            </w:pPr>
          </w:p>
        </w:tc>
        <w:tc>
          <w:tcPr>
            <w:tcW w:w="1427" w:type="dxa"/>
            <w:vAlign w:val="top"/>
          </w:tcPr>
          <w:p w14:paraId="1CE4D194">
            <w:pPr>
              <w:rPr>
                <w:rFonts w:ascii="Arial"/>
                <w:color w:val="auto"/>
                <w:sz w:val="21"/>
                <w:highlight w:val="none"/>
              </w:rPr>
            </w:pPr>
          </w:p>
        </w:tc>
        <w:tc>
          <w:tcPr>
            <w:tcW w:w="1019" w:type="dxa"/>
            <w:vAlign w:val="top"/>
          </w:tcPr>
          <w:p w14:paraId="53E67E58">
            <w:pPr>
              <w:rPr>
                <w:rFonts w:ascii="Arial"/>
                <w:color w:val="auto"/>
                <w:sz w:val="21"/>
                <w:highlight w:val="none"/>
              </w:rPr>
            </w:pPr>
          </w:p>
        </w:tc>
        <w:tc>
          <w:tcPr>
            <w:tcW w:w="809" w:type="dxa"/>
            <w:vAlign w:val="top"/>
          </w:tcPr>
          <w:p w14:paraId="0765A43C">
            <w:pPr>
              <w:rPr>
                <w:rFonts w:ascii="Arial"/>
                <w:color w:val="auto"/>
                <w:sz w:val="21"/>
                <w:highlight w:val="none"/>
              </w:rPr>
            </w:pPr>
          </w:p>
        </w:tc>
        <w:tc>
          <w:tcPr>
            <w:tcW w:w="859" w:type="dxa"/>
            <w:vAlign w:val="top"/>
          </w:tcPr>
          <w:p w14:paraId="797A2366">
            <w:pPr>
              <w:rPr>
                <w:rFonts w:ascii="Arial"/>
                <w:color w:val="auto"/>
                <w:sz w:val="21"/>
                <w:highlight w:val="none"/>
              </w:rPr>
            </w:pPr>
          </w:p>
        </w:tc>
      </w:tr>
      <w:tr w14:paraId="37804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07" w:type="dxa"/>
            <w:vAlign w:val="top"/>
          </w:tcPr>
          <w:p w14:paraId="322590ED">
            <w:pPr>
              <w:pStyle w:val="12"/>
              <w:spacing w:before="195" w:line="159" w:lineRule="auto"/>
              <w:ind w:left="112"/>
              <w:rPr>
                <w:color w:val="auto"/>
                <w:highlight w:val="none"/>
              </w:rPr>
            </w:pPr>
            <w:r>
              <w:rPr>
                <w:color w:val="auto"/>
                <w:spacing w:val="14"/>
                <w:highlight w:val="none"/>
              </w:rPr>
              <w:t>6.</w:t>
            </w:r>
          </w:p>
        </w:tc>
        <w:tc>
          <w:tcPr>
            <w:tcW w:w="1105" w:type="dxa"/>
            <w:vAlign w:val="top"/>
          </w:tcPr>
          <w:p w14:paraId="26B95BEF">
            <w:pPr>
              <w:rPr>
                <w:rFonts w:ascii="Arial"/>
                <w:color w:val="auto"/>
                <w:sz w:val="21"/>
                <w:highlight w:val="none"/>
              </w:rPr>
            </w:pPr>
          </w:p>
        </w:tc>
        <w:tc>
          <w:tcPr>
            <w:tcW w:w="1180" w:type="dxa"/>
            <w:vAlign w:val="top"/>
          </w:tcPr>
          <w:p w14:paraId="38D8E088">
            <w:pPr>
              <w:rPr>
                <w:rFonts w:ascii="Arial"/>
                <w:color w:val="auto"/>
                <w:sz w:val="21"/>
                <w:highlight w:val="none"/>
              </w:rPr>
            </w:pPr>
          </w:p>
        </w:tc>
        <w:tc>
          <w:tcPr>
            <w:tcW w:w="1258" w:type="dxa"/>
            <w:vAlign w:val="top"/>
          </w:tcPr>
          <w:p w14:paraId="465DAA5C">
            <w:pPr>
              <w:rPr>
                <w:rFonts w:ascii="Arial"/>
                <w:color w:val="auto"/>
                <w:sz w:val="21"/>
                <w:highlight w:val="none"/>
              </w:rPr>
            </w:pPr>
          </w:p>
        </w:tc>
        <w:tc>
          <w:tcPr>
            <w:tcW w:w="1427" w:type="dxa"/>
            <w:vAlign w:val="top"/>
          </w:tcPr>
          <w:p w14:paraId="5110970C">
            <w:pPr>
              <w:rPr>
                <w:rFonts w:ascii="Arial"/>
                <w:color w:val="auto"/>
                <w:sz w:val="21"/>
                <w:highlight w:val="none"/>
              </w:rPr>
            </w:pPr>
          </w:p>
        </w:tc>
        <w:tc>
          <w:tcPr>
            <w:tcW w:w="1019" w:type="dxa"/>
            <w:vAlign w:val="top"/>
          </w:tcPr>
          <w:p w14:paraId="55326C51">
            <w:pPr>
              <w:rPr>
                <w:rFonts w:ascii="Arial"/>
                <w:color w:val="auto"/>
                <w:sz w:val="21"/>
                <w:highlight w:val="none"/>
              </w:rPr>
            </w:pPr>
          </w:p>
        </w:tc>
        <w:tc>
          <w:tcPr>
            <w:tcW w:w="809" w:type="dxa"/>
            <w:vAlign w:val="top"/>
          </w:tcPr>
          <w:p w14:paraId="357A00D4">
            <w:pPr>
              <w:rPr>
                <w:rFonts w:ascii="Arial"/>
                <w:color w:val="auto"/>
                <w:sz w:val="21"/>
                <w:highlight w:val="none"/>
              </w:rPr>
            </w:pPr>
          </w:p>
        </w:tc>
        <w:tc>
          <w:tcPr>
            <w:tcW w:w="859" w:type="dxa"/>
            <w:vAlign w:val="top"/>
          </w:tcPr>
          <w:p w14:paraId="433CE144">
            <w:pPr>
              <w:rPr>
                <w:rFonts w:ascii="Arial"/>
                <w:color w:val="auto"/>
                <w:sz w:val="21"/>
                <w:highlight w:val="none"/>
              </w:rPr>
            </w:pPr>
          </w:p>
        </w:tc>
      </w:tr>
    </w:tbl>
    <w:p w14:paraId="05535775">
      <w:pPr>
        <w:pStyle w:val="6"/>
        <w:spacing w:line="291" w:lineRule="auto"/>
        <w:rPr>
          <w:color w:val="auto"/>
          <w:highlight w:val="none"/>
        </w:rPr>
      </w:pPr>
    </w:p>
    <w:p w14:paraId="3C195BB3">
      <w:pPr>
        <w:spacing w:before="91" w:line="213" w:lineRule="auto"/>
        <w:ind w:left="592" w:right="1491"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4C3731A5">
      <w:pPr>
        <w:pStyle w:val="6"/>
        <w:spacing w:line="244" w:lineRule="auto"/>
        <w:rPr>
          <w:color w:val="auto"/>
          <w:highlight w:val="none"/>
        </w:rPr>
      </w:pPr>
    </w:p>
    <w:p w14:paraId="44BC0E68">
      <w:pPr>
        <w:spacing w:before="90" w:line="188" w:lineRule="auto"/>
        <w:ind w:left="5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注:1.如果按单价计算的结果与总价不一致,以</w:t>
      </w:r>
      <w:r>
        <w:rPr>
          <w:rFonts w:ascii="微软雅黑" w:hAnsi="微软雅黑" w:eastAsia="微软雅黑" w:cs="微软雅黑"/>
          <w:color w:val="auto"/>
          <w:spacing w:val="6"/>
          <w:sz w:val="21"/>
          <w:szCs w:val="21"/>
          <w:highlight w:val="none"/>
        </w:rPr>
        <w:t>单价为准修正总价。</w:t>
      </w:r>
    </w:p>
    <w:p w14:paraId="77784CE8">
      <w:pPr>
        <w:spacing w:before="43" w:line="213" w:lineRule="auto"/>
        <w:ind w:left="1139" w:right="19" w:hanging="23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2.如果开标一览表（报价表）</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1"/>
          <w:sz w:val="21"/>
          <w:szCs w:val="21"/>
          <w:highlight w:val="none"/>
        </w:rPr>
        <w:t>内容与投标文件中明细表内容不一致的，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以开标一</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览表（报价表）</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3"/>
          <w:sz w:val="21"/>
          <w:szCs w:val="21"/>
          <w:highlight w:val="none"/>
        </w:rPr>
        <w:t>内容为准。</w:t>
      </w:r>
    </w:p>
    <w:p w14:paraId="6190E63D">
      <w:pPr>
        <w:pStyle w:val="6"/>
        <w:spacing w:line="245" w:lineRule="auto"/>
        <w:rPr>
          <w:color w:val="auto"/>
          <w:highlight w:val="none"/>
        </w:rPr>
      </w:pPr>
    </w:p>
    <w:p w14:paraId="1367C8C7">
      <w:pPr>
        <w:pStyle w:val="6"/>
        <w:spacing w:line="245" w:lineRule="auto"/>
        <w:rPr>
          <w:color w:val="auto"/>
          <w:highlight w:val="none"/>
        </w:rPr>
      </w:pPr>
    </w:p>
    <w:p w14:paraId="229B66E6">
      <w:pPr>
        <w:pStyle w:val="6"/>
        <w:spacing w:line="245" w:lineRule="auto"/>
        <w:rPr>
          <w:color w:val="auto"/>
          <w:highlight w:val="none"/>
        </w:rPr>
      </w:pPr>
    </w:p>
    <w:p w14:paraId="50CA83BC">
      <w:pPr>
        <w:pStyle w:val="6"/>
        <w:spacing w:line="245" w:lineRule="auto"/>
        <w:rPr>
          <w:color w:val="auto"/>
          <w:highlight w:val="none"/>
        </w:rPr>
      </w:pPr>
    </w:p>
    <w:p w14:paraId="4D0C5FF0">
      <w:pPr>
        <w:pStyle w:val="6"/>
        <w:spacing w:line="245" w:lineRule="auto"/>
        <w:rPr>
          <w:color w:val="auto"/>
          <w:highlight w:val="none"/>
        </w:rPr>
      </w:pPr>
    </w:p>
    <w:p w14:paraId="2EC5DF8F">
      <w:pPr>
        <w:pStyle w:val="6"/>
        <w:spacing w:line="245" w:lineRule="auto"/>
        <w:rPr>
          <w:color w:val="auto"/>
          <w:highlight w:val="none"/>
        </w:rPr>
      </w:pPr>
    </w:p>
    <w:p w14:paraId="3A9D7C6D">
      <w:pPr>
        <w:pStyle w:val="6"/>
        <w:spacing w:line="245" w:lineRule="auto"/>
        <w:rPr>
          <w:color w:val="auto"/>
          <w:highlight w:val="none"/>
        </w:rPr>
      </w:pPr>
    </w:p>
    <w:p w14:paraId="43AF9308">
      <w:pPr>
        <w:pStyle w:val="6"/>
        <w:spacing w:line="245" w:lineRule="auto"/>
        <w:rPr>
          <w:color w:val="auto"/>
          <w:highlight w:val="none"/>
        </w:rPr>
      </w:pPr>
    </w:p>
    <w:p w14:paraId="7410D025">
      <w:pPr>
        <w:pStyle w:val="6"/>
        <w:spacing w:line="245" w:lineRule="auto"/>
        <w:rPr>
          <w:color w:val="auto"/>
          <w:highlight w:val="none"/>
        </w:rPr>
      </w:pPr>
    </w:p>
    <w:p w14:paraId="2E28D9AF">
      <w:pPr>
        <w:pStyle w:val="6"/>
        <w:spacing w:line="245" w:lineRule="auto"/>
        <w:rPr>
          <w:color w:val="auto"/>
          <w:highlight w:val="none"/>
        </w:rPr>
      </w:pPr>
    </w:p>
    <w:p w14:paraId="4BABCFCC">
      <w:pPr>
        <w:pStyle w:val="6"/>
        <w:spacing w:line="245" w:lineRule="auto"/>
        <w:rPr>
          <w:color w:val="auto"/>
          <w:highlight w:val="none"/>
        </w:rPr>
      </w:pPr>
    </w:p>
    <w:p w14:paraId="1D3BAA7F">
      <w:pPr>
        <w:pStyle w:val="6"/>
        <w:spacing w:line="245" w:lineRule="auto"/>
        <w:rPr>
          <w:color w:val="auto"/>
          <w:highlight w:val="none"/>
        </w:rPr>
      </w:pPr>
    </w:p>
    <w:p w14:paraId="3176A18A">
      <w:pPr>
        <w:pStyle w:val="6"/>
        <w:spacing w:line="245" w:lineRule="auto"/>
        <w:rPr>
          <w:color w:val="auto"/>
          <w:highlight w:val="none"/>
        </w:rPr>
      </w:pPr>
    </w:p>
    <w:p w14:paraId="5F84F5D1">
      <w:pPr>
        <w:pStyle w:val="6"/>
        <w:spacing w:line="245" w:lineRule="auto"/>
        <w:rPr>
          <w:color w:val="auto"/>
          <w:highlight w:val="none"/>
        </w:rPr>
      </w:pPr>
    </w:p>
    <w:p w14:paraId="3F2A04D6">
      <w:pPr>
        <w:pStyle w:val="6"/>
        <w:spacing w:line="245" w:lineRule="auto"/>
        <w:rPr>
          <w:color w:val="auto"/>
          <w:highlight w:val="none"/>
        </w:rPr>
      </w:pPr>
    </w:p>
    <w:p w14:paraId="0DCFBA22">
      <w:pPr>
        <w:pStyle w:val="6"/>
        <w:spacing w:line="245" w:lineRule="auto"/>
        <w:rPr>
          <w:color w:val="auto"/>
          <w:highlight w:val="none"/>
        </w:rPr>
      </w:pPr>
    </w:p>
    <w:p w14:paraId="3BF03FA2">
      <w:pPr>
        <w:pStyle w:val="6"/>
        <w:spacing w:line="245" w:lineRule="auto"/>
        <w:rPr>
          <w:color w:val="auto"/>
          <w:highlight w:val="none"/>
        </w:rPr>
      </w:pPr>
    </w:p>
    <w:p w14:paraId="26BF650D">
      <w:pPr>
        <w:pStyle w:val="6"/>
        <w:spacing w:line="245" w:lineRule="auto"/>
        <w:rPr>
          <w:color w:val="auto"/>
          <w:highlight w:val="none"/>
        </w:rPr>
      </w:pPr>
    </w:p>
    <w:p w14:paraId="314F492D">
      <w:pPr>
        <w:pStyle w:val="6"/>
        <w:spacing w:line="246" w:lineRule="auto"/>
        <w:rPr>
          <w:color w:val="auto"/>
          <w:highlight w:val="none"/>
        </w:rPr>
      </w:pPr>
    </w:p>
    <w:p w14:paraId="553359E0">
      <w:pPr>
        <w:pStyle w:val="6"/>
        <w:spacing w:line="246" w:lineRule="auto"/>
        <w:rPr>
          <w:color w:val="auto"/>
          <w:highlight w:val="none"/>
        </w:rPr>
      </w:pPr>
    </w:p>
    <w:p w14:paraId="36498743">
      <w:pPr>
        <w:pStyle w:val="6"/>
        <w:spacing w:line="246" w:lineRule="auto"/>
        <w:rPr>
          <w:color w:val="auto"/>
          <w:highlight w:val="none"/>
        </w:rPr>
      </w:pPr>
    </w:p>
    <w:p w14:paraId="5E19D480">
      <w:pPr>
        <w:pStyle w:val="6"/>
        <w:spacing w:line="246" w:lineRule="auto"/>
        <w:rPr>
          <w:color w:val="auto"/>
          <w:highlight w:val="none"/>
        </w:rPr>
      </w:pPr>
    </w:p>
    <w:p w14:paraId="045E7713">
      <w:pPr>
        <w:spacing w:line="219" w:lineRule="auto"/>
        <w:rPr>
          <w:rFonts w:ascii="Times New Roman" w:hAnsi="Times New Roman" w:eastAsia="Times New Roman" w:cs="Times New Roman"/>
          <w:color w:val="auto"/>
          <w:sz w:val="18"/>
          <w:szCs w:val="18"/>
          <w:highlight w:val="none"/>
        </w:rPr>
        <w:sectPr>
          <w:pgSz w:w="11905" w:h="16839"/>
          <w:pgMar w:top="400" w:right="1765" w:bottom="400" w:left="1765" w:header="0" w:footer="0" w:gutter="0"/>
          <w:cols w:space="720" w:num="1"/>
        </w:sectPr>
      </w:pPr>
    </w:p>
    <w:p w14:paraId="507B3232">
      <w:pPr>
        <w:pStyle w:val="6"/>
        <w:spacing w:line="447" w:lineRule="auto"/>
        <w:rPr>
          <w:color w:val="auto"/>
          <w:highlight w:val="none"/>
        </w:rPr>
      </w:pPr>
    </w:p>
    <w:p w14:paraId="5FFB366A">
      <w:pPr>
        <w:spacing w:line="884" w:lineRule="exact"/>
        <w:ind w:firstLine="28"/>
        <w:rPr>
          <w:color w:val="auto"/>
          <w:highlight w:val="none"/>
        </w:rPr>
      </w:pPr>
      <w:r>
        <w:rPr>
          <w:color w:val="auto"/>
          <w:highlight w:val="none"/>
        </w:rPr>
        <w:pict>
          <v:shape id="_x0000_s1077" o:spid="_x0000_s1077" style="position:absolute;left:0pt;margin-left:0.25pt;margin-top:44.45pt;height:0.5pt;width:418.5pt;z-index:251688960;mso-width-relative:page;mso-height-relative:page;" filled="f" stroked="t" coordsize="8370,10" path="m0,5l8369,5e">
            <v:fill on="f" focussize="0,0"/>
            <v:stroke weight="0.5pt" color="#FFFFFF" miterlimit="10" joinstyle="miter"/>
            <v:imagedata o:title=""/>
            <o:lock v:ext="edit" aspectratio="f"/>
          </v:shape>
        </w:pict>
      </w:r>
    </w:p>
    <w:p w14:paraId="1491C37A">
      <w:pPr>
        <w:spacing w:before="68" w:line="184" w:lineRule="auto"/>
        <w:ind w:left="2757"/>
        <w:rPr>
          <w:rFonts w:ascii="微软雅黑" w:hAnsi="微软雅黑" w:eastAsia="微软雅黑" w:cs="微软雅黑"/>
          <w:color w:val="auto"/>
          <w:sz w:val="21"/>
          <w:szCs w:val="21"/>
          <w:highlight w:val="none"/>
        </w:rPr>
      </w:pPr>
      <w:bookmarkStart w:id="170" w:name="bookmark124"/>
      <w:bookmarkEnd w:id="170"/>
      <w:r>
        <w:rPr>
          <w:rFonts w:ascii="微软雅黑" w:hAnsi="微软雅黑" w:eastAsia="微软雅黑" w:cs="微软雅黑"/>
          <w:b/>
          <w:bCs/>
          <w:color w:val="auto"/>
          <w:spacing w:val="-1"/>
          <w:sz w:val="21"/>
          <w:szCs w:val="21"/>
          <w:highlight w:val="none"/>
        </w:rPr>
        <w:t>3、货物说明一览表（格式六）</w:t>
      </w:r>
    </w:p>
    <w:p w14:paraId="630BF402">
      <w:pPr>
        <w:pStyle w:val="6"/>
        <w:spacing w:line="281" w:lineRule="auto"/>
        <w:rPr>
          <w:color w:val="auto"/>
          <w:highlight w:val="none"/>
        </w:rPr>
      </w:pPr>
    </w:p>
    <w:p w14:paraId="0F49723C">
      <w:pPr>
        <w:spacing w:before="90" w:line="216" w:lineRule="auto"/>
        <w:ind w:left="589" w:right="7554"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项目名称</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招标编号</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4"/>
          <w:sz w:val="21"/>
          <w:szCs w:val="21"/>
          <w:highlight w:val="none"/>
        </w:rPr>
        <w:t>:</w:t>
      </w:r>
    </w:p>
    <w:p w14:paraId="2F6C704A">
      <w:pPr>
        <w:spacing w:before="26"/>
        <w:rPr>
          <w:color w:val="auto"/>
          <w:highlight w:val="none"/>
        </w:rPr>
      </w:pPr>
    </w:p>
    <w:tbl>
      <w:tblPr>
        <w:tblStyle w:val="11"/>
        <w:tblW w:w="9062" w:type="dxa"/>
        <w:tblInd w:w="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599"/>
        <w:gridCol w:w="1224"/>
        <w:gridCol w:w="1137"/>
        <w:gridCol w:w="1273"/>
        <w:gridCol w:w="1249"/>
        <w:gridCol w:w="1693"/>
      </w:tblGrid>
      <w:tr w14:paraId="2D79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87" w:type="dxa"/>
            <w:vAlign w:val="top"/>
          </w:tcPr>
          <w:p w14:paraId="4A6B5F40">
            <w:pPr>
              <w:pStyle w:val="12"/>
              <w:spacing w:before="59" w:line="188" w:lineRule="auto"/>
              <w:ind w:left="237"/>
              <w:rPr>
                <w:color w:val="auto"/>
                <w:highlight w:val="none"/>
              </w:rPr>
            </w:pPr>
            <w:r>
              <w:rPr>
                <w:color w:val="auto"/>
                <w:spacing w:val="-5"/>
                <w:w w:val="99"/>
                <w:highlight w:val="none"/>
              </w:rPr>
              <w:t>序号</w:t>
            </w:r>
          </w:p>
        </w:tc>
        <w:tc>
          <w:tcPr>
            <w:tcW w:w="1599" w:type="dxa"/>
            <w:vAlign w:val="top"/>
          </w:tcPr>
          <w:p w14:paraId="4EBAB311">
            <w:pPr>
              <w:pStyle w:val="12"/>
              <w:spacing w:before="59" w:line="188" w:lineRule="auto"/>
              <w:ind w:left="383"/>
              <w:rPr>
                <w:color w:val="auto"/>
                <w:highlight w:val="none"/>
              </w:rPr>
            </w:pPr>
            <w:r>
              <w:rPr>
                <w:color w:val="auto"/>
                <w:spacing w:val="-3"/>
                <w:highlight w:val="none"/>
              </w:rPr>
              <w:t>货物名称</w:t>
            </w:r>
          </w:p>
        </w:tc>
        <w:tc>
          <w:tcPr>
            <w:tcW w:w="1224" w:type="dxa"/>
            <w:vAlign w:val="top"/>
          </w:tcPr>
          <w:p w14:paraId="11A5F60A">
            <w:pPr>
              <w:pStyle w:val="12"/>
              <w:spacing w:before="59" w:line="188" w:lineRule="auto"/>
              <w:ind w:left="198"/>
              <w:rPr>
                <w:color w:val="auto"/>
                <w:highlight w:val="none"/>
              </w:rPr>
            </w:pPr>
            <w:r>
              <w:rPr>
                <w:color w:val="auto"/>
                <w:spacing w:val="-3"/>
                <w:highlight w:val="none"/>
              </w:rPr>
              <w:t>主要规格</w:t>
            </w:r>
          </w:p>
        </w:tc>
        <w:tc>
          <w:tcPr>
            <w:tcW w:w="1137" w:type="dxa"/>
            <w:vAlign w:val="top"/>
          </w:tcPr>
          <w:p w14:paraId="60DA28DA">
            <w:pPr>
              <w:pStyle w:val="12"/>
              <w:spacing w:before="59" w:line="187" w:lineRule="auto"/>
              <w:ind w:left="363"/>
              <w:rPr>
                <w:color w:val="auto"/>
                <w:highlight w:val="none"/>
              </w:rPr>
            </w:pPr>
            <w:r>
              <w:rPr>
                <w:color w:val="auto"/>
                <w:spacing w:val="-3"/>
                <w:w w:val="99"/>
                <w:highlight w:val="none"/>
              </w:rPr>
              <w:t>数量</w:t>
            </w:r>
          </w:p>
        </w:tc>
        <w:tc>
          <w:tcPr>
            <w:tcW w:w="1273" w:type="dxa"/>
            <w:vAlign w:val="top"/>
          </w:tcPr>
          <w:p w14:paraId="31DC55BB">
            <w:pPr>
              <w:pStyle w:val="12"/>
              <w:spacing w:before="58" w:line="188" w:lineRule="auto"/>
              <w:ind w:left="331"/>
              <w:rPr>
                <w:color w:val="auto"/>
                <w:highlight w:val="none"/>
              </w:rPr>
            </w:pPr>
            <w:r>
              <w:rPr>
                <w:color w:val="auto"/>
                <w:spacing w:val="-5"/>
                <w:highlight w:val="none"/>
              </w:rPr>
              <w:t>交货期</w:t>
            </w:r>
          </w:p>
        </w:tc>
        <w:tc>
          <w:tcPr>
            <w:tcW w:w="1249" w:type="dxa"/>
            <w:vAlign w:val="top"/>
          </w:tcPr>
          <w:p w14:paraId="34DC6DFA">
            <w:pPr>
              <w:pStyle w:val="12"/>
              <w:spacing w:before="59" w:line="188" w:lineRule="auto"/>
              <w:ind w:left="214"/>
              <w:rPr>
                <w:color w:val="auto"/>
                <w:highlight w:val="none"/>
              </w:rPr>
            </w:pPr>
            <w:r>
              <w:rPr>
                <w:color w:val="auto"/>
                <w:spacing w:val="-3"/>
                <w:highlight w:val="none"/>
              </w:rPr>
              <w:t>交货地点</w:t>
            </w:r>
          </w:p>
        </w:tc>
        <w:tc>
          <w:tcPr>
            <w:tcW w:w="1693" w:type="dxa"/>
            <w:vAlign w:val="top"/>
          </w:tcPr>
          <w:p w14:paraId="4604302F">
            <w:pPr>
              <w:pStyle w:val="12"/>
              <w:spacing w:before="59" w:line="188" w:lineRule="auto"/>
              <w:ind w:left="645"/>
              <w:rPr>
                <w:color w:val="auto"/>
                <w:highlight w:val="none"/>
              </w:rPr>
            </w:pPr>
            <w:r>
              <w:rPr>
                <w:color w:val="auto"/>
                <w:spacing w:val="-7"/>
                <w:highlight w:val="none"/>
              </w:rPr>
              <w:t>其它</w:t>
            </w:r>
          </w:p>
        </w:tc>
      </w:tr>
      <w:tr w14:paraId="36901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7" w:type="dxa"/>
            <w:vAlign w:val="top"/>
          </w:tcPr>
          <w:p w14:paraId="5A7CCB10">
            <w:pPr>
              <w:rPr>
                <w:rFonts w:ascii="Arial"/>
                <w:color w:val="auto"/>
                <w:sz w:val="21"/>
                <w:highlight w:val="none"/>
              </w:rPr>
            </w:pPr>
          </w:p>
        </w:tc>
        <w:tc>
          <w:tcPr>
            <w:tcW w:w="1599" w:type="dxa"/>
            <w:vAlign w:val="top"/>
          </w:tcPr>
          <w:p w14:paraId="50338D1C">
            <w:pPr>
              <w:rPr>
                <w:rFonts w:ascii="Arial"/>
                <w:color w:val="auto"/>
                <w:sz w:val="21"/>
                <w:highlight w:val="none"/>
              </w:rPr>
            </w:pPr>
          </w:p>
        </w:tc>
        <w:tc>
          <w:tcPr>
            <w:tcW w:w="1224" w:type="dxa"/>
            <w:vAlign w:val="top"/>
          </w:tcPr>
          <w:p w14:paraId="1714158A">
            <w:pPr>
              <w:rPr>
                <w:rFonts w:ascii="Arial"/>
                <w:color w:val="auto"/>
                <w:sz w:val="21"/>
                <w:highlight w:val="none"/>
              </w:rPr>
            </w:pPr>
          </w:p>
        </w:tc>
        <w:tc>
          <w:tcPr>
            <w:tcW w:w="1137" w:type="dxa"/>
            <w:vAlign w:val="top"/>
          </w:tcPr>
          <w:p w14:paraId="04703502">
            <w:pPr>
              <w:rPr>
                <w:rFonts w:ascii="Arial"/>
                <w:color w:val="auto"/>
                <w:sz w:val="21"/>
                <w:highlight w:val="none"/>
              </w:rPr>
            </w:pPr>
          </w:p>
        </w:tc>
        <w:tc>
          <w:tcPr>
            <w:tcW w:w="1273" w:type="dxa"/>
            <w:vAlign w:val="top"/>
          </w:tcPr>
          <w:p w14:paraId="76358E7F">
            <w:pPr>
              <w:rPr>
                <w:rFonts w:ascii="Arial"/>
                <w:color w:val="auto"/>
                <w:sz w:val="21"/>
                <w:highlight w:val="none"/>
              </w:rPr>
            </w:pPr>
          </w:p>
        </w:tc>
        <w:tc>
          <w:tcPr>
            <w:tcW w:w="1249" w:type="dxa"/>
            <w:vAlign w:val="top"/>
          </w:tcPr>
          <w:p w14:paraId="68F9E772">
            <w:pPr>
              <w:rPr>
                <w:rFonts w:ascii="Arial"/>
                <w:color w:val="auto"/>
                <w:sz w:val="21"/>
                <w:highlight w:val="none"/>
              </w:rPr>
            </w:pPr>
          </w:p>
        </w:tc>
        <w:tc>
          <w:tcPr>
            <w:tcW w:w="1693" w:type="dxa"/>
            <w:vAlign w:val="top"/>
          </w:tcPr>
          <w:p w14:paraId="7E7D6881">
            <w:pPr>
              <w:rPr>
                <w:rFonts w:ascii="Arial"/>
                <w:color w:val="auto"/>
                <w:sz w:val="21"/>
                <w:highlight w:val="none"/>
              </w:rPr>
            </w:pPr>
          </w:p>
        </w:tc>
      </w:tr>
      <w:tr w14:paraId="707A9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87" w:type="dxa"/>
            <w:vAlign w:val="top"/>
          </w:tcPr>
          <w:p w14:paraId="13ED78B1">
            <w:pPr>
              <w:rPr>
                <w:rFonts w:ascii="Arial"/>
                <w:color w:val="auto"/>
                <w:sz w:val="21"/>
                <w:highlight w:val="none"/>
              </w:rPr>
            </w:pPr>
          </w:p>
        </w:tc>
        <w:tc>
          <w:tcPr>
            <w:tcW w:w="1599" w:type="dxa"/>
            <w:vAlign w:val="top"/>
          </w:tcPr>
          <w:p w14:paraId="145262DE">
            <w:pPr>
              <w:rPr>
                <w:rFonts w:ascii="Arial"/>
                <w:color w:val="auto"/>
                <w:sz w:val="21"/>
                <w:highlight w:val="none"/>
              </w:rPr>
            </w:pPr>
          </w:p>
        </w:tc>
        <w:tc>
          <w:tcPr>
            <w:tcW w:w="1224" w:type="dxa"/>
            <w:vAlign w:val="top"/>
          </w:tcPr>
          <w:p w14:paraId="61AFD9E8">
            <w:pPr>
              <w:rPr>
                <w:rFonts w:ascii="Arial"/>
                <w:color w:val="auto"/>
                <w:sz w:val="21"/>
                <w:highlight w:val="none"/>
              </w:rPr>
            </w:pPr>
          </w:p>
        </w:tc>
        <w:tc>
          <w:tcPr>
            <w:tcW w:w="1137" w:type="dxa"/>
            <w:vAlign w:val="top"/>
          </w:tcPr>
          <w:p w14:paraId="60779DE8">
            <w:pPr>
              <w:rPr>
                <w:rFonts w:ascii="Arial"/>
                <w:color w:val="auto"/>
                <w:sz w:val="21"/>
                <w:highlight w:val="none"/>
              </w:rPr>
            </w:pPr>
          </w:p>
        </w:tc>
        <w:tc>
          <w:tcPr>
            <w:tcW w:w="1273" w:type="dxa"/>
            <w:vAlign w:val="top"/>
          </w:tcPr>
          <w:p w14:paraId="3B711436">
            <w:pPr>
              <w:rPr>
                <w:rFonts w:ascii="Arial"/>
                <w:color w:val="auto"/>
                <w:sz w:val="21"/>
                <w:highlight w:val="none"/>
              </w:rPr>
            </w:pPr>
          </w:p>
        </w:tc>
        <w:tc>
          <w:tcPr>
            <w:tcW w:w="1249" w:type="dxa"/>
            <w:vAlign w:val="top"/>
          </w:tcPr>
          <w:p w14:paraId="24CF3CD8">
            <w:pPr>
              <w:rPr>
                <w:rFonts w:ascii="Arial"/>
                <w:color w:val="auto"/>
                <w:sz w:val="21"/>
                <w:highlight w:val="none"/>
              </w:rPr>
            </w:pPr>
          </w:p>
        </w:tc>
        <w:tc>
          <w:tcPr>
            <w:tcW w:w="1693" w:type="dxa"/>
            <w:vAlign w:val="top"/>
          </w:tcPr>
          <w:p w14:paraId="2E7B8010">
            <w:pPr>
              <w:rPr>
                <w:rFonts w:ascii="Arial"/>
                <w:color w:val="auto"/>
                <w:sz w:val="21"/>
                <w:highlight w:val="none"/>
              </w:rPr>
            </w:pPr>
          </w:p>
        </w:tc>
      </w:tr>
      <w:tr w14:paraId="4FB3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87" w:type="dxa"/>
            <w:vAlign w:val="top"/>
          </w:tcPr>
          <w:p w14:paraId="2D3D19DB">
            <w:pPr>
              <w:rPr>
                <w:rFonts w:ascii="Arial"/>
                <w:color w:val="auto"/>
                <w:sz w:val="21"/>
                <w:highlight w:val="none"/>
              </w:rPr>
            </w:pPr>
          </w:p>
        </w:tc>
        <w:tc>
          <w:tcPr>
            <w:tcW w:w="1599" w:type="dxa"/>
            <w:vAlign w:val="top"/>
          </w:tcPr>
          <w:p w14:paraId="3E38FF3A">
            <w:pPr>
              <w:rPr>
                <w:rFonts w:ascii="Arial"/>
                <w:color w:val="auto"/>
                <w:sz w:val="21"/>
                <w:highlight w:val="none"/>
              </w:rPr>
            </w:pPr>
          </w:p>
        </w:tc>
        <w:tc>
          <w:tcPr>
            <w:tcW w:w="1224" w:type="dxa"/>
            <w:vAlign w:val="top"/>
          </w:tcPr>
          <w:p w14:paraId="66D16F26">
            <w:pPr>
              <w:rPr>
                <w:rFonts w:ascii="Arial"/>
                <w:color w:val="auto"/>
                <w:sz w:val="21"/>
                <w:highlight w:val="none"/>
              </w:rPr>
            </w:pPr>
          </w:p>
        </w:tc>
        <w:tc>
          <w:tcPr>
            <w:tcW w:w="1137" w:type="dxa"/>
            <w:vAlign w:val="top"/>
          </w:tcPr>
          <w:p w14:paraId="2E0E8037">
            <w:pPr>
              <w:rPr>
                <w:rFonts w:ascii="Arial"/>
                <w:color w:val="auto"/>
                <w:sz w:val="21"/>
                <w:highlight w:val="none"/>
              </w:rPr>
            </w:pPr>
          </w:p>
        </w:tc>
        <w:tc>
          <w:tcPr>
            <w:tcW w:w="1273" w:type="dxa"/>
            <w:vAlign w:val="top"/>
          </w:tcPr>
          <w:p w14:paraId="4F985923">
            <w:pPr>
              <w:rPr>
                <w:rFonts w:ascii="Arial"/>
                <w:color w:val="auto"/>
                <w:sz w:val="21"/>
                <w:highlight w:val="none"/>
              </w:rPr>
            </w:pPr>
          </w:p>
        </w:tc>
        <w:tc>
          <w:tcPr>
            <w:tcW w:w="1249" w:type="dxa"/>
            <w:vAlign w:val="top"/>
          </w:tcPr>
          <w:p w14:paraId="40B1E189">
            <w:pPr>
              <w:rPr>
                <w:rFonts w:ascii="Arial"/>
                <w:color w:val="auto"/>
                <w:sz w:val="21"/>
                <w:highlight w:val="none"/>
              </w:rPr>
            </w:pPr>
          </w:p>
        </w:tc>
        <w:tc>
          <w:tcPr>
            <w:tcW w:w="1693" w:type="dxa"/>
            <w:vAlign w:val="top"/>
          </w:tcPr>
          <w:p w14:paraId="587ADCBC">
            <w:pPr>
              <w:rPr>
                <w:rFonts w:ascii="Arial"/>
                <w:color w:val="auto"/>
                <w:sz w:val="21"/>
                <w:highlight w:val="none"/>
              </w:rPr>
            </w:pPr>
          </w:p>
        </w:tc>
      </w:tr>
      <w:tr w14:paraId="0C8C0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7" w:type="dxa"/>
            <w:vAlign w:val="top"/>
          </w:tcPr>
          <w:p w14:paraId="6F0C708D">
            <w:pPr>
              <w:rPr>
                <w:rFonts w:ascii="Arial"/>
                <w:color w:val="auto"/>
                <w:sz w:val="21"/>
                <w:highlight w:val="none"/>
              </w:rPr>
            </w:pPr>
          </w:p>
        </w:tc>
        <w:tc>
          <w:tcPr>
            <w:tcW w:w="1599" w:type="dxa"/>
            <w:vAlign w:val="top"/>
          </w:tcPr>
          <w:p w14:paraId="6F9F2958">
            <w:pPr>
              <w:rPr>
                <w:rFonts w:ascii="Arial"/>
                <w:color w:val="auto"/>
                <w:sz w:val="21"/>
                <w:highlight w:val="none"/>
              </w:rPr>
            </w:pPr>
          </w:p>
        </w:tc>
        <w:tc>
          <w:tcPr>
            <w:tcW w:w="1224" w:type="dxa"/>
            <w:vAlign w:val="top"/>
          </w:tcPr>
          <w:p w14:paraId="77495FB3">
            <w:pPr>
              <w:rPr>
                <w:rFonts w:ascii="Arial"/>
                <w:color w:val="auto"/>
                <w:sz w:val="21"/>
                <w:highlight w:val="none"/>
              </w:rPr>
            </w:pPr>
          </w:p>
        </w:tc>
        <w:tc>
          <w:tcPr>
            <w:tcW w:w="1137" w:type="dxa"/>
            <w:vAlign w:val="top"/>
          </w:tcPr>
          <w:p w14:paraId="25BE3E93">
            <w:pPr>
              <w:rPr>
                <w:rFonts w:ascii="Arial"/>
                <w:color w:val="auto"/>
                <w:sz w:val="21"/>
                <w:highlight w:val="none"/>
              </w:rPr>
            </w:pPr>
          </w:p>
        </w:tc>
        <w:tc>
          <w:tcPr>
            <w:tcW w:w="1273" w:type="dxa"/>
            <w:vAlign w:val="top"/>
          </w:tcPr>
          <w:p w14:paraId="38DD2576">
            <w:pPr>
              <w:rPr>
                <w:rFonts w:ascii="Arial"/>
                <w:color w:val="auto"/>
                <w:sz w:val="21"/>
                <w:highlight w:val="none"/>
              </w:rPr>
            </w:pPr>
          </w:p>
        </w:tc>
        <w:tc>
          <w:tcPr>
            <w:tcW w:w="1249" w:type="dxa"/>
            <w:vAlign w:val="top"/>
          </w:tcPr>
          <w:p w14:paraId="70134053">
            <w:pPr>
              <w:rPr>
                <w:rFonts w:ascii="Arial"/>
                <w:color w:val="auto"/>
                <w:sz w:val="21"/>
                <w:highlight w:val="none"/>
              </w:rPr>
            </w:pPr>
          </w:p>
        </w:tc>
        <w:tc>
          <w:tcPr>
            <w:tcW w:w="1693" w:type="dxa"/>
            <w:vAlign w:val="top"/>
          </w:tcPr>
          <w:p w14:paraId="4D148B75">
            <w:pPr>
              <w:rPr>
                <w:rFonts w:ascii="Arial"/>
                <w:color w:val="auto"/>
                <w:sz w:val="21"/>
                <w:highlight w:val="none"/>
              </w:rPr>
            </w:pPr>
          </w:p>
        </w:tc>
      </w:tr>
      <w:tr w14:paraId="563DF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87" w:type="dxa"/>
            <w:vAlign w:val="top"/>
          </w:tcPr>
          <w:p w14:paraId="49DB4B72">
            <w:pPr>
              <w:rPr>
                <w:rFonts w:ascii="Arial"/>
                <w:color w:val="auto"/>
                <w:sz w:val="21"/>
                <w:highlight w:val="none"/>
              </w:rPr>
            </w:pPr>
          </w:p>
        </w:tc>
        <w:tc>
          <w:tcPr>
            <w:tcW w:w="1599" w:type="dxa"/>
            <w:vAlign w:val="top"/>
          </w:tcPr>
          <w:p w14:paraId="329D8840">
            <w:pPr>
              <w:rPr>
                <w:rFonts w:ascii="Arial"/>
                <w:color w:val="auto"/>
                <w:sz w:val="21"/>
                <w:highlight w:val="none"/>
              </w:rPr>
            </w:pPr>
          </w:p>
        </w:tc>
        <w:tc>
          <w:tcPr>
            <w:tcW w:w="1224" w:type="dxa"/>
            <w:vAlign w:val="top"/>
          </w:tcPr>
          <w:p w14:paraId="77CBC4A6">
            <w:pPr>
              <w:rPr>
                <w:rFonts w:ascii="Arial"/>
                <w:color w:val="auto"/>
                <w:sz w:val="21"/>
                <w:highlight w:val="none"/>
              </w:rPr>
            </w:pPr>
          </w:p>
        </w:tc>
        <w:tc>
          <w:tcPr>
            <w:tcW w:w="1137" w:type="dxa"/>
            <w:vAlign w:val="top"/>
          </w:tcPr>
          <w:p w14:paraId="52C5D432">
            <w:pPr>
              <w:rPr>
                <w:rFonts w:ascii="Arial"/>
                <w:color w:val="auto"/>
                <w:sz w:val="21"/>
                <w:highlight w:val="none"/>
              </w:rPr>
            </w:pPr>
          </w:p>
        </w:tc>
        <w:tc>
          <w:tcPr>
            <w:tcW w:w="1273" w:type="dxa"/>
            <w:vAlign w:val="top"/>
          </w:tcPr>
          <w:p w14:paraId="4C4067FF">
            <w:pPr>
              <w:rPr>
                <w:rFonts w:ascii="Arial"/>
                <w:color w:val="auto"/>
                <w:sz w:val="21"/>
                <w:highlight w:val="none"/>
              </w:rPr>
            </w:pPr>
          </w:p>
        </w:tc>
        <w:tc>
          <w:tcPr>
            <w:tcW w:w="1249" w:type="dxa"/>
            <w:vAlign w:val="top"/>
          </w:tcPr>
          <w:p w14:paraId="40555A13">
            <w:pPr>
              <w:rPr>
                <w:rFonts w:ascii="Arial"/>
                <w:color w:val="auto"/>
                <w:sz w:val="21"/>
                <w:highlight w:val="none"/>
              </w:rPr>
            </w:pPr>
          </w:p>
        </w:tc>
        <w:tc>
          <w:tcPr>
            <w:tcW w:w="1693" w:type="dxa"/>
            <w:vAlign w:val="top"/>
          </w:tcPr>
          <w:p w14:paraId="451287F4">
            <w:pPr>
              <w:rPr>
                <w:rFonts w:ascii="Arial"/>
                <w:color w:val="auto"/>
                <w:sz w:val="21"/>
                <w:highlight w:val="none"/>
              </w:rPr>
            </w:pPr>
          </w:p>
        </w:tc>
      </w:tr>
      <w:tr w14:paraId="63555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87" w:type="dxa"/>
            <w:vAlign w:val="top"/>
          </w:tcPr>
          <w:p w14:paraId="34A78B99">
            <w:pPr>
              <w:rPr>
                <w:rFonts w:ascii="Arial"/>
                <w:color w:val="auto"/>
                <w:sz w:val="21"/>
                <w:highlight w:val="none"/>
              </w:rPr>
            </w:pPr>
          </w:p>
        </w:tc>
        <w:tc>
          <w:tcPr>
            <w:tcW w:w="1599" w:type="dxa"/>
            <w:vAlign w:val="top"/>
          </w:tcPr>
          <w:p w14:paraId="444A9C58">
            <w:pPr>
              <w:rPr>
                <w:rFonts w:ascii="Arial"/>
                <w:color w:val="auto"/>
                <w:sz w:val="21"/>
                <w:highlight w:val="none"/>
              </w:rPr>
            </w:pPr>
          </w:p>
        </w:tc>
        <w:tc>
          <w:tcPr>
            <w:tcW w:w="1224" w:type="dxa"/>
            <w:vAlign w:val="top"/>
          </w:tcPr>
          <w:p w14:paraId="4099661B">
            <w:pPr>
              <w:rPr>
                <w:rFonts w:ascii="Arial"/>
                <w:color w:val="auto"/>
                <w:sz w:val="21"/>
                <w:highlight w:val="none"/>
              </w:rPr>
            </w:pPr>
          </w:p>
        </w:tc>
        <w:tc>
          <w:tcPr>
            <w:tcW w:w="1137" w:type="dxa"/>
            <w:vAlign w:val="top"/>
          </w:tcPr>
          <w:p w14:paraId="6A0B92EC">
            <w:pPr>
              <w:rPr>
                <w:rFonts w:ascii="Arial"/>
                <w:color w:val="auto"/>
                <w:sz w:val="21"/>
                <w:highlight w:val="none"/>
              </w:rPr>
            </w:pPr>
          </w:p>
        </w:tc>
        <w:tc>
          <w:tcPr>
            <w:tcW w:w="1273" w:type="dxa"/>
            <w:vAlign w:val="top"/>
          </w:tcPr>
          <w:p w14:paraId="284F0A7E">
            <w:pPr>
              <w:rPr>
                <w:rFonts w:ascii="Arial"/>
                <w:color w:val="auto"/>
                <w:sz w:val="21"/>
                <w:highlight w:val="none"/>
              </w:rPr>
            </w:pPr>
          </w:p>
        </w:tc>
        <w:tc>
          <w:tcPr>
            <w:tcW w:w="1249" w:type="dxa"/>
            <w:vAlign w:val="top"/>
          </w:tcPr>
          <w:p w14:paraId="29F9D669">
            <w:pPr>
              <w:rPr>
                <w:rFonts w:ascii="Arial"/>
                <w:color w:val="auto"/>
                <w:sz w:val="21"/>
                <w:highlight w:val="none"/>
              </w:rPr>
            </w:pPr>
          </w:p>
        </w:tc>
        <w:tc>
          <w:tcPr>
            <w:tcW w:w="1693" w:type="dxa"/>
            <w:vAlign w:val="top"/>
          </w:tcPr>
          <w:p w14:paraId="3DCE2965">
            <w:pPr>
              <w:rPr>
                <w:rFonts w:ascii="Arial"/>
                <w:color w:val="auto"/>
                <w:sz w:val="21"/>
                <w:highlight w:val="none"/>
              </w:rPr>
            </w:pPr>
          </w:p>
        </w:tc>
      </w:tr>
      <w:tr w14:paraId="572DF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87" w:type="dxa"/>
            <w:vAlign w:val="top"/>
          </w:tcPr>
          <w:p w14:paraId="68DEE88A">
            <w:pPr>
              <w:rPr>
                <w:rFonts w:ascii="Arial"/>
                <w:color w:val="auto"/>
                <w:sz w:val="21"/>
                <w:highlight w:val="none"/>
              </w:rPr>
            </w:pPr>
          </w:p>
        </w:tc>
        <w:tc>
          <w:tcPr>
            <w:tcW w:w="1599" w:type="dxa"/>
            <w:vAlign w:val="top"/>
          </w:tcPr>
          <w:p w14:paraId="59D089C9">
            <w:pPr>
              <w:rPr>
                <w:rFonts w:ascii="Arial"/>
                <w:color w:val="auto"/>
                <w:sz w:val="21"/>
                <w:highlight w:val="none"/>
              </w:rPr>
            </w:pPr>
          </w:p>
        </w:tc>
        <w:tc>
          <w:tcPr>
            <w:tcW w:w="1224" w:type="dxa"/>
            <w:vAlign w:val="top"/>
          </w:tcPr>
          <w:p w14:paraId="174AB203">
            <w:pPr>
              <w:rPr>
                <w:rFonts w:ascii="Arial"/>
                <w:color w:val="auto"/>
                <w:sz w:val="21"/>
                <w:highlight w:val="none"/>
              </w:rPr>
            </w:pPr>
          </w:p>
        </w:tc>
        <w:tc>
          <w:tcPr>
            <w:tcW w:w="1137" w:type="dxa"/>
            <w:vAlign w:val="top"/>
          </w:tcPr>
          <w:p w14:paraId="4DFF1CD1">
            <w:pPr>
              <w:rPr>
                <w:rFonts w:ascii="Arial"/>
                <w:color w:val="auto"/>
                <w:sz w:val="21"/>
                <w:highlight w:val="none"/>
              </w:rPr>
            </w:pPr>
          </w:p>
        </w:tc>
        <w:tc>
          <w:tcPr>
            <w:tcW w:w="1273" w:type="dxa"/>
            <w:vAlign w:val="top"/>
          </w:tcPr>
          <w:p w14:paraId="77E72F84">
            <w:pPr>
              <w:rPr>
                <w:rFonts w:ascii="Arial"/>
                <w:color w:val="auto"/>
                <w:sz w:val="21"/>
                <w:highlight w:val="none"/>
              </w:rPr>
            </w:pPr>
          </w:p>
        </w:tc>
        <w:tc>
          <w:tcPr>
            <w:tcW w:w="1249" w:type="dxa"/>
            <w:vAlign w:val="top"/>
          </w:tcPr>
          <w:p w14:paraId="127D4D5B">
            <w:pPr>
              <w:rPr>
                <w:rFonts w:ascii="Arial"/>
                <w:color w:val="auto"/>
                <w:sz w:val="21"/>
                <w:highlight w:val="none"/>
              </w:rPr>
            </w:pPr>
          </w:p>
        </w:tc>
        <w:tc>
          <w:tcPr>
            <w:tcW w:w="1693" w:type="dxa"/>
            <w:vAlign w:val="top"/>
          </w:tcPr>
          <w:p w14:paraId="3E89809B">
            <w:pPr>
              <w:rPr>
                <w:rFonts w:ascii="Arial"/>
                <w:color w:val="auto"/>
                <w:sz w:val="21"/>
                <w:highlight w:val="none"/>
              </w:rPr>
            </w:pPr>
          </w:p>
        </w:tc>
      </w:tr>
      <w:tr w14:paraId="6D430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7" w:type="dxa"/>
            <w:vAlign w:val="top"/>
          </w:tcPr>
          <w:p w14:paraId="15FD493B">
            <w:pPr>
              <w:rPr>
                <w:rFonts w:ascii="Arial"/>
                <w:color w:val="auto"/>
                <w:sz w:val="21"/>
                <w:highlight w:val="none"/>
              </w:rPr>
            </w:pPr>
          </w:p>
        </w:tc>
        <w:tc>
          <w:tcPr>
            <w:tcW w:w="1599" w:type="dxa"/>
            <w:vAlign w:val="top"/>
          </w:tcPr>
          <w:p w14:paraId="30AF4195">
            <w:pPr>
              <w:rPr>
                <w:rFonts w:ascii="Arial"/>
                <w:color w:val="auto"/>
                <w:sz w:val="21"/>
                <w:highlight w:val="none"/>
              </w:rPr>
            </w:pPr>
          </w:p>
        </w:tc>
        <w:tc>
          <w:tcPr>
            <w:tcW w:w="1224" w:type="dxa"/>
            <w:vAlign w:val="top"/>
          </w:tcPr>
          <w:p w14:paraId="650EF7D0">
            <w:pPr>
              <w:rPr>
                <w:rFonts w:ascii="Arial"/>
                <w:color w:val="auto"/>
                <w:sz w:val="21"/>
                <w:highlight w:val="none"/>
              </w:rPr>
            </w:pPr>
          </w:p>
        </w:tc>
        <w:tc>
          <w:tcPr>
            <w:tcW w:w="1137" w:type="dxa"/>
            <w:vAlign w:val="top"/>
          </w:tcPr>
          <w:p w14:paraId="1DA22F1D">
            <w:pPr>
              <w:rPr>
                <w:rFonts w:ascii="Arial"/>
                <w:color w:val="auto"/>
                <w:sz w:val="21"/>
                <w:highlight w:val="none"/>
              </w:rPr>
            </w:pPr>
          </w:p>
        </w:tc>
        <w:tc>
          <w:tcPr>
            <w:tcW w:w="1273" w:type="dxa"/>
            <w:vAlign w:val="top"/>
          </w:tcPr>
          <w:p w14:paraId="71251B89">
            <w:pPr>
              <w:rPr>
                <w:rFonts w:ascii="Arial"/>
                <w:color w:val="auto"/>
                <w:sz w:val="21"/>
                <w:highlight w:val="none"/>
              </w:rPr>
            </w:pPr>
          </w:p>
        </w:tc>
        <w:tc>
          <w:tcPr>
            <w:tcW w:w="1249" w:type="dxa"/>
            <w:vAlign w:val="top"/>
          </w:tcPr>
          <w:p w14:paraId="5DDECD7E">
            <w:pPr>
              <w:rPr>
                <w:rFonts w:ascii="Arial"/>
                <w:color w:val="auto"/>
                <w:sz w:val="21"/>
                <w:highlight w:val="none"/>
              </w:rPr>
            </w:pPr>
          </w:p>
        </w:tc>
        <w:tc>
          <w:tcPr>
            <w:tcW w:w="1693" w:type="dxa"/>
            <w:vAlign w:val="top"/>
          </w:tcPr>
          <w:p w14:paraId="7A102599">
            <w:pPr>
              <w:rPr>
                <w:rFonts w:ascii="Arial"/>
                <w:color w:val="auto"/>
                <w:sz w:val="21"/>
                <w:highlight w:val="none"/>
              </w:rPr>
            </w:pPr>
          </w:p>
        </w:tc>
      </w:tr>
    </w:tbl>
    <w:p w14:paraId="271BFF7D">
      <w:pPr>
        <w:pStyle w:val="6"/>
        <w:spacing w:line="291" w:lineRule="auto"/>
        <w:rPr>
          <w:color w:val="auto"/>
          <w:highlight w:val="none"/>
        </w:rPr>
      </w:pPr>
    </w:p>
    <w:p w14:paraId="10E29867">
      <w:pPr>
        <w:spacing w:before="90" w:line="213" w:lineRule="auto"/>
        <w:ind w:left="589" w:right="2208"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294E0B1A">
      <w:pPr>
        <w:pStyle w:val="6"/>
        <w:spacing w:line="241" w:lineRule="auto"/>
        <w:rPr>
          <w:color w:val="auto"/>
          <w:highlight w:val="none"/>
        </w:rPr>
      </w:pPr>
    </w:p>
    <w:p w14:paraId="6693173B">
      <w:pPr>
        <w:pStyle w:val="6"/>
        <w:spacing w:line="241" w:lineRule="auto"/>
        <w:rPr>
          <w:color w:val="auto"/>
          <w:highlight w:val="none"/>
        </w:rPr>
      </w:pPr>
    </w:p>
    <w:p w14:paraId="13061B14">
      <w:pPr>
        <w:pStyle w:val="6"/>
        <w:spacing w:line="241" w:lineRule="auto"/>
        <w:rPr>
          <w:color w:val="auto"/>
          <w:highlight w:val="none"/>
        </w:rPr>
      </w:pPr>
    </w:p>
    <w:p w14:paraId="3A48E9C5">
      <w:pPr>
        <w:pStyle w:val="6"/>
        <w:spacing w:line="241" w:lineRule="auto"/>
        <w:rPr>
          <w:color w:val="auto"/>
          <w:highlight w:val="none"/>
        </w:rPr>
      </w:pPr>
    </w:p>
    <w:p w14:paraId="037565E0">
      <w:pPr>
        <w:pStyle w:val="6"/>
        <w:spacing w:line="241" w:lineRule="auto"/>
        <w:rPr>
          <w:color w:val="auto"/>
          <w:highlight w:val="none"/>
        </w:rPr>
      </w:pPr>
    </w:p>
    <w:p w14:paraId="529E980E">
      <w:pPr>
        <w:pStyle w:val="6"/>
        <w:spacing w:line="241" w:lineRule="auto"/>
        <w:rPr>
          <w:color w:val="auto"/>
          <w:highlight w:val="none"/>
        </w:rPr>
      </w:pPr>
    </w:p>
    <w:p w14:paraId="0373C35A">
      <w:pPr>
        <w:pStyle w:val="6"/>
        <w:spacing w:line="241" w:lineRule="auto"/>
        <w:rPr>
          <w:color w:val="auto"/>
          <w:highlight w:val="none"/>
        </w:rPr>
      </w:pPr>
    </w:p>
    <w:p w14:paraId="7460EAE4">
      <w:pPr>
        <w:pStyle w:val="6"/>
        <w:spacing w:line="241" w:lineRule="auto"/>
        <w:rPr>
          <w:color w:val="auto"/>
          <w:highlight w:val="none"/>
        </w:rPr>
      </w:pPr>
    </w:p>
    <w:p w14:paraId="399C742E">
      <w:pPr>
        <w:pStyle w:val="6"/>
        <w:spacing w:line="241" w:lineRule="auto"/>
        <w:rPr>
          <w:color w:val="auto"/>
          <w:highlight w:val="none"/>
        </w:rPr>
      </w:pPr>
    </w:p>
    <w:p w14:paraId="62B68D1D">
      <w:pPr>
        <w:pStyle w:val="6"/>
        <w:spacing w:line="241" w:lineRule="auto"/>
        <w:rPr>
          <w:color w:val="auto"/>
          <w:highlight w:val="none"/>
        </w:rPr>
      </w:pPr>
    </w:p>
    <w:p w14:paraId="06373095">
      <w:pPr>
        <w:pStyle w:val="6"/>
        <w:spacing w:line="241" w:lineRule="auto"/>
        <w:rPr>
          <w:color w:val="auto"/>
          <w:highlight w:val="none"/>
        </w:rPr>
      </w:pPr>
    </w:p>
    <w:p w14:paraId="4C87F204">
      <w:pPr>
        <w:pStyle w:val="6"/>
        <w:spacing w:line="241" w:lineRule="auto"/>
        <w:rPr>
          <w:color w:val="auto"/>
          <w:highlight w:val="none"/>
        </w:rPr>
      </w:pPr>
    </w:p>
    <w:p w14:paraId="7D0BC49C">
      <w:pPr>
        <w:pStyle w:val="6"/>
        <w:spacing w:line="241" w:lineRule="auto"/>
        <w:rPr>
          <w:color w:val="auto"/>
          <w:highlight w:val="none"/>
        </w:rPr>
      </w:pPr>
    </w:p>
    <w:p w14:paraId="7C1E3BDC">
      <w:pPr>
        <w:pStyle w:val="6"/>
        <w:spacing w:line="241" w:lineRule="auto"/>
        <w:rPr>
          <w:color w:val="auto"/>
          <w:highlight w:val="none"/>
        </w:rPr>
      </w:pPr>
    </w:p>
    <w:p w14:paraId="366F9EBE">
      <w:pPr>
        <w:pStyle w:val="6"/>
        <w:spacing w:line="241" w:lineRule="auto"/>
        <w:rPr>
          <w:color w:val="auto"/>
          <w:highlight w:val="none"/>
        </w:rPr>
      </w:pPr>
    </w:p>
    <w:p w14:paraId="5A65DD67">
      <w:pPr>
        <w:pStyle w:val="6"/>
        <w:spacing w:line="241" w:lineRule="auto"/>
        <w:rPr>
          <w:color w:val="auto"/>
          <w:highlight w:val="none"/>
        </w:rPr>
      </w:pPr>
    </w:p>
    <w:p w14:paraId="2FEB4C5A">
      <w:pPr>
        <w:pStyle w:val="6"/>
        <w:spacing w:line="241" w:lineRule="auto"/>
        <w:rPr>
          <w:color w:val="auto"/>
          <w:highlight w:val="none"/>
        </w:rPr>
      </w:pPr>
    </w:p>
    <w:p w14:paraId="19F32ED6">
      <w:pPr>
        <w:pStyle w:val="6"/>
        <w:spacing w:line="241" w:lineRule="auto"/>
        <w:rPr>
          <w:color w:val="auto"/>
          <w:highlight w:val="none"/>
        </w:rPr>
      </w:pPr>
    </w:p>
    <w:p w14:paraId="624525A6">
      <w:pPr>
        <w:pStyle w:val="6"/>
        <w:spacing w:line="241" w:lineRule="auto"/>
        <w:rPr>
          <w:color w:val="auto"/>
          <w:highlight w:val="none"/>
        </w:rPr>
      </w:pPr>
    </w:p>
    <w:p w14:paraId="1D70A125">
      <w:pPr>
        <w:pStyle w:val="6"/>
        <w:spacing w:line="241" w:lineRule="auto"/>
        <w:rPr>
          <w:color w:val="auto"/>
          <w:highlight w:val="none"/>
        </w:rPr>
      </w:pPr>
    </w:p>
    <w:p w14:paraId="1FB3D74A">
      <w:pPr>
        <w:pStyle w:val="6"/>
        <w:spacing w:line="241" w:lineRule="auto"/>
        <w:rPr>
          <w:color w:val="auto"/>
          <w:highlight w:val="none"/>
        </w:rPr>
      </w:pPr>
    </w:p>
    <w:p w14:paraId="19B1749D">
      <w:pPr>
        <w:pStyle w:val="6"/>
        <w:spacing w:line="241" w:lineRule="auto"/>
        <w:rPr>
          <w:color w:val="auto"/>
          <w:highlight w:val="none"/>
        </w:rPr>
      </w:pPr>
    </w:p>
    <w:p w14:paraId="23C273C0">
      <w:pPr>
        <w:pStyle w:val="6"/>
        <w:spacing w:line="241" w:lineRule="auto"/>
        <w:rPr>
          <w:color w:val="auto"/>
          <w:highlight w:val="none"/>
        </w:rPr>
      </w:pPr>
    </w:p>
    <w:p w14:paraId="4D3B5F3D">
      <w:pPr>
        <w:pStyle w:val="6"/>
        <w:spacing w:line="241" w:lineRule="auto"/>
        <w:rPr>
          <w:color w:val="auto"/>
          <w:highlight w:val="none"/>
        </w:rPr>
      </w:pPr>
    </w:p>
    <w:p w14:paraId="27AC8FB1">
      <w:pPr>
        <w:pStyle w:val="6"/>
        <w:spacing w:line="241" w:lineRule="auto"/>
        <w:rPr>
          <w:color w:val="auto"/>
          <w:highlight w:val="none"/>
        </w:rPr>
      </w:pPr>
    </w:p>
    <w:p w14:paraId="51551A6F">
      <w:pPr>
        <w:pStyle w:val="6"/>
        <w:spacing w:line="242" w:lineRule="auto"/>
        <w:rPr>
          <w:color w:val="auto"/>
          <w:highlight w:val="none"/>
        </w:rPr>
      </w:pPr>
    </w:p>
    <w:p w14:paraId="3285035A">
      <w:pPr>
        <w:pStyle w:val="6"/>
        <w:spacing w:line="242" w:lineRule="auto"/>
        <w:rPr>
          <w:color w:val="auto"/>
          <w:highlight w:val="none"/>
        </w:rPr>
      </w:pPr>
    </w:p>
    <w:p w14:paraId="1337FCE6">
      <w:pPr>
        <w:pStyle w:val="6"/>
        <w:spacing w:line="242" w:lineRule="auto"/>
        <w:rPr>
          <w:color w:val="auto"/>
          <w:highlight w:val="none"/>
        </w:rPr>
      </w:pPr>
    </w:p>
    <w:p w14:paraId="5ACDA9C1">
      <w:pPr>
        <w:spacing w:line="219" w:lineRule="auto"/>
        <w:rPr>
          <w:rFonts w:ascii="Times New Roman" w:hAnsi="Times New Roman" w:eastAsia="Times New Roman" w:cs="Times New Roman"/>
          <w:color w:val="auto"/>
          <w:sz w:val="18"/>
          <w:szCs w:val="18"/>
          <w:highlight w:val="none"/>
        </w:rPr>
        <w:sectPr>
          <w:pgSz w:w="11905" w:h="16839"/>
          <w:pgMar w:top="400" w:right="1047" w:bottom="400" w:left="1768" w:header="0" w:footer="0" w:gutter="0"/>
          <w:cols w:space="720" w:num="1"/>
        </w:sectPr>
      </w:pPr>
    </w:p>
    <w:p w14:paraId="207B663C">
      <w:pPr>
        <w:pStyle w:val="6"/>
        <w:spacing w:line="447" w:lineRule="auto"/>
        <w:rPr>
          <w:color w:val="auto"/>
          <w:highlight w:val="none"/>
        </w:rPr>
      </w:pPr>
    </w:p>
    <w:p w14:paraId="06524EAB">
      <w:pPr>
        <w:spacing w:line="884" w:lineRule="exact"/>
        <w:ind w:firstLine="504"/>
        <w:rPr>
          <w:color w:val="auto"/>
          <w:highlight w:val="none"/>
        </w:rPr>
      </w:pPr>
      <w:r>
        <w:rPr>
          <w:color w:val="auto"/>
          <w:highlight w:val="none"/>
        </w:rPr>
        <w:pict>
          <v:shape id="_x0000_s1078" o:spid="_x0000_s1078" style="position:absolute;left:0pt;margin-left:24pt;margin-top:44.45pt;height:0.5pt;width:418.5pt;z-index:251689984;mso-width-relative:page;mso-height-relative:page;" filled="f" stroked="t" coordsize="8370,10" path="m0,5l8369,5e">
            <v:fill on="f" focussize="0,0"/>
            <v:stroke weight="0.5pt" color="#FFFFFF" miterlimit="10" joinstyle="miter"/>
            <v:imagedata o:title=""/>
            <o:lock v:ext="edit" aspectratio="f"/>
          </v:shape>
        </w:pict>
      </w:r>
    </w:p>
    <w:p w14:paraId="23C285BA">
      <w:pPr>
        <w:spacing w:before="68" w:line="184" w:lineRule="auto"/>
        <w:ind w:left="3227"/>
        <w:rPr>
          <w:rFonts w:ascii="微软雅黑" w:hAnsi="微软雅黑" w:eastAsia="微软雅黑" w:cs="微软雅黑"/>
          <w:color w:val="auto"/>
          <w:sz w:val="21"/>
          <w:szCs w:val="21"/>
          <w:highlight w:val="none"/>
        </w:rPr>
      </w:pPr>
      <w:bookmarkStart w:id="171" w:name="bookmark126"/>
      <w:bookmarkEnd w:id="171"/>
      <w:r>
        <w:rPr>
          <w:rFonts w:ascii="微软雅黑" w:hAnsi="微软雅黑" w:eastAsia="微软雅黑" w:cs="微软雅黑"/>
          <w:b/>
          <w:bCs/>
          <w:color w:val="auto"/>
          <w:sz w:val="21"/>
          <w:szCs w:val="21"/>
          <w:highlight w:val="none"/>
        </w:rPr>
        <w:t>4、技术规格偏离表（格式七）</w:t>
      </w:r>
    </w:p>
    <w:p w14:paraId="00887120">
      <w:pPr>
        <w:pStyle w:val="6"/>
        <w:spacing w:line="282" w:lineRule="auto"/>
        <w:rPr>
          <w:color w:val="auto"/>
          <w:highlight w:val="none"/>
        </w:rPr>
      </w:pPr>
    </w:p>
    <w:p w14:paraId="217A4F33">
      <w:pPr>
        <w:spacing w:before="90" w:line="187" w:lineRule="auto"/>
        <w:ind w:left="5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 xml:space="preserve">项目名称:                           </w:t>
      </w:r>
      <w:r>
        <w:rPr>
          <w:rFonts w:ascii="微软雅黑" w:hAnsi="微软雅黑" w:eastAsia="微软雅黑" w:cs="微软雅黑"/>
          <w:color w:val="auto"/>
          <w:spacing w:val="3"/>
          <w:sz w:val="21"/>
          <w:szCs w:val="21"/>
          <w:highlight w:val="none"/>
        </w:rPr>
        <w:t xml:space="preserve">           招标编号</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w:t>
      </w:r>
    </w:p>
    <w:p w14:paraId="4EECFA2F">
      <w:pPr>
        <w:spacing w:before="68"/>
        <w:rPr>
          <w:color w:val="auto"/>
          <w:highlight w:val="none"/>
        </w:rPr>
      </w:pPr>
    </w:p>
    <w:tbl>
      <w:tblPr>
        <w:tblStyle w:val="11"/>
        <w:tblW w:w="9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2"/>
        <w:gridCol w:w="1259"/>
        <w:gridCol w:w="1638"/>
        <w:gridCol w:w="1185"/>
        <w:gridCol w:w="1281"/>
        <w:gridCol w:w="2411"/>
        <w:gridCol w:w="704"/>
      </w:tblGrid>
      <w:tr w14:paraId="35D4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32" w:type="dxa"/>
            <w:vAlign w:val="top"/>
          </w:tcPr>
          <w:p w14:paraId="1E303340">
            <w:pPr>
              <w:pStyle w:val="12"/>
              <w:spacing w:before="222" w:line="188" w:lineRule="auto"/>
              <w:ind w:left="209"/>
              <w:rPr>
                <w:color w:val="auto"/>
                <w:highlight w:val="none"/>
              </w:rPr>
            </w:pPr>
            <w:r>
              <w:rPr>
                <w:color w:val="auto"/>
                <w:spacing w:val="-5"/>
                <w:w w:val="99"/>
                <w:highlight w:val="none"/>
              </w:rPr>
              <w:t>序号</w:t>
            </w:r>
          </w:p>
        </w:tc>
        <w:tc>
          <w:tcPr>
            <w:tcW w:w="1259" w:type="dxa"/>
            <w:vAlign w:val="top"/>
          </w:tcPr>
          <w:p w14:paraId="5B6C7683">
            <w:pPr>
              <w:pStyle w:val="12"/>
              <w:spacing w:before="221" w:line="188" w:lineRule="auto"/>
              <w:ind w:left="212"/>
              <w:rPr>
                <w:color w:val="auto"/>
                <w:highlight w:val="none"/>
              </w:rPr>
            </w:pPr>
            <w:r>
              <w:rPr>
                <w:color w:val="auto"/>
                <w:spacing w:val="-3"/>
                <w:highlight w:val="none"/>
              </w:rPr>
              <w:t>货物名称</w:t>
            </w:r>
          </w:p>
        </w:tc>
        <w:tc>
          <w:tcPr>
            <w:tcW w:w="1638" w:type="dxa"/>
            <w:vAlign w:val="top"/>
          </w:tcPr>
          <w:p w14:paraId="371B4732">
            <w:pPr>
              <w:pStyle w:val="12"/>
              <w:spacing w:before="58" w:line="195" w:lineRule="auto"/>
              <w:ind w:left="747" w:right="150" w:hanging="319"/>
              <w:rPr>
                <w:color w:val="auto"/>
                <w:highlight w:val="none"/>
              </w:rPr>
            </w:pPr>
            <w:r>
              <w:rPr>
                <w:color w:val="auto"/>
                <w:spacing w:val="-1"/>
                <w:highlight w:val="none"/>
              </w:rPr>
              <w:t>招标文件条</w:t>
            </w:r>
            <w:r>
              <w:rPr>
                <w:color w:val="auto"/>
                <w:spacing w:val="3"/>
                <w:highlight w:val="none"/>
              </w:rPr>
              <w:t xml:space="preserve"> </w:t>
            </w:r>
            <w:r>
              <w:rPr>
                <w:color w:val="auto"/>
                <w:spacing w:val="-6"/>
                <w:highlight w:val="none"/>
              </w:rPr>
              <w:t>款号</w:t>
            </w:r>
          </w:p>
        </w:tc>
        <w:tc>
          <w:tcPr>
            <w:tcW w:w="1185" w:type="dxa"/>
            <w:vAlign w:val="top"/>
          </w:tcPr>
          <w:p w14:paraId="52B96F77">
            <w:pPr>
              <w:pStyle w:val="12"/>
              <w:spacing w:before="222" w:line="188" w:lineRule="auto"/>
              <w:ind w:left="173"/>
              <w:rPr>
                <w:color w:val="auto"/>
                <w:highlight w:val="none"/>
              </w:rPr>
            </w:pPr>
            <w:r>
              <w:rPr>
                <w:color w:val="auto"/>
                <w:spacing w:val="-1"/>
                <w:highlight w:val="none"/>
              </w:rPr>
              <w:t>招标规格</w:t>
            </w:r>
          </w:p>
        </w:tc>
        <w:tc>
          <w:tcPr>
            <w:tcW w:w="1281" w:type="dxa"/>
            <w:vAlign w:val="top"/>
          </w:tcPr>
          <w:p w14:paraId="0F722437">
            <w:pPr>
              <w:pStyle w:val="12"/>
              <w:spacing w:before="222" w:line="188" w:lineRule="auto"/>
              <w:ind w:left="222"/>
              <w:rPr>
                <w:color w:val="auto"/>
                <w:highlight w:val="none"/>
              </w:rPr>
            </w:pPr>
            <w:r>
              <w:rPr>
                <w:color w:val="auto"/>
                <w:spacing w:val="-1"/>
                <w:highlight w:val="none"/>
              </w:rPr>
              <w:t>投标规格</w:t>
            </w:r>
          </w:p>
        </w:tc>
        <w:tc>
          <w:tcPr>
            <w:tcW w:w="2411" w:type="dxa"/>
            <w:vAlign w:val="top"/>
          </w:tcPr>
          <w:p w14:paraId="099CFED5">
            <w:pPr>
              <w:pStyle w:val="12"/>
              <w:spacing w:before="221" w:line="189" w:lineRule="auto"/>
              <w:ind w:left="1004"/>
              <w:rPr>
                <w:color w:val="auto"/>
                <w:highlight w:val="none"/>
              </w:rPr>
            </w:pPr>
            <w:r>
              <w:rPr>
                <w:color w:val="auto"/>
                <w:spacing w:val="-6"/>
                <w:highlight w:val="none"/>
              </w:rPr>
              <w:t>偏离</w:t>
            </w:r>
          </w:p>
        </w:tc>
        <w:tc>
          <w:tcPr>
            <w:tcW w:w="704" w:type="dxa"/>
            <w:vAlign w:val="top"/>
          </w:tcPr>
          <w:p w14:paraId="3B337E5B">
            <w:pPr>
              <w:pStyle w:val="12"/>
              <w:spacing w:before="222" w:line="188" w:lineRule="auto"/>
              <w:ind w:left="150"/>
              <w:rPr>
                <w:color w:val="auto"/>
                <w:highlight w:val="none"/>
              </w:rPr>
            </w:pPr>
            <w:r>
              <w:rPr>
                <w:color w:val="auto"/>
                <w:spacing w:val="-6"/>
                <w:highlight w:val="none"/>
              </w:rPr>
              <w:t>说明</w:t>
            </w:r>
          </w:p>
        </w:tc>
      </w:tr>
      <w:tr w14:paraId="16124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832" w:type="dxa"/>
            <w:vAlign w:val="top"/>
          </w:tcPr>
          <w:p w14:paraId="0A2D579F">
            <w:pPr>
              <w:rPr>
                <w:rFonts w:ascii="Arial"/>
                <w:color w:val="auto"/>
                <w:sz w:val="21"/>
                <w:highlight w:val="none"/>
              </w:rPr>
            </w:pPr>
          </w:p>
        </w:tc>
        <w:tc>
          <w:tcPr>
            <w:tcW w:w="1259" w:type="dxa"/>
            <w:vAlign w:val="top"/>
          </w:tcPr>
          <w:p w14:paraId="5AA478FC">
            <w:pPr>
              <w:rPr>
                <w:rFonts w:ascii="Arial"/>
                <w:color w:val="auto"/>
                <w:sz w:val="21"/>
                <w:highlight w:val="none"/>
              </w:rPr>
            </w:pPr>
          </w:p>
        </w:tc>
        <w:tc>
          <w:tcPr>
            <w:tcW w:w="1638" w:type="dxa"/>
            <w:vAlign w:val="top"/>
          </w:tcPr>
          <w:p w14:paraId="1C70EA91">
            <w:pPr>
              <w:rPr>
                <w:rFonts w:ascii="Arial"/>
                <w:color w:val="auto"/>
                <w:sz w:val="21"/>
                <w:highlight w:val="none"/>
              </w:rPr>
            </w:pPr>
          </w:p>
        </w:tc>
        <w:tc>
          <w:tcPr>
            <w:tcW w:w="1185" w:type="dxa"/>
            <w:vAlign w:val="top"/>
          </w:tcPr>
          <w:p w14:paraId="6FE3805B">
            <w:pPr>
              <w:rPr>
                <w:rFonts w:ascii="Arial"/>
                <w:color w:val="auto"/>
                <w:sz w:val="21"/>
                <w:highlight w:val="none"/>
              </w:rPr>
            </w:pPr>
          </w:p>
        </w:tc>
        <w:tc>
          <w:tcPr>
            <w:tcW w:w="1281" w:type="dxa"/>
            <w:vAlign w:val="top"/>
          </w:tcPr>
          <w:p w14:paraId="772A5943">
            <w:pPr>
              <w:rPr>
                <w:rFonts w:ascii="Arial"/>
                <w:color w:val="auto"/>
                <w:sz w:val="21"/>
                <w:highlight w:val="none"/>
              </w:rPr>
            </w:pPr>
          </w:p>
        </w:tc>
        <w:tc>
          <w:tcPr>
            <w:tcW w:w="2411" w:type="dxa"/>
            <w:vAlign w:val="top"/>
          </w:tcPr>
          <w:p w14:paraId="74ABBEE8">
            <w:pPr>
              <w:pStyle w:val="12"/>
              <w:spacing w:before="54" w:line="202" w:lineRule="auto"/>
              <w:ind w:left="117" w:right="102" w:firstLine="2"/>
              <w:jc w:val="both"/>
              <w:rPr>
                <w:color w:val="auto"/>
                <w:highlight w:val="none"/>
              </w:rPr>
            </w:pPr>
            <w:r>
              <w:rPr>
                <w:b/>
                <w:bCs/>
                <w:color w:val="auto"/>
                <w:spacing w:val="1"/>
                <w:highlight w:val="none"/>
                <w:u w:val="single" w:color="auto"/>
              </w:rPr>
              <w:t>如有正偏离需提供证明</w:t>
            </w:r>
            <w:r>
              <w:rPr>
                <w:b/>
                <w:bCs/>
                <w:color w:val="auto"/>
                <w:highlight w:val="none"/>
              </w:rPr>
              <w:t xml:space="preserve">  </w:t>
            </w:r>
            <w:r>
              <w:rPr>
                <w:b/>
                <w:bCs/>
                <w:color w:val="auto"/>
                <w:spacing w:val="-1"/>
                <w:highlight w:val="none"/>
                <w:u w:val="single" w:color="auto"/>
              </w:rPr>
              <w:t>材料，证明材料附后(并</w:t>
            </w:r>
            <w:r>
              <w:rPr>
                <w:b/>
                <w:bCs/>
                <w:color w:val="auto"/>
                <w:spacing w:val="9"/>
                <w:highlight w:val="none"/>
              </w:rPr>
              <w:t xml:space="preserve"> </w:t>
            </w:r>
            <w:r>
              <w:rPr>
                <w:b/>
                <w:bCs/>
                <w:color w:val="auto"/>
                <w:spacing w:val="4"/>
                <w:highlight w:val="none"/>
                <w:u w:val="single" w:color="auto"/>
              </w:rPr>
              <w:t>注明页码)</w:t>
            </w:r>
          </w:p>
        </w:tc>
        <w:tc>
          <w:tcPr>
            <w:tcW w:w="704" w:type="dxa"/>
            <w:vAlign w:val="top"/>
          </w:tcPr>
          <w:p w14:paraId="7D1B9326">
            <w:pPr>
              <w:rPr>
                <w:rFonts w:ascii="Arial"/>
                <w:color w:val="auto"/>
                <w:sz w:val="21"/>
                <w:highlight w:val="none"/>
              </w:rPr>
            </w:pPr>
          </w:p>
        </w:tc>
      </w:tr>
      <w:tr w14:paraId="52B55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7F3162D9">
            <w:pPr>
              <w:rPr>
                <w:rFonts w:ascii="Arial"/>
                <w:color w:val="auto"/>
                <w:sz w:val="21"/>
                <w:highlight w:val="none"/>
              </w:rPr>
            </w:pPr>
          </w:p>
        </w:tc>
        <w:tc>
          <w:tcPr>
            <w:tcW w:w="1259" w:type="dxa"/>
            <w:vAlign w:val="top"/>
          </w:tcPr>
          <w:p w14:paraId="552A0AD0">
            <w:pPr>
              <w:rPr>
                <w:rFonts w:ascii="Arial"/>
                <w:color w:val="auto"/>
                <w:sz w:val="21"/>
                <w:highlight w:val="none"/>
              </w:rPr>
            </w:pPr>
          </w:p>
        </w:tc>
        <w:tc>
          <w:tcPr>
            <w:tcW w:w="1638" w:type="dxa"/>
            <w:vAlign w:val="top"/>
          </w:tcPr>
          <w:p w14:paraId="02524896">
            <w:pPr>
              <w:rPr>
                <w:rFonts w:ascii="Arial"/>
                <w:color w:val="auto"/>
                <w:sz w:val="21"/>
                <w:highlight w:val="none"/>
              </w:rPr>
            </w:pPr>
          </w:p>
        </w:tc>
        <w:tc>
          <w:tcPr>
            <w:tcW w:w="1185" w:type="dxa"/>
            <w:vAlign w:val="top"/>
          </w:tcPr>
          <w:p w14:paraId="5CAE8F24">
            <w:pPr>
              <w:rPr>
                <w:rFonts w:ascii="Arial"/>
                <w:color w:val="auto"/>
                <w:sz w:val="21"/>
                <w:highlight w:val="none"/>
              </w:rPr>
            </w:pPr>
          </w:p>
        </w:tc>
        <w:tc>
          <w:tcPr>
            <w:tcW w:w="1281" w:type="dxa"/>
            <w:vAlign w:val="top"/>
          </w:tcPr>
          <w:p w14:paraId="07920FDD">
            <w:pPr>
              <w:rPr>
                <w:rFonts w:ascii="Arial"/>
                <w:color w:val="auto"/>
                <w:sz w:val="21"/>
                <w:highlight w:val="none"/>
              </w:rPr>
            </w:pPr>
          </w:p>
        </w:tc>
        <w:tc>
          <w:tcPr>
            <w:tcW w:w="2411" w:type="dxa"/>
            <w:vAlign w:val="top"/>
          </w:tcPr>
          <w:p w14:paraId="51B701DA">
            <w:pPr>
              <w:rPr>
                <w:rFonts w:ascii="Arial"/>
                <w:color w:val="auto"/>
                <w:sz w:val="21"/>
                <w:highlight w:val="none"/>
              </w:rPr>
            </w:pPr>
          </w:p>
        </w:tc>
        <w:tc>
          <w:tcPr>
            <w:tcW w:w="704" w:type="dxa"/>
            <w:vAlign w:val="top"/>
          </w:tcPr>
          <w:p w14:paraId="2FC9AB44">
            <w:pPr>
              <w:rPr>
                <w:rFonts w:ascii="Arial"/>
                <w:color w:val="auto"/>
                <w:sz w:val="21"/>
                <w:highlight w:val="none"/>
              </w:rPr>
            </w:pPr>
          </w:p>
        </w:tc>
      </w:tr>
      <w:tr w14:paraId="74B9D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2124DE8C">
            <w:pPr>
              <w:rPr>
                <w:rFonts w:ascii="Arial"/>
                <w:color w:val="auto"/>
                <w:sz w:val="21"/>
                <w:highlight w:val="none"/>
              </w:rPr>
            </w:pPr>
          </w:p>
        </w:tc>
        <w:tc>
          <w:tcPr>
            <w:tcW w:w="1259" w:type="dxa"/>
            <w:vAlign w:val="top"/>
          </w:tcPr>
          <w:p w14:paraId="20782AE2">
            <w:pPr>
              <w:rPr>
                <w:rFonts w:ascii="Arial"/>
                <w:color w:val="auto"/>
                <w:sz w:val="21"/>
                <w:highlight w:val="none"/>
              </w:rPr>
            </w:pPr>
          </w:p>
        </w:tc>
        <w:tc>
          <w:tcPr>
            <w:tcW w:w="1638" w:type="dxa"/>
            <w:vAlign w:val="top"/>
          </w:tcPr>
          <w:p w14:paraId="7A7A563A">
            <w:pPr>
              <w:rPr>
                <w:rFonts w:ascii="Arial"/>
                <w:color w:val="auto"/>
                <w:sz w:val="21"/>
                <w:highlight w:val="none"/>
              </w:rPr>
            </w:pPr>
          </w:p>
        </w:tc>
        <w:tc>
          <w:tcPr>
            <w:tcW w:w="1185" w:type="dxa"/>
            <w:vAlign w:val="top"/>
          </w:tcPr>
          <w:p w14:paraId="52682CEF">
            <w:pPr>
              <w:rPr>
                <w:rFonts w:ascii="Arial"/>
                <w:color w:val="auto"/>
                <w:sz w:val="21"/>
                <w:highlight w:val="none"/>
              </w:rPr>
            </w:pPr>
          </w:p>
        </w:tc>
        <w:tc>
          <w:tcPr>
            <w:tcW w:w="1281" w:type="dxa"/>
            <w:vAlign w:val="top"/>
          </w:tcPr>
          <w:p w14:paraId="0CA1CB5C">
            <w:pPr>
              <w:rPr>
                <w:rFonts w:ascii="Arial"/>
                <w:color w:val="auto"/>
                <w:sz w:val="21"/>
                <w:highlight w:val="none"/>
              </w:rPr>
            </w:pPr>
          </w:p>
        </w:tc>
        <w:tc>
          <w:tcPr>
            <w:tcW w:w="2411" w:type="dxa"/>
            <w:vAlign w:val="top"/>
          </w:tcPr>
          <w:p w14:paraId="1850586F">
            <w:pPr>
              <w:rPr>
                <w:rFonts w:ascii="Arial"/>
                <w:color w:val="auto"/>
                <w:sz w:val="21"/>
                <w:highlight w:val="none"/>
              </w:rPr>
            </w:pPr>
          </w:p>
        </w:tc>
        <w:tc>
          <w:tcPr>
            <w:tcW w:w="704" w:type="dxa"/>
            <w:vAlign w:val="top"/>
          </w:tcPr>
          <w:p w14:paraId="3F032610">
            <w:pPr>
              <w:rPr>
                <w:rFonts w:ascii="Arial"/>
                <w:color w:val="auto"/>
                <w:sz w:val="21"/>
                <w:highlight w:val="none"/>
              </w:rPr>
            </w:pPr>
          </w:p>
        </w:tc>
      </w:tr>
      <w:tr w14:paraId="6E451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4C545507">
            <w:pPr>
              <w:rPr>
                <w:rFonts w:ascii="Arial"/>
                <w:color w:val="auto"/>
                <w:sz w:val="21"/>
                <w:highlight w:val="none"/>
              </w:rPr>
            </w:pPr>
          </w:p>
        </w:tc>
        <w:tc>
          <w:tcPr>
            <w:tcW w:w="1259" w:type="dxa"/>
            <w:vAlign w:val="top"/>
          </w:tcPr>
          <w:p w14:paraId="7C4CA1E2">
            <w:pPr>
              <w:rPr>
                <w:rFonts w:ascii="Arial"/>
                <w:color w:val="auto"/>
                <w:sz w:val="21"/>
                <w:highlight w:val="none"/>
              </w:rPr>
            </w:pPr>
          </w:p>
        </w:tc>
        <w:tc>
          <w:tcPr>
            <w:tcW w:w="1638" w:type="dxa"/>
            <w:vAlign w:val="top"/>
          </w:tcPr>
          <w:p w14:paraId="3D381FF8">
            <w:pPr>
              <w:rPr>
                <w:rFonts w:ascii="Arial"/>
                <w:color w:val="auto"/>
                <w:sz w:val="21"/>
                <w:highlight w:val="none"/>
              </w:rPr>
            </w:pPr>
          </w:p>
        </w:tc>
        <w:tc>
          <w:tcPr>
            <w:tcW w:w="1185" w:type="dxa"/>
            <w:vAlign w:val="top"/>
          </w:tcPr>
          <w:p w14:paraId="7FE36D45">
            <w:pPr>
              <w:rPr>
                <w:rFonts w:ascii="Arial"/>
                <w:color w:val="auto"/>
                <w:sz w:val="21"/>
                <w:highlight w:val="none"/>
              </w:rPr>
            </w:pPr>
          </w:p>
        </w:tc>
        <w:tc>
          <w:tcPr>
            <w:tcW w:w="1281" w:type="dxa"/>
            <w:vAlign w:val="top"/>
          </w:tcPr>
          <w:p w14:paraId="7967A0C3">
            <w:pPr>
              <w:rPr>
                <w:rFonts w:ascii="Arial"/>
                <w:color w:val="auto"/>
                <w:sz w:val="21"/>
                <w:highlight w:val="none"/>
              </w:rPr>
            </w:pPr>
          </w:p>
        </w:tc>
        <w:tc>
          <w:tcPr>
            <w:tcW w:w="2411" w:type="dxa"/>
            <w:vAlign w:val="top"/>
          </w:tcPr>
          <w:p w14:paraId="07657057">
            <w:pPr>
              <w:rPr>
                <w:rFonts w:ascii="Arial"/>
                <w:color w:val="auto"/>
                <w:sz w:val="21"/>
                <w:highlight w:val="none"/>
              </w:rPr>
            </w:pPr>
          </w:p>
        </w:tc>
        <w:tc>
          <w:tcPr>
            <w:tcW w:w="704" w:type="dxa"/>
            <w:vAlign w:val="top"/>
          </w:tcPr>
          <w:p w14:paraId="4D4ECDB8">
            <w:pPr>
              <w:rPr>
                <w:rFonts w:ascii="Arial"/>
                <w:color w:val="auto"/>
                <w:sz w:val="21"/>
                <w:highlight w:val="none"/>
              </w:rPr>
            </w:pPr>
          </w:p>
        </w:tc>
      </w:tr>
      <w:tr w14:paraId="74131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5B90A132">
            <w:pPr>
              <w:rPr>
                <w:rFonts w:ascii="Arial"/>
                <w:color w:val="auto"/>
                <w:sz w:val="21"/>
                <w:highlight w:val="none"/>
              </w:rPr>
            </w:pPr>
          </w:p>
        </w:tc>
        <w:tc>
          <w:tcPr>
            <w:tcW w:w="1259" w:type="dxa"/>
            <w:vAlign w:val="top"/>
          </w:tcPr>
          <w:p w14:paraId="38654DE1">
            <w:pPr>
              <w:rPr>
                <w:rFonts w:ascii="Arial"/>
                <w:color w:val="auto"/>
                <w:sz w:val="21"/>
                <w:highlight w:val="none"/>
              </w:rPr>
            </w:pPr>
          </w:p>
        </w:tc>
        <w:tc>
          <w:tcPr>
            <w:tcW w:w="1638" w:type="dxa"/>
            <w:vAlign w:val="top"/>
          </w:tcPr>
          <w:p w14:paraId="39622183">
            <w:pPr>
              <w:rPr>
                <w:rFonts w:ascii="Arial"/>
                <w:color w:val="auto"/>
                <w:sz w:val="21"/>
                <w:highlight w:val="none"/>
              </w:rPr>
            </w:pPr>
          </w:p>
        </w:tc>
        <w:tc>
          <w:tcPr>
            <w:tcW w:w="1185" w:type="dxa"/>
            <w:vAlign w:val="top"/>
          </w:tcPr>
          <w:p w14:paraId="7892D9B1">
            <w:pPr>
              <w:rPr>
                <w:rFonts w:ascii="Arial"/>
                <w:color w:val="auto"/>
                <w:sz w:val="21"/>
                <w:highlight w:val="none"/>
              </w:rPr>
            </w:pPr>
          </w:p>
        </w:tc>
        <w:tc>
          <w:tcPr>
            <w:tcW w:w="1281" w:type="dxa"/>
            <w:vAlign w:val="top"/>
          </w:tcPr>
          <w:p w14:paraId="75C9DB46">
            <w:pPr>
              <w:rPr>
                <w:rFonts w:ascii="Arial"/>
                <w:color w:val="auto"/>
                <w:sz w:val="21"/>
                <w:highlight w:val="none"/>
              </w:rPr>
            </w:pPr>
          </w:p>
        </w:tc>
        <w:tc>
          <w:tcPr>
            <w:tcW w:w="2411" w:type="dxa"/>
            <w:vAlign w:val="top"/>
          </w:tcPr>
          <w:p w14:paraId="495ABBAF">
            <w:pPr>
              <w:rPr>
                <w:rFonts w:ascii="Arial"/>
                <w:color w:val="auto"/>
                <w:sz w:val="21"/>
                <w:highlight w:val="none"/>
              </w:rPr>
            </w:pPr>
          </w:p>
        </w:tc>
        <w:tc>
          <w:tcPr>
            <w:tcW w:w="704" w:type="dxa"/>
            <w:vAlign w:val="top"/>
          </w:tcPr>
          <w:p w14:paraId="75D5369E">
            <w:pPr>
              <w:rPr>
                <w:rFonts w:ascii="Arial"/>
                <w:color w:val="auto"/>
                <w:sz w:val="21"/>
                <w:highlight w:val="none"/>
              </w:rPr>
            </w:pPr>
          </w:p>
        </w:tc>
      </w:tr>
      <w:tr w14:paraId="73245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7FD91B14">
            <w:pPr>
              <w:rPr>
                <w:rFonts w:ascii="Arial"/>
                <w:color w:val="auto"/>
                <w:sz w:val="21"/>
                <w:highlight w:val="none"/>
              </w:rPr>
            </w:pPr>
          </w:p>
        </w:tc>
        <w:tc>
          <w:tcPr>
            <w:tcW w:w="1259" w:type="dxa"/>
            <w:vAlign w:val="top"/>
          </w:tcPr>
          <w:p w14:paraId="3B1AA730">
            <w:pPr>
              <w:rPr>
                <w:rFonts w:ascii="Arial"/>
                <w:color w:val="auto"/>
                <w:sz w:val="21"/>
                <w:highlight w:val="none"/>
              </w:rPr>
            </w:pPr>
          </w:p>
        </w:tc>
        <w:tc>
          <w:tcPr>
            <w:tcW w:w="1638" w:type="dxa"/>
            <w:vAlign w:val="top"/>
          </w:tcPr>
          <w:p w14:paraId="7137B1D9">
            <w:pPr>
              <w:rPr>
                <w:rFonts w:ascii="Arial"/>
                <w:color w:val="auto"/>
                <w:sz w:val="21"/>
                <w:highlight w:val="none"/>
              </w:rPr>
            </w:pPr>
          </w:p>
        </w:tc>
        <w:tc>
          <w:tcPr>
            <w:tcW w:w="1185" w:type="dxa"/>
            <w:vAlign w:val="top"/>
          </w:tcPr>
          <w:p w14:paraId="6D98C11D">
            <w:pPr>
              <w:rPr>
                <w:rFonts w:ascii="Arial"/>
                <w:color w:val="auto"/>
                <w:sz w:val="21"/>
                <w:highlight w:val="none"/>
              </w:rPr>
            </w:pPr>
          </w:p>
        </w:tc>
        <w:tc>
          <w:tcPr>
            <w:tcW w:w="1281" w:type="dxa"/>
            <w:vAlign w:val="top"/>
          </w:tcPr>
          <w:p w14:paraId="20B6A18C">
            <w:pPr>
              <w:rPr>
                <w:rFonts w:ascii="Arial"/>
                <w:color w:val="auto"/>
                <w:sz w:val="21"/>
                <w:highlight w:val="none"/>
              </w:rPr>
            </w:pPr>
          </w:p>
        </w:tc>
        <w:tc>
          <w:tcPr>
            <w:tcW w:w="2411" w:type="dxa"/>
            <w:vAlign w:val="top"/>
          </w:tcPr>
          <w:p w14:paraId="50C29611">
            <w:pPr>
              <w:rPr>
                <w:rFonts w:ascii="Arial"/>
                <w:color w:val="auto"/>
                <w:sz w:val="21"/>
                <w:highlight w:val="none"/>
              </w:rPr>
            </w:pPr>
          </w:p>
        </w:tc>
        <w:tc>
          <w:tcPr>
            <w:tcW w:w="704" w:type="dxa"/>
            <w:vAlign w:val="top"/>
          </w:tcPr>
          <w:p w14:paraId="6C10DC06">
            <w:pPr>
              <w:rPr>
                <w:rFonts w:ascii="Arial"/>
                <w:color w:val="auto"/>
                <w:sz w:val="21"/>
                <w:highlight w:val="none"/>
              </w:rPr>
            </w:pPr>
          </w:p>
        </w:tc>
      </w:tr>
      <w:tr w14:paraId="6CDB0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538B847D">
            <w:pPr>
              <w:rPr>
                <w:rFonts w:ascii="Arial"/>
                <w:color w:val="auto"/>
                <w:sz w:val="21"/>
                <w:highlight w:val="none"/>
              </w:rPr>
            </w:pPr>
          </w:p>
        </w:tc>
        <w:tc>
          <w:tcPr>
            <w:tcW w:w="1259" w:type="dxa"/>
            <w:vAlign w:val="top"/>
          </w:tcPr>
          <w:p w14:paraId="6CCFB405">
            <w:pPr>
              <w:rPr>
                <w:rFonts w:ascii="Arial"/>
                <w:color w:val="auto"/>
                <w:sz w:val="21"/>
                <w:highlight w:val="none"/>
              </w:rPr>
            </w:pPr>
          </w:p>
        </w:tc>
        <w:tc>
          <w:tcPr>
            <w:tcW w:w="1638" w:type="dxa"/>
            <w:vAlign w:val="top"/>
          </w:tcPr>
          <w:p w14:paraId="44E07180">
            <w:pPr>
              <w:rPr>
                <w:rFonts w:ascii="Arial"/>
                <w:color w:val="auto"/>
                <w:sz w:val="21"/>
                <w:highlight w:val="none"/>
              </w:rPr>
            </w:pPr>
          </w:p>
        </w:tc>
        <w:tc>
          <w:tcPr>
            <w:tcW w:w="1185" w:type="dxa"/>
            <w:vAlign w:val="top"/>
          </w:tcPr>
          <w:p w14:paraId="27B9BA50">
            <w:pPr>
              <w:rPr>
                <w:rFonts w:ascii="Arial"/>
                <w:color w:val="auto"/>
                <w:sz w:val="21"/>
                <w:highlight w:val="none"/>
              </w:rPr>
            </w:pPr>
          </w:p>
        </w:tc>
        <w:tc>
          <w:tcPr>
            <w:tcW w:w="1281" w:type="dxa"/>
            <w:vAlign w:val="top"/>
          </w:tcPr>
          <w:p w14:paraId="0F4C1FB2">
            <w:pPr>
              <w:rPr>
                <w:rFonts w:ascii="Arial"/>
                <w:color w:val="auto"/>
                <w:sz w:val="21"/>
                <w:highlight w:val="none"/>
              </w:rPr>
            </w:pPr>
          </w:p>
        </w:tc>
        <w:tc>
          <w:tcPr>
            <w:tcW w:w="2411" w:type="dxa"/>
            <w:vAlign w:val="top"/>
          </w:tcPr>
          <w:p w14:paraId="48291D22">
            <w:pPr>
              <w:rPr>
                <w:rFonts w:ascii="Arial"/>
                <w:color w:val="auto"/>
                <w:sz w:val="21"/>
                <w:highlight w:val="none"/>
              </w:rPr>
            </w:pPr>
          </w:p>
        </w:tc>
        <w:tc>
          <w:tcPr>
            <w:tcW w:w="704" w:type="dxa"/>
            <w:vAlign w:val="top"/>
          </w:tcPr>
          <w:p w14:paraId="0B4B9434">
            <w:pPr>
              <w:rPr>
                <w:rFonts w:ascii="Arial"/>
                <w:color w:val="auto"/>
                <w:sz w:val="21"/>
                <w:highlight w:val="none"/>
              </w:rPr>
            </w:pPr>
          </w:p>
        </w:tc>
      </w:tr>
      <w:tr w14:paraId="489F1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27EDAEB2">
            <w:pPr>
              <w:rPr>
                <w:rFonts w:ascii="Arial"/>
                <w:color w:val="auto"/>
                <w:sz w:val="21"/>
                <w:highlight w:val="none"/>
              </w:rPr>
            </w:pPr>
          </w:p>
        </w:tc>
        <w:tc>
          <w:tcPr>
            <w:tcW w:w="1259" w:type="dxa"/>
            <w:vAlign w:val="top"/>
          </w:tcPr>
          <w:p w14:paraId="17337363">
            <w:pPr>
              <w:rPr>
                <w:rFonts w:ascii="Arial"/>
                <w:color w:val="auto"/>
                <w:sz w:val="21"/>
                <w:highlight w:val="none"/>
              </w:rPr>
            </w:pPr>
          </w:p>
        </w:tc>
        <w:tc>
          <w:tcPr>
            <w:tcW w:w="1638" w:type="dxa"/>
            <w:vAlign w:val="top"/>
          </w:tcPr>
          <w:p w14:paraId="0E3BA840">
            <w:pPr>
              <w:rPr>
                <w:rFonts w:ascii="Arial"/>
                <w:color w:val="auto"/>
                <w:sz w:val="21"/>
                <w:highlight w:val="none"/>
              </w:rPr>
            </w:pPr>
          </w:p>
        </w:tc>
        <w:tc>
          <w:tcPr>
            <w:tcW w:w="1185" w:type="dxa"/>
            <w:vAlign w:val="top"/>
          </w:tcPr>
          <w:p w14:paraId="7B46922B">
            <w:pPr>
              <w:rPr>
                <w:rFonts w:ascii="Arial"/>
                <w:color w:val="auto"/>
                <w:sz w:val="21"/>
                <w:highlight w:val="none"/>
              </w:rPr>
            </w:pPr>
          </w:p>
        </w:tc>
        <w:tc>
          <w:tcPr>
            <w:tcW w:w="1281" w:type="dxa"/>
            <w:vAlign w:val="top"/>
          </w:tcPr>
          <w:p w14:paraId="07477716">
            <w:pPr>
              <w:rPr>
                <w:rFonts w:ascii="Arial"/>
                <w:color w:val="auto"/>
                <w:sz w:val="21"/>
                <w:highlight w:val="none"/>
              </w:rPr>
            </w:pPr>
          </w:p>
        </w:tc>
        <w:tc>
          <w:tcPr>
            <w:tcW w:w="2411" w:type="dxa"/>
            <w:vAlign w:val="top"/>
          </w:tcPr>
          <w:p w14:paraId="39783337">
            <w:pPr>
              <w:rPr>
                <w:rFonts w:ascii="Arial"/>
                <w:color w:val="auto"/>
                <w:sz w:val="21"/>
                <w:highlight w:val="none"/>
              </w:rPr>
            </w:pPr>
          </w:p>
        </w:tc>
        <w:tc>
          <w:tcPr>
            <w:tcW w:w="704" w:type="dxa"/>
            <w:vAlign w:val="top"/>
          </w:tcPr>
          <w:p w14:paraId="2731DD7C">
            <w:pPr>
              <w:rPr>
                <w:rFonts w:ascii="Arial"/>
                <w:color w:val="auto"/>
                <w:sz w:val="21"/>
                <w:highlight w:val="none"/>
              </w:rPr>
            </w:pPr>
          </w:p>
        </w:tc>
      </w:tr>
      <w:tr w14:paraId="60B0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0D26FD47">
            <w:pPr>
              <w:rPr>
                <w:rFonts w:ascii="Arial"/>
                <w:color w:val="auto"/>
                <w:sz w:val="21"/>
                <w:highlight w:val="none"/>
              </w:rPr>
            </w:pPr>
          </w:p>
        </w:tc>
        <w:tc>
          <w:tcPr>
            <w:tcW w:w="1259" w:type="dxa"/>
            <w:vAlign w:val="top"/>
          </w:tcPr>
          <w:p w14:paraId="5F13901A">
            <w:pPr>
              <w:rPr>
                <w:rFonts w:ascii="Arial"/>
                <w:color w:val="auto"/>
                <w:sz w:val="21"/>
                <w:highlight w:val="none"/>
              </w:rPr>
            </w:pPr>
          </w:p>
        </w:tc>
        <w:tc>
          <w:tcPr>
            <w:tcW w:w="1638" w:type="dxa"/>
            <w:vAlign w:val="top"/>
          </w:tcPr>
          <w:p w14:paraId="7C748172">
            <w:pPr>
              <w:rPr>
                <w:rFonts w:ascii="Arial"/>
                <w:color w:val="auto"/>
                <w:sz w:val="21"/>
                <w:highlight w:val="none"/>
              </w:rPr>
            </w:pPr>
          </w:p>
        </w:tc>
        <w:tc>
          <w:tcPr>
            <w:tcW w:w="1185" w:type="dxa"/>
            <w:vAlign w:val="top"/>
          </w:tcPr>
          <w:p w14:paraId="16ACE5C8">
            <w:pPr>
              <w:rPr>
                <w:rFonts w:ascii="Arial"/>
                <w:color w:val="auto"/>
                <w:sz w:val="21"/>
                <w:highlight w:val="none"/>
              </w:rPr>
            </w:pPr>
          </w:p>
        </w:tc>
        <w:tc>
          <w:tcPr>
            <w:tcW w:w="1281" w:type="dxa"/>
            <w:vAlign w:val="top"/>
          </w:tcPr>
          <w:p w14:paraId="30E3D80D">
            <w:pPr>
              <w:rPr>
                <w:rFonts w:ascii="Arial"/>
                <w:color w:val="auto"/>
                <w:sz w:val="21"/>
                <w:highlight w:val="none"/>
              </w:rPr>
            </w:pPr>
          </w:p>
        </w:tc>
        <w:tc>
          <w:tcPr>
            <w:tcW w:w="2411" w:type="dxa"/>
            <w:vAlign w:val="top"/>
          </w:tcPr>
          <w:p w14:paraId="5B74B5B5">
            <w:pPr>
              <w:rPr>
                <w:rFonts w:ascii="Arial"/>
                <w:color w:val="auto"/>
                <w:sz w:val="21"/>
                <w:highlight w:val="none"/>
              </w:rPr>
            </w:pPr>
          </w:p>
        </w:tc>
        <w:tc>
          <w:tcPr>
            <w:tcW w:w="704" w:type="dxa"/>
            <w:vAlign w:val="top"/>
          </w:tcPr>
          <w:p w14:paraId="774D67DB">
            <w:pPr>
              <w:rPr>
                <w:rFonts w:ascii="Arial"/>
                <w:color w:val="auto"/>
                <w:sz w:val="21"/>
                <w:highlight w:val="none"/>
              </w:rPr>
            </w:pPr>
          </w:p>
        </w:tc>
      </w:tr>
      <w:tr w14:paraId="45DBB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64F03B48">
            <w:pPr>
              <w:rPr>
                <w:rFonts w:ascii="Arial"/>
                <w:color w:val="auto"/>
                <w:sz w:val="21"/>
                <w:highlight w:val="none"/>
              </w:rPr>
            </w:pPr>
          </w:p>
        </w:tc>
        <w:tc>
          <w:tcPr>
            <w:tcW w:w="1259" w:type="dxa"/>
            <w:vAlign w:val="top"/>
          </w:tcPr>
          <w:p w14:paraId="14480C27">
            <w:pPr>
              <w:rPr>
                <w:rFonts w:ascii="Arial"/>
                <w:color w:val="auto"/>
                <w:sz w:val="21"/>
                <w:highlight w:val="none"/>
              </w:rPr>
            </w:pPr>
          </w:p>
        </w:tc>
        <w:tc>
          <w:tcPr>
            <w:tcW w:w="1638" w:type="dxa"/>
            <w:vAlign w:val="top"/>
          </w:tcPr>
          <w:p w14:paraId="27FB8FCA">
            <w:pPr>
              <w:rPr>
                <w:rFonts w:ascii="Arial"/>
                <w:color w:val="auto"/>
                <w:sz w:val="21"/>
                <w:highlight w:val="none"/>
              </w:rPr>
            </w:pPr>
          </w:p>
        </w:tc>
        <w:tc>
          <w:tcPr>
            <w:tcW w:w="1185" w:type="dxa"/>
            <w:vAlign w:val="top"/>
          </w:tcPr>
          <w:p w14:paraId="6B839F28">
            <w:pPr>
              <w:rPr>
                <w:rFonts w:ascii="Arial"/>
                <w:color w:val="auto"/>
                <w:sz w:val="21"/>
                <w:highlight w:val="none"/>
              </w:rPr>
            </w:pPr>
          </w:p>
        </w:tc>
        <w:tc>
          <w:tcPr>
            <w:tcW w:w="1281" w:type="dxa"/>
            <w:vAlign w:val="top"/>
          </w:tcPr>
          <w:p w14:paraId="5A54FCFB">
            <w:pPr>
              <w:rPr>
                <w:rFonts w:ascii="Arial"/>
                <w:color w:val="auto"/>
                <w:sz w:val="21"/>
                <w:highlight w:val="none"/>
              </w:rPr>
            </w:pPr>
          </w:p>
        </w:tc>
        <w:tc>
          <w:tcPr>
            <w:tcW w:w="2411" w:type="dxa"/>
            <w:vAlign w:val="top"/>
          </w:tcPr>
          <w:p w14:paraId="187B063D">
            <w:pPr>
              <w:rPr>
                <w:rFonts w:ascii="Arial"/>
                <w:color w:val="auto"/>
                <w:sz w:val="21"/>
                <w:highlight w:val="none"/>
              </w:rPr>
            </w:pPr>
          </w:p>
        </w:tc>
        <w:tc>
          <w:tcPr>
            <w:tcW w:w="704" w:type="dxa"/>
            <w:vAlign w:val="top"/>
          </w:tcPr>
          <w:p w14:paraId="6BC9AF3F">
            <w:pPr>
              <w:rPr>
                <w:rFonts w:ascii="Arial"/>
                <w:color w:val="auto"/>
                <w:sz w:val="21"/>
                <w:highlight w:val="none"/>
              </w:rPr>
            </w:pPr>
          </w:p>
        </w:tc>
      </w:tr>
      <w:tr w14:paraId="1A18F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5D83DC08">
            <w:pPr>
              <w:rPr>
                <w:rFonts w:ascii="Arial"/>
                <w:color w:val="auto"/>
                <w:sz w:val="21"/>
                <w:highlight w:val="none"/>
              </w:rPr>
            </w:pPr>
          </w:p>
        </w:tc>
        <w:tc>
          <w:tcPr>
            <w:tcW w:w="1259" w:type="dxa"/>
            <w:vAlign w:val="top"/>
          </w:tcPr>
          <w:p w14:paraId="3FC179BA">
            <w:pPr>
              <w:rPr>
                <w:rFonts w:ascii="Arial"/>
                <w:color w:val="auto"/>
                <w:sz w:val="21"/>
                <w:highlight w:val="none"/>
              </w:rPr>
            </w:pPr>
          </w:p>
        </w:tc>
        <w:tc>
          <w:tcPr>
            <w:tcW w:w="1638" w:type="dxa"/>
            <w:vAlign w:val="top"/>
          </w:tcPr>
          <w:p w14:paraId="3A9F21A3">
            <w:pPr>
              <w:rPr>
                <w:rFonts w:ascii="Arial"/>
                <w:color w:val="auto"/>
                <w:sz w:val="21"/>
                <w:highlight w:val="none"/>
              </w:rPr>
            </w:pPr>
          </w:p>
        </w:tc>
        <w:tc>
          <w:tcPr>
            <w:tcW w:w="1185" w:type="dxa"/>
            <w:vAlign w:val="top"/>
          </w:tcPr>
          <w:p w14:paraId="0B296E2D">
            <w:pPr>
              <w:rPr>
                <w:rFonts w:ascii="Arial"/>
                <w:color w:val="auto"/>
                <w:sz w:val="21"/>
                <w:highlight w:val="none"/>
              </w:rPr>
            </w:pPr>
          </w:p>
        </w:tc>
        <w:tc>
          <w:tcPr>
            <w:tcW w:w="1281" w:type="dxa"/>
            <w:vAlign w:val="top"/>
          </w:tcPr>
          <w:p w14:paraId="7F7FC5A5">
            <w:pPr>
              <w:rPr>
                <w:rFonts w:ascii="Arial"/>
                <w:color w:val="auto"/>
                <w:sz w:val="21"/>
                <w:highlight w:val="none"/>
              </w:rPr>
            </w:pPr>
          </w:p>
        </w:tc>
        <w:tc>
          <w:tcPr>
            <w:tcW w:w="2411" w:type="dxa"/>
            <w:vAlign w:val="top"/>
          </w:tcPr>
          <w:p w14:paraId="4526BD4E">
            <w:pPr>
              <w:rPr>
                <w:rFonts w:ascii="Arial"/>
                <w:color w:val="auto"/>
                <w:sz w:val="21"/>
                <w:highlight w:val="none"/>
              </w:rPr>
            </w:pPr>
          </w:p>
        </w:tc>
        <w:tc>
          <w:tcPr>
            <w:tcW w:w="704" w:type="dxa"/>
            <w:vAlign w:val="top"/>
          </w:tcPr>
          <w:p w14:paraId="62581549">
            <w:pPr>
              <w:rPr>
                <w:rFonts w:ascii="Arial"/>
                <w:color w:val="auto"/>
                <w:sz w:val="21"/>
                <w:highlight w:val="none"/>
              </w:rPr>
            </w:pPr>
          </w:p>
        </w:tc>
      </w:tr>
      <w:tr w14:paraId="79130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32" w:type="dxa"/>
            <w:vAlign w:val="top"/>
          </w:tcPr>
          <w:p w14:paraId="4AB875A6">
            <w:pPr>
              <w:rPr>
                <w:rFonts w:ascii="Arial"/>
                <w:color w:val="auto"/>
                <w:sz w:val="21"/>
                <w:highlight w:val="none"/>
              </w:rPr>
            </w:pPr>
          </w:p>
        </w:tc>
        <w:tc>
          <w:tcPr>
            <w:tcW w:w="1259" w:type="dxa"/>
            <w:vAlign w:val="top"/>
          </w:tcPr>
          <w:p w14:paraId="1F192A17">
            <w:pPr>
              <w:rPr>
                <w:rFonts w:ascii="Arial"/>
                <w:color w:val="auto"/>
                <w:sz w:val="21"/>
                <w:highlight w:val="none"/>
              </w:rPr>
            </w:pPr>
          </w:p>
        </w:tc>
        <w:tc>
          <w:tcPr>
            <w:tcW w:w="1638" w:type="dxa"/>
            <w:vAlign w:val="top"/>
          </w:tcPr>
          <w:p w14:paraId="66C008CB">
            <w:pPr>
              <w:rPr>
                <w:rFonts w:ascii="Arial"/>
                <w:color w:val="auto"/>
                <w:sz w:val="21"/>
                <w:highlight w:val="none"/>
              </w:rPr>
            </w:pPr>
          </w:p>
        </w:tc>
        <w:tc>
          <w:tcPr>
            <w:tcW w:w="1185" w:type="dxa"/>
            <w:vAlign w:val="top"/>
          </w:tcPr>
          <w:p w14:paraId="1288F965">
            <w:pPr>
              <w:rPr>
                <w:rFonts w:ascii="Arial"/>
                <w:color w:val="auto"/>
                <w:sz w:val="21"/>
                <w:highlight w:val="none"/>
              </w:rPr>
            </w:pPr>
          </w:p>
        </w:tc>
        <w:tc>
          <w:tcPr>
            <w:tcW w:w="1281" w:type="dxa"/>
            <w:vAlign w:val="top"/>
          </w:tcPr>
          <w:p w14:paraId="66814688">
            <w:pPr>
              <w:rPr>
                <w:rFonts w:ascii="Arial"/>
                <w:color w:val="auto"/>
                <w:sz w:val="21"/>
                <w:highlight w:val="none"/>
              </w:rPr>
            </w:pPr>
          </w:p>
        </w:tc>
        <w:tc>
          <w:tcPr>
            <w:tcW w:w="2411" w:type="dxa"/>
            <w:vAlign w:val="top"/>
          </w:tcPr>
          <w:p w14:paraId="50DEFFA0">
            <w:pPr>
              <w:rPr>
                <w:rFonts w:ascii="Arial"/>
                <w:color w:val="auto"/>
                <w:sz w:val="21"/>
                <w:highlight w:val="none"/>
              </w:rPr>
            </w:pPr>
          </w:p>
        </w:tc>
        <w:tc>
          <w:tcPr>
            <w:tcW w:w="704" w:type="dxa"/>
            <w:vAlign w:val="top"/>
          </w:tcPr>
          <w:p w14:paraId="44063F0A">
            <w:pPr>
              <w:rPr>
                <w:rFonts w:ascii="Arial"/>
                <w:color w:val="auto"/>
                <w:sz w:val="21"/>
                <w:highlight w:val="none"/>
              </w:rPr>
            </w:pPr>
          </w:p>
        </w:tc>
      </w:tr>
    </w:tbl>
    <w:p w14:paraId="435F1887">
      <w:pPr>
        <w:pStyle w:val="6"/>
        <w:spacing w:line="307" w:lineRule="auto"/>
        <w:rPr>
          <w:color w:val="auto"/>
          <w:highlight w:val="none"/>
        </w:rPr>
      </w:pPr>
    </w:p>
    <w:p w14:paraId="1D92D9E4">
      <w:pPr>
        <w:pStyle w:val="6"/>
        <w:spacing w:line="307" w:lineRule="auto"/>
        <w:rPr>
          <w:color w:val="auto"/>
          <w:highlight w:val="none"/>
        </w:rPr>
      </w:pPr>
    </w:p>
    <w:p w14:paraId="2B69674D">
      <w:pPr>
        <w:spacing w:before="90" w:line="213" w:lineRule="auto"/>
        <w:ind w:left="1065" w:right="1963"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5F3A0962">
      <w:pPr>
        <w:pStyle w:val="6"/>
        <w:spacing w:line="283" w:lineRule="auto"/>
        <w:rPr>
          <w:color w:val="auto"/>
          <w:highlight w:val="none"/>
        </w:rPr>
      </w:pPr>
    </w:p>
    <w:p w14:paraId="51D6E853">
      <w:pPr>
        <w:pStyle w:val="6"/>
        <w:spacing w:line="283" w:lineRule="auto"/>
        <w:rPr>
          <w:color w:val="auto"/>
          <w:highlight w:val="none"/>
        </w:rPr>
      </w:pPr>
    </w:p>
    <w:p w14:paraId="60C13FBD">
      <w:pPr>
        <w:spacing w:before="91" w:line="215" w:lineRule="auto"/>
        <w:ind w:left="1605" w:right="524" w:hanging="53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注：</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1、请按所投标产品的实际品牌型号及其技术参数性能（配置</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逐条对应采购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文件《技术规格、数量及质量要求》中的要求认真填写本表。</w:t>
      </w:r>
    </w:p>
    <w:p w14:paraId="428BACAB">
      <w:pPr>
        <w:spacing w:before="5" w:line="215" w:lineRule="auto"/>
        <w:ind w:left="1608" w:right="522" w:hanging="12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2、此表投标技术规格与产品检验报告证书的技术指标不符的，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 xml:space="preserve">以产品检验报告 </w:t>
      </w:r>
      <w:bookmarkStart w:id="172" w:name="bookmark128"/>
      <w:bookmarkEnd w:id="172"/>
      <w:r>
        <w:rPr>
          <w:rFonts w:ascii="微软雅黑" w:hAnsi="微软雅黑" w:eastAsia="微软雅黑" w:cs="微软雅黑"/>
          <w:color w:val="auto"/>
          <w:spacing w:val="1"/>
          <w:sz w:val="21"/>
          <w:szCs w:val="21"/>
          <w:highlight w:val="none"/>
        </w:rPr>
        <w:t>证书的技术指标为准。</w:t>
      </w:r>
    </w:p>
    <w:p w14:paraId="476CD28A">
      <w:pPr>
        <w:pStyle w:val="6"/>
        <w:spacing w:line="262" w:lineRule="auto"/>
        <w:rPr>
          <w:color w:val="auto"/>
          <w:highlight w:val="none"/>
        </w:rPr>
      </w:pPr>
    </w:p>
    <w:p w14:paraId="397A81C2">
      <w:pPr>
        <w:pStyle w:val="6"/>
        <w:spacing w:line="262" w:lineRule="auto"/>
        <w:rPr>
          <w:color w:val="auto"/>
          <w:highlight w:val="none"/>
        </w:rPr>
      </w:pPr>
    </w:p>
    <w:p w14:paraId="268E3A36">
      <w:pPr>
        <w:pStyle w:val="6"/>
        <w:spacing w:line="263" w:lineRule="auto"/>
        <w:rPr>
          <w:color w:val="auto"/>
          <w:highlight w:val="none"/>
        </w:rPr>
      </w:pPr>
    </w:p>
    <w:p w14:paraId="088294C7">
      <w:pPr>
        <w:pStyle w:val="6"/>
        <w:spacing w:line="263" w:lineRule="auto"/>
        <w:rPr>
          <w:color w:val="auto"/>
          <w:highlight w:val="none"/>
        </w:rPr>
      </w:pPr>
    </w:p>
    <w:p w14:paraId="3FBF9273">
      <w:pPr>
        <w:spacing w:line="219" w:lineRule="auto"/>
        <w:rPr>
          <w:rFonts w:ascii="Times New Roman" w:hAnsi="Times New Roman" w:eastAsia="Times New Roman" w:cs="Times New Roman"/>
          <w:color w:val="auto"/>
          <w:sz w:val="18"/>
          <w:szCs w:val="18"/>
          <w:highlight w:val="none"/>
        </w:rPr>
        <w:sectPr>
          <w:pgSz w:w="11905" w:h="16839"/>
          <w:pgMar w:top="400" w:right="1292" w:bottom="400" w:left="1292" w:header="0" w:footer="0" w:gutter="0"/>
          <w:cols w:space="720" w:num="1"/>
        </w:sectPr>
      </w:pPr>
    </w:p>
    <w:p w14:paraId="3EE72737">
      <w:pPr>
        <w:pStyle w:val="6"/>
        <w:spacing w:line="447" w:lineRule="auto"/>
        <w:rPr>
          <w:color w:val="auto"/>
          <w:highlight w:val="none"/>
        </w:rPr>
      </w:pPr>
    </w:p>
    <w:p w14:paraId="21FE726D">
      <w:pPr>
        <w:spacing w:line="884" w:lineRule="exact"/>
        <w:ind w:firstLine="313"/>
        <w:rPr>
          <w:color w:val="auto"/>
          <w:highlight w:val="none"/>
        </w:rPr>
      </w:pPr>
      <w:r>
        <w:rPr>
          <w:color w:val="auto"/>
          <w:highlight w:val="none"/>
        </w:rPr>
        <w:pict>
          <v:shape id="_x0000_s1079" o:spid="_x0000_s1079" style="position:absolute;left:0pt;margin-left:14.45pt;margin-top:44.45pt;height:0.5pt;width:418.5pt;z-index:251691008;mso-width-relative:page;mso-height-relative:page;" filled="f" stroked="t" coordsize="8370,10" path="m0,5l8369,5e">
            <v:fill on="f" focussize="0,0"/>
            <v:stroke weight="0.5pt" color="#FFFFFF" miterlimit="10" joinstyle="miter"/>
            <v:imagedata o:title=""/>
            <o:lock v:ext="edit" aspectratio="f"/>
          </v:shape>
        </w:pict>
      </w:r>
    </w:p>
    <w:p w14:paraId="34DE38EB">
      <w:pPr>
        <w:spacing w:before="68" w:line="184" w:lineRule="auto"/>
        <w:ind w:left="304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5、商务条款偏离表（格式八）</w:t>
      </w:r>
    </w:p>
    <w:p w14:paraId="130769A8">
      <w:pPr>
        <w:pStyle w:val="6"/>
        <w:spacing w:line="302" w:lineRule="auto"/>
        <w:rPr>
          <w:color w:val="auto"/>
          <w:highlight w:val="none"/>
        </w:rPr>
      </w:pPr>
    </w:p>
    <w:p w14:paraId="2C6A2805">
      <w:pPr>
        <w:pStyle w:val="6"/>
        <w:spacing w:line="303" w:lineRule="auto"/>
        <w:rPr>
          <w:color w:val="auto"/>
          <w:highlight w:val="none"/>
        </w:rPr>
      </w:pPr>
    </w:p>
    <w:p w14:paraId="1C3749F3">
      <w:pPr>
        <w:spacing w:before="90" w:line="177" w:lineRule="auto"/>
        <w:ind w:left="8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项目名称:                                    招标编号</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tbl>
      <w:tblPr>
        <w:tblStyle w:val="11"/>
        <w:tblW w:w="89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2"/>
        <w:gridCol w:w="2038"/>
        <w:gridCol w:w="2517"/>
        <w:gridCol w:w="2517"/>
        <w:gridCol w:w="904"/>
      </w:tblGrid>
      <w:tr w14:paraId="1AE0E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952" w:type="dxa"/>
            <w:vAlign w:val="top"/>
          </w:tcPr>
          <w:p w14:paraId="4656078E">
            <w:pPr>
              <w:pStyle w:val="12"/>
              <w:spacing w:before="59" w:line="188" w:lineRule="auto"/>
              <w:ind w:left="269"/>
              <w:rPr>
                <w:color w:val="auto"/>
                <w:highlight w:val="none"/>
              </w:rPr>
            </w:pPr>
            <w:r>
              <w:rPr>
                <w:color w:val="auto"/>
                <w:spacing w:val="-5"/>
                <w:w w:val="99"/>
                <w:highlight w:val="none"/>
              </w:rPr>
              <w:t>序号</w:t>
            </w:r>
          </w:p>
        </w:tc>
        <w:tc>
          <w:tcPr>
            <w:tcW w:w="2038" w:type="dxa"/>
            <w:vAlign w:val="top"/>
          </w:tcPr>
          <w:p w14:paraId="0AC303F9">
            <w:pPr>
              <w:pStyle w:val="12"/>
              <w:spacing w:before="58" w:line="189" w:lineRule="auto"/>
              <w:ind w:left="278"/>
              <w:rPr>
                <w:color w:val="auto"/>
                <w:highlight w:val="none"/>
              </w:rPr>
            </w:pPr>
            <w:r>
              <w:rPr>
                <w:color w:val="auto"/>
                <w:highlight w:val="none"/>
              </w:rPr>
              <w:t>招标文件条款号</w:t>
            </w:r>
          </w:p>
        </w:tc>
        <w:tc>
          <w:tcPr>
            <w:tcW w:w="2517" w:type="dxa"/>
            <w:vAlign w:val="top"/>
          </w:tcPr>
          <w:p w14:paraId="703775F2">
            <w:pPr>
              <w:pStyle w:val="12"/>
              <w:spacing w:before="58" w:line="188" w:lineRule="auto"/>
              <w:ind w:left="307"/>
              <w:rPr>
                <w:color w:val="auto"/>
                <w:highlight w:val="none"/>
              </w:rPr>
            </w:pPr>
            <w:r>
              <w:rPr>
                <w:color w:val="auto"/>
                <w:spacing w:val="1"/>
                <w:highlight w:val="none"/>
              </w:rPr>
              <w:t>招标文件的商务条款</w:t>
            </w:r>
          </w:p>
        </w:tc>
        <w:tc>
          <w:tcPr>
            <w:tcW w:w="2517" w:type="dxa"/>
            <w:vAlign w:val="top"/>
          </w:tcPr>
          <w:p w14:paraId="655C00B9">
            <w:pPr>
              <w:pStyle w:val="12"/>
              <w:spacing w:before="58" w:line="188" w:lineRule="auto"/>
              <w:ind w:left="310"/>
              <w:rPr>
                <w:color w:val="auto"/>
                <w:highlight w:val="none"/>
              </w:rPr>
            </w:pPr>
            <w:r>
              <w:rPr>
                <w:color w:val="auto"/>
                <w:spacing w:val="1"/>
                <w:highlight w:val="none"/>
              </w:rPr>
              <w:t>投标文件的商务条款</w:t>
            </w:r>
          </w:p>
        </w:tc>
        <w:tc>
          <w:tcPr>
            <w:tcW w:w="904" w:type="dxa"/>
            <w:vAlign w:val="top"/>
          </w:tcPr>
          <w:p w14:paraId="4EDDBB99">
            <w:pPr>
              <w:pStyle w:val="12"/>
              <w:spacing w:before="59" w:line="188" w:lineRule="auto"/>
              <w:ind w:left="250"/>
              <w:rPr>
                <w:color w:val="auto"/>
                <w:highlight w:val="none"/>
              </w:rPr>
            </w:pPr>
            <w:r>
              <w:rPr>
                <w:color w:val="auto"/>
                <w:spacing w:val="-6"/>
                <w:highlight w:val="none"/>
              </w:rPr>
              <w:t>说明</w:t>
            </w:r>
          </w:p>
        </w:tc>
      </w:tr>
      <w:tr w14:paraId="06B6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7B222945">
            <w:pPr>
              <w:rPr>
                <w:rFonts w:ascii="Arial"/>
                <w:color w:val="auto"/>
                <w:sz w:val="21"/>
                <w:highlight w:val="none"/>
              </w:rPr>
            </w:pPr>
          </w:p>
        </w:tc>
        <w:tc>
          <w:tcPr>
            <w:tcW w:w="2038" w:type="dxa"/>
            <w:vAlign w:val="top"/>
          </w:tcPr>
          <w:p w14:paraId="010F2677">
            <w:pPr>
              <w:rPr>
                <w:rFonts w:ascii="Arial"/>
                <w:color w:val="auto"/>
                <w:sz w:val="21"/>
                <w:highlight w:val="none"/>
              </w:rPr>
            </w:pPr>
          </w:p>
        </w:tc>
        <w:tc>
          <w:tcPr>
            <w:tcW w:w="2517" w:type="dxa"/>
            <w:vAlign w:val="top"/>
          </w:tcPr>
          <w:p w14:paraId="380F446D">
            <w:pPr>
              <w:rPr>
                <w:rFonts w:ascii="Arial"/>
                <w:color w:val="auto"/>
                <w:sz w:val="21"/>
                <w:highlight w:val="none"/>
              </w:rPr>
            </w:pPr>
          </w:p>
        </w:tc>
        <w:tc>
          <w:tcPr>
            <w:tcW w:w="2517" w:type="dxa"/>
            <w:vAlign w:val="top"/>
          </w:tcPr>
          <w:p w14:paraId="7D947008">
            <w:pPr>
              <w:rPr>
                <w:rFonts w:ascii="Arial"/>
                <w:color w:val="auto"/>
                <w:sz w:val="21"/>
                <w:highlight w:val="none"/>
              </w:rPr>
            </w:pPr>
          </w:p>
        </w:tc>
        <w:tc>
          <w:tcPr>
            <w:tcW w:w="904" w:type="dxa"/>
            <w:vAlign w:val="top"/>
          </w:tcPr>
          <w:p w14:paraId="71ACD3A7">
            <w:pPr>
              <w:rPr>
                <w:rFonts w:ascii="Arial"/>
                <w:color w:val="auto"/>
                <w:sz w:val="21"/>
                <w:highlight w:val="none"/>
              </w:rPr>
            </w:pPr>
          </w:p>
        </w:tc>
      </w:tr>
      <w:tr w14:paraId="065F2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BE4EC1F">
            <w:pPr>
              <w:rPr>
                <w:rFonts w:ascii="Arial"/>
                <w:color w:val="auto"/>
                <w:sz w:val="21"/>
                <w:highlight w:val="none"/>
              </w:rPr>
            </w:pPr>
          </w:p>
        </w:tc>
        <w:tc>
          <w:tcPr>
            <w:tcW w:w="2038" w:type="dxa"/>
            <w:vAlign w:val="top"/>
          </w:tcPr>
          <w:p w14:paraId="033C2EB9">
            <w:pPr>
              <w:rPr>
                <w:rFonts w:ascii="Arial"/>
                <w:color w:val="auto"/>
                <w:sz w:val="21"/>
                <w:highlight w:val="none"/>
              </w:rPr>
            </w:pPr>
          </w:p>
        </w:tc>
        <w:tc>
          <w:tcPr>
            <w:tcW w:w="2517" w:type="dxa"/>
            <w:vAlign w:val="top"/>
          </w:tcPr>
          <w:p w14:paraId="1E5FF551">
            <w:pPr>
              <w:rPr>
                <w:rFonts w:ascii="Arial"/>
                <w:color w:val="auto"/>
                <w:sz w:val="21"/>
                <w:highlight w:val="none"/>
              </w:rPr>
            </w:pPr>
          </w:p>
        </w:tc>
        <w:tc>
          <w:tcPr>
            <w:tcW w:w="2517" w:type="dxa"/>
            <w:vAlign w:val="top"/>
          </w:tcPr>
          <w:p w14:paraId="07D831BD">
            <w:pPr>
              <w:rPr>
                <w:rFonts w:ascii="Arial"/>
                <w:color w:val="auto"/>
                <w:sz w:val="21"/>
                <w:highlight w:val="none"/>
              </w:rPr>
            </w:pPr>
          </w:p>
        </w:tc>
        <w:tc>
          <w:tcPr>
            <w:tcW w:w="904" w:type="dxa"/>
            <w:vAlign w:val="top"/>
          </w:tcPr>
          <w:p w14:paraId="675EC2C4">
            <w:pPr>
              <w:rPr>
                <w:rFonts w:ascii="Arial"/>
                <w:color w:val="auto"/>
                <w:sz w:val="21"/>
                <w:highlight w:val="none"/>
              </w:rPr>
            </w:pPr>
          </w:p>
        </w:tc>
      </w:tr>
      <w:tr w14:paraId="5B558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14ABBFA2">
            <w:pPr>
              <w:rPr>
                <w:rFonts w:ascii="Arial"/>
                <w:color w:val="auto"/>
                <w:sz w:val="21"/>
                <w:highlight w:val="none"/>
              </w:rPr>
            </w:pPr>
          </w:p>
        </w:tc>
        <w:tc>
          <w:tcPr>
            <w:tcW w:w="2038" w:type="dxa"/>
            <w:vAlign w:val="top"/>
          </w:tcPr>
          <w:p w14:paraId="280CB161">
            <w:pPr>
              <w:rPr>
                <w:rFonts w:ascii="Arial"/>
                <w:color w:val="auto"/>
                <w:sz w:val="21"/>
                <w:highlight w:val="none"/>
              </w:rPr>
            </w:pPr>
          </w:p>
        </w:tc>
        <w:tc>
          <w:tcPr>
            <w:tcW w:w="2517" w:type="dxa"/>
            <w:vAlign w:val="top"/>
          </w:tcPr>
          <w:p w14:paraId="3D2E7D45">
            <w:pPr>
              <w:rPr>
                <w:rFonts w:ascii="Arial"/>
                <w:color w:val="auto"/>
                <w:sz w:val="21"/>
                <w:highlight w:val="none"/>
              </w:rPr>
            </w:pPr>
          </w:p>
        </w:tc>
        <w:tc>
          <w:tcPr>
            <w:tcW w:w="2517" w:type="dxa"/>
            <w:vAlign w:val="top"/>
          </w:tcPr>
          <w:p w14:paraId="172A658E">
            <w:pPr>
              <w:rPr>
                <w:rFonts w:ascii="Arial"/>
                <w:color w:val="auto"/>
                <w:sz w:val="21"/>
                <w:highlight w:val="none"/>
              </w:rPr>
            </w:pPr>
          </w:p>
        </w:tc>
        <w:tc>
          <w:tcPr>
            <w:tcW w:w="904" w:type="dxa"/>
            <w:vAlign w:val="top"/>
          </w:tcPr>
          <w:p w14:paraId="4DD78E3B">
            <w:pPr>
              <w:rPr>
                <w:rFonts w:ascii="Arial"/>
                <w:color w:val="auto"/>
                <w:sz w:val="21"/>
                <w:highlight w:val="none"/>
              </w:rPr>
            </w:pPr>
          </w:p>
        </w:tc>
      </w:tr>
      <w:tr w14:paraId="576DF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E9C01A8">
            <w:pPr>
              <w:rPr>
                <w:rFonts w:ascii="Arial"/>
                <w:color w:val="auto"/>
                <w:sz w:val="21"/>
                <w:highlight w:val="none"/>
              </w:rPr>
            </w:pPr>
          </w:p>
        </w:tc>
        <w:tc>
          <w:tcPr>
            <w:tcW w:w="2038" w:type="dxa"/>
            <w:vAlign w:val="top"/>
          </w:tcPr>
          <w:p w14:paraId="1A368DB9">
            <w:pPr>
              <w:rPr>
                <w:rFonts w:ascii="Arial"/>
                <w:color w:val="auto"/>
                <w:sz w:val="21"/>
                <w:highlight w:val="none"/>
              </w:rPr>
            </w:pPr>
          </w:p>
        </w:tc>
        <w:tc>
          <w:tcPr>
            <w:tcW w:w="2517" w:type="dxa"/>
            <w:vAlign w:val="top"/>
          </w:tcPr>
          <w:p w14:paraId="3FF9F0E2">
            <w:pPr>
              <w:rPr>
                <w:rFonts w:ascii="Arial"/>
                <w:color w:val="auto"/>
                <w:sz w:val="21"/>
                <w:highlight w:val="none"/>
              </w:rPr>
            </w:pPr>
          </w:p>
        </w:tc>
        <w:tc>
          <w:tcPr>
            <w:tcW w:w="2517" w:type="dxa"/>
            <w:vAlign w:val="top"/>
          </w:tcPr>
          <w:p w14:paraId="6510376F">
            <w:pPr>
              <w:rPr>
                <w:rFonts w:ascii="Arial"/>
                <w:color w:val="auto"/>
                <w:sz w:val="21"/>
                <w:highlight w:val="none"/>
              </w:rPr>
            </w:pPr>
          </w:p>
        </w:tc>
        <w:tc>
          <w:tcPr>
            <w:tcW w:w="904" w:type="dxa"/>
            <w:vAlign w:val="top"/>
          </w:tcPr>
          <w:p w14:paraId="6E09A98C">
            <w:pPr>
              <w:rPr>
                <w:rFonts w:ascii="Arial"/>
                <w:color w:val="auto"/>
                <w:sz w:val="21"/>
                <w:highlight w:val="none"/>
              </w:rPr>
            </w:pPr>
          </w:p>
        </w:tc>
      </w:tr>
      <w:tr w14:paraId="06C46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0B42416">
            <w:pPr>
              <w:rPr>
                <w:rFonts w:ascii="Arial"/>
                <w:color w:val="auto"/>
                <w:sz w:val="21"/>
                <w:highlight w:val="none"/>
              </w:rPr>
            </w:pPr>
          </w:p>
        </w:tc>
        <w:tc>
          <w:tcPr>
            <w:tcW w:w="2038" w:type="dxa"/>
            <w:vAlign w:val="top"/>
          </w:tcPr>
          <w:p w14:paraId="7316F4C0">
            <w:pPr>
              <w:rPr>
                <w:rFonts w:ascii="Arial"/>
                <w:color w:val="auto"/>
                <w:sz w:val="21"/>
                <w:highlight w:val="none"/>
              </w:rPr>
            </w:pPr>
          </w:p>
        </w:tc>
        <w:tc>
          <w:tcPr>
            <w:tcW w:w="2517" w:type="dxa"/>
            <w:vAlign w:val="top"/>
          </w:tcPr>
          <w:p w14:paraId="1D5166D3">
            <w:pPr>
              <w:rPr>
                <w:rFonts w:ascii="Arial"/>
                <w:color w:val="auto"/>
                <w:sz w:val="21"/>
                <w:highlight w:val="none"/>
              </w:rPr>
            </w:pPr>
          </w:p>
        </w:tc>
        <w:tc>
          <w:tcPr>
            <w:tcW w:w="2517" w:type="dxa"/>
            <w:vAlign w:val="top"/>
          </w:tcPr>
          <w:p w14:paraId="32BAD485">
            <w:pPr>
              <w:rPr>
                <w:rFonts w:ascii="Arial"/>
                <w:color w:val="auto"/>
                <w:sz w:val="21"/>
                <w:highlight w:val="none"/>
              </w:rPr>
            </w:pPr>
          </w:p>
        </w:tc>
        <w:tc>
          <w:tcPr>
            <w:tcW w:w="904" w:type="dxa"/>
            <w:vAlign w:val="top"/>
          </w:tcPr>
          <w:p w14:paraId="23FE0A12">
            <w:pPr>
              <w:rPr>
                <w:rFonts w:ascii="Arial"/>
                <w:color w:val="auto"/>
                <w:sz w:val="21"/>
                <w:highlight w:val="none"/>
              </w:rPr>
            </w:pPr>
          </w:p>
        </w:tc>
      </w:tr>
      <w:tr w14:paraId="4EEC5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2BEC7F39">
            <w:pPr>
              <w:rPr>
                <w:rFonts w:ascii="Arial"/>
                <w:color w:val="auto"/>
                <w:sz w:val="21"/>
                <w:highlight w:val="none"/>
              </w:rPr>
            </w:pPr>
          </w:p>
        </w:tc>
        <w:tc>
          <w:tcPr>
            <w:tcW w:w="2038" w:type="dxa"/>
            <w:vAlign w:val="top"/>
          </w:tcPr>
          <w:p w14:paraId="4A4BE70A">
            <w:pPr>
              <w:rPr>
                <w:rFonts w:ascii="Arial"/>
                <w:color w:val="auto"/>
                <w:sz w:val="21"/>
                <w:highlight w:val="none"/>
              </w:rPr>
            </w:pPr>
          </w:p>
        </w:tc>
        <w:tc>
          <w:tcPr>
            <w:tcW w:w="2517" w:type="dxa"/>
            <w:vAlign w:val="top"/>
          </w:tcPr>
          <w:p w14:paraId="1CBC2295">
            <w:pPr>
              <w:rPr>
                <w:rFonts w:ascii="Arial"/>
                <w:color w:val="auto"/>
                <w:sz w:val="21"/>
                <w:highlight w:val="none"/>
              </w:rPr>
            </w:pPr>
          </w:p>
        </w:tc>
        <w:tc>
          <w:tcPr>
            <w:tcW w:w="2517" w:type="dxa"/>
            <w:vAlign w:val="top"/>
          </w:tcPr>
          <w:p w14:paraId="62C9E7FF">
            <w:pPr>
              <w:rPr>
                <w:rFonts w:ascii="Arial"/>
                <w:color w:val="auto"/>
                <w:sz w:val="21"/>
                <w:highlight w:val="none"/>
              </w:rPr>
            </w:pPr>
          </w:p>
        </w:tc>
        <w:tc>
          <w:tcPr>
            <w:tcW w:w="904" w:type="dxa"/>
            <w:vAlign w:val="top"/>
          </w:tcPr>
          <w:p w14:paraId="4699F4E0">
            <w:pPr>
              <w:rPr>
                <w:rFonts w:ascii="Arial"/>
                <w:color w:val="auto"/>
                <w:sz w:val="21"/>
                <w:highlight w:val="none"/>
              </w:rPr>
            </w:pPr>
          </w:p>
        </w:tc>
      </w:tr>
      <w:tr w14:paraId="4E21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1FAFD5FE">
            <w:pPr>
              <w:rPr>
                <w:rFonts w:ascii="Arial"/>
                <w:color w:val="auto"/>
                <w:sz w:val="21"/>
                <w:highlight w:val="none"/>
              </w:rPr>
            </w:pPr>
          </w:p>
        </w:tc>
        <w:tc>
          <w:tcPr>
            <w:tcW w:w="2038" w:type="dxa"/>
            <w:vAlign w:val="top"/>
          </w:tcPr>
          <w:p w14:paraId="7CDBC02C">
            <w:pPr>
              <w:rPr>
                <w:rFonts w:ascii="Arial"/>
                <w:color w:val="auto"/>
                <w:sz w:val="21"/>
                <w:highlight w:val="none"/>
              </w:rPr>
            </w:pPr>
          </w:p>
        </w:tc>
        <w:tc>
          <w:tcPr>
            <w:tcW w:w="2517" w:type="dxa"/>
            <w:vAlign w:val="top"/>
          </w:tcPr>
          <w:p w14:paraId="2DB857F8">
            <w:pPr>
              <w:rPr>
                <w:rFonts w:ascii="Arial"/>
                <w:color w:val="auto"/>
                <w:sz w:val="21"/>
                <w:highlight w:val="none"/>
              </w:rPr>
            </w:pPr>
          </w:p>
        </w:tc>
        <w:tc>
          <w:tcPr>
            <w:tcW w:w="2517" w:type="dxa"/>
            <w:vAlign w:val="top"/>
          </w:tcPr>
          <w:p w14:paraId="0A398284">
            <w:pPr>
              <w:rPr>
                <w:rFonts w:ascii="Arial"/>
                <w:color w:val="auto"/>
                <w:sz w:val="21"/>
                <w:highlight w:val="none"/>
              </w:rPr>
            </w:pPr>
          </w:p>
        </w:tc>
        <w:tc>
          <w:tcPr>
            <w:tcW w:w="904" w:type="dxa"/>
            <w:vAlign w:val="top"/>
          </w:tcPr>
          <w:p w14:paraId="07E0F072">
            <w:pPr>
              <w:rPr>
                <w:rFonts w:ascii="Arial"/>
                <w:color w:val="auto"/>
                <w:sz w:val="21"/>
                <w:highlight w:val="none"/>
              </w:rPr>
            </w:pPr>
          </w:p>
        </w:tc>
      </w:tr>
      <w:tr w14:paraId="1CC08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4AD6B366">
            <w:pPr>
              <w:rPr>
                <w:rFonts w:ascii="Arial"/>
                <w:color w:val="auto"/>
                <w:sz w:val="21"/>
                <w:highlight w:val="none"/>
              </w:rPr>
            </w:pPr>
          </w:p>
        </w:tc>
        <w:tc>
          <w:tcPr>
            <w:tcW w:w="2038" w:type="dxa"/>
            <w:vAlign w:val="top"/>
          </w:tcPr>
          <w:p w14:paraId="13AB00E4">
            <w:pPr>
              <w:rPr>
                <w:rFonts w:ascii="Arial"/>
                <w:color w:val="auto"/>
                <w:sz w:val="21"/>
                <w:highlight w:val="none"/>
              </w:rPr>
            </w:pPr>
          </w:p>
        </w:tc>
        <w:tc>
          <w:tcPr>
            <w:tcW w:w="2517" w:type="dxa"/>
            <w:vAlign w:val="top"/>
          </w:tcPr>
          <w:p w14:paraId="17D65FAF">
            <w:pPr>
              <w:rPr>
                <w:rFonts w:ascii="Arial"/>
                <w:color w:val="auto"/>
                <w:sz w:val="21"/>
                <w:highlight w:val="none"/>
              </w:rPr>
            </w:pPr>
          </w:p>
        </w:tc>
        <w:tc>
          <w:tcPr>
            <w:tcW w:w="2517" w:type="dxa"/>
            <w:vAlign w:val="top"/>
          </w:tcPr>
          <w:p w14:paraId="3D95FF90">
            <w:pPr>
              <w:rPr>
                <w:rFonts w:ascii="Arial"/>
                <w:color w:val="auto"/>
                <w:sz w:val="21"/>
                <w:highlight w:val="none"/>
              </w:rPr>
            </w:pPr>
          </w:p>
        </w:tc>
        <w:tc>
          <w:tcPr>
            <w:tcW w:w="904" w:type="dxa"/>
            <w:vAlign w:val="top"/>
          </w:tcPr>
          <w:p w14:paraId="64DDE89A">
            <w:pPr>
              <w:rPr>
                <w:rFonts w:ascii="Arial"/>
                <w:color w:val="auto"/>
                <w:sz w:val="21"/>
                <w:highlight w:val="none"/>
              </w:rPr>
            </w:pPr>
          </w:p>
        </w:tc>
      </w:tr>
      <w:tr w14:paraId="610CF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3CE13CAF">
            <w:pPr>
              <w:rPr>
                <w:rFonts w:ascii="Arial"/>
                <w:color w:val="auto"/>
                <w:sz w:val="21"/>
                <w:highlight w:val="none"/>
              </w:rPr>
            </w:pPr>
          </w:p>
        </w:tc>
        <w:tc>
          <w:tcPr>
            <w:tcW w:w="2038" w:type="dxa"/>
            <w:vAlign w:val="top"/>
          </w:tcPr>
          <w:p w14:paraId="5B4C7A6E">
            <w:pPr>
              <w:rPr>
                <w:rFonts w:ascii="Arial"/>
                <w:color w:val="auto"/>
                <w:sz w:val="21"/>
                <w:highlight w:val="none"/>
              </w:rPr>
            </w:pPr>
          </w:p>
        </w:tc>
        <w:tc>
          <w:tcPr>
            <w:tcW w:w="2517" w:type="dxa"/>
            <w:vAlign w:val="top"/>
          </w:tcPr>
          <w:p w14:paraId="40629A1A">
            <w:pPr>
              <w:rPr>
                <w:rFonts w:ascii="Arial"/>
                <w:color w:val="auto"/>
                <w:sz w:val="21"/>
                <w:highlight w:val="none"/>
              </w:rPr>
            </w:pPr>
          </w:p>
        </w:tc>
        <w:tc>
          <w:tcPr>
            <w:tcW w:w="2517" w:type="dxa"/>
            <w:vAlign w:val="top"/>
          </w:tcPr>
          <w:p w14:paraId="79BDB3B6">
            <w:pPr>
              <w:rPr>
                <w:rFonts w:ascii="Arial"/>
                <w:color w:val="auto"/>
                <w:sz w:val="21"/>
                <w:highlight w:val="none"/>
              </w:rPr>
            </w:pPr>
          </w:p>
        </w:tc>
        <w:tc>
          <w:tcPr>
            <w:tcW w:w="904" w:type="dxa"/>
            <w:vAlign w:val="top"/>
          </w:tcPr>
          <w:p w14:paraId="0D6086B8">
            <w:pPr>
              <w:rPr>
                <w:rFonts w:ascii="Arial"/>
                <w:color w:val="auto"/>
                <w:sz w:val="21"/>
                <w:highlight w:val="none"/>
              </w:rPr>
            </w:pPr>
          </w:p>
        </w:tc>
      </w:tr>
      <w:tr w14:paraId="3D0A5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098E0846">
            <w:pPr>
              <w:rPr>
                <w:rFonts w:ascii="Arial"/>
                <w:color w:val="auto"/>
                <w:sz w:val="21"/>
                <w:highlight w:val="none"/>
              </w:rPr>
            </w:pPr>
          </w:p>
        </w:tc>
        <w:tc>
          <w:tcPr>
            <w:tcW w:w="2038" w:type="dxa"/>
            <w:vAlign w:val="top"/>
          </w:tcPr>
          <w:p w14:paraId="279A2330">
            <w:pPr>
              <w:rPr>
                <w:rFonts w:ascii="Arial"/>
                <w:color w:val="auto"/>
                <w:sz w:val="21"/>
                <w:highlight w:val="none"/>
              </w:rPr>
            </w:pPr>
          </w:p>
        </w:tc>
        <w:tc>
          <w:tcPr>
            <w:tcW w:w="2517" w:type="dxa"/>
            <w:vAlign w:val="top"/>
          </w:tcPr>
          <w:p w14:paraId="46DDCB6A">
            <w:pPr>
              <w:rPr>
                <w:rFonts w:ascii="Arial"/>
                <w:color w:val="auto"/>
                <w:sz w:val="21"/>
                <w:highlight w:val="none"/>
              </w:rPr>
            </w:pPr>
          </w:p>
        </w:tc>
        <w:tc>
          <w:tcPr>
            <w:tcW w:w="2517" w:type="dxa"/>
            <w:vAlign w:val="top"/>
          </w:tcPr>
          <w:p w14:paraId="6C2D3B8D">
            <w:pPr>
              <w:rPr>
                <w:rFonts w:ascii="Arial"/>
                <w:color w:val="auto"/>
                <w:sz w:val="21"/>
                <w:highlight w:val="none"/>
              </w:rPr>
            </w:pPr>
          </w:p>
        </w:tc>
        <w:tc>
          <w:tcPr>
            <w:tcW w:w="904" w:type="dxa"/>
            <w:vAlign w:val="top"/>
          </w:tcPr>
          <w:p w14:paraId="7A75109A">
            <w:pPr>
              <w:rPr>
                <w:rFonts w:ascii="Arial"/>
                <w:color w:val="auto"/>
                <w:sz w:val="21"/>
                <w:highlight w:val="none"/>
              </w:rPr>
            </w:pPr>
          </w:p>
        </w:tc>
      </w:tr>
      <w:tr w14:paraId="3B81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351C4C2F">
            <w:pPr>
              <w:rPr>
                <w:rFonts w:ascii="Arial"/>
                <w:color w:val="auto"/>
                <w:sz w:val="21"/>
                <w:highlight w:val="none"/>
              </w:rPr>
            </w:pPr>
          </w:p>
        </w:tc>
        <w:tc>
          <w:tcPr>
            <w:tcW w:w="2038" w:type="dxa"/>
            <w:vAlign w:val="top"/>
          </w:tcPr>
          <w:p w14:paraId="6B69ED8C">
            <w:pPr>
              <w:rPr>
                <w:rFonts w:ascii="Arial"/>
                <w:color w:val="auto"/>
                <w:sz w:val="21"/>
                <w:highlight w:val="none"/>
              </w:rPr>
            </w:pPr>
          </w:p>
        </w:tc>
        <w:tc>
          <w:tcPr>
            <w:tcW w:w="2517" w:type="dxa"/>
            <w:vAlign w:val="top"/>
          </w:tcPr>
          <w:p w14:paraId="75848E73">
            <w:pPr>
              <w:rPr>
                <w:rFonts w:ascii="Arial"/>
                <w:color w:val="auto"/>
                <w:sz w:val="21"/>
                <w:highlight w:val="none"/>
              </w:rPr>
            </w:pPr>
          </w:p>
        </w:tc>
        <w:tc>
          <w:tcPr>
            <w:tcW w:w="2517" w:type="dxa"/>
            <w:vAlign w:val="top"/>
          </w:tcPr>
          <w:p w14:paraId="2D760A63">
            <w:pPr>
              <w:rPr>
                <w:rFonts w:ascii="Arial"/>
                <w:color w:val="auto"/>
                <w:sz w:val="21"/>
                <w:highlight w:val="none"/>
              </w:rPr>
            </w:pPr>
          </w:p>
        </w:tc>
        <w:tc>
          <w:tcPr>
            <w:tcW w:w="904" w:type="dxa"/>
            <w:vAlign w:val="top"/>
          </w:tcPr>
          <w:p w14:paraId="31D9D1D5">
            <w:pPr>
              <w:rPr>
                <w:rFonts w:ascii="Arial"/>
                <w:color w:val="auto"/>
                <w:sz w:val="21"/>
                <w:highlight w:val="none"/>
              </w:rPr>
            </w:pPr>
          </w:p>
        </w:tc>
      </w:tr>
      <w:tr w14:paraId="3A8C6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79EDF8BA">
            <w:pPr>
              <w:rPr>
                <w:rFonts w:ascii="Arial"/>
                <w:color w:val="auto"/>
                <w:sz w:val="21"/>
                <w:highlight w:val="none"/>
              </w:rPr>
            </w:pPr>
          </w:p>
        </w:tc>
        <w:tc>
          <w:tcPr>
            <w:tcW w:w="2038" w:type="dxa"/>
            <w:vAlign w:val="top"/>
          </w:tcPr>
          <w:p w14:paraId="5B83E9C4">
            <w:pPr>
              <w:rPr>
                <w:rFonts w:ascii="Arial"/>
                <w:color w:val="auto"/>
                <w:sz w:val="21"/>
                <w:highlight w:val="none"/>
              </w:rPr>
            </w:pPr>
          </w:p>
        </w:tc>
        <w:tc>
          <w:tcPr>
            <w:tcW w:w="2517" w:type="dxa"/>
            <w:vAlign w:val="top"/>
          </w:tcPr>
          <w:p w14:paraId="549B23AA">
            <w:pPr>
              <w:rPr>
                <w:rFonts w:ascii="Arial"/>
                <w:color w:val="auto"/>
                <w:sz w:val="21"/>
                <w:highlight w:val="none"/>
              </w:rPr>
            </w:pPr>
          </w:p>
        </w:tc>
        <w:tc>
          <w:tcPr>
            <w:tcW w:w="2517" w:type="dxa"/>
            <w:vAlign w:val="top"/>
          </w:tcPr>
          <w:p w14:paraId="0B005E83">
            <w:pPr>
              <w:rPr>
                <w:rFonts w:ascii="Arial"/>
                <w:color w:val="auto"/>
                <w:sz w:val="21"/>
                <w:highlight w:val="none"/>
              </w:rPr>
            </w:pPr>
          </w:p>
        </w:tc>
        <w:tc>
          <w:tcPr>
            <w:tcW w:w="904" w:type="dxa"/>
            <w:vAlign w:val="top"/>
          </w:tcPr>
          <w:p w14:paraId="6A46B7D1">
            <w:pPr>
              <w:rPr>
                <w:rFonts w:ascii="Arial"/>
                <w:color w:val="auto"/>
                <w:sz w:val="21"/>
                <w:highlight w:val="none"/>
              </w:rPr>
            </w:pPr>
          </w:p>
        </w:tc>
      </w:tr>
      <w:tr w14:paraId="00449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5F85E3DD">
            <w:pPr>
              <w:rPr>
                <w:rFonts w:ascii="Arial"/>
                <w:color w:val="auto"/>
                <w:sz w:val="21"/>
                <w:highlight w:val="none"/>
              </w:rPr>
            </w:pPr>
          </w:p>
        </w:tc>
        <w:tc>
          <w:tcPr>
            <w:tcW w:w="2038" w:type="dxa"/>
            <w:vAlign w:val="top"/>
          </w:tcPr>
          <w:p w14:paraId="41D259C6">
            <w:pPr>
              <w:rPr>
                <w:rFonts w:ascii="Arial"/>
                <w:color w:val="auto"/>
                <w:sz w:val="21"/>
                <w:highlight w:val="none"/>
              </w:rPr>
            </w:pPr>
          </w:p>
        </w:tc>
        <w:tc>
          <w:tcPr>
            <w:tcW w:w="2517" w:type="dxa"/>
            <w:vAlign w:val="top"/>
          </w:tcPr>
          <w:p w14:paraId="066A7261">
            <w:pPr>
              <w:rPr>
                <w:rFonts w:ascii="Arial"/>
                <w:color w:val="auto"/>
                <w:sz w:val="21"/>
                <w:highlight w:val="none"/>
              </w:rPr>
            </w:pPr>
          </w:p>
        </w:tc>
        <w:tc>
          <w:tcPr>
            <w:tcW w:w="2517" w:type="dxa"/>
            <w:vAlign w:val="top"/>
          </w:tcPr>
          <w:p w14:paraId="7DC796F4">
            <w:pPr>
              <w:rPr>
                <w:rFonts w:ascii="Arial"/>
                <w:color w:val="auto"/>
                <w:sz w:val="21"/>
                <w:highlight w:val="none"/>
              </w:rPr>
            </w:pPr>
          </w:p>
        </w:tc>
        <w:tc>
          <w:tcPr>
            <w:tcW w:w="904" w:type="dxa"/>
            <w:vAlign w:val="top"/>
          </w:tcPr>
          <w:p w14:paraId="5CACF352">
            <w:pPr>
              <w:rPr>
                <w:rFonts w:ascii="Arial"/>
                <w:color w:val="auto"/>
                <w:sz w:val="21"/>
                <w:highlight w:val="none"/>
              </w:rPr>
            </w:pPr>
          </w:p>
        </w:tc>
      </w:tr>
      <w:tr w14:paraId="17F4D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61324BD7">
            <w:pPr>
              <w:rPr>
                <w:rFonts w:ascii="Arial"/>
                <w:color w:val="auto"/>
                <w:sz w:val="21"/>
                <w:highlight w:val="none"/>
              </w:rPr>
            </w:pPr>
          </w:p>
        </w:tc>
        <w:tc>
          <w:tcPr>
            <w:tcW w:w="2038" w:type="dxa"/>
            <w:vAlign w:val="top"/>
          </w:tcPr>
          <w:p w14:paraId="22335268">
            <w:pPr>
              <w:rPr>
                <w:rFonts w:ascii="Arial"/>
                <w:color w:val="auto"/>
                <w:sz w:val="21"/>
                <w:highlight w:val="none"/>
              </w:rPr>
            </w:pPr>
          </w:p>
        </w:tc>
        <w:tc>
          <w:tcPr>
            <w:tcW w:w="2517" w:type="dxa"/>
            <w:vAlign w:val="top"/>
          </w:tcPr>
          <w:p w14:paraId="7FABE6D8">
            <w:pPr>
              <w:rPr>
                <w:rFonts w:ascii="Arial"/>
                <w:color w:val="auto"/>
                <w:sz w:val="21"/>
                <w:highlight w:val="none"/>
              </w:rPr>
            </w:pPr>
          </w:p>
        </w:tc>
        <w:tc>
          <w:tcPr>
            <w:tcW w:w="2517" w:type="dxa"/>
            <w:vAlign w:val="top"/>
          </w:tcPr>
          <w:p w14:paraId="05570882">
            <w:pPr>
              <w:rPr>
                <w:rFonts w:ascii="Arial"/>
                <w:color w:val="auto"/>
                <w:sz w:val="21"/>
                <w:highlight w:val="none"/>
              </w:rPr>
            </w:pPr>
          </w:p>
        </w:tc>
        <w:tc>
          <w:tcPr>
            <w:tcW w:w="904" w:type="dxa"/>
            <w:vAlign w:val="top"/>
          </w:tcPr>
          <w:p w14:paraId="4475F8B7">
            <w:pPr>
              <w:rPr>
                <w:rFonts w:ascii="Arial"/>
                <w:color w:val="auto"/>
                <w:sz w:val="21"/>
                <w:highlight w:val="none"/>
              </w:rPr>
            </w:pPr>
          </w:p>
        </w:tc>
      </w:tr>
      <w:tr w14:paraId="079B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0BA67BF3">
            <w:pPr>
              <w:rPr>
                <w:rFonts w:ascii="Arial"/>
                <w:color w:val="auto"/>
                <w:sz w:val="21"/>
                <w:highlight w:val="none"/>
              </w:rPr>
            </w:pPr>
          </w:p>
        </w:tc>
        <w:tc>
          <w:tcPr>
            <w:tcW w:w="2038" w:type="dxa"/>
            <w:vAlign w:val="top"/>
          </w:tcPr>
          <w:p w14:paraId="588904E3">
            <w:pPr>
              <w:rPr>
                <w:rFonts w:ascii="Arial"/>
                <w:color w:val="auto"/>
                <w:sz w:val="21"/>
                <w:highlight w:val="none"/>
              </w:rPr>
            </w:pPr>
          </w:p>
        </w:tc>
        <w:tc>
          <w:tcPr>
            <w:tcW w:w="2517" w:type="dxa"/>
            <w:vAlign w:val="top"/>
          </w:tcPr>
          <w:p w14:paraId="761D5230">
            <w:pPr>
              <w:rPr>
                <w:rFonts w:ascii="Arial"/>
                <w:color w:val="auto"/>
                <w:sz w:val="21"/>
                <w:highlight w:val="none"/>
              </w:rPr>
            </w:pPr>
          </w:p>
        </w:tc>
        <w:tc>
          <w:tcPr>
            <w:tcW w:w="2517" w:type="dxa"/>
            <w:vAlign w:val="top"/>
          </w:tcPr>
          <w:p w14:paraId="228A45DF">
            <w:pPr>
              <w:rPr>
                <w:rFonts w:ascii="Arial"/>
                <w:color w:val="auto"/>
                <w:sz w:val="21"/>
                <w:highlight w:val="none"/>
              </w:rPr>
            </w:pPr>
          </w:p>
        </w:tc>
        <w:tc>
          <w:tcPr>
            <w:tcW w:w="904" w:type="dxa"/>
            <w:vAlign w:val="top"/>
          </w:tcPr>
          <w:p w14:paraId="13AD1840">
            <w:pPr>
              <w:rPr>
                <w:rFonts w:ascii="Arial"/>
                <w:color w:val="auto"/>
                <w:sz w:val="21"/>
                <w:highlight w:val="none"/>
              </w:rPr>
            </w:pPr>
          </w:p>
        </w:tc>
      </w:tr>
      <w:tr w14:paraId="67746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64C25321">
            <w:pPr>
              <w:rPr>
                <w:rFonts w:ascii="Arial"/>
                <w:color w:val="auto"/>
                <w:sz w:val="21"/>
                <w:highlight w:val="none"/>
              </w:rPr>
            </w:pPr>
          </w:p>
        </w:tc>
        <w:tc>
          <w:tcPr>
            <w:tcW w:w="2038" w:type="dxa"/>
            <w:vAlign w:val="top"/>
          </w:tcPr>
          <w:p w14:paraId="73F610A5">
            <w:pPr>
              <w:rPr>
                <w:rFonts w:ascii="Arial"/>
                <w:color w:val="auto"/>
                <w:sz w:val="21"/>
                <w:highlight w:val="none"/>
              </w:rPr>
            </w:pPr>
          </w:p>
        </w:tc>
        <w:tc>
          <w:tcPr>
            <w:tcW w:w="2517" w:type="dxa"/>
            <w:vAlign w:val="top"/>
          </w:tcPr>
          <w:p w14:paraId="453E4980">
            <w:pPr>
              <w:rPr>
                <w:rFonts w:ascii="Arial"/>
                <w:color w:val="auto"/>
                <w:sz w:val="21"/>
                <w:highlight w:val="none"/>
              </w:rPr>
            </w:pPr>
          </w:p>
        </w:tc>
        <w:tc>
          <w:tcPr>
            <w:tcW w:w="2517" w:type="dxa"/>
            <w:vAlign w:val="top"/>
          </w:tcPr>
          <w:p w14:paraId="4737DE62">
            <w:pPr>
              <w:rPr>
                <w:rFonts w:ascii="Arial"/>
                <w:color w:val="auto"/>
                <w:sz w:val="21"/>
                <w:highlight w:val="none"/>
              </w:rPr>
            </w:pPr>
          </w:p>
        </w:tc>
        <w:tc>
          <w:tcPr>
            <w:tcW w:w="904" w:type="dxa"/>
            <w:vAlign w:val="top"/>
          </w:tcPr>
          <w:p w14:paraId="157465F1">
            <w:pPr>
              <w:rPr>
                <w:rFonts w:ascii="Arial"/>
                <w:color w:val="auto"/>
                <w:sz w:val="21"/>
                <w:highlight w:val="none"/>
              </w:rPr>
            </w:pPr>
          </w:p>
        </w:tc>
      </w:tr>
      <w:tr w14:paraId="233A5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952" w:type="dxa"/>
            <w:vAlign w:val="top"/>
          </w:tcPr>
          <w:p w14:paraId="3D98AC97">
            <w:pPr>
              <w:rPr>
                <w:rFonts w:ascii="Arial"/>
                <w:color w:val="auto"/>
                <w:sz w:val="21"/>
                <w:highlight w:val="none"/>
              </w:rPr>
            </w:pPr>
          </w:p>
        </w:tc>
        <w:tc>
          <w:tcPr>
            <w:tcW w:w="2038" w:type="dxa"/>
            <w:vAlign w:val="top"/>
          </w:tcPr>
          <w:p w14:paraId="172914C4">
            <w:pPr>
              <w:rPr>
                <w:rFonts w:ascii="Arial"/>
                <w:color w:val="auto"/>
                <w:sz w:val="21"/>
                <w:highlight w:val="none"/>
              </w:rPr>
            </w:pPr>
          </w:p>
        </w:tc>
        <w:tc>
          <w:tcPr>
            <w:tcW w:w="2517" w:type="dxa"/>
            <w:vAlign w:val="top"/>
          </w:tcPr>
          <w:p w14:paraId="7B89DABD">
            <w:pPr>
              <w:rPr>
                <w:rFonts w:ascii="Arial"/>
                <w:color w:val="auto"/>
                <w:sz w:val="21"/>
                <w:highlight w:val="none"/>
              </w:rPr>
            </w:pPr>
          </w:p>
        </w:tc>
        <w:tc>
          <w:tcPr>
            <w:tcW w:w="2517" w:type="dxa"/>
            <w:vAlign w:val="top"/>
          </w:tcPr>
          <w:p w14:paraId="5216A09B">
            <w:pPr>
              <w:rPr>
                <w:rFonts w:ascii="Arial"/>
                <w:color w:val="auto"/>
                <w:sz w:val="21"/>
                <w:highlight w:val="none"/>
              </w:rPr>
            </w:pPr>
          </w:p>
        </w:tc>
        <w:tc>
          <w:tcPr>
            <w:tcW w:w="904" w:type="dxa"/>
            <w:vAlign w:val="top"/>
          </w:tcPr>
          <w:p w14:paraId="2C269EF8">
            <w:pPr>
              <w:rPr>
                <w:rFonts w:ascii="Arial"/>
                <w:color w:val="auto"/>
                <w:sz w:val="21"/>
                <w:highlight w:val="none"/>
              </w:rPr>
            </w:pPr>
          </w:p>
        </w:tc>
      </w:tr>
    </w:tbl>
    <w:p w14:paraId="424667B5">
      <w:pPr>
        <w:pStyle w:val="6"/>
        <w:spacing w:line="307" w:lineRule="auto"/>
        <w:rPr>
          <w:color w:val="auto"/>
          <w:highlight w:val="none"/>
        </w:rPr>
      </w:pPr>
    </w:p>
    <w:p w14:paraId="07295B8A">
      <w:pPr>
        <w:pStyle w:val="6"/>
        <w:spacing w:line="307" w:lineRule="auto"/>
        <w:rPr>
          <w:color w:val="auto"/>
          <w:highlight w:val="none"/>
        </w:rPr>
      </w:pPr>
    </w:p>
    <w:p w14:paraId="4A6C5D2F">
      <w:pPr>
        <w:spacing w:before="90" w:line="213" w:lineRule="auto"/>
        <w:ind w:left="874" w:right="1772"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33F613F7">
      <w:pPr>
        <w:pStyle w:val="6"/>
        <w:spacing w:line="263" w:lineRule="auto"/>
        <w:rPr>
          <w:color w:val="auto"/>
          <w:highlight w:val="none"/>
        </w:rPr>
      </w:pPr>
    </w:p>
    <w:p w14:paraId="36E5B360">
      <w:pPr>
        <w:pStyle w:val="6"/>
        <w:spacing w:line="263" w:lineRule="auto"/>
        <w:rPr>
          <w:color w:val="auto"/>
          <w:highlight w:val="none"/>
        </w:rPr>
      </w:pPr>
    </w:p>
    <w:p w14:paraId="7A357017">
      <w:pPr>
        <w:pStyle w:val="6"/>
        <w:spacing w:line="263" w:lineRule="auto"/>
        <w:rPr>
          <w:color w:val="auto"/>
          <w:highlight w:val="none"/>
        </w:rPr>
      </w:pPr>
    </w:p>
    <w:p w14:paraId="491088FC">
      <w:pPr>
        <w:pStyle w:val="6"/>
        <w:spacing w:line="263" w:lineRule="auto"/>
        <w:rPr>
          <w:color w:val="auto"/>
          <w:highlight w:val="none"/>
        </w:rPr>
      </w:pPr>
    </w:p>
    <w:p w14:paraId="73774215">
      <w:pPr>
        <w:pStyle w:val="6"/>
        <w:spacing w:line="264" w:lineRule="auto"/>
        <w:rPr>
          <w:color w:val="auto"/>
          <w:highlight w:val="none"/>
        </w:rPr>
      </w:pPr>
    </w:p>
    <w:p w14:paraId="438760D1">
      <w:pPr>
        <w:pStyle w:val="6"/>
        <w:spacing w:line="264" w:lineRule="auto"/>
        <w:rPr>
          <w:color w:val="auto"/>
          <w:highlight w:val="none"/>
        </w:rPr>
      </w:pPr>
    </w:p>
    <w:p w14:paraId="4C08B3EB">
      <w:pPr>
        <w:pStyle w:val="6"/>
        <w:spacing w:line="264" w:lineRule="auto"/>
        <w:rPr>
          <w:color w:val="auto"/>
          <w:highlight w:val="none"/>
        </w:rPr>
      </w:pPr>
    </w:p>
    <w:p w14:paraId="545811CF">
      <w:pPr>
        <w:spacing w:line="219" w:lineRule="auto"/>
        <w:rPr>
          <w:rFonts w:ascii="Times New Roman" w:hAnsi="Times New Roman" w:eastAsia="Times New Roman" w:cs="Times New Roman"/>
          <w:color w:val="auto"/>
          <w:sz w:val="18"/>
          <w:szCs w:val="18"/>
          <w:highlight w:val="none"/>
        </w:rPr>
        <w:sectPr>
          <w:pgSz w:w="11905" w:h="16839"/>
          <w:pgMar w:top="400" w:right="1483" w:bottom="400" w:left="1483" w:header="0" w:footer="0" w:gutter="0"/>
          <w:cols w:space="720" w:num="1"/>
        </w:sectPr>
      </w:pPr>
    </w:p>
    <w:p w14:paraId="406276C3">
      <w:pPr>
        <w:pStyle w:val="6"/>
        <w:spacing w:line="447" w:lineRule="auto"/>
        <w:rPr>
          <w:color w:val="auto"/>
          <w:highlight w:val="none"/>
        </w:rPr>
      </w:pPr>
    </w:p>
    <w:p w14:paraId="543F295B">
      <w:pPr>
        <w:pBdr>
          <w:top w:val="none" w:color="auto" w:sz="0" w:space="0"/>
          <w:left w:val="none" w:color="auto" w:sz="0" w:space="0"/>
          <w:bottom w:val="none" w:color="auto" w:sz="0" w:space="0"/>
          <w:right w:val="none" w:color="auto" w:sz="0" w:space="0"/>
          <w:between w:val="none" w:color="auto" w:sz="0" w:space="0"/>
        </w:pBdr>
        <w:spacing w:line="884" w:lineRule="exact"/>
        <w:ind w:firstLine="28"/>
        <w:rPr>
          <w:color w:val="auto"/>
          <w:highlight w:val="none"/>
        </w:rPr>
      </w:pPr>
      <w:r>
        <w:rPr>
          <w:color w:val="auto"/>
          <w:highlight w:val="none"/>
        </w:rPr>
        <w:pict>
          <v:shape id="_x0000_s1080" o:spid="_x0000_s1080" style="position:absolute;left:0pt;margin-left:0.25pt;margin-top:44.45pt;height:0.5pt;width:418.5pt;z-index:251692032;mso-width-relative:page;mso-height-relative:page;" filled="f" stroked="t" coordsize="8370,10" path="m0,5l8369,5e">
            <v:fill on="f" focussize="0,0"/>
            <v:stroke weight="0.5pt" color="#FFFFFF" miterlimit="10" joinstyle="miter"/>
            <v:imagedata o:title=""/>
            <o:lock v:ext="edit" aspectratio="f"/>
          </v:shape>
        </w:pict>
      </w:r>
    </w:p>
    <w:p w14:paraId="3EA367BB">
      <w:pPr>
        <w:spacing w:before="149" w:line="264" w:lineRule="auto"/>
        <w:ind w:left="42" w:right="53" w:hanging="4"/>
        <w:jc w:val="both"/>
        <w:rPr>
          <w:rFonts w:ascii="微软雅黑" w:hAnsi="微软雅黑" w:eastAsia="微软雅黑" w:cs="微软雅黑"/>
          <w:color w:val="auto"/>
          <w:sz w:val="21"/>
          <w:szCs w:val="21"/>
          <w:highlight w:val="none"/>
        </w:rPr>
      </w:pPr>
      <w:bookmarkStart w:id="173" w:name="bookmark130"/>
      <w:bookmarkEnd w:id="173"/>
      <w:bookmarkStart w:id="174" w:name="bookmark131"/>
      <w:bookmarkEnd w:id="174"/>
      <w:r>
        <w:rPr>
          <w:rFonts w:ascii="微软雅黑" w:hAnsi="微软雅黑" w:eastAsia="微软雅黑" w:cs="微软雅黑"/>
          <w:b/>
          <w:bCs/>
          <w:color w:val="auto"/>
          <w:spacing w:val="3"/>
          <w:sz w:val="21"/>
          <w:szCs w:val="21"/>
          <w:highlight w:val="none"/>
        </w:rPr>
        <w:t>6</w:t>
      </w:r>
      <w:r>
        <w:rPr>
          <w:rFonts w:ascii="微软雅黑" w:hAnsi="微软雅黑" w:eastAsia="微软雅黑" w:cs="微软雅黑"/>
          <w:b/>
          <w:bCs/>
          <w:color w:val="auto"/>
          <w:spacing w:val="-14"/>
          <w:sz w:val="21"/>
          <w:szCs w:val="21"/>
          <w:highlight w:val="none"/>
        </w:rPr>
        <w:t xml:space="preserve"> </w:t>
      </w:r>
      <w:r>
        <w:rPr>
          <w:rFonts w:ascii="微软雅黑" w:hAnsi="微软雅黑" w:eastAsia="微软雅黑" w:cs="微软雅黑"/>
          <w:b/>
          <w:bCs/>
          <w:color w:val="auto"/>
          <w:spacing w:val="3"/>
          <w:sz w:val="21"/>
          <w:szCs w:val="21"/>
          <w:highlight w:val="none"/>
        </w:rPr>
        <w:t>、</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color w:val="auto"/>
          <w:spacing w:val="3"/>
          <w:sz w:val="21"/>
          <w:szCs w:val="21"/>
          <w:highlight w:val="none"/>
        </w:rPr>
        <w:t>符合《政府采购促进中小企业发展暂行办法》、《关于政府采购支持监狱企业发展有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关问题的通知》和《三部门联合发布关于促进残疾人就业</w:t>
      </w:r>
      <w:r>
        <w:rPr>
          <w:rFonts w:ascii="微软雅黑" w:hAnsi="微软雅黑" w:eastAsia="微软雅黑" w:cs="微软雅黑"/>
          <w:color w:val="auto"/>
          <w:spacing w:val="2"/>
          <w:sz w:val="21"/>
          <w:szCs w:val="21"/>
          <w:highlight w:val="none"/>
        </w:rPr>
        <w:t>政府采购政策的通知》条件的投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标人提交）</w:t>
      </w:r>
    </w:p>
    <w:p w14:paraId="1A49EA2C">
      <w:pPr>
        <w:spacing w:before="255" w:line="184" w:lineRule="auto"/>
        <w:ind w:left="1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6-1    中小企业声明函（货物</w:t>
      </w:r>
      <w:r>
        <w:rPr>
          <w:rFonts w:ascii="微软雅黑" w:hAnsi="微软雅黑" w:eastAsia="微软雅黑" w:cs="微软雅黑"/>
          <w:b/>
          <w:bCs/>
          <w:color w:val="auto"/>
          <w:spacing w:val="-7"/>
          <w:sz w:val="21"/>
          <w:szCs w:val="21"/>
          <w:highlight w:val="none"/>
        </w:rPr>
        <w:t>）（</w:t>
      </w:r>
      <w:r>
        <w:rPr>
          <w:rFonts w:ascii="微软雅黑" w:hAnsi="微软雅黑" w:eastAsia="微软雅黑" w:cs="微软雅黑"/>
          <w:b/>
          <w:bCs/>
          <w:color w:val="auto"/>
          <w:spacing w:val="-1"/>
          <w:sz w:val="21"/>
          <w:szCs w:val="21"/>
          <w:highlight w:val="none"/>
        </w:rPr>
        <w:t>格式九）</w:t>
      </w:r>
    </w:p>
    <w:p w14:paraId="55585CDF">
      <w:pPr>
        <w:pStyle w:val="6"/>
        <w:spacing w:line="283" w:lineRule="auto"/>
        <w:rPr>
          <w:color w:val="auto"/>
          <w:highlight w:val="none"/>
        </w:rPr>
      </w:pPr>
    </w:p>
    <w:p w14:paraId="544545E9">
      <w:pPr>
        <w:spacing w:before="90" w:line="183" w:lineRule="auto"/>
        <w:ind w:left="318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中小企业声明函(货物)</w:t>
      </w:r>
    </w:p>
    <w:p w14:paraId="5736080D">
      <w:pPr>
        <w:spacing w:before="24" w:line="249" w:lineRule="auto"/>
        <w:ind w:left="43" w:right="53" w:firstLine="42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本公司（联合体）</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7"/>
          <w:sz w:val="21"/>
          <w:szCs w:val="21"/>
          <w:highlight w:val="none"/>
        </w:rPr>
        <w:t>郑重声明，</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7"/>
          <w:sz w:val="21"/>
          <w:szCs w:val="21"/>
          <w:highlight w:val="none"/>
        </w:rPr>
        <w:t>根据《政府采购促进</w:t>
      </w:r>
      <w:r>
        <w:rPr>
          <w:rFonts w:ascii="微软雅黑" w:hAnsi="微软雅黑" w:eastAsia="微软雅黑" w:cs="微软雅黑"/>
          <w:color w:val="auto"/>
          <w:spacing w:val="6"/>
          <w:sz w:val="21"/>
          <w:szCs w:val="21"/>
          <w:highlight w:val="none"/>
        </w:rPr>
        <w:t>中小企业发展管理办法》（财库</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[2020]46 号）的规定，</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5"/>
          <w:sz w:val="21"/>
          <w:szCs w:val="21"/>
          <w:highlight w:val="none"/>
        </w:rPr>
        <w:t>本公司（联合体）参</w:t>
      </w:r>
      <w:r>
        <w:rPr>
          <w:rFonts w:ascii="微软雅黑" w:hAnsi="微软雅黑" w:eastAsia="微软雅黑" w:cs="微软雅黑"/>
          <w:color w:val="auto"/>
          <w:spacing w:val="-6"/>
          <w:sz w:val="21"/>
          <w:szCs w:val="21"/>
          <w:highlight w:val="none"/>
        </w:rPr>
        <w:t>加</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6"/>
          <w:sz w:val="22"/>
          <w:szCs w:val="22"/>
          <w:highlight w:val="none"/>
          <w:u w:val="single" w:color="auto"/>
        </w:rPr>
        <w:t>（单位名称）</w:t>
      </w:r>
      <w:r>
        <w:rPr>
          <w:rFonts w:ascii="微软雅黑" w:hAnsi="微软雅黑" w:eastAsia="微软雅黑" w:cs="微软雅黑"/>
          <w:color w:val="auto"/>
          <w:spacing w:val="-39"/>
          <w:sz w:val="22"/>
          <w:szCs w:val="22"/>
          <w:highlight w:val="none"/>
        </w:rPr>
        <w:t xml:space="preserve"> </w:t>
      </w:r>
      <w:r>
        <w:rPr>
          <w:rFonts w:ascii="微软雅黑" w:hAnsi="微软雅黑" w:eastAsia="微软雅黑" w:cs="微软雅黑"/>
          <w:color w:val="auto"/>
          <w:spacing w:val="-6"/>
          <w:sz w:val="21"/>
          <w:szCs w:val="21"/>
          <w:highlight w:val="none"/>
        </w:rPr>
        <w:t>的</w:t>
      </w:r>
      <w:r>
        <w:rPr>
          <w:rFonts w:ascii="微软雅黑" w:hAnsi="微软雅黑" w:eastAsia="微软雅黑" w:cs="微软雅黑"/>
          <w:color w:val="auto"/>
          <w:spacing w:val="-40"/>
          <w:sz w:val="22"/>
          <w:szCs w:val="22"/>
          <w:highlight w:val="none"/>
          <w:u w:val="single" w:color="auto"/>
        </w:rPr>
        <w:t xml:space="preserve"> </w:t>
      </w:r>
      <w:r>
        <w:rPr>
          <w:rFonts w:ascii="微软雅黑" w:hAnsi="微软雅黑" w:eastAsia="微软雅黑" w:cs="微软雅黑"/>
          <w:i/>
          <w:iCs/>
          <w:color w:val="auto"/>
          <w:spacing w:val="-6"/>
          <w:sz w:val="22"/>
          <w:szCs w:val="22"/>
          <w:highlight w:val="none"/>
          <w:u w:val="single" w:color="auto"/>
        </w:rPr>
        <w:t>（项目名称）</w:t>
      </w:r>
      <w:r>
        <w:rPr>
          <w:rFonts w:ascii="微软雅黑" w:hAnsi="微软雅黑" w:eastAsia="微软雅黑" w:cs="微软雅黑"/>
          <w:color w:val="auto"/>
          <w:spacing w:val="-6"/>
          <w:sz w:val="21"/>
          <w:szCs w:val="21"/>
          <w:highlight w:val="none"/>
        </w:rPr>
        <w:t>采购活动，</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6"/>
          <w:sz w:val="21"/>
          <w:szCs w:val="21"/>
          <w:highlight w:val="none"/>
        </w:rPr>
        <w:t>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供的货物全部由符合政策要求的中小企业制造。相关企</w:t>
      </w:r>
      <w:r>
        <w:rPr>
          <w:rFonts w:ascii="微软雅黑" w:hAnsi="微软雅黑" w:eastAsia="微软雅黑" w:cs="微软雅黑"/>
          <w:color w:val="auto"/>
          <w:spacing w:val="2"/>
          <w:sz w:val="21"/>
          <w:szCs w:val="21"/>
          <w:highlight w:val="none"/>
        </w:rPr>
        <w:t>业（含联合体中的中小企业、签订</w:t>
      </w:r>
      <w:r>
        <w:rPr>
          <w:rFonts w:ascii="微软雅黑" w:hAnsi="微软雅黑" w:eastAsia="微软雅黑" w:cs="微软雅黑"/>
          <w:color w:val="auto"/>
          <w:sz w:val="21"/>
          <w:szCs w:val="21"/>
          <w:highlight w:val="none"/>
        </w:rPr>
        <w:t xml:space="preserve"> 分包意向协议的中小企业）</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的具体情况如下：</w:t>
      </w:r>
    </w:p>
    <w:p w14:paraId="50FC1C43">
      <w:pPr>
        <w:spacing w:before="9" w:line="241" w:lineRule="auto"/>
        <w:ind w:left="40" w:firstLine="43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w:t>
      </w:r>
      <w:r>
        <w:rPr>
          <w:rFonts w:ascii="微软雅黑" w:hAnsi="微软雅黑" w:eastAsia="微软雅黑" w:cs="微软雅黑"/>
          <w:i/>
          <w:iCs/>
          <w:color w:val="auto"/>
          <w:spacing w:val="-1"/>
          <w:sz w:val="22"/>
          <w:szCs w:val="22"/>
          <w:highlight w:val="none"/>
          <w:u w:val="single" w:color="auto"/>
        </w:rPr>
        <w:t>（标的名称</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4"/>
          <w:sz w:val="22"/>
          <w:szCs w:val="22"/>
          <w:highlight w:val="none"/>
        </w:rPr>
        <w:t xml:space="preserve"> </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1"/>
          <w:sz w:val="21"/>
          <w:szCs w:val="21"/>
          <w:highlight w:val="none"/>
        </w:rPr>
        <w:t>属于</w:t>
      </w:r>
      <w:r>
        <w:rPr>
          <w:rFonts w:ascii="微软雅黑" w:hAnsi="微软雅黑" w:eastAsia="微软雅黑" w:cs="微软雅黑"/>
          <w:color w:val="auto"/>
          <w:spacing w:val="-40"/>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（采购文件中明确的所属行业</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制造商为</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2"/>
          <w:sz w:val="22"/>
          <w:szCs w:val="22"/>
          <w:highlight w:val="none"/>
          <w:u w:val="single" w:color="auto"/>
        </w:rPr>
        <w:t>（企业名称</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7"/>
          <w:sz w:val="22"/>
          <w:szCs w:val="22"/>
          <w:highlight w:val="none"/>
        </w:rPr>
        <w:t xml:space="preserve"> </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2"/>
          <w:sz w:val="21"/>
          <w:szCs w:val="21"/>
          <w:highlight w:val="none"/>
        </w:rPr>
        <w:t>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业</w:t>
      </w:r>
      <w:r>
        <w:rPr>
          <w:rFonts w:ascii="微软雅黑" w:hAnsi="微软雅黑" w:eastAsia="微软雅黑" w:cs="微软雅黑"/>
          <w:color w:val="auto"/>
          <w:spacing w:val="-3"/>
          <w:sz w:val="21"/>
          <w:szCs w:val="21"/>
          <w:highlight w:val="none"/>
        </w:rPr>
        <w:t>人员</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3"/>
          <w:sz w:val="21"/>
          <w:szCs w:val="21"/>
          <w:highlight w:val="none"/>
        </w:rPr>
        <w:t xml:space="preserve"> </w:t>
      </w:r>
      <w:r>
        <w:rPr>
          <w:rFonts w:ascii="微软雅黑" w:hAnsi="微软雅黑" w:eastAsia="微软雅黑" w:cs="微软雅黑"/>
          <w:color w:val="auto"/>
          <w:spacing w:val="-3"/>
          <w:sz w:val="21"/>
          <w:szCs w:val="21"/>
          <w:highlight w:val="none"/>
        </w:rPr>
        <w:t>人，</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营业收入为</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pacing w:val="-3"/>
          <w:sz w:val="21"/>
          <w:szCs w:val="21"/>
          <w:highlight w:val="none"/>
        </w:rPr>
        <w:t>万元，</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3"/>
          <w:sz w:val="21"/>
          <w:szCs w:val="21"/>
          <w:highlight w:val="none"/>
        </w:rPr>
        <w:t>资产总额为</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3"/>
          <w:sz w:val="21"/>
          <w:szCs w:val="21"/>
          <w:highlight w:val="none"/>
        </w:rPr>
        <w:t xml:space="preserve">万元 </w:t>
      </w:r>
      <w:r>
        <w:rPr>
          <w:rFonts w:ascii="微软雅黑" w:hAnsi="微软雅黑" w:eastAsia="微软雅黑" w:cs="微软雅黑"/>
          <w:color w:val="auto"/>
          <w:spacing w:val="-3"/>
          <w:position w:val="6"/>
          <w:sz w:val="11"/>
          <w:szCs w:val="11"/>
          <w:highlight w:val="none"/>
        </w:rPr>
        <w:t xml:space="preserve">1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3"/>
          <w:sz w:val="21"/>
          <w:szCs w:val="21"/>
          <w:highlight w:val="none"/>
        </w:rPr>
        <w:t>属于</w:t>
      </w:r>
      <w:r>
        <w:rPr>
          <w:rFonts w:ascii="微软雅黑" w:hAnsi="微软雅黑" w:eastAsia="微软雅黑" w:cs="微软雅黑"/>
          <w:color w:val="auto"/>
          <w:spacing w:val="-37"/>
          <w:sz w:val="22"/>
          <w:szCs w:val="22"/>
          <w:highlight w:val="none"/>
          <w:u w:val="single" w:color="auto"/>
        </w:rPr>
        <w:t xml:space="preserve"> </w:t>
      </w:r>
      <w:r>
        <w:rPr>
          <w:rFonts w:ascii="微软雅黑" w:hAnsi="微软雅黑" w:eastAsia="微软雅黑" w:cs="微软雅黑"/>
          <w:i/>
          <w:iCs/>
          <w:color w:val="auto"/>
          <w:spacing w:val="-3"/>
          <w:sz w:val="22"/>
          <w:szCs w:val="22"/>
          <w:highlight w:val="none"/>
          <w:u w:val="single" w:color="auto"/>
        </w:rPr>
        <w:t>（中型企业、小</w:t>
      </w:r>
      <w:r>
        <w:rPr>
          <w:rFonts w:ascii="微软雅黑" w:hAnsi="微软雅黑" w:eastAsia="微软雅黑" w:cs="微软雅黑"/>
          <w:i/>
          <w:iCs/>
          <w:color w:val="auto"/>
          <w:spacing w:val="-4"/>
          <w:sz w:val="22"/>
          <w:szCs w:val="22"/>
          <w:highlight w:val="none"/>
          <w:u w:val="single" w:color="auto"/>
        </w:rPr>
        <w:t>型企业、</w:t>
      </w:r>
      <w:r>
        <w:rPr>
          <w:rFonts w:ascii="微软雅黑" w:hAnsi="微软雅黑" w:eastAsia="微软雅黑" w:cs="微软雅黑"/>
          <w:i/>
          <w:iCs/>
          <w:color w:val="auto"/>
          <w:spacing w:val="-3"/>
          <w:sz w:val="22"/>
          <w:szCs w:val="22"/>
          <w:highlight w:val="none"/>
        </w:rPr>
        <w:t>微</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i/>
          <w:iCs/>
          <w:color w:val="auto"/>
          <w:spacing w:val="9"/>
          <w:sz w:val="22"/>
          <w:szCs w:val="22"/>
          <w:highlight w:val="none"/>
          <w:u w:val="single" w:color="auto"/>
        </w:rPr>
        <w:t>型企业</w:t>
      </w:r>
      <w:r>
        <w:rPr>
          <w:rFonts w:ascii="微软雅黑" w:hAnsi="微软雅黑" w:eastAsia="微软雅黑" w:cs="微软雅黑"/>
          <w:i/>
          <w:iCs/>
          <w:color w:val="auto"/>
          <w:spacing w:val="-34"/>
          <w:sz w:val="22"/>
          <w:szCs w:val="22"/>
          <w:highlight w:val="none"/>
          <w:u w:val="single" w:color="auto"/>
        </w:rPr>
        <w:t>）</w:t>
      </w:r>
      <w:r>
        <w:rPr>
          <w:rFonts w:ascii="微软雅黑" w:hAnsi="微软雅黑" w:eastAsia="微软雅黑" w:cs="微软雅黑"/>
          <w:color w:val="auto"/>
          <w:spacing w:val="-34"/>
          <w:sz w:val="21"/>
          <w:szCs w:val="21"/>
          <w:highlight w:val="none"/>
        </w:rPr>
        <w:t>；</w:t>
      </w:r>
    </w:p>
    <w:p w14:paraId="6B6010D9">
      <w:pPr>
        <w:spacing w:before="8" w:line="177"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w:t>
      </w:r>
      <w:r>
        <w:rPr>
          <w:rFonts w:ascii="微软雅黑" w:hAnsi="微软雅黑" w:eastAsia="微软雅黑" w:cs="微软雅黑"/>
          <w:color w:val="auto"/>
          <w:spacing w:val="51"/>
          <w:sz w:val="21"/>
          <w:szCs w:val="21"/>
          <w:highlight w:val="none"/>
        </w:rPr>
        <w:t xml:space="preserve"> </w:t>
      </w:r>
      <w:r>
        <w:rPr>
          <w:rFonts w:ascii="微软雅黑" w:hAnsi="微软雅黑" w:eastAsia="微软雅黑" w:cs="微软雅黑"/>
          <w:color w:val="auto"/>
          <w:spacing w:val="-43"/>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（标的名称</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2"/>
          <w:szCs w:val="22"/>
          <w:highlight w:val="none"/>
        </w:rPr>
        <w:t xml:space="preserve"> </w:t>
      </w:r>
      <w:r>
        <w:rPr>
          <w:rFonts w:ascii="微软雅黑" w:hAnsi="微软雅黑" w:eastAsia="微软雅黑" w:cs="微软雅黑"/>
          <w:color w:val="auto"/>
          <w:spacing w:val="-36"/>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属于</w:t>
      </w:r>
      <w:r>
        <w:rPr>
          <w:rFonts w:ascii="微软雅黑" w:hAnsi="微软雅黑" w:eastAsia="微软雅黑" w:cs="微软雅黑"/>
          <w:color w:val="auto"/>
          <w:spacing w:val="-37"/>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（采购文件中明确的所属行业</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1"/>
          <w:szCs w:val="21"/>
          <w:highlight w:val="none"/>
        </w:rPr>
        <w:t>；</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制造商为</w:t>
      </w:r>
      <w:r>
        <w:rPr>
          <w:rFonts w:ascii="微软雅黑" w:hAnsi="微软雅黑" w:eastAsia="微软雅黑" w:cs="微软雅黑"/>
          <w:color w:val="auto"/>
          <w:spacing w:val="-36"/>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（企业名称</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1"/>
          <w:szCs w:val="21"/>
          <w:highlight w:val="none"/>
        </w:rPr>
        <w:t>，</w:t>
      </w:r>
    </w:p>
    <w:p w14:paraId="6956231D">
      <w:pPr>
        <w:spacing w:before="102"/>
        <w:ind w:left="40"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从业</w:t>
      </w:r>
      <w:r>
        <w:rPr>
          <w:rFonts w:ascii="微软雅黑" w:hAnsi="微软雅黑" w:eastAsia="微软雅黑" w:cs="微软雅黑"/>
          <w:color w:val="auto"/>
          <w:spacing w:val="-3"/>
          <w:sz w:val="21"/>
          <w:szCs w:val="21"/>
          <w:highlight w:val="none"/>
        </w:rPr>
        <w:t>人员</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3"/>
          <w:sz w:val="21"/>
          <w:szCs w:val="21"/>
          <w:highlight w:val="none"/>
        </w:rPr>
        <w:t>人，</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3"/>
          <w:sz w:val="21"/>
          <w:szCs w:val="21"/>
          <w:highlight w:val="none"/>
        </w:rPr>
        <w:t>营业收入为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3"/>
          <w:sz w:val="21"/>
          <w:szCs w:val="21"/>
          <w:highlight w:val="none"/>
        </w:rPr>
        <w:t>万元，</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资产总额为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3"/>
          <w:sz w:val="21"/>
          <w:szCs w:val="21"/>
          <w:highlight w:val="none"/>
        </w:rPr>
        <w:t>万元，属于</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3"/>
          <w:sz w:val="22"/>
          <w:szCs w:val="22"/>
          <w:highlight w:val="none"/>
          <w:u w:val="single" w:color="auto"/>
        </w:rPr>
        <w:t>（中型企业、小</w:t>
      </w:r>
      <w:r>
        <w:rPr>
          <w:rFonts w:ascii="微软雅黑" w:hAnsi="微软雅黑" w:eastAsia="微软雅黑" w:cs="微软雅黑"/>
          <w:i/>
          <w:iCs/>
          <w:color w:val="auto"/>
          <w:spacing w:val="-4"/>
          <w:sz w:val="22"/>
          <w:szCs w:val="22"/>
          <w:highlight w:val="none"/>
          <w:u w:val="single" w:color="auto"/>
        </w:rPr>
        <w:t>型企业、</w:t>
      </w:r>
      <w:r>
        <w:rPr>
          <w:rFonts w:ascii="微软雅黑" w:hAnsi="微软雅黑" w:eastAsia="微软雅黑" w:cs="微软雅黑"/>
          <w:i/>
          <w:iCs/>
          <w:color w:val="auto"/>
          <w:spacing w:val="-2"/>
          <w:sz w:val="22"/>
          <w:szCs w:val="22"/>
          <w:highlight w:val="none"/>
          <w:u w:val="single" w:color="auto"/>
        </w:rPr>
        <w:t>微</w:t>
      </w:r>
      <w:r>
        <w:rPr>
          <w:rFonts w:ascii="微软雅黑" w:hAnsi="微软雅黑" w:eastAsia="微软雅黑" w:cs="微软雅黑"/>
          <w:color w:val="auto"/>
          <w:sz w:val="22"/>
          <w:szCs w:val="22"/>
          <w:highlight w:val="none"/>
          <w:u w:val="single" w:color="auto"/>
        </w:rPr>
        <w:t xml:space="preserve"> </w:t>
      </w:r>
      <w:r>
        <w:rPr>
          <w:rFonts w:ascii="微软雅黑" w:hAnsi="微软雅黑" w:eastAsia="微软雅黑" w:cs="微软雅黑"/>
          <w:i/>
          <w:iCs/>
          <w:color w:val="auto"/>
          <w:spacing w:val="9"/>
          <w:sz w:val="22"/>
          <w:szCs w:val="22"/>
          <w:highlight w:val="none"/>
          <w:u w:val="single" w:color="auto"/>
        </w:rPr>
        <w:t>型企业</w:t>
      </w:r>
      <w:r>
        <w:rPr>
          <w:rFonts w:ascii="微软雅黑" w:hAnsi="微软雅黑" w:eastAsia="微软雅黑" w:cs="微软雅黑"/>
          <w:i/>
          <w:iCs/>
          <w:color w:val="auto"/>
          <w:spacing w:val="-34"/>
          <w:sz w:val="22"/>
          <w:szCs w:val="22"/>
          <w:highlight w:val="none"/>
          <w:u w:val="single" w:color="auto"/>
        </w:rPr>
        <w:t>）</w:t>
      </w:r>
      <w:r>
        <w:rPr>
          <w:rFonts w:ascii="微软雅黑" w:hAnsi="微软雅黑" w:eastAsia="微软雅黑" w:cs="微软雅黑"/>
          <w:color w:val="auto"/>
          <w:spacing w:val="-34"/>
          <w:sz w:val="21"/>
          <w:szCs w:val="21"/>
          <w:highlight w:val="none"/>
        </w:rPr>
        <w:t>；</w:t>
      </w:r>
    </w:p>
    <w:p w14:paraId="7C07BC81">
      <w:pPr>
        <w:spacing w:before="8" w:line="206" w:lineRule="auto"/>
        <w:ind w:left="47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9"/>
          <w:sz w:val="21"/>
          <w:szCs w:val="21"/>
          <w:highlight w:val="none"/>
        </w:rPr>
        <w:t>……</w:t>
      </w:r>
    </w:p>
    <w:p w14:paraId="6927C40E">
      <w:pPr>
        <w:spacing w:before="73" w:line="252" w:lineRule="auto"/>
        <w:ind w:left="45" w:right="53" w:firstLine="44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以上企业，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不属于大企业的分支机构，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不存在控股股东为大企业的情形，</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 xml:space="preserve">也不存在与 </w:t>
      </w:r>
      <w:r>
        <w:rPr>
          <w:rFonts w:ascii="微软雅黑" w:hAnsi="微软雅黑" w:eastAsia="微软雅黑" w:cs="微软雅黑"/>
          <w:color w:val="auto"/>
          <w:spacing w:val="1"/>
          <w:sz w:val="21"/>
          <w:szCs w:val="21"/>
          <w:highlight w:val="none"/>
        </w:rPr>
        <w:t>大企业的负责人为同一人的情形。</w:t>
      </w:r>
    </w:p>
    <w:p w14:paraId="06B948C4">
      <w:pPr>
        <w:spacing w:before="5"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本企业对上述声明内容的真实性负责。如有虚假，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将依</w:t>
      </w:r>
      <w:r>
        <w:rPr>
          <w:rFonts w:ascii="微软雅黑" w:hAnsi="微软雅黑" w:eastAsia="微软雅黑" w:cs="微软雅黑"/>
          <w:color w:val="auto"/>
          <w:spacing w:val="1"/>
          <w:sz w:val="21"/>
          <w:szCs w:val="21"/>
          <w:highlight w:val="none"/>
        </w:rPr>
        <w:t>法承担相应责任。</w:t>
      </w:r>
    </w:p>
    <w:p w14:paraId="52E7C2B5">
      <w:pPr>
        <w:spacing w:line="240" w:lineRule="auto"/>
        <w:ind w:left="0" w:right="0" w:firstLine="0"/>
        <w:rPr>
          <w:rFonts w:ascii="微软雅黑" w:hAnsi="微软雅黑" w:eastAsia="微软雅黑" w:cs="微软雅黑"/>
          <w:color w:val="auto"/>
          <w:sz w:val="21"/>
          <w:szCs w:val="21"/>
          <w:highlight w:val="none"/>
        </w:rPr>
      </w:pPr>
    </w:p>
    <w:p w14:paraId="460350E7">
      <w:pPr>
        <w:spacing w:line="240" w:lineRule="auto"/>
        <w:ind w:left="0" w:right="0" w:firstLine="0"/>
        <w:rPr>
          <w:rFonts w:ascii="微软雅黑" w:hAnsi="微软雅黑" w:eastAsia="微软雅黑" w:cs="微软雅黑"/>
          <w:color w:val="auto"/>
          <w:sz w:val="21"/>
          <w:szCs w:val="21"/>
          <w:highlight w:val="none"/>
        </w:rPr>
      </w:pPr>
    </w:p>
    <w:p w14:paraId="4A53BF04">
      <w:pPr>
        <w:spacing w:line="240" w:lineRule="auto"/>
        <w:ind w:left="0" w:right="0" w:firstLine="0"/>
        <w:rPr>
          <w:rFonts w:ascii="微软雅黑" w:hAnsi="微软雅黑" w:eastAsia="微软雅黑" w:cs="微软雅黑"/>
          <w:color w:val="auto"/>
          <w:sz w:val="21"/>
          <w:szCs w:val="21"/>
          <w:highlight w:val="none"/>
        </w:rPr>
      </w:pPr>
    </w:p>
    <w:p w14:paraId="328FC14A">
      <w:pPr>
        <w:spacing w:line="240" w:lineRule="auto"/>
        <w:ind w:left="0" w:right="0" w:firstLine="0"/>
        <w:jc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 xml:space="preserve">                                                        </w:t>
      </w:r>
      <w:r>
        <w:rPr>
          <w:rFonts w:ascii="微软雅黑" w:hAnsi="微软雅黑" w:eastAsia="微软雅黑" w:cs="微软雅黑"/>
          <w:color w:val="auto"/>
          <w:sz w:val="21"/>
          <w:szCs w:val="21"/>
          <w:highlight w:val="none"/>
        </w:rPr>
        <w:t>企业名称（盖章</w:t>
      </w:r>
      <w:r>
        <w:rPr>
          <w:rFonts w:hint="eastAsia" w:ascii="微软雅黑" w:hAnsi="微软雅黑" w:eastAsia="微软雅黑" w:cs="微软雅黑"/>
          <w:color w:val="auto"/>
          <w:sz w:val="21"/>
          <w:szCs w:val="21"/>
          <w:highlight w:val="none"/>
          <w:lang w:eastAsia="zh-CN"/>
        </w:rPr>
        <w:t>）</w:t>
      </w:r>
      <w:r>
        <w:rPr>
          <w:rFonts w:ascii="微软雅黑" w:hAnsi="微软雅黑" w:eastAsia="微软雅黑" w:cs="微软雅黑"/>
          <w:color w:val="auto"/>
          <w:spacing w:val="-19"/>
          <w:sz w:val="21"/>
          <w:szCs w:val="21"/>
          <w:highlight w:val="none"/>
        </w:rPr>
        <w:t>：</w:t>
      </w:r>
      <w:r>
        <w:rPr>
          <w:rFonts w:ascii="微软雅黑" w:hAnsi="微软雅黑" w:eastAsia="微软雅黑" w:cs="微软雅黑"/>
          <w:color w:val="auto"/>
          <w:sz w:val="21"/>
          <w:szCs w:val="21"/>
          <w:highlight w:val="none"/>
        </w:rPr>
        <w:t xml:space="preserve"> </w:t>
      </w:r>
    </w:p>
    <w:p w14:paraId="448E45EB">
      <w:pPr>
        <w:spacing w:line="240" w:lineRule="auto"/>
        <w:ind w:left="0" w:right="0" w:firstLine="0"/>
        <w:jc w:val="center"/>
        <w:rPr>
          <w:rFonts w:ascii="微软雅黑" w:hAnsi="微软雅黑" w:eastAsia="微软雅黑" w:cs="微软雅黑"/>
          <w:color w:val="auto"/>
          <w:sz w:val="21"/>
          <w:szCs w:val="21"/>
          <w:highlight w:val="none"/>
        </w:rPr>
      </w:pPr>
    </w:p>
    <w:p w14:paraId="68CCA294">
      <w:pPr>
        <w:spacing w:line="240" w:lineRule="auto"/>
        <w:ind w:left="0" w:right="0" w:firstLine="0"/>
        <w:jc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 xml:space="preserve">                                                                            </w:t>
      </w:r>
      <w:r>
        <w:rPr>
          <w:rFonts w:ascii="微软雅黑" w:hAnsi="微软雅黑" w:eastAsia="微软雅黑" w:cs="微软雅黑"/>
          <w:color w:val="auto"/>
          <w:spacing w:val="-19"/>
          <w:sz w:val="21"/>
          <w:szCs w:val="21"/>
          <w:highlight w:val="none"/>
        </w:rPr>
        <w:t>日期：</w:t>
      </w:r>
    </w:p>
    <w:p w14:paraId="4D2052DC">
      <w:pPr>
        <w:pStyle w:val="6"/>
        <w:spacing w:line="252" w:lineRule="auto"/>
        <w:rPr>
          <w:color w:val="auto"/>
          <w:highlight w:val="none"/>
        </w:rPr>
      </w:pPr>
    </w:p>
    <w:p w14:paraId="2AEC68E9">
      <w:pPr>
        <w:pStyle w:val="6"/>
        <w:spacing w:line="252" w:lineRule="auto"/>
        <w:rPr>
          <w:color w:val="auto"/>
          <w:highlight w:val="none"/>
        </w:rPr>
      </w:pPr>
    </w:p>
    <w:p w14:paraId="059A2016">
      <w:pPr>
        <w:pStyle w:val="6"/>
        <w:spacing w:line="252" w:lineRule="auto"/>
        <w:rPr>
          <w:color w:val="auto"/>
          <w:highlight w:val="none"/>
        </w:rPr>
      </w:pPr>
    </w:p>
    <w:p w14:paraId="2A9B512A">
      <w:pPr>
        <w:pStyle w:val="6"/>
        <w:spacing w:line="252" w:lineRule="auto"/>
        <w:rPr>
          <w:color w:val="auto"/>
          <w:highlight w:val="none"/>
        </w:rPr>
      </w:pPr>
    </w:p>
    <w:p w14:paraId="4E2B78F8">
      <w:pPr>
        <w:pStyle w:val="6"/>
        <w:spacing w:line="252" w:lineRule="auto"/>
        <w:rPr>
          <w:color w:val="auto"/>
          <w:highlight w:val="none"/>
        </w:rPr>
      </w:pPr>
    </w:p>
    <w:p w14:paraId="17BFD1A7">
      <w:pPr>
        <w:pStyle w:val="6"/>
        <w:spacing w:line="252" w:lineRule="auto"/>
        <w:rPr>
          <w:color w:val="auto"/>
          <w:highlight w:val="none"/>
        </w:rPr>
      </w:pPr>
    </w:p>
    <w:p w14:paraId="2995BDF8">
      <w:pPr>
        <w:spacing w:before="59" w:line="214" w:lineRule="auto"/>
        <w:ind w:left="45"/>
        <w:rPr>
          <w:rFonts w:ascii="宋体" w:hAnsi="宋体" w:eastAsia="宋体" w:cs="宋体"/>
          <w:color w:val="auto"/>
          <w:sz w:val="18"/>
          <w:szCs w:val="18"/>
          <w:highlight w:val="none"/>
        </w:rPr>
      </w:pPr>
      <w:r>
        <w:rPr>
          <w:rFonts w:ascii="Times New Roman" w:hAnsi="Times New Roman" w:eastAsia="Times New Roman" w:cs="Times New Roman"/>
          <w:color w:val="auto"/>
          <w:spacing w:val="2"/>
          <w:position w:val="6"/>
          <w:sz w:val="14"/>
          <w:szCs w:val="14"/>
          <w:highlight w:val="none"/>
        </w:rPr>
        <w:t>1</w:t>
      </w:r>
      <w:r>
        <w:rPr>
          <w:rFonts w:ascii="Times New Roman" w:hAnsi="Times New Roman" w:eastAsia="Times New Roman" w:cs="Times New Roman"/>
          <w:color w:val="auto"/>
          <w:spacing w:val="21"/>
          <w:w w:val="102"/>
          <w:position w:val="6"/>
          <w:sz w:val="14"/>
          <w:szCs w:val="14"/>
          <w:highlight w:val="none"/>
        </w:rPr>
        <w:t xml:space="preserve">  </w:t>
      </w:r>
      <w:r>
        <w:rPr>
          <w:rFonts w:ascii="宋体" w:hAnsi="宋体" w:eastAsia="宋体" w:cs="宋体"/>
          <w:color w:val="auto"/>
          <w:spacing w:val="2"/>
          <w:sz w:val="18"/>
          <w:szCs w:val="18"/>
          <w:highlight w:val="none"/>
        </w:rPr>
        <w:t>从业人员、营业收入、资产总额填报上一年度数据，无上一年度数据的新成立企业可不填报。</w:t>
      </w:r>
    </w:p>
    <w:p w14:paraId="426D3F1F">
      <w:pPr>
        <w:pStyle w:val="6"/>
        <w:spacing w:line="252" w:lineRule="auto"/>
        <w:rPr>
          <w:color w:val="auto"/>
          <w:highlight w:val="none"/>
        </w:rPr>
      </w:pPr>
    </w:p>
    <w:p w14:paraId="5750A799">
      <w:pPr>
        <w:pStyle w:val="6"/>
        <w:spacing w:line="252" w:lineRule="auto"/>
        <w:rPr>
          <w:color w:val="auto"/>
          <w:highlight w:val="none"/>
        </w:rPr>
      </w:pPr>
    </w:p>
    <w:p w14:paraId="378856F3">
      <w:pPr>
        <w:pStyle w:val="6"/>
        <w:spacing w:line="252" w:lineRule="auto"/>
        <w:rPr>
          <w:color w:val="auto"/>
          <w:highlight w:val="none"/>
        </w:rPr>
      </w:pPr>
    </w:p>
    <w:p w14:paraId="54D8790A">
      <w:pPr>
        <w:pStyle w:val="6"/>
        <w:spacing w:line="252" w:lineRule="auto"/>
        <w:rPr>
          <w:color w:val="auto"/>
          <w:highlight w:val="none"/>
        </w:rPr>
      </w:pPr>
    </w:p>
    <w:p w14:paraId="5229AD9A">
      <w:pPr>
        <w:pStyle w:val="6"/>
        <w:spacing w:line="447" w:lineRule="auto"/>
        <w:rPr>
          <w:color w:val="auto"/>
          <w:highlight w:val="none"/>
        </w:rPr>
      </w:pPr>
    </w:p>
    <w:p w14:paraId="423A38B8">
      <w:pPr>
        <w:spacing w:line="240" w:lineRule="auto"/>
        <w:ind w:firstLine="0"/>
        <w:rPr>
          <w:color w:val="auto"/>
          <w:highlight w:val="none"/>
        </w:rPr>
      </w:pPr>
    </w:p>
    <w:p w14:paraId="61EBCA56">
      <w:pPr>
        <w:spacing w:line="240" w:lineRule="auto"/>
        <w:ind w:firstLine="0"/>
        <w:rPr>
          <w:color w:val="auto"/>
          <w:highlight w:val="none"/>
        </w:rPr>
      </w:pPr>
      <w:r>
        <w:rPr>
          <w:color w:val="auto"/>
          <w:highlight w:val="none"/>
        </w:rPr>
        <w:pict>
          <v:shape id="_x0000_s1082" o:spid="_x0000_s1082" style="position:absolute;left:0pt;margin-left:0.25pt;margin-top:44.45pt;height:0.5pt;width:418.5pt;z-index:251693056;mso-width-relative:page;mso-height-relative:page;" filled="f" stroked="t" coordsize="8370,10" path="m0,5l8369,5e">
            <v:fill on="f" focussize="0,0"/>
            <v:stroke weight="0.5pt" color="#FFFFFF" miterlimit="10" joinstyle="miter"/>
            <v:imagedata o:title=""/>
            <o:lock v:ext="edit" aspectratio="f"/>
          </v:shape>
        </w:pict>
      </w:r>
    </w:p>
    <w:p w14:paraId="64C6B813">
      <w:pPr>
        <w:pStyle w:val="6"/>
        <w:spacing w:line="301" w:lineRule="auto"/>
        <w:rPr>
          <w:color w:val="auto"/>
          <w:highlight w:val="none"/>
        </w:rPr>
      </w:pPr>
    </w:p>
    <w:p w14:paraId="6B7C07FD">
      <w:pPr>
        <w:pStyle w:val="6"/>
        <w:spacing w:line="301" w:lineRule="auto"/>
        <w:rPr>
          <w:color w:val="auto"/>
          <w:highlight w:val="none"/>
        </w:rPr>
      </w:pPr>
    </w:p>
    <w:p w14:paraId="3EC858D4">
      <w:pPr>
        <w:pStyle w:val="6"/>
        <w:spacing w:line="301" w:lineRule="auto"/>
        <w:rPr>
          <w:color w:val="auto"/>
          <w:highlight w:val="none"/>
        </w:rPr>
      </w:pPr>
    </w:p>
    <w:p w14:paraId="5B72693A">
      <w:pPr>
        <w:spacing w:before="90" w:line="184" w:lineRule="auto"/>
        <w:ind w:left="38"/>
        <w:rPr>
          <w:rFonts w:ascii="微软雅黑" w:hAnsi="微软雅黑" w:eastAsia="微软雅黑" w:cs="微软雅黑"/>
          <w:b/>
          <w:bCs/>
          <w:color w:val="auto"/>
          <w:sz w:val="21"/>
          <w:szCs w:val="21"/>
          <w:highlight w:val="none"/>
        </w:rPr>
      </w:pPr>
    </w:p>
    <w:p w14:paraId="2643F389">
      <w:pPr>
        <w:spacing w:before="90" w:line="184" w:lineRule="auto"/>
        <w:ind w:left="38"/>
        <w:rPr>
          <w:rFonts w:ascii="微软雅黑" w:hAnsi="微软雅黑" w:eastAsia="微软雅黑" w:cs="微软雅黑"/>
          <w:b/>
          <w:bCs/>
          <w:color w:val="auto"/>
          <w:sz w:val="21"/>
          <w:szCs w:val="21"/>
          <w:highlight w:val="none"/>
        </w:rPr>
      </w:pPr>
    </w:p>
    <w:p w14:paraId="1BE89CB2">
      <w:pPr>
        <w:spacing w:before="90" w:line="184"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6-2     残疾人福利性单位声明函（格式十）</w:t>
      </w:r>
    </w:p>
    <w:p w14:paraId="7EC22178">
      <w:pPr>
        <w:pStyle w:val="6"/>
        <w:spacing w:line="287" w:lineRule="auto"/>
        <w:rPr>
          <w:color w:val="auto"/>
          <w:highlight w:val="none"/>
        </w:rPr>
      </w:pPr>
    </w:p>
    <w:p w14:paraId="28DEA6CD">
      <w:pPr>
        <w:pStyle w:val="6"/>
        <w:spacing w:line="287" w:lineRule="auto"/>
        <w:rPr>
          <w:color w:val="auto"/>
          <w:highlight w:val="none"/>
        </w:rPr>
      </w:pPr>
    </w:p>
    <w:p w14:paraId="0B2701C7">
      <w:pPr>
        <w:pStyle w:val="6"/>
        <w:spacing w:line="287" w:lineRule="auto"/>
        <w:rPr>
          <w:color w:val="auto"/>
          <w:highlight w:val="none"/>
        </w:rPr>
      </w:pPr>
    </w:p>
    <w:p w14:paraId="162174E7">
      <w:pPr>
        <w:spacing w:before="90" w:line="215" w:lineRule="auto"/>
        <w:ind w:left="43" w:right="32" w:firstLine="56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本单位郑重声明，</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3"/>
          <w:sz w:val="21"/>
          <w:szCs w:val="21"/>
          <w:highlight w:val="none"/>
        </w:rPr>
        <w:t>根据《财政部  民政部  中国</w:t>
      </w:r>
      <w:r>
        <w:rPr>
          <w:rFonts w:ascii="微软雅黑" w:hAnsi="微软雅黑" w:eastAsia="微软雅黑" w:cs="微软雅黑"/>
          <w:color w:val="auto"/>
          <w:spacing w:val="2"/>
          <w:sz w:val="21"/>
          <w:szCs w:val="21"/>
          <w:highlight w:val="none"/>
        </w:rPr>
        <w:t>残疾人联合会关于促进残疾人就业政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府采购政策的通知》（财库〔2017〕</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2"/>
          <w:sz w:val="21"/>
          <w:szCs w:val="21"/>
          <w:highlight w:val="none"/>
        </w:rPr>
        <w:t>141 号）</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的规定，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本单位为符合条件的残疾人福利性</w:t>
      </w:r>
      <w:r>
        <w:rPr>
          <w:rFonts w:ascii="微软雅黑" w:hAnsi="微软雅黑" w:eastAsia="微软雅黑" w:cs="微软雅黑"/>
          <w:color w:val="auto"/>
          <w:sz w:val="21"/>
          <w:szCs w:val="21"/>
          <w:highlight w:val="none"/>
        </w:rPr>
        <w:t xml:space="preserve"> 单位，</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且本单位参加</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z w:val="21"/>
          <w:szCs w:val="21"/>
          <w:highlight w:val="none"/>
        </w:rPr>
        <w:t>单位的</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项目采购活动提供本单位制造的货物，</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或</w:t>
      </w:r>
      <w:r>
        <w:rPr>
          <w:rFonts w:ascii="微软雅黑" w:hAnsi="微软雅黑" w:eastAsia="微软雅黑" w:cs="微软雅黑"/>
          <w:color w:val="auto"/>
          <w:spacing w:val="-1"/>
          <w:sz w:val="21"/>
          <w:szCs w:val="21"/>
          <w:highlight w:val="none"/>
        </w:rPr>
        <w:t>者提供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其他残疾人福利性单位制造的货物（不包括使用非残疾人福利性单位注册商标的货物）</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w:t>
      </w:r>
    </w:p>
    <w:p w14:paraId="5421DBFF">
      <w:pPr>
        <w:spacing w:before="11"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本单位对上述声明的真实性负责。如有虚假，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将依法承担相应责任。</w:t>
      </w:r>
    </w:p>
    <w:p w14:paraId="68B0DF40">
      <w:pPr>
        <w:pStyle w:val="6"/>
        <w:spacing w:line="299" w:lineRule="auto"/>
        <w:rPr>
          <w:color w:val="auto"/>
          <w:highlight w:val="none"/>
        </w:rPr>
      </w:pPr>
    </w:p>
    <w:p w14:paraId="7597CDEC">
      <w:pPr>
        <w:pStyle w:val="6"/>
        <w:spacing w:line="300" w:lineRule="auto"/>
        <w:rPr>
          <w:color w:val="auto"/>
          <w:highlight w:val="none"/>
        </w:rPr>
      </w:pPr>
    </w:p>
    <w:p w14:paraId="09921FD0">
      <w:pPr>
        <w:spacing w:before="90" w:line="183" w:lineRule="auto"/>
        <w:ind w:left="26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残疾人福利性单位名称（盖单位章</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1B66F208">
      <w:pPr>
        <w:spacing w:before="49" w:line="188" w:lineRule="auto"/>
        <w:ind w:left="2172" w:firstLine="3360" w:firstLineChars="1600"/>
        <w:rPr>
          <w:rFonts w:ascii="微软雅黑" w:hAnsi="微软雅黑" w:eastAsia="微软雅黑" w:cs="微软雅黑"/>
          <w:color w:val="auto"/>
          <w:sz w:val="21"/>
          <w:szCs w:val="21"/>
          <w:highlight w:val="none"/>
        </w:rPr>
      </w:pPr>
      <w:r>
        <w:rPr>
          <w:color w:val="auto"/>
          <w:highlight w:val="none"/>
        </w:rPr>
        <w:pict>
          <v:shape id="_x0000_s1083" o:spid="_x0000_s1083" style="position:absolute;left:0pt;margin-left:68.65pt;margin-top:12.9pt;height:0.55pt;width:37.3pt;z-index:251694080;mso-width-relative:page;mso-height-relative:page;" filled="f" stroked="t" coordsize="745,11" path="m0,5l745,5e">
            <v:fill on="f" focussize="0,0"/>
            <v:stroke weight="0.52pt" color="#FFFFFF" miterlimit="10" joinstyle="miter"/>
            <v:imagedata o:title=""/>
            <o:lock v:ext="edit"/>
          </v:shape>
        </w:pict>
      </w:r>
      <w:r>
        <w:rPr>
          <w:rFonts w:ascii="微软雅黑" w:hAnsi="微软雅黑" w:eastAsia="微软雅黑" w:cs="微软雅黑"/>
          <w:color w:val="auto"/>
          <w:spacing w:val="-13"/>
          <w:sz w:val="21"/>
          <w:szCs w:val="21"/>
          <w:highlight w:val="none"/>
        </w:rPr>
        <w:t>日    期：</w:t>
      </w:r>
      <w:r>
        <w:rPr>
          <w:rFonts w:ascii="微软雅黑" w:hAnsi="微软雅黑" w:eastAsia="微软雅黑" w:cs="微软雅黑"/>
          <w:color w:val="auto"/>
          <w:sz w:val="21"/>
          <w:szCs w:val="21"/>
          <w:highlight w:val="none"/>
          <w:u w:val="single" w:color="auto"/>
        </w:rPr>
        <w:t xml:space="preserve">                   </w:t>
      </w:r>
    </w:p>
    <w:p w14:paraId="13DAE44B">
      <w:pPr>
        <w:pStyle w:val="6"/>
        <w:spacing w:line="246" w:lineRule="auto"/>
        <w:rPr>
          <w:color w:val="auto"/>
          <w:highlight w:val="none"/>
        </w:rPr>
      </w:pPr>
    </w:p>
    <w:p w14:paraId="42AFC652">
      <w:pPr>
        <w:pStyle w:val="6"/>
        <w:spacing w:line="246" w:lineRule="auto"/>
        <w:rPr>
          <w:color w:val="auto"/>
          <w:highlight w:val="none"/>
        </w:rPr>
      </w:pPr>
    </w:p>
    <w:p w14:paraId="214210C8">
      <w:pPr>
        <w:pStyle w:val="6"/>
        <w:spacing w:line="246" w:lineRule="auto"/>
        <w:rPr>
          <w:color w:val="auto"/>
          <w:highlight w:val="none"/>
        </w:rPr>
      </w:pPr>
    </w:p>
    <w:p w14:paraId="302E5A2F">
      <w:pPr>
        <w:pStyle w:val="6"/>
        <w:spacing w:line="246" w:lineRule="auto"/>
        <w:rPr>
          <w:color w:val="auto"/>
          <w:highlight w:val="none"/>
        </w:rPr>
      </w:pPr>
    </w:p>
    <w:p w14:paraId="610BD939">
      <w:pPr>
        <w:pStyle w:val="6"/>
        <w:spacing w:line="246" w:lineRule="auto"/>
        <w:rPr>
          <w:color w:val="auto"/>
          <w:highlight w:val="none"/>
        </w:rPr>
      </w:pPr>
    </w:p>
    <w:p w14:paraId="53A21BAE">
      <w:pPr>
        <w:pStyle w:val="6"/>
        <w:spacing w:line="246" w:lineRule="auto"/>
        <w:rPr>
          <w:color w:val="auto"/>
          <w:highlight w:val="none"/>
        </w:rPr>
      </w:pPr>
    </w:p>
    <w:p w14:paraId="038F810B">
      <w:pPr>
        <w:pStyle w:val="6"/>
        <w:spacing w:line="246" w:lineRule="auto"/>
        <w:rPr>
          <w:color w:val="auto"/>
          <w:highlight w:val="none"/>
        </w:rPr>
      </w:pPr>
    </w:p>
    <w:p w14:paraId="250D3989">
      <w:pPr>
        <w:pStyle w:val="6"/>
        <w:spacing w:line="246" w:lineRule="auto"/>
        <w:rPr>
          <w:color w:val="auto"/>
          <w:highlight w:val="none"/>
        </w:rPr>
      </w:pPr>
    </w:p>
    <w:p w14:paraId="29E282DE">
      <w:pPr>
        <w:pStyle w:val="6"/>
        <w:spacing w:line="246" w:lineRule="auto"/>
        <w:rPr>
          <w:color w:val="auto"/>
          <w:highlight w:val="none"/>
        </w:rPr>
      </w:pPr>
    </w:p>
    <w:p w14:paraId="09DD7498">
      <w:pPr>
        <w:pStyle w:val="6"/>
        <w:spacing w:line="246" w:lineRule="auto"/>
        <w:rPr>
          <w:color w:val="auto"/>
          <w:highlight w:val="none"/>
        </w:rPr>
      </w:pPr>
    </w:p>
    <w:p w14:paraId="6FF28A85">
      <w:pPr>
        <w:pStyle w:val="6"/>
        <w:spacing w:line="246" w:lineRule="auto"/>
        <w:rPr>
          <w:color w:val="auto"/>
          <w:highlight w:val="none"/>
        </w:rPr>
      </w:pPr>
    </w:p>
    <w:p w14:paraId="3C4ACEE7">
      <w:pPr>
        <w:pStyle w:val="6"/>
        <w:spacing w:line="246" w:lineRule="auto"/>
        <w:rPr>
          <w:color w:val="auto"/>
          <w:highlight w:val="none"/>
        </w:rPr>
      </w:pPr>
    </w:p>
    <w:p w14:paraId="0AF5CC70">
      <w:pPr>
        <w:pStyle w:val="6"/>
        <w:spacing w:line="246" w:lineRule="auto"/>
        <w:rPr>
          <w:color w:val="auto"/>
          <w:highlight w:val="none"/>
        </w:rPr>
      </w:pPr>
    </w:p>
    <w:p w14:paraId="2A3DD8F4">
      <w:pPr>
        <w:pStyle w:val="6"/>
        <w:spacing w:line="246" w:lineRule="auto"/>
        <w:rPr>
          <w:color w:val="auto"/>
          <w:highlight w:val="none"/>
        </w:rPr>
      </w:pPr>
    </w:p>
    <w:p w14:paraId="658CF0FD">
      <w:pPr>
        <w:pStyle w:val="6"/>
        <w:spacing w:line="246" w:lineRule="auto"/>
        <w:rPr>
          <w:color w:val="auto"/>
          <w:highlight w:val="none"/>
        </w:rPr>
      </w:pPr>
    </w:p>
    <w:p w14:paraId="1E5DC66D">
      <w:pPr>
        <w:pStyle w:val="6"/>
        <w:spacing w:line="246" w:lineRule="auto"/>
        <w:rPr>
          <w:color w:val="auto"/>
          <w:highlight w:val="none"/>
        </w:rPr>
      </w:pPr>
    </w:p>
    <w:p w14:paraId="1B5332FC">
      <w:pPr>
        <w:pStyle w:val="6"/>
        <w:spacing w:line="246" w:lineRule="auto"/>
        <w:rPr>
          <w:color w:val="auto"/>
          <w:highlight w:val="none"/>
        </w:rPr>
      </w:pPr>
    </w:p>
    <w:p w14:paraId="7CC89580">
      <w:pPr>
        <w:pStyle w:val="6"/>
        <w:spacing w:line="246" w:lineRule="auto"/>
        <w:rPr>
          <w:color w:val="auto"/>
          <w:highlight w:val="none"/>
        </w:rPr>
      </w:pPr>
    </w:p>
    <w:p w14:paraId="5FEF3CEA">
      <w:pPr>
        <w:pStyle w:val="6"/>
        <w:spacing w:line="246" w:lineRule="auto"/>
        <w:rPr>
          <w:color w:val="auto"/>
          <w:highlight w:val="none"/>
        </w:rPr>
      </w:pPr>
    </w:p>
    <w:p w14:paraId="154A56D0">
      <w:pPr>
        <w:pStyle w:val="6"/>
        <w:spacing w:line="246" w:lineRule="auto"/>
        <w:rPr>
          <w:color w:val="auto"/>
          <w:highlight w:val="none"/>
        </w:rPr>
      </w:pPr>
    </w:p>
    <w:p w14:paraId="36C58DF2">
      <w:pPr>
        <w:pStyle w:val="6"/>
        <w:spacing w:line="246" w:lineRule="auto"/>
        <w:rPr>
          <w:color w:val="auto"/>
          <w:highlight w:val="none"/>
        </w:rPr>
      </w:pPr>
    </w:p>
    <w:p w14:paraId="0155565A">
      <w:pPr>
        <w:pStyle w:val="6"/>
        <w:spacing w:line="246" w:lineRule="auto"/>
        <w:rPr>
          <w:color w:val="auto"/>
          <w:highlight w:val="none"/>
        </w:rPr>
      </w:pPr>
    </w:p>
    <w:p w14:paraId="325B58AC">
      <w:pPr>
        <w:pStyle w:val="6"/>
        <w:spacing w:line="246" w:lineRule="auto"/>
        <w:rPr>
          <w:color w:val="auto"/>
          <w:highlight w:val="none"/>
        </w:rPr>
      </w:pPr>
    </w:p>
    <w:p w14:paraId="3B0EB926">
      <w:pPr>
        <w:pStyle w:val="6"/>
        <w:spacing w:line="246" w:lineRule="auto"/>
        <w:rPr>
          <w:color w:val="auto"/>
          <w:highlight w:val="none"/>
        </w:rPr>
      </w:pPr>
    </w:p>
    <w:p w14:paraId="6C91B3A8">
      <w:pPr>
        <w:pStyle w:val="6"/>
        <w:spacing w:line="247" w:lineRule="auto"/>
        <w:rPr>
          <w:color w:val="auto"/>
          <w:highlight w:val="none"/>
        </w:rPr>
      </w:pPr>
    </w:p>
    <w:p w14:paraId="0C6985B9">
      <w:pPr>
        <w:pStyle w:val="6"/>
        <w:spacing w:line="247" w:lineRule="auto"/>
        <w:rPr>
          <w:color w:val="auto"/>
          <w:highlight w:val="none"/>
        </w:rPr>
      </w:pPr>
    </w:p>
    <w:p w14:paraId="70E77FA0">
      <w:pPr>
        <w:pStyle w:val="6"/>
        <w:spacing w:line="247" w:lineRule="auto"/>
        <w:rPr>
          <w:color w:val="auto"/>
          <w:highlight w:val="none"/>
        </w:rPr>
      </w:pPr>
    </w:p>
    <w:p w14:paraId="2584E502">
      <w:pPr>
        <w:pStyle w:val="6"/>
        <w:spacing w:line="247" w:lineRule="auto"/>
        <w:rPr>
          <w:color w:val="auto"/>
          <w:highlight w:val="none"/>
        </w:rPr>
      </w:pPr>
    </w:p>
    <w:p w14:paraId="492AAABA">
      <w:pPr>
        <w:pStyle w:val="6"/>
        <w:spacing w:line="247" w:lineRule="auto"/>
        <w:rPr>
          <w:color w:val="auto"/>
          <w:highlight w:val="none"/>
        </w:rPr>
      </w:pPr>
    </w:p>
    <w:p w14:paraId="76DEB4F0">
      <w:pPr>
        <w:pStyle w:val="6"/>
        <w:spacing w:line="247" w:lineRule="auto"/>
        <w:rPr>
          <w:color w:val="auto"/>
          <w:highlight w:val="none"/>
        </w:rPr>
      </w:pPr>
    </w:p>
    <w:p w14:paraId="28D49C77">
      <w:pPr>
        <w:pStyle w:val="6"/>
        <w:spacing w:line="247" w:lineRule="auto"/>
        <w:rPr>
          <w:color w:val="auto"/>
          <w:highlight w:val="none"/>
        </w:rPr>
      </w:pPr>
    </w:p>
    <w:p w14:paraId="7C2CE430">
      <w:pPr>
        <w:pStyle w:val="6"/>
        <w:spacing w:line="247" w:lineRule="auto"/>
        <w:rPr>
          <w:color w:val="auto"/>
          <w:highlight w:val="none"/>
        </w:rPr>
      </w:pPr>
    </w:p>
    <w:p w14:paraId="109A98DD">
      <w:pPr>
        <w:pStyle w:val="6"/>
        <w:spacing w:line="247" w:lineRule="auto"/>
        <w:rPr>
          <w:color w:val="auto"/>
          <w:highlight w:val="none"/>
        </w:rPr>
      </w:pPr>
    </w:p>
    <w:p w14:paraId="52E53205">
      <w:pPr>
        <w:pStyle w:val="6"/>
        <w:spacing w:line="247" w:lineRule="auto"/>
        <w:rPr>
          <w:color w:val="auto"/>
          <w:highlight w:val="none"/>
        </w:rPr>
      </w:pPr>
    </w:p>
    <w:p w14:paraId="7721FBD2">
      <w:pPr>
        <w:pStyle w:val="6"/>
        <w:spacing w:line="247" w:lineRule="auto"/>
        <w:rPr>
          <w:color w:val="auto"/>
          <w:highlight w:val="none"/>
        </w:rPr>
      </w:pPr>
    </w:p>
    <w:p w14:paraId="3F0F9DB4">
      <w:pPr>
        <w:pStyle w:val="6"/>
        <w:spacing w:line="247" w:lineRule="auto"/>
        <w:rPr>
          <w:color w:val="auto"/>
          <w:highlight w:val="none"/>
        </w:rPr>
      </w:pPr>
    </w:p>
    <w:p w14:paraId="58BB243A">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5EF99C7F">
      <w:pPr>
        <w:pStyle w:val="6"/>
        <w:spacing w:line="447" w:lineRule="auto"/>
        <w:rPr>
          <w:color w:val="auto"/>
          <w:highlight w:val="none"/>
        </w:rPr>
      </w:pPr>
    </w:p>
    <w:p w14:paraId="03B85910">
      <w:pPr>
        <w:spacing w:line="884" w:lineRule="exact"/>
        <w:ind w:firstLine="28"/>
        <w:rPr>
          <w:color w:val="auto"/>
          <w:highlight w:val="none"/>
        </w:rPr>
      </w:pPr>
    </w:p>
    <w:p w14:paraId="18943DB7">
      <w:pPr>
        <w:pStyle w:val="6"/>
        <w:spacing w:line="258" w:lineRule="auto"/>
        <w:rPr>
          <w:color w:val="auto"/>
          <w:highlight w:val="none"/>
        </w:rPr>
      </w:pPr>
      <w:r>
        <w:rPr>
          <w:color w:val="auto"/>
          <w:highlight w:val="none"/>
        </w:rPr>
        <w:pict>
          <v:shape id="_x0000_s1084" o:spid="_x0000_s1084" style="position:absolute;left:0pt;margin-left:0.25pt;margin-top:0.25pt;height:0.5pt;width:418.5pt;z-index:251695104;mso-width-relative:page;mso-height-relative:page;" filled="f" stroked="t" coordsize="8370,10" path="m0,5l8369,5e">
            <v:fill on="f" focussize="0,0"/>
            <v:stroke weight="0.5pt" color="#FFFFFF" miterlimit="10" joinstyle="miter"/>
            <v:imagedata o:title=""/>
            <o:lock v:ext="edit" aspectratio="f"/>
          </v:shape>
        </w:pict>
      </w:r>
    </w:p>
    <w:p w14:paraId="72B34508">
      <w:pPr>
        <w:pStyle w:val="6"/>
        <w:spacing w:line="258" w:lineRule="auto"/>
        <w:rPr>
          <w:color w:val="auto"/>
          <w:highlight w:val="none"/>
        </w:rPr>
      </w:pPr>
    </w:p>
    <w:p w14:paraId="4C475EBF">
      <w:pPr>
        <w:pStyle w:val="6"/>
        <w:spacing w:line="258" w:lineRule="auto"/>
        <w:rPr>
          <w:color w:val="auto"/>
          <w:highlight w:val="none"/>
        </w:rPr>
      </w:pPr>
    </w:p>
    <w:p w14:paraId="553575DC">
      <w:pPr>
        <w:spacing w:before="90" w:line="187" w:lineRule="auto"/>
        <w:ind w:left="41"/>
        <w:rPr>
          <w:rFonts w:ascii="微软雅黑" w:hAnsi="微软雅黑" w:eastAsia="微软雅黑" w:cs="微软雅黑"/>
          <w:color w:val="auto"/>
          <w:sz w:val="21"/>
          <w:szCs w:val="21"/>
          <w:highlight w:val="none"/>
        </w:rPr>
      </w:pPr>
      <w:bookmarkStart w:id="175" w:name="bookmark133"/>
      <w:bookmarkEnd w:id="175"/>
      <w:r>
        <w:rPr>
          <w:rFonts w:ascii="微软雅黑" w:hAnsi="微软雅黑" w:eastAsia="微软雅黑" w:cs="微软雅黑"/>
          <w:b/>
          <w:bCs/>
          <w:color w:val="auto"/>
          <w:spacing w:val="-1"/>
          <w:sz w:val="21"/>
          <w:szCs w:val="21"/>
          <w:highlight w:val="none"/>
        </w:rPr>
        <w:t>7、投标人关联单位的说明</w:t>
      </w:r>
    </w:p>
    <w:p w14:paraId="389A2E23">
      <w:pPr>
        <w:pStyle w:val="6"/>
        <w:spacing w:line="372" w:lineRule="auto"/>
        <w:rPr>
          <w:color w:val="auto"/>
          <w:highlight w:val="none"/>
        </w:rPr>
      </w:pPr>
    </w:p>
    <w:p w14:paraId="722D82AC">
      <w:pPr>
        <w:spacing w:before="91"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说明：</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投标人应当如实披露与本单位存在下列关联关系的单位名称：</w:t>
      </w:r>
    </w:p>
    <w:p w14:paraId="52F532FA">
      <w:pPr>
        <w:spacing w:before="78" w:line="183" w:lineRule="auto"/>
        <w:ind w:left="8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与投标人单位负责人为同一人的其他单位；</w:t>
      </w:r>
    </w:p>
    <w:p w14:paraId="40FB5286">
      <w:pPr>
        <w:spacing w:before="85" w:line="183" w:lineRule="auto"/>
        <w:ind w:left="8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z w:val="21"/>
          <w:szCs w:val="21"/>
          <w:highlight w:val="none"/>
        </w:rPr>
        <w:t>与投标人存在直接控股、管理关系的其他单位。</w:t>
      </w:r>
    </w:p>
    <w:p w14:paraId="1C8D2ADE">
      <w:pPr>
        <w:pStyle w:val="6"/>
        <w:spacing w:line="244" w:lineRule="auto"/>
        <w:rPr>
          <w:color w:val="auto"/>
          <w:highlight w:val="none"/>
        </w:rPr>
      </w:pPr>
    </w:p>
    <w:p w14:paraId="6472A0AE">
      <w:pPr>
        <w:pStyle w:val="6"/>
        <w:spacing w:line="244" w:lineRule="auto"/>
        <w:rPr>
          <w:color w:val="auto"/>
          <w:highlight w:val="none"/>
        </w:rPr>
      </w:pPr>
    </w:p>
    <w:p w14:paraId="6534E5C3">
      <w:pPr>
        <w:pStyle w:val="6"/>
        <w:spacing w:line="244" w:lineRule="auto"/>
        <w:rPr>
          <w:color w:val="auto"/>
          <w:highlight w:val="none"/>
        </w:rPr>
      </w:pPr>
    </w:p>
    <w:p w14:paraId="24F31344">
      <w:pPr>
        <w:pStyle w:val="6"/>
        <w:spacing w:line="244" w:lineRule="auto"/>
        <w:rPr>
          <w:color w:val="auto"/>
          <w:highlight w:val="none"/>
        </w:rPr>
      </w:pPr>
    </w:p>
    <w:p w14:paraId="744A3D36">
      <w:pPr>
        <w:pStyle w:val="6"/>
        <w:spacing w:line="244" w:lineRule="auto"/>
        <w:rPr>
          <w:color w:val="auto"/>
          <w:highlight w:val="none"/>
        </w:rPr>
      </w:pPr>
    </w:p>
    <w:p w14:paraId="72314FF1">
      <w:pPr>
        <w:pStyle w:val="6"/>
        <w:spacing w:line="244" w:lineRule="auto"/>
        <w:rPr>
          <w:color w:val="auto"/>
          <w:highlight w:val="none"/>
        </w:rPr>
      </w:pPr>
    </w:p>
    <w:p w14:paraId="7F173FE4">
      <w:pPr>
        <w:pStyle w:val="6"/>
        <w:spacing w:line="244" w:lineRule="auto"/>
        <w:rPr>
          <w:color w:val="auto"/>
          <w:highlight w:val="none"/>
        </w:rPr>
      </w:pPr>
    </w:p>
    <w:p w14:paraId="14065756">
      <w:pPr>
        <w:pStyle w:val="6"/>
        <w:spacing w:line="244" w:lineRule="auto"/>
        <w:rPr>
          <w:color w:val="auto"/>
          <w:highlight w:val="none"/>
        </w:rPr>
      </w:pPr>
    </w:p>
    <w:p w14:paraId="5B5B4CE6">
      <w:pPr>
        <w:pStyle w:val="6"/>
        <w:spacing w:line="244" w:lineRule="auto"/>
        <w:rPr>
          <w:color w:val="auto"/>
          <w:highlight w:val="none"/>
        </w:rPr>
      </w:pPr>
    </w:p>
    <w:p w14:paraId="3C14F88E">
      <w:pPr>
        <w:pStyle w:val="6"/>
        <w:spacing w:line="244" w:lineRule="auto"/>
        <w:rPr>
          <w:color w:val="auto"/>
          <w:highlight w:val="none"/>
        </w:rPr>
      </w:pPr>
    </w:p>
    <w:p w14:paraId="2FCFADF3">
      <w:pPr>
        <w:pStyle w:val="6"/>
        <w:spacing w:line="244" w:lineRule="auto"/>
        <w:rPr>
          <w:color w:val="auto"/>
          <w:highlight w:val="none"/>
        </w:rPr>
      </w:pPr>
    </w:p>
    <w:p w14:paraId="3CACA175">
      <w:pPr>
        <w:pStyle w:val="6"/>
        <w:spacing w:line="244" w:lineRule="auto"/>
        <w:rPr>
          <w:color w:val="auto"/>
          <w:highlight w:val="none"/>
        </w:rPr>
      </w:pPr>
    </w:p>
    <w:p w14:paraId="2400E871">
      <w:pPr>
        <w:pStyle w:val="6"/>
        <w:spacing w:line="244" w:lineRule="auto"/>
        <w:rPr>
          <w:color w:val="auto"/>
          <w:highlight w:val="none"/>
        </w:rPr>
      </w:pPr>
    </w:p>
    <w:p w14:paraId="0615678A">
      <w:pPr>
        <w:pStyle w:val="6"/>
        <w:spacing w:line="244" w:lineRule="auto"/>
        <w:rPr>
          <w:color w:val="auto"/>
          <w:highlight w:val="none"/>
        </w:rPr>
      </w:pPr>
    </w:p>
    <w:p w14:paraId="2B460D3A">
      <w:pPr>
        <w:pStyle w:val="6"/>
        <w:spacing w:line="244" w:lineRule="auto"/>
        <w:rPr>
          <w:color w:val="auto"/>
          <w:highlight w:val="none"/>
        </w:rPr>
      </w:pPr>
    </w:p>
    <w:p w14:paraId="0B552022">
      <w:pPr>
        <w:pStyle w:val="6"/>
        <w:spacing w:line="244" w:lineRule="auto"/>
        <w:rPr>
          <w:color w:val="auto"/>
          <w:highlight w:val="none"/>
        </w:rPr>
      </w:pPr>
    </w:p>
    <w:p w14:paraId="744726DF">
      <w:pPr>
        <w:pStyle w:val="6"/>
        <w:spacing w:line="244" w:lineRule="auto"/>
        <w:rPr>
          <w:color w:val="auto"/>
          <w:highlight w:val="none"/>
        </w:rPr>
      </w:pPr>
    </w:p>
    <w:p w14:paraId="10E3D1EE">
      <w:pPr>
        <w:pStyle w:val="6"/>
        <w:spacing w:line="244" w:lineRule="auto"/>
        <w:rPr>
          <w:color w:val="auto"/>
          <w:highlight w:val="none"/>
        </w:rPr>
      </w:pPr>
    </w:p>
    <w:p w14:paraId="44E671D1">
      <w:pPr>
        <w:pStyle w:val="6"/>
        <w:spacing w:line="244" w:lineRule="auto"/>
        <w:rPr>
          <w:color w:val="auto"/>
          <w:highlight w:val="none"/>
        </w:rPr>
      </w:pPr>
    </w:p>
    <w:p w14:paraId="11351523">
      <w:pPr>
        <w:pStyle w:val="6"/>
        <w:spacing w:line="244" w:lineRule="auto"/>
        <w:rPr>
          <w:color w:val="auto"/>
          <w:highlight w:val="none"/>
        </w:rPr>
      </w:pPr>
    </w:p>
    <w:p w14:paraId="7B96CBB3">
      <w:pPr>
        <w:pStyle w:val="6"/>
        <w:spacing w:line="244" w:lineRule="auto"/>
        <w:rPr>
          <w:color w:val="auto"/>
          <w:highlight w:val="none"/>
        </w:rPr>
      </w:pPr>
    </w:p>
    <w:p w14:paraId="201822EE">
      <w:pPr>
        <w:pStyle w:val="6"/>
        <w:spacing w:line="244" w:lineRule="auto"/>
        <w:rPr>
          <w:color w:val="auto"/>
          <w:highlight w:val="none"/>
        </w:rPr>
      </w:pPr>
    </w:p>
    <w:p w14:paraId="1D1715E3">
      <w:pPr>
        <w:pStyle w:val="6"/>
        <w:spacing w:line="244" w:lineRule="auto"/>
        <w:rPr>
          <w:color w:val="auto"/>
          <w:highlight w:val="none"/>
        </w:rPr>
      </w:pPr>
    </w:p>
    <w:p w14:paraId="4540FCAA">
      <w:pPr>
        <w:pStyle w:val="6"/>
        <w:spacing w:line="244" w:lineRule="auto"/>
        <w:rPr>
          <w:color w:val="auto"/>
          <w:highlight w:val="none"/>
        </w:rPr>
      </w:pPr>
    </w:p>
    <w:p w14:paraId="3A83D697">
      <w:pPr>
        <w:pStyle w:val="6"/>
        <w:spacing w:line="245" w:lineRule="auto"/>
        <w:rPr>
          <w:color w:val="auto"/>
          <w:highlight w:val="none"/>
        </w:rPr>
      </w:pPr>
    </w:p>
    <w:p w14:paraId="48B61E09">
      <w:pPr>
        <w:pStyle w:val="6"/>
        <w:spacing w:line="245" w:lineRule="auto"/>
        <w:rPr>
          <w:color w:val="auto"/>
          <w:highlight w:val="none"/>
        </w:rPr>
      </w:pPr>
    </w:p>
    <w:p w14:paraId="53692AE3">
      <w:pPr>
        <w:pStyle w:val="6"/>
        <w:spacing w:line="245" w:lineRule="auto"/>
        <w:rPr>
          <w:color w:val="auto"/>
          <w:highlight w:val="none"/>
        </w:rPr>
      </w:pPr>
    </w:p>
    <w:p w14:paraId="686636D1">
      <w:pPr>
        <w:pStyle w:val="6"/>
        <w:spacing w:line="245" w:lineRule="auto"/>
        <w:rPr>
          <w:color w:val="auto"/>
          <w:highlight w:val="none"/>
        </w:rPr>
      </w:pPr>
    </w:p>
    <w:p w14:paraId="2C7DE7ED">
      <w:pPr>
        <w:pStyle w:val="6"/>
        <w:spacing w:line="245" w:lineRule="auto"/>
        <w:rPr>
          <w:color w:val="auto"/>
          <w:highlight w:val="none"/>
        </w:rPr>
      </w:pPr>
    </w:p>
    <w:p w14:paraId="0014283E">
      <w:pPr>
        <w:pStyle w:val="6"/>
        <w:spacing w:line="245" w:lineRule="auto"/>
        <w:rPr>
          <w:color w:val="auto"/>
          <w:highlight w:val="none"/>
        </w:rPr>
      </w:pPr>
    </w:p>
    <w:p w14:paraId="72542904">
      <w:pPr>
        <w:pStyle w:val="6"/>
        <w:spacing w:line="245" w:lineRule="auto"/>
        <w:rPr>
          <w:color w:val="auto"/>
          <w:highlight w:val="none"/>
        </w:rPr>
      </w:pPr>
    </w:p>
    <w:p w14:paraId="6E00EA36">
      <w:pPr>
        <w:pStyle w:val="6"/>
        <w:spacing w:line="245" w:lineRule="auto"/>
        <w:rPr>
          <w:color w:val="auto"/>
          <w:highlight w:val="none"/>
        </w:rPr>
      </w:pPr>
    </w:p>
    <w:p w14:paraId="13483984">
      <w:pPr>
        <w:pStyle w:val="6"/>
        <w:spacing w:line="245" w:lineRule="auto"/>
        <w:rPr>
          <w:color w:val="auto"/>
          <w:highlight w:val="none"/>
        </w:rPr>
      </w:pPr>
    </w:p>
    <w:p w14:paraId="743A2414">
      <w:pPr>
        <w:pStyle w:val="6"/>
        <w:spacing w:line="245" w:lineRule="auto"/>
        <w:rPr>
          <w:color w:val="auto"/>
          <w:highlight w:val="none"/>
        </w:rPr>
      </w:pPr>
    </w:p>
    <w:p w14:paraId="2BDE84A4">
      <w:pPr>
        <w:pStyle w:val="6"/>
        <w:spacing w:line="245" w:lineRule="auto"/>
        <w:rPr>
          <w:color w:val="auto"/>
          <w:highlight w:val="none"/>
        </w:rPr>
      </w:pPr>
    </w:p>
    <w:p w14:paraId="2A79BD0E">
      <w:pPr>
        <w:pStyle w:val="6"/>
        <w:spacing w:line="245" w:lineRule="auto"/>
        <w:rPr>
          <w:color w:val="auto"/>
          <w:highlight w:val="none"/>
        </w:rPr>
      </w:pPr>
    </w:p>
    <w:p w14:paraId="4D9B587F">
      <w:pPr>
        <w:pStyle w:val="6"/>
        <w:spacing w:line="245" w:lineRule="auto"/>
        <w:rPr>
          <w:color w:val="auto"/>
          <w:highlight w:val="none"/>
        </w:rPr>
      </w:pPr>
    </w:p>
    <w:p w14:paraId="5B286631">
      <w:pPr>
        <w:pStyle w:val="6"/>
        <w:spacing w:line="245" w:lineRule="auto"/>
        <w:rPr>
          <w:color w:val="auto"/>
          <w:highlight w:val="none"/>
        </w:rPr>
      </w:pPr>
    </w:p>
    <w:p w14:paraId="20C72E53">
      <w:pPr>
        <w:pStyle w:val="6"/>
        <w:spacing w:line="245" w:lineRule="auto"/>
        <w:rPr>
          <w:color w:val="auto"/>
          <w:highlight w:val="none"/>
        </w:rPr>
      </w:pPr>
    </w:p>
    <w:p w14:paraId="341CDFD7">
      <w:pPr>
        <w:pStyle w:val="6"/>
        <w:spacing w:line="245" w:lineRule="auto"/>
        <w:rPr>
          <w:color w:val="auto"/>
          <w:highlight w:val="none"/>
        </w:rPr>
      </w:pPr>
    </w:p>
    <w:p w14:paraId="42368906">
      <w:pPr>
        <w:pStyle w:val="6"/>
        <w:spacing w:line="245" w:lineRule="auto"/>
        <w:rPr>
          <w:color w:val="auto"/>
          <w:highlight w:val="none"/>
        </w:rPr>
      </w:pPr>
    </w:p>
    <w:p w14:paraId="4E464556">
      <w:pPr>
        <w:pStyle w:val="6"/>
        <w:spacing w:line="245" w:lineRule="auto"/>
        <w:rPr>
          <w:color w:val="auto"/>
          <w:highlight w:val="none"/>
        </w:rPr>
      </w:pPr>
    </w:p>
    <w:p w14:paraId="7B707E46">
      <w:pPr>
        <w:pStyle w:val="6"/>
        <w:spacing w:line="245" w:lineRule="auto"/>
        <w:rPr>
          <w:color w:val="auto"/>
          <w:highlight w:val="none"/>
        </w:rPr>
      </w:pPr>
    </w:p>
    <w:p w14:paraId="302421DA">
      <w:pPr>
        <w:pStyle w:val="6"/>
        <w:spacing w:line="245" w:lineRule="auto"/>
        <w:rPr>
          <w:color w:val="auto"/>
          <w:highlight w:val="none"/>
        </w:rPr>
      </w:pPr>
    </w:p>
    <w:p w14:paraId="35C7DA67">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533A19B">
      <w:pPr>
        <w:pStyle w:val="6"/>
        <w:spacing w:line="447" w:lineRule="auto"/>
        <w:rPr>
          <w:color w:val="auto"/>
          <w:highlight w:val="none"/>
        </w:rPr>
      </w:pPr>
    </w:p>
    <w:p w14:paraId="47A8A926">
      <w:pPr>
        <w:spacing w:line="884" w:lineRule="exact"/>
        <w:ind w:firstLine="28"/>
        <w:rPr>
          <w:color w:val="auto"/>
          <w:highlight w:val="none"/>
        </w:rPr>
      </w:pPr>
      <w:r>
        <w:rPr>
          <w:color w:val="auto"/>
          <w:highlight w:val="none"/>
        </w:rPr>
        <w:pict>
          <v:shape id="_x0000_s1085" o:spid="_x0000_s1085" style="position:absolute;left:0pt;margin-left:0.25pt;margin-top:44.45pt;height:0.5pt;width:418.5pt;z-index:251696128;mso-width-relative:page;mso-height-relative:page;" fillcolor="#FFFFFF" filled="t" stroked="t" coordsize="8370,10" path="m0,5l8369,5e">
            <v:fill on="t" focussize="0,0"/>
            <v:stroke weight="0.5pt" color="#FFFFFF" miterlimit="10" joinstyle="miter"/>
            <v:imagedata o:title=""/>
            <o:lock v:ext="edit" aspectratio="f"/>
          </v:shape>
        </w:pict>
      </w:r>
    </w:p>
    <w:p w14:paraId="6E92B106">
      <w:pPr>
        <w:rPr>
          <w:color w:val="auto"/>
          <w:highlight w:val="none"/>
        </w:rPr>
      </w:pPr>
    </w:p>
    <w:p w14:paraId="51898EE5">
      <w:pPr>
        <w:pStyle w:val="6"/>
        <w:spacing w:line="245" w:lineRule="auto"/>
        <w:rPr>
          <w:color w:val="auto"/>
          <w:highlight w:val="none"/>
        </w:rPr>
      </w:pPr>
    </w:p>
    <w:p w14:paraId="5F180CBB">
      <w:pPr>
        <w:pStyle w:val="6"/>
        <w:spacing w:line="246" w:lineRule="auto"/>
        <w:rPr>
          <w:color w:val="auto"/>
          <w:highlight w:val="none"/>
        </w:rPr>
      </w:pPr>
    </w:p>
    <w:p w14:paraId="7BE2668B">
      <w:pPr>
        <w:pStyle w:val="6"/>
        <w:spacing w:line="246" w:lineRule="auto"/>
        <w:rPr>
          <w:color w:val="auto"/>
          <w:highlight w:val="none"/>
        </w:rPr>
      </w:pPr>
    </w:p>
    <w:p w14:paraId="2596A6C0">
      <w:pPr>
        <w:spacing w:before="90" w:line="184" w:lineRule="auto"/>
        <w:ind w:left="37"/>
        <w:rPr>
          <w:rFonts w:ascii="微软雅黑" w:hAnsi="微软雅黑" w:eastAsia="微软雅黑" w:cs="微软雅黑"/>
          <w:color w:val="auto"/>
          <w:sz w:val="21"/>
          <w:szCs w:val="21"/>
          <w:highlight w:val="none"/>
        </w:rPr>
      </w:pPr>
      <w:bookmarkStart w:id="176" w:name="bookmark135"/>
      <w:bookmarkEnd w:id="176"/>
      <w:r>
        <w:rPr>
          <w:rFonts w:ascii="微软雅黑" w:hAnsi="微软雅黑" w:eastAsia="微软雅黑" w:cs="微软雅黑"/>
          <w:b/>
          <w:bCs/>
          <w:color w:val="auto"/>
          <w:spacing w:val="1"/>
          <w:sz w:val="21"/>
          <w:szCs w:val="21"/>
          <w:highlight w:val="none"/>
        </w:rPr>
        <w:t>8、评分标准和细则中技术部分证明材料（格式自拟）</w:t>
      </w:r>
    </w:p>
    <w:p w14:paraId="2477EDC4">
      <w:pPr>
        <w:pStyle w:val="6"/>
        <w:spacing w:line="278" w:lineRule="auto"/>
        <w:rPr>
          <w:color w:val="auto"/>
          <w:highlight w:val="none"/>
        </w:rPr>
      </w:pPr>
    </w:p>
    <w:p w14:paraId="3EED33EE">
      <w:pPr>
        <w:pStyle w:val="6"/>
        <w:spacing w:line="279" w:lineRule="auto"/>
        <w:rPr>
          <w:color w:val="auto"/>
          <w:highlight w:val="none"/>
        </w:rPr>
      </w:pPr>
    </w:p>
    <w:p w14:paraId="04D17997">
      <w:pPr>
        <w:spacing w:before="90" w:line="172" w:lineRule="auto"/>
        <w:ind w:left="677" w:right="1764" w:hanging="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评分标准和细则中技术部分</w:t>
      </w:r>
      <w:r>
        <w:rPr>
          <w:rFonts w:ascii="微软雅黑" w:hAnsi="微软雅黑" w:eastAsia="微软雅黑" w:cs="微软雅黑"/>
          <w:color w:val="auto"/>
          <w:spacing w:val="1"/>
          <w:sz w:val="21"/>
          <w:szCs w:val="21"/>
          <w:highlight w:val="none"/>
        </w:rPr>
        <w:t>要求的其他资格证明文件。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2.应加盖本单位章（自然人投标的无需盖章，</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2"/>
          <w:sz w:val="21"/>
          <w:szCs w:val="21"/>
          <w:highlight w:val="none"/>
        </w:rPr>
        <w:t>需要签字）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w:t>
      </w:r>
    </w:p>
    <w:p w14:paraId="3620647B">
      <w:pPr>
        <w:pStyle w:val="6"/>
        <w:spacing w:line="241" w:lineRule="auto"/>
        <w:rPr>
          <w:color w:val="auto"/>
          <w:highlight w:val="none"/>
        </w:rPr>
      </w:pPr>
    </w:p>
    <w:p w14:paraId="05411F93">
      <w:pPr>
        <w:pStyle w:val="6"/>
        <w:spacing w:line="241" w:lineRule="auto"/>
        <w:rPr>
          <w:color w:val="auto"/>
          <w:highlight w:val="none"/>
        </w:rPr>
      </w:pPr>
    </w:p>
    <w:p w14:paraId="622AAEE1">
      <w:pPr>
        <w:pStyle w:val="6"/>
        <w:spacing w:line="241" w:lineRule="auto"/>
        <w:rPr>
          <w:color w:val="auto"/>
          <w:highlight w:val="none"/>
        </w:rPr>
      </w:pPr>
    </w:p>
    <w:p w14:paraId="0339C332">
      <w:pPr>
        <w:pStyle w:val="6"/>
        <w:spacing w:line="241" w:lineRule="auto"/>
        <w:rPr>
          <w:color w:val="auto"/>
          <w:highlight w:val="none"/>
        </w:rPr>
      </w:pPr>
    </w:p>
    <w:p w14:paraId="23527F41">
      <w:pPr>
        <w:pStyle w:val="6"/>
        <w:spacing w:line="241" w:lineRule="auto"/>
        <w:rPr>
          <w:color w:val="auto"/>
          <w:highlight w:val="none"/>
        </w:rPr>
      </w:pPr>
    </w:p>
    <w:p w14:paraId="19992A8A">
      <w:pPr>
        <w:pStyle w:val="6"/>
        <w:spacing w:line="241" w:lineRule="auto"/>
        <w:rPr>
          <w:color w:val="auto"/>
          <w:highlight w:val="none"/>
        </w:rPr>
      </w:pPr>
    </w:p>
    <w:p w14:paraId="346F5546">
      <w:pPr>
        <w:pStyle w:val="6"/>
        <w:spacing w:line="241" w:lineRule="auto"/>
        <w:rPr>
          <w:color w:val="auto"/>
          <w:highlight w:val="none"/>
        </w:rPr>
      </w:pPr>
    </w:p>
    <w:p w14:paraId="139B8F47">
      <w:pPr>
        <w:pStyle w:val="6"/>
        <w:spacing w:line="241" w:lineRule="auto"/>
        <w:rPr>
          <w:color w:val="auto"/>
          <w:highlight w:val="none"/>
        </w:rPr>
      </w:pPr>
    </w:p>
    <w:p w14:paraId="5C009522">
      <w:pPr>
        <w:pStyle w:val="6"/>
        <w:spacing w:line="241" w:lineRule="auto"/>
        <w:rPr>
          <w:color w:val="auto"/>
          <w:highlight w:val="none"/>
        </w:rPr>
      </w:pPr>
    </w:p>
    <w:p w14:paraId="6FD3676E">
      <w:pPr>
        <w:pStyle w:val="6"/>
        <w:spacing w:line="241" w:lineRule="auto"/>
        <w:rPr>
          <w:color w:val="auto"/>
          <w:highlight w:val="none"/>
        </w:rPr>
      </w:pPr>
    </w:p>
    <w:p w14:paraId="0C1B1F22">
      <w:pPr>
        <w:pStyle w:val="6"/>
        <w:spacing w:line="241" w:lineRule="auto"/>
        <w:rPr>
          <w:color w:val="auto"/>
          <w:highlight w:val="none"/>
        </w:rPr>
      </w:pPr>
    </w:p>
    <w:p w14:paraId="268386C5">
      <w:pPr>
        <w:pStyle w:val="6"/>
        <w:spacing w:line="241" w:lineRule="auto"/>
        <w:rPr>
          <w:color w:val="auto"/>
          <w:highlight w:val="none"/>
        </w:rPr>
      </w:pPr>
    </w:p>
    <w:p w14:paraId="06E14D2E">
      <w:pPr>
        <w:pStyle w:val="6"/>
        <w:spacing w:line="241" w:lineRule="auto"/>
        <w:rPr>
          <w:color w:val="auto"/>
          <w:highlight w:val="none"/>
        </w:rPr>
      </w:pPr>
    </w:p>
    <w:p w14:paraId="375FCEA1">
      <w:pPr>
        <w:pStyle w:val="6"/>
        <w:spacing w:line="241" w:lineRule="auto"/>
        <w:rPr>
          <w:color w:val="auto"/>
          <w:highlight w:val="none"/>
        </w:rPr>
      </w:pPr>
    </w:p>
    <w:p w14:paraId="3E08A273">
      <w:pPr>
        <w:pStyle w:val="6"/>
        <w:spacing w:line="241" w:lineRule="auto"/>
        <w:rPr>
          <w:color w:val="auto"/>
          <w:highlight w:val="none"/>
        </w:rPr>
      </w:pPr>
    </w:p>
    <w:p w14:paraId="663FEA2D">
      <w:pPr>
        <w:pStyle w:val="6"/>
        <w:spacing w:line="241" w:lineRule="auto"/>
        <w:rPr>
          <w:color w:val="auto"/>
          <w:highlight w:val="none"/>
        </w:rPr>
      </w:pPr>
    </w:p>
    <w:p w14:paraId="0558DD48">
      <w:pPr>
        <w:pStyle w:val="6"/>
        <w:spacing w:line="241" w:lineRule="auto"/>
        <w:rPr>
          <w:color w:val="auto"/>
          <w:highlight w:val="none"/>
        </w:rPr>
      </w:pPr>
    </w:p>
    <w:p w14:paraId="0E413FD3">
      <w:pPr>
        <w:pStyle w:val="6"/>
        <w:spacing w:line="241" w:lineRule="auto"/>
        <w:rPr>
          <w:color w:val="auto"/>
          <w:highlight w:val="none"/>
        </w:rPr>
      </w:pPr>
    </w:p>
    <w:p w14:paraId="22430684">
      <w:pPr>
        <w:pStyle w:val="6"/>
        <w:spacing w:line="241" w:lineRule="auto"/>
        <w:rPr>
          <w:color w:val="auto"/>
          <w:highlight w:val="none"/>
        </w:rPr>
      </w:pPr>
    </w:p>
    <w:p w14:paraId="143DD57B">
      <w:pPr>
        <w:pStyle w:val="6"/>
        <w:spacing w:line="241" w:lineRule="auto"/>
        <w:rPr>
          <w:color w:val="auto"/>
          <w:highlight w:val="none"/>
        </w:rPr>
      </w:pPr>
    </w:p>
    <w:p w14:paraId="1CBDF0FC">
      <w:pPr>
        <w:pStyle w:val="6"/>
        <w:spacing w:line="241" w:lineRule="auto"/>
        <w:rPr>
          <w:color w:val="auto"/>
          <w:highlight w:val="none"/>
        </w:rPr>
      </w:pPr>
    </w:p>
    <w:p w14:paraId="686AC6DD">
      <w:pPr>
        <w:pStyle w:val="6"/>
        <w:spacing w:line="241" w:lineRule="auto"/>
        <w:rPr>
          <w:color w:val="auto"/>
          <w:highlight w:val="none"/>
        </w:rPr>
      </w:pPr>
    </w:p>
    <w:p w14:paraId="57B16D73">
      <w:pPr>
        <w:pStyle w:val="6"/>
        <w:spacing w:line="241" w:lineRule="auto"/>
        <w:rPr>
          <w:color w:val="auto"/>
          <w:highlight w:val="none"/>
        </w:rPr>
      </w:pPr>
    </w:p>
    <w:p w14:paraId="477C513D">
      <w:pPr>
        <w:pStyle w:val="6"/>
        <w:spacing w:line="241" w:lineRule="auto"/>
        <w:rPr>
          <w:color w:val="auto"/>
          <w:highlight w:val="none"/>
        </w:rPr>
      </w:pPr>
    </w:p>
    <w:p w14:paraId="4DEA4AFF">
      <w:pPr>
        <w:pStyle w:val="6"/>
        <w:spacing w:line="241" w:lineRule="auto"/>
        <w:rPr>
          <w:color w:val="auto"/>
          <w:highlight w:val="none"/>
        </w:rPr>
      </w:pPr>
    </w:p>
    <w:p w14:paraId="68A779BF">
      <w:pPr>
        <w:pStyle w:val="6"/>
        <w:spacing w:line="241" w:lineRule="auto"/>
        <w:rPr>
          <w:color w:val="auto"/>
          <w:highlight w:val="none"/>
        </w:rPr>
      </w:pPr>
    </w:p>
    <w:p w14:paraId="77CA1C3D">
      <w:pPr>
        <w:pStyle w:val="6"/>
        <w:spacing w:line="241" w:lineRule="auto"/>
        <w:rPr>
          <w:color w:val="auto"/>
          <w:highlight w:val="none"/>
        </w:rPr>
      </w:pPr>
    </w:p>
    <w:p w14:paraId="61DCDC7E">
      <w:pPr>
        <w:pStyle w:val="6"/>
        <w:spacing w:line="241" w:lineRule="auto"/>
        <w:rPr>
          <w:color w:val="auto"/>
          <w:highlight w:val="none"/>
        </w:rPr>
      </w:pPr>
    </w:p>
    <w:p w14:paraId="07C6D692">
      <w:pPr>
        <w:pStyle w:val="6"/>
        <w:spacing w:line="241" w:lineRule="auto"/>
        <w:rPr>
          <w:color w:val="auto"/>
          <w:highlight w:val="none"/>
        </w:rPr>
      </w:pPr>
    </w:p>
    <w:p w14:paraId="6BEB0C38">
      <w:pPr>
        <w:pStyle w:val="6"/>
        <w:spacing w:line="241" w:lineRule="auto"/>
        <w:rPr>
          <w:color w:val="auto"/>
          <w:highlight w:val="none"/>
        </w:rPr>
      </w:pPr>
    </w:p>
    <w:p w14:paraId="4CB78664">
      <w:pPr>
        <w:pStyle w:val="6"/>
        <w:spacing w:line="241" w:lineRule="auto"/>
        <w:rPr>
          <w:color w:val="auto"/>
          <w:highlight w:val="none"/>
        </w:rPr>
      </w:pPr>
    </w:p>
    <w:p w14:paraId="12B9985B">
      <w:pPr>
        <w:pStyle w:val="6"/>
        <w:spacing w:line="241" w:lineRule="auto"/>
        <w:rPr>
          <w:color w:val="auto"/>
          <w:highlight w:val="none"/>
        </w:rPr>
      </w:pPr>
    </w:p>
    <w:p w14:paraId="44F19997">
      <w:pPr>
        <w:pStyle w:val="6"/>
        <w:spacing w:line="241" w:lineRule="auto"/>
        <w:rPr>
          <w:color w:val="auto"/>
          <w:highlight w:val="none"/>
        </w:rPr>
      </w:pPr>
    </w:p>
    <w:p w14:paraId="55B05553">
      <w:pPr>
        <w:pStyle w:val="6"/>
        <w:spacing w:line="241" w:lineRule="auto"/>
        <w:rPr>
          <w:color w:val="auto"/>
          <w:highlight w:val="none"/>
        </w:rPr>
      </w:pPr>
    </w:p>
    <w:p w14:paraId="06E624C8">
      <w:pPr>
        <w:pStyle w:val="6"/>
        <w:spacing w:line="241" w:lineRule="auto"/>
        <w:rPr>
          <w:color w:val="auto"/>
          <w:highlight w:val="none"/>
        </w:rPr>
      </w:pPr>
    </w:p>
    <w:p w14:paraId="146EC561">
      <w:pPr>
        <w:pStyle w:val="6"/>
        <w:spacing w:line="241" w:lineRule="auto"/>
        <w:rPr>
          <w:color w:val="auto"/>
          <w:highlight w:val="none"/>
        </w:rPr>
      </w:pPr>
    </w:p>
    <w:p w14:paraId="0F729568">
      <w:pPr>
        <w:pStyle w:val="6"/>
        <w:spacing w:line="241" w:lineRule="auto"/>
        <w:rPr>
          <w:color w:val="auto"/>
          <w:highlight w:val="none"/>
        </w:rPr>
      </w:pPr>
    </w:p>
    <w:p w14:paraId="24D359BC">
      <w:pPr>
        <w:pStyle w:val="6"/>
        <w:spacing w:line="241" w:lineRule="auto"/>
        <w:rPr>
          <w:color w:val="auto"/>
          <w:highlight w:val="none"/>
        </w:rPr>
      </w:pPr>
    </w:p>
    <w:p w14:paraId="4BE63C66">
      <w:pPr>
        <w:pStyle w:val="6"/>
        <w:spacing w:line="241" w:lineRule="auto"/>
        <w:rPr>
          <w:color w:val="auto"/>
          <w:highlight w:val="none"/>
        </w:rPr>
      </w:pPr>
    </w:p>
    <w:p w14:paraId="6BE3D2BB">
      <w:pPr>
        <w:pStyle w:val="6"/>
        <w:spacing w:line="241" w:lineRule="auto"/>
        <w:rPr>
          <w:color w:val="auto"/>
          <w:highlight w:val="none"/>
        </w:rPr>
      </w:pPr>
    </w:p>
    <w:p w14:paraId="5AB9B88E">
      <w:pPr>
        <w:pStyle w:val="6"/>
        <w:spacing w:line="241" w:lineRule="auto"/>
        <w:rPr>
          <w:color w:val="auto"/>
          <w:highlight w:val="none"/>
        </w:rPr>
      </w:pPr>
    </w:p>
    <w:p w14:paraId="6FFB175C">
      <w:pPr>
        <w:pStyle w:val="6"/>
        <w:spacing w:line="241" w:lineRule="auto"/>
        <w:rPr>
          <w:color w:val="auto"/>
          <w:highlight w:val="none"/>
        </w:rPr>
      </w:pPr>
    </w:p>
    <w:p w14:paraId="1CE624F7">
      <w:pPr>
        <w:pStyle w:val="6"/>
        <w:spacing w:line="241" w:lineRule="auto"/>
        <w:rPr>
          <w:color w:val="auto"/>
          <w:highlight w:val="none"/>
        </w:rPr>
      </w:pPr>
    </w:p>
    <w:p w14:paraId="296A4B67">
      <w:pPr>
        <w:pStyle w:val="6"/>
        <w:spacing w:line="241" w:lineRule="auto"/>
        <w:rPr>
          <w:color w:val="auto"/>
          <w:highlight w:val="none"/>
        </w:rPr>
      </w:pPr>
    </w:p>
    <w:p w14:paraId="3717942A">
      <w:pPr>
        <w:pStyle w:val="6"/>
        <w:spacing w:line="241" w:lineRule="auto"/>
        <w:rPr>
          <w:color w:val="auto"/>
          <w:highlight w:val="none"/>
        </w:rPr>
      </w:pPr>
    </w:p>
    <w:p w14:paraId="72B71E45">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5E94EBD">
      <w:pPr>
        <w:pStyle w:val="6"/>
        <w:spacing w:line="447" w:lineRule="auto"/>
        <w:rPr>
          <w:color w:val="auto"/>
          <w:highlight w:val="none"/>
        </w:rPr>
      </w:pPr>
    </w:p>
    <w:p w14:paraId="7F9B4219">
      <w:pPr>
        <w:rPr>
          <w:color w:val="auto"/>
          <w:highlight w:val="none"/>
        </w:rPr>
      </w:pPr>
      <w:r>
        <w:rPr>
          <w:color w:val="auto"/>
          <w:highlight w:val="none"/>
        </w:rPr>
        <w:pict>
          <v:shape id="_x0000_s1086" o:spid="_x0000_s1086" style="position:absolute;left:0pt;margin-left:0.25pt;margin-top:44.45pt;height:0.5pt;width:418.5pt;z-index:251697152;mso-width-relative:page;mso-height-relative:page;" filled="f" stroked="f" coordsize="8370,10" path="m0,5l8369,5e">
            <v:path/>
            <v:fill on="f" focussize="0,0"/>
            <v:stroke on="f" weight="0.5pt" miterlimit="10" joinstyle="miter"/>
            <v:imagedata o:title=""/>
            <o:lock v:ext="edit" aspectratio="f"/>
          </v:shape>
        </w:pict>
      </w:r>
    </w:p>
    <w:p w14:paraId="50D6D594">
      <w:pPr>
        <w:rPr>
          <w:color w:val="auto"/>
          <w:highlight w:val="none"/>
        </w:rPr>
      </w:pPr>
    </w:p>
    <w:p w14:paraId="76F129B8">
      <w:pPr>
        <w:pStyle w:val="6"/>
        <w:spacing w:line="312" w:lineRule="auto"/>
        <w:rPr>
          <w:color w:val="auto"/>
          <w:highlight w:val="none"/>
        </w:rPr>
      </w:pPr>
    </w:p>
    <w:p w14:paraId="47E64755">
      <w:pPr>
        <w:rPr>
          <w:color w:val="auto"/>
          <w:highlight w:val="none"/>
        </w:rPr>
      </w:pPr>
      <w:bookmarkStart w:id="177" w:name="bookmark137"/>
      <w:bookmarkEnd w:id="177"/>
    </w:p>
    <w:p w14:paraId="473ED19F">
      <w:pPr>
        <w:spacing w:before="90" w:line="184" w:lineRule="auto"/>
        <w:ind w:left="37"/>
        <w:rPr>
          <w:rFonts w:ascii="微软雅黑" w:hAnsi="微软雅黑" w:eastAsia="微软雅黑" w:cs="微软雅黑"/>
          <w:b/>
          <w:bCs/>
          <w:color w:val="auto"/>
          <w:spacing w:val="1"/>
          <w:sz w:val="21"/>
          <w:szCs w:val="21"/>
          <w:highlight w:val="none"/>
        </w:rPr>
      </w:pPr>
    </w:p>
    <w:p w14:paraId="3B435894">
      <w:pPr>
        <w:spacing w:before="90" w:line="184"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9、评分标准和细则中商务部分证明材料（格式自拟）</w:t>
      </w:r>
    </w:p>
    <w:p w14:paraId="19F6F431">
      <w:pPr>
        <w:pStyle w:val="6"/>
        <w:spacing w:line="302" w:lineRule="auto"/>
        <w:rPr>
          <w:color w:val="auto"/>
          <w:highlight w:val="none"/>
        </w:rPr>
      </w:pPr>
    </w:p>
    <w:p w14:paraId="001F57FE">
      <w:pPr>
        <w:pStyle w:val="6"/>
        <w:spacing w:line="302" w:lineRule="auto"/>
        <w:rPr>
          <w:color w:val="auto"/>
          <w:highlight w:val="none"/>
        </w:rPr>
      </w:pPr>
    </w:p>
    <w:p w14:paraId="7C158788">
      <w:pPr>
        <w:spacing w:before="90" w:line="213" w:lineRule="auto"/>
        <w:ind w:left="677" w:right="1764" w:hanging="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评分标准和细则中商务部分</w:t>
      </w:r>
      <w:r>
        <w:rPr>
          <w:rFonts w:ascii="微软雅黑" w:hAnsi="微软雅黑" w:eastAsia="微软雅黑" w:cs="微软雅黑"/>
          <w:color w:val="auto"/>
          <w:spacing w:val="1"/>
          <w:sz w:val="21"/>
          <w:szCs w:val="21"/>
          <w:highlight w:val="none"/>
        </w:rPr>
        <w:t>要求的其他资格证明文件。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2.应加盖本单位章（自然人投标的无需盖章，</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2"/>
          <w:sz w:val="21"/>
          <w:szCs w:val="21"/>
          <w:highlight w:val="none"/>
        </w:rPr>
        <w:t>需要签字）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w:t>
      </w:r>
    </w:p>
    <w:p w14:paraId="5E8BA83C">
      <w:pPr>
        <w:pStyle w:val="6"/>
        <w:spacing w:line="245" w:lineRule="auto"/>
        <w:rPr>
          <w:color w:val="auto"/>
          <w:highlight w:val="none"/>
        </w:rPr>
      </w:pPr>
    </w:p>
    <w:p w14:paraId="4E2072FA">
      <w:pPr>
        <w:pStyle w:val="6"/>
        <w:spacing w:line="245" w:lineRule="auto"/>
        <w:rPr>
          <w:color w:val="auto"/>
          <w:highlight w:val="none"/>
        </w:rPr>
      </w:pPr>
    </w:p>
    <w:p w14:paraId="12336E04">
      <w:pPr>
        <w:pStyle w:val="6"/>
        <w:spacing w:line="245" w:lineRule="auto"/>
        <w:rPr>
          <w:color w:val="auto"/>
          <w:highlight w:val="none"/>
        </w:rPr>
      </w:pPr>
    </w:p>
    <w:p w14:paraId="769A8271">
      <w:pPr>
        <w:pStyle w:val="6"/>
        <w:spacing w:line="245" w:lineRule="auto"/>
        <w:rPr>
          <w:color w:val="auto"/>
          <w:highlight w:val="none"/>
        </w:rPr>
      </w:pPr>
    </w:p>
    <w:p w14:paraId="1648A47B">
      <w:pPr>
        <w:pStyle w:val="6"/>
        <w:spacing w:line="245" w:lineRule="auto"/>
        <w:rPr>
          <w:color w:val="auto"/>
          <w:highlight w:val="none"/>
        </w:rPr>
      </w:pPr>
    </w:p>
    <w:p w14:paraId="05581490">
      <w:pPr>
        <w:pStyle w:val="6"/>
        <w:spacing w:line="245" w:lineRule="auto"/>
        <w:rPr>
          <w:color w:val="auto"/>
          <w:highlight w:val="none"/>
        </w:rPr>
      </w:pPr>
    </w:p>
    <w:p w14:paraId="7F372153">
      <w:pPr>
        <w:pStyle w:val="6"/>
        <w:spacing w:line="245" w:lineRule="auto"/>
        <w:rPr>
          <w:color w:val="auto"/>
          <w:highlight w:val="none"/>
        </w:rPr>
      </w:pPr>
    </w:p>
    <w:p w14:paraId="7813C4FD">
      <w:pPr>
        <w:pStyle w:val="6"/>
        <w:spacing w:line="245" w:lineRule="auto"/>
        <w:rPr>
          <w:color w:val="auto"/>
          <w:highlight w:val="none"/>
        </w:rPr>
      </w:pPr>
    </w:p>
    <w:p w14:paraId="3AEA25FB">
      <w:pPr>
        <w:pStyle w:val="6"/>
        <w:spacing w:line="245" w:lineRule="auto"/>
        <w:rPr>
          <w:color w:val="auto"/>
          <w:highlight w:val="none"/>
        </w:rPr>
      </w:pPr>
    </w:p>
    <w:p w14:paraId="12889933">
      <w:pPr>
        <w:pStyle w:val="6"/>
        <w:spacing w:line="245" w:lineRule="auto"/>
        <w:rPr>
          <w:color w:val="auto"/>
          <w:highlight w:val="none"/>
        </w:rPr>
      </w:pPr>
    </w:p>
    <w:p w14:paraId="348DA44B">
      <w:pPr>
        <w:pStyle w:val="6"/>
        <w:spacing w:line="245" w:lineRule="auto"/>
        <w:rPr>
          <w:color w:val="auto"/>
          <w:highlight w:val="none"/>
        </w:rPr>
      </w:pPr>
    </w:p>
    <w:p w14:paraId="5AFF05ED">
      <w:pPr>
        <w:pStyle w:val="6"/>
        <w:spacing w:line="245" w:lineRule="auto"/>
        <w:rPr>
          <w:color w:val="auto"/>
          <w:highlight w:val="none"/>
        </w:rPr>
      </w:pPr>
    </w:p>
    <w:p w14:paraId="6E20F437">
      <w:pPr>
        <w:pStyle w:val="6"/>
        <w:spacing w:line="245" w:lineRule="auto"/>
        <w:rPr>
          <w:color w:val="auto"/>
          <w:highlight w:val="none"/>
        </w:rPr>
      </w:pPr>
    </w:p>
    <w:p w14:paraId="38D59D7D">
      <w:pPr>
        <w:pStyle w:val="6"/>
        <w:spacing w:line="245" w:lineRule="auto"/>
        <w:rPr>
          <w:color w:val="auto"/>
          <w:highlight w:val="none"/>
        </w:rPr>
      </w:pPr>
    </w:p>
    <w:p w14:paraId="6C6F6D34">
      <w:pPr>
        <w:pStyle w:val="6"/>
        <w:spacing w:line="245" w:lineRule="auto"/>
        <w:rPr>
          <w:color w:val="auto"/>
          <w:highlight w:val="none"/>
        </w:rPr>
      </w:pPr>
    </w:p>
    <w:p w14:paraId="61511DB7">
      <w:pPr>
        <w:pStyle w:val="6"/>
        <w:spacing w:line="245" w:lineRule="auto"/>
        <w:rPr>
          <w:color w:val="auto"/>
          <w:highlight w:val="none"/>
        </w:rPr>
      </w:pPr>
    </w:p>
    <w:p w14:paraId="6190E9DC">
      <w:pPr>
        <w:pStyle w:val="6"/>
        <w:spacing w:line="245" w:lineRule="auto"/>
        <w:rPr>
          <w:color w:val="auto"/>
          <w:highlight w:val="none"/>
        </w:rPr>
      </w:pPr>
    </w:p>
    <w:p w14:paraId="4125AA5C">
      <w:pPr>
        <w:pStyle w:val="6"/>
        <w:spacing w:line="245" w:lineRule="auto"/>
        <w:rPr>
          <w:color w:val="auto"/>
          <w:highlight w:val="none"/>
        </w:rPr>
      </w:pPr>
    </w:p>
    <w:p w14:paraId="438E2316">
      <w:pPr>
        <w:pStyle w:val="6"/>
        <w:spacing w:line="245" w:lineRule="auto"/>
        <w:rPr>
          <w:color w:val="auto"/>
          <w:highlight w:val="none"/>
        </w:rPr>
      </w:pPr>
    </w:p>
    <w:p w14:paraId="6F6136A9">
      <w:pPr>
        <w:pStyle w:val="6"/>
        <w:spacing w:line="245" w:lineRule="auto"/>
        <w:rPr>
          <w:color w:val="auto"/>
          <w:highlight w:val="none"/>
        </w:rPr>
      </w:pPr>
    </w:p>
    <w:p w14:paraId="0D81B7B2">
      <w:pPr>
        <w:pStyle w:val="6"/>
        <w:spacing w:line="245" w:lineRule="auto"/>
        <w:rPr>
          <w:color w:val="auto"/>
          <w:highlight w:val="none"/>
        </w:rPr>
      </w:pPr>
    </w:p>
    <w:p w14:paraId="24C7FBB5">
      <w:pPr>
        <w:pStyle w:val="6"/>
        <w:spacing w:line="245" w:lineRule="auto"/>
        <w:rPr>
          <w:color w:val="auto"/>
          <w:highlight w:val="none"/>
        </w:rPr>
      </w:pPr>
    </w:p>
    <w:p w14:paraId="4B8B2739">
      <w:pPr>
        <w:pStyle w:val="6"/>
        <w:spacing w:line="245" w:lineRule="auto"/>
        <w:rPr>
          <w:color w:val="auto"/>
          <w:highlight w:val="none"/>
        </w:rPr>
      </w:pPr>
    </w:p>
    <w:p w14:paraId="3797E5C0">
      <w:pPr>
        <w:pStyle w:val="6"/>
        <w:spacing w:line="245" w:lineRule="auto"/>
        <w:rPr>
          <w:color w:val="auto"/>
          <w:highlight w:val="none"/>
        </w:rPr>
      </w:pPr>
    </w:p>
    <w:p w14:paraId="5E6E40BE">
      <w:pPr>
        <w:pStyle w:val="6"/>
        <w:spacing w:line="245" w:lineRule="auto"/>
        <w:rPr>
          <w:color w:val="auto"/>
          <w:highlight w:val="none"/>
        </w:rPr>
      </w:pPr>
    </w:p>
    <w:p w14:paraId="3BFE7536">
      <w:pPr>
        <w:pStyle w:val="6"/>
        <w:spacing w:line="245" w:lineRule="auto"/>
        <w:rPr>
          <w:color w:val="auto"/>
          <w:highlight w:val="none"/>
        </w:rPr>
      </w:pPr>
    </w:p>
    <w:p w14:paraId="4F3B52E4">
      <w:pPr>
        <w:pStyle w:val="6"/>
        <w:spacing w:line="245" w:lineRule="auto"/>
        <w:rPr>
          <w:color w:val="auto"/>
          <w:highlight w:val="none"/>
        </w:rPr>
      </w:pPr>
    </w:p>
    <w:p w14:paraId="27464BAF">
      <w:pPr>
        <w:pStyle w:val="6"/>
        <w:spacing w:line="245" w:lineRule="auto"/>
        <w:rPr>
          <w:color w:val="auto"/>
          <w:highlight w:val="none"/>
        </w:rPr>
      </w:pPr>
    </w:p>
    <w:p w14:paraId="000987F2">
      <w:pPr>
        <w:pStyle w:val="6"/>
        <w:spacing w:line="245" w:lineRule="auto"/>
        <w:rPr>
          <w:color w:val="auto"/>
          <w:highlight w:val="none"/>
        </w:rPr>
      </w:pPr>
    </w:p>
    <w:p w14:paraId="7B8650AF">
      <w:pPr>
        <w:pStyle w:val="6"/>
        <w:spacing w:line="245" w:lineRule="auto"/>
        <w:rPr>
          <w:color w:val="auto"/>
          <w:highlight w:val="none"/>
        </w:rPr>
      </w:pPr>
    </w:p>
    <w:p w14:paraId="39BC0A89">
      <w:pPr>
        <w:pStyle w:val="6"/>
        <w:spacing w:line="245" w:lineRule="auto"/>
        <w:rPr>
          <w:color w:val="auto"/>
          <w:highlight w:val="none"/>
        </w:rPr>
      </w:pPr>
    </w:p>
    <w:p w14:paraId="4AAC69D4">
      <w:pPr>
        <w:pStyle w:val="6"/>
        <w:spacing w:line="245" w:lineRule="auto"/>
        <w:rPr>
          <w:color w:val="auto"/>
          <w:highlight w:val="none"/>
        </w:rPr>
      </w:pPr>
    </w:p>
    <w:p w14:paraId="14E5DA6F">
      <w:pPr>
        <w:pStyle w:val="6"/>
        <w:spacing w:line="245" w:lineRule="auto"/>
        <w:rPr>
          <w:color w:val="auto"/>
          <w:highlight w:val="none"/>
        </w:rPr>
      </w:pPr>
    </w:p>
    <w:p w14:paraId="0D929B06">
      <w:pPr>
        <w:pStyle w:val="6"/>
        <w:spacing w:line="245" w:lineRule="auto"/>
        <w:rPr>
          <w:color w:val="auto"/>
          <w:highlight w:val="none"/>
        </w:rPr>
      </w:pPr>
    </w:p>
    <w:p w14:paraId="507EBF64">
      <w:pPr>
        <w:pStyle w:val="6"/>
        <w:spacing w:line="245" w:lineRule="auto"/>
        <w:rPr>
          <w:color w:val="auto"/>
          <w:highlight w:val="none"/>
        </w:rPr>
      </w:pPr>
    </w:p>
    <w:p w14:paraId="21267BE5">
      <w:pPr>
        <w:pStyle w:val="6"/>
        <w:spacing w:line="245" w:lineRule="auto"/>
        <w:rPr>
          <w:color w:val="auto"/>
          <w:highlight w:val="none"/>
        </w:rPr>
      </w:pPr>
    </w:p>
    <w:p w14:paraId="110CC369">
      <w:pPr>
        <w:pStyle w:val="6"/>
        <w:spacing w:line="245" w:lineRule="auto"/>
        <w:rPr>
          <w:color w:val="auto"/>
          <w:highlight w:val="none"/>
        </w:rPr>
      </w:pPr>
    </w:p>
    <w:p w14:paraId="416BD3CD">
      <w:pPr>
        <w:pStyle w:val="6"/>
        <w:spacing w:line="245" w:lineRule="auto"/>
        <w:rPr>
          <w:color w:val="auto"/>
          <w:highlight w:val="none"/>
        </w:rPr>
      </w:pPr>
    </w:p>
    <w:p w14:paraId="41AE774D">
      <w:pPr>
        <w:pStyle w:val="6"/>
        <w:spacing w:line="246" w:lineRule="auto"/>
        <w:rPr>
          <w:color w:val="auto"/>
          <w:highlight w:val="none"/>
        </w:rPr>
      </w:pPr>
    </w:p>
    <w:p w14:paraId="11780435">
      <w:pPr>
        <w:pStyle w:val="6"/>
        <w:spacing w:line="246" w:lineRule="auto"/>
        <w:rPr>
          <w:color w:val="auto"/>
          <w:highlight w:val="none"/>
        </w:rPr>
      </w:pPr>
    </w:p>
    <w:p w14:paraId="0497D3F7">
      <w:pPr>
        <w:pStyle w:val="6"/>
        <w:spacing w:line="246" w:lineRule="auto"/>
        <w:rPr>
          <w:color w:val="auto"/>
          <w:highlight w:val="none"/>
        </w:rPr>
      </w:pPr>
    </w:p>
    <w:p w14:paraId="49EF3CA9">
      <w:pPr>
        <w:pStyle w:val="6"/>
        <w:spacing w:line="246" w:lineRule="auto"/>
        <w:rPr>
          <w:color w:val="auto"/>
          <w:highlight w:val="none"/>
        </w:rPr>
      </w:pPr>
    </w:p>
    <w:p w14:paraId="4166FEB3">
      <w:pPr>
        <w:pStyle w:val="6"/>
        <w:spacing w:line="246" w:lineRule="auto"/>
        <w:rPr>
          <w:color w:val="auto"/>
          <w:highlight w:val="none"/>
        </w:rPr>
      </w:pPr>
    </w:p>
    <w:p w14:paraId="020FB35F">
      <w:pPr>
        <w:pStyle w:val="6"/>
        <w:spacing w:line="246" w:lineRule="auto"/>
        <w:rPr>
          <w:color w:val="auto"/>
          <w:highlight w:val="none"/>
        </w:rPr>
      </w:pPr>
    </w:p>
    <w:p w14:paraId="5049A28C">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3B0AD6A">
      <w:pPr>
        <w:pStyle w:val="6"/>
        <w:spacing w:line="447" w:lineRule="auto"/>
        <w:rPr>
          <w:color w:val="auto"/>
          <w:highlight w:val="none"/>
        </w:rPr>
      </w:pPr>
    </w:p>
    <w:p w14:paraId="4DFE2342">
      <w:pPr>
        <w:rPr>
          <w:color w:val="auto"/>
          <w:highlight w:val="none"/>
        </w:rPr>
      </w:pPr>
      <w:r>
        <w:rPr>
          <w:color w:val="auto"/>
          <w:highlight w:val="none"/>
        </w:rPr>
        <w:pict>
          <v:shape id="_x0000_s1087" o:spid="_x0000_s1087" style="position:absolute;left:0pt;margin-left:0.25pt;margin-top:44.45pt;height:0.5pt;width:418.5pt;z-index:251698176;mso-width-relative:page;mso-height-relative:page;" filled="f" stroked="f" coordsize="8370,10" path="m0,5l8369,5e">
            <v:path/>
            <v:fill on="f" focussize="0,0"/>
            <v:stroke on="f" weight="0.5pt" miterlimit="10" joinstyle="miter"/>
            <v:imagedata o:title=""/>
            <o:lock v:ext="edit" aspectratio="f"/>
          </v:shape>
        </w:pict>
      </w:r>
    </w:p>
    <w:p w14:paraId="168FD2C0">
      <w:pPr>
        <w:pStyle w:val="6"/>
        <w:spacing w:line="301" w:lineRule="auto"/>
        <w:rPr>
          <w:color w:val="auto"/>
          <w:highlight w:val="none"/>
        </w:rPr>
      </w:pPr>
    </w:p>
    <w:p w14:paraId="5D4F183B">
      <w:pPr>
        <w:rPr>
          <w:color w:val="auto"/>
          <w:highlight w:val="none"/>
        </w:rPr>
      </w:pPr>
      <w:bookmarkStart w:id="178" w:name="bookmark139"/>
      <w:bookmarkEnd w:id="178"/>
      <w:r>
        <w:rPr>
          <w:color w:val="auto"/>
          <w:highlight w:val="none"/>
        </w:rPr>
        <w:t>10、投标人认为有必要提供的其他证明材料（格式自拟）</w:t>
      </w:r>
    </w:p>
    <w:p w14:paraId="42EBF1BA">
      <w:pPr>
        <w:bidi w:val="0"/>
        <w:rPr>
          <w:color w:val="auto"/>
          <w:highlight w:val="none"/>
        </w:rPr>
      </w:pPr>
    </w:p>
    <w:p w14:paraId="1BE919D0">
      <w:pPr>
        <w:pStyle w:val="6"/>
        <w:spacing w:line="309" w:lineRule="auto"/>
        <w:rPr>
          <w:color w:val="auto"/>
          <w:highlight w:val="none"/>
        </w:rPr>
      </w:pPr>
    </w:p>
    <w:p w14:paraId="3428C8B1">
      <w:pPr>
        <w:pStyle w:val="6"/>
        <w:spacing w:line="309" w:lineRule="auto"/>
        <w:rPr>
          <w:color w:val="auto"/>
          <w:highlight w:val="none"/>
        </w:rPr>
      </w:pPr>
    </w:p>
    <w:p w14:paraId="50C6E58C">
      <w:pPr>
        <w:spacing w:before="90" w:line="215" w:lineRule="auto"/>
        <w:ind w:left="1982" w:right="1124" w:hanging="87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1.应加盖本单位章（自然人投标的无需盖章，</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需</w:t>
      </w:r>
      <w:r>
        <w:rPr>
          <w:rFonts w:ascii="微软雅黑" w:hAnsi="微软雅黑" w:eastAsia="微软雅黑" w:cs="微软雅黑"/>
          <w:color w:val="auto"/>
          <w:spacing w:val="-1"/>
          <w:sz w:val="21"/>
          <w:szCs w:val="21"/>
          <w:highlight w:val="none"/>
        </w:rPr>
        <w:t>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2.本项目不接受联合体。</w:t>
      </w:r>
    </w:p>
    <w:p w14:paraId="462771A3">
      <w:pPr>
        <w:pStyle w:val="6"/>
        <w:spacing w:line="245" w:lineRule="auto"/>
        <w:rPr>
          <w:color w:val="auto"/>
          <w:highlight w:val="none"/>
        </w:rPr>
      </w:pPr>
    </w:p>
    <w:p w14:paraId="32319394">
      <w:pPr>
        <w:pStyle w:val="6"/>
        <w:spacing w:line="245" w:lineRule="auto"/>
        <w:rPr>
          <w:color w:val="auto"/>
          <w:highlight w:val="none"/>
        </w:rPr>
      </w:pPr>
    </w:p>
    <w:p w14:paraId="381FB826">
      <w:pPr>
        <w:pStyle w:val="6"/>
        <w:spacing w:line="245" w:lineRule="auto"/>
        <w:rPr>
          <w:color w:val="auto"/>
          <w:highlight w:val="none"/>
        </w:rPr>
      </w:pPr>
    </w:p>
    <w:p w14:paraId="218D2CE6">
      <w:pPr>
        <w:pStyle w:val="6"/>
        <w:spacing w:line="245" w:lineRule="auto"/>
        <w:rPr>
          <w:color w:val="auto"/>
          <w:highlight w:val="none"/>
        </w:rPr>
      </w:pPr>
    </w:p>
    <w:p w14:paraId="4F4DD0CC">
      <w:pPr>
        <w:pStyle w:val="6"/>
        <w:spacing w:line="245" w:lineRule="auto"/>
        <w:rPr>
          <w:color w:val="auto"/>
          <w:highlight w:val="none"/>
        </w:rPr>
      </w:pPr>
    </w:p>
    <w:p w14:paraId="0FACDD1D">
      <w:pPr>
        <w:pStyle w:val="6"/>
        <w:spacing w:line="245" w:lineRule="auto"/>
        <w:rPr>
          <w:color w:val="auto"/>
          <w:highlight w:val="none"/>
        </w:rPr>
      </w:pPr>
    </w:p>
    <w:p w14:paraId="05278D96">
      <w:pPr>
        <w:pStyle w:val="6"/>
        <w:spacing w:line="245" w:lineRule="auto"/>
        <w:rPr>
          <w:color w:val="auto"/>
          <w:highlight w:val="none"/>
        </w:rPr>
      </w:pPr>
    </w:p>
    <w:p w14:paraId="461B0993">
      <w:pPr>
        <w:pStyle w:val="6"/>
        <w:spacing w:line="245" w:lineRule="auto"/>
        <w:rPr>
          <w:color w:val="auto"/>
          <w:highlight w:val="none"/>
        </w:rPr>
      </w:pPr>
    </w:p>
    <w:p w14:paraId="6A05C2B0">
      <w:pPr>
        <w:pStyle w:val="6"/>
        <w:spacing w:line="245" w:lineRule="auto"/>
        <w:rPr>
          <w:color w:val="auto"/>
          <w:highlight w:val="none"/>
        </w:rPr>
      </w:pPr>
    </w:p>
    <w:p w14:paraId="5D58F12B">
      <w:pPr>
        <w:pStyle w:val="6"/>
        <w:spacing w:line="245" w:lineRule="auto"/>
        <w:rPr>
          <w:color w:val="auto"/>
          <w:highlight w:val="none"/>
        </w:rPr>
      </w:pPr>
    </w:p>
    <w:p w14:paraId="417884B8">
      <w:pPr>
        <w:pStyle w:val="6"/>
        <w:spacing w:line="245" w:lineRule="auto"/>
        <w:rPr>
          <w:color w:val="auto"/>
          <w:highlight w:val="none"/>
        </w:rPr>
      </w:pPr>
    </w:p>
    <w:p w14:paraId="1C815E9D">
      <w:pPr>
        <w:pStyle w:val="6"/>
        <w:spacing w:line="245" w:lineRule="auto"/>
        <w:rPr>
          <w:color w:val="auto"/>
          <w:highlight w:val="none"/>
        </w:rPr>
      </w:pPr>
    </w:p>
    <w:p w14:paraId="219A51E6">
      <w:pPr>
        <w:pStyle w:val="6"/>
        <w:spacing w:line="245" w:lineRule="auto"/>
        <w:rPr>
          <w:color w:val="auto"/>
          <w:highlight w:val="none"/>
        </w:rPr>
      </w:pPr>
    </w:p>
    <w:p w14:paraId="7D015E1A">
      <w:pPr>
        <w:pStyle w:val="6"/>
        <w:spacing w:line="245" w:lineRule="auto"/>
        <w:rPr>
          <w:color w:val="auto"/>
          <w:highlight w:val="none"/>
        </w:rPr>
      </w:pPr>
    </w:p>
    <w:p w14:paraId="08FC3B51">
      <w:pPr>
        <w:pStyle w:val="6"/>
        <w:spacing w:line="245" w:lineRule="auto"/>
        <w:rPr>
          <w:color w:val="auto"/>
          <w:highlight w:val="none"/>
        </w:rPr>
      </w:pPr>
    </w:p>
    <w:p w14:paraId="761E6CAE">
      <w:pPr>
        <w:pStyle w:val="6"/>
        <w:spacing w:line="245" w:lineRule="auto"/>
        <w:rPr>
          <w:color w:val="auto"/>
          <w:highlight w:val="none"/>
        </w:rPr>
      </w:pPr>
    </w:p>
    <w:p w14:paraId="6B400D4F">
      <w:pPr>
        <w:pStyle w:val="6"/>
        <w:spacing w:line="245" w:lineRule="auto"/>
        <w:rPr>
          <w:color w:val="auto"/>
          <w:highlight w:val="none"/>
        </w:rPr>
      </w:pPr>
    </w:p>
    <w:p w14:paraId="5C547579">
      <w:pPr>
        <w:pStyle w:val="6"/>
        <w:spacing w:line="245" w:lineRule="auto"/>
        <w:rPr>
          <w:color w:val="auto"/>
          <w:highlight w:val="none"/>
        </w:rPr>
      </w:pPr>
    </w:p>
    <w:p w14:paraId="3DEDAC29">
      <w:pPr>
        <w:pStyle w:val="6"/>
        <w:spacing w:line="245" w:lineRule="auto"/>
        <w:rPr>
          <w:color w:val="auto"/>
          <w:highlight w:val="none"/>
        </w:rPr>
      </w:pPr>
    </w:p>
    <w:p w14:paraId="711FF906">
      <w:pPr>
        <w:pStyle w:val="6"/>
        <w:spacing w:line="245" w:lineRule="auto"/>
        <w:rPr>
          <w:color w:val="auto"/>
          <w:highlight w:val="none"/>
        </w:rPr>
      </w:pPr>
    </w:p>
    <w:p w14:paraId="7BC68ACE">
      <w:pPr>
        <w:pStyle w:val="6"/>
        <w:spacing w:line="245" w:lineRule="auto"/>
        <w:rPr>
          <w:color w:val="auto"/>
          <w:highlight w:val="none"/>
        </w:rPr>
      </w:pPr>
    </w:p>
    <w:p w14:paraId="36EDFB8C">
      <w:pPr>
        <w:pStyle w:val="6"/>
        <w:spacing w:line="245" w:lineRule="auto"/>
        <w:rPr>
          <w:color w:val="auto"/>
          <w:highlight w:val="none"/>
        </w:rPr>
      </w:pPr>
    </w:p>
    <w:p w14:paraId="3A767703">
      <w:pPr>
        <w:pStyle w:val="6"/>
        <w:spacing w:line="245" w:lineRule="auto"/>
        <w:rPr>
          <w:color w:val="auto"/>
          <w:highlight w:val="none"/>
        </w:rPr>
      </w:pPr>
    </w:p>
    <w:p w14:paraId="62D784A7">
      <w:pPr>
        <w:pStyle w:val="6"/>
        <w:spacing w:line="245" w:lineRule="auto"/>
        <w:rPr>
          <w:color w:val="auto"/>
          <w:highlight w:val="none"/>
        </w:rPr>
      </w:pPr>
    </w:p>
    <w:p w14:paraId="619C6314">
      <w:pPr>
        <w:pStyle w:val="6"/>
        <w:spacing w:line="245" w:lineRule="auto"/>
        <w:rPr>
          <w:color w:val="auto"/>
          <w:highlight w:val="none"/>
        </w:rPr>
      </w:pPr>
    </w:p>
    <w:p w14:paraId="01A15032">
      <w:pPr>
        <w:pStyle w:val="6"/>
        <w:spacing w:line="245" w:lineRule="auto"/>
        <w:rPr>
          <w:color w:val="auto"/>
          <w:highlight w:val="none"/>
        </w:rPr>
      </w:pPr>
    </w:p>
    <w:p w14:paraId="2C6910AC">
      <w:pPr>
        <w:pStyle w:val="6"/>
        <w:spacing w:line="245" w:lineRule="auto"/>
        <w:rPr>
          <w:color w:val="auto"/>
          <w:highlight w:val="none"/>
        </w:rPr>
      </w:pPr>
    </w:p>
    <w:p w14:paraId="4CAC7AA3">
      <w:pPr>
        <w:pStyle w:val="6"/>
        <w:spacing w:line="245" w:lineRule="auto"/>
        <w:rPr>
          <w:color w:val="auto"/>
          <w:highlight w:val="none"/>
        </w:rPr>
      </w:pPr>
    </w:p>
    <w:p w14:paraId="367BD6C5">
      <w:pPr>
        <w:pStyle w:val="6"/>
        <w:spacing w:line="245" w:lineRule="auto"/>
        <w:rPr>
          <w:color w:val="auto"/>
          <w:highlight w:val="none"/>
        </w:rPr>
      </w:pPr>
    </w:p>
    <w:p w14:paraId="21C05040">
      <w:pPr>
        <w:pStyle w:val="6"/>
        <w:spacing w:line="245" w:lineRule="auto"/>
        <w:rPr>
          <w:color w:val="auto"/>
          <w:highlight w:val="none"/>
        </w:rPr>
      </w:pPr>
    </w:p>
    <w:p w14:paraId="3DB4FD11">
      <w:pPr>
        <w:pStyle w:val="6"/>
        <w:spacing w:line="245" w:lineRule="auto"/>
        <w:rPr>
          <w:color w:val="auto"/>
          <w:highlight w:val="none"/>
        </w:rPr>
      </w:pPr>
    </w:p>
    <w:p w14:paraId="35F3F147">
      <w:pPr>
        <w:pStyle w:val="6"/>
        <w:spacing w:line="245" w:lineRule="auto"/>
        <w:rPr>
          <w:color w:val="auto"/>
          <w:highlight w:val="none"/>
        </w:rPr>
      </w:pPr>
    </w:p>
    <w:p w14:paraId="28A2E2DC">
      <w:pPr>
        <w:pStyle w:val="6"/>
        <w:spacing w:line="245" w:lineRule="auto"/>
        <w:rPr>
          <w:color w:val="auto"/>
          <w:highlight w:val="none"/>
        </w:rPr>
      </w:pPr>
    </w:p>
    <w:p w14:paraId="18BCE58B">
      <w:pPr>
        <w:pStyle w:val="6"/>
        <w:spacing w:line="245" w:lineRule="auto"/>
        <w:rPr>
          <w:color w:val="auto"/>
          <w:highlight w:val="none"/>
        </w:rPr>
      </w:pPr>
    </w:p>
    <w:p w14:paraId="464B8B48">
      <w:pPr>
        <w:pStyle w:val="6"/>
        <w:spacing w:line="245" w:lineRule="auto"/>
        <w:rPr>
          <w:color w:val="auto"/>
          <w:highlight w:val="none"/>
        </w:rPr>
      </w:pPr>
    </w:p>
    <w:p w14:paraId="7420547F">
      <w:pPr>
        <w:pStyle w:val="6"/>
        <w:spacing w:line="245" w:lineRule="auto"/>
        <w:rPr>
          <w:color w:val="auto"/>
          <w:highlight w:val="none"/>
        </w:rPr>
      </w:pPr>
    </w:p>
    <w:p w14:paraId="29D0A790">
      <w:pPr>
        <w:pStyle w:val="6"/>
        <w:spacing w:line="245" w:lineRule="auto"/>
        <w:rPr>
          <w:color w:val="auto"/>
          <w:highlight w:val="none"/>
        </w:rPr>
      </w:pPr>
    </w:p>
    <w:p w14:paraId="12818BC4">
      <w:pPr>
        <w:pStyle w:val="6"/>
        <w:spacing w:line="245" w:lineRule="auto"/>
        <w:rPr>
          <w:color w:val="auto"/>
          <w:highlight w:val="none"/>
        </w:rPr>
      </w:pPr>
    </w:p>
    <w:p w14:paraId="76A68063">
      <w:pPr>
        <w:pStyle w:val="6"/>
        <w:spacing w:line="245" w:lineRule="auto"/>
        <w:rPr>
          <w:color w:val="auto"/>
          <w:highlight w:val="none"/>
        </w:rPr>
      </w:pPr>
    </w:p>
    <w:p w14:paraId="5BAE9824">
      <w:pPr>
        <w:pStyle w:val="6"/>
        <w:spacing w:line="245" w:lineRule="auto"/>
        <w:rPr>
          <w:color w:val="auto"/>
          <w:highlight w:val="none"/>
        </w:rPr>
      </w:pPr>
    </w:p>
    <w:p w14:paraId="1E06FDCF">
      <w:pPr>
        <w:pStyle w:val="6"/>
        <w:spacing w:line="245" w:lineRule="auto"/>
        <w:rPr>
          <w:color w:val="auto"/>
          <w:highlight w:val="none"/>
        </w:rPr>
      </w:pPr>
    </w:p>
    <w:p w14:paraId="5A2125F0">
      <w:pPr>
        <w:pStyle w:val="6"/>
        <w:spacing w:line="245" w:lineRule="auto"/>
        <w:rPr>
          <w:color w:val="auto"/>
          <w:highlight w:val="none"/>
        </w:rPr>
      </w:pPr>
    </w:p>
    <w:p w14:paraId="04E220D6">
      <w:pPr>
        <w:pStyle w:val="6"/>
        <w:spacing w:line="245" w:lineRule="auto"/>
        <w:rPr>
          <w:color w:val="auto"/>
          <w:highlight w:val="none"/>
        </w:rPr>
      </w:pPr>
    </w:p>
    <w:p w14:paraId="480D9D9D">
      <w:pPr>
        <w:pStyle w:val="6"/>
        <w:spacing w:line="246" w:lineRule="auto"/>
        <w:rPr>
          <w:color w:val="auto"/>
          <w:highlight w:val="none"/>
        </w:rPr>
      </w:pPr>
    </w:p>
    <w:p w14:paraId="05DA3A08">
      <w:pPr>
        <w:pStyle w:val="6"/>
        <w:spacing w:line="246" w:lineRule="auto"/>
        <w:rPr>
          <w:color w:val="auto"/>
          <w:highlight w:val="none"/>
        </w:rPr>
      </w:pPr>
    </w:p>
    <w:sectPr>
      <w:pgSz w:w="11905" w:h="16839"/>
      <w:pgMar w:top="400" w:right="1767" w:bottom="400" w:left="1768"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DA4B3">
    <w:pPr>
      <w:spacing w:line="174" w:lineRule="auto"/>
      <w:ind w:left="4878"/>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F94CE">
    <w:pPr>
      <w:spacing w:line="174" w:lineRule="auto"/>
      <w:ind w:left="4833"/>
      <w:rPr>
        <w:rFonts w:ascii="Times New Roman" w:hAnsi="Times New Roman" w:eastAsia="Times New Roman" w:cs="Times New Roman"/>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EAD4">
    <w:pPr>
      <w:spacing w:line="174" w:lineRule="auto"/>
      <w:ind w:left="4833"/>
      <w:rPr>
        <w:rFonts w:ascii="Times New Roman" w:hAnsi="Times New Roman" w:eastAsia="Times New Roman"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89B3">
    <w:pPr>
      <w:spacing w:line="174" w:lineRule="auto"/>
      <w:ind w:left="4833"/>
      <w:rPr>
        <w:rFonts w:ascii="Times New Roman" w:hAnsi="Times New Roman" w:eastAsia="Times New Roman" w:cs="Times New Roman"/>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470E">
    <w:pPr>
      <w:spacing w:line="174" w:lineRule="auto"/>
      <w:ind w:left="4815"/>
      <w:rPr>
        <w:rFonts w:ascii="Times New Roman" w:hAnsi="Times New Roman" w:eastAsia="Times New Roman" w:cs="Times New Roman"/>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B092">
    <w:pPr>
      <w:spacing w:line="174" w:lineRule="auto"/>
      <w:ind w:left="4815"/>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6CA9">
    <w:pPr>
      <w:spacing w:line="174" w:lineRule="auto"/>
      <w:ind w:left="4815"/>
      <w:rPr>
        <w:rFonts w:ascii="Times New Roman" w:hAnsi="Times New Roman" w:eastAsia="Times New Roman" w:cs="Times New Roman"/>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BDD9B">
    <w:pPr>
      <w:spacing w:line="174" w:lineRule="auto"/>
      <w:ind w:left="4815"/>
      <w:rPr>
        <w:rFonts w:ascii="Times New Roman" w:hAnsi="Times New Roman" w:eastAsia="Times New Roman" w:cs="Times New Roman"/>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24E94">
    <w:pPr>
      <w:spacing w:line="174" w:lineRule="auto"/>
      <w:ind w:left="4815"/>
      <w:rPr>
        <w:rFonts w:ascii="Times New Roman" w:hAnsi="Times New Roman" w:eastAsia="Times New Roman" w:cs="Times New Roman"/>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263E">
    <w:pPr>
      <w:spacing w:line="174" w:lineRule="auto"/>
      <w:ind w:left="4815"/>
      <w:rPr>
        <w:rFonts w:ascii="Times New Roman" w:hAnsi="Times New Roman" w:eastAsia="Times New Roman" w:cs="Times New Roman"/>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3FDD">
    <w:pPr>
      <w:spacing w:line="174" w:lineRule="auto"/>
      <w:ind w:left="4815"/>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FE90">
    <w:pPr>
      <w:spacing w:line="174" w:lineRule="auto"/>
      <w:ind w:left="4860"/>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A6A6">
    <w:pPr>
      <w:spacing w:line="174" w:lineRule="auto"/>
      <w:ind w:left="4815"/>
      <w:rPr>
        <w:rFonts w:ascii="Times New Roman" w:hAnsi="Times New Roman" w:eastAsia="Times New Roman" w:cs="Times New Roman"/>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DA46B">
    <w:pPr>
      <w:spacing w:line="174" w:lineRule="auto"/>
      <w:ind w:left="4815"/>
      <w:rPr>
        <w:rFonts w:ascii="Times New Roman" w:hAnsi="Times New Roman" w:eastAsia="Times New Roman" w:cs="Times New Roman"/>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216B9">
    <w:pPr>
      <w:spacing w:line="174" w:lineRule="auto"/>
      <w:ind w:left="4815"/>
      <w:rPr>
        <w:rFonts w:ascii="Times New Roman" w:hAnsi="Times New Roman" w:eastAsia="Times New Roman" w:cs="Times New Roman"/>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5446">
    <w:pPr>
      <w:spacing w:line="174" w:lineRule="auto"/>
      <w:ind w:left="4819"/>
      <w:rPr>
        <w:rFonts w:ascii="Times New Roman" w:hAnsi="Times New Roman" w:eastAsia="Times New Roman" w:cs="Times New Roman"/>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9E7F">
    <w:pPr>
      <w:spacing w:line="174" w:lineRule="auto"/>
      <w:ind w:left="4819"/>
      <w:rPr>
        <w:rFonts w:ascii="Times New Roman" w:hAnsi="Times New Roman" w:eastAsia="Times New Roman" w:cs="Times New Roman"/>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C6D2">
    <w:pPr>
      <w:spacing w:line="174" w:lineRule="auto"/>
      <w:ind w:left="4819"/>
      <w:rPr>
        <w:rFonts w:ascii="Times New Roman" w:hAnsi="Times New Roman" w:eastAsia="Times New Roman" w:cs="Times New Roman"/>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A9E7">
    <w:pPr>
      <w:spacing w:line="174" w:lineRule="auto"/>
      <w:ind w:left="4819"/>
      <w:rPr>
        <w:rFonts w:ascii="Times New Roman" w:hAnsi="Times New Roman" w:eastAsia="Times New Roman" w:cs="Times New Roman"/>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FC25">
    <w:pPr>
      <w:spacing w:line="174" w:lineRule="auto"/>
      <w:ind w:left="4819"/>
      <w:rPr>
        <w:rFonts w:ascii="Times New Roman" w:hAnsi="Times New Roman" w:eastAsia="Times New Roman" w:cs="Times New Roman"/>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71166">
    <w:pPr>
      <w:spacing w:line="174" w:lineRule="auto"/>
      <w:ind w:left="4819"/>
      <w:rPr>
        <w:rFonts w:ascii="Times New Roman" w:hAnsi="Times New Roman" w:eastAsia="Times New Roman" w:cs="Times New Roman"/>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1B102">
    <w:pPr>
      <w:spacing w:line="174" w:lineRule="auto"/>
      <w:ind w:left="4819"/>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820AD">
    <w:pPr>
      <w:spacing w:line="174" w:lineRule="auto"/>
      <w:ind w:left="4948"/>
      <w:rPr>
        <w:rFonts w:ascii="Times New Roman" w:hAnsi="Times New Roman" w:eastAsia="Times New Roman" w:cs="Times New Roman"/>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BBBB">
    <w:pPr>
      <w:spacing w:line="174" w:lineRule="auto"/>
      <w:ind w:left="4819"/>
      <w:rPr>
        <w:rFonts w:ascii="Times New Roman" w:hAnsi="Times New Roman" w:eastAsia="Times New Roman" w:cs="Times New Roman"/>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65520">
    <w:pPr>
      <w:spacing w:line="174" w:lineRule="auto"/>
      <w:ind w:left="4819"/>
      <w:rPr>
        <w:rFonts w:ascii="Times New Roman" w:hAnsi="Times New Roman" w:eastAsia="Times New Roman" w:cs="Times New Roman"/>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CD889">
    <w:pPr>
      <w:spacing w:line="174" w:lineRule="auto"/>
      <w:ind w:left="4819"/>
      <w:rPr>
        <w:rFonts w:ascii="Times New Roman" w:hAnsi="Times New Roman" w:eastAsia="Times New Roman" w:cs="Times New Roman"/>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34D80">
    <w:pPr>
      <w:spacing w:line="174" w:lineRule="auto"/>
      <w:ind w:left="4814"/>
      <w:rPr>
        <w:rFonts w:ascii="Times New Roman" w:hAnsi="Times New Roman" w:eastAsia="Times New Roman" w:cs="Times New Roman"/>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28DC">
    <w:pPr>
      <w:spacing w:line="174" w:lineRule="auto"/>
      <w:ind w:left="4814"/>
      <w:rPr>
        <w:rFonts w:ascii="Times New Roman" w:hAnsi="Times New Roman" w:eastAsia="Times New Roman" w:cs="Times New Roman"/>
        <w:sz w:val="18"/>
        <w:szCs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6794">
    <w:pPr>
      <w:spacing w:line="174" w:lineRule="auto"/>
      <w:ind w:left="5101"/>
      <w:rPr>
        <w:rFonts w:ascii="Times New Roman" w:hAnsi="Times New Roman" w:eastAsia="Times New Roman" w:cs="Times New Roman"/>
        <w:sz w:val="18"/>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C5A6">
    <w:pPr>
      <w:spacing w:line="174" w:lineRule="auto"/>
      <w:ind w:left="5101"/>
      <w:rPr>
        <w:rFonts w:ascii="Times New Roman" w:hAnsi="Times New Roman" w:eastAsia="Times New Roman" w:cs="Times New Roman"/>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3709">
    <w:pPr>
      <w:spacing w:line="174" w:lineRule="auto"/>
      <w:ind w:left="5101"/>
      <w:rPr>
        <w:rFonts w:ascii="Times New Roman" w:hAnsi="Times New Roman" w:eastAsia="Times New Roman" w:cs="Times New Roman"/>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4DA20">
    <w:pPr>
      <w:spacing w:line="174" w:lineRule="auto"/>
      <w:ind w:left="4814"/>
      <w:rPr>
        <w:rFonts w:ascii="Times New Roman" w:hAnsi="Times New Roman" w:eastAsia="Times New Roman" w:cs="Times New Roman"/>
        <w:sz w:val="18"/>
        <w:szCs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17DF">
    <w:pPr>
      <w:spacing w:line="174" w:lineRule="auto"/>
      <w:ind w:left="481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A0E0E">
    <w:pPr>
      <w:spacing w:line="174" w:lineRule="auto"/>
      <w:ind w:left="4859"/>
      <w:rPr>
        <w:rFonts w:ascii="Times New Roman" w:hAnsi="Times New Roman" w:eastAsia="Times New Roman" w:cs="Times New Roman"/>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FFC00">
    <w:pPr>
      <w:pStyle w:val="6"/>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3B35">
    <w:pPr>
      <w:spacing w:line="171" w:lineRule="auto"/>
      <w:ind w:left="4865"/>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53D16">
    <w:pPr>
      <w:spacing w:line="174" w:lineRule="auto"/>
      <w:ind w:left="4864"/>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19493">
    <w:pPr>
      <w:spacing w:line="171" w:lineRule="auto"/>
      <w:ind w:left="4863"/>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D4F3">
    <w:pPr>
      <w:spacing w:line="174" w:lineRule="auto"/>
      <w:ind w:left="4833"/>
      <w:rPr>
        <w:rFonts w:ascii="Times New Roman" w:hAnsi="Times New Roman" w:eastAsia="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2BC79">
    <w:pPr>
      <w:spacing w:line="174" w:lineRule="auto"/>
      <w:ind w:left="4833"/>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33C9">
    <w:pPr>
      <w:pStyle w:val="6"/>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D65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5125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C6DD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8BF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C6C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1AB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9B75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40CF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C77A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BE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94D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4BCD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CC3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9DA8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E8E33">
    <w:pPr>
      <w:pStyle w:val="6"/>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7380">
    <w:pPr>
      <w:spacing w:line="884" w:lineRule="exact"/>
      <w:ind w:firstLine="359"/>
    </w:pPr>
    <w:r>
      <w:pict>
        <v:shape id="_x0000_s2069" o:spid="_x0000_s2069" style="position:absolute;left:0pt;margin-left:52.55pt;margin-top:86.75pt;height:0.5pt;width:490.25pt;mso-position-horizontal-relative:page;mso-position-vertical-relative:page;z-index:251660288;mso-width-relative:page;mso-height-relative:page;" filled="f" stroked="t" coordsize="9805,10" o:allowincell="f" path="m0,5l9804,5e">
          <v:fill on="f" focussize="0,0"/>
          <v:stroke weight="0.5pt" color="#000000" miterlimit="10" joinstyle="miter"/>
          <v:imagedata o:title=""/>
          <o:lock v:ext="edi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7CB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7B9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DA332"/>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3F16">
    <w:pPr>
      <w:pStyle w:val="6"/>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808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F625"/>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8FCAA">
    <w:pPr>
      <w:pStyle w:val="6"/>
      <w:pBdr>
        <w:bottom w:val="none" w:color="auto" w:sz="0" w:space="0"/>
      </w:pBdr>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FFF0">
    <w:pPr>
      <w:pStyle w:val="6"/>
      <w:pBdr>
        <w:bottom w:val="none" w:color="auto" w:sz="0" w:space="0"/>
      </w:pBd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1193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C698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DD8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7E2D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C9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0721F"/>
    <w:multiLevelType w:val="singleLevel"/>
    <w:tmpl w:val="8670721F"/>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3B4944"/>
    <w:rsid w:val="01B8331C"/>
    <w:rsid w:val="02445A7A"/>
    <w:rsid w:val="025263E9"/>
    <w:rsid w:val="02667402"/>
    <w:rsid w:val="03D77D26"/>
    <w:rsid w:val="04B073F7"/>
    <w:rsid w:val="08EE4992"/>
    <w:rsid w:val="0ACE4A7B"/>
    <w:rsid w:val="0B026628"/>
    <w:rsid w:val="0B3568A8"/>
    <w:rsid w:val="0C8573BB"/>
    <w:rsid w:val="0E5F174C"/>
    <w:rsid w:val="0E9B4C74"/>
    <w:rsid w:val="12BE53D5"/>
    <w:rsid w:val="150A4901"/>
    <w:rsid w:val="155D4327"/>
    <w:rsid w:val="1A085187"/>
    <w:rsid w:val="1A367F46"/>
    <w:rsid w:val="1A9A04D5"/>
    <w:rsid w:val="1D1137D4"/>
    <w:rsid w:val="1DF3062F"/>
    <w:rsid w:val="1E087E4C"/>
    <w:rsid w:val="1E911BEF"/>
    <w:rsid w:val="1FF45985"/>
    <w:rsid w:val="203D023F"/>
    <w:rsid w:val="205D447F"/>
    <w:rsid w:val="22C00CF5"/>
    <w:rsid w:val="22F2705A"/>
    <w:rsid w:val="24DB1E16"/>
    <w:rsid w:val="265C0D35"/>
    <w:rsid w:val="29656152"/>
    <w:rsid w:val="2A067935"/>
    <w:rsid w:val="2A27165A"/>
    <w:rsid w:val="2B4A1CD9"/>
    <w:rsid w:val="2BB707CC"/>
    <w:rsid w:val="2D4C1B03"/>
    <w:rsid w:val="30453A83"/>
    <w:rsid w:val="30670A02"/>
    <w:rsid w:val="32543FD7"/>
    <w:rsid w:val="33B4035B"/>
    <w:rsid w:val="33C463BA"/>
    <w:rsid w:val="34E72111"/>
    <w:rsid w:val="35E86141"/>
    <w:rsid w:val="373158C6"/>
    <w:rsid w:val="378E2D18"/>
    <w:rsid w:val="37EB016A"/>
    <w:rsid w:val="3A4A1178"/>
    <w:rsid w:val="3BA80AF2"/>
    <w:rsid w:val="3BEB0739"/>
    <w:rsid w:val="3C123F18"/>
    <w:rsid w:val="3CF06281"/>
    <w:rsid w:val="3E2717D1"/>
    <w:rsid w:val="3F6C393F"/>
    <w:rsid w:val="41EA1493"/>
    <w:rsid w:val="420550D9"/>
    <w:rsid w:val="44AF0E16"/>
    <w:rsid w:val="45DB35CC"/>
    <w:rsid w:val="4670640B"/>
    <w:rsid w:val="46D149CF"/>
    <w:rsid w:val="479C2850"/>
    <w:rsid w:val="491237A9"/>
    <w:rsid w:val="494B0A69"/>
    <w:rsid w:val="49F14E25"/>
    <w:rsid w:val="4B5A4F93"/>
    <w:rsid w:val="4B9D05F1"/>
    <w:rsid w:val="4CE36682"/>
    <w:rsid w:val="4D9A5B1B"/>
    <w:rsid w:val="4F2177FA"/>
    <w:rsid w:val="4FF77255"/>
    <w:rsid w:val="51EA61AF"/>
    <w:rsid w:val="53191BD8"/>
    <w:rsid w:val="5394125E"/>
    <w:rsid w:val="53F548D7"/>
    <w:rsid w:val="543D5452"/>
    <w:rsid w:val="561E0398"/>
    <w:rsid w:val="59327FF5"/>
    <w:rsid w:val="5BAF6DD7"/>
    <w:rsid w:val="5BFE7BBD"/>
    <w:rsid w:val="5C9C2561"/>
    <w:rsid w:val="5D4635C9"/>
    <w:rsid w:val="5ECC3FA2"/>
    <w:rsid w:val="5F103E8F"/>
    <w:rsid w:val="5F7C7776"/>
    <w:rsid w:val="5FF35752"/>
    <w:rsid w:val="60AF28E3"/>
    <w:rsid w:val="617C5044"/>
    <w:rsid w:val="61CC3319"/>
    <w:rsid w:val="64094D31"/>
    <w:rsid w:val="64372114"/>
    <w:rsid w:val="64A86918"/>
    <w:rsid w:val="64BD6867"/>
    <w:rsid w:val="64FF0C2E"/>
    <w:rsid w:val="66DC6D4D"/>
    <w:rsid w:val="66F61BBC"/>
    <w:rsid w:val="671464E6"/>
    <w:rsid w:val="67C43A69"/>
    <w:rsid w:val="69384973"/>
    <w:rsid w:val="69C10597"/>
    <w:rsid w:val="6B574BF4"/>
    <w:rsid w:val="6C052AB6"/>
    <w:rsid w:val="6CB30550"/>
    <w:rsid w:val="6D08089B"/>
    <w:rsid w:val="6ECD5892"/>
    <w:rsid w:val="6F2179F2"/>
    <w:rsid w:val="6FC046B4"/>
    <w:rsid w:val="6FF9271D"/>
    <w:rsid w:val="70CE5958"/>
    <w:rsid w:val="74A05D67"/>
    <w:rsid w:val="77204A34"/>
    <w:rsid w:val="779A47E6"/>
    <w:rsid w:val="785C1A9B"/>
    <w:rsid w:val="78AE3180"/>
    <w:rsid w:val="79660E24"/>
    <w:rsid w:val="7A6115EB"/>
    <w:rsid w:val="7C3118F9"/>
    <w:rsid w:val="7D174EC1"/>
    <w:rsid w:val="7E9942A3"/>
    <w:rsid w:val="7FAE12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5pt" color="#FFFFFF" miterlimit="10"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Arial" w:hAnsi="Arial" w:eastAsia="Arial" w:cs="Arial"/>
      <w:sz w:val="21"/>
      <w:szCs w:val="21"/>
      <w:lang w:val="en-US" w:eastAsia="en-US" w:bidi="ar-SA"/>
    </w:r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微软雅黑" w:hAnsi="微软雅黑" w:eastAsia="微软雅黑" w:cs="微软雅黑"/>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pn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pn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pn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2.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png"/><Relationship Id="rId83"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header" Target="header3.xml"/><Relationship Id="rId79" Type="http://schemas.openxmlformats.org/officeDocument/2006/relationships/image" Target="media/image4.png"/><Relationship Id="rId78" Type="http://schemas.openxmlformats.org/officeDocument/2006/relationships/image" Target="media/image3.png"/><Relationship Id="rId77" Type="http://schemas.openxmlformats.org/officeDocument/2006/relationships/image" Target="media/image2.png"/><Relationship Id="rId76" Type="http://schemas.openxmlformats.org/officeDocument/2006/relationships/image" Target="media/image1.png"/><Relationship Id="rId75" Type="http://schemas.openxmlformats.org/officeDocument/2006/relationships/theme" Target="theme/theme1.xml"/><Relationship Id="rId74" Type="http://schemas.openxmlformats.org/officeDocument/2006/relationships/footer" Target="footer40.xml"/><Relationship Id="rId73" Type="http://schemas.openxmlformats.org/officeDocument/2006/relationships/header" Target="header30.xml"/><Relationship Id="rId72" Type="http://schemas.openxmlformats.org/officeDocument/2006/relationships/footer" Target="footer39.xml"/><Relationship Id="rId71" Type="http://schemas.openxmlformats.org/officeDocument/2006/relationships/footer" Target="footer38.xml"/><Relationship Id="rId70" Type="http://schemas.openxmlformats.org/officeDocument/2006/relationships/header" Target="header29.xml"/><Relationship Id="rId7" Type="http://schemas.openxmlformats.org/officeDocument/2006/relationships/footer" Target="footer1.xml"/><Relationship Id="rId69" Type="http://schemas.openxmlformats.org/officeDocument/2006/relationships/footer" Target="footer37.xml"/><Relationship Id="rId68" Type="http://schemas.openxmlformats.org/officeDocument/2006/relationships/footer" Target="footer36.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51.png"/><Relationship Id="rId125" Type="http://schemas.openxmlformats.org/officeDocument/2006/relationships/image" Target="media/image50.png"/><Relationship Id="rId124" Type="http://schemas.openxmlformats.org/officeDocument/2006/relationships/image" Target="media/image49.png"/><Relationship Id="rId123" Type="http://schemas.openxmlformats.org/officeDocument/2006/relationships/image" Target="media/image48.png"/><Relationship Id="rId122"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45.png"/><Relationship Id="rId12" Type="http://schemas.openxmlformats.org/officeDocument/2006/relationships/header" Target="header5.xml"/><Relationship Id="rId119" Type="http://schemas.openxmlformats.org/officeDocument/2006/relationships/image" Target="media/image44.png"/><Relationship Id="rId118" Type="http://schemas.openxmlformats.org/officeDocument/2006/relationships/image" Target="media/image43.png"/><Relationship Id="rId117" Type="http://schemas.openxmlformats.org/officeDocument/2006/relationships/image" Target="media/image42.png"/><Relationship Id="rId116" Type="http://schemas.openxmlformats.org/officeDocument/2006/relationships/image" Target="media/image41.png"/><Relationship Id="rId115" Type="http://schemas.openxmlformats.org/officeDocument/2006/relationships/image" Target="media/image40.png"/><Relationship Id="rId114" Type="http://schemas.openxmlformats.org/officeDocument/2006/relationships/image" Target="media/image39.png"/><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110" Type="http://schemas.openxmlformats.org/officeDocument/2006/relationships/image" Target="media/image35.png"/><Relationship Id="rId11" Type="http://schemas.openxmlformats.org/officeDocument/2006/relationships/footer" Target="footer3.xml"/><Relationship Id="rId109" Type="http://schemas.openxmlformats.org/officeDocument/2006/relationships/image" Target="media/image34.png"/><Relationship Id="rId108" Type="http://schemas.openxmlformats.org/officeDocument/2006/relationships/image" Target="media/image33.pn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30.pn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9"/>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2"/>
    <customShpInfo spid="_x0000_s1053"/>
    <customShpInfo spid="_x0000_s1051"/>
    <customShpInfo spid="_x0000_s1055"/>
    <customShpInfo spid="_x0000_s1056"/>
    <customShpInfo spid="_x0000_s1054"/>
    <customShpInfo spid="_x0000_s1057"/>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2"/>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5241</Words>
  <Characters>6045</Characters>
  <TotalTime>0</TotalTime>
  <ScaleCrop>false</ScaleCrop>
  <LinksUpToDate>false</LinksUpToDate>
  <CharactersWithSpaces>6834</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2024-12-06T04:44:00Z</dcterms:created>
  <dc:creator>ASUS</dc:creator>
  <cp:lastModifiedBy>榆林</cp:lastModifiedBy>
  <cp:lastPrinted>2025-03-05T08:19:00Z</cp:lastPrinted>
  <dcterms:modified xsi:type="dcterms:W3CDTF">2025-03-21T06:10:24Z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2025-02-10T13:22:16Z</vt:filetime>
  </property>
  <property fmtid="{D5CDD505-2E9C-101B-9397-08002B2CF9AE}" pid="4" name="KSOTemplateDocerSaveRecord">
    <vt:lpwstr>eyJoZGlkIjoiOThlMjdkMTBhOWFlNTc3N2RmNTAyNmM0ODMzNmZhNjIiLCJ1c2VySWQiOiIzNzEwNDYwOTEifQ==</vt:lpwstr>
  </property>
  <property fmtid="{D5CDD505-2E9C-101B-9397-08002B2CF9AE}" pid="5" name="KSOProductBuildVer">
    <vt:lpwstr>2052-12.1.0.20305</vt:lpwstr>
  </property>
  <property fmtid="{D5CDD505-2E9C-101B-9397-08002B2CF9AE}" pid="6" name="ICV">
    <vt:lpwstr>A054F62EE47148A9A406B1A52159E25A_12</vt:lpwstr>
  </property>
</Properties>
</file>