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jc w:val="both"/>
        <w:textAlignment w:val="auto"/>
        <w:outlineLvl w:val="9"/>
        <w:rPr>
          <w:rFonts w:hint="eastAsia" w:ascii="宋体" w:hAnsi="宋体" w:eastAsia="宋体" w:cs="宋体"/>
          <w:b/>
          <w:bCs w:val="0"/>
          <w:color w:val="auto"/>
          <w:sz w:val="40"/>
          <w:szCs w:val="40"/>
          <w:highlight w:val="none"/>
        </w:rPr>
      </w:pPr>
    </w:p>
    <w:p>
      <w:pPr>
        <w:spacing w:line="240" w:lineRule="auto"/>
        <w:jc w:val="center"/>
        <w:rPr>
          <w:rFonts w:hint="eastAsia" w:ascii="宋体" w:hAnsi="宋体" w:eastAsia="宋体" w:cs="宋体"/>
          <w:b/>
          <w:color w:val="auto"/>
          <w:sz w:val="84"/>
          <w:szCs w:val="84"/>
          <w:highlight w:val="none"/>
        </w:rPr>
      </w:pPr>
      <w:bookmarkStart w:id="0" w:name="_Toc20015"/>
      <w:bookmarkStart w:id="1" w:name="_Toc298240403"/>
      <w:bookmarkStart w:id="2" w:name="_Toc267301280"/>
      <w:bookmarkStart w:id="3" w:name="_Toc349637918"/>
      <w:bookmarkStart w:id="4" w:name="_Toc349573119"/>
      <w:bookmarkStart w:id="5" w:name="_Toc527642950"/>
      <w:r>
        <w:rPr>
          <w:rFonts w:hint="eastAsia" w:ascii="宋体" w:hAnsi="宋体" w:eastAsia="宋体" w:cs="宋体"/>
          <w:b/>
          <w:color w:val="auto"/>
          <w:sz w:val="84"/>
          <w:szCs w:val="84"/>
          <w:highlight w:val="none"/>
        </w:rPr>
        <w:t>竞争性</w:t>
      </w:r>
      <w:r>
        <w:rPr>
          <w:rFonts w:hint="eastAsia" w:ascii="宋体" w:hAnsi="宋体" w:eastAsia="宋体" w:cs="宋体"/>
          <w:b/>
          <w:color w:val="auto"/>
          <w:sz w:val="84"/>
          <w:szCs w:val="84"/>
          <w:highlight w:val="none"/>
          <w:lang w:eastAsia="zh-CN"/>
        </w:rPr>
        <w:t>磋商</w:t>
      </w:r>
      <w:r>
        <w:rPr>
          <w:rFonts w:hint="eastAsia" w:ascii="宋体" w:hAnsi="宋体" w:eastAsia="宋体" w:cs="宋体"/>
          <w:b/>
          <w:color w:val="auto"/>
          <w:sz w:val="84"/>
          <w:szCs w:val="84"/>
          <w:highlight w:val="none"/>
        </w:rPr>
        <w:t>文件</w:t>
      </w:r>
    </w:p>
    <w:p>
      <w:pPr>
        <w:widowControl w:val="0"/>
        <w:spacing w:before="120" w:after="120"/>
        <w:ind w:firstLine="880" w:firstLineChars="200"/>
        <w:jc w:val="center"/>
        <w:rPr>
          <w:rFonts w:hint="eastAsia" w:ascii="宋体" w:hAnsi="宋体" w:eastAsia="宋体" w:cs="宋体"/>
          <w:bCs/>
          <w:color w:val="auto"/>
          <w:kern w:val="2"/>
          <w:sz w:val="44"/>
          <w:highlight w:val="none"/>
          <w:lang w:val="en-US" w:eastAsia="zh-CN" w:bidi="ar-SA"/>
        </w:rPr>
      </w:pPr>
    </w:p>
    <w:p>
      <w:pPr>
        <w:widowControl w:val="0"/>
        <w:spacing w:before="120" w:after="120"/>
        <w:ind w:firstLine="880" w:firstLineChars="200"/>
        <w:jc w:val="center"/>
        <w:rPr>
          <w:rFonts w:hint="eastAsia" w:ascii="宋体" w:hAnsi="宋体" w:eastAsia="宋体" w:cs="宋体"/>
          <w:bCs/>
          <w:color w:val="auto"/>
          <w:kern w:val="2"/>
          <w:sz w:val="44"/>
          <w:highlight w:val="none"/>
          <w:lang w:val="en-US" w:eastAsia="zh-CN" w:bidi="ar-SA"/>
        </w:rPr>
      </w:pPr>
    </w:p>
    <w:p>
      <w:pPr>
        <w:widowControl w:val="0"/>
        <w:spacing w:before="120" w:after="120"/>
        <w:ind w:firstLine="880" w:firstLineChars="200"/>
        <w:jc w:val="center"/>
        <w:rPr>
          <w:rFonts w:hint="eastAsia" w:ascii="宋体" w:hAnsi="宋体" w:eastAsia="宋体" w:cs="宋体"/>
          <w:bCs/>
          <w:color w:val="auto"/>
          <w:kern w:val="2"/>
          <w:sz w:val="44"/>
          <w:highlight w:val="none"/>
          <w:lang w:val="en-US" w:eastAsia="zh-CN" w:bidi="ar-SA"/>
        </w:rPr>
      </w:pPr>
    </w:p>
    <w:p>
      <w:pPr>
        <w:tabs>
          <w:tab w:val="left" w:pos="2700"/>
          <w:tab w:val="left" w:pos="3584"/>
        </w:tabs>
        <w:spacing w:line="360" w:lineRule="auto"/>
        <w:rPr>
          <w:rFonts w:hint="eastAsia" w:ascii="宋体" w:hAnsi="宋体" w:eastAsia="宋体" w:cs="宋体"/>
          <w:b/>
          <w:bCs/>
          <w:color w:val="auto"/>
          <w:sz w:val="44"/>
          <w:highlight w:val="none"/>
        </w:rPr>
      </w:pPr>
    </w:p>
    <w:p>
      <w:pPr>
        <w:spacing w:line="360" w:lineRule="auto"/>
        <w:jc w:val="center"/>
        <w:rPr>
          <w:rFonts w:hint="eastAsia" w:ascii="宋体" w:hAnsi="宋体" w:eastAsia="宋体" w:cs="宋体"/>
          <w:b/>
          <w:color w:val="auto"/>
          <w:sz w:val="72"/>
          <w:highlight w:val="none"/>
        </w:rPr>
      </w:pPr>
    </w:p>
    <w:p>
      <w:pPr>
        <w:spacing w:line="360" w:lineRule="auto"/>
        <w:jc w:val="center"/>
        <w:rPr>
          <w:rFonts w:hint="eastAsia" w:ascii="宋体" w:hAnsi="宋体" w:eastAsia="宋体" w:cs="宋体"/>
          <w:b/>
          <w:color w:val="auto"/>
          <w:sz w:val="72"/>
          <w:highlight w:val="none"/>
        </w:rPr>
      </w:pPr>
    </w:p>
    <w:p>
      <w:pPr>
        <w:widowControl w:val="0"/>
        <w:jc w:val="both"/>
        <w:rPr>
          <w:rFonts w:hint="eastAsia" w:ascii="宋体" w:hAnsi="宋体" w:eastAsia="宋体" w:cs="宋体"/>
          <w:color w:val="auto"/>
          <w:kern w:val="2"/>
          <w:sz w:val="28"/>
          <w:highlight w:val="none"/>
          <w:lang w:val="en-US" w:eastAsia="zh-CN" w:bidi="ar-SA"/>
        </w:rPr>
      </w:pPr>
    </w:p>
    <w:p>
      <w:pPr>
        <w:tabs>
          <w:tab w:val="left" w:pos="3240"/>
          <w:tab w:val="left" w:pos="3420"/>
        </w:tabs>
        <w:spacing w:line="360" w:lineRule="auto"/>
        <w:jc w:val="left"/>
        <w:rPr>
          <w:rFonts w:hint="eastAsia" w:ascii="宋体" w:hAnsi="宋体" w:eastAsia="宋体" w:cs="宋体"/>
          <w:bCs/>
          <w:color w:val="auto"/>
          <w:sz w:val="32"/>
          <w:szCs w:val="30"/>
          <w:highlight w:val="none"/>
          <w:u w:val="single"/>
          <w:lang w:eastAsia="zh-CN"/>
        </w:rPr>
      </w:pPr>
      <w:r>
        <w:rPr>
          <w:rFonts w:hint="eastAsia" w:ascii="宋体" w:hAnsi="宋体" w:eastAsia="宋体" w:cs="宋体"/>
          <w:bCs/>
          <w:color w:val="auto"/>
          <w:spacing w:val="106"/>
          <w:kern w:val="0"/>
          <w:sz w:val="32"/>
          <w:szCs w:val="30"/>
          <w:highlight w:val="none"/>
          <w:fitText w:val="1920" w:id="1233719883"/>
        </w:rPr>
        <w:t>项目名</w:t>
      </w:r>
      <w:r>
        <w:rPr>
          <w:rFonts w:hint="eastAsia" w:ascii="宋体" w:hAnsi="宋体" w:eastAsia="宋体" w:cs="宋体"/>
          <w:bCs/>
          <w:color w:val="auto"/>
          <w:spacing w:val="2"/>
          <w:kern w:val="0"/>
          <w:sz w:val="32"/>
          <w:szCs w:val="30"/>
          <w:highlight w:val="none"/>
          <w:fitText w:val="1920" w:id="1233719883"/>
        </w:rPr>
        <w:t>称</w:t>
      </w:r>
      <w:r>
        <w:rPr>
          <w:rFonts w:hint="eastAsia" w:ascii="宋体" w:hAnsi="宋体" w:eastAsia="宋体" w:cs="宋体"/>
          <w:bCs/>
          <w:color w:val="auto"/>
          <w:sz w:val="32"/>
          <w:szCs w:val="30"/>
          <w:highlight w:val="none"/>
        </w:rPr>
        <w:t>：</w:t>
      </w:r>
      <w:r>
        <w:rPr>
          <w:rFonts w:hint="eastAsia" w:ascii="宋体" w:hAnsi="宋体" w:cs="宋体"/>
          <w:bCs/>
          <w:color w:val="auto"/>
          <w:sz w:val="32"/>
          <w:szCs w:val="30"/>
          <w:highlight w:val="none"/>
          <w:u w:val="single"/>
          <w:lang w:eastAsia="zh-CN"/>
        </w:rPr>
        <w:t>洛浦县耕地和永久基本农田划定成果核实处置聘请第三方技术服务采购项目（二次）</w:t>
      </w:r>
    </w:p>
    <w:p>
      <w:pPr>
        <w:tabs>
          <w:tab w:val="left" w:pos="3240"/>
          <w:tab w:val="left" w:pos="3420"/>
        </w:tabs>
        <w:spacing w:line="360" w:lineRule="auto"/>
        <w:rPr>
          <w:rFonts w:hint="eastAsia" w:ascii="宋体" w:hAnsi="宋体" w:eastAsia="宋体" w:cs="宋体"/>
          <w:bCs/>
          <w:color w:val="auto"/>
          <w:sz w:val="32"/>
          <w:szCs w:val="30"/>
          <w:highlight w:val="none"/>
          <w:lang w:eastAsia="zh-CN"/>
        </w:rPr>
      </w:pPr>
      <w:r>
        <w:rPr>
          <w:rFonts w:hint="eastAsia" w:ascii="宋体" w:hAnsi="宋体" w:eastAsia="宋体" w:cs="宋体"/>
          <w:bCs/>
          <w:color w:val="auto"/>
          <w:spacing w:val="106"/>
          <w:kern w:val="0"/>
          <w:sz w:val="32"/>
          <w:szCs w:val="30"/>
          <w:highlight w:val="none"/>
          <w:fitText w:val="1920" w:id="206470561"/>
        </w:rPr>
        <w:t>采购编</w:t>
      </w:r>
      <w:r>
        <w:rPr>
          <w:rFonts w:hint="eastAsia" w:ascii="宋体" w:hAnsi="宋体" w:eastAsia="宋体" w:cs="宋体"/>
          <w:bCs/>
          <w:color w:val="auto"/>
          <w:spacing w:val="2"/>
          <w:kern w:val="0"/>
          <w:sz w:val="32"/>
          <w:szCs w:val="30"/>
          <w:highlight w:val="none"/>
          <w:fitText w:val="1920" w:id="206470561"/>
        </w:rPr>
        <w:t>号</w:t>
      </w:r>
      <w:r>
        <w:rPr>
          <w:rFonts w:hint="eastAsia" w:ascii="宋体" w:hAnsi="宋体" w:eastAsia="宋体" w:cs="宋体"/>
          <w:bCs/>
          <w:color w:val="auto"/>
          <w:sz w:val="32"/>
          <w:szCs w:val="30"/>
          <w:highlight w:val="none"/>
        </w:rPr>
        <w:t>：</w:t>
      </w:r>
      <w:r>
        <w:rPr>
          <w:rFonts w:hint="eastAsia" w:ascii="宋体" w:hAnsi="宋体" w:cs="宋体"/>
          <w:bCs/>
          <w:color w:val="auto"/>
          <w:sz w:val="32"/>
          <w:szCs w:val="30"/>
          <w:highlight w:val="none"/>
          <w:u w:val="single"/>
          <w:lang w:eastAsia="zh-CN"/>
        </w:rPr>
        <w:t>XJXJ-2023-11-01</w:t>
      </w:r>
    </w:p>
    <w:p>
      <w:pPr>
        <w:tabs>
          <w:tab w:val="left" w:pos="3240"/>
          <w:tab w:val="left" w:pos="3420"/>
        </w:tabs>
        <w:spacing w:line="360" w:lineRule="auto"/>
        <w:rPr>
          <w:rFonts w:hint="eastAsia" w:ascii="宋体" w:hAnsi="宋体" w:eastAsia="宋体" w:cs="宋体"/>
          <w:bCs/>
          <w:color w:val="auto"/>
          <w:sz w:val="32"/>
          <w:szCs w:val="30"/>
          <w:highlight w:val="none"/>
        </w:rPr>
      </w:pPr>
      <w:r>
        <w:rPr>
          <w:rFonts w:hint="eastAsia" w:ascii="宋体" w:hAnsi="宋体" w:eastAsia="宋体" w:cs="宋体"/>
          <w:bCs/>
          <w:color w:val="auto"/>
          <w:spacing w:val="240"/>
          <w:kern w:val="0"/>
          <w:sz w:val="32"/>
          <w:szCs w:val="30"/>
          <w:highlight w:val="none"/>
          <w:fitText w:val="1920" w:id="1933604375"/>
        </w:rPr>
        <w:t>采购</w:t>
      </w:r>
      <w:r>
        <w:rPr>
          <w:rFonts w:hint="eastAsia" w:ascii="宋体" w:hAnsi="宋体" w:eastAsia="宋体" w:cs="宋体"/>
          <w:bCs/>
          <w:color w:val="auto"/>
          <w:spacing w:val="0"/>
          <w:kern w:val="0"/>
          <w:sz w:val="32"/>
          <w:szCs w:val="30"/>
          <w:highlight w:val="none"/>
          <w:fitText w:val="1920" w:id="1933604375"/>
        </w:rPr>
        <w:t>人</w:t>
      </w:r>
      <w:r>
        <w:rPr>
          <w:rFonts w:hint="eastAsia" w:ascii="宋体" w:hAnsi="宋体" w:eastAsia="宋体" w:cs="宋体"/>
          <w:bCs/>
          <w:color w:val="auto"/>
          <w:sz w:val="32"/>
          <w:szCs w:val="30"/>
          <w:highlight w:val="none"/>
        </w:rPr>
        <w:t>：</w:t>
      </w:r>
      <w:r>
        <w:rPr>
          <w:rFonts w:hint="eastAsia" w:ascii="宋体" w:hAnsi="宋体" w:eastAsia="宋体" w:cs="宋体"/>
          <w:bCs/>
          <w:color w:val="auto"/>
          <w:sz w:val="32"/>
          <w:szCs w:val="30"/>
          <w:highlight w:val="none"/>
          <w:u w:val="single"/>
          <w:lang w:eastAsia="zh-CN"/>
        </w:rPr>
        <w:t>洛浦县自然资源局</w:t>
      </w:r>
      <w:r>
        <w:rPr>
          <w:rFonts w:hint="eastAsia" w:ascii="宋体" w:hAnsi="宋体" w:eastAsia="宋体" w:cs="宋体"/>
          <w:bCs/>
          <w:color w:val="auto"/>
          <w:sz w:val="32"/>
          <w:szCs w:val="30"/>
          <w:highlight w:val="none"/>
          <w:u w:val="single"/>
        </w:rPr>
        <w:t xml:space="preserve"> </w:t>
      </w:r>
    </w:p>
    <w:p>
      <w:pPr>
        <w:tabs>
          <w:tab w:val="left" w:pos="3240"/>
          <w:tab w:val="left" w:pos="3420"/>
        </w:tabs>
        <w:spacing w:line="360" w:lineRule="auto"/>
        <w:rPr>
          <w:rFonts w:hint="eastAsia" w:ascii="宋体" w:hAnsi="宋体" w:eastAsia="宋体" w:cs="宋体"/>
          <w:bCs/>
          <w:color w:val="auto"/>
          <w:sz w:val="32"/>
          <w:szCs w:val="30"/>
          <w:highlight w:val="none"/>
          <w:u w:val="single"/>
          <w:lang w:val="en-US" w:eastAsia="zh-CN"/>
        </w:rPr>
      </w:pPr>
      <w:r>
        <w:rPr>
          <w:rFonts w:hint="eastAsia" w:ascii="宋体" w:hAnsi="宋体" w:eastAsia="宋体" w:cs="宋体"/>
          <w:bCs/>
          <w:color w:val="auto"/>
          <w:sz w:val="32"/>
          <w:szCs w:val="30"/>
          <w:highlight w:val="none"/>
        </w:rPr>
        <w:t>采购代理机构：</w:t>
      </w:r>
      <w:r>
        <w:rPr>
          <w:rFonts w:hint="eastAsia" w:ascii="宋体" w:hAnsi="宋体" w:eastAsia="宋体" w:cs="宋体"/>
          <w:bCs/>
          <w:color w:val="auto"/>
          <w:sz w:val="32"/>
          <w:szCs w:val="30"/>
          <w:highlight w:val="none"/>
          <w:u w:val="single"/>
          <w:lang w:val="en-US" w:eastAsia="zh-CN"/>
        </w:rPr>
        <w:t>新疆晓君招标有限公司</w:t>
      </w:r>
    </w:p>
    <w:p>
      <w:pPr>
        <w:tabs>
          <w:tab w:val="left" w:pos="3240"/>
          <w:tab w:val="left" w:pos="3420"/>
        </w:tabs>
        <w:spacing w:line="360" w:lineRule="auto"/>
        <w:rPr>
          <w:rFonts w:hint="eastAsia" w:ascii="宋体" w:hAnsi="宋体" w:eastAsia="宋体" w:cs="宋体"/>
          <w:bCs/>
          <w:color w:val="auto"/>
          <w:sz w:val="32"/>
          <w:szCs w:val="36"/>
          <w:highlight w:val="none"/>
          <w:u w:val="single"/>
        </w:rPr>
      </w:pPr>
      <w:r>
        <w:rPr>
          <w:rFonts w:hint="eastAsia" w:ascii="宋体" w:hAnsi="宋体" w:eastAsia="宋体" w:cs="宋体"/>
          <w:bCs/>
          <w:color w:val="auto"/>
          <w:spacing w:val="640"/>
          <w:kern w:val="0"/>
          <w:sz w:val="32"/>
          <w:szCs w:val="36"/>
          <w:highlight w:val="none"/>
          <w:fitText w:val="1920" w:id="780540005"/>
        </w:rPr>
        <w:t>日</w:t>
      </w:r>
      <w:r>
        <w:rPr>
          <w:rFonts w:hint="eastAsia" w:ascii="宋体" w:hAnsi="宋体" w:eastAsia="宋体" w:cs="宋体"/>
          <w:bCs/>
          <w:color w:val="auto"/>
          <w:spacing w:val="0"/>
          <w:kern w:val="0"/>
          <w:sz w:val="32"/>
          <w:szCs w:val="36"/>
          <w:highlight w:val="none"/>
          <w:fitText w:val="1920" w:id="780540005"/>
        </w:rPr>
        <w:t>期</w:t>
      </w:r>
      <w:r>
        <w:rPr>
          <w:rFonts w:hint="eastAsia" w:ascii="宋体" w:hAnsi="宋体" w:eastAsia="宋体" w:cs="宋体"/>
          <w:bCs/>
          <w:color w:val="auto"/>
          <w:sz w:val="32"/>
          <w:szCs w:val="36"/>
          <w:highlight w:val="none"/>
        </w:rPr>
        <w:t>：</w:t>
      </w:r>
      <w:r>
        <w:rPr>
          <w:rFonts w:hint="eastAsia" w:ascii="宋体" w:hAnsi="宋体" w:eastAsia="宋体" w:cs="宋体"/>
          <w:bCs/>
          <w:color w:val="auto"/>
          <w:sz w:val="32"/>
          <w:szCs w:val="36"/>
          <w:highlight w:val="none"/>
          <w:u w:val="single"/>
        </w:rPr>
        <w:t>202</w:t>
      </w:r>
      <w:r>
        <w:rPr>
          <w:rFonts w:hint="eastAsia" w:ascii="宋体" w:hAnsi="宋体" w:eastAsia="宋体" w:cs="宋体"/>
          <w:bCs/>
          <w:color w:val="auto"/>
          <w:sz w:val="32"/>
          <w:szCs w:val="36"/>
          <w:highlight w:val="none"/>
          <w:u w:val="single"/>
          <w:lang w:val="en-US" w:eastAsia="zh-CN"/>
        </w:rPr>
        <w:t>3</w:t>
      </w:r>
      <w:r>
        <w:rPr>
          <w:rFonts w:hint="eastAsia" w:ascii="宋体" w:hAnsi="宋体" w:eastAsia="宋体" w:cs="宋体"/>
          <w:bCs/>
          <w:color w:val="auto"/>
          <w:sz w:val="32"/>
          <w:szCs w:val="36"/>
          <w:highlight w:val="none"/>
          <w:u w:val="single"/>
        </w:rPr>
        <w:t>年</w:t>
      </w:r>
      <w:r>
        <w:rPr>
          <w:rFonts w:hint="eastAsia" w:ascii="宋体" w:hAnsi="宋体" w:eastAsia="宋体" w:cs="宋体"/>
          <w:bCs/>
          <w:color w:val="auto"/>
          <w:sz w:val="32"/>
          <w:szCs w:val="36"/>
          <w:highlight w:val="none"/>
          <w:u w:val="single"/>
          <w:lang w:val="en-US" w:eastAsia="zh-CN"/>
        </w:rPr>
        <w:t>09</w:t>
      </w:r>
      <w:r>
        <w:rPr>
          <w:rFonts w:hint="eastAsia" w:ascii="宋体" w:hAnsi="宋体" w:eastAsia="宋体" w:cs="宋体"/>
          <w:bCs/>
          <w:color w:val="auto"/>
          <w:sz w:val="32"/>
          <w:szCs w:val="36"/>
          <w:highlight w:val="none"/>
          <w:u w:val="single"/>
        </w:rPr>
        <w:t>月</w:t>
      </w:r>
    </w:p>
    <w:p>
      <w:pPr>
        <w:widowControl w:val="0"/>
        <w:jc w:val="both"/>
        <w:rPr>
          <w:rFonts w:hint="eastAsia" w:ascii="宋体" w:hAnsi="宋体" w:eastAsia="宋体" w:cs="宋体"/>
          <w:bCs/>
          <w:color w:val="auto"/>
          <w:kern w:val="2"/>
          <w:sz w:val="32"/>
          <w:szCs w:val="36"/>
          <w:highlight w:val="none"/>
          <w:u w:val="single"/>
          <w:lang w:val="en-US" w:eastAsia="zh-CN" w:bidi="ar-SA"/>
        </w:rPr>
      </w:pPr>
    </w:p>
    <w:p>
      <w:pPr>
        <w:widowControl w:val="0"/>
        <w:jc w:val="both"/>
        <w:rPr>
          <w:rFonts w:hint="eastAsia" w:ascii="宋体" w:hAnsi="宋体" w:eastAsia="宋体" w:cs="宋体"/>
          <w:bCs/>
          <w:color w:val="auto"/>
          <w:kern w:val="2"/>
          <w:sz w:val="32"/>
          <w:szCs w:val="36"/>
          <w:highlight w:val="none"/>
          <w:u w:val="single"/>
          <w:lang w:val="en-US" w:eastAsia="zh-CN" w:bidi="ar-SA"/>
        </w:rPr>
      </w:pPr>
    </w:p>
    <w:p>
      <w:pPr>
        <w:pStyle w:val="28"/>
        <w:rPr>
          <w:rFonts w:hint="eastAsia" w:ascii="宋体" w:hAnsi="宋体" w:eastAsia="宋体" w:cs="宋体"/>
          <w:bCs/>
          <w:color w:val="auto"/>
          <w:kern w:val="2"/>
          <w:sz w:val="32"/>
          <w:szCs w:val="36"/>
          <w:highlight w:val="none"/>
          <w:u w:val="single"/>
          <w:lang w:val="en-US" w:eastAsia="zh-CN" w:bidi="ar-SA"/>
        </w:rPr>
      </w:pPr>
    </w:p>
    <w:p>
      <w:pPr>
        <w:pStyle w:val="28"/>
        <w:rPr>
          <w:rFonts w:hint="eastAsia" w:ascii="宋体" w:hAnsi="宋体" w:eastAsia="宋体" w:cs="宋体"/>
          <w:bCs/>
          <w:color w:val="auto"/>
          <w:kern w:val="2"/>
          <w:sz w:val="32"/>
          <w:szCs w:val="36"/>
          <w:highlight w:val="none"/>
          <w:u w:val="single"/>
          <w:lang w:val="en-US" w:eastAsia="zh-CN" w:bidi="ar-SA"/>
        </w:rPr>
      </w:pPr>
    </w:p>
    <w:p>
      <w:pPr>
        <w:pStyle w:val="28"/>
        <w:rPr>
          <w:rFonts w:hint="eastAsia" w:ascii="宋体" w:hAnsi="宋体" w:eastAsia="宋体" w:cs="宋体"/>
          <w:bCs/>
          <w:color w:val="auto"/>
          <w:kern w:val="2"/>
          <w:sz w:val="32"/>
          <w:szCs w:val="36"/>
          <w:highlight w:val="none"/>
          <w:u w:val="single"/>
          <w:lang w:val="en-US" w:eastAsia="zh-CN" w:bidi="ar-SA"/>
        </w:rPr>
      </w:pPr>
    </w:p>
    <w:p>
      <w:pPr>
        <w:widowControl w:val="0"/>
        <w:jc w:val="both"/>
        <w:rPr>
          <w:rFonts w:hint="eastAsia" w:ascii="宋体" w:hAnsi="宋体" w:eastAsia="宋体" w:cs="宋体"/>
          <w:bCs/>
          <w:color w:val="auto"/>
          <w:kern w:val="2"/>
          <w:sz w:val="32"/>
          <w:szCs w:val="36"/>
          <w:highlight w:val="none"/>
          <w:u w:val="single"/>
          <w:lang w:val="en-US" w:eastAsia="zh-CN" w:bidi="ar-SA"/>
        </w:rPr>
      </w:pPr>
    </w:p>
    <w:p>
      <w:pP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招投标监督管理机构备案登记栏：</w:t>
      </w:r>
    </w:p>
    <w:tbl>
      <w:tblPr>
        <w:tblStyle w:val="22"/>
        <w:tblW w:w="9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6"/>
      </w:tblGrid>
      <w:tr>
        <w:trPr>
          <w:trHeight w:val="12661" w:hRule="atLeast"/>
          <w:jc w:val="center"/>
        </w:trPr>
        <w:tc>
          <w:tcPr>
            <w:tcW w:w="9106" w:type="dxa"/>
            <w:noWrap w:val="0"/>
            <w:vAlign w:val="top"/>
          </w:tcPr>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spacing w:line="240" w:lineRule="auto"/>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p>
          <w:p>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本招标文件已报备</w:t>
            </w:r>
          </w:p>
          <w:p>
            <w:pPr>
              <w:spacing w:line="240" w:lineRule="auto"/>
              <w:jc w:val="center"/>
              <w:rPr>
                <w:rFonts w:hint="eastAsia" w:ascii="宋体" w:hAnsi="宋体" w:eastAsia="宋体" w:cs="宋体"/>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b/>
                <w:bCs/>
                <w:color w:val="auto"/>
                <w:sz w:val="24"/>
                <w:highlight w:val="none"/>
              </w:rPr>
            </w:pPr>
          </w:p>
          <w:p>
            <w:pPr>
              <w:widowControl/>
              <w:spacing w:after="120" w:line="240" w:lineRule="auto"/>
              <w:ind w:left="420" w:right="0" w:firstLine="540"/>
              <w:jc w:val="left"/>
              <w:rPr>
                <w:rFonts w:hint="eastAsia" w:ascii="宋体" w:hAnsi="宋体" w:eastAsia="宋体" w:cs="宋体"/>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widowControl/>
              <w:spacing w:after="120" w:line="240" w:lineRule="auto"/>
              <w:ind w:left="420" w:right="0" w:firstLine="542"/>
              <w:jc w:val="left"/>
              <w:rPr>
                <w:rFonts w:hint="eastAsia" w:ascii="宋体" w:hAnsi="宋体" w:eastAsia="宋体" w:cs="宋体"/>
                <w:b/>
                <w:bCs/>
                <w:color w:val="auto"/>
                <w:kern w:val="0"/>
                <w:sz w:val="20"/>
                <w:highlight w:val="none"/>
                <w:lang w:val="en-US" w:eastAsia="zh-CN" w:bidi="ar-SA"/>
              </w:rPr>
            </w:pPr>
          </w:p>
          <w:p>
            <w:pPr>
              <w:spacing w:line="240" w:lineRule="auto"/>
              <w:rPr>
                <w:rFonts w:hint="eastAsia" w:ascii="宋体" w:hAnsi="宋体" w:eastAsia="宋体" w:cs="宋体"/>
                <w:b/>
                <w:bCs/>
                <w:color w:val="auto"/>
                <w:sz w:val="24"/>
                <w:highlight w:val="none"/>
              </w:rPr>
            </w:pPr>
          </w:p>
          <w:p>
            <w:pPr>
              <w:spacing w:line="240" w:lineRule="auto"/>
              <w:rPr>
                <w:rFonts w:hint="eastAsia" w:ascii="宋体" w:hAnsi="宋体" w:eastAsia="宋体" w:cs="宋体"/>
                <w:color w:val="auto"/>
                <w:sz w:val="24"/>
                <w:highlight w:val="none"/>
              </w:rPr>
            </w:pPr>
            <w:r>
              <w:rPr>
                <w:rFonts w:hint="eastAsia" w:ascii="宋体" w:hAnsi="宋体" w:eastAsia="宋体" w:cs="宋体"/>
                <w:bCs/>
                <w:color w:val="auto"/>
                <w:kern w:val="0"/>
                <w:sz w:val="24"/>
                <w:szCs w:val="24"/>
                <w:highlight w:val="none"/>
                <w:lang w:val="zh-CN" w:eastAsia="zh-CN" w:bidi="ar-SA"/>
              </w:rPr>
              <w:t>项目名称：</w:t>
            </w:r>
            <w:r>
              <w:rPr>
                <w:rFonts w:hint="eastAsia" w:ascii="宋体" w:hAnsi="宋体" w:cs="宋体"/>
                <w:bCs/>
                <w:color w:val="auto"/>
                <w:kern w:val="0"/>
                <w:sz w:val="24"/>
                <w:szCs w:val="24"/>
                <w:highlight w:val="none"/>
                <w:lang w:val="zh-CN" w:eastAsia="zh-CN" w:bidi="ar-SA"/>
              </w:rPr>
              <w:t>洛浦县耕地和永久基本农田划定成果核实处置聘请第三方技术服务采购项目（二次）</w:t>
            </w:r>
            <w:r>
              <w:rPr>
                <w:rFonts w:hint="eastAsia" w:ascii="宋体" w:hAnsi="宋体" w:eastAsia="宋体" w:cs="宋体"/>
                <w:color w:val="auto"/>
                <w:sz w:val="24"/>
                <w:highlight w:val="none"/>
              </w:rPr>
              <w:t xml:space="preserve"> </w:t>
            </w:r>
          </w:p>
          <w:p>
            <w:pPr>
              <w:spacing w:line="240" w:lineRule="auto"/>
              <w:rPr>
                <w:rFonts w:hint="eastAsia" w:ascii="宋体" w:hAnsi="宋体" w:eastAsia="宋体" w:cs="宋体"/>
                <w:b/>
                <w:bCs/>
                <w:color w:val="auto"/>
                <w:sz w:val="24"/>
                <w:highlight w:val="none"/>
              </w:rPr>
            </w:pPr>
          </w:p>
        </w:tc>
      </w:tr>
    </w:tbl>
    <w:p>
      <w:pPr>
        <w:spacing w:line="360" w:lineRule="auto"/>
        <w:jc w:val="righ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w:t>
      </w:r>
    </w:p>
    <w:p>
      <w:pPr>
        <w:tabs>
          <w:tab w:val="left" w:pos="2377"/>
        </w:tabs>
        <w:bidi w:val="0"/>
        <w:jc w:val="left"/>
        <w:rPr>
          <w:rFonts w:hint="eastAsia" w:ascii="宋体" w:hAnsi="宋体" w:eastAsia="宋体" w:cs="宋体"/>
          <w:color w:val="auto"/>
          <w:highlight w:val="none"/>
          <w:lang w:eastAsia="zh-CN"/>
        </w:rPr>
        <w:sectPr>
          <w:footerReference r:id="rId3" w:type="default"/>
          <w:pgSz w:w="11907" w:h="16840"/>
          <w:pgMar w:top="1474" w:right="1814" w:bottom="1474" w:left="1814" w:header="851" w:footer="851" w:gutter="0"/>
          <w:pgBorders>
            <w:top w:val="none" w:sz="0" w:space="0"/>
            <w:left w:val="none" w:sz="0" w:space="0"/>
            <w:bottom w:val="none" w:sz="0" w:space="0"/>
            <w:right w:val="none" w:sz="0" w:space="0"/>
          </w:pgBorders>
          <w:pgNumType w:fmt="decimal" w:start="1"/>
          <w:cols w:space="720" w:num="1"/>
          <w:docGrid w:linePitch="462" w:charSpace="0"/>
        </w:sectPr>
      </w:pPr>
      <w:bookmarkStart w:id="6" w:name="_Toc521014774"/>
      <w:bookmarkStart w:id="7" w:name="_Toc5048"/>
    </w:p>
    <w:bookmarkEnd w:id="6"/>
    <w:bookmarkEnd w:id="7"/>
    <w:p>
      <w:pPr>
        <w:numPr>
          <w:ilvl w:val="0"/>
          <w:numId w:val="2"/>
        </w:numPr>
        <w:spacing w:line="460" w:lineRule="exact"/>
        <w:jc w:val="center"/>
        <w:outlineLvl w:val="0"/>
        <w:rPr>
          <w:rFonts w:hint="eastAsia" w:ascii="宋体" w:hAnsi="宋体" w:eastAsia="宋体" w:cs="宋体"/>
          <w:b/>
          <w:bCs w:val="0"/>
          <w:color w:val="auto"/>
          <w:sz w:val="32"/>
          <w:szCs w:val="32"/>
          <w:highlight w:val="none"/>
          <w:lang w:val="en-US" w:eastAsia="zh-CN"/>
        </w:rPr>
      </w:pPr>
      <w:bookmarkStart w:id="8" w:name="_Toc24806"/>
      <w:bookmarkStart w:id="9" w:name="_Toc21730"/>
      <w:bookmarkStart w:id="10" w:name="_Toc31279"/>
      <w:bookmarkStart w:id="11" w:name="_Toc10143"/>
      <w:r>
        <w:rPr>
          <w:rFonts w:hint="eastAsia" w:ascii="宋体" w:hAnsi="宋体" w:eastAsia="宋体" w:cs="宋体"/>
          <w:b/>
          <w:bCs w:val="0"/>
          <w:color w:val="auto"/>
          <w:sz w:val="32"/>
          <w:szCs w:val="32"/>
          <w:highlight w:val="none"/>
          <w:lang w:val="en-US" w:eastAsia="zh-CN"/>
        </w:rPr>
        <w:t>竞争性磋商公告</w:t>
      </w:r>
      <w:bookmarkEnd w:id="8"/>
      <w:bookmarkEnd w:id="9"/>
      <w:bookmarkEnd w:id="10"/>
    </w:p>
    <w:p>
      <w:pPr>
        <w:pStyle w:val="21"/>
        <w:numPr>
          <w:ilvl w:val="0"/>
          <w:numId w:val="0"/>
        </w:numPr>
        <w:rPr>
          <w:rFonts w:hint="eastAsia" w:ascii="宋体" w:hAnsi="宋体" w:eastAsia="宋体" w:cs="宋体"/>
          <w:color w:val="auto"/>
          <w:highlight w:val="none"/>
          <w:lang w:eastAsia="zh-CN"/>
        </w:rPr>
      </w:pPr>
    </w:p>
    <w:p>
      <w:pPr>
        <w:pStyle w:val="3"/>
        <w:keepNext w:val="0"/>
        <w:keepLines w:val="0"/>
        <w:pageBreakBefore w:val="0"/>
        <w:numPr>
          <w:ilvl w:val="0"/>
          <w:numId w:val="0"/>
        </w:numPr>
        <w:tabs>
          <w:tab w:val="left" w:pos="0"/>
        </w:tabs>
        <w:topLinePunct/>
        <w:snapToGrid w:val="0"/>
        <w:spacing w:before="0" w:after="0" w:line="480" w:lineRule="auto"/>
        <w:ind w:right="0"/>
        <w:jc w:val="center"/>
        <w:rPr>
          <w:rFonts w:hint="eastAsia" w:ascii="宋体" w:hAnsi="宋体" w:eastAsia="宋体" w:cs="宋体"/>
          <w:b/>
          <w:color w:val="auto"/>
          <w:kern w:val="0"/>
          <w:sz w:val="24"/>
          <w:szCs w:val="24"/>
          <w:highlight w:val="none"/>
          <w:lang w:val="en-US" w:eastAsia="zh-CN" w:bidi="ar-SA"/>
        </w:rPr>
      </w:pPr>
      <w:r>
        <w:rPr>
          <w:rFonts w:hint="eastAsia" w:ascii="宋体" w:hAnsi="宋体" w:cs="宋体"/>
          <w:b/>
          <w:color w:val="auto"/>
          <w:kern w:val="0"/>
          <w:sz w:val="30"/>
          <w:szCs w:val="30"/>
          <w:highlight w:val="none"/>
          <w:lang w:val="en-US" w:eastAsia="zh-CN" w:bidi="ar-SA"/>
        </w:rPr>
        <w:t>洛浦县耕地和永久基本农田划定成果核实处置聘请第三方技术服务采购项目（二次）</w:t>
      </w:r>
      <w:r>
        <w:rPr>
          <w:rFonts w:hint="eastAsia" w:ascii="宋体" w:hAnsi="宋体" w:eastAsia="宋体" w:cs="宋体"/>
          <w:b/>
          <w:color w:val="auto"/>
          <w:kern w:val="0"/>
          <w:sz w:val="30"/>
          <w:szCs w:val="30"/>
          <w:highlight w:val="none"/>
          <w:lang w:val="en-US" w:eastAsia="zh-CN" w:bidi="ar-SA"/>
        </w:rPr>
        <w:t>竞争性磋商公告</w:t>
      </w:r>
    </w:p>
    <w:tbl>
      <w:tblPr>
        <w:tblStyle w:val="23"/>
        <w:tblW w:w="96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7" w:type="dxa"/>
          <w:bottom w:w="0" w:type="dxa"/>
          <w:right w:w="57" w:type="dxa"/>
        </w:tblCellMar>
      </w:tblPr>
      <w:tblGrid>
        <w:gridCol w:w="9620"/>
      </w:tblGrid>
      <w:tr>
        <w:trPr>
          <w:trHeight w:val="1924" w:hRule="atLeast"/>
        </w:trPr>
        <w:tc>
          <w:tcPr>
            <w:tcW w:w="9620" w:type="dxa"/>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项目概况：</w:t>
            </w:r>
          </w:p>
          <w:p>
            <w:pPr>
              <w:pStyle w:val="21"/>
              <w:keepNext w:val="0"/>
              <w:keepLines w:val="0"/>
              <w:pageBreakBefore w:val="0"/>
              <w:widowControl w:val="0"/>
              <w:kinsoku/>
              <w:wordWrap/>
              <w:overflowPunct/>
              <w:topLinePunct/>
              <w:autoSpaceDE/>
              <w:autoSpaceDN/>
              <w:bidi w:val="0"/>
              <w:adjustRightInd w:val="0"/>
              <w:snapToGrid w:val="0"/>
              <w:spacing w:after="0" w:line="360" w:lineRule="auto"/>
              <w:ind w:left="0" w:leftChars="0" w:right="0"/>
              <w:rPr>
                <w:rFonts w:hint="eastAsia" w:ascii="宋体" w:hAnsi="宋体" w:eastAsia="宋体" w:cs="宋体"/>
                <w:color w:val="auto"/>
                <w:sz w:val="24"/>
                <w:szCs w:val="24"/>
                <w:highlight w:val="none"/>
              </w:rPr>
            </w:pPr>
            <w:r>
              <w:rPr>
                <w:rFonts w:hint="eastAsia" w:cs="宋体"/>
                <w:color w:val="auto"/>
                <w:sz w:val="24"/>
                <w:szCs w:val="24"/>
                <w:highlight w:val="none"/>
                <w:u w:val="single"/>
                <w:lang w:eastAsia="zh-CN"/>
              </w:rPr>
              <w:t>洛浦县耕地和永久基本农田划定成果核实处置聘请第三方技术服务采购项目（二次）</w:t>
            </w:r>
            <w:r>
              <w:rPr>
                <w:rFonts w:hint="eastAsia" w:ascii="宋体" w:hAnsi="宋体" w:eastAsia="宋体" w:cs="宋体"/>
                <w:color w:val="auto"/>
                <w:sz w:val="24"/>
                <w:szCs w:val="24"/>
                <w:highlight w:val="none"/>
                <w:u w:val="single"/>
              </w:rPr>
              <w:t>的潜在投标人在符合该招标（采购）公告投标人资格要求条件的前提下，可于本公告发布之日起供应商</w:t>
            </w:r>
            <w:r>
              <w:rPr>
                <w:rFonts w:hint="eastAsia" w:ascii="宋体" w:hAnsi="宋体" w:eastAsia="宋体" w:cs="宋体"/>
                <w:color w:val="auto"/>
                <w:sz w:val="24"/>
                <w:szCs w:val="24"/>
                <w:highlight w:val="none"/>
                <w:u w:val="single"/>
                <w:lang w:eastAsia="zh-CN"/>
              </w:rPr>
              <w:t>登录</w:t>
            </w:r>
            <w:r>
              <w:rPr>
                <w:rFonts w:hint="eastAsia" w:ascii="宋体" w:hAnsi="宋体" w:eastAsia="宋体" w:cs="宋体"/>
                <w:color w:val="auto"/>
                <w:sz w:val="24"/>
                <w:szCs w:val="24"/>
                <w:highlight w:val="none"/>
                <w:u w:val="single"/>
              </w:rPr>
              <w:t>政采云平台https：//www.zcygov.cn/在线下载获取采购文件，并于</w:t>
            </w:r>
            <w:r>
              <w:rPr>
                <w:rFonts w:hint="eastAsia" w:cs="宋体"/>
                <w:color w:val="auto"/>
                <w:sz w:val="24"/>
                <w:szCs w:val="24"/>
                <w:highlight w:val="none"/>
                <w:u w:val="single"/>
                <w:lang w:eastAsia="zh-CN"/>
              </w:rPr>
              <w:t>2023年10月</w:t>
            </w:r>
            <w:r>
              <w:rPr>
                <w:rFonts w:hint="eastAsia" w:cs="宋体"/>
                <w:color w:val="auto"/>
                <w:sz w:val="24"/>
                <w:szCs w:val="24"/>
                <w:highlight w:val="none"/>
                <w:u w:val="single"/>
                <w:lang w:val="en-US" w:eastAsia="zh-CN"/>
              </w:rPr>
              <w:t>10</w:t>
            </w:r>
            <w:r>
              <w:rPr>
                <w:rFonts w:hint="eastAsia" w:cs="宋体"/>
                <w:color w:val="auto"/>
                <w:sz w:val="24"/>
                <w:szCs w:val="24"/>
                <w:highlight w:val="none"/>
                <w:u w:val="single"/>
                <w:lang w:eastAsia="zh-CN"/>
              </w:rPr>
              <w:t>日10：30（北京时间）</w:t>
            </w:r>
            <w:r>
              <w:rPr>
                <w:rFonts w:hint="eastAsia" w:ascii="宋体" w:hAnsi="宋体" w:eastAsia="宋体" w:cs="宋体"/>
                <w:color w:val="auto"/>
                <w:sz w:val="24"/>
                <w:szCs w:val="24"/>
                <w:highlight w:val="none"/>
                <w:u w:val="single"/>
              </w:rPr>
              <w:t>前递交投标文件。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rPr>
          <w:rFonts w:hint="eastAsia" w:ascii="宋体" w:hAnsi="宋体" w:eastAsia="宋体" w:cs="宋体"/>
          <w:color w:val="auto"/>
          <w:kern w:val="0"/>
          <w:sz w:val="24"/>
          <w:szCs w:val="24"/>
          <w:highlight w:val="none"/>
        </w:rPr>
      </w:pPr>
    </w:p>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auto"/>
          <w:kern w:val="0"/>
          <w:sz w:val="24"/>
          <w:szCs w:val="24"/>
          <w:highlight w:val="none"/>
        </w:rPr>
      </w:pPr>
      <w:bookmarkStart w:id="12" w:name="_Toc35393798"/>
      <w:bookmarkStart w:id="13" w:name="_Toc28359012"/>
      <w:bookmarkStart w:id="14" w:name="_Toc35393629"/>
      <w:bookmarkStart w:id="15" w:name="_Toc28359089"/>
      <w:r>
        <w:rPr>
          <w:rFonts w:hint="eastAsia" w:ascii="宋体" w:hAnsi="宋体" w:eastAsia="宋体" w:cs="宋体"/>
          <w:b/>
          <w:bCs/>
          <w:color w:val="auto"/>
          <w:kern w:val="0"/>
          <w:sz w:val="24"/>
          <w:szCs w:val="24"/>
          <w:highlight w:val="none"/>
        </w:rPr>
        <w:t>一、项目基本情况</w:t>
      </w:r>
      <w:bookmarkEnd w:id="12"/>
      <w:bookmarkEnd w:id="13"/>
      <w:bookmarkEnd w:id="14"/>
      <w:bookmarkEnd w:id="15"/>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项目编号：</w:t>
      </w:r>
      <w:r>
        <w:rPr>
          <w:rFonts w:hint="eastAsia" w:ascii="宋体" w:hAnsi="宋体" w:cs="宋体"/>
          <w:color w:val="auto"/>
          <w:kern w:val="0"/>
          <w:sz w:val="24"/>
          <w:szCs w:val="24"/>
          <w:highlight w:val="none"/>
          <w:lang w:eastAsia="zh-CN"/>
        </w:rPr>
        <w:t>XJXJ-2023-11-01</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项目名称：</w:t>
      </w:r>
      <w:r>
        <w:rPr>
          <w:rFonts w:hint="eastAsia" w:ascii="宋体" w:hAnsi="宋体" w:cs="宋体"/>
          <w:color w:val="auto"/>
          <w:kern w:val="0"/>
          <w:sz w:val="24"/>
          <w:szCs w:val="24"/>
          <w:highlight w:val="none"/>
          <w:lang w:eastAsia="zh-CN"/>
        </w:rPr>
        <w:t>洛浦县耕地和永久基本农田划定成果核实处置聘请第三方技术服务采购项目（二次）</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采购方式：竞争性</w:t>
      </w:r>
      <w:r>
        <w:rPr>
          <w:rFonts w:hint="eastAsia" w:ascii="宋体" w:hAnsi="宋体" w:eastAsia="宋体" w:cs="宋体"/>
          <w:color w:val="auto"/>
          <w:kern w:val="0"/>
          <w:sz w:val="24"/>
          <w:szCs w:val="24"/>
          <w:highlight w:val="none"/>
          <w:lang w:eastAsia="zh-CN"/>
        </w:rPr>
        <w:t>磋商</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val="en-US" w:eastAsia="zh-CN"/>
        </w:rPr>
        <w:t>73万元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最高限价：</w:t>
      </w:r>
      <w:r>
        <w:rPr>
          <w:rFonts w:hint="eastAsia" w:ascii="宋体" w:hAnsi="宋体" w:eastAsia="宋体" w:cs="宋体"/>
          <w:color w:val="auto"/>
          <w:kern w:val="0"/>
          <w:sz w:val="24"/>
          <w:szCs w:val="24"/>
          <w:highlight w:val="none"/>
          <w:lang w:val="en-US" w:eastAsia="zh-CN"/>
        </w:rPr>
        <w:t>73万元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采购需求：</w:t>
      </w:r>
    </w:p>
    <w:tbl>
      <w:tblPr>
        <w:tblStyle w:val="22"/>
        <w:tblW w:w="5142"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91"/>
        <w:gridCol w:w="2100"/>
        <w:gridCol w:w="945"/>
        <w:gridCol w:w="1839"/>
        <w:gridCol w:w="982"/>
        <w:gridCol w:w="2250"/>
        <w:gridCol w:w="1313"/>
      </w:tblGrid>
      <w:tr>
        <w:trPr>
          <w:trHeight w:val="554"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标项序号</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标项名称</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90" w:right="0" w:hanging="9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rPr>
          <w:trHeight w:val="980"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洛浦县耕地和永久基本农田划定成果核实处置聘请第三方技术服务采购项目（二次）</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73万元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项</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洛浦县耕地和永久基本农田划定成果核实处置聘请第三方技术服务采购项目（二次）</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具体参数详见招标文件</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合同履行期限：</w:t>
      </w:r>
      <w:r>
        <w:rPr>
          <w:rFonts w:hint="eastAsia" w:ascii="宋体" w:hAnsi="宋体" w:eastAsia="宋体" w:cs="宋体"/>
          <w:color w:val="auto"/>
          <w:kern w:val="0"/>
          <w:sz w:val="24"/>
          <w:szCs w:val="24"/>
          <w:highlight w:val="none"/>
          <w:lang w:val="en-US" w:eastAsia="zh-CN"/>
        </w:rPr>
        <w:t>三年</w:t>
      </w:r>
      <w:r>
        <w:rPr>
          <w:rFonts w:hint="eastAsia" w:ascii="宋体" w:hAnsi="宋体" w:eastAsia="宋体" w:cs="宋体"/>
          <w:color w:val="auto"/>
          <w:kern w:val="0"/>
          <w:sz w:val="24"/>
          <w:szCs w:val="24"/>
          <w:highlight w:val="none"/>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本项目不接受联合体投标。</w:t>
      </w:r>
      <w:bookmarkStart w:id="16" w:name="_Toc35393799"/>
      <w:bookmarkStart w:id="17" w:name="_Toc28359013"/>
      <w:bookmarkStart w:id="18" w:name="_Toc35393630"/>
      <w:bookmarkStart w:id="19" w:name="_Toc28359090"/>
    </w:p>
    <w:bookmarkEnd w:id="16"/>
    <w:bookmarkEnd w:id="17"/>
    <w:bookmarkEnd w:id="18"/>
    <w:bookmarkEnd w:id="19"/>
    <w:p>
      <w:pPr>
        <w:keepNext w:val="0"/>
        <w:keepLines w:val="0"/>
        <w:pageBreakBefore w:val="0"/>
        <w:widowControl w:val="0"/>
        <w:kinsoku/>
        <w:wordWrap/>
        <w:overflowPunct/>
        <w:topLinePunct/>
        <w:autoSpaceDE/>
        <w:autoSpaceDN/>
        <w:bidi w:val="0"/>
        <w:adjustRightInd w:val="0"/>
        <w:snapToGrid w:val="0"/>
        <w:spacing w:line="360" w:lineRule="auto"/>
        <w:ind w:left="0" w:right="0" w:firstLine="482" w:firstLineChars="200"/>
        <w:textAlignment w:val="baseline"/>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二、申请人的资格要求：</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1.满足《中华人民共和国政府采购法》第二十二条规定</w:t>
      </w:r>
      <w:r>
        <w:rPr>
          <w:rFonts w:hint="eastAsia" w:ascii="宋体" w:hAnsi="宋体" w:eastAsia="宋体" w:cs="宋体"/>
          <w:color w:val="auto"/>
          <w:kern w:val="0"/>
          <w:sz w:val="24"/>
          <w:szCs w:val="24"/>
          <w:highlight w:val="none"/>
          <w:lang w:eastAsia="zh-CN"/>
        </w:rPr>
        <w:t>；</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3）具有良好的商业信誉和健全的财务会计制度：提供2022年度由第三方财务审计机构出具的财务审计报告或新成立的企业提供银行出具的近三个月的资信证明；</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4）履行合同所必需的设备和专业技术能力：提供《投标人资格声明函》；</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19"/>
        <w:spacing w:before="0" w:beforeAutospacing="0" w:after="111" w:afterLines="35" w:afterAutospacing="0"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2.落实政府采购政策需满足的资格要求：</w:t>
      </w:r>
    </w:p>
    <w:p>
      <w:pPr>
        <w:pStyle w:val="19"/>
        <w:spacing w:before="0" w:beforeAutospacing="0" w:after="0" w:afterAutospacing="0"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2.1中小企业政策落实政府采购政策需满足的资格要求：供应商为中小企业</w:t>
      </w:r>
    </w:p>
    <w:p>
      <w:pPr>
        <w:pStyle w:val="19"/>
        <w:spacing w:before="0" w:beforeAutospacing="0" w:after="55" w:afterLines="17" w:afterAutospacing="0" w:line="200" w:lineRule="atLeast"/>
        <w:ind w:firstLine="420"/>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2.2其他落实政府采购政策的资格要求</w:t>
      </w:r>
    </w:p>
    <w:p>
      <w:pPr>
        <w:pStyle w:val="11"/>
        <w:snapToGrid w:val="0"/>
        <w:spacing w:beforeAutospacing="0"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（1）财政部、国家发展改革委、生态环境部、市场监管总局《关于调整优化节能产品、环境标志产品政府采购执行机制的通知》（财库[2019]9号文）；</w:t>
      </w:r>
    </w:p>
    <w:p>
      <w:pPr>
        <w:pStyle w:val="11"/>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（2）财政部、生态环境部《关于印发环境标志产品政府采购品目清单的通知》（财库[2019]18号文）；</w:t>
      </w:r>
    </w:p>
    <w:p>
      <w:pPr>
        <w:pStyle w:val="11"/>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（3）财政部、发展改革委《关于印发节能产品政府采购品目清单的通知》（财库[2019]19号文）；</w:t>
      </w:r>
    </w:p>
    <w:p>
      <w:pPr>
        <w:pStyle w:val="11"/>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（4）市场监管总局《市场监管总局关于发布参与实施政府采购节能产品、环境标志产品认证机构名录的公告》（2019年第16号）；</w:t>
      </w:r>
    </w:p>
    <w:p>
      <w:pPr>
        <w:pStyle w:val="11"/>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（5）财政部、工业和信息化部《关于印发《政府采购促进中小企业发展管理办法》的通知》（财库[2020]46号文）《关于进一步加大政府采购支持中小企业力度的通知》（财库[2022]19号文）执行；</w:t>
      </w:r>
    </w:p>
    <w:p>
      <w:pPr>
        <w:pStyle w:val="11"/>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（6）财政部、民政部、中国残疾人联合会《关于促进残疾人就业政府采购政策的通知》（财库[2017]141号）；</w:t>
      </w:r>
    </w:p>
    <w:p>
      <w:pPr>
        <w:pStyle w:val="11"/>
        <w:snapToGrid w:val="0"/>
        <w:spacing w:line="360" w:lineRule="auto"/>
        <w:ind w:left="0" w:leftChars="0" w:firstLine="480" w:firstLineChars="200"/>
        <w:outlineLvl w:val="2"/>
        <w:rPr>
          <w:rFonts w:hint="eastAsia" w:ascii="宋体" w:hAnsi="宋体" w:eastAsia="宋体" w:cs="宋体"/>
          <w:i w:val="0"/>
          <w:iCs w:val="0"/>
          <w:caps w:val="0"/>
          <w:color w:val="000000"/>
          <w:spacing w:val="0"/>
          <w:kern w:val="0"/>
          <w:sz w:val="24"/>
          <w:szCs w:val="24"/>
          <w:highlight w:val="none"/>
          <w:lang w:val="en-US" w:eastAsia="zh-CN" w:bidi="ar-SA"/>
        </w:rPr>
      </w:pPr>
      <w:r>
        <w:rPr>
          <w:rFonts w:hint="eastAsia" w:ascii="宋体" w:hAnsi="宋体" w:eastAsia="宋体" w:cs="宋体"/>
          <w:i w:val="0"/>
          <w:iCs w:val="0"/>
          <w:caps w:val="0"/>
          <w:color w:val="000000"/>
          <w:spacing w:val="0"/>
          <w:kern w:val="0"/>
          <w:sz w:val="24"/>
          <w:szCs w:val="24"/>
          <w:highlight w:val="none"/>
          <w:lang w:val="en-US" w:eastAsia="zh-CN" w:bidi="ar-SA"/>
        </w:rPr>
        <w:t>（7）财政部、司法部《关于政府采购支持监狱企业发展有关问题的通知》（财库[2014]68号文）；</w:t>
      </w:r>
    </w:p>
    <w:p>
      <w:pPr>
        <w:pStyle w:val="11"/>
        <w:snapToGrid w:val="0"/>
        <w:spacing w:line="360" w:lineRule="auto"/>
        <w:ind w:left="0" w:leftChars="0" w:firstLine="480" w:firstLineChars="200"/>
        <w:outlineLvl w:val="2"/>
        <w:rPr>
          <w:rFonts w:hint="eastAsia" w:ascii="宋体" w:hAnsi="宋体" w:eastAsia="宋体" w:cs="宋体"/>
          <w:color w:val="auto"/>
          <w:kern w:val="0"/>
          <w:sz w:val="24"/>
          <w:szCs w:val="24"/>
          <w:highlight w:val="none"/>
          <w:lang w:val="en-US" w:eastAsia="zh-CN"/>
        </w:rPr>
      </w:pPr>
      <w:r>
        <w:rPr>
          <w:rFonts w:hint="eastAsia" w:ascii="宋体" w:hAnsi="宋体" w:eastAsia="宋体" w:cs="宋体"/>
          <w:i w:val="0"/>
          <w:iCs w:val="0"/>
          <w:caps w:val="0"/>
          <w:color w:val="000000"/>
          <w:spacing w:val="0"/>
          <w:kern w:val="0"/>
          <w:sz w:val="24"/>
          <w:szCs w:val="24"/>
          <w:highlight w:val="none"/>
          <w:lang w:val="en-US" w:eastAsia="zh-CN" w:bidi="ar-SA"/>
        </w:rPr>
        <w:t>（8）财政部、生态环境部、国家邮政局《关于印发《商品包装政府采购需求标准（试行）》《快递包装政府采购需求标准（试行）》的通知》（财办库〔2020〕123号）。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3.本项目的特定资格要求：</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）企业负责人为同一人或者存在直接控股、管理关系的不同投标人，不得参加同一合同项下的政府采购活动。否则，皆取消投标资格。</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）具有有效期内的</w:t>
      </w:r>
      <w:r>
        <w:rPr>
          <w:rFonts w:hint="eastAsia" w:ascii="宋体" w:hAnsi="宋体" w:cs="宋体"/>
          <w:color w:val="auto"/>
          <w:kern w:val="0"/>
          <w:sz w:val="24"/>
          <w:szCs w:val="24"/>
          <w:highlight w:val="none"/>
          <w:lang w:eastAsia="zh-CN"/>
        </w:rPr>
        <w:t>工程测量乙级或以上资质</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）投标保证金或电子保函：7</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00元整（大写：</w:t>
      </w:r>
      <w:r>
        <w:rPr>
          <w:rFonts w:hint="eastAsia" w:ascii="宋体" w:hAnsi="宋体" w:eastAsia="宋体" w:cs="宋体"/>
          <w:color w:val="auto"/>
          <w:kern w:val="0"/>
          <w:sz w:val="24"/>
          <w:szCs w:val="24"/>
          <w:highlight w:val="none"/>
          <w:lang w:val="en-US" w:eastAsia="zh-CN"/>
        </w:rPr>
        <w:t>柒仟叁佰</w:t>
      </w:r>
      <w:r>
        <w:rPr>
          <w:rFonts w:hint="eastAsia" w:ascii="宋体" w:hAnsi="宋体" w:eastAsia="宋体" w:cs="宋体"/>
          <w:color w:val="auto"/>
          <w:kern w:val="0"/>
          <w:sz w:val="24"/>
          <w:szCs w:val="24"/>
          <w:highlight w:val="none"/>
        </w:rPr>
        <w:t>元整）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三、招标文件的</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获取</w:t>
      </w:r>
      <w:r>
        <w:rPr>
          <w:rFonts w:hint="eastAsia" w:ascii="宋体" w:hAnsi="宋体" w:eastAsia="宋体" w:cs="宋体"/>
          <w:color w:val="000000" w:themeColor="text1"/>
          <w:kern w:val="0"/>
          <w:sz w:val="24"/>
          <w:szCs w:val="24"/>
          <w:highlight w:val="none"/>
          <w14:textFill>
            <w14:solidFill>
              <w14:schemeClr w14:val="tx1"/>
            </w14:solidFill>
          </w14:textFill>
        </w:rPr>
        <w:t>时间、地址、售价：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获取</w:t>
      </w:r>
      <w:r>
        <w:rPr>
          <w:rFonts w:hint="eastAsia" w:ascii="宋体" w:hAnsi="宋体" w:eastAsia="宋体" w:cs="宋体"/>
          <w:color w:val="000000" w:themeColor="text1"/>
          <w:kern w:val="0"/>
          <w:sz w:val="24"/>
          <w:szCs w:val="24"/>
          <w:highlight w:val="none"/>
          <w14:textFill>
            <w14:solidFill>
              <w14:schemeClr w14:val="tx1"/>
            </w14:solidFill>
          </w14:textFill>
        </w:rPr>
        <w:t>时间：</w:t>
      </w:r>
      <w:r>
        <w:rPr>
          <w:rFonts w:hint="eastAsia" w:ascii="宋体" w:hAnsi="宋体" w:cs="宋体"/>
          <w:color w:val="000000" w:themeColor="text1"/>
          <w:kern w:val="0"/>
          <w:sz w:val="24"/>
          <w:szCs w:val="24"/>
          <w:highlight w:val="none"/>
          <w:lang w:eastAsia="zh-CN"/>
          <w14:textFill>
            <w14:solidFill>
              <w14:schemeClr w14:val="tx1"/>
            </w14:solidFill>
          </w14:textFill>
        </w:rPr>
        <w:t>2023年9月</w:t>
      </w:r>
      <w:r>
        <w:rPr>
          <w:rFonts w:hint="eastAsia" w:ascii="宋体" w:hAnsi="宋体" w:cs="宋体"/>
          <w:color w:val="000000" w:themeColor="text1"/>
          <w:kern w:val="0"/>
          <w:sz w:val="24"/>
          <w:szCs w:val="24"/>
          <w:highlight w:val="none"/>
          <w:lang w:val="en-US" w:eastAsia="zh-CN"/>
          <w14:textFill>
            <w14:solidFill>
              <w14:schemeClr w14:val="tx1"/>
            </w14:solidFill>
          </w14:textFill>
        </w:rPr>
        <w:t>2</w:t>
      </w:r>
      <w:bookmarkStart w:id="193" w:name="_GoBack"/>
      <w:bookmarkEnd w:id="193"/>
      <w:r>
        <w:rPr>
          <w:rFonts w:hint="eastAsia" w:ascii="宋体" w:hAnsi="宋体" w:cs="宋体"/>
          <w:color w:val="000000" w:themeColor="text1"/>
          <w:kern w:val="0"/>
          <w:sz w:val="24"/>
          <w:szCs w:val="24"/>
          <w:highlight w:val="none"/>
          <w:lang w:val="en-US" w:eastAsia="zh-CN"/>
          <w14:textFill>
            <w14:solidFill>
              <w14:schemeClr w14:val="tx1"/>
            </w14:solidFill>
          </w14:textFill>
        </w:rPr>
        <w:t>6日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至</w:t>
      </w:r>
      <w:r>
        <w:rPr>
          <w:rFonts w:hint="eastAsia" w:ascii="宋体" w:hAnsi="宋体" w:cs="宋体"/>
          <w:color w:val="000000" w:themeColor="text1"/>
          <w:kern w:val="0"/>
          <w:sz w:val="24"/>
          <w:szCs w:val="24"/>
          <w:highlight w:val="none"/>
          <w:lang w:eastAsia="zh-CN"/>
          <w14:textFill>
            <w14:solidFill>
              <w14:schemeClr w14:val="tx1"/>
            </w14:solidFill>
          </w14:textFill>
        </w:rPr>
        <w:t>2023年10月9日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2、地点（网址）：政采云平台（https://www.zcygov.cn/）线上获取</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3、方式：供应商登录政采云平台https://www.zcygov.cn/在线申请获取采购文件（进入“项目采购”应用，在获取采购文件菜单中选择项目，申请获取采购文件）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4、售价：0元</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四、投标截止时间</w:t>
      </w:r>
      <w:r>
        <w:rPr>
          <w:rFonts w:hint="eastAsia" w:ascii="宋体" w:hAnsi="宋体" w:cs="宋体"/>
          <w:color w:val="000000" w:themeColor="text1"/>
          <w:kern w:val="0"/>
          <w:sz w:val="24"/>
          <w:szCs w:val="24"/>
          <w:highlight w:val="none"/>
          <w:lang w:eastAsia="zh-CN"/>
          <w14:textFill>
            <w14:solidFill>
              <w14:schemeClr w14:val="tx1"/>
            </w14:solidFill>
          </w14:textFill>
        </w:rPr>
        <w:t>2023年10月</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lang w:eastAsia="zh-CN"/>
          <w14:textFill>
            <w14:solidFill>
              <w14:schemeClr w14:val="tx1"/>
            </w14:solidFill>
          </w14:textFill>
        </w:rPr>
        <w:t>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10：30（北京时间）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五、投标地址（网址）：投标人应于</w:t>
      </w:r>
      <w:r>
        <w:rPr>
          <w:rFonts w:hint="eastAsia" w:ascii="宋体" w:hAnsi="宋体" w:cs="宋体"/>
          <w:color w:val="000000" w:themeColor="text1"/>
          <w:kern w:val="0"/>
          <w:sz w:val="24"/>
          <w:szCs w:val="24"/>
          <w:highlight w:val="none"/>
          <w:lang w:eastAsia="zh-CN"/>
          <w14:textFill>
            <w14:solidFill>
              <w14:schemeClr w14:val="tx1"/>
            </w14:solidFill>
          </w14:textFill>
        </w:rPr>
        <w:t>2023年10月</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lang w:eastAsia="zh-CN"/>
          <w14:textFill>
            <w14:solidFill>
              <w14:schemeClr w14:val="tx1"/>
            </w14:solidFill>
          </w14:textFill>
        </w:rPr>
        <w:t>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10：30（</w:t>
      </w:r>
      <w:r>
        <w:rPr>
          <w:rFonts w:hint="eastAsia" w:ascii="宋体" w:hAnsi="宋体" w:eastAsia="宋体" w:cs="宋体"/>
          <w:color w:val="000000" w:themeColor="text1"/>
          <w:kern w:val="0"/>
          <w:sz w:val="24"/>
          <w:szCs w:val="24"/>
          <w:highlight w:val="none"/>
          <w14:textFill>
            <w14:solidFill>
              <w14:schemeClr w14:val="tx1"/>
            </w14:solidFill>
          </w14:textFill>
        </w:rPr>
        <w:t>北京时间）之前将电子投标文件上传到“政采云”平台。应按照本项目招标文件和政采云平台的要求编制、加密传输投标文件。</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六、开标时间</w:t>
      </w:r>
      <w:r>
        <w:rPr>
          <w:rFonts w:hint="eastAsia" w:ascii="宋体" w:hAnsi="宋体" w:cs="宋体"/>
          <w:color w:val="000000" w:themeColor="text1"/>
          <w:kern w:val="0"/>
          <w:sz w:val="24"/>
          <w:szCs w:val="24"/>
          <w:highlight w:val="none"/>
          <w:lang w:eastAsia="zh-CN"/>
          <w14:textFill>
            <w14:solidFill>
              <w14:schemeClr w14:val="tx1"/>
            </w14:solidFill>
          </w14:textFill>
        </w:rPr>
        <w:t>2023年10月</w:t>
      </w:r>
      <w:r>
        <w:rPr>
          <w:rFonts w:hint="eastAsia" w:ascii="宋体" w:hAnsi="宋体" w:cs="宋体"/>
          <w:color w:val="000000" w:themeColor="text1"/>
          <w:kern w:val="0"/>
          <w:sz w:val="24"/>
          <w:szCs w:val="24"/>
          <w:highlight w:val="none"/>
          <w:lang w:val="en-US" w:eastAsia="zh-CN"/>
          <w14:textFill>
            <w14:solidFill>
              <w14:schemeClr w14:val="tx1"/>
            </w14:solidFill>
          </w14:textFill>
        </w:rPr>
        <w:t>10</w:t>
      </w:r>
      <w:r>
        <w:rPr>
          <w:rFonts w:hint="eastAsia" w:ascii="宋体" w:hAnsi="宋体" w:cs="宋体"/>
          <w:color w:val="000000" w:themeColor="text1"/>
          <w:kern w:val="0"/>
          <w:sz w:val="24"/>
          <w:szCs w:val="24"/>
          <w:highlight w:val="none"/>
          <w:lang w:eastAsia="zh-CN"/>
          <w14:textFill>
            <w14:solidFill>
              <w14:schemeClr w14:val="tx1"/>
            </w14:solidFill>
          </w14:textFill>
        </w:rPr>
        <w:t>日</w:t>
      </w:r>
      <w:r>
        <w:rPr>
          <w:rFonts w:hint="eastAsia" w:ascii="宋体" w:hAnsi="宋体" w:eastAsia="宋体" w:cs="宋体"/>
          <w:color w:val="000000" w:themeColor="text1"/>
          <w:kern w:val="0"/>
          <w:sz w:val="24"/>
          <w:szCs w:val="24"/>
          <w:highlight w:val="none"/>
          <w:lang w:eastAsia="zh-CN"/>
          <w14:textFill>
            <w14:solidFill>
              <w14:schemeClr w14:val="tx1"/>
            </w14:solidFill>
          </w14:textFill>
        </w:rPr>
        <w:t>10：30：（北京时间）</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七、</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开标地点：政采云平台不见面开标</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000000" w:themeColor="text1"/>
          <w:kern w:val="0"/>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lang w:eastAsia="zh-CN"/>
          <w14:textFill>
            <w14:solidFill>
              <w14:schemeClr w14:val="tx1"/>
            </w14:solidFill>
          </w14:textFill>
        </w:rPr>
        <w:t>各投标企业通过政采云平台上传投标文件。应按照本项目招标文件和政采云平台的要求编制、加密传输投标文件。 </w:t>
      </w:r>
    </w:p>
    <w:p>
      <w:pPr>
        <w:keepNext w:val="0"/>
        <w:keepLines w:val="0"/>
        <w:pageBreakBefore w:val="0"/>
        <w:widowControl w:val="0"/>
        <w:numPr>
          <w:ilvl w:val="0"/>
          <w:numId w:val="3"/>
        </w:numPr>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w:t>
      </w:r>
    </w:p>
    <w:tbl>
      <w:tblPr>
        <w:tblStyle w:val="22"/>
        <w:tblW w:w="50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24"/>
        <w:gridCol w:w="2206"/>
        <w:gridCol w:w="1459"/>
        <w:gridCol w:w="1538"/>
        <w:gridCol w:w="1138"/>
        <w:gridCol w:w="1187"/>
        <w:gridCol w:w="1915"/>
      </w:tblGrid>
      <w:tr>
        <w:trPr>
          <w:trHeight w:val="205" w:hRule="atLeast"/>
        </w:trPr>
        <w:tc>
          <w:tcPr>
            <w:tcW w:w="262"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06"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标项名称</w:t>
            </w:r>
          </w:p>
        </w:tc>
        <w:tc>
          <w:tcPr>
            <w:tcW w:w="731"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投标保证金金额（元）</w:t>
            </w:r>
          </w:p>
        </w:tc>
        <w:tc>
          <w:tcPr>
            <w:tcW w:w="771"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570"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p>
        </w:tc>
        <w:tc>
          <w:tcPr>
            <w:tcW w:w="595"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交付方式</w:t>
            </w:r>
          </w:p>
        </w:tc>
        <w:tc>
          <w:tcPr>
            <w:tcW w:w="960"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户名</w:t>
            </w:r>
          </w:p>
        </w:tc>
      </w:tr>
      <w:tr>
        <w:trPr>
          <w:trHeight w:val="380" w:hRule="atLeast"/>
        </w:trPr>
        <w:tc>
          <w:tcPr>
            <w:tcW w:w="262"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6"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洛浦县耕地和永久基本农田划定成果核实处置聘请第三方技术服务采购项目（二次）</w:t>
            </w:r>
          </w:p>
        </w:tc>
        <w:tc>
          <w:tcPr>
            <w:tcW w:w="731" w:type="pct"/>
            <w:tcMar>
              <w:top w:w="72" w:type="dxa"/>
              <w:left w:w="132" w:type="dxa"/>
              <w:bottom w:w="72" w:type="dxa"/>
              <w:right w:w="132" w:type="dxa"/>
            </w:tcMar>
            <w:vAlign w:val="center"/>
          </w:tcPr>
          <w:p>
            <w:pPr>
              <w:pStyle w:val="19"/>
              <w:keepNext w:val="0"/>
              <w:keepLines w:val="0"/>
              <w:pageBreakBefore w:val="0"/>
              <w:widowControl w:val="0"/>
              <w:kinsoku/>
              <w:wordWrap/>
              <w:overflowPunct/>
              <w:topLinePunct/>
              <w:autoSpaceDE/>
              <w:autoSpaceDN/>
              <w:bidi w:val="0"/>
              <w:adjustRightInd w:val="0"/>
              <w:snapToGrid w:val="0"/>
              <w:spacing w:before="0" w:beforeAutospacing="0" w:after="0" w:afterAutospacing="0" w:line="360" w:lineRule="auto"/>
              <w:ind w:left="0" w:right="0" w:firstLine="0" w:firstLineChars="0"/>
              <w:jc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7300</w:t>
            </w:r>
          </w:p>
        </w:tc>
        <w:tc>
          <w:tcPr>
            <w:tcW w:w="771"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中国农业银行股份有限公司洛浦县支行</w:t>
            </w:r>
          </w:p>
        </w:tc>
        <w:tc>
          <w:tcPr>
            <w:tcW w:w="57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 xml:space="preserve">30581601040888887 </w:t>
            </w:r>
          </w:p>
        </w:tc>
        <w:tc>
          <w:tcPr>
            <w:tcW w:w="595"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网银、电汇</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保函</w:t>
            </w:r>
          </w:p>
        </w:tc>
        <w:tc>
          <w:tcPr>
            <w:tcW w:w="960" w:type="pct"/>
            <w:tcMar>
              <w:top w:w="72" w:type="dxa"/>
              <w:left w:w="132" w:type="dxa"/>
              <w:bottom w:w="72" w:type="dxa"/>
              <w:right w:w="132"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洛浦县政务服务和公共资源交易中心</w:t>
            </w:r>
          </w:p>
        </w:tc>
      </w:tr>
    </w:tbl>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rPr>
        <w:t>、公告期限</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自本公告发布之日起5个工作日。</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十</w:t>
      </w:r>
      <w:r>
        <w:rPr>
          <w:rFonts w:hint="eastAsia" w:ascii="宋体" w:hAnsi="宋体" w:eastAsia="宋体" w:cs="宋体"/>
          <w:color w:val="auto"/>
          <w:kern w:val="0"/>
          <w:sz w:val="24"/>
          <w:szCs w:val="24"/>
          <w:highlight w:val="none"/>
        </w:rPr>
        <w:t>、其他补充事宜：</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1、本项目实行网上投标，采用电子投标文件。若供应商参与投标，自行承担投标一切费用。</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4、有意向参与新疆区域电子开评标的供应商，可访问新疆数字证书认证中心官方网站（https://www.xjca.com.cn/）或下载“新疆政务通”APP自行进行申领。如需咨询，请联系新疆CA服务热线0991-2819290</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根据财政部、工业和信息化部关于印发《政府采购促进中小企业发展管理办法》的通知（财库[2022]19号），第三条款：采购人在政府采购活动中应当通过加强采购需求管理，落实预留采购份额、价格评审优惠、优先采购等措施，提高中小企业在政府采购中的份额，支持中小企业发展。本项目响应该条款要求，本项目属于专门面向中小企业采购（JY企业、残疾人福利性单位均视同小微企业，符合中小企业划分标准的个体工商户视同中小企业），非中小企业参与的将视为无效响应；所属行业为：其他未列明的行业。</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投标保证金额及缴纳账号：</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投标保证金金额：</w:t>
      </w:r>
      <w:r>
        <w:rPr>
          <w:rFonts w:hint="eastAsia" w:ascii="宋体" w:hAnsi="宋体" w:eastAsia="宋体" w:cs="宋体"/>
          <w:color w:val="auto"/>
          <w:kern w:val="0"/>
          <w:sz w:val="24"/>
          <w:szCs w:val="24"/>
          <w:highlight w:val="none"/>
          <w:lang w:val="en-US" w:eastAsia="zh-CN"/>
        </w:rPr>
        <w:t>7300元（柒仟叁佰元整）</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投标保证金账号：洛浦县政务服务和公共资源交易中心</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开户银行：中国农业银行股份有限公司洛浦县支行</w:t>
      </w:r>
    </w:p>
    <w:p>
      <w:pPr>
        <w:keepNext w:val="0"/>
        <w:keepLines w:val="0"/>
        <w:pageBreakBefore w:val="0"/>
        <w:widowControl w:val="0"/>
        <w:kinsoku/>
        <w:wordWrap/>
        <w:overflowPunct/>
        <w:topLinePunct/>
        <w:autoSpaceDE/>
        <w:autoSpaceDN/>
        <w:bidi w:val="0"/>
        <w:adjustRightInd w:val="0"/>
        <w:snapToGrid w:val="0"/>
        <w:spacing w:line="360" w:lineRule="auto"/>
        <w:ind w:firstLine="480" w:firstLineChars="200"/>
        <w:textAlignment w:val="baseline"/>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 xml:space="preserve">账     号：30581601040888887 </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注：必须由投标单位的基本账户转至指定账户</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 xml:space="preserve"> </w:t>
      </w:r>
      <w:r>
        <w:rPr>
          <w:rFonts w:hint="eastAsia" w:ascii="宋体" w:hAnsi="宋体" w:eastAsia="宋体" w:cs="宋体"/>
          <w:color w:val="auto"/>
          <w:kern w:val="0"/>
          <w:sz w:val="24"/>
          <w:szCs w:val="24"/>
          <w:highlight w:val="none"/>
          <w:lang w:val="en-US" w:eastAsia="zh-CN" w:bidi="ar"/>
        </w:rPr>
        <w:t>十一</w:t>
      </w:r>
      <w:r>
        <w:rPr>
          <w:rFonts w:hint="eastAsia" w:ascii="宋体" w:hAnsi="宋体" w:eastAsia="宋体" w:cs="宋体"/>
          <w:color w:val="auto"/>
          <w:kern w:val="0"/>
          <w:sz w:val="24"/>
          <w:szCs w:val="24"/>
          <w:highlight w:val="none"/>
        </w:rPr>
        <w:t>、联系方式</w:t>
      </w:r>
    </w:p>
    <w:p>
      <w:pPr>
        <w:keepNext w:val="0"/>
        <w:keepLines w:val="0"/>
        <w:pageBreakBefore w:val="0"/>
        <w:widowControl w:val="0"/>
        <w:kinsoku/>
        <w:wordWrap/>
        <w:overflowPunct/>
        <w:topLinePunct/>
        <w:autoSpaceDE/>
        <w:autoSpaceDN/>
        <w:bidi w:val="0"/>
        <w:adjustRightInd w:val="0"/>
        <w:snapToGrid w:val="0"/>
        <w:spacing w:line="360" w:lineRule="auto"/>
        <w:ind w:left="0" w:right="0"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1.采购人信息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称：洛浦县自然资源局</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址：洛浦县北京路46号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联系人：阿先生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联系方式：0903-7887308</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2.采购代理机构信息</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 称：新疆晓君招标有限公司</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址：和田市光明路66号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联系人：杨先生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联系方式：17799150765</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3.政府采购监督管理部门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名称：洛浦县政府采购办公室</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联系人：唐先生</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联系电话：0903-662218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Style w:val="32"/>
          <w:rFonts w:hint="eastAsia" w:ascii="宋体" w:hAnsi="宋体" w:eastAsia="宋体" w:cs="宋体"/>
          <w:b/>
          <w:bCs/>
          <w:color w:val="auto"/>
          <w:sz w:val="28"/>
          <w:szCs w:val="28"/>
          <w:highlight w:val="none"/>
        </w:rPr>
      </w:pPr>
      <w:r>
        <w:rPr>
          <w:rFonts w:hint="eastAsia" w:ascii="宋体" w:hAnsi="宋体" w:eastAsia="宋体" w:cs="宋体"/>
          <w:color w:val="auto"/>
          <w:sz w:val="24"/>
          <w:szCs w:val="24"/>
          <w:highlight w:val="none"/>
          <w:lang w:val="en-US" w:eastAsia="zh-CN"/>
        </w:rPr>
        <w:t xml:space="preserve"> </w:t>
      </w:r>
      <w:bookmarkEnd w:id="11"/>
      <w:r>
        <w:rPr>
          <w:rStyle w:val="32"/>
          <w:rFonts w:hint="eastAsia" w:ascii="宋体" w:hAnsi="宋体" w:eastAsia="宋体" w:cs="宋体"/>
          <w:b/>
          <w:bCs/>
          <w:color w:val="auto"/>
          <w:sz w:val="28"/>
          <w:szCs w:val="28"/>
          <w:highlight w:val="none"/>
        </w:rPr>
        <w:t>特别提醒：</w:t>
      </w:r>
    </w:p>
    <w:p>
      <w:pPr>
        <w:spacing w:line="360" w:lineRule="auto"/>
        <w:jc w:val="left"/>
        <w:outlineLvl w:val="9"/>
        <w:rPr>
          <w:rStyle w:val="32"/>
          <w:rFonts w:hint="eastAsia" w:ascii="宋体" w:hAnsi="宋体" w:eastAsia="宋体" w:cs="宋体"/>
          <w:b/>
          <w:color w:val="auto"/>
          <w:sz w:val="28"/>
          <w:szCs w:val="28"/>
          <w:highlight w:val="none"/>
        </w:rPr>
      </w:pPr>
      <w:r>
        <w:rPr>
          <w:rStyle w:val="32"/>
          <w:rFonts w:hint="eastAsia" w:ascii="宋体" w:hAnsi="宋体" w:eastAsia="宋体" w:cs="宋体"/>
          <w:b/>
          <w:color w:val="auto"/>
          <w:sz w:val="28"/>
          <w:szCs w:val="28"/>
          <w:highlight w:val="none"/>
          <w:lang w:val="en-US"/>
        </w:rPr>
        <w:t>1</w:t>
      </w:r>
      <w:r>
        <w:rPr>
          <w:rStyle w:val="32"/>
          <w:rFonts w:hint="eastAsia" w:ascii="宋体" w:hAnsi="宋体" w:eastAsia="宋体" w:cs="宋体"/>
          <w:b/>
          <w:color w:val="auto"/>
          <w:sz w:val="28"/>
          <w:szCs w:val="28"/>
          <w:highlight w:val="none"/>
        </w:rPr>
        <w:t>、由投标人基本账户汇出（投标保证金需</w:t>
      </w:r>
      <w:r>
        <w:rPr>
          <w:rStyle w:val="32"/>
          <w:rFonts w:hint="eastAsia" w:ascii="宋体" w:hAnsi="宋体" w:eastAsia="宋体" w:cs="宋体"/>
          <w:b/>
          <w:color w:val="auto"/>
          <w:sz w:val="28"/>
          <w:szCs w:val="28"/>
          <w:highlight w:val="none"/>
          <w:lang w:val="en-US" w:eastAsia="zh-CN"/>
        </w:rPr>
        <w:t>一次性足额</w:t>
      </w:r>
      <w:r>
        <w:rPr>
          <w:rStyle w:val="32"/>
          <w:rFonts w:hint="eastAsia" w:ascii="宋体" w:hAnsi="宋体" w:eastAsia="宋体" w:cs="宋体"/>
          <w:b/>
          <w:color w:val="auto"/>
          <w:sz w:val="28"/>
          <w:szCs w:val="28"/>
          <w:highlight w:val="none"/>
        </w:rPr>
        <w:t>汇出，分笔汇出银行系统将不予统计），且不得以分公司的名义转账，投标保证金需在</w:t>
      </w:r>
      <w:r>
        <w:rPr>
          <w:rStyle w:val="32"/>
          <w:rFonts w:hint="eastAsia" w:ascii="宋体" w:hAnsi="宋体" w:cs="宋体"/>
          <w:b/>
          <w:color w:val="auto"/>
          <w:sz w:val="28"/>
          <w:szCs w:val="28"/>
          <w:highlight w:val="none"/>
          <w:lang w:eastAsia="zh-CN"/>
        </w:rPr>
        <w:t>2023年10月</w:t>
      </w:r>
      <w:r>
        <w:rPr>
          <w:rStyle w:val="32"/>
          <w:rFonts w:hint="eastAsia" w:ascii="宋体" w:hAnsi="宋体" w:cs="宋体"/>
          <w:b/>
          <w:color w:val="auto"/>
          <w:sz w:val="28"/>
          <w:szCs w:val="28"/>
          <w:highlight w:val="none"/>
          <w:lang w:val="en-US" w:eastAsia="zh-CN"/>
        </w:rPr>
        <w:t>10</w:t>
      </w:r>
      <w:r>
        <w:rPr>
          <w:rStyle w:val="32"/>
          <w:rFonts w:hint="eastAsia" w:ascii="宋体" w:hAnsi="宋体" w:cs="宋体"/>
          <w:b/>
          <w:color w:val="auto"/>
          <w:sz w:val="28"/>
          <w:szCs w:val="28"/>
          <w:highlight w:val="none"/>
          <w:lang w:eastAsia="zh-CN"/>
        </w:rPr>
        <w:t>日</w:t>
      </w:r>
      <w:r>
        <w:rPr>
          <w:rStyle w:val="32"/>
          <w:rFonts w:hint="eastAsia" w:ascii="宋体" w:hAnsi="宋体" w:eastAsia="宋体" w:cs="宋体"/>
          <w:b/>
          <w:color w:val="auto"/>
          <w:sz w:val="28"/>
          <w:szCs w:val="28"/>
          <w:highlight w:val="none"/>
          <w:lang w:eastAsia="zh-CN"/>
        </w:rPr>
        <w:t>10：30</w:t>
      </w:r>
      <w:r>
        <w:rPr>
          <w:rStyle w:val="32"/>
          <w:rFonts w:hint="eastAsia" w:ascii="宋体" w:hAnsi="宋体" w:eastAsia="宋体" w:cs="宋体"/>
          <w:b/>
          <w:color w:val="auto"/>
          <w:sz w:val="28"/>
          <w:szCs w:val="28"/>
          <w:highlight w:val="none"/>
          <w:lang w:val="en-US" w:eastAsia="zh-CN"/>
        </w:rPr>
        <w:t>（北京时间）</w:t>
      </w:r>
      <w:r>
        <w:rPr>
          <w:rStyle w:val="32"/>
          <w:rFonts w:hint="eastAsia" w:ascii="宋体" w:hAnsi="宋体" w:eastAsia="宋体" w:cs="宋体"/>
          <w:b/>
          <w:color w:val="auto"/>
          <w:sz w:val="28"/>
          <w:szCs w:val="28"/>
          <w:highlight w:val="none"/>
        </w:rPr>
        <w:t>前到账，超过时间则不予认可。投标单位须在汇款单备注栏标明：XXX项目XXX包段（标段）或采购项目编号。该项目不换取保证金收据，由银行出具投标企业保证金缴纳情况。晚于规定时间缴纳保证金的企业一切责任将由贵公司自行承担。</w:t>
      </w:r>
    </w:p>
    <w:p>
      <w:pPr>
        <w:spacing w:line="360" w:lineRule="auto"/>
        <w:jc w:val="left"/>
        <w:outlineLvl w:val="9"/>
        <w:rPr>
          <w:rStyle w:val="32"/>
          <w:rFonts w:hint="eastAsia" w:ascii="宋体" w:hAnsi="宋体" w:eastAsia="宋体" w:cs="宋体"/>
          <w:b/>
          <w:color w:val="auto"/>
          <w:sz w:val="28"/>
          <w:szCs w:val="28"/>
          <w:highlight w:val="none"/>
        </w:rPr>
      </w:pPr>
      <w:r>
        <w:rPr>
          <w:rStyle w:val="32"/>
          <w:rFonts w:hint="eastAsia" w:ascii="宋体" w:hAnsi="宋体" w:eastAsia="宋体" w:cs="宋体"/>
          <w:b/>
          <w:color w:val="auto"/>
          <w:sz w:val="28"/>
          <w:szCs w:val="28"/>
          <w:highlight w:val="none"/>
          <w:lang w:val="en-US"/>
        </w:rPr>
        <w:t>2</w:t>
      </w:r>
      <w:r>
        <w:rPr>
          <w:rStyle w:val="32"/>
          <w:rFonts w:hint="eastAsia" w:ascii="宋体" w:hAnsi="宋体" w:eastAsia="宋体" w:cs="宋体"/>
          <w:b/>
          <w:color w:val="auto"/>
          <w:sz w:val="28"/>
          <w:szCs w:val="28"/>
          <w:highlight w:val="none"/>
        </w:rPr>
        <w:t>、投标企业下载招标文件后请仔细阅读，如对招标文件内容有质疑，投标人应按招标文件中载明的邮箱：</w:t>
      </w:r>
      <w:r>
        <w:rPr>
          <w:rStyle w:val="32"/>
          <w:rFonts w:hint="eastAsia" w:ascii="宋体" w:hAnsi="宋体" w:eastAsia="宋体" w:cs="宋体"/>
          <w:b/>
          <w:color w:val="auto"/>
          <w:sz w:val="28"/>
          <w:szCs w:val="28"/>
          <w:highlight w:val="none"/>
          <w:lang w:val="en-US" w:eastAsia="zh-CN"/>
        </w:rPr>
        <w:t>1730369389@qq.com</w:t>
      </w:r>
      <w:r>
        <w:rPr>
          <w:rStyle w:val="32"/>
          <w:rFonts w:hint="eastAsia" w:ascii="宋体" w:hAnsi="宋体" w:eastAsia="宋体" w:cs="宋体"/>
          <w:b/>
          <w:color w:val="auto"/>
          <w:sz w:val="28"/>
          <w:szCs w:val="28"/>
          <w:highlight w:val="none"/>
        </w:rPr>
        <w:t>地址，以书面形式通知招标人。招标人认为必要时，将（澄清）修改后的公告发布在新疆政府采购网，敬请投标企业及时关注。在规定期限内投标企业未提出质疑的视为投标企业默认招标文件不存在质疑的相关问题。超过招标文件质疑时间将不再接受投标企业所提出的质疑。</w:t>
      </w:r>
    </w:p>
    <w:p>
      <w:pP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br w:type="page"/>
      </w:r>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第二部分  供应商须知</w:t>
      </w:r>
      <w:bookmarkEnd w:id="0"/>
      <w:bookmarkEnd w:id="1"/>
      <w:bookmarkEnd w:id="2"/>
      <w:bookmarkEnd w:id="3"/>
      <w:bookmarkEnd w:id="4"/>
      <w:bookmarkEnd w:id="5"/>
    </w:p>
    <w:p>
      <w:pPr>
        <w:pStyle w:val="4"/>
        <w:spacing w:before="0" w:after="100" w:afterAutospacing="1" w:line="400" w:lineRule="atLeast"/>
        <w:jc w:val="center"/>
        <w:rPr>
          <w:rFonts w:hint="eastAsia" w:ascii="宋体" w:hAnsi="宋体" w:eastAsia="宋体" w:cs="宋体"/>
          <w:color w:val="auto"/>
          <w:sz w:val="28"/>
          <w:szCs w:val="28"/>
          <w:highlight w:val="none"/>
        </w:rPr>
      </w:pPr>
      <w:bookmarkStart w:id="20" w:name="_Toc527642951"/>
      <w:bookmarkStart w:id="21" w:name="_Toc267301281"/>
      <w:bookmarkStart w:id="22" w:name="_Toc349637919"/>
      <w:bookmarkStart w:id="23" w:name="_Toc349573120"/>
      <w:bookmarkStart w:id="24" w:name="_Toc298240404"/>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供应商须知附表</w:t>
      </w:r>
      <w:bookmarkEnd w:id="20"/>
      <w:bookmarkEnd w:id="21"/>
      <w:bookmarkEnd w:id="22"/>
      <w:bookmarkEnd w:id="23"/>
      <w:bookmarkEnd w:id="24"/>
    </w:p>
    <w:tbl>
      <w:tblPr>
        <w:tblStyle w:val="23"/>
        <w:tblW w:w="9732"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980"/>
        <w:gridCol w:w="6477"/>
      </w:tblGrid>
      <w:tr>
        <w:tc>
          <w:tcPr>
            <w:tcW w:w="1275"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条款号</w:t>
            </w:r>
          </w:p>
        </w:tc>
        <w:tc>
          <w:tcPr>
            <w:tcW w:w="1980"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条款名称</w:t>
            </w:r>
          </w:p>
        </w:tc>
        <w:tc>
          <w:tcPr>
            <w:tcW w:w="6477" w:type="dxa"/>
            <w:vAlign w:val="center"/>
          </w:tcPr>
          <w:p>
            <w:pPr>
              <w:adjustRightInd w:val="0"/>
              <w:snapToGrid w:val="0"/>
              <w:spacing w:line="360" w:lineRule="auto"/>
              <w:jc w:val="center"/>
              <w:rPr>
                <w:rFonts w:hint="eastAsia" w:ascii="宋体" w:hAnsi="宋体" w:eastAsia="宋体" w:cs="宋体"/>
                <w:color w:val="auto"/>
                <w:sz w:val="28"/>
                <w:szCs w:val="28"/>
                <w:highlight w:val="none"/>
                <w:vertAlign w:val="baseline"/>
              </w:rPr>
            </w:pPr>
            <w:r>
              <w:rPr>
                <w:rFonts w:hint="eastAsia" w:ascii="宋体" w:hAnsi="宋体" w:eastAsia="宋体" w:cs="宋体"/>
                <w:b/>
                <w:color w:val="auto"/>
                <w:sz w:val="28"/>
                <w:szCs w:val="28"/>
                <w:highlight w:val="none"/>
              </w:rPr>
              <w:t>编列内容规定</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项目编号</w:t>
            </w:r>
          </w:p>
        </w:tc>
        <w:tc>
          <w:tcPr>
            <w:tcW w:w="6477" w:type="dxa"/>
            <w:vAlign w:val="center"/>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XJXJ-2023-11-01</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color w:val="auto"/>
                <w:sz w:val="28"/>
                <w:szCs w:val="28"/>
                <w:highlight w:val="none"/>
              </w:rPr>
              <w:t>项目名称</w:t>
            </w:r>
          </w:p>
        </w:tc>
        <w:tc>
          <w:tcPr>
            <w:tcW w:w="6477" w:type="dxa"/>
            <w:vAlign w:val="top"/>
          </w:tcPr>
          <w:p>
            <w:pPr>
              <w:keepNext w:val="0"/>
              <w:keepLines w:val="0"/>
              <w:pageBreakBefore w:val="0"/>
              <w:kinsoku/>
              <w:wordWrap/>
              <w:topLinePunct w:val="0"/>
              <w:bidi w:val="0"/>
              <w:snapToGrid/>
              <w:spacing w:line="500" w:lineRule="exact"/>
              <w:jc w:val="both"/>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cs="宋体"/>
                <w:color w:val="auto"/>
                <w:sz w:val="28"/>
                <w:szCs w:val="28"/>
                <w:highlight w:val="none"/>
                <w:lang w:eastAsia="zh-CN"/>
              </w:rPr>
              <w:t>洛浦县耕地和永久基本农田划定成果核实处置聘请第三方技术服务采购项目（二次）</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采购人</w:t>
            </w:r>
          </w:p>
        </w:tc>
        <w:tc>
          <w:tcPr>
            <w:tcW w:w="6477" w:type="dxa"/>
            <w:vAlign w:val="top"/>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采购单位：</w:t>
            </w:r>
            <w:r>
              <w:rPr>
                <w:rFonts w:hint="eastAsia" w:ascii="宋体" w:hAnsi="宋体" w:eastAsia="宋体" w:cs="宋体"/>
                <w:color w:val="auto"/>
                <w:sz w:val="28"/>
                <w:szCs w:val="28"/>
                <w:highlight w:val="none"/>
                <w:lang w:eastAsia="zh-CN"/>
              </w:rPr>
              <w:t>洛浦县自然资源局</w:t>
            </w:r>
            <w:r>
              <w:rPr>
                <w:rFonts w:hint="eastAsia" w:ascii="宋体" w:hAnsi="宋体" w:eastAsia="宋体" w:cs="宋体"/>
                <w:color w:val="auto"/>
                <w:sz w:val="28"/>
                <w:szCs w:val="28"/>
                <w:highlight w:val="none"/>
              </w:rPr>
              <w:t xml:space="preserve">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eastAsia="zh-CN"/>
              </w:rPr>
              <w:t>阿先生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联系电话：0903-7887308</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采购代理机构</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代理机构：</w:t>
            </w:r>
            <w:r>
              <w:rPr>
                <w:rFonts w:hint="eastAsia" w:ascii="宋体" w:hAnsi="宋体" w:eastAsia="宋体" w:cs="宋体"/>
                <w:color w:val="auto"/>
                <w:sz w:val="28"/>
                <w:szCs w:val="28"/>
                <w:highlight w:val="none"/>
                <w:lang w:val="en-US" w:eastAsia="zh-CN"/>
              </w:rPr>
              <w:t>新疆晓君招标有限公司</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系</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人：</w:t>
            </w:r>
            <w:r>
              <w:rPr>
                <w:rFonts w:hint="eastAsia" w:ascii="宋体" w:hAnsi="宋体" w:eastAsia="宋体" w:cs="宋体"/>
                <w:color w:val="auto"/>
                <w:sz w:val="28"/>
                <w:szCs w:val="28"/>
                <w:highlight w:val="none"/>
                <w:lang w:eastAsia="zh-CN"/>
              </w:rPr>
              <w:t xml:space="preserve">杨先生 </w:t>
            </w:r>
          </w:p>
          <w:p>
            <w:pPr>
              <w:keepNext w:val="0"/>
              <w:keepLines w:val="0"/>
              <w:pageBreakBefore w:val="0"/>
              <w:numPr>
                <w:ilvl w:val="0"/>
                <w:numId w:val="0"/>
              </w:numPr>
              <w:kinsoku/>
              <w:wordWrap/>
              <w:overflowPunct w:val="0"/>
              <w:topLinePunct w:val="0"/>
              <w:bidi w:val="0"/>
              <w:snapToGrid/>
              <w:spacing w:line="500" w:lineRule="exact"/>
              <w:ind w:leftChars="0"/>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联系电话：</w:t>
            </w:r>
            <w:r>
              <w:rPr>
                <w:rFonts w:hint="eastAsia" w:ascii="宋体" w:hAnsi="宋体" w:eastAsia="宋体" w:cs="宋体"/>
                <w:color w:val="auto"/>
                <w:sz w:val="28"/>
                <w:szCs w:val="28"/>
                <w:highlight w:val="none"/>
                <w:lang w:eastAsia="zh-CN"/>
              </w:rPr>
              <w:t>17799150765</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980"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服务内容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洛浦县耕地和永久基本农田划定成果核实处置聘请第三方技术服务采购项目（二次）</w:t>
            </w:r>
            <w:r>
              <w:rPr>
                <w:rFonts w:hint="eastAsia" w:ascii="宋体" w:hAnsi="宋体" w:eastAsia="宋体" w:cs="宋体"/>
                <w:color w:val="auto"/>
                <w:sz w:val="28"/>
                <w:szCs w:val="28"/>
                <w:highlight w:val="none"/>
                <w:lang w:val="en-US" w:eastAsia="zh-CN"/>
              </w:rPr>
              <w:t>（具体服务内容详见竞争性磋商文件第三章）</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服务地点</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洛浦县（以采购单位指定地点为准）</w:t>
            </w:r>
          </w:p>
        </w:tc>
      </w:tr>
      <w:tr>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合同履约期限</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3年（以签订合同为准）</w:t>
            </w:r>
          </w:p>
        </w:tc>
      </w:tr>
      <w:t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w:t>
            </w:r>
          </w:p>
        </w:tc>
        <w:tc>
          <w:tcPr>
            <w:tcW w:w="1980"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采购方式</w:t>
            </w:r>
          </w:p>
        </w:tc>
        <w:tc>
          <w:tcPr>
            <w:tcW w:w="6477" w:type="dxa"/>
            <w:vAlign w:val="center"/>
          </w:tcPr>
          <w:p>
            <w:pPr>
              <w:keepNext w:val="0"/>
              <w:keepLines w:val="0"/>
              <w:pageBreakBefore w:val="0"/>
              <w:numPr>
                <w:ilvl w:val="0"/>
                <w:numId w:val="0"/>
              </w:numPr>
              <w:kinsoku/>
              <w:wordWrap/>
              <w:overflowPunct w:val="0"/>
              <w:topLinePunct w:val="0"/>
              <w:bidi w:val="0"/>
              <w:snapToGrid/>
              <w:spacing w:line="500" w:lineRule="exact"/>
              <w:ind w:left="0" w:leftChars="0" w:firstLine="0" w:firstLineChars="0"/>
              <w:jc w:val="left"/>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竞争性磋商</w:t>
            </w:r>
          </w:p>
        </w:tc>
      </w:tr>
      <w:tr>
        <w:trPr>
          <w:trHeight w:val="233"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9</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供应商资格条件</w:t>
            </w:r>
          </w:p>
        </w:tc>
        <w:tc>
          <w:tcPr>
            <w:tcW w:w="6477" w:type="dxa"/>
            <w:vAlign w:val="center"/>
          </w:tcPr>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3）具有良好的商业信誉和健全的财务会计制度：提供2022年度由第三方财务审计机构出具的财务审计报告或新成立的企业提供银行出具的近三个月的资信证明；</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4）履行合同所必需的设备和专业技术能力：提供《投标人资格声明函》；</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5）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6）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（7）企业负责人为同一人或者存在直接控股、管理关系的不同投标人，不得参加同一合同项下的政府采购活动。否则，皆取消投标资格。</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（8）具有有效期内的</w:t>
            </w:r>
            <w:r>
              <w:rPr>
                <w:rFonts w:hint="eastAsia" w:ascii="宋体" w:hAnsi="宋体" w:cs="宋体"/>
                <w:b w:val="0"/>
                <w:bCs/>
                <w:i w:val="0"/>
                <w:caps w:val="0"/>
                <w:color w:val="auto"/>
                <w:spacing w:val="0"/>
                <w:kern w:val="0"/>
                <w:sz w:val="28"/>
                <w:szCs w:val="28"/>
                <w:highlight w:val="none"/>
                <w:lang w:val="en-US" w:eastAsia="zh-CN" w:bidi="ar"/>
              </w:rPr>
              <w:t>工程测量乙级或以上资质</w:t>
            </w:r>
          </w:p>
          <w:p>
            <w:pPr>
              <w:pStyle w:val="29"/>
              <w:numPr>
                <w:ilvl w:val="0"/>
                <w:numId w:val="0"/>
              </w:numPr>
              <w:spacing w:line="240" w:lineRule="auto"/>
              <w:ind w:left="0" w:leftChars="0" w:firstLine="0" w:firstLineChars="0"/>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（9）投标保证金或电子保函：7300元整（大写：柒仟叁佰元整）</w:t>
            </w:r>
          </w:p>
        </w:tc>
      </w:tr>
      <w:t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5</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保证金缴纳方式及金额</w:t>
            </w:r>
          </w:p>
        </w:tc>
        <w:tc>
          <w:tcPr>
            <w:tcW w:w="6477"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color w:val="auto"/>
                <w:kern w:val="0"/>
                <w:sz w:val="28"/>
                <w:szCs w:val="20"/>
                <w:highlight w:val="none"/>
                <w:lang w:val="en-US" w:eastAsia="zh-CN" w:bidi="ar-SA"/>
              </w:rPr>
              <w:t>投标保证金的缴纳形式：转账、汇款、保函</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color w:val="auto"/>
                <w:kern w:val="0"/>
                <w:sz w:val="28"/>
                <w:szCs w:val="20"/>
                <w:highlight w:val="none"/>
                <w:lang w:val="en-US" w:eastAsia="zh-CN" w:bidi="ar-SA"/>
              </w:rPr>
              <w:t>投标保证金的金额：7300.00元（柒仟叁佰元整）</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auto"/>
                <w:kern w:val="0"/>
                <w:sz w:val="28"/>
                <w:szCs w:val="20"/>
                <w:highlight w:val="none"/>
                <w:lang w:val="en-US" w:eastAsia="zh-CN" w:bidi="ar-SA"/>
              </w:rPr>
            </w:pPr>
            <w:r>
              <w:rPr>
                <w:rFonts w:hint="eastAsia" w:ascii="宋体" w:hAnsi="宋体" w:eastAsia="宋体" w:cs="宋体"/>
                <w:color w:val="auto"/>
                <w:kern w:val="0"/>
                <w:sz w:val="28"/>
                <w:szCs w:val="20"/>
                <w:highlight w:val="none"/>
                <w:lang w:val="en-US" w:eastAsia="zh-CN" w:bidi="ar-SA"/>
              </w:rPr>
              <w:t>递交方式：电汇、转账等（由投标人基本账户汇出，否则无效）</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投标保证金账号：洛浦县政务服务和公共资源交易中心开户银行：中国农业银行股份有限公司洛浦县支行</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账     号：30581601040888887 </w:t>
            </w:r>
          </w:p>
          <w:p>
            <w:pPr>
              <w:keepNext w:val="0"/>
              <w:keepLines w:val="0"/>
              <w:pageBreakBefore w:val="0"/>
              <w:kinsoku/>
              <w:wordWrap/>
              <w:overflowPunct w:val="0"/>
              <w:topLinePunct w:val="0"/>
              <w:bidi w:val="0"/>
              <w:snapToGrid/>
              <w:spacing w:line="500" w:lineRule="exact"/>
              <w:textAlignment w:val="auto"/>
              <w:rPr>
                <w:rFonts w:hint="eastAsia" w:ascii="宋体" w:hAnsi="宋体" w:eastAsia="宋体" w:cs="宋体"/>
                <w:b w:val="0"/>
                <w:bCs/>
                <w:i w:val="0"/>
                <w:caps w:val="0"/>
                <w:color w:val="auto"/>
                <w:spacing w:val="0"/>
                <w:kern w:val="0"/>
                <w:sz w:val="28"/>
                <w:szCs w:val="28"/>
                <w:highlight w:val="none"/>
                <w:lang w:val="en-US" w:eastAsia="zh-CN" w:bidi="ar"/>
              </w:rPr>
            </w:pPr>
          </w:p>
        </w:tc>
      </w:tr>
      <w:t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信用情况</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1、信用记录查询时间及方式：</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（1）查询时间：自招标公告发布日期起至开标日期止，超出此时间范围将被视为无效投标。</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查询方式：投标人自行通过“信用中国”及“中国政府采购网”查询，并按招标文件要求提供网页材料。被列入失信被执行人、政府采购严重违法失信行为记录名单，其他不符合《中华人民共和国政府采购法》第二十二条规定条件的供应商，其投标文件将被视为无效投标。未提供证明材料的视为不响应招标文件。</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（3）供应商参加政府采购活动时，应当就自己的诚信情况在响应性文件中进行承诺。</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本项目不接受失信企业投标。</w:t>
            </w:r>
          </w:p>
        </w:tc>
      </w:tr>
      <w:t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7</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标前准备</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1、本项目实行网上投标，采用电子投标文件。若供应商参与投标，自行承担投标一切费用。 </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2、各供应商应在开标前应确保成为新疆维吾尔自治区政府采购网正式注册入库供应商，并完成CA数字证书申领。因未注册入库、未办理CA数字证书等原因造成无法投标或投标失败等后果由供应商自行承担。 </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tc>
      </w:tr>
      <w:tr>
        <w:trPr>
          <w:trHeight w:val="473"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8</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资金来源</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财政资金</w:t>
            </w:r>
          </w:p>
        </w:tc>
      </w:tr>
      <w:t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9</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投标有效期</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90天（日历日）</w:t>
            </w:r>
          </w:p>
        </w:tc>
      </w:tr>
      <w:t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10</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招标文件发放</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时间：</w:t>
            </w:r>
            <w:r>
              <w:rPr>
                <w:rFonts w:hint="eastAsia" w:ascii="宋体" w:hAnsi="宋体" w:cs="宋体"/>
                <w:b w:val="0"/>
                <w:bCs/>
                <w:i w:val="0"/>
                <w:caps w:val="0"/>
                <w:color w:val="auto"/>
                <w:spacing w:val="0"/>
                <w:kern w:val="0"/>
                <w:sz w:val="28"/>
                <w:szCs w:val="28"/>
                <w:highlight w:val="none"/>
                <w:lang w:val="en-US" w:eastAsia="zh-CN" w:bidi="ar"/>
              </w:rPr>
              <w:t>2023年9月26日至2023年10月9日</w:t>
            </w:r>
            <w:r>
              <w:rPr>
                <w:rFonts w:hint="eastAsia" w:ascii="宋体" w:hAnsi="宋体" w:eastAsia="宋体" w:cs="宋体"/>
                <w:b w:val="0"/>
                <w:bCs/>
                <w:i w:val="0"/>
                <w:caps w:val="0"/>
                <w:color w:val="auto"/>
                <w:spacing w:val="0"/>
                <w:kern w:val="0"/>
                <w:sz w:val="28"/>
                <w:szCs w:val="28"/>
                <w:highlight w:val="none"/>
                <w:lang w:val="en-US" w:eastAsia="zh-CN" w:bidi="ar"/>
              </w:rPr>
              <w:t>地点：供应商登录政采云平台https://www.zcygov.cn/在线申请获取采购文件（进入“项目采购”应用，在获取采购文件菜单中选择项目，申请获取采购文件）</w:t>
            </w:r>
          </w:p>
        </w:tc>
      </w:tr>
      <w:t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11</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投标截止时间</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cs="宋体"/>
                <w:b w:val="0"/>
                <w:bCs/>
                <w:i w:val="0"/>
                <w:caps w:val="0"/>
                <w:color w:val="auto"/>
                <w:spacing w:val="0"/>
                <w:kern w:val="0"/>
                <w:sz w:val="28"/>
                <w:szCs w:val="28"/>
                <w:highlight w:val="none"/>
                <w:lang w:val="en-US" w:eastAsia="zh-CN" w:bidi="ar"/>
              </w:rPr>
              <w:t>2023年10月10日10：30（北京时间）</w:t>
            </w:r>
          </w:p>
        </w:tc>
      </w:tr>
      <w:t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12</w:t>
            </w:r>
          </w:p>
        </w:tc>
        <w:tc>
          <w:tcPr>
            <w:tcW w:w="1980"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递交投标文件的地点及方式</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投标人应于</w:t>
            </w:r>
            <w:r>
              <w:rPr>
                <w:rFonts w:hint="eastAsia" w:ascii="宋体" w:hAnsi="宋体" w:cs="宋体"/>
                <w:b w:val="0"/>
                <w:bCs/>
                <w:i w:val="0"/>
                <w:caps w:val="0"/>
                <w:color w:val="auto"/>
                <w:spacing w:val="0"/>
                <w:kern w:val="0"/>
                <w:sz w:val="28"/>
                <w:szCs w:val="28"/>
                <w:highlight w:val="none"/>
                <w:lang w:val="en-US" w:eastAsia="zh-CN" w:bidi="ar"/>
              </w:rPr>
              <w:t>2023年10月10日</w:t>
            </w:r>
            <w:r>
              <w:rPr>
                <w:rFonts w:hint="eastAsia" w:ascii="宋体" w:hAnsi="宋体" w:eastAsia="宋体" w:cs="宋体"/>
                <w:b w:val="0"/>
                <w:bCs/>
                <w:i w:val="0"/>
                <w:caps w:val="0"/>
                <w:color w:val="auto"/>
                <w:spacing w:val="0"/>
                <w:kern w:val="0"/>
                <w:sz w:val="28"/>
                <w:szCs w:val="28"/>
                <w:highlight w:val="none"/>
                <w:lang w:val="en-US" w:eastAsia="zh-CN" w:bidi="ar"/>
              </w:rPr>
              <w:t>10：30之前将电子投标文件上传到“政采云”平台。应按照本项目招标文件和政采云的要求编制、加密传输投标文件。供应商在使用系统进行投标的过程中遇到涉及平台使用的任何问题，可致电政采云平台技术支持热线咨询，联系方式：400-881-7190。</w:t>
            </w:r>
          </w:p>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注：本项目采用“不见面”方式开标，如招标文件或招标公告中存在与“不见面”开标方式矛盾或不一致的规定或要求，均自动失效。</w:t>
            </w:r>
          </w:p>
        </w:tc>
      </w:tr>
      <w:tr>
        <w:trPr>
          <w:trHeight w:val="43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13</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投标文件解密时间</w:t>
            </w:r>
          </w:p>
        </w:tc>
        <w:tc>
          <w:tcPr>
            <w:tcW w:w="6477" w:type="dxa"/>
            <w:vAlign w:val="center"/>
          </w:tcPr>
          <w:p>
            <w:pPr>
              <w:adjustRightInd w:val="0"/>
              <w:snapToGrid w:val="0"/>
              <w:spacing w:line="240" w:lineRule="auto"/>
              <w:jc w:val="left"/>
              <w:rPr>
                <w:rFonts w:hint="eastAsia" w:ascii="宋体" w:hAnsi="宋体" w:eastAsia="宋体" w:cs="宋体"/>
                <w:b/>
                <w:bCs w:val="0"/>
                <w:i w:val="0"/>
                <w:caps w:val="0"/>
                <w:color w:val="auto"/>
                <w:spacing w:val="0"/>
                <w:kern w:val="0"/>
                <w:sz w:val="28"/>
                <w:szCs w:val="28"/>
                <w:highlight w:val="none"/>
                <w:lang w:val="en-US" w:eastAsia="zh-CN" w:bidi="ar"/>
              </w:rPr>
            </w:pPr>
            <w:r>
              <w:rPr>
                <w:rFonts w:hint="eastAsia" w:ascii="宋体" w:hAnsi="宋体" w:eastAsia="宋体" w:cs="宋体"/>
                <w:b/>
                <w:bCs w:val="0"/>
                <w:i w:val="0"/>
                <w:caps w:val="0"/>
                <w:color w:val="auto"/>
                <w:spacing w:val="0"/>
                <w:kern w:val="0"/>
                <w:sz w:val="28"/>
                <w:szCs w:val="28"/>
                <w:highlight w:val="none"/>
                <w:lang w:val="en-US" w:eastAsia="zh-CN" w:bidi="ar"/>
              </w:rPr>
              <w:t>1、投标截止时间后，供应商应及时登录“政采云”平台，用“项目采购－开标评标”功能对投标文件进行解密。规定的解密时限为：</w:t>
            </w:r>
            <w:r>
              <w:rPr>
                <w:rFonts w:hint="eastAsia" w:ascii="宋体" w:hAnsi="宋体" w:cs="宋体"/>
                <w:b/>
                <w:bCs w:val="0"/>
                <w:i w:val="0"/>
                <w:caps w:val="0"/>
                <w:color w:val="auto"/>
                <w:spacing w:val="0"/>
                <w:kern w:val="0"/>
                <w:sz w:val="28"/>
                <w:szCs w:val="28"/>
                <w:highlight w:val="none"/>
                <w:lang w:val="en-US" w:eastAsia="zh-CN" w:bidi="ar"/>
              </w:rPr>
              <w:t>2023年10月10日</w:t>
            </w:r>
            <w:r>
              <w:rPr>
                <w:rFonts w:hint="eastAsia" w:ascii="宋体" w:hAnsi="宋体" w:eastAsia="宋体" w:cs="宋体"/>
                <w:b/>
                <w:bCs w:val="0"/>
                <w:i w:val="0"/>
                <w:caps w:val="0"/>
                <w:color w:val="auto"/>
                <w:spacing w:val="0"/>
                <w:kern w:val="0"/>
                <w:sz w:val="28"/>
                <w:szCs w:val="28"/>
                <w:highlight w:val="none"/>
                <w:lang w:val="en-US" w:eastAsia="zh-CN" w:bidi="ar"/>
              </w:rPr>
              <w:t>10：30-11：00前（30分钟内），若供应商在规定时间内（</w:t>
            </w:r>
            <w:r>
              <w:rPr>
                <w:rFonts w:hint="eastAsia" w:ascii="宋体" w:hAnsi="宋体" w:cs="宋体"/>
                <w:b/>
                <w:bCs w:val="0"/>
                <w:i w:val="0"/>
                <w:caps w:val="0"/>
                <w:color w:val="auto"/>
                <w:spacing w:val="0"/>
                <w:kern w:val="0"/>
                <w:sz w:val="28"/>
                <w:szCs w:val="28"/>
                <w:highlight w:val="none"/>
                <w:lang w:val="en-US" w:eastAsia="zh-CN" w:bidi="ar"/>
              </w:rPr>
              <w:t>2023年10月10日</w:t>
            </w:r>
            <w:r>
              <w:rPr>
                <w:rFonts w:hint="eastAsia" w:ascii="宋体" w:hAnsi="宋体" w:eastAsia="宋体" w:cs="宋体"/>
                <w:b/>
                <w:bCs w:val="0"/>
                <w:i w:val="0"/>
                <w:caps w:val="0"/>
                <w:color w:val="auto"/>
                <w:spacing w:val="0"/>
                <w:kern w:val="0"/>
                <w:sz w:val="28"/>
                <w:szCs w:val="28"/>
                <w:highlight w:val="none"/>
                <w:lang w:val="en-US" w:eastAsia="zh-CN" w:bidi="ar"/>
              </w:rPr>
              <w:t>10：30-11：00前）未能解密的，视为供应商对其投标文件的撤回。</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bCs w:val="0"/>
                <w:color w:val="auto"/>
                <w:kern w:val="2"/>
                <w:sz w:val="28"/>
                <w:szCs w:val="28"/>
                <w:highlight w:val="none"/>
              </w:rPr>
              <w:t>2、因系统（非投标供应商行为）的原因，造成投标供应商未能在规定的解密时限内解密的，请及时与招标代理机构或与新疆政府采购网投标客户端进行联系。</w:t>
            </w:r>
          </w:p>
        </w:tc>
      </w:tr>
      <w:t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14</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备选投标方案和报价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val="0"/>
                <w:bCs/>
                <w:color w:val="auto"/>
                <w:kern w:val="2"/>
                <w:sz w:val="28"/>
                <w:szCs w:val="28"/>
                <w:highlight w:val="none"/>
              </w:rPr>
              <w:t>报价应包括采购货物、运输、装卸、验收、开具发票和相关售后等服务；不接受备选投标方案和多个报价。</w:t>
            </w:r>
          </w:p>
        </w:tc>
      </w:tr>
      <w:tr>
        <w:trPr>
          <w:trHeight w:val="2878"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15</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采购预算金额（最高限价）</w:t>
            </w:r>
          </w:p>
        </w:tc>
        <w:tc>
          <w:tcPr>
            <w:tcW w:w="6477" w:type="dxa"/>
            <w:vAlign w:val="center"/>
          </w:tcPr>
          <w:p>
            <w:pPr>
              <w:adjustRightInd w:val="0"/>
              <w:snapToGrid w:val="0"/>
              <w:spacing w:line="240" w:lineRule="auto"/>
              <w:rPr>
                <w:rFonts w:hint="eastAsia" w:ascii="宋体" w:hAnsi="宋体" w:eastAsia="宋体" w:cs="宋体"/>
                <w:b/>
                <w:bCs w:val="0"/>
                <w:color w:val="auto"/>
                <w:kern w:val="2"/>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rPr>
              <w:t>预算金额：73万元</w:t>
            </w:r>
          </w:p>
          <w:p>
            <w:pPr>
              <w:adjustRightInd w:val="0"/>
              <w:snapToGrid w:val="0"/>
              <w:spacing w:line="240" w:lineRule="auto"/>
              <w:rPr>
                <w:rFonts w:hint="eastAsia" w:ascii="宋体" w:hAnsi="宋体" w:eastAsia="宋体" w:cs="宋体"/>
                <w:b/>
                <w:bCs w:val="0"/>
                <w:color w:val="auto"/>
                <w:kern w:val="2"/>
                <w:sz w:val="28"/>
                <w:szCs w:val="28"/>
                <w:highlight w:val="none"/>
                <w:lang w:val="en-US" w:eastAsia="zh-CN"/>
              </w:rPr>
            </w:pPr>
            <w:r>
              <w:rPr>
                <w:rFonts w:hint="eastAsia" w:ascii="宋体" w:hAnsi="宋体" w:eastAsia="宋体" w:cs="宋体"/>
                <w:b/>
                <w:bCs w:val="0"/>
                <w:color w:val="auto"/>
                <w:kern w:val="2"/>
                <w:sz w:val="28"/>
                <w:szCs w:val="28"/>
                <w:highlight w:val="none"/>
                <w:lang w:val="en-US" w:eastAsia="zh-CN"/>
              </w:rPr>
              <w:t>最高限价：73万元</w:t>
            </w:r>
          </w:p>
          <w:p>
            <w:pPr>
              <w:adjustRightInd w:val="0"/>
              <w:snapToGrid w:val="0"/>
              <w:spacing w:line="240" w:lineRule="auto"/>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rPr>
              <w:t>注：报价应包含：人员工资、法定的社会保险、法定税费、管理费、节假日福利、加班费、服装费、工具折旧费、日常耗材费、利润等（含为完成采购文件规定的服务工作所涉及的一切相关费用），包括完成该项目采购需求范围内、第三方服务等全部内容所需的费用。</w:t>
            </w:r>
          </w:p>
        </w:tc>
      </w:tr>
      <w:tr>
        <w:trPr>
          <w:trHeight w:val="90"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投标报价</w:t>
            </w:r>
          </w:p>
        </w:tc>
        <w:tc>
          <w:tcPr>
            <w:tcW w:w="6477" w:type="dxa"/>
            <w:vAlign w:val="center"/>
          </w:tcPr>
          <w:p>
            <w:pPr>
              <w:numPr>
                <w:ilvl w:val="0"/>
                <w:numId w:val="0"/>
              </w:num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针对响应文件的商务、技术和价格等内容进行磋商并提交二次报价，最终报价以二次报价为准（二次报价不得高于一次报价，否则以否决投标处理）。 </w:t>
            </w:r>
          </w:p>
        </w:tc>
      </w:tr>
      <w:tr>
        <w:trPr>
          <w:trHeight w:val="474" w:hRule="atLeast"/>
        </w:trPr>
        <w:tc>
          <w:tcPr>
            <w:tcW w:w="1275"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17</w:t>
            </w:r>
          </w:p>
        </w:tc>
        <w:tc>
          <w:tcPr>
            <w:tcW w:w="1980" w:type="dxa"/>
            <w:vAlign w:val="center"/>
          </w:tcPr>
          <w:p>
            <w:pPr>
              <w:adjustRightInd w:val="0"/>
              <w:snapToGrid w:val="0"/>
              <w:spacing w:line="24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评标办法</w:t>
            </w:r>
          </w:p>
        </w:tc>
        <w:tc>
          <w:tcPr>
            <w:tcW w:w="6477" w:type="dxa"/>
            <w:vAlign w:val="center"/>
          </w:tcPr>
          <w:p>
            <w:pPr>
              <w:adjustRightInd w:val="0"/>
              <w:snapToGrid w:val="0"/>
              <w:spacing w:line="240" w:lineRule="auto"/>
              <w:jc w:val="lef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综合评分法</w:t>
            </w:r>
          </w:p>
        </w:tc>
      </w:tr>
      <w:tr>
        <w:trPr>
          <w:trHeight w:val="1151"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18</w:t>
            </w:r>
          </w:p>
        </w:tc>
        <w:tc>
          <w:tcPr>
            <w:tcW w:w="1980" w:type="dxa"/>
            <w:vAlign w:val="center"/>
          </w:tcPr>
          <w:p>
            <w:pPr>
              <w:spacing w:line="340" w:lineRule="exact"/>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color w:val="auto"/>
                <w:sz w:val="28"/>
                <w:szCs w:val="28"/>
                <w:highlight w:val="none"/>
                <w:lang w:eastAsia="zh-CN"/>
              </w:rPr>
              <w:t>评标委员会</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评标委员会构成：3人或3人以上单数组成，评标专家确定方式：由招标代理在开标前48小时在政采云专家库中随机抽取此次评标专家。</w:t>
            </w:r>
          </w:p>
        </w:tc>
      </w:tr>
      <w:tr>
        <w:trPr>
          <w:trHeight w:val="951" w:hRule="atLeast"/>
        </w:trPr>
        <w:tc>
          <w:tcPr>
            <w:tcW w:w="1275"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w:t>
            </w:r>
          </w:p>
        </w:tc>
        <w:tc>
          <w:tcPr>
            <w:tcW w:w="1980"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是否接受联合体投标</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不接受</w:t>
            </w:r>
          </w:p>
        </w:tc>
      </w:tr>
      <w:tr>
        <w:trPr>
          <w:trHeight w:val="53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20</w:t>
            </w:r>
          </w:p>
        </w:tc>
        <w:tc>
          <w:tcPr>
            <w:tcW w:w="1980" w:type="dxa"/>
            <w:vAlign w:val="center"/>
          </w:tcPr>
          <w:p>
            <w:pPr>
              <w:numPr>
                <w:ilvl w:val="0"/>
                <w:numId w:val="0"/>
              </w:numPr>
              <w:spacing w:line="340" w:lineRule="exact"/>
              <w:ind w:left="0" w:leftChars="0" w:firstLine="0" w:firstLineChars="0"/>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踏勘现场</w:t>
            </w:r>
          </w:p>
        </w:tc>
        <w:tc>
          <w:tcPr>
            <w:tcW w:w="6477" w:type="dxa"/>
            <w:vAlign w:val="center"/>
          </w:tcPr>
          <w:p>
            <w:pPr>
              <w:numPr>
                <w:ilvl w:val="0"/>
                <w:numId w:val="0"/>
              </w:numPr>
              <w:spacing w:line="340" w:lineRule="exact"/>
              <w:ind w:left="0" w:leftChars="0" w:firstLine="0" w:firstLineChars="0"/>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不组织</w:t>
            </w:r>
          </w:p>
        </w:tc>
      </w:tr>
      <w:tr>
        <w:trPr>
          <w:trHeight w:val="484"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21</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履约保证金</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履约担保 《中华人民共和国政府采购法实施条例》第四十八条　履约保证金的数额不得超过政府采购合同金额的10%，具体金额以合同签订为准。中标人与招标人签订合同前提交履约保证金，如中标人未按招标文件规定的服务，则扣除履约保证金。</w:t>
            </w:r>
          </w:p>
        </w:tc>
      </w:tr>
      <w:tr>
        <w:trPr>
          <w:trHeight w:val="583"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22</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优先采购原则</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□不适用</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适用，根据《中华人民共和国政府采购法》第九条规定：“政府采购应当有助于实现国家的经济和社会发展政策目标，包括保护环境，扶持不发达地区和少数民族地区，促进中小企业发展等”。中标候选人总价相同的条件下，优先就近采购本地或本县产品（服务）。</w:t>
            </w:r>
          </w:p>
        </w:tc>
      </w:tr>
      <w:tr>
        <w:trPr>
          <w:trHeight w:val="506" w:hRule="atLeast"/>
        </w:trPr>
        <w:tc>
          <w:tcPr>
            <w:tcW w:w="1275" w:type="dxa"/>
            <w:vMerge w:val="restart"/>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23</w:t>
            </w:r>
          </w:p>
        </w:tc>
        <w:tc>
          <w:tcPr>
            <w:tcW w:w="1980" w:type="dxa"/>
            <w:vMerge w:val="restart"/>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政府采购政策支持</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等政府采购政策。 《财政部 发展改革委 生态环境部 市场监管总局 关于调整优化节能产品、环境标志产品政府采购执行机制的通知》（财库〔2019〕9号）。</w:t>
            </w:r>
          </w:p>
        </w:tc>
      </w:tr>
      <w:tr>
        <w:trPr>
          <w:trHeight w:val="506" w:hRule="atLeast"/>
        </w:trPr>
        <w:tc>
          <w:tcPr>
            <w:tcW w:w="1275" w:type="dxa"/>
            <w:vMerge w:val="continue"/>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p>
        </w:tc>
        <w:tc>
          <w:tcPr>
            <w:tcW w:w="1980" w:type="dxa"/>
            <w:vMerge w:val="continue"/>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 xml:space="preserve">本项目专门面向中小企业采购的项目，小型、微型企业投标的不再享受价格扣除。 </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本项目的企业划分标准所属行业为：其他未列明的行业。</w:t>
            </w:r>
          </w:p>
        </w:tc>
      </w:tr>
      <w:tr>
        <w:trPr>
          <w:trHeight w:val="995"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24</w:t>
            </w:r>
          </w:p>
        </w:tc>
        <w:tc>
          <w:tcPr>
            <w:tcW w:w="1980" w:type="dxa"/>
            <w:vAlign w:val="center"/>
          </w:tcPr>
          <w:p>
            <w:pPr>
              <w:adjustRightInd w:val="0"/>
              <w:snapToGrid w:val="0"/>
              <w:spacing w:line="36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招标代理服务费</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按差额定率累进法计算收取：100万元以下收取1.5%，100万-500万元收取0.8%，500万-1000万元收取0.45%，1000万-5000万元收取0.25%，5000万-1亿元收取0.1%，以此类推。（例如：中标金额为100.8万元，则招标代理服务收费额为（100万元X1.5%）+（0.8万元X1.1%）=15088.00元）。</w:t>
            </w:r>
          </w:p>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由中标单位在领取成交通知书时一次性支付。</w:t>
            </w:r>
          </w:p>
        </w:tc>
      </w:tr>
      <w:tr>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25</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答疑与澄清</w:t>
            </w:r>
          </w:p>
        </w:tc>
        <w:tc>
          <w:tcPr>
            <w:tcW w:w="6477" w:type="dxa"/>
            <w:vAlign w:val="center"/>
          </w:tcPr>
          <w:p>
            <w:pPr>
              <w:adjustRightInd w:val="0"/>
              <w:snapToGrid w:val="0"/>
              <w:spacing w:line="240" w:lineRule="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获取竞争性磋商文件的供应商如认为竞争性磋商文件如有表述不清晰、缺页、漏页、损页等，应当以书面形式要求采购方做出书面解释、澄清或补齐；采购人（采购代理机构）将在收到书面函的3个工作日内组织澄清或补齐；澄清或补齐内容是竞争性磋商文件的组成部分，并将以竞争性磋商文件的补充文件形式书面发布通知所有已获取竞争性磋商文件的供应商。供应商应自行留意采购人（采购代理机构）发出的澄清、修改或补充文件，并及时在发布的渠道自行获取相应的文本文件获取即可，无须回签确认收到的函。供应商未按规定时间在发布渠道的网站下载的，视同已收到。因其他紧急情况影响本项目正常招标活动的，采购方将按规定的发布渠道书面通知所有已参加投标的供应商。</w:t>
            </w:r>
          </w:p>
        </w:tc>
      </w:tr>
      <w:tr>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26</w:t>
            </w:r>
          </w:p>
        </w:tc>
        <w:tc>
          <w:tcPr>
            <w:tcW w:w="1980"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color w:val="auto"/>
                <w:sz w:val="28"/>
                <w:szCs w:val="28"/>
                <w:highlight w:val="none"/>
              </w:rPr>
              <w:t>其他说明</w:t>
            </w:r>
          </w:p>
        </w:tc>
        <w:tc>
          <w:tcPr>
            <w:tcW w:w="6477" w:type="dxa"/>
            <w:vAlign w:val="center"/>
          </w:tcPr>
          <w:p>
            <w:pPr>
              <w:spacing w:line="340" w:lineRule="exact"/>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w:t>
            </w:r>
            <w:r>
              <w:rPr>
                <w:rFonts w:hint="eastAsia" w:ascii="宋体" w:hAnsi="宋体" w:eastAsia="宋体" w:cs="宋体"/>
                <w:b/>
                <w:bCs/>
                <w:color w:val="auto"/>
                <w:sz w:val="28"/>
                <w:szCs w:val="28"/>
                <w:highlight w:val="none"/>
              </w:rPr>
              <w:t>投标供应商制作投标文件的CA锁必须和开标解密的CA锁为同一把锁，在解密过程中因为CA锁不同而导致解密失败的，由投标供应商自行承担。</w:t>
            </w:r>
          </w:p>
          <w:p>
            <w:pPr>
              <w:spacing w:line="340" w:lineRule="exact"/>
              <w:jc w:val="left"/>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投标人应保证在本项目使用的任何产品和服务（包括部分使用）时，不会产生因第三方提出侵犯其专利权、商标权</w:t>
            </w:r>
            <w:r>
              <w:rPr>
                <w:rFonts w:hint="eastAsia" w:ascii="宋体" w:hAnsi="宋体" w:eastAsia="宋体" w:cs="宋体"/>
                <w:b/>
                <w:bCs/>
                <w:color w:val="auto"/>
                <w:sz w:val="28"/>
                <w:szCs w:val="28"/>
                <w:highlight w:val="none"/>
                <w:lang w:eastAsia="zh-CN"/>
              </w:rPr>
              <w:t>或其他</w:t>
            </w:r>
            <w:r>
              <w:rPr>
                <w:rFonts w:hint="eastAsia" w:ascii="宋体" w:hAnsi="宋体" w:eastAsia="宋体" w:cs="宋体"/>
                <w:b/>
                <w:bCs/>
                <w:color w:val="auto"/>
                <w:sz w:val="28"/>
                <w:szCs w:val="28"/>
                <w:highlight w:val="none"/>
              </w:rPr>
              <w:t>知识产权而引起的法律和经济纠纷，如因专利权、商标权</w:t>
            </w:r>
            <w:r>
              <w:rPr>
                <w:rFonts w:hint="eastAsia" w:ascii="宋体" w:hAnsi="宋体" w:eastAsia="宋体" w:cs="宋体"/>
                <w:b/>
                <w:bCs/>
                <w:color w:val="auto"/>
                <w:sz w:val="28"/>
                <w:szCs w:val="28"/>
                <w:highlight w:val="none"/>
                <w:lang w:eastAsia="zh-CN"/>
              </w:rPr>
              <w:t>或其他</w:t>
            </w:r>
            <w:r>
              <w:rPr>
                <w:rFonts w:hint="eastAsia" w:ascii="宋体" w:hAnsi="宋体" w:eastAsia="宋体" w:cs="宋体"/>
                <w:b/>
                <w:bCs/>
                <w:color w:val="auto"/>
                <w:sz w:val="28"/>
                <w:szCs w:val="28"/>
                <w:highlight w:val="none"/>
              </w:rPr>
              <w:t>知识产权而引起法律和经济纠纷，由投标人承担所有相关责任的同时不得耽误本项目供应。</w:t>
            </w:r>
          </w:p>
        </w:tc>
      </w:tr>
      <w:tr>
        <w:trPr>
          <w:trHeight w:val="252" w:hRule="atLeast"/>
        </w:trPr>
        <w:tc>
          <w:tcPr>
            <w:tcW w:w="1275" w:type="dxa"/>
            <w:vAlign w:val="center"/>
          </w:tcPr>
          <w:p>
            <w:pPr>
              <w:adjustRightInd w:val="0"/>
              <w:snapToGrid w:val="0"/>
              <w:spacing w:line="360" w:lineRule="auto"/>
              <w:jc w:val="center"/>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27</w:t>
            </w:r>
          </w:p>
        </w:tc>
        <w:tc>
          <w:tcPr>
            <w:tcW w:w="1980" w:type="dxa"/>
            <w:vAlign w:val="center"/>
          </w:tcPr>
          <w:p>
            <w:pPr>
              <w:adjustRightInd w:val="0"/>
              <w:snapToGrid w:val="0"/>
              <w:spacing w:line="360" w:lineRule="auto"/>
              <w:jc w:val="center"/>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sz w:val="28"/>
                <w:szCs w:val="28"/>
                <w:highlight w:val="none"/>
              </w:rPr>
              <w:t>重要提示</w:t>
            </w:r>
          </w:p>
        </w:tc>
        <w:tc>
          <w:tcPr>
            <w:tcW w:w="6477" w:type="dxa"/>
            <w:vAlign w:val="center"/>
          </w:tcPr>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（1）中标供应商应在规定期限内领取《中标通知书》，若中标供应商未在规定期限内领取《中标通知书》，采购人有权取消中标供应商中标资格，并将相关违约行为报送监管部门，实施信用惩戒；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2）中标供应商应在规定期限内提交履约担保并与采购人签订合同，若中标供应商未能在规定期限内提交履约担保或签订合同，采购人有权取消中标供应商中标资格，并将相关违约行为报送监管部门，实施信用惩戒； </w:t>
            </w:r>
          </w:p>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3）合同签订后，中标供应商存在规定时间内不组织人员进场开工，不履行供货、安装或服务义务等情况，采购人有权解除合同，并追究违约责任，同时将相关违约行为报送监管部门，记不良行为记录，实施信用惩戒； </w:t>
            </w:r>
          </w:p>
          <w:p>
            <w:pPr>
              <w:spacing w:line="340" w:lineRule="exact"/>
              <w:jc w:val="left"/>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（4）中标供应商中标后被监管部门查实存在违法行为，不满足中标条件的，由采购人取消中标资格，并做好项目后续工作； </w:t>
            </w:r>
          </w:p>
          <w:p>
            <w:pPr>
              <w:spacing w:line="340" w:lineRule="exact"/>
              <w:jc w:val="left"/>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（5）中标供应商在中标项目发生投诉、信访举报案件、履约存在争议时，拒绝协助配合执法部门调查案件的，采购人可以取消其中标资格或解除合同，并追究其违约责任。</w:t>
            </w:r>
          </w:p>
        </w:tc>
      </w:tr>
      <w:tr>
        <w:trPr>
          <w:trHeight w:val="90" w:hRule="atLeast"/>
        </w:trPr>
        <w:tc>
          <w:tcPr>
            <w:tcW w:w="1275" w:type="dxa"/>
            <w:vAlign w:val="center"/>
          </w:tcPr>
          <w:p>
            <w:pPr>
              <w:keepNext w:val="0"/>
              <w:keepLines w:val="0"/>
              <w:pageBreakBefore w:val="0"/>
              <w:kinsoku/>
              <w:wordWrap/>
              <w:overflowPunct w:val="0"/>
              <w:topLinePunct w:val="0"/>
              <w:bidi w:val="0"/>
              <w:snapToGrid/>
              <w:spacing w:line="500" w:lineRule="exact"/>
              <w:jc w:val="center"/>
              <w:textAlignment w:val="auto"/>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color w:val="auto"/>
                <w:sz w:val="24"/>
                <w:szCs w:val="24"/>
                <w:highlight w:val="none"/>
              </w:rPr>
              <w:t>备注</w:t>
            </w:r>
          </w:p>
        </w:tc>
        <w:tc>
          <w:tcPr>
            <w:tcW w:w="8457" w:type="dxa"/>
            <w:gridSpan w:val="2"/>
            <w:vAlign w:val="center"/>
          </w:tcPr>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1、竞争性磋商文件中部分加粗、加下划线、废标、无效标、投标被拒绝字样的条款，为招标的实质性要求和条件，着重提醒各投标人注意，并认真查看竞争性磋商文件中的每一个条款及要求，因误读竞争性磋商文件而造成的后果，招标人概不负责。</w:t>
            </w:r>
          </w:p>
          <w:p>
            <w:pPr>
              <w:spacing w:line="44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val="0"/>
                <w:bCs/>
                <w:i w:val="0"/>
                <w:caps w:val="0"/>
                <w:color w:val="auto"/>
                <w:spacing w:val="0"/>
                <w:kern w:val="0"/>
                <w:sz w:val="28"/>
                <w:szCs w:val="28"/>
                <w:highlight w:val="none"/>
                <w:lang w:val="en-US" w:eastAsia="zh-CN" w:bidi="ar"/>
              </w:rPr>
              <w:t>2、投标文件中有弄虚作假的内容，其投标文件作废。（如假证书、假业绩、隐瞒不良行为记录、夸大荣誉、使用非本单位在职员工的相关证件及不符合竞争性磋商文件规定的条款等）；在签订合同之前，招标人如发现投标人的投标文件有弄虚作假内容，招标人可拒绝与其签订合同，并将其列入政府采购黑名单。</w:t>
            </w:r>
          </w:p>
        </w:tc>
      </w:tr>
      <w:tr>
        <w:trPr>
          <w:trHeight w:val="845" w:hRule="atLeast"/>
        </w:trPr>
        <w:tc>
          <w:tcPr>
            <w:tcW w:w="9732" w:type="dxa"/>
            <w:gridSpan w:val="3"/>
            <w:vAlign w:val="center"/>
          </w:tcPr>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提示：（1）采购机构将拒绝接受未获取竞争性磋商文件的投标人的投标文件。</w:t>
            </w:r>
          </w:p>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2）投标人认为竞争性磋商文件使自己的权益受到损害的，可以自获取竞争性磋商文件之日或者采购公告期限届满之日（公告期限届满后获取竞争性磋商文件的，以公告期限届满之日为准）起7个工作日内，以书面形式向采购人和采购代理机构提出质疑。对未按上述方式获取竞争性磋商文件的投标人对该文件提出的质疑，采购人或采购代理机构将不予处理。</w:t>
            </w:r>
          </w:p>
          <w:p>
            <w:pPr>
              <w:spacing w:line="440" w:lineRule="exact"/>
              <w:rPr>
                <w:rFonts w:hint="eastAsia" w:ascii="宋体" w:hAnsi="宋体" w:eastAsia="宋体" w:cs="宋体"/>
                <w:b w:val="0"/>
                <w:bCs/>
                <w:i w:val="0"/>
                <w:caps w:val="0"/>
                <w:color w:val="auto"/>
                <w:spacing w:val="0"/>
                <w:kern w:val="0"/>
                <w:sz w:val="28"/>
                <w:szCs w:val="28"/>
                <w:highlight w:val="none"/>
                <w:lang w:val="en-US" w:eastAsia="zh-CN" w:bidi="ar"/>
              </w:rPr>
            </w:pPr>
            <w:r>
              <w:rPr>
                <w:rFonts w:hint="eastAsia" w:ascii="宋体" w:hAnsi="宋体" w:eastAsia="宋体" w:cs="宋体"/>
                <w:b w:val="0"/>
                <w:bCs/>
                <w:i w:val="0"/>
                <w:caps w:val="0"/>
                <w:color w:val="auto"/>
                <w:spacing w:val="0"/>
                <w:kern w:val="0"/>
                <w:sz w:val="28"/>
                <w:szCs w:val="28"/>
                <w:highlight w:val="none"/>
                <w:lang w:val="en-US" w:eastAsia="zh-CN" w:bidi="ar"/>
              </w:rPr>
              <w:t>（3）更正补充公告请自行登录新疆政府采购网查看下载。</w:t>
            </w:r>
          </w:p>
        </w:tc>
      </w:tr>
    </w:tbl>
    <w:p>
      <w:pPr>
        <w:rPr>
          <w:rFonts w:hint="eastAsia" w:ascii="宋体" w:hAnsi="宋体" w:eastAsia="宋体" w:cs="宋体"/>
          <w:color w:val="auto"/>
          <w:sz w:val="28"/>
          <w:szCs w:val="28"/>
          <w:highlight w:val="none"/>
        </w:rPr>
      </w:pPr>
      <w:bookmarkStart w:id="25" w:name="_Toc267301282"/>
      <w:bookmarkStart w:id="26" w:name="_Toc298240405"/>
      <w:bookmarkStart w:id="27" w:name="_Toc349637920"/>
      <w:bookmarkStart w:id="28" w:name="_Toc349573121"/>
      <w:bookmarkStart w:id="29" w:name="_Toc527642952"/>
      <w:r>
        <w:rPr>
          <w:rFonts w:hint="eastAsia" w:ascii="宋体" w:hAnsi="宋体" w:eastAsia="宋体" w:cs="宋体"/>
          <w:color w:val="auto"/>
          <w:sz w:val="28"/>
          <w:szCs w:val="28"/>
          <w:highlight w:val="none"/>
        </w:rPr>
        <w:br w:type="page"/>
      </w:r>
    </w:p>
    <w:p>
      <w:pPr>
        <w:pStyle w:val="2"/>
        <w:rPr>
          <w:rFonts w:hint="eastAsia" w:ascii="宋体" w:hAnsi="宋体" w:eastAsia="宋体" w:cs="宋体"/>
        </w:rPr>
      </w:pPr>
    </w:p>
    <w:p>
      <w:pPr>
        <w:pStyle w:val="4"/>
        <w:spacing w:before="100" w:beforeAutospacing="1" w:after="100" w:afterAutospacing="1" w:line="400" w:lineRule="atLeast"/>
        <w:ind w:firstLine="3092" w:firstLineChars="11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A  说　明</w:t>
      </w:r>
      <w:bookmarkEnd w:id="25"/>
      <w:bookmarkEnd w:id="26"/>
      <w:bookmarkEnd w:id="27"/>
      <w:bookmarkEnd w:id="28"/>
      <w:bookmarkEnd w:id="29"/>
    </w:p>
    <w:p>
      <w:p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 适用范围</w:t>
      </w:r>
    </w:p>
    <w:p>
      <w:pPr>
        <w:numPr>
          <w:ilvl w:val="1"/>
          <w:numId w:val="4"/>
        </w:numPr>
        <w:spacing w:line="400" w:lineRule="atLeas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文件仅适用于本投标中所述的</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招标项目。</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2、投标人资格要求：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1.满足《中华人民共和国政府采购法》第二十二条规定；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2.落实政府采购政策需满足的资格要求：供应商为中小企业</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3.本项目的特定资格要求：</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提供经年审合格的企业法人三证合一营业执照副本；</w:t>
      </w:r>
    </w:p>
    <w:p>
      <w:pPr>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提供2022年度由第三方财务审计机构出具的财务审计报告或提供银行出具的近期资信证明；</w:t>
      </w:r>
    </w:p>
    <w:p>
      <w:pPr>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提供202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年税务机关出具近三个月的完税证明（2023年3月后成立的公司</w:t>
      </w:r>
      <w:r>
        <w:rPr>
          <w:rFonts w:hint="eastAsia" w:ascii="宋体" w:hAnsi="宋体" w:eastAsia="宋体" w:cs="宋体"/>
          <w:color w:val="auto"/>
          <w:sz w:val="28"/>
          <w:szCs w:val="28"/>
          <w:highlight w:val="none"/>
          <w:lang w:val="en-US" w:eastAsia="zh-CN"/>
        </w:rPr>
        <w:t>按实际发生</w:t>
      </w:r>
      <w:r>
        <w:rPr>
          <w:rFonts w:hint="eastAsia" w:ascii="宋体" w:hAnsi="宋体" w:eastAsia="宋体" w:cs="宋体"/>
          <w:color w:val="auto"/>
          <w:sz w:val="28"/>
          <w:szCs w:val="28"/>
          <w:highlight w:val="none"/>
          <w:lang w:eastAsia="zh-CN"/>
        </w:rPr>
        <w:t>提供）；</w:t>
      </w:r>
    </w:p>
    <w:p>
      <w:pPr>
        <w:spacing w:line="460" w:lineRule="exact"/>
        <w:ind w:firstLine="560" w:firstLineChars="200"/>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投标人近3月社保缴纳证明（单位社保缴费凭证，2023年3月后成立的公司</w:t>
      </w:r>
      <w:r>
        <w:rPr>
          <w:rFonts w:hint="eastAsia" w:ascii="宋体" w:hAnsi="宋体" w:eastAsia="宋体" w:cs="宋体"/>
          <w:color w:val="auto"/>
          <w:sz w:val="28"/>
          <w:szCs w:val="28"/>
          <w:highlight w:val="none"/>
          <w:lang w:val="en-US" w:eastAsia="zh-CN"/>
        </w:rPr>
        <w:t>按实际发生</w:t>
      </w:r>
      <w:r>
        <w:rPr>
          <w:rFonts w:hint="eastAsia" w:ascii="宋体" w:hAnsi="宋体" w:eastAsia="宋体" w:cs="宋体"/>
          <w:color w:val="auto"/>
          <w:sz w:val="28"/>
          <w:szCs w:val="28"/>
          <w:highlight w:val="none"/>
          <w:lang w:eastAsia="zh-CN"/>
        </w:rPr>
        <w:t>提供）；</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信用中国”网站（www.creditchina.gov.cn）、中国政府采购网（www.ccgp.gov.cn）、国家企业信用信息公示系统（http://www.gsxt.gov.cn）被列入失信被执行人、税收违法黑名单、政府采购严重违法失信行为记录名单的（尚在处罚期内的）、经营异常名录的，将拒绝其参加本次政府采购活动；</w:t>
      </w:r>
    </w:p>
    <w:p>
      <w:pPr>
        <w:spacing w:line="46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是否按照要求足额缴纳投标保证金；</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（7）是否提供有效的中小企业声明函。</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（8）供应商提供地质灾害治理工程勘查乙级资质；</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2.2 投标人在本次招标活动中，必须遵守《</w:t>
      </w:r>
      <w:r>
        <w:rPr>
          <w:rFonts w:hint="eastAsia" w:ascii="宋体" w:hAnsi="宋体" w:eastAsia="宋体" w:cs="宋体"/>
          <w:color w:val="auto"/>
          <w:sz w:val="28"/>
          <w:szCs w:val="28"/>
          <w:highlight w:val="none"/>
          <w:lang w:eastAsia="zh-CN"/>
        </w:rPr>
        <w:t>中华人民共和国政府采购法</w:t>
      </w:r>
      <w:r>
        <w:rPr>
          <w:rFonts w:hint="eastAsia" w:ascii="宋体" w:hAnsi="宋体" w:eastAsia="宋体" w:cs="宋体"/>
          <w:color w:val="auto"/>
          <w:sz w:val="28"/>
          <w:szCs w:val="28"/>
          <w:highlight w:val="none"/>
        </w:rPr>
        <w:t>》的规定。</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定义</w:t>
      </w:r>
    </w:p>
    <w:p>
      <w:pPr>
        <w:spacing w:line="500" w:lineRule="exac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3.1 “采购人”系指合同中明确规定的实际购买货物和服务的法人、行政事业单位、团体组织。</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3.2 “供应商”系指响应招标，并按照竞争性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文件的要求参与投标竞争的法人，中标后即为中标人，</w:t>
      </w:r>
      <w:r>
        <w:rPr>
          <w:rFonts w:hint="eastAsia" w:ascii="宋体" w:hAnsi="宋体" w:eastAsia="宋体" w:cs="宋体"/>
          <w:color w:val="auto"/>
          <w:sz w:val="28"/>
          <w:szCs w:val="28"/>
          <w:highlight w:val="none"/>
          <w:lang w:eastAsia="zh-CN"/>
        </w:rPr>
        <w:t>签订合同</w:t>
      </w:r>
      <w:r>
        <w:rPr>
          <w:rFonts w:hint="eastAsia" w:ascii="宋体" w:hAnsi="宋体" w:eastAsia="宋体" w:cs="宋体"/>
          <w:color w:val="auto"/>
          <w:sz w:val="28"/>
          <w:szCs w:val="28"/>
          <w:highlight w:val="none"/>
        </w:rPr>
        <w:t>后即为卖方。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3.3 “招标机构”系指在委托人授权范围内具体组织实施招标活动的法人。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3.4 “货物”系指卖方按合同要求，须向买方提供的一切产品</w:t>
      </w:r>
      <w:r>
        <w:rPr>
          <w:rFonts w:hint="eastAsia" w:ascii="宋体" w:hAnsi="宋体" w:eastAsia="宋体" w:cs="宋体"/>
          <w:color w:val="auto"/>
          <w:sz w:val="28"/>
          <w:szCs w:val="28"/>
          <w:highlight w:val="none"/>
          <w:lang w:eastAsia="zh-CN"/>
        </w:rPr>
        <w:t>及其他</w:t>
      </w:r>
      <w:r>
        <w:rPr>
          <w:rFonts w:hint="eastAsia" w:ascii="宋体" w:hAnsi="宋体" w:eastAsia="宋体" w:cs="宋体"/>
          <w:color w:val="auto"/>
          <w:sz w:val="28"/>
          <w:szCs w:val="28"/>
          <w:highlight w:val="none"/>
        </w:rPr>
        <w:t>技术资料和材料。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3.5 “服务”系指合同规定卖方须承担的技术协助、本地化开发、安装、调试和交付使用后免费维护期内应履行的义务及售后服务等其他类似的义务。</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3.6 “卖方”系指提供合同货物和服务的法人。</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3.7 “买方”系指购买</w:t>
      </w:r>
      <w:r>
        <w:rPr>
          <w:rFonts w:hint="eastAsia" w:ascii="宋体" w:hAnsi="宋体" w:eastAsia="宋体" w:cs="宋体"/>
          <w:color w:val="auto"/>
          <w:sz w:val="28"/>
          <w:szCs w:val="28"/>
          <w:highlight w:val="none"/>
          <w:lang w:val="en-US" w:eastAsia="zh-CN"/>
        </w:rPr>
        <w:t>服务</w:t>
      </w:r>
      <w:r>
        <w:rPr>
          <w:rFonts w:hint="eastAsia" w:ascii="宋体" w:hAnsi="宋体" w:eastAsia="宋体" w:cs="宋体"/>
          <w:color w:val="auto"/>
          <w:sz w:val="28"/>
          <w:szCs w:val="28"/>
          <w:highlight w:val="none"/>
        </w:rPr>
        <w:t>的单位。</w:t>
      </w:r>
    </w:p>
    <w:p>
      <w:pPr>
        <w:spacing w:line="500" w:lineRule="exact"/>
        <w:rPr>
          <w:rFonts w:hint="eastAsia" w:ascii="宋体" w:hAnsi="宋体" w:eastAsia="宋体" w:cs="宋体"/>
          <w:b/>
          <w:color w:val="auto"/>
          <w:sz w:val="28"/>
          <w:szCs w:val="28"/>
          <w:highlight w:val="none"/>
        </w:rPr>
      </w:pPr>
      <w:bookmarkStart w:id="30" w:name="_Toc298240406"/>
      <w:bookmarkStart w:id="31" w:name="_Toc349573122"/>
      <w:bookmarkStart w:id="32" w:name="_Toc267301283"/>
      <w:bookmarkStart w:id="33" w:name="_Toc349637921"/>
      <w:bookmarkStart w:id="34" w:name="_Toc527642953"/>
      <w:r>
        <w:rPr>
          <w:rFonts w:hint="eastAsia" w:ascii="宋体" w:hAnsi="宋体" w:eastAsia="宋体" w:cs="宋体"/>
          <w:b/>
          <w:color w:val="auto"/>
          <w:sz w:val="28"/>
          <w:szCs w:val="28"/>
          <w:highlight w:val="none"/>
        </w:rPr>
        <w:t>4、投标费用</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4.1 无论投标结果如何，供应商须自行承担所有与参加投标有关的全部费用</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采购人和招标代理机构在任何情况下均无义务和责任承担这些费用。</w:t>
      </w:r>
    </w:p>
    <w:p>
      <w:pPr>
        <w:pStyle w:val="4"/>
        <w:spacing w:before="100" w:beforeAutospacing="1" w:after="100" w:afterAutospacing="1" w:line="400" w:lineRule="atLeast"/>
        <w:ind w:firstLine="3654" w:firstLineChars="1300"/>
        <w:jc w:val="both"/>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B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w:t>
      </w:r>
      <w:bookmarkEnd w:id="30"/>
      <w:bookmarkEnd w:id="31"/>
      <w:bookmarkEnd w:id="32"/>
      <w:bookmarkEnd w:id="33"/>
      <w:bookmarkEnd w:id="34"/>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文件包括：</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TOC \o "1-2" \h \z \u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"_Toc527642949"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（1）竞争性磋商公告</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（2） 供应商须知</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"_Toc527642959"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技术要求</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"_Toc527642960"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（3） 合同条款及格式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fldChar w:fldCharType="begin"/>
      </w:r>
      <w:r>
        <w:rPr>
          <w:rFonts w:hint="eastAsia" w:ascii="宋体" w:hAnsi="宋体" w:eastAsia="宋体" w:cs="宋体"/>
          <w:color w:val="auto"/>
          <w:sz w:val="28"/>
          <w:szCs w:val="28"/>
          <w:highlight w:val="none"/>
          <w:lang w:val="en-US" w:eastAsia="zh-CN"/>
        </w:rPr>
        <w:instrText xml:space="preserve"> HYPERLINK \l "_Toc527642969" </w:instrText>
      </w:r>
      <w:r>
        <w:rPr>
          <w:rFonts w:hint="eastAsia" w:ascii="宋体" w:hAnsi="宋体" w:eastAsia="宋体" w:cs="宋体"/>
          <w:color w:val="auto"/>
          <w:sz w:val="28"/>
          <w:szCs w:val="28"/>
          <w:highlight w:val="none"/>
          <w:lang w:val="en-US" w:eastAsia="zh-CN"/>
        </w:rPr>
        <w:fldChar w:fldCharType="separate"/>
      </w:r>
      <w:r>
        <w:rPr>
          <w:rFonts w:hint="eastAsia" w:ascii="宋体" w:hAnsi="宋体" w:eastAsia="宋体" w:cs="宋体"/>
          <w:color w:val="auto"/>
          <w:sz w:val="28"/>
          <w:szCs w:val="28"/>
          <w:highlight w:val="none"/>
          <w:lang w:val="en-US" w:eastAsia="zh-CN"/>
        </w:rPr>
        <w:t>（4） 响应文件格式</w:t>
      </w:r>
      <w:r>
        <w:rPr>
          <w:rFonts w:hint="eastAsia" w:ascii="宋体" w:hAnsi="宋体" w:eastAsia="宋体" w:cs="宋体"/>
          <w:color w:val="auto"/>
          <w:sz w:val="28"/>
          <w:szCs w:val="28"/>
          <w:highlight w:val="none"/>
          <w:lang w:val="en-US" w:eastAsia="zh-CN"/>
        </w:rPr>
        <w:fldChar w:fldCharType="end"/>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fldChar w:fldCharType="end"/>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 xml:space="preserve">.2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文件以中文编写。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.3 供应商应认真阅读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文件中所有的事项、格式、条款和规范等要求，从对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文件作出实质性响应。如果没有按照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文件要求提交全部</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响应文件或资料，没有对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文件作出实质性响应，其风险应由供应商自行承担。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文件澄清</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.1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文件有疑问的，可以向招标代理机构提出询问，招标代理机构将及时</w:t>
      </w:r>
      <w:r>
        <w:rPr>
          <w:rFonts w:hint="eastAsia" w:ascii="宋体" w:hAnsi="宋体" w:eastAsia="宋体" w:cs="宋体"/>
          <w:color w:val="auto"/>
          <w:sz w:val="28"/>
          <w:szCs w:val="28"/>
          <w:highlight w:val="none"/>
          <w:lang w:eastAsia="zh-CN"/>
        </w:rPr>
        <w:t>作出</w:t>
      </w:r>
      <w:r>
        <w:rPr>
          <w:rFonts w:hint="eastAsia" w:ascii="宋体" w:hAnsi="宋体" w:eastAsia="宋体" w:cs="宋体"/>
          <w:color w:val="auto"/>
          <w:sz w:val="28"/>
          <w:szCs w:val="28"/>
          <w:highlight w:val="none"/>
        </w:rPr>
        <w:t>答复；</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供应商对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文件有质疑，须在得到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文件之日起至质疑截止时间止，以书面形式向招标机构提出质疑；招标机构在收到书面质疑后，在投标截止时间3个工作日前</w:t>
      </w:r>
      <w:r>
        <w:rPr>
          <w:rFonts w:hint="eastAsia" w:ascii="宋体" w:hAnsi="宋体" w:eastAsia="宋体" w:cs="宋体"/>
          <w:color w:val="auto"/>
          <w:sz w:val="28"/>
          <w:szCs w:val="28"/>
          <w:highlight w:val="none"/>
          <w:lang w:eastAsia="zh-CN"/>
        </w:rPr>
        <w:t>作出</w:t>
      </w:r>
      <w:r>
        <w:rPr>
          <w:rFonts w:hint="eastAsia" w:ascii="宋体" w:hAnsi="宋体" w:eastAsia="宋体" w:cs="宋体"/>
          <w:color w:val="auto"/>
          <w:sz w:val="28"/>
          <w:szCs w:val="28"/>
          <w:highlight w:val="none"/>
        </w:rPr>
        <w:t>答复，并以书面形式通知质疑供应商。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 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文件进行必要的修改，招标代理机构将在投标截止时间3个工作日前以书面形式通知所有购买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文件的供应商。该修改的内容为</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文件的组成部分；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 在投标截止时间前，招标机构可视具体情况延长投标截止时间，并将变更时间书面通知所有购买</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文件的供应商。</w:t>
      </w:r>
    </w:p>
    <w:p>
      <w:pPr>
        <w:pStyle w:val="4"/>
        <w:spacing w:before="100" w:beforeAutospacing="1" w:after="100" w:afterAutospacing="1" w:line="400" w:lineRule="atLeast"/>
        <w:jc w:val="center"/>
        <w:rPr>
          <w:rFonts w:hint="eastAsia" w:ascii="宋体" w:hAnsi="宋体" w:eastAsia="宋体" w:cs="宋体"/>
          <w:color w:val="auto"/>
          <w:sz w:val="28"/>
          <w:szCs w:val="28"/>
          <w:highlight w:val="none"/>
        </w:rPr>
      </w:pPr>
      <w:bookmarkStart w:id="35" w:name="_Toc349573123"/>
      <w:bookmarkStart w:id="36" w:name="_Toc349637922"/>
      <w:bookmarkStart w:id="37" w:name="_Toc267301284"/>
      <w:bookmarkStart w:id="38" w:name="_Toc298240407"/>
      <w:bookmarkStart w:id="39" w:name="_Toc527642954"/>
      <w:r>
        <w:rPr>
          <w:rFonts w:hint="eastAsia" w:ascii="宋体" w:hAnsi="宋体" w:eastAsia="宋体" w:cs="宋体"/>
          <w:color w:val="auto"/>
          <w:sz w:val="28"/>
          <w:szCs w:val="28"/>
          <w:highlight w:val="none"/>
        </w:rPr>
        <w:t xml:space="preserve">C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响应文件的编写</w:t>
      </w:r>
      <w:bookmarkEnd w:id="35"/>
      <w:bookmarkEnd w:id="36"/>
      <w:bookmarkEnd w:id="37"/>
      <w:bookmarkEnd w:id="38"/>
      <w:bookmarkEnd w:id="39"/>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 供应商应仔细阅读</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文件的所有内容，按</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文件的要求提供</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响应文件，并保证所提供的全部资料的真实性，以使其投标对</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文件作出实质性响应，否则，其投标可能被拒绝。</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．投标语言</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9</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响应文件及供应商与招标代理机构就投标交换的文件和来往信件，应以中文书写。</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响应文件的构成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供应商编写的</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响应文件应包括下列内容：</w:t>
      </w:r>
    </w:p>
    <w:p>
      <w:pPr>
        <w:spacing w:line="50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11.1</w:t>
      </w:r>
      <w:r>
        <w:rPr>
          <w:rFonts w:hint="eastAsia" w:ascii="宋体" w:hAnsi="宋体" w:eastAsia="宋体" w:cs="宋体"/>
          <w:b/>
          <w:bCs/>
          <w:color w:val="auto"/>
          <w:sz w:val="28"/>
          <w:szCs w:val="28"/>
          <w:highlight w:val="none"/>
        </w:rPr>
        <w:t>响应文件包含：</w:t>
      </w:r>
      <w:r>
        <w:rPr>
          <w:rFonts w:hint="eastAsia" w:ascii="宋体" w:hAnsi="宋体" w:eastAsia="宋体" w:cs="宋体"/>
          <w:b/>
          <w:bCs/>
          <w:color w:val="auto"/>
          <w:sz w:val="28"/>
          <w:szCs w:val="28"/>
          <w:highlight w:val="none"/>
          <w:lang w:eastAsia="zh-CN"/>
        </w:rPr>
        <w:t>经济报价部分、</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部分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eastAsia="zh-CN"/>
        </w:rPr>
        <w:t>技术部分三部分组成，</w:t>
      </w:r>
      <w:r>
        <w:rPr>
          <w:rFonts w:hint="eastAsia" w:ascii="宋体" w:hAnsi="宋体" w:eastAsia="宋体" w:cs="宋体"/>
          <w:b/>
          <w:bCs/>
          <w:color w:val="auto"/>
          <w:sz w:val="28"/>
          <w:szCs w:val="28"/>
          <w:highlight w:val="none"/>
          <w:lang w:val="en-US" w:eastAsia="zh-CN"/>
        </w:rPr>
        <w:t>具体详见招标文件第五部分磋商响应文件及格式</w:t>
      </w:r>
    </w:p>
    <w:p>
      <w:pPr>
        <w:spacing w:line="50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12、</w:t>
      </w:r>
      <w:r>
        <w:rPr>
          <w:rFonts w:hint="eastAsia" w:ascii="宋体" w:hAnsi="宋体" w:eastAsia="宋体" w:cs="宋体"/>
          <w:b/>
          <w:bCs/>
          <w:color w:val="auto"/>
          <w:sz w:val="28"/>
          <w:szCs w:val="28"/>
          <w:highlight w:val="none"/>
        </w:rPr>
        <w:t>投标报价（本</w:t>
      </w:r>
      <w:bookmarkStart w:id="40" w:name="OLE_LINK1"/>
      <w:r>
        <w:rPr>
          <w:rFonts w:hint="eastAsia" w:ascii="宋体" w:hAnsi="宋体" w:eastAsia="宋体" w:cs="宋体"/>
          <w:b/>
          <w:bCs/>
          <w:color w:val="auto"/>
          <w:sz w:val="28"/>
          <w:szCs w:val="28"/>
          <w:highlight w:val="none"/>
        </w:rPr>
        <w:t>项目采用二轮报价）</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12.1、投标报价不得高于采购预算价，如高于采购预算价视为无效投标报价；</w:t>
      </w:r>
    </w:p>
    <w:bookmarkEnd w:id="40"/>
    <w:p>
      <w:pPr>
        <w:spacing w:line="50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13、供应商应逐条详细阅读竞争性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文件有关要求，表明所提供的服务是否对竞争性</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文件</w:t>
      </w:r>
      <w:r>
        <w:rPr>
          <w:rFonts w:hint="eastAsia" w:ascii="宋体" w:hAnsi="宋体" w:eastAsia="宋体" w:cs="宋体"/>
          <w:b/>
          <w:bCs/>
          <w:color w:val="auto"/>
          <w:sz w:val="28"/>
          <w:szCs w:val="28"/>
          <w:highlight w:val="none"/>
          <w:lang w:eastAsia="zh-CN"/>
        </w:rPr>
        <w:t>作出</w:t>
      </w:r>
      <w:r>
        <w:rPr>
          <w:rFonts w:hint="eastAsia" w:ascii="宋体" w:hAnsi="宋体" w:eastAsia="宋体" w:cs="宋体"/>
          <w:b/>
          <w:bCs/>
          <w:color w:val="auto"/>
          <w:sz w:val="28"/>
          <w:szCs w:val="28"/>
          <w:highlight w:val="none"/>
        </w:rPr>
        <w:t>实质性响应。</w:t>
      </w:r>
    </w:p>
    <w:p>
      <w:pPr>
        <w:spacing w:line="460" w:lineRule="exact"/>
        <w:rPr>
          <w:rFonts w:hint="eastAsia" w:ascii="宋体" w:hAnsi="宋体" w:eastAsia="宋体" w:cs="宋体"/>
          <w:b/>
          <w:color w:val="auto"/>
          <w:sz w:val="28"/>
          <w:szCs w:val="28"/>
          <w:highlight w:val="none"/>
        </w:rPr>
      </w:pPr>
      <w:bookmarkStart w:id="41" w:name="_Toc349573125"/>
      <w:bookmarkStart w:id="42" w:name="_Toc298240409"/>
      <w:bookmarkStart w:id="43" w:name="_Toc267301286"/>
      <w:bookmarkStart w:id="44" w:name="_Toc349637924"/>
      <w:bookmarkStart w:id="45" w:name="_Toc527642956"/>
      <w:r>
        <w:rPr>
          <w:rFonts w:hint="eastAsia" w:ascii="宋体" w:hAnsi="宋体" w:eastAsia="宋体" w:cs="宋体"/>
          <w:b/>
          <w:color w:val="auto"/>
          <w:sz w:val="28"/>
          <w:szCs w:val="28"/>
          <w:highlight w:val="none"/>
        </w:rPr>
        <w:t>14、投标文件的有效期</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14.1 投标文件从实际开标之日起</w:t>
      </w:r>
      <w:r>
        <w:rPr>
          <w:rFonts w:hint="eastAsia" w:ascii="宋体" w:hAnsi="宋体" w:eastAsia="宋体" w:cs="宋体"/>
          <w:color w:val="auto"/>
          <w:sz w:val="28"/>
          <w:szCs w:val="28"/>
          <w:highlight w:val="none"/>
          <w:lang w:val="en-US" w:eastAsia="zh-CN"/>
        </w:rPr>
        <w:t>90</w:t>
      </w:r>
      <w:r>
        <w:rPr>
          <w:rFonts w:hint="eastAsia" w:ascii="宋体" w:hAnsi="宋体" w:eastAsia="宋体" w:cs="宋体"/>
          <w:color w:val="auto"/>
          <w:sz w:val="28"/>
          <w:szCs w:val="28"/>
          <w:highlight w:val="none"/>
        </w:rPr>
        <w:t>天内有效。有效期不足的投标文件将被拒绝。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14.2 如遇特殊情况，在原投标有效期届满之前，招标人可与投标人协商延长投标文件的有效期，并经投标人确认。</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14.3投标人可拒绝接受延期要求而不会导致投标保证金被没收。同意延长有效期的投标人需要相应延长投标保证金的有效期，但不能修改投标文件。 </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14.4中标人的投标文件自开标之日起至合同履行完毕止均应保持有效。</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15、投标文件的签署、递交、准备和解密时间要求</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15.1投标人应按本招标文件规定的格式和顺序编制、装订投标文件并标注页码，投标文件内容不完整、编排混乱导致投标文件被误读、漏读或者查找不到相关内容的，是投标人的责任。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b/>
          <w:bCs/>
          <w:color w:val="auto"/>
          <w:sz w:val="28"/>
          <w:szCs w:val="28"/>
          <w:highlight w:val="none"/>
        </w:rPr>
        <w:t>15.2投标人</w:t>
      </w:r>
      <w:r>
        <w:rPr>
          <w:rFonts w:hint="eastAsia" w:ascii="宋体" w:hAnsi="宋体" w:eastAsia="宋体" w:cs="宋体"/>
          <w:b/>
          <w:bCs/>
          <w:color w:val="auto"/>
          <w:sz w:val="28"/>
          <w:szCs w:val="28"/>
          <w:highlight w:val="none"/>
          <w:lang w:eastAsia="zh-CN"/>
        </w:rPr>
        <w:t>应于</w:t>
      </w:r>
      <w:r>
        <w:rPr>
          <w:rFonts w:hint="eastAsia" w:ascii="宋体" w:hAnsi="宋体" w:cs="宋体"/>
          <w:b/>
          <w:bCs/>
          <w:color w:val="auto"/>
          <w:sz w:val="28"/>
          <w:szCs w:val="28"/>
          <w:highlight w:val="none"/>
          <w:shd w:val="clear" w:color="auto" w:fill="auto"/>
          <w:lang w:eastAsia="zh-CN"/>
        </w:rPr>
        <w:t>2023年10月9日</w:t>
      </w:r>
      <w:r>
        <w:rPr>
          <w:rFonts w:hint="eastAsia" w:ascii="宋体" w:hAnsi="宋体" w:eastAsia="宋体" w:cs="宋体"/>
          <w:b/>
          <w:bCs/>
          <w:color w:val="auto"/>
          <w:sz w:val="28"/>
          <w:szCs w:val="28"/>
          <w:highlight w:val="none"/>
          <w:shd w:val="clear" w:color="auto" w:fill="auto"/>
          <w:lang w:eastAsia="zh-CN"/>
        </w:rPr>
        <w:t>10：30分（北京时间）</w:t>
      </w:r>
      <w:r>
        <w:rPr>
          <w:rFonts w:hint="eastAsia" w:ascii="宋体" w:hAnsi="宋体" w:eastAsia="宋体" w:cs="宋体"/>
          <w:b/>
          <w:bCs/>
          <w:color w:val="auto"/>
          <w:sz w:val="28"/>
          <w:szCs w:val="28"/>
          <w:highlight w:val="none"/>
        </w:rPr>
        <w:t>之前将电子投标文件上传到“政采云”平台。应按照本项目招标文件和政采云平台的要求编制、加密传输投标文件。供应商在使用系统进行投标的过程中遇到涉及平台使用的任何问题，可致电政采云平台技术支持热线咨询，联系方式：400-881-7190。</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15.3投标文件须由投标人在规定位置盖章并由法定代表人或法定代表人的授权委托人签署，投标人应写全称。</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15.4投标文件不得涂改，若有修改错漏处，须加盖单位公章或者法定代表人或授权委托人签字或盖章。投标文件因字迹潦草或表达不清所引起的后果由投标人负责。</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15.5</w:t>
      </w:r>
      <w:r>
        <w:rPr>
          <w:rFonts w:hint="eastAsia" w:ascii="宋体" w:hAnsi="宋体" w:eastAsia="宋体" w:cs="宋体"/>
          <w:b/>
          <w:bCs/>
          <w:color w:val="auto"/>
          <w:sz w:val="28"/>
          <w:szCs w:val="28"/>
          <w:highlight w:val="none"/>
        </w:rPr>
        <w:t xml:space="preserve">、本项目实行网上投标，采用电子投标文件。若供应商参与投标，自行承担投标一切费用。 </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15.6</w:t>
      </w:r>
      <w:r>
        <w:rPr>
          <w:rFonts w:hint="eastAsia" w:ascii="宋体" w:hAnsi="宋体" w:eastAsia="宋体" w:cs="宋体"/>
          <w:b/>
          <w:bCs/>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460" w:lineRule="exac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15.7</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lang w:val="en-US" w:eastAsia="zh-CN"/>
        </w:rPr>
        <w:t>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15.8</w:t>
      </w:r>
      <w:r>
        <w:rPr>
          <w:rFonts w:hint="eastAsia" w:ascii="宋体" w:hAnsi="宋体" w:eastAsia="宋体" w:cs="宋体"/>
          <w:b/>
          <w:bCs/>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15.9开标时间</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2023年10月9日</w:t>
      </w:r>
      <w:r>
        <w:rPr>
          <w:rFonts w:hint="eastAsia" w:ascii="宋体" w:hAnsi="宋体" w:eastAsia="宋体" w:cs="宋体"/>
          <w:b/>
          <w:bCs/>
          <w:color w:val="auto"/>
          <w:sz w:val="28"/>
          <w:szCs w:val="28"/>
          <w:highlight w:val="none"/>
          <w:lang w:eastAsia="zh-CN"/>
        </w:rPr>
        <w:t>10：30-11：</w:t>
      </w:r>
      <w:r>
        <w:rPr>
          <w:rFonts w:hint="eastAsia" w:ascii="宋体" w:hAnsi="宋体" w:eastAsia="宋体" w:cs="宋体"/>
          <w:b/>
          <w:bCs/>
          <w:color w:val="auto"/>
          <w:sz w:val="28"/>
          <w:szCs w:val="28"/>
          <w:highlight w:val="none"/>
          <w:lang w:val="en-US" w:eastAsia="zh-CN"/>
        </w:rPr>
        <w:t>0</w:t>
      </w:r>
      <w:r>
        <w:rPr>
          <w:rFonts w:hint="eastAsia" w:ascii="宋体" w:hAnsi="宋体" w:eastAsia="宋体" w:cs="宋体"/>
          <w:b/>
          <w:bCs/>
          <w:color w:val="auto"/>
          <w:sz w:val="28"/>
          <w:szCs w:val="28"/>
          <w:highlight w:val="none"/>
          <w:lang w:eastAsia="zh-CN"/>
        </w:rPr>
        <w:t>0前）</w:t>
      </w:r>
      <w:r>
        <w:rPr>
          <w:rFonts w:hint="eastAsia" w:ascii="宋体" w:hAnsi="宋体" w:eastAsia="宋体" w:cs="宋体"/>
          <w:b/>
          <w:bCs/>
          <w:color w:val="auto"/>
          <w:sz w:val="28"/>
          <w:szCs w:val="28"/>
          <w:highlight w:val="none"/>
          <w:lang w:val="en-US" w:eastAsia="zh-CN"/>
        </w:rPr>
        <w:t>30</w:t>
      </w:r>
      <w:r>
        <w:rPr>
          <w:rFonts w:hint="eastAsia" w:ascii="宋体" w:hAnsi="宋体" w:eastAsia="宋体" w:cs="宋体"/>
          <w:b/>
          <w:bCs/>
          <w:color w:val="auto"/>
          <w:sz w:val="28"/>
          <w:szCs w:val="28"/>
          <w:highlight w:val="none"/>
        </w:rPr>
        <w:t>分钟内供应商可以登录“政采云”平台，用“项目采购</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开标评标”功能进行解密投标文件。若供应商在规定时间内</w:t>
      </w:r>
      <w:r>
        <w:rPr>
          <w:rFonts w:hint="eastAsia" w:ascii="宋体" w:hAnsi="宋体" w:eastAsia="宋体" w:cs="宋体"/>
          <w:b/>
          <w:bCs/>
          <w:color w:val="auto"/>
          <w:sz w:val="28"/>
          <w:szCs w:val="28"/>
          <w:highlight w:val="none"/>
          <w:lang w:eastAsia="zh-CN"/>
        </w:rPr>
        <w:t>（</w:t>
      </w:r>
      <w:r>
        <w:rPr>
          <w:rFonts w:hint="eastAsia" w:ascii="宋体" w:hAnsi="宋体" w:cs="宋体"/>
          <w:b/>
          <w:bCs/>
          <w:color w:val="auto"/>
          <w:sz w:val="28"/>
          <w:szCs w:val="28"/>
          <w:highlight w:val="none"/>
          <w:lang w:eastAsia="zh-CN"/>
        </w:rPr>
        <w:t>2023年10月9日</w:t>
      </w:r>
      <w:r>
        <w:rPr>
          <w:rFonts w:hint="eastAsia" w:ascii="宋体" w:hAnsi="宋体" w:eastAsia="宋体" w:cs="宋体"/>
          <w:b/>
          <w:bCs/>
          <w:color w:val="auto"/>
          <w:sz w:val="28"/>
          <w:szCs w:val="28"/>
          <w:highlight w:val="none"/>
          <w:lang w:eastAsia="zh-CN"/>
        </w:rPr>
        <w:t>10：30-11：30前）</w:t>
      </w:r>
      <w:r>
        <w:rPr>
          <w:rFonts w:hint="eastAsia" w:ascii="宋体" w:hAnsi="宋体" w:eastAsia="宋体" w:cs="宋体"/>
          <w:b/>
          <w:bCs/>
          <w:color w:val="auto"/>
          <w:sz w:val="28"/>
          <w:szCs w:val="28"/>
          <w:highlight w:val="none"/>
        </w:rPr>
        <w:t>未按时解密的，视为投标文件撤回。</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16、投标保证金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16.1 投标保证金数额</w:t>
      </w:r>
      <w:r>
        <w:rPr>
          <w:rFonts w:hint="eastAsia" w:ascii="宋体" w:hAnsi="宋体" w:eastAsia="宋体" w:cs="宋体"/>
          <w:b/>
          <w:color w:val="auto"/>
          <w:sz w:val="28"/>
          <w:szCs w:val="28"/>
          <w:highlight w:val="none"/>
          <w:u w:val="single"/>
        </w:rPr>
        <w:t>详见投标人须知前附表第</w:t>
      </w:r>
      <w:r>
        <w:rPr>
          <w:rFonts w:hint="eastAsia" w:ascii="宋体" w:hAnsi="宋体" w:eastAsia="宋体" w:cs="宋体"/>
          <w:b/>
          <w:color w:val="auto"/>
          <w:sz w:val="28"/>
          <w:szCs w:val="28"/>
          <w:highlight w:val="none"/>
          <w:u w:val="single"/>
          <w:lang w:val="en-US" w:eastAsia="zh-CN"/>
        </w:rPr>
        <w:t>9</w:t>
      </w:r>
      <w:r>
        <w:rPr>
          <w:rFonts w:hint="eastAsia" w:ascii="宋体" w:hAnsi="宋体" w:eastAsia="宋体" w:cs="宋体"/>
          <w:b/>
          <w:color w:val="auto"/>
          <w:sz w:val="28"/>
          <w:szCs w:val="28"/>
          <w:highlight w:val="none"/>
          <w:u w:val="single"/>
        </w:rPr>
        <w:t>条</w:t>
      </w:r>
      <w:r>
        <w:rPr>
          <w:rFonts w:hint="eastAsia" w:ascii="宋体" w:hAnsi="宋体" w:eastAsia="宋体" w:cs="宋体"/>
          <w:color w:val="auto"/>
          <w:sz w:val="28"/>
          <w:szCs w:val="28"/>
          <w:highlight w:val="none"/>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16.2 投标保证金用于应对本次招标因投标人违规、违约而产生的风险。</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16.3 投标人必须于投标截止时间之前（</w:t>
      </w:r>
      <w:r>
        <w:rPr>
          <w:rFonts w:hint="eastAsia" w:ascii="宋体" w:hAnsi="宋体" w:eastAsia="宋体" w:cs="宋体"/>
          <w:b/>
          <w:color w:val="auto"/>
          <w:sz w:val="28"/>
          <w:szCs w:val="28"/>
          <w:highlight w:val="none"/>
          <w:u w:val="single"/>
        </w:rPr>
        <w:t>详见投标人须知前附表第</w:t>
      </w:r>
      <w:r>
        <w:rPr>
          <w:rFonts w:hint="eastAsia" w:ascii="宋体" w:hAnsi="宋体" w:eastAsia="宋体" w:cs="宋体"/>
          <w:b/>
          <w:color w:val="auto"/>
          <w:sz w:val="28"/>
          <w:szCs w:val="28"/>
          <w:highlight w:val="none"/>
          <w:u w:val="single"/>
          <w:lang w:val="en-US" w:eastAsia="zh-CN"/>
        </w:rPr>
        <w:t>9</w:t>
      </w:r>
      <w:r>
        <w:rPr>
          <w:rFonts w:hint="eastAsia" w:ascii="宋体" w:hAnsi="宋体" w:eastAsia="宋体" w:cs="宋体"/>
          <w:b/>
          <w:color w:val="auto"/>
          <w:sz w:val="28"/>
          <w:szCs w:val="28"/>
          <w:highlight w:val="none"/>
          <w:u w:val="single"/>
        </w:rPr>
        <w:t>条规定）</w:t>
      </w:r>
      <w:r>
        <w:rPr>
          <w:rFonts w:hint="eastAsia" w:ascii="宋体" w:hAnsi="宋体" w:eastAsia="宋体" w:cs="宋体"/>
          <w:color w:val="auto"/>
          <w:sz w:val="28"/>
          <w:szCs w:val="28"/>
          <w:highlight w:val="none"/>
        </w:rPr>
        <w:t>按将投标保证金交纳至规定</w:t>
      </w:r>
      <w:r>
        <w:rPr>
          <w:rFonts w:hint="eastAsia" w:ascii="宋体" w:hAnsi="宋体" w:eastAsia="宋体" w:cs="宋体"/>
          <w:color w:val="auto"/>
          <w:sz w:val="28"/>
          <w:szCs w:val="28"/>
          <w:highlight w:val="none"/>
          <w:lang w:eastAsia="zh-CN"/>
        </w:rPr>
        <w:t>的账号</w:t>
      </w:r>
      <w:r>
        <w:rPr>
          <w:rFonts w:hint="eastAsia" w:ascii="宋体" w:hAnsi="宋体" w:eastAsia="宋体" w:cs="宋体"/>
          <w:color w:val="auto"/>
          <w:sz w:val="28"/>
          <w:szCs w:val="28"/>
          <w:highlight w:val="none"/>
        </w:rPr>
        <w:t>，对未按要求提交投标保证金的投标书，招标机构将视为不响应投标予以拒绝。</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16.4 投标保证金应以基本账户对公转账方式提交。本招标不接受银行保函形式的投标保证金。</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16.5在招标方规定的投标有效期满之前，招标方将以书面形式 发出《中标通知书》，《中标通知书》一经发出即发生法律效力。</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6.6 发生以下情况投标保证金可能被没收：</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16.6.1 投标人在投标有效期内撤回投标的；</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16.6.2 中标人未能做到：中标后，无正当理由放弃中标资格。</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16.6.3 投标人在投标过程中有违反有关法律法规行为的。</w:t>
      </w:r>
    </w:p>
    <w:p>
      <w:pPr>
        <w:numPr>
          <w:ilvl w:val="0"/>
          <w:numId w:val="0"/>
        </w:numPr>
        <w:spacing w:line="460" w:lineRule="exact"/>
        <w:ind w:firstLine="2811" w:firstLineChars="1000"/>
        <w:jc w:val="both"/>
        <w:outlineLvl w:val="2"/>
        <w:rPr>
          <w:rFonts w:hint="eastAsia" w:ascii="宋体" w:hAnsi="宋体" w:eastAsia="宋体" w:cs="宋体"/>
          <w:b/>
          <w:color w:val="auto"/>
          <w:sz w:val="28"/>
          <w:szCs w:val="28"/>
          <w:highlight w:val="none"/>
        </w:rPr>
      </w:pPr>
      <w:bookmarkStart w:id="46" w:name="_Toc22295"/>
      <w:bookmarkStart w:id="47" w:name="_Toc22171"/>
      <w:r>
        <w:rPr>
          <w:rFonts w:hint="eastAsia" w:ascii="宋体" w:hAnsi="宋体" w:eastAsia="宋体" w:cs="宋体"/>
          <w:b/>
          <w:color w:val="auto"/>
          <w:sz w:val="28"/>
          <w:szCs w:val="28"/>
          <w:highlight w:val="none"/>
          <w:lang w:val="en-US" w:eastAsia="zh-CN"/>
        </w:rPr>
        <w:t xml:space="preserve">d  </w:t>
      </w:r>
      <w:r>
        <w:rPr>
          <w:rFonts w:hint="eastAsia" w:ascii="宋体" w:hAnsi="宋体" w:eastAsia="宋体" w:cs="宋体"/>
          <w:b/>
          <w:color w:val="auto"/>
          <w:sz w:val="28"/>
          <w:szCs w:val="28"/>
          <w:highlight w:val="none"/>
        </w:rPr>
        <w:t>投标文件的递交</w:t>
      </w:r>
      <w:bookmarkEnd w:id="46"/>
      <w:bookmarkEnd w:id="47"/>
    </w:p>
    <w:p>
      <w:pPr>
        <w:widowControl/>
        <w:spacing w:line="340" w:lineRule="exact"/>
        <w:jc w:val="left"/>
        <w:rPr>
          <w:rFonts w:hint="eastAsia" w:ascii="宋体" w:hAnsi="宋体" w:eastAsia="宋体" w:cs="宋体"/>
          <w:b w:val="0"/>
          <w:bCs w:val="0"/>
          <w:color w:val="auto"/>
          <w:kern w:val="0"/>
          <w:sz w:val="28"/>
          <w:szCs w:val="28"/>
          <w:highlight w:val="none"/>
        </w:rPr>
      </w:pPr>
      <w:r>
        <w:rPr>
          <w:rFonts w:hint="eastAsia" w:ascii="宋体" w:hAnsi="宋体" w:eastAsia="宋体" w:cs="宋体"/>
          <w:b w:val="0"/>
          <w:bCs w:val="0"/>
          <w:color w:val="auto"/>
          <w:kern w:val="0"/>
          <w:sz w:val="28"/>
          <w:szCs w:val="28"/>
          <w:highlight w:val="none"/>
        </w:rPr>
        <w:t>17.1.投标文件的准备和解密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本项目实行网上投标，采用电子投标文件。若供应商参与投标，自行承担投标一切费用。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17.1.3 </w:t>
      </w:r>
      <w:r>
        <w:rPr>
          <w:rFonts w:hint="eastAsia" w:ascii="宋体" w:hAnsi="宋体" w:eastAsia="宋体" w:cs="宋体"/>
          <w:color w:val="auto"/>
          <w:sz w:val="28"/>
          <w:szCs w:val="28"/>
          <w:highlight w:val="none"/>
        </w:rPr>
        <w:t xml:space="preserve">各供应商应在开标前应确保成为新疆维吾尔自治区政府采购网正式注册入库供应商，并完成CA数字证书申领。因未注册入库、未办理CA数字证书等原因造成无法投标或投标失败等后果由供应商自行承担。 </w:t>
      </w:r>
    </w:p>
    <w:p>
      <w:pPr>
        <w:widowControl/>
        <w:spacing w:line="46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17.1.4 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17.1.5</w:t>
      </w:r>
      <w:r>
        <w:rPr>
          <w:rFonts w:hint="eastAsia" w:ascii="宋体" w:hAnsi="宋体" w:eastAsia="宋体" w:cs="宋体"/>
          <w:color w:val="auto"/>
          <w:sz w:val="28"/>
          <w:szCs w:val="28"/>
          <w:highlight w:val="none"/>
        </w:rPr>
        <w:t>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1.6 </w:t>
      </w:r>
      <w:r>
        <w:rPr>
          <w:rFonts w:hint="eastAsia" w:ascii="宋体" w:hAnsi="宋体" w:eastAsia="宋体" w:cs="宋体"/>
          <w:color w:val="auto"/>
          <w:sz w:val="28"/>
          <w:szCs w:val="28"/>
          <w:highlight w:val="none"/>
        </w:rPr>
        <w:t>投标截止时间后，供应商应及时登录“</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”平台，用“项目采购</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开标评标”功能对投标文件进行解密。规定的解密时限为：</w:t>
      </w:r>
      <w:bookmarkStart w:id="48" w:name="_Hlk49254376"/>
      <w:r>
        <w:rPr>
          <w:rFonts w:hint="eastAsia" w:ascii="宋体" w:hAnsi="宋体" w:eastAsia="宋体" w:cs="宋体"/>
          <w:color w:val="auto"/>
          <w:sz w:val="28"/>
          <w:szCs w:val="28"/>
          <w:highlight w:val="none"/>
        </w:rPr>
        <w:t>“投标人须知前附表”</w:t>
      </w:r>
      <w:r>
        <w:rPr>
          <w:rFonts w:hint="eastAsia" w:ascii="宋体" w:hAnsi="宋体" w:eastAsia="宋体" w:cs="宋体"/>
          <w:color w:val="auto"/>
          <w:sz w:val="28"/>
          <w:szCs w:val="28"/>
          <w:highlight w:val="none"/>
          <w:lang w:eastAsia="zh-CN"/>
        </w:rPr>
        <w:t>的规定</w:t>
      </w:r>
      <w:bookmarkEnd w:id="48"/>
      <w:r>
        <w:rPr>
          <w:rFonts w:hint="eastAsia" w:ascii="宋体" w:hAnsi="宋体" w:eastAsia="宋体" w:cs="宋体"/>
          <w:color w:val="auto"/>
          <w:sz w:val="28"/>
          <w:szCs w:val="28"/>
          <w:highlight w:val="none"/>
        </w:rPr>
        <w:t>，若供应商在规定的时间内（“投标人须知前附表”</w:t>
      </w:r>
      <w:r>
        <w:rPr>
          <w:rFonts w:hint="eastAsia" w:ascii="宋体" w:hAnsi="宋体" w:eastAsia="宋体" w:cs="宋体"/>
          <w:color w:val="auto"/>
          <w:sz w:val="28"/>
          <w:szCs w:val="28"/>
          <w:highlight w:val="none"/>
          <w:lang w:eastAsia="zh-CN"/>
        </w:rPr>
        <w:t>的规定</w:t>
      </w:r>
      <w:r>
        <w:rPr>
          <w:rFonts w:hint="eastAsia" w:ascii="宋体" w:hAnsi="宋体" w:eastAsia="宋体" w:cs="宋体"/>
          <w:color w:val="auto"/>
          <w:sz w:val="28"/>
          <w:szCs w:val="28"/>
          <w:highlight w:val="none"/>
        </w:rPr>
        <w:t>）未能解密的，视为供应商对其投标文件的撤回。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 xml:space="preserve">7 </w:t>
      </w:r>
      <w:r>
        <w:rPr>
          <w:rFonts w:hint="eastAsia" w:ascii="宋体" w:hAnsi="宋体" w:eastAsia="宋体" w:cs="宋体"/>
          <w:color w:val="auto"/>
          <w:sz w:val="28"/>
          <w:szCs w:val="28"/>
          <w:highlight w:val="none"/>
        </w:rPr>
        <w:t>因系统（非投标供应商行为）的原因，造成投标供应商未能在规定的解密时限内解密的，请及时与招标代理机构或与</w:t>
      </w:r>
      <w:r>
        <w:rPr>
          <w:rFonts w:hint="eastAsia" w:ascii="宋体" w:hAnsi="宋体" w:eastAsia="宋体" w:cs="宋体"/>
          <w:color w:val="auto"/>
          <w:sz w:val="28"/>
          <w:szCs w:val="28"/>
          <w:highlight w:val="none"/>
          <w:lang w:eastAsia="zh-CN"/>
        </w:rPr>
        <w:t>政采云</w:t>
      </w:r>
      <w:r>
        <w:rPr>
          <w:rFonts w:hint="eastAsia" w:ascii="宋体" w:hAnsi="宋体" w:eastAsia="宋体" w:cs="宋体"/>
          <w:color w:val="auto"/>
          <w:sz w:val="28"/>
          <w:szCs w:val="28"/>
          <w:highlight w:val="none"/>
        </w:rPr>
        <w:t>投标客户端进行联系。</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1.8 </w:t>
      </w:r>
      <w:r>
        <w:rPr>
          <w:rFonts w:hint="eastAsia" w:ascii="宋体" w:hAnsi="宋体" w:eastAsia="宋体" w:cs="宋体"/>
          <w:color w:val="auto"/>
          <w:sz w:val="28"/>
          <w:szCs w:val="28"/>
          <w:highlight w:val="none"/>
        </w:rPr>
        <w:t>投标文件未按规定上传的，视为其自动放弃投标。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1.9 </w:t>
      </w:r>
      <w:r>
        <w:rPr>
          <w:rFonts w:hint="eastAsia" w:ascii="宋体" w:hAnsi="宋体" w:eastAsia="宋体" w:cs="宋体"/>
          <w:color w:val="auto"/>
          <w:sz w:val="28"/>
          <w:szCs w:val="28"/>
          <w:highlight w:val="none"/>
        </w:rPr>
        <w:t>投标文件的修改与撤回</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1.10</w:t>
      </w:r>
      <w:r>
        <w:rPr>
          <w:rFonts w:hint="eastAsia" w:ascii="宋体" w:hAnsi="宋体" w:eastAsia="宋体" w:cs="宋体"/>
          <w:color w:val="auto"/>
          <w:sz w:val="28"/>
          <w:szCs w:val="28"/>
          <w:highlight w:val="none"/>
        </w:rPr>
        <w:t>投标人在投标截止时间前，可以对所递交的投标文件进行补充、修改或者撤回，并书面通知采购人或者采购代理机构。</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1.11 </w:t>
      </w:r>
      <w:r>
        <w:rPr>
          <w:rFonts w:hint="eastAsia" w:ascii="宋体" w:hAnsi="宋体" w:eastAsia="宋体" w:cs="宋体"/>
          <w:color w:val="auto"/>
          <w:sz w:val="28"/>
          <w:szCs w:val="28"/>
          <w:highlight w:val="none"/>
        </w:rPr>
        <w:t>投标人在投标截止期后不得修改、撤回投标文件。投标人在投标截止期后修改投标文件的，其投标无效。</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17.</w:t>
      </w:r>
      <w:r>
        <w:rPr>
          <w:rFonts w:hint="eastAsia" w:ascii="宋体" w:hAnsi="宋体" w:eastAsia="宋体" w:cs="宋体"/>
          <w:color w:val="auto"/>
          <w:sz w:val="28"/>
          <w:szCs w:val="28"/>
          <w:highlight w:val="none"/>
          <w:lang w:val="en-US" w:eastAsia="zh-CN"/>
        </w:rPr>
        <w:t xml:space="preserve">1.12 </w:t>
      </w:r>
      <w:r>
        <w:rPr>
          <w:rFonts w:hint="eastAsia" w:ascii="宋体" w:hAnsi="宋体" w:eastAsia="宋体" w:cs="宋体"/>
          <w:color w:val="auto"/>
          <w:sz w:val="28"/>
          <w:szCs w:val="28"/>
          <w:highlight w:val="none"/>
        </w:rPr>
        <w:t>若供应商在规定的时间内（“投标人须知前附表”</w:t>
      </w:r>
      <w:r>
        <w:rPr>
          <w:rFonts w:hint="eastAsia" w:ascii="宋体" w:hAnsi="宋体" w:eastAsia="宋体" w:cs="宋体"/>
          <w:color w:val="auto"/>
          <w:sz w:val="28"/>
          <w:szCs w:val="28"/>
          <w:highlight w:val="none"/>
          <w:lang w:eastAsia="zh-CN"/>
        </w:rPr>
        <w:t>的规定</w:t>
      </w:r>
      <w:r>
        <w:rPr>
          <w:rFonts w:hint="eastAsia" w:ascii="宋体" w:hAnsi="宋体" w:eastAsia="宋体" w:cs="宋体"/>
          <w:color w:val="auto"/>
          <w:sz w:val="28"/>
          <w:szCs w:val="28"/>
          <w:highlight w:val="none"/>
        </w:rPr>
        <w:t>）未能解密的，也将被视为供应商对其投标文件的撤回。</w:t>
      </w:r>
    </w:p>
    <w:p>
      <w:pPr>
        <w:spacing w:line="360" w:lineRule="auto"/>
        <w:ind w:firstLine="3654" w:firstLineChars="1300"/>
        <w:jc w:val="both"/>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 xml:space="preserve">E  </w:t>
      </w:r>
      <w:r>
        <w:rPr>
          <w:rFonts w:hint="eastAsia" w:ascii="宋体" w:hAnsi="宋体" w:eastAsia="宋体" w:cs="宋体"/>
          <w:b/>
          <w:bCs/>
          <w:color w:val="auto"/>
          <w:sz w:val="28"/>
          <w:szCs w:val="28"/>
          <w:highlight w:val="none"/>
          <w:lang w:eastAsia="zh-CN"/>
        </w:rPr>
        <w:t>磋商</w:t>
      </w:r>
      <w:r>
        <w:rPr>
          <w:rFonts w:hint="eastAsia" w:ascii="宋体" w:hAnsi="宋体" w:eastAsia="宋体" w:cs="宋体"/>
          <w:b/>
          <w:bCs/>
          <w:color w:val="auto"/>
          <w:sz w:val="28"/>
          <w:szCs w:val="28"/>
          <w:highlight w:val="none"/>
        </w:rPr>
        <w:t>程序</w:t>
      </w:r>
      <w:bookmarkEnd w:id="41"/>
      <w:bookmarkEnd w:id="42"/>
      <w:bookmarkEnd w:id="43"/>
      <w:bookmarkEnd w:id="44"/>
      <w:bookmarkEnd w:id="45"/>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18、</w:t>
      </w:r>
      <w:r>
        <w:rPr>
          <w:rFonts w:hint="eastAsia" w:ascii="宋体" w:hAnsi="宋体" w:eastAsia="宋体" w:cs="宋体"/>
          <w:color w:val="auto"/>
          <w:sz w:val="28"/>
          <w:szCs w:val="28"/>
          <w:highlight w:val="none"/>
        </w:rPr>
        <w:t>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18.1.1 本次采用不见面方式网上开标。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18.1.2开标由招标代理机构主持，招标人、投标人和有关方面代表参加。</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18.1.3开标时，由采购代理机构工作人员当众在不见面开标大厅解密，宣布投标人名称、投标价格和招标文件规定的需要宣布的其他内容。投标人不足3家的，不得开标。</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18.1.4开标时，投标报价以系统显示投标报价为准。 </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18.1.5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pPr>
        <w:widowControl/>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18.1.6投标人代表在开标过程中未提出异议的，视为认可本次开标及开标过程的全部事宜。</w:t>
      </w:r>
    </w:p>
    <w:p>
      <w:pPr>
        <w:numPr>
          <w:ilvl w:val="0"/>
          <w:numId w:val="0"/>
        </w:numPr>
        <w:spacing w:line="460" w:lineRule="exact"/>
        <w:ind w:firstLine="3654" w:firstLineChars="1300"/>
        <w:jc w:val="both"/>
        <w:outlineLvl w:val="2"/>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评标、定标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19.评标</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 xml:space="preserve">19.1磋商小组组成及职责 </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19.2、磋商小组组成：在磋商开始前，磋商小组成员由采购人代表及有关技术、经济，法律等方面的专家组成，其中技术、经济、法律类专家人数不少于总人数的 2/3。</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19.3、磋商小组或评标小组负责具体的评标事务，并独立履行以下职责：</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19.3.1 审查响应文件是否符合竞争性磋商文件的要求，并作出评价；</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19.3.2 可以要求投标供应商对响应文件有关事项作出解释或澄清；</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19.3.3 向招标单位或者有关部门报告非法干预评标工作的行为。</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19.3.4 磋商小组成员应当履行下列义务：</w:t>
      </w:r>
    </w:p>
    <w:p>
      <w:pPr>
        <w:spacing w:line="500" w:lineRule="exact"/>
        <w:ind w:left="105" w:hanging="105"/>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19.3.5 遵纪守法，客观、公正、廉洁地履行职责；</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kern w:val="2"/>
          <w:sz w:val="28"/>
          <w:szCs w:val="28"/>
          <w:highlight w:val="none"/>
          <w:lang w:val="en-US" w:eastAsia="zh-CN" w:bidi="ar-SA"/>
        </w:rPr>
        <w:t>19.3.6 按照竞争性磋商文件规定的评标办法和评标标准进行评标，</w:t>
      </w:r>
      <w:r>
        <w:rPr>
          <w:rFonts w:hint="eastAsia" w:ascii="宋体" w:hAnsi="宋体" w:eastAsia="宋体" w:cs="宋体"/>
          <w:color w:val="auto"/>
          <w:sz w:val="28"/>
          <w:szCs w:val="28"/>
          <w:highlight w:val="none"/>
        </w:rPr>
        <w:t>对评审意见承担个人责任；</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19.3.7</w:t>
      </w:r>
      <w:r>
        <w:rPr>
          <w:rFonts w:hint="eastAsia" w:ascii="宋体" w:hAnsi="宋体" w:eastAsia="宋体" w:cs="宋体"/>
          <w:color w:val="auto"/>
          <w:sz w:val="28"/>
          <w:szCs w:val="28"/>
          <w:highlight w:val="none"/>
        </w:rPr>
        <w:t>对评标过程和结果，以及供应商的商业秘密保密；</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19.3.8</w:t>
      </w:r>
      <w:r>
        <w:rPr>
          <w:rFonts w:hint="eastAsia" w:ascii="宋体" w:hAnsi="宋体" w:eastAsia="宋体" w:cs="宋体"/>
          <w:color w:val="auto"/>
          <w:sz w:val="28"/>
          <w:szCs w:val="28"/>
          <w:highlight w:val="none"/>
        </w:rPr>
        <w:t xml:space="preserve"> 参与评标报告的起草；</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19.3.9 </w:t>
      </w:r>
      <w:r>
        <w:rPr>
          <w:rFonts w:hint="eastAsia" w:ascii="宋体" w:hAnsi="宋体" w:eastAsia="宋体" w:cs="宋体"/>
          <w:color w:val="auto"/>
          <w:sz w:val="28"/>
          <w:szCs w:val="28"/>
          <w:highlight w:val="none"/>
        </w:rPr>
        <w:t>配合财政部门的投诉处理工作；</w:t>
      </w:r>
    </w:p>
    <w:p>
      <w:pPr>
        <w:spacing w:line="500" w:lineRule="exact"/>
        <w:ind w:left="105" w:hanging="105"/>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19.3.10</w:t>
      </w:r>
      <w:r>
        <w:rPr>
          <w:rFonts w:hint="eastAsia" w:ascii="宋体" w:hAnsi="宋体" w:eastAsia="宋体" w:cs="宋体"/>
          <w:color w:val="auto"/>
          <w:sz w:val="28"/>
          <w:szCs w:val="28"/>
          <w:highlight w:val="none"/>
        </w:rPr>
        <w:t xml:space="preserve"> 配合招标单位答复投标供应商提出的质疑。</w:t>
      </w:r>
    </w:p>
    <w:p>
      <w:pPr>
        <w:spacing w:line="500" w:lineRule="exac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19.3.11</w:t>
      </w:r>
      <w:r>
        <w:rPr>
          <w:rFonts w:hint="eastAsia" w:ascii="宋体" w:hAnsi="宋体" w:eastAsia="宋体" w:cs="宋体"/>
          <w:color w:val="auto"/>
          <w:sz w:val="28"/>
          <w:szCs w:val="28"/>
          <w:highlight w:val="none"/>
        </w:rPr>
        <w:t>按国家计委等七部委颁发的《评标委员会和评标方法暂行规定》，结合本项目特点，</w:t>
      </w:r>
      <w:r>
        <w:rPr>
          <w:rFonts w:hint="eastAsia" w:ascii="宋体" w:hAnsi="宋体" w:eastAsia="宋体" w:cs="宋体"/>
          <w:b/>
          <w:color w:val="auto"/>
          <w:sz w:val="28"/>
          <w:szCs w:val="28"/>
          <w:highlight w:val="none"/>
        </w:rPr>
        <w:t>本项目采用竞争性</w:t>
      </w:r>
      <w:r>
        <w:rPr>
          <w:rFonts w:hint="eastAsia" w:ascii="宋体" w:hAnsi="宋体" w:eastAsia="宋体" w:cs="宋体"/>
          <w:b/>
          <w:color w:val="auto"/>
          <w:sz w:val="28"/>
          <w:szCs w:val="28"/>
          <w:highlight w:val="none"/>
          <w:lang w:eastAsia="zh-CN"/>
        </w:rPr>
        <w:t>磋商</w:t>
      </w:r>
      <w:r>
        <w:rPr>
          <w:rFonts w:hint="eastAsia" w:ascii="宋体" w:hAnsi="宋体" w:eastAsia="宋体" w:cs="宋体"/>
          <w:b/>
          <w:color w:val="auto"/>
          <w:sz w:val="28"/>
          <w:szCs w:val="28"/>
          <w:highlight w:val="none"/>
        </w:rPr>
        <w:t>方式</w:t>
      </w:r>
      <w:r>
        <w:rPr>
          <w:rFonts w:hint="eastAsia" w:ascii="宋体" w:hAnsi="宋体" w:eastAsia="宋体" w:cs="宋体"/>
          <w:color w:val="auto"/>
          <w:sz w:val="28"/>
          <w:szCs w:val="28"/>
          <w:highlight w:val="none"/>
        </w:rPr>
        <w:t>（本项目采用两轮报价，供应商提交</w:t>
      </w:r>
      <w:r>
        <w:rPr>
          <w:rFonts w:hint="eastAsia" w:ascii="宋体" w:hAnsi="宋体" w:eastAsia="宋体" w:cs="宋体"/>
          <w:color w:val="auto"/>
          <w:sz w:val="28"/>
          <w:szCs w:val="28"/>
          <w:highlight w:val="none"/>
          <w:lang w:eastAsia="zh-CN"/>
        </w:rPr>
        <w:t>三次</w:t>
      </w:r>
      <w:r>
        <w:rPr>
          <w:rFonts w:hint="eastAsia" w:ascii="宋体" w:hAnsi="宋体" w:eastAsia="宋体" w:cs="宋体"/>
          <w:color w:val="auto"/>
          <w:sz w:val="28"/>
          <w:szCs w:val="28"/>
          <w:highlight w:val="none"/>
        </w:rPr>
        <w:t>报价后，</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小组对满足所有实质性要求提交最后报价的供应商的响应文件和供应商提交的</w:t>
      </w:r>
      <w:r>
        <w:rPr>
          <w:rFonts w:hint="eastAsia" w:ascii="宋体" w:hAnsi="宋体" w:eastAsia="宋体" w:cs="宋体"/>
          <w:color w:val="auto"/>
          <w:sz w:val="28"/>
          <w:szCs w:val="28"/>
          <w:highlight w:val="none"/>
          <w:lang w:eastAsia="zh-CN"/>
        </w:rPr>
        <w:t>三次</w:t>
      </w:r>
      <w:r>
        <w:rPr>
          <w:rFonts w:hint="eastAsia" w:ascii="宋体" w:hAnsi="宋体" w:eastAsia="宋体" w:cs="宋体"/>
          <w:color w:val="auto"/>
          <w:sz w:val="28"/>
          <w:szCs w:val="28"/>
          <w:highlight w:val="none"/>
        </w:rPr>
        <w:t>报价进行</w:t>
      </w:r>
      <w:r>
        <w:rPr>
          <w:rFonts w:hint="eastAsia" w:ascii="宋体" w:hAnsi="宋体" w:eastAsia="宋体" w:cs="宋体"/>
          <w:color w:val="auto"/>
          <w:sz w:val="28"/>
          <w:szCs w:val="28"/>
          <w:highlight w:val="none"/>
          <w:lang w:val="en-US" w:eastAsia="zh-CN"/>
        </w:rPr>
        <w:t>评审，综合得分最高的供应商为推荐成交供应商</w:t>
      </w:r>
      <w:r>
        <w:rPr>
          <w:rFonts w:hint="eastAsia" w:ascii="宋体" w:hAnsi="宋体" w:eastAsia="宋体" w:cs="宋体"/>
          <w:color w:val="auto"/>
          <w:sz w:val="28"/>
          <w:szCs w:val="28"/>
          <w:highlight w:val="none"/>
        </w:rPr>
        <w:t>）</w:t>
      </w:r>
      <w:r>
        <w:rPr>
          <w:rFonts w:hint="eastAsia" w:ascii="宋体" w:hAnsi="宋体" w:eastAsia="宋体" w:cs="宋体"/>
          <w:b/>
          <w:color w:val="auto"/>
          <w:sz w:val="28"/>
          <w:szCs w:val="28"/>
          <w:highlight w:val="none"/>
        </w:rPr>
        <w:t xml:space="preserve">。  </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19.3.14</w:t>
      </w:r>
      <w:r>
        <w:rPr>
          <w:rFonts w:hint="eastAsia" w:ascii="宋体" w:hAnsi="宋体" w:eastAsia="宋体" w:cs="宋体"/>
          <w:color w:val="auto"/>
          <w:sz w:val="28"/>
          <w:szCs w:val="28"/>
          <w:highlight w:val="none"/>
        </w:rPr>
        <w:t>评标的依据为竞争性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文件和响应文件。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19.3.15</w:t>
      </w:r>
      <w:r>
        <w:rPr>
          <w:rFonts w:hint="eastAsia" w:ascii="宋体" w:hAnsi="宋体" w:eastAsia="宋体" w:cs="宋体"/>
          <w:color w:val="auto"/>
          <w:sz w:val="28"/>
          <w:szCs w:val="28"/>
          <w:highlight w:val="none"/>
        </w:rPr>
        <w:t>评标过程的保密性。开标后，直到授予供应商合同止，凡是属于审查、澄清、评价和比较的有关资料以及授标建议等均不得向供应商或其他无关的人员透露。</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19.3.16</w:t>
      </w:r>
      <w:r>
        <w:rPr>
          <w:rFonts w:hint="eastAsia" w:ascii="宋体" w:hAnsi="宋体" w:eastAsia="宋体" w:cs="宋体"/>
          <w:color w:val="auto"/>
          <w:sz w:val="28"/>
          <w:szCs w:val="28"/>
          <w:highlight w:val="none"/>
        </w:rPr>
        <w:t>供应商在评标过程中所进行的力图影响评标结果、有悖于招标规则的活动，将导致取消其中标资格。</w:t>
      </w:r>
    </w:p>
    <w:p>
      <w:pPr>
        <w:spacing w:line="500" w:lineRule="exact"/>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19.3.17</w:t>
      </w:r>
      <w:r>
        <w:rPr>
          <w:rFonts w:hint="eastAsia" w:ascii="宋体" w:hAnsi="宋体" w:eastAsia="宋体" w:cs="宋体"/>
          <w:color w:val="auto"/>
          <w:sz w:val="28"/>
          <w:szCs w:val="28"/>
          <w:highlight w:val="none"/>
        </w:rPr>
        <w:t>与竞争性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文件有重大偏离的响应文件将被拒绝。且此重大偏离在开标后不许修改。</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19.3.18</w:t>
      </w:r>
      <w:r>
        <w:rPr>
          <w:rFonts w:hint="eastAsia" w:ascii="宋体" w:hAnsi="宋体" w:eastAsia="宋体" w:cs="宋体"/>
          <w:color w:val="auto"/>
          <w:sz w:val="28"/>
          <w:szCs w:val="28"/>
          <w:highlight w:val="none"/>
        </w:rPr>
        <w:t>根据国家计委等七部委颁发的《评标委员会和评标方法暂行规定》以下为</w:t>
      </w:r>
      <w:r>
        <w:rPr>
          <w:rFonts w:hint="eastAsia" w:ascii="宋体" w:hAnsi="宋体" w:eastAsia="宋体" w:cs="宋体"/>
          <w:b/>
          <w:bCs/>
          <w:color w:val="auto"/>
          <w:sz w:val="28"/>
          <w:szCs w:val="28"/>
          <w:highlight w:val="none"/>
        </w:rPr>
        <w:t>重大偏离：</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（一）投标保证金的缴纳主体与供应商不一致的，没有按照竞争性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文件要求提供投标担保，或者所提供的投标担保有瑕疵的；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（二）响应文件没有供应商法定代表人或其授权代表签字（章）和加盖供应商公章的；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（三）响应文件记载的招标项目完成期限超过竞争性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文件规定的完成期限；</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（四）商务条款有偏离情况的；</w:t>
      </w:r>
    </w:p>
    <w:p>
      <w:pPr>
        <w:pStyle w:val="7"/>
        <w:ind w:left="0" w:leftChars="0" w:firstLine="0" w:firstLineChars="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（五）技术条款有偏离情况的；</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（六）投标附有采购人不能接受的条件；</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（七）不符合竞争性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文件中规定的其他实质性要求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（八</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投标报价不符合竞争性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文件规定的要求。</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响应文件有上述情形之一的，视为非实质性响应招标，并按规定作废标处理。竞争性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文件对重大偏差另有规定的，从其规定。</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小组应当审查每一响应文件是否对竞争性</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文件提出的所有实质性要求和条件作出响应。未能在实质上响应招标的投标，将作废标处理。</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20  </w:t>
      </w:r>
      <w:r>
        <w:rPr>
          <w:rFonts w:hint="eastAsia" w:ascii="宋体" w:hAnsi="宋体" w:eastAsia="宋体" w:cs="宋体"/>
          <w:color w:val="auto"/>
          <w:sz w:val="28"/>
          <w:szCs w:val="28"/>
          <w:highlight w:val="none"/>
        </w:rPr>
        <w:t>评审标准对投标文件的初步审查和响应性确定</w:t>
      </w:r>
    </w:p>
    <w:p>
      <w:pPr>
        <w:spacing w:line="500" w:lineRule="exact"/>
        <w:rPr>
          <w:rFonts w:hint="eastAsia" w:ascii="宋体" w:hAnsi="宋体" w:eastAsia="宋体" w:cs="宋体"/>
          <w:color w:val="auto"/>
          <w:kern w:val="2"/>
          <w:sz w:val="28"/>
          <w:szCs w:val="28"/>
          <w:highlight w:val="none"/>
          <w:lang w:eastAsia="zh-CN"/>
        </w:rPr>
      </w:pPr>
      <w:r>
        <w:rPr>
          <w:rFonts w:hint="eastAsia" w:ascii="宋体" w:hAnsi="宋体" w:eastAsia="宋体" w:cs="宋体"/>
          <w:color w:val="auto"/>
          <w:sz w:val="28"/>
          <w:szCs w:val="28"/>
          <w:highlight w:val="none"/>
        </w:rPr>
        <w:t>20.1 开标后招标人将审查投标文件的完整性、准确性以及保证金提交、文件签署情况。在审查时，（一）开标一览表与政采云系统中填报的价格及其他信息不一致时，以开标一览表为准；（二）投标文件中开标一览表（报价表）内容与投标文件中相应内容不一致的，以开标一览表（报价表）为准；（三）大写金额和小写金额不一致的，以大写金额为准；</w:t>
      </w:r>
      <w:r>
        <w:rPr>
          <w:rFonts w:hint="eastAsia" w:ascii="宋体" w:hAnsi="宋体" w:eastAsia="宋体" w:cs="宋体"/>
          <w:color w:val="auto"/>
          <w:kern w:val="2"/>
          <w:sz w:val="28"/>
          <w:szCs w:val="28"/>
          <w:highlight w:val="none"/>
        </w:rPr>
        <w:t>（四）单价金额小数点或者百分比有明显错位的，以开标一览表的总价为准，并修改单价；</w:t>
      </w:r>
      <w:r>
        <w:rPr>
          <w:rFonts w:hint="eastAsia" w:ascii="宋体" w:hAnsi="宋体" w:eastAsia="宋体" w:cs="宋体"/>
          <w:color w:val="auto"/>
          <w:kern w:val="2"/>
          <w:sz w:val="28"/>
          <w:szCs w:val="28"/>
          <w:highlight w:val="none"/>
          <w:lang w:eastAsia="zh-CN"/>
        </w:rPr>
        <w:t>（</w:t>
      </w:r>
      <w:r>
        <w:rPr>
          <w:rFonts w:hint="eastAsia" w:ascii="宋体" w:hAnsi="宋体" w:eastAsia="宋体" w:cs="宋体"/>
          <w:color w:val="auto"/>
          <w:kern w:val="2"/>
          <w:sz w:val="28"/>
          <w:szCs w:val="28"/>
          <w:highlight w:val="none"/>
          <w:lang w:val="en-US" w:eastAsia="zh-CN"/>
        </w:rPr>
        <w:t>五</w:t>
      </w:r>
      <w:r>
        <w:rPr>
          <w:rFonts w:hint="eastAsia" w:ascii="宋体" w:hAnsi="宋体" w:eastAsia="宋体" w:cs="宋体"/>
          <w:color w:val="auto"/>
          <w:kern w:val="2"/>
          <w:sz w:val="28"/>
          <w:szCs w:val="28"/>
          <w:highlight w:val="none"/>
          <w:lang w:eastAsia="zh-CN"/>
        </w:rPr>
        <w:t>）总价金额与按单价汇总金额不一致的，以单价金额计算结果为准。（</w:t>
      </w:r>
      <w:r>
        <w:rPr>
          <w:rFonts w:hint="eastAsia" w:ascii="宋体" w:hAnsi="宋体" w:eastAsia="宋体" w:cs="宋体"/>
          <w:color w:val="auto"/>
          <w:kern w:val="2"/>
          <w:sz w:val="28"/>
          <w:szCs w:val="28"/>
          <w:highlight w:val="none"/>
          <w:lang w:val="en-US" w:eastAsia="zh-CN"/>
        </w:rPr>
        <w:t>六</w:t>
      </w:r>
      <w:r>
        <w:rPr>
          <w:rFonts w:hint="eastAsia" w:ascii="宋体" w:hAnsi="宋体" w:eastAsia="宋体" w:cs="宋体"/>
          <w:color w:val="auto"/>
          <w:kern w:val="2"/>
          <w:sz w:val="28"/>
          <w:szCs w:val="28"/>
          <w:highlight w:val="none"/>
          <w:lang w:eastAsia="zh-CN"/>
        </w:rPr>
        <w:t>）同时出现两种以上不一致的，按照前款规定的顺序修正。修正后的报价经投标人书面确认后产生约束力，投标人不确认的，</w:t>
      </w:r>
      <w:r>
        <w:rPr>
          <w:rFonts w:hint="eastAsia" w:ascii="宋体" w:hAnsi="宋体" w:eastAsia="宋体" w:cs="宋体"/>
          <w:b/>
          <w:bCs/>
          <w:color w:val="auto"/>
          <w:kern w:val="2"/>
          <w:sz w:val="28"/>
          <w:szCs w:val="28"/>
          <w:highlight w:val="none"/>
          <w:lang w:eastAsia="zh-CN"/>
        </w:rPr>
        <w:t>其投标无效</w:t>
      </w:r>
      <w:r>
        <w:rPr>
          <w:rFonts w:hint="eastAsia" w:ascii="宋体" w:hAnsi="宋体" w:eastAsia="宋体" w:cs="宋体"/>
          <w:color w:val="auto"/>
          <w:kern w:val="2"/>
          <w:sz w:val="28"/>
          <w:szCs w:val="28"/>
          <w:highlight w:val="none"/>
          <w:lang w:eastAsia="zh-CN"/>
        </w:rPr>
        <w:t>。</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20.2 在对投标文件进行详细评估之前，评标委员会将审查每一份投标文件是否对招标文件的要求作出了实质性的响应。实质性响应的投标文件应该是与招标文件的全部条款、条件和技术规格相符，而没有重大偏离。</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20.3 招标人判断投标文件的响应性是基于投标文件本身而不靠外部证据。</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20.4 招标人将拒绝被定为非响应性的投标，投标人不能通过修正或撤消不符之处而使其投标成为响应性投标。</w:t>
      </w:r>
    </w:p>
    <w:p>
      <w:pPr>
        <w:spacing w:line="46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21、投标文件的澄清</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21.1 评标委员会在评标过程中有权随时请投标人就投标文件中含混之处加以澄清或答疑。</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21.2 投标人对要求澄清的问题应以书面形式明确答复，并应有法人授权代表的签署。</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21.3 投标人的澄清文件是投标文件的组成部分，并取代投标文件中被澄清的部分。</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21.4 投标文件的澄清不得改变投标的实质内容。</w:t>
      </w:r>
    </w:p>
    <w:p>
      <w:pPr>
        <w:spacing w:line="46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21.5 如果投标人在投标文件中未对招标文件中的条款或参数要求提出偏离意见或澄清将视同投标人同意招标文件的全部或部分要求。</w:t>
      </w:r>
    </w:p>
    <w:p>
      <w:pPr>
        <w:widowControl/>
        <w:spacing w:line="460" w:lineRule="exac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22、</w:t>
      </w:r>
      <w:r>
        <w:rPr>
          <w:rFonts w:hint="eastAsia" w:ascii="宋体" w:hAnsi="宋体" w:eastAsia="宋体" w:cs="宋体"/>
          <w:b/>
          <w:bCs/>
          <w:color w:val="auto"/>
          <w:sz w:val="28"/>
          <w:szCs w:val="28"/>
          <w:highlight w:val="none"/>
        </w:rPr>
        <w:t>评审标准：</w:t>
      </w:r>
    </w:p>
    <w:p>
      <w:pPr>
        <w:pStyle w:val="11"/>
        <w:numPr>
          <w:ilvl w:val="0"/>
          <w:numId w:val="5"/>
        </w:numPr>
        <w:spacing w:line="380" w:lineRule="exact"/>
        <w:ind w:left="425" w:leftChars="0" w:hanging="425" w:firstLine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磋商小组构成：本项目的磋商小组由采购人代表和有关技术、经济、法律等</w:t>
      </w:r>
    </w:p>
    <w:p>
      <w:pPr>
        <w:pStyle w:val="11"/>
        <w:numPr>
          <w:ilvl w:val="0"/>
          <w:numId w:val="0"/>
        </w:numPr>
        <w:spacing w:line="380" w:lineRule="exact"/>
        <w:ind w:leftChars="0"/>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方面的三位专家组成。成员人数应当为三人以上（含三人）单数。其中，技术、经济、法律等方面的专家不得少于成员总数的三分之二。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评标依据：磋商小组按照磋商文件要求对磋商响应文件中的供应商资格、供应商资格证明文件、重要技术指标以及技术和商务上要求的其他重要内容进行审核。</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经磋商确定最终采购需求和提交最后报价的供应商后，由磋商小组综合评分法对提交最后报价的供应商的响应文件和最后报价进行。</w:t>
      </w:r>
    </w:p>
    <w:p>
      <w:pPr>
        <w:spacing w:line="460" w:lineRule="exact"/>
        <w:ind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对响应文件的评估和比较分为两步进行，磋商小组会按照磋商文件要求对响应文件中的供应商资格、供应商资格证明文件、重要技术指标以及技术和商务上要求的其他重要内容进行审核，审核合格后即视为实质性响应的投标文件，详细评审标准如下：</w:t>
      </w:r>
    </w:p>
    <w:p>
      <w:pPr>
        <w:pStyle w:val="11"/>
        <w:spacing w:line="380" w:lineRule="exact"/>
        <w:ind w:firstLine="560" w:firstLineChars="200"/>
        <w:rPr>
          <w:rFonts w:hint="eastAsia" w:ascii="宋体" w:hAnsi="宋体" w:eastAsia="宋体" w:cs="宋体"/>
          <w:color w:val="auto"/>
          <w:sz w:val="28"/>
          <w:szCs w:val="28"/>
          <w:highlight w:val="none"/>
        </w:rPr>
      </w:pPr>
    </w:p>
    <w:p>
      <w:pPr>
        <w:pStyle w:val="11"/>
        <w:spacing w:line="380" w:lineRule="exact"/>
        <w:ind w:firstLine="560" w:firstLineChars="200"/>
        <w:rPr>
          <w:rFonts w:hint="eastAsia" w:ascii="宋体" w:hAnsi="宋体" w:eastAsia="宋体" w:cs="宋体"/>
          <w:color w:val="auto"/>
          <w:sz w:val="28"/>
          <w:szCs w:val="28"/>
          <w:highlight w:val="none"/>
        </w:rPr>
      </w:pPr>
    </w:p>
    <w:p>
      <w:pPr>
        <w:pStyle w:val="11"/>
        <w:spacing w:line="380" w:lineRule="exact"/>
        <w:ind w:firstLine="560" w:firstLineChars="200"/>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8"/>
          <w:szCs w:val="28"/>
          <w:highlight w:val="none"/>
        </w:rPr>
        <w:t xml:space="preserve">  </w:t>
      </w:r>
    </w:p>
    <w:p>
      <w:pPr>
        <w:pStyle w:val="27"/>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附表</w:t>
      </w:r>
      <w:r>
        <w:rPr>
          <w:rFonts w:hint="eastAsia" w:ascii="宋体" w:hAnsi="宋体" w:eastAsia="宋体" w:cs="宋体"/>
          <w:color w:val="auto"/>
          <w:sz w:val="28"/>
          <w:szCs w:val="28"/>
          <w:highlight w:val="none"/>
          <w:lang w:eastAsia="zh-CN"/>
        </w:rPr>
        <w:t>一：资格查验</w:t>
      </w:r>
    </w:p>
    <w:tbl>
      <w:tblPr>
        <w:tblStyle w:val="22"/>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9"/>
        <w:gridCol w:w="7446"/>
        <w:gridCol w:w="468"/>
        <w:gridCol w:w="444"/>
        <w:gridCol w:w="411"/>
        <w:gridCol w:w="461"/>
      </w:tblGrid>
      <w:tr>
        <w:trPr>
          <w:trHeight w:val="337" w:hRule="atLeast"/>
          <w:jc w:val="center"/>
        </w:trPr>
        <w:tc>
          <w:tcPr>
            <w:tcW w:w="8095" w:type="dxa"/>
            <w:gridSpan w:val="2"/>
            <w:vMerge w:val="restart"/>
            <w:vAlign w:val="center"/>
          </w:tcPr>
          <w:p>
            <w:pPr>
              <w:spacing w:line="440" w:lineRule="exact"/>
              <w:ind w:firstLine="2666" w:firstLineChars="1130"/>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rPr>
              <w:t>评审内容</w:t>
            </w:r>
          </w:p>
        </w:tc>
        <w:tc>
          <w:tcPr>
            <w:tcW w:w="1784" w:type="dxa"/>
            <w:gridSpan w:val="4"/>
            <w:vAlign w:val="center"/>
          </w:tcPr>
          <w:p>
            <w:pPr>
              <w:spacing w:line="440" w:lineRule="exact"/>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rPr>
              <w:t>投标企业名称</w:t>
            </w:r>
          </w:p>
        </w:tc>
      </w:tr>
      <w:tr>
        <w:trPr>
          <w:trHeight w:val="315" w:hRule="atLeast"/>
          <w:jc w:val="center"/>
        </w:trPr>
        <w:tc>
          <w:tcPr>
            <w:tcW w:w="8095" w:type="dxa"/>
            <w:gridSpan w:val="2"/>
            <w:vMerge w:val="continue"/>
          </w:tcPr>
          <w:p>
            <w:pPr>
              <w:spacing w:line="440" w:lineRule="exact"/>
              <w:ind w:firstLine="424" w:firstLineChars="180"/>
              <w:rPr>
                <w:rStyle w:val="32"/>
                <w:rFonts w:hint="eastAsia" w:ascii="宋体" w:hAnsi="宋体" w:eastAsia="宋体" w:cs="宋体"/>
                <w:i w:val="0"/>
                <w:iCs w:val="0"/>
                <w:color w:val="auto"/>
                <w:spacing w:val="-2"/>
                <w:sz w:val="24"/>
                <w:szCs w:val="24"/>
                <w:highlight w:val="none"/>
              </w:rPr>
            </w:pPr>
          </w:p>
        </w:tc>
        <w:tc>
          <w:tcPr>
            <w:tcW w:w="468" w:type="dxa"/>
          </w:tcPr>
          <w:p>
            <w:pPr>
              <w:spacing w:line="440" w:lineRule="exact"/>
              <w:ind w:firstLine="236" w:firstLineChars="100"/>
              <w:jc w:val="left"/>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rPr>
              <w:t>1</w:t>
            </w:r>
          </w:p>
        </w:tc>
        <w:tc>
          <w:tcPr>
            <w:tcW w:w="444" w:type="dxa"/>
          </w:tcPr>
          <w:p>
            <w:pPr>
              <w:spacing w:line="440" w:lineRule="exact"/>
              <w:jc w:val="center"/>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rPr>
              <w:t>2</w:t>
            </w:r>
          </w:p>
        </w:tc>
        <w:tc>
          <w:tcPr>
            <w:tcW w:w="411" w:type="dxa"/>
            <w:vAlign w:val="center"/>
          </w:tcPr>
          <w:p>
            <w:pPr>
              <w:spacing w:line="440" w:lineRule="exact"/>
              <w:jc w:val="center"/>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3</w:t>
            </w:r>
          </w:p>
        </w:tc>
        <w:tc>
          <w:tcPr>
            <w:tcW w:w="461" w:type="dxa"/>
            <w:vAlign w:val="center"/>
          </w:tcPr>
          <w:p>
            <w:pPr>
              <w:jc w:val="center"/>
              <w:rPr>
                <w:rStyle w:val="32"/>
                <w:rFonts w:hint="eastAsia" w:ascii="宋体" w:hAnsi="宋体" w:eastAsia="宋体" w:cs="宋体"/>
                <w:b/>
                <w:i w:val="0"/>
                <w:iCs w:val="0"/>
                <w:color w:val="auto"/>
                <w:sz w:val="24"/>
                <w:szCs w:val="24"/>
                <w:highlight w:val="none"/>
              </w:rPr>
            </w:pPr>
            <w:r>
              <w:rPr>
                <w:rStyle w:val="32"/>
                <w:rFonts w:hint="eastAsia" w:ascii="宋体" w:hAnsi="宋体" w:eastAsia="宋体" w:cs="宋体"/>
                <w:b/>
                <w:i w:val="0"/>
                <w:iCs w:val="0"/>
                <w:color w:val="auto"/>
                <w:sz w:val="24"/>
                <w:szCs w:val="24"/>
                <w:highlight w:val="none"/>
              </w:rPr>
              <w:t>…</w:t>
            </w:r>
          </w:p>
        </w:tc>
      </w:tr>
      <w:tr>
        <w:trPr>
          <w:trHeight w:val="508" w:hRule="atLeast"/>
          <w:jc w:val="center"/>
        </w:trPr>
        <w:tc>
          <w:tcPr>
            <w:tcW w:w="649" w:type="dxa"/>
            <w:vAlign w:val="center"/>
          </w:tcPr>
          <w:p>
            <w:pPr>
              <w:spacing w:line="240" w:lineRule="auto"/>
              <w:jc w:val="center"/>
              <w:rPr>
                <w:rStyle w:val="32"/>
                <w:rFonts w:hint="eastAsia" w:ascii="宋体" w:hAnsi="宋体" w:eastAsia="宋体" w:cs="宋体"/>
                <w:i w:val="0"/>
                <w:iCs w:val="0"/>
                <w:color w:val="auto"/>
                <w:sz w:val="24"/>
                <w:szCs w:val="24"/>
                <w:highlight w:val="none"/>
              </w:rPr>
            </w:pPr>
            <w:r>
              <w:rPr>
                <w:rStyle w:val="32"/>
                <w:rFonts w:hint="eastAsia" w:ascii="宋体" w:hAnsi="宋体" w:eastAsia="宋体" w:cs="宋体"/>
                <w:i w:val="0"/>
                <w:iCs w:val="0"/>
                <w:color w:val="auto"/>
                <w:sz w:val="24"/>
                <w:szCs w:val="24"/>
                <w:highlight w:val="none"/>
              </w:rPr>
              <w:t>1</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lang w:val="en-US" w:eastAsia="zh-CN"/>
              </w:rPr>
              <w:t>具有独立承担民事责任的能力：提供在中华人民共和国境内注册的法人或其他组织的营业执照或事业单位法人证书或社会团体法人登记证书复印件，如投标人为自然人的提供自然人身份证明复印件；如国家另有规定的，则从其定。</w:t>
            </w:r>
          </w:p>
        </w:tc>
        <w:tc>
          <w:tcPr>
            <w:tcW w:w="468"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z w:val="24"/>
                <w:szCs w:val="24"/>
                <w:highlight w:val="none"/>
              </w:rPr>
            </w:pPr>
          </w:p>
        </w:tc>
      </w:tr>
      <w:tr>
        <w:trPr>
          <w:trHeight w:val="71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kern w:val="2"/>
                <w:sz w:val="24"/>
                <w:szCs w:val="24"/>
                <w:highlight w:val="none"/>
                <w:lang w:val="en-US" w:eastAsia="zh-CN" w:bidi="ar-SA"/>
              </w:rPr>
              <w:t>2</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有依法缴纳税收和社会保障资金的良好记录：提供近段时间内（连续三个月、新成立的公司按实际发生提供）的缴纳税收的完税证明或税务部门出具的纳税证明；如依法免税的，应提供相应文件证明；提供近段时间内（连续三个月、新成立的公司按实际发生提供）的缴纳社保证明材料加盖公章。如依法不需要缴纳社会保障资金的，应提供相应文件证明；</w:t>
            </w:r>
          </w:p>
        </w:tc>
        <w:tc>
          <w:tcPr>
            <w:tcW w:w="468"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z w:val="24"/>
                <w:szCs w:val="24"/>
                <w:highlight w:val="none"/>
              </w:rPr>
            </w:pPr>
          </w:p>
        </w:tc>
      </w:tr>
      <w:tr>
        <w:trPr>
          <w:trHeight w:val="566"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2"/>
                <w:rFonts w:hint="eastAsia" w:ascii="宋体" w:hAnsi="宋体" w:eastAsia="宋体" w:cs="宋体"/>
                <w:i w:val="0"/>
                <w:iCs w:val="0"/>
                <w:color w:val="auto"/>
                <w:sz w:val="24"/>
                <w:szCs w:val="24"/>
                <w:highlight w:val="none"/>
                <w:lang w:val="en-US" w:eastAsia="zh-CN"/>
              </w:rPr>
              <w:t>3</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具有良好的商业信誉和健全的财务会计制度：提供2022年度由第三方财务审计机构出具的财务审计报告或新成立的企业提供银行出具的近三个月的资信证明；</w:t>
            </w:r>
          </w:p>
        </w:tc>
        <w:tc>
          <w:tcPr>
            <w:tcW w:w="468"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z w:val="24"/>
                <w:szCs w:val="24"/>
                <w:highlight w:val="none"/>
              </w:rPr>
            </w:pPr>
          </w:p>
        </w:tc>
      </w:tr>
      <w:tr>
        <w:trPr>
          <w:trHeight w:val="543" w:hRule="atLeast"/>
          <w:jc w:val="center"/>
        </w:trPr>
        <w:tc>
          <w:tcPr>
            <w:tcW w:w="649" w:type="dxa"/>
            <w:vAlign w:val="center"/>
          </w:tcPr>
          <w:p>
            <w:pPr>
              <w:spacing w:line="240" w:lineRule="auto"/>
              <w:jc w:val="center"/>
              <w:rPr>
                <w:rFonts w:hint="eastAsia" w:ascii="宋体" w:hAnsi="宋体" w:eastAsia="宋体" w:cs="宋体"/>
                <w:i w:val="0"/>
                <w:iCs w:val="0"/>
                <w:color w:val="auto"/>
                <w:kern w:val="2"/>
                <w:sz w:val="24"/>
                <w:szCs w:val="24"/>
                <w:highlight w:val="none"/>
                <w:lang w:val="en-US" w:eastAsia="zh-CN" w:bidi="ar-SA"/>
              </w:rPr>
            </w:pPr>
            <w:r>
              <w:rPr>
                <w:rStyle w:val="32"/>
                <w:rFonts w:hint="eastAsia" w:ascii="宋体" w:hAnsi="宋体" w:eastAsia="宋体" w:cs="宋体"/>
                <w:i w:val="0"/>
                <w:iCs w:val="0"/>
                <w:color w:val="auto"/>
                <w:sz w:val="24"/>
                <w:szCs w:val="24"/>
                <w:highlight w:val="none"/>
                <w:lang w:val="en-US" w:eastAsia="zh-CN"/>
              </w:rPr>
              <w:t>4</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履行合同所必需的设备和专业技术能力：提供《投标人资格声明函》；</w:t>
            </w:r>
          </w:p>
        </w:tc>
        <w:tc>
          <w:tcPr>
            <w:tcW w:w="468"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ind w:firstLine="424" w:firstLineChars="180"/>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z w:val="24"/>
                <w:szCs w:val="24"/>
                <w:highlight w:val="none"/>
              </w:rPr>
            </w:pPr>
          </w:p>
        </w:tc>
      </w:tr>
      <w:tr>
        <w:trPr>
          <w:trHeight w:val="1364" w:hRule="atLeast"/>
          <w:jc w:val="center"/>
        </w:trPr>
        <w:tc>
          <w:tcPr>
            <w:tcW w:w="649" w:type="dxa"/>
            <w:vAlign w:val="center"/>
          </w:tcPr>
          <w:p>
            <w:pPr>
              <w:spacing w:line="240" w:lineRule="auto"/>
              <w:jc w:val="center"/>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5</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参加采购活动前3年内，在经营活动中没有重大违法记录：提供《投标人资格声明函》。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tc>
        <w:tc>
          <w:tcPr>
            <w:tcW w:w="468"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pacing w:val="-2"/>
                <w:sz w:val="24"/>
                <w:szCs w:val="24"/>
                <w:highlight w:val="none"/>
              </w:rPr>
            </w:pPr>
          </w:p>
        </w:tc>
      </w:tr>
      <w:tr>
        <w:trPr>
          <w:trHeight w:val="471" w:hRule="atLeast"/>
          <w:jc w:val="center"/>
        </w:trPr>
        <w:tc>
          <w:tcPr>
            <w:tcW w:w="649" w:type="dxa"/>
            <w:vAlign w:val="center"/>
          </w:tcPr>
          <w:p>
            <w:pPr>
              <w:spacing w:line="240" w:lineRule="auto"/>
              <w:jc w:val="center"/>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6</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tc>
        <w:tc>
          <w:tcPr>
            <w:tcW w:w="468"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pacing w:val="-2"/>
                <w:sz w:val="24"/>
                <w:szCs w:val="24"/>
                <w:highlight w:val="none"/>
              </w:rPr>
            </w:pPr>
          </w:p>
        </w:tc>
      </w:tr>
      <w:tr>
        <w:trPr>
          <w:trHeight w:val="482" w:hRule="atLeast"/>
          <w:jc w:val="center"/>
        </w:trPr>
        <w:tc>
          <w:tcPr>
            <w:tcW w:w="649" w:type="dxa"/>
            <w:vAlign w:val="center"/>
          </w:tcPr>
          <w:p>
            <w:pPr>
              <w:spacing w:line="240" w:lineRule="auto"/>
              <w:jc w:val="center"/>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7</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企业负责人为同一人或者存在直接控股、管理关系的不同投标人，不得参加同一合同项下的政府采购活动。否则，皆取消投标资格。</w:t>
            </w:r>
          </w:p>
        </w:tc>
        <w:tc>
          <w:tcPr>
            <w:tcW w:w="468"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pacing w:val="-2"/>
                <w:sz w:val="24"/>
                <w:szCs w:val="24"/>
                <w:highlight w:val="none"/>
              </w:rPr>
            </w:pPr>
          </w:p>
        </w:tc>
      </w:tr>
      <w:tr>
        <w:trPr>
          <w:trHeight w:val="286" w:hRule="atLeast"/>
          <w:jc w:val="center"/>
        </w:trPr>
        <w:tc>
          <w:tcPr>
            <w:tcW w:w="649" w:type="dxa"/>
            <w:vAlign w:val="center"/>
          </w:tcPr>
          <w:p>
            <w:pPr>
              <w:spacing w:line="240" w:lineRule="auto"/>
              <w:jc w:val="center"/>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8</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具有有效期内的</w:t>
            </w:r>
            <w:r>
              <w:rPr>
                <w:rStyle w:val="32"/>
                <w:rFonts w:hint="eastAsia" w:ascii="宋体" w:hAnsi="宋体" w:cs="宋体"/>
                <w:i w:val="0"/>
                <w:iCs w:val="0"/>
                <w:color w:val="auto"/>
                <w:spacing w:val="-2"/>
                <w:sz w:val="24"/>
                <w:szCs w:val="24"/>
                <w:highlight w:val="none"/>
                <w:lang w:val="en-US" w:eastAsia="zh-CN"/>
              </w:rPr>
              <w:t>工程测量乙级或以上资质</w:t>
            </w:r>
          </w:p>
        </w:tc>
        <w:tc>
          <w:tcPr>
            <w:tcW w:w="468"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pacing w:val="-2"/>
                <w:sz w:val="24"/>
                <w:szCs w:val="24"/>
                <w:highlight w:val="none"/>
              </w:rPr>
            </w:pPr>
          </w:p>
        </w:tc>
      </w:tr>
      <w:tr>
        <w:trPr>
          <w:trHeight w:val="286" w:hRule="atLeast"/>
          <w:jc w:val="center"/>
        </w:trPr>
        <w:tc>
          <w:tcPr>
            <w:tcW w:w="649" w:type="dxa"/>
            <w:vAlign w:val="center"/>
          </w:tcPr>
          <w:p>
            <w:pPr>
              <w:spacing w:line="240" w:lineRule="auto"/>
              <w:jc w:val="center"/>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9</w:t>
            </w:r>
          </w:p>
        </w:tc>
        <w:tc>
          <w:tcPr>
            <w:tcW w:w="7446" w:type="dxa"/>
            <w:vAlign w:val="center"/>
          </w:tcPr>
          <w:p>
            <w:pPr>
              <w:spacing w:line="440" w:lineRule="exact"/>
              <w:jc w:val="left"/>
              <w:rPr>
                <w:rStyle w:val="32"/>
                <w:rFonts w:hint="eastAsia" w:ascii="宋体" w:hAnsi="宋体" w:eastAsia="宋体" w:cs="宋体"/>
                <w:i w:val="0"/>
                <w:iCs w:val="0"/>
                <w:color w:val="auto"/>
                <w:spacing w:val="-2"/>
                <w:sz w:val="24"/>
                <w:szCs w:val="24"/>
                <w:highlight w:val="none"/>
                <w:lang w:val="en-US" w:eastAsia="zh-CN"/>
              </w:rPr>
            </w:pPr>
            <w:r>
              <w:rPr>
                <w:rStyle w:val="32"/>
                <w:rFonts w:hint="eastAsia" w:ascii="宋体" w:hAnsi="宋体" w:eastAsia="宋体" w:cs="宋体"/>
                <w:i w:val="0"/>
                <w:iCs w:val="0"/>
                <w:color w:val="auto"/>
                <w:spacing w:val="-2"/>
                <w:sz w:val="24"/>
                <w:szCs w:val="24"/>
                <w:highlight w:val="none"/>
                <w:lang w:val="en-US" w:eastAsia="zh-CN"/>
              </w:rPr>
              <w:t>投标保证金或电子保函：7300元整（大写：柒仟叁佰元整）</w:t>
            </w:r>
          </w:p>
        </w:tc>
        <w:tc>
          <w:tcPr>
            <w:tcW w:w="468"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44" w:type="dxa"/>
            <w:vAlign w:val="center"/>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pacing w:val="-2"/>
                <w:sz w:val="24"/>
                <w:szCs w:val="24"/>
                <w:highlight w:val="none"/>
              </w:rPr>
            </w:pPr>
          </w:p>
        </w:tc>
      </w:tr>
      <w:tr>
        <w:trPr>
          <w:trHeight w:val="537" w:hRule="atLeast"/>
          <w:jc w:val="center"/>
        </w:trPr>
        <w:tc>
          <w:tcPr>
            <w:tcW w:w="8095" w:type="dxa"/>
            <w:gridSpan w:val="2"/>
          </w:tcPr>
          <w:p>
            <w:pPr>
              <w:spacing w:line="240" w:lineRule="auto"/>
              <w:jc w:val="left"/>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rPr>
              <w:t>结论：</w:t>
            </w:r>
            <w:r>
              <w:rPr>
                <w:rStyle w:val="32"/>
                <w:rFonts w:hint="eastAsia" w:ascii="宋体" w:hAnsi="宋体" w:eastAsia="宋体" w:cs="宋体"/>
                <w:i w:val="0"/>
                <w:iCs w:val="0"/>
                <w:color w:val="auto"/>
                <w:spacing w:val="-2"/>
                <w:sz w:val="24"/>
                <w:szCs w:val="24"/>
                <w:highlight w:val="none"/>
                <w:lang w:val="en-US" w:eastAsia="zh-CN"/>
              </w:rPr>
              <w:t>结论为符合或不符合</w:t>
            </w:r>
          </w:p>
        </w:tc>
        <w:tc>
          <w:tcPr>
            <w:tcW w:w="468"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44"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11" w:type="dxa"/>
          </w:tcPr>
          <w:p>
            <w:pPr>
              <w:spacing w:line="240" w:lineRule="auto"/>
              <w:jc w:val="left"/>
              <w:rPr>
                <w:rStyle w:val="32"/>
                <w:rFonts w:hint="eastAsia" w:ascii="宋体" w:hAnsi="宋体" w:eastAsia="宋体" w:cs="宋体"/>
                <w:i w:val="0"/>
                <w:iCs w:val="0"/>
                <w:color w:val="auto"/>
                <w:spacing w:val="-2"/>
                <w:sz w:val="24"/>
                <w:szCs w:val="24"/>
                <w:highlight w:val="none"/>
              </w:rPr>
            </w:pPr>
          </w:p>
        </w:tc>
        <w:tc>
          <w:tcPr>
            <w:tcW w:w="461" w:type="dxa"/>
          </w:tcPr>
          <w:p>
            <w:pPr>
              <w:spacing w:line="240" w:lineRule="auto"/>
              <w:jc w:val="left"/>
              <w:rPr>
                <w:rStyle w:val="32"/>
                <w:rFonts w:hint="eastAsia" w:ascii="宋体" w:hAnsi="宋体" w:eastAsia="宋体" w:cs="宋体"/>
                <w:i w:val="0"/>
                <w:iCs w:val="0"/>
                <w:color w:val="auto"/>
                <w:spacing w:val="-2"/>
                <w:sz w:val="24"/>
                <w:szCs w:val="24"/>
                <w:highlight w:val="none"/>
              </w:rPr>
            </w:pPr>
          </w:p>
        </w:tc>
      </w:tr>
      <w:tr>
        <w:trPr>
          <w:trHeight w:val="560" w:hRule="atLeast"/>
          <w:jc w:val="center"/>
        </w:trPr>
        <w:tc>
          <w:tcPr>
            <w:tcW w:w="9879" w:type="dxa"/>
            <w:gridSpan w:val="6"/>
          </w:tcPr>
          <w:p>
            <w:pPr>
              <w:spacing w:line="240" w:lineRule="auto"/>
              <w:jc w:val="left"/>
              <w:rPr>
                <w:rStyle w:val="32"/>
                <w:rFonts w:hint="eastAsia" w:ascii="宋体" w:hAnsi="宋体" w:eastAsia="宋体" w:cs="宋体"/>
                <w:i w:val="0"/>
                <w:iCs w:val="0"/>
                <w:color w:val="auto"/>
                <w:spacing w:val="-2"/>
                <w:sz w:val="24"/>
                <w:szCs w:val="24"/>
                <w:highlight w:val="none"/>
              </w:rPr>
            </w:pPr>
            <w:r>
              <w:rPr>
                <w:rStyle w:val="32"/>
                <w:rFonts w:hint="eastAsia" w:ascii="宋体" w:hAnsi="宋体" w:eastAsia="宋体" w:cs="宋体"/>
                <w:i w:val="0"/>
                <w:iCs w:val="0"/>
                <w:color w:val="auto"/>
                <w:spacing w:val="-2"/>
                <w:sz w:val="24"/>
                <w:szCs w:val="24"/>
                <w:highlight w:val="none"/>
                <w:lang w:val="en-US" w:eastAsia="zh-CN"/>
              </w:rPr>
              <w:t>符合竞争性磋商文件要求打√，不符合竞争性磋商文件要求打×，结论为符合或不符合。</w:t>
            </w:r>
          </w:p>
        </w:tc>
      </w:tr>
    </w:tbl>
    <w:p>
      <w:pPr>
        <w:spacing w:line="240" w:lineRule="auto"/>
        <w:jc w:val="left"/>
        <w:rPr>
          <w:rFonts w:hint="eastAsia" w:ascii="宋体" w:hAnsi="宋体" w:eastAsia="宋体" w:cs="宋体"/>
          <w:color w:val="auto"/>
          <w:sz w:val="24"/>
          <w:szCs w:val="24"/>
          <w:highlight w:val="none"/>
          <w:lang w:val="zh-CN"/>
        </w:rPr>
      </w:pPr>
      <w:bookmarkStart w:id="49" w:name="_Toc298240410"/>
      <w:bookmarkStart w:id="50" w:name="_Toc349573126"/>
      <w:bookmarkStart w:id="51" w:name="_Toc527642957"/>
      <w:bookmarkStart w:id="52" w:name="_Toc349637925"/>
      <w:bookmarkStart w:id="53" w:name="_Toc471489758"/>
      <w:bookmarkStart w:id="54" w:name="_Toc267301287"/>
      <w:bookmarkStart w:id="55" w:name="_Toc267301288"/>
      <w:r>
        <w:rPr>
          <w:rFonts w:hint="eastAsia" w:ascii="宋体" w:hAnsi="宋体" w:eastAsia="宋体" w:cs="宋体"/>
          <w:color w:val="auto"/>
          <w:sz w:val="24"/>
          <w:szCs w:val="24"/>
          <w:highlight w:val="none"/>
          <w:lang w:val="zh-CN"/>
        </w:rPr>
        <w:t>备注：如果资格评审中有一项不满足审查标准的，磋商小组将认定该供应商不通过资格审查，不得进入下一阶段评审。并且不允许供应商通过修改或撤销其不符合要求的差异或保留，使之成为具有响应性的投标。</w:t>
      </w:r>
    </w:p>
    <w:p>
      <w:pPr>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表</w:t>
      </w:r>
      <w:r>
        <w:rPr>
          <w:rFonts w:hint="eastAsia" w:ascii="宋体" w:hAnsi="宋体" w:eastAsia="宋体" w:cs="宋体"/>
          <w:color w:val="auto"/>
          <w:sz w:val="28"/>
          <w:szCs w:val="28"/>
          <w:highlight w:val="none"/>
          <w:lang w:eastAsia="zh-CN"/>
        </w:rPr>
        <w:t>二：</w:t>
      </w:r>
      <w:r>
        <w:rPr>
          <w:rFonts w:hint="eastAsia" w:ascii="宋体" w:hAnsi="宋体" w:eastAsia="宋体" w:cs="宋体"/>
          <w:b/>
          <w:color w:val="auto"/>
          <w:sz w:val="28"/>
          <w:szCs w:val="28"/>
          <w:highlight w:val="none"/>
          <w:lang w:val="en-US" w:eastAsia="zh-CN"/>
        </w:rPr>
        <w:t>初步评审标准－</w:t>
      </w:r>
      <w:r>
        <w:rPr>
          <w:rFonts w:hint="eastAsia" w:ascii="宋体" w:hAnsi="宋体" w:eastAsia="宋体" w:cs="宋体"/>
          <w:b/>
          <w:color w:val="auto"/>
          <w:sz w:val="28"/>
          <w:szCs w:val="28"/>
          <w:highlight w:val="none"/>
          <w:lang w:eastAsia="zh-CN"/>
        </w:rPr>
        <w:t>响应性</w:t>
      </w:r>
      <w:r>
        <w:rPr>
          <w:rFonts w:hint="eastAsia" w:ascii="宋体" w:hAnsi="宋体" w:eastAsia="宋体" w:cs="宋体"/>
          <w:b/>
          <w:color w:val="auto"/>
          <w:sz w:val="28"/>
          <w:szCs w:val="28"/>
          <w:highlight w:val="none"/>
        </w:rPr>
        <w:t>评审</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922"/>
        <w:gridCol w:w="7137"/>
      </w:tblGrid>
      <w:tr>
        <w:trPr>
          <w:trHeight w:val="300" w:hRule="atLeast"/>
          <w:jc w:val="center"/>
        </w:trPr>
        <w:tc>
          <w:tcPr>
            <w:tcW w:w="403"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975"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3620" w:type="pct"/>
            <w:noWrap w:val="0"/>
            <w:vAlign w:val="center"/>
          </w:tcPr>
          <w:p>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授权委托书</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按招标文件要求提供授权委托书；</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投标完整性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未将一个采购包中的内容拆开投标；</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投标报价未超过招标文件中规定的项目/采购包预算金额或者项目/采购包最高限价；</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报价唯一性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投标文件未出现可选择性或可调整的报价（招标文件另有规定的除外）；</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投标有效期</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投标文件中承诺的投标有效期满足招标文件中载明的投标有效期的；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签署、盖章</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按照招标文件要求签署、盖章的；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实质性格式</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标记为“实质性格式”的文件均按招标文件要求提供；</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8</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★号条款响应</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投标文件满足招标文件第五章《采购需求》中★号条款要求的；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9</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分包承担主体资质（如有）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分包承担主体具备《投标人须知资料表》载明的资质条件且提供了资质证书电子件（如有）；</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分包意向协议</w:t>
            </w:r>
          </w:p>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按招标文件规定签订并提供分包意向协议原件的电子件的；（如有）</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11</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报价的修正（如有）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不涉及报价修正，或投标文件报价出现前后不一致时，投标人对修正后的报价予以确认；（如有）</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12</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报价合理性</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报价合理，或投标人的报价明显低于其他通过符合性审查投标人的报价，有可能影响产品质量或者不能诚信履约的，能够应评标委员会要求在规定时间内证明其报价合理性的；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13</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进口产品（如有）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招标文件不接受进口产品投标的内容时，投标人所投产品非进口产品的；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4</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公平竞争</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投标人遵循公平竞争的原则，不存在恶意串通，妨碍其他投标人的竞争行为，不存在损害采购人或者其他投标人的合法权益情形的；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5</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串通投标</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6</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附加条件</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投标文件未含有采购人不能接受的附加条件的；</w:t>
            </w:r>
          </w:p>
        </w:tc>
      </w:tr>
      <w:tr>
        <w:trPr>
          <w:trHeight w:val="685" w:hRule="atLeast"/>
          <w:jc w:val="center"/>
        </w:trPr>
        <w:tc>
          <w:tcPr>
            <w:tcW w:w="403" w:type="pct"/>
            <w:noWrap w:val="0"/>
            <w:vAlign w:val="center"/>
          </w:tcPr>
          <w:p>
            <w:pPr>
              <w:tabs>
                <w:tab w:val="left" w:pos="1080"/>
              </w:tabs>
              <w:snapToGrid w:val="0"/>
              <w:spacing w:line="24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7</w:t>
            </w:r>
          </w:p>
        </w:tc>
        <w:tc>
          <w:tcPr>
            <w:tcW w:w="975"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其他无效情形</w:t>
            </w:r>
          </w:p>
        </w:tc>
        <w:tc>
          <w:tcPr>
            <w:tcW w:w="3620" w:type="pct"/>
            <w:noWrap w:val="0"/>
            <w:vAlign w:val="center"/>
          </w:tcPr>
          <w:p>
            <w:pPr>
              <w:tabs>
                <w:tab w:val="left" w:pos="1080"/>
              </w:tabs>
              <w:snapToGrid w:val="0"/>
              <w:spacing w:line="24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投标人、投标文件不存在不符合</w:t>
            </w:r>
            <w:r>
              <w:rPr>
                <w:rFonts w:hint="eastAsia" w:ascii="宋体" w:hAnsi="宋体" w:cs="宋体"/>
                <w:sz w:val="21"/>
                <w:szCs w:val="21"/>
                <w:highlight w:val="none"/>
                <w:lang w:eastAsia="zh-CN"/>
              </w:rPr>
              <w:t>法律法规</w:t>
            </w:r>
            <w:r>
              <w:rPr>
                <w:rFonts w:hint="eastAsia" w:ascii="宋体" w:hAnsi="宋体" w:eastAsia="宋体" w:cs="宋体"/>
                <w:sz w:val="21"/>
                <w:szCs w:val="21"/>
                <w:highlight w:val="none"/>
              </w:rPr>
              <w:t>和招标文件规定的其他无效情形。</w:t>
            </w:r>
          </w:p>
        </w:tc>
      </w:tr>
    </w:tbl>
    <w:p>
      <w:pPr>
        <w:pStyle w:val="29"/>
        <w:ind w:left="0" w:leftChars="0" w:firstLine="0" w:firstLineChars="0"/>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表3：详细评审</w:t>
      </w:r>
    </w:p>
    <w:tbl>
      <w:tblPr>
        <w:tblStyle w:val="22"/>
        <w:tblpPr w:leftFromText="180" w:rightFromText="180" w:vertAnchor="text" w:horzAnchor="page" w:tblpXSpec="center" w:tblpY="662"/>
        <w:tblOverlap w:val="never"/>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1"/>
        <w:gridCol w:w="1583"/>
        <w:gridCol w:w="4732"/>
        <w:gridCol w:w="698"/>
        <w:gridCol w:w="661"/>
      </w:tblGrid>
      <w:tr>
        <w:trPr>
          <w:trHeight w:val="830" w:hRule="atLeast"/>
          <w:jc w:val="center"/>
        </w:trPr>
        <w:tc>
          <w:tcPr>
            <w:tcW w:w="821" w:type="dxa"/>
            <w:noWrap w:val="0"/>
            <w:vAlign w:val="center"/>
          </w:tcPr>
          <w:p>
            <w:pPr>
              <w:tabs>
                <w:tab w:val="left" w:pos="1050"/>
              </w:tabs>
              <w:bidi w:val="0"/>
              <w:jc w:val="left"/>
              <w:rPr>
                <w:rFonts w:hint="eastAsia" w:ascii="宋体" w:hAnsi="宋体" w:eastAsia="宋体" w:cs="宋体"/>
                <w:b/>
                <w:color w:val="auto"/>
                <w:sz w:val="24"/>
                <w:szCs w:val="24"/>
                <w:highlight w:val="none"/>
              </w:rPr>
            </w:pP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b/>
                <w:color w:val="auto"/>
                <w:sz w:val="24"/>
                <w:szCs w:val="24"/>
                <w:highlight w:val="none"/>
              </w:rPr>
              <w:t>序号</w:t>
            </w:r>
          </w:p>
        </w:tc>
        <w:tc>
          <w:tcPr>
            <w:tcW w:w="1583"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w:t>
            </w:r>
          </w:p>
        </w:tc>
        <w:tc>
          <w:tcPr>
            <w:tcW w:w="4732"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评分细则</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分值</w:t>
            </w:r>
          </w:p>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（分）</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权重</w:t>
            </w:r>
          </w:p>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p>
        </w:tc>
      </w:tr>
      <w:tr>
        <w:trPr>
          <w:trHeight w:val="553" w:hRule="atLeast"/>
          <w:jc w:val="center"/>
        </w:trPr>
        <w:tc>
          <w:tcPr>
            <w:tcW w:w="82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p>
        </w:tc>
        <w:tc>
          <w:tcPr>
            <w:tcW w:w="7674" w:type="dxa"/>
            <w:gridSpan w:val="4"/>
            <w:noWrap w:val="0"/>
            <w:vAlign w:val="center"/>
          </w:tcPr>
          <w:p>
            <w:pPr>
              <w:snapToGrid w:val="0"/>
              <w:spacing w:line="288" w:lineRule="auto"/>
              <w:ind w:left="-78" w:leftChars="-37" w:right="-73" w:rightChars="-35"/>
              <w:jc w:val="center"/>
              <w:rPr>
                <w:rFonts w:hint="eastAsia" w:ascii="宋体" w:hAnsi="宋体" w:eastAsia="宋体" w:cs="宋体"/>
                <w:b/>
                <w:color w:val="auto"/>
                <w:sz w:val="20"/>
                <w:szCs w:val="20"/>
                <w:highlight w:val="none"/>
              </w:rPr>
            </w:pPr>
            <w:r>
              <w:rPr>
                <w:rFonts w:hint="eastAsia" w:ascii="宋体" w:hAnsi="宋体" w:eastAsia="宋体" w:cs="宋体"/>
                <w:b/>
                <w:color w:val="auto"/>
                <w:sz w:val="24"/>
                <w:szCs w:val="24"/>
                <w:highlight w:val="none"/>
              </w:rPr>
              <w:t>技术部分（合计</w:t>
            </w:r>
            <w:r>
              <w:rPr>
                <w:rFonts w:hint="eastAsia" w:ascii="宋体" w:hAnsi="宋体" w:eastAsia="宋体" w:cs="宋体"/>
                <w:b/>
                <w:color w:val="auto"/>
                <w:sz w:val="24"/>
                <w:szCs w:val="24"/>
                <w:highlight w:val="none"/>
                <w:lang w:eastAsia="zh-CN"/>
              </w:rPr>
              <w:t>5</w:t>
            </w:r>
            <w:r>
              <w:rPr>
                <w:rFonts w:hint="eastAsia" w:ascii="宋体" w:hAnsi="宋体" w:cs="宋体"/>
                <w:b/>
                <w:color w:val="auto"/>
                <w:sz w:val="24"/>
                <w:szCs w:val="24"/>
                <w:highlight w:val="none"/>
                <w:lang w:val="en-US" w:eastAsia="zh-CN"/>
              </w:rPr>
              <w:t>0</w:t>
            </w:r>
            <w:r>
              <w:rPr>
                <w:rFonts w:hint="eastAsia" w:ascii="宋体" w:hAnsi="宋体" w:eastAsia="宋体" w:cs="宋体"/>
                <w:b/>
                <w:color w:val="auto"/>
                <w:sz w:val="24"/>
                <w:szCs w:val="24"/>
                <w:highlight w:val="none"/>
              </w:rPr>
              <w:t>分）</w:t>
            </w:r>
          </w:p>
        </w:tc>
      </w:tr>
      <w:tr>
        <w:trPr>
          <w:trHeight w:val="830" w:hRule="atLeast"/>
          <w:jc w:val="center"/>
        </w:trPr>
        <w:tc>
          <w:tcPr>
            <w:tcW w:w="821" w:type="dxa"/>
            <w:noWrap w:val="0"/>
            <w:vAlign w:val="center"/>
          </w:tcPr>
          <w:p>
            <w:pPr>
              <w:pStyle w:val="54"/>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服务质量保障措施</w:t>
            </w:r>
          </w:p>
        </w:tc>
        <w:tc>
          <w:tcPr>
            <w:tcW w:w="4732" w:type="dxa"/>
            <w:noWrap w:val="0"/>
            <w:vAlign w:val="top"/>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根据供应商针对本项目的服务质量保障措施进行评审：</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有严格合理的质量保证体系，对整个项目质量管理有具体的保障制度和措施，针对性强，能很好的保证项目质量，得</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分；</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提供有较合理质量保证措施，质量保证及质量承诺符合项目需求，得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提供相对简单的质量保证措施，没有针对性，得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未提供质量保证措施得0分。</w:t>
            </w:r>
          </w:p>
        </w:tc>
        <w:tc>
          <w:tcPr>
            <w:tcW w:w="698"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0"/>
                <w:szCs w:val="20"/>
                <w:lang w:eastAsia="zh-CN"/>
              </w:rPr>
              <w:t>8</w:t>
            </w:r>
          </w:p>
        </w:tc>
        <w:tc>
          <w:tcPr>
            <w:tcW w:w="661"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0"/>
                <w:szCs w:val="20"/>
                <w:lang w:eastAsia="zh-CN"/>
              </w:rPr>
              <w:t>8</w:t>
            </w:r>
          </w:p>
        </w:tc>
      </w:tr>
      <w:tr>
        <w:trPr>
          <w:trHeight w:val="830" w:hRule="atLeast"/>
          <w:jc w:val="center"/>
        </w:trPr>
        <w:tc>
          <w:tcPr>
            <w:tcW w:w="821" w:type="dxa"/>
            <w:noWrap w:val="0"/>
            <w:vAlign w:val="center"/>
          </w:tcPr>
          <w:p>
            <w:pPr>
              <w:pStyle w:val="54"/>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项目理解和响应程度</w:t>
            </w:r>
          </w:p>
        </w:tc>
        <w:tc>
          <w:tcPr>
            <w:tcW w:w="4732" w:type="dxa"/>
            <w:noWrap w:val="0"/>
            <w:vAlign w:val="top"/>
          </w:tcPr>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Pr>
              <w:t>主要工作内容的理解和响应程度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tl w:val="0"/>
                <w:lang w:val="en-US" w:eastAsia="zh-CN"/>
              </w:rPr>
              <w:t xml:space="preserve">根据投标人对采购需求的理解程度，重点难点的分析进行情况评审： </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对采购需求理解透彻，对项目重点难点的理解十分到位，提出的重点难点有利于项目实施，满足或优于采购需求的，得</w:t>
            </w:r>
            <w:r>
              <w:rPr>
                <w:rFonts w:hint="eastAsia" w:ascii="宋体" w:hAnsi="宋体" w:cs="宋体"/>
                <w:color w:val="auto"/>
                <w:sz w:val="24"/>
                <w:szCs w:val="24"/>
                <w:highlight w:val="none"/>
                <w:rtl w:val="0"/>
                <w:lang w:val="en-US" w:eastAsia="zh-CN"/>
              </w:rPr>
              <w:t>7</w:t>
            </w:r>
            <w:r>
              <w:rPr>
                <w:rFonts w:hint="eastAsia" w:ascii="宋体" w:hAnsi="宋体" w:eastAsia="宋体" w:cs="宋体"/>
                <w:color w:val="auto"/>
                <w:sz w:val="24"/>
                <w:szCs w:val="24"/>
                <w:highlight w:val="none"/>
                <w:rtl w:val="0"/>
                <w:lang w:val="en-US" w:eastAsia="zh-CN"/>
              </w:rPr>
              <w:t xml:space="preserve">分； </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对采购需求理解比较透彻，对项目重点难点的理解比较到位，提出的重点难点比较有利于项目实施，比较满足采购需求的，得</w:t>
            </w:r>
            <w:r>
              <w:rPr>
                <w:rFonts w:hint="eastAsia" w:ascii="宋体" w:hAnsi="宋体" w:cs="宋体"/>
                <w:color w:val="auto"/>
                <w:sz w:val="24"/>
                <w:szCs w:val="24"/>
                <w:highlight w:val="none"/>
                <w:rtl w:val="0"/>
                <w:lang w:val="en-US" w:eastAsia="zh-CN"/>
              </w:rPr>
              <w:t>5</w:t>
            </w:r>
            <w:r>
              <w:rPr>
                <w:rFonts w:hint="eastAsia" w:ascii="宋体" w:hAnsi="宋体" w:eastAsia="宋体" w:cs="宋体"/>
                <w:color w:val="auto"/>
                <w:sz w:val="24"/>
                <w:szCs w:val="24"/>
                <w:highlight w:val="none"/>
                <w:rtl w:val="0"/>
                <w:lang w:val="en-US" w:eastAsia="zh-CN"/>
              </w:rPr>
              <w:t>分；</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对采购需求理解一般，对项目重点难点的理解分析基本到位，基本符合采购需求的，得</w:t>
            </w:r>
            <w:r>
              <w:rPr>
                <w:rFonts w:hint="eastAsia" w:ascii="宋体" w:hAnsi="宋体" w:cs="宋体"/>
                <w:color w:val="auto"/>
                <w:sz w:val="24"/>
                <w:szCs w:val="24"/>
                <w:highlight w:val="none"/>
                <w:rtl w:val="0"/>
                <w:lang w:val="en-US" w:eastAsia="zh-CN"/>
              </w:rPr>
              <w:t>3</w:t>
            </w:r>
            <w:r>
              <w:rPr>
                <w:rFonts w:hint="eastAsia" w:ascii="宋体" w:hAnsi="宋体" w:eastAsia="宋体" w:cs="宋体"/>
                <w:color w:val="auto"/>
                <w:sz w:val="24"/>
                <w:szCs w:val="24"/>
                <w:highlight w:val="none"/>
                <w:rtl w:val="0"/>
                <w:lang w:val="en-US" w:eastAsia="zh-CN"/>
              </w:rPr>
              <w:t>分；</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对采购需求理解较差，对项目重点难点的理解分析有所欠缺，不能满足采购需求的，得1分；</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 xml:space="preserve">其他或无响应，得0分。 </w:t>
            </w:r>
          </w:p>
        </w:tc>
        <w:tc>
          <w:tcPr>
            <w:tcW w:w="698"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0"/>
                <w:szCs w:val="20"/>
                <w:lang w:val="en-US" w:eastAsia="zh-CN"/>
              </w:rPr>
              <w:t>7</w:t>
            </w:r>
          </w:p>
        </w:tc>
        <w:tc>
          <w:tcPr>
            <w:tcW w:w="661"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cs="宋体"/>
                <w:color w:val="auto"/>
                <w:kern w:val="0"/>
                <w:sz w:val="20"/>
                <w:szCs w:val="20"/>
                <w:lang w:val="en-US" w:eastAsia="zh-CN"/>
              </w:rPr>
              <w:t>7</w:t>
            </w:r>
          </w:p>
        </w:tc>
      </w:tr>
      <w:tr>
        <w:trPr>
          <w:trHeight w:val="586" w:hRule="atLeast"/>
          <w:jc w:val="center"/>
        </w:trPr>
        <w:tc>
          <w:tcPr>
            <w:tcW w:w="821" w:type="dxa"/>
            <w:noWrap w:val="0"/>
            <w:vAlign w:val="center"/>
          </w:tcPr>
          <w:p>
            <w:pPr>
              <w:pStyle w:val="54"/>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项目实施总体思路、实施方案</w:t>
            </w:r>
          </w:p>
        </w:tc>
        <w:tc>
          <w:tcPr>
            <w:tcW w:w="4732" w:type="dxa"/>
            <w:noWrap w:val="0"/>
            <w:vAlign w:val="top"/>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项目实施总体思路与技术路线的可 行性、合理性：</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内容与深度完全符合招标文件要求和本项目实际发展需求，工作思路清晰，合理，得20分</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内容与深度符合招标文件要求和本项目实际发展需求，工作思路较清晰，得12分</w:t>
            </w:r>
          </w:p>
          <w:p>
            <w:pPr>
              <w:widowControl/>
              <w:textAlignment w:val="center"/>
              <w:rPr>
                <w:rFonts w:hint="eastAsia" w:ascii="宋体" w:hAnsi="宋体" w:eastAsia="宋体" w:cs="宋体"/>
                <w:color w:val="auto"/>
                <w:sz w:val="24"/>
                <w:szCs w:val="24"/>
                <w:highlight w:val="none"/>
                <w:rtl w:val="0"/>
                <w:lang w:val="en-US" w:eastAsia="zh-CN"/>
              </w:rPr>
            </w:pPr>
            <w:r>
              <w:rPr>
                <w:rFonts w:hint="eastAsia" w:ascii="宋体" w:hAnsi="宋体" w:eastAsia="宋体" w:cs="宋体"/>
                <w:color w:val="auto"/>
                <w:sz w:val="24"/>
                <w:szCs w:val="24"/>
                <w:highlight w:val="none"/>
                <w:rtl w:val="0"/>
                <w:lang w:val="en-US" w:eastAsia="zh-CN"/>
              </w:rPr>
              <w:t>内容与深度完全与招标文件要求和本项目实际发展需求符合度不足，工作思路一般，得6分</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不提供；得0分</w:t>
            </w:r>
          </w:p>
        </w:tc>
        <w:tc>
          <w:tcPr>
            <w:tcW w:w="698"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0"/>
                <w:szCs w:val="20"/>
                <w:lang w:eastAsia="zh-CN"/>
              </w:rPr>
              <w:t>20</w:t>
            </w:r>
          </w:p>
        </w:tc>
        <w:tc>
          <w:tcPr>
            <w:tcW w:w="661"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0"/>
                <w:szCs w:val="20"/>
                <w:lang w:eastAsia="zh-CN"/>
              </w:rPr>
              <w:t>20</w:t>
            </w:r>
          </w:p>
        </w:tc>
      </w:tr>
      <w:tr>
        <w:trPr>
          <w:trHeight w:val="586" w:hRule="atLeast"/>
          <w:jc w:val="center"/>
        </w:trPr>
        <w:tc>
          <w:tcPr>
            <w:tcW w:w="821" w:type="dxa"/>
            <w:noWrap w:val="0"/>
            <w:vAlign w:val="center"/>
          </w:tcPr>
          <w:p>
            <w:pPr>
              <w:pStyle w:val="54"/>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成果文件内容</w:t>
            </w:r>
          </w:p>
        </w:tc>
        <w:tc>
          <w:tcPr>
            <w:tcW w:w="4732" w:type="dxa"/>
            <w:noWrap w:val="0"/>
            <w:vAlign w:val="top"/>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提供的主要成果内容完整性：主要成果完整，数据库、文字报告、图、表齐全，得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分；主要成果较完整，数据库较齐全，有图表，得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分；成果内容不完整，得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p>
        </w:tc>
        <w:tc>
          <w:tcPr>
            <w:tcW w:w="698"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0"/>
                <w:szCs w:val="20"/>
                <w:lang w:eastAsia="zh-CN"/>
              </w:rPr>
              <w:t>4</w:t>
            </w:r>
          </w:p>
        </w:tc>
        <w:tc>
          <w:tcPr>
            <w:tcW w:w="661"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0"/>
                <w:szCs w:val="20"/>
                <w:lang w:eastAsia="zh-CN"/>
              </w:rPr>
              <w:t>4</w:t>
            </w:r>
          </w:p>
        </w:tc>
      </w:tr>
      <w:tr>
        <w:trPr>
          <w:trHeight w:val="661" w:hRule="atLeast"/>
          <w:jc w:val="center"/>
        </w:trPr>
        <w:tc>
          <w:tcPr>
            <w:tcW w:w="821" w:type="dxa"/>
            <w:noWrap w:val="0"/>
            <w:vAlign w:val="center"/>
          </w:tcPr>
          <w:p>
            <w:pPr>
              <w:pStyle w:val="54"/>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tl w:val="0"/>
                <w:lang w:val="en-US" w:eastAsia="zh-CN"/>
              </w:rPr>
              <w:t>后续服务承诺</w:t>
            </w:r>
          </w:p>
        </w:tc>
        <w:tc>
          <w:tcPr>
            <w:tcW w:w="4732" w:type="dxa"/>
            <w:noWrap w:val="0"/>
            <w:vAlign w:val="top"/>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w:t>
            </w:r>
            <w:r>
              <w:rPr>
                <w:rFonts w:hint="eastAsia" w:ascii="宋体" w:hAnsi="宋体" w:eastAsia="宋体" w:cs="宋体"/>
                <w:color w:val="auto"/>
                <w:sz w:val="24"/>
                <w:szCs w:val="24"/>
                <w:highlight w:val="none"/>
              </w:rPr>
              <w:t>后续服务内容、响应和解决问题时间承诺，服务措施详细可行，违约处罚承诺，服务机构及人员</w:t>
            </w:r>
            <w:r>
              <w:rPr>
                <w:rFonts w:hint="eastAsia" w:ascii="宋体" w:hAnsi="宋体" w:eastAsia="宋体" w:cs="宋体"/>
                <w:color w:val="auto"/>
                <w:sz w:val="24"/>
                <w:szCs w:val="24"/>
                <w:highlight w:val="none"/>
                <w:lang w:val="en-US" w:eastAsia="zh-CN"/>
              </w:rPr>
              <w:t>进行评审</w:t>
            </w:r>
            <w:r>
              <w:rPr>
                <w:rFonts w:hint="eastAsia" w:ascii="宋体" w:hAnsi="宋体" w:eastAsia="宋体" w:cs="宋体"/>
                <w:color w:val="auto"/>
                <w:sz w:val="24"/>
                <w:szCs w:val="24"/>
                <w:highlight w:val="none"/>
              </w:rPr>
              <w:t>：</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后续服务内容明确、响应和解决问题时间承诺及时，服务措施详细可行，且有违约处罚承诺，服务机构及人员</w:t>
            </w:r>
            <w:r>
              <w:rPr>
                <w:rFonts w:hint="eastAsia" w:ascii="宋体" w:hAnsi="宋体" w:eastAsia="宋体" w:cs="宋体"/>
                <w:color w:val="auto"/>
                <w:sz w:val="24"/>
                <w:szCs w:val="24"/>
                <w:highlight w:val="none"/>
                <w:lang w:val="en-US" w:eastAsia="zh-CN"/>
              </w:rPr>
              <w:t>明确；得</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分</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承诺提供后期服务，承诺服务内容较完善，具有对本项目长期跟踪研究服务的能力，承诺提供后续服务，得</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分</w:t>
            </w:r>
          </w:p>
          <w:p>
            <w:pPr>
              <w:widowControl/>
              <w:textAlignment w:val="center"/>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rPr>
              <w:t>服务内容含糊不确定，得</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分</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rPr>
              <w:t>不提供，得0分</w:t>
            </w:r>
          </w:p>
        </w:tc>
        <w:tc>
          <w:tcPr>
            <w:tcW w:w="698"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kern w:val="0"/>
                <w:sz w:val="20"/>
                <w:szCs w:val="20"/>
                <w:lang w:eastAsia="zh-CN"/>
              </w:rPr>
              <w:t>5</w:t>
            </w:r>
          </w:p>
        </w:tc>
        <w:tc>
          <w:tcPr>
            <w:tcW w:w="661"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kern w:val="0"/>
                <w:sz w:val="20"/>
                <w:szCs w:val="20"/>
                <w:lang w:eastAsia="zh-CN"/>
              </w:rPr>
              <w:t>5</w:t>
            </w:r>
          </w:p>
        </w:tc>
      </w:tr>
      <w:tr>
        <w:trPr>
          <w:trHeight w:val="661" w:hRule="atLeast"/>
          <w:jc w:val="center"/>
        </w:trPr>
        <w:tc>
          <w:tcPr>
            <w:tcW w:w="821" w:type="dxa"/>
            <w:noWrap w:val="0"/>
            <w:vAlign w:val="center"/>
          </w:tcPr>
          <w:p>
            <w:pPr>
              <w:pStyle w:val="54"/>
              <w:keepNext w:val="0"/>
              <w:keepLines w:val="0"/>
              <w:pageBreakBefore w:val="0"/>
              <w:widowControl/>
              <w:numPr>
                <w:ilvl w:val="0"/>
                <w:numId w:val="6"/>
              </w:numPr>
              <w:kinsoku/>
              <w:wordWrap/>
              <w:overflowPunct/>
              <w:topLinePunct w:val="0"/>
              <w:autoSpaceDE/>
              <w:autoSpaceDN/>
              <w:bidi w:val="0"/>
              <w:adjustRightInd/>
              <w:snapToGrid w:val="0"/>
              <w:spacing w:line="240" w:lineRule="auto"/>
              <w:ind w:left="0" w:leftChars="0" w:right="0" w:rightChars="0" w:firstLine="0" w:firstLineChars="0"/>
              <w:jc w:val="both"/>
              <w:textAlignment w:val="auto"/>
              <w:rPr>
                <w:rFonts w:hint="eastAsia" w:ascii="宋体" w:hAnsi="宋体" w:eastAsia="宋体" w:cs="宋体"/>
                <w:color w:val="auto"/>
                <w:sz w:val="24"/>
                <w:szCs w:val="24"/>
                <w:highlight w:val="none"/>
                <w:lang w:val="en-US" w:eastAsia="zh-CN"/>
              </w:rPr>
            </w:pPr>
          </w:p>
        </w:tc>
        <w:tc>
          <w:tcPr>
            <w:tcW w:w="1583"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项目实施进度计划</w:t>
            </w:r>
          </w:p>
        </w:tc>
        <w:tc>
          <w:tcPr>
            <w:tcW w:w="4732" w:type="dxa"/>
            <w:noWrap w:val="0"/>
            <w:vAlign w:val="top"/>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根据各投标人提供的计划安排的合理性、工期的长短、组织实施及进度安排方案进行综合评审：</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严格把握提交时限，根据本项目工作的关键时间点有序推进，项目进度控制科学，时间节点清晰合理，并附有详细的确保完成工作措施，得</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分；</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满足招标文件中规定的服务期限要求，各阶段时间节点较为明确，并附有较详细的确保完成工作措施，得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只承诺满足招标文件中规定的服务期限以内完成的，时间节点划分照搬招标文件或较为简单，得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未承诺满足招标文件中规定的服务期限以内完成的，时间节点划分照搬招标文件，得0分。</w:t>
            </w:r>
          </w:p>
        </w:tc>
        <w:tc>
          <w:tcPr>
            <w:tcW w:w="698"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kern w:val="0"/>
                <w:sz w:val="20"/>
                <w:szCs w:val="20"/>
                <w:lang w:eastAsia="zh-CN"/>
              </w:rPr>
              <w:t>6</w:t>
            </w:r>
          </w:p>
        </w:tc>
        <w:tc>
          <w:tcPr>
            <w:tcW w:w="661" w:type="dxa"/>
            <w:noWrap w:val="0"/>
            <w:vAlign w:val="center"/>
          </w:tcPr>
          <w:p>
            <w:pPr>
              <w:widowControl/>
              <w:jc w:val="center"/>
              <w:textAlignment w:val="center"/>
              <w:rPr>
                <w:rFonts w:hint="eastAsia" w:ascii="宋体" w:hAnsi="宋体" w:eastAsia="宋体" w:cs="宋体"/>
                <w:color w:val="auto"/>
                <w:kern w:val="0"/>
                <w:sz w:val="20"/>
                <w:szCs w:val="20"/>
              </w:rPr>
            </w:pPr>
          </w:p>
          <w:p>
            <w:pPr>
              <w:widowControl/>
              <w:jc w:val="center"/>
              <w:textAlignment w:val="center"/>
              <w:rPr>
                <w:rFonts w:hint="eastAsia" w:ascii="宋体" w:hAnsi="宋体" w:eastAsia="宋体" w:cs="宋体"/>
                <w:color w:val="auto"/>
                <w:sz w:val="24"/>
                <w:szCs w:val="24"/>
                <w:highlight w:val="none"/>
                <w:lang w:eastAsia="zh-CN" w:bidi="ar-SA"/>
              </w:rPr>
            </w:pPr>
            <w:r>
              <w:rPr>
                <w:rFonts w:hint="eastAsia" w:ascii="宋体" w:hAnsi="宋体" w:eastAsia="宋体" w:cs="宋体"/>
                <w:color w:val="auto"/>
                <w:kern w:val="0"/>
                <w:sz w:val="20"/>
                <w:szCs w:val="20"/>
                <w:lang w:eastAsia="zh-CN"/>
              </w:rPr>
              <w:t>6</w:t>
            </w:r>
          </w:p>
        </w:tc>
      </w:tr>
      <w:tr>
        <w:trPr>
          <w:trHeight w:val="588" w:hRule="atLeast"/>
          <w:jc w:val="center"/>
        </w:trPr>
        <w:tc>
          <w:tcPr>
            <w:tcW w:w="821" w:type="dxa"/>
            <w:noWrap w:val="0"/>
            <w:vAlign w:val="center"/>
          </w:tcPr>
          <w:p>
            <w:pPr>
              <w:snapToGrid w:val="0"/>
              <w:spacing w:line="288"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w:t>
            </w:r>
          </w:p>
        </w:tc>
        <w:tc>
          <w:tcPr>
            <w:tcW w:w="7674" w:type="dxa"/>
            <w:gridSpan w:val="4"/>
            <w:noWrap w:val="0"/>
            <w:vAlign w:val="center"/>
          </w:tcPr>
          <w:p>
            <w:pPr>
              <w:snapToGrid w:val="0"/>
              <w:jc w:val="center"/>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商务部分（</w:t>
            </w:r>
            <w:r>
              <w:rPr>
                <w:rFonts w:hint="eastAsia" w:ascii="宋体" w:hAnsi="宋体" w:cs="宋体"/>
                <w:b/>
                <w:color w:val="auto"/>
                <w:sz w:val="20"/>
                <w:szCs w:val="20"/>
                <w:highlight w:val="none"/>
                <w:lang w:val="en-US" w:eastAsia="zh-CN"/>
              </w:rPr>
              <w:t>35</w:t>
            </w:r>
            <w:r>
              <w:rPr>
                <w:rFonts w:hint="eastAsia" w:ascii="宋体" w:hAnsi="宋体" w:eastAsia="宋体" w:cs="宋体"/>
                <w:b/>
                <w:color w:val="auto"/>
                <w:sz w:val="20"/>
                <w:szCs w:val="20"/>
                <w:highlight w:val="none"/>
              </w:rPr>
              <w:t>分）</w:t>
            </w:r>
          </w:p>
        </w:tc>
      </w:tr>
      <w:tr>
        <w:trPr>
          <w:trHeight w:val="830" w:hRule="atLeast"/>
          <w:jc w:val="center"/>
        </w:trPr>
        <w:tc>
          <w:tcPr>
            <w:tcW w:w="821" w:type="dxa"/>
            <w:noWrap w:val="0"/>
            <w:vAlign w:val="center"/>
          </w:tcPr>
          <w:p>
            <w:pPr>
              <w:pStyle w:val="54"/>
              <w:numPr>
                <w:ilvl w:val="0"/>
                <w:numId w:val="7"/>
              </w:numPr>
              <w:snapToGrid w:val="0"/>
              <w:spacing w:line="288" w:lineRule="auto"/>
              <w:ind w:left="630" w:leftChars="0" w:firstLineChars="0"/>
              <w:jc w:val="center"/>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tc>
        <w:tc>
          <w:tcPr>
            <w:tcW w:w="4732"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供应商近三年</w:t>
            </w:r>
            <w:r>
              <w:rPr>
                <w:rFonts w:hint="eastAsia" w:ascii="宋体" w:hAnsi="宋体" w:eastAsia="宋体" w:cs="宋体"/>
                <w:color w:val="auto"/>
                <w:sz w:val="24"/>
                <w:szCs w:val="24"/>
                <w:highlight w:val="none"/>
                <w:lang w:val="en-US" w:eastAsia="zh-CN"/>
              </w:rPr>
              <w:t>完成的</w:t>
            </w:r>
            <w:r>
              <w:rPr>
                <w:rFonts w:hint="eastAsia" w:ascii="宋体" w:hAnsi="宋体" w:eastAsia="宋体" w:cs="宋体"/>
                <w:color w:val="auto"/>
                <w:sz w:val="24"/>
                <w:szCs w:val="24"/>
                <w:highlight w:val="none"/>
              </w:rPr>
              <w:t>相关业绩，每一项类似业绩得</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分，满分</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分。（提供中标通知书</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合同；以合同签订时间为准，提供合同关键页扫描件，提供不全或不提供的不</w:t>
            </w:r>
            <w:r>
              <w:rPr>
                <w:rFonts w:hint="eastAsia" w:ascii="宋体" w:hAnsi="宋体" w:eastAsia="宋体" w:cs="宋体"/>
                <w:color w:val="auto"/>
                <w:sz w:val="24"/>
                <w:szCs w:val="24"/>
                <w:highlight w:val="none"/>
                <w:lang w:val="en-US" w:eastAsia="zh-CN"/>
              </w:rPr>
              <w:t>得</w:t>
            </w:r>
            <w:r>
              <w:rPr>
                <w:rFonts w:hint="eastAsia" w:ascii="宋体" w:hAnsi="宋体" w:eastAsia="宋体" w:cs="宋体"/>
                <w:color w:val="auto"/>
                <w:sz w:val="24"/>
                <w:szCs w:val="24"/>
                <w:highlight w:val="none"/>
              </w:rPr>
              <w:t>分）。</w:t>
            </w:r>
          </w:p>
        </w:tc>
        <w:tc>
          <w:tcPr>
            <w:tcW w:w="698"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661"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r>
      <w:tr>
        <w:trPr>
          <w:trHeight w:val="680" w:hRule="atLeast"/>
          <w:jc w:val="center"/>
        </w:trPr>
        <w:tc>
          <w:tcPr>
            <w:tcW w:w="821" w:type="dxa"/>
            <w:noWrap w:val="0"/>
            <w:vAlign w:val="center"/>
          </w:tcPr>
          <w:p>
            <w:pPr>
              <w:pStyle w:val="54"/>
              <w:numPr>
                <w:ilvl w:val="0"/>
                <w:numId w:val="7"/>
              </w:numPr>
              <w:snapToGrid w:val="0"/>
              <w:spacing w:line="288" w:lineRule="auto"/>
              <w:ind w:left="630" w:leftChars="0" w:firstLineChars="0"/>
              <w:jc w:val="center"/>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专业技术人员配备情况</w:t>
            </w:r>
          </w:p>
        </w:tc>
        <w:tc>
          <w:tcPr>
            <w:tcW w:w="4732"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项目组专业技术人员结构合理，项目组人员具有测绘</w:t>
            </w:r>
            <w:r>
              <w:rPr>
                <w:rFonts w:hint="eastAsia" w:ascii="宋体" w:hAnsi="宋体" w:cs="宋体"/>
                <w:color w:val="auto"/>
                <w:sz w:val="24"/>
                <w:szCs w:val="24"/>
                <w:highlight w:val="none"/>
                <w:lang w:val="en-US" w:eastAsia="zh-CN"/>
              </w:rPr>
              <w:t>或测量</w:t>
            </w:r>
            <w:r>
              <w:rPr>
                <w:rFonts w:hint="eastAsia" w:ascii="宋体" w:hAnsi="宋体" w:eastAsia="宋体" w:cs="宋体"/>
                <w:color w:val="auto"/>
                <w:sz w:val="24"/>
                <w:szCs w:val="24"/>
                <w:highlight w:val="none"/>
              </w:rPr>
              <w:t>类相关专业职称，高级职称每有1人得2分，中级职称每有1人得1分，初级职称每一个得0.5分。最多得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8"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c>
          <w:tcPr>
            <w:tcW w:w="661"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p>
        </w:tc>
      </w:tr>
      <w:tr>
        <w:trPr>
          <w:trHeight w:val="680" w:hRule="atLeast"/>
          <w:jc w:val="center"/>
        </w:trPr>
        <w:tc>
          <w:tcPr>
            <w:tcW w:w="821" w:type="dxa"/>
            <w:noWrap w:val="0"/>
            <w:vAlign w:val="center"/>
          </w:tcPr>
          <w:p>
            <w:pPr>
              <w:pStyle w:val="54"/>
              <w:numPr>
                <w:ilvl w:val="0"/>
                <w:numId w:val="7"/>
              </w:numPr>
              <w:snapToGrid w:val="0"/>
              <w:spacing w:line="288" w:lineRule="auto"/>
              <w:ind w:left="630" w:leftChars="0" w:firstLineChars="0"/>
              <w:jc w:val="center"/>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管理制度体系</w:t>
            </w:r>
          </w:p>
        </w:tc>
        <w:tc>
          <w:tcPr>
            <w:tcW w:w="4732" w:type="dxa"/>
            <w:noWrap w:val="0"/>
            <w:vAlign w:val="top"/>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各投标投标人需有完备、合理、严谨的内部管理制度体系。评审委员会将依据各投标人提供的资料进行对比打分。有管理制度得基本分</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分。具备完成本次工作的具体管理制度得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698" w:type="dxa"/>
            <w:noWrap w:val="0"/>
            <w:vAlign w:val="center"/>
          </w:tcPr>
          <w:p>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661" w:type="dxa"/>
            <w:noWrap w:val="0"/>
            <w:vAlign w:val="center"/>
          </w:tcPr>
          <w:p>
            <w:pPr>
              <w:snapToGrid w:val="0"/>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r>
      <w:tr>
        <w:trPr>
          <w:trHeight w:val="680" w:hRule="atLeast"/>
          <w:jc w:val="center"/>
        </w:trPr>
        <w:tc>
          <w:tcPr>
            <w:tcW w:w="821" w:type="dxa"/>
            <w:noWrap w:val="0"/>
            <w:vAlign w:val="center"/>
          </w:tcPr>
          <w:p>
            <w:pPr>
              <w:pStyle w:val="54"/>
              <w:numPr>
                <w:ilvl w:val="0"/>
                <w:numId w:val="7"/>
              </w:numPr>
              <w:snapToGrid w:val="0"/>
              <w:spacing w:line="288" w:lineRule="auto"/>
              <w:ind w:left="630" w:leftChars="0" w:firstLineChars="0"/>
              <w:jc w:val="center"/>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4732" w:type="dxa"/>
            <w:noWrap w:val="0"/>
            <w:vAlign w:val="top"/>
          </w:tcPr>
          <w:p>
            <w:pPr>
              <w:widowControl/>
              <w:textAlignment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拟投入本项目项目负责人同时具有注册测绘师及相关专业高级工程师资格证书的得5分；项目负责人具有相关专业中级职称得2分。初级职称及以下不得分。（需提供职称证明材料）</w:t>
            </w:r>
          </w:p>
        </w:tc>
        <w:tc>
          <w:tcPr>
            <w:tcW w:w="698"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661" w:type="dxa"/>
            <w:noWrap w:val="0"/>
            <w:vAlign w:val="center"/>
          </w:tcPr>
          <w:p>
            <w:pPr>
              <w:snapToGrid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r>
      <w:tr>
        <w:trPr>
          <w:trHeight w:val="514" w:hRule="atLeast"/>
          <w:jc w:val="center"/>
        </w:trPr>
        <w:tc>
          <w:tcPr>
            <w:tcW w:w="821" w:type="dxa"/>
            <w:noWrap w:val="0"/>
            <w:vAlign w:val="center"/>
          </w:tcPr>
          <w:p>
            <w:pPr>
              <w:snapToGrid w:val="0"/>
              <w:spacing w:line="288"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p>
        </w:tc>
        <w:tc>
          <w:tcPr>
            <w:tcW w:w="7674" w:type="dxa"/>
            <w:gridSpan w:val="4"/>
            <w:noWrap w:val="0"/>
            <w:vAlign w:val="center"/>
          </w:tcPr>
          <w:p>
            <w:pPr>
              <w:snapToGrid w:val="0"/>
              <w:jc w:val="center"/>
              <w:rPr>
                <w:rFonts w:hint="eastAsia" w:ascii="宋体" w:hAnsi="宋体" w:eastAsia="宋体" w:cs="宋体"/>
                <w:bCs/>
                <w:i/>
                <w:color w:val="auto"/>
                <w:sz w:val="20"/>
                <w:szCs w:val="20"/>
                <w:highlight w:val="none"/>
                <w:shd w:val="pct10" w:color="auto" w:fill="FFFFFF"/>
              </w:rPr>
            </w:pPr>
            <w:r>
              <w:rPr>
                <w:rFonts w:hint="eastAsia" w:ascii="宋体" w:hAnsi="宋体" w:eastAsia="宋体" w:cs="宋体"/>
                <w:b/>
                <w:color w:val="auto"/>
                <w:sz w:val="20"/>
                <w:szCs w:val="20"/>
                <w:highlight w:val="none"/>
              </w:rPr>
              <w:t>价格部分（合计</w:t>
            </w:r>
            <w:r>
              <w:rPr>
                <w:rFonts w:hint="eastAsia" w:ascii="宋体" w:hAnsi="宋体" w:cs="宋体"/>
                <w:b/>
                <w:color w:val="auto"/>
                <w:sz w:val="20"/>
                <w:szCs w:val="20"/>
                <w:highlight w:val="none"/>
                <w:lang w:val="en-US" w:eastAsia="zh-CN"/>
              </w:rPr>
              <w:t>15</w:t>
            </w:r>
            <w:r>
              <w:rPr>
                <w:rFonts w:hint="eastAsia" w:ascii="宋体" w:hAnsi="宋体" w:eastAsia="宋体" w:cs="宋体"/>
                <w:b/>
                <w:color w:val="auto"/>
                <w:sz w:val="20"/>
                <w:szCs w:val="20"/>
                <w:highlight w:val="none"/>
              </w:rPr>
              <w:t>分）</w:t>
            </w:r>
          </w:p>
        </w:tc>
      </w:tr>
      <w:tr>
        <w:trPr>
          <w:trHeight w:val="830" w:hRule="atLeast"/>
          <w:jc w:val="center"/>
        </w:trPr>
        <w:tc>
          <w:tcPr>
            <w:tcW w:w="821" w:type="dxa"/>
            <w:noWrap w:val="0"/>
            <w:vAlign w:val="center"/>
          </w:tcPr>
          <w:p>
            <w:pPr>
              <w:pStyle w:val="54"/>
              <w:numPr>
                <w:ilvl w:val="0"/>
                <w:numId w:val="8"/>
              </w:numPr>
              <w:snapToGrid w:val="0"/>
              <w:spacing w:line="288" w:lineRule="auto"/>
              <w:ind w:firstLineChars="0"/>
              <w:jc w:val="center"/>
              <w:rPr>
                <w:rFonts w:hint="eastAsia" w:ascii="宋体" w:hAnsi="宋体" w:eastAsia="宋体" w:cs="宋体"/>
                <w:color w:val="auto"/>
                <w:sz w:val="24"/>
                <w:szCs w:val="24"/>
                <w:highlight w:val="none"/>
              </w:rPr>
            </w:pPr>
          </w:p>
        </w:tc>
        <w:tc>
          <w:tcPr>
            <w:tcW w:w="1583"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w:t>
            </w:r>
          </w:p>
        </w:tc>
        <w:tc>
          <w:tcPr>
            <w:tcW w:w="4732" w:type="dxa"/>
            <w:noWrap w:val="0"/>
            <w:vAlign w:val="center"/>
          </w:tcPr>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价格分应当采用低价优先法计算，即满足招标文件要求且投标价格最低的投标报价为评标基准价，其价格分为满分。其他投标人的价格分统一按照下列公式计算：</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投标报价得分=（评标基准价／投标报价）×100×权重</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因落实政府采购政策进行价格调整的，以调整后的价格计算评标基准价和投标报价，详见《价格扣除》。</w:t>
            </w:r>
          </w:p>
          <w:p>
            <w:pPr>
              <w:widowControl/>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投标报价得分四舍五入后，小数点后保留两位有效数；</w:t>
            </w:r>
          </w:p>
        </w:tc>
        <w:tc>
          <w:tcPr>
            <w:tcW w:w="698" w:type="dxa"/>
            <w:noWrap w:val="0"/>
            <w:vAlign w:val="center"/>
          </w:tcPr>
          <w:p>
            <w:pPr>
              <w:snapToGrid w:val="0"/>
              <w:spacing w:line="288" w:lineRule="auto"/>
              <w:ind w:left="-78" w:leftChars="-37" w:right="-73" w:rightChars="-3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c>
          <w:tcPr>
            <w:tcW w:w="661" w:type="dxa"/>
            <w:noWrap w:val="0"/>
            <w:vAlign w:val="center"/>
          </w:tcPr>
          <w:p>
            <w:pPr>
              <w:snapToGrid w:val="0"/>
              <w:spacing w:line="288" w:lineRule="auto"/>
              <w:ind w:left="-78" w:leftChars="-37" w:right="-73" w:rightChars="-35"/>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p>
        </w:tc>
      </w:tr>
      <w:tr>
        <w:trPr>
          <w:trHeight w:val="500" w:hRule="atLeast"/>
          <w:jc w:val="center"/>
        </w:trPr>
        <w:tc>
          <w:tcPr>
            <w:tcW w:w="7136" w:type="dxa"/>
            <w:gridSpan w:val="3"/>
            <w:noWrap w:val="0"/>
            <w:vAlign w:val="center"/>
          </w:tcPr>
          <w:p>
            <w:pPr>
              <w:snapToGrid w:val="0"/>
              <w:spacing w:line="288" w:lineRule="auto"/>
              <w:ind w:left="-78" w:leftChars="-37" w:right="-73" w:rightChars="-35"/>
              <w:jc w:val="center"/>
              <w:rPr>
                <w:rFonts w:hint="eastAsia" w:ascii="宋体" w:hAnsi="宋体" w:eastAsia="宋体" w:cs="宋体"/>
                <w:b/>
                <w:color w:val="auto"/>
                <w:sz w:val="20"/>
                <w:szCs w:val="20"/>
                <w:highlight w:val="none"/>
                <w:u w:val="double"/>
              </w:rPr>
            </w:pPr>
            <w:r>
              <w:rPr>
                <w:rFonts w:hint="eastAsia" w:ascii="宋体" w:hAnsi="宋体" w:eastAsia="宋体" w:cs="宋体"/>
                <w:b/>
                <w:color w:val="auto"/>
                <w:sz w:val="20"/>
                <w:szCs w:val="20"/>
                <w:highlight w:val="none"/>
                <w:u w:val="double"/>
              </w:rPr>
              <w:t>合计</w:t>
            </w:r>
          </w:p>
        </w:tc>
        <w:tc>
          <w:tcPr>
            <w:tcW w:w="698"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100分</w:t>
            </w:r>
          </w:p>
        </w:tc>
        <w:tc>
          <w:tcPr>
            <w:tcW w:w="661" w:type="dxa"/>
            <w:noWrap w:val="0"/>
            <w:vAlign w:val="center"/>
          </w:tcPr>
          <w:p>
            <w:pPr>
              <w:snapToGrid w:val="0"/>
              <w:spacing w:line="288" w:lineRule="auto"/>
              <w:ind w:left="-78" w:leftChars="-37" w:right="-73" w:rightChars="-35"/>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100% </w:t>
            </w:r>
          </w:p>
        </w:tc>
      </w:tr>
    </w:tbl>
    <w:p>
      <w:pPr>
        <w:rPr>
          <w:rFonts w:hint="eastAsia" w:ascii="宋体" w:hAnsi="宋体" w:eastAsia="宋体" w:cs="宋体"/>
          <w:b/>
          <w:color w:val="auto"/>
          <w:sz w:val="28"/>
          <w:szCs w:val="28"/>
          <w:highlight w:val="none"/>
          <w:lang w:val="en-US" w:eastAsia="zh-CN"/>
        </w:rPr>
      </w:pPr>
    </w:p>
    <w:p>
      <w:pPr>
        <w:pStyle w:val="29"/>
        <w:rPr>
          <w:rFonts w:hint="eastAsia" w:ascii="宋体" w:hAnsi="宋体" w:eastAsia="宋体" w:cs="宋体"/>
          <w:b/>
          <w:color w:val="auto"/>
          <w:sz w:val="28"/>
          <w:szCs w:val="28"/>
          <w:highlight w:val="none"/>
          <w:lang w:val="en-US" w:eastAsia="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zh-CN"/>
        </w:rPr>
      </w:pP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注：1、各评委应认真了解本磋商文件和工程有关情况后，做出须自己负责的评审。</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技术商务标在进行汇总时，分项项目评分进行算术平均，计算结果值在小数点后保留两位小数，后余位数四舍五入计。项目评审过程中，不得去掉最后报价中的最高报价和最低报价。</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、供应商请认真阅读和理解上述内容，避免投标文件中有违背上述审查标准之一的情况发生而造成废标；评标中各评委若发生意见分歧，通过书面表决形式，以少数服从多数为原则决定。</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6、磋商小组应当根据</w:t>
      </w:r>
      <w:r>
        <w:rPr>
          <w:rFonts w:hint="eastAsia" w:ascii="宋体" w:hAnsi="宋体" w:eastAsia="宋体" w:cs="宋体"/>
          <w:color w:val="auto"/>
          <w:sz w:val="24"/>
          <w:szCs w:val="24"/>
          <w:highlight w:val="none"/>
          <w:lang w:val="en-US" w:eastAsia="zh-CN"/>
        </w:rPr>
        <w:t>磋商报价</w:t>
      </w:r>
      <w:r>
        <w:rPr>
          <w:rFonts w:hint="eastAsia" w:ascii="宋体" w:hAnsi="宋体" w:eastAsia="宋体" w:cs="宋体"/>
          <w:color w:val="auto"/>
          <w:sz w:val="24"/>
          <w:szCs w:val="24"/>
          <w:highlight w:val="none"/>
          <w:lang w:val="zh-CN"/>
        </w:rPr>
        <w:t>情况，按照</w:t>
      </w:r>
      <w:r>
        <w:rPr>
          <w:rFonts w:hint="eastAsia" w:ascii="宋体" w:hAnsi="宋体" w:eastAsia="宋体" w:cs="宋体"/>
          <w:color w:val="auto"/>
          <w:sz w:val="24"/>
          <w:szCs w:val="24"/>
          <w:highlight w:val="none"/>
          <w:lang w:val="en-US" w:eastAsia="zh-CN"/>
        </w:rPr>
        <w:t>最终报价</w:t>
      </w:r>
      <w:r>
        <w:rPr>
          <w:rFonts w:hint="eastAsia" w:ascii="宋体" w:hAnsi="宋体" w:eastAsia="宋体" w:cs="宋体"/>
          <w:color w:val="auto"/>
          <w:sz w:val="24"/>
          <w:szCs w:val="24"/>
          <w:highlight w:val="none"/>
          <w:lang w:val="zh-CN"/>
        </w:rPr>
        <w:t>由</w:t>
      </w:r>
      <w:r>
        <w:rPr>
          <w:rFonts w:hint="eastAsia" w:ascii="宋体" w:hAnsi="宋体" w:eastAsia="宋体" w:cs="宋体"/>
          <w:color w:val="auto"/>
          <w:sz w:val="24"/>
          <w:szCs w:val="24"/>
          <w:highlight w:val="none"/>
          <w:lang w:val="en-US" w:eastAsia="zh-CN"/>
        </w:rPr>
        <w:t>低</w:t>
      </w:r>
      <w:r>
        <w:rPr>
          <w:rFonts w:hint="eastAsia" w:ascii="宋体" w:hAnsi="宋体" w:eastAsia="宋体" w:cs="宋体"/>
          <w:color w:val="auto"/>
          <w:sz w:val="24"/>
          <w:szCs w:val="24"/>
          <w:highlight w:val="none"/>
          <w:lang w:val="zh-CN"/>
        </w:rPr>
        <w:t>到</w:t>
      </w:r>
      <w:r>
        <w:rPr>
          <w:rFonts w:hint="eastAsia" w:ascii="宋体" w:hAnsi="宋体" w:eastAsia="宋体" w:cs="宋体"/>
          <w:color w:val="auto"/>
          <w:sz w:val="24"/>
          <w:szCs w:val="24"/>
          <w:highlight w:val="none"/>
          <w:lang w:val="en-US" w:eastAsia="zh-CN"/>
        </w:rPr>
        <w:t>高</w:t>
      </w:r>
      <w:r>
        <w:rPr>
          <w:rFonts w:hint="eastAsia" w:ascii="宋体" w:hAnsi="宋体" w:eastAsia="宋体" w:cs="宋体"/>
          <w:color w:val="auto"/>
          <w:sz w:val="24"/>
          <w:szCs w:val="24"/>
          <w:highlight w:val="none"/>
          <w:lang w:val="zh-CN"/>
        </w:rPr>
        <w:t>顺序推荐3名成交候选供应商。</w:t>
      </w:r>
    </w:p>
    <w:p>
      <w:pPr>
        <w:spacing w:line="24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F  授予合同</w:t>
      </w:r>
      <w:bookmarkEnd w:id="49"/>
      <w:bookmarkEnd w:id="50"/>
      <w:bookmarkEnd w:id="51"/>
      <w:bookmarkEnd w:id="52"/>
      <w:bookmarkEnd w:id="53"/>
      <w:bookmarkEnd w:id="54"/>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28．合同授予标准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28.1合同将授予被确定为实质上响应</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文件要求，符合采购需求、质量和服务相等且</w:t>
      </w:r>
      <w:r>
        <w:rPr>
          <w:rFonts w:hint="eastAsia" w:ascii="宋体" w:hAnsi="宋体" w:eastAsia="宋体" w:cs="宋体"/>
          <w:color w:val="auto"/>
          <w:sz w:val="24"/>
          <w:szCs w:val="24"/>
          <w:highlight w:val="none"/>
          <w:lang w:val="en-US" w:eastAsia="zh-CN"/>
        </w:rPr>
        <w:t>报综合得分最高</w:t>
      </w:r>
      <w:r>
        <w:rPr>
          <w:rFonts w:hint="eastAsia" w:ascii="宋体" w:hAnsi="宋体" w:eastAsia="宋体" w:cs="宋体"/>
          <w:color w:val="auto"/>
          <w:sz w:val="24"/>
          <w:szCs w:val="24"/>
          <w:highlight w:val="none"/>
        </w:rPr>
        <w:t>的供应商。</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28.2 </w:t>
      </w:r>
      <w:r>
        <w:rPr>
          <w:rFonts w:hint="eastAsia" w:ascii="宋体" w:hAnsi="宋体" w:eastAsia="宋体" w:cs="宋体"/>
          <w:color w:val="auto"/>
          <w:sz w:val="24"/>
          <w:szCs w:val="24"/>
          <w:highlight w:val="none"/>
          <w:lang w:val="en-US" w:eastAsia="zh-CN"/>
        </w:rPr>
        <w:t>未通过资格审查和符合性审查的</w:t>
      </w:r>
      <w:r>
        <w:rPr>
          <w:rFonts w:hint="eastAsia" w:ascii="宋体" w:hAnsi="宋体" w:eastAsia="宋体" w:cs="宋体"/>
          <w:color w:val="auto"/>
          <w:sz w:val="24"/>
          <w:szCs w:val="24"/>
          <w:highlight w:val="none"/>
        </w:rPr>
        <w:t>最低报价不一定是被授予合同的保证。</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28.3排名第一的成交候选人放弃中标、因不可抗力不能履行合同、不按照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要求提交履约保证金，或者被查实存在影响中标结果的违法行为等情形，不符合成交条件的，采购人可以按照</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提出的成交候选人名单排序依次确定其他中标候选人为成交供应商，也可以重新招标。</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29．接受和拒绝任何或所有</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29.1为维护国家利益，买方在授予合同之前仍有选择或拒绝任何全部</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的权力，并对所采取的行为不作任何解释。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．成交通知书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评标结束后在“新疆政府采购网”（网址：http://www.ccgp-xinjiang.gov.cn/）上予以公告。公告有效期1个工作日；</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招标代理机构根据</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标结果，在投标有效期届满前，以书面形式向中标单位发出中标通知书。</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招标代理机构将</w:t>
      </w:r>
      <w:r>
        <w:rPr>
          <w:rFonts w:hint="eastAsia" w:ascii="宋体" w:hAnsi="宋体" w:eastAsia="宋体" w:cs="宋体"/>
          <w:color w:val="auto"/>
          <w:sz w:val="24"/>
          <w:szCs w:val="24"/>
          <w:highlight w:val="none"/>
          <w:lang w:eastAsia="zh-CN"/>
        </w:rPr>
        <w:t>开</w:t>
      </w:r>
      <w:r>
        <w:rPr>
          <w:rFonts w:hint="eastAsia" w:ascii="宋体" w:hAnsi="宋体" w:eastAsia="宋体" w:cs="宋体"/>
          <w:color w:val="auto"/>
          <w:sz w:val="24"/>
          <w:szCs w:val="24"/>
          <w:highlight w:val="none"/>
        </w:rPr>
        <w:t>标结果及时通知未中标单位并退还投标保证金。无需解释落标原因。</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招标人有权在定标之前拒绝任何有不正当行为或扰乱正常招标工作的投标人，由此对投标人造成的损失不负任何责任，同时对此无需做任何解释。</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在成交通知书发出后五个工作日内退还未成交供应商的保证金，在采购合同签订后五个工作日内退还成交供应商的保证金。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31．签订合同</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供应商收到《成交通知书》后，按《成交通知书》中规定的时间地点与买方签订合同。买方和成交方不得再订立背离合同实质性内容的其他协议。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如成交方拒签合同，则按违约处理。招标代理机构没收其</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文件、成交方的</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响应文件及其澄清文件等，均为签订经济合同的依据。</w:t>
      </w:r>
    </w:p>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32．履约保证金（如适用）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32.1成交方应按合同规定的方式、时间和金额向买方提交履约保证金。履约保证金</w:t>
      </w:r>
      <w:r>
        <w:rPr>
          <w:rFonts w:hint="eastAsia" w:ascii="宋体" w:hAnsi="宋体" w:eastAsia="宋体" w:cs="宋体"/>
          <w:color w:val="auto"/>
          <w:sz w:val="24"/>
          <w:szCs w:val="24"/>
          <w:highlight w:val="none"/>
          <w:lang w:eastAsia="zh-CN"/>
        </w:rPr>
        <w:t>为</w:t>
      </w:r>
      <w:r>
        <w:rPr>
          <w:rFonts w:hint="eastAsia" w:ascii="宋体" w:hAnsi="宋体" w:eastAsia="宋体" w:cs="宋体"/>
          <w:color w:val="auto"/>
          <w:sz w:val="24"/>
          <w:szCs w:val="24"/>
          <w:highlight w:val="none"/>
          <w:lang w:val="en-US" w:eastAsia="zh-CN"/>
        </w:rPr>
        <w:t>不超过</w:t>
      </w:r>
      <w:r>
        <w:rPr>
          <w:rFonts w:hint="eastAsia" w:ascii="宋体" w:hAnsi="宋体" w:eastAsia="宋体" w:cs="宋体"/>
          <w:color w:val="auto"/>
          <w:sz w:val="24"/>
          <w:szCs w:val="24"/>
          <w:highlight w:val="none"/>
          <w:lang w:eastAsia="zh-CN"/>
        </w:rPr>
        <w:t>合同价款的</w:t>
      </w:r>
      <w:r>
        <w:rPr>
          <w:rFonts w:hint="eastAsia" w:ascii="宋体" w:hAnsi="宋体" w:eastAsia="宋体" w:cs="宋体"/>
          <w:color w:val="auto"/>
          <w:sz w:val="24"/>
          <w:szCs w:val="24"/>
          <w:highlight w:val="none"/>
          <w:lang w:val="en-US" w:eastAsia="zh-CN"/>
        </w:rPr>
        <w:t>10%。（具体以与甲方协商约定为准）。</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33．</w:t>
      </w:r>
      <w:r>
        <w:rPr>
          <w:rFonts w:hint="eastAsia" w:ascii="宋体" w:hAnsi="宋体" w:eastAsia="宋体" w:cs="宋体"/>
          <w:color w:val="auto"/>
          <w:sz w:val="24"/>
          <w:szCs w:val="24"/>
          <w:highlight w:val="none"/>
          <w:lang w:eastAsia="zh-CN"/>
        </w:rPr>
        <w:t>按差额定率累进法计算</w:t>
      </w:r>
      <w:r>
        <w:rPr>
          <w:rFonts w:hint="eastAsia" w:ascii="宋体" w:hAnsi="宋体" w:eastAsia="宋体" w:cs="宋体"/>
          <w:color w:val="auto"/>
          <w:sz w:val="24"/>
          <w:szCs w:val="24"/>
          <w:highlight w:val="none"/>
          <w:lang w:val="en-US" w:eastAsia="zh-CN"/>
        </w:rPr>
        <w:t>收取：100万元以下收取1.5%，100万-500万元收取0.8%，500万-1000万元收取0.45%，1000万-5000万元收取0.25%，5000万-1亿元收取0.1%，以此类推。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例如：中标金额为100.8万元，则招标代理服务收费额为（100万元X1.5%）+（0.8万元X1.1%）=15088.00元</w:t>
      </w:r>
      <w:r>
        <w:rPr>
          <w:rFonts w:hint="eastAsia" w:ascii="宋体" w:hAnsi="宋体" w:eastAsia="宋体" w:cs="宋体"/>
          <w:color w:val="auto"/>
          <w:sz w:val="24"/>
          <w:szCs w:val="24"/>
          <w:highlight w:val="none"/>
          <w:lang w:eastAsia="zh-CN"/>
        </w:rPr>
        <w:t>）。</w:t>
      </w:r>
    </w:p>
    <w:p>
      <w:pPr>
        <w:spacing w:line="24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val="en-US" w:eastAsia="zh-CN"/>
        </w:rPr>
        <w:t>中标单位在领取成交通知书时一次性支付</w:t>
      </w:r>
      <w:r>
        <w:rPr>
          <w:rFonts w:hint="eastAsia" w:ascii="宋体" w:hAnsi="宋体" w:eastAsia="宋体" w:cs="宋体"/>
          <w:color w:val="auto"/>
          <w:sz w:val="24"/>
          <w:szCs w:val="24"/>
          <w:highlight w:val="none"/>
        </w:rPr>
        <w:t>。</w:t>
      </w:r>
    </w:p>
    <w:p>
      <w:pPr>
        <w:pStyle w:val="4"/>
        <w:spacing w:before="100" w:beforeAutospacing="1" w:after="100" w:afterAutospacing="1" w:line="240" w:lineRule="auto"/>
        <w:jc w:val="center"/>
        <w:rPr>
          <w:rFonts w:hint="eastAsia" w:ascii="宋体" w:hAnsi="宋体" w:eastAsia="宋体" w:cs="宋体"/>
          <w:bCs/>
          <w:color w:val="auto"/>
          <w:sz w:val="28"/>
          <w:szCs w:val="28"/>
          <w:highlight w:val="none"/>
        </w:rPr>
      </w:pPr>
      <w:bookmarkStart w:id="56" w:name="_Toc471489759"/>
      <w:bookmarkStart w:id="57" w:name="_Toc527642958"/>
      <w:r>
        <w:rPr>
          <w:rFonts w:hint="eastAsia" w:ascii="宋体" w:hAnsi="宋体" w:eastAsia="宋体" w:cs="宋体"/>
          <w:color w:val="auto"/>
          <w:sz w:val="28"/>
          <w:szCs w:val="28"/>
          <w:highlight w:val="none"/>
        </w:rPr>
        <w:t xml:space="preserve">G  </w:t>
      </w:r>
      <w:r>
        <w:rPr>
          <w:rFonts w:hint="eastAsia" w:ascii="宋体" w:hAnsi="宋体" w:eastAsia="宋体" w:cs="宋体"/>
          <w:color w:val="auto"/>
          <w:sz w:val="28"/>
          <w:szCs w:val="28"/>
          <w:highlight w:val="none"/>
          <w:lang w:eastAsia="zh-CN"/>
        </w:rPr>
        <w:t>磋商</w:t>
      </w:r>
      <w:r>
        <w:rPr>
          <w:rFonts w:hint="eastAsia" w:ascii="宋体" w:hAnsi="宋体" w:eastAsia="宋体" w:cs="宋体"/>
          <w:color w:val="auto"/>
          <w:sz w:val="28"/>
          <w:szCs w:val="28"/>
          <w:highlight w:val="none"/>
        </w:rPr>
        <w:t>失败条件</w:t>
      </w:r>
      <w:bookmarkEnd w:id="56"/>
      <w:bookmarkEnd w:id="57"/>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34.出现影响采购公正的违法、违规行为的；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35.因重大变故，采购任务取消的；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36.磋商响应文件截止时间后，实际参与的供应商不足法定家数的；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37.最终报价均超过采购预算的；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38.对磋商文件作出实质性响应的供应商不足法定家数的；</w:t>
      </w:r>
    </w:p>
    <w:p>
      <w:pPr>
        <w:pStyle w:val="3"/>
        <w:numPr>
          <w:ilvl w:val="0"/>
          <w:numId w:val="0"/>
        </w:numPr>
        <w:spacing w:line="400" w:lineRule="atLeast"/>
        <w:jc w:val="center"/>
        <w:rPr>
          <w:rFonts w:hint="eastAsia" w:ascii="宋体" w:hAnsi="宋体" w:eastAsia="宋体" w:cs="宋体"/>
          <w:color w:val="auto"/>
          <w:sz w:val="28"/>
          <w:szCs w:val="28"/>
          <w:highlight w:val="none"/>
        </w:rPr>
      </w:pPr>
      <w:bookmarkStart w:id="58" w:name="_Toc28010"/>
      <w:bookmarkStart w:id="59" w:name="_Toc349573127"/>
      <w:bookmarkStart w:id="60" w:name="_Toc298240411"/>
      <w:bookmarkStart w:id="61" w:name="_Toc349637926"/>
      <w:bookmarkStart w:id="62" w:name="_Toc527642959"/>
      <w:r>
        <w:rPr>
          <w:rFonts w:hint="eastAsia" w:ascii="宋体" w:hAnsi="宋体" w:eastAsia="宋体" w:cs="宋体"/>
          <w:color w:val="auto"/>
          <w:sz w:val="28"/>
          <w:szCs w:val="28"/>
          <w:highlight w:val="none"/>
          <w:lang w:val="en-US" w:eastAsia="zh-CN"/>
        </w:rPr>
        <w:t xml:space="preserve">H </w:t>
      </w:r>
      <w:r>
        <w:rPr>
          <w:rFonts w:hint="eastAsia" w:ascii="宋体" w:hAnsi="宋体" w:eastAsia="宋体" w:cs="宋体"/>
          <w:color w:val="auto"/>
          <w:sz w:val="28"/>
          <w:szCs w:val="28"/>
          <w:highlight w:val="none"/>
        </w:rPr>
        <w:t>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39．法律责任</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39.1投标人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（一）提供虚假材料谋取中标的；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（二）采取不正当手段诋毁、排挤其他投标人的；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（三）与招标人、采购人、其他投标人恶意串通的；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（四）向招标人、采购人行贿或者提供其他不正当利益的；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（五）在招标过程中与招标人、采购人进行协商磋商、不按照招标文件、投标文件订立合同，或者与采购人另行订立背离合同实质性内容的协议的；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（六）拒绝有关部门监督检查或者提供虚假情况的。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投标人有前款第（一）至（五）项情形之一的，中标无效。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39.2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中标人有下列情形之一的，招标人不予退还其交纳的投标保证金；情节严重的，由财政部门将其列入不良行为记录名单，在一至三年内禁止参加政府采购活动，并予以通报：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（一）中标后无正当理由不与采购人签订合同的；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（二）将中标项目转让给他人，或者在投标文件中未说明，且未经招标人同意，将中标项目分包给他人的；</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（三）拒绝履行合同义务的。</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I   </w:t>
      </w:r>
      <w:r>
        <w:rPr>
          <w:rFonts w:hint="eastAsia" w:ascii="宋体" w:hAnsi="宋体" w:eastAsia="宋体" w:cs="宋体"/>
          <w:color w:val="auto"/>
          <w:sz w:val="28"/>
          <w:szCs w:val="28"/>
          <w:highlight w:val="none"/>
        </w:rPr>
        <w:t>特别提示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40、投标人应认真研读招标文件，充分考虑招标文件中的技术要求和合同条款后编制投标文件。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41、如招标文件中未提供的各类表格样式，投标人可另行设计表格样式，但力求内容完整，表达清晰、准确。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42、本项目实行网上投标，采用电子投标文件。若供应商参与投标，自行承担投标一切费用。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43、各供应商应在开标前应确保成为新疆维吾尔自治区政府采购网正式注册入库供应商，并完成CA数字证书申领。因未注册入库、未办理CA数字证书等原因造成无法投标或投标失败等后果由供应商自行承担。 </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本项目为电子招投标，投标人需要使用CA加密设备，有意向参与新疆区域电子开评标的供应商，请访问新疆数字证书认证中心官方网站（https://www.xjca.com.cn/）或下载；“新疆政务通”APP自行进行申领。如需咨询，请联系新疆CA服务热线0991-2819290</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45、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46、本招标文件是根据《中华人民共和国政府采购法》规定编制的，解释权属新疆晓君招标有限公司。</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J  </w:t>
      </w:r>
      <w:r>
        <w:rPr>
          <w:rFonts w:hint="eastAsia" w:ascii="宋体" w:hAnsi="宋体" w:eastAsia="宋体" w:cs="宋体"/>
          <w:color w:val="auto"/>
          <w:sz w:val="28"/>
          <w:szCs w:val="28"/>
          <w:highlight w:val="none"/>
        </w:rPr>
        <w:t>质疑及答复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47、质疑的提出</w:t>
      </w:r>
      <w:r>
        <w:rPr>
          <w:rFonts w:hint="eastAsia" w:ascii="宋体" w:hAnsi="宋体" w:eastAsia="宋体" w:cs="宋体"/>
          <w:color w:val="auto"/>
          <w:sz w:val="24"/>
          <w:szCs w:val="24"/>
          <w:highlight w:val="none"/>
          <w:lang w:val="en-US" w:eastAsia="zh-CN"/>
        </w:rPr>
        <w:tab/>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 本采购文件中所称质疑及答复，是指参加本次采购活动的供应商对政府采购活动中的采购文件、采购过程和中标结果向采购方提出质疑，采购方答复质疑的行为。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 供应商认为采购文件、采购过程和中标结果使自己的权益受到损害的，可以在知道或者应知其权益受到损害之日起 7 个工作日内，以书面形式向采购方提出质疑。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47.2.1供应商应知其权益受到损害之日，是指：</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（一）对可以质疑的采购文件提出质疑的，为收到采购文件之日或者采购文件公告期限届满之日；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（二）对采购过程提出质疑的，为各采购程序环节结束之日；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（三）对中标结果提出质疑的，为中标结果公告期限届满之日。</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47.3 对可以质疑的采购文件提出质疑的，质疑人为参与本项目的报价方或潜在报价方。可质疑的文件为采购公告以及采购文件（包括属于其组成部分的澄清、修改、补充文件和评审标准、合同文本等）。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47.4 对采购过程和中标结果提出质疑的，质疑人为直接参与本项目的报价方。采购过程，即从采购项目信息公告发布起到中标结果公告止，包括采购文件的发出、提交投标文件、投标文件开启、评审等各个采购程序环节。</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47.5   提出质疑应当符合下列条件：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（一）质疑主体应当符合有关规定；</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（二）在质疑法定期限内提出；</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（三）属于可以提出质疑的政府采购事项受理范围和本项目采购人的管辖权范围；</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（四）政府采购法律、法规、规章规定的其他条件。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47.6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47.7 质疑人所提供的证明材料应当具有真实性、合法性以及与质疑事项的关联性和证明力，否则不能作为认定该质疑事项成立的依据。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47.8 质疑人提出质疑时应当提交质疑函。质疑函包括下列内容：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（一）提出质疑的质疑人的名称、地址、邮编、联系人及联系电话等；</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（二）质疑项目的名称、编号；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（四）事实依据和证明材料；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（六）提出质疑的日期。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47.9  质疑函采用实名制。质疑人为自然人的应当由本人签字，并附有效身份证明文件；质疑人为法人或者非法人组织的应当由法定代表人或者负责人签字并加盖公章，并附有效身份证明文件。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47.10 质疑人可以委托代理人进行质疑。代理人应当提交授权委托书。授权委托书应当载明委托代理的具体权限、期限和相关事项。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48、质疑的审查和受理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采购方在收到质疑函后应当及时审查是否符合质疑受理条件，对符合质疑受理条件的，及时予以受理。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48.2对不符合质疑受理条件的，分别按照下列不同情形予以处理：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（一）质疑函内容不符合规定的，告知质疑人进行修改并重新提出质疑。修改后质疑事项仍不具体、不明确或者最终递交质疑函的时间超过质疑法定期限的，不予受理；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（二）质疑主体不符合有关规定的，告知质疑人不予受理；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（三）超过质疑法定期限提出质疑的，告知质疑人不予受理；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（四）对不属于可以提出质疑的政府采购事项提出质疑的，告知质疑人不予受理；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（五）质疑不属于本项目采购方管辖的，告知质疑人向有管辖权的采购人提出质疑；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（六）质疑不符合其他条件的，告知质疑人不予受理。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48、质疑的处理和答复</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 按照《政府采购质疑和投诉办法（财政部94号令）》处理及答复质疑。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48.2 采购方受理质疑后，将及时把质疑函发送给被质疑人，并要求其在一定限期人提交书面答复，同时提供有关证据、依据和相关材料。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48.3 对于质疑事项中涉及的问题较多、情况比较复杂的，为了全面查清事实、取得充分的证据，采购方认为有必要时，可以进行调查取证或者组织质证。</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48.4对评审过程、中标结果提出质疑的，采购方可以组织原评审委员会协助答复质疑。</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48.5质疑处理过程中，质疑人书面申请撤回质疑的，将终止质疑处理程序。</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48.6质疑人拒绝配合采购方依法对质疑进行调查处理的，采购方将按质疑人自动撤回质疑处理；被质疑人拒绝配合采购方依法对质疑进行调查处理的，采购方将视同其认可质疑事项。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48.7 采购方将在正式受理质疑后 7 个工作日内作出答复，但处理质疑需要进行调查取证、组织专家评审、质疑人及被质疑人提交或补正材料等所需时间，不计算在质疑处理期限内。</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48.8 采购方经调查、论证、核实，认定质疑不能成立的，继续开展采购活动；认定质疑成立的，按照以下情况处理：</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对采购文件提出的质疑未对中标结果构成影响的，继续开展采购活动；对中标结果构成影响但依法通过澄清或者修改可以继续开展采购活动的，澄清或者修改采购文件后继续开展采购活动，否则应当修改采购文件后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（二）对采购过程、中标结果提出的质疑未对中标结果构成影响的，继续开展采购活动；对中标结果构成影响但合格报价方仍不少于 3 家时，依法从合格的中标候选人中另行确定中标报价方，否则将重新开展采购活动。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48.9 采购方将书面答复质疑，质疑答复包括下列内容：</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（一）质疑人名称；</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（二）收到质疑函的日期、质疑项目名称及编号；</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（三）质疑事项、质疑答复的具体内容、事实依据和法律依据；</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（四）告知质疑人依法投诉的权利；</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（五）质疑答复日期。</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48.10 质疑人有下列行为之一的，属于虚假、恶意质疑，将由采购方建议财政部门将其列入不良行为记录名单，禁止其 1 至 3 年内参加政府采购活动：</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（一）受理后发现投诉不符合法定受理条件；</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（二）投诉事项缺乏事实依据，投诉事项不成立；</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（三）投诉人捏造事实或者提供虚假材料；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（四）投诉人以非法手段取得证明材料。证据来源的合法性存在明显疑问，投诉人无法证明其取得方式合法的，视为以非法手段取得证明材料。</w:t>
      </w:r>
    </w:p>
    <w:p>
      <w:pPr>
        <w:spacing w:line="24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（五）法律法规规定的其他违法情形。</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质疑函</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 xml:space="preserve">致：               </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依据政府采购相关法规，我公司对</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 xml:space="preserve">           的项目（项目编号：           </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）评审活动存在疑问，特提出质疑（详见下表）。</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我公司和本人对此质疑函内容的真实性负责，并愿意承担由此引起的相应处理和法律责任。</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法定代表人（签字并盖名章）：</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身份证号码：</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固话：</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传真：</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手机：</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本项目授权委托人（签字并盖名章）：</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身份证号码：</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固话：</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传真：</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手机：</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公司地址：</w:t>
      </w:r>
      <w:r>
        <w:rPr>
          <w:rFonts w:hint="eastAsia" w:ascii="宋体" w:hAnsi="宋体" w:eastAsia="宋体" w:cs="宋体"/>
          <w:b w:val="0"/>
          <w:bCs/>
          <w:color w:val="auto"/>
          <w:sz w:val="28"/>
          <w:szCs w:val="28"/>
          <w:highlight w:val="none"/>
        </w:rPr>
        <w:tab/>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邮编：</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质疑人（公章）</w:t>
      </w:r>
    </w:p>
    <w:p>
      <w:pPr>
        <w:pStyle w:val="3"/>
        <w:numPr>
          <w:ilvl w:val="0"/>
          <w:numId w:val="0"/>
        </w:numPr>
        <w:spacing w:line="400" w:lineRule="atLeast"/>
        <w:jc w:val="left"/>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年</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 xml:space="preserve">  月 </w:t>
      </w:r>
      <w:r>
        <w:rPr>
          <w:rFonts w:hint="eastAsia" w:ascii="宋体" w:hAnsi="宋体" w:eastAsia="宋体" w:cs="宋体"/>
          <w:b w:val="0"/>
          <w:bCs/>
          <w:color w:val="auto"/>
          <w:sz w:val="28"/>
          <w:szCs w:val="28"/>
          <w:highlight w:val="none"/>
        </w:rPr>
        <w:tab/>
      </w:r>
      <w:r>
        <w:rPr>
          <w:rFonts w:hint="eastAsia" w:ascii="宋体" w:hAnsi="宋体" w:eastAsia="宋体" w:cs="宋体"/>
          <w:b w:val="0"/>
          <w:bCs/>
          <w:color w:val="auto"/>
          <w:sz w:val="28"/>
          <w:szCs w:val="28"/>
          <w:highlight w:val="none"/>
        </w:rPr>
        <w:t>日</w:t>
      </w: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pStyle w:val="3"/>
        <w:numPr>
          <w:ilvl w:val="0"/>
          <w:numId w:val="0"/>
        </w:numPr>
        <w:spacing w:line="400" w:lineRule="atLeast"/>
        <w:ind w:firstLine="1968" w:firstLineChars="700"/>
        <w:jc w:val="both"/>
        <w:rPr>
          <w:rFonts w:hint="eastAsia" w:ascii="宋体" w:hAnsi="宋体" w:eastAsia="宋体" w:cs="宋体"/>
          <w:color w:val="auto"/>
          <w:sz w:val="28"/>
          <w:szCs w:val="28"/>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3"/>
        <w:numPr>
          <w:ilvl w:val="0"/>
          <w:numId w:val="0"/>
        </w:numPr>
        <w:spacing w:line="400" w:lineRule="atLeas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质疑内容</w:t>
      </w:r>
    </w:p>
    <w:p>
      <w:pPr>
        <w:pStyle w:val="3"/>
        <w:numPr>
          <w:ilvl w:val="0"/>
          <w:numId w:val="0"/>
        </w:numPr>
        <w:spacing w:line="400" w:lineRule="atLeast"/>
        <w:jc w:val="both"/>
        <w:rPr>
          <w:rFonts w:hint="eastAsia" w:ascii="宋体" w:hAnsi="宋体" w:eastAsia="宋体" w:cs="宋体"/>
          <w:b w:val="0"/>
          <w:bCs/>
          <w:color w:val="auto"/>
          <w:sz w:val="28"/>
          <w:szCs w:val="28"/>
          <w:highlight w:val="none"/>
          <w:lang w:eastAsia="zh-CN"/>
        </w:rPr>
      </w:pPr>
      <w:r>
        <w:rPr>
          <w:rFonts w:hint="eastAsia" w:ascii="宋体" w:hAnsi="宋体" w:eastAsia="宋体" w:cs="宋体"/>
          <w:b w:val="0"/>
          <w:bCs/>
          <w:color w:val="auto"/>
          <w:sz w:val="28"/>
          <w:szCs w:val="28"/>
          <w:highlight w:val="none"/>
        </w:rPr>
        <w:t>项目名称：</w:t>
      </w:r>
    </w:p>
    <w:p>
      <w:pPr>
        <w:pStyle w:val="3"/>
        <w:numPr>
          <w:ilvl w:val="0"/>
          <w:numId w:val="0"/>
        </w:numPr>
        <w:spacing w:line="400" w:lineRule="atLeast"/>
        <w:jc w:val="both"/>
        <w:rPr>
          <w:rFonts w:hint="eastAsia" w:ascii="宋体" w:hAnsi="宋体" w:eastAsia="宋体" w:cs="宋体"/>
          <w:b w:val="0"/>
          <w:bCs/>
          <w:color w:val="auto"/>
          <w:sz w:val="28"/>
          <w:szCs w:val="28"/>
          <w:highlight w:val="none"/>
        </w:rPr>
      </w:pPr>
      <w:r>
        <w:rPr>
          <w:rFonts w:hint="eastAsia" w:ascii="宋体" w:hAnsi="宋体" w:eastAsia="宋体" w:cs="宋体"/>
          <w:b w:val="0"/>
          <w:bCs/>
          <w:color w:val="auto"/>
          <w:sz w:val="28"/>
          <w:szCs w:val="28"/>
          <w:highlight w:val="none"/>
        </w:rPr>
        <w:t>项目编号：</w:t>
      </w:r>
    </w:p>
    <w:tbl>
      <w:tblPr>
        <w:tblStyle w:val="22"/>
        <w:tblW w:w="90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8154"/>
      </w:tblGrid>
      <w:tr>
        <w:trPr>
          <w:trHeight w:val="1002" w:hRule="atLeast"/>
          <w:jc w:val="center"/>
        </w:trPr>
        <w:tc>
          <w:tcPr>
            <w:tcW w:w="905" w:type="dxa"/>
            <w:vMerge w:val="restart"/>
            <w:vAlign w:val="center"/>
          </w:tcPr>
          <w:p>
            <w:pPr>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具体内容</w:t>
            </w: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质疑事项：</w:t>
            </w:r>
          </w:p>
        </w:tc>
      </w:tr>
      <w:tr>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主要内容：</w:t>
            </w:r>
          </w:p>
        </w:tc>
      </w:tr>
      <w:tr>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事实依据：</w:t>
            </w:r>
          </w:p>
        </w:tc>
      </w:tr>
      <w:tr>
        <w:trPr>
          <w:trHeight w:val="1002"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vAlign w:val="center"/>
          </w:tcPr>
          <w:p>
            <w:pPr>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适应法规条款：</w:t>
            </w:r>
          </w:p>
        </w:tc>
      </w:tr>
      <w:tr>
        <w:trPr>
          <w:trHeight w:val="1368" w:hRule="atLeast"/>
          <w:jc w:val="center"/>
        </w:trPr>
        <w:tc>
          <w:tcPr>
            <w:tcW w:w="905" w:type="dxa"/>
            <w:vMerge w:val="continue"/>
            <w:vAlign w:val="center"/>
          </w:tcPr>
          <w:p>
            <w:pPr>
              <w:spacing w:line="360" w:lineRule="auto"/>
              <w:jc w:val="center"/>
              <w:rPr>
                <w:rFonts w:hint="eastAsia" w:ascii="宋体" w:hAnsi="宋体" w:eastAsia="宋体" w:cs="宋体"/>
                <w:color w:val="auto"/>
                <w:kern w:val="0"/>
                <w:sz w:val="24"/>
                <w:szCs w:val="24"/>
                <w:highlight w:val="none"/>
              </w:rPr>
            </w:pPr>
          </w:p>
        </w:tc>
        <w:tc>
          <w:tcPr>
            <w:tcW w:w="8154" w:type="dxa"/>
          </w:tcPr>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佐证材料：</w:t>
            </w:r>
          </w:p>
        </w:tc>
      </w:tr>
    </w:tbl>
    <w:p>
      <w:pPr>
        <w:rPr>
          <w:rFonts w:hint="eastAsia" w:ascii="宋体" w:hAnsi="宋体" w:eastAsia="宋体" w:cs="宋体"/>
          <w:color w:val="auto"/>
          <w:highlight w:val="none"/>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1、质疑人的法定代表人办理质疑事务的，在提交质疑函（无需填写授权委托人）的同时，还应提交加盖质疑人公章的营业执照副本复印件和法定代表人的身份证复印件。请持身份证原件用于核对。</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授权本项目评审委托人办理质疑事务的，除提交质疑书、加盖质疑人公章的营业执照副本复印件和法定代表人的身份证复印件外，还应当提交由质疑人出具的明确载明授权委托的具体权限和事项的法定代表人授权委托书以及授权委托人的身份证复印件。</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3、“具体的质疑事项及事实依据”一栏填写不下时，质疑人可另附页（A4），但附纸要求加盖质疑人公章。</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4、与质疑事项有关的材料应与质疑函合并装订。</w:t>
      </w:r>
    </w:p>
    <w:p>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5、质疑函一式三份。</w:t>
      </w:r>
    </w:p>
    <w:p>
      <w:pPr>
        <w:shd w:val="clear" w:color="auto" w:fill="auto"/>
        <w:spacing w:before="91" w:line="220" w:lineRule="auto"/>
        <w:ind w:left="506"/>
        <w:rPr>
          <w:rFonts w:hint="eastAsia" w:ascii="宋体" w:hAnsi="宋体" w:eastAsia="宋体" w:cs="宋体"/>
          <w:color w:val="auto"/>
          <w:sz w:val="24"/>
          <w:highlight w:val="none"/>
        </w:rPr>
      </w:pPr>
      <w:r>
        <w:rPr>
          <w:rFonts w:hint="eastAsia" w:ascii="宋体" w:hAnsi="宋体" w:eastAsia="宋体" w:cs="宋体"/>
          <w:color w:val="auto"/>
          <w:kern w:val="0"/>
          <w:sz w:val="24"/>
          <w:szCs w:val="24"/>
          <w:highlight w:val="none"/>
        </w:rPr>
        <w:br w:type="page"/>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1.供应商提出质疑时，应提交质疑函和必要的证明材料。</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3.质疑供应商若对项目的某一分包进行质疑，质疑函中应列明具体分包号。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4.质疑函的质疑事项应具体、明确，并有必要的事实依据和法律依据。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5.质疑函的质疑请求应与质疑事项相关。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6.质疑供应商为自然人的，质疑函应由本人签字；质疑供应商为法人或者其他组织的，质疑函应由法定代表人、主要负责人，或者其授权代表签字或者盖章，并加盖公章。</w:t>
      </w:r>
    </w:p>
    <w:p>
      <w:pPr>
        <w:shd w:val="clear" w:color="auto" w:fill="auto"/>
        <w:spacing w:line="360" w:lineRule="auto"/>
        <w:jc w:val="center"/>
        <w:rPr>
          <w:rFonts w:hint="eastAsia" w:ascii="宋体" w:hAnsi="宋体" w:eastAsia="宋体" w:cs="宋体"/>
          <w:color w:val="auto"/>
          <w:kern w:val="0"/>
          <w:sz w:val="24"/>
          <w:highlight w:val="none"/>
        </w:rPr>
      </w:pPr>
    </w:p>
    <w:p>
      <w:pPr>
        <w:shd w:val="clear" w:color="auto" w:fill="auto"/>
        <w:spacing w:before="101" w:line="224" w:lineRule="auto"/>
        <w:ind w:left="49"/>
        <w:outlineLvl w:val="2"/>
        <w:rPr>
          <w:rFonts w:hint="eastAsia" w:ascii="宋体" w:hAnsi="宋体" w:eastAsia="宋体" w:cs="宋体"/>
          <w:color w:val="auto"/>
          <w:sz w:val="24"/>
          <w:highlight w:val="none"/>
        </w:rPr>
      </w:pPr>
      <w:r>
        <w:rPr>
          <w:rFonts w:hint="eastAsia" w:ascii="宋体" w:hAnsi="宋体" w:eastAsia="宋体" w:cs="宋体"/>
          <w:b/>
          <w:bCs/>
          <w:color w:val="auto"/>
          <w:kern w:val="0"/>
          <w:sz w:val="24"/>
          <w:highlight w:val="none"/>
        </w:rPr>
        <w:br w:type="page"/>
      </w:r>
      <w:bookmarkStart w:id="63" w:name="_Toc22150"/>
      <w:bookmarkStart w:id="64" w:name="_Toc110010428"/>
      <w:bookmarkStart w:id="65" w:name="_Toc23110"/>
      <w:bookmarkStart w:id="66" w:name="_Toc31259"/>
      <w:r>
        <w:rPr>
          <w:rFonts w:hint="eastAsia" w:ascii="宋体" w:hAnsi="宋体" w:eastAsia="宋体" w:cs="宋体"/>
          <w:color w:val="auto"/>
          <w:spacing w:val="8"/>
          <w:sz w:val="24"/>
          <w:highlight w:val="none"/>
        </w:rPr>
        <w:t>附</w:t>
      </w:r>
      <w:r>
        <w:rPr>
          <w:rFonts w:hint="eastAsia" w:ascii="宋体" w:hAnsi="宋体" w:eastAsia="宋体" w:cs="宋体"/>
          <w:color w:val="auto"/>
          <w:spacing w:val="6"/>
          <w:sz w:val="24"/>
          <w:highlight w:val="none"/>
        </w:rPr>
        <w:t>件：投诉书范本</w:t>
      </w:r>
      <w:bookmarkEnd w:id="63"/>
      <w:bookmarkEnd w:id="64"/>
      <w:bookmarkEnd w:id="65"/>
      <w:bookmarkEnd w:id="66"/>
    </w:p>
    <w:p>
      <w:pPr>
        <w:shd w:val="clear" w:color="auto" w:fill="auto"/>
        <w:spacing w:line="393" w:lineRule="auto"/>
        <w:rPr>
          <w:rFonts w:hint="eastAsia" w:ascii="宋体" w:hAnsi="宋体" w:eastAsia="宋体" w:cs="宋体"/>
          <w:color w:val="auto"/>
          <w:sz w:val="24"/>
          <w:highlight w:val="none"/>
        </w:rPr>
      </w:pPr>
    </w:p>
    <w:p>
      <w:pPr>
        <w:shd w:val="clear" w:color="auto" w:fill="auto"/>
        <w:spacing w:before="115" w:line="224" w:lineRule="auto"/>
        <w:jc w:val="center"/>
        <w:rPr>
          <w:rFonts w:hint="eastAsia" w:ascii="宋体" w:hAnsi="宋体" w:eastAsia="宋体" w:cs="宋体"/>
          <w:color w:val="auto"/>
          <w:sz w:val="24"/>
          <w:highlight w:val="none"/>
        </w:rPr>
      </w:pPr>
      <w:r>
        <w:rPr>
          <w:rFonts w:hint="eastAsia" w:ascii="宋体" w:hAnsi="宋体" w:eastAsia="宋体" w:cs="宋体"/>
          <w:color w:val="auto"/>
          <w:spacing w:val="24"/>
          <w:sz w:val="24"/>
          <w:highlight w:val="none"/>
        </w:rPr>
        <w:t>投诉</w:t>
      </w:r>
      <w:r>
        <w:rPr>
          <w:rFonts w:hint="eastAsia" w:ascii="宋体" w:hAnsi="宋体" w:eastAsia="宋体" w:cs="宋体"/>
          <w:color w:val="auto"/>
          <w:spacing w:val="23"/>
          <w:sz w:val="24"/>
          <w:highlight w:val="none"/>
        </w:rPr>
        <w:t>书</w:t>
      </w:r>
    </w:p>
    <w:p>
      <w:pPr>
        <w:shd w:val="clear" w:color="auto" w:fill="auto"/>
        <w:spacing w:before="265" w:line="434" w:lineRule="exact"/>
        <w:ind w:left="27"/>
        <w:outlineLvl w:val="2"/>
        <w:rPr>
          <w:rFonts w:hint="eastAsia" w:ascii="宋体" w:hAnsi="宋体" w:eastAsia="宋体" w:cs="宋体"/>
          <w:color w:val="auto"/>
          <w:sz w:val="24"/>
          <w:highlight w:val="none"/>
        </w:rPr>
      </w:pPr>
      <w:bookmarkStart w:id="67" w:name="_Toc26371"/>
      <w:bookmarkStart w:id="68" w:name="_Toc21592"/>
      <w:bookmarkStart w:id="69" w:name="_Toc5746"/>
      <w:bookmarkStart w:id="70" w:name="_Toc110010429"/>
      <w:r>
        <w:rPr>
          <w:rFonts w:hint="eastAsia" w:ascii="宋体" w:hAnsi="宋体" w:eastAsia="宋体" w:cs="宋体"/>
          <w:color w:val="auto"/>
          <w:spacing w:val="-2"/>
          <w:position w:val="1"/>
          <w:sz w:val="24"/>
          <w:highlight w:val="none"/>
        </w:rPr>
        <w:t>一、投诉</w:t>
      </w:r>
      <w:r>
        <w:rPr>
          <w:rFonts w:hint="eastAsia" w:ascii="宋体" w:hAnsi="宋体" w:eastAsia="宋体" w:cs="宋体"/>
          <w:color w:val="auto"/>
          <w:spacing w:val="-1"/>
          <w:position w:val="1"/>
          <w:sz w:val="24"/>
          <w:highlight w:val="none"/>
        </w:rPr>
        <w:t>相关主体基本情况</w:t>
      </w:r>
      <w:bookmarkEnd w:id="67"/>
      <w:bookmarkEnd w:id="68"/>
      <w:bookmarkEnd w:id="69"/>
      <w:bookmarkEnd w:id="70"/>
    </w:p>
    <w:p>
      <w:pPr>
        <w:shd w:val="clear" w:color="auto" w:fill="auto"/>
        <w:spacing w:before="1" w:line="220"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6"/>
          <w:sz w:val="24"/>
          <w:highlight w:val="none"/>
        </w:rPr>
        <w:t>投</w:t>
      </w:r>
      <w:r>
        <w:rPr>
          <w:rFonts w:hint="eastAsia" w:ascii="宋体" w:hAnsi="宋体" w:eastAsia="宋体" w:cs="宋体"/>
          <w:color w:val="auto"/>
          <w:spacing w:val="-3"/>
          <w:sz w:val="24"/>
          <w:highlight w:val="none"/>
        </w:rPr>
        <w:t>诉人：</w:t>
      </w:r>
    </w:p>
    <w:p>
      <w:pPr>
        <w:shd w:val="clear" w:color="auto" w:fill="auto"/>
        <w:spacing w:before="102"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法定代</w:t>
      </w:r>
      <w:r>
        <w:rPr>
          <w:rFonts w:hint="eastAsia" w:ascii="宋体" w:hAnsi="宋体" w:eastAsia="宋体" w:cs="宋体"/>
          <w:color w:val="auto"/>
          <w:spacing w:val="-1"/>
          <w:sz w:val="24"/>
          <w:highlight w:val="none"/>
        </w:rPr>
        <w:t>表人/主要负责人：</w:t>
      </w:r>
    </w:p>
    <w:p>
      <w:pPr>
        <w:shd w:val="clear" w:color="auto" w:fill="auto"/>
        <w:spacing w:before="104" w:line="222"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联系</w:t>
      </w:r>
      <w:r>
        <w:rPr>
          <w:rFonts w:hint="eastAsia" w:ascii="宋体" w:hAnsi="宋体" w:eastAsia="宋体" w:cs="宋体"/>
          <w:color w:val="auto"/>
          <w:spacing w:val="-2"/>
          <w:sz w:val="24"/>
          <w:highlight w:val="none"/>
        </w:rPr>
        <w:t>电话：</w:t>
      </w:r>
    </w:p>
    <w:p>
      <w:pPr>
        <w:shd w:val="clear" w:color="auto" w:fill="auto"/>
        <w:spacing w:before="99" w:line="220"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授权代表：</w:t>
      </w:r>
      <w:r>
        <w:rPr>
          <w:rFonts w:hint="eastAsia" w:ascii="宋体" w:hAnsi="宋体" w:eastAsia="宋体" w:cs="宋体"/>
          <w:color w:val="auto"/>
          <w:spacing w:val="-4"/>
          <w:sz w:val="24"/>
          <w:highlight w:val="none"/>
        </w:rPr>
        <w:t>联系电话：</w:t>
      </w:r>
    </w:p>
    <w:p>
      <w:pPr>
        <w:shd w:val="clear" w:color="auto" w:fill="auto"/>
        <w:spacing w:before="101"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spacing w:before="103" w:line="220" w:lineRule="auto"/>
        <w:ind w:left="505"/>
        <w:rPr>
          <w:rFonts w:hint="eastAsia" w:ascii="宋体" w:hAnsi="宋体" w:eastAsia="宋体" w:cs="宋体"/>
          <w:color w:val="auto"/>
          <w:sz w:val="24"/>
          <w:highlight w:val="none"/>
        </w:rPr>
      </w:pPr>
      <w:r>
        <w:rPr>
          <w:rFonts w:hint="eastAsia" w:ascii="宋体" w:hAnsi="宋体" w:eastAsia="宋体" w:cs="宋体"/>
          <w:color w:val="auto"/>
          <w:spacing w:val="-17"/>
          <w:sz w:val="24"/>
          <w:highlight w:val="none"/>
        </w:rPr>
        <w:t>被</w:t>
      </w:r>
      <w:r>
        <w:rPr>
          <w:rFonts w:hint="eastAsia" w:ascii="宋体" w:hAnsi="宋体" w:eastAsia="宋体" w:cs="宋体"/>
          <w:color w:val="auto"/>
          <w:spacing w:val="-11"/>
          <w:sz w:val="24"/>
          <w:highlight w:val="none"/>
        </w:rPr>
        <w:t>投诉人1：</w:t>
      </w:r>
    </w:p>
    <w:p>
      <w:pPr>
        <w:shd w:val="clear" w:color="auto" w:fill="auto"/>
        <w:spacing w:before="101" w:line="185"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地址：</w:t>
      </w:r>
      <w:r>
        <w:rPr>
          <w:rFonts w:hint="eastAsia" w:ascii="宋体" w:hAnsi="宋体" w:eastAsia="宋体" w:cs="宋体"/>
          <w:color w:val="auto"/>
          <w:spacing w:val="-4"/>
          <w:sz w:val="24"/>
          <w:highlight w:val="none"/>
        </w:rPr>
        <w:t>邮编：</w:t>
      </w:r>
    </w:p>
    <w:p>
      <w:pPr>
        <w:shd w:val="clear" w:color="auto" w:fill="auto"/>
        <w:rPr>
          <w:rFonts w:hint="eastAsia" w:ascii="宋体" w:hAnsi="宋体" w:eastAsia="宋体" w:cs="宋体"/>
          <w:color w:val="auto"/>
          <w:sz w:val="24"/>
          <w:highlight w:val="none"/>
        </w:rPr>
      </w:pPr>
    </w:p>
    <w:p>
      <w:pPr>
        <w:shd w:val="clear" w:color="auto" w:fill="auto"/>
        <w:spacing w:before="103" w:line="220" w:lineRule="auto"/>
        <w:ind w:left="505"/>
        <w:rPr>
          <w:rFonts w:hint="eastAsia" w:ascii="宋体" w:hAnsi="宋体" w:eastAsia="宋体" w:cs="宋体"/>
          <w:color w:val="auto"/>
          <w:spacing w:val="-17"/>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3" w:line="220"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17"/>
          <w:sz w:val="24"/>
          <w:highlight w:val="none"/>
        </w:rPr>
        <w:t>联系人：联系电话：</w:t>
      </w:r>
    </w:p>
    <w:p>
      <w:pPr>
        <w:shd w:val="clear" w:color="auto" w:fill="auto"/>
        <w:spacing w:before="100" w:line="371" w:lineRule="exact"/>
        <w:ind w:left="27"/>
        <w:outlineLvl w:val="2"/>
        <w:rPr>
          <w:rFonts w:hint="eastAsia" w:ascii="宋体" w:hAnsi="宋体" w:eastAsia="宋体" w:cs="宋体"/>
          <w:color w:val="auto"/>
          <w:sz w:val="24"/>
          <w:highlight w:val="none"/>
        </w:rPr>
      </w:pPr>
      <w:bookmarkStart w:id="71" w:name="_Toc27620"/>
      <w:bookmarkStart w:id="72" w:name="_Toc110010430"/>
      <w:bookmarkStart w:id="73" w:name="_Toc25199"/>
      <w:bookmarkStart w:id="74" w:name="_Toc377"/>
      <w:r>
        <w:rPr>
          <w:rFonts w:hint="eastAsia" w:ascii="宋体" w:hAnsi="宋体" w:eastAsia="宋体" w:cs="宋体"/>
          <w:color w:val="auto"/>
          <w:spacing w:val="-2"/>
          <w:position w:val="1"/>
          <w:sz w:val="24"/>
          <w:highlight w:val="none"/>
        </w:rPr>
        <w:t>二、投诉项目</w:t>
      </w:r>
      <w:r>
        <w:rPr>
          <w:rFonts w:hint="eastAsia" w:ascii="宋体" w:hAnsi="宋体" w:eastAsia="宋体" w:cs="宋体"/>
          <w:color w:val="auto"/>
          <w:spacing w:val="-1"/>
          <w:position w:val="1"/>
          <w:sz w:val="24"/>
          <w:highlight w:val="none"/>
        </w:rPr>
        <w:t>基本情况</w:t>
      </w:r>
      <w:bookmarkEnd w:id="71"/>
      <w:bookmarkEnd w:id="72"/>
      <w:bookmarkEnd w:id="73"/>
      <w:bookmarkEnd w:id="74"/>
    </w:p>
    <w:p>
      <w:pPr>
        <w:shd w:val="clear" w:color="auto" w:fill="auto"/>
        <w:spacing w:before="6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采购项</w:t>
      </w:r>
      <w:r>
        <w:rPr>
          <w:rFonts w:hint="eastAsia" w:ascii="宋体" w:hAnsi="宋体" w:eastAsia="宋体" w:cs="宋体"/>
          <w:color w:val="auto"/>
          <w:spacing w:val="-1"/>
          <w:sz w:val="24"/>
          <w:highlight w:val="none"/>
        </w:rPr>
        <w:t>目名称：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8"/>
          <w:sz w:val="24"/>
          <w:highlight w:val="none"/>
        </w:rPr>
        <w:t>采购项目</w:t>
      </w:r>
      <w:r>
        <w:rPr>
          <w:rFonts w:hint="eastAsia" w:ascii="宋体" w:hAnsi="宋体" w:eastAsia="宋体" w:cs="宋体"/>
          <w:color w:val="auto"/>
          <w:spacing w:val="-4"/>
          <w:sz w:val="24"/>
          <w:highlight w:val="none"/>
        </w:rPr>
        <w:t>编号：包号：</w:t>
      </w:r>
    </w:p>
    <w:p>
      <w:pPr>
        <w:shd w:val="clear" w:color="auto" w:fill="auto"/>
        <w:spacing w:before="102"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采购人名</w:t>
      </w:r>
      <w:r>
        <w:rPr>
          <w:rFonts w:hint="eastAsia" w:ascii="宋体" w:hAnsi="宋体" w:eastAsia="宋体" w:cs="宋体"/>
          <w:color w:val="auto"/>
          <w:spacing w:val="-1"/>
          <w:sz w:val="24"/>
          <w:highlight w:val="none"/>
        </w:rPr>
        <w:t>称：</w:t>
      </w:r>
    </w:p>
    <w:p>
      <w:pPr>
        <w:shd w:val="clear" w:color="auto" w:fill="auto"/>
        <w:spacing w:before="105"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2"/>
          <w:sz w:val="24"/>
          <w:highlight w:val="none"/>
        </w:rPr>
        <w:t>代理机构名</w:t>
      </w:r>
      <w:r>
        <w:rPr>
          <w:rFonts w:hint="eastAsia" w:ascii="宋体" w:hAnsi="宋体" w:eastAsia="宋体" w:cs="宋体"/>
          <w:color w:val="auto"/>
          <w:spacing w:val="-1"/>
          <w:sz w:val="24"/>
          <w:highlight w:val="none"/>
        </w:rPr>
        <w:t>称：</w:t>
      </w:r>
    </w:p>
    <w:p>
      <w:pPr>
        <w:shd w:val="clear" w:color="auto" w:fill="auto"/>
        <w:spacing w:before="104" w:line="219" w:lineRule="auto"/>
        <w:ind w:left="503"/>
        <w:rPr>
          <w:rFonts w:hint="eastAsia" w:ascii="宋体" w:hAnsi="宋体" w:eastAsia="宋体" w:cs="宋体"/>
          <w:color w:val="auto"/>
          <w:sz w:val="24"/>
          <w:highlight w:val="none"/>
          <w:lang w:eastAsia="zh-CN"/>
        </w:rPr>
      </w:pPr>
      <w:r>
        <w:rPr>
          <w:rFonts w:hint="eastAsia" w:ascii="宋体" w:hAnsi="宋体" w:eastAsia="宋体" w:cs="宋体"/>
          <w:color w:val="auto"/>
          <w:spacing w:val="7"/>
          <w:sz w:val="24"/>
          <w:highlight w:val="none"/>
        </w:rPr>
        <w:t>采购文件公告</w:t>
      </w:r>
      <w:r>
        <w:rPr>
          <w:rFonts w:hint="eastAsia" w:ascii="宋体" w:hAnsi="宋体" w:eastAsia="宋体" w:cs="宋体"/>
          <w:color w:val="auto"/>
          <w:spacing w:val="7"/>
          <w:sz w:val="24"/>
          <w:highlight w:val="none"/>
          <w:lang w:eastAsia="zh-CN"/>
        </w:rPr>
        <w:t>：</w:t>
      </w:r>
      <w:r>
        <w:rPr>
          <w:rFonts w:hint="eastAsia" w:ascii="宋体" w:hAnsi="宋体" w:eastAsia="宋体" w:cs="宋体"/>
          <w:color w:val="auto"/>
          <w:spacing w:val="7"/>
          <w:sz w:val="24"/>
          <w:highlight w:val="none"/>
          <w:u w:val="single"/>
        </w:rPr>
        <w:t>是/否</w:t>
      </w:r>
      <w:r>
        <w:rPr>
          <w:rFonts w:hint="eastAsia" w:ascii="宋体" w:hAnsi="宋体" w:eastAsia="宋体" w:cs="宋体"/>
          <w:color w:val="auto"/>
          <w:spacing w:val="7"/>
          <w:sz w:val="24"/>
          <w:highlight w:val="none"/>
        </w:rPr>
        <w:t>公告期限</w:t>
      </w:r>
      <w:r>
        <w:rPr>
          <w:rFonts w:hint="eastAsia" w:ascii="宋体" w:hAnsi="宋体" w:eastAsia="宋体" w:cs="宋体"/>
          <w:color w:val="auto"/>
          <w:spacing w:val="3"/>
          <w:sz w:val="24"/>
          <w:highlight w:val="none"/>
        </w:rPr>
        <w:t>：</w:t>
      </w:r>
    </w:p>
    <w:p>
      <w:pPr>
        <w:shd w:val="clear" w:color="auto" w:fill="auto"/>
        <w:spacing w:before="103" w:line="287" w:lineRule="auto"/>
        <w:ind w:left="22" w:right="12" w:firstLine="481"/>
        <w:rPr>
          <w:rFonts w:hint="eastAsia" w:ascii="宋体" w:hAnsi="宋体" w:eastAsia="宋体" w:cs="宋体"/>
          <w:color w:val="auto"/>
          <w:sz w:val="24"/>
          <w:highlight w:val="none"/>
          <w:lang w:eastAsia="zh-CN"/>
        </w:rPr>
      </w:pPr>
      <w:r>
        <w:rPr>
          <w:rFonts w:hint="eastAsia" w:ascii="宋体" w:hAnsi="宋体" w:eastAsia="宋体" w:cs="宋体"/>
          <w:color w:val="auto"/>
          <w:spacing w:val="-1"/>
          <w:sz w:val="24"/>
          <w:highlight w:val="none"/>
        </w:rPr>
        <w:t>采购结果公告：</w:t>
      </w:r>
      <w:r>
        <w:rPr>
          <w:rFonts w:hint="eastAsia" w:ascii="宋体" w:hAnsi="宋体" w:eastAsia="宋体" w:cs="宋体"/>
          <w:color w:val="auto"/>
          <w:spacing w:val="-1"/>
          <w:sz w:val="24"/>
          <w:highlight w:val="none"/>
          <w:u w:val="single"/>
        </w:rPr>
        <w:t>是/否</w:t>
      </w:r>
      <w:r>
        <w:rPr>
          <w:rFonts w:hint="eastAsia" w:ascii="宋体" w:hAnsi="宋体" w:eastAsia="宋体" w:cs="宋体"/>
          <w:color w:val="auto"/>
          <w:spacing w:val="-1"/>
          <w:sz w:val="24"/>
          <w:highlight w:val="none"/>
        </w:rPr>
        <w:t>公告期限：</w:t>
      </w:r>
    </w:p>
    <w:p>
      <w:pPr>
        <w:shd w:val="clear" w:color="auto" w:fill="auto"/>
        <w:spacing w:before="100" w:line="371" w:lineRule="exact"/>
        <w:ind w:left="27" w:right="0" w:firstLine="0"/>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rPr>
        <w:t>三、质疑基本情况</w:t>
      </w:r>
    </w:p>
    <w:p>
      <w:pPr>
        <w:shd w:val="clear" w:color="auto" w:fill="auto"/>
        <w:spacing w:before="1" w:line="287" w:lineRule="auto"/>
        <w:ind w:left="23" w:right="11" w:firstLine="484"/>
        <w:rPr>
          <w:rFonts w:hint="eastAsia" w:ascii="宋体" w:hAnsi="宋体" w:eastAsia="宋体" w:cs="宋体"/>
          <w:color w:val="auto"/>
          <w:sz w:val="24"/>
          <w:highlight w:val="none"/>
        </w:rPr>
      </w:pPr>
      <w:r>
        <w:rPr>
          <w:rFonts w:hint="eastAsia" w:ascii="宋体" w:hAnsi="宋体" w:eastAsia="宋体" w:cs="宋体"/>
          <w:color w:val="auto"/>
          <w:spacing w:val="-12"/>
          <w:sz w:val="24"/>
          <w:highlight w:val="none"/>
        </w:rPr>
        <w:t>投</w:t>
      </w:r>
      <w:r>
        <w:rPr>
          <w:rFonts w:hint="eastAsia" w:ascii="宋体" w:hAnsi="宋体" w:eastAsia="宋体" w:cs="宋体"/>
          <w:color w:val="auto"/>
          <w:spacing w:val="-6"/>
          <w:sz w:val="24"/>
          <w:highlight w:val="none"/>
        </w:rPr>
        <w:t>诉人于年月日，向</w:t>
      </w:r>
      <w:r>
        <w:rPr>
          <w:rFonts w:hint="eastAsia" w:ascii="宋体" w:hAnsi="宋体" w:eastAsia="宋体" w:cs="宋体"/>
          <w:color w:val="auto"/>
          <w:spacing w:val="-4"/>
          <w:sz w:val="24"/>
          <w:highlight w:val="none"/>
        </w:rPr>
        <w:t>提</w:t>
      </w:r>
      <w:r>
        <w:rPr>
          <w:rFonts w:hint="eastAsia" w:ascii="宋体" w:hAnsi="宋体" w:eastAsia="宋体" w:cs="宋体"/>
          <w:color w:val="auto"/>
          <w:spacing w:val="-2"/>
          <w:sz w:val="24"/>
          <w:highlight w:val="none"/>
        </w:rPr>
        <w:t>出质疑，</w:t>
      </w:r>
    </w:p>
    <w:p>
      <w:pPr>
        <w:shd w:val="clear" w:color="auto" w:fill="auto"/>
        <w:spacing w:before="1" w:line="220"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3"/>
          <w:sz w:val="24"/>
          <w:highlight w:val="none"/>
        </w:rPr>
        <w:t>质</w:t>
      </w:r>
      <w:r>
        <w:rPr>
          <w:rFonts w:hint="eastAsia" w:ascii="宋体" w:hAnsi="宋体" w:eastAsia="宋体" w:cs="宋体"/>
          <w:color w:val="auto"/>
          <w:spacing w:val="-2"/>
          <w:sz w:val="24"/>
          <w:highlight w:val="none"/>
        </w:rPr>
        <w:t>疑事项为：</w:t>
      </w:r>
    </w:p>
    <w:p>
      <w:pPr>
        <w:shd w:val="clear" w:color="auto" w:fill="auto"/>
        <w:spacing w:before="103" w:line="287" w:lineRule="auto"/>
        <w:ind w:left="459" w:right="11" w:firstLine="109"/>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采购人/</w:t>
      </w:r>
      <w:r>
        <w:rPr>
          <w:rFonts w:hint="eastAsia" w:ascii="宋体" w:hAnsi="宋体" w:eastAsia="宋体" w:cs="宋体"/>
          <w:color w:val="auto"/>
          <w:spacing w:val="-2"/>
          <w:sz w:val="24"/>
          <w:highlight w:val="none"/>
        </w:rPr>
        <w:t>采购代理机构于年月日，就质疑</w:t>
      </w:r>
      <w:r>
        <w:rPr>
          <w:rFonts w:hint="eastAsia" w:ascii="宋体" w:hAnsi="宋体" w:eastAsia="宋体" w:cs="宋体"/>
          <w:color w:val="auto"/>
          <w:spacing w:val="-1"/>
          <w:sz w:val="24"/>
          <w:highlight w:val="none"/>
        </w:rPr>
        <w:t>事项</w:t>
      </w:r>
      <w:r>
        <w:rPr>
          <w:rFonts w:hint="eastAsia" w:ascii="宋体" w:hAnsi="宋体" w:eastAsia="宋体" w:cs="宋体"/>
          <w:color w:val="auto"/>
          <w:spacing w:val="-1"/>
          <w:sz w:val="24"/>
          <w:highlight w:val="none"/>
          <w:lang w:eastAsia="zh-CN"/>
        </w:rPr>
        <w:t>作出</w:t>
      </w:r>
      <w:r>
        <w:rPr>
          <w:rFonts w:hint="eastAsia" w:ascii="宋体" w:hAnsi="宋体" w:eastAsia="宋体" w:cs="宋体"/>
          <w:color w:val="auto"/>
          <w:spacing w:val="-1"/>
          <w:sz w:val="24"/>
          <w:highlight w:val="none"/>
        </w:rPr>
        <w:t>了答复/没有在</w:t>
      </w:r>
      <w:r>
        <w:rPr>
          <w:rFonts w:hint="eastAsia" w:ascii="宋体" w:hAnsi="宋体" w:eastAsia="宋体" w:cs="宋体"/>
          <w:color w:val="auto"/>
          <w:sz w:val="24"/>
          <w:highlight w:val="none"/>
        </w:rPr>
        <w:t>法定期限内</w:t>
      </w:r>
      <w:r>
        <w:rPr>
          <w:rFonts w:hint="eastAsia" w:ascii="宋体" w:hAnsi="宋体" w:eastAsia="宋体" w:cs="宋体"/>
          <w:color w:val="auto"/>
          <w:sz w:val="24"/>
          <w:highlight w:val="none"/>
          <w:lang w:eastAsia="zh-CN"/>
        </w:rPr>
        <w:t>作出</w:t>
      </w:r>
      <w:r>
        <w:rPr>
          <w:rFonts w:hint="eastAsia" w:ascii="宋体" w:hAnsi="宋体" w:eastAsia="宋体" w:cs="宋体"/>
          <w:color w:val="auto"/>
          <w:sz w:val="24"/>
          <w:highlight w:val="none"/>
        </w:rPr>
        <w:t>答复。</w:t>
      </w:r>
    </w:p>
    <w:p>
      <w:pPr>
        <w:shd w:val="clear" w:color="auto" w:fill="auto"/>
        <w:spacing w:before="100" w:line="371" w:lineRule="exact"/>
        <w:ind w:left="27"/>
        <w:outlineLvl w:val="2"/>
        <w:rPr>
          <w:rFonts w:hint="eastAsia" w:ascii="宋体" w:hAnsi="宋体" w:eastAsia="宋体" w:cs="宋体"/>
          <w:color w:val="auto"/>
          <w:spacing w:val="-2"/>
          <w:position w:val="1"/>
          <w:sz w:val="24"/>
          <w:highlight w:val="none"/>
        </w:rPr>
      </w:pPr>
      <w:r>
        <w:rPr>
          <w:rFonts w:hint="eastAsia" w:ascii="宋体" w:hAnsi="宋体" w:eastAsia="宋体" w:cs="宋体"/>
          <w:color w:val="auto"/>
          <w:spacing w:val="-2"/>
          <w:position w:val="1"/>
          <w:sz w:val="24"/>
          <w:highlight w:val="none"/>
          <w:lang w:val="en-US" w:eastAsia="zh-CN"/>
        </w:rPr>
        <w:t>四</w:t>
      </w:r>
      <w:r>
        <w:rPr>
          <w:rFonts w:hint="eastAsia" w:ascii="宋体" w:hAnsi="宋体" w:eastAsia="宋体" w:cs="宋体"/>
          <w:color w:val="auto"/>
          <w:spacing w:val="-2"/>
          <w:position w:val="1"/>
          <w:sz w:val="24"/>
          <w:highlight w:val="none"/>
        </w:rPr>
        <w:t>、投诉事项具体内容</w:t>
      </w:r>
    </w:p>
    <w:p>
      <w:pPr>
        <w:shd w:val="clear" w:color="auto" w:fill="auto"/>
        <w:spacing w:before="98" w:line="221" w:lineRule="auto"/>
        <w:ind w:left="508"/>
        <w:rPr>
          <w:rFonts w:hint="eastAsia" w:ascii="宋体" w:hAnsi="宋体" w:eastAsia="宋体" w:cs="宋体"/>
          <w:color w:val="auto"/>
          <w:sz w:val="24"/>
          <w:highlight w:val="none"/>
          <w:lang w:eastAsia="zh-CN"/>
        </w:rPr>
      </w:pPr>
      <w:r>
        <w:rPr>
          <w:rFonts w:hint="eastAsia" w:ascii="宋体" w:hAnsi="宋体" w:eastAsia="宋体" w:cs="宋体"/>
          <w:color w:val="auto"/>
          <w:spacing w:val="-16"/>
          <w:sz w:val="24"/>
          <w:highlight w:val="none"/>
        </w:rPr>
        <w:t>投</w:t>
      </w:r>
      <w:r>
        <w:rPr>
          <w:rFonts w:hint="eastAsia" w:ascii="宋体" w:hAnsi="宋体" w:eastAsia="宋体" w:cs="宋体"/>
          <w:color w:val="auto"/>
          <w:spacing w:val="-10"/>
          <w:sz w:val="24"/>
          <w:highlight w:val="none"/>
        </w:rPr>
        <w:t>诉事项1：</w:t>
      </w:r>
    </w:p>
    <w:p>
      <w:pPr>
        <w:shd w:val="clear" w:color="auto" w:fill="auto"/>
        <w:spacing w:before="100" w:line="219" w:lineRule="auto"/>
        <w:ind w:left="505"/>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事</w:t>
      </w:r>
      <w:r>
        <w:rPr>
          <w:rFonts w:hint="eastAsia" w:ascii="宋体" w:hAnsi="宋体" w:eastAsia="宋体" w:cs="宋体"/>
          <w:color w:val="auto"/>
          <w:spacing w:val="-2"/>
          <w:sz w:val="24"/>
          <w:highlight w:val="none"/>
        </w:rPr>
        <w:t>实依据：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219" w:lineRule="auto"/>
        <w:ind w:left="506"/>
        <w:rPr>
          <w:rFonts w:hint="eastAsia" w:ascii="宋体" w:hAnsi="宋体" w:eastAsia="宋体" w:cs="宋体"/>
          <w:color w:val="auto"/>
          <w:sz w:val="24"/>
          <w:highlight w:val="none"/>
          <w:lang w:eastAsia="zh-CN"/>
        </w:rPr>
      </w:pPr>
      <w:r>
        <w:rPr>
          <w:rFonts w:hint="eastAsia" w:ascii="宋体" w:hAnsi="宋体" w:eastAsia="宋体" w:cs="宋体"/>
          <w:color w:val="auto"/>
          <w:spacing w:val="-4"/>
          <w:sz w:val="24"/>
          <w:highlight w:val="none"/>
        </w:rPr>
        <w:t>法律</w:t>
      </w:r>
      <w:r>
        <w:rPr>
          <w:rFonts w:hint="eastAsia" w:ascii="宋体" w:hAnsi="宋体" w:eastAsia="宋体" w:cs="宋体"/>
          <w:color w:val="auto"/>
          <w:spacing w:val="-2"/>
          <w:sz w:val="24"/>
          <w:highlight w:val="none"/>
        </w:rPr>
        <w:t>依据：</w:t>
      </w:r>
    </w:p>
    <w:p>
      <w:pPr>
        <w:shd w:val="clear" w:color="auto" w:fill="auto"/>
        <w:tabs>
          <w:tab w:val="left" w:pos="8322"/>
        </w:tabs>
        <w:spacing w:before="179" w:line="242" w:lineRule="exact"/>
        <w:ind w:left="494"/>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ab/>
      </w:r>
    </w:p>
    <w:p>
      <w:pPr>
        <w:shd w:val="clear" w:color="auto" w:fill="auto"/>
        <w:spacing w:before="118" w:line="437" w:lineRule="exact"/>
        <w:ind w:left="508"/>
        <w:rPr>
          <w:rFonts w:hint="eastAsia" w:ascii="宋体" w:hAnsi="宋体" w:eastAsia="宋体" w:cs="宋体"/>
          <w:color w:val="auto"/>
          <w:sz w:val="24"/>
          <w:highlight w:val="none"/>
        </w:rPr>
      </w:pPr>
      <w:r>
        <w:rPr>
          <w:rFonts w:hint="eastAsia" w:ascii="宋体" w:hAnsi="宋体" w:eastAsia="宋体" w:cs="宋体"/>
          <w:color w:val="auto"/>
          <w:spacing w:val="-13"/>
          <w:position w:val="11"/>
          <w:sz w:val="24"/>
          <w:highlight w:val="none"/>
        </w:rPr>
        <w:t>投</w:t>
      </w:r>
      <w:r>
        <w:rPr>
          <w:rFonts w:hint="eastAsia" w:ascii="宋体" w:hAnsi="宋体" w:eastAsia="宋体" w:cs="宋体"/>
          <w:color w:val="auto"/>
          <w:spacing w:val="-12"/>
          <w:position w:val="11"/>
          <w:sz w:val="24"/>
          <w:highlight w:val="none"/>
        </w:rPr>
        <w:t>诉事项2</w:t>
      </w:r>
    </w:p>
    <w:p>
      <w:pPr>
        <w:shd w:val="clear" w:color="auto" w:fill="auto"/>
        <w:spacing w:line="437" w:lineRule="exact"/>
        <w:ind w:left="522"/>
        <w:rPr>
          <w:rFonts w:hint="eastAsia" w:ascii="宋体" w:hAnsi="宋体" w:eastAsia="宋体" w:cs="宋体"/>
          <w:color w:val="auto"/>
          <w:sz w:val="24"/>
          <w:highlight w:val="none"/>
        </w:rPr>
      </w:pPr>
      <w:r>
        <w:rPr>
          <w:rFonts w:hint="eastAsia" w:ascii="宋体" w:hAnsi="宋体" w:eastAsia="宋体" w:cs="宋体"/>
          <w:color w:val="auto"/>
          <w:position w:val="3"/>
          <w:sz w:val="24"/>
          <w:highlight w:val="none"/>
        </w:rPr>
        <w:t>……</w:t>
      </w:r>
    </w:p>
    <w:p>
      <w:pPr>
        <w:shd w:val="clear" w:color="auto" w:fill="auto"/>
        <w:spacing w:line="239" w:lineRule="exact"/>
        <w:rPr>
          <w:rFonts w:hint="eastAsia" w:ascii="宋体" w:hAnsi="宋体" w:eastAsia="宋体" w:cs="宋体"/>
          <w:color w:val="auto"/>
          <w:sz w:val="24"/>
          <w:highlight w:val="none"/>
        </w:rPr>
      </w:pP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
          <w:position w:val="11"/>
          <w:sz w:val="24"/>
          <w:highlight w:val="none"/>
        </w:rPr>
        <w:t>签字</w:t>
      </w:r>
      <w:r>
        <w:rPr>
          <w:rFonts w:hint="eastAsia" w:ascii="宋体" w:hAnsi="宋体" w:eastAsia="宋体" w:cs="宋体"/>
          <w:color w:val="auto"/>
          <w:spacing w:val="-2"/>
          <w:position w:val="11"/>
          <w:sz w:val="24"/>
          <w:highlight w:val="none"/>
          <w:lang w:eastAsia="zh-CN"/>
        </w:rPr>
        <w:t>（</w:t>
      </w:r>
      <w:r>
        <w:rPr>
          <w:rFonts w:hint="eastAsia" w:ascii="宋体" w:hAnsi="宋体" w:eastAsia="宋体" w:cs="宋体"/>
          <w:color w:val="auto"/>
          <w:spacing w:val="-2"/>
          <w:position w:val="11"/>
          <w:sz w:val="24"/>
          <w:highlight w:val="none"/>
        </w:rPr>
        <w:t>签</w:t>
      </w:r>
      <w:r>
        <w:rPr>
          <w:rFonts w:hint="eastAsia" w:ascii="宋体" w:hAnsi="宋体" w:eastAsia="宋体" w:cs="宋体"/>
          <w:color w:val="auto"/>
          <w:spacing w:val="-1"/>
          <w:position w:val="11"/>
          <w:sz w:val="24"/>
          <w:highlight w:val="none"/>
        </w:rPr>
        <w:t>章</w:t>
      </w:r>
      <w:r>
        <w:rPr>
          <w:rFonts w:hint="eastAsia" w:ascii="宋体" w:hAnsi="宋体" w:eastAsia="宋体" w:cs="宋体"/>
          <w:color w:val="auto"/>
          <w:spacing w:val="-1"/>
          <w:position w:val="11"/>
          <w:sz w:val="24"/>
          <w:highlight w:val="none"/>
          <w:lang w:eastAsia="zh-CN"/>
        </w:rPr>
        <w:t>）</w:t>
      </w:r>
      <w:r>
        <w:rPr>
          <w:rFonts w:hint="eastAsia" w:ascii="宋体" w:hAnsi="宋体" w:eastAsia="宋体" w:cs="宋体"/>
          <w:color w:val="auto"/>
          <w:spacing w:val="-1"/>
          <w:position w:val="11"/>
          <w:sz w:val="24"/>
          <w:highlight w:val="none"/>
        </w:rPr>
        <w:t>：</w:t>
      </w:r>
    </w:p>
    <w:p>
      <w:pPr>
        <w:shd w:val="clear" w:color="auto" w:fill="auto"/>
        <w:spacing w:before="56" w:line="437" w:lineRule="exact"/>
        <w:ind w:left="505"/>
        <w:rPr>
          <w:rFonts w:hint="eastAsia" w:ascii="宋体" w:hAnsi="宋体" w:eastAsia="宋体" w:cs="宋体"/>
          <w:color w:val="auto"/>
          <w:spacing w:val="-1"/>
          <w:position w:val="11"/>
          <w:sz w:val="24"/>
          <w:highlight w:val="none"/>
          <w:lang w:eastAsia="zh-CN"/>
        </w:rPr>
      </w:pPr>
      <w:r>
        <w:rPr>
          <w:rFonts w:hint="eastAsia" w:ascii="宋体" w:hAnsi="宋体" w:eastAsia="宋体" w:cs="宋体"/>
          <w:color w:val="auto"/>
          <w:spacing w:val="-20"/>
          <w:sz w:val="24"/>
          <w:highlight w:val="none"/>
        </w:rPr>
        <w:t>日</w:t>
      </w:r>
      <w:r>
        <w:rPr>
          <w:rFonts w:hint="eastAsia" w:ascii="宋体" w:hAnsi="宋体" w:eastAsia="宋体" w:cs="宋体"/>
          <w:color w:val="auto"/>
          <w:spacing w:val="-19"/>
          <w:sz w:val="24"/>
          <w:highlight w:val="none"/>
        </w:rPr>
        <w:t>期：</w:t>
      </w:r>
    </w:p>
    <w:p>
      <w:pPr>
        <w:shd w:val="clear" w:color="auto" w:fill="auto"/>
        <w:spacing w:line="392" w:lineRule="auto"/>
        <w:rPr>
          <w:rFonts w:hint="eastAsia" w:ascii="宋体" w:hAnsi="宋体" w:eastAsia="宋体" w:cs="宋体"/>
          <w:color w:val="auto"/>
          <w:sz w:val="24"/>
          <w:highlight w:val="none"/>
        </w:rPr>
      </w:pPr>
    </w:p>
    <w:p>
      <w:pPr>
        <w:shd w:val="clear" w:color="auto" w:fill="auto"/>
        <w:spacing w:before="91" w:line="219" w:lineRule="auto"/>
        <w:ind w:left="508"/>
        <w:rPr>
          <w:rFonts w:hint="eastAsia" w:ascii="宋体" w:hAnsi="宋体" w:eastAsia="宋体" w:cs="宋体"/>
          <w:color w:val="auto"/>
          <w:sz w:val="24"/>
          <w:highlight w:val="none"/>
        </w:rPr>
      </w:pPr>
      <w:r>
        <w:rPr>
          <w:rFonts w:hint="eastAsia" w:ascii="宋体" w:hAnsi="宋体" w:eastAsia="宋体" w:cs="宋体"/>
          <w:color w:val="auto"/>
          <w:spacing w:val="-2"/>
          <w:sz w:val="24"/>
          <w:highlight w:val="none"/>
        </w:rPr>
        <w:t>投诉书制作说</w:t>
      </w:r>
      <w:r>
        <w:rPr>
          <w:rFonts w:hint="eastAsia" w:ascii="宋体" w:hAnsi="宋体" w:eastAsia="宋体" w:cs="宋体"/>
          <w:color w:val="auto"/>
          <w:spacing w:val="-1"/>
          <w:sz w:val="24"/>
          <w:highlight w:val="none"/>
        </w:rPr>
        <w:t>明：</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1.投诉人提起投诉时，应当提交投诉书和必要的证明材料，并按照被投诉人和与投诉事项有关的供应商数量提供投诉书副本。</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2.投诉人若委托代理人进行投诉的，投诉书应按要求列明“授权代表”的有关内容，并在附件中提交由投诉人签署的授权委托书。授权委托书应载明代理人的姓名或者名称、代理事项、具体权限、期限和相关事项。</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3.投诉人若对项目的某一分包进行投诉，投诉书中应列明具体分包号。</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4.投诉书应简要列明质疑事项，质疑函、质疑答复等作为附件材料提供。</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5.投诉书的投诉事项应具体、明确，并有必要的事实依据和法律依据。</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6.投诉书的投诉请求应与投诉事项相关。</w:t>
      </w:r>
    </w:p>
    <w:p>
      <w:pPr>
        <w:shd w:val="clear" w:color="auto" w:fill="auto"/>
        <w:spacing w:before="31" w:line="239" w:lineRule="auto"/>
        <w:ind w:left="525"/>
        <w:rPr>
          <w:rFonts w:hint="eastAsia" w:ascii="宋体" w:hAnsi="宋体" w:eastAsia="宋体" w:cs="宋体"/>
          <w:color w:val="auto"/>
          <w:spacing w:val="-2"/>
          <w:sz w:val="24"/>
          <w:highlight w:val="none"/>
        </w:rPr>
      </w:pPr>
      <w:r>
        <w:rPr>
          <w:rFonts w:hint="eastAsia" w:ascii="宋体" w:hAnsi="宋体" w:eastAsia="宋体" w:cs="宋体"/>
          <w:color w:val="auto"/>
          <w:spacing w:val="-2"/>
          <w:sz w:val="24"/>
          <w:highlight w:val="none"/>
        </w:rPr>
        <w:t>7.投诉人为自然人的，投诉书应由本人签字；投诉人为法人或者其他组织的，投诉书应当由法定代表人、主要负责人，或者其授权代表签字或者盖章，并加盖公章。</w:t>
      </w:r>
    </w:p>
    <w:p>
      <w:pP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pPr>
        <w:rPr>
          <w:rFonts w:hint="eastAsia" w:ascii="宋体" w:hAnsi="宋体" w:eastAsia="宋体" w:cs="宋体"/>
          <w:color w:val="auto"/>
          <w:kern w:val="0"/>
          <w:sz w:val="24"/>
          <w:szCs w:val="24"/>
          <w:highlight w:val="none"/>
        </w:rPr>
      </w:pPr>
    </w:p>
    <w:p>
      <w:pPr>
        <w:pStyle w:val="5"/>
        <w:keepNext/>
        <w:keepLines/>
        <w:pageBreakBefore w:val="0"/>
        <w:widowControl w:val="0"/>
        <w:numPr>
          <w:ilvl w:val="0"/>
          <w:numId w:val="9"/>
        </w:numPr>
        <w:kinsoku/>
        <w:wordWrap/>
        <w:overflowPunct/>
        <w:topLinePunct w:val="0"/>
        <w:autoSpaceDE/>
        <w:autoSpaceDN/>
        <w:bidi w:val="0"/>
        <w:adjustRightInd/>
        <w:snapToGrid/>
        <w:spacing w:after="0" w:afterAutospacing="0" w:line="356" w:lineRule="atLeast"/>
        <w:jc w:val="center"/>
        <w:textAlignment w:val="auto"/>
        <w:outlineLvl w:val="0"/>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t xml:space="preserve">  </w:t>
      </w:r>
      <w:bookmarkEnd w:id="55"/>
      <w:bookmarkEnd w:id="58"/>
      <w:bookmarkEnd w:id="59"/>
      <w:bookmarkEnd w:id="60"/>
      <w:bookmarkEnd w:id="61"/>
      <w:bookmarkEnd w:id="62"/>
      <w:bookmarkStart w:id="75" w:name="_Toc10290"/>
      <w:r>
        <w:rPr>
          <w:rFonts w:hint="eastAsia" w:ascii="宋体" w:hAnsi="宋体" w:eastAsia="宋体" w:cs="宋体"/>
          <w:color w:val="auto"/>
          <w:highlight w:val="none"/>
          <w:lang w:val="en-US" w:eastAsia="zh-CN"/>
        </w:rPr>
        <w:t>服务要求及需求表</w:t>
      </w:r>
    </w:p>
    <w:p>
      <w:pPr>
        <w:pageBreakBefore w:val="0"/>
        <w:numPr>
          <w:ilvl w:val="0"/>
          <w:numId w:val="0"/>
        </w:numPr>
        <w:kinsoku/>
        <w:wordWrap/>
        <w:overflowPunct/>
        <w:bidi w:val="0"/>
        <w:spacing w:beforeAutospacing="0" w:line="360" w:lineRule="auto"/>
        <w:ind w:left="0" w:leftChars="0" w:firstLine="480" w:firstLineChars="200"/>
        <w:outlineLvl w:val="9"/>
        <w:rPr>
          <w:rFonts w:hint="eastAsia" w:ascii="宋体" w:hAnsi="宋体" w:eastAsia="宋体" w:cs="宋体"/>
          <w:color w:val="auto"/>
          <w:sz w:val="24"/>
          <w:szCs w:val="24"/>
          <w:highlight w:val="none"/>
          <w:lang w:val="en-US" w:eastAsia="zh-CN"/>
        </w:rPr>
      </w:pPr>
      <w:bookmarkStart w:id="76" w:name="_Toc441065661"/>
      <w:bookmarkStart w:id="77" w:name="_Toc27052"/>
      <w:bookmarkStart w:id="78" w:name="_Toc52223347"/>
      <w:r>
        <w:rPr>
          <w:rFonts w:hint="eastAsia" w:ascii="宋体" w:hAnsi="宋体" w:eastAsia="宋体" w:cs="宋体"/>
          <w:color w:val="auto"/>
          <w:kern w:val="2"/>
          <w:sz w:val="24"/>
          <w:szCs w:val="24"/>
          <w:lang w:val="en-US" w:eastAsia="zh-CN" w:bidi="ar-SA"/>
        </w:rPr>
        <w:t>一、</w:t>
      </w:r>
      <w:r>
        <w:rPr>
          <w:rFonts w:hint="eastAsia" w:ascii="宋体" w:hAnsi="宋体" w:eastAsia="宋体" w:cs="宋体"/>
          <w:color w:val="auto"/>
          <w:sz w:val="24"/>
          <w:szCs w:val="24"/>
          <w:highlight w:val="none"/>
          <w:lang w:val="en-US" w:eastAsia="zh-CN"/>
        </w:rPr>
        <w:t>招标项目</w:t>
      </w:r>
      <w:bookmarkEnd w:id="76"/>
      <w:bookmarkEnd w:id="77"/>
      <w:bookmarkEnd w:id="78"/>
      <w:r>
        <w:rPr>
          <w:rFonts w:hint="eastAsia" w:ascii="宋体" w:hAnsi="宋体" w:eastAsia="宋体" w:cs="宋体"/>
          <w:color w:val="auto"/>
          <w:sz w:val="24"/>
          <w:szCs w:val="24"/>
          <w:highlight w:val="none"/>
          <w:lang w:val="en-US" w:eastAsia="zh-CN"/>
        </w:rPr>
        <w:t>概况</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洛浦县耕地和永久基本农田划定成果核实处置聘请第三方技术服务采购项目（二次）</w:t>
      </w:r>
      <w:r>
        <w:rPr>
          <w:rFonts w:hint="eastAsia" w:ascii="宋体" w:hAnsi="宋体" w:eastAsia="宋体" w:cs="宋体"/>
          <w:color w:val="auto"/>
          <w:kern w:val="2"/>
          <w:sz w:val="24"/>
          <w:szCs w:val="24"/>
          <w:highlight w:val="none"/>
          <w:lang w:val="en-US" w:eastAsia="zh-CN" w:bidi="ar-SA"/>
        </w:rPr>
        <w:t>项目预算：73万元</w:t>
      </w:r>
    </w:p>
    <w:p>
      <w:pPr>
        <w:pStyle w:val="2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最高限价按：73万元</w:t>
      </w:r>
    </w:p>
    <w:tbl>
      <w:tblPr>
        <w:tblStyle w:val="22"/>
        <w:tblW w:w="5142" w:type="pct"/>
        <w:tblInd w:w="15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791"/>
        <w:gridCol w:w="2100"/>
        <w:gridCol w:w="945"/>
        <w:gridCol w:w="1839"/>
        <w:gridCol w:w="982"/>
        <w:gridCol w:w="2250"/>
        <w:gridCol w:w="1313"/>
      </w:tblGrid>
      <w:tr>
        <w:trPr>
          <w:trHeight w:val="554" w:hRule="atLeast"/>
        </w:trPr>
        <w:tc>
          <w:tcPr>
            <w:tcW w:w="38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序号</w:t>
            </w:r>
          </w:p>
        </w:tc>
        <w:tc>
          <w:tcPr>
            <w:tcW w:w="1027"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项目名称</w:t>
            </w:r>
          </w:p>
        </w:tc>
        <w:tc>
          <w:tcPr>
            <w:tcW w:w="46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899"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预算金额（元）</w:t>
            </w:r>
          </w:p>
        </w:tc>
        <w:tc>
          <w:tcPr>
            <w:tcW w:w="48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1100"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9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简要规格描述</w:t>
            </w:r>
          </w:p>
        </w:tc>
        <w:tc>
          <w:tcPr>
            <w:tcW w:w="642" w:type="pct"/>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right="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备注</w:t>
            </w:r>
          </w:p>
        </w:tc>
      </w:tr>
      <w:tr>
        <w:trPr>
          <w:trHeight w:val="980" w:hRule="atLeast"/>
        </w:trPr>
        <w:tc>
          <w:tcPr>
            <w:tcW w:w="721"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914"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洛浦县耕地和永久基本农田划定成果核实处置聘请第三方技术服务采购项目（二次）</w:t>
            </w:r>
          </w:p>
        </w:tc>
        <w:tc>
          <w:tcPr>
            <w:tcW w:w="861"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w:t>
            </w:r>
          </w:p>
        </w:tc>
        <w:tc>
          <w:tcPr>
            <w:tcW w:w="1675"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eastAsia="zh-CN"/>
              </w:rPr>
              <w:t>73万元</w:t>
            </w:r>
          </w:p>
        </w:tc>
        <w:tc>
          <w:tcPr>
            <w:tcW w:w="894"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批</w:t>
            </w:r>
          </w:p>
        </w:tc>
        <w:tc>
          <w:tcPr>
            <w:tcW w:w="2050"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洛浦县耕地和永久基本农田划定成果核实处置聘请第三方技术服务采购项目（二次）</w:t>
            </w:r>
          </w:p>
        </w:tc>
        <w:tc>
          <w:tcPr>
            <w:tcW w:w="1196" w:type="dxa"/>
            <w:tcMar>
              <w:top w:w="75" w:type="dxa"/>
              <w:left w:w="150" w:type="dxa"/>
              <w:bottom w:w="75" w:type="dxa"/>
              <w:right w:w="150" w:type="dxa"/>
            </w:tcMar>
            <w:vAlign w:val="center"/>
          </w:tcPr>
          <w:p>
            <w:pPr>
              <w:keepNext w:val="0"/>
              <w:keepLines w:val="0"/>
              <w:pageBreakBefore w:val="0"/>
              <w:widowControl w:val="0"/>
              <w:kinsoku/>
              <w:wordWrap/>
              <w:overflowPunct/>
              <w:topLinePunct/>
              <w:autoSpaceDE/>
              <w:autoSpaceDN/>
              <w:bidi w:val="0"/>
              <w:adjustRightInd w:val="0"/>
              <w:snapToGrid w:val="0"/>
              <w:spacing w:line="360"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具体参数详见招标文件</w:t>
            </w:r>
          </w:p>
        </w:tc>
      </w:tr>
    </w:tbl>
    <w:p>
      <w:pPr>
        <w:keepNext w:val="0"/>
        <w:pageBreakBefore w:val="0"/>
        <w:numPr>
          <w:ilvl w:val="0"/>
          <w:numId w:val="0"/>
        </w:numPr>
        <w:kinsoku/>
        <w:wordWrap/>
        <w:overflowPunct/>
        <w:topLinePunct w:val="0"/>
        <w:autoSpaceDE/>
        <w:autoSpaceDN/>
        <w:bidi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二、主要任务</w:t>
      </w:r>
    </w:p>
    <w:p>
      <w:pPr>
        <w:keepNext w:val="0"/>
        <w:pageBreakBefore w:val="0"/>
        <w:numPr>
          <w:ilvl w:val="0"/>
          <w:numId w:val="0"/>
        </w:numPr>
        <w:kinsoku/>
        <w:wordWrap/>
        <w:overflowPunct/>
        <w:topLinePunct w:val="0"/>
        <w:autoSpaceDE/>
        <w:autoSpaceDN/>
        <w:bidi w:val="0"/>
        <w:spacing w:line="360" w:lineRule="auto"/>
        <w:ind w:left="0" w:leftChars="0" w:right="0" w:rightChars="0"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以2020年度国土变更调查成果为基础，结合近年来年度国 土变更调查成果和部监管系统相关备案数据，对“三区三线”划 定的耕地和永久基本农田进行核实，全面查清“三区三线”成果 启用前因农业结构调整等原因形成的非耕地（2022年度国土变 更调查成果为非耕地）以及永久基本农田范围内少量已依法办理 用地手续的土地， 区分不同情形，实行恢复整改和调整补划相结 合的方式分类处置。耕地保护目标中的非耕地，应按照30%、35%、35%的比例自2023年开始至2025年分3年逐年恢复，其 中，永久基本农田中的非耕地应于2023年底前恢复或调整补划 到位，确保本行政区域内耕地和永久基本农田数量不减少、质量 不降低。</w:t>
      </w:r>
    </w:p>
    <w:p>
      <w:pPr>
        <w:keepNext w:val="0"/>
        <w:pageBreakBefore w:val="0"/>
        <w:numPr>
          <w:ilvl w:val="0"/>
          <w:numId w:val="0"/>
        </w:numPr>
        <w:kinsoku/>
        <w:wordWrap/>
        <w:overflowPunct/>
        <w:topLinePunct w:val="0"/>
        <w:autoSpaceDE/>
        <w:autoSpaceDN/>
        <w:bidi w:val="0"/>
        <w:spacing w:line="360" w:lineRule="auto"/>
        <w:ind w:leftChars="200" w:right="0" w:rightChars="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商务要求</w:t>
      </w:r>
      <w:r>
        <w:rPr>
          <w:rFonts w:hint="eastAsia" w:ascii="宋体" w:hAnsi="宋体" w:eastAsia="宋体" w:cs="宋体"/>
          <w:color w:val="auto"/>
          <w:sz w:val="24"/>
          <w:szCs w:val="24"/>
          <w:highlight w:val="none"/>
          <w:lang w:val="en-US" w:eastAsia="zh-CN"/>
        </w:rPr>
        <w:t xml:space="preserve"> </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★报价要求</w:t>
      </w:r>
    </w:p>
    <w:p>
      <w:pPr>
        <w:keepNext w:val="0"/>
        <w:pageBreakBefore w:val="0"/>
        <w:numPr>
          <w:ilvl w:val="0"/>
          <w:numId w:val="11"/>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总报价应包括各种人力成本、设备成本、资料费、服务费、税费及合同实施过程中的所有费用。</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2、报价不能超过该项目的最高限价，须精确到小数点后两位，如未按要求报价则为无效投标文件处理。</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投标报价风险</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★投标报价已包含完成本项目所需的人力成本、投入成本、利润、税金、交通、中标服务费及其他相关费用等，采购人将不予支付除招标文件及承包合同约定的由投标人承担的风险因素之外的任何补偿。</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管理要求</w:t>
      </w:r>
    </w:p>
    <w:p>
      <w:pPr>
        <w:pStyle w:val="6"/>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both"/>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★成交供应商不得将本项目的全部或任何部分分包和转包给他人，如在项目实施过程中，经采购人发现有此情况，采购人有权终止合同，由此造成的责任由成交供应商负责。（响应时须提供承诺函 ，格式自定）</w:t>
      </w:r>
    </w:p>
    <w:p>
      <w:pPr>
        <w:pStyle w:val="54"/>
        <w:pageBreakBefore w:val="0"/>
        <w:numPr>
          <w:ilvl w:val="0"/>
          <w:numId w:val="12"/>
        </w:numPr>
        <w:tabs>
          <w:tab w:val="left" w:pos="1281"/>
        </w:tabs>
        <w:kinsoku/>
        <w:wordWrap/>
        <w:overflowPunct/>
        <w:topLinePunct w:val="0"/>
        <w:autoSpaceDE/>
        <w:autoSpaceDN/>
        <w:bidi w:val="0"/>
        <w:spacing w:before="0" w:after="0" w:line="360" w:lineRule="auto"/>
        <w:ind w:left="0" w:leftChars="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付款方式</w:t>
      </w:r>
    </w:p>
    <w:p>
      <w:pPr>
        <w:pStyle w:val="54"/>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中标人凭以下有效文件与采购人结算：</w:t>
      </w:r>
    </w:p>
    <w:p>
      <w:pPr>
        <w:pStyle w:val="54"/>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合同；</w:t>
      </w:r>
    </w:p>
    <w:p>
      <w:pPr>
        <w:pStyle w:val="54"/>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中标人开具的正式发票；</w:t>
      </w:r>
    </w:p>
    <w:p>
      <w:pPr>
        <w:pStyle w:val="54"/>
        <w:pageBreakBefore w:val="0"/>
        <w:numPr>
          <w:ilvl w:val="0"/>
          <w:numId w:val="0"/>
        </w:numPr>
        <w:tabs>
          <w:tab w:val="left" w:pos="1281"/>
        </w:tabs>
        <w:kinsoku/>
        <w:wordWrap/>
        <w:overflowPunct/>
        <w:topLinePunct w:val="0"/>
        <w:autoSpaceDE/>
        <w:autoSpaceDN/>
        <w:bidi w:val="0"/>
        <w:spacing w:before="0" w:after="0" w:line="360" w:lineRule="auto"/>
        <w:ind w:leftChars="200" w:right="0" w:rightChars="0" w:firstLine="480" w:firstLineChars="200"/>
        <w:jc w:val="left"/>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中标通知书。</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备注：因采购人使用的是财政资金，采购人在前款规定的付款时间为向政府采购支付部门提出办理财政支付申请手续的时间（不含政府财政支付部门审核的时间），在规定时间内提出支付申请手续后即视为采购人已经按期支付。本项目为连续服务项目，中标供应商不得因财政拨付资金不到位而停止服务，须在投标文件中针对此提供书面承诺函。</w:t>
      </w:r>
    </w:p>
    <w:p>
      <w:pPr>
        <w:pageBreakBefore w:val="0"/>
        <w:widowControl w:val="0"/>
        <w:kinsoku/>
        <w:wordWrap/>
        <w:overflowPunct/>
        <w:topLinePunct w:val="0"/>
        <w:bidi w:val="0"/>
        <w:spacing w:line="360" w:lineRule="auto"/>
        <w:ind w:left="0" w:leftChars="0" w:right="0" w:firstLine="480" w:firstLineChars="200"/>
        <w:jc w:val="both"/>
        <w:outlineLvl w:val="2"/>
        <w:rPr>
          <w:rFonts w:hint="eastAsia"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★供应商必须单独提供书面承诺，不得因为采购人未支付货款拖欠农民工工资，否则采购人有权直接从货款中扣除，直接支付给农民工，并将供应商拖欠农民工工资的行为报有关部门处理。</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1、签订合同前，中标人需缴纳履约保证金合同总价的 10% 到采购人指定账户，在合同期内未出现违约现象，未发生劳资纠纷，合同结束时无息退还。部分违约现象或劳资纠纷，从履约保证金中扣除相应金额的违约金；若发现严重违约现象，则不予退还履约保证金；</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2、交纳方式：以支票、汇票、本票、银行转账等非现金形式提交；采用支票、汇票、本票提交履约保证金的，有效期必须在供货期内保持有效；</w:t>
      </w:r>
    </w:p>
    <w:p>
      <w:pPr>
        <w:pStyle w:val="2"/>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3、交纳时间：签订合同前中标供应商向采购人交纳。</w:t>
      </w:r>
    </w:p>
    <w:p>
      <w:pPr>
        <w:keepNext w:val="0"/>
        <w:pageBreakBefore w:val="0"/>
        <w:numPr>
          <w:ilvl w:val="0"/>
          <w:numId w:val="10"/>
        </w:numPr>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其他</w:t>
      </w:r>
    </w:p>
    <w:p>
      <w:pPr>
        <w:keepNext w:val="0"/>
        <w:pageBreakBefore w:val="0"/>
        <w:kinsoku/>
        <w:wordWrap/>
        <w:overflowPunct/>
        <w:topLinePunct w:val="0"/>
        <w:autoSpaceDE/>
        <w:autoSpaceDN/>
        <w:bidi w:val="0"/>
        <w:spacing w:line="360" w:lineRule="auto"/>
        <w:ind w:left="0" w:leftChars="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★为确保本项目顺利完成，供应商必须承诺：承诺在中标后所投入的专业技术人员为本企业项目工期要求人专业技术人员，并与投标文件提供的专业技术人员一致的承诺书。</w:t>
      </w:r>
      <w:bookmarkStart w:id="79" w:name="_Toc28027334"/>
      <w:bookmarkStart w:id="80" w:name="_Toc40204644"/>
      <w:bookmarkStart w:id="81" w:name="_Toc40707973"/>
      <w:bookmarkStart w:id="82" w:name="_Toc34774407"/>
      <w:bookmarkStart w:id="83" w:name="_Toc34315577"/>
      <w:bookmarkStart w:id="84" w:name="_Toc21881156"/>
      <w:bookmarkStart w:id="85" w:name="_Toc37256331"/>
      <w:bookmarkStart w:id="86" w:name="_Toc20305409"/>
    </w:p>
    <w:bookmarkEnd w:id="79"/>
    <w:bookmarkEnd w:id="80"/>
    <w:bookmarkEnd w:id="81"/>
    <w:bookmarkEnd w:id="82"/>
    <w:bookmarkEnd w:id="83"/>
    <w:bookmarkEnd w:id="84"/>
    <w:bookmarkEnd w:id="85"/>
    <w:bookmarkEnd w:id="86"/>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2" w:firstLineChars="200"/>
        <w:textAlignment w:val="auto"/>
        <w:rPr>
          <w:rFonts w:hint="eastAsia" w:ascii="宋体" w:hAnsi="宋体" w:eastAsia="宋体" w:cs="宋体"/>
          <w:b/>
          <w:bCs/>
          <w:color w:val="auto"/>
          <w:sz w:val="24"/>
          <w:szCs w:val="24"/>
          <w:highlight w:val="none"/>
        </w:rPr>
      </w:pPr>
      <w:bookmarkStart w:id="87" w:name="五、违约责任"/>
      <w:bookmarkEnd w:id="87"/>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rPr>
        <w:t>、违约责任</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在执行项目过程中如出现下列情形，采购人有权即时终止合同并要求中标人赔偿损失：</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中标人未能按合同规定的时间提供服务逾期半个月以上的，采购人除有权提前终止合同外，每逾期一天，由此造成的采购人经济损失由中标人承担；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中标人在合同履行期间，除法律另行规定外，未经采购人同意，将采购人提供的资料泄外，并在社会上造成不良影响及严重后果的。采购人有权终止合同，由此造成的采购人经济损失由中标人承担；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中标人提供的</w:t>
      </w:r>
      <w:r>
        <w:rPr>
          <w:rFonts w:hint="eastAsia" w:ascii="宋体" w:hAnsi="宋体" w:eastAsia="宋体" w:cs="宋体"/>
          <w:color w:val="auto"/>
          <w:sz w:val="24"/>
          <w:szCs w:val="24"/>
          <w:highlight w:val="none"/>
          <w:lang w:val="en-US" w:eastAsia="zh-CN"/>
        </w:rPr>
        <w:t>法务</w:t>
      </w:r>
      <w:r>
        <w:rPr>
          <w:rFonts w:hint="eastAsia" w:ascii="宋体" w:hAnsi="宋体" w:eastAsia="宋体" w:cs="宋体"/>
          <w:color w:val="auto"/>
          <w:sz w:val="24"/>
          <w:szCs w:val="24"/>
          <w:highlight w:val="none"/>
        </w:rPr>
        <w:t>服务不符合招标文件及其投标承诺， 经过整改后仍未能满足相关规定的，采购人有权终止合同， 由此造成的采购人经济损失由中标人承担。</w:t>
      </w:r>
    </w:p>
    <w:p>
      <w:pPr>
        <w:keepNext w:val="0"/>
        <w:keepLines w:val="0"/>
        <w:pageBreakBefore w:val="0"/>
        <w:widowControl/>
        <w:tabs>
          <w:tab w:val="left" w:pos="360"/>
          <w:tab w:val="left" w:pos="1030"/>
        </w:tabs>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中标人出现上述情形的，采购人有权要求中标人按合同</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%支付违约金。</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其他</w:t>
      </w:r>
      <w:r>
        <w:rPr>
          <w:rFonts w:hint="eastAsia" w:ascii="宋体" w:hAnsi="宋体" w:eastAsia="宋体" w:cs="宋体"/>
          <w:color w:val="auto"/>
          <w:sz w:val="24"/>
          <w:szCs w:val="24"/>
          <w:highlight w:val="none"/>
        </w:rPr>
        <w:t>违约责任按《中华人民共和国合同法》处理</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争端的解决∶ 合同执行过程中发生的任何争议，如双方不能通过友好协商解决，按相关法律法规处理。</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不可抗力∶ 任何一方由于不可抗力原因不能履行合同时，应在不可抗力事件结束后1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lang w:val="en-US" w:eastAsia="zh-CN"/>
        </w:rPr>
        <w:t>★五、诚信履约</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诚信履约要求：</w:t>
      </w:r>
      <w:r>
        <w:rPr>
          <w:rFonts w:hint="eastAsia" w:ascii="宋体" w:hAnsi="宋体" w:eastAsia="宋体" w:cs="宋体"/>
          <w:color w:val="auto"/>
          <w:sz w:val="24"/>
          <w:szCs w:val="24"/>
          <w:highlight w:val="none"/>
        </w:rPr>
        <w:t>（1）评标委员会认为此报价有可能影响产品质量或者不能诚信履约的，投标方的投标文件提供书面说明和成本清单等相关证明材料，评标委员会认定投标文件对此报价的书面说明或证明可以佐证此报价的产品质量和具有合理履约能力予以通过审查。报价人须在评标现场合理的时间内提供书面说明，书面说明材料必须按照国家财务会计制度的规定要求，逐项就供应商提供的货物、工程和服务的主营业务成本、税金及附加、销售费用、管理费用、财务费用等成本构成事项详细陈述，并</w:t>
      </w:r>
      <w:r>
        <w:rPr>
          <w:rFonts w:hint="eastAsia" w:ascii="宋体" w:hAnsi="宋体" w:eastAsia="宋体" w:cs="宋体"/>
          <w:color w:val="auto"/>
          <w:sz w:val="24"/>
          <w:szCs w:val="24"/>
          <w:highlight w:val="none"/>
          <w:lang w:val="en-US" w:eastAsia="zh-CN"/>
        </w:rPr>
        <w:t>由</w:t>
      </w:r>
      <w:r>
        <w:rPr>
          <w:rFonts w:hint="eastAsia" w:ascii="宋体" w:hAnsi="宋体" w:eastAsia="宋体" w:cs="宋体"/>
          <w:color w:val="auto"/>
          <w:sz w:val="24"/>
          <w:szCs w:val="24"/>
          <w:highlight w:val="none"/>
        </w:rPr>
        <w:t>法定代表人或者其授权代表签字确认。报价人不能合理说明或者提供相关证明材料将被评标委员会认定为以低于成本报价竞标的，作无效投标处理。（简称“有效报价提示一”）</w:t>
      </w:r>
    </w:p>
    <w:p>
      <w:pPr>
        <w:keepNext w:val="0"/>
        <w:keepLines w:val="0"/>
        <w:pageBreakBefore w:val="0"/>
        <w:widowControl w:val="0"/>
        <w:kinsoku/>
        <w:wordWrap/>
        <w:overflowPunct/>
        <w:topLinePunct w:val="0"/>
        <w:autoSpaceDE w:val="0"/>
        <w:autoSpaceDN w:val="0"/>
        <w:bidi w:val="0"/>
        <w:adjustRightInd w:val="0"/>
        <w:snapToGrid w:val="0"/>
        <w:spacing w:line="360" w:lineRule="auto"/>
        <w:ind w:left="0" w:leftChars="0" w:firstLine="480" w:firstLineChars="200"/>
        <w:jc w:val="both"/>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委员会认为投标方的报价明显低于其他通过符合性审查投标方的报价，此情形是评标委员会根据市场竞争的现场情况来认为此报价有可能影响产品质量或者不能诚信履约的，投标方按评标委员的要求在评标现场合理的时间内提供书面说明，必要时提交相关证明材料。评标委员会认定投标方对此报价的书面说明或证明可以佐证此报价的产品质量和具有合理履约能力予以通过审查。（简称“有效报价提示二”）</w:t>
      </w:r>
    </w:p>
    <w:p>
      <w:pPr>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投标方可以有预见地参照“有效报价提示一”情形的要求， 投标文件预先提供书面说明和成本清单等相关证明材料，也可以预先准备好书面说明和必要的相关证明材料。如果评标委员会认为此报价有可能影响产品质量或者不能诚信履约而要求投标方作出书面说明或必要时提交相关证明材料，投标方能够在评标现场合理的时间内提供。如果投标方不能证明其报价合理性的，评标委员会应当将其作为无效投标处理。</w:t>
      </w:r>
    </w:p>
    <w:p>
      <w:pPr>
        <w:keepNext w:val="0"/>
        <w:keepLines w:val="0"/>
        <w:pageBreakBefore w:val="0"/>
        <w:kinsoku/>
        <w:wordWrap/>
        <w:overflowPunct/>
        <w:topLinePunct w:val="0"/>
        <w:autoSpaceDE/>
        <w:autoSpaceDN/>
        <w:bidi w:val="0"/>
        <w:adjustRightInd/>
        <w:snapToGrid/>
        <w:spacing w:line="360" w:lineRule="auto"/>
        <w:ind w:left="0" w:leftChars="0" w:right="0" w:firstLine="482" w:firstLineChars="200"/>
        <w:jc w:val="lef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六、替补候选人的设定与使用</w:t>
      </w:r>
    </w:p>
    <w:p>
      <w:pPr>
        <w:pStyle w:val="55"/>
        <w:keepNext w:val="0"/>
        <w:keepLines w:val="0"/>
        <w:pageBreakBefore w:val="0"/>
        <w:kinsoku/>
        <w:wordWrap/>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如果中标供应商不能按照招标文件要求及投标文件的承诺签订中标合同，或经核定中标供应商的投标文件与事实不符，从而影响公平、公正及影响中标合同执行时，采购人有权取消该其中标供应商的中标资格，确定排名在中标供应商之后第一位的投标供应商为中标供应商或依法重新招标。</w:t>
      </w:r>
    </w:p>
    <w:p>
      <w:pPr>
        <w:pStyle w:val="2"/>
        <w:keepNext w:val="0"/>
        <w:keepLines w:val="0"/>
        <w:pageBreakBefore w:val="0"/>
        <w:kinsoku/>
        <w:wordWrap/>
        <w:overflowPunct/>
        <w:topLinePunct w:val="0"/>
        <w:autoSpaceDE/>
        <w:autoSpaceDN/>
        <w:bidi w:val="0"/>
        <w:adjustRightInd/>
        <w:snapToGrid/>
        <w:spacing w:line="360" w:lineRule="auto"/>
        <w:ind w:left="0" w:leftChars="0" w:right="0" w:firstLine="480" w:firstLineChars="200"/>
        <w:jc w:val="left"/>
        <w:textAlignment w:val="auto"/>
        <w:outlineLvl w:val="0"/>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sz w:val="24"/>
          <w:szCs w:val="24"/>
          <w:highlight w:val="none"/>
          <w:lang w:val="en-US" w:eastAsia="zh-CN"/>
        </w:rPr>
        <w:t>2.★如果所有中标候选人均无法签订合同，采购人将依法重新招标或更改采购形式，对受影响的响应供应商不承担任何责任。</w:t>
      </w:r>
    </w:p>
    <w:p>
      <w:pP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br w:type="page"/>
      </w:r>
    </w:p>
    <w:p>
      <w:pPr>
        <w:pStyle w:val="3"/>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第四部分 合同条款及格式</w:t>
      </w:r>
      <w:bookmarkEnd w:id="75"/>
    </w:p>
    <w:p>
      <w:pPr>
        <w:pStyle w:val="11"/>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bookmarkStart w:id="88" w:name="_Toc7342_WPSOffice_Level1"/>
      <w:bookmarkStart w:id="89" w:name="_Toc372_WPSOffice_Level1"/>
      <w:bookmarkStart w:id="90" w:name="_Toc3044_WPSOffice_Level1"/>
      <w:bookmarkStart w:id="91" w:name="_Toc298240423"/>
      <w:bookmarkStart w:id="92" w:name="_Toc349573138"/>
      <w:bookmarkStart w:id="93" w:name="_Toc349637937"/>
      <w:bookmarkStart w:id="94" w:name="_Toc267301296"/>
      <w:bookmarkStart w:id="95" w:name="_Toc349573144"/>
      <w:bookmarkStart w:id="96" w:name="_Toc507690272"/>
      <w:bookmarkStart w:id="97" w:name="_Toc527642969"/>
      <w:bookmarkStart w:id="98" w:name="_Toc298240429"/>
      <w:bookmarkStart w:id="99" w:name="_Toc13252"/>
      <w:bookmarkStart w:id="100" w:name="_Toc349637943"/>
      <w:r>
        <w:rPr>
          <w:rFonts w:hint="eastAsia" w:ascii="宋体" w:hAnsi="宋体" w:eastAsia="宋体" w:cs="宋体"/>
          <w:color w:val="auto"/>
          <w:sz w:val="24"/>
          <w:szCs w:val="24"/>
          <w:highlight w:val="none"/>
        </w:rPr>
        <w:t>以下为中标后</w:t>
      </w:r>
      <w:r>
        <w:rPr>
          <w:rFonts w:hint="eastAsia" w:ascii="宋体" w:hAnsi="宋体" w:eastAsia="宋体" w:cs="宋体"/>
          <w:color w:val="auto"/>
          <w:sz w:val="24"/>
          <w:szCs w:val="24"/>
          <w:highlight w:val="none"/>
          <w:lang w:eastAsia="zh-CN"/>
        </w:rPr>
        <w:t>签订</w:t>
      </w:r>
      <w:r>
        <w:rPr>
          <w:rFonts w:hint="eastAsia" w:ascii="宋体" w:hAnsi="宋体" w:eastAsia="宋体" w:cs="宋体"/>
          <w:color w:val="auto"/>
          <w:sz w:val="24"/>
          <w:szCs w:val="24"/>
          <w:highlight w:val="none"/>
        </w:rPr>
        <w:t>本项目合同的通用条款，中标人不得提出实质性的修改。关于专用条款将由采购人与中标人结合本项目具体情况协商后补充，但补充内容对</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和投标文件以及通用条款，不得作实质性修改。</w:t>
      </w:r>
    </w:p>
    <w:p>
      <w:pPr>
        <w:pStyle w:val="11"/>
        <w:rPr>
          <w:rFonts w:hint="eastAsia" w:ascii="宋体" w:hAnsi="宋体" w:eastAsia="宋体" w:cs="宋体"/>
          <w:color w:val="auto"/>
          <w:szCs w:val="21"/>
          <w:highlight w:val="none"/>
        </w:rPr>
      </w:pPr>
      <w:r>
        <w:rPr>
          <w:rFonts w:hint="eastAsia" w:ascii="宋体" w:hAnsi="宋体" w:eastAsia="宋体" w:cs="宋体"/>
          <w:color w:val="auto"/>
          <w:sz w:val="24"/>
          <w:szCs w:val="24"/>
          <w:highlight w:val="none"/>
        </w:rPr>
        <w:t xml:space="preserve"> </w:t>
      </w:r>
      <w:bookmarkEnd w:id="88"/>
      <w:bookmarkEnd w:id="89"/>
      <w:bookmarkEnd w:id="90"/>
    </w:p>
    <w:bookmarkEnd w:id="91"/>
    <w:bookmarkEnd w:id="92"/>
    <w:bookmarkEnd w:id="93"/>
    <w:bookmarkEnd w:id="94"/>
    <w:p>
      <w:pPr>
        <w:spacing w:line="360" w:lineRule="auto"/>
        <w:rPr>
          <w:rFonts w:hint="eastAsia" w:ascii="宋体" w:hAnsi="宋体" w:eastAsia="宋体" w:cs="宋体"/>
          <w:b/>
          <w:color w:val="auto"/>
          <w:sz w:val="44"/>
          <w:highlight w:val="none"/>
        </w:rPr>
      </w:pPr>
    </w:p>
    <w:p>
      <w:pPr>
        <w:spacing w:line="360" w:lineRule="auto"/>
        <w:rPr>
          <w:rFonts w:hint="eastAsia" w:ascii="宋体" w:hAnsi="宋体" w:eastAsia="宋体" w:cs="宋体"/>
          <w:color w:val="auto"/>
          <w:sz w:val="44"/>
          <w:highlight w:val="none"/>
        </w:rPr>
      </w:pPr>
      <w:r>
        <w:rPr>
          <w:rFonts w:hint="eastAsia" w:ascii="宋体" w:hAnsi="宋体" w:eastAsia="宋体" w:cs="宋体"/>
          <w:b/>
          <w:color w:val="auto"/>
          <w:sz w:val="44"/>
          <w:highlight w:val="none"/>
          <w:lang w:val="en-US" w:eastAsia="zh-CN"/>
        </w:rPr>
        <w:t xml:space="preserve">  </w:t>
      </w:r>
      <w:r>
        <w:rPr>
          <w:rFonts w:hint="eastAsia" w:ascii="宋体" w:hAnsi="宋体" w:eastAsia="宋体" w:cs="宋体"/>
          <w:b/>
          <w:color w:val="auto"/>
          <w:sz w:val="44"/>
          <w:highlight w:val="none"/>
        </w:rPr>
        <w:t xml:space="preserve"> </w:t>
      </w:r>
      <w:r>
        <w:rPr>
          <w:rFonts w:hint="eastAsia" w:ascii="宋体" w:hAnsi="宋体" w:eastAsia="宋体" w:cs="宋体"/>
          <w:color w:val="auto"/>
          <w:sz w:val="36"/>
          <w:highlight w:val="none"/>
        </w:rPr>
        <w:t>项目名称：</w:t>
      </w:r>
      <w:r>
        <w:rPr>
          <w:rFonts w:hint="eastAsia" w:ascii="宋体" w:hAnsi="宋体" w:eastAsia="宋体" w:cs="宋体"/>
          <w:color w:val="auto"/>
          <w:sz w:val="36"/>
          <w:highlight w:val="none"/>
          <w:lang w:val="en-US" w:eastAsia="zh-CN"/>
        </w:rPr>
        <w:t xml:space="preserve">   </w:t>
      </w:r>
      <w:r>
        <w:rPr>
          <w:rFonts w:hint="eastAsia" w:ascii="宋体" w:hAnsi="宋体" w:eastAsia="宋体" w:cs="宋体"/>
          <w:b/>
          <w:bCs/>
          <w:color w:val="auto"/>
          <w:sz w:val="36"/>
          <w:highlight w:val="none"/>
          <w:u w:val="single"/>
          <w:lang w:val="en-US" w:eastAsia="zh-CN"/>
        </w:rPr>
        <w:t xml:space="preserve">                               </w:t>
      </w:r>
    </w:p>
    <w:p>
      <w:pPr>
        <w:spacing w:line="360" w:lineRule="auto"/>
        <w:jc w:val="center"/>
        <w:rPr>
          <w:rFonts w:hint="eastAsia" w:ascii="宋体" w:hAnsi="宋体" w:eastAsia="宋体" w:cs="宋体"/>
          <w:b/>
          <w:color w:val="auto"/>
          <w:sz w:val="44"/>
          <w:highlight w:val="none"/>
          <w:u w:val="single"/>
        </w:rPr>
      </w:pP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pStyle w:val="2"/>
        <w:spacing w:line="360" w:lineRule="auto"/>
        <w:ind w:firstLine="425"/>
        <w:rPr>
          <w:rFonts w:hint="eastAsia" w:ascii="宋体" w:hAnsi="宋体" w:eastAsia="宋体" w:cs="宋体"/>
          <w:b/>
          <w:bCs/>
          <w:color w:val="auto"/>
          <w:sz w:val="32"/>
          <w:highlight w:val="none"/>
        </w:rPr>
      </w:pPr>
      <w:r>
        <w:rPr>
          <w:rFonts w:hint="eastAsia" w:ascii="宋体" w:hAnsi="宋体" w:eastAsia="宋体" w:cs="宋体"/>
          <w:b/>
          <w:color w:val="auto"/>
          <w:sz w:val="32"/>
          <w:highlight w:val="none"/>
        </w:rPr>
        <w:t xml:space="preserve"> </w:t>
      </w:r>
      <w:r>
        <w:rPr>
          <w:rFonts w:hint="eastAsia" w:ascii="宋体" w:hAnsi="宋体" w:eastAsia="宋体" w:cs="宋体"/>
          <w:color w:val="auto"/>
          <w:sz w:val="32"/>
          <w:highlight w:val="none"/>
        </w:rPr>
        <w:t>委托方（甲方）：</w:t>
      </w:r>
      <w:r>
        <w:rPr>
          <w:rFonts w:hint="eastAsia" w:ascii="宋体" w:hAnsi="宋体" w:eastAsia="宋体" w:cs="宋体"/>
          <w:b/>
          <w:bCs/>
          <w:color w:val="auto"/>
          <w:sz w:val="32"/>
          <w:highlight w:val="none"/>
          <w:u w:val="single"/>
          <w:lang w:val="en-US" w:eastAsia="zh-CN"/>
        </w:rPr>
        <w:t xml:space="preserve">                                           </w:t>
      </w:r>
    </w:p>
    <w:p>
      <w:pPr>
        <w:pStyle w:val="2"/>
        <w:spacing w:line="360" w:lineRule="auto"/>
        <w:ind w:firstLine="425"/>
        <w:rPr>
          <w:rFonts w:hint="eastAsia" w:ascii="宋体" w:hAnsi="宋体" w:eastAsia="宋体" w:cs="宋体"/>
          <w:b/>
          <w:color w:val="auto"/>
          <w:sz w:val="32"/>
          <w:highlight w:val="none"/>
          <w:u w:val="single"/>
        </w:rPr>
      </w:pPr>
      <w:r>
        <w:rPr>
          <w:rFonts w:hint="eastAsia" w:ascii="宋体" w:hAnsi="宋体" w:eastAsia="宋体" w:cs="宋体"/>
          <w:color w:val="auto"/>
          <w:sz w:val="32"/>
          <w:highlight w:val="none"/>
        </w:rPr>
        <w:t xml:space="preserve"> 承揽方（乙方）：</w:t>
      </w:r>
      <w:r>
        <w:rPr>
          <w:rFonts w:hint="eastAsia" w:ascii="宋体" w:hAnsi="宋体" w:eastAsia="宋体" w:cs="宋体"/>
          <w:b/>
          <w:bCs w:val="0"/>
          <w:color w:val="auto"/>
          <w:sz w:val="32"/>
          <w:highlight w:val="none"/>
          <w:u w:val="single"/>
          <w:lang w:val="en-US" w:eastAsia="zh-CN"/>
        </w:rPr>
        <w:t xml:space="preserve">                                   </w:t>
      </w:r>
      <w:r>
        <w:rPr>
          <w:rFonts w:hint="eastAsia" w:ascii="宋体" w:hAnsi="宋体" w:eastAsia="宋体" w:cs="宋体"/>
          <w:b/>
          <w:bCs/>
          <w:color w:val="auto"/>
          <w:sz w:val="32"/>
          <w:highlight w:val="none"/>
          <w:u w:val="single"/>
          <w:lang w:val="en-US" w:eastAsia="zh-CN"/>
        </w:rPr>
        <w:t xml:space="preserve">  </w:t>
      </w: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center"/>
        <w:rPr>
          <w:rFonts w:hint="eastAsia" w:ascii="宋体" w:hAnsi="宋体" w:eastAsia="宋体" w:cs="宋体"/>
          <w:b/>
          <w:color w:val="auto"/>
          <w:sz w:val="44"/>
          <w:highlight w:val="none"/>
        </w:rPr>
      </w:pPr>
    </w:p>
    <w:p>
      <w:pPr>
        <w:spacing w:line="360" w:lineRule="auto"/>
        <w:jc w:val="both"/>
        <w:rPr>
          <w:rFonts w:hint="eastAsia" w:ascii="宋体" w:hAnsi="宋体" w:eastAsia="宋体" w:cs="宋体"/>
          <w:b/>
          <w:color w:val="auto"/>
          <w:sz w:val="44"/>
          <w:highlight w:val="none"/>
        </w:rPr>
      </w:pPr>
    </w:p>
    <w:p>
      <w:pPr>
        <w:spacing w:line="415" w:lineRule="exact"/>
        <w:rPr>
          <w:rFonts w:hint="eastAsia" w:ascii="宋体" w:hAnsi="宋体" w:eastAsia="宋体" w:cs="宋体"/>
          <w:color w:val="auto"/>
          <w:highlight w:val="none"/>
          <w:lang w:eastAsia="zh-CN"/>
        </w:rPr>
      </w:pPr>
      <w:r>
        <w:rPr>
          <w:rFonts w:hint="eastAsia" w:ascii="宋体" w:hAnsi="宋体" w:eastAsia="宋体" w:cs="宋体"/>
          <w:color w:val="auto"/>
          <w:sz w:val="32"/>
          <w:highlight w:val="none"/>
        </w:rPr>
        <w:t xml:space="preserve">  </w:t>
      </w:r>
    </w:p>
    <w:p>
      <w:pPr>
        <w:spacing w:line="415" w:lineRule="exact"/>
        <w:jc w:val="center"/>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lang w:eastAsia="zh-CN"/>
        </w:rPr>
        <w:t>二〇XX年</w:t>
      </w:r>
      <w:r>
        <w:rPr>
          <w:rFonts w:hint="eastAsia" w:ascii="宋体" w:hAnsi="宋体" w:eastAsia="宋体" w:cs="宋体"/>
          <w:color w:val="auto"/>
          <w:sz w:val="30"/>
          <w:szCs w:val="30"/>
          <w:highlight w:val="none"/>
          <w:lang w:val="en-US" w:eastAsia="zh-CN"/>
        </w:rPr>
        <w:t>六</w:t>
      </w:r>
      <w:r>
        <w:rPr>
          <w:rFonts w:hint="eastAsia" w:ascii="宋体" w:hAnsi="宋体" w:eastAsia="宋体" w:cs="宋体"/>
          <w:color w:val="auto"/>
          <w:sz w:val="30"/>
          <w:szCs w:val="30"/>
          <w:highlight w:val="none"/>
          <w:lang w:eastAsia="zh-CN"/>
        </w:rPr>
        <w:t>月</w:t>
      </w:r>
    </w:p>
    <w:p>
      <w:pPr>
        <w:spacing w:line="415" w:lineRule="exact"/>
        <w:jc w:val="both"/>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right="0" w:rightChars="0"/>
        <w:jc w:val="left"/>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ascii="宋体" w:hAnsi="宋体" w:eastAsia="宋体" w:cs="宋体"/>
          <w:b/>
          <w:color w:val="auto"/>
          <w:sz w:val="24"/>
          <w:szCs w:val="24"/>
          <w:highlight w:val="none"/>
          <w:lang w:eastAsia="zh-CN"/>
        </w:rPr>
        <w:t>合同标的</w:t>
      </w:r>
    </w:p>
    <w:p>
      <w:pPr>
        <w:pStyle w:val="18"/>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firstLine="48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本协议签订后，甲乙双方达成</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lang w:eastAsia="zh-CN"/>
        </w:rPr>
        <w:t>服务合作伙伴关系，甲方委托乙方提供</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项目</w:t>
      </w:r>
      <w:r>
        <w:rPr>
          <w:rFonts w:hint="eastAsia" w:ascii="宋体" w:hAnsi="宋体" w:eastAsia="宋体" w:cs="宋体"/>
          <w:color w:val="auto"/>
          <w:sz w:val="24"/>
          <w:szCs w:val="24"/>
          <w:highlight w:val="none"/>
          <w:lang w:eastAsia="zh-CN"/>
        </w:rPr>
        <w:t>技术支持和咨询服务，乙方将委派技术人员甲方</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lang w:eastAsia="zh-CN"/>
        </w:rPr>
        <w:t>现场提供</w:t>
      </w:r>
      <w:r>
        <w:rPr>
          <w:rFonts w:hint="eastAsia" w:ascii="宋体" w:hAnsi="宋体" w:eastAsia="宋体" w:cs="宋体"/>
          <w:color w:val="auto"/>
          <w:sz w:val="24"/>
          <w:szCs w:val="24"/>
          <w:highlight w:val="none"/>
          <w:lang w:val="en-US" w:eastAsia="zh-CN"/>
        </w:rPr>
        <w:t>线路检测、验收、设备安装及维护、网络抢修</w:t>
      </w:r>
      <w:r>
        <w:rPr>
          <w:rFonts w:hint="eastAsia" w:ascii="宋体" w:hAnsi="宋体" w:eastAsia="宋体" w:cs="宋体"/>
          <w:color w:val="auto"/>
          <w:sz w:val="24"/>
          <w:szCs w:val="24"/>
          <w:highlight w:val="none"/>
          <w:lang w:eastAsia="zh-CN"/>
        </w:rPr>
        <w:t>等相关技术咨询及服务。甲方经营项目所需</w:t>
      </w:r>
      <w:r>
        <w:rPr>
          <w:rFonts w:hint="eastAsia" w:ascii="宋体" w:hAnsi="宋体" w:eastAsia="宋体" w:cs="宋体"/>
          <w:color w:val="auto"/>
          <w:sz w:val="24"/>
          <w:szCs w:val="24"/>
          <w:highlight w:val="none"/>
          <w:lang w:val="en-US" w:eastAsia="zh-CN"/>
        </w:rPr>
        <w:t>技术支持及咨询服务</w:t>
      </w:r>
      <w:r>
        <w:rPr>
          <w:rFonts w:hint="eastAsia" w:ascii="宋体" w:hAnsi="宋体" w:eastAsia="宋体" w:cs="宋体"/>
          <w:color w:val="auto"/>
          <w:sz w:val="24"/>
          <w:szCs w:val="24"/>
          <w:highlight w:val="none"/>
          <w:lang w:eastAsia="zh-CN"/>
        </w:rPr>
        <w:t>均委托乙方承接，</w:t>
      </w:r>
      <w:r>
        <w:rPr>
          <w:rFonts w:hint="eastAsia" w:ascii="宋体" w:hAnsi="宋体" w:eastAsia="宋体" w:cs="宋体"/>
          <w:color w:val="auto"/>
          <w:sz w:val="24"/>
          <w:szCs w:val="24"/>
          <w:highlight w:val="none"/>
          <w:lang w:val="en-US" w:eastAsia="zh-CN"/>
        </w:rPr>
        <w:t>乙方自愿接受甲方的委托，并努力提升服务质量</w:t>
      </w:r>
      <w:r>
        <w:rPr>
          <w:rFonts w:hint="eastAsia" w:ascii="宋体" w:hAnsi="宋体" w:eastAsia="宋体" w:cs="宋体"/>
          <w:color w:val="auto"/>
          <w:sz w:val="24"/>
          <w:szCs w:val="24"/>
          <w:highlight w:val="none"/>
          <w:lang w:eastAsia="zh-CN"/>
        </w:rPr>
        <w:t>，合作期间的具体的</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lang w:eastAsia="zh-CN"/>
        </w:rPr>
        <w:t>、报价、完成</w:t>
      </w:r>
      <w:r>
        <w:rPr>
          <w:rFonts w:hint="eastAsia" w:ascii="宋体" w:hAnsi="宋体" w:eastAsia="宋体" w:cs="宋体"/>
          <w:color w:val="auto"/>
          <w:sz w:val="24"/>
          <w:szCs w:val="24"/>
          <w:highlight w:val="none"/>
          <w:lang w:val="en-US" w:eastAsia="zh-CN"/>
        </w:rPr>
        <w:t>指标</w:t>
      </w:r>
      <w:r>
        <w:rPr>
          <w:rFonts w:hint="eastAsia" w:ascii="宋体" w:hAnsi="宋体" w:eastAsia="宋体" w:cs="宋体"/>
          <w:color w:val="auto"/>
          <w:sz w:val="24"/>
          <w:szCs w:val="24"/>
          <w:highlight w:val="none"/>
          <w:lang w:eastAsia="zh-CN"/>
        </w:rPr>
        <w:t>等具体细节，双方以附件形式约定，以附件为准。</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二、双方责任</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1、甲方负责提出</w:t>
      </w:r>
      <w:r>
        <w:rPr>
          <w:rFonts w:hint="eastAsia" w:ascii="宋体" w:hAnsi="宋体" w:eastAsia="宋体" w:cs="宋体"/>
          <w:color w:val="auto"/>
          <w:sz w:val="24"/>
          <w:szCs w:val="24"/>
          <w:highlight w:val="none"/>
          <w:lang w:val="en-US" w:eastAsia="zh-CN"/>
        </w:rPr>
        <w:t>经营</w:t>
      </w:r>
      <w:r>
        <w:rPr>
          <w:rFonts w:hint="eastAsia" w:ascii="宋体" w:hAnsi="宋体" w:eastAsia="宋体" w:cs="宋体"/>
          <w:color w:val="auto"/>
          <w:sz w:val="24"/>
          <w:szCs w:val="24"/>
          <w:highlight w:val="none"/>
          <w:lang w:eastAsia="zh-CN"/>
        </w:rPr>
        <w:t>项目相关</w:t>
      </w:r>
      <w:r>
        <w:rPr>
          <w:rFonts w:hint="eastAsia" w:ascii="宋体" w:hAnsi="宋体" w:eastAsia="宋体" w:cs="宋体"/>
          <w:color w:val="auto"/>
          <w:sz w:val="24"/>
          <w:szCs w:val="24"/>
          <w:highlight w:val="none"/>
          <w:lang w:val="en-US" w:eastAsia="zh-CN"/>
        </w:rPr>
        <w:t>技术支持及咨询服务</w:t>
      </w:r>
      <w:r>
        <w:rPr>
          <w:rFonts w:hint="eastAsia" w:ascii="宋体" w:hAnsi="宋体" w:eastAsia="宋体" w:cs="宋体"/>
          <w:color w:val="auto"/>
          <w:sz w:val="24"/>
          <w:szCs w:val="24"/>
          <w:highlight w:val="none"/>
        </w:rPr>
        <w:t>需求，并</w:t>
      </w:r>
      <w:r>
        <w:rPr>
          <w:rFonts w:hint="eastAsia" w:ascii="宋体" w:hAnsi="宋体" w:eastAsia="宋体" w:cs="宋体"/>
          <w:color w:val="auto"/>
          <w:sz w:val="24"/>
          <w:szCs w:val="24"/>
          <w:highlight w:val="none"/>
          <w:lang w:val="en-US" w:eastAsia="zh-CN"/>
        </w:rPr>
        <w:t>定期组织对项目成果进行</w:t>
      </w:r>
      <w:r>
        <w:rPr>
          <w:rFonts w:hint="eastAsia" w:ascii="宋体" w:hAnsi="宋体" w:eastAsia="宋体" w:cs="宋体"/>
          <w:color w:val="auto"/>
          <w:sz w:val="24"/>
          <w:szCs w:val="24"/>
          <w:highlight w:val="none"/>
        </w:rPr>
        <w:t>验收。</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2、乙方负责</w:t>
      </w:r>
      <w:r>
        <w:rPr>
          <w:rFonts w:hint="eastAsia" w:ascii="宋体" w:hAnsi="宋体" w:eastAsia="宋体" w:cs="宋体"/>
          <w:color w:val="auto"/>
          <w:sz w:val="24"/>
          <w:szCs w:val="24"/>
          <w:highlight w:val="none"/>
          <w:lang w:val="en-US" w:eastAsia="zh-CN"/>
        </w:rPr>
        <w:t>软件安装调试</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en-US" w:eastAsia="zh-CN"/>
        </w:rPr>
        <w:t>技术服务</w:t>
      </w:r>
      <w:r>
        <w:rPr>
          <w:rFonts w:hint="eastAsia" w:ascii="宋体" w:hAnsi="宋体" w:eastAsia="宋体" w:cs="宋体"/>
          <w:color w:val="auto"/>
          <w:sz w:val="24"/>
          <w:szCs w:val="24"/>
          <w:highlight w:val="none"/>
        </w:rPr>
        <w:t>，保证按照甲方提出的</w:t>
      </w:r>
      <w:r>
        <w:rPr>
          <w:rFonts w:hint="eastAsia" w:ascii="宋体" w:hAnsi="宋体" w:eastAsia="宋体" w:cs="宋体"/>
          <w:color w:val="auto"/>
          <w:sz w:val="24"/>
          <w:szCs w:val="24"/>
          <w:highlight w:val="none"/>
          <w:lang w:eastAsia="zh-CN"/>
        </w:rPr>
        <w:t>技术支持及咨询服务</w:t>
      </w:r>
      <w:r>
        <w:rPr>
          <w:rFonts w:hint="eastAsia" w:ascii="宋体" w:hAnsi="宋体" w:eastAsia="宋体" w:cs="宋体"/>
          <w:color w:val="auto"/>
          <w:sz w:val="24"/>
          <w:szCs w:val="24"/>
          <w:highlight w:val="none"/>
        </w:rPr>
        <w:t>需求</w:t>
      </w:r>
      <w:r>
        <w:rPr>
          <w:rFonts w:hint="eastAsia" w:ascii="宋体" w:hAnsi="宋体" w:eastAsia="宋体" w:cs="宋体"/>
          <w:color w:val="auto"/>
          <w:sz w:val="24"/>
          <w:szCs w:val="24"/>
          <w:highlight w:val="none"/>
          <w:lang w:val="en-US" w:eastAsia="zh-CN"/>
        </w:rPr>
        <w:t>为甲方提供优质的技术支持及咨询服务</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3、为使项目</w:t>
      </w:r>
      <w:r>
        <w:rPr>
          <w:rFonts w:hint="eastAsia" w:ascii="宋体" w:hAnsi="宋体" w:eastAsia="宋体" w:cs="宋体"/>
          <w:color w:val="auto"/>
          <w:sz w:val="24"/>
          <w:szCs w:val="24"/>
          <w:highlight w:val="none"/>
          <w:lang w:val="en-US" w:eastAsia="zh-CN"/>
        </w:rPr>
        <w:t>运营过程中</w:t>
      </w:r>
      <w:r>
        <w:rPr>
          <w:rFonts w:hint="eastAsia" w:ascii="宋体" w:hAnsi="宋体" w:eastAsia="宋体" w:cs="宋体"/>
          <w:color w:val="auto"/>
          <w:sz w:val="24"/>
          <w:szCs w:val="24"/>
          <w:highlight w:val="none"/>
        </w:rPr>
        <w:t>能更好地满足用户的需要等，在项目实施过程中，甲方指派项目负责人，并组织有关人员参与本项目的组织管理</w:t>
      </w:r>
      <w:r>
        <w:rPr>
          <w:rFonts w:hint="eastAsia" w:ascii="宋体" w:hAnsi="宋体" w:eastAsia="宋体" w:cs="宋体"/>
          <w:color w:val="auto"/>
          <w:sz w:val="24"/>
          <w:szCs w:val="24"/>
          <w:highlight w:val="none"/>
          <w:lang w:eastAsia="zh-CN"/>
        </w:rPr>
        <w:t>，向乙方提供实施本项目所需的数据、文件和其他必要信息，</w:t>
      </w:r>
      <w:r>
        <w:rPr>
          <w:rFonts w:hint="eastAsia" w:ascii="宋体" w:hAnsi="宋体" w:eastAsia="宋体" w:cs="宋体"/>
          <w:color w:val="auto"/>
          <w:sz w:val="24"/>
          <w:szCs w:val="24"/>
          <w:highlight w:val="none"/>
        </w:rPr>
        <w:t>负责协调乙方在</w:t>
      </w:r>
      <w:r>
        <w:rPr>
          <w:rFonts w:hint="eastAsia" w:ascii="宋体" w:hAnsi="宋体" w:eastAsia="宋体" w:cs="宋体"/>
          <w:color w:val="auto"/>
          <w:sz w:val="24"/>
          <w:szCs w:val="24"/>
          <w:highlight w:val="none"/>
          <w:lang w:val="en-US" w:eastAsia="zh-CN"/>
        </w:rPr>
        <w:t>技术服务</w:t>
      </w:r>
      <w:r>
        <w:rPr>
          <w:rFonts w:hint="eastAsia" w:ascii="宋体" w:hAnsi="宋体" w:eastAsia="宋体" w:cs="宋体"/>
          <w:color w:val="auto"/>
          <w:sz w:val="24"/>
          <w:szCs w:val="24"/>
          <w:highlight w:val="none"/>
        </w:rPr>
        <w:t>地点的</w:t>
      </w:r>
      <w:r>
        <w:rPr>
          <w:rFonts w:hint="eastAsia" w:ascii="宋体" w:hAnsi="宋体" w:eastAsia="宋体" w:cs="宋体"/>
          <w:color w:val="auto"/>
          <w:sz w:val="24"/>
          <w:szCs w:val="24"/>
          <w:highlight w:val="none"/>
          <w:lang w:val="en-US" w:eastAsia="zh-CN"/>
        </w:rPr>
        <w:t>活动实施，系统</w:t>
      </w:r>
      <w:r>
        <w:rPr>
          <w:rFonts w:hint="eastAsia" w:ascii="宋体" w:hAnsi="宋体" w:eastAsia="宋体" w:cs="宋体"/>
          <w:color w:val="auto"/>
          <w:sz w:val="24"/>
          <w:szCs w:val="24"/>
          <w:highlight w:val="none"/>
        </w:rPr>
        <w:t>安装调试</w:t>
      </w:r>
      <w:r>
        <w:rPr>
          <w:rFonts w:hint="eastAsia" w:ascii="宋体" w:hAnsi="宋体" w:eastAsia="宋体" w:cs="宋体"/>
          <w:color w:val="auto"/>
          <w:sz w:val="24"/>
          <w:szCs w:val="24"/>
          <w:highlight w:val="none"/>
          <w:lang w:val="en-US" w:eastAsia="zh-CN"/>
        </w:rPr>
        <w:t>和业务</w:t>
      </w:r>
      <w:r>
        <w:rPr>
          <w:rFonts w:hint="eastAsia" w:ascii="宋体" w:hAnsi="宋体" w:eastAsia="宋体" w:cs="宋体"/>
          <w:color w:val="auto"/>
          <w:sz w:val="24"/>
          <w:szCs w:val="24"/>
          <w:highlight w:val="none"/>
        </w:rPr>
        <w:t>培训等一系列工作</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4、根据甲方的实际情况，乙方为甲方提供可行性技术解决方案，并组织己方相关专业人员进行项目实施，或配合甲方进行项目实施。</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5、甲方在合同有效期内发生需求变更较大，引起合同中乙方</w:t>
      </w:r>
      <w:r>
        <w:rPr>
          <w:rFonts w:hint="eastAsia" w:ascii="宋体" w:hAnsi="宋体" w:eastAsia="宋体" w:cs="宋体"/>
          <w:color w:val="auto"/>
          <w:sz w:val="24"/>
          <w:szCs w:val="24"/>
          <w:highlight w:val="none"/>
          <w:lang w:val="en-US" w:eastAsia="zh-CN"/>
        </w:rPr>
        <w:t>实施方案和内容</w:t>
      </w:r>
      <w:r>
        <w:rPr>
          <w:rFonts w:hint="eastAsia" w:ascii="宋体" w:hAnsi="宋体" w:eastAsia="宋体" w:cs="宋体"/>
          <w:color w:val="auto"/>
          <w:sz w:val="24"/>
          <w:szCs w:val="24"/>
          <w:highlight w:val="none"/>
        </w:rPr>
        <w:t>调整时，双方对变更内容进行协商，协同解决，并形成备忘录。</w:t>
      </w:r>
    </w:p>
    <w:p>
      <w:pPr>
        <w:keepNext w:val="0"/>
        <w:keepLines w:val="0"/>
        <w:pageBreakBefore w:val="0"/>
        <w:widowControl w:val="0"/>
        <w:numPr>
          <w:ilvl w:val="0"/>
          <w:numId w:val="13"/>
        </w:numPr>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服务内容和</w:t>
      </w:r>
      <w:r>
        <w:rPr>
          <w:rFonts w:hint="eastAsia" w:ascii="宋体" w:hAnsi="宋体" w:eastAsia="宋体" w:cs="宋体"/>
          <w:b/>
          <w:color w:val="auto"/>
          <w:sz w:val="24"/>
          <w:szCs w:val="24"/>
          <w:highlight w:val="none"/>
        </w:rPr>
        <w:t>费用及付款方式</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1.项目专项经费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本合同签订后7日内甲方支付</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0%预付款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待最终成果按要求提交给甲方后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甲方支付剩余</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0%合同款</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元（大写：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、服务支持</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技术支持及咨询服务合作期间，乙方主要根据甲方需求，提供相应的技术支持及服务，并达到有关服务质量的要求。</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2、服务内容包括</w:t>
      </w:r>
      <w:r>
        <w:rPr>
          <w:rFonts w:hint="eastAsia" w:ascii="宋体" w:hAnsi="宋体" w:eastAsia="宋体" w:cs="宋体"/>
          <w:color w:val="auto"/>
          <w:sz w:val="24"/>
          <w:szCs w:val="24"/>
          <w:highlight w:val="none"/>
          <w:lang w:eastAsia="zh-CN"/>
        </w:rPr>
        <w:t>技术支持、日常维护、故障处理等技术支持及咨询服务，保证项目合作正常运行。</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、在服务期内，</w:t>
      </w:r>
      <w:r>
        <w:rPr>
          <w:rFonts w:hint="eastAsia" w:ascii="宋体" w:hAnsi="宋体" w:eastAsia="宋体" w:cs="宋体"/>
          <w:color w:val="auto"/>
          <w:sz w:val="24"/>
          <w:szCs w:val="24"/>
          <w:highlight w:val="none"/>
          <w:lang w:eastAsia="zh-CN"/>
        </w:rPr>
        <w:t>双方协商确定多种应急处理方案，必要时进行应急预案演习，保证在出现意外情况时能够尽量减少或避免因为系统的故障而产生的不良影响。</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保密</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乙双方对因履行本合同而获悉的对方的商业信息和技术资料均负有保密义务。使用方只能基于履行本合同之目的并以本合同约定的方式使用对方提供的商业信息和技术资料，且仅限于在保密管理下透露给予本合同的履行直接有关的人员。在未获得对方书面认可的情况下不得将此类商业资料和信息直接或间接透露给任何无关人员及第三方；但因法律法规、司法机关或其他有权行政机关、监管机构的要求应予以披露的除外。</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2、双方履行前述保密义务，不受本合同期满终止、中止或解除等任何情形的影响而被限制或取消，直至相关保密信息通过合法途径为公众所知，或对方书面同意解除此项义务时止。</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3、任何一方如违反保密承诺，违约方应承担守约方的损失。</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、不可抗力</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1、如合同双方中任何一方由于不可抗力，如：地震、水灾、台风、战争和其他双方都认为的不可抗力原因而无法按期履行合同，则合同执行的时间由于上述时间的发生做相应延期。</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2、受影响方应尽快将所发生的不可抗力事故的情况以电话或传真通知另一方，并在不可抗力发生14天内尽快用传真和挂号信将有关权威机构出具的证明文件提交另一方确认。</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3、当不可抗力事故终止或事故消除后，受阻方应尽快用传真或电传通知对方关于不可抗力形势的解除并以挂号信加以确认，并继续履行合同。</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4、如果不可抗力阻碍合同的履行超过180天，双方就合同的进一步履行问题进行讨论并达成一致意见。</w:t>
      </w:r>
    </w:p>
    <w:p>
      <w:pPr>
        <w:keepNext w:val="0"/>
        <w:keepLines w:val="0"/>
        <w:pageBreakBefore w:val="0"/>
        <w:widowControl w:val="0"/>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其他约定</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通知方式</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本合同要求所有通知应以信件或传真等书面方式送达对方于本合同所载地址，若地址有所变更应通知对方，否则视同于送达。一方变更通知或通讯地址，应自变更之日起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日内，以书面形式通知对方；否则，由未通知方承担由此而引起的相关责任。</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不可抗力</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w:t>
      </w:r>
      <w:r>
        <w:rPr>
          <w:rFonts w:hint="eastAsia" w:ascii="宋体" w:hAnsi="宋体" w:eastAsia="宋体" w:cs="宋体"/>
          <w:color w:val="auto"/>
          <w:sz w:val="24"/>
          <w:szCs w:val="24"/>
          <w:highlight w:val="none"/>
        </w:rPr>
        <w:t>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w:t>
      </w:r>
      <w:r>
        <w:rPr>
          <w:rFonts w:hint="eastAsia" w:ascii="宋体" w:hAnsi="宋体" w:eastAsia="宋体" w:cs="宋体"/>
          <w:color w:val="auto"/>
          <w:sz w:val="24"/>
          <w:szCs w:val="24"/>
          <w:highlight w:val="none"/>
          <w:lang w:eastAsia="zh-CN"/>
        </w:rPr>
        <w:t>及其他</w:t>
      </w:r>
      <w:r>
        <w:rPr>
          <w:rFonts w:hint="eastAsia" w:ascii="宋体" w:hAnsi="宋体" w:eastAsia="宋体" w:cs="宋体"/>
          <w:color w:val="auto"/>
          <w:sz w:val="24"/>
          <w:szCs w:val="24"/>
          <w:highlight w:val="none"/>
        </w:rPr>
        <w:t>自然灾害、交通意外、罢工、骚动、暴乱及战争（不论曾否宣战）以及政府部门的作为及不作为）影响而未能履行其在本合同下的全部或部分义务，该义务的履行在不可抗力事件妨碍其履行期间应予中止。</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w:t>
      </w:r>
      <w:r>
        <w:rPr>
          <w:rFonts w:hint="eastAsia" w:ascii="宋体" w:hAnsi="宋体" w:eastAsia="宋体" w:cs="宋体"/>
          <w:color w:val="auto"/>
          <w:sz w:val="24"/>
          <w:szCs w:val="24"/>
          <w:highlight w:val="none"/>
        </w:rPr>
        <w:t>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合同修改</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本合同履行期间，发生特殊情况时，甲、乙任何一方需变更本合同的，要求变更一方应及时书面通知对方，征得对方同意后，双方在规定的时限内（书面通知发出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天内）签订书面变更协议，该协议将成为合同不可分割的部分。未经双方签署书面文件，任何一方无权变更本合同，否则，由此造成对方的经济损失，由责任方承担。</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合同终止</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任何一方终止合同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需提前 </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个工作日书面通知对方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并说明正当的终止理由</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由双方代表签字后方可终止本合同。</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法律适用</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有关本合同的解释履行等相关事宜皆适用中华人民共和国法律。</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八、</w:t>
      </w:r>
      <w:r>
        <w:rPr>
          <w:rFonts w:hint="eastAsia" w:ascii="宋体" w:hAnsi="宋体" w:eastAsia="宋体" w:cs="宋体"/>
          <w:b/>
          <w:bCs/>
          <w:color w:val="auto"/>
          <w:sz w:val="24"/>
          <w:szCs w:val="24"/>
          <w:highlight w:val="none"/>
        </w:rPr>
        <w:t>争议解决</w:t>
      </w:r>
    </w:p>
    <w:p>
      <w:pPr>
        <w:keepNext w:val="0"/>
        <w:keepLines w:val="0"/>
        <w:pageBreakBefore w:val="0"/>
        <w:widowControl w:val="0"/>
        <w:kinsoku/>
        <w:wordWrap/>
        <w:overflowPunct/>
        <w:topLinePunct w:val="0"/>
        <w:autoSpaceDE/>
        <w:autoSpaceDN/>
        <w:bidi w:val="0"/>
        <w:adjustRightInd/>
        <w:snapToGrid/>
        <w:spacing w:before="63" w:beforeLines="20" w:line="360" w:lineRule="auto"/>
        <w:ind w:left="0" w:leftChars="0" w:right="0" w:righ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因履行本合同所发生的争议，双（各）方应友好协商解决，如协商不成，按照下列方式解决（任选一项，且只能选择一项，在选定的一项前的方框内打“√”）：□ 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市</w:t>
      </w:r>
      <w:r>
        <w:rPr>
          <w:rFonts w:hint="eastAsia" w:ascii="宋体" w:hAnsi="宋体" w:eastAsia="宋体" w:cs="宋体"/>
          <w:color w:val="auto"/>
          <w:sz w:val="24"/>
          <w:szCs w:val="24"/>
          <w:highlight w:val="none"/>
        </w:rPr>
        <w:t>仲裁委员会申请仲裁；□ 向</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市</w:t>
      </w:r>
      <w:r>
        <w:rPr>
          <w:rFonts w:hint="eastAsia" w:ascii="宋体" w:hAnsi="宋体" w:eastAsia="宋体" w:cs="宋体"/>
          <w:color w:val="auto"/>
          <w:sz w:val="24"/>
          <w:szCs w:val="24"/>
          <w:highlight w:val="none"/>
        </w:rPr>
        <w:t>人民法院起诉。</w:t>
      </w:r>
    </w:p>
    <w:p>
      <w:pPr>
        <w:keepNext w:val="0"/>
        <w:keepLines w:val="0"/>
        <w:pageBreakBefore w:val="0"/>
        <w:widowControl w:val="0"/>
        <w:numPr>
          <w:ilvl w:val="0"/>
          <w:numId w:val="0"/>
        </w:numPr>
        <w:kinsoku/>
        <w:wordWrap/>
        <w:overflowPunct/>
        <w:topLinePunct w:val="0"/>
        <w:autoSpaceDE/>
        <w:autoSpaceDN/>
        <w:bidi w:val="0"/>
        <w:adjustRightInd/>
        <w:snapToGrid/>
        <w:spacing w:before="63" w:beforeLines="20" w:line="360" w:lineRule="auto"/>
        <w:ind w:right="0" w:rightChars="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附则</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1、合同签订前未尽事宜，双方协商解决；合同签订后，经双方当事人协商一致，对本合同有关条款进行变更或者补充时应以书面形式确认。</w:t>
      </w:r>
    </w:p>
    <w:p>
      <w:pPr>
        <w:pStyle w:val="2"/>
        <w:keepNext w:val="0"/>
        <w:keepLines w:val="0"/>
        <w:pageBreakBefore w:val="0"/>
        <w:widowControl w:val="0"/>
        <w:kinsoku/>
        <w:wordWrap/>
        <w:overflowPunct/>
        <w:topLinePunct w:val="0"/>
        <w:autoSpaceDE/>
        <w:autoSpaceDN/>
        <w:bidi w:val="0"/>
        <w:adjustRightInd/>
        <w:snapToGrid/>
        <w:spacing w:before="63" w:beforeLines="20" w:line="360" w:lineRule="auto"/>
        <w:ind w:left="360" w:right="0" w:rightChars="0" w:hanging="36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2、本合同一式两份，双方各执壹份。自签订之日起生效。附件与本合同具有相同法律效力。</w:t>
      </w:r>
    </w:p>
    <w:p>
      <w:pPr>
        <w:keepNext w:val="0"/>
        <w:keepLines w:val="0"/>
        <w:pageBreakBefore w:val="0"/>
        <w:widowControl w:val="0"/>
        <w:kinsoku/>
        <w:wordWrap/>
        <w:overflowPunct/>
        <w:topLinePunct w:val="0"/>
        <w:autoSpaceDE/>
        <w:autoSpaceDN/>
        <w:bidi w:val="0"/>
        <w:adjustRightInd/>
        <w:snapToGrid/>
        <w:spacing w:before="251" w:beforeLines="80"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甲方（签章）：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乙方（签章）：</w:t>
      </w:r>
    </w:p>
    <w:p>
      <w:pPr>
        <w:keepNext w:val="0"/>
        <w:keepLines w:val="0"/>
        <w:pageBreakBefore w:val="0"/>
        <w:widowControl w:val="0"/>
        <w:kinsoku/>
        <w:wordWrap/>
        <w:overflowPunct/>
        <w:topLinePunct w:val="0"/>
        <w:autoSpaceDE/>
        <w:autoSpaceDN/>
        <w:bidi w:val="0"/>
        <w:adjustRightInd/>
        <w:snapToGrid/>
        <w:spacing w:before="251" w:beforeLines="80" w:line="360" w:lineRule="auto"/>
        <w:ind w:left="0" w:leftChars="0" w:right="0" w:rightChars="0" w:firstLine="0" w:firstLineChars="0"/>
        <w:jc w:val="both"/>
        <w:textAlignment w:val="auto"/>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代表人（签字）：                    代表人（签字）： </w:t>
      </w: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 xml:space="preserve">日期：     </w:t>
      </w:r>
      <w:r>
        <w:rPr>
          <w:rFonts w:hint="eastAsia" w:ascii="宋体" w:hAnsi="宋体" w:eastAsia="宋体" w:cs="宋体"/>
          <w:b/>
          <w:bCs/>
          <w:color w:val="auto"/>
          <w:sz w:val="24"/>
          <w:szCs w:val="24"/>
          <w:highlight w:val="none"/>
        </w:rPr>
        <w:t xml:space="preserve">年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日       </w:t>
      </w:r>
      <w:r>
        <w:rPr>
          <w:rFonts w:hint="eastAsia" w:ascii="宋体" w:hAnsi="宋体" w:eastAsia="宋体" w:cs="宋体"/>
          <w:b/>
          <w:bCs/>
          <w:color w:val="auto"/>
          <w:sz w:val="24"/>
          <w:szCs w:val="24"/>
          <w:highlight w:val="none"/>
          <w:lang w:val="en-US" w:eastAsia="zh-CN"/>
        </w:rPr>
        <w:t xml:space="preserve">      日期：     </w:t>
      </w:r>
      <w:r>
        <w:rPr>
          <w:rFonts w:hint="eastAsia" w:ascii="宋体" w:hAnsi="宋体" w:eastAsia="宋体" w:cs="宋体"/>
          <w:b/>
          <w:bCs/>
          <w:color w:val="auto"/>
          <w:sz w:val="24"/>
          <w:szCs w:val="24"/>
          <w:highlight w:val="none"/>
        </w:rPr>
        <w:t xml:space="preserve">年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月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 xml:space="preserve"> 日</w:t>
      </w: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4"/>
          <w:szCs w:val="24"/>
          <w:highlight w:val="none"/>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r>
        <w:rPr>
          <w:rFonts w:hint="eastAsia" w:ascii="宋体" w:hAnsi="宋体" w:eastAsia="宋体" w:cs="宋体"/>
          <w:b/>
          <w:bCs/>
          <w:color w:val="auto"/>
          <w:sz w:val="44"/>
          <w:szCs w:val="44"/>
          <w:highlight w:val="none"/>
        </w:rPr>
        <w:t>第五部分　</w:t>
      </w:r>
      <w:bookmarkEnd w:id="95"/>
      <w:bookmarkEnd w:id="96"/>
      <w:bookmarkEnd w:id="97"/>
      <w:bookmarkEnd w:id="98"/>
      <w:bookmarkEnd w:id="99"/>
      <w:bookmarkEnd w:id="100"/>
      <w:r>
        <w:rPr>
          <w:rFonts w:hint="eastAsia" w:ascii="宋体" w:hAnsi="宋体" w:eastAsia="宋体" w:cs="宋体"/>
          <w:b/>
          <w:bCs/>
          <w:color w:val="auto"/>
          <w:sz w:val="44"/>
          <w:szCs w:val="44"/>
          <w:highlight w:val="none"/>
          <w:lang w:eastAsia="zh-CN"/>
        </w:rPr>
        <w:t>磋商</w:t>
      </w:r>
      <w:r>
        <w:rPr>
          <w:rFonts w:hint="eastAsia" w:ascii="宋体" w:hAnsi="宋体" w:eastAsia="宋体" w:cs="宋体"/>
          <w:b/>
          <w:bCs/>
          <w:color w:val="auto"/>
          <w:sz w:val="44"/>
          <w:szCs w:val="44"/>
          <w:highlight w:val="none"/>
        </w:rPr>
        <w:t>响应文件及格式</w:t>
      </w:r>
    </w:p>
    <w:p>
      <w:pPr>
        <w:spacing w:line="400" w:lineRule="atLeast"/>
        <w:jc w:val="center"/>
        <w:rPr>
          <w:rFonts w:hint="eastAsia" w:ascii="宋体" w:hAnsi="宋体" w:eastAsia="宋体" w:cs="宋体"/>
          <w:color w:val="auto"/>
          <w:sz w:val="28"/>
          <w:szCs w:val="28"/>
          <w:highlight w:val="none"/>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ind w:firstLine="420"/>
        <w:rPr>
          <w:rFonts w:hint="eastAsia" w:ascii="宋体" w:hAnsi="宋体" w:eastAsia="宋体" w:cs="宋体"/>
          <w:b/>
          <w:bCs/>
          <w:color w:val="auto"/>
          <w:sz w:val="28"/>
          <w:szCs w:val="28"/>
          <w:highlight w:val="none"/>
          <w:lang w:val="zh-CN"/>
        </w:rPr>
      </w:pPr>
    </w:p>
    <w:p>
      <w:pPr>
        <w:autoSpaceDE w:val="0"/>
        <w:autoSpaceDN w:val="0"/>
        <w:adjustRightInd w:val="0"/>
        <w:spacing w:line="440" w:lineRule="exact"/>
        <w:jc w:val="center"/>
        <w:outlineLvl w:val="0"/>
        <w:rPr>
          <w:rFonts w:hint="eastAsia" w:ascii="宋体" w:hAnsi="宋体" w:eastAsia="宋体" w:cs="宋体"/>
          <w:b/>
          <w:bCs/>
          <w:color w:val="auto"/>
          <w:sz w:val="28"/>
          <w:szCs w:val="28"/>
          <w:highlight w:val="none"/>
          <w:lang w:val="zh-CN"/>
        </w:rPr>
      </w:pPr>
      <w:bookmarkStart w:id="101" w:name="_Toc727"/>
      <w:bookmarkStart w:id="102" w:name="_Toc6125"/>
      <w:r>
        <w:rPr>
          <w:rFonts w:hint="eastAsia" w:ascii="宋体" w:hAnsi="宋体" w:eastAsia="宋体" w:cs="宋体"/>
          <w:color w:val="auto"/>
          <w:sz w:val="28"/>
          <w:szCs w:val="28"/>
          <w:highlight w:val="none"/>
          <w:lang w:val="zh-CN"/>
        </w:rPr>
        <w:t>注：为了便于查找，标注目录及页码</w:t>
      </w:r>
      <w:bookmarkEnd w:id="101"/>
      <w:bookmarkEnd w:id="102"/>
    </w:p>
    <w:p>
      <w:pPr>
        <w:autoSpaceDE w:val="0"/>
        <w:autoSpaceDN w:val="0"/>
        <w:adjustRightInd w:val="0"/>
        <w:spacing w:line="440" w:lineRule="exact"/>
        <w:jc w:val="center"/>
        <w:outlineLvl w:val="0"/>
        <w:rPr>
          <w:rFonts w:hint="eastAsia" w:ascii="宋体" w:hAnsi="宋体" w:eastAsia="宋体" w:cs="宋体"/>
          <w:color w:val="auto"/>
          <w:sz w:val="28"/>
          <w:szCs w:val="28"/>
          <w:highlight w:val="none"/>
          <w:lang w:val="zh-CN"/>
        </w:rPr>
      </w:pPr>
      <w:bookmarkStart w:id="103" w:name="_Toc24845"/>
      <w:bookmarkStart w:id="104" w:name="_Toc23556"/>
      <w:r>
        <w:rPr>
          <w:rFonts w:hint="eastAsia" w:ascii="宋体" w:hAnsi="宋体" w:eastAsia="宋体" w:cs="宋体"/>
          <w:color w:val="auto"/>
          <w:sz w:val="28"/>
          <w:szCs w:val="28"/>
          <w:highlight w:val="none"/>
          <w:lang w:val="zh-CN"/>
        </w:rPr>
        <w:t>（以下内容需按要求提供相应证明材料）</w:t>
      </w:r>
      <w:bookmarkEnd w:id="103"/>
      <w:bookmarkEnd w:id="104"/>
    </w:p>
    <w:p>
      <w:pPr>
        <w:autoSpaceDE w:val="0"/>
        <w:autoSpaceDN w:val="0"/>
        <w:adjustRightInd w:val="0"/>
        <w:spacing w:line="440" w:lineRule="exact"/>
        <w:jc w:val="center"/>
        <w:rPr>
          <w:rFonts w:hint="eastAsia" w:ascii="宋体" w:hAnsi="宋体" w:eastAsia="宋体" w:cs="宋体"/>
          <w:b/>
          <w:bCs/>
          <w:color w:val="auto"/>
          <w:sz w:val="28"/>
          <w:szCs w:val="28"/>
          <w:highlight w:val="none"/>
          <w:lang w:val="zh-CN"/>
        </w:rPr>
      </w:pPr>
    </w:p>
    <w:p>
      <w:pPr>
        <w:autoSpaceDE w:val="0"/>
        <w:autoSpaceDN w:val="0"/>
        <w:adjustRightInd w:val="0"/>
        <w:spacing w:line="440" w:lineRule="exact"/>
        <w:rPr>
          <w:rFonts w:hint="eastAsia" w:ascii="宋体" w:hAnsi="宋体" w:eastAsia="宋体" w:cs="宋体"/>
          <w:b/>
          <w:bCs/>
          <w:color w:val="auto"/>
          <w:sz w:val="28"/>
          <w:szCs w:val="28"/>
          <w:highlight w:val="none"/>
          <w:lang w:val="zh-CN"/>
        </w:rPr>
      </w:pPr>
    </w:p>
    <w:p>
      <w:pPr>
        <w:pStyle w:val="5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宋体" w:hAnsi="宋体" w:eastAsia="宋体" w:cs="宋体"/>
          <w:b/>
          <w:bCs/>
          <w:color w:val="auto"/>
          <w:sz w:val="52"/>
          <w:szCs w:val="52"/>
          <w:highlight w:val="none"/>
        </w:rPr>
      </w:pPr>
      <w:r>
        <w:rPr>
          <w:rFonts w:hint="eastAsia" w:ascii="宋体" w:hAnsi="宋体" w:eastAsia="宋体" w:cs="宋体"/>
          <w:b w:val="0"/>
          <w:bCs/>
          <w:color w:val="auto"/>
          <w:sz w:val="28"/>
          <w:szCs w:val="28"/>
          <w:highlight w:val="none"/>
          <w:lang w:val="zh-CN"/>
        </w:rPr>
        <w:br w:type="page"/>
      </w:r>
      <w:r>
        <w:rPr>
          <w:rFonts w:hint="eastAsia" w:ascii="宋体" w:hAnsi="宋体" w:eastAsia="宋体" w:cs="宋体"/>
          <w:b/>
          <w:bCs/>
          <w:color w:val="auto"/>
          <w:sz w:val="52"/>
          <w:szCs w:val="52"/>
          <w:highlight w:val="none"/>
        </w:rPr>
        <w:t>投  标  文  件</w:t>
      </w:r>
    </w:p>
    <w:p>
      <w:pPr>
        <w:pStyle w:val="52"/>
        <w:spacing w:line="380" w:lineRule="exact"/>
        <w:jc w:val="center"/>
        <w:rPr>
          <w:rFonts w:hint="eastAsia" w:ascii="宋体" w:hAnsi="宋体" w:eastAsia="宋体" w:cs="宋体"/>
          <w:b/>
          <w:bCs/>
          <w:color w:val="auto"/>
          <w:sz w:val="44"/>
          <w:szCs w:val="44"/>
          <w:highlight w:val="none"/>
        </w:rPr>
      </w:pPr>
    </w:p>
    <w:p>
      <w:pPr>
        <w:pStyle w:val="52"/>
        <w:spacing w:line="380" w:lineRule="exact"/>
        <w:jc w:val="center"/>
        <w:rPr>
          <w:rFonts w:hint="eastAsia" w:ascii="宋体" w:hAnsi="宋体" w:eastAsia="宋体" w:cs="宋体"/>
          <w:color w:val="auto"/>
          <w:sz w:val="28"/>
          <w:szCs w:val="28"/>
          <w:highlight w:val="none"/>
        </w:rPr>
      </w:pPr>
    </w:p>
    <w:p>
      <w:pPr>
        <w:ind w:right="980"/>
        <w:jc w:val="center"/>
        <w:rPr>
          <w:rFonts w:hint="eastAsia" w:ascii="宋体" w:hAnsi="宋体" w:eastAsia="宋体" w:cs="宋体"/>
          <w:color w:val="auto"/>
          <w:sz w:val="28"/>
          <w:szCs w:val="28"/>
          <w:highlight w:val="none"/>
          <w:u w:val="single"/>
        </w:rPr>
      </w:pPr>
    </w:p>
    <w:p>
      <w:pPr>
        <w:ind w:right="980"/>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none"/>
          <w:lang w:val="en-US" w:eastAsia="zh-CN"/>
        </w:rPr>
        <w:t xml:space="preserve"> </w:t>
      </w:r>
      <w:r>
        <w:rPr>
          <w:rFonts w:hint="eastAsia" w:ascii="宋体" w:hAnsi="宋体" w:eastAsia="宋体" w:cs="宋体"/>
          <w:color w:val="auto"/>
          <w:sz w:val="28"/>
          <w:szCs w:val="28"/>
          <w:highlight w:val="none"/>
          <w:u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bookmarkStart w:id="105" w:name="_Toc27418_WPSOffice_Level1"/>
      <w:bookmarkStart w:id="106" w:name="_Toc27431"/>
      <w:bookmarkStart w:id="107" w:name="_Toc4074_WPSOffice_Level1"/>
      <w:bookmarkStart w:id="108" w:name="_Toc11176"/>
      <w:bookmarkStart w:id="109" w:name="_Toc4262"/>
      <w:bookmarkStart w:id="110" w:name="_Toc9390"/>
      <w:r>
        <w:rPr>
          <w:rFonts w:hint="eastAsia" w:ascii="宋体" w:hAnsi="宋体" w:eastAsia="宋体" w:cs="宋体"/>
          <w:color w:val="auto"/>
          <w:sz w:val="28"/>
          <w:szCs w:val="28"/>
          <w:highlight w:val="none"/>
        </w:rPr>
        <w:t>（项目名称）</w:t>
      </w:r>
      <w:bookmarkEnd w:id="105"/>
      <w:bookmarkEnd w:id="106"/>
      <w:bookmarkEnd w:id="107"/>
      <w:bookmarkEnd w:id="108"/>
      <w:bookmarkEnd w:id="109"/>
      <w:bookmarkEnd w:id="110"/>
    </w:p>
    <w:p>
      <w:pPr>
        <w:rPr>
          <w:rFonts w:hint="eastAsia" w:ascii="宋体" w:hAnsi="宋体" w:eastAsia="宋体" w:cs="宋体"/>
          <w:color w:val="auto"/>
          <w:sz w:val="28"/>
          <w:szCs w:val="28"/>
          <w:highlight w:val="none"/>
        </w:rPr>
      </w:pPr>
      <w:r>
        <w:rPr>
          <w:rFonts w:hint="eastAsia" w:ascii="宋体" w:hAnsi="宋体" w:eastAsia="宋体" w:cs="宋体"/>
          <w:color w:val="auto"/>
          <w:sz w:val="20"/>
          <w:highlight w:val="none"/>
        </w:rPr>
        <w:t xml:space="preserve">             </w:t>
      </w:r>
    </w:p>
    <w:p>
      <w:pPr>
        <w:ind w:firstLine="280" w:firstLineChars="10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项目</w:t>
      </w:r>
      <w:r>
        <w:rPr>
          <w:rFonts w:hint="eastAsia" w:ascii="宋体" w:hAnsi="宋体" w:eastAsia="宋体" w:cs="宋体"/>
          <w:color w:val="auto"/>
          <w:sz w:val="28"/>
          <w:szCs w:val="28"/>
          <w:highlight w:val="none"/>
        </w:rPr>
        <w:t>编号：</w:t>
      </w:r>
      <w:r>
        <w:rPr>
          <w:rFonts w:hint="eastAsia" w:ascii="宋体" w:hAnsi="宋体" w:eastAsia="宋体" w:cs="宋体"/>
          <w:color w:val="auto"/>
          <w:sz w:val="28"/>
          <w:szCs w:val="28"/>
          <w:highlight w:val="none"/>
          <w:u w:val="single"/>
        </w:rPr>
        <w:t xml:space="preserve">                      </w:t>
      </w: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color w:val="auto"/>
          <w:sz w:val="20"/>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color w:val="auto"/>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rPr>
          <w:rFonts w:hint="eastAsia" w:ascii="宋体" w:hAnsi="宋体" w:eastAsia="宋体" w:cs="宋体"/>
          <w:bCs/>
          <w:color w:val="auto"/>
          <w:sz w:val="30"/>
          <w:szCs w:val="30"/>
          <w:highlight w:val="none"/>
        </w:rPr>
      </w:pPr>
    </w:p>
    <w:p>
      <w:pPr>
        <w:ind w:firstLine="1120" w:firstLineChars="400"/>
        <w:jc w:val="both"/>
        <w:rPr>
          <w:rFonts w:hint="eastAsia" w:ascii="宋体" w:hAnsi="宋体" w:eastAsia="宋体" w:cs="宋体"/>
          <w:color w:val="auto"/>
          <w:sz w:val="28"/>
          <w:szCs w:val="28"/>
          <w:highlight w:val="none"/>
          <w:u w:val="single"/>
        </w:rPr>
      </w:pPr>
      <w:bookmarkStart w:id="111" w:name="_Toc23913_WPSOffice_Level1"/>
      <w:bookmarkStart w:id="112" w:name="_Toc26498_WPSOffice_Level1"/>
      <w:r>
        <w:rPr>
          <w:rFonts w:hint="eastAsia" w:ascii="宋体" w:hAnsi="宋体" w:eastAsia="宋体" w:cs="宋体"/>
          <w:color w:val="auto"/>
          <w:sz w:val="28"/>
          <w:szCs w:val="28"/>
          <w:highlight w:val="none"/>
        </w:rPr>
        <w:t>投标</w:t>
      </w:r>
      <w:r>
        <w:rPr>
          <w:rFonts w:hint="eastAsia" w:ascii="宋体" w:hAnsi="宋体" w:eastAsia="宋体" w:cs="宋体"/>
          <w:color w:val="auto"/>
          <w:sz w:val="28"/>
          <w:szCs w:val="28"/>
          <w:highlight w:val="none"/>
          <w:lang w:val="en-US" w:eastAsia="zh-CN"/>
        </w:rPr>
        <w:t>单位</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（盖单位章）</w:t>
      </w:r>
      <w:bookmarkEnd w:id="111"/>
      <w:bookmarkEnd w:id="112"/>
    </w:p>
    <w:p>
      <w:pPr>
        <w:jc w:val="center"/>
        <w:rPr>
          <w:rFonts w:hint="eastAsia" w:ascii="宋体" w:hAnsi="宋体" w:eastAsia="宋体" w:cs="宋体"/>
          <w:color w:val="auto"/>
          <w:sz w:val="28"/>
          <w:szCs w:val="28"/>
          <w:highlight w:val="none"/>
        </w:rPr>
      </w:pPr>
    </w:p>
    <w:p>
      <w:pPr>
        <w:ind w:firstLine="980" w:firstLineChars="3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jc w:val="center"/>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pPr>
        <w:jc w:val="center"/>
        <w:rPr>
          <w:rFonts w:hint="eastAsia" w:ascii="宋体" w:hAnsi="宋体" w:eastAsia="宋体" w:cs="宋体"/>
          <w:color w:val="auto"/>
          <w:highlight w:val="none"/>
        </w:rPr>
      </w:pPr>
    </w:p>
    <w:p>
      <w:pPr>
        <w:jc w:val="center"/>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bookmarkStart w:id="113" w:name="_Toc17713_WPSOffice_Level1"/>
      <w:bookmarkStart w:id="114" w:name="_Toc19352"/>
      <w:bookmarkStart w:id="115" w:name="_Toc21903"/>
      <w:bookmarkStart w:id="116" w:name="_Toc25330"/>
      <w:bookmarkStart w:id="117" w:name="_Toc14257"/>
      <w:bookmarkStart w:id="118" w:name="_Toc23099_WPSOffice_Level1"/>
      <w:r>
        <w:rPr>
          <w:rFonts w:hint="eastAsia" w:ascii="宋体" w:hAnsi="宋体" w:eastAsia="宋体" w:cs="宋体"/>
          <w:color w:val="auto"/>
          <w:sz w:val="28"/>
          <w:szCs w:val="28"/>
          <w:highlight w:val="none"/>
        </w:rPr>
        <w:t>年        月        日</w:t>
      </w:r>
      <w:bookmarkEnd w:id="113"/>
      <w:bookmarkEnd w:id="114"/>
      <w:bookmarkEnd w:id="115"/>
      <w:bookmarkEnd w:id="116"/>
      <w:bookmarkEnd w:id="117"/>
      <w:bookmarkEnd w:id="118"/>
    </w:p>
    <w:p>
      <w:pPr>
        <w:jc w:val="center"/>
        <w:rPr>
          <w:rFonts w:hint="eastAsia" w:ascii="宋体" w:hAnsi="宋体" w:eastAsia="宋体" w:cs="宋体"/>
          <w:color w:val="auto"/>
          <w:highlight w:val="none"/>
        </w:rPr>
      </w:pPr>
    </w:p>
    <w:p>
      <w:pPr>
        <w:jc w:val="both"/>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jc w:val="center"/>
        <w:rPr>
          <w:rFonts w:hint="eastAsia" w:ascii="宋体" w:hAnsi="宋体" w:eastAsia="宋体" w:cs="宋体"/>
          <w:b/>
          <w:bCs/>
          <w:color w:val="auto"/>
          <w:sz w:val="44"/>
          <w:szCs w:val="44"/>
          <w:highlight w:val="none"/>
        </w:rPr>
      </w:pPr>
    </w:p>
    <w:p>
      <w:pPr>
        <w:pStyle w:val="5"/>
        <w:outlineLvl w:val="9"/>
        <w:rPr>
          <w:rFonts w:hint="eastAsia" w:ascii="宋体" w:hAnsi="宋体" w:eastAsia="宋体" w:cs="宋体"/>
          <w:b/>
          <w:bCs/>
          <w:color w:val="auto"/>
          <w:sz w:val="44"/>
          <w:szCs w:val="44"/>
          <w:highlight w:val="none"/>
        </w:rPr>
      </w:pPr>
    </w:p>
    <w:p>
      <w:pPr>
        <w:rPr>
          <w:rFonts w:hint="eastAsia" w:ascii="宋体" w:hAnsi="宋体" w:eastAsia="宋体" w:cs="宋体"/>
          <w:b/>
          <w:bCs/>
          <w:color w:val="auto"/>
          <w:sz w:val="44"/>
          <w:szCs w:val="44"/>
          <w:highlight w:val="none"/>
        </w:rPr>
      </w:pPr>
    </w:p>
    <w:p>
      <w:pPr>
        <w:pStyle w:val="5"/>
        <w:outlineLvl w:val="9"/>
        <w:rPr>
          <w:rFonts w:hint="eastAsia" w:ascii="宋体" w:hAnsi="宋体" w:eastAsia="宋体" w:cs="宋体"/>
          <w:color w:val="auto"/>
          <w:highlight w:val="none"/>
        </w:rPr>
      </w:pPr>
    </w:p>
    <w:p>
      <w:pPr>
        <w:jc w:val="both"/>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第一部分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bookmarkStart w:id="119" w:name="_Toc17081"/>
      <w:bookmarkStart w:id="120" w:name="_Toc12934_WPSOffice_Level1"/>
      <w:bookmarkStart w:id="121" w:name="_Toc141"/>
      <w:bookmarkStart w:id="122" w:name="_Toc16670_WPSOffice_Level1"/>
      <w:bookmarkStart w:id="123" w:name="_Toc23615"/>
      <w:r>
        <w:rPr>
          <w:rFonts w:hint="eastAsia" w:ascii="宋体" w:hAnsi="宋体" w:eastAsia="宋体" w:cs="宋体"/>
          <w:b/>
          <w:bCs/>
          <w:color w:val="auto"/>
          <w:sz w:val="44"/>
          <w:szCs w:val="44"/>
          <w:highlight w:val="none"/>
        </w:rPr>
        <w:t>经济报价部分</w:t>
      </w:r>
      <w:bookmarkEnd w:id="119"/>
      <w:bookmarkEnd w:id="120"/>
      <w:bookmarkEnd w:id="121"/>
      <w:bookmarkEnd w:id="122"/>
      <w:bookmarkEnd w:id="123"/>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ind w:right="600"/>
        <w:outlineLvl w:val="9"/>
        <w:rPr>
          <w:rFonts w:hint="eastAsia" w:ascii="宋体" w:hAnsi="宋体" w:eastAsia="宋体" w:cs="宋体"/>
          <w:color w:val="auto"/>
          <w:sz w:val="28"/>
          <w:szCs w:val="28"/>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numPr>
          <w:ilvl w:val="0"/>
          <w:numId w:val="14"/>
        </w:numPr>
        <w:jc w:val="center"/>
        <w:outlineLvl w:val="9"/>
        <w:rPr>
          <w:rFonts w:hint="eastAsia" w:ascii="宋体" w:hAnsi="宋体" w:eastAsia="宋体" w:cs="宋体"/>
          <w:b/>
          <w:color w:val="auto"/>
          <w:sz w:val="28"/>
          <w:szCs w:val="28"/>
          <w:highlight w:val="none"/>
        </w:rPr>
      </w:pPr>
      <w:bookmarkStart w:id="124" w:name="_Toc341_WPSOffice_Level1"/>
      <w:bookmarkStart w:id="125" w:name="_Toc9563_WPSOffice_Level1"/>
      <w:r>
        <w:rPr>
          <w:rFonts w:hint="eastAsia" w:ascii="宋体" w:hAnsi="宋体" w:eastAsia="宋体" w:cs="宋体"/>
          <w:b/>
          <w:color w:val="auto"/>
          <w:sz w:val="28"/>
          <w:szCs w:val="28"/>
          <w:highlight w:val="none"/>
        </w:rPr>
        <w:br w:type="page"/>
      </w:r>
      <w:bookmarkStart w:id="126" w:name="_Toc20767"/>
      <w:bookmarkStart w:id="127" w:name="_Toc27135"/>
      <w:bookmarkStart w:id="128" w:name="_Toc19856"/>
      <w:r>
        <w:rPr>
          <w:rFonts w:hint="eastAsia" w:ascii="宋体" w:hAnsi="宋体" w:eastAsia="宋体" w:cs="宋体"/>
          <w:b/>
          <w:color w:val="auto"/>
          <w:sz w:val="28"/>
          <w:szCs w:val="28"/>
          <w:highlight w:val="none"/>
        </w:rPr>
        <w:t>投   标   书</w:t>
      </w:r>
      <w:bookmarkEnd w:id="124"/>
      <w:bookmarkEnd w:id="125"/>
      <w:bookmarkEnd w:id="126"/>
      <w:bookmarkEnd w:id="127"/>
      <w:bookmarkEnd w:id="128"/>
    </w:p>
    <w:p>
      <w:pPr>
        <w:outlineLvl w:val="9"/>
        <w:rPr>
          <w:rFonts w:hint="eastAsia" w:ascii="宋体" w:hAnsi="宋体" w:eastAsia="宋体" w:cs="宋体"/>
          <w:b/>
          <w:color w:val="auto"/>
          <w:sz w:val="28"/>
          <w:szCs w:val="28"/>
          <w:highlight w:val="none"/>
        </w:rPr>
      </w:pP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我们收到你们的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，经认真研究，我们决定参加投标。</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中的一切要求，提供招标</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w:t>
      </w:r>
      <w:r>
        <w:rPr>
          <w:rFonts w:hint="eastAsia" w:ascii="宋体" w:hAnsi="宋体" w:eastAsia="宋体" w:cs="宋体"/>
          <w:color w:val="auto"/>
          <w:sz w:val="24"/>
          <w:szCs w:val="24"/>
          <w:highlight w:val="none"/>
          <w:lang w:val="en-US" w:eastAsia="zh-CN"/>
        </w:rPr>
        <w:t>保障</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价格¥：</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元（用阿拉伯数字书写），大写：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2、如果我们的投标书被接受，我们将履行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中规定的每一项义务和要求，按期、按质、按量完成交货。</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的规定，本投标书的有效期为开标后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天。</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4、我们愿意提供招标人在</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中要求的所有资料。</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5、我们认为你们有选择或拒绝任何投标者中标的权力。我们理解，最低报价不是中标的唯一条件。</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6、我们愿按合同法履行自己的全部责任。</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7、我们愿意遵守国家有关规定和</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中规定的收费标准，承付中标服务费。</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8、该项投标在开标后的全过程中保持有效，不作任何更改和变动。</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9、我们同意按</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规定，交纳</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rPr>
        <w:t>元的投标保证金。</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10、其它说明。</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11、所有有关本标书的函电，请按下列地址联系：</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p>
      <w:pPr>
        <w:spacing w:line="4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p>
    <w:p>
      <w:pPr>
        <w:spacing w:line="400" w:lineRule="exact"/>
        <w:ind w:firstLine="4800" w:firstLineChars="2000"/>
        <w:outlineLvl w:val="9"/>
        <w:rPr>
          <w:rFonts w:hint="eastAsia" w:ascii="宋体" w:hAnsi="宋体" w:eastAsia="宋体" w:cs="宋体"/>
          <w:color w:val="auto"/>
          <w:sz w:val="24"/>
          <w:szCs w:val="24"/>
          <w:highlight w:val="none"/>
        </w:rPr>
      </w:pPr>
    </w:p>
    <w:p>
      <w:pPr>
        <w:numPr>
          <w:ilvl w:val="0"/>
          <w:numId w:val="0"/>
        </w:numPr>
        <w:ind w:firstLine="3092" w:firstLineChars="1100"/>
        <w:jc w:val="both"/>
        <w:outlineLvl w:val="9"/>
        <w:rPr>
          <w:rFonts w:hint="eastAsia" w:ascii="宋体" w:hAnsi="宋体" w:eastAsia="宋体" w:cs="宋体"/>
          <w:b/>
          <w:color w:val="auto"/>
          <w:sz w:val="28"/>
          <w:szCs w:val="28"/>
          <w:highlight w:val="none"/>
          <w:lang w:val="en-US" w:eastAsia="zh-CN"/>
        </w:rPr>
      </w:pPr>
      <w:bookmarkStart w:id="129" w:name="_Toc27588_WPSOffice_Level1"/>
      <w:bookmarkStart w:id="130" w:name="_Toc521_WPSOffice_Level1"/>
    </w:p>
    <w:p>
      <w:pPr>
        <w:pStyle w:val="7"/>
        <w:outlineLvl w:val="9"/>
        <w:rPr>
          <w:rFonts w:hint="eastAsia" w:ascii="宋体" w:hAnsi="宋体" w:eastAsia="宋体" w:cs="宋体"/>
          <w:b/>
          <w:color w:val="auto"/>
          <w:sz w:val="28"/>
          <w:szCs w:val="28"/>
          <w:highlight w:val="none"/>
          <w:lang w:val="en-US" w:eastAsia="zh-CN"/>
        </w:rPr>
      </w:pPr>
    </w:p>
    <w:p>
      <w:pPr>
        <w:pStyle w:val="7"/>
        <w:outlineLvl w:val="9"/>
        <w:rPr>
          <w:rFonts w:hint="eastAsia" w:ascii="宋体" w:hAnsi="宋体" w:eastAsia="宋体" w:cs="宋体"/>
          <w:b/>
          <w:color w:val="auto"/>
          <w:sz w:val="28"/>
          <w:szCs w:val="28"/>
          <w:highlight w:val="none"/>
          <w:lang w:val="en-US" w:eastAsia="zh-CN"/>
        </w:rPr>
      </w:pPr>
    </w:p>
    <w:p>
      <w:pPr>
        <w:rPr>
          <w:rFonts w:hint="eastAsia" w:ascii="宋体" w:hAnsi="宋体" w:eastAsia="宋体" w:cs="宋体"/>
          <w:b/>
          <w:color w:val="auto"/>
          <w:sz w:val="28"/>
          <w:szCs w:val="28"/>
          <w:highlight w:val="none"/>
          <w:lang w:val="en-US" w:eastAsia="zh-CN"/>
        </w:rPr>
      </w:pPr>
      <w:bookmarkStart w:id="131" w:name="_Toc25683"/>
      <w:bookmarkStart w:id="132" w:name="_Toc21293"/>
      <w:bookmarkStart w:id="133" w:name="_Toc20978"/>
      <w:r>
        <w:rPr>
          <w:rFonts w:hint="eastAsia" w:ascii="宋体" w:hAnsi="宋体" w:eastAsia="宋体" w:cs="宋体"/>
          <w:b/>
          <w:color w:val="auto"/>
          <w:sz w:val="28"/>
          <w:szCs w:val="28"/>
          <w:highlight w:val="none"/>
          <w:lang w:val="en-US" w:eastAsia="zh-CN"/>
        </w:rPr>
        <w:br w:type="page"/>
      </w: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开标一览表</w:t>
      </w:r>
      <w:bookmarkEnd w:id="129"/>
      <w:bookmarkEnd w:id="130"/>
      <w:bookmarkEnd w:id="131"/>
      <w:bookmarkEnd w:id="132"/>
      <w:bookmarkEnd w:id="133"/>
    </w:p>
    <w:p>
      <w:pPr>
        <w:outlineLvl w:val="9"/>
        <w:rPr>
          <w:rFonts w:hint="eastAsia" w:ascii="宋体" w:hAnsi="宋体" w:eastAsia="宋体" w:cs="宋体"/>
          <w:b/>
          <w:color w:val="auto"/>
          <w:sz w:val="28"/>
          <w:szCs w:val="28"/>
          <w:highlight w:val="none"/>
          <w:lang w:eastAsia="zh-CN"/>
        </w:rPr>
      </w:pP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项目编号：</w:t>
      </w:r>
    </w:p>
    <w:p>
      <w:pPr>
        <w:ind w:firstLine="241" w:firstLineChars="1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投标企业名称：</w:t>
      </w:r>
    </w:p>
    <w:tbl>
      <w:tblPr>
        <w:tblStyle w:val="22"/>
        <w:tblpPr w:leftFromText="180" w:rightFromText="180" w:vertAnchor="text" w:horzAnchor="page" w:tblpXSpec="center" w:tblpY="381"/>
        <w:tblOverlap w:val="never"/>
        <w:tblW w:w="10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21"/>
        <w:gridCol w:w="1505"/>
        <w:gridCol w:w="1485"/>
        <w:gridCol w:w="1192"/>
        <w:gridCol w:w="1475"/>
        <w:gridCol w:w="1360"/>
        <w:gridCol w:w="1360"/>
      </w:tblGrid>
      <w:tr>
        <w:trPr>
          <w:jc w:val="center"/>
        </w:trPr>
        <w:tc>
          <w:tcPr>
            <w:tcW w:w="1821"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项目</w:t>
            </w:r>
            <w:r>
              <w:rPr>
                <w:rFonts w:hint="eastAsia" w:ascii="宋体" w:hAnsi="宋体" w:eastAsia="宋体" w:cs="宋体"/>
                <w:color w:val="auto"/>
                <w:sz w:val="24"/>
                <w:highlight w:val="none"/>
                <w:u w:val="none"/>
              </w:rPr>
              <w:t>名称</w:t>
            </w:r>
          </w:p>
        </w:tc>
        <w:tc>
          <w:tcPr>
            <w:tcW w:w="150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单价</w:t>
            </w:r>
            <w:r>
              <w:rPr>
                <w:rFonts w:hint="eastAsia" w:ascii="宋体" w:hAnsi="宋体" w:eastAsia="宋体" w:cs="宋体"/>
                <w:color w:val="auto"/>
                <w:sz w:val="24"/>
                <w:highlight w:val="none"/>
                <w:u w:val="none"/>
                <w:lang w:eastAsia="zh-CN"/>
              </w:rPr>
              <w:t>（</w:t>
            </w:r>
            <w:r>
              <w:rPr>
                <w:rFonts w:hint="eastAsia" w:ascii="宋体" w:hAnsi="宋体" w:eastAsia="宋体" w:cs="宋体"/>
                <w:color w:val="auto"/>
                <w:sz w:val="24"/>
                <w:highlight w:val="none"/>
                <w:u w:val="none"/>
                <w:lang w:val="en-US" w:eastAsia="zh-CN"/>
              </w:rPr>
              <w:t>元</w:t>
            </w:r>
            <w:r>
              <w:rPr>
                <w:rFonts w:hint="eastAsia" w:ascii="宋体" w:hAnsi="宋体" w:eastAsia="宋体" w:cs="宋体"/>
                <w:color w:val="auto"/>
                <w:sz w:val="24"/>
                <w:highlight w:val="none"/>
                <w:u w:val="none"/>
                <w:lang w:eastAsia="zh-CN"/>
              </w:rPr>
              <w:t>）</w:t>
            </w:r>
          </w:p>
        </w:tc>
        <w:tc>
          <w:tcPr>
            <w:tcW w:w="148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kern w:val="2"/>
                <w:sz w:val="24"/>
                <w:highlight w:val="none"/>
                <w:u w:val="none"/>
                <w:lang w:val="en-US" w:eastAsia="zh-CN" w:bidi="ar-SA"/>
              </w:rPr>
              <w:t>服务内容</w:t>
            </w:r>
          </w:p>
        </w:tc>
        <w:tc>
          <w:tcPr>
            <w:tcW w:w="1192"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服务期限</w:t>
            </w:r>
          </w:p>
        </w:tc>
        <w:tc>
          <w:tcPr>
            <w:tcW w:w="1475"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r>
              <w:rPr>
                <w:rFonts w:hint="eastAsia" w:ascii="宋体" w:hAnsi="宋体" w:eastAsia="宋体" w:cs="宋体"/>
                <w:color w:val="auto"/>
                <w:sz w:val="24"/>
                <w:highlight w:val="none"/>
                <w:u w:val="none"/>
                <w:lang w:val="en-US" w:eastAsia="zh-CN"/>
              </w:rPr>
              <w:t>服务地点</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u w:val="none"/>
              </w:rPr>
              <w:t>备注</w:t>
            </w:r>
          </w:p>
        </w:tc>
        <w:tc>
          <w:tcPr>
            <w:tcW w:w="1360" w:type="dxa"/>
            <w:noWrap w:val="0"/>
            <w:vAlign w:val="center"/>
          </w:tcPr>
          <w:p>
            <w:pPr>
              <w:tabs>
                <w:tab w:val="left" w:pos="9135"/>
              </w:tabs>
              <w:spacing w:line="400" w:lineRule="atLeast"/>
              <w:jc w:val="center"/>
              <w:outlineLvl w:val="9"/>
              <w:rPr>
                <w:rFonts w:hint="eastAsia" w:ascii="宋体" w:hAnsi="宋体" w:eastAsia="宋体" w:cs="宋体"/>
                <w:color w:val="auto"/>
                <w:kern w:val="2"/>
                <w:sz w:val="24"/>
                <w:highlight w:val="none"/>
                <w:u w:val="none"/>
                <w:lang w:val="en-US" w:eastAsia="zh-CN" w:bidi="ar-SA"/>
              </w:rPr>
            </w:pPr>
          </w:p>
        </w:tc>
      </w:tr>
      <w:tr>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rPr>
          <w:jc w:val="center"/>
        </w:trPr>
        <w:tc>
          <w:tcPr>
            <w:tcW w:w="1821"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50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8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192"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475"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c>
          <w:tcPr>
            <w:tcW w:w="1360" w:type="dxa"/>
            <w:noWrap w:val="0"/>
            <w:vAlign w:val="top"/>
          </w:tcPr>
          <w:p>
            <w:pPr>
              <w:tabs>
                <w:tab w:val="left" w:pos="9135"/>
              </w:tabs>
              <w:spacing w:line="400" w:lineRule="atLeast"/>
              <w:outlineLvl w:val="9"/>
              <w:rPr>
                <w:rFonts w:hint="eastAsia" w:ascii="宋体" w:hAnsi="宋体" w:eastAsia="宋体" w:cs="宋体"/>
                <w:color w:val="auto"/>
                <w:sz w:val="24"/>
                <w:highlight w:val="none"/>
                <w:u w:val="none"/>
              </w:rPr>
            </w:pPr>
          </w:p>
        </w:tc>
      </w:tr>
      <w:tr>
        <w:trPr>
          <w:trHeight w:val="519" w:hRule="atLeast"/>
          <w:jc w:val="center"/>
        </w:trPr>
        <w:tc>
          <w:tcPr>
            <w:tcW w:w="1821" w:type="dxa"/>
            <w:vMerge w:val="restart"/>
            <w:noWrap w:val="0"/>
            <w:vAlign w:val="center"/>
          </w:tcPr>
          <w:p>
            <w:pPr>
              <w:tabs>
                <w:tab w:val="left" w:pos="9135"/>
              </w:tabs>
              <w:spacing w:line="400" w:lineRule="atLeast"/>
              <w:jc w:val="center"/>
              <w:outlineLvl w:val="9"/>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lang w:val="en-US" w:eastAsia="zh-CN"/>
              </w:rPr>
              <w:t>投标</w:t>
            </w:r>
            <w:r>
              <w:rPr>
                <w:rFonts w:hint="eastAsia" w:ascii="宋体" w:hAnsi="宋体" w:eastAsia="宋体" w:cs="宋体"/>
                <w:color w:val="auto"/>
                <w:sz w:val="24"/>
                <w:highlight w:val="none"/>
                <w:u w:val="none"/>
              </w:rPr>
              <w:t>总价</w:t>
            </w: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（人民币小写）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r>
        <w:trPr>
          <w:trHeight w:val="508" w:hRule="atLeast"/>
          <w:jc w:val="center"/>
        </w:trPr>
        <w:tc>
          <w:tcPr>
            <w:tcW w:w="1821" w:type="dxa"/>
            <w:vMerge w:val="continue"/>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c>
          <w:tcPr>
            <w:tcW w:w="7017" w:type="dxa"/>
            <w:gridSpan w:val="5"/>
            <w:noWrap w:val="0"/>
            <w:vAlign w:val="center"/>
          </w:tcPr>
          <w:p>
            <w:pPr>
              <w:tabs>
                <w:tab w:val="left" w:pos="9135"/>
              </w:tabs>
              <w:spacing w:line="400" w:lineRule="atLeast"/>
              <w:outlineLvl w:val="9"/>
              <w:rPr>
                <w:rFonts w:hint="eastAsia" w:ascii="宋体" w:hAnsi="宋体" w:eastAsia="宋体" w:cs="宋体"/>
                <w:color w:val="auto"/>
                <w:sz w:val="24"/>
                <w:highlight w:val="none"/>
                <w:u w:val="none"/>
                <w:lang w:eastAsia="zh-CN"/>
              </w:rPr>
            </w:pPr>
            <w:r>
              <w:rPr>
                <w:rFonts w:hint="eastAsia" w:ascii="宋体" w:hAnsi="宋体" w:eastAsia="宋体" w:cs="宋体"/>
                <w:color w:val="auto"/>
                <w:sz w:val="24"/>
                <w:highlight w:val="none"/>
                <w:u w:val="none"/>
              </w:rPr>
              <w:t>（人民币大写）</w:t>
            </w:r>
            <w:r>
              <w:rPr>
                <w:rFonts w:hint="eastAsia" w:ascii="宋体" w:hAnsi="宋体" w:eastAsia="宋体" w:cs="宋体"/>
                <w:color w:val="auto"/>
                <w:sz w:val="24"/>
                <w:highlight w:val="none"/>
                <w:u w:val="none"/>
                <w:lang w:eastAsia="zh-CN"/>
              </w:rPr>
              <w:t>：</w:t>
            </w:r>
          </w:p>
        </w:tc>
        <w:tc>
          <w:tcPr>
            <w:tcW w:w="1360" w:type="dxa"/>
            <w:noWrap w:val="0"/>
            <w:vAlign w:val="center"/>
          </w:tcPr>
          <w:p>
            <w:pPr>
              <w:tabs>
                <w:tab w:val="left" w:pos="9135"/>
              </w:tabs>
              <w:spacing w:line="400" w:lineRule="atLeast"/>
              <w:outlineLvl w:val="9"/>
              <w:rPr>
                <w:rFonts w:hint="eastAsia" w:ascii="宋体" w:hAnsi="宋体" w:eastAsia="宋体" w:cs="宋体"/>
                <w:color w:val="auto"/>
                <w:sz w:val="24"/>
                <w:highlight w:val="none"/>
                <w:u w:val="none"/>
              </w:rPr>
            </w:pPr>
          </w:p>
        </w:tc>
      </w:tr>
    </w:tbl>
    <w:p>
      <w:pPr>
        <w:tabs>
          <w:tab w:val="left" w:pos="9135"/>
        </w:tabs>
        <w:spacing w:line="400" w:lineRule="atLeast"/>
        <w:outlineLvl w:val="9"/>
        <w:rPr>
          <w:rFonts w:hint="eastAsia" w:ascii="宋体" w:hAnsi="宋体" w:eastAsia="宋体" w:cs="宋体"/>
          <w:color w:val="auto"/>
          <w:sz w:val="24"/>
          <w:highlight w:val="none"/>
          <w:u w:val="singl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注：1、报价货币为人民币。</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2、投标一览表中投标总报价大小应写一致，如不一致以大写为准。</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3、以上报价含一切费用，是指货物经验收交付采购人使用的价格。</w:t>
      </w:r>
    </w:p>
    <w:p>
      <w:pPr>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4、各投标企业总投标报价不得高于本项目招标控制价，超过本项目招标控制价的视为无效报价，做否决投标处理。</w:t>
      </w:r>
    </w:p>
    <w:p>
      <w:pPr>
        <w:outlineLvl w:val="9"/>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投标单位：（盖单位</w:t>
      </w:r>
      <w:r>
        <w:rPr>
          <w:rFonts w:hint="eastAsia" w:ascii="宋体" w:hAnsi="宋体" w:eastAsia="宋体" w:cs="宋体"/>
          <w:color w:val="auto"/>
          <w:sz w:val="24"/>
          <w:szCs w:val="24"/>
          <w:highlight w:val="none"/>
          <w:lang w:val="en-US" w:eastAsia="zh-CN"/>
        </w:rPr>
        <w:t>公</w:t>
      </w:r>
      <w:r>
        <w:rPr>
          <w:rFonts w:hint="eastAsia" w:ascii="宋体" w:hAnsi="宋体" w:eastAsia="宋体" w:cs="宋体"/>
          <w:color w:val="auto"/>
          <w:sz w:val="24"/>
          <w:szCs w:val="24"/>
          <w:highlight w:val="none"/>
        </w:rPr>
        <w:t>章）</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b/>
          <w:color w:val="auto"/>
          <w:sz w:val="28"/>
          <w:szCs w:val="28"/>
          <w:highlight w:val="none"/>
        </w:rPr>
      </w:pPr>
    </w:p>
    <w:p>
      <w:pPr>
        <w:adjustRightInd w:val="0"/>
        <w:snapToGrid w:val="0"/>
        <w:spacing w:before="319" w:beforeLines="100" w:after="319" w:afterLines="100" w:line="360" w:lineRule="auto"/>
        <w:ind w:right="105" w:rightChars="50"/>
        <w:jc w:val="center"/>
        <w:outlineLvl w:val="9"/>
        <w:rPr>
          <w:rFonts w:hint="eastAsia" w:ascii="宋体" w:hAnsi="宋体" w:eastAsia="宋体" w:cs="宋体"/>
          <w:b/>
          <w:bCs/>
          <w:color w:val="auto"/>
          <w:sz w:val="32"/>
          <w:szCs w:val="32"/>
          <w:highlight w:val="none"/>
        </w:rPr>
      </w:pPr>
      <w:bookmarkStart w:id="134" w:name="_Toc3478_WPSOffice_Level1"/>
      <w:bookmarkStart w:id="135" w:name="_Toc7158_WPSOffice_Level1"/>
      <w:r>
        <w:rPr>
          <w:rFonts w:hint="eastAsia" w:ascii="宋体" w:hAnsi="宋体" w:eastAsia="宋体" w:cs="宋体"/>
          <w:b/>
          <w:color w:val="auto"/>
          <w:sz w:val="28"/>
          <w:szCs w:val="28"/>
          <w:highlight w:val="none"/>
          <w:lang w:val="en-US" w:eastAsia="zh-CN"/>
        </w:rPr>
        <w:br w:type="page"/>
      </w:r>
      <w:bookmarkStart w:id="136" w:name="_Toc8792"/>
      <w:bookmarkStart w:id="137" w:name="_Toc25075"/>
      <w:bookmarkStart w:id="138" w:name="_Toc7219"/>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服务价格明细表</w:t>
      </w:r>
    </w:p>
    <w:bookmarkEnd w:id="134"/>
    <w:bookmarkEnd w:id="135"/>
    <w:bookmarkEnd w:id="136"/>
    <w:bookmarkEnd w:id="137"/>
    <w:bookmarkEnd w:id="138"/>
    <w:p>
      <w:pPr>
        <w:ind w:firstLine="723" w:firstLineChars="3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项目编号：</w:t>
      </w:r>
    </w:p>
    <w:p>
      <w:pPr>
        <w:ind w:firstLine="723" w:firstLineChars="300"/>
        <w:outlineLvl w:val="9"/>
        <w:rPr>
          <w:rFonts w:hint="eastAsia" w:ascii="宋体" w:hAnsi="宋体" w:eastAsia="宋体" w:cs="宋体"/>
          <w:color w:val="auto"/>
          <w:highlight w:val="none"/>
        </w:rPr>
      </w:pPr>
      <w:r>
        <w:rPr>
          <w:rFonts w:hint="eastAsia" w:ascii="宋体" w:hAnsi="宋体" w:eastAsia="宋体" w:cs="宋体"/>
          <w:b/>
          <w:color w:val="auto"/>
          <w:sz w:val="24"/>
          <w:szCs w:val="24"/>
          <w:highlight w:val="none"/>
          <w:lang w:eastAsia="zh-CN"/>
        </w:rPr>
        <w:t>投标企业名称：</w:t>
      </w:r>
    </w:p>
    <w:tbl>
      <w:tblPr>
        <w:tblStyle w:val="22"/>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0"/>
        <w:gridCol w:w="3534"/>
        <w:gridCol w:w="1410"/>
        <w:gridCol w:w="1421"/>
        <w:gridCol w:w="1673"/>
      </w:tblGrid>
      <w:tr>
        <w:trPr>
          <w:trHeight w:val="581" w:hRule="atLeast"/>
          <w:jc w:val="center"/>
        </w:trPr>
        <w:tc>
          <w:tcPr>
            <w:tcW w:w="116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534"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服务名称</w:t>
            </w:r>
          </w:p>
        </w:tc>
        <w:tc>
          <w:tcPr>
            <w:tcW w:w="1410"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w:t>
            </w:r>
          </w:p>
        </w:tc>
        <w:tc>
          <w:tcPr>
            <w:tcW w:w="1421"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673" w:type="dxa"/>
            <w:noWrap w:val="0"/>
            <w:vAlign w:val="center"/>
          </w:tcPr>
          <w:p>
            <w:pPr>
              <w:adjustRightInd w:val="0"/>
              <w:snapToGrid w:val="0"/>
              <w:ind w:left="-65" w:leftChars="-31" w:right="-46" w:rightChars="-22"/>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581" w:hRule="atLeast"/>
          <w:jc w:val="center"/>
        </w:trPr>
        <w:tc>
          <w:tcPr>
            <w:tcW w:w="116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3534"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r>
        <w:trPr>
          <w:trHeight w:val="602" w:hRule="atLeast"/>
          <w:jc w:val="center"/>
        </w:trPr>
        <w:tc>
          <w:tcPr>
            <w:tcW w:w="4694" w:type="dxa"/>
            <w:gridSpan w:val="2"/>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w:t>
            </w:r>
          </w:p>
        </w:tc>
        <w:tc>
          <w:tcPr>
            <w:tcW w:w="1410"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421"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c>
          <w:tcPr>
            <w:tcW w:w="1673" w:type="dxa"/>
            <w:noWrap w:val="0"/>
            <w:vAlign w:val="center"/>
          </w:tcPr>
          <w:p>
            <w:pPr>
              <w:adjustRightInd w:val="0"/>
              <w:snapToGrid w:val="0"/>
              <w:ind w:right="105" w:rightChars="50"/>
              <w:jc w:val="center"/>
              <w:outlineLvl w:val="9"/>
              <w:rPr>
                <w:rFonts w:hint="eastAsia" w:ascii="宋体" w:hAnsi="宋体" w:eastAsia="宋体" w:cs="宋体"/>
                <w:color w:val="auto"/>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firstLine="420" w:firstLineChars="2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注：1.此表中，总价应和开标一览表的投标总价相一致。</w:t>
      </w:r>
    </w:p>
    <w:p>
      <w:pPr>
        <w:adjustRightInd w:val="0"/>
        <w:snapToGrid w:val="0"/>
        <w:spacing w:line="360" w:lineRule="auto"/>
        <w:ind w:right="105" w:rightChars="50" w:firstLine="840" w:firstLineChars="40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2.本表可根据实际情况进行拓展。</w:t>
      </w: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360" w:lineRule="auto"/>
        <w:ind w:right="105" w:rightChars="50"/>
        <w:jc w:val="left"/>
        <w:outlineLvl w:val="9"/>
        <w:rPr>
          <w:rFonts w:hint="eastAsia" w:ascii="宋体" w:hAnsi="宋体" w:eastAsia="宋体" w:cs="宋体"/>
          <w:color w:val="auto"/>
          <w:szCs w:val="21"/>
          <w:highlight w:val="none"/>
        </w:rPr>
      </w:pP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adjustRightInd w:val="0"/>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1"/>
          <w:highlight w:val="none"/>
        </w:rPr>
        <w:t>非法人组织负责人）或</w:t>
      </w:r>
      <w:r>
        <w:rPr>
          <w:rFonts w:hint="eastAsia" w:ascii="宋体" w:hAnsi="宋体" w:eastAsia="宋体" w:cs="宋体"/>
          <w:color w:val="auto"/>
          <w:highlight w:val="none"/>
        </w:rPr>
        <w:t>其委托代理人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pPr>
        <w:adjustRightInd w:val="0"/>
        <w:snapToGrid w:val="0"/>
        <w:spacing w:line="360" w:lineRule="auto"/>
        <w:ind w:right="1050" w:rightChars="500"/>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rPr>
        <w:t xml:space="preserve"> </w:t>
      </w:r>
    </w:p>
    <w:p>
      <w:pPr>
        <w:outlineLvl w:val="9"/>
        <w:rPr>
          <w:rFonts w:hint="eastAsia" w:ascii="宋体" w:hAnsi="宋体" w:eastAsia="宋体" w:cs="宋体"/>
          <w:b/>
          <w:color w:val="auto"/>
          <w:sz w:val="24"/>
          <w:szCs w:val="24"/>
          <w:highlight w:val="none"/>
        </w:rPr>
      </w:pPr>
    </w:p>
    <w:p>
      <w:pPr>
        <w:outlineLvl w:val="9"/>
        <w:rPr>
          <w:rFonts w:hint="eastAsia" w:ascii="宋体" w:hAnsi="宋体" w:eastAsia="宋体" w:cs="宋体"/>
          <w:b/>
          <w:color w:val="auto"/>
          <w:sz w:val="24"/>
          <w:szCs w:val="24"/>
          <w:highlight w:val="none"/>
        </w:rPr>
      </w:pPr>
    </w:p>
    <w:p>
      <w:pPr>
        <w:pStyle w:val="7"/>
        <w:outlineLvl w:val="9"/>
        <w:rPr>
          <w:rFonts w:hint="eastAsia" w:ascii="宋体" w:hAnsi="宋体" w:eastAsia="宋体" w:cs="宋体"/>
          <w:b/>
          <w:color w:val="auto"/>
          <w:sz w:val="28"/>
          <w:szCs w:val="28"/>
          <w:highlight w:val="none"/>
        </w:rPr>
      </w:pPr>
    </w:p>
    <w:p>
      <w:pPr>
        <w:pStyle w:val="7"/>
        <w:outlineLvl w:val="9"/>
        <w:rPr>
          <w:rFonts w:hint="eastAsia" w:ascii="宋体" w:hAnsi="宋体" w:eastAsia="宋体" w:cs="宋体"/>
          <w:b/>
          <w:color w:val="auto"/>
          <w:sz w:val="28"/>
          <w:szCs w:val="28"/>
          <w:highlight w:val="none"/>
        </w:rPr>
      </w:pPr>
    </w:p>
    <w:p>
      <w:pPr>
        <w:pStyle w:val="7"/>
        <w:outlineLvl w:val="9"/>
        <w:rPr>
          <w:rFonts w:hint="eastAsia" w:ascii="宋体" w:hAnsi="宋体" w:eastAsia="宋体" w:cs="宋体"/>
          <w:b/>
          <w:color w:val="auto"/>
          <w:sz w:val="28"/>
          <w:szCs w:val="28"/>
          <w:highlight w:val="none"/>
        </w:rPr>
      </w:pPr>
    </w:p>
    <w:p>
      <w:pPr>
        <w:pStyle w:val="7"/>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color w:val="auto"/>
          <w:highlight w:val="none"/>
        </w:rPr>
      </w:pPr>
      <w:r>
        <w:rPr>
          <w:rFonts w:hint="eastAsia" w:ascii="宋体" w:hAnsi="宋体" w:eastAsia="宋体" w:cs="宋体"/>
          <w:b/>
          <w:color w:val="auto"/>
          <w:sz w:val="28"/>
          <w:szCs w:val="28"/>
          <w:highlight w:val="none"/>
        </w:rPr>
        <w:t xml:space="preserve">         </w:t>
      </w:r>
    </w:p>
    <w:p>
      <w:pPr>
        <w:outlineLvl w:val="9"/>
        <w:rPr>
          <w:rFonts w:hint="eastAsia" w:ascii="宋体" w:hAnsi="宋体" w:eastAsia="宋体" w:cs="宋体"/>
          <w:b/>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第二部分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bookmarkStart w:id="139" w:name="_Toc24765"/>
      <w:bookmarkStart w:id="140" w:name="_Toc20171_WPSOffice_Level1"/>
      <w:bookmarkStart w:id="141" w:name="_Toc22032"/>
      <w:bookmarkStart w:id="142" w:name="_Toc11852"/>
      <w:bookmarkStart w:id="143" w:name="_Toc28309_WPSOffice_Level1"/>
      <w:r>
        <w:rPr>
          <w:rFonts w:hint="eastAsia" w:ascii="宋体" w:hAnsi="宋体" w:eastAsia="宋体" w:cs="宋体"/>
          <w:b/>
          <w:bCs/>
          <w:color w:val="auto"/>
          <w:sz w:val="44"/>
          <w:szCs w:val="44"/>
          <w:highlight w:val="none"/>
        </w:rPr>
        <w:t>商务部分</w:t>
      </w:r>
      <w:bookmarkEnd w:id="139"/>
      <w:bookmarkEnd w:id="140"/>
      <w:bookmarkEnd w:id="141"/>
      <w:bookmarkEnd w:id="142"/>
      <w:bookmarkEnd w:id="143"/>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outlineLvl w:val="9"/>
        <w:rPr>
          <w:rFonts w:hint="eastAsia" w:ascii="宋体" w:hAnsi="宋体" w:eastAsia="宋体" w:cs="宋体"/>
          <w:color w:val="auto"/>
          <w:sz w:val="28"/>
          <w:szCs w:val="28"/>
          <w:highlight w:val="none"/>
          <w:u w:val="single"/>
        </w:rPr>
      </w:pPr>
    </w:p>
    <w:p>
      <w:pPr>
        <w:numPr>
          <w:ilvl w:val="0"/>
          <w:numId w:val="0"/>
        </w:numPr>
        <w:tabs>
          <w:tab w:val="left" w:pos="1080"/>
        </w:tabs>
        <w:spacing w:before="0" w:after="0" w:line="600" w:lineRule="exact"/>
        <w:jc w:val="center"/>
        <w:outlineLvl w:val="9"/>
        <w:rPr>
          <w:rFonts w:hint="eastAsia" w:ascii="宋体" w:hAnsi="宋体" w:eastAsia="宋体" w:cs="宋体"/>
          <w:color w:val="auto"/>
          <w:sz w:val="28"/>
          <w:szCs w:val="28"/>
          <w:highlight w:val="none"/>
          <w:lang w:val="en-US" w:eastAsia="zh-CN"/>
        </w:rPr>
      </w:pPr>
    </w:p>
    <w:p>
      <w:pP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br w:type="page"/>
      </w:r>
    </w:p>
    <w:p>
      <w:pPr>
        <w:numPr>
          <w:ilvl w:val="0"/>
          <w:numId w:val="0"/>
        </w:numPr>
        <w:tabs>
          <w:tab w:val="left" w:pos="1080"/>
        </w:tabs>
        <w:spacing w:before="0" w:after="0" w:line="600" w:lineRule="exact"/>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投标方的资格声明</w:t>
      </w:r>
    </w:p>
    <w:p>
      <w:pPr>
        <w:pStyle w:val="7"/>
        <w:ind w:firstLine="0"/>
        <w:outlineLvl w:val="9"/>
        <w:rPr>
          <w:rFonts w:hint="eastAsia" w:ascii="宋体" w:hAnsi="宋体" w:eastAsia="宋体" w:cs="宋体"/>
          <w:color w:val="auto"/>
          <w:highlight w:val="none"/>
        </w:rPr>
      </w:pPr>
    </w:p>
    <w:p>
      <w:pPr>
        <w:spacing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spacing w:line="600" w:lineRule="exact"/>
        <w:jc w:val="lef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关于贵方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日发出的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，本投标方愿意参加投标，并证明资格文件中和所要求的说明是真实和准确无误的。</w:t>
      </w:r>
    </w:p>
    <w:p>
      <w:pPr>
        <w:spacing w:line="600" w:lineRule="exact"/>
        <w:ind w:firstLine="576"/>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本投标方对可能要求的进一步的资格资料表示理解和同意，并同意按贵方的要求提供任何有关资料。</w:t>
      </w:r>
    </w:p>
    <w:p>
      <w:pPr>
        <w:spacing w:line="600" w:lineRule="exact"/>
        <w:ind w:firstLine="576"/>
        <w:outlineLvl w:val="9"/>
        <w:rPr>
          <w:rFonts w:hint="eastAsia" w:ascii="宋体" w:hAnsi="宋体" w:eastAsia="宋体" w:cs="宋体"/>
          <w:color w:val="auto"/>
          <w:sz w:val="24"/>
          <w:szCs w:val="24"/>
          <w:highlight w:val="none"/>
        </w:rPr>
      </w:pPr>
    </w:p>
    <w:p>
      <w:pPr>
        <w:spacing w:line="600" w:lineRule="exact"/>
        <w:ind w:firstLine="576"/>
        <w:outlineLvl w:val="9"/>
        <w:rPr>
          <w:rFonts w:hint="eastAsia" w:ascii="宋体" w:hAnsi="宋体" w:eastAsia="宋体" w:cs="宋体"/>
          <w:color w:val="auto"/>
          <w:sz w:val="24"/>
          <w:szCs w:val="24"/>
          <w:highlight w:val="none"/>
        </w:rPr>
      </w:pPr>
    </w:p>
    <w:p>
      <w:pPr>
        <w:spacing w:line="600" w:lineRule="exact"/>
        <w:ind w:firstLine="576"/>
        <w:outlineLvl w:val="9"/>
        <w:rPr>
          <w:rFonts w:hint="eastAsia" w:ascii="宋体" w:hAnsi="宋体" w:eastAsia="宋体" w:cs="宋体"/>
          <w:color w:val="auto"/>
          <w:sz w:val="24"/>
          <w:szCs w:val="24"/>
          <w:highlight w:val="none"/>
        </w:rPr>
      </w:pPr>
    </w:p>
    <w:p>
      <w:pPr>
        <w:spacing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投标单位名称：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pPr>
        <w:spacing w:line="6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p>
    <w:p>
      <w:pPr>
        <w:spacing w:line="600" w:lineRule="exact"/>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600" w:lineRule="exact"/>
        <w:ind w:left="0" w:leftChars="0" w:firstLine="42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r>
        <w:rPr>
          <w:rFonts w:hint="eastAsia" w:ascii="宋体" w:hAnsi="宋体" w:eastAsia="宋体" w:cs="宋体"/>
          <w:color w:val="auto"/>
          <w:sz w:val="24"/>
          <w:szCs w:val="24"/>
          <w:highlight w:val="none"/>
          <w:u w:val="single"/>
        </w:rPr>
        <w:t xml:space="preserve">                                               </w:t>
      </w:r>
    </w:p>
    <w:p>
      <w:pPr>
        <w:spacing w:line="600" w:lineRule="exact"/>
        <w:ind w:left="0" w:leftChars="0" w:firstLine="420" w:firstLineChars="0"/>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8"/>
          <w:szCs w:val="28"/>
          <w:highlight w:val="none"/>
          <w:u w:val="single"/>
        </w:rPr>
        <w:t xml:space="preserve">                </w:t>
      </w: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spacing w:line="600" w:lineRule="exact"/>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numPr>
          <w:ilvl w:val="0"/>
          <w:numId w:val="0"/>
        </w:numPr>
        <w:jc w:val="both"/>
        <w:outlineLvl w:val="9"/>
        <w:rPr>
          <w:rFonts w:hint="eastAsia" w:ascii="宋体" w:hAnsi="宋体" w:eastAsia="宋体" w:cs="宋体"/>
          <w:b/>
          <w:color w:val="auto"/>
          <w:sz w:val="28"/>
          <w:szCs w:val="28"/>
          <w:highlight w:val="none"/>
        </w:rPr>
      </w:pPr>
    </w:p>
    <w:p>
      <w:pPr>
        <w:numPr>
          <w:ilvl w:val="0"/>
          <w:numId w:val="0"/>
        </w:numPr>
        <w:jc w:val="both"/>
        <w:outlineLvl w:val="9"/>
        <w:rPr>
          <w:rFonts w:hint="eastAsia"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pPr>
        <w:numPr>
          <w:ilvl w:val="0"/>
          <w:numId w:val="0"/>
        </w:numPr>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投标单位简介</w:t>
      </w:r>
    </w:p>
    <w:p>
      <w:pPr>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由</w:t>
      </w:r>
      <w:r>
        <w:rPr>
          <w:rFonts w:hint="eastAsia" w:ascii="宋体" w:hAnsi="宋体" w:eastAsia="宋体" w:cs="宋体"/>
          <w:b/>
          <w:color w:val="auto"/>
          <w:sz w:val="24"/>
          <w:szCs w:val="24"/>
          <w:highlight w:val="none"/>
        </w:rPr>
        <w:t>投标人自行编制</w:t>
      </w:r>
      <w:r>
        <w:rPr>
          <w:rFonts w:hint="eastAsia" w:ascii="宋体" w:hAnsi="宋体" w:eastAsia="宋体" w:cs="宋体"/>
          <w:b/>
          <w:color w:val="auto"/>
          <w:sz w:val="24"/>
          <w:szCs w:val="24"/>
          <w:highlight w:val="none"/>
          <w:lang w:eastAsia="zh-CN"/>
        </w:rPr>
        <w:t>）</w:t>
      </w:r>
    </w:p>
    <w:p>
      <w:pPr>
        <w:outlineLvl w:val="9"/>
        <w:rPr>
          <w:rFonts w:hint="eastAsia" w:ascii="宋体" w:hAnsi="宋体" w:eastAsia="宋体" w:cs="宋体"/>
          <w:b/>
          <w:color w:val="auto"/>
          <w:sz w:val="28"/>
          <w:szCs w:val="28"/>
          <w:highlight w:val="none"/>
        </w:rPr>
      </w:pPr>
    </w:p>
    <w:p>
      <w:pPr>
        <w:outlineLvl w:val="9"/>
        <w:rPr>
          <w:rFonts w:hint="eastAsia" w:ascii="宋体" w:hAnsi="宋体" w:eastAsia="宋体" w:cs="宋体"/>
          <w:b/>
          <w:color w:val="auto"/>
          <w:sz w:val="28"/>
          <w:szCs w:val="28"/>
          <w:highlight w:val="none"/>
        </w:rPr>
      </w:pPr>
    </w:p>
    <w:p>
      <w:pPr>
        <w:ind w:firstLine="482" w:firstLineChars="200"/>
        <w:outlineLvl w:val="9"/>
        <w:rPr>
          <w:rFonts w:hint="eastAsia" w:ascii="宋体" w:hAnsi="宋体" w:eastAsia="宋体" w:cs="宋体"/>
          <w:b/>
          <w:color w:val="auto"/>
          <w:sz w:val="24"/>
          <w:szCs w:val="24"/>
          <w:highlight w:val="none"/>
        </w:rPr>
      </w:pPr>
    </w:p>
    <w:p>
      <w:pPr>
        <w:ind w:firstLine="482" w:firstLineChars="200"/>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附：投标人单位相关资质证件</w:t>
      </w:r>
      <w:r>
        <w:rPr>
          <w:rFonts w:hint="eastAsia" w:ascii="宋体" w:hAnsi="宋体" w:eastAsia="宋体" w:cs="宋体"/>
          <w:b/>
          <w:color w:val="auto"/>
          <w:sz w:val="24"/>
          <w:szCs w:val="24"/>
          <w:highlight w:val="none"/>
          <w:lang w:eastAsia="zh-CN"/>
        </w:rPr>
        <w:t>；</w:t>
      </w:r>
    </w:p>
    <w:p>
      <w:pPr>
        <w:ind w:firstLine="562" w:firstLineChars="200"/>
        <w:outlineLvl w:val="9"/>
        <w:rPr>
          <w:rFonts w:hint="eastAsia" w:ascii="宋体" w:hAnsi="宋体" w:eastAsia="宋体" w:cs="宋体"/>
          <w:b/>
          <w:color w:val="auto"/>
          <w:sz w:val="28"/>
          <w:szCs w:val="28"/>
          <w:highlight w:val="none"/>
        </w:rPr>
      </w:pPr>
    </w:p>
    <w:p>
      <w:pP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br w:type="page"/>
      </w:r>
    </w:p>
    <w:p>
      <w:pPr>
        <w:pStyle w:val="9"/>
        <w:spacing w:line="240" w:lineRule="auto"/>
        <w:ind w:left="0" w:leftChars="0" w:firstLine="0" w:firstLineChars="0"/>
        <w:jc w:val="center"/>
        <w:rPr>
          <w:rFonts w:hint="eastAsia" w:ascii="宋体" w:hAnsi="宋体" w:eastAsia="宋体" w:cs="宋体"/>
          <w:b/>
          <w:bCs w:val="0"/>
          <w:color w:val="000000"/>
          <w:sz w:val="28"/>
          <w:szCs w:val="24"/>
          <w:highlight w:val="none"/>
          <w:lang w:val="en-US" w:eastAsia="zh-CN"/>
        </w:rPr>
      </w:pPr>
      <w:r>
        <w:rPr>
          <w:rFonts w:hint="eastAsia" w:ascii="宋体" w:hAnsi="宋体" w:eastAsia="宋体" w:cs="宋体"/>
          <w:b/>
          <w:bCs w:val="0"/>
          <w:color w:val="000000"/>
          <w:sz w:val="28"/>
          <w:szCs w:val="24"/>
          <w:highlight w:val="none"/>
          <w:lang w:val="en-US" w:eastAsia="zh-CN"/>
        </w:rPr>
        <w:t>投标人资格声明函（格式自拟）</w:t>
      </w:r>
    </w:p>
    <w:p>
      <w:pPr>
        <w:pStyle w:val="9"/>
        <w:spacing w:line="240" w:lineRule="auto"/>
        <w:ind w:left="0" w:leftChars="0" w:firstLine="420" w:firstLineChars="200"/>
        <w:jc w:val="both"/>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我公司</w:t>
      </w:r>
      <w:r>
        <w:rPr>
          <w:rFonts w:hint="eastAsia" w:ascii="宋体" w:hAnsi="宋体" w:eastAsia="宋体" w:cs="宋体"/>
          <w:b w:val="0"/>
          <w:bCs/>
          <w:color w:val="000000"/>
          <w:sz w:val="21"/>
          <w:szCs w:val="21"/>
          <w:highlight w:val="none"/>
          <w:u w:val="single"/>
          <w:lang w:val="en-US" w:eastAsia="zh-CN"/>
        </w:rPr>
        <w:t xml:space="preserve"> （供应商全称） </w:t>
      </w:r>
      <w:r>
        <w:rPr>
          <w:rFonts w:hint="eastAsia" w:ascii="宋体" w:hAnsi="宋体" w:eastAsia="宋体" w:cs="宋体"/>
          <w:b w:val="0"/>
          <w:bCs/>
          <w:color w:val="000000"/>
          <w:sz w:val="21"/>
          <w:szCs w:val="21"/>
          <w:highlight w:val="none"/>
          <w:lang w:val="en-US" w:eastAsia="zh-CN"/>
        </w:rPr>
        <w:t>收到</w:t>
      </w:r>
      <w:r>
        <w:rPr>
          <w:rFonts w:hint="eastAsia" w:ascii="宋体" w:hAnsi="宋体" w:eastAsia="宋体" w:cs="宋体"/>
          <w:b w:val="0"/>
          <w:bCs/>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lang w:val="en-US" w:eastAsia="zh-CN"/>
        </w:rPr>
        <w:t>项目（项目编号：</w:t>
      </w:r>
      <w:r>
        <w:rPr>
          <w:rFonts w:hint="eastAsia" w:ascii="宋体" w:hAnsi="宋体" w:eastAsia="宋体" w:cs="宋体"/>
          <w:b w:val="0"/>
          <w:bCs/>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lang w:val="en-US" w:eastAsia="zh-CN"/>
        </w:rPr>
        <w:t>、标段号：</w:t>
      </w:r>
      <w:r>
        <w:rPr>
          <w:rFonts w:hint="eastAsia" w:ascii="宋体" w:hAnsi="宋体" w:eastAsia="宋体" w:cs="宋体"/>
          <w:b w:val="0"/>
          <w:bCs/>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lang w:val="en-US" w:eastAsia="zh-CN"/>
        </w:rPr>
        <w:t>、标段名称：</w:t>
      </w:r>
      <w:r>
        <w:rPr>
          <w:rFonts w:hint="eastAsia" w:ascii="宋体" w:hAnsi="宋体" w:eastAsia="宋体" w:cs="宋体"/>
          <w:b w:val="0"/>
          <w:bCs/>
          <w:color w:val="000000"/>
          <w:sz w:val="21"/>
          <w:szCs w:val="21"/>
          <w:highlight w:val="none"/>
          <w:u w:val="single"/>
          <w:lang w:val="en-US" w:eastAsia="zh-CN"/>
        </w:rPr>
        <w:t xml:space="preserve">                 </w:t>
      </w:r>
      <w:r>
        <w:rPr>
          <w:rFonts w:hint="eastAsia" w:ascii="宋体" w:hAnsi="宋体" w:eastAsia="宋体" w:cs="宋体"/>
          <w:b w:val="0"/>
          <w:bCs/>
          <w:color w:val="000000"/>
          <w:sz w:val="21"/>
          <w:szCs w:val="21"/>
          <w:highlight w:val="none"/>
          <w:lang w:val="en-US" w:eastAsia="zh-CN"/>
        </w:rPr>
        <w:t xml:space="preserve"> ）的招标文件后，在完全理解该项目采购技术要求和商务条款的基础上，决定参加此次投标活动。我方保证具备履行合同所必需的服务和专业技术能力，并承诺如下：</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1、具有独立承担民事责任的能力；</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2、具有良好的商业信誉和健全的财务会计制度；</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3、具有履行合同所必需的货物和专业技术能力；</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4、有依法缴纳税收和社会保障资金的良好记录；</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5、参加政府采购活动前三年内，在经营活动中没有重大违法记录；</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6、法律、行政法规规定的其他条件；</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7、具备承担和实施本次采购内容相关的经营许可或相关代理授权。</w:t>
      </w:r>
    </w:p>
    <w:p>
      <w:pPr>
        <w:topLinePunct/>
        <w:spacing w:line="44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pPr>
        <w:pStyle w:val="9"/>
        <w:spacing w:line="240" w:lineRule="auto"/>
        <w:ind w:left="0" w:leftChars="0" w:firstLine="420" w:firstLineChars="200"/>
        <w:jc w:val="both"/>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供应商名称（电子公章）：</w:t>
      </w:r>
    </w:p>
    <w:p>
      <w:pPr>
        <w:pStyle w:val="9"/>
        <w:spacing w:line="240" w:lineRule="auto"/>
        <w:ind w:left="0" w:leftChars="0" w:firstLine="420" w:firstLineChars="200"/>
        <w:jc w:val="both"/>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法定代表人或其授权代表（签字）：</w:t>
      </w:r>
    </w:p>
    <w:p>
      <w:pPr>
        <w:pStyle w:val="9"/>
        <w:spacing w:line="240" w:lineRule="auto"/>
        <w:ind w:left="0" w:leftChars="0" w:firstLine="420" w:firstLineChars="200"/>
        <w:jc w:val="both"/>
        <w:rPr>
          <w:rFonts w:hint="eastAsia" w:ascii="宋体" w:hAnsi="宋体" w:eastAsia="宋体" w:cs="宋体"/>
          <w:b w:val="0"/>
          <w:bCs/>
          <w:color w:val="000000"/>
          <w:sz w:val="21"/>
          <w:szCs w:val="21"/>
          <w:highlight w:val="none"/>
          <w:lang w:val="en-US" w:eastAsia="zh-CN"/>
        </w:rPr>
      </w:pPr>
      <w:r>
        <w:rPr>
          <w:rFonts w:hint="eastAsia" w:ascii="宋体" w:hAnsi="宋体" w:eastAsia="宋体" w:cs="宋体"/>
          <w:b w:val="0"/>
          <w:bCs/>
          <w:color w:val="000000"/>
          <w:sz w:val="21"/>
          <w:szCs w:val="21"/>
          <w:highlight w:val="none"/>
          <w:lang w:val="en-US" w:eastAsia="zh-CN"/>
        </w:rPr>
        <w:t>日期：   年   月    日</w:t>
      </w:r>
    </w:p>
    <w:p>
      <w:pPr>
        <w:ind w:firstLine="422" w:firstLineChars="200"/>
        <w:outlineLvl w:val="9"/>
        <w:rPr>
          <w:rFonts w:hint="eastAsia" w:ascii="宋体" w:hAnsi="宋体" w:eastAsia="宋体" w:cs="宋体"/>
          <w:b/>
          <w:color w:val="auto"/>
          <w:sz w:val="21"/>
          <w:szCs w:val="21"/>
          <w:highlight w:val="none"/>
        </w:rPr>
      </w:pPr>
    </w:p>
    <w:p>
      <w:pPr>
        <w:ind w:firstLine="562" w:firstLineChars="200"/>
        <w:outlineLvl w:val="9"/>
        <w:rPr>
          <w:rFonts w:hint="eastAsia" w:ascii="宋体" w:hAnsi="宋体" w:eastAsia="宋体" w:cs="宋体"/>
          <w:b/>
          <w:color w:val="auto"/>
          <w:sz w:val="28"/>
          <w:szCs w:val="28"/>
          <w:highlight w:val="none"/>
        </w:rPr>
      </w:pPr>
    </w:p>
    <w:p>
      <w:pPr>
        <w:ind w:firstLine="562" w:firstLineChars="200"/>
        <w:outlineLvl w:val="9"/>
        <w:rPr>
          <w:rFonts w:hint="eastAsia" w:ascii="宋体" w:hAnsi="宋体" w:eastAsia="宋体" w:cs="宋体"/>
          <w:b/>
          <w:color w:val="auto"/>
          <w:sz w:val="28"/>
          <w:szCs w:val="28"/>
          <w:highlight w:val="none"/>
        </w:rPr>
      </w:pPr>
    </w:p>
    <w:p>
      <w:pPr>
        <w:pStyle w:val="9"/>
        <w:numPr>
          <w:ilvl w:val="0"/>
          <w:numId w:val="0"/>
        </w:numPr>
        <w:spacing w:line="240" w:lineRule="auto"/>
        <w:jc w:val="both"/>
        <w:outlineLvl w:val="9"/>
        <w:rPr>
          <w:rFonts w:hint="eastAsia" w:ascii="宋体" w:hAnsi="宋体" w:eastAsia="宋体" w:cs="宋体"/>
          <w:b/>
          <w:color w:val="auto"/>
          <w:szCs w:val="28"/>
          <w:highlight w:val="none"/>
          <w:lang w:val="en-US" w:eastAsia="zh-CN"/>
        </w:rPr>
      </w:pPr>
    </w:p>
    <w:p>
      <w:pPr>
        <w:pStyle w:val="9"/>
        <w:numPr>
          <w:ilvl w:val="0"/>
          <w:numId w:val="0"/>
        </w:numPr>
        <w:spacing w:line="240" w:lineRule="auto"/>
        <w:jc w:val="center"/>
        <w:outlineLvl w:val="9"/>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val="en-US" w:eastAsia="zh-CN"/>
        </w:rPr>
        <w:br w:type="page"/>
      </w:r>
      <w:r>
        <w:rPr>
          <w:rFonts w:hint="eastAsia" w:ascii="宋体" w:hAnsi="宋体" w:eastAsia="宋体" w:cs="宋体"/>
          <w:b/>
          <w:color w:val="auto"/>
          <w:szCs w:val="28"/>
          <w:highlight w:val="none"/>
          <w:lang w:val="en-US" w:eastAsia="zh-CN"/>
        </w:rPr>
        <w:t>3、</w:t>
      </w:r>
      <w:r>
        <w:rPr>
          <w:rFonts w:hint="eastAsia" w:ascii="宋体" w:hAnsi="宋体" w:eastAsia="宋体" w:cs="宋体"/>
          <w:b/>
          <w:color w:val="auto"/>
          <w:szCs w:val="28"/>
          <w:highlight w:val="none"/>
        </w:rPr>
        <w:t>营业执照函</w:t>
      </w:r>
    </w:p>
    <w:p>
      <w:pPr>
        <w:pStyle w:val="9"/>
        <w:spacing w:line="240" w:lineRule="auto"/>
        <w:ind w:firstLine="0" w:firstLineChars="0"/>
        <w:outlineLvl w:val="9"/>
        <w:rPr>
          <w:rFonts w:hint="eastAsia" w:ascii="宋体" w:hAnsi="宋体" w:eastAsia="宋体" w:cs="宋体"/>
          <w:b/>
          <w:color w:val="auto"/>
          <w:szCs w:val="28"/>
          <w:highlight w:val="none"/>
        </w:rPr>
      </w:pPr>
    </w:p>
    <w:p>
      <w:pPr>
        <w:pStyle w:val="9"/>
        <w:spacing w:line="240" w:lineRule="auto"/>
        <w:ind w:firstLine="0" w:firstLineChars="0"/>
        <w:outlineLvl w:val="9"/>
        <w:rPr>
          <w:rFonts w:hint="eastAsia" w:ascii="宋体" w:hAnsi="宋体" w:eastAsia="宋体" w:cs="宋体"/>
          <w:b/>
          <w:color w:val="auto"/>
          <w:szCs w:val="28"/>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现附上由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（签发机关名称）签发的我方法人营业执照复印件，该执照已经年检，真实有效。</w:t>
      </w:r>
    </w:p>
    <w:p>
      <w:pPr>
        <w:ind w:firstLine="852"/>
        <w:outlineLvl w:val="9"/>
        <w:rPr>
          <w:rFonts w:hint="eastAsia" w:ascii="宋体" w:hAnsi="宋体" w:eastAsia="宋体" w:cs="宋体"/>
          <w:color w:val="auto"/>
          <w:sz w:val="24"/>
          <w:szCs w:val="24"/>
          <w:highlight w:val="none"/>
        </w:rPr>
      </w:pPr>
    </w:p>
    <w:p>
      <w:pPr>
        <w:ind w:firstLine="852"/>
        <w:outlineLvl w:val="9"/>
        <w:rPr>
          <w:rFonts w:hint="eastAsia" w:ascii="宋体" w:hAnsi="宋体" w:eastAsia="宋体" w:cs="宋体"/>
          <w:color w:val="auto"/>
          <w:sz w:val="24"/>
          <w:szCs w:val="24"/>
          <w:highlight w:val="none"/>
        </w:rPr>
      </w:pPr>
    </w:p>
    <w:p>
      <w:pPr>
        <w:ind w:firstLine="852"/>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（盖单位章）</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    年   月   日</w:t>
      </w:r>
    </w:p>
    <w:p>
      <w:pPr>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rPr>
      </w:pPr>
    </w:p>
    <w:p>
      <w:pPr>
        <w:rPr>
          <w:rFonts w:hint="eastAsia" w:ascii="宋体" w:hAnsi="宋体" w:eastAsia="宋体" w:cs="宋体"/>
          <w:b/>
          <w:color w:val="auto"/>
          <w:szCs w:val="28"/>
          <w:highlight w:val="none"/>
          <w:lang w:val="en-US" w:eastAsia="zh-CN"/>
        </w:rPr>
      </w:pPr>
      <w:r>
        <w:rPr>
          <w:rFonts w:hint="eastAsia" w:ascii="宋体" w:hAnsi="宋体" w:eastAsia="宋体" w:cs="宋体"/>
          <w:b/>
          <w:color w:val="auto"/>
          <w:szCs w:val="28"/>
          <w:highlight w:val="none"/>
          <w:lang w:val="en-US" w:eastAsia="zh-CN"/>
        </w:rPr>
        <w:br w:type="page"/>
      </w:r>
    </w:p>
    <w:p>
      <w:pPr>
        <w:pStyle w:val="9"/>
        <w:numPr>
          <w:ilvl w:val="0"/>
          <w:numId w:val="0"/>
        </w:numPr>
        <w:spacing w:line="240" w:lineRule="auto"/>
        <w:jc w:val="center"/>
        <w:outlineLvl w:val="9"/>
        <w:rPr>
          <w:rFonts w:hint="eastAsia" w:ascii="宋体" w:hAnsi="宋体" w:eastAsia="宋体" w:cs="宋体"/>
          <w:b/>
          <w:color w:val="auto"/>
          <w:szCs w:val="28"/>
          <w:highlight w:val="none"/>
        </w:rPr>
      </w:pPr>
      <w:r>
        <w:rPr>
          <w:rFonts w:hint="eastAsia" w:ascii="宋体" w:hAnsi="宋体" w:eastAsia="宋体" w:cs="宋体"/>
          <w:b/>
          <w:color w:val="auto"/>
          <w:szCs w:val="28"/>
          <w:highlight w:val="none"/>
          <w:lang w:val="en-US" w:eastAsia="zh-CN"/>
        </w:rPr>
        <w:t>4、</w:t>
      </w:r>
      <w:r>
        <w:rPr>
          <w:rFonts w:hint="eastAsia" w:ascii="宋体" w:hAnsi="宋体" w:eastAsia="宋体" w:cs="宋体"/>
          <w:b/>
          <w:color w:val="auto"/>
          <w:szCs w:val="28"/>
          <w:highlight w:val="none"/>
        </w:rPr>
        <w:t>法定代表人证明书</w:t>
      </w:r>
    </w:p>
    <w:p>
      <w:pPr>
        <w:pStyle w:val="9"/>
        <w:spacing w:line="240" w:lineRule="auto"/>
        <w:ind w:firstLine="0" w:firstLineChars="0"/>
        <w:outlineLvl w:val="9"/>
        <w:rPr>
          <w:rFonts w:hint="eastAsia" w:ascii="宋体" w:hAnsi="宋体" w:eastAsia="宋体" w:cs="宋体"/>
          <w:b/>
          <w:color w:val="auto"/>
          <w:szCs w:val="28"/>
          <w:highlight w:val="none"/>
        </w:rPr>
      </w:pPr>
    </w:p>
    <w:p>
      <w:pPr>
        <w:pStyle w:val="9"/>
        <w:spacing w:line="240" w:lineRule="auto"/>
        <w:ind w:firstLine="0" w:firstLineChars="0"/>
        <w:outlineLvl w:val="9"/>
        <w:rPr>
          <w:rFonts w:hint="eastAsia" w:ascii="宋体" w:hAnsi="宋体" w:eastAsia="宋体" w:cs="宋体"/>
          <w:b/>
          <w:color w:val="auto"/>
          <w:szCs w:val="28"/>
          <w:highlight w:val="none"/>
        </w:rPr>
      </w:pPr>
    </w:p>
    <w:p>
      <w:pPr>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职务：</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系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tbl>
      <w:tblPr>
        <w:tblStyle w:val="23"/>
        <w:tblpPr w:leftFromText="180" w:rightFromText="180" w:vertAnchor="text" w:horzAnchor="page" w:tblpX="1823" w:tblpY="8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0"/>
      </w:tblGrid>
      <w:tr>
        <w:trPr>
          <w:trHeight w:val="2379" w:hRule="atLeast"/>
        </w:trPr>
        <w:tc>
          <w:tcPr>
            <w:tcW w:w="3680" w:type="dxa"/>
            <w:noWrap w:val="0"/>
            <w:vAlign w:val="top"/>
          </w:tcPr>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法定代表人身份证复印件正面</w:t>
            </w:r>
          </w:p>
          <w:p>
            <w:pPr>
              <w:outlineLvl w:val="9"/>
              <w:rPr>
                <w:rFonts w:hint="eastAsia" w:ascii="宋体" w:hAnsi="宋体" w:eastAsia="宋体" w:cs="宋体"/>
                <w:color w:val="auto"/>
                <w:sz w:val="24"/>
                <w:szCs w:val="24"/>
                <w:highlight w:val="none"/>
                <w:vertAlign w:val="baseli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bl>
      <w:tblPr>
        <w:tblStyle w:val="23"/>
        <w:tblpPr w:leftFromText="180" w:rightFromText="180" w:vertAnchor="text" w:horzAnchor="page" w:tblpX="5852" w:tblpY="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60"/>
      </w:tblGrid>
      <w:tr>
        <w:trPr>
          <w:trHeight w:val="2365" w:hRule="atLeast"/>
        </w:trPr>
        <w:tc>
          <w:tcPr>
            <w:tcW w:w="3760" w:type="dxa"/>
            <w:noWrap w:val="0"/>
            <w:vAlign w:val="top"/>
          </w:tcPr>
          <w:p>
            <w:pPr>
              <w:ind w:firstLine="480" w:firstLineChars="200"/>
              <w:outlineLvl w:val="9"/>
              <w:rPr>
                <w:rFonts w:hint="eastAsia" w:ascii="宋体" w:hAnsi="宋体" w:eastAsia="宋体" w:cs="宋体"/>
                <w:color w:val="auto"/>
                <w:sz w:val="24"/>
                <w:szCs w:val="24"/>
                <w:highlight w:val="none"/>
              </w:rPr>
            </w:pPr>
          </w:p>
          <w:p>
            <w:pPr>
              <w:ind w:firstLine="480" w:firstLineChars="200"/>
              <w:outlineLvl w:val="9"/>
              <w:rPr>
                <w:rFonts w:hint="eastAsia" w:ascii="宋体" w:hAnsi="宋体" w:eastAsia="宋体" w:cs="宋体"/>
                <w:color w:val="auto"/>
                <w:sz w:val="24"/>
                <w:szCs w:val="24"/>
                <w:highlight w:val="none"/>
              </w:rPr>
            </w:pPr>
          </w:p>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法定代表人身份证复印件</w:t>
            </w:r>
            <w:r>
              <w:rPr>
                <w:rFonts w:hint="eastAsia" w:ascii="宋体" w:hAnsi="宋体" w:eastAsia="宋体" w:cs="宋体"/>
                <w:color w:val="auto"/>
                <w:sz w:val="24"/>
                <w:szCs w:val="24"/>
                <w:highlight w:val="none"/>
                <w:lang w:eastAsia="zh-CN"/>
              </w:rPr>
              <w:t>反</w:t>
            </w:r>
            <w:r>
              <w:rPr>
                <w:rFonts w:hint="eastAsia" w:ascii="宋体" w:hAnsi="宋体" w:eastAsia="宋体" w:cs="宋体"/>
                <w:color w:val="auto"/>
                <w:sz w:val="24"/>
                <w:szCs w:val="24"/>
                <w:highlight w:val="none"/>
              </w:rPr>
              <w:t>面</w:t>
            </w:r>
          </w:p>
          <w:p>
            <w:pPr>
              <w:outlineLvl w:val="9"/>
              <w:rPr>
                <w:rFonts w:hint="eastAsia" w:ascii="宋体" w:hAnsi="宋体" w:eastAsia="宋体" w:cs="宋体"/>
                <w:color w:val="auto"/>
                <w:sz w:val="24"/>
                <w:szCs w:val="24"/>
                <w:highlight w:val="none"/>
                <w:vertAlign w:val="baseline"/>
              </w:rPr>
            </w:pPr>
          </w:p>
        </w:tc>
      </w:tr>
    </w:tbl>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rPr>
        <w:t>投标单位名称：</w:t>
      </w:r>
      <w:r>
        <w:rPr>
          <w:rFonts w:hint="eastAsia" w:ascii="宋体" w:hAnsi="宋体" w:eastAsia="宋体" w:cs="宋体"/>
          <w:color w:val="auto"/>
          <w:sz w:val="24"/>
          <w:szCs w:val="24"/>
          <w:highlight w:val="none"/>
          <w:u w:val="single"/>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（盖单位章）</w:t>
      </w: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jc w:val="right"/>
        <w:outlineLvl w:val="9"/>
        <w:rPr>
          <w:rFonts w:hint="eastAsia" w:ascii="宋体" w:hAnsi="宋体" w:eastAsia="宋体" w:cs="宋体"/>
          <w:color w:val="auto"/>
          <w:sz w:val="24"/>
          <w:szCs w:val="24"/>
          <w:highlight w:val="none"/>
        </w:rPr>
      </w:pPr>
    </w:p>
    <w:p>
      <w:pPr>
        <w:ind w:firstLine="960" w:firstLineChars="400"/>
        <w:outlineLvl w:val="9"/>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日期：   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pPr>
        <w:jc w:val="center"/>
        <w:outlineLvl w:val="9"/>
        <w:rPr>
          <w:rFonts w:hint="eastAsia" w:ascii="宋体" w:hAnsi="宋体" w:eastAsia="宋体" w:cs="宋体"/>
          <w:color w:val="auto"/>
          <w:sz w:val="28"/>
          <w:szCs w:val="28"/>
          <w:highlight w:val="none"/>
        </w:rPr>
      </w:pPr>
    </w:p>
    <w:p>
      <w:pPr>
        <w:jc w:val="center"/>
        <w:outlineLvl w:val="9"/>
        <w:rPr>
          <w:rFonts w:hint="eastAsia" w:ascii="宋体" w:hAnsi="宋体" w:eastAsia="宋体" w:cs="宋体"/>
          <w:color w:val="auto"/>
          <w:sz w:val="28"/>
          <w:szCs w:val="28"/>
          <w:highlight w:val="none"/>
        </w:rPr>
        <w:sectPr>
          <w:headerReference r:id="rId4" w:type="default"/>
          <w:footerReference r:id="rId5" w:type="default"/>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ageBreakBefore w:val="0"/>
        <w:topLinePunct w:val="0"/>
        <w:bidi w:val="0"/>
        <w:spacing w:line="240" w:lineRule="auto"/>
        <w:jc w:val="center"/>
        <w:outlineLvl w:val="9"/>
        <w:rPr>
          <w:rFonts w:hint="eastAsia" w:ascii="宋体" w:hAnsi="宋体" w:eastAsia="宋体" w:cs="宋体"/>
          <w:b/>
          <w:color w:val="auto"/>
          <w:sz w:val="30"/>
          <w:szCs w:val="30"/>
          <w:highlight w:val="none"/>
        </w:rPr>
      </w:pPr>
      <w:bookmarkStart w:id="144" w:name="_Toc16844"/>
      <w:r>
        <w:rPr>
          <w:rFonts w:hint="eastAsia" w:ascii="宋体" w:hAnsi="宋体" w:eastAsia="宋体" w:cs="宋体"/>
          <w:b/>
          <w:color w:val="auto"/>
          <w:sz w:val="30"/>
          <w:szCs w:val="30"/>
          <w:highlight w:val="none"/>
          <w:lang w:val="en-US" w:eastAsia="zh-CN"/>
        </w:rPr>
        <w:t>4-1</w:t>
      </w:r>
      <w:r>
        <w:rPr>
          <w:rFonts w:hint="eastAsia" w:ascii="宋体" w:hAnsi="宋体" w:eastAsia="宋体" w:cs="宋体"/>
          <w:b/>
          <w:color w:val="auto"/>
          <w:sz w:val="30"/>
          <w:szCs w:val="30"/>
          <w:highlight w:val="none"/>
        </w:rPr>
        <w:t>法定代表人授权委托书</w:t>
      </w:r>
      <w:bookmarkEnd w:id="144"/>
    </w:p>
    <w:p>
      <w:pPr>
        <w:pageBreakBefore w:val="0"/>
        <w:topLinePunct w:val="0"/>
        <w:bidi w:val="0"/>
        <w:spacing w:line="240" w:lineRule="auto"/>
        <w:ind w:firstLine="420" w:firstLineChars="200"/>
        <w:outlineLvl w:val="9"/>
        <w:rPr>
          <w:rFonts w:hint="eastAsia" w:ascii="宋体" w:hAnsi="宋体" w:eastAsia="宋体" w:cs="宋体"/>
          <w:color w:val="auto"/>
          <w:szCs w:val="21"/>
          <w:highlight w:val="none"/>
        </w:rPr>
      </w:pPr>
    </w:p>
    <w:p>
      <w:pPr>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 xml:space="preserve">         发包人名称        </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本人</w:t>
      </w:r>
      <w:r>
        <w:rPr>
          <w:rFonts w:hint="eastAsia" w:ascii="宋体" w:hAnsi="宋体" w:eastAsia="宋体" w:cs="宋体"/>
          <w:color w:val="auto"/>
          <w:kern w:val="2"/>
          <w:sz w:val="24"/>
          <w:szCs w:val="24"/>
          <w:highlight w:val="none"/>
          <w:u w:val="single"/>
          <w:lang w:val="en-US" w:eastAsia="zh-CN" w:bidi="ar-SA"/>
        </w:rPr>
        <w:t xml:space="preserve">      姓名     </w:t>
      </w:r>
      <w:r>
        <w:rPr>
          <w:rFonts w:hint="eastAsia" w:ascii="宋体" w:hAnsi="宋体" w:eastAsia="宋体" w:cs="宋体"/>
          <w:color w:val="auto"/>
          <w:kern w:val="2"/>
          <w:sz w:val="24"/>
          <w:szCs w:val="24"/>
          <w:highlight w:val="none"/>
          <w:lang w:val="en-US" w:eastAsia="zh-CN" w:bidi="ar-SA"/>
        </w:rPr>
        <w:t>系</w:t>
      </w:r>
      <w:r>
        <w:rPr>
          <w:rFonts w:hint="eastAsia" w:ascii="宋体" w:hAnsi="宋体" w:eastAsia="宋体" w:cs="宋体"/>
          <w:color w:val="auto"/>
          <w:kern w:val="2"/>
          <w:sz w:val="24"/>
          <w:szCs w:val="24"/>
          <w:highlight w:val="none"/>
          <w:u w:val="single"/>
          <w:lang w:val="en-US" w:eastAsia="zh-CN" w:bidi="ar-SA"/>
        </w:rPr>
        <w:t xml:space="preserve">        （投标人全称）        的</w:t>
      </w:r>
      <w:r>
        <w:rPr>
          <w:rFonts w:hint="eastAsia" w:ascii="宋体" w:hAnsi="宋体" w:eastAsia="宋体" w:cs="宋体"/>
          <w:color w:val="auto"/>
          <w:kern w:val="2"/>
          <w:sz w:val="24"/>
          <w:szCs w:val="24"/>
          <w:highlight w:val="none"/>
          <w:lang w:val="en-US" w:eastAsia="zh-CN" w:bidi="ar-SA"/>
        </w:rPr>
        <w:t>法定代表人，现授权我公司</w:t>
      </w:r>
      <w:r>
        <w:rPr>
          <w:rFonts w:hint="eastAsia" w:ascii="宋体" w:hAnsi="宋体" w:eastAsia="宋体" w:cs="宋体"/>
          <w:color w:val="auto"/>
          <w:kern w:val="2"/>
          <w:sz w:val="24"/>
          <w:szCs w:val="24"/>
          <w:highlight w:val="none"/>
          <w:u w:val="single"/>
          <w:lang w:val="en-US" w:eastAsia="zh-CN" w:bidi="ar-SA"/>
        </w:rPr>
        <w:t xml:space="preserve">   （投标人代表姓名）  </w:t>
      </w:r>
      <w:r>
        <w:rPr>
          <w:rFonts w:hint="eastAsia" w:ascii="宋体" w:hAnsi="宋体" w:eastAsia="宋体" w:cs="宋体"/>
          <w:color w:val="auto"/>
          <w:kern w:val="2"/>
          <w:sz w:val="24"/>
          <w:szCs w:val="24"/>
          <w:highlight w:val="none"/>
          <w:lang w:val="en-US" w:eastAsia="zh-CN" w:bidi="ar-SA"/>
        </w:rPr>
        <w:t>为投标人代表，代表本公司参加贵司组织的</w:t>
      </w:r>
      <w:r>
        <w:rPr>
          <w:rFonts w:hint="eastAsia" w:ascii="宋体" w:hAnsi="宋体" w:eastAsia="宋体" w:cs="宋体"/>
          <w:color w:val="auto"/>
          <w:kern w:val="2"/>
          <w:sz w:val="24"/>
          <w:szCs w:val="24"/>
          <w:highlight w:val="none"/>
          <w:u w:val="single"/>
          <w:lang w:val="en-US" w:eastAsia="zh-CN" w:bidi="ar-SA"/>
        </w:rPr>
        <w:t xml:space="preserve">     项目名称、包段、招标编号     </w:t>
      </w:r>
      <w:r>
        <w:rPr>
          <w:rFonts w:hint="eastAsia" w:ascii="宋体" w:hAnsi="宋体" w:eastAsia="宋体" w:cs="宋体"/>
          <w:color w:val="auto"/>
          <w:kern w:val="2"/>
          <w:sz w:val="24"/>
          <w:szCs w:val="24"/>
          <w:highlight w:val="none"/>
          <w:lang w:val="en-US" w:eastAsia="zh-CN" w:bidi="ar-SA"/>
        </w:rPr>
        <w:t>）招标活动，全权代表本公司处理招标过程的一切事宜，包括但不限于：投标、参与开标、签约等。投标人代表在招标过程中所签署的一切文件和处理与之有关的一切事务，本公司均予以认可并对此承担责任。投标人代表无转委托权，特此授权。</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本授权书自出具之日起生效。</w:t>
      </w:r>
    </w:p>
    <w:p>
      <w:pPr>
        <w:pageBreakBefore w:val="0"/>
        <w:topLinePunct w:val="0"/>
        <w:bidi w:val="0"/>
        <w:spacing w:line="240" w:lineRule="auto"/>
        <w:ind w:left="126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3550920</wp:posOffset>
                </wp:positionH>
                <wp:positionV relativeFrom="paragraph">
                  <wp:posOffset>67945</wp:posOffset>
                </wp:positionV>
                <wp:extent cx="2290445" cy="1287145"/>
                <wp:effectExtent l="4445" t="4445" r="16510" b="16510"/>
                <wp:wrapNone/>
                <wp:docPr id="6" name="矩形 6"/>
                <wp:cNvGraphicFramePr/>
                <a:graphic xmlns:a="http://schemas.openxmlformats.org/drawingml/2006/main">
                  <a:graphicData uri="http://schemas.microsoft.com/office/word/2010/wordprocessingShape">
                    <wps:wsp>
                      <wps:cNvSpPr/>
                      <wps:spPr>
                        <a:xfrm>
                          <a:off x="0" y="0"/>
                          <a:ext cx="2290445" cy="12871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wps:txbx>
                      <wps:bodyPr upright="1"/>
                    </wps:wsp>
                  </a:graphicData>
                </a:graphic>
              </wp:anchor>
            </w:drawing>
          </mc:Choice>
          <mc:Fallback>
            <w:pict>
              <v:rect id="_x0000_s1026" o:spid="_x0000_s1026" o:spt="1" style="position:absolute;left:0pt;margin-left:279.6pt;margin-top:5.35pt;height:101.35pt;width:180.35pt;z-index:251661312;mso-width-relative:page;mso-height-relative:page;" fillcolor="#FFFFFF" filled="t" stroked="t" coordsize="21600,21600" o:gfxdata="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abja/tgAAAAKAQAADwAAAAAAAAABACAAAAAiAAAAZHJzL2Rv&#10;d25yZXYueG1sUEsBAhQAFAAAAAgAh07iQJyBKj8BAgAAKgQAAA4AAAAAAAAAAQAgAAAAJwEAAGRy&#10;cy9lMm9Eb2MueG1sUEsFBgAAAAAGAAYAWQEAAJoFA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身份证复印件反面</w:t>
                      </w:r>
                    </w:p>
                  </w:txbxContent>
                </v:textbox>
              </v:rect>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333375</wp:posOffset>
                </wp:positionH>
                <wp:positionV relativeFrom="paragraph">
                  <wp:posOffset>65405</wp:posOffset>
                </wp:positionV>
                <wp:extent cx="2458720" cy="1311910"/>
                <wp:effectExtent l="4445" t="4445" r="13335" b="17145"/>
                <wp:wrapNone/>
                <wp:docPr id="4" name="矩形 4"/>
                <wp:cNvGraphicFramePr/>
                <a:graphic xmlns:a="http://schemas.openxmlformats.org/drawingml/2006/main">
                  <a:graphicData uri="http://schemas.microsoft.com/office/word/2010/wordprocessingShape">
                    <wps:wsp>
                      <wps:cNvSpPr/>
                      <wps:spPr>
                        <a:xfrm>
                          <a:off x="0" y="0"/>
                          <a:ext cx="2458720"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wps:txbx>
                      <wps:bodyPr upright="1"/>
                    </wps:wsp>
                  </a:graphicData>
                </a:graphic>
              </wp:anchor>
            </w:drawing>
          </mc:Choice>
          <mc:Fallback>
            <w:pict>
              <v:rect id="_x0000_s1026" o:spid="_x0000_s1026" o:spt="1" style="position:absolute;left:0pt;margin-left:26.25pt;margin-top:5.15pt;height:103.3pt;width:193.6pt;z-index:251660288;mso-width-relative:page;mso-height-relative:page;" fillcolor="#FFFFFF" filled="t" stroked="t" coordsize="21600,21600" o:gfxdata="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J6sULYAAAACQEAAA8AAAAAAAAAAQAgAAAAIgAAAGRy&#10;cy9kb3ducmV2LnhtbFBLAQIUABQAAAAIAIdO4kDhcDe4BQIAACoEAAAOAAAAAAAAAAEAIAAAACcB&#10;AABkcnMvZTJvRG9jLnhtbFBLBQYAAAAABgAGAFkBAACeBQAAAAA=&#10;">
                <v:fill on="t" focussize="0,0"/>
                <v:stroke color="#000000" joinstyle="miter"/>
                <v:imagedata o:title=""/>
                <o:lock v:ext="edit" aspectratio="f"/>
                <v:textbox>
                  <w:txbxContent>
                    <w:p>
                      <w:pPr>
                        <w:spacing w:line="240" w:lineRule="auto"/>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法</w:t>
                      </w:r>
                      <w:r>
                        <w:rPr>
                          <w:rFonts w:hint="eastAsia" w:ascii="仿宋" w:hAnsi="仿宋" w:eastAsia="仿宋" w:cs="仿宋"/>
                          <w:szCs w:val="24"/>
                          <w:lang w:val="en-US" w:eastAsia="zh-CN"/>
                        </w:rPr>
                        <w:t>定代表人</w:t>
                      </w:r>
                      <w:r>
                        <w:rPr>
                          <w:rFonts w:hint="eastAsia" w:ascii="仿宋" w:hAnsi="仿宋" w:eastAsia="仿宋" w:cs="仿宋"/>
                          <w:szCs w:val="24"/>
                        </w:rPr>
                        <w:t>身份证复印件正面</w:t>
                      </w:r>
                    </w:p>
                  </w:txbxContent>
                </v:textbox>
              </v:rect>
            </w:pict>
          </mc:Fallback>
        </mc:AlternateContent>
      </w: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3528695</wp:posOffset>
                </wp:positionH>
                <wp:positionV relativeFrom="paragraph">
                  <wp:posOffset>110490</wp:posOffset>
                </wp:positionV>
                <wp:extent cx="2330450" cy="1330325"/>
                <wp:effectExtent l="4445" t="4445" r="14605" b="11430"/>
                <wp:wrapNone/>
                <wp:docPr id="7" name="矩形 7"/>
                <wp:cNvGraphicFramePr/>
                <a:graphic xmlns:a="http://schemas.openxmlformats.org/drawingml/2006/main">
                  <a:graphicData uri="http://schemas.microsoft.com/office/word/2010/wordprocessingShape">
                    <wps:wsp>
                      <wps:cNvSpPr/>
                      <wps:spPr>
                        <a:xfrm>
                          <a:off x="0" y="0"/>
                          <a:ext cx="2330450" cy="1330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wps:txbx>
                      <wps:bodyPr upright="1"/>
                    </wps:wsp>
                  </a:graphicData>
                </a:graphic>
              </wp:anchor>
            </w:drawing>
          </mc:Choice>
          <mc:Fallback>
            <w:pict>
              <v:rect id="_x0000_s1026" o:spid="_x0000_s1026" o:spt="1" style="position:absolute;left:0pt;margin-left:277.85pt;margin-top:8.7pt;height:104.75pt;width:183.5pt;z-index:251663360;mso-width-relative:page;mso-height-relative:page;" fillcolor="#FFFFFF" filled="t" stroked="t" coordsize="21600,21600" o:gfxdata="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7unr7YAAAACgEAAA8AAAAAAAAAAQAgAAAAIgAAAGRycy9kb3du&#10;cmV2LnhtbFBLAQIUABQAAAAIAIdO4kC5yYPN/wEAACoEAAAOAAAAAAAAAAEAIAAAACcBAABkcnMv&#10;ZTJvRG9jLnhtbFBLBQYAAAAABgAGAFkBAACYBQ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授权代表身份证复印件反面</w:t>
                      </w:r>
                    </w:p>
                  </w:txbxContent>
                </v:textbox>
              </v:rect>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304165</wp:posOffset>
                </wp:positionH>
                <wp:positionV relativeFrom="paragraph">
                  <wp:posOffset>147320</wp:posOffset>
                </wp:positionV>
                <wp:extent cx="2478405" cy="1311910"/>
                <wp:effectExtent l="4445" t="4445" r="6350" b="17145"/>
                <wp:wrapNone/>
                <wp:docPr id="5" name="矩形 5"/>
                <wp:cNvGraphicFramePr/>
                <a:graphic xmlns:a="http://schemas.openxmlformats.org/drawingml/2006/main">
                  <a:graphicData uri="http://schemas.microsoft.com/office/word/2010/wordprocessingShape">
                    <wps:wsp>
                      <wps:cNvSpPr/>
                      <wps:spPr>
                        <a:xfrm>
                          <a:off x="0" y="0"/>
                          <a:ext cx="2478405" cy="13119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wps:txbx>
                      <wps:bodyPr upright="1"/>
                    </wps:wsp>
                  </a:graphicData>
                </a:graphic>
              </wp:anchor>
            </w:drawing>
          </mc:Choice>
          <mc:Fallback>
            <w:pict>
              <v:rect id="_x0000_s1026" o:spid="_x0000_s1026" o:spt="1" style="position:absolute;left:0pt;margin-left:23.95pt;margin-top:11.6pt;height:103.3pt;width:195.15pt;z-index:251662336;mso-width-relative:page;mso-height-relative:page;" fillcolor="#FFFFFF" filled="t" stroked="t" coordsize="21600,21600" o:gfxdata="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CdH+JdgAAAAJAQAADwAAAAAAAAABACAAAAAiAAAAZHJz&#10;L2Rvd25yZXYueG1sUEsBAhQAFAAAAAgAh07iQCsZKrsEAgAAKgQAAA4AAAAAAAAAAQAgAAAAJwEA&#10;AGRycy9lMm9Eb2MueG1sUEsFBgAAAAAGAAYAWQEAAJ0FAAAAAA==&#10;">
                <v:fill on="t" focussize="0,0"/>
                <v:stroke color="#000000" joinstyle="miter"/>
                <v:imagedata o:title=""/>
                <o:lock v:ext="edit" aspectratio="f"/>
                <v:textbox>
                  <w:txbxContent>
                    <w:p>
                      <w:pPr>
                        <w:spacing w:line="240" w:lineRule="auto"/>
                        <w:jc w:val="center"/>
                        <w:rPr>
                          <w:rFonts w:hint="eastAsia" w:ascii="Calibri" w:hAnsi="Calibri"/>
                          <w:szCs w:val="24"/>
                        </w:rPr>
                      </w:pPr>
                    </w:p>
                    <w:p>
                      <w:pPr>
                        <w:spacing w:line="240" w:lineRule="auto"/>
                        <w:jc w:val="center"/>
                        <w:rPr>
                          <w:rFonts w:hint="eastAsia" w:ascii="Calibri" w:hAnsi="Calibri"/>
                          <w:szCs w:val="24"/>
                        </w:rPr>
                      </w:pPr>
                    </w:p>
                    <w:p>
                      <w:pPr>
                        <w:spacing w:line="240" w:lineRule="auto"/>
                        <w:jc w:val="center"/>
                        <w:rPr>
                          <w:rFonts w:hint="eastAsia" w:ascii="仿宋" w:hAnsi="仿宋" w:eastAsia="仿宋" w:cs="仿宋"/>
                          <w:szCs w:val="24"/>
                        </w:rPr>
                      </w:pPr>
                      <w:r>
                        <w:rPr>
                          <w:rFonts w:hint="eastAsia" w:ascii="仿宋" w:hAnsi="仿宋" w:eastAsia="仿宋" w:cs="仿宋"/>
                          <w:szCs w:val="24"/>
                        </w:rPr>
                        <w:t>授权代表身份证复印件正面</w:t>
                      </w:r>
                    </w:p>
                    <w:p>
                      <w:pPr>
                        <w:spacing w:line="240" w:lineRule="auto"/>
                        <w:rPr>
                          <w:rFonts w:hint="eastAsia" w:ascii="Calibri" w:hAnsi="Calibri"/>
                          <w:szCs w:val="24"/>
                        </w:rPr>
                      </w:pPr>
                    </w:p>
                    <w:p>
                      <w:pPr>
                        <w:spacing w:line="240" w:lineRule="auto"/>
                        <w:rPr>
                          <w:rFonts w:hint="eastAsia" w:ascii="Calibri" w:hAnsi="Calibri"/>
                          <w:szCs w:val="24"/>
                        </w:rPr>
                      </w:pPr>
                      <w:r>
                        <w:rPr>
                          <w:rFonts w:hint="eastAsia" w:ascii="Calibri" w:hAnsi="Calibri"/>
                          <w:szCs w:val="24"/>
                        </w:rPr>
                        <w:t xml:space="preserve">         </w:t>
                      </w:r>
                    </w:p>
                  </w:txbxContent>
                </v:textbox>
              </v:rect>
            </w:pict>
          </mc:Fallback>
        </mc:AlternateContent>
      </w: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ind w:left="1260"/>
        <w:outlineLvl w:val="9"/>
        <w:rPr>
          <w:rFonts w:hint="eastAsia" w:ascii="宋体" w:hAnsi="宋体" w:eastAsia="宋体" w:cs="宋体"/>
          <w:color w:val="auto"/>
          <w:szCs w:val="21"/>
          <w:highlight w:val="none"/>
        </w:rPr>
      </w:pPr>
    </w:p>
    <w:p>
      <w:pPr>
        <w:pageBreakBefore w:val="0"/>
        <w:topLinePunct w:val="0"/>
        <w:bidi w:val="0"/>
        <w:spacing w:line="240" w:lineRule="auto"/>
        <w:outlineLvl w:val="9"/>
        <w:rPr>
          <w:rFonts w:hint="eastAsia" w:ascii="宋体" w:hAnsi="宋体" w:eastAsia="宋体" w:cs="宋体"/>
          <w:color w:val="auto"/>
          <w:szCs w:val="21"/>
          <w:highlight w:val="none"/>
        </w:rPr>
      </w:pPr>
    </w:p>
    <w:p>
      <w:pPr>
        <w:pStyle w:val="27"/>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lang w:val="en-US" w:eastAsia="zh-CN"/>
        </w:rPr>
        <w:t>姓名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年龄：_______</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u w:val="single"/>
        </w:rPr>
        <w:t xml:space="preserve">                  （盖章）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年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pStyle w:val="21"/>
        <w:outlineLvl w:val="9"/>
        <w:rPr>
          <w:rFonts w:hint="eastAsia" w:ascii="宋体" w:hAnsi="宋体" w:eastAsia="宋体" w:cs="宋体"/>
          <w:color w:val="auto"/>
          <w:highlight w:val="none"/>
        </w:rPr>
        <w:sectPr>
          <w:pgSz w:w="11906" w:h="16838"/>
          <w:pgMar w:top="1134" w:right="1134" w:bottom="782" w:left="1134" w:header="851" w:footer="992" w:gutter="0"/>
          <w:pgBorders>
            <w:top w:val="none" w:sz="0" w:space="0"/>
            <w:left w:val="none" w:sz="0" w:space="0"/>
            <w:bottom w:val="none" w:sz="0" w:space="0"/>
            <w:right w:val="none" w:sz="0" w:space="0"/>
          </w:pgBorders>
          <w:pgNumType w:fmt="decimal"/>
          <w:cols w:space="720" w:num="1"/>
          <w:rtlGutter w:val="0"/>
          <w:docGrid w:type="lines" w:linePitch="385" w:charSpace="0"/>
        </w:sectPr>
      </w:pPr>
    </w:p>
    <w:p>
      <w:pPr>
        <w:pStyle w:val="21"/>
        <w:outlineLvl w:val="9"/>
        <w:rPr>
          <w:rFonts w:hint="eastAsia" w:ascii="宋体" w:hAnsi="宋体" w:eastAsia="宋体" w:cs="宋体"/>
          <w:color w:val="auto"/>
          <w:highlight w:val="none"/>
        </w:rPr>
      </w:pPr>
    </w:p>
    <w:p>
      <w:pPr>
        <w:numPr>
          <w:ilvl w:val="0"/>
          <w:numId w:val="15"/>
        </w:numPr>
        <w:jc w:val="center"/>
        <w:outlineLvl w:val="9"/>
        <w:rPr>
          <w:rFonts w:hint="eastAsia" w:ascii="宋体" w:hAnsi="宋体" w:eastAsia="宋体" w:cs="宋体"/>
          <w:b/>
          <w:color w:val="auto"/>
          <w:spacing w:val="0"/>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依法缴纳</w:t>
      </w:r>
      <w:r>
        <w:rPr>
          <w:rFonts w:hint="eastAsia" w:ascii="宋体" w:hAnsi="宋体" w:cs="宋体"/>
          <w:b/>
          <w:color w:val="auto"/>
          <w:kern w:val="2"/>
          <w:sz w:val="28"/>
          <w:szCs w:val="28"/>
          <w:highlight w:val="none"/>
          <w:lang w:val="en-US" w:eastAsia="zh-CN" w:bidi="ar-SA"/>
        </w:rPr>
        <w:t>税收</w:t>
      </w:r>
      <w:r>
        <w:rPr>
          <w:rFonts w:hint="eastAsia" w:ascii="宋体" w:hAnsi="宋体" w:eastAsia="宋体" w:cs="宋体"/>
          <w:b/>
          <w:color w:val="auto"/>
          <w:kern w:val="2"/>
          <w:sz w:val="28"/>
          <w:szCs w:val="28"/>
          <w:highlight w:val="none"/>
          <w:lang w:val="en-US" w:eastAsia="zh-CN" w:bidi="ar-SA"/>
        </w:rPr>
        <w:t>的证明材料</w:t>
      </w:r>
      <w:r>
        <w:rPr>
          <w:rFonts w:hint="eastAsia" w:ascii="宋体" w:hAnsi="宋体" w:eastAsia="宋体" w:cs="宋体"/>
          <w:b/>
          <w:color w:val="auto"/>
          <w:spacing w:val="0"/>
          <w:kern w:val="2"/>
          <w:sz w:val="28"/>
          <w:szCs w:val="28"/>
          <w:highlight w:val="none"/>
          <w:lang w:val="en-US" w:eastAsia="zh-CN" w:bidi="ar-SA"/>
        </w:rPr>
        <w:t>有依法缴纳社</w:t>
      </w:r>
      <w:r>
        <w:rPr>
          <w:rFonts w:hint="eastAsia" w:ascii="宋体" w:hAnsi="宋体" w:cs="宋体"/>
          <w:b/>
          <w:color w:val="auto"/>
          <w:kern w:val="2"/>
          <w:sz w:val="28"/>
          <w:szCs w:val="28"/>
          <w:highlight w:val="none"/>
          <w:lang w:val="en-US" w:eastAsia="zh-CN" w:bidi="ar-SA"/>
        </w:rPr>
        <w:t>税收</w:t>
      </w:r>
      <w:r>
        <w:rPr>
          <w:rFonts w:hint="eastAsia" w:ascii="宋体" w:hAnsi="宋体" w:eastAsia="宋体" w:cs="宋体"/>
          <w:b/>
          <w:color w:val="auto"/>
          <w:spacing w:val="0"/>
          <w:kern w:val="2"/>
          <w:sz w:val="28"/>
          <w:szCs w:val="28"/>
          <w:highlight w:val="none"/>
          <w:lang w:val="en-US" w:eastAsia="zh-CN" w:bidi="ar-SA"/>
        </w:rPr>
        <w:t>的良好记录：提供近段时间内（连续三个月、新成立的公司按实际发生提供）的税务部门出具的纳税证明；如依法免税的，应提供相应文件证明；</w:t>
      </w:r>
    </w:p>
    <w:p>
      <w:pPr>
        <w:pStyle w:val="21"/>
        <w:rPr>
          <w:rFonts w:hint="eastAsia" w:ascii="宋体" w:hAnsi="宋体" w:eastAsia="宋体" w:cs="宋体"/>
          <w:color w:val="auto"/>
          <w:highlight w:val="none"/>
          <w:lang w:val="en-US" w:eastAsia="zh-CN"/>
        </w:rPr>
      </w:pPr>
    </w:p>
    <w:p>
      <w:pPr>
        <w:pStyle w:val="21"/>
        <w:tabs>
          <w:tab w:val="left" w:pos="2959"/>
        </w:tabs>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ab/>
      </w:r>
    </w:p>
    <w:p>
      <w:pPr>
        <w:pStyle w:val="21"/>
        <w:tabs>
          <w:tab w:val="left" w:pos="2959"/>
        </w:tabs>
        <w:rPr>
          <w:rFonts w:hint="eastAsia" w:ascii="宋体" w:hAnsi="宋体" w:eastAsia="宋体" w:cs="宋体"/>
          <w:color w:val="auto"/>
          <w:highlight w:val="none"/>
          <w:lang w:val="en-US" w:eastAsia="zh-CN"/>
        </w:rPr>
      </w:pPr>
    </w:p>
    <w:p>
      <w:pPr>
        <w:pStyle w:val="21"/>
        <w:ind w:left="0" w:leftChars="0" w:firstLine="0" w:firstLineChars="0"/>
        <w:rPr>
          <w:rFonts w:hint="eastAsia" w:ascii="宋体" w:hAnsi="宋体" w:eastAsia="宋体" w:cs="宋体"/>
          <w:color w:val="auto"/>
          <w:sz w:val="28"/>
          <w:szCs w:val="28"/>
          <w:highlight w:val="none"/>
          <w:lang w:val="en-US" w:eastAsia="zh-CN"/>
        </w:rPr>
      </w:pPr>
      <w:r>
        <w:rPr>
          <w:rFonts w:hint="eastAsia" w:ascii="宋体" w:hAnsi="宋体" w:eastAsia="宋体" w:cs="宋体"/>
          <w:b/>
          <w:color w:val="auto"/>
          <w:spacing w:val="0"/>
          <w:kern w:val="2"/>
          <w:sz w:val="28"/>
          <w:szCs w:val="28"/>
          <w:highlight w:val="none"/>
          <w:lang w:val="en-US" w:eastAsia="zh-CN" w:bidi="ar-SA"/>
        </w:rPr>
        <w:t>6、提供近段时间内（连续三个月、新成立的公司按实际发生提供）的缴纳社保证明材料加盖公章。如依法不需要缴纳社会保障资金的，应提供相应文件证明；</w:t>
      </w:r>
    </w:p>
    <w:p>
      <w:pPr>
        <w:pStyle w:val="21"/>
        <w:rPr>
          <w:rFonts w:hint="eastAsia" w:ascii="宋体" w:hAnsi="宋体" w:eastAsia="宋体" w:cs="宋体"/>
          <w:color w:val="auto"/>
          <w:sz w:val="28"/>
          <w:szCs w:val="28"/>
          <w:highlight w:val="none"/>
          <w:lang w:val="en-US" w:eastAsia="zh-CN"/>
        </w:rPr>
      </w:pPr>
    </w:p>
    <w:p>
      <w:pPr>
        <w:numPr>
          <w:ilvl w:val="0"/>
          <w:numId w:val="0"/>
        </w:numPr>
        <w:jc w:val="left"/>
        <w:outlineLvl w:val="9"/>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7、提供2022年度由第三方财务审计机构出具的财务审计报告或提供银行出具的近期资信证明；</w:t>
      </w:r>
    </w:p>
    <w:p>
      <w:pPr>
        <w:numPr>
          <w:ilvl w:val="0"/>
          <w:numId w:val="0"/>
        </w:numPr>
        <w:jc w:val="center"/>
        <w:outlineLvl w:val="9"/>
        <w:rPr>
          <w:rFonts w:hint="eastAsia" w:ascii="宋体" w:hAnsi="宋体" w:eastAsia="宋体" w:cs="宋体"/>
          <w:b/>
          <w:color w:val="auto"/>
          <w:kern w:val="2"/>
          <w:sz w:val="28"/>
          <w:szCs w:val="28"/>
          <w:highlight w:val="none"/>
          <w:lang w:val="en-US" w:eastAsia="zh-CN" w:bidi="ar-SA"/>
        </w:rPr>
      </w:pPr>
    </w:p>
    <w:p>
      <w:pPr>
        <w:numPr>
          <w:ilvl w:val="0"/>
          <w:numId w:val="0"/>
        </w:numPr>
        <w:jc w:val="center"/>
        <w:outlineLvl w:val="9"/>
        <w:rPr>
          <w:rFonts w:hint="eastAsia" w:ascii="宋体" w:hAnsi="宋体" w:eastAsia="宋体" w:cs="宋体"/>
          <w:b/>
          <w:color w:val="auto"/>
          <w:kern w:val="2"/>
          <w:sz w:val="28"/>
          <w:szCs w:val="28"/>
          <w:highlight w:val="none"/>
          <w:lang w:val="en-US" w:eastAsia="zh-CN" w:bidi="ar-SA"/>
        </w:rPr>
      </w:pPr>
    </w:p>
    <w:p>
      <w:pPr>
        <w:numPr>
          <w:ilvl w:val="0"/>
          <w:numId w:val="0"/>
        </w:numPr>
        <w:jc w:val="both"/>
        <w:outlineLvl w:val="9"/>
        <w:rPr>
          <w:rFonts w:hint="eastAsia" w:ascii="宋体" w:hAnsi="宋体" w:eastAsia="宋体" w:cs="宋体"/>
          <w:color w:val="auto"/>
          <w:highlight w:val="none"/>
          <w:lang w:val="en-US" w:eastAsia="zh-CN"/>
        </w:rPr>
      </w:pPr>
      <w:r>
        <w:rPr>
          <w:rFonts w:hint="eastAsia" w:ascii="宋体" w:hAnsi="宋体" w:eastAsia="宋体" w:cs="宋体"/>
          <w:b/>
          <w:color w:val="auto"/>
          <w:kern w:val="2"/>
          <w:sz w:val="28"/>
          <w:szCs w:val="28"/>
          <w:highlight w:val="none"/>
          <w:lang w:val="en-US" w:eastAsia="zh-CN" w:bidi="ar-SA"/>
        </w:rPr>
        <w:t>8、信用查询结果</w:t>
      </w:r>
    </w:p>
    <w:p>
      <w:pPr>
        <w:numPr>
          <w:ilvl w:val="0"/>
          <w:numId w:val="0"/>
        </w:numPr>
        <w:ind w:firstLine="562" w:firstLineChars="200"/>
        <w:jc w:val="left"/>
        <w:outlineLvl w:val="9"/>
        <w:rPr>
          <w:rFonts w:hint="eastAsia" w:ascii="宋体" w:hAnsi="宋体" w:eastAsia="宋体" w:cs="宋体"/>
          <w:b/>
          <w:bCs w:val="0"/>
          <w:color w:val="auto"/>
          <w:kern w:val="2"/>
          <w:sz w:val="28"/>
          <w:szCs w:val="28"/>
          <w:highlight w:val="none"/>
          <w:lang w:val="en-US" w:eastAsia="zh-CN" w:bidi="ar-SA"/>
        </w:rPr>
      </w:pPr>
      <w:r>
        <w:rPr>
          <w:rFonts w:hint="eastAsia" w:ascii="宋体" w:hAnsi="宋体" w:eastAsia="宋体" w:cs="宋体"/>
          <w:b/>
          <w:bCs w:val="0"/>
          <w:color w:val="auto"/>
          <w:kern w:val="2"/>
          <w:sz w:val="28"/>
          <w:szCs w:val="28"/>
          <w:highlight w:val="none"/>
          <w:lang w:val="en-US" w:eastAsia="zh-CN" w:bidi="ar-SA"/>
        </w:rPr>
        <w:t>近三年拟参加本次招标项目的投标人在“信用中国（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经营异常名录的取消投标资格。</w:t>
      </w:r>
    </w:p>
    <w:p>
      <w:pPr>
        <w:pStyle w:val="7"/>
        <w:outlineLvl w:val="9"/>
        <w:rPr>
          <w:rFonts w:hint="eastAsia" w:ascii="宋体" w:hAnsi="宋体" w:eastAsia="宋体" w:cs="宋体"/>
          <w:color w:val="auto"/>
          <w:highlight w:val="none"/>
        </w:rPr>
      </w:pPr>
    </w:p>
    <w:p>
      <w:pPr>
        <w:spacing w:line="460" w:lineRule="exact"/>
        <w:jc w:val="center"/>
        <w:outlineLvl w:val="9"/>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rPr>
        <w:br w:type="page"/>
      </w:r>
      <w:r>
        <w:rPr>
          <w:rFonts w:hint="eastAsia" w:ascii="宋体" w:hAnsi="宋体" w:eastAsia="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、近</w:t>
      </w:r>
      <w:r>
        <w:rPr>
          <w:rFonts w:hint="eastAsia" w:ascii="宋体" w:hAnsi="宋体" w:eastAsia="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2020年至今</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业绩及相关证明</w:t>
      </w:r>
    </w:p>
    <w:p>
      <w:pPr>
        <w:pStyle w:val="7"/>
        <w:ind w:firstLine="0"/>
        <w:outlineLvl w:val="9"/>
        <w:rPr>
          <w:rFonts w:hint="eastAsia" w:ascii="宋体" w:hAnsi="宋体" w:eastAsia="宋体" w:cs="宋体"/>
          <w:color w:val="auto"/>
          <w:highlight w:val="none"/>
        </w:rPr>
      </w:pPr>
    </w:p>
    <w:p>
      <w:pPr>
        <w:pStyle w:val="52"/>
        <w:ind w:firstLine="240" w:firstLineChars="10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项目名称 ：                        </w:t>
      </w:r>
    </w:p>
    <w:tbl>
      <w:tblPr>
        <w:tblStyle w:val="22"/>
        <w:tblW w:w="0" w:type="auto"/>
        <w:jc w:val="center"/>
        <w:tblLayout w:type="fixed"/>
        <w:tblCellMar>
          <w:top w:w="0" w:type="dxa"/>
          <w:left w:w="108" w:type="dxa"/>
          <w:bottom w:w="0" w:type="dxa"/>
          <w:right w:w="108" w:type="dxa"/>
        </w:tblCellMar>
      </w:tblPr>
      <w:tblGrid>
        <w:gridCol w:w="873"/>
        <w:gridCol w:w="1456"/>
        <w:gridCol w:w="1719"/>
        <w:gridCol w:w="1712"/>
        <w:gridCol w:w="1858"/>
        <w:gridCol w:w="1858"/>
      </w:tblGrid>
      <w:tr>
        <w:trPr>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53"/>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53"/>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53"/>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53"/>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53"/>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备  注</w:t>
            </w: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r>
        <w:trPr>
          <w:jc w:val="center"/>
        </w:trPr>
        <w:tc>
          <w:tcPr>
            <w:tcW w:w="873"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456"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9"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712"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c>
          <w:tcPr>
            <w:tcW w:w="1858" w:type="dxa"/>
            <w:tcBorders>
              <w:top w:val="single" w:color="auto" w:sz="6" w:space="0"/>
              <w:left w:val="single" w:color="auto" w:sz="6" w:space="0"/>
              <w:bottom w:val="single" w:color="auto" w:sz="6" w:space="0"/>
              <w:right w:val="single" w:color="auto" w:sz="6" w:space="0"/>
            </w:tcBorders>
            <w:noWrap w:val="0"/>
            <w:vAlign w:val="top"/>
          </w:tcPr>
          <w:p>
            <w:pPr>
              <w:pStyle w:val="53"/>
              <w:outlineLvl w:val="9"/>
              <w:rPr>
                <w:rFonts w:hint="eastAsia" w:ascii="宋体" w:hAnsi="宋体" w:eastAsia="宋体" w:cs="宋体"/>
                <w:color w:val="auto"/>
                <w:highlight w:val="none"/>
              </w:rPr>
            </w:pPr>
          </w:p>
        </w:tc>
      </w:tr>
    </w:tbl>
    <w:p>
      <w:pPr>
        <w:spacing w:line="400" w:lineRule="exact"/>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提供相关证明（中标通知书或合同）</w:t>
      </w:r>
    </w:p>
    <w:p>
      <w:pPr>
        <w:outlineLvl w:val="9"/>
        <w:rPr>
          <w:rFonts w:hint="eastAsia" w:ascii="宋体" w:hAnsi="宋体" w:eastAsia="宋体" w:cs="宋体"/>
          <w:color w:val="auto"/>
          <w:highlight w:val="none"/>
        </w:rPr>
      </w:pPr>
    </w:p>
    <w:p>
      <w:pPr>
        <w:spacing w:line="400" w:lineRule="exact"/>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spacing w:line="400" w:lineRule="exact"/>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法定代表人或授权代表人（签字或盖章）：</w:t>
      </w:r>
      <w:r>
        <w:rPr>
          <w:rFonts w:hint="eastAsia" w:ascii="宋体" w:hAnsi="宋体" w:eastAsia="宋体" w:cs="宋体"/>
          <w:color w:val="auto"/>
          <w:sz w:val="24"/>
          <w:szCs w:val="24"/>
          <w:highlight w:val="none"/>
          <w:u w:val="single"/>
        </w:rPr>
        <w:t xml:space="preserve">             </w:t>
      </w:r>
    </w:p>
    <w:p>
      <w:pPr>
        <w:pStyle w:val="52"/>
        <w:tabs>
          <w:tab w:val="left" w:pos="540"/>
          <w:tab w:val="left" w:pos="1080"/>
        </w:tabs>
        <w:spacing w:line="400" w:lineRule="exact"/>
        <w:outlineLvl w:val="9"/>
        <w:rPr>
          <w:rFonts w:hint="eastAsia" w:ascii="宋体" w:hAnsi="宋体" w:eastAsia="宋体" w:cs="宋体"/>
          <w:color w:val="auto"/>
          <w:szCs w:val="24"/>
          <w:highlight w:val="none"/>
          <w:lang w:val="en-US" w:eastAsia="zh-CN"/>
        </w:rPr>
      </w:pPr>
      <w:r>
        <w:rPr>
          <w:rFonts w:hint="eastAsia" w:ascii="宋体" w:hAnsi="宋体" w:eastAsia="宋体" w:cs="宋体"/>
          <w:color w:val="auto"/>
          <w:szCs w:val="24"/>
          <w:highlight w:val="none"/>
          <w:lang w:val="en-US" w:eastAsia="zh-CN"/>
        </w:rPr>
        <w:t xml:space="preserve"> </w:t>
      </w:r>
    </w:p>
    <w:p>
      <w:pPr>
        <w:spacing w:line="400" w:lineRule="exact"/>
        <w:ind w:firstLine="240" w:firstLineChars="1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日期：   年  月  日</w:t>
      </w:r>
    </w:p>
    <w:p>
      <w:pPr>
        <w:pStyle w:val="52"/>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2"/>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2"/>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2"/>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2"/>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pStyle w:val="52"/>
        <w:tabs>
          <w:tab w:val="left" w:pos="540"/>
          <w:tab w:val="left" w:pos="1080"/>
        </w:tabs>
        <w:ind w:firstLine="275" w:firstLineChars="98"/>
        <w:jc w:val="center"/>
        <w:outlineLvl w:val="9"/>
        <w:rPr>
          <w:rFonts w:hint="eastAsia" w:ascii="宋体" w:hAnsi="宋体" w:eastAsia="宋体" w:cs="宋体"/>
          <w:b/>
          <w:color w:val="auto"/>
          <w:sz w:val="28"/>
          <w:szCs w:val="28"/>
          <w:highlight w:val="none"/>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lang w:val="en-US" w:eastAsia="zh-CN"/>
        </w:rPr>
      </w:pPr>
    </w:p>
    <w:p>
      <w:pPr>
        <w:jc w:val="center"/>
        <w:outlineLvl w:val="9"/>
        <w:rPr>
          <w:rFonts w:hint="eastAsia" w:ascii="宋体" w:hAnsi="宋体" w:eastAsia="宋体" w:cs="宋体"/>
          <w:b/>
          <w:color w:val="auto"/>
          <w:sz w:val="28"/>
          <w:szCs w:val="28"/>
          <w:highlight w:val="none"/>
        </w:rPr>
      </w:pPr>
      <w:r>
        <w:rPr>
          <w:rFonts w:hint="eastAsia" w:ascii="宋体" w:hAnsi="宋体" w:eastAsia="宋体" w:cs="宋体"/>
          <w:b/>
          <w:bCs/>
          <w:color w:val="auto"/>
          <w:sz w:val="32"/>
          <w:szCs w:val="32"/>
          <w:highlight w:val="none"/>
          <w:lang w:val="en-US" w:eastAsia="zh-CN"/>
        </w:rPr>
        <w:t>10、</w:t>
      </w:r>
      <w:r>
        <w:rPr>
          <w:rFonts w:hint="eastAsia" w:ascii="宋体" w:hAnsi="宋体" w:eastAsia="宋体" w:cs="宋体"/>
          <w:b/>
          <w:color w:val="auto"/>
          <w:sz w:val="28"/>
          <w:szCs w:val="28"/>
          <w:highlight w:val="none"/>
        </w:rPr>
        <w:t>商务条款偏离表</w:t>
      </w:r>
    </w:p>
    <w:p>
      <w:pPr>
        <w:outlineLvl w:val="9"/>
        <w:rPr>
          <w:rFonts w:hint="eastAsia" w:ascii="宋体" w:hAnsi="宋体" w:eastAsia="宋体" w:cs="宋体"/>
          <w:b/>
          <w:color w:val="auto"/>
          <w:sz w:val="28"/>
          <w:szCs w:val="28"/>
          <w:highlight w:val="none"/>
        </w:rPr>
      </w:pPr>
    </w:p>
    <w:p>
      <w:pPr>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686"/>
        <w:gridCol w:w="3175"/>
        <w:gridCol w:w="2607"/>
        <w:gridCol w:w="1026"/>
      </w:tblGrid>
      <w:tr>
        <w:trPr>
          <w:cantSplit/>
          <w:trHeight w:val="480" w:hRule="atLeast"/>
          <w:jc w:val="center"/>
        </w:trPr>
        <w:tc>
          <w:tcPr>
            <w:tcW w:w="901"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8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条目号</w:t>
            </w:r>
          </w:p>
        </w:tc>
        <w:tc>
          <w:tcPr>
            <w:tcW w:w="3175"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竞争性磋商文件</w:t>
            </w:r>
            <w:r>
              <w:rPr>
                <w:rFonts w:hint="eastAsia" w:ascii="宋体" w:hAnsi="宋体" w:eastAsia="宋体" w:cs="宋体"/>
                <w:color w:val="auto"/>
                <w:sz w:val="24"/>
                <w:szCs w:val="24"/>
                <w:highlight w:val="none"/>
              </w:rPr>
              <w:t>的商务条款</w:t>
            </w:r>
          </w:p>
        </w:tc>
        <w:tc>
          <w:tcPr>
            <w:tcW w:w="2607"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投标文件的商务条款</w:t>
            </w:r>
          </w:p>
        </w:tc>
        <w:tc>
          <w:tcPr>
            <w:tcW w:w="1026" w:type="dxa"/>
            <w:noWrap w:val="0"/>
            <w:vAlign w:val="center"/>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rPr>
          <w:cantSplit/>
          <w:trHeight w:val="435"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r>
        <w:trPr>
          <w:cantSplit/>
          <w:trHeight w:val="390" w:hRule="atLeast"/>
          <w:jc w:val="center"/>
        </w:trPr>
        <w:tc>
          <w:tcPr>
            <w:tcW w:w="901" w:type="dxa"/>
            <w:noWrap w:val="0"/>
            <w:vAlign w:val="top"/>
          </w:tcPr>
          <w:p>
            <w:pPr>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pPr>
              <w:jc w:val="center"/>
              <w:outlineLvl w:val="9"/>
              <w:rPr>
                <w:rFonts w:hint="eastAsia" w:ascii="宋体" w:hAnsi="宋体" w:eastAsia="宋体" w:cs="宋体"/>
                <w:color w:val="auto"/>
                <w:sz w:val="24"/>
                <w:szCs w:val="24"/>
                <w:highlight w:val="none"/>
              </w:rPr>
            </w:pPr>
          </w:p>
        </w:tc>
        <w:tc>
          <w:tcPr>
            <w:tcW w:w="1686" w:type="dxa"/>
            <w:noWrap w:val="0"/>
            <w:vAlign w:val="top"/>
          </w:tcPr>
          <w:p>
            <w:pPr>
              <w:widowControl/>
              <w:jc w:val="left"/>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tc>
        <w:tc>
          <w:tcPr>
            <w:tcW w:w="3175" w:type="dxa"/>
            <w:noWrap w:val="0"/>
            <w:vAlign w:val="top"/>
          </w:tcPr>
          <w:p>
            <w:pPr>
              <w:outlineLvl w:val="9"/>
              <w:rPr>
                <w:rFonts w:hint="eastAsia" w:ascii="宋体" w:hAnsi="宋体" w:eastAsia="宋体" w:cs="宋体"/>
                <w:color w:val="auto"/>
                <w:sz w:val="24"/>
                <w:szCs w:val="24"/>
                <w:highlight w:val="none"/>
              </w:rPr>
            </w:pPr>
          </w:p>
        </w:tc>
        <w:tc>
          <w:tcPr>
            <w:tcW w:w="2607" w:type="dxa"/>
            <w:noWrap w:val="0"/>
            <w:vAlign w:val="top"/>
          </w:tcPr>
          <w:p>
            <w:pPr>
              <w:outlineLvl w:val="9"/>
              <w:rPr>
                <w:rFonts w:hint="eastAsia" w:ascii="宋体" w:hAnsi="宋体" w:eastAsia="宋体" w:cs="宋体"/>
                <w:color w:val="auto"/>
                <w:sz w:val="24"/>
                <w:szCs w:val="24"/>
                <w:highlight w:val="none"/>
              </w:rPr>
            </w:pPr>
          </w:p>
        </w:tc>
        <w:tc>
          <w:tcPr>
            <w:tcW w:w="1026" w:type="dxa"/>
            <w:noWrap w:val="0"/>
            <w:vAlign w:val="top"/>
          </w:tcPr>
          <w:p>
            <w:pPr>
              <w:outlineLvl w:val="9"/>
              <w:rPr>
                <w:rFonts w:hint="eastAsia" w:ascii="宋体" w:hAnsi="宋体" w:eastAsia="宋体" w:cs="宋体"/>
                <w:color w:val="auto"/>
                <w:sz w:val="24"/>
                <w:szCs w:val="24"/>
                <w:highlight w:val="none"/>
              </w:rPr>
            </w:pPr>
          </w:p>
        </w:tc>
      </w:tr>
    </w:tbl>
    <w:p>
      <w:pPr>
        <w:adjustRightInd w:val="0"/>
        <w:snapToGrid w:val="0"/>
        <w:spacing w:line="360" w:lineRule="auto"/>
        <w:rPr>
          <w:rFonts w:hint="eastAsia" w:ascii="宋体" w:hAnsi="宋体" w:eastAsia="宋体" w:cs="宋体"/>
          <w:sz w:val="24"/>
          <w:szCs w:val="28"/>
          <w:highlight w:val="none"/>
        </w:rPr>
      </w:pPr>
      <w:r>
        <w:rPr>
          <w:rFonts w:hint="eastAsia" w:ascii="宋体" w:hAnsi="宋体" w:eastAsia="宋体" w:cs="宋体"/>
          <w:sz w:val="24"/>
          <w:szCs w:val="28"/>
          <w:highlight w:val="none"/>
        </w:rPr>
        <w:t>说明：</w:t>
      </w:r>
    </w:p>
    <w:p>
      <w:pPr>
        <w:pStyle w:val="54"/>
        <w:numPr>
          <w:ilvl w:val="0"/>
          <w:numId w:val="16"/>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投标人必须对应</w:t>
      </w:r>
      <w:r>
        <w:rPr>
          <w:rFonts w:hint="eastAsia" w:ascii="宋体" w:hAnsi="宋体" w:cs="宋体"/>
          <w:color w:val="auto"/>
          <w:sz w:val="24"/>
          <w:highlight w:val="none"/>
          <w:lang w:val="en-US" w:eastAsia="zh-CN"/>
        </w:rPr>
        <w:t>采购需求</w:t>
      </w:r>
      <w:r>
        <w:rPr>
          <w:rFonts w:hint="eastAsia" w:ascii="宋体" w:hAnsi="宋体" w:eastAsia="宋体" w:cs="宋体"/>
          <w:color w:val="auto"/>
          <w:sz w:val="24"/>
          <w:highlight w:val="none"/>
        </w:rPr>
        <w:t>条款逐条应答并按要求填写下表。</w:t>
      </w:r>
    </w:p>
    <w:p>
      <w:pPr>
        <w:pStyle w:val="54"/>
        <w:numPr>
          <w:ilvl w:val="0"/>
          <w:numId w:val="16"/>
        </w:numPr>
        <w:snapToGrid w:val="0"/>
        <w:spacing w:line="360" w:lineRule="auto"/>
        <w:ind w:firstLineChars="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投标人响应描述：</w:t>
      </w:r>
      <w:r>
        <w:rPr>
          <w:rFonts w:hint="eastAsia" w:ascii="宋体" w:hAnsi="宋体" w:eastAsia="宋体" w:cs="宋体"/>
          <w:bCs/>
          <w:color w:val="auto"/>
          <w:sz w:val="24"/>
          <w:highlight w:val="none"/>
        </w:rPr>
        <w:t>投标人按响应货物</w:t>
      </w:r>
      <w:r>
        <w:rPr>
          <w:rFonts w:hint="eastAsia" w:ascii="宋体" w:hAnsi="宋体" w:eastAsia="宋体" w:cs="宋体"/>
          <w:bCs/>
          <w:color w:val="auto"/>
          <w:sz w:val="24"/>
          <w:highlight w:val="none"/>
          <w:lang w:val="en-US" w:eastAsia="zh-CN"/>
        </w:rPr>
        <w:t>或服务</w:t>
      </w:r>
      <w:r>
        <w:rPr>
          <w:rFonts w:hint="eastAsia" w:ascii="宋体" w:hAnsi="宋体" w:eastAsia="宋体" w:cs="宋体"/>
          <w:bCs/>
          <w:color w:val="auto"/>
          <w:sz w:val="24"/>
          <w:highlight w:val="none"/>
        </w:rPr>
        <w:t>实际数据填写</w:t>
      </w:r>
      <w:r>
        <w:rPr>
          <w:rFonts w:hint="eastAsia" w:ascii="宋体" w:hAnsi="宋体" w:eastAsia="宋体" w:cs="宋体"/>
          <w:bCs/>
          <w:color w:val="auto"/>
          <w:sz w:val="24"/>
          <w:highlight w:val="none"/>
          <w:lang w:eastAsia="zh-CN"/>
        </w:rPr>
        <w:t>，</w:t>
      </w:r>
      <w:r>
        <w:rPr>
          <w:rFonts w:hint="eastAsia" w:ascii="宋体" w:hAnsi="宋体" w:eastAsia="宋体" w:cs="宋体"/>
          <w:bCs/>
          <w:color w:val="auto"/>
          <w:sz w:val="24"/>
          <w:highlight w:val="none"/>
          <w:lang w:val="en-US" w:eastAsia="zh-CN"/>
        </w:rPr>
        <w:t>逐条应答，否则视为未响应。</w:t>
      </w:r>
    </w:p>
    <w:p>
      <w:pPr>
        <w:pStyle w:val="54"/>
        <w:numPr>
          <w:ilvl w:val="0"/>
          <w:numId w:val="16"/>
        </w:numPr>
        <w:snapToGrid w:val="0"/>
        <w:spacing w:line="360" w:lineRule="auto"/>
        <w:ind w:firstLineChars="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投标人应按招标文件要求附相关证明文件，如有任何一项不响应或不满足的视为负偏离。</w:t>
      </w:r>
    </w:p>
    <w:p>
      <w:pPr>
        <w:pStyle w:val="54"/>
        <w:numPr>
          <w:ilvl w:val="0"/>
          <w:numId w:val="16"/>
        </w:numPr>
        <w:snapToGrid w:val="0"/>
        <w:spacing w:line="360" w:lineRule="auto"/>
        <w:ind w:firstLineChars="0"/>
        <w:rPr>
          <w:rFonts w:hint="eastAsia" w:ascii="宋体" w:hAnsi="宋体" w:eastAsia="宋体" w:cs="宋体"/>
          <w:bCs/>
          <w:snapToGrid w:val="0"/>
          <w:color w:val="auto"/>
          <w:sz w:val="24"/>
          <w:highlight w:val="none"/>
        </w:rPr>
      </w:pPr>
      <w:r>
        <w:rPr>
          <w:rFonts w:hint="eastAsia" w:ascii="宋体" w:hAnsi="宋体" w:eastAsia="宋体" w:cs="宋体"/>
          <w:snapToGrid w:val="0"/>
          <w:color w:val="auto"/>
          <w:sz w:val="24"/>
          <w:highlight w:val="none"/>
        </w:rPr>
        <w:t>偏离情况说明：投标人根据投标人实际情况填写“正偏离”“完全响应”或“负偏离”。</w:t>
      </w:r>
    </w:p>
    <w:p>
      <w:pPr>
        <w:outlineLvl w:val="9"/>
        <w:rPr>
          <w:rFonts w:hint="eastAsia" w:ascii="宋体" w:hAnsi="宋体" w:eastAsia="宋体" w:cs="宋体"/>
          <w:color w:val="auto"/>
          <w:sz w:val="24"/>
          <w:szCs w:val="24"/>
          <w:highlight w:val="none"/>
        </w:rPr>
      </w:pPr>
    </w:p>
    <w:p>
      <w:pPr>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 xml:space="preserve">　投标单位： </w:t>
      </w:r>
      <w:r>
        <w:rPr>
          <w:rFonts w:hint="eastAsia" w:ascii="宋体" w:hAnsi="宋体" w:eastAsia="宋体" w:cs="宋体"/>
          <w:color w:val="auto"/>
          <w:sz w:val="24"/>
          <w:szCs w:val="24"/>
          <w:highlight w:val="none"/>
          <w:u w:val="single"/>
        </w:rPr>
        <w:t xml:space="preserve">                       （盖单位章）   </w:t>
      </w:r>
      <w:r>
        <w:rPr>
          <w:rFonts w:hint="eastAsia" w:ascii="宋体" w:hAnsi="宋体" w:eastAsia="宋体" w:cs="宋体"/>
          <w:color w:val="auto"/>
          <w:sz w:val="24"/>
          <w:szCs w:val="24"/>
          <w:highlight w:val="none"/>
          <w:u w:val="single"/>
          <w:lang w:val="en-US" w:eastAsia="zh-CN"/>
        </w:rPr>
        <w:t xml:space="preserve">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w:t>
      </w:r>
    </w:p>
    <w:p>
      <w:pP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ind w:firstLine="240" w:firstLineChars="1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pPr>
        <w:pStyle w:val="52"/>
        <w:tabs>
          <w:tab w:val="left" w:pos="540"/>
          <w:tab w:val="left" w:pos="1080"/>
        </w:tabs>
        <w:ind w:firstLine="480" w:firstLineChars="200"/>
        <w:jc w:val="center"/>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rPr>
        <w:br w:type="page"/>
      </w:r>
    </w:p>
    <w:p>
      <w:pPr>
        <w:autoSpaceDE w:val="0"/>
        <w:autoSpaceDN w:val="0"/>
        <w:adjustRightInd w:val="0"/>
        <w:jc w:val="center"/>
        <w:outlineLvl w:val="9"/>
        <w:rPr>
          <w:rFonts w:hint="eastAsia" w:ascii="宋体" w:hAnsi="宋体" w:eastAsia="宋体" w:cs="宋体"/>
          <w:b/>
          <w:color w:val="auto"/>
          <w:kern w:val="0"/>
          <w:sz w:val="28"/>
          <w:szCs w:val="28"/>
          <w:highlight w:val="none"/>
          <w:lang w:val="zh-CN"/>
        </w:rPr>
      </w:pPr>
      <w:r>
        <w:rPr>
          <w:rFonts w:hint="eastAsia" w:ascii="宋体" w:hAnsi="宋体" w:eastAsia="宋体" w:cs="宋体"/>
          <w:b/>
          <w:bCs/>
          <w:color w:val="auto"/>
          <w:sz w:val="28"/>
          <w:szCs w:val="28"/>
          <w:highlight w:val="none"/>
          <w:lang w:val="en-US" w:eastAsia="zh-CN"/>
        </w:rPr>
        <w:t>11</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0"/>
          <w:sz w:val="28"/>
          <w:szCs w:val="28"/>
          <w:highlight w:val="none"/>
          <w:lang w:val="zh-CN"/>
        </w:rPr>
        <w:t>投标单位（投标人）反商业贿赂承诺书</w:t>
      </w:r>
    </w:p>
    <w:p>
      <w:pPr>
        <w:autoSpaceDE w:val="0"/>
        <w:autoSpaceDN w:val="0"/>
        <w:adjustRightInd w:val="0"/>
        <w:ind w:left="220"/>
        <w:jc w:val="left"/>
        <w:outlineLvl w:val="9"/>
        <w:rPr>
          <w:rFonts w:hint="eastAsia" w:ascii="宋体" w:hAnsi="宋体" w:eastAsia="宋体" w:cs="宋体"/>
          <w:color w:val="auto"/>
          <w:kern w:val="0"/>
          <w:sz w:val="28"/>
          <w:szCs w:val="28"/>
          <w:highlight w:val="none"/>
          <w:lang w:val="zh-CN"/>
        </w:rPr>
      </w:pPr>
      <w:r>
        <w:rPr>
          <w:rFonts w:hint="eastAsia" w:ascii="宋体" w:hAnsi="宋体" w:eastAsia="宋体" w:cs="宋体"/>
          <w:color w:val="auto"/>
          <w:kern w:val="0"/>
          <w:sz w:val="28"/>
          <w:szCs w:val="28"/>
          <w:highlight w:val="none"/>
          <w:lang w:val="zh-CN"/>
        </w:rPr>
        <w:t xml:space="preserve">   </w:t>
      </w:r>
    </w:p>
    <w:p>
      <w:pPr>
        <w:autoSpaceDE w:val="0"/>
        <w:autoSpaceDN w:val="0"/>
        <w:adjustRightInd w:val="0"/>
        <w:ind w:left="220"/>
        <w:jc w:val="left"/>
        <w:outlineLvl w:val="9"/>
        <w:rPr>
          <w:rFonts w:hint="eastAsia" w:ascii="宋体" w:hAnsi="宋体" w:eastAsia="宋体" w:cs="宋体"/>
          <w:color w:val="auto"/>
          <w:kern w:val="0"/>
          <w:sz w:val="28"/>
          <w:szCs w:val="28"/>
          <w:highlight w:val="none"/>
          <w:lang w:val="zh-CN"/>
        </w:rPr>
      </w:pPr>
    </w:p>
    <w:p>
      <w:pPr>
        <w:autoSpaceDE w:val="0"/>
        <w:autoSpaceDN w:val="0"/>
        <w:adjustRightInd w:val="0"/>
        <w:ind w:firstLine="480" w:firstLineChars="200"/>
        <w:outlineLvl w:val="9"/>
        <w:rPr>
          <w:rFonts w:hint="eastAsia" w:ascii="宋体" w:hAnsi="宋体" w:eastAsia="宋体" w:cs="宋体"/>
          <w:bCs/>
          <w:color w:val="auto"/>
          <w:sz w:val="24"/>
          <w:szCs w:val="24"/>
          <w:highlight w:val="none"/>
          <w:lang w:val="zh-CN"/>
        </w:rPr>
      </w:pPr>
      <w:r>
        <w:rPr>
          <w:rFonts w:hint="eastAsia" w:ascii="宋体" w:hAnsi="宋体" w:eastAsia="宋体" w:cs="宋体"/>
          <w:color w:val="auto"/>
          <w:kern w:val="0"/>
          <w:sz w:val="24"/>
          <w:szCs w:val="24"/>
          <w:highlight w:val="none"/>
          <w:lang w:val="zh-CN"/>
        </w:rPr>
        <w:t>我公司承诺在</w:t>
      </w:r>
      <w:r>
        <w:rPr>
          <w:rFonts w:hint="eastAsia" w:ascii="宋体" w:hAnsi="宋体" w:eastAsia="宋体" w:cs="宋体"/>
          <w:bCs/>
          <w:color w:val="auto"/>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 xml:space="preserve">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outlineLvl w:val="9"/>
        <w:rPr>
          <w:rFonts w:hint="eastAsia" w:ascii="宋体" w:hAnsi="宋体" w:eastAsia="宋体" w:cs="宋体"/>
          <w:color w:val="auto"/>
          <w:sz w:val="24"/>
          <w:szCs w:val="24"/>
          <w:highlight w:val="none"/>
        </w:rPr>
      </w:pPr>
    </w:p>
    <w:p>
      <w:pPr>
        <w:spacing w:before="100" w:beforeAutospacing="1" w:after="100" w:afterAutospacing="1"/>
        <w:ind w:firstLine="240" w:firstLineChars="1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投标单位： </w:t>
      </w:r>
      <w:r>
        <w:rPr>
          <w:rFonts w:hint="eastAsia" w:ascii="宋体" w:hAnsi="宋体" w:eastAsia="宋体" w:cs="宋体"/>
          <w:color w:val="auto"/>
          <w:sz w:val="24"/>
          <w:szCs w:val="24"/>
          <w:highlight w:val="none"/>
          <w:u w:val="single"/>
        </w:rPr>
        <w:t xml:space="preserve">                       （盖单位章）   </w:t>
      </w:r>
    </w:p>
    <w:p>
      <w:pPr>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法定代表人或授权代表人（签字或盖章）：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before="100" w:beforeAutospacing="1" w:after="100" w:afterAutospacing="1"/>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CN"/>
        </w:rPr>
        <w:t>项目经办人签字：</w:t>
      </w:r>
      <w:r>
        <w:rPr>
          <w:rFonts w:hint="eastAsia" w:ascii="宋体" w:hAnsi="宋体" w:eastAsia="宋体" w:cs="宋体"/>
          <w:color w:val="auto"/>
          <w:sz w:val="24"/>
          <w:szCs w:val="24"/>
          <w:highlight w:val="none"/>
          <w:u w:val="single"/>
        </w:rPr>
        <w:t xml:space="preserve">                                  </w:t>
      </w:r>
    </w:p>
    <w:p>
      <w:pPr>
        <w:spacing w:before="100" w:beforeAutospacing="1" w:after="100" w:afterAutospacing="1"/>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 xml:space="preserve"> 日期：   年   月   日</w:t>
      </w: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autoSpaceDE w:val="0"/>
        <w:autoSpaceDN w:val="0"/>
        <w:adjustRightInd w:val="0"/>
        <w:ind w:left="220"/>
        <w:jc w:val="left"/>
        <w:outlineLvl w:val="9"/>
        <w:rPr>
          <w:rFonts w:hint="eastAsia" w:ascii="宋体" w:hAnsi="宋体" w:eastAsia="宋体" w:cs="宋体"/>
          <w:color w:val="auto"/>
          <w:kern w:val="0"/>
          <w:sz w:val="24"/>
          <w:szCs w:val="24"/>
          <w:highlight w:val="none"/>
          <w:lang w:val="zh-CN"/>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pStyle w:val="7"/>
        <w:widowControl w:val="0"/>
        <w:numPr>
          <w:ilvl w:val="0"/>
          <w:numId w:val="0"/>
        </w:numPr>
        <w:spacing w:line="420" w:lineRule="exact"/>
        <w:jc w:val="both"/>
        <w:outlineLvl w:val="9"/>
        <w:rPr>
          <w:rFonts w:hint="eastAsia" w:ascii="宋体" w:hAnsi="宋体" w:eastAsia="宋体" w:cs="宋体"/>
          <w:color w:val="auto"/>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numPr>
          <w:ilvl w:val="0"/>
          <w:numId w:val="0"/>
        </w:num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lang w:eastAsia="zh-CN"/>
        </w:rPr>
        <w:t>投标保证金</w:t>
      </w:r>
      <w:r>
        <w:rPr>
          <w:rFonts w:hint="eastAsia" w:ascii="宋体" w:hAnsi="宋体" w:eastAsia="宋体" w:cs="宋体"/>
          <w:b/>
          <w:bCs/>
          <w:color w:val="auto"/>
          <w:sz w:val="24"/>
          <w:szCs w:val="24"/>
          <w:highlight w:val="none"/>
          <w:lang w:val="en-US" w:eastAsia="zh-CN"/>
        </w:rPr>
        <w:t>汇</w:t>
      </w:r>
      <w:r>
        <w:rPr>
          <w:rFonts w:hint="eastAsia" w:ascii="宋体" w:hAnsi="宋体" w:eastAsia="宋体" w:cs="宋体"/>
          <w:b/>
          <w:bCs/>
          <w:color w:val="auto"/>
          <w:sz w:val="24"/>
          <w:szCs w:val="24"/>
          <w:highlight w:val="none"/>
          <w:lang w:eastAsia="zh-CN"/>
        </w:rPr>
        <w:t>款凭证</w:t>
      </w:r>
      <w:r>
        <w:rPr>
          <w:rFonts w:hint="eastAsia" w:ascii="宋体" w:hAnsi="宋体" w:eastAsia="宋体" w:cs="宋体"/>
          <w:b/>
          <w:bCs/>
          <w:color w:val="auto"/>
          <w:sz w:val="24"/>
          <w:szCs w:val="24"/>
          <w:highlight w:val="none"/>
        </w:rPr>
        <w:t>；</w:t>
      </w: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tbl>
      <w:tblPr>
        <w:tblStyle w:val="23"/>
        <w:tblpPr w:leftFromText="180" w:rightFromText="180" w:vertAnchor="text" w:horzAnchor="page" w:tblpXSpec="center" w:tblpY="3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0"/>
      </w:tblGrid>
      <w:tr>
        <w:trPr>
          <w:trHeight w:val="4512" w:hRule="atLeast"/>
          <w:jc w:val="center"/>
        </w:trPr>
        <w:tc>
          <w:tcPr>
            <w:tcW w:w="8680" w:type="dxa"/>
            <w:noWrap w:val="0"/>
            <w:vAlign w:val="top"/>
          </w:tcPr>
          <w:p>
            <w:pPr>
              <w:keepNext/>
              <w:keepLines/>
              <w:widowControl w:val="0"/>
              <w:numPr>
                <w:ilvl w:val="0"/>
                <w:numId w:val="0"/>
              </w:numPr>
              <w:spacing w:before="260" w:beforeLines="0" w:after="260" w:afterLines="0" w:line="416" w:lineRule="auto"/>
              <w:jc w:val="cente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rPr>
            </w:pPr>
          </w:p>
          <w:p>
            <w:pPr>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vertAlign w:val="baseline"/>
                <w:lang w:val="en-US" w:eastAsia="zh-CN"/>
              </w:rPr>
              <w:t xml:space="preserve">                   保证金缴纳凭证</w:t>
            </w:r>
          </w:p>
        </w:tc>
      </w:tr>
    </w:tbl>
    <w:p>
      <w:pPr>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pStyle w:val="21"/>
        <w:rPr>
          <w:rFonts w:hint="eastAsia" w:ascii="宋体" w:hAnsi="宋体" w:eastAsia="宋体" w:cs="宋体"/>
          <w:b/>
          <w:bCs/>
          <w:color w:val="auto"/>
          <w:sz w:val="44"/>
          <w:szCs w:val="44"/>
          <w:highlight w:val="none"/>
        </w:rPr>
      </w:pPr>
    </w:p>
    <w:p>
      <w:pPr>
        <w:pStyle w:val="21"/>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pStyle w:val="27"/>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第三部分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b/>
          <w:bCs/>
          <w:color w:val="auto"/>
          <w:sz w:val="44"/>
          <w:szCs w:val="44"/>
          <w:highlight w:val="none"/>
        </w:rPr>
      </w:pPr>
      <w:bookmarkStart w:id="145" w:name="_Toc4500"/>
      <w:bookmarkStart w:id="146" w:name="_Toc30654_WPSOffice_Level1"/>
      <w:bookmarkStart w:id="147" w:name="_Toc25918"/>
      <w:bookmarkStart w:id="148" w:name="_Toc25262_WPSOffice_Level1"/>
      <w:bookmarkStart w:id="149" w:name="_Toc18705"/>
      <w:r>
        <w:rPr>
          <w:rFonts w:hint="eastAsia" w:ascii="宋体" w:hAnsi="宋体" w:eastAsia="宋体" w:cs="宋体"/>
          <w:b/>
          <w:bCs/>
          <w:color w:val="auto"/>
          <w:sz w:val="44"/>
          <w:szCs w:val="44"/>
          <w:highlight w:val="none"/>
        </w:rPr>
        <w:t>技术部分</w:t>
      </w:r>
      <w:bookmarkEnd w:id="145"/>
      <w:bookmarkEnd w:id="146"/>
      <w:bookmarkEnd w:id="147"/>
      <w:bookmarkEnd w:id="148"/>
      <w:bookmarkEnd w:id="149"/>
    </w:p>
    <w:p>
      <w:pPr>
        <w:ind w:left="2880" w:hanging="2880"/>
        <w:jc w:val="center"/>
        <w:outlineLvl w:val="9"/>
        <w:rPr>
          <w:rFonts w:hint="eastAsia" w:ascii="宋体" w:hAnsi="宋体" w:eastAsia="宋体" w:cs="宋体"/>
          <w:b/>
          <w:color w:val="auto"/>
          <w:sz w:val="28"/>
          <w:szCs w:val="28"/>
          <w:highlight w:val="none"/>
        </w:rPr>
      </w:pPr>
    </w:p>
    <w:p>
      <w:pPr>
        <w:jc w:val="both"/>
        <w:outlineLvl w:val="9"/>
        <w:rPr>
          <w:rFonts w:hint="eastAsia" w:ascii="宋体" w:hAnsi="宋体" w:eastAsia="宋体" w:cs="宋体"/>
          <w:b/>
          <w:color w:val="auto"/>
          <w:sz w:val="28"/>
          <w:szCs w:val="28"/>
          <w:highlight w:val="none"/>
        </w:rPr>
      </w:pPr>
    </w:p>
    <w:p>
      <w:pPr>
        <w:adjustRightInd w:val="0"/>
        <w:snapToGrid w:val="0"/>
        <w:spacing w:before="319" w:beforeLines="100" w:line="360" w:lineRule="auto"/>
        <w:ind w:right="105" w:rightChars="50"/>
        <w:jc w:val="center"/>
        <w:outlineLvl w:val="9"/>
        <w:rPr>
          <w:rFonts w:hint="eastAsia" w:ascii="宋体" w:hAnsi="宋体" w:eastAsia="宋体" w:cs="宋体"/>
          <w:b/>
          <w:bCs/>
          <w:color w:val="auto"/>
          <w:sz w:val="32"/>
          <w:szCs w:val="32"/>
          <w:highlight w:val="none"/>
        </w:rPr>
      </w:pPr>
      <w:r>
        <w:rPr>
          <w:rFonts w:hint="eastAsia" w:ascii="宋体" w:hAnsi="宋体" w:eastAsia="宋体" w:cs="宋体"/>
          <w:b/>
          <w:color w:val="auto"/>
          <w:sz w:val="30"/>
          <w:highlight w:val="none"/>
          <w:lang w:val="en-US" w:eastAsia="zh-CN"/>
        </w:rPr>
        <w:br w:type="page"/>
      </w:r>
      <w:bookmarkStart w:id="150" w:name="_Toc1732"/>
      <w:bookmarkStart w:id="151" w:name="_Toc3724"/>
      <w:bookmarkStart w:id="152" w:name="_Toc20619"/>
      <w:r>
        <w:rPr>
          <w:rFonts w:hint="eastAsia" w:ascii="宋体" w:hAnsi="宋体" w:eastAsia="宋体" w:cs="宋体"/>
          <w:b/>
          <w:color w:val="auto"/>
          <w:sz w:val="28"/>
          <w:szCs w:val="18"/>
          <w:highlight w:val="none"/>
          <w:lang w:val="en-US" w:eastAsia="zh-CN"/>
        </w:rPr>
        <w:t>1、</w:t>
      </w:r>
      <w:bookmarkEnd w:id="150"/>
      <w:bookmarkEnd w:id="151"/>
      <w:bookmarkEnd w:id="152"/>
      <w:bookmarkStart w:id="153" w:name="_Toc9235_WPSOffice_Level2"/>
      <w:bookmarkStart w:id="154" w:name="_Toc31555_WPSOffice_Level2"/>
      <w:r>
        <w:rPr>
          <w:rFonts w:hint="eastAsia" w:ascii="宋体" w:hAnsi="宋体" w:eastAsia="宋体" w:cs="宋体"/>
          <w:b/>
          <w:bCs/>
          <w:color w:val="auto"/>
          <w:sz w:val="32"/>
          <w:szCs w:val="32"/>
          <w:highlight w:val="none"/>
        </w:rPr>
        <w:t>服务需求响应表</w:t>
      </w:r>
      <w:bookmarkEnd w:id="153"/>
      <w:bookmarkEnd w:id="154"/>
    </w:p>
    <w:tbl>
      <w:tblPr>
        <w:tblStyle w:val="22"/>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3144"/>
        <w:gridCol w:w="1118"/>
        <w:gridCol w:w="1166"/>
        <w:gridCol w:w="1118"/>
      </w:tblGrid>
      <w:tr>
        <w:trPr>
          <w:trHeight w:val="817" w:hRule="atLeast"/>
        </w:trPr>
        <w:tc>
          <w:tcPr>
            <w:tcW w:w="8897"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right="105" w:rightChars="50"/>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包号/序号：</w:t>
            </w:r>
          </w:p>
          <w:p>
            <w:pPr>
              <w:tabs>
                <w:tab w:val="left" w:pos="0"/>
              </w:tabs>
              <w:adjustRightInd w:val="0"/>
              <w:snapToGrid w:val="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服务内容：</w:t>
            </w:r>
          </w:p>
        </w:tc>
      </w:tr>
      <w:tr>
        <w:trPr>
          <w:trHeight w:val="1299"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w:t>
            </w:r>
          </w:p>
          <w:p>
            <w:pPr>
              <w:tabs>
                <w:tab w:val="left" w:pos="0"/>
              </w:tabs>
              <w:spacing w:line="24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响应内容</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偏离程度</w:t>
            </w: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偏离说明</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证明资料</w:t>
            </w:r>
          </w:p>
        </w:tc>
      </w:tr>
      <w:tr>
        <w:trPr>
          <w:trHeight w:val="1086"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按服务需求填写</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center"/>
              <w:outlineLvl w:val="9"/>
              <w:rPr>
                <w:rFonts w:hint="eastAsia" w:ascii="宋体" w:hAnsi="宋体" w:eastAsia="宋体" w:cs="宋体"/>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r>
      <w:tr>
        <w:trPr>
          <w:trHeight w:val="2001" w:hRule="atLeast"/>
        </w:trPr>
        <w:tc>
          <w:tcPr>
            <w:tcW w:w="23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ind w:hanging="1"/>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其他</w:t>
            </w:r>
          </w:p>
        </w:tc>
        <w:tc>
          <w:tcPr>
            <w:tcW w:w="3144" w:type="dxa"/>
            <w:tcBorders>
              <w:top w:val="single" w:color="auto" w:sz="4" w:space="0"/>
              <w:left w:val="single" w:color="auto" w:sz="4" w:space="0"/>
              <w:bottom w:val="single" w:color="auto" w:sz="4" w:space="0"/>
              <w:right w:val="single" w:color="auto" w:sz="4" w:space="0"/>
            </w:tcBorders>
            <w:noWrap w:val="0"/>
            <w:vAlign w:val="center"/>
          </w:tcPr>
          <w:p>
            <w:pPr>
              <w:tabs>
                <w:tab w:val="left" w:pos="0"/>
              </w:tabs>
              <w:adjustRightInd w:val="0"/>
              <w:snapToGrid w:val="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采购单位未提供需求而投标人认为需说明及补充的内容在此填列</w:t>
            </w: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66"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c>
          <w:tcPr>
            <w:tcW w:w="1118" w:type="dxa"/>
            <w:tcBorders>
              <w:top w:val="single" w:color="auto" w:sz="4" w:space="0"/>
              <w:left w:val="single" w:color="auto" w:sz="4" w:space="0"/>
              <w:bottom w:val="single" w:color="auto" w:sz="4" w:space="0"/>
              <w:right w:val="single" w:color="auto" w:sz="4" w:space="0"/>
            </w:tcBorders>
            <w:noWrap w:val="0"/>
            <w:vAlign w:val="center"/>
          </w:tcPr>
          <w:p>
            <w:pPr>
              <w:tabs>
                <w:tab w:val="left" w:pos="-75"/>
              </w:tabs>
              <w:spacing w:line="240" w:lineRule="exact"/>
              <w:ind w:right="-57" w:rightChars="-27"/>
              <w:jc w:val="center"/>
              <w:outlineLvl w:val="9"/>
              <w:rPr>
                <w:rFonts w:hint="eastAsia" w:ascii="宋体" w:hAnsi="宋体" w:eastAsia="宋体" w:cs="宋体"/>
                <w:color w:val="auto"/>
                <w:kern w:val="0"/>
                <w:szCs w:val="21"/>
                <w:highlight w:val="none"/>
              </w:rPr>
            </w:pPr>
          </w:p>
        </w:tc>
      </w:tr>
    </w:tbl>
    <w:p>
      <w:pPr>
        <w:adjustRightInd w:val="0"/>
        <w:snapToGrid w:val="0"/>
        <w:spacing w:line="360" w:lineRule="auto"/>
        <w:ind w:right="105" w:rightChars="50"/>
        <w:jc w:val="left"/>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填表要求：</w:t>
      </w:r>
    </w:p>
    <w:p>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1．“投标文件响应内容”一栏由投标人按照</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要求填写并进行逐项响应。</w:t>
      </w:r>
    </w:p>
    <w:p>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2．“偏离程度”一栏根据“投标文件响应内容”与</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逐项对照的结果填写。偏离必须用 “正偏离、负偏离或无偏离”三个名称中的一种进行标注。</w:t>
      </w:r>
    </w:p>
    <w:p>
      <w:pPr>
        <w:adjustRightInd w:val="0"/>
        <w:snapToGrid w:val="0"/>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3．“偏离说明”一栏由投标人对偏离的情况做详细说明。</w:t>
      </w:r>
    </w:p>
    <w:p>
      <w:pPr>
        <w:adjustRightInd w:val="0"/>
        <w:snapToGrid w:val="0"/>
        <w:spacing w:line="360" w:lineRule="auto"/>
        <w:outlineLvl w:val="9"/>
        <w:rPr>
          <w:rFonts w:hint="eastAsia" w:ascii="宋体" w:hAnsi="宋体" w:eastAsia="宋体" w:cs="宋体"/>
          <w:color w:val="auto"/>
          <w:szCs w:val="21"/>
          <w:highlight w:val="none"/>
        </w:rPr>
      </w:pPr>
    </w:p>
    <w:p>
      <w:pPr>
        <w:adjustRightInd w:val="0"/>
        <w:snapToGrid w:val="0"/>
        <w:spacing w:line="360" w:lineRule="auto"/>
        <w:outlineLvl w:val="9"/>
        <w:rPr>
          <w:rFonts w:hint="eastAsia" w:ascii="宋体" w:hAnsi="宋体" w:eastAsia="宋体" w:cs="宋体"/>
          <w:color w:val="auto"/>
          <w:szCs w:val="21"/>
          <w:highlight w:val="none"/>
        </w:rPr>
      </w:pPr>
    </w:p>
    <w:p>
      <w:pPr>
        <w:adjustRightInd w:val="0"/>
        <w:snapToGrid w:val="0"/>
        <w:spacing w:line="360" w:lineRule="auto"/>
        <w:outlineLvl w:val="9"/>
        <w:rPr>
          <w:rFonts w:hint="eastAsia" w:ascii="宋体" w:hAnsi="宋体" w:eastAsia="宋体" w:cs="宋体"/>
          <w:color w:val="auto"/>
          <w:szCs w:val="21"/>
          <w:highlight w:val="none"/>
        </w:rPr>
      </w:pPr>
    </w:p>
    <w:p>
      <w:pPr>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投标人名称（加盖单位公章）：</w:t>
      </w:r>
      <w:r>
        <w:rPr>
          <w:rFonts w:hint="eastAsia" w:ascii="宋体" w:hAnsi="宋体" w:eastAsia="宋体" w:cs="宋体"/>
          <w:color w:val="auto"/>
          <w:highlight w:val="none"/>
          <w:u w:val="single"/>
        </w:rPr>
        <w:t xml:space="preserve">           </w:t>
      </w:r>
    </w:p>
    <w:p>
      <w:pPr>
        <w:snapToGrid w:val="0"/>
        <w:spacing w:line="48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t>法定代表人（或</w:t>
      </w:r>
      <w:r>
        <w:rPr>
          <w:rFonts w:hint="eastAsia" w:ascii="宋体" w:hAnsi="宋体" w:eastAsia="宋体" w:cs="宋体"/>
          <w:color w:val="auto"/>
          <w:szCs w:val="21"/>
          <w:highlight w:val="none"/>
        </w:rPr>
        <w:t>非法人组织负责人）或</w:t>
      </w:r>
      <w:r>
        <w:rPr>
          <w:rFonts w:hint="eastAsia" w:ascii="宋体" w:hAnsi="宋体" w:eastAsia="宋体" w:cs="宋体"/>
          <w:color w:val="auto"/>
          <w:highlight w:val="none"/>
        </w:rPr>
        <w:t>其委托代理人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签字或盖章</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xml:space="preserve">           </w:t>
      </w:r>
    </w:p>
    <w:p>
      <w:pPr>
        <w:adjustRightInd w:val="0"/>
        <w:snapToGrid w:val="0"/>
        <w:spacing w:line="360" w:lineRule="auto"/>
        <w:ind w:right="105" w:rightChars="50"/>
        <w:jc w:val="left"/>
        <w:outlineLvl w:val="9"/>
        <w:rPr>
          <w:rFonts w:hint="eastAsia" w:ascii="宋体" w:hAnsi="宋体" w:eastAsia="宋体" w:cs="宋体"/>
          <w:color w:val="auto"/>
          <w:szCs w:val="21"/>
          <w:highlight w:val="none"/>
          <w:u w:val="singl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r>
        <w:rPr>
          <w:rFonts w:hint="eastAsia" w:ascii="宋体" w:hAnsi="宋体" w:eastAsia="宋体" w:cs="宋体"/>
          <w:color w:val="auto"/>
          <w:szCs w:val="21"/>
          <w:highlight w:val="none"/>
          <w:u w:val="single"/>
        </w:rPr>
        <w:t xml:space="preserve"> </w:t>
      </w:r>
    </w:p>
    <w:p>
      <w:pPr>
        <w:jc w:val="both"/>
        <w:outlineLvl w:val="9"/>
        <w:rPr>
          <w:rFonts w:hint="eastAsia" w:ascii="宋体" w:hAnsi="宋体" w:eastAsia="宋体" w:cs="宋体"/>
          <w:b/>
          <w:color w:val="auto"/>
          <w:sz w:val="28"/>
          <w:szCs w:val="28"/>
          <w:highlight w:val="none"/>
        </w:rPr>
      </w:pPr>
    </w:p>
    <w:p>
      <w:pPr>
        <w:pStyle w:val="27"/>
        <w:outlineLvl w:val="9"/>
        <w:rPr>
          <w:rFonts w:hint="eastAsia" w:ascii="宋体" w:hAnsi="宋体" w:eastAsia="宋体" w:cs="宋体"/>
          <w:b/>
          <w:color w:val="auto"/>
          <w:sz w:val="28"/>
          <w:szCs w:val="28"/>
          <w:highlight w:val="none"/>
        </w:rPr>
      </w:pPr>
    </w:p>
    <w:p>
      <w:pPr>
        <w:pStyle w:val="27"/>
        <w:outlineLvl w:val="9"/>
        <w:rPr>
          <w:rFonts w:hint="eastAsia" w:ascii="宋体" w:hAnsi="宋体" w:eastAsia="宋体" w:cs="宋体"/>
          <w:b/>
          <w:color w:val="auto"/>
          <w:sz w:val="28"/>
          <w:szCs w:val="28"/>
          <w:highlight w:val="none"/>
        </w:rPr>
      </w:pPr>
    </w:p>
    <w:p>
      <w:pPr>
        <w:numPr>
          <w:ilvl w:val="0"/>
          <w:numId w:val="0"/>
        </w:numPr>
        <w:jc w:val="left"/>
        <w:outlineLvl w:val="9"/>
        <w:rPr>
          <w:rFonts w:hint="eastAsia" w:ascii="宋体" w:hAnsi="宋体" w:eastAsia="宋体" w:cs="宋体"/>
          <w:b/>
          <w:bCs/>
          <w:color w:val="auto"/>
          <w:sz w:val="24"/>
          <w:szCs w:val="24"/>
          <w:highlight w:val="none"/>
          <w:lang w:val="en-US" w:eastAsia="zh-CN"/>
        </w:rPr>
      </w:pPr>
      <w:bookmarkStart w:id="155" w:name="_Toc27850"/>
      <w:bookmarkStart w:id="156" w:name="_Toc11309"/>
      <w:bookmarkStart w:id="157" w:name="_Toc480"/>
    </w:p>
    <w:p>
      <w:pP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numPr>
          <w:ilvl w:val="0"/>
          <w:numId w:val="0"/>
        </w:numPr>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2、整体服务方案（格式自定）</w:t>
      </w:r>
    </w:p>
    <w:p>
      <w:pPr>
        <w:numPr>
          <w:ilvl w:val="0"/>
          <w:numId w:val="0"/>
        </w:numPr>
        <w:ind w:firstLine="482" w:firstLineChars="200"/>
        <w:jc w:val="left"/>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投标人应按竞争性磋商文件要求的内容和顺序，对完成整个项目提出相应的方案及提供认为必要的其他内容。对含糊不清或欠具体明确之处，评委会可视为投标人履约能力不足或响应不全处理</w:t>
      </w: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要求自拟）</w:t>
      </w:r>
      <w:bookmarkEnd w:id="155"/>
      <w:bookmarkEnd w:id="156"/>
      <w:bookmarkEnd w:id="157"/>
    </w:p>
    <w:p>
      <w:pPr>
        <w:numPr>
          <w:ilvl w:val="0"/>
          <w:numId w:val="0"/>
        </w:numPr>
        <w:jc w:val="left"/>
        <w:outlineLvl w:val="9"/>
        <w:rPr>
          <w:rFonts w:hint="eastAsia" w:ascii="宋体" w:hAnsi="宋体" w:eastAsia="宋体" w:cs="宋体"/>
          <w:b/>
          <w:bCs/>
          <w:color w:val="auto"/>
          <w:sz w:val="24"/>
          <w:szCs w:val="24"/>
          <w:highlight w:val="none"/>
          <w:lang w:val="en-US" w:eastAsia="zh-CN"/>
        </w:rPr>
      </w:pPr>
      <w:bookmarkStart w:id="158" w:name="_Toc9535"/>
      <w:bookmarkStart w:id="159" w:name="_Toc24349"/>
      <w:bookmarkStart w:id="160" w:name="_Toc16871"/>
    </w:p>
    <w:p>
      <w:pPr>
        <w:numPr>
          <w:ilvl w:val="0"/>
          <w:numId w:val="0"/>
        </w:numPr>
        <w:jc w:val="center"/>
        <w:outlineLvl w:val="9"/>
        <w:rPr>
          <w:rFonts w:hint="eastAsia" w:ascii="宋体" w:hAnsi="宋体" w:eastAsia="宋体" w:cs="宋体"/>
          <w:b/>
          <w:bCs/>
          <w:color w:val="auto"/>
          <w:sz w:val="24"/>
          <w:szCs w:val="24"/>
          <w:highlight w:val="none"/>
          <w:lang w:val="en-US" w:eastAsia="zh-CN"/>
        </w:rPr>
      </w:pPr>
    </w:p>
    <w:p>
      <w:pPr>
        <w:pStyle w:val="21"/>
        <w:rPr>
          <w:rFonts w:hint="eastAsia" w:ascii="宋体" w:hAnsi="宋体" w:eastAsia="宋体" w:cs="宋体"/>
          <w:b/>
          <w:bCs/>
          <w:color w:val="auto"/>
          <w:sz w:val="24"/>
          <w:szCs w:val="24"/>
          <w:highlight w:val="none"/>
          <w:lang w:val="en-US" w:eastAsia="zh-CN"/>
        </w:rPr>
      </w:pPr>
    </w:p>
    <w:p>
      <w:pPr>
        <w:pStyle w:val="21"/>
        <w:rPr>
          <w:rFonts w:hint="eastAsia" w:ascii="宋体" w:hAnsi="宋体" w:eastAsia="宋体" w:cs="宋体"/>
          <w:b/>
          <w:bCs/>
          <w:color w:val="auto"/>
          <w:sz w:val="24"/>
          <w:szCs w:val="24"/>
          <w:highlight w:val="none"/>
          <w:lang w:val="en-US" w:eastAsia="zh-CN"/>
        </w:rPr>
      </w:pPr>
    </w:p>
    <w:p>
      <w:pPr>
        <w:pStyle w:val="21"/>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rPr>
        <w:t xml:space="preserve"> 、对本次投标的详细说明</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投标人视需要自行编写</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w:t>
      </w:r>
    </w:p>
    <w:p>
      <w:pPr>
        <w:numPr>
          <w:ilvl w:val="0"/>
          <w:numId w:val="0"/>
        </w:numPr>
        <w:jc w:val="center"/>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要求自拟）</w:t>
      </w:r>
      <w:bookmarkEnd w:id="158"/>
      <w:bookmarkEnd w:id="159"/>
      <w:bookmarkEnd w:id="160"/>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pStyle w:val="21"/>
        <w:rPr>
          <w:rFonts w:hint="eastAsia" w:ascii="宋体" w:hAnsi="宋体" w:eastAsia="宋体" w:cs="宋体"/>
          <w:color w:val="auto"/>
          <w:highlight w:val="none"/>
        </w:rPr>
      </w:pPr>
    </w:p>
    <w:p>
      <w:pPr>
        <w:numPr>
          <w:ilvl w:val="0"/>
          <w:numId w:val="0"/>
        </w:numPr>
        <w:jc w:val="center"/>
        <w:outlineLvl w:val="9"/>
        <w:rPr>
          <w:rFonts w:hint="eastAsia" w:ascii="宋体" w:hAnsi="宋体" w:eastAsia="宋体" w:cs="宋体"/>
          <w:b/>
          <w:bCs/>
          <w:color w:val="auto"/>
          <w:sz w:val="28"/>
          <w:szCs w:val="28"/>
          <w:highlight w:val="none"/>
        </w:rPr>
      </w:pPr>
      <w:bookmarkStart w:id="161" w:name="_Toc21223"/>
      <w:bookmarkStart w:id="162" w:name="_Toc25904"/>
      <w:bookmarkStart w:id="163" w:name="_Toc12179"/>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 xml:space="preserve"> 、投标服务的质量保障（证）措施及技术支持等；</w:t>
      </w:r>
    </w:p>
    <w:p>
      <w:pPr>
        <w:numPr>
          <w:ilvl w:val="0"/>
          <w:numId w:val="0"/>
        </w:num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竞争性磋商文件</w:t>
      </w:r>
      <w:r>
        <w:rPr>
          <w:rFonts w:hint="eastAsia" w:ascii="宋体" w:hAnsi="宋体" w:eastAsia="宋体" w:cs="宋体"/>
          <w:b/>
          <w:bCs/>
          <w:color w:val="auto"/>
          <w:sz w:val="24"/>
          <w:szCs w:val="24"/>
          <w:highlight w:val="none"/>
        </w:rPr>
        <w:t>要求自拟）</w:t>
      </w:r>
      <w:bookmarkEnd w:id="161"/>
      <w:bookmarkEnd w:id="162"/>
      <w:bookmarkEnd w:id="163"/>
    </w:p>
    <w:p>
      <w:pPr>
        <w:numPr>
          <w:ilvl w:val="0"/>
          <w:numId w:val="0"/>
        </w:numPr>
        <w:jc w:val="left"/>
        <w:outlineLvl w:val="9"/>
        <w:rPr>
          <w:rFonts w:hint="eastAsia" w:ascii="宋体" w:hAnsi="宋体" w:eastAsia="宋体" w:cs="宋体"/>
          <w:b/>
          <w:bCs/>
          <w:color w:val="auto"/>
          <w:sz w:val="24"/>
          <w:szCs w:val="24"/>
          <w:highlight w:val="none"/>
          <w:lang w:val="en-US" w:eastAsia="zh-CN"/>
        </w:rPr>
      </w:pPr>
    </w:p>
    <w:p>
      <w:pPr>
        <w:numPr>
          <w:ilvl w:val="0"/>
          <w:numId w:val="0"/>
        </w:numPr>
        <w:jc w:val="center"/>
        <w:outlineLvl w:val="9"/>
        <w:rPr>
          <w:rFonts w:hint="eastAsia" w:ascii="宋体" w:hAnsi="宋体" w:eastAsia="宋体" w:cs="宋体"/>
          <w:b/>
          <w:bCs/>
          <w:color w:val="auto"/>
          <w:sz w:val="28"/>
          <w:szCs w:val="28"/>
          <w:highlight w:val="none"/>
          <w:lang w:val="en-US" w:eastAsia="zh-CN"/>
        </w:rPr>
      </w:pPr>
      <w:bookmarkStart w:id="164" w:name="_Toc4776"/>
      <w:bookmarkStart w:id="165" w:name="_Toc17596"/>
      <w:bookmarkStart w:id="166" w:name="_Toc29463"/>
    </w:p>
    <w:p>
      <w:pP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pPr>
        <w:numPr>
          <w:ilvl w:val="0"/>
          <w:numId w:val="0"/>
        </w:numPr>
        <w:jc w:val="center"/>
        <w:outlineLvl w:val="9"/>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5、关于对本投标文件（响应文件）中资料真实性的承诺</w:t>
      </w:r>
      <w:bookmarkEnd w:id="164"/>
      <w:bookmarkEnd w:id="165"/>
      <w:bookmarkEnd w:id="166"/>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致</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u w:val="single"/>
        </w:rPr>
        <w:t xml:space="preserve"> （项目、包段名称）</w:t>
      </w:r>
      <w:r>
        <w:rPr>
          <w:rFonts w:hint="eastAsia" w:ascii="宋体" w:hAnsi="宋体" w:eastAsia="宋体" w:cs="宋体"/>
          <w:color w:val="auto"/>
          <w:sz w:val="24"/>
          <w:szCs w:val="22"/>
          <w:highlight w:val="none"/>
        </w:rPr>
        <w:t xml:space="preserve">评标委员会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根据《中华人民共和国政府采购法</w:t>
      </w:r>
      <w:r>
        <w:rPr>
          <w:rFonts w:hint="eastAsia" w:ascii="宋体" w:hAnsi="宋体" w:eastAsia="宋体" w:cs="宋体"/>
          <w:color w:val="auto"/>
          <w:sz w:val="24"/>
          <w:szCs w:val="22"/>
          <w:highlight w:val="none"/>
          <w:lang w:eastAsia="zh-CN"/>
        </w:rPr>
        <w:t>》《</w:t>
      </w:r>
      <w:r>
        <w:rPr>
          <w:rFonts w:hint="eastAsia" w:ascii="宋体" w:hAnsi="宋体" w:eastAsia="宋体" w:cs="宋体"/>
          <w:color w:val="auto"/>
          <w:sz w:val="24"/>
          <w:szCs w:val="22"/>
          <w:highlight w:val="none"/>
        </w:rPr>
        <w:t>中华人民共和国政府采购法实施条例》等有关</w:t>
      </w:r>
      <w:r>
        <w:rPr>
          <w:rFonts w:hint="eastAsia" w:ascii="宋体" w:hAnsi="宋体" w:eastAsia="宋体" w:cs="宋体"/>
          <w:color w:val="auto"/>
          <w:sz w:val="24"/>
          <w:szCs w:val="22"/>
          <w:highlight w:val="none"/>
          <w:lang w:eastAsia="zh-CN"/>
        </w:rPr>
        <w:t>法律法规</w:t>
      </w:r>
      <w:r>
        <w:rPr>
          <w:rFonts w:hint="eastAsia" w:ascii="宋体" w:hAnsi="宋体" w:eastAsia="宋体" w:cs="宋体"/>
          <w:color w:val="auto"/>
          <w:sz w:val="24"/>
          <w:szCs w:val="22"/>
          <w:highlight w:val="none"/>
        </w:rPr>
        <w:t>的规定和</w:t>
      </w:r>
      <w:r>
        <w:rPr>
          <w:rFonts w:hint="eastAsia" w:ascii="宋体" w:hAnsi="宋体" w:eastAsia="宋体" w:cs="宋体"/>
          <w:color w:val="auto"/>
          <w:sz w:val="24"/>
          <w:szCs w:val="22"/>
          <w:highlight w:val="none"/>
          <w:u w:val="single"/>
        </w:rPr>
        <w:t>    （项目、包段名称）    </w:t>
      </w:r>
      <w:r>
        <w:rPr>
          <w:rFonts w:hint="eastAsia" w:ascii="宋体" w:hAnsi="宋体" w:eastAsia="宋体" w:cs="宋体"/>
          <w:color w:val="auto"/>
          <w:sz w:val="24"/>
          <w:szCs w:val="22"/>
          <w:highlight w:val="none"/>
        </w:rPr>
        <w:t>的</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的要求，我公司在</w:t>
      </w:r>
      <w:r>
        <w:rPr>
          <w:rFonts w:hint="eastAsia" w:ascii="宋体" w:hAnsi="宋体" w:eastAsia="宋体" w:cs="宋体"/>
          <w:color w:val="auto"/>
          <w:sz w:val="24"/>
          <w:szCs w:val="22"/>
          <w:highlight w:val="none"/>
          <w:u w:val="single"/>
        </w:rPr>
        <w:t>   （项目、包段名称）   </w:t>
      </w:r>
      <w:r>
        <w:rPr>
          <w:rFonts w:hint="eastAsia" w:ascii="宋体" w:hAnsi="宋体" w:eastAsia="宋体" w:cs="宋体"/>
          <w:color w:val="auto"/>
          <w:sz w:val="24"/>
          <w:szCs w:val="22"/>
          <w:highlight w:val="none"/>
        </w:rPr>
        <w:t>投标文件（响应文件）中所提供资料真实性作如下承诺：</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我公司将严格按</w:t>
      </w:r>
      <w:r>
        <w:rPr>
          <w:rFonts w:hint="eastAsia" w:ascii="宋体" w:hAnsi="宋体" w:eastAsia="宋体" w:cs="宋体"/>
          <w:color w:val="auto"/>
          <w:sz w:val="24"/>
          <w:szCs w:val="22"/>
          <w:highlight w:val="none"/>
          <w:lang w:eastAsia="zh-CN"/>
        </w:rPr>
        <w:t>竞争性磋商文件</w:t>
      </w:r>
      <w:r>
        <w:rPr>
          <w:rFonts w:hint="eastAsia" w:ascii="宋体" w:hAnsi="宋体" w:eastAsia="宋体" w:cs="宋体"/>
          <w:color w:val="auto"/>
          <w:sz w:val="24"/>
          <w:szCs w:val="22"/>
          <w:highlight w:val="none"/>
        </w:rPr>
        <w:t xml:space="preserve">要求，在编制本投标文件（响应文件）时，对投标文件中所提供的资料全部真实和正确，并对提供的所有资料（资格、业绩、其他材料等）的真实性负责！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val="en-US" w:eastAsia="zh-CN"/>
        </w:rPr>
        <w:t>若</w:t>
      </w:r>
      <w:r>
        <w:rPr>
          <w:rFonts w:hint="eastAsia" w:ascii="宋体" w:hAnsi="宋体" w:eastAsia="宋体" w:cs="宋体"/>
          <w:color w:val="auto"/>
          <w:sz w:val="24"/>
          <w:szCs w:val="22"/>
          <w:highlight w:val="none"/>
        </w:rPr>
        <w:t>提供的全部资料中存在不真实（伪造或租借等虚假资料）情形，将无条件接受任何处罚，自行承担由此引起的一切责任！</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特此承诺</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宋体" w:hAnsi="宋体" w:eastAsia="宋体" w:cs="宋体"/>
          <w:color w:val="auto"/>
          <w:sz w:val="24"/>
          <w:szCs w:val="22"/>
          <w:highlight w:val="none"/>
        </w:rPr>
      </w:pP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lang w:eastAsia="zh-CN"/>
        </w:rPr>
        <w:t>投标人</w:t>
      </w:r>
      <w:r>
        <w:rPr>
          <w:rFonts w:hint="eastAsia" w:ascii="宋体" w:hAnsi="宋体" w:eastAsia="宋体" w:cs="宋体"/>
          <w:color w:val="auto"/>
          <w:sz w:val="24"/>
          <w:szCs w:val="22"/>
          <w:highlight w:val="none"/>
        </w:rPr>
        <w:t>（全称）：                        （盖单位章）</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法定代表人：                           （签字）</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 xml:space="preserve">有效的联系方式：                                   </w:t>
      </w:r>
    </w:p>
    <w:p>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outlineLvl w:val="9"/>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年      月       日</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outlineLvl w:val="9"/>
        <w:rPr>
          <w:rFonts w:hint="eastAsia" w:ascii="宋体" w:hAnsi="宋体" w:eastAsia="宋体" w:cs="宋体"/>
          <w:b/>
          <w:bCs/>
          <w:color w:val="auto"/>
          <w:sz w:val="28"/>
          <w:szCs w:val="36"/>
          <w:highlight w:val="none"/>
          <w:lang w:val="en-US" w:eastAsia="zh-CN"/>
        </w:rPr>
      </w:pPr>
      <w:bookmarkStart w:id="167" w:name="_Toc4842"/>
      <w:bookmarkStart w:id="168" w:name="_Toc2371"/>
      <w:bookmarkStart w:id="169" w:name="_Toc6238"/>
    </w:p>
    <w:p>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36"/>
          <w:highlight w:val="none"/>
          <w:lang w:val="en-US" w:eastAsia="zh-CN"/>
        </w:rPr>
        <w:br w:type="page"/>
      </w:r>
      <w:bookmarkEnd w:id="167"/>
      <w:bookmarkEnd w:id="168"/>
      <w:bookmarkEnd w:id="169"/>
      <w:bookmarkStart w:id="170" w:name="_Toc13017"/>
      <w:bookmarkStart w:id="171" w:name="_Toc27546"/>
      <w:bookmarkStart w:id="172" w:name="_Toc19298"/>
      <w:bookmarkStart w:id="173" w:name="_Toc5529"/>
      <w:bookmarkStart w:id="174" w:name="_Toc19656"/>
      <w:bookmarkStart w:id="175" w:name="_Toc26203"/>
      <w:bookmarkStart w:id="176" w:name="_Toc5425"/>
      <w:r>
        <w:rPr>
          <w:rFonts w:hint="eastAsia" w:ascii="宋体" w:hAnsi="宋体" w:eastAsia="宋体" w:cs="宋体"/>
          <w:b/>
          <w:bCs/>
          <w:color w:val="auto"/>
          <w:sz w:val="28"/>
          <w:szCs w:val="28"/>
          <w:highlight w:val="none"/>
          <w:lang w:val="en-US" w:eastAsia="zh-CN"/>
        </w:rPr>
        <w:t>6、</w:t>
      </w:r>
      <w:r>
        <w:rPr>
          <w:rFonts w:hint="eastAsia" w:ascii="宋体" w:hAnsi="宋体" w:eastAsia="宋体" w:cs="宋体"/>
          <w:b/>
          <w:bCs/>
          <w:color w:val="auto"/>
          <w:sz w:val="28"/>
          <w:szCs w:val="28"/>
          <w:highlight w:val="none"/>
        </w:rPr>
        <w:t>中小企业声明函（符合本声明函填写）</w:t>
      </w:r>
      <w:bookmarkEnd w:id="170"/>
      <w:bookmarkEnd w:id="171"/>
      <w:bookmarkEnd w:id="172"/>
      <w:bookmarkEnd w:id="173"/>
      <w:bookmarkEnd w:id="174"/>
      <w:bookmarkEnd w:id="175"/>
      <w:bookmarkEnd w:id="176"/>
    </w:p>
    <w:p>
      <w:pPr>
        <w:jc w:val="center"/>
        <w:rPr>
          <w:rFonts w:hint="eastAsia" w:ascii="宋体" w:hAnsi="宋体" w:eastAsia="宋体" w:cs="宋体"/>
          <w:color w:val="auto"/>
          <w:sz w:val="21"/>
          <w:szCs w:val="21"/>
          <w:highlight w:val="none"/>
        </w:rPr>
      </w:pPr>
      <w:bookmarkStart w:id="177" w:name="_Toc14195_WPSOffice_Level1"/>
      <w:bookmarkStart w:id="178" w:name="_Toc21568"/>
      <w:bookmarkStart w:id="179" w:name="_Toc20603"/>
      <w:bookmarkStart w:id="180" w:name="_Toc14689"/>
      <w:r>
        <w:rPr>
          <w:rFonts w:hint="eastAsia" w:ascii="宋体" w:hAnsi="宋体" w:eastAsia="宋体" w:cs="宋体"/>
          <w:b/>
          <w:color w:val="auto"/>
          <w:sz w:val="21"/>
          <w:szCs w:val="21"/>
          <w:highlight w:val="none"/>
        </w:rPr>
        <w:t>中小企业声明函（服务）</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本公司（联合体）郑重声明，根据《政府采购促进中小企业发展管理办法》（财库﹝2020﹞46 号）的规定，本公司（联合体）参加</w:t>
      </w:r>
      <w:r>
        <w:rPr>
          <w:rFonts w:hint="eastAsia" w:ascii="宋体" w:hAnsi="宋体" w:eastAsia="宋体" w:cs="宋体"/>
          <w:color w:val="auto"/>
          <w:sz w:val="21"/>
          <w:szCs w:val="21"/>
          <w:highlight w:val="none"/>
          <w:u w:val="single"/>
          <w:lang w:bidi="ar"/>
        </w:rPr>
        <w:t>（单位名称）</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u w:val="single"/>
          <w:lang w:bidi="ar"/>
        </w:rPr>
        <w:t>（项目名称）</w:t>
      </w:r>
      <w:r>
        <w:rPr>
          <w:rFonts w:hint="eastAsia" w:ascii="宋体" w:hAnsi="宋体" w:eastAsia="宋体" w:cs="宋体"/>
          <w:color w:val="auto"/>
          <w:sz w:val="21"/>
          <w:szCs w:val="21"/>
          <w:highlight w:val="none"/>
          <w:lang w:bidi="ar"/>
        </w:rPr>
        <w:t>采购活动，</w:t>
      </w:r>
      <w:r>
        <w:rPr>
          <w:rFonts w:hint="eastAsia" w:ascii="宋体" w:hAnsi="宋体" w:eastAsia="宋体" w:cs="宋体"/>
          <w:color w:val="auto"/>
          <w:sz w:val="21"/>
          <w:szCs w:val="21"/>
          <w:highlight w:val="none"/>
          <w:lang w:val="en-US" w:eastAsia="zh-CN" w:bidi="ar"/>
        </w:rPr>
        <w:t>服务</w:t>
      </w:r>
      <w:r>
        <w:rPr>
          <w:rFonts w:hint="eastAsia" w:ascii="宋体" w:hAnsi="宋体" w:eastAsia="宋体" w:cs="宋体"/>
          <w:color w:val="auto"/>
          <w:sz w:val="21"/>
          <w:szCs w:val="21"/>
          <w:highlight w:val="none"/>
          <w:lang w:bidi="ar"/>
        </w:rPr>
        <w:t>的</w:t>
      </w:r>
      <w:r>
        <w:rPr>
          <w:rFonts w:hint="eastAsia" w:ascii="宋体" w:hAnsi="宋体" w:eastAsia="宋体" w:cs="宋体"/>
          <w:color w:val="auto"/>
          <w:sz w:val="21"/>
          <w:szCs w:val="21"/>
          <w:highlight w:val="none"/>
          <w:lang w:val="en-US" w:eastAsia="zh-CN" w:bidi="ar"/>
        </w:rPr>
        <w:t>供应商</w:t>
      </w:r>
      <w:r>
        <w:rPr>
          <w:rFonts w:hint="eastAsia" w:ascii="宋体" w:hAnsi="宋体" w:eastAsia="宋体" w:cs="宋体"/>
          <w:color w:val="auto"/>
          <w:sz w:val="21"/>
          <w:szCs w:val="21"/>
          <w:highlight w:val="none"/>
          <w:lang w:bidi="ar"/>
        </w:rPr>
        <w:t>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1. </w:t>
      </w:r>
      <w:r>
        <w:rPr>
          <w:rFonts w:hint="eastAsia" w:ascii="宋体" w:hAnsi="宋体" w:eastAsia="宋体" w:cs="宋体"/>
          <w:color w:val="auto"/>
          <w:sz w:val="21"/>
          <w:szCs w:val="21"/>
          <w:highlight w:val="none"/>
          <w:u w:val="single"/>
          <w:lang w:bidi="ar"/>
        </w:rPr>
        <w:t xml:space="preserve">（标的名称） </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（采购文件中明确的所属行业）</w:t>
      </w:r>
      <w:r>
        <w:rPr>
          <w:rFonts w:hint="eastAsia" w:ascii="宋体" w:hAnsi="宋体" w:eastAsia="宋体" w:cs="宋体"/>
          <w:color w:val="auto"/>
          <w:sz w:val="21"/>
          <w:szCs w:val="21"/>
          <w:highlight w:val="none"/>
          <w:lang w:bidi="ar"/>
        </w:rPr>
        <w:t>；承建（承接）企业为</w:t>
      </w:r>
      <w:r>
        <w:rPr>
          <w:rFonts w:hint="eastAsia" w:ascii="宋体" w:hAnsi="宋体" w:eastAsia="宋体" w:cs="宋体"/>
          <w:color w:val="auto"/>
          <w:sz w:val="21"/>
          <w:szCs w:val="21"/>
          <w:highlight w:val="none"/>
          <w:u w:val="single"/>
          <w:lang w:bidi="ar"/>
        </w:rPr>
        <w:t>（企业名称）</w:t>
      </w:r>
      <w:r>
        <w:rPr>
          <w:rFonts w:hint="eastAsia" w:ascii="宋体" w:hAnsi="宋体" w:eastAsia="宋体" w:cs="宋体"/>
          <w:color w:val="auto"/>
          <w:sz w:val="21"/>
          <w:szCs w:val="21"/>
          <w:highlight w:val="none"/>
          <w:lang w:bidi="ar"/>
        </w:rPr>
        <w:t>，从业人员</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人，营业 收入为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万元，资产总额为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w:t>
      </w:r>
      <w:r>
        <w:rPr>
          <w:rFonts w:hint="eastAsia" w:ascii="宋体" w:hAnsi="宋体" w:eastAsia="宋体" w:cs="宋体"/>
          <w:color w:val="auto"/>
          <w:sz w:val="21"/>
          <w:szCs w:val="21"/>
          <w:highlight w:val="none"/>
          <w:vertAlign w:val="superscript"/>
          <w:lang w:bidi="ar"/>
        </w:rPr>
        <w:t>1</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（中型企业、小型企业、微型企业）</w:t>
      </w:r>
      <w:r>
        <w:rPr>
          <w:rFonts w:hint="eastAsia" w:ascii="宋体" w:hAnsi="宋体" w:eastAsia="宋体" w:cs="宋体"/>
          <w:color w:val="auto"/>
          <w:sz w:val="21"/>
          <w:szCs w:val="21"/>
          <w:highlight w:val="none"/>
          <w:lang w:bidi="ar"/>
        </w:rPr>
        <w:t xml:space="preserve">； </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2. </w:t>
      </w:r>
      <w:r>
        <w:rPr>
          <w:rFonts w:hint="eastAsia" w:ascii="宋体" w:hAnsi="宋体" w:eastAsia="宋体" w:cs="宋体"/>
          <w:color w:val="auto"/>
          <w:sz w:val="21"/>
          <w:szCs w:val="21"/>
          <w:highlight w:val="none"/>
          <w:u w:val="single"/>
          <w:lang w:bidi="ar"/>
        </w:rPr>
        <w:t xml:space="preserve">（标的名称） </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（采购文件中明确的所属行业）</w:t>
      </w:r>
      <w:r>
        <w:rPr>
          <w:rFonts w:hint="eastAsia" w:ascii="宋体" w:hAnsi="宋体" w:eastAsia="宋体" w:cs="宋体"/>
          <w:color w:val="auto"/>
          <w:sz w:val="21"/>
          <w:szCs w:val="21"/>
          <w:highlight w:val="none"/>
          <w:lang w:bidi="ar"/>
        </w:rPr>
        <w:t>；承建（承接）企业为</w:t>
      </w:r>
      <w:r>
        <w:rPr>
          <w:rFonts w:hint="eastAsia" w:ascii="宋体" w:hAnsi="宋体" w:eastAsia="宋体" w:cs="宋体"/>
          <w:color w:val="auto"/>
          <w:sz w:val="21"/>
          <w:szCs w:val="21"/>
          <w:highlight w:val="none"/>
          <w:u w:val="single"/>
          <w:lang w:bidi="ar"/>
        </w:rPr>
        <w:t>（企业名称）</w:t>
      </w:r>
      <w:r>
        <w:rPr>
          <w:rFonts w:hint="eastAsia" w:ascii="宋体" w:hAnsi="宋体" w:eastAsia="宋体" w:cs="宋体"/>
          <w:color w:val="auto"/>
          <w:sz w:val="21"/>
          <w:szCs w:val="21"/>
          <w:highlight w:val="none"/>
          <w:lang w:bidi="ar"/>
        </w:rPr>
        <w:t>，从业人员</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人，营业 收入为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万元，资产总额为</w:t>
      </w:r>
      <w:r>
        <w:rPr>
          <w:rFonts w:hint="eastAsia" w:ascii="宋体" w:hAnsi="宋体" w:eastAsia="宋体" w:cs="宋体"/>
          <w:color w:val="auto"/>
          <w:sz w:val="21"/>
          <w:szCs w:val="21"/>
          <w:highlight w:val="none"/>
          <w:u w:val="single"/>
          <w:lang w:bidi="ar"/>
        </w:rPr>
        <w:t xml:space="preserve">    </w:t>
      </w:r>
      <w:r>
        <w:rPr>
          <w:rFonts w:hint="eastAsia" w:ascii="宋体" w:hAnsi="宋体" w:eastAsia="宋体" w:cs="宋体"/>
          <w:color w:val="auto"/>
          <w:sz w:val="21"/>
          <w:szCs w:val="21"/>
          <w:highlight w:val="none"/>
          <w:lang w:bidi="ar"/>
        </w:rPr>
        <w:t>万元</w:t>
      </w:r>
      <w:r>
        <w:rPr>
          <w:rFonts w:hint="eastAsia" w:ascii="宋体" w:hAnsi="宋体" w:eastAsia="宋体" w:cs="宋体"/>
          <w:color w:val="auto"/>
          <w:sz w:val="21"/>
          <w:szCs w:val="21"/>
          <w:highlight w:val="none"/>
          <w:vertAlign w:val="superscript"/>
          <w:lang w:bidi="ar"/>
        </w:rPr>
        <w:t>1</w:t>
      </w:r>
      <w:r>
        <w:rPr>
          <w:rFonts w:hint="eastAsia" w:ascii="宋体" w:hAnsi="宋体" w:eastAsia="宋体" w:cs="宋体"/>
          <w:color w:val="auto"/>
          <w:sz w:val="21"/>
          <w:szCs w:val="21"/>
          <w:highlight w:val="none"/>
          <w:lang w:bidi="ar"/>
        </w:rPr>
        <w:t>，属于</w:t>
      </w:r>
      <w:r>
        <w:rPr>
          <w:rFonts w:hint="eastAsia" w:ascii="宋体" w:hAnsi="宋体" w:eastAsia="宋体" w:cs="宋体"/>
          <w:color w:val="auto"/>
          <w:sz w:val="21"/>
          <w:szCs w:val="21"/>
          <w:highlight w:val="none"/>
          <w:u w:val="single"/>
          <w:lang w:bidi="ar"/>
        </w:rPr>
        <w:t>（中型企业、小型企业、微型企业）</w:t>
      </w:r>
      <w:r>
        <w:rPr>
          <w:rFonts w:hint="eastAsia" w:ascii="宋体" w:hAnsi="宋体" w:eastAsia="宋体" w:cs="宋体"/>
          <w:color w:val="auto"/>
          <w:sz w:val="21"/>
          <w:szCs w:val="21"/>
          <w:highlight w:val="none"/>
          <w:lang w:bidi="ar"/>
        </w:rPr>
        <w:t xml:space="preserve">； </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本企业对上述声明内容的真实性负责。如有虚假，将依法承担相应责任。 </w:t>
      </w:r>
    </w:p>
    <w:p>
      <w:pPr>
        <w:widowControl/>
        <w:spacing w:line="360" w:lineRule="auto"/>
        <w:ind w:firstLine="3360" w:firstLineChars="1600"/>
        <w:jc w:val="left"/>
        <w:rPr>
          <w:rFonts w:hint="eastAsia" w:ascii="宋体" w:hAnsi="宋体" w:eastAsia="宋体" w:cs="宋体"/>
          <w:color w:val="auto"/>
          <w:sz w:val="21"/>
          <w:szCs w:val="21"/>
          <w:highlight w:val="none"/>
          <w:lang w:bidi="ar"/>
        </w:rPr>
      </w:pPr>
    </w:p>
    <w:p>
      <w:pPr>
        <w:widowControl/>
        <w:spacing w:line="360" w:lineRule="auto"/>
        <w:ind w:firstLine="3360" w:firstLineChars="16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企业名称（盖章）： </w:t>
      </w:r>
    </w:p>
    <w:p>
      <w:pPr>
        <w:widowControl/>
        <w:spacing w:line="360" w:lineRule="auto"/>
        <w:ind w:firstLine="3360" w:firstLineChars="1600"/>
        <w:jc w:val="left"/>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 xml:space="preserve">日 期： </w:t>
      </w:r>
    </w:p>
    <w:p>
      <w:pPr>
        <w:widowControl/>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1从业人员、营业收入、资产总额填报上一年度数据，无上一年度数据的新成立企业可不填报</w:t>
      </w:r>
    </w:p>
    <w:p>
      <w:pPr>
        <w:pStyle w:val="27"/>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pacing w:val="6"/>
          <w:sz w:val="21"/>
          <w:szCs w:val="21"/>
          <w:highlight w:val="none"/>
        </w:rPr>
        <w:t>注：</w:t>
      </w:r>
    </w:p>
    <w:p>
      <w:pPr>
        <w:pStyle w:val="2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在政府采购活动中，监狱企业视同小型、微型企业，享受预留份额、评审中价格扣除等政府采购促进中小企业发展的政府采购政策。（监狱企业参加政府采购活动时，还应当提供由省级以上监狱管理局、戒毒管理局</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含新疆生产建设兵团</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出具的属于监狱企业的证明文件。）</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highlight w:val="none"/>
        </w:rPr>
        <w:br w:type="page"/>
      </w:r>
      <w:r>
        <w:rPr>
          <w:rFonts w:hint="eastAsia" w:ascii="宋体" w:hAnsi="宋体" w:eastAsia="宋体" w:cs="宋体"/>
          <w:color w:val="auto"/>
          <w:sz w:val="21"/>
          <w:highlight w:val="none"/>
        </w:rPr>
        <w:t>附：工业和信息化部 国家统计局国家发展和改革委员会 财政部关于印发中小企业划型标准规定的通知（工信部联企业[2011]300号  2011.6.1）</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各省、自治区、直辖市人民政府，国务院各部委、各直属机构及有关单位：</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    为贯彻落实《中华人民共和国中小企业促进法》和《</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国务院关于进一步促进中小企业发展的若干意见</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国发〔2009〕36号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），工业和信息化部、国家统计局、发展改革委、财政部研究制定了《中小企业划型标准规定》。经国务院同意，现印发给你们，请遵照执行。</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附件：</w:t>
      </w:r>
    </w:p>
    <w:p>
      <w:pPr>
        <w:snapToGrid w:val="0"/>
        <w:spacing w:line="360" w:lineRule="auto"/>
        <w:rPr>
          <w:rFonts w:hint="eastAsia" w:ascii="宋体" w:hAnsi="宋体" w:eastAsia="宋体" w:cs="宋体"/>
          <w:color w:val="auto"/>
          <w:sz w:val="21"/>
          <w:highlight w:val="none"/>
        </w:rPr>
      </w:pPr>
      <w:r>
        <w:rPr>
          <w:rFonts w:hint="eastAsia" w:ascii="宋体" w:hAnsi="宋体" w:eastAsia="宋体" w:cs="宋体"/>
          <w:color w:val="auto"/>
          <w:sz w:val="21"/>
          <w:highlight w:val="none"/>
        </w:rPr>
        <w:t>中小企业划型标准规定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一、根据《中华人民共和国中小企业促进法》和《</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国务院关于进一步促进中小企业发展的若干意见</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"http://www.shui5.cn/article/47/26142.html"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国发〔2009〕36号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），制定本规定。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二、中小企业划分为中型、小型、微型三种类型，具体标准根据企业从业人员、营业收入、资产总额等指标，结合行业特点制定。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w:t>
      </w:r>
      <w:r>
        <w:rPr>
          <w:rFonts w:hint="eastAsia" w:ascii="宋体" w:hAnsi="宋体" w:eastAsia="宋体" w:cs="宋体"/>
          <w:color w:val="auto"/>
          <w:sz w:val="21"/>
          <w:highlight w:val="none"/>
          <w:lang w:eastAsia="zh-CN"/>
        </w:rPr>
        <w:t>其他未列明的行业</w:t>
      </w:r>
      <w:r>
        <w:rPr>
          <w:rFonts w:hint="eastAsia" w:ascii="宋体" w:hAnsi="宋体" w:eastAsia="宋体" w:cs="宋体"/>
          <w:color w:val="auto"/>
          <w:sz w:val="21"/>
          <w:highlight w:val="none"/>
        </w:rPr>
        <w:t>，其他未列明行业（包括科学研究和技术服务业，水利、环境和公共设施管理业，居民服务、修理和其他服务业，社会工作，文化、体育和娱乐业等）。</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四、各行业划型标准为：</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　　（一）农、林、牧、渔业。营业收入20000万元以下的为中小微型企业。其中，营业收入500万元及以上的为中型企业，营业收入50万元及以上的为小型企业，营业收入50万元以下的为微型企业。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（三）建筑业。营业收入80000万元以下或资产总额80000万元以下的为中小微型企业。其中，营业收入</w:t>
      </w:r>
      <w:r>
        <w:rPr>
          <w:rFonts w:hint="eastAsia" w:ascii="宋体" w:hAnsi="宋体" w:eastAsia="宋体" w:cs="宋体"/>
          <w:color w:val="auto"/>
          <w:sz w:val="21"/>
          <w:highlight w:val="none"/>
          <w:lang w:eastAsia="zh-CN"/>
        </w:rPr>
        <w:t>7300</w:t>
      </w:r>
      <w:r>
        <w:rPr>
          <w:rFonts w:hint="eastAsia" w:ascii="宋体" w:hAnsi="宋体" w:eastAsia="宋体" w:cs="宋体"/>
          <w:color w:val="auto"/>
          <w:sz w:val="21"/>
          <w:highlight w:val="none"/>
        </w:rPr>
        <w:t>万元及以上，且资产总额5000万元及以上的为中型企业；营业收入300万元及以上，且资产总额300万元及以上的为小型企业；营业收入300万元以下或资产总额300万元以下的为微型企业。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（十五）</w:t>
      </w:r>
      <w:r>
        <w:rPr>
          <w:rFonts w:hint="eastAsia" w:ascii="宋体" w:hAnsi="宋体" w:eastAsia="宋体" w:cs="宋体"/>
          <w:color w:val="auto"/>
          <w:sz w:val="21"/>
          <w:highlight w:val="none"/>
          <w:lang w:eastAsia="zh-CN"/>
        </w:rPr>
        <w:t>其他未列明的行业</w:t>
      </w:r>
      <w:r>
        <w:rPr>
          <w:rFonts w:hint="eastAsia" w:ascii="宋体" w:hAnsi="宋体" w:eastAsia="宋体" w:cs="宋体"/>
          <w:color w:val="auto"/>
          <w:sz w:val="21"/>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（十六）其他未列明行业。从业人员300人以下的为中小微型企业。其中，从业人员100人及以上的为中型企业；从业人员10人及以上的为小型企业；从业人员10人以下的为微型企业。</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五、企业类型的划分以统计部门的统计数据为依据。</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六、本规定适用于在中华人民共和国境内依法设立的各类所有制和各种组织形式的企业。个体工商户和本规定以外的行业，参照本规定进行划型。</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八、本规定由工业和信息化部、国家统计局会同有关部门根据《国民经济行业分类》修订情况和企业发展变化情况适时修订。</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九、本规定由工业和信息化部、国家统计局会同有关部门负责解释。</w:t>
      </w:r>
    </w:p>
    <w:p>
      <w:pPr>
        <w:snapToGrid w:val="0"/>
        <w:spacing w:line="360" w:lineRule="auto"/>
        <w:ind w:firstLine="420" w:firstLineChars="200"/>
        <w:rPr>
          <w:rFonts w:hint="eastAsia" w:ascii="宋体" w:hAnsi="宋体" w:eastAsia="宋体" w:cs="宋体"/>
          <w:b/>
          <w:color w:val="auto"/>
          <w:sz w:val="21"/>
          <w:highlight w:val="none"/>
        </w:rPr>
      </w:pPr>
      <w:r>
        <w:rPr>
          <w:rFonts w:hint="eastAsia" w:ascii="宋体" w:hAnsi="宋体" w:eastAsia="宋体" w:cs="宋体"/>
          <w:color w:val="auto"/>
          <w:sz w:val="21"/>
          <w:highlight w:val="none"/>
        </w:rPr>
        <w:t>十、本规定自发布之日起执行，原国家经贸委、原国家计委、财政部和国家统计局2003年颁布的《</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"http://www.shui5.cn/article/df/24263.html"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中小企业标准暂行规定</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w:t>
      </w:r>
      <w:r>
        <w:rPr>
          <w:rFonts w:hint="eastAsia" w:ascii="宋体" w:hAnsi="宋体" w:eastAsia="宋体" w:cs="宋体"/>
          <w:color w:val="auto"/>
          <w:sz w:val="21"/>
          <w:highlight w:val="none"/>
        </w:rPr>
        <w:fldChar w:fldCharType="begin" w:fldLock="1"/>
      </w:r>
      <w:r>
        <w:rPr>
          <w:rFonts w:hint="eastAsia" w:ascii="宋体" w:hAnsi="宋体" w:eastAsia="宋体" w:cs="宋体"/>
          <w:color w:val="auto"/>
          <w:sz w:val="21"/>
          <w:highlight w:val="none"/>
        </w:rPr>
        <w:instrText xml:space="preserve"> HYPERLINK "http://www.shui5.cn/article/df/24263.html" </w:instrText>
      </w:r>
      <w:r>
        <w:rPr>
          <w:rFonts w:hint="eastAsia" w:ascii="宋体" w:hAnsi="宋体" w:eastAsia="宋体" w:cs="宋体"/>
          <w:color w:val="auto"/>
          <w:sz w:val="21"/>
          <w:highlight w:val="none"/>
        </w:rPr>
        <w:fldChar w:fldCharType="separate"/>
      </w:r>
      <w:r>
        <w:rPr>
          <w:rFonts w:hint="eastAsia" w:ascii="宋体" w:hAnsi="宋体" w:eastAsia="宋体" w:cs="宋体"/>
          <w:color w:val="auto"/>
          <w:sz w:val="21"/>
          <w:highlight w:val="none"/>
        </w:rPr>
        <w:t>国经贸中小企[2003]143号</w:t>
      </w:r>
      <w:r>
        <w:rPr>
          <w:rFonts w:hint="eastAsia" w:ascii="宋体" w:hAnsi="宋体" w:eastAsia="宋体" w:cs="宋体"/>
          <w:color w:val="auto"/>
          <w:sz w:val="21"/>
          <w:highlight w:val="none"/>
        </w:rPr>
        <w:fldChar w:fldCharType="end"/>
      </w:r>
      <w:r>
        <w:rPr>
          <w:rFonts w:hint="eastAsia" w:ascii="宋体" w:hAnsi="宋体" w:eastAsia="宋体" w:cs="宋体"/>
          <w:color w:val="auto"/>
          <w:sz w:val="21"/>
          <w:highlight w:val="none"/>
        </w:rPr>
        <w:t>同时废止。</w:t>
      </w:r>
    </w:p>
    <w:p>
      <w:pPr>
        <w:snapToGrid w:val="0"/>
        <w:spacing w:line="360" w:lineRule="auto"/>
        <w:jc w:val="center"/>
        <w:rPr>
          <w:rFonts w:hint="eastAsia" w:ascii="宋体" w:hAnsi="宋体" w:eastAsia="宋体" w:cs="宋体"/>
          <w:b/>
          <w:color w:val="auto"/>
          <w:sz w:val="21"/>
          <w:highlight w:val="none"/>
          <w:lang w:eastAsia="zh-CN"/>
        </w:rPr>
      </w:pPr>
      <w:r>
        <w:rPr>
          <w:rFonts w:hint="eastAsia" w:ascii="宋体" w:hAnsi="宋体" w:eastAsia="宋体" w:cs="宋体"/>
          <w:color w:val="auto"/>
          <w:highlight w:val="none"/>
        </w:rPr>
        <w:br w:type="page"/>
      </w:r>
      <w:r>
        <w:rPr>
          <w:rFonts w:hint="eastAsia" w:ascii="宋体" w:hAnsi="宋体" w:eastAsia="宋体" w:cs="宋体"/>
          <w:b/>
          <w:color w:val="auto"/>
          <w:sz w:val="21"/>
          <w:highlight w:val="none"/>
        </w:rPr>
        <w:t>残疾人福利性单位声明函</w:t>
      </w:r>
      <w:r>
        <w:rPr>
          <w:rFonts w:hint="eastAsia" w:ascii="宋体" w:hAnsi="宋体" w:eastAsia="宋体" w:cs="宋体"/>
          <w:b/>
          <w:color w:val="auto"/>
          <w:sz w:val="21"/>
          <w:highlight w:val="none"/>
          <w:lang w:eastAsia="zh-CN"/>
        </w:rPr>
        <w:t>（</w:t>
      </w:r>
      <w:r>
        <w:rPr>
          <w:rFonts w:hint="eastAsia" w:ascii="宋体" w:hAnsi="宋体" w:eastAsia="宋体" w:cs="宋体"/>
          <w:b/>
          <w:color w:val="auto"/>
          <w:sz w:val="21"/>
          <w:highlight w:val="none"/>
          <w:lang w:val="en-US" w:eastAsia="zh-CN"/>
        </w:rPr>
        <w:t>如是</w:t>
      </w:r>
      <w:r>
        <w:rPr>
          <w:rFonts w:hint="eastAsia" w:ascii="宋体" w:hAnsi="宋体" w:eastAsia="宋体" w:cs="宋体"/>
          <w:b/>
          <w:color w:val="auto"/>
          <w:sz w:val="21"/>
          <w:highlight w:val="none"/>
          <w:lang w:eastAsia="zh-CN"/>
        </w:rPr>
        <w:t>）</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本单位郑重声明，根据《财政部 民政部 中国残疾人联合会关于促进残疾人就业政府采购政策的通知》（财库〔2017〕 141号）的规定，本单位为</w:t>
      </w:r>
      <w:r>
        <w:rPr>
          <w:rFonts w:hint="eastAsia" w:ascii="宋体" w:hAnsi="宋体" w:eastAsia="宋体" w:cs="宋体"/>
          <w:color w:val="auto"/>
          <w:sz w:val="21"/>
          <w:highlight w:val="none"/>
          <w:u w:val="single"/>
        </w:rPr>
        <w:t xml:space="preserve">       </w:t>
      </w:r>
      <w:r>
        <w:rPr>
          <w:rFonts w:hint="eastAsia" w:ascii="宋体" w:hAnsi="宋体" w:eastAsia="宋体" w:cs="宋体"/>
          <w:color w:val="auto"/>
          <w:sz w:val="21"/>
          <w:highlight w:val="none"/>
        </w:rPr>
        <w:t xml:space="preserve"> </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填写</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符合或不符合</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rPr>
        <w:t>条件的残疾人福利性单位，且本单位参加</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rPr>
        <w:t>采购活动提供本单位制造的货物（由本单位承担工程/提供服务），或者提供其他残疾人福利性单位制造的货物（不包括使用非残疾人福利性单位注册商标的货物）。</w:t>
      </w:r>
    </w:p>
    <w:p>
      <w:pPr>
        <w:snapToGrid w:val="0"/>
        <w:spacing w:line="360" w:lineRule="auto"/>
        <w:ind w:firstLine="420" w:firstLineChars="200"/>
        <w:rPr>
          <w:rFonts w:hint="eastAsia" w:ascii="宋体" w:hAnsi="宋体" w:eastAsia="宋体" w:cs="宋体"/>
          <w:color w:val="auto"/>
          <w:sz w:val="21"/>
          <w:highlight w:val="none"/>
        </w:rPr>
      </w:pPr>
      <w:r>
        <w:rPr>
          <w:rFonts w:hint="eastAsia" w:ascii="宋体" w:hAnsi="宋体" w:eastAsia="宋体" w:cs="宋体"/>
          <w:color w:val="auto"/>
          <w:sz w:val="21"/>
          <w:highlight w:val="none"/>
        </w:rPr>
        <w:t>本公司对上述声明的真实性负责。如有虚假，将按照提供虚假投标材料处理。</w:t>
      </w:r>
    </w:p>
    <w:p>
      <w:pPr>
        <w:snapToGrid w:val="0"/>
        <w:spacing w:line="588" w:lineRule="exact"/>
        <w:rPr>
          <w:rFonts w:hint="eastAsia" w:ascii="宋体" w:hAnsi="宋体" w:eastAsia="宋体" w:cs="宋体"/>
          <w:color w:val="auto"/>
          <w:sz w:val="21"/>
          <w:highlight w:val="none"/>
        </w:rPr>
      </w:pPr>
    </w:p>
    <w:p>
      <w:pPr>
        <w:snapToGrid w:val="0"/>
        <w:spacing w:line="360" w:lineRule="auto"/>
        <w:rPr>
          <w:rFonts w:hint="eastAsia" w:ascii="宋体" w:hAnsi="宋体" w:eastAsia="宋体" w:cs="宋体"/>
          <w:b/>
          <w:color w:val="auto"/>
          <w:sz w:val="21"/>
          <w:highlight w:val="none"/>
        </w:rPr>
      </w:pP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投标日期：</w:t>
      </w:r>
    </w:p>
    <w:p>
      <w:pPr>
        <w:snapToGrid w:val="0"/>
        <w:spacing w:line="360" w:lineRule="auto"/>
        <w:rPr>
          <w:rFonts w:hint="eastAsia" w:ascii="宋体" w:hAnsi="宋体" w:eastAsia="宋体" w:cs="宋体"/>
          <w:b/>
          <w:color w:val="auto"/>
          <w:sz w:val="21"/>
          <w:highlight w:val="none"/>
        </w:rPr>
      </w:pPr>
    </w:p>
    <w:p>
      <w:pPr>
        <w:snapToGrid w:val="0"/>
        <w:spacing w:line="360" w:lineRule="auto"/>
        <w:rPr>
          <w:rFonts w:hint="eastAsia" w:ascii="宋体" w:hAnsi="宋体" w:eastAsia="宋体" w:cs="宋体"/>
          <w:bCs/>
          <w:color w:val="auto"/>
          <w:sz w:val="21"/>
          <w:highlight w:val="none"/>
        </w:rPr>
      </w:pPr>
      <w:r>
        <w:rPr>
          <w:rFonts w:hint="eastAsia" w:ascii="宋体" w:hAnsi="宋体" w:eastAsia="宋体" w:cs="宋体"/>
          <w:bCs/>
          <w:color w:val="auto"/>
          <w:sz w:val="21"/>
          <w:highlight w:val="none"/>
        </w:rPr>
        <w:t>注：残疾人福利性单位视同小型、微型企业，享受预留份额、评审中价格扣除等促进中小企业发展的政府采购政策。残疾人福利性单位属于小型、微型企业的，不重复享受政策。投标人为非残疾人福利性单位的，可不提供此声明。</w:t>
      </w:r>
    </w:p>
    <w:p>
      <w:pPr>
        <w:snapToGrid w:val="0"/>
        <w:spacing w:line="360" w:lineRule="auto"/>
        <w:jc w:val="left"/>
        <w:rPr>
          <w:rFonts w:hint="eastAsia" w:ascii="宋体" w:hAnsi="宋体" w:eastAsia="宋体" w:cs="宋体"/>
          <w:b/>
          <w:color w:val="auto"/>
          <w:sz w:val="21"/>
          <w:highlight w:val="none"/>
        </w:rPr>
      </w:pPr>
      <w:r>
        <w:rPr>
          <w:rFonts w:hint="eastAsia" w:ascii="宋体" w:hAnsi="宋体" w:eastAsia="宋体" w:cs="宋体"/>
          <w:color w:val="auto"/>
          <w:highlight w:val="none"/>
        </w:rPr>
        <w:br w:type="page"/>
      </w:r>
    </w:p>
    <w:p>
      <w:pPr>
        <w:snapToGrid w:val="0"/>
        <w:spacing w:line="360" w:lineRule="auto"/>
        <w:jc w:val="center"/>
        <w:rPr>
          <w:rFonts w:hint="eastAsia" w:ascii="宋体" w:hAnsi="宋体" w:eastAsia="宋体" w:cs="宋体"/>
          <w:b/>
          <w:color w:val="auto"/>
          <w:spacing w:val="6"/>
          <w:sz w:val="21"/>
          <w:szCs w:val="21"/>
          <w:highlight w:val="none"/>
          <w:lang w:eastAsia="zh-CN"/>
        </w:rPr>
      </w:pPr>
      <w:r>
        <w:rPr>
          <w:rFonts w:hint="eastAsia" w:ascii="宋体" w:hAnsi="宋体" w:eastAsia="宋体" w:cs="宋体"/>
          <w:b/>
          <w:color w:val="auto"/>
          <w:spacing w:val="6"/>
          <w:sz w:val="21"/>
          <w:szCs w:val="21"/>
          <w:highlight w:val="none"/>
        </w:rPr>
        <w:t>监狱企业声明函</w:t>
      </w:r>
      <w:r>
        <w:rPr>
          <w:rFonts w:hint="eastAsia" w:ascii="宋体" w:hAnsi="宋体" w:eastAsia="宋体" w:cs="宋体"/>
          <w:b/>
          <w:color w:val="auto"/>
          <w:spacing w:val="6"/>
          <w:sz w:val="21"/>
          <w:szCs w:val="21"/>
          <w:highlight w:val="none"/>
          <w:lang w:eastAsia="zh-CN"/>
        </w:rPr>
        <w:t>（</w:t>
      </w:r>
      <w:r>
        <w:rPr>
          <w:rFonts w:hint="eastAsia" w:ascii="宋体" w:hAnsi="宋体" w:eastAsia="宋体" w:cs="宋体"/>
          <w:b/>
          <w:color w:val="auto"/>
          <w:spacing w:val="6"/>
          <w:sz w:val="21"/>
          <w:szCs w:val="21"/>
          <w:highlight w:val="none"/>
          <w:lang w:val="en-US" w:eastAsia="zh-CN"/>
        </w:rPr>
        <w:t>如是</w:t>
      </w:r>
      <w:r>
        <w:rPr>
          <w:rFonts w:hint="eastAsia" w:ascii="宋体" w:hAnsi="宋体" w:eastAsia="宋体" w:cs="宋体"/>
          <w:b/>
          <w:color w:val="auto"/>
          <w:spacing w:val="6"/>
          <w:sz w:val="21"/>
          <w:szCs w:val="21"/>
          <w:highlight w:val="none"/>
          <w:lang w:eastAsia="zh-CN"/>
        </w:rPr>
        <w:t>）</w:t>
      </w:r>
    </w:p>
    <w:p>
      <w:pPr>
        <w:tabs>
          <w:tab w:val="left" w:pos="1134"/>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本公司郑重声明，根据《政府采购支持监狱企业发展有关问题的通知》（财库〔2014〕68号）的规定，本公司______（请填写：“是” 或 “不是”）监狱企业。即，本公司满足以下条件：</w:t>
      </w:r>
    </w:p>
    <w:p>
      <w:pPr>
        <w:tabs>
          <w:tab w:val="left" w:pos="0"/>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根据《工业和信息化部、国家统计局、国家发展和改革委员会、财政部关于印发中小企业划型标准规定的通知》（工信部联企业[2011]300号）规定的划分标准，本公司为______（请填写：“是” 或 “不是”）监狱企业。</w:t>
      </w:r>
    </w:p>
    <w:p>
      <w:pPr>
        <w:tabs>
          <w:tab w:val="left" w:pos="1134"/>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本公司参加本次</w:t>
      </w:r>
      <w:r>
        <w:rPr>
          <w:rFonts w:hint="eastAsia" w:ascii="宋体" w:hAnsi="宋体" w:eastAsia="宋体" w:cs="宋体"/>
          <w:color w:val="auto"/>
          <w:spacing w:val="6"/>
          <w:sz w:val="21"/>
          <w:szCs w:val="21"/>
          <w:highlight w:val="none"/>
          <w:lang w:val="en-US" w:eastAsia="zh-CN"/>
        </w:rPr>
        <w:t>采购项目</w:t>
      </w:r>
      <w:r>
        <w:rPr>
          <w:rFonts w:hint="eastAsia" w:ascii="宋体" w:hAnsi="宋体" w:eastAsia="宋体" w:cs="宋体"/>
          <w:color w:val="auto"/>
          <w:spacing w:val="6"/>
          <w:sz w:val="21"/>
          <w:szCs w:val="21"/>
          <w:highlight w:val="none"/>
        </w:rPr>
        <w:t>活动提供本企业制造的货物及服务，由本企业承担工程、提供服务。</w:t>
      </w:r>
    </w:p>
    <w:p>
      <w:pPr>
        <w:tabs>
          <w:tab w:val="left" w:pos="1134"/>
        </w:tabs>
        <w:snapToGrid w:val="0"/>
        <w:spacing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本公司对上述声明的真实性负责。如有虚假，将按照提供虚假投标材料处理。</w:t>
      </w:r>
    </w:p>
    <w:p>
      <w:pPr>
        <w:tabs>
          <w:tab w:val="left" w:pos="3969"/>
        </w:tabs>
        <w:snapToGrid w:val="0"/>
        <w:spacing w:line="360" w:lineRule="auto"/>
        <w:ind w:right="-58"/>
        <w:jc w:val="left"/>
        <w:rPr>
          <w:rFonts w:hint="eastAsia" w:ascii="宋体" w:hAnsi="宋体" w:eastAsia="宋体" w:cs="宋体"/>
          <w:color w:val="auto"/>
          <w:spacing w:val="6"/>
          <w:sz w:val="21"/>
          <w:szCs w:val="21"/>
          <w:highlight w:val="none"/>
        </w:rPr>
      </w:pP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snapToGri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投标日期：</w:t>
      </w:r>
    </w:p>
    <w:p>
      <w:pPr>
        <w:spacing w:line="360" w:lineRule="auto"/>
        <w:ind w:firstLine="420" w:firstLineChars="200"/>
        <w:rPr>
          <w:rFonts w:hint="eastAsia" w:ascii="宋体" w:hAnsi="宋体" w:eastAsia="宋体" w:cs="宋体"/>
          <w:color w:val="auto"/>
          <w:highlight w:val="none"/>
        </w:rPr>
      </w:pPr>
    </w:p>
    <w:p>
      <w:pPr>
        <w:pStyle w:val="27"/>
        <w:spacing w:line="360" w:lineRule="auto"/>
        <w:rPr>
          <w:rFonts w:hint="eastAsia" w:ascii="宋体" w:hAnsi="宋体" w:eastAsia="宋体" w:cs="宋体"/>
          <w:color w:val="auto"/>
          <w:sz w:val="21"/>
          <w:szCs w:val="21"/>
          <w:highlight w:val="none"/>
        </w:rPr>
      </w:pPr>
    </w:p>
    <w:p>
      <w:pPr>
        <w:snapToGrid w:val="0"/>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pacing w:val="6"/>
          <w:sz w:val="21"/>
          <w:szCs w:val="21"/>
          <w:highlight w:val="none"/>
        </w:rPr>
        <w:t>注：1.</w:t>
      </w:r>
      <w:r>
        <w:rPr>
          <w:rFonts w:hint="eastAsia" w:ascii="宋体" w:hAnsi="宋体" w:eastAsia="宋体" w:cs="宋体"/>
          <w:bCs/>
          <w:color w:val="auto"/>
          <w:sz w:val="21"/>
          <w:szCs w:val="21"/>
          <w:highlight w:val="none"/>
        </w:rPr>
        <w:t>如投标人为大型企业或未提供中小企业（监狱企业）声明函的，则其投标产品中的小型、微型企业生产的产品不能享受招标文件规定的价格扣除，但不影响投标人投标文件的有效性。</w:t>
      </w:r>
    </w:p>
    <w:p>
      <w:pPr>
        <w:pStyle w:val="2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pStyle w:val="27"/>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在政府采购活动中，监狱企业视同小型、微型企业，享受预留份额、评审中价格扣除等政府采购促进中小企业发展的政府采购政策。（监狱企业参加政府采购活动时，还应当提供由省级以上监狱管理局、戒毒管理局</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含新疆生产建设兵团</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出具的属于监狱企业的证明文件。）</w:t>
      </w: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27"/>
        <w:rPr>
          <w:rFonts w:hint="eastAsia" w:ascii="宋体" w:hAnsi="宋体" w:eastAsia="宋体" w:cs="宋体"/>
          <w:b/>
          <w:color w:val="auto"/>
          <w:sz w:val="21"/>
          <w:highlight w:val="none"/>
        </w:rPr>
      </w:pPr>
    </w:p>
    <w:p>
      <w:pPr>
        <w:pStyle w:val="12"/>
        <w:ind w:left="0" w:leftChars="0" w:firstLine="0" w:firstLineChars="0"/>
        <w:jc w:val="center"/>
        <w:outlineLvl w:val="9"/>
        <w:rPr>
          <w:rFonts w:hint="eastAsia" w:ascii="宋体" w:hAnsi="宋体" w:eastAsia="宋体" w:cs="宋体"/>
          <w:b/>
          <w:bCs/>
          <w:color w:val="auto"/>
          <w:spacing w:val="60"/>
          <w:sz w:val="32"/>
          <w:szCs w:val="20"/>
          <w:highlight w:val="none"/>
        </w:rPr>
      </w:pPr>
      <w:r>
        <w:rPr>
          <w:rFonts w:hint="eastAsia" w:ascii="宋体" w:hAnsi="宋体" w:eastAsia="宋体" w:cs="宋体"/>
          <w:b/>
          <w:bCs/>
          <w:color w:val="auto"/>
          <w:spacing w:val="60"/>
          <w:sz w:val="32"/>
          <w:szCs w:val="32"/>
          <w:highlight w:val="none"/>
        </w:rPr>
        <w:t>注意事项</w:t>
      </w:r>
      <w:bookmarkEnd w:id="177"/>
      <w:bookmarkEnd w:id="178"/>
      <w:bookmarkEnd w:id="179"/>
      <w:bookmarkEnd w:id="180"/>
    </w:p>
    <w:p>
      <w:pPr>
        <w:outlineLvl w:val="9"/>
        <w:rPr>
          <w:rFonts w:hint="eastAsia" w:ascii="宋体" w:hAnsi="宋体" w:eastAsia="宋体" w:cs="宋体"/>
          <w:color w:val="auto"/>
          <w:sz w:val="32"/>
          <w:szCs w:val="32"/>
          <w:highlight w:val="none"/>
        </w:rPr>
      </w:pPr>
    </w:p>
    <w:p>
      <w:pPr>
        <w:outlineLvl w:val="9"/>
        <w:rPr>
          <w:rFonts w:hint="eastAsia" w:ascii="宋体" w:hAnsi="宋体" w:eastAsia="宋体" w:cs="宋体"/>
          <w:color w:val="auto"/>
          <w:sz w:val="24"/>
          <w:highlight w:val="none"/>
        </w:rPr>
      </w:pPr>
      <w:bookmarkStart w:id="181" w:name="_Toc6869"/>
      <w:bookmarkStart w:id="182" w:name="_Toc20171"/>
      <w:bookmarkStart w:id="183" w:name="_Toc1267"/>
      <w:r>
        <w:rPr>
          <w:rFonts w:hint="eastAsia" w:ascii="宋体" w:hAnsi="宋体" w:eastAsia="宋体" w:cs="宋体"/>
          <w:color w:val="auto"/>
          <w:sz w:val="28"/>
          <w:highlight w:val="none"/>
        </w:rPr>
        <w:t>1</w:t>
      </w:r>
      <w:r>
        <w:rPr>
          <w:rFonts w:hint="eastAsia" w:ascii="宋体" w:hAnsi="宋体" w:eastAsia="宋体" w:cs="宋体"/>
          <w:color w:val="auto"/>
          <w:sz w:val="28"/>
          <w:highlight w:val="none"/>
          <w:lang w:eastAsia="zh-CN"/>
        </w:rPr>
        <w:t>、</w:t>
      </w:r>
      <w:r>
        <w:rPr>
          <w:rFonts w:hint="eastAsia" w:ascii="宋体" w:hAnsi="宋体" w:eastAsia="宋体" w:cs="宋体"/>
          <w:color w:val="auto"/>
          <w:sz w:val="24"/>
          <w:highlight w:val="none"/>
        </w:rPr>
        <w:t>投标人对所附表格中要求的资料和询问应做出肯定的回答。</w:t>
      </w:r>
      <w:bookmarkEnd w:id="181"/>
      <w:bookmarkEnd w:id="182"/>
      <w:bookmarkEnd w:id="183"/>
    </w:p>
    <w:p>
      <w:pPr>
        <w:outlineLvl w:val="9"/>
        <w:rPr>
          <w:rFonts w:hint="eastAsia" w:ascii="宋体" w:hAnsi="宋体" w:eastAsia="宋体" w:cs="宋体"/>
          <w:color w:val="auto"/>
          <w:sz w:val="24"/>
          <w:highlight w:val="none"/>
        </w:rPr>
      </w:pPr>
      <w:bookmarkStart w:id="184" w:name="_Toc2006"/>
      <w:bookmarkStart w:id="185" w:name="_Toc15065"/>
      <w:bookmarkStart w:id="186" w:name="_Toc15830"/>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投</w:t>
      </w:r>
      <w:r>
        <w:rPr>
          <w:rFonts w:hint="eastAsia" w:ascii="宋体" w:hAnsi="宋体" w:eastAsia="宋体" w:cs="宋体"/>
          <w:color w:val="auto"/>
          <w:sz w:val="24"/>
          <w:highlight w:val="none"/>
        </w:rPr>
        <w:t>标文件的签字人应保证他所做的声明及对一切问题的回答的真实性和准确。</w:t>
      </w:r>
      <w:bookmarkEnd w:id="184"/>
      <w:bookmarkEnd w:id="185"/>
      <w:bookmarkEnd w:id="186"/>
    </w:p>
    <w:p>
      <w:pPr>
        <w:outlineLvl w:val="9"/>
        <w:rPr>
          <w:rFonts w:hint="eastAsia" w:ascii="宋体" w:hAnsi="宋体" w:eastAsia="宋体" w:cs="宋体"/>
          <w:color w:val="auto"/>
          <w:sz w:val="24"/>
          <w:highlight w:val="none"/>
        </w:rPr>
      </w:pPr>
      <w:bookmarkStart w:id="187" w:name="_Toc20835"/>
      <w:bookmarkStart w:id="188" w:name="_Toc30717"/>
      <w:bookmarkStart w:id="189" w:name="_Toc20049"/>
      <w:r>
        <w:rPr>
          <w:rFonts w:hint="eastAsia" w:ascii="宋体" w:hAnsi="宋体" w:eastAsia="宋体" w:cs="宋体"/>
          <w:color w:val="auto"/>
          <w:sz w:val="24"/>
          <w:highlight w:val="none"/>
        </w:rPr>
        <w:t>3、投标人提供的投标文件将由招标人使用，并据此进行评价和判断，确定投标人的能力。</w:t>
      </w:r>
      <w:bookmarkEnd w:id="187"/>
      <w:bookmarkEnd w:id="188"/>
      <w:bookmarkEnd w:id="189"/>
    </w:p>
    <w:p>
      <w:pPr>
        <w:outlineLvl w:val="9"/>
        <w:rPr>
          <w:rFonts w:hint="eastAsia" w:ascii="宋体" w:hAnsi="宋体" w:eastAsia="宋体" w:cs="宋体"/>
          <w:color w:val="auto"/>
          <w:sz w:val="24"/>
          <w:highlight w:val="none"/>
        </w:rPr>
      </w:pPr>
      <w:bookmarkStart w:id="190" w:name="_Toc16011"/>
      <w:bookmarkStart w:id="191" w:name="_Toc27162"/>
      <w:bookmarkStart w:id="192" w:name="_Toc15702"/>
      <w:r>
        <w:rPr>
          <w:rFonts w:hint="eastAsia" w:ascii="宋体" w:hAnsi="宋体" w:eastAsia="宋体" w:cs="宋体"/>
          <w:color w:val="auto"/>
          <w:sz w:val="24"/>
          <w:highlight w:val="none"/>
        </w:rPr>
        <w:t>4、投标人提交的文件将给予保密，但不退还。</w:t>
      </w:r>
      <w:bookmarkEnd w:id="190"/>
      <w:bookmarkEnd w:id="191"/>
      <w:bookmarkEnd w:id="192"/>
    </w:p>
    <w:p>
      <w:pPr>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pStyle w:val="7"/>
        <w:outlineLvl w:val="9"/>
        <w:rPr>
          <w:rFonts w:hint="eastAsia" w:ascii="宋体" w:hAnsi="宋体" w:eastAsia="宋体" w:cs="宋体"/>
          <w:color w:val="auto"/>
          <w:highlight w:val="none"/>
        </w:rPr>
      </w:pPr>
    </w:p>
    <w:p>
      <w:pPr>
        <w:jc w:val="both"/>
        <w:outlineLvl w:val="9"/>
        <w:rPr>
          <w:rFonts w:hint="eastAsia" w:ascii="宋体" w:hAnsi="宋体" w:eastAsia="宋体" w:cs="宋体"/>
          <w:b/>
          <w:bCs/>
          <w:color w:val="auto"/>
          <w:sz w:val="30"/>
          <w:szCs w:val="30"/>
          <w:highlight w:val="none"/>
          <w:lang w:val="en-US" w:eastAsia="zh-CN"/>
        </w:rPr>
      </w:pPr>
    </w:p>
    <w:sectPr>
      <w:headerReference r:id="rId6" w:type="default"/>
      <w:footerReference r:id="rId7" w:type="default"/>
      <w:pgSz w:w="11905" w:h="16838"/>
      <w:pgMar w:top="1440" w:right="1797" w:bottom="1440" w:left="1797" w:header="850" w:footer="992"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aramond">
    <w:altName w:val="PMingLiU-ExtB"/>
    <w:panose1 w:val="02020404030301010803"/>
    <w:charset w:val="00"/>
    <w:family w:val="roman"/>
    <w:pitch w:val="default"/>
    <w:sig w:usb0="00000000" w:usb1="00000000" w:usb2="00000000" w:usb3="00000000" w:csb0="0000009F" w:csb1="DFD7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62</w:t>
                    </w:r>
                    <w:r>
                      <w:fldChar w:fldCharType="end"/>
                    </w:r>
                  </w:p>
                </w:txbxContent>
              </v:textbox>
            </v:shape>
          </w:pict>
        </mc:Fallback>
      </mc:AlternateContent>
    </w:r>
  </w:p>
  <w:p>
    <w:pPr>
      <w:pStyle w:val="13"/>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right="360"/>
      <w:jc w:val="right"/>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52</w:t>
                    </w:r>
                    <w:r>
                      <w:fldChar w:fldCharType="end"/>
                    </w:r>
                  </w:p>
                </w:txbxContent>
              </v:textbox>
            </v:shape>
          </w:pict>
        </mc:Fallback>
      </mc:AlternateContent>
    </w:r>
    <w:r>
      <w:rPr>
        <w:lang w:val="zh-CN"/>
      </w:rPr>
      <w:t xml:space="preserve">  </w: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rPr>
        <w:rFonts w:hint="eastAsia"/>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3DDD7"/>
    <w:multiLevelType w:val="singleLevel"/>
    <w:tmpl w:val="8203DDD7"/>
    <w:lvl w:ilvl="0" w:tentative="0">
      <w:start w:val="2"/>
      <w:numFmt w:val="chineseCounting"/>
      <w:suff w:val="nothing"/>
      <w:lvlText w:val="（%1）"/>
      <w:lvlJc w:val="left"/>
      <w:rPr>
        <w:rFonts w:hint="eastAsia"/>
      </w:rPr>
    </w:lvl>
  </w:abstractNum>
  <w:abstractNum w:abstractNumId="1">
    <w:nsid w:val="94498789"/>
    <w:multiLevelType w:val="singleLevel"/>
    <w:tmpl w:val="94498789"/>
    <w:lvl w:ilvl="0" w:tentative="0">
      <w:start w:val="8"/>
      <w:numFmt w:val="chineseCounting"/>
      <w:suff w:val="nothing"/>
      <w:lvlText w:val="%1、"/>
      <w:lvlJc w:val="left"/>
      <w:rPr>
        <w:rFonts w:hint="eastAsia"/>
      </w:rPr>
    </w:lvl>
  </w:abstractNum>
  <w:abstractNum w:abstractNumId="2">
    <w:nsid w:val="CB66B541"/>
    <w:multiLevelType w:val="singleLevel"/>
    <w:tmpl w:val="CB66B541"/>
    <w:lvl w:ilvl="0" w:tentative="0">
      <w:start w:val="1"/>
      <w:numFmt w:val="decimal"/>
      <w:lvlText w:val="(%1)"/>
      <w:lvlJc w:val="left"/>
      <w:pPr>
        <w:ind w:left="425" w:hanging="425"/>
      </w:pPr>
      <w:rPr>
        <w:rFonts w:hint="default"/>
      </w:rPr>
    </w:lvl>
  </w:abstractNum>
  <w:abstractNum w:abstractNumId="3">
    <w:nsid w:val="D7A06E69"/>
    <w:multiLevelType w:val="singleLevel"/>
    <w:tmpl w:val="D7A06E69"/>
    <w:lvl w:ilvl="0" w:tentative="0">
      <w:start w:val="3"/>
      <w:numFmt w:val="chineseCounting"/>
      <w:suff w:val="space"/>
      <w:lvlText w:val="第%1章"/>
      <w:lvlJc w:val="left"/>
      <w:rPr>
        <w:rFonts w:hint="eastAsia"/>
      </w:rPr>
    </w:lvl>
  </w:abstractNum>
  <w:abstractNum w:abstractNumId="4">
    <w:nsid w:val="0000000E"/>
    <w:multiLevelType w:val="singleLevel"/>
    <w:tmpl w:val="0000000E"/>
    <w:lvl w:ilvl="0" w:tentative="0">
      <w:start w:val="1"/>
      <w:numFmt w:val="decimal"/>
      <w:suff w:val="nothing"/>
      <w:lvlText w:val="%1、"/>
      <w:lvlJc w:val="left"/>
    </w:lvl>
  </w:abstractNum>
  <w:abstractNum w:abstractNumId="5">
    <w:nsid w:val="105C7470"/>
    <w:multiLevelType w:val="singleLevel"/>
    <w:tmpl w:val="105C7470"/>
    <w:lvl w:ilvl="0" w:tentative="0">
      <w:start w:val="1"/>
      <w:numFmt w:val="chineseCounting"/>
      <w:suff w:val="space"/>
      <w:lvlText w:val="第%1章"/>
      <w:lvlJc w:val="left"/>
      <w:rPr>
        <w:rFonts w:hint="eastAsia"/>
      </w:rPr>
    </w:lvl>
  </w:abstractNum>
  <w:abstractNum w:abstractNumId="6">
    <w:nsid w:val="15812A10"/>
    <w:multiLevelType w:val="multilevel"/>
    <w:tmpl w:val="15812A10"/>
    <w:lvl w:ilvl="0" w:tentative="0">
      <w:start w:val="1"/>
      <w:numFmt w:val="upperLetter"/>
      <w:pStyle w:val="3"/>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3F32BAE"/>
    <w:multiLevelType w:val="singleLevel"/>
    <w:tmpl w:val="23F32BAE"/>
    <w:lvl w:ilvl="0" w:tentative="0">
      <w:start w:val="1"/>
      <w:numFmt w:val="decimal"/>
      <w:suff w:val="nothing"/>
      <w:lvlText w:val="%1、"/>
      <w:lvlJc w:val="left"/>
    </w:lvl>
  </w:abstractNum>
  <w:abstractNum w:abstractNumId="8">
    <w:nsid w:val="24714A5A"/>
    <w:multiLevelType w:val="multilevel"/>
    <w:tmpl w:val="24714A5A"/>
    <w:lvl w:ilvl="0" w:tentative="0">
      <w:start w:val="1"/>
      <w:numFmt w:val="chineseCountingThousand"/>
      <w:lvlText w:val="(%1)"/>
      <w:lvlJc w:val="left"/>
      <w:pPr>
        <w:ind w:left="63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50D2173"/>
    <w:multiLevelType w:val="multilevel"/>
    <w:tmpl w:val="250D2173"/>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C2F7997"/>
    <w:multiLevelType w:val="singleLevel"/>
    <w:tmpl w:val="2C2F7997"/>
    <w:lvl w:ilvl="0" w:tentative="0">
      <w:start w:val="1"/>
      <w:numFmt w:val="chineseCounting"/>
      <w:suff w:val="nothing"/>
      <w:lvlText w:val="（%1）"/>
      <w:lvlJc w:val="left"/>
      <w:pPr>
        <w:ind w:left="0" w:firstLine="420"/>
      </w:pPr>
      <w:rPr>
        <w:rFonts w:hint="eastAsia"/>
      </w:rPr>
    </w:lvl>
  </w:abstractNum>
  <w:abstractNum w:abstractNumId="11">
    <w:nsid w:val="385E2112"/>
    <w:multiLevelType w:val="multilevel"/>
    <w:tmpl w:val="385E2112"/>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3">
    <w:nsid w:val="4A9C6BA7"/>
    <w:multiLevelType w:val="singleLevel"/>
    <w:tmpl w:val="4A9C6BA7"/>
    <w:lvl w:ilvl="0" w:tentative="0">
      <w:start w:val="5"/>
      <w:numFmt w:val="decimal"/>
      <w:suff w:val="nothing"/>
      <w:lvlText w:val="%1、"/>
      <w:lvlJc w:val="left"/>
    </w:lvl>
  </w:abstractNum>
  <w:abstractNum w:abstractNumId="14">
    <w:nsid w:val="569894D5"/>
    <w:multiLevelType w:val="singleLevel"/>
    <w:tmpl w:val="569894D5"/>
    <w:lvl w:ilvl="0" w:tentative="0">
      <w:start w:val="3"/>
      <w:numFmt w:val="chineseCounting"/>
      <w:suff w:val="nothing"/>
      <w:lvlText w:val="%1、"/>
      <w:lvlJc w:val="left"/>
    </w:lvl>
  </w:abstractNum>
  <w:abstractNum w:abstractNumId="15">
    <w:nsid w:val="68EC5EEC"/>
    <w:multiLevelType w:val="singleLevel"/>
    <w:tmpl w:val="68EC5EEC"/>
    <w:lvl w:ilvl="0" w:tentative="0">
      <w:start w:val="1"/>
      <w:numFmt w:val="chineseCounting"/>
      <w:suff w:val="nothing"/>
      <w:lvlText w:val="（%1）"/>
      <w:lvlJc w:val="left"/>
      <w:pPr>
        <w:ind w:left="0" w:firstLine="420"/>
      </w:pPr>
      <w:rPr>
        <w:rFonts w:hint="eastAsia"/>
      </w:rPr>
    </w:lvl>
  </w:abstractNum>
  <w:num w:numId="1">
    <w:abstractNumId w:val="6"/>
  </w:num>
  <w:num w:numId="2">
    <w:abstractNumId w:val="5"/>
  </w:num>
  <w:num w:numId="3">
    <w:abstractNumId w:val="1"/>
  </w:num>
  <w:num w:numId="4">
    <w:abstractNumId w:val="12"/>
  </w:num>
  <w:num w:numId="5">
    <w:abstractNumId w:val="2"/>
  </w:num>
  <w:num w:numId="6">
    <w:abstractNumId w:val="15"/>
  </w:num>
  <w:num w:numId="7">
    <w:abstractNumId w:val="8"/>
  </w:num>
  <w:num w:numId="8">
    <w:abstractNumId w:val="11"/>
  </w:num>
  <w:num w:numId="9">
    <w:abstractNumId w:val="3"/>
  </w:num>
  <w:num w:numId="10">
    <w:abstractNumId w:val="10"/>
  </w:num>
  <w:num w:numId="11">
    <w:abstractNumId w:val="7"/>
  </w:num>
  <w:num w:numId="12">
    <w:abstractNumId w:val="0"/>
  </w:num>
  <w:num w:numId="13">
    <w:abstractNumId w:val="14"/>
  </w:num>
  <w:num w:numId="14">
    <w:abstractNumId w:val="4"/>
  </w:num>
  <w:num w:numId="15">
    <w:abstractNumId w:val="1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iMDA4YzdlYjlmMjMyNTkxNzZkMDU2NzFkOWI4NzYifQ=="/>
  </w:docVars>
  <w:rsids>
    <w:rsidRoot w:val="562A7F8C"/>
    <w:rsid w:val="001709D0"/>
    <w:rsid w:val="002102A4"/>
    <w:rsid w:val="006B390D"/>
    <w:rsid w:val="008764DD"/>
    <w:rsid w:val="014A77E8"/>
    <w:rsid w:val="0159301C"/>
    <w:rsid w:val="0167761B"/>
    <w:rsid w:val="017B56D8"/>
    <w:rsid w:val="01DC2A3E"/>
    <w:rsid w:val="025D666B"/>
    <w:rsid w:val="02682574"/>
    <w:rsid w:val="026A06A9"/>
    <w:rsid w:val="028C44B2"/>
    <w:rsid w:val="02D23086"/>
    <w:rsid w:val="02F948B2"/>
    <w:rsid w:val="032136EA"/>
    <w:rsid w:val="035A2D65"/>
    <w:rsid w:val="03F637F9"/>
    <w:rsid w:val="04245B63"/>
    <w:rsid w:val="0437120C"/>
    <w:rsid w:val="0462650F"/>
    <w:rsid w:val="04B8274F"/>
    <w:rsid w:val="050C225F"/>
    <w:rsid w:val="052D3FE4"/>
    <w:rsid w:val="05551D4C"/>
    <w:rsid w:val="06383B48"/>
    <w:rsid w:val="06B10483"/>
    <w:rsid w:val="070856F4"/>
    <w:rsid w:val="0719587F"/>
    <w:rsid w:val="073A569E"/>
    <w:rsid w:val="073E68E9"/>
    <w:rsid w:val="074C1DED"/>
    <w:rsid w:val="07C242FF"/>
    <w:rsid w:val="08117958"/>
    <w:rsid w:val="082537F9"/>
    <w:rsid w:val="08850056"/>
    <w:rsid w:val="089A68B5"/>
    <w:rsid w:val="08CA31E9"/>
    <w:rsid w:val="08D47156"/>
    <w:rsid w:val="08E2169E"/>
    <w:rsid w:val="09383E5F"/>
    <w:rsid w:val="093942E6"/>
    <w:rsid w:val="09532A47"/>
    <w:rsid w:val="095A3DD5"/>
    <w:rsid w:val="095B4169"/>
    <w:rsid w:val="09DA3F01"/>
    <w:rsid w:val="09F676EA"/>
    <w:rsid w:val="0AA74DF8"/>
    <w:rsid w:val="0AA779FC"/>
    <w:rsid w:val="0AE0655C"/>
    <w:rsid w:val="0B387018"/>
    <w:rsid w:val="0B50249F"/>
    <w:rsid w:val="0C0A52F6"/>
    <w:rsid w:val="0C210272"/>
    <w:rsid w:val="0C2B1A59"/>
    <w:rsid w:val="0C3C4ED9"/>
    <w:rsid w:val="0C434FF4"/>
    <w:rsid w:val="0C5E598A"/>
    <w:rsid w:val="0C803F2C"/>
    <w:rsid w:val="0CA710DF"/>
    <w:rsid w:val="0CBC3F4A"/>
    <w:rsid w:val="0CC50EF3"/>
    <w:rsid w:val="0CD73F43"/>
    <w:rsid w:val="0CE27C09"/>
    <w:rsid w:val="0D673AAC"/>
    <w:rsid w:val="0D98311E"/>
    <w:rsid w:val="0DA567FA"/>
    <w:rsid w:val="0DC11EEC"/>
    <w:rsid w:val="0DC75B75"/>
    <w:rsid w:val="0E2230B3"/>
    <w:rsid w:val="0E224BE9"/>
    <w:rsid w:val="0E31014F"/>
    <w:rsid w:val="0E345BC0"/>
    <w:rsid w:val="0E611762"/>
    <w:rsid w:val="0E67321C"/>
    <w:rsid w:val="0F03484A"/>
    <w:rsid w:val="0F182F7D"/>
    <w:rsid w:val="0FCF53ED"/>
    <w:rsid w:val="0FE92E3B"/>
    <w:rsid w:val="0FF07241"/>
    <w:rsid w:val="100234F0"/>
    <w:rsid w:val="10237CB7"/>
    <w:rsid w:val="10407D3F"/>
    <w:rsid w:val="1066305F"/>
    <w:rsid w:val="10B6067D"/>
    <w:rsid w:val="11093DA8"/>
    <w:rsid w:val="111331E7"/>
    <w:rsid w:val="111E3E94"/>
    <w:rsid w:val="112076B2"/>
    <w:rsid w:val="113A263D"/>
    <w:rsid w:val="11DC43DC"/>
    <w:rsid w:val="11DC6897"/>
    <w:rsid w:val="12135DC3"/>
    <w:rsid w:val="12295C3B"/>
    <w:rsid w:val="127C6B6A"/>
    <w:rsid w:val="12D05D18"/>
    <w:rsid w:val="132B1ABC"/>
    <w:rsid w:val="13462C73"/>
    <w:rsid w:val="134868DB"/>
    <w:rsid w:val="135B2C24"/>
    <w:rsid w:val="14B4320B"/>
    <w:rsid w:val="14B737AA"/>
    <w:rsid w:val="14E57927"/>
    <w:rsid w:val="14FC1FEF"/>
    <w:rsid w:val="150B08E6"/>
    <w:rsid w:val="15364320"/>
    <w:rsid w:val="15FA4976"/>
    <w:rsid w:val="16111CBF"/>
    <w:rsid w:val="162278E8"/>
    <w:rsid w:val="163C29C8"/>
    <w:rsid w:val="163F7012"/>
    <w:rsid w:val="165B7F9E"/>
    <w:rsid w:val="166B0E3F"/>
    <w:rsid w:val="167C182F"/>
    <w:rsid w:val="169311EC"/>
    <w:rsid w:val="16C831A6"/>
    <w:rsid w:val="16DE4297"/>
    <w:rsid w:val="172C29AE"/>
    <w:rsid w:val="17481711"/>
    <w:rsid w:val="17E1744C"/>
    <w:rsid w:val="17F25099"/>
    <w:rsid w:val="18320317"/>
    <w:rsid w:val="183D6623"/>
    <w:rsid w:val="187A159E"/>
    <w:rsid w:val="18B43502"/>
    <w:rsid w:val="18BE2A05"/>
    <w:rsid w:val="18D13137"/>
    <w:rsid w:val="19062F7F"/>
    <w:rsid w:val="19235F91"/>
    <w:rsid w:val="19332B35"/>
    <w:rsid w:val="193816C7"/>
    <w:rsid w:val="193F48D0"/>
    <w:rsid w:val="197B677C"/>
    <w:rsid w:val="199F0AAB"/>
    <w:rsid w:val="19A76508"/>
    <w:rsid w:val="19FF28E0"/>
    <w:rsid w:val="1A5E06BD"/>
    <w:rsid w:val="1AC02E15"/>
    <w:rsid w:val="1AD41657"/>
    <w:rsid w:val="1AE5303E"/>
    <w:rsid w:val="1AF271EC"/>
    <w:rsid w:val="1B75684C"/>
    <w:rsid w:val="1BE330DD"/>
    <w:rsid w:val="1C074B5F"/>
    <w:rsid w:val="1C686DDC"/>
    <w:rsid w:val="1CA84156"/>
    <w:rsid w:val="1CF05B1D"/>
    <w:rsid w:val="1D411F19"/>
    <w:rsid w:val="1D7902E3"/>
    <w:rsid w:val="1D910DE4"/>
    <w:rsid w:val="1D9531D6"/>
    <w:rsid w:val="1DD302FB"/>
    <w:rsid w:val="1E053244"/>
    <w:rsid w:val="1E197963"/>
    <w:rsid w:val="1E2A5750"/>
    <w:rsid w:val="1E396257"/>
    <w:rsid w:val="1E3B0933"/>
    <w:rsid w:val="1E4D0A1C"/>
    <w:rsid w:val="1E9A6699"/>
    <w:rsid w:val="1EDC4AED"/>
    <w:rsid w:val="1EF06916"/>
    <w:rsid w:val="1F4D1FBA"/>
    <w:rsid w:val="1F5C3068"/>
    <w:rsid w:val="1F9749F8"/>
    <w:rsid w:val="1FB042F7"/>
    <w:rsid w:val="20196052"/>
    <w:rsid w:val="203C020F"/>
    <w:rsid w:val="20403220"/>
    <w:rsid w:val="20651585"/>
    <w:rsid w:val="207639E7"/>
    <w:rsid w:val="20E93740"/>
    <w:rsid w:val="21607F04"/>
    <w:rsid w:val="21AF47B7"/>
    <w:rsid w:val="21FF3314"/>
    <w:rsid w:val="22133536"/>
    <w:rsid w:val="222B5EB7"/>
    <w:rsid w:val="22360A87"/>
    <w:rsid w:val="227D2BB6"/>
    <w:rsid w:val="22DD5403"/>
    <w:rsid w:val="23230F2C"/>
    <w:rsid w:val="23812740"/>
    <w:rsid w:val="2386564E"/>
    <w:rsid w:val="24773635"/>
    <w:rsid w:val="24A47C45"/>
    <w:rsid w:val="24AB50AF"/>
    <w:rsid w:val="251A1B58"/>
    <w:rsid w:val="252C3350"/>
    <w:rsid w:val="25755DF3"/>
    <w:rsid w:val="260E4558"/>
    <w:rsid w:val="260E7FC9"/>
    <w:rsid w:val="26185D90"/>
    <w:rsid w:val="26450CC0"/>
    <w:rsid w:val="279E046E"/>
    <w:rsid w:val="27C60B5C"/>
    <w:rsid w:val="27C61B43"/>
    <w:rsid w:val="27F13B68"/>
    <w:rsid w:val="27F76C9B"/>
    <w:rsid w:val="282B6C11"/>
    <w:rsid w:val="28331991"/>
    <w:rsid w:val="28342D4D"/>
    <w:rsid w:val="28CF3E4A"/>
    <w:rsid w:val="28EE6106"/>
    <w:rsid w:val="28F16B8C"/>
    <w:rsid w:val="29362F86"/>
    <w:rsid w:val="296970B4"/>
    <w:rsid w:val="296F6FD1"/>
    <w:rsid w:val="297E291D"/>
    <w:rsid w:val="297F2B8F"/>
    <w:rsid w:val="29D735AC"/>
    <w:rsid w:val="29DF65CD"/>
    <w:rsid w:val="2A23727D"/>
    <w:rsid w:val="2A302808"/>
    <w:rsid w:val="2A6A43BB"/>
    <w:rsid w:val="2AC05D36"/>
    <w:rsid w:val="2AF96FA6"/>
    <w:rsid w:val="2B173292"/>
    <w:rsid w:val="2B367DA6"/>
    <w:rsid w:val="2BA469B4"/>
    <w:rsid w:val="2C11436F"/>
    <w:rsid w:val="2C1D4E6C"/>
    <w:rsid w:val="2C4016BA"/>
    <w:rsid w:val="2C546920"/>
    <w:rsid w:val="2C596B02"/>
    <w:rsid w:val="2C6710BB"/>
    <w:rsid w:val="2C8C39F6"/>
    <w:rsid w:val="2CAB0320"/>
    <w:rsid w:val="2CD8378E"/>
    <w:rsid w:val="2CF82668"/>
    <w:rsid w:val="2D0A522F"/>
    <w:rsid w:val="2D312F83"/>
    <w:rsid w:val="2D4A5C64"/>
    <w:rsid w:val="2D7822FD"/>
    <w:rsid w:val="2DAA0AE3"/>
    <w:rsid w:val="2DE3464D"/>
    <w:rsid w:val="2DE955A4"/>
    <w:rsid w:val="2DED189D"/>
    <w:rsid w:val="2E4418F4"/>
    <w:rsid w:val="2E574658"/>
    <w:rsid w:val="2E8850EF"/>
    <w:rsid w:val="2E944D6F"/>
    <w:rsid w:val="2E9E2416"/>
    <w:rsid w:val="2EBA6F40"/>
    <w:rsid w:val="2F3547AB"/>
    <w:rsid w:val="2F555E00"/>
    <w:rsid w:val="2F8B0851"/>
    <w:rsid w:val="2FD60E9E"/>
    <w:rsid w:val="30654F90"/>
    <w:rsid w:val="30860F27"/>
    <w:rsid w:val="30B41A15"/>
    <w:rsid w:val="31A57A34"/>
    <w:rsid w:val="31BA2CDF"/>
    <w:rsid w:val="31DE2CAD"/>
    <w:rsid w:val="31E85B0F"/>
    <w:rsid w:val="31EE7FAA"/>
    <w:rsid w:val="320846B6"/>
    <w:rsid w:val="32303576"/>
    <w:rsid w:val="32883C32"/>
    <w:rsid w:val="32A72C61"/>
    <w:rsid w:val="32AE36C9"/>
    <w:rsid w:val="32B048E2"/>
    <w:rsid w:val="337A66A2"/>
    <w:rsid w:val="34014CFA"/>
    <w:rsid w:val="34237336"/>
    <w:rsid w:val="34252DDB"/>
    <w:rsid w:val="34BF705E"/>
    <w:rsid w:val="35101668"/>
    <w:rsid w:val="353271C8"/>
    <w:rsid w:val="353725BB"/>
    <w:rsid w:val="35591701"/>
    <w:rsid w:val="3588593F"/>
    <w:rsid w:val="362C39B2"/>
    <w:rsid w:val="37486F1C"/>
    <w:rsid w:val="374E0226"/>
    <w:rsid w:val="375E6623"/>
    <w:rsid w:val="37C85FF7"/>
    <w:rsid w:val="37FF3F7C"/>
    <w:rsid w:val="381709EA"/>
    <w:rsid w:val="386812B7"/>
    <w:rsid w:val="38AC78FA"/>
    <w:rsid w:val="391A3A8C"/>
    <w:rsid w:val="3957131E"/>
    <w:rsid w:val="395A55A8"/>
    <w:rsid w:val="397D0DAC"/>
    <w:rsid w:val="397F6DBC"/>
    <w:rsid w:val="3A08060C"/>
    <w:rsid w:val="3A5C3116"/>
    <w:rsid w:val="3B390E5C"/>
    <w:rsid w:val="3B7566C9"/>
    <w:rsid w:val="3B8B4C6A"/>
    <w:rsid w:val="3BB645EB"/>
    <w:rsid w:val="3BCE5DD9"/>
    <w:rsid w:val="3BD93295"/>
    <w:rsid w:val="3C687FDC"/>
    <w:rsid w:val="3C6A6ACB"/>
    <w:rsid w:val="3C9963E7"/>
    <w:rsid w:val="3CED04E1"/>
    <w:rsid w:val="3D3B6DEA"/>
    <w:rsid w:val="3D807426"/>
    <w:rsid w:val="3DF013CD"/>
    <w:rsid w:val="3EAE71FB"/>
    <w:rsid w:val="3ED657B5"/>
    <w:rsid w:val="3EE12F99"/>
    <w:rsid w:val="3F5A4156"/>
    <w:rsid w:val="3FA26E4D"/>
    <w:rsid w:val="404B649A"/>
    <w:rsid w:val="404B7AD8"/>
    <w:rsid w:val="40762ABD"/>
    <w:rsid w:val="40812151"/>
    <w:rsid w:val="40A87283"/>
    <w:rsid w:val="40BC6B48"/>
    <w:rsid w:val="40CB42F5"/>
    <w:rsid w:val="40F57964"/>
    <w:rsid w:val="41026DD9"/>
    <w:rsid w:val="41294845"/>
    <w:rsid w:val="412F10C8"/>
    <w:rsid w:val="414779F7"/>
    <w:rsid w:val="415835B4"/>
    <w:rsid w:val="41A12760"/>
    <w:rsid w:val="41A43131"/>
    <w:rsid w:val="41B20F4B"/>
    <w:rsid w:val="41D53177"/>
    <w:rsid w:val="421F36AF"/>
    <w:rsid w:val="423050F8"/>
    <w:rsid w:val="4286740D"/>
    <w:rsid w:val="42882328"/>
    <w:rsid w:val="42896C0B"/>
    <w:rsid w:val="42A14BDF"/>
    <w:rsid w:val="42FA5706"/>
    <w:rsid w:val="43207507"/>
    <w:rsid w:val="4340580E"/>
    <w:rsid w:val="4364433D"/>
    <w:rsid w:val="436A51DA"/>
    <w:rsid w:val="437400BA"/>
    <w:rsid w:val="439711A6"/>
    <w:rsid w:val="43BE20C5"/>
    <w:rsid w:val="43D941C3"/>
    <w:rsid w:val="44011C2D"/>
    <w:rsid w:val="4412096A"/>
    <w:rsid w:val="44D51F86"/>
    <w:rsid w:val="452627E2"/>
    <w:rsid w:val="453B48F9"/>
    <w:rsid w:val="45407CA5"/>
    <w:rsid w:val="454E3F0A"/>
    <w:rsid w:val="456B1CC4"/>
    <w:rsid w:val="45892246"/>
    <w:rsid w:val="45947D5B"/>
    <w:rsid w:val="46230960"/>
    <w:rsid w:val="46404F54"/>
    <w:rsid w:val="4695351C"/>
    <w:rsid w:val="469745E4"/>
    <w:rsid w:val="469750EF"/>
    <w:rsid w:val="46D33DC6"/>
    <w:rsid w:val="46D651B3"/>
    <w:rsid w:val="46DD20EA"/>
    <w:rsid w:val="46F33E69"/>
    <w:rsid w:val="474F720D"/>
    <w:rsid w:val="476A7BFA"/>
    <w:rsid w:val="477A6F54"/>
    <w:rsid w:val="479539D4"/>
    <w:rsid w:val="47AB54FA"/>
    <w:rsid w:val="47E0660A"/>
    <w:rsid w:val="48021352"/>
    <w:rsid w:val="480A2692"/>
    <w:rsid w:val="481A666F"/>
    <w:rsid w:val="4883391C"/>
    <w:rsid w:val="490A4796"/>
    <w:rsid w:val="495B43A7"/>
    <w:rsid w:val="497B39EA"/>
    <w:rsid w:val="49941E2F"/>
    <w:rsid w:val="4A4215A5"/>
    <w:rsid w:val="4A7A1352"/>
    <w:rsid w:val="4A7A7E0A"/>
    <w:rsid w:val="4A810B41"/>
    <w:rsid w:val="4AC91857"/>
    <w:rsid w:val="4AC92FA7"/>
    <w:rsid w:val="4AFE29E5"/>
    <w:rsid w:val="4B141867"/>
    <w:rsid w:val="4B3D4425"/>
    <w:rsid w:val="4B4E2A92"/>
    <w:rsid w:val="4B5333AE"/>
    <w:rsid w:val="4B6C333C"/>
    <w:rsid w:val="4BD56D10"/>
    <w:rsid w:val="4BE02038"/>
    <w:rsid w:val="4BF40E3E"/>
    <w:rsid w:val="4C191E51"/>
    <w:rsid w:val="4C1E305B"/>
    <w:rsid w:val="4C39311D"/>
    <w:rsid w:val="4CAA3CF8"/>
    <w:rsid w:val="4CAA6BB8"/>
    <w:rsid w:val="4CC814AE"/>
    <w:rsid w:val="4CEC60BF"/>
    <w:rsid w:val="4D4569D0"/>
    <w:rsid w:val="4D62111E"/>
    <w:rsid w:val="4D697D65"/>
    <w:rsid w:val="4D7B33A4"/>
    <w:rsid w:val="4DA33313"/>
    <w:rsid w:val="4DD70B1D"/>
    <w:rsid w:val="4DED3334"/>
    <w:rsid w:val="4E065B01"/>
    <w:rsid w:val="4E3D66C3"/>
    <w:rsid w:val="4E71109E"/>
    <w:rsid w:val="4E8D3B81"/>
    <w:rsid w:val="4EAC3D58"/>
    <w:rsid w:val="4ECC64F1"/>
    <w:rsid w:val="4F4122A3"/>
    <w:rsid w:val="4F50502B"/>
    <w:rsid w:val="4FA15F89"/>
    <w:rsid w:val="4FB3211C"/>
    <w:rsid w:val="4FB40A26"/>
    <w:rsid w:val="4FCC21D8"/>
    <w:rsid w:val="50064A57"/>
    <w:rsid w:val="501F0559"/>
    <w:rsid w:val="503D798F"/>
    <w:rsid w:val="504B134F"/>
    <w:rsid w:val="50545D49"/>
    <w:rsid w:val="50566012"/>
    <w:rsid w:val="50B11AF9"/>
    <w:rsid w:val="511D2CEB"/>
    <w:rsid w:val="51874DAF"/>
    <w:rsid w:val="51CE7817"/>
    <w:rsid w:val="52225B87"/>
    <w:rsid w:val="522307D5"/>
    <w:rsid w:val="5250430D"/>
    <w:rsid w:val="527077C5"/>
    <w:rsid w:val="527904B0"/>
    <w:rsid w:val="52A511EA"/>
    <w:rsid w:val="52CA29FF"/>
    <w:rsid w:val="52F7761E"/>
    <w:rsid w:val="5310474C"/>
    <w:rsid w:val="531E1297"/>
    <w:rsid w:val="532D2B19"/>
    <w:rsid w:val="5359231A"/>
    <w:rsid w:val="53DA1367"/>
    <w:rsid w:val="540D249E"/>
    <w:rsid w:val="542F58CA"/>
    <w:rsid w:val="54342B34"/>
    <w:rsid w:val="54393681"/>
    <w:rsid w:val="54415B3F"/>
    <w:rsid w:val="54851C81"/>
    <w:rsid w:val="548E7A76"/>
    <w:rsid w:val="54B70C4B"/>
    <w:rsid w:val="54F6197A"/>
    <w:rsid w:val="5520724E"/>
    <w:rsid w:val="552E5A45"/>
    <w:rsid w:val="5568601F"/>
    <w:rsid w:val="558C3776"/>
    <w:rsid w:val="55BF3C5C"/>
    <w:rsid w:val="55EC0C4B"/>
    <w:rsid w:val="560F0609"/>
    <w:rsid w:val="562969FC"/>
    <w:rsid w:val="562A7F8C"/>
    <w:rsid w:val="56462975"/>
    <w:rsid w:val="565A420A"/>
    <w:rsid w:val="5689497F"/>
    <w:rsid w:val="56C14289"/>
    <w:rsid w:val="57233025"/>
    <w:rsid w:val="5726041F"/>
    <w:rsid w:val="572B430E"/>
    <w:rsid w:val="572F5217"/>
    <w:rsid w:val="5739015C"/>
    <w:rsid w:val="57882E88"/>
    <w:rsid w:val="5799049A"/>
    <w:rsid w:val="58135565"/>
    <w:rsid w:val="58552FA4"/>
    <w:rsid w:val="5870229A"/>
    <w:rsid w:val="58782BD5"/>
    <w:rsid w:val="58A72C94"/>
    <w:rsid w:val="58FE78A6"/>
    <w:rsid w:val="58FF717A"/>
    <w:rsid w:val="590E45F0"/>
    <w:rsid w:val="59710010"/>
    <w:rsid w:val="59BB7545"/>
    <w:rsid w:val="5AC4701D"/>
    <w:rsid w:val="5AC76EF3"/>
    <w:rsid w:val="5AC778C6"/>
    <w:rsid w:val="5B36565B"/>
    <w:rsid w:val="5B4D02BE"/>
    <w:rsid w:val="5B935A55"/>
    <w:rsid w:val="5C6519EA"/>
    <w:rsid w:val="5C9122C7"/>
    <w:rsid w:val="5C9D4C85"/>
    <w:rsid w:val="5C9E1265"/>
    <w:rsid w:val="5CA27028"/>
    <w:rsid w:val="5D8A5C57"/>
    <w:rsid w:val="5D9840A6"/>
    <w:rsid w:val="5DAD0036"/>
    <w:rsid w:val="5E305A39"/>
    <w:rsid w:val="5EC3487F"/>
    <w:rsid w:val="5F0B3163"/>
    <w:rsid w:val="5F150FC9"/>
    <w:rsid w:val="5F2F20B1"/>
    <w:rsid w:val="5F3C2ED6"/>
    <w:rsid w:val="5F815C47"/>
    <w:rsid w:val="5F8A3AFF"/>
    <w:rsid w:val="5FAD406B"/>
    <w:rsid w:val="5FCA54A8"/>
    <w:rsid w:val="5FDC6F72"/>
    <w:rsid w:val="605007E5"/>
    <w:rsid w:val="605C4EB2"/>
    <w:rsid w:val="60900E16"/>
    <w:rsid w:val="60A06F3C"/>
    <w:rsid w:val="610D33D4"/>
    <w:rsid w:val="618C6696"/>
    <w:rsid w:val="61AD6F5F"/>
    <w:rsid w:val="61B229C5"/>
    <w:rsid w:val="61CB0541"/>
    <w:rsid w:val="61FC4B9F"/>
    <w:rsid w:val="620654F7"/>
    <w:rsid w:val="621771F3"/>
    <w:rsid w:val="62315E81"/>
    <w:rsid w:val="623F5A0E"/>
    <w:rsid w:val="63090C47"/>
    <w:rsid w:val="63373080"/>
    <w:rsid w:val="635F53E5"/>
    <w:rsid w:val="63E95FE4"/>
    <w:rsid w:val="63EC5FEE"/>
    <w:rsid w:val="63F55E58"/>
    <w:rsid w:val="643A340B"/>
    <w:rsid w:val="64430863"/>
    <w:rsid w:val="64507A64"/>
    <w:rsid w:val="64836C73"/>
    <w:rsid w:val="65156747"/>
    <w:rsid w:val="65293A1E"/>
    <w:rsid w:val="65312228"/>
    <w:rsid w:val="656A1E1F"/>
    <w:rsid w:val="65713EE3"/>
    <w:rsid w:val="65B82D44"/>
    <w:rsid w:val="66073FA5"/>
    <w:rsid w:val="665A1E94"/>
    <w:rsid w:val="667C1E0A"/>
    <w:rsid w:val="66C23A0D"/>
    <w:rsid w:val="66F91D94"/>
    <w:rsid w:val="672D1422"/>
    <w:rsid w:val="67613F05"/>
    <w:rsid w:val="67672ABA"/>
    <w:rsid w:val="67902011"/>
    <w:rsid w:val="67EE1AA4"/>
    <w:rsid w:val="67F15564"/>
    <w:rsid w:val="68501AFF"/>
    <w:rsid w:val="68633A22"/>
    <w:rsid w:val="68B91067"/>
    <w:rsid w:val="68CA296D"/>
    <w:rsid w:val="69497468"/>
    <w:rsid w:val="69635503"/>
    <w:rsid w:val="69BF0D46"/>
    <w:rsid w:val="69E06B54"/>
    <w:rsid w:val="69FF522C"/>
    <w:rsid w:val="6A192BBD"/>
    <w:rsid w:val="6A2C3B47"/>
    <w:rsid w:val="6A84490C"/>
    <w:rsid w:val="6B44040B"/>
    <w:rsid w:val="6B676E2D"/>
    <w:rsid w:val="6BB71D86"/>
    <w:rsid w:val="6BC61B26"/>
    <w:rsid w:val="6C2E1DF8"/>
    <w:rsid w:val="6C6455FC"/>
    <w:rsid w:val="6C7A5A27"/>
    <w:rsid w:val="6C942977"/>
    <w:rsid w:val="6CDE55CC"/>
    <w:rsid w:val="6CDE7F2B"/>
    <w:rsid w:val="6CEB1A97"/>
    <w:rsid w:val="6D1E1E6D"/>
    <w:rsid w:val="6D25480D"/>
    <w:rsid w:val="6D40407E"/>
    <w:rsid w:val="6D543AE1"/>
    <w:rsid w:val="6DA70DDE"/>
    <w:rsid w:val="6DFA54F2"/>
    <w:rsid w:val="6DFE0E51"/>
    <w:rsid w:val="6E0E1D04"/>
    <w:rsid w:val="6E162CF4"/>
    <w:rsid w:val="6E786D28"/>
    <w:rsid w:val="6EB365E5"/>
    <w:rsid w:val="6ED137D9"/>
    <w:rsid w:val="6EE113A4"/>
    <w:rsid w:val="6F656ED8"/>
    <w:rsid w:val="6F706EB8"/>
    <w:rsid w:val="6F8C5177"/>
    <w:rsid w:val="6FE949B4"/>
    <w:rsid w:val="70264B58"/>
    <w:rsid w:val="70476728"/>
    <w:rsid w:val="705E388D"/>
    <w:rsid w:val="706D4930"/>
    <w:rsid w:val="70955189"/>
    <w:rsid w:val="71557E27"/>
    <w:rsid w:val="716534DB"/>
    <w:rsid w:val="719A4140"/>
    <w:rsid w:val="719F7D54"/>
    <w:rsid w:val="71A23FE8"/>
    <w:rsid w:val="722C2936"/>
    <w:rsid w:val="726B026C"/>
    <w:rsid w:val="73094156"/>
    <w:rsid w:val="73661EA3"/>
    <w:rsid w:val="738B796F"/>
    <w:rsid w:val="73A51D13"/>
    <w:rsid w:val="73D809E1"/>
    <w:rsid w:val="73E6120B"/>
    <w:rsid w:val="7410790B"/>
    <w:rsid w:val="74153B95"/>
    <w:rsid w:val="7488316A"/>
    <w:rsid w:val="74956EB9"/>
    <w:rsid w:val="749A4651"/>
    <w:rsid w:val="752E0B23"/>
    <w:rsid w:val="753777CB"/>
    <w:rsid w:val="755F25E1"/>
    <w:rsid w:val="7561071A"/>
    <w:rsid w:val="756C40D1"/>
    <w:rsid w:val="757C6CA5"/>
    <w:rsid w:val="758D6003"/>
    <w:rsid w:val="75F4354A"/>
    <w:rsid w:val="76260573"/>
    <w:rsid w:val="762A3631"/>
    <w:rsid w:val="76404C02"/>
    <w:rsid w:val="768D1F2A"/>
    <w:rsid w:val="76C34EE0"/>
    <w:rsid w:val="76EE28B0"/>
    <w:rsid w:val="772A05B7"/>
    <w:rsid w:val="772E4591"/>
    <w:rsid w:val="773F135E"/>
    <w:rsid w:val="775C1833"/>
    <w:rsid w:val="77943A8C"/>
    <w:rsid w:val="779C7CB1"/>
    <w:rsid w:val="77B95D12"/>
    <w:rsid w:val="780222F2"/>
    <w:rsid w:val="782D126E"/>
    <w:rsid w:val="783E034C"/>
    <w:rsid w:val="784C3D32"/>
    <w:rsid w:val="786E011D"/>
    <w:rsid w:val="787D5FEB"/>
    <w:rsid w:val="79495901"/>
    <w:rsid w:val="79741FA4"/>
    <w:rsid w:val="799F6CA3"/>
    <w:rsid w:val="7A0702F5"/>
    <w:rsid w:val="7A106FE1"/>
    <w:rsid w:val="7A3B2DFB"/>
    <w:rsid w:val="7ACB0136"/>
    <w:rsid w:val="7AEF46D7"/>
    <w:rsid w:val="7AFC10FC"/>
    <w:rsid w:val="7B0D1441"/>
    <w:rsid w:val="7B424295"/>
    <w:rsid w:val="7B547D85"/>
    <w:rsid w:val="7B9B6EAF"/>
    <w:rsid w:val="7BC166F1"/>
    <w:rsid w:val="7C043DAD"/>
    <w:rsid w:val="7C4104B9"/>
    <w:rsid w:val="7C8415C1"/>
    <w:rsid w:val="7CEA232C"/>
    <w:rsid w:val="7D7A3BEF"/>
    <w:rsid w:val="7D7B4C19"/>
    <w:rsid w:val="7D9B04C6"/>
    <w:rsid w:val="7DB05507"/>
    <w:rsid w:val="7DD07777"/>
    <w:rsid w:val="7DDA1DE0"/>
    <w:rsid w:val="7DE7105B"/>
    <w:rsid w:val="7E3B1D74"/>
    <w:rsid w:val="7E4016A1"/>
    <w:rsid w:val="7E42291F"/>
    <w:rsid w:val="7EA33A11"/>
    <w:rsid w:val="7EA9540C"/>
    <w:rsid w:val="7EB7559B"/>
    <w:rsid w:val="7ED226A6"/>
    <w:rsid w:val="7F032C71"/>
    <w:rsid w:val="7F4272AF"/>
    <w:rsid w:val="7F8853F6"/>
    <w:rsid w:val="7F9606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1624"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numPr>
        <w:ilvl w:val="0"/>
        <w:numId w:val="1"/>
      </w:numPr>
      <w:outlineLvl w:val="0"/>
    </w:pPr>
    <w:rPr>
      <w:b/>
    </w:rPr>
  </w:style>
  <w:style w:type="paragraph" w:styleId="4">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Arial" w:hAnsi="Arial"/>
      <w:sz w:val="24"/>
    </w:rPr>
  </w:style>
  <w:style w:type="paragraph" w:styleId="7">
    <w:name w:val="Normal Indent"/>
    <w:basedOn w:val="1"/>
    <w:next w:val="8"/>
    <w:qFormat/>
    <w:uiPriority w:val="0"/>
    <w:pPr>
      <w:ind w:firstLine="420" w:firstLineChars="200"/>
    </w:pPr>
    <w:rPr>
      <w:szCs w:val="24"/>
    </w:rPr>
  </w:style>
  <w:style w:type="paragraph" w:customStyle="1" w:styleId="8">
    <w:name w:val="样式 正文缩进 + 首行缩进:  2 字符"/>
    <w:basedOn w:val="7"/>
    <w:qFormat/>
    <w:uiPriority w:val="0"/>
    <w:pPr>
      <w:ind w:firstLine="560" w:firstLineChars="200"/>
    </w:pPr>
    <w:rPr>
      <w:rFonts w:cs="宋体"/>
    </w:rPr>
  </w:style>
  <w:style w:type="paragraph" w:styleId="9">
    <w:name w:val="Body Text Indent"/>
    <w:basedOn w:val="1"/>
    <w:next w:val="10"/>
    <w:qFormat/>
    <w:uiPriority w:val="0"/>
    <w:pPr>
      <w:ind w:firstLine="480"/>
    </w:pPr>
    <w:rPr>
      <w:rFonts w:ascii="宋体" w:hAnsi="宋体"/>
      <w:sz w:val="24"/>
    </w:rPr>
  </w:style>
  <w:style w:type="paragraph" w:styleId="10">
    <w:name w:val="envelope return"/>
    <w:basedOn w:val="1"/>
    <w:qFormat/>
    <w:uiPriority w:val="0"/>
    <w:pPr>
      <w:widowControl/>
      <w:overflowPunct w:val="0"/>
      <w:autoSpaceDE w:val="0"/>
      <w:autoSpaceDN w:val="0"/>
      <w:spacing w:after="0" w:line="240" w:lineRule="atLeast"/>
      <w:jc w:val="left"/>
      <w:textAlignment w:val="baseline"/>
    </w:pPr>
    <w:rPr>
      <w:rFonts w:ascii="Garamond" w:hAnsi="Garamond"/>
      <w:caps/>
      <w:spacing w:val="30"/>
      <w:sz w:val="15"/>
    </w:rPr>
  </w:style>
  <w:style w:type="paragraph" w:styleId="11">
    <w:name w:val="Plain Text"/>
    <w:basedOn w:val="1"/>
    <w:next w:val="1"/>
    <w:qFormat/>
    <w:uiPriority w:val="0"/>
    <w:rPr>
      <w:rFonts w:ascii="宋体" w:hAnsi="Courier New"/>
    </w:rPr>
  </w:style>
  <w:style w:type="paragraph" w:styleId="12">
    <w:name w:val="Date"/>
    <w:basedOn w:val="1"/>
    <w:next w:val="1"/>
    <w:qFormat/>
    <w:uiPriority w:val="0"/>
    <w:pPr>
      <w:ind w:left="100" w:leftChars="2500"/>
    </w:pPr>
  </w:style>
  <w:style w:type="paragraph" w:styleId="13">
    <w:name w:val="footer"/>
    <w:basedOn w:val="1"/>
    <w:next w:val="1"/>
    <w:qFormat/>
    <w:uiPriority w:val="99"/>
    <w:pPr>
      <w:tabs>
        <w:tab w:val="center" w:pos="4153"/>
        <w:tab w:val="right" w:pos="8306"/>
      </w:tabs>
      <w:snapToGrid w:val="0"/>
      <w:jc w:val="left"/>
    </w:pPr>
    <w:rPr>
      <w:sz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rPr>
  </w:style>
  <w:style w:type="paragraph" w:styleId="15">
    <w:name w:val="toc 1"/>
    <w:basedOn w:val="1"/>
    <w:next w:val="1"/>
    <w:qFormat/>
    <w:uiPriority w:val="39"/>
  </w:style>
  <w:style w:type="paragraph" w:styleId="16">
    <w:name w:val="List"/>
    <w:basedOn w:val="1"/>
    <w:qFormat/>
    <w:uiPriority w:val="0"/>
    <w:pPr>
      <w:widowControl/>
      <w:overflowPunct w:val="0"/>
      <w:autoSpaceDE w:val="0"/>
      <w:autoSpaceDN w:val="0"/>
      <w:adjustRightInd w:val="0"/>
      <w:ind w:left="283" w:hanging="283"/>
      <w:jc w:val="left"/>
      <w:textAlignment w:val="baseline"/>
    </w:pPr>
    <w:rPr>
      <w:kern w:val="0"/>
      <w:sz w:val="20"/>
      <w:szCs w:val="20"/>
      <w:lang w:val="en-GB"/>
    </w:r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1624"/>
    <w:pPr>
      <w:spacing w:line="360" w:lineRule="auto"/>
      <w:ind w:firstLine="540"/>
    </w:pPr>
    <w:rPr>
      <w:sz w:val="24"/>
    </w:rPr>
  </w:style>
  <w:style w:type="paragraph" w:styleId="19">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20">
    <w:name w:val="Body Text First Indent"/>
    <w:basedOn w:val="2"/>
    <w:next w:val="21"/>
    <w:qFormat/>
    <w:uiPriority w:val="0"/>
    <w:pPr>
      <w:adjustRightInd/>
      <w:spacing w:line="240" w:lineRule="auto"/>
      <w:ind w:firstLine="420" w:firstLineChars="100"/>
    </w:pPr>
    <w:rPr>
      <w:kern w:val="2"/>
      <w:sz w:val="21"/>
      <w:szCs w:val="24"/>
    </w:rPr>
  </w:style>
  <w:style w:type="paragraph" w:styleId="21">
    <w:name w:val="Body Text First Indent 2"/>
    <w:basedOn w:val="9"/>
    <w:next w:val="20"/>
    <w:unhideWhenUsed/>
    <w:qFormat/>
    <w:uiPriority w:val="99"/>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Hyperlink"/>
    <w:basedOn w:val="24"/>
    <w:qFormat/>
    <w:uiPriority w:val="99"/>
    <w:rPr>
      <w:color w:val="000000"/>
      <w:u w:val="none"/>
    </w:rPr>
  </w:style>
  <w:style w:type="paragraph" w:customStyle="1" w:styleId="27">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8">
    <w:name w:val="_Style 1"/>
    <w:qFormat/>
    <w:uiPriority w:val="0"/>
    <w:pPr>
      <w:widowControl w:val="0"/>
      <w:jc w:val="both"/>
    </w:pPr>
    <w:rPr>
      <w:rFonts w:ascii="Calibri" w:hAnsi="Calibri" w:eastAsia="宋体" w:cs="Times New Roman"/>
      <w:kern w:val="2"/>
      <w:sz w:val="21"/>
      <w:szCs w:val="22"/>
    </w:rPr>
  </w:style>
  <w:style w:type="paragraph" w:customStyle="1" w:styleId="29">
    <w:name w:val="正文首行缩进 21"/>
    <w:basedOn w:val="30"/>
    <w:qFormat/>
    <w:uiPriority w:val="0"/>
    <w:pPr>
      <w:ind w:firstLine="420" w:firstLineChars="200"/>
    </w:pPr>
  </w:style>
  <w:style w:type="paragraph" w:customStyle="1" w:styleId="30">
    <w:name w:val="正文文本缩进1"/>
    <w:basedOn w:val="1"/>
    <w:qFormat/>
    <w:uiPriority w:val="0"/>
    <w:pPr>
      <w:adjustRightInd w:val="0"/>
      <w:snapToGrid w:val="0"/>
      <w:spacing w:after="120" w:line="360" w:lineRule="auto"/>
      <w:ind w:left="420" w:leftChars="200" w:firstLine="512" w:firstLineChars="200"/>
    </w:pPr>
    <w:rPr>
      <w:kern w:val="0"/>
      <w:sz w:val="28"/>
      <w:szCs w:val="20"/>
    </w:rPr>
  </w:style>
  <w:style w:type="paragraph" w:customStyle="1" w:styleId="31">
    <w:name w:val="BodyText"/>
    <w:basedOn w:val="1"/>
    <w:qFormat/>
    <w:uiPriority w:val="0"/>
    <w:pPr>
      <w:tabs>
        <w:tab w:val="left" w:pos="9214"/>
      </w:tabs>
      <w:spacing w:after="120" w:line="400" w:lineRule="atLeast"/>
      <w:ind w:right="-58" w:firstLine="600"/>
      <w:textAlignment w:val="bottom"/>
    </w:pPr>
    <w:rPr>
      <w:rFonts w:ascii="宋体"/>
      <w:kern w:val="0"/>
      <w:sz w:val="24"/>
      <w:szCs w:val="20"/>
    </w:rPr>
  </w:style>
  <w:style w:type="character" w:customStyle="1" w:styleId="32">
    <w:name w:val="NormalCharacter"/>
    <w:semiHidden/>
    <w:qFormat/>
    <w:uiPriority w:val="0"/>
  </w:style>
  <w:style w:type="paragraph" w:customStyle="1" w:styleId="33">
    <w:name w:val="1正文"/>
    <w:basedOn w:val="1"/>
    <w:qFormat/>
    <w:uiPriority w:val="0"/>
    <w:pPr>
      <w:ind w:left="-38"/>
      <w:textAlignment w:val="baseline"/>
    </w:pPr>
    <w:rPr>
      <w:rFonts w:ascii="宋体" w:hAnsi="宋体"/>
      <w:kern w:val="0"/>
      <w:sz w:val="24"/>
      <w:szCs w:val="20"/>
    </w:rPr>
  </w:style>
  <w:style w:type="paragraph" w:customStyle="1" w:styleId="34">
    <w:name w:val="列表_0"/>
    <w:basedOn w:val="35"/>
    <w:qFormat/>
    <w:uiPriority w:val="0"/>
    <w:pPr>
      <w:spacing w:afterAutospacing="1" w:line="360" w:lineRule="auto"/>
      <w:jc w:val="center"/>
    </w:pPr>
    <w:rPr>
      <w:rFonts w:ascii="宋体" w:hAnsi="宋体"/>
      <w:b/>
      <w:bCs/>
      <w:sz w:val="28"/>
      <w:szCs w:val="28"/>
    </w:rPr>
  </w:style>
  <w:style w:type="paragraph" w:customStyle="1" w:styleId="35">
    <w:name w:val="正文_15_0"/>
    <w:basedOn w:val="36"/>
    <w:next w:val="34"/>
    <w:qFormat/>
    <w:uiPriority w:val="0"/>
    <w:rPr>
      <w:rFonts w:ascii="Times New Roman" w:hAnsi="Times New Roman"/>
      <w:szCs w:val="21"/>
    </w:rPr>
  </w:style>
  <w:style w:type="paragraph" w:customStyle="1" w:styleId="36">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
    <w:name w:val="10_0"/>
    <w:basedOn w:val="24"/>
    <w:qFormat/>
    <w:uiPriority w:val="0"/>
    <w:rPr>
      <w:rFonts w:ascii="Times New Roman" w:hAnsi="Times New Roman" w:eastAsia="宋体" w:cs="Times New Roman"/>
    </w:rPr>
  </w:style>
  <w:style w:type="paragraph" w:customStyle="1" w:styleId="38">
    <w:name w:val="标题 3 + 宋体"/>
    <w:basedOn w:val="4"/>
    <w:qFormat/>
    <w:uiPriority w:val="0"/>
    <w:pPr>
      <w:spacing w:line="415" w:lineRule="auto"/>
      <w:jc w:val="both"/>
    </w:pPr>
    <w:rPr>
      <w:rFonts w:ascii="宋体" w:hAnsi="宋体" w:cs="Arial"/>
      <w:kern w:val="0"/>
      <w:sz w:val="28"/>
    </w:rPr>
  </w:style>
  <w:style w:type="paragraph" w:customStyle="1" w:styleId="39">
    <w:name w:val="Table Paragraph"/>
    <w:basedOn w:val="1"/>
    <w:qFormat/>
    <w:uiPriority w:val="1"/>
    <w:pPr>
      <w:jc w:val="center"/>
    </w:pPr>
    <w:rPr>
      <w:rFonts w:ascii="宋体" w:hAnsi="宋体" w:eastAsia="宋体" w:cs="宋体"/>
      <w:lang w:val="zh-CN" w:eastAsia="zh-CN" w:bidi="zh-CN"/>
    </w:rPr>
  </w:style>
  <w:style w:type="paragraph" w:customStyle="1" w:styleId="40">
    <w:name w:val="正文_12"/>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font01"/>
    <w:basedOn w:val="24"/>
    <w:qFormat/>
    <w:uiPriority w:val="0"/>
    <w:rPr>
      <w:rFonts w:hint="eastAsia" w:ascii="宋体" w:hAnsi="宋体" w:eastAsia="宋体" w:cs="宋体"/>
      <w:color w:val="000000"/>
      <w:sz w:val="22"/>
      <w:szCs w:val="22"/>
      <w:u w:val="none"/>
    </w:rPr>
  </w:style>
  <w:style w:type="character" w:customStyle="1" w:styleId="42">
    <w:name w:val="font41"/>
    <w:basedOn w:val="24"/>
    <w:qFormat/>
    <w:uiPriority w:val="0"/>
    <w:rPr>
      <w:rFonts w:ascii="Tahoma" w:hAnsi="Tahoma" w:eastAsia="Tahoma" w:cs="Tahoma"/>
      <w:color w:val="808080"/>
      <w:sz w:val="24"/>
      <w:szCs w:val="24"/>
      <w:u w:val="none"/>
    </w:rPr>
  </w:style>
  <w:style w:type="character" w:customStyle="1" w:styleId="43">
    <w:name w:val="font21"/>
    <w:basedOn w:val="24"/>
    <w:qFormat/>
    <w:uiPriority w:val="0"/>
    <w:rPr>
      <w:rFonts w:hint="eastAsia" w:ascii="宋体" w:hAnsi="宋体" w:eastAsia="宋体" w:cs="宋体"/>
      <w:color w:val="666666"/>
      <w:sz w:val="24"/>
      <w:szCs w:val="24"/>
      <w:u w:val="none"/>
    </w:rPr>
  </w:style>
  <w:style w:type="character" w:customStyle="1" w:styleId="44">
    <w:name w:val="font51"/>
    <w:basedOn w:val="24"/>
    <w:qFormat/>
    <w:uiPriority w:val="0"/>
    <w:rPr>
      <w:rFonts w:hint="eastAsia" w:ascii="宋体" w:hAnsi="宋体" w:eastAsia="宋体" w:cs="宋体"/>
      <w:color w:val="808080"/>
      <w:sz w:val="24"/>
      <w:szCs w:val="24"/>
      <w:u w:val="none"/>
    </w:rPr>
  </w:style>
  <w:style w:type="paragraph" w:customStyle="1" w:styleId="45">
    <w:name w:val="Other|1"/>
    <w:basedOn w:val="1"/>
    <w:qFormat/>
    <w:uiPriority w:val="0"/>
    <w:pPr>
      <w:widowControl w:val="0"/>
      <w:shd w:val="clear" w:color="auto" w:fill="auto"/>
    </w:pPr>
    <w:rPr>
      <w:rFonts w:ascii="宋体" w:hAnsi="宋体" w:eastAsia="宋体" w:cs="宋体"/>
      <w:sz w:val="18"/>
      <w:szCs w:val="18"/>
      <w:u w:val="none"/>
      <w:shd w:val="clear" w:color="auto" w:fill="auto"/>
      <w:lang w:val="zh-TW" w:eastAsia="zh-TW" w:bidi="zh-TW"/>
    </w:rPr>
  </w:style>
  <w:style w:type="paragraph" w:customStyle="1" w:styleId="46">
    <w:name w:val="Other|2"/>
    <w:basedOn w:val="1"/>
    <w:qFormat/>
    <w:uiPriority w:val="0"/>
    <w:pPr>
      <w:widowControl w:val="0"/>
      <w:shd w:val="clear" w:color="auto" w:fill="auto"/>
    </w:pPr>
    <w:rPr>
      <w:rFonts w:ascii="宋体" w:hAnsi="宋体" w:eastAsia="宋体" w:cs="宋体"/>
      <w:sz w:val="17"/>
      <w:szCs w:val="17"/>
      <w:u w:val="none"/>
      <w:shd w:val="clear" w:color="auto" w:fill="auto"/>
      <w:lang w:val="zh-TW" w:eastAsia="zh-TW" w:bidi="zh-TW"/>
    </w:rPr>
  </w:style>
  <w:style w:type="paragraph" w:customStyle="1" w:styleId="47">
    <w:name w:val="p0"/>
    <w:basedOn w:val="1"/>
    <w:qFormat/>
    <w:uiPriority w:val="0"/>
    <w:pPr>
      <w:widowControl/>
      <w:jc w:val="left"/>
    </w:pPr>
    <w:rPr>
      <w:kern w:val="0"/>
      <w:szCs w:val="21"/>
    </w:rPr>
  </w:style>
  <w:style w:type="character" w:customStyle="1" w:styleId="48">
    <w:name w:val="font91"/>
    <w:basedOn w:val="24"/>
    <w:qFormat/>
    <w:uiPriority w:val="0"/>
    <w:rPr>
      <w:rFonts w:hint="eastAsia" w:ascii="宋体" w:hAnsi="宋体" w:eastAsia="宋体" w:cs="宋体"/>
      <w:color w:val="000000"/>
      <w:sz w:val="20"/>
      <w:szCs w:val="20"/>
      <w:u w:val="none"/>
    </w:rPr>
  </w:style>
  <w:style w:type="character" w:customStyle="1" w:styleId="49">
    <w:name w:val="font61"/>
    <w:basedOn w:val="24"/>
    <w:qFormat/>
    <w:uiPriority w:val="0"/>
    <w:rPr>
      <w:rFonts w:hint="eastAsia" w:ascii="宋体" w:hAnsi="宋体" w:eastAsia="宋体" w:cs="宋体"/>
      <w:color w:val="000000"/>
      <w:sz w:val="20"/>
      <w:szCs w:val="20"/>
      <w:u w:val="none"/>
    </w:rPr>
  </w:style>
  <w:style w:type="paragraph" w:customStyle="1" w:styleId="50">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51">
    <w:name w:val="Char Char Char Char"/>
    <w:basedOn w:val="1"/>
    <w:qFormat/>
    <w:uiPriority w:val="0"/>
    <w:rPr>
      <w:szCs w:val="21"/>
    </w:rPr>
  </w:style>
  <w:style w:type="paragraph" w:customStyle="1" w:styleId="5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53">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54">
    <w:name w:val="List Paragraph"/>
    <w:basedOn w:val="1"/>
    <w:qFormat/>
    <w:uiPriority w:val="1"/>
    <w:pPr>
      <w:ind w:left="106" w:hanging="301"/>
    </w:pPr>
    <w:rPr>
      <w:rFonts w:ascii="宋体" w:hAnsi="宋体" w:eastAsia="宋体" w:cs="宋体"/>
      <w:lang w:val="zh-CN" w:eastAsia="zh-CN" w:bidi="zh-CN"/>
    </w:rPr>
  </w:style>
  <w:style w:type="paragraph" w:customStyle="1" w:styleId="55">
    <w:name w:val="正文文本_1_0"/>
    <w:basedOn w:val="56"/>
    <w:unhideWhenUsed/>
    <w:qFormat/>
    <w:uiPriority w:val="0"/>
    <w:rPr>
      <w:rFonts w:ascii="Calibri" w:hAnsi="Calibri" w:eastAsia="黑体" w:cs="Times New Roman"/>
      <w:sz w:val="36"/>
    </w:rPr>
  </w:style>
  <w:style w:type="paragraph" w:customStyle="1" w:styleId="56">
    <w:name w:val="正文_2_0"/>
    <w:next w:val="57"/>
    <w:qFormat/>
    <w:uiPriority w:val="0"/>
    <w:pPr>
      <w:widowControl w:val="0"/>
      <w:jc w:val="both"/>
    </w:pPr>
    <w:rPr>
      <w:rFonts w:ascii="Calibri" w:hAnsi="Calibri" w:eastAsia="Calibri" w:cs="Times New Roman"/>
      <w:kern w:val="2"/>
      <w:sz w:val="21"/>
      <w:szCs w:val="22"/>
      <w:lang w:val="en-US" w:eastAsia="zh-CN" w:bidi="ar-SA"/>
    </w:rPr>
  </w:style>
  <w:style w:type="paragraph" w:customStyle="1" w:styleId="57">
    <w:name w:val="表格文字_1_0"/>
    <w:basedOn w:val="56"/>
    <w:qFormat/>
    <w:uiPriority w:val="0"/>
    <w:pPr>
      <w:adjustRightInd w:val="0"/>
      <w:spacing w:line="420" w:lineRule="atLeast"/>
      <w:jc w:val="left"/>
    </w:pPr>
    <w:rPr>
      <w:rFonts w:ascii="Calibri" w:hAnsi="Calibri" w:eastAsia="宋体" w:cs="Times New Roman"/>
      <w:kern w:val="0"/>
      <w:szCs w:val="20"/>
    </w:rPr>
  </w:style>
  <w:style w:type="paragraph" w:customStyle="1" w:styleId="58">
    <w:name w:val="索引 11"/>
    <w:basedOn w:val="1"/>
    <w:next w:val="1"/>
    <w:qFormat/>
    <w:uiPriority w:val="0"/>
    <w:pPr>
      <w:spacing w:line="360" w:lineRule="auto"/>
    </w:pPr>
    <w:rPr>
      <w:rFonts w:ascii="仿宋_GB2312" w:eastAsia="仿宋_GB2312"/>
      <w:sz w:val="24"/>
      <w:szCs w:val="20"/>
    </w:rPr>
  </w:style>
  <w:style w:type="paragraph" w:customStyle="1" w:styleId="59">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37204</Words>
  <Characters>39504</Characters>
  <Lines>0</Lines>
  <Paragraphs>0</Paragraphs>
  <TotalTime>524</TotalTime>
  <ScaleCrop>false</ScaleCrop>
  <LinksUpToDate>false</LinksUpToDate>
  <CharactersWithSpaces>41886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2021-12-16T04:49:00Z</dcterms:created>
  <dc:creator>哈呆</dc:creator>
  <cp:lastModifiedBy>阿强</cp:lastModifiedBy>
  <cp:lastPrinted>2023-09-22T04:39:00Z</cp:lastPrinted>
  <dcterms:modified xsi:type="dcterms:W3CDTF">2023-09-25T11:07:46Z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05A8B150FD9040B5BB71054F54CD3AB5_13</vt:lpwstr>
  </property>
</Properties>
</file>