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center"/>
        <w:textAlignment w:val="auto"/>
        <w:rPr>
          <w:b/>
          <w:bCs w:val="0"/>
        </w:rPr>
      </w:pPr>
      <w:bookmarkStart w:id="0" w:name="_Toc4812"/>
      <w:bookmarkStart w:id="1" w:name="_Toc23648"/>
      <w:r>
        <w:rPr>
          <w:rFonts w:hint="eastAsia" w:ascii="仿宋" w:hAnsi="仿宋" w:eastAsia="仿宋" w:cs="仿宋"/>
          <w:b/>
          <w:bCs w:val="0"/>
          <w:color w:val="000000"/>
          <w:sz w:val="30"/>
          <w:szCs w:val="30"/>
          <w:highlight w:val="none"/>
        </w:rPr>
        <w:t>采购编号：</w:t>
      </w:r>
      <w:bookmarkEnd w:id="0"/>
      <w:bookmarkEnd w:id="1"/>
      <w:r>
        <w:rPr>
          <w:rFonts w:hint="eastAsia" w:ascii="仿宋" w:hAnsi="仿宋" w:eastAsia="仿宋" w:cs="仿宋"/>
          <w:b/>
          <w:bCs w:val="0"/>
          <w:color w:val="000000"/>
          <w:sz w:val="30"/>
          <w:szCs w:val="30"/>
          <w:highlight w:val="none"/>
        </w:rPr>
        <w:t>[2023]2526号</w:t>
      </w:r>
    </w:p>
    <w:p>
      <w:pPr>
        <w:jc w:val="center"/>
        <w:rPr>
          <w:rFonts w:hint="eastAsia" w:ascii="仿宋" w:hAnsi="仿宋" w:eastAsia="仿宋" w:cs="仿宋"/>
          <w:b/>
          <w:bCs w:val="0"/>
          <w:color w:val="000000"/>
          <w:sz w:val="44"/>
          <w:szCs w:val="44"/>
          <w:lang w:eastAsia="zh-CN"/>
        </w:rPr>
      </w:pPr>
    </w:p>
    <w:p>
      <w:pPr>
        <w:jc w:val="both"/>
        <w:rPr>
          <w:rFonts w:hint="eastAsia" w:ascii="仿宋" w:hAnsi="仿宋" w:eastAsia="仿宋" w:cs="仿宋"/>
          <w:b/>
          <w:bCs w:val="0"/>
          <w:color w:val="000000"/>
          <w:sz w:val="44"/>
          <w:szCs w:val="44"/>
          <w:lang w:eastAsia="zh-CN"/>
        </w:rPr>
      </w:pPr>
    </w:p>
    <w:p>
      <w:pPr>
        <w:pStyle w:val="30"/>
        <w:jc w:val="center"/>
        <w:rPr>
          <w:rFonts w:hint="eastAsia" w:ascii="仿宋" w:hAnsi="仿宋" w:eastAsia="仿宋" w:cs="仿宋"/>
          <w:b/>
          <w:bCs w:val="0"/>
          <w:color w:val="000000"/>
          <w:sz w:val="44"/>
          <w:szCs w:val="44"/>
        </w:rPr>
      </w:pPr>
      <w:r>
        <w:rPr>
          <w:rFonts w:hint="eastAsia" w:ascii="仿宋" w:hAnsi="仿宋" w:eastAsia="仿宋" w:cs="仿宋"/>
          <w:b/>
          <w:bCs w:val="0"/>
          <w:color w:val="000000"/>
          <w:sz w:val="44"/>
          <w:szCs w:val="44"/>
          <w:lang w:eastAsia="zh-CN"/>
        </w:rPr>
        <w:t>人才智力咨询服务采购项目</w:t>
      </w:r>
    </w:p>
    <w:p>
      <w:pPr>
        <w:pStyle w:val="30"/>
        <w:rPr>
          <w:rFonts w:hint="eastAsia" w:ascii="仿宋" w:hAnsi="仿宋" w:eastAsia="仿宋" w:cs="仿宋"/>
          <w:b/>
          <w:bCs w:val="0"/>
          <w:color w:val="000000"/>
          <w:sz w:val="44"/>
          <w:szCs w:val="44"/>
          <w:lang w:eastAsia="zh-CN"/>
        </w:rPr>
      </w:pPr>
    </w:p>
    <w:p>
      <w:pPr>
        <w:pStyle w:val="30"/>
        <w:rPr>
          <w:rFonts w:hint="eastAsia" w:ascii="仿宋" w:hAnsi="仿宋" w:eastAsia="仿宋" w:cs="仿宋"/>
          <w:b/>
          <w:bCs w:val="0"/>
          <w:color w:val="000000"/>
          <w:sz w:val="44"/>
          <w:szCs w:val="44"/>
          <w:lang w:eastAsia="zh-CN"/>
        </w:rPr>
      </w:pPr>
    </w:p>
    <w:p>
      <w:pPr>
        <w:jc w:val="center"/>
        <w:rPr>
          <w:rFonts w:hint="eastAsia" w:ascii="仿宋" w:hAnsi="仿宋" w:eastAsia="仿宋" w:cs="仿宋"/>
          <w:b/>
          <w:bCs w:val="0"/>
          <w:color w:val="000000"/>
          <w:sz w:val="48"/>
          <w:szCs w:val="48"/>
          <w:lang w:val="en-US" w:eastAsia="zh-CN"/>
        </w:rPr>
      </w:pPr>
      <w:r>
        <w:rPr>
          <w:rFonts w:hint="eastAsia" w:ascii="仿宋" w:hAnsi="仿宋" w:eastAsia="仿宋" w:cs="仿宋"/>
          <w:b/>
          <w:bCs w:val="0"/>
          <w:color w:val="000000"/>
          <w:sz w:val="48"/>
          <w:szCs w:val="48"/>
          <w:lang w:val="en-US" w:eastAsia="zh-CN"/>
        </w:rPr>
        <w:t>竞</w:t>
      </w:r>
    </w:p>
    <w:p>
      <w:pPr>
        <w:jc w:val="center"/>
        <w:rPr>
          <w:rFonts w:hint="eastAsia" w:ascii="仿宋" w:hAnsi="仿宋" w:eastAsia="仿宋" w:cs="仿宋"/>
          <w:b/>
          <w:bCs w:val="0"/>
          <w:color w:val="000000"/>
          <w:sz w:val="48"/>
          <w:szCs w:val="48"/>
          <w:lang w:val="en-US" w:eastAsia="zh-CN"/>
        </w:rPr>
      </w:pPr>
      <w:r>
        <w:rPr>
          <w:rFonts w:hint="eastAsia" w:ascii="仿宋" w:hAnsi="仿宋" w:eastAsia="仿宋" w:cs="仿宋"/>
          <w:b/>
          <w:bCs w:val="0"/>
          <w:color w:val="000000"/>
          <w:sz w:val="48"/>
          <w:szCs w:val="48"/>
          <w:lang w:val="en-US" w:eastAsia="zh-CN"/>
        </w:rPr>
        <w:t>争</w:t>
      </w:r>
    </w:p>
    <w:p>
      <w:pPr>
        <w:jc w:val="center"/>
        <w:rPr>
          <w:rFonts w:hint="eastAsia" w:ascii="仿宋" w:hAnsi="仿宋" w:eastAsia="仿宋" w:cs="仿宋"/>
          <w:b/>
          <w:bCs w:val="0"/>
          <w:color w:val="000000"/>
          <w:sz w:val="48"/>
          <w:szCs w:val="48"/>
          <w:lang w:val="en-US" w:eastAsia="zh-CN"/>
        </w:rPr>
      </w:pPr>
      <w:r>
        <w:rPr>
          <w:rFonts w:hint="eastAsia" w:ascii="仿宋" w:hAnsi="仿宋" w:eastAsia="仿宋" w:cs="仿宋"/>
          <w:b/>
          <w:bCs w:val="0"/>
          <w:color w:val="000000"/>
          <w:sz w:val="48"/>
          <w:szCs w:val="48"/>
          <w:lang w:val="en-US" w:eastAsia="zh-CN"/>
        </w:rPr>
        <w:t>性</w:t>
      </w:r>
    </w:p>
    <w:p>
      <w:pPr>
        <w:jc w:val="center"/>
        <w:rPr>
          <w:rFonts w:hint="eastAsia" w:ascii="仿宋" w:hAnsi="仿宋" w:eastAsia="仿宋" w:cs="仿宋"/>
          <w:b/>
          <w:bCs w:val="0"/>
          <w:color w:val="000000"/>
          <w:sz w:val="48"/>
          <w:szCs w:val="48"/>
          <w:lang w:val="en-US" w:eastAsia="zh-CN"/>
        </w:rPr>
      </w:pPr>
      <w:r>
        <w:rPr>
          <w:rFonts w:hint="eastAsia" w:ascii="仿宋" w:hAnsi="仿宋" w:eastAsia="仿宋" w:cs="仿宋"/>
          <w:b/>
          <w:bCs w:val="0"/>
          <w:color w:val="000000"/>
          <w:sz w:val="48"/>
          <w:szCs w:val="48"/>
          <w:lang w:val="en-US" w:eastAsia="zh-CN"/>
        </w:rPr>
        <w:t>磋</w:t>
      </w:r>
    </w:p>
    <w:p>
      <w:pPr>
        <w:jc w:val="center"/>
        <w:rPr>
          <w:rFonts w:hint="eastAsia" w:ascii="仿宋" w:hAnsi="仿宋" w:eastAsia="仿宋" w:cs="仿宋"/>
          <w:b/>
          <w:bCs w:val="0"/>
          <w:color w:val="000000"/>
          <w:sz w:val="48"/>
          <w:szCs w:val="48"/>
          <w:lang w:val="en-US" w:eastAsia="zh-CN"/>
        </w:rPr>
      </w:pPr>
      <w:r>
        <w:rPr>
          <w:rFonts w:hint="eastAsia" w:ascii="仿宋" w:hAnsi="仿宋" w:eastAsia="仿宋" w:cs="仿宋"/>
          <w:b/>
          <w:bCs w:val="0"/>
          <w:color w:val="000000"/>
          <w:sz w:val="48"/>
          <w:szCs w:val="48"/>
          <w:lang w:val="en-US" w:eastAsia="zh-CN"/>
        </w:rPr>
        <w:t>商</w:t>
      </w:r>
    </w:p>
    <w:p>
      <w:pPr>
        <w:jc w:val="center"/>
        <w:rPr>
          <w:rFonts w:hint="eastAsia" w:ascii="仿宋" w:hAnsi="仿宋" w:eastAsia="仿宋" w:cs="仿宋"/>
          <w:b/>
          <w:bCs w:val="0"/>
          <w:color w:val="000000"/>
          <w:sz w:val="48"/>
          <w:szCs w:val="48"/>
        </w:rPr>
      </w:pPr>
      <w:r>
        <w:rPr>
          <w:rFonts w:hint="eastAsia" w:ascii="仿宋" w:hAnsi="仿宋" w:eastAsia="仿宋" w:cs="仿宋"/>
          <w:b/>
          <w:bCs w:val="0"/>
          <w:color w:val="000000"/>
          <w:sz w:val="48"/>
          <w:szCs w:val="48"/>
        </w:rPr>
        <w:t>文</w:t>
      </w:r>
    </w:p>
    <w:p>
      <w:pPr>
        <w:jc w:val="center"/>
        <w:rPr>
          <w:rFonts w:hint="eastAsia" w:ascii="仿宋" w:hAnsi="仿宋" w:eastAsia="仿宋" w:cs="仿宋"/>
          <w:b/>
          <w:bCs w:val="0"/>
          <w:color w:val="000000"/>
          <w:sz w:val="48"/>
          <w:szCs w:val="48"/>
        </w:rPr>
      </w:pPr>
      <w:r>
        <w:rPr>
          <w:rFonts w:hint="eastAsia" w:ascii="仿宋" w:hAnsi="仿宋" w:eastAsia="仿宋" w:cs="仿宋"/>
          <w:b/>
          <w:bCs w:val="0"/>
          <w:color w:val="000000"/>
          <w:sz w:val="48"/>
          <w:szCs w:val="48"/>
        </w:rPr>
        <w:t>件</w:t>
      </w:r>
    </w:p>
    <w:p>
      <w:pPr>
        <w:spacing w:beforeAutospacing="0" w:afterAutospacing="0" w:line="360" w:lineRule="auto"/>
        <w:rPr>
          <w:rFonts w:hint="eastAsia" w:ascii="仿宋" w:hAnsi="仿宋" w:eastAsia="仿宋" w:cs="仿宋"/>
          <w:b/>
          <w:bCs w:val="0"/>
          <w:color w:val="000000"/>
          <w:sz w:val="32"/>
          <w:szCs w:val="32"/>
        </w:rPr>
      </w:pPr>
    </w:p>
    <w:p>
      <w:pPr>
        <w:pStyle w:val="2"/>
        <w:ind w:left="0" w:leftChars="0" w:firstLine="0" w:firstLineChars="0"/>
        <w:rPr>
          <w:rFonts w:hint="eastAsia" w:ascii="仿宋" w:hAnsi="仿宋" w:eastAsia="仿宋" w:cs="仿宋"/>
          <w:b/>
          <w:bCs w:val="0"/>
          <w:color w:val="000000"/>
          <w:sz w:val="32"/>
          <w:szCs w:val="32"/>
        </w:rPr>
      </w:pPr>
    </w:p>
    <w:p>
      <w:pPr>
        <w:pStyle w:val="6"/>
        <w:rPr>
          <w:rFonts w:hint="eastAsia"/>
        </w:rPr>
      </w:pPr>
    </w:p>
    <w:p>
      <w:pPr>
        <w:pStyle w:val="6"/>
        <w:rPr>
          <w:rFonts w:hint="eastAsia"/>
          <w:b/>
          <w:bCs w:val="0"/>
        </w:rPr>
      </w:pPr>
    </w:p>
    <w:p>
      <w:pPr>
        <w:rPr>
          <w:rFonts w:hint="eastAsia"/>
        </w:rPr>
      </w:pPr>
    </w:p>
    <w:p>
      <w:pPr>
        <w:pStyle w:val="30"/>
        <w:spacing w:line="360" w:lineRule="auto"/>
        <w:jc w:val="center"/>
        <w:rPr>
          <w:rFonts w:hint="eastAsia" w:ascii="仿宋" w:hAnsi="仿宋" w:eastAsia="仿宋" w:cs="仿宋"/>
          <w:b/>
          <w:bCs w:val="0"/>
          <w:color w:val="000000"/>
          <w:sz w:val="30"/>
          <w:szCs w:val="30"/>
          <w:lang w:val="en-US" w:eastAsia="zh-CN"/>
        </w:rPr>
      </w:pPr>
      <w:r>
        <w:rPr>
          <w:rFonts w:hint="eastAsia" w:ascii="仿宋" w:hAnsi="仿宋" w:eastAsia="仿宋" w:cs="仿宋"/>
          <w:b/>
          <w:bCs w:val="0"/>
          <w:color w:val="000000"/>
          <w:sz w:val="30"/>
          <w:szCs w:val="30"/>
          <w:lang w:val="en-US" w:eastAsia="zh-CN"/>
        </w:rPr>
        <w:t>招标人：米东区发展和改革委员会(工业和信息化局、粮食和物质储备局、国防动员办公室、人民防空办公室)</w:t>
      </w:r>
    </w:p>
    <w:p>
      <w:pPr>
        <w:pStyle w:val="30"/>
        <w:spacing w:line="360" w:lineRule="auto"/>
        <w:jc w:val="center"/>
        <w:rPr>
          <w:rFonts w:hint="eastAsia" w:ascii="仿宋" w:hAnsi="仿宋" w:eastAsia="仿宋" w:cs="仿宋"/>
          <w:b/>
          <w:bCs w:val="0"/>
          <w:color w:val="000000"/>
          <w:sz w:val="30"/>
          <w:szCs w:val="30"/>
          <w:lang w:val="en-US" w:eastAsia="zh-CN"/>
        </w:rPr>
      </w:pPr>
      <w:r>
        <w:rPr>
          <w:rFonts w:hint="eastAsia" w:ascii="仿宋" w:hAnsi="仿宋" w:eastAsia="仿宋" w:cs="仿宋"/>
          <w:b/>
          <w:bCs w:val="0"/>
          <w:color w:val="000000"/>
          <w:sz w:val="30"/>
          <w:szCs w:val="30"/>
          <w:lang w:val="en-US" w:eastAsia="zh-CN"/>
        </w:rPr>
        <w:t>代理机构：</w:t>
      </w:r>
      <w:r>
        <w:rPr>
          <w:rFonts w:hint="eastAsia" w:ascii="仿宋" w:hAnsi="仿宋" w:eastAsia="仿宋" w:cs="仿宋"/>
          <w:b/>
          <w:bCs w:val="0"/>
          <w:color w:val="000000"/>
          <w:kern w:val="2"/>
          <w:sz w:val="30"/>
          <w:szCs w:val="30"/>
          <w:lang w:val="en-US" w:eastAsia="zh-CN" w:bidi="ar-SA"/>
        </w:rPr>
        <w:t>新疆凯智工程管理咨询有限责任公司</w:t>
      </w:r>
    </w:p>
    <w:p>
      <w:pPr>
        <w:pStyle w:val="30"/>
        <w:jc w:val="center"/>
        <w:rPr>
          <w:rFonts w:hint="eastAsia" w:ascii="仿宋" w:hAnsi="仿宋" w:eastAsia="仿宋" w:cs="仿宋"/>
          <w:b/>
          <w:bCs w:val="0"/>
          <w:color w:val="000000"/>
          <w:sz w:val="30"/>
          <w:szCs w:val="30"/>
          <w:lang w:val="en-US" w:eastAsia="zh-CN"/>
        </w:rPr>
      </w:pPr>
    </w:p>
    <w:p>
      <w:pPr>
        <w:pStyle w:val="30"/>
        <w:jc w:val="center"/>
        <w:rPr>
          <w:rFonts w:hint="eastAsia" w:ascii="仿宋" w:hAnsi="仿宋" w:eastAsia="仿宋" w:cs="仿宋"/>
          <w:b/>
          <w:bCs w:val="0"/>
          <w:color w:val="000000"/>
          <w:sz w:val="30"/>
          <w:szCs w:val="30"/>
          <w:lang w:val="en-US" w:eastAsia="zh-CN"/>
        </w:rPr>
      </w:pPr>
      <w:r>
        <w:rPr>
          <w:rFonts w:hint="eastAsia" w:ascii="仿宋" w:hAnsi="仿宋" w:eastAsia="仿宋" w:cs="仿宋"/>
          <w:b/>
          <w:bCs w:val="0"/>
          <w:color w:val="000000"/>
          <w:sz w:val="30"/>
          <w:szCs w:val="30"/>
          <w:lang w:val="en-US" w:eastAsia="zh-CN"/>
        </w:rPr>
        <w:t xml:space="preserve"> 2023年09月</w:t>
      </w:r>
    </w:p>
    <w:p>
      <w:pPr>
        <w:spacing w:beforeAutospacing="0" w:afterAutospacing="0" w:line="360" w:lineRule="exact"/>
        <w:jc w:val="center"/>
        <w:outlineLvl w:val="9"/>
        <w:rPr>
          <w:rFonts w:hint="eastAsia" w:ascii="仿宋" w:hAnsi="仿宋" w:eastAsia="仿宋" w:cs="仿宋"/>
          <w:bCs/>
          <w:color w:val="000000"/>
          <w:sz w:val="36"/>
        </w:rPr>
        <w:sectPr>
          <w:pgSz w:w="11907" w:h="16840"/>
          <w:pgMar w:top="1440" w:right="1474" w:bottom="1440" w:left="1474" w:header="851" w:footer="992" w:gutter="0"/>
          <w:pgNumType w:start="1"/>
          <w:cols w:space="720" w:num="1"/>
          <w:docGrid w:linePitch="312" w:charSpace="0"/>
        </w:sectPr>
      </w:pPr>
      <w:bookmarkStart w:id="2" w:name="_Toc20653"/>
      <w:bookmarkStart w:id="3" w:name="_Toc31151"/>
      <w:bookmarkStart w:id="4" w:name="_Toc2686"/>
      <w:bookmarkStart w:id="5" w:name="_Toc18699"/>
      <w:bookmarkStart w:id="6" w:name="_Toc7536"/>
      <w:bookmarkStart w:id="7" w:name="_Toc10043"/>
    </w:p>
    <w:bookmarkEnd w:id="2"/>
    <w:bookmarkEnd w:id="3"/>
    <w:bookmarkEnd w:id="4"/>
    <w:bookmarkEnd w:id="5"/>
    <w:bookmarkEnd w:id="6"/>
    <w:bookmarkEnd w:id="7"/>
    <w:p>
      <w:pPr>
        <w:pStyle w:val="30"/>
        <w:spacing w:beforeAutospacing="0" w:afterAutospacing="0" w:line="360" w:lineRule="auto"/>
        <w:jc w:val="center"/>
        <w:rPr>
          <w:rFonts w:hint="eastAsia" w:ascii="仿宋" w:hAnsi="仿宋" w:eastAsia="仿宋" w:cs="仿宋"/>
          <w:color w:val="000000"/>
          <w:sz w:val="34"/>
          <w:szCs w:val="24"/>
          <w:lang w:val="en-US" w:eastAsia="zh-CN" w:bidi="ar-SA"/>
        </w:rPr>
      </w:pPr>
      <w:bookmarkStart w:id="8" w:name="_Toc7381"/>
      <w:bookmarkEnd w:id="8"/>
      <w:bookmarkStart w:id="9" w:name="_Toc5787"/>
      <w:bookmarkEnd w:id="9"/>
      <w:r>
        <w:rPr>
          <w:rFonts w:hint="eastAsia" w:ascii="仿宋" w:hAnsi="仿宋" w:eastAsia="仿宋" w:cs="仿宋"/>
          <w:b/>
          <w:bCs w:val="0"/>
          <w:color w:val="000000"/>
          <w:sz w:val="36"/>
        </w:rPr>
        <w:t>目    录</w:t>
      </w:r>
      <w:r>
        <w:rPr>
          <w:rFonts w:hint="eastAsia" w:ascii="仿宋" w:hAnsi="仿宋" w:eastAsia="仿宋" w:cs="仿宋"/>
          <w:color w:val="000000"/>
          <w:szCs w:val="24"/>
        </w:rPr>
        <w:fldChar w:fldCharType="begin"/>
      </w:r>
      <w:r>
        <w:rPr>
          <w:rFonts w:hint="eastAsia" w:ascii="仿宋" w:hAnsi="仿宋" w:eastAsia="仿宋" w:cs="仿宋"/>
          <w:color w:val="000000"/>
          <w:szCs w:val="24"/>
        </w:rPr>
        <w:instrText xml:space="preserve">TOC \o "1-1" \h \u </w:instrText>
      </w:r>
      <w:r>
        <w:rPr>
          <w:rFonts w:hint="eastAsia" w:ascii="仿宋" w:hAnsi="仿宋" w:eastAsia="仿宋" w:cs="仿宋"/>
          <w:color w:val="000000"/>
          <w:szCs w:val="24"/>
        </w:rPr>
        <w:fldChar w:fldCharType="separate"/>
      </w:r>
    </w:p>
    <w:p>
      <w:pPr>
        <w:pStyle w:val="11"/>
        <w:tabs>
          <w:tab w:val="right" w:leader="hyphen" w:pos="8959"/>
        </w:tabs>
        <w:spacing w:line="360" w:lineRule="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_Toc9019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第一章  </w:t>
      </w:r>
      <w:r>
        <w:rPr>
          <w:rFonts w:hint="eastAsia" w:ascii="仿宋" w:hAnsi="仿宋" w:eastAsia="仿宋" w:cs="仿宋"/>
          <w:sz w:val="28"/>
          <w:szCs w:val="28"/>
          <w:lang w:val="en-US" w:eastAsia="zh-CN"/>
        </w:rPr>
        <w:t>磋商</w:t>
      </w:r>
      <w:r>
        <w:rPr>
          <w:rFonts w:hint="eastAsia" w:ascii="仿宋" w:hAnsi="仿宋" w:eastAsia="仿宋" w:cs="仿宋"/>
          <w:sz w:val="28"/>
          <w:szCs w:val="28"/>
        </w:rPr>
        <w:t>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_Toc9019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11"/>
        <w:tabs>
          <w:tab w:val="right" w:leader="hyphen" w:pos="8959"/>
        </w:tabs>
        <w:spacing w:line="360" w:lineRule="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_Toc6992 </w:instrText>
      </w:r>
      <w:r>
        <w:rPr>
          <w:rFonts w:hint="eastAsia" w:ascii="仿宋" w:hAnsi="仿宋" w:eastAsia="仿宋" w:cs="仿宋"/>
          <w:sz w:val="28"/>
          <w:szCs w:val="28"/>
        </w:rPr>
        <w:fldChar w:fldCharType="separate"/>
      </w:r>
      <w:r>
        <w:rPr>
          <w:rFonts w:hint="eastAsia" w:ascii="仿宋" w:hAnsi="仿宋" w:eastAsia="仿宋" w:cs="仿宋"/>
          <w:bCs/>
          <w:sz w:val="28"/>
          <w:szCs w:val="28"/>
          <w:lang w:val="en-US" w:eastAsia="zh-CN"/>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_Toc6992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11"/>
        <w:tabs>
          <w:tab w:val="right" w:leader="hyphen" w:pos="8959"/>
        </w:tabs>
        <w:spacing w:line="360" w:lineRule="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_Toc3261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第三章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_Toc3261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11"/>
        <w:tabs>
          <w:tab w:val="right" w:leader="hyphen" w:pos="8959"/>
        </w:tabs>
        <w:spacing w:line="360" w:lineRule="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_Toc10275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第四章  供应商的资格要求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_Toc10275 \h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11"/>
        <w:tabs>
          <w:tab w:val="right" w:leader="hyphen" w:pos="8959"/>
        </w:tabs>
        <w:spacing w:line="360" w:lineRule="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_Toc22251 </w:instrText>
      </w:r>
      <w:r>
        <w:rPr>
          <w:rFonts w:hint="eastAsia" w:ascii="仿宋" w:hAnsi="仿宋" w:eastAsia="仿宋" w:cs="仿宋"/>
          <w:sz w:val="28"/>
          <w:szCs w:val="28"/>
        </w:rPr>
        <w:fldChar w:fldCharType="separate"/>
      </w:r>
      <w:r>
        <w:rPr>
          <w:rFonts w:hint="eastAsia" w:ascii="仿宋" w:hAnsi="仿宋" w:eastAsia="仿宋" w:cs="仿宋"/>
          <w:bCs/>
          <w:sz w:val="28"/>
          <w:szCs w:val="28"/>
          <w:highlight w:val="none"/>
          <w:lang w:val="en-US" w:eastAsia="zh-CN"/>
        </w:rPr>
        <w:t xml:space="preserve">第五章  </w:t>
      </w:r>
      <w:r>
        <w:rPr>
          <w:rFonts w:hint="eastAsia" w:ascii="仿宋" w:hAnsi="仿宋" w:eastAsia="仿宋" w:cs="仿宋"/>
          <w:sz w:val="28"/>
          <w:szCs w:val="28"/>
          <w:highlight w:val="none"/>
          <w:lang w:val="en-US" w:eastAsia="zh-CN"/>
        </w:rPr>
        <w:t>采购项目采购需求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_Toc22251 \h </w:instrText>
      </w:r>
      <w:r>
        <w:rPr>
          <w:rFonts w:hint="eastAsia" w:ascii="仿宋" w:hAnsi="仿宋" w:eastAsia="仿宋" w:cs="仿宋"/>
          <w:sz w:val="28"/>
          <w:szCs w:val="28"/>
        </w:rPr>
        <w:fldChar w:fldCharType="separate"/>
      </w:r>
      <w:r>
        <w:rPr>
          <w:rFonts w:hint="eastAsia" w:ascii="仿宋" w:hAnsi="仿宋" w:eastAsia="仿宋" w:cs="仿宋"/>
          <w:sz w:val="28"/>
          <w:szCs w:val="28"/>
        </w:rPr>
        <w:t>35</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11"/>
        <w:tabs>
          <w:tab w:val="right" w:leader="hyphen" w:pos="8959"/>
        </w:tabs>
        <w:spacing w:line="360" w:lineRule="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_Toc3627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六</w:t>
      </w:r>
      <w:r>
        <w:rPr>
          <w:rFonts w:hint="eastAsia" w:ascii="仿宋" w:hAnsi="仿宋" w:eastAsia="仿宋" w:cs="仿宋"/>
          <w:sz w:val="28"/>
          <w:szCs w:val="28"/>
        </w:rPr>
        <w:t xml:space="preserve">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评标办法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_Toc3627 \h </w:instrText>
      </w:r>
      <w:r>
        <w:rPr>
          <w:rFonts w:hint="eastAsia" w:ascii="仿宋" w:hAnsi="仿宋" w:eastAsia="仿宋" w:cs="仿宋"/>
          <w:sz w:val="28"/>
          <w:szCs w:val="28"/>
        </w:rPr>
        <w:fldChar w:fldCharType="separate"/>
      </w:r>
      <w:r>
        <w:rPr>
          <w:rFonts w:hint="eastAsia" w:ascii="仿宋" w:hAnsi="仿宋" w:eastAsia="仿宋" w:cs="仿宋"/>
          <w:sz w:val="28"/>
          <w:szCs w:val="28"/>
        </w:rPr>
        <w:t>36</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pStyle w:val="11"/>
        <w:tabs>
          <w:tab w:val="right" w:leader="hyphen" w:pos="8959"/>
        </w:tabs>
        <w:spacing w:line="360" w:lineRule="auto"/>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sz w:val="28"/>
          <w:szCs w:val="28"/>
        </w:rPr>
        <w:instrText xml:space="preserve"> HYPERLINK \l _Toc81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七</w:t>
      </w:r>
      <w:r>
        <w:rPr>
          <w:rFonts w:hint="eastAsia" w:ascii="仿宋" w:hAnsi="仿宋" w:eastAsia="仿宋" w:cs="仿宋"/>
          <w:sz w:val="28"/>
          <w:szCs w:val="28"/>
        </w:rPr>
        <w:t>章  合同主要条款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_Toc81 \h </w:instrText>
      </w:r>
      <w:r>
        <w:rPr>
          <w:rFonts w:hint="eastAsia" w:ascii="仿宋" w:hAnsi="仿宋" w:eastAsia="仿宋" w:cs="仿宋"/>
          <w:sz w:val="28"/>
          <w:szCs w:val="28"/>
        </w:rPr>
        <w:fldChar w:fldCharType="separate"/>
      </w:r>
      <w:r>
        <w:rPr>
          <w:rFonts w:hint="eastAsia" w:ascii="仿宋" w:hAnsi="仿宋" w:eastAsia="仿宋" w:cs="仿宋"/>
          <w:sz w:val="28"/>
          <w:szCs w:val="28"/>
        </w:rPr>
        <w:t>45</w:t>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spacing w:beforeAutospacing="0" w:afterAutospacing="0" w:line="360" w:lineRule="auto"/>
        <w:jc w:val="center"/>
        <w:outlineLvl w:val="0"/>
        <w:rPr>
          <w:rFonts w:hint="eastAsia" w:ascii="仿宋" w:hAnsi="仿宋" w:eastAsia="仿宋" w:cs="仿宋"/>
          <w:color w:val="000000"/>
          <w:szCs w:val="24"/>
        </w:rPr>
      </w:pPr>
      <w:r>
        <w:rPr>
          <w:rFonts w:hint="eastAsia" w:ascii="仿宋" w:hAnsi="仿宋" w:eastAsia="仿宋" w:cs="仿宋"/>
          <w:color w:val="000000"/>
          <w:szCs w:val="24"/>
        </w:rPr>
        <w:fldChar w:fldCharType="end"/>
      </w:r>
    </w:p>
    <w:p>
      <w:pPr>
        <w:ind w:firstLine="480" w:firstLineChars="200"/>
        <w:rPr>
          <w:rFonts w:hint="eastAsia" w:ascii="仿宋" w:hAnsi="仿宋" w:eastAsia="仿宋" w:cs="仿宋"/>
          <w:bCs/>
          <w:color w:val="000000"/>
          <w:sz w:val="24"/>
        </w:rPr>
      </w:pPr>
    </w:p>
    <w:p>
      <w:pPr>
        <w:pStyle w:val="17"/>
        <w:spacing w:beforeAutospacing="0" w:afterAutospacing="0" w:line="360" w:lineRule="exact"/>
        <w:jc w:val="center"/>
        <w:outlineLvl w:val="9"/>
        <w:rPr>
          <w:rFonts w:hint="eastAsia" w:ascii="仿宋" w:hAnsi="仿宋" w:eastAsia="仿宋" w:cs="仿宋"/>
          <w:bCs w:val="0"/>
          <w:color w:val="000000"/>
          <w:sz w:val="36"/>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bidi w:val="0"/>
        <w:rPr>
          <w:rFonts w:hint="eastAsia" w:ascii="仿宋" w:hAnsi="仿宋" w:eastAsia="仿宋" w:cs="仿宋"/>
        </w:rPr>
      </w:pPr>
    </w:p>
    <w:p>
      <w:pPr>
        <w:tabs>
          <w:tab w:val="left" w:pos="5766"/>
        </w:tabs>
        <w:bidi w:val="0"/>
        <w:jc w:val="center"/>
        <w:rPr>
          <w:rFonts w:hint="eastAsia" w:ascii="仿宋" w:hAnsi="仿宋" w:eastAsia="仿宋" w:cs="仿宋"/>
          <w:bCs w:val="0"/>
          <w:color w:val="000000"/>
          <w:sz w:val="36"/>
        </w:rPr>
        <w:sectPr>
          <w:footerReference r:id="rId5" w:type="default"/>
          <w:pgSz w:w="11907" w:h="16840"/>
          <w:pgMar w:top="1440" w:right="1474" w:bottom="1440" w:left="1474" w:header="851" w:footer="992" w:gutter="0"/>
          <w:pgNumType w:fmt="upperRoman" w:start="1"/>
          <w:cols w:space="720" w:num="1"/>
          <w:docGrid w:linePitch="312" w:charSpace="0"/>
        </w:sectPr>
      </w:pPr>
      <w:bookmarkStart w:id="10" w:name="_Toc40"/>
      <w:bookmarkStart w:id="11" w:name="_Toc647_WPSOffice_Level1"/>
      <w:bookmarkStart w:id="12" w:name="_Toc213396759"/>
      <w:bookmarkStart w:id="13" w:name="_Toc217446031"/>
      <w:bookmarkStart w:id="14" w:name="_Toc213397009"/>
      <w:bookmarkStart w:id="15" w:name="_Toc213496267"/>
      <w:bookmarkStart w:id="16" w:name="_Toc213396945"/>
    </w:p>
    <w:bookmarkEnd w:id="10"/>
    <w:bookmarkEnd w:id="11"/>
    <w:p>
      <w:pPr>
        <w:pStyle w:val="17"/>
        <w:bidi w:val="0"/>
        <w:jc w:val="center"/>
        <w:rPr>
          <w:rFonts w:hint="eastAsia" w:ascii="仿宋" w:hAnsi="仿宋" w:eastAsia="仿宋" w:cs="仿宋"/>
        </w:rPr>
      </w:pPr>
      <w:bookmarkStart w:id="17" w:name="_Toc26420"/>
      <w:bookmarkEnd w:id="17"/>
      <w:bookmarkStart w:id="18" w:name="_Toc9019"/>
      <w:r>
        <w:rPr>
          <w:rFonts w:hint="eastAsia" w:ascii="仿宋" w:hAnsi="仿宋" w:eastAsia="仿宋" w:cs="仿宋"/>
        </w:rPr>
        <w:t xml:space="preserve">第一章  </w:t>
      </w:r>
      <w:r>
        <w:rPr>
          <w:rFonts w:hint="eastAsia" w:ascii="仿宋" w:hAnsi="仿宋" w:eastAsia="仿宋" w:cs="仿宋"/>
          <w:lang w:val="en-US" w:eastAsia="zh-CN"/>
        </w:rPr>
        <w:t>磋商</w:t>
      </w:r>
      <w:r>
        <w:rPr>
          <w:rFonts w:hint="eastAsia" w:ascii="仿宋" w:hAnsi="仿宋" w:eastAsia="仿宋" w:cs="仿宋"/>
        </w:rPr>
        <w:t>邀请</w:t>
      </w:r>
      <w:bookmarkEnd w:id="18"/>
    </w:p>
    <w:p>
      <w:pPr>
        <w:pStyle w:val="26"/>
        <w:rPr>
          <w:rFonts w:hint="eastAsia" w:ascii="仿宋" w:hAnsi="仿宋" w:eastAsia="仿宋" w:cs="仿宋"/>
          <w:color w:val="000000"/>
          <w:sz w:val="24"/>
          <w:szCs w:val="24"/>
        </w:rPr>
      </w:pPr>
    </w:p>
    <w:p>
      <w:pPr>
        <w:pStyle w:val="4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44"/>
          <w:rFonts w:hint="eastAsia" w:ascii="仿宋" w:hAnsi="仿宋" w:eastAsia="仿宋" w:cs="仿宋"/>
          <w:color w:val="000000"/>
          <w:sz w:val="24"/>
          <w:szCs w:val="24"/>
        </w:rPr>
      </w:pPr>
      <w:bookmarkStart w:id="19" w:name="_Toc30753"/>
      <w:bookmarkStart w:id="20" w:name="_Toc856_WPSOffice_Level1"/>
      <w:bookmarkStart w:id="21" w:name="_Toc24280"/>
      <w:r>
        <w:rPr>
          <w:rStyle w:val="44"/>
          <w:rFonts w:hint="eastAsia" w:ascii="仿宋" w:hAnsi="仿宋" w:eastAsia="仿宋" w:cs="仿宋"/>
          <w:color w:val="000000"/>
          <w:sz w:val="24"/>
          <w:szCs w:val="24"/>
        </w:rPr>
        <w:t>项目概况</w:t>
      </w:r>
      <w:bookmarkEnd w:id="19"/>
    </w:p>
    <w:p>
      <w:pPr>
        <w:pStyle w:val="41"/>
        <w:spacing w:before="75" w:beforeAutospacing="0" w:after="75" w:afterAutospacing="0"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人才智力咨询服务采购项目</w:t>
      </w:r>
      <w:r>
        <w:rPr>
          <w:rFonts w:hint="eastAsia" w:ascii="仿宋" w:hAnsi="仿宋" w:eastAsia="仿宋" w:cs="仿宋"/>
          <w:color w:val="000000"/>
          <w:sz w:val="24"/>
          <w:szCs w:val="24"/>
        </w:rPr>
        <w:t>的潜在投标人应新疆政府采购网 (http://www.ccgp-xinjiang.gov.cn) 政采云线上平台</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获取招标文件，并于</w:t>
      </w:r>
      <w:r>
        <w:rPr>
          <w:rFonts w:hint="eastAsia" w:ascii="仿宋" w:hAnsi="仿宋" w:eastAsia="仿宋" w:cs="仿宋"/>
          <w:color w:val="000000"/>
          <w:sz w:val="24"/>
          <w:szCs w:val="24"/>
          <w:lang w:eastAsia="zh-CN"/>
        </w:rPr>
        <w:t>2023年</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lang w:eastAsia="zh-CN"/>
        </w:rPr>
        <w:t>月</w:t>
      </w: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lang w:eastAsia="zh-CN"/>
        </w:rPr>
        <w:t>日 1</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:00</w:t>
      </w:r>
      <w:r>
        <w:rPr>
          <w:rFonts w:hint="eastAsia" w:ascii="仿宋" w:hAnsi="仿宋" w:eastAsia="仿宋" w:cs="仿宋"/>
          <w:color w:val="000000"/>
          <w:sz w:val="24"/>
          <w:szCs w:val="24"/>
        </w:rPr>
        <w:t>（北京时间）前递交投标文件。</w:t>
      </w:r>
    </w:p>
    <w:p>
      <w:pPr>
        <w:pStyle w:val="4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44"/>
          <w:rFonts w:hint="eastAsia" w:ascii="仿宋" w:hAnsi="仿宋" w:eastAsia="仿宋" w:cs="仿宋"/>
          <w:color w:val="000000"/>
          <w:sz w:val="24"/>
          <w:szCs w:val="24"/>
        </w:rPr>
      </w:pPr>
      <w:bookmarkStart w:id="22" w:name="_Toc9449"/>
      <w:bookmarkEnd w:id="22"/>
      <w:bookmarkStart w:id="23" w:name="_Toc3905"/>
      <w:bookmarkEnd w:id="23"/>
      <w:bookmarkStart w:id="24" w:name="_Toc16059"/>
      <w:r>
        <w:rPr>
          <w:rStyle w:val="44"/>
          <w:rFonts w:hint="eastAsia" w:ascii="仿宋" w:hAnsi="仿宋" w:eastAsia="仿宋" w:cs="仿宋"/>
          <w:color w:val="000000"/>
          <w:sz w:val="24"/>
          <w:szCs w:val="24"/>
        </w:rPr>
        <w:t>一、项目基本情况</w:t>
      </w:r>
      <w:bookmarkEnd w:id="24"/>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项目编号：</w:t>
      </w:r>
      <w:r>
        <w:rPr>
          <w:rFonts w:hint="eastAsia" w:ascii="仿宋" w:hAnsi="仿宋" w:eastAsia="仿宋" w:cs="仿宋"/>
          <w:color w:val="000000"/>
          <w:sz w:val="24"/>
          <w:szCs w:val="24"/>
          <w:highlight w:val="none"/>
          <w:lang w:eastAsia="zh-CN"/>
        </w:rPr>
        <w:t>[2023]2526号</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项目名称：</w:t>
      </w:r>
      <w:r>
        <w:rPr>
          <w:rFonts w:hint="eastAsia" w:ascii="仿宋" w:hAnsi="仿宋" w:eastAsia="仿宋" w:cs="仿宋"/>
          <w:color w:val="000000"/>
          <w:sz w:val="24"/>
          <w:szCs w:val="24"/>
          <w:lang w:eastAsia="zh-CN"/>
        </w:rPr>
        <w:t>人才智力咨询服务采购项目 </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采购方式：竞争性磋商</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default" w:ascii="仿宋" w:hAnsi="仿宋" w:eastAsia="仿宋" w:cs="仿宋"/>
          <w:color w:val="000000"/>
          <w:sz w:val="24"/>
          <w:szCs w:val="24"/>
          <w:lang w:val="en-US"/>
        </w:rPr>
      </w:pPr>
      <w:r>
        <w:rPr>
          <w:rFonts w:hint="eastAsia" w:ascii="仿宋" w:hAnsi="仿宋" w:eastAsia="仿宋" w:cs="仿宋"/>
          <w:color w:val="000000"/>
          <w:sz w:val="24"/>
          <w:szCs w:val="24"/>
        </w:rPr>
        <w:t>预算金额（元）：</w:t>
      </w:r>
      <w:r>
        <w:rPr>
          <w:rFonts w:hint="eastAsia" w:ascii="仿宋" w:hAnsi="仿宋" w:eastAsia="仿宋" w:cs="仿宋"/>
          <w:color w:val="000000"/>
          <w:sz w:val="24"/>
          <w:szCs w:val="24"/>
          <w:lang w:val="en-US" w:eastAsia="zh-CN"/>
        </w:rPr>
        <w:t>600000.00</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default" w:ascii="仿宋" w:hAnsi="仿宋" w:eastAsia="仿宋" w:cs="仿宋"/>
          <w:color w:val="000000"/>
          <w:sz w:val="24"/>
          <w:szCs w:val="24"/>
          <w:lang w:val="en-US"/>
        </w:rPr>
      </w:pPr>
      <w:r>
        <w:rPr>
          <w:rFonts w:hint="eastAsia" w:ascii="仿宋" w:hAnsi="仿宋" w:eastAsia="仿宋" w:cs="仿宋"/>
          <w:color w:val="000000"/>
          <w:sz w:val="24"/>
          <w:szCs w:val="24"/>
        </w:rPr>
        <w:t>最高限价（元）：</w:t>
      </w:r>
      <w:r>
        <w:rPr>
          <w:rFonts w:hint="eastAsia" w:ascii="仿宋" w:hAnsi="仿宋" w:eastAsia="仿宋" w:cs="仿宋"/>
          <w:color w:val="000000"/>
          <w:sz w:val="24"/>
          <w:szCs w:val="24"/>
          <w:lang w:val="en-US" w:eastAsia="zh-CN"/>
        </w:rPr>
        <w:t>600000.00</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采购需求：</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标项名称:</w:t>
      </w:r>
      <w:r>
        <w:rPr>
          <w:rFonts w:hint="eastAsia" w:ascii="仿宋" w:hAnsi="仿宋" w:eastAsia="仿宋" w:cs="仿宋"/>
          <w:color w:val="000000"/>
          <w:sz w:val="24"/>
          <w:szCs w:val="24"/>
          <w:lang w:eastAsia="zh-CN"/>
        </w:rPr>
        <w:t>人才智力咨询服务采购项目 </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775" w:leftChars="228"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数量:1</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预算金额（元）:</w:t>
      </w:r>
      <w:r>
        <w:rPr>
          <w:rFonts w:hint="eastAsia" w:ascii="仿宋" w:hAnsi="仿宋" w:eastAsia="仿宋" w:cs="仿宋"/>
          <w:color w:val="000000"/>
          <w:sz w:val="24"/>
          <w:szCs w:val="24"/>
          <w:lang w:val="en-US" w:eastAsia="zh-CN"/>
        </w:rPr>
        <w:t>600000.00</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775" w:leftChars="22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简要规格描述或项目基本概况介绍、用途：</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775" w:leftChars="22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配合研究并提出米东区全社会固定资产投资总规模和投资结构目标、提出申请地方政府债券、中央预算内、自治区预算内、市预算内等各类上级资金支持项目申报计划及配合权限内政府投资项目审批和社会投资项目备案，核准上报等工作。</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775" w:leftChars="22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备注：</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合同履约期限：详见招标文件</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s="仿宋"/>
          <w:sz w:val="24"/>
          <w:szCs w:val="24"/>
        </w:rPr>
      </w:pPr>
      <w:r>
        <w:rPr>
          <w:rFonts w:hint="eastAsia" w:ascii="仿宋" w:hAnsi="仿宋" w:eastAsia="仿宋" w:cs="仿宋"/>
          <w:color w:val="000000"/>
          <w:sz w:val="24"/>
          <w:szCs w:val="24"/>
        </w:rPr>
        <w:t>本项目不接受联合体投标。</w:t>
      </w:r>
    </w:p>
    <w:p>
      <w:pPr>
        <w:pStyle w:val="4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44"/>
          <w:rFonts w:hint="eastAsia" w:ascii="仿宋" w:hAnsi="仿宋" w:eastAsia="仿宋" w:cs="仿宋"/>
          <w:color w:val="000000"/>
          <w:sz w:val="24"/>
          <w:szCs w:val="24"/>
        </w:rPr>
      </w:pPr>
      <w:bookmarkStart w:id="25" w:name="_Toc21605"/>
      <w:bookmarkEnd w:id="25"/>
      <w:bookmarkStart w:id="26" w:name="_Toc1868"/>
      <w:bookmarkEnd w:id="26"/>
      <w:bookmarkStart w:id="27" w:name="_Toc3832"/>
      <w:r>
        <w:rPr>
          <w:rStyle w:val="44"/>
          <w:rFonts w:hint="eastAsia" w:ascii="仿宋" w:hAnsi="仿宋" w:eastAsia="仿宋" w:cs="仿宋"/>
          <w:color w:val="000000"/>
          <w:sz w:val="24"/>
          <w:szCs w:val="24"/>
        </w:rPr>
        <w:t>二、申请人的资格要求：</w:t>
      </w:r>
      <w:bookmarkEnd w:id="27"/>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outlineLvl w:val="1"/>
        <w:rPr>
          <w:rFonts w:hint="eastAsia" w:ascii="仿宋" w:hAnsi="仿宋" w:eastAsia="仿宋" w:cs="仿宋"/>
          <w:color w:val="000000"/>
          <w:sz w:val="24"/>
          <w:szCs w:val="24"/>
        </w:rPr>
      </w:pPr>
      <w:bookmarkStart w:id="28" w:name="_Toc10704"/>
      <w:bookmarkEnd w:id="28"/>
      <w:r>
        <w:rPr>
          <w:rFonts w:hint="eastAsia" w:ascii="仿宋" w:hAnsi="仿宋" w:eastAsia="仿宋" w:cs="仿宋"/>
          <w:color w:val="000000"/>
          <w:sz w:val="24"/>
          <w:szCs w:val="24"/>
        </w:rPr>
        <w:t>1.满足《中华人民共和国政府采购法》第二十二条规定；</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outlineLvl w:val="1"/>
        <w:rPr>
          <w:rFonts w:hint="default" w:ascii="仿宋" w:hAnsi="仿宋" w:eastAsia="仿宋" w:cs="仿宋"/>
          <w:color w:val="000000"/>
          <w:sz w:val="24"/>
          <w:szCs w:val="24"/>
          <w:lang w:val="en-US" w:eastAsia="zh-CN"/>
        </w:rPr>
      </w:pPr>
      <w:bookmarkStart w:id="29" w:name="_Toc17516"/>
      <w:bookmarkEnd w:id="29"/>
      <w:r>
        <w:rPr>
          <w:rFonts w:hint="eastAsia" w:ascii="仿宋" w:hAnsi="仿宋" w:eastAsia="仿宋" w:cs="仿宋"/>
          <w:color w:val="000000"/>
          <w:sz w:val="24"/>
          <w:szCs w:val="24"/>
        </w:rPr>
        <w:t>2.落实政府采购政策需满足的资格要求：</w:t>
      </w:r>
      <w:r>
        <w:rPr>
          <w:rFonts w:hint="eastAsia" w:ascii="仿宋" w:hAnsi="仿宋" w:eastAsia="仿宋" w:cs="仿宋"/>
          <w:color w:val="000000"/>
          <w:sz w:val="24"/>
          <w:szCs w:val="24"/>
          <w:lang w:val="en-US" w:eastAsia="zh-CN"/>
        </w:rPr>
        <w:t>本项目专门面向小微企业；</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3.本项目的特定资格要求：</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30" w:name="_Toc5711"/>
      <w:bookmarkStart w:id="31" w:name="_Toc12493"/>
      <w:r>
        <w:rPr>
          <w:rFonts w:hint="eastAsia" w:ascii="仿宋" w:hAnsi="仿宋" w:eastAsia="仿宋" w:cs="仿宋"/>
          <w:sz w:val="24"/>
          <w:szCs w:val="24"/>
        </w:rPr>
        <w:t>（1）具有独立承担民事责任的能力；</w:t>
      </w:r>
      <w:bookmarkEnd w:id="30"/>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32" w:name="_Toc11152"/>
      <w:r>
        <w:rPr>
          <w:rFonts w:hint="eastAsia" w:ascii="仿宋" w:hAnsi="仿宋" w:eastAsia="仿宋" w:cs="仿宋"/>
          <w:sz w:val="24"/>
          <w:szCs w:val="24"/>
        </w:rPr>
        <w:t>（2）具有良好的商业信誉和健全的财务会计制度；</w:t>
      </w:r>
      <w:bookmarkEnd w:id="32"/>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33" w:name="_Toc28588"/>
      <w:r>
        <w:rPr>
          <w:rFonts w:hint="eastAsia" w:ascii="仿宋" w:hAnsi="仿宋" w:eastAsia="仿宋" w:cs="仿宋"/>
          <w:sz w:val="24"/>
          <w:szCs w:val="24"/>
        </w:rPr>
        <w:t>（3）具有履行合同所必需的专业技术能力与人员队伍；</w:t>
      </w:r>
      <w:bookmarkEnd w:id="33"/>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34" w:name="_Toc18092"/>
      <w:r>
        <w:rPr>
          <w:rFonts w:hint="eastAsia" w:ascii="仿宋" w:hAnsi="仿宋" w:eastAsia="仿宋" w:cs="仿宋"/>
          <w:sz w:val="24"/>
          <w:szCs w:val="24"/>
        </w:rPr>
        <w:t>（4）有依法缴纳税收和社会保障资金的良好记录；</w:t>
      </w:r>
      <w:bookmarkEnd w:id="34"/>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35" w:name="_Toc2787"/>
      <w:r>
        <w:rPr>
          <w:rFonts w:hint="eastAsia" w:ascii="仿宋" w:hAnsi="仿宋" w:eastAsia="仿宋" w:cs="仿宋"/>
          <w:sz w:val="24"/>
          <w:szCs w:val="24"/>
        </w:rPr>
        <w:t>（5）参与投标的单位前三年内，在经营活动中没有重大违法记录；</w:t>
      </w:r>
      <w:bookmarkEnd w:id="35"/>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36" w:name="_Toc2312"/>
      <w:r>
        <w:rPr>
          <w:rFonts w:hint="eastAsia" w:ascii="仿宋" w:hAnsi="仿宋" w:eastAsia="仿宋" w:cs="仿宋"/>
          <w:sz w:val="24"/>
          <w:szCs w:val="24"/>
        </w:rPr>
        <w:t>（6）法律、行政法规规定的其他条件；</w:t>
      </w:r>
      <w:bookmarkEnd w:id="36"/>
      <w:r>
        <w:rPr>
          <w:rFonts w:hint="eastAsia" w:ascii="仿宋" w:hAnsi="仿宋" w:eastAsia="仿宋" w:cs="仿宋"/>
          <w:sz w:val="24"/>
          <w:szCs w:val="24"/>
        </w:rPr>
        <w:t xml:space="preserve"> </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37" w:name="_Toc31463"/>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）其他说明：单位负责人为同一人或者存在直接控股、管理关系的不同供应商，不得参加同一合同项下的政府采购活动。</w:t>
      </w:r>
      <w:bookmarkEnd w:id="37"/>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38" w:name="_Toc14929"/>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）本项目不接受联合体投标。</w:t>
      </w:r>
      <w:bookmarkEnd w:id="38"/>
    </w:p>
    <w:bookmarkEnd w:id="31"/>
    <w:p>
      <w:pPr>
        <w:pStyle w:val="4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44"/>
          <w:rFonts w:hint="eastAsia" w:ascii="仿宋" w:hAnsi="仿宋" w:eastAsia="仿宋" w:cs="仿宋"/>
          <w:color w:val="000000"/>
          <w:sz w:val="24"/>
          <w:szCs w:val="24"/>
        </w:rPr>
      </w:pPr>
      <w:bookmarkStart w:id="39" w:name="_Toc28464"/>
      <w:r>
        <w:rPr>
          <w:rStyle w:val="44"/>
          <w:rFonts w:hint="eastAsia" w:ascii="仿宋" w:hAnsi="仿宋" w:eastAsia="仿宋" w:cs="仿宋"/>
          <w:color w:val="000000"/>
          <w:sz w:val="24"/>
          <w:szCs w:val="24"/>
        </w:rPr>
        <w:t>三、获取招标文件</w:t>
      </w:r>
      <w:bookmarkEnd w:id="39"/>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40" w:name="_Toc8368"/>
      <w:r>
        <w:rPr>
          <w:rFonts w:hint="eastAsia" w:ascii="仿宋" w:hAnsi="仿宋" w:eastAsia="仿宋" w:cs="仿宋"/>
          <w:sz w:val="24"/>
          <w:szCs w:val="24"/>
        </w:rPr>
        <w:t>时间：</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27</w:t>
      </w:r>
      <w:r>
        <w:rPr>
          <w:rFonts w:hint="eastAsia" w:ascii="仿宋" w:hAnsi="仿宋" w:eastAsia="仿宋" w:cs="仿宋"/>
          <w:sz w:val="24"/>
          <w:szCs w:val="24"/>
          <w:lang w:eastAsia="zh-CN"/>
        </w:rPr>
        <w:t>日至2023年</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日</w:t>
      </w:r>
      <w:r>
        <w:rPr>
          <w:rFonts w:hint="eastAsia" w:ascii="仿宋" w:hAnsi="仿宋" w:eastAsia="仿宋" w:cs="仿宋"/>
          <w:sz w:val="24"/>
          <w:szCs w:val="24"/>
        </w:rPr>
        <w:t>，每天上午10:30至13:30，下午15:30至19:00（北京时间，法定节假日除外）</w:t>
      </w:r>
      <w:bookmarkEnd w:id="40"/>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lang w:eastAsia="zh-CN"/>
        </w:rPr>
      </w:pPr>
      <w:bookmarkStart w:id="41" w:name="_Toc24457"/>
      <w:bookmarkStart w:id="42" w:name="_Toc30713"/>
      <w:r>
        <w:rPr>
          <w:rFonts w:hint="eastAsia" w:ascii="仿宋" w:hAnsi="仿宋" w:eastAsia="仿宋" w:cs="仿宋"/>
          <w:sz w:val="24"/>
          <w:szCs w:val="24"/>
          <w:lang w:eastAsia="zh-CN"/>
        </w:rPr>
        <w:t>地点：政采云平台线上获取 (https://www.zcygov.cn/)</w:t>
      </w:r>
      <w:bookmarkEnd w:id="41"/>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lang w:eastAsia="zh-CN"/>
        </w:rPr>
      </w:pPr>
      <w:bookmarkStart w:id="43" w:name="_Toc7651"/>
      <w:r>
        <w:rPr>
          <w:rFonts w:hint="eastAsia" w:ascii="仿宋" w:hAnsi="仿宋" w:eastAsia="仿宋" w:cs="仿宋"/>
          <w:sz w:val="24"/>
          <w:szCs w:val="24"/>
          <w:lang w:eastAsia="zh-CN"/>
        </w:rPr>
        <w:t>方式：</w:t>
      </w:r>
      <w:r>
        <w:rPr>
          <w:rFonts w:hint="eastAsia" w:ascii="仿宋" w:hAnsi="仿宋" w:eastAsia="仿宋" w:cs="仿宋"/>
          <w:sz w:val="24"/>
          <w:szCs w:val="24"/>
          <w:lang w:val="en-US" w:eastAsia="zh-CN"/>
        </w:rPr>
        <w:t>线上获取</w:t>
      </w:r>
      <w:bookmarkEnd w:id="43"/>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lang w:eastAsia="zh-CN"/>
        </w:rPr>
      </w:pPr>
      <w:bookmarkStart w:id="44" w:name="_Toc21330"/>
      <w:r>
        <w:rPr>
          <w:rFonts w:hint="eastAsia" w:ascii="仿宋" w:hAnsi="仿宋" w:eastAsia="仿宋" w:cs="仿宋"/>
          <w:sz w:val="24"/>
          <w:szCs w:val="24"/>
          <w:lang w:eastAsia="zh-CN"/>
        </w:rPr>
        <w:t>售价（元）：</w:t>
      </w:r>
      <w:r>
        <w:rPr>
          <w:rFonts w:hint="eastAsia" w:ascii="仿宋" w:hAnsi="仿宋" w:eastAsia="仿宋" w:cs="仿宋"/>
          <w:sz w:val="24"/>
          <w:szCs w:val="24"/>
          <w:lang w:val="en-US" w:eastAsia="zh-CN"/>
        </w:rPr>
        <w:t>0.00元</w:t>
      </w:r>
      <w:bookmarkEnd w:id="44"/>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lang w:val="en-US" w:eastAsia="zh-CN"/>
        </w:rPr>
      </w:pPr>
      <w:bookmarkStart w:id="45" w:name="_Toc32256"/>
      <w:r>
        <w:rPr>
          <w:rFonts w:hint="eastAsia" w:ascii="仿宋" w:hAnsi="仿宋" w:eastAsia="仿宋" w:cs="仿宋"/>
          <w:sz w:val="24"/>
          <w:szCs w:val="24"/>
          <w:lang w:val="en-US" w:eastAsia="zh-CN"/>
        </w:rPr>
        <w:t>获取方式：供应商登陆政采云系统平台（https://www.zcygov.cn/）进入“项目采购”栏目，在获取采购文件菜单中选择所要获取采购文件的项目，申请获取采购文件。</w:t>
      </w:r>
      <w:bookmarkEnd w:id="45"/>
    </w:p>
    <w:bookmarkEnd w:id="42"/>
    <w:p>
      <w:pPr>
        <w:pStyle w:val="4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44"/>
          <w:rFonts w:hint="eastAsia" w:ascii="仿宋" w:hAnsi="仿宋" w:eastAsia="仿宋" w:cs="仿宋"/>
          <w:color w:val="000000"/>
          <w:sz w:val="24"/>
          <w:szCs w:val="24"/>
        </w:rPr>
      </w:pPr>
      <w:bookmarkStart w:id="46" w:name="_Toc1972"/>
      <w:r>
        <w:rPr>
          <w:rStyle w:val="44"/>
          <w:rFonts w:hint="eastAsia" w:ascii="仿宋" w:hAnsi="仿宋" w:eastAsia="仿宋" w:cs="仿宋"/>
          <w:color w:val="000000"/>
          <w:sz w:val="24"/>
          <w:szCs w:val="24"/>
        </w:rPr>
        <w:t>四、提交投标文件截止时间、开标时间和地点</w:t>
      </w:r>
      <w:bookmarkEnd w:id="46"/>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47" w:name="_Toc19788"/>
      <w:r>
        <w:rPr>
          <w:rFonts w:hint="eastAsia" w:ascii="仿宋" w:hAnsi="仿宋" w:eastAsia="仿宋" w:cs="仿宋"/>
          <w:sz w:val="24"/>
          <w:szCs w:val="24"/>
        </w:rPr>
        <w:t>提交投标文件截止时间：</w:t>
      </w:r>
      <w:r>
        <w:rPr>
          <w:rFonts w:hint="eastAsia" w:ascii="仿宋" w:hAnsi="仿宋" w:eastAsia="仿宋" w:cs="仿宋"/>
          <w:sz w:val="24"/>
          <w:szCs w:val="24"/>
          <w:lang w:eastAsia="zh-CN"/>
        </w:rPr>
        <w:t>2023年</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日 1</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:00</w:t>
      </w:r>
      <w:r>
        <w:rPr>
          <w:rFonts w:hint="eastAsia" w:ascii="仿宋" w:hAnsi="仿宋" w:eastAsia="仿宋" w:cs="仿宋"/>
          <w:sz w:val="24"/>
          <w:szCs w:val="24"/>
        </w:rPr>
        <w:t>（北京时间）</w:t>
      </w:r>
      <w:bookmarkEnd w:id="47"/>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48" w:name="_Toc5278"/>
      <w:r>
        <w:rPr>
          <w:rFonts w:hint="eastAsia" w:ascii="仿宋" w:hAnsi="仿宋" w:eastAsia="仿宋" w:cs="仿宋"/>
          <w:sz w:val="24"/>
          <w:szCs w:val="24"/>
        </w:rPr>
        <w:t>投标地点：</w:t>
      </w:r>
      <w:r>
        <w:rPr>
          <w:rFonts w:hint="eastAsia" w:ascii="仿宋" w:hAnsi="仿宋" w:eastAsia="仿宋" w:cs="仿宋"/>
          <w:sz w:val="24"/>
          <w:szCs w:val="24"/>
          <w:lang w:eastAsia="zh-CN"/>
        </w:rPr>
        <w:t>新疆凯智工程管理咨询有限责任公司（府前中路159号东凯集团二楼</w:t>
      </w:r>
      <w:r>
        <w:rPr>
          <w:rFonts w:hint="eastAsia" w:ascii="仿宋" w:hAnsi="仿宋" w:eastAsia="仿宋" w:cs="仿宋"/>
          <w:sz w:val="24"/>
          <w:szCs w:val="24"/>
          <w:lang w:val="en-US" w:eastAsia="zh-CN"/>
        </w:rPr>
        <w:t>206</w:t>
      </w:r>
      <w:r>
        <w:rPr>
          <w:rFonts w:hint="eastAsia" w:ascii="仿宋" w:hAnsi="仿宋" w:eastAsia="仿宋" w:cs="仿宋"/>
          <w:sz w:val="24"/>
          <w:szCs w:val="24"/>
          <w:lang w:eastAsia="zh-CN"/>
        </w:rPr>
        <w:t>）</w:t>
      </w:r>
      <w:bookmarkEnd w:id="48"/>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49" w:name="_Toc30156"/>
      <w:r>
        <w:rPr>
          <w:rFonts w:hint="eastAsia" w:ascii="仿宋" w:hAnsi="仿宋" w:eastAsia="仿宋" w:cs="仿宋"/>
          <w:sz w:val="24"/>
          <w:szCs w:val="24"/>
        </w:rPr>
        <w:t>开标时间：</w:t>
      </w:r>
      <w:bookmarkEnd w:id="49"/>
      <w:r>
        <w:rPr>
          <w:rFonts w:hint="eastAsia" w:ascii="仿宋" w:hAnsi="仿宋" w:eastAsia="仿宋" w:cs="仿宋"/>
          <w:sz w:val="24"/>
          <w:szCs w:val="24"/>
          <w:lang w:eastAsia="zh-CN"/>
        </w:rPr>
        <w:t>2023年</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日 1</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:00</w:t>
      </w:r>
      <w:r>
        <w:rPr>
          <w:rFonts w:hint="eastAsia" w:ascii="仿宋" w:hAnsi="仿宋" w:eastAsia="仿宋" w:cs="仿宋"/>
          <w:sz w:val="24"/>
          <w:szCs w:val="24"/>
        </w:rPr>
        <w:t>（北京时间）</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50" w:name="_Toc28292"/>
      <w:r>
        <w:rPr>
          <w:rFonts w:hint="eastAsia" w:ascii="仿宋" w:hAnsi="仿宋" w:eastAsia="仿宋" w:cs="仿宋"/>
          <w:sz w:val="24"/>
          <w:szCs w:val="24"/>
        </w:rPr>
        <w:t>开标地点：</w:t>
      </w:r>
      <w:r>
        <w:rPr>
          <w:rFonts w:hint="eastAsia" w:ascii="仿宋" w:hAnsi="仿宋" w:eastAsia="仿宋" w:cs="仿宋"/>
          <w:sz w:val="24"/>
          <w:szCs w:val="24"/>
          <w:lang w:eastAsia="zh-CN"/>
        </w:rPr>
        <w:t>新疆凯智工程管理咨询有限责任公司（府前中路159号东凯集团二楼</w:t>
      </w:r>
      <w:r>
        <w:rPr>
          <w:rFonts w:hint="eastAsia" w:ascii="仿宋" w:hAnsi="仿宋" w:eastAsia="仿宋" w:cs="仿宋"/>
          <w:sz w:val="24"/>
          <w:szCs w:val="24"/>
          <w:lang w:val="en-US" w:eastAsia="zh-CN"/>
        </w:rPr>
        <w:t>206</w:t>
      </w:r>
      <w:r>
        <w:rPr>
          <w:rFonts w:hint="eastAsia" w:ascii="仿宋" w:hAnsi="仿宋" w:eastAsia="仿宋" w:cs="仿宋"/>
          <w:sz w:val="24"/>
          <w:szCs w:val="24"/>
          <w:lang w:eastAsia="zh-CN"/>
        </w:rPr>
        <w:t>）</w:t>
      </w:r>
      <w:bookmarkEnd w:id="50"/>
    </w:p>
    <w:p>
      <w:pPr>
        <w:pStyle w:val="4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44"/>
          <w:rFonts w:hint="eastAsia" w:ascii="仿宋" w:hAnsi="仿宋" w:eastAsia="仿宋" w:cs="仿宋"/>
          <w:color w:val="000000"/>
          <w:sz w:val="24"/>
          <w:szCs w:val="24"/>
        </w:rPr>
      </w:pPr>
      <w:bookmarkStart w:id="51" w:name="_Toc18736"/>
      <w:bookmarkEnd w:id="51"/>
      <w:bookmarkStart w:id="52" w:name="_Toc10885"/>
      <w:r>
        <w:rPr>
          <w:rStyle w:val="44"/>
          <w:rFonts w:hint="eastAsia" w:ascii="仿宋" w:hAnsi="仿宋" w:eastAsia="仿宋" w:cs="仿宋"/>
          <w:color w:val="000000"/>
          <w:sz w:val="24"/>
          <w:szCs w:val="24"/>
        </w:rPr>
        <w:t>五、公告期限</w:t>
      </w:r>
      <w:bookmarkEnd w:id="52"/>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53" w:name="_Toc21301"/>
      <w:r>
        <w:rPr>
          <w:rFonts w:hint="eastAsia" w:ascii="仿宋" w:hAnsi="仿宋" w:eastAsia="仿宋" w:cs="仿宋"/>
          <w:sz w:val="24"/>
          <w:szCs w:val="24"/>
        </w:rPr>
        <w:t>自本公告发布之日起5个工作日。</w:t>
      </w:r>
      <w:bookmarkEnd w:id="53"/>
    </w:p>
    <w:p>
      <w:pPr>
        <w:pStyle w:val="4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44"/>
          <w:rFonts w:hint="eastAsia" w:ascii="仿宋" w:hAnsi="仿宋" w:eastAsia="仿宋" w:cs="仿宋"/>
          <w:color w:val="000000"/>
          <w:sz w:val="24"/>
          <w:szCs w:val="24"/>
        </w:rPr>
      </w:pPr>
      <w:bookmarkStart w:id="54" w:name="_Toc18123"/>
      <w:bookmarkEnd w:id="54"/>
      <w:bookmarkStart w:id="55" w:name="_Toc5502"/>
      <w:r>
        <w:rPr>
          <w:rStyle w:val="44"/>
          <w:rFonts w:hint="eastAsia" w:ascii="仿宋" w:hAnsi="仿宋" w:eastAsia="仿宋" w:cs="仿宋"/>
          <w:color w:val="000000"/>
          <w:sz w:val="24"/>
          <w:szCs w:val="24"/>
        </w:rPr>
        <w:t>六、其他补充事宜</w:t>
      </w:r>
      <w:bookmarkEnd w:id="55"/>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56" w:name="_Toc25157"/>
      <w:bookmarkStart w:id="57" w:name="_Toc2538"/>
      <w:r>
        <w:rPr>
          <w:rFonts w:hint="eastAsia" w:ascii="仿宋" w:hAnsi="仿宋" w:eastAsia="仿宋" w:cs="仿宋"/>
          <w:sz w:val="24"/>
          <w:szCs w:val="24"/>
        </w:rPr>
        <w:t>1、本项目实行网上投标，采用电子投标文件；</w:t>
      </w:r>
      <w:bookmarkEnd w:id="56"/>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58" w:name="_Toc9982"/>
      <w:r>
        <w:rPr>
          <w:rFonts w:hint="eastAsia" w:ascii="仿宋" w:hAnsi="仿宋" w:eastAsia="仿宋" w:cs="仿宋"/>
          <w:sz w:val="24"/>
          <w:szCs w:val="24"/>
        </w:rPr>
        <w:t>2、各供应商应成为新疆政府采购网正式注册入库供应商，并完成 CA 数字证书（符合国密标准）申领。因未注册入库、未办理 CA 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 0991-2819290；</w:t>
      </w:r>
      <w:bookmarkEnd w:id="58"/>
      <w:r>
        <w:rPr>
          <w:rFonts w:hint="eastAsia" w:ascii="仿宋" w:hAnsi="仿宋" w:eastAsia="仿宋" w:cs="仿宋"/>
          <w:sz w:val="24"/>
          <w:szCs w:val="24"/>
        </w:rPr>
        <w:t xml:space="preserve"> </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59" w:name="_Toc26073"/>
      <w:r>
        <w:rPr>
          <w:rFonts w:hint="eastAsia" w:ascii="仿宋" w:hAnsi="仿宋" w:eastAsia="仿宋" w:cs="仿宋"/>
          <w:sz w:val="24"/>
          <w:szCs w:val="24"/>
        </w:rPr>
        <w:t>3、供应商将政采云电子交易客户端下载、安装完成后，可通过账号密码或 CA 登 录客户端进行投标文件的制作。在使用政采云投标客户端时，建议使用 WIN7及以上操作系统。客户端请至新疆政府采购网（http://www.ccgp-xinjiang.gov.cn/）下载专区查看，如有问题可拨打政采云客户服务热线 95763 进行咨询。如因供应商自身原因导致在规定时间内无法正常解密的（如：浏览器故障、未安装相关驱动、网络故障、加密CA与解密CA不一致等），采购中心/代理机构不予异常处理，视为供应商自动弃标。</w:t>
      </w:r>
      <w:bookmarkEnd w:id="59"/>
      <w:r>
        <w:rPr>
          <w:rFonts w:hint="eastAsia" w:ascii="仿宋" w:hAnsi="仿宋" w:eastAsia="仿宋" w:cs="仿宋"/>
          <w:sz w:val="24"/>
          <w:szCs w:val="24"/>
        </w:rPr>
        <w:t xml:space="preserve"> </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60" w:name="_Toc6051"/>
      <w:r>
        <w:rPr>
          <w:rFonts w:hint="eastAsia" w:ascii="仿宋" w:hAnsi="仿宋" w:eastAsia="仿宋" w:cs="仿宋"/>
          <w:sz w:val="24"/>
          <w:szCs w:val="24"/>
        </w:rPr>
        <w:t>4、供应商应当在磋商截止时间前,将生成的“电子加密响应文件”上传递交至“政府采购云平台”,磋商截止时间以后上传递交的响应文件将被“政府采购云平台”拒收。</w:t>
      </w:r>
      <w:bookmarkEnd w:id="60"/>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61" w:name="_Toc14051"/>
      <w:r>
        <w:rPr>
          <w:rFonts w:hint="eastAsia" w:ascii="仿宋" w:hAnsi="仿宋" w:eastAsia="仿宋" w:cs="仿宋"/>
          <w:sz w:val="24"/>
          <w:szCs w:val="24"/>
        </w:rPr>
        <w:t>5、供应商在磋商前须提前配置好电脑浏览器（建议使用 360 浏览器或谷歌浏览器）, 磋商时请使用制作加密电子响应文件的 CA 锁进行解密及报价确认。本项目响应文件解密时间定为30分钟内,如因自身原因导致无法正常解密,后果由供应商自行承担。</w:t>
      </w:r>
      <w:bookmarkEnd w:id="61"/>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b w:val="0"/>
          <w:bCs w:val="0"/>
          <w:color w:val="000000"/>
          <w:sz w:val="24"/>
          <w:szCs w:val="24"/>
        </w:rPr>
      </w:pPr>
      <w:bookmarkStart w:id="62" w:name="_Toc31808"/>
      <w:r>
        <w:rPr>
          <w:rFonts w:hint="eastAsia" w:ascii="仿宋" w:hAnsi="仿宋" w:eastAsia="仿宋" w:cs="仿宋"/>
          <w:sz w:val="24"/>
          <w:szCs w:val="24"/>
        </w:rPr>
        <w:t>6、供应商登录政采云平台，在磋商时间后 30 分钟内用“项目采购-开标评标”功能进行解密响应文件。若供应商在规定时间内（未按时解密的，视为无效磋商。解密与加密响应文件须使用同一个CA。</w:t>
      </w:r>
      <w:r>
        <w:rPr>
          <w:rFonts w:hint="eastAsia" w:ascii="仿宋" w:hAnsi="仿宋" w:eastAsia="仿宋" w:cs="仿宋"/>
          <w:b w:val="0"/>
          <w:bCs w:val="0"/>
          <w:color w:val="000000"/>
          <w:sz w:val="24"/>
          <w:szCs w:val="24"/>
        </w:rPr>
        <w:t>中小企业划分标准依据《工业和信息化部、国家统计局、国家发展和改革委员会、财政部关于印发中小企业划型标准规定的通知》（工信部联企业〔2011〕300号）规定。本项目采购标的对应的中小企业划分标准所属行业为其他未列明行业。</w:t>
      </w:r>
      <w:bookmarkEnd w:id="62"/>
    </w:p>
    <w:bookmarkEnd w:id="57"/>
    <w:p>
      <w:pPr>
        <w:pStyle w:val="41"/>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jc w:val="both"/>
        <w:textAlignment w:val="auto"/>
        <w:outlineLvl w:val="0"/>
        <w:rPr>
          <w:rStyle w:val="44"/>
          <w:rFonts w:hint="eastAsia" w:ascii="仿宋" w:hAnsi="仿宋" w:eastAsia="仿宋" w:cs="仿宋"/>
          <w:color w:val="000000"/>
          <w:sz w:val="24"/>
          <w:szCs w:val="24"/>
        </w:rPr>
      </w:pPr>
      <w:bookmarkStart w:id="63" w:name="_Toc16384"/>
      <w:r>
        <w:rPr>
          <w:rStyle w:val="44"/>
          <w:rFonts w:hint="eastAsia" w:ascii="仿宋" w:hAnsi="仿宋" w:eastAsia="仿宋" w:cs="仿宋"/>
          <w:color w:val="000000"/>
          <w:sz w:val="24"/>
          <w:szCs w:val="24"/>
        </w:rPr>
        <w:t>七、对本次采购提出询问，请按以下方式联系</w:t>
      </w:r>
      <w:bookmarkEnd w:id="63"/>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64" w:name="_Toc7598"/>
      <w:bookmarkEnd w:id="64"/>
      <w:bookmarkStart w:id="65" w:name="_Toc425"/>
      <w:r>
        <w:rPr>
          <w:rFonts w:hint="eastAsia" w:ascii="仿宋" w:hAnsi="仿宋" w:eastAsia="仿宋" w:cs="仿宋"/>
          <w:sz w:val="24"/>
          <w:szCs w:val="24"/>
        </w:rPr>
        <w:t>1.采购人信息</w:t>
      </w:r>
      <w:bookmarkEnd w:id="65"/>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lang w:val="en-US" w:eastAsia="zh-CN"/>
        </w:rPr>
      </w:pPr>
      <w:bookmarkStart w:id="66" w:name="_Toc31905"/>
      <w:r>
        <w:rPr>
          <w:rFonts w:hint="eastAsia" w:ascii="仿宋" w:hAnsi="仿宋" w:eastAsia="仿宋" w:cs="仿宋"/>
          <w:sz w:val="24"/>
          <w:szCs w:val="24"/>
        </w:rPr>
        <w:t>名 称：</w:t>
      </w:r>
      <w:bookmarkEnd w:id="66"/>
      <w:bookmarkStart w:id="67" w:name="_Toc22481"/>
      <w:bookmarkStart w:id="68" w:name="_Toc22571"/>
      <w:r>
        <w:rPr>
          <w:rFonts w:hint="eastAsia" w:ascii="仿宋" w:hAnsi="仿宋" w:eastAsia="仿宋" w:cs="仿宋"/>
          <w:sz w:val="24"/>
          <w:szCs w:val="24"/>
          <w:lang w:val="en-US" w:eastAsia="zh-CN"/>
        </w:rPr>
        <w:t>米东区发展和改革委员会(工业和信息化局、粮食和物质储备局、国防动员办公室、人民防空办公室)</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lang w:val="en-US" w:eastAsia="zh-CN"/>
        </w:rPr>
      </w:pPr>
      <w:r>
        <w:rPr>
          <w:rFonts w:hint="eastAsia" w:ascii="仿宋" w:hAnsi="仿宋" w:eastAsia="仿宋" w:cs="仿宋"/>
          <w:sz w:val="24"/>
          <w:szCs w:val="24"/>
        </w:rPr>
        <w:t>地址：乌鲁木齐市米东</w:t>
      </w:r>
      <w:bookmarkEnd w:id="67"/>
      <w:r>
        <w:rPr>
          <w:rFonts w:hint="eastAsia" w:ascii="仿宋" w:hAnsi="仿宋" w:eastAsia="仿宋" w:cs="仿宋"/>
          <w:sz w:val="24"/>
          <w:szCs w:val="24"/>
          <w:lang w:val="en-US" w:eastAsia="zh-CN"/>
        </w:rPr>
        <w:t>区</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lang w:val="en-US"/>
        </w:rPr>
      </w:pPr>
      <w:bookmarkStart w:id="69" w:name="_Toc32295"/>
      <w:r>
        <w:rPr>
          <w:rFonts w:hint="eastAsia" w:ascii="仿宋" w:hAnsi="仿宋" w:eastAsia="仿宋" w:cs="仿宋"/>
          <w:sz w:val="24"/>
          <w:szCs w:val="24"/>
        </w:rPr>
        <w:t>联系人姓名：</w:t>
      </w:r>
      <w:bookmarkEnd w:id="69"/>
      <w:r>
        <w:rPr>
          <w:rFonts w:hint="eastAsia" w:ascii="仿宋" w:hAnsi="仿宋" w:eastAsia="仿宋" w:cs="仿宋"/>
          <w:sz w:val="24"/>
          <w:szCs w:val="24"/>
          <w:lang w:val="en-US" w:eastAsia="zh-CN"/>
        </w:rPr>
        <w:t>马女士</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70" w:name="_Toc20198"/>
      <w:r>
        <w:rPr>
          <w:rFonts w:hint="eastAsia" w:ascii="仿宋" w:hAnsi="仿宋" w:eastAsia="仿宋" w:cs="仿宋"/>
          <w:sz w:val="24"/>
          <w:szCs w:val="24"/>
        </w:rPr>
        <w:t>联系电话：</w:t>
      </w:r>
      <w:bookmarkEnd w:id="68"/>
      <w:bookmarkEnd w:id="70"/>
      <w:r>
        <w:rPr>
          <w:rFonts w:hint="eastAsia" w:ascii="仿宋" w:hAnsi="仿宋" w:eastAsia="仿宋" w:cs="仿宋"/>
          <w:sz w:val="24"/>
          <w:szCs w:val="24"/>
          <w:lang w:val="en-US" w:eastAsia="zh-CN"/>
        </w:rPr>
        <w:t>19990803142</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71" w:name="_Toc3854"/>
      <w:r>
        <w:rPr>
          <w:rFonts w:hint="eastAsia" w:ascii="仿宋" w:hAnsi="仿宋" w:eastAsia="仿宋" w:cs="仿宋"/>
          <w:sz w:val="24"/>
          <w:szCs w:val="24"/>
        </w:rPr>
        <w:t>2.采购代理机构信息</w:t>
      </w:r>
      <w:bookmarkEnd w:id="71"/>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72" w:name="_Toc32343"/>
      <w:r>
        <w:rPr>
          <w:rFonts w:hint="eastAsia" w:ascii="仿宋" w:hAnsi="仿宋" w:eastAsia="仿宋" w:cs="仿宋"/>
          <w:sz w:val="24"/>
          <w:szCs w:val="24"/>
        </w:rPr>
        <w:t>名 称：新疆凯智工程管理咨询有限责任公司</w:t>
      </w:r>
      <w:bookmarkEnd w:id="72"/>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lang w:val="en-US"/>
        </w:rPr>
      </w:pPr>
      <w:bookmarkStart w:id="73" w:name="_Toc3177"/>
      <w:r>
        <w:rPr>
          <w:rFonts w:hint="eastAsia" w:ascii="仿宋" w:hAnsi="仿宋" w:eastAsia="仿宋" w:cs="仿宋"/>
          <w:sz w:val="24"/>
          <w:szCs w:val="24"/>
        </w:rPr>
        <w:t>地 址：</w:t>
      </w:r>
      <w:r>
        <w:rPr>
          <w:rFonts w:hint="eastAsia" w:ascii="仿宋" w:hAnsi="仿宋" w:eastAsia="仿宋" w:cs="仿宋"/>
          <w:sz w:val="24"/>
          <w:szCs w:val="24"/>
          <w:lang w:eastAsia="zh-CN"/>
        </w:rPr>
        <w:t>府前中路159号东凯集团二楼</w:t>
      </w:r>
      <w:bookmarkStart w:id="74" w:name="_Toc24515"/>
      <w:bookmarkEnd w:id="74"/>
      <w:r>
        <w:rPr>
          <w:rFonts w:hint="eastAsia" w:ascii="仿宋" w:hAnsi="仿宋" w:eastAsia="仿宋" w:cs="仿宋"/>
          <w:sz w:val="24"/>
          <w:szCs w:val="24"/>
          <w:lang w:val="en-US" w:eastAsia="zh-CN"/>
        </w:rPr>
        <w:t>208</w:t>
      </w:r>
      <w:bookmarkEnd w:id="73"/>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rPr>
      </w:pPr>
      <w:bookmarkStart w:id="75" w:name="_Toc19677"/>
      <w:r>
        <w:rPr>
          <w:rFonts w:hint="eastAsia" w:ascii="仿宋" w:hAnsi="仿宋" w:eastAsia="仿宋" w:cs="仿宋"/>
          <w:sz w:val="24"/>
          <w:szCs w:val="24"/>
        </w:rPr>
        <w:t>3.项目联系方式</w:t>
      </w:r>
      <w:bookmarkEnd w:id="75"/>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eastAsia" w:ascii="仿宋" w:hAnsi="仿宋" w:eastAsia="仿宋" w:cs="仿宋"/>
          <w:sz w:val="24"/>
          <w:szCs w:val="24"/>
          <w:lang w:val="en-US" w:eastAsia="zh-CN"/>
        </w:rPr>
      </w:pPr>
      <w:bookmarkStart w:id="76" w:name="_Toc4150"/>
      <w:bookmarkStart w:id="77" w:name="_Toc20899"/>
      <w:r>
        <w:rPr>
          <w:rFonts w:hint="eastAsia" w:ascii="仿宋" w:hAnsi="仿宋" w:eastAsia="仿宋" w:cs="仿宋"/>
          <w:sz w:val="24"/>
          <w:szCs w:val="24"/>
        </w:rPr>
        <w:t>项目联系人：</w:t>
      </w:r>
      <w:r>
        <w:rPr>
          <w:rFonts w:hint="eastAsia" w:ascii="仿宋" w:hAnsi="仿宋" w:eastAsia="仿宋" w:cs="仿宋"/>
          <w:sz w:val="24"/>
          <w:szCs w:val="24"/>
          <w:lang w:val="en-US" w:eastAsia="zh-CN"/>
        </w:rPr>
        <w:t>张媛媛</w:t>
      </w:r>
      <w:bookmarkEnd w:id="76"/>
    </w:p>
    <w:bookmarkEnd w:id="77"/>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0"/>
        <w:rPr>
          <w:rFonts w:hint="default" w:ascii="仿宋" w:hAnsi="仿宋" w:eastAsia="仿宋" w:cs="仿宋"/>
          <w:sz w:val="24"/>
          <w:szCs w:val="24"/>
          <w:lang w:val="en-US" w:eastAsia="zh-CN"/>
        </w:rPr>
      </w:pPr>
      <w:bookmarkStart w:id="78" w:name="_Toc10753"/>
      <w:r>
        <w:rPr>
          <w:rFonts w:hint="eastAsia" w:ascii="仿宋" w:hAnsi="仿宋" w:eastAsia="仿宋" w:cs="仿宋"/>
          <w:sz w:val="24"/>
          <w:szCs w:val="24"/>
        </w:rPr>
        <w:t>电 话：1</w:t>
      </w:r>
      <w:r>
        <w:rPr>
          <w:rFonts w:hint="eastAsia" w:ascii="仿宋" w:hAnsi="仿宋" w:eastAsia="仿宋" w:cs="仿宋"/>
          <w:sz w:val="24"/>
          <w:szCs w:val="24"/>
          <w:lang w:val="en-US" w:eastAsia="zh-CN"/>
        </w:rPr>
        <w:t>5199002822</w:t>
      </w:r>
      <w:bookmarkEnd w:id="78"/>
    </w:p>
    <w:p>
      <w:pPr>
        <w:pStyle w:val="58"/>
        <w:tabs>
          <w:tab w:val="left" w:pos="4228"/>
          <w:tab w:val="left" w:pos="7990"/>
        </w:tabs>
        <w:snapToGrid w:val="0"/>
        <w:spacing w:beforeAutospacing="0" w:afterAutospacing="0" w:line="440" w:lineRule="exact"/>
        <w:ind w:firstLine="480" w:firstLineChars="200"/>
        <w:rPr>
          <w:rStyle w:val="50"/>
          <w:rFonts w:hint="eastAsia" w:ascii="仿宋" w:hAnsi="仿宋" w:eastAsia="仿宋" w:cs="仿宋"/>
          <w:color w:val="000000"/>
          <w:sz w:val="24"/>
          <w:szCs w:val="24"/>
          <w:lang w:val="en-US" w:eastAsia="zh-CN"/>
        </w:rPr>
      </w:pPr>
    </w:p>
    <w:bookmarkEnd w:id="12"/>
    <w:bookmarkEnd w:id="13"/>
    <w:bookmarkEnd w:id="14"/>
    <w:bookmarkEnd w:id="15"/>
    <w:bookmarkEnd w:id="16"/>
    <w:bookmarkEnd w:id="20"/>
    <w:bookmarkEnd w:id="21"/>
    <w:p>
      <w:pPr>
        <w:pStyle w:val="41"/>
        <w:keepNext w:val="0"/>
        <w:keepLines w:val="0"/>
        <w:pageBreakBefore w:val="0"/>
        <w:widowControl/>
        <w:kinsoku/>
        <w:wordWrap/>
        <w:overflowPunct/>
        <w:topLinePunct w:val="0"/>
        <w:autoSpaceDE/>
        <w:autoSpaceDN/>
        <w:bidi w:val="0"/>
        <w:adjustRightInd/>
        <w:snapToGrid/>
        <w:spacing w:before="200" w:beforeAutospacing="0" w:after="200" w:afterAutospacing="0" w:line="360" w:lineRule="auto"/>
        <w:jc w:val="center"/>
        <w:textAlignment w:val="auto"/>
        <w:outlineLvl w:val="0"/>
        <w:rPr>
          <w:rFonts w:hint="eastAsia" w:ascii="仿宋" w:hAnsi="仿宋" w:eastAsia="仿宋" w:cs="仿宋"/>
          <w:b/>
          <w:bCs/>
          <w:color w:val="000000"/>
          <w:sz w:val="24"/>
          <w:szCs w:val="24"/>
          <w:lang w:val="en-US" w:eastAsia="zh-CN"/>
        </w:rPr>
      </w:pPr>
      <w:bookmarkStart w:id="79" w:name="_Toc19150"/>
      <w:bookmarkEnd w:id="79"/>
      <w:r>
        <w:rPr>
          <w:rFonts w:hint="eastAsia" w:ascii="仿宋" w:hAnsi="仿宋" w:eastAsia="仿宋" w:cs="仿宋"/>
          <w:b/>
          <w:bCs/>
          <w:color w:val="000000"/>
          <w:sz w:val="24"/>
          <w:szCs w:val="24"/>
          <w:lang w:val="en-US" w:eastAsia="zh-CN"/>
        </w:rPr>
        <w:br w:type="page"/>
      </w:r>
      <w:bookmarkStart w:id="80" w:name="_Toc6992"/>
      <w:r>
        <w:rPr>
          <w:rFonts w:hint="eastAsia" w:ascii="仿宋" w:hAnsi="仿宋" w:eastAsia="仿宋" w:cs="仿宋"/>
          <w:b/>
          <w:bCs/>
          <w:color w:val="000000"/>
          <w:sz w:val="32"/>
          <w:szCs w:val="32"/>
          <w:lang w:val="en-US" w:eastAsia="zh-CN"/>
        </w:rPr>
        <w:t>第二章  供应商须知</w:t>
      </w:r>
      <w:bookmarkEnd w:id="80"/>
    </w:p>
    <w:p>
      <w:pPr>
        <w:pStyle w:val="18"/>
        <w:spacing w:beforeAutospacing="0" w:afterAutospacing="0" w:line="240" w:lineRule="atLeast"/>
        <w:jc w:val="center"/>
        <w:rPr>
          <w:rFonts w:hint="eastAsia" w:ascii="仿宋" w:hAnsi="仿宋" w:eastAsia="仿宋" w:cs="仿宋"/>
          <w:color w:val="000000"/>
          <w:sz w:val="24"/>
          <w:szCs w:val="24"/>
        </w:rPr>
      </w:pPr>
      <w:bookmarkStart w:id="81" w:name="_Toc217446032"/>
      <w:bookmarkEnd w:id="81"/>
      <w:bookmarkStart w:id="82" w:name="_Toc213496268"/>
      <w:bookmarkEnd w:id="82"/>
      <w:bookmarkStart w:id="83" w:name="_Toc213396946"/>
      <w:bookmarkEnd w:id="83"/>
      <w:bookmarkStart w:id="84" w:name="_Toc213396760"/>
      <w:bookmarkEnd w:id="84"/>
      <w:bookmarkStart w:id="85" w:name="_Toc189727030"/>
      <w:bookmarkEnd w:id="85"/>
      <w:bookmarkStart w:id="86" w:name="_Toc213397010"/>
      <w:bookmarkEnd w:id="86"/>
      <w:r>
        <w:rPr>
          <w:rFonts w:hint="eastAsia" w:ascii="仿宋" w:hAnsi="仿宋" w:eastAsia="仿宋" w:cs="仿宋"/>
          <w:color w:val="000000"/>
          <w:sz w:val="24"/>
          <w:szCs w:val="24"/>
        </w:rPr>
        <w:t>一、</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w:t>
      </w:r>
      <w:r>
        <w:rPr>
          <w:rFonts w:hint="eastAsia" w:ascii="仿宋" w:hAnsi="仿宋" w:eastAsia="仿宋" w:cs="仿宋"/>
          <w:color w:val="000000"/>
          <w:sz w:val="24"/>
          <w:szCs w:val="24"/>
          <w:lang w:val="en-US" w:eastAsia="zh-CN"/>
        </w:rPr>
        <w:t>前</w:t>
      </w:r>
      <w:r>
        <w:rPr>
          <w:rFonts w:hint="eastAsia" w:ascii="仿宋" w:hAnsi="仿宋" w:eastAsia="仿宋" w:cs="仿宋"/>
          <w:color w:val="000000"/>
          <w:sz w:val="24"/>
          <w:szCs w:val="24"/>
        </w:rPr>
        <w:t>附表</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3"/>
        <w:gridCol w:w="1463"/>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3" w:type="dxa"/>
            <w:vAlign w:val="center"/>
          </w:tcPr>
          <w:p>
            <w:pPr>
              <w:spacing w:beforeAutospacing="0" w:afterAutospacing="0" w:line="24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1463" w:type="dxa"/>
            <w:vAlign w:val="center"/>
          </w:tcPr>
          <w:p>
            <w:pPr>
              <w:spacing w:beforeAutospacing="0" w:afterAutospacing="0" w:line="24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名 称</w:t>
            </w:r>
          </w:p>
        </w:tc>
        <w:tc>
          <w:tcPr>
            <w:tcW w:w="6253" w:type="dxa"/>
            <w:vAlign w:val="center"/>
          </w:tcPr>
          <w:p>
            <w:pPr>
              <w:spacing w:beforeAutospacing="0" w:afterAutospacing="0" w:line="24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采购人</w:t>
            </w:r>
          </w:p>
        </w:tc>
        <w:tc>
          <w:tcPr>
            <w:tcW w:w="6253" w:type="dxa"/>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名称：</w:t>
            </w:r>
            <w:r>
              <w:rPr>
                <w:rFonts w:hint="eastAsia" w:ascii="仿宋" w:hAnsi="仿宋" w:eastAsia="仿宋" w:cs="仿宋"/>
                <w:color w:val="000000"/>
                <w:sz w:val="24"/>
                <w:szCs w:val="24"/>
                <w:lang w:val="en-US" w:eastAsia="zh-CN"/>
              </w:rPr>
              <w:t>米东区发展和改革委员会(工业和信息化局、粮食和物质储备局、国防动员办公室、人民防空办公室)</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0"/>
              <w:rPr>
                <w:rFonts w:hint="default" w:ascii="仿宋" w:hAnsi="仿宋" w:eastAsia="仿宋" w:cs="仿宋"/>
                <w:sz w:val="24"/>
                <w:szCs w:val="24"/>
                <w:lang w:val="en-US"/>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马女士</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0"/>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19990803142</w:t>
            </w:r>
          </w:p>
          <w:p>
            <w:pPr>
              <w:pStyle w:val="41"/>
              <w:spacing w:before="75" w:beforeAutospacing="0" w:after="75" w:afterAutospacing="0" w:line="360" w:lineRule="auto"/>
              <w:outlineLvl w:val="1"/>
              <w:rPr>
                <w:rFonts w:hint="eastAsia" w:ascii="仿宋" w:hAnsi="仿宋" w:eastAsia="仿宋" w:cs="仿宋"/>
                <w:color w:val="000000"/>
                <w:sz w:val="24"/>
                <w:szCs w:val="24"/>
              </w:rPr>
            </w:pPr>
            <w:r>
              <w:rPr>
                <w:rFonts w:hint="eastAsia" w:ascii="仿宋" w:hAnsi="仿宋" w:eastAsia="仿宋" w:cs="仿宋"/>
                <w:color w:val="000000"/>
                <w:sz w:val="24"/>
                <w:szCs w:val="24"/>
              </w:rPr>
              <w:t>地址：</w:t>
            </w:r>
            <w:r>
              <w:rPr>
                <w:rFonts w:hint="eastAsia" w:ascii="仿宋" w:hAnsi="仿宋" w:eastAsia="仿宋" w:cs="仿宋"/>
                <w:sz w:val="24"/>
                <w:szCs w:val="24"/>
              </w:rPr>
              <w:t>乌鲁木齐市米东</w:t>
            </w:r>
            <w:r>
              <w:rPr>
                <w:rFonts w:hint="eastAsia" w:ascii="仿宋" w:hAnsi="仿宋" w:eastAsia="仿宋" w:cs="仿宋"/>
                <w:sz w:val="24"/>
                <w:szCs w:val="24"/>
                <w:lang w:val="en-US" w:eastAsia="zh-CN"/>
              </w:rPr>
              <w:t>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采购代理机构</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名称：</w:t>
            </w:r>
            <w:r>
              <w:rPr>
                <w:rFonts w:hint="eastAsia" w:ascii="仿宋" w:hAnsi="仿宋" w:eastAsia="仿宋" w:cs="仿宋"/>
                <w:color w:val="000000"/>
                <w:sz w:val="24"/>
                <w:szCs w:val="24"/>
                <w:lang w:val="en-US" w:eastAsia="zh-CN"/>
              </w:rPr>
              <w:t>新疆凯智工程管理咨询有限责任公司</w:t>
            </w:r>
          </w:p>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：张媛媛</w:t>
            </w:r>
          </w:p>
          <w:p>
            <w:pPr>
              <w:spacing w:beforeAutospacing="0" w:afterAutospacing="0" w:line="360" w:lineRule="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电话：15199002822</w:t>
            </w:r>
          </w:p>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地址：</w:t>
            </w:r>
            <w:r>
              <w:rPr>
                <w:rFonts w:hint="eastAsia" w:ascii="仿宋" w:hAnsi="仿宋" w:eastAsia="仿宋" w:cs="仿宋"/>
                <w:color w:val="000000"/>
                <w:sz w:val="24"/>
                <w:szCs w:val="24"/>
                <w:lang w:eastAsia="zh-CN"/>
              </w:rPr>
              <w:t>新疆凯智工程管理咨询有限责任公司（府前中路159号东凯集团二楼会议室）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6253" w:type="dxa"/>
            <w:vAlign w:val="center"/>
          </w:tcPr>
          <w:p>
            <w:pPr>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人才智力咨询服务采购项目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463" w:type="dxa"/>
            <w:vAlign w:val="center"/>
          </w:tcPr>
          <w:p>
            <w:pPr>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招标编号</w:t>
            </w:r>
          </w:p>
        </w:tc>
        <w:tc>
          <w:tcPr>
            <w:tcW w:w="6253" w:type="dxa"/>
            <w:vAlign w:val="center"/>
          </w:tcPr>
          <w:p>
            <w:pPr>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fldChar w:fldCharType="begin"/>
            </w:r>
            <w:r>
              <w:rPr>
                <w:rFonts w:hint="eastAsia" w:ascii="仿宋" w:hAnsi="仿宋" w:eastAsia="仿宋" w:cs="仿宋"/>
                <w:color w:val="000000"/>
                <w:sz w:val="24"/>
                <w:szCs w:val="24"/>
                <w:lang w:val="en-US" w:eastAsia="zh-CN"/>
              </w:rPr>
              <w:instrText xml:space="preserve"> HYPERLINK "https://pay.zcygov.cn/purchaseplan_front/" \l "/plan/apply/detail/1000005077579" </w:instrText>
            </w:r>
            <w:r>
              <w:rPr>
                <w:rFonts w:hint="eastAsia" w:ascii="仿宋" w:hAnsi="仿宋" w:eastAsia="仿宋" w:cs="仿宋"/>
                <w:color w:val="000000"/>
                <w:sz w:val="24"/>
                <w:szCs w:val="24"/>
                <w:lang w:val="en-US" w:eastAsia="zh-CN"/>
              </w:rPr>
              <w:fldChar w:fldCharType="separate"/>
            </w:r>
            <w:r>
              <w:rPr>
                <w:rFonts w:hint="eastAsia" w:ascii="仿宋" w:hAnsi="仿宋" w:eastAsia="仿宋" w:cs="仿宋"/>
                <w:color w:val="000000"/>
                <w:sz w:val="24"/>
                <w:szCs w:val="24"/>
                <w:lang w:val="en-US" w:eastAsia="zh-CN"/>
              </w:rPr>
              <w:t>[2023]2526号</w:t>
            </w:r>
            <w:r>
              <w:rPr>
                <w:rFonts w:hint="eastAsia" w:ascii="仿宋" w:hAnsi="仿宋" w:eastAsia="仿宋" w:cs="仿宋"/>
                <w:color w:val="000000"/>
                <w:sz w:val="24"/>
                <w:szCs w:val="24"/>
                <w:lang w:val="en-US" w:eastAsia="zh-CN"/>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资金来源、预算金额及采购最高限价</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本项目</w:t>
            </w:r>
            <w:r>
              <w:rPr>
                <w:rFonts w:hint="eastAsia" w:ascii="仿宋" w:hAnsi="仿宋" w:eastAsia="仿宋" w:cs="仿宋"/>
                <w:color w:val="000000"/>
                <w:sz w:val="24"/>
                <w:szCs w:val="24"/>
                <w:lang w:val="en-US" w:eastAsia="zh-CN"/>
              </w:rPr>
              <w:t>资金来源为：财政资金</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仿宋" w:hAnsi="仿宋" w:eastAsia="仿宋" w:cs="仿宋"/>
                <w:color w:val="000000"/>
                <w:sz w:val="24"/>
                <w:szCs w:val="24"/>
                <w:lang w:val="en-US"/>
              </w:rPr>
            </w:pPr>
            <w:r>
              <w:rPr>
                <w:rFonts w:hint="eastAsia" w:ascii="仿宋" w:hAnsi="仿宋" w:eastAsia="仿宋" w:cs="仿宋"/>
                <w:color w:val="000000"/>
                <w:sz w:val="24"/>
                <w:szCs w:val="24"/>
              </w:rPr>
              <w:t>预算金额（元）：</w:t>
            </w:r>
            <w:r>
              <w:rPr>
                <w:rFonts w:hint="eastAsia" w:ascii="仿宋" w:hAnsi="仿宋" w:eastAsia="仿宋" w:cs="仿宋"/>
                <w:color w:val="000000"/>
                <w:sz w:val="24"/>
                <w:szCs w:val="24"/>
                <w:lang w:val="en-US" w:eastAsia="zh-CN"/>
              </w:rPr>
              <w:t>600000.00</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最高限价（元）：</w:t>
            </w:r>
            <w:r>
              <w:rPr>
                <w:rFonts w:hint="eastAsia" w:ascii="仿宋" w:hAnsi="仿宋" w:eastAsia="仿宋" w:cs="仿宋"/>
                <w:color w:val="000000"/>
                <w:sz w:val="24"/>
                <w:szCs w:val="24"/>
                <w:lang w:val="en-US" w:eastAsia="zh-CN"/>
              </w:rPr>
              <w:t>600000.00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招标范围</w:t>
            </w:r>
          </w:p>
        </w:tc>
        <w:tc>
          <w:tcPr>
            <w:tcW w:w="6253" w:type="dxa"/>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配合研究并提出米东区全社会固定资产投资总规模和投资结构目标、提出申请地方政府债券、中央预算内、自治区预算内、市预算内等各类上级资金支持项目申报计划及配合权限内政府投资项目审批和社会投资项目备案，核准上报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标段（包）划分</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本次招标共1个标段（包）。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服务期限</w:t>
            </w:r>
          </w:p>
        </w:tc>
        <w:tc>
          <w:tcPr>
            <w:tcW w:w="6253" w:type="dxa"/>
            <w:vAlign w:val="center"/>
          </w:tcPr>
          <w:p>
            <w:pPr>
              <w:spacing w:beforeAutospacing="0" w:afterAutospacing="0"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质量要求</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政府采购</w:t>
            </w:r>
          </w:p>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政策</w:t>
            </w:r>
          </w:p>
        </w:tc>
        <w:tc>
          <w:tcPr>
            <w:tcW w:w="6253" w:type="dxa"/>
            <w:vAlign w:val="center"/>
          </w:tcPr>
          <w:p>
            <w:pPr>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1、执行促进中小型（监狱、残疾人福利）企业发展相关政策（是/否），投标价格给予10%的折扣；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资格要求</w:t>
            </w:r>
          </w:p>
        </w:tc>
        <w:tc>
          <w:tcPr>
            <w:tcW w:w="6253" w:type="dxa"/>
            <w:vAlign w:val="center"/>
          </w:tcPr>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1、供应商须具有独立承担民事责任的能力；【法人或者其他组织投标需提供营业执照等证明文件，自然人投标需提供自然人的身份证明】</w:t>
            </w:r>
          </w:p>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2、具有良好的商业信誉和健全的财务会计制度；【须提供承诺书】</w:t>
            </w:r>
          </w:p>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3、具有履行合同所必需的专业技术能力与人员队伍；【须提供承诺书】</w:t>
            </w:r>
          </w:p>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4、具有依法缴纳税收和社会保障资金的良好记录；【须提供承诺书】</w:t>
            </w:r>
          </w:p>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5、参与投标的单位前三年内，在经营活动中没有重大违法记录；【须提供承诺书】</w:t>
            </w:r>
          </w:p>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6、法律、行政法规规定的其他条件；【须提供承诺书】</w:t>
            </w:r>
          </w:p>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7、其他说明：单位负责人为同一人或者存在直接控股、管理关系的不同供应商，不得参加同一合同项下的政府采购活动。</w:t>
            </w:r>
          </w:p>
          <w:p>
            <w:pPr>
              <w:spacing w:beforeAutospacing="0" w:afterAutospacing="0" w:line="36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8、本项目不接受联合体投标</w:t>
            </w:r>
            <w:r>
              <w:rPr>
                <w:rFonts w:hint="eastAsia" w:ascii="仿宋" w:hAnsi="仿宋" w:eastAsia="仿宋" w:cs="仿宋"/>
                <w:color w:val="00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投标保证金</w:t>
            </w:r>
          </w:p>
        </w:tc>
        <w:tc>
          <w:tcPr>
            <w:tcW w:w="6253" w:type="dxa"/>
            <w:vAlign w:val="center"/>
          </w:tcPr>
          <w:p>
            <w:pPr>
              <w:spacing w:beforeAutospacing="0" w:afterAutospacing="0" w:line="360" w:lineRule="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  </w:t>
            </w:r>
            <w:r>
              <w:rPr>
                <w:rFonts w:hint="eastAsia" w:ascii="仿宋" w:hAnsi="仿宋" w:eastAsia="仿宋" w:cs="仿宋"/>
                <w:kern w:val="0"/>
                <w:sz w:val="24"/>
                <w:szCs w:val="24"/>
                <w:lang w:val="en-US" w:eastAsia="zh-CN" w:bidi="ar"/>
              </w:rPr>
              <w:t>小写：6000</w:t>
            </w:r>
            <w:r>
              <w:rPr>
                <w:rFonts w:hint="eastAsia" w:ascii="仿宋" w:hAnsi="仿宋" w:eastAsia="仿宋" w:cs="仿宋"/>
                <w:kern w:val="0"/>
                <w:sz w:val="24"/>
                <w:szCs w:val="24"/>
                <w:lang w:bidi="ar"/>
              </w:rPr>
              <w:t>元（</w:t>
            </w:r>
            <w:r>
              <w:rPr>
                <w:rFonts w:hint="eastAsia" w:ascii="仿宋" w:hAnsi="仿宋" w:eastAsia="仿宋" w:cs="仿宋"/>
                <w:kern w:val="0"/>
                <w:sz w:val="24"/>
                <w:szCs w:val="24"/>
                <w:lang w:val="en-US" w:eastAsia="zh-CN" w:bidi="ar"/>
              </w:rPr>
              <w:t>大写：陆仟元整</w:t>
            </w:r>
            <w:r>
              <w:rPr>
                <w:rFonts w:hint="eastAsia" w:ascii="仿宋" w:hAnsi="仿宋" w:eastAsia="仿宋" w:cs="仿宋"/>
                <w:kern w:val="0"/>
                <w:sz w:val="24"/>
                <w:szCs w:val="24"/>
                <w:lang w:bidi="ar"/>
              </w:rPr>
              <w:t>）</w:t>
            </w:r>
          </w:p>
          <w:p>
            <w:pPr>
              <w:numPr>
                <w:ilvl w:val="0"/>
                <w:numId w:val="4"/>
              </w:numPr>
              <w:spacing w:beforeAutospacing="0" w:afterAutospacing="0" w:line="360" w:lineRule="auto"/>
              <w:ind w:firstLine="480" w:firstLineChars="2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bidi="ar"/>
              </w:rPr>
              <w:t>缴纳：</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w:t>
            </w:r>
            <w:r>
              <w:rPr>
                <w:rFonts w:hint="eastAsia" w:ascii="仿宋" w:hAnsi="仿宋" w:eastAsia="仿宋" w:cs="仿宋"/>
                <w:kern w:val="0"/>
                <w:sz w:val="24"/>
                <w:szCs w:val="24"/>
                <w:lang w:val="en-US" w:eastAsia="zh-CN" w:bidi="ar"/>
              </w:rPr>
              <w:t>1.投标保证金的形式:银行电汇、电子保函</w:t>
            </w:r>
          </w:p>
          <w:p>
            <w:pPr>
              <w:numPr>
                <w:ilvl w:val="0"/>
                <w:numId w:val="0"/>
              </w:numPr>
              <w:spacing w:beforeAutospacing="0" w:afterAutospacing="0" w:line="360" w:lineRule="auto"/>
              <w:ind w:firstLine="480" w:firstLineChars="2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2.</w:t>
            </w:r>
            <w:r>
              <w:rPr>
                <w:rFonts w:hint="eastAsia" w:ascii="仿宋" w:hAnsi="仿宋" w:eastAsia="仿宋" w:cs="仿宋"/>
                <w:kern w:val="0"/>
                <w:sz w:val="24"/>
                <w:szCs w:val="24"/>
                <w:lang w:bidi="ar"/>
              </w:rPr>
              <w:t>缴纳</w:t>
            </w: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bidi="ar"/>
              </w:rPr>
              <w:t>时需备注项目名称；</w:t>
            </w:r>
          </w:p>
          <w:p>
            <w:pPr>
              <w:spacing w:beforeAutospacing="0" w:afterAutospacing="0" w:line="360" w:lineRule="auto"/>
              <w:ind w:firstLine="480" w:firstLineChars="2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w:t>
            </w: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val="en-US" w:eastAsia="zh-CN" w:bidi="ar"/>
              </w:rPr>
              <w:t>递交截止时间</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val="en-US" w:eastAsia="zh-CN" w:bidi="ar"/>
              </w:rPr>
              <w:t>2023年10月11日 11时 00 分（北京时间）</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4.财务部咨询电话：1</w:t>
            </w:r>
            <w:r>
              <w:rPr>
                <w:rFonts w:hint="eastAsia" w:ascii="仿宋" w:hAnsi="仿宋" w:eastAsia="仿宋" w:cs="仿宋"/>
                <w:sz w:val="24"/>
                <w:szCs w:val="24"/>
                <w:lang w:val="en-US" w:eastAsia="zh-CN"/>
              </w:rPr>
              <w:t>5199002822</w:t>
            </w:r>
          </w:p>
          <w:p>
            <w:pPr>
              <w:spacing w:beforeAutospacing="0" w:afterAutospacing="0" w:line="360" w:lineRule="auto"/>
              <w:ind w:firstLine="482" w:firstLineChars="200"/>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eastAsia="zh-CN" w:bidi="ar"/>
              </w:rPr>
              <w:t>投标保证金</w:t>
            </w:r>
            <w:r>
              <w:rPr>
                <w:rFonts w:hint="eastAsia" w:ascii="仿宋" w:hAnsi="仿宋" w:eastAsia="仿宋" w:cs="仿宋"/>
                <w:b/>
                <w:bCs/>
                <w:kern w:val="0"/>
                <w:sz w:val="24"/>
                <w:szCs w:val="24"/>
                <w:lang w:bidi="ar"/>
              </w:rPr>
              <w:t>缴纳账户：</w:t>
            </w:r>
            <w:r>
              <w:rPr>
                <w:rFonts w:hint="eastAsia" w:ascii="仿宋" w:hAnsi="仿宋" w:eastAsia="仿宋" w:cs="仿宋"/>
                <w:b/>
                <w:bCs/>
                <w:kern w:val="0"/>
                <w:sz w:val="24"/>
                <w:szCs w:val="24"/>
                <w:lang w:bidi="ar"/>
              </w:rPr>
              <w:br w:type="textWrapping"/>
            </w:r>
            <w:r>
              <w:rPr>
                <w:rFonts w:hint="eastAsia" w:ascii="仿宋" w:hAnsi="仿宋" w:eastAsia="仿宋" w:cs="仿宋"/>
                <w:b/>
                <w:bCs/>
                <w:kern w:val="0"/>
                <w:sz w:val="24"/>
                <w:szCs w:val="24"/>
                <w:lang w:bidi="ar"/>
              </w:rPr>
              <w:t xml:space="preserve">    单位名称：</w:t>
            </w:r>
            <w:r>
              <w:rPr>
                <w:rFonts w:hint="eastAsia" w:ascii="仿宋" w:hAnsi="仿宋" w:eastAsia="仿宋" w:cs="仿宋"/>
                <w:b/>
                <w:bCs/>
                <w:kern w:val="0"/>
                <w:sz w:val="24"/>
                <w:szCs w:val="24"/>
                <w:lang w:eastAsia="zh-CN" w:bidi="ar"/>
              </w:rPr>
              <w:t>新疆凯智工程管理咨询有限责任公司</w:t>
            </w:r>
            <w:r>
              <w:rPr>
                <w:rFonts w:hint="eastAsia" w:ascii="仿宋" w:hAnsi="仿宋" w:eastAsia="仿宋" w:cs="仿宋"/>
                <w:b/>
                <w:bCs/>
                <w:kern w:val="0"/>
                <w:sz w:val="24"/>
                <w:szCs w:val="24"/>
                <w:lang w:bidi="ar"/>
              </w:rPr>
              <w:br w:type="textWrapping"/>
            </w:r>
            <w:r>
              <w:rPr>
                <w:rFonts w:hint="eastAsia" w:ascii="仿宋" w:hAnsi="仿宋" w:eastAsia="仿宋" w:cs="仿宋"/>
                <w:b/>
                <w:bCs/>
                <w:kern w:val="0"/>
                <w:sz w:val="24"/>
                <w:szCs w:val="24"/>
                <w:lang w:bidi="ar"/>
              </w:rPr>
              <w:t xml:space="preserve">    账号：0801 2200 0000 9220</w:t>
            </w:r>
            <w:r>
              <w:rPr>
                <w:rFonts w:hint="eastAsia" w:ascii="仿宋" w:hAnsi="仿宋" w:eastAsia="仿宋" w:cs="仿宋"/>
                <w:b/>
                <w:bCs/>
                <w:kern w:val="0"/>
                <w:sz w:val="24"/>
                <w:szCs w:val="24"/>
                <w:lang w:bidi="ar"/>
              </w:rPr>
              <w:br w:type="textWrapping"/>
            </w:r>
            <w:r>
              <w:rPr>
                <w:rFonts w:hint="eastAsia" w:ascii="仿宋" w:hAnsi="仿宋" w:eastAsia="仿宋" w:cs="仿宋"/>
                <w:b/>
                <w:bCs/>
                <w:kern w:val="0"/>
                <w:sz w:val="24"/>
                <w:szCs w:val="24"/>
                <w:lang w:bidi="ar"/>
              </w:rPr>
              <w:t xml:space="preserve">    开户行名称：新疆银行股份有限公司</w:t>
            </w:r>
            <w:r>
              <w:rPr>
                <w:rFonts w:hint="eastAsia" w:ascii="仿宋" w:hAnsi="仿宋" w:eastAsia="仿宋" w:cs="仿宋"/>
                <w:b/>
                <w:bCs/>
                <w:kern w:val="0"/>
                <w:sz w:val="24"/>
                <w:szCs w:val="24"/>
                <w:lang w:bidi="ar"/>
              </w:rPr>
              <w:br w:type="textWrapping"/>
            </w:r>
            <w:r>
              <w:rPr>
                <w:rFonts w:hint="eastAsia" w:ascii="仿宋" w:hAnsi="仿宋" w:eastAsia="仿宋" w:cs="仿宋"/>
                <w:b/>
                <w:bCs/>
                <w:kern w:val="0"/>
                <w:sz w:val="24"/>
                <w:szCs w:val="24"/>
                <w:lang w:bidi="ar"/>
              </w:rPr>
              <w:t xml:space="preserve">    行号：313881088887</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二、</w:t>
            </w: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bidi="ar"/>
              </w:rPr>
              <w:t>退还：</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1</w:t>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bidi="ar"/>
              </w:rPr>
              <w:t>未</w:t>
            </w:r>
            <w:r>
              <w:rPr>
                <w:rFonts w:hint="eastAsia" w:ascii="仿宋" w:hAnsi="仿宋" w:eastAsia="仿宋" w:cs="仿宋"/>
                <w:kern w:val="0"/>
                <w:sz w:val="24"/>
                <w:szCs w:val="24"/>
                <w:lang w:eastAsia="zh-CN" w:bidi="ar"/>
              </w:rPr>
              <w:t>成交供应商</w:t>
            </w:r>
            <w:r>
              <w:rPr>
                <w:rFonts w:hint="eastAsia" w:ascii="仿宋" w:hAnsi="仿宋" w:eastAsia="仿宋" w:cs="仿宋"/>
                <w:kern w:val="0"/>
                <w:sz w:val="24"/>
                <w:szCs w:val="24"/>
                <w:lang w:bidi="ar"/>
              </w:rPr>
              <w:t>的</w:t>
            </w: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bidi="ar"/>
              </w:rPr>
              <w:t>将在</w:t>
            </w:r>
            <w:r>
              <w:rPr>
                <w:rFonts w:hint="eastAsia" w:ascii="仿宋" w:hAnsi="仿宋" w:eastAsia="仿宋" w:cs="仿宋"/>
                <w:kern w:val="0"/>
                <w:sz w:val="24"/>
                <w:szCs w:val="24"/>
                <w:lang w:eastAsia="zh-CN" w:bidi="ar"/>
              </w:rPr>
              <w:t>成交</w:t>
            </w:r>
            <w:r>
              <w:rPr>
                <w:rFonts w:hint="eastAsia" w:ascii="仿宋" w:hAnsi="仿宋" w:eastAsia="仿宋" w:cs="仿宋"/>
                <w:kern w:val="0"/>
                <w:sz w:val="24"/>
                <w:szCs w:val="24"/>
                <w:lang w:bidi="ar"/>
              </w:rPr>
              <w:t>通知书发出后5个工作日内退还。</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2</w:t>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eastAsia="zh-CN" w:bidi="ar"/>
              </w:rPr>
              <w:t>成交供应商</w:t>
            </w:r>
            <w:r>
              <w:rPr>
                <w:rFonts w:hint="eastAsia" w:ascii="仿宋" w:hAnsi="仿宋" w:eastAsia="仿宋" w:cs="仿宋"/>
                <w:kern w:val="0"/>
                <w:sz w:val="24"/>
                <w:szCs w:val="24"/>
                <w:lang w:bidi="ar"/>
              </w:rPr>
              <w:t>的</w:t>
            </w: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bidi="ar"/>
              </w:rPr>
              <w:t>将在</w:t>
            </w:r>
            <w:r>
              <w:rPr>
                <w:rFonts w:hint="eastAsia" w:ascii="仿宋" w:hAnsi="仿宋" w:eastAsia="仿宋" w:cs="仿宋"/>
                <w:kern w:val="0"/>
                <w:sz w:val="24"/>
                <w:szCs w:val="24"/>
                <w:lang w:eastAsia="zh-CN" w:bidi="ar"/>
              </w:rPr>
              <w:t>成交供应商</w:t>
            </w:r>
            <w:r>
              <w:rPr>
                <w:rFonts w:hint="eastAsia" w:ascii="仿宋" w:hAnsi="仿宋" w:eastAsia="仿宋" w:cs="仿宋"/>
                <w:kern w:val="0"/>
                <w:sz w:val="24"/>
                <w:szCs w:val="24"/>
                <w:lang w:bidi="ar"/>
              </w:rPr>
              <w:t>与</w:t>
            </w:r>
            <w:r>
              <w:rPr>
                <w:rFonts w:hint="eastAsia" w:ascii="仿宋" w:hAnsi="仿宋" w:eastAsia="仿宋" w:cs="仿宋"/>
                <w:kern w:val="0"/>
                <w:sz w:val="24"/>
                <w:szCs w:val="24"/>
                <w:lang w:eastAsia="zh-CN" w:bidi="ar"/>
              </w:rPr>
              <w:t>采购</w:t>
            </w:r>
            <w:r>
              <w:rPr>
                <w:rFonts w:hint="eastAsia" w:ascii="仿宋" w:hAnsi="仿宋" w:eastAsia="仿宋" w:cs="仿宋"/>
                <w:kern w:val="0"/>
                <w:sz w:val="24"/>
                <w:szCs w:val="24"/>
                <w:lang w:bidi="ar"/>
              </w:rPr>
              <w:t>人签订采购合同</w:t>
            </w:r>
            <w:r>
              <w:rPr>
                <w:rFonts w:hint="eastAsia" w:ascii="仿宋" w:hAnsi="仿宋" w:eastAsia="仿宋" w:cs="仿宋"/>
                <w:kern w:val="0"/>
                <w:sz w:val="24"/>
                <w:szCs w:val="24"/>
                <w:lang w:eastAsia="zh-CN" w:bidi="ar"/>
              </w:rPr>
              <w:t>，并将采购合同递交至采购代理后</w:t>
            </w:r>
            <w:r>
              <w:rPr>
                <w:rFonts w:hint="eastAsia" w:ascii="仿宋" w:hAnsi="仿宋" w:eastAsia="仿宋" w:cs="仿宋"/>
                <w:kern w:val="0"/>
                <w:sz w:val="24"/>
                <w:szCs w:val="24"/>
                <w:lang w:bidi="ar"/>
              </w:rPr>
              <w:t>5个工作日内，无息退还。</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3</w:t>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bidi="ar"/>
              </w:rPr>
              <w:t>有下列情形之一的，</w:t>
            </w: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bidi="ar"/>
              </w:rPr>
              <w:t>不予退还：</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（1）</w:t>
            </w:r>
            <w:r>
              <w:rPr>
                <w:rFonts w:hint="eastAsia" w:ascii="仿宋" w:hAnsi="仿宋" w:eastAsia="仿宋" w:cs="仿宋"/>
                <w:kern w:val="0"/>
                <w:sz w:val="24"/>
                <w:szCs w:val="24"/>
                <w:lang w:eastAsia="zh-CN" w:bidi="ar"/>
              </w:rPr>
              <w:t>供应商</w:t>
            </w:r>
            <w:r>
              <w:rPr>
                <w:rFonts w:hint="eastAsia" w:ascii="仿宋" w:hAnsi="仿宋" w:eastAsia="仿宋" w:cs="仿宋"/>
                <w:kern w:val="0"/>
                <w:sz w:val="24"/>
                <w:szCs w:val="24"/>
                <w:lang w:bidi="ar"/>
              </w:rPr>
              <w:t>在提交</w:t>
            </w:r>
            <w:r>
              <w:rPr>
                <w:rFonts w:hint="eastAsia" w:ascii="仿宋" w:hAnsi="仿宋" w:eastAsia="仿宋" w:cs="仿宋"/>
                <w:kern w:val="0"/>
                <w:sz w:val="24"/>
                <w:szCs w:val="24"/>
                <w:lang w:eastAsia="zh-CN" w:bidi="ar"/>
              </w:rPr>
              <w:t>响应文件</w:t>
            </w:r>
            <w:r>
              <w:rPr>
                <w:rFonts w:hint="eastAsia" w:ascii="仿宋" w:hAnsi="仿宋" w:eastAsia="仿宋" w:cs="仿宋"/>
                <w:kern w:val="0"/>
                <w:sz w:val="24"/>
                <w:szCs w:val="24"/>
                <w:lang w:bidi="ar"/>
              </w:rPr>
              <w:t>截止时间后撤回</w:t>
            </w:r>
            <w:r>
              <w:rPr>
                <w:rFonts w:hint="eastAsia" w:ascii="仿宋" w:hAnsi="仿宋" w:eastAsia="仿宋" w:cs="仿宋"/>
                <w:kern w:val="0"/>
                <w:sz w:val="24"/>
                <w:szCs w:val="24"/>
                <w:lang w:eastAsia="zh-CN" w:bidi="ar"/>
              </w:rPr>
              <w:t>响应文件</w:t>
            </w:r>
            <w:r>
              <w:rPr>
                <w:rFonts w:hint="eastAsia" w:ascii="仿宋" w:hAnsi="仿宋" w:eastAsia="仿宋" w:cs="仿宋"/>
                <w:kern w:val="0"/>
                <w:sz w:val="24"/>
                <w:szCs w:val="24"/>
                <w:lang w:bidi="ar"/>
              </w:rPr>
              <w:t>的；</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（2）</w:t>
            </w:r>
            <w:r>
              <w:rPr>
                <w:rFonts w:hint="eastAsia" w:ascii="仿宋" w:hAnsi="仿宋" w:eastAsia="仿宋" w:cs="仿宋"/>
                <w:kern w:val="0"/>
                <w:sz w:val="24"/>
                <w:szCs w:val="24"/>
                <w:lang w:eastAsia="zh-CN" w:bidi="ar"/>
              </w:rPr>
              <w:t>供应商</w:t>
            </w:r>
            <w:r>
              <w:rPr>
                <w:rFonts w:hint="eastAsia" w:ascii="仿宋" w:hAnsi="仿宋" w:eastAsia="仿宋" w:cs="仿宋"/>
                <w:kern w:val="0"/>
                <w:sz w:val="24"/>
                <w:szCs w:val="24"/>
                <w:lang w:bidi="ar"/>
              </w:rPr>
              <w:t>在</w:t>
            </w:r>
            <w:r>
              <w:rPr>
                <w:rFonts w:hint="eastAsia" w:ascii="仿宋" w:hAnsi="仿宋" w:eastAsia="仿宋" w:cs="仿宋"/>
                <w:kern w:val="0"/>
                <w:sz w:val="24"/>
                <w:szCs w:val="24"/>
                <w:lang w:eastAsia="zh-CN" w:bidi="ar"/>
              </w:rPr>
              <w:t>响应文件</w:t>
            </w:r>
            <w:r>
              <w:rPr>
                <w:rFonts w:hint="eastAsia" w:ascii="仿宋" w:hAnsi="仿宋" w:eastAsia="仿宋" w:cs="仿宋"/>
                <w:kern w:val="0"/>
                <w:sz w:val="24"/>
                <w:szCs w:val="24"/>
                <w:lang w:bidi="ar"/>
              </w:rPr>
              <w:t>中提供虚假材料的；</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（3）除因不可抗力或</w:t>
            </w:r>
            <w:r>
              <w:rPr>
                <w:rFonts w:hint="eastAsia" w:ascii="仿宋" w:hAnsi="仿宋" w:eastAsia="仿宋" w:cs="仿宋"/>
                <w:kern w:val="0"/>
                <w:sz w:val="24"/>
                <w:szCs w:val="24"/>
                <w:lang w:eastAsia="zh-CN" w:bidi="ar"/>
              </w:rPr>
              <w:t>采购文件</w:t>
            </w:r>
            <w:r>
              <w:rPr>
                <w:rFonts w:hint="eastAsia" w:ascii="仿宋" w:hAnsi="仿宋" w:eastAsia="仿宋" w:cs="仿宋"/>
                <w:kern w:val="0"/>
                <w:sz w:val="24"/>
                <w:szCs w:val="24"/>
                <w:lang w:bidi="ar"/>
              </w:rPr>
              <w:t>认可的情形以外，</w:t>
            </w:r>
            <w:r>
              <w:rPr>
                <w:rFonts w:hint="eastAsia" w:ascii="仿宋" w:hAnsi="仿宋" w:eastAsia="仿宋" w:cs="仿宋"/>
                <w:kern w:val="0"/>
                <w:sz w:val="24"/>
                <w:szCs w:val="24"/>
                <w:lang w:eastAsia="zh-CN" w:bidi="ar"/>
              </w:rPr>
              <w:t>成交供应商</w:t>
            </w:r>
            <w:r>
              <w:rPr>
                <w:rFonts w:hint="eastAsia" w:ascii="仿宋" w:hAnsi="仿宋" w:eastAsia="仿宋" w:cs="仿宋"/>
                <w:kern w:val="0"/>
                <w:sz w:val="24"/>
                <w:szCs w:val="24"/>
                <w:lang w:bidi="ar"/>
              </w:rPr>
              <w:t>不与</w:t>
            </w:r>
            <w:r>
              <w:rPr>
                <w:rFonts w:hint="eastAsia" w:ascii="仿宋" w:hAnsi="仿宋" w:eastAsia="仿宋" w:cs="仿宋"/>
                <w:kern w:val="0"/>
                <w:sz w:val="24"/>
                <w:szCs w:val="24"/>
                <w:lang w:eastAsia="zh-CN" w:bidi="ar"/>
              </w:rPr>
              <w:t>采购</w:t>
            </w:r>
            <w:r>
              <w:rPr>
                <w:rFonts w:hint="eastAsia" w:ascii="仿宋" w:hAnsi="仿宋" w:eastAsia="仿宋" w:cs="仿宋"/>
                <w:kern w:val="0"/>
                <w:sz w:val="24"/>
                <w:szCs w:val="24"/>
                <w:lang w:bidi="ar"/>
              </w:rPr>
              <w:t>人签订合同的；</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（4）</w:t>
            </w:r>
            <w:r>
              <w:rPr>
                <w:rFonts w:hint="eastAsia" w:ascii="仿宋" w:hAnsi="仿宋" w:eastAsia="仿宋" w:cs="仿宋"/>
                <w:kern w:val="0"/>
                <w:sz w:val="24"/>
                <w:szCs w:val="24"/>
                <w:lang w:eastAsia="zh-CN" w:bidi="ar"/>
              </w:rPr>
              <w:t>供应商</w:t>
            </w:r>
            <w:r>
              <w:rPr>
                <w:rFonts w:hint="eastAsia" w:ascii="仿宋" w:hAnsi="仿宋" w:eastAsia="仿宋" w:cs="仿宋"/>
                <w:kern w:val="0"/>
                <w:sz w:val="24"/>
                <w:szCs w:val="24"/>
                <w:lang w:bidi="ar"/>
              </w:rPr>
              <w:t>与</w:t>
            </w:r>
            <w:r>
              <w:rPr>
                <w:rFonts w:hint="eastAsia" w:ascii="仿宋" w:hAnsi="仿宋" w:eastAsia="仿宋" w:cs="仿宋"/>
                <w:kern w:val="0"/>
                <w:sz w:val="24"/>
                <w:szCs w:val="24"/>
                <w:lang w:eastAsia="zh-CN" w:bidi="ar"/>
              </w:rPr>
              <w:t>采购</w:t>
            </w:r>
            <w:r>
              <w:rPr>
                <w:rFonts w:hint="eastAsia" w:ascii="仿宋" w:hAnsi="仿宋" w:eastAsia="仿宋" w:cs="仿宋"/>
                <w:kern w:val="0"/>
                <w:sz w:val="24"/>
                <w:szCs w:val="24"/>
                <w:lang w:bidi="ar"/>
              </w:rPr>
              <w:t>人、其他</w:t>
            </w:r>
            <w:r>
              <w:rPr>
                <w:rFonts w:hint="eastAsia" w:ascii="仿宋" w:hAnsi="仿宋" w:eastAsia="仿宋" w:cs="仿宋"/>
                <w:kern w:val="0"/>
                <w:sz w:val="24"/>
                <w:szCs w:val="24"/>
                <w:lang w:eastAsia="zh-CN" w:bidi="ar"/>
              </w:rPr>
              <w:t>供应商</w:t>
            </w:r>
            <w:r>
              <w:rPr>
                <w:rFonts w:hint="eastAsia" w:ascii="仿宋" w:hAnsi="仿宋" w:eastAsia="仿宋" w:cs="仿宋"/>
                <w:kern w:val="0"/>
                <w:sz w:val="24"/>
                <w:szCs w:val="24"/>
                <w:lang w:bidi="ar"/>
              </w:rPr>
              <w:t>或者</w:t>
            </w:r>
            <w:r>
              <w:rPr>
                <w:rFonts w:hint="eastAsia" w:ascii="仿宋" w:hAnsi="仿宋" w:eastAsia="仿宋" w:cs="仿宋"/>
                <w:kern w:val="0"/>
                <w:sz w:val="24"/>
                <w:szCs w:val="24"/>
                <w:lang w:eastAsia="zh-CN" w:bidi="ar"/>
              </w:rPr>
              <w:t>采购</w:t>
            </w:r>
            <w:r>
              <w:rPr>
                <w:rFonts w:hint="eastAsia" w:ascii="仿宋" w:hAnsi="仿宋" w:eastAsia="仿宋" w:cs="仿宋"/>
                <w:kern w:val="0"/>
                <w:sz w:val="24"/>
                <w:szCs w:val="24"/>
                <w:lang w:bidi="ar"/>
              </w:rPr>
              <w:t>代理机构恶意串通的；</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 xml:space="preserve">  （5）</w:t>
            </w:r>
            <w:r>
              <w:rPr>
                <w:rFonts w:hint="eastAsia" w:ascii="仿宋" w:hAnsi="仿宋" w:eastAsia="仿宋" w:cs="仿宋"/>
                <w:kern w:val="0"/>
                <w:sz w:val="24"/>
                <w:szCs w:val="24"/>
                <w:lang w:val="en-US" w:eastAsia="zh-CN" w:bidi="ar"/>
              </w:rPr>
              <w:t>磋商</w:t>
            </w:r>
            <w:r>
              <w:rPr>
                <w:rFonts w:hint="eastAsia" w:ascii="仿宋" w:hAnsi="仿宋" w:eastAsia="仿宋" w:cs="仿宋"/>
                <w:kern w:val="0"/>
                <w:sz w:val="24"/>
                <w:szCs w:val="24"/>
                <w:lang w:eastAsia="zh-CN" w:bidi="ar"/>
              </w:rPr>
              <w:t>文件</w:t>
            </w:r>
            <w:r>
              <w:rPr>
                <w:rFonts w:hint="eastAsia" w:ascii="仿宋" w:hAnsi="仿宋" w:eastAsia="仿宋" w:cs="仿宋"/>
                <w:kern w:val="0"/>
                <w:sz w:val="24"/>
                <w:szCs w:val="24"/>
                <w:lang w:bidi="ar"/>
              </w:rPr>
              <w:t>规定的其他情形；</w:t>
            </w:r>
          </w:p>
          <w:p>
            <w:pPr>
              <w:spacing w:beforeAutospacing="0" w:afterAutospacing="0" w:line="360" w:lineRule="auto"/>
              <w:ind w:left="420" w:hanging="480" w:hangingChars="200"/>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  （6）符合法律、法规规定的其他情形的。</w:t>
            </w:r>
            <w:r>
              <w:rPr>
                <w:rFonts w:hint="eastAsia" w:ascii="仿宋" w:hAnsi="仿宋" w:eastAsia="仿宋" w:cs="仿宋"/>
                <w:kern w:val="0"/>
                <w:sz w:val="24"/>
                <w:szCs w:val="24"/>
                <w:lang w:val="en-US" w:eastAsia="zh-CN" w:bidi="ar"/>
              </w:rPr>
              <w:t xml:space="preserve"> </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三、加盖公章的</w:t>
            </w:r>
            <w:r>
              <w:rPr>
                <w:rFonts w:hint="eastAsia" w:ascii="仿宋" w:hAnsi="仿宋" w:eastAsia="仿宋" w:cs="仿宋"/>
                <w:kern w:val="0"/>
                <w:sz w:val="24"/>
                <w:szCs w:val="24"/>
                <w:lang w:eastAsia="zh-CN" w:bidi="ar"/>
              </w:rPr>
              <w:t>投标保证金</w:t>
            </w:r>
            <w:r>
              <w:rPr>
                <w:rFonts w:hint="eastAsia" w:ascii="仿宋" w:hAnsi="仿宋" w:eastAsia="仿宋" w:cs="仿宋"/>
                <w:kern w:val="0"/>
                <w:sz w:val="24"/>
                <w:szCs w:val="24"/>
                <w:lang w:bidi="ar"/>
              </w:rPr>
              <w:t>缴纳凭证复印件需装订在</w:t>
            </w:r>
            <w:r>
              <w:rPr>
                <w:rFonts w:hint="eastAsia" w:ascii="仿宋" w:hAnsi="仿宋" w:eastAsia="仿宋" w:cs="仿宋"/>
                <w:kern w:val="0"/>
                <w:sz w:val="24"/>
                <w:szCs w:val="24"/>
                <w:lang w:eastAsia="zh-CN" w:bidi="ar"/>
              </w:rPr>
              <w:t>响应文件</w:t>
            </w:r>
            <w:r>
              <w:rPr>
                <w:rFonts w:hint="eastAsia" w:ascii="仿宋" w:hAnsi="仿宋" w:eastAsia="仿宋" w:cs="仿宋"/>
                <w:kern w:val="0"/>
                <w:sz w:val="24"/>
                <w:szCs w:val="24"/>
                <w:lang w:bidi="ar"/>
              </w:rPr>
              <w:t>中</w:t>
            </w:r>
            <w:r>
              <w:rPr>
                <w:rFonts w:hint="eastAsia" w:ascii="仿宋" w:hAnsi="仿宋" w:eastAsia="仿宋" w:cs="仿宋"/>
                <w:kern w:val="0"/>
                <w:sz w:val="24"/>
                <w:szCs w:val="24"/>
                <w:lang w:eastAsia="zh-CN" w:bidi="ar"/>
              </w:rPr>
              <w:t>相应位置</w:t>
            </w:r>
            <w:r>
              <w:rPr>
                <w:rFonts w:hint="eastAsia" w:ascii="仿宋" w:hAnsi="仿宋" w:eastAsia="仿宋" w:cs="仿宋"/>
                <w:kern w:val="0"/>
                <w:sz w:val="24"/>
                <w:szCs w:val="24"/>
                <w:lang w:bidi="ar"/>
              </w:rPr>
              <w:t>。</w:t>
            </w:r>
          </w:p>
          <w:p>
            <w:pPr>
              <w:pStyle w:val="43"/>
              <w:spacing w:line="360" w:lineRule="auto"/>
              <w:ind w:firstLine="420" w:firstLineChars="0"/>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注：供应商未按照采购文件要求缴纳投标保证金的，其投标将被拒绝。</w:t>
            </w:r>
          </w:p>
          <w:p>
            <w:pPr>
              <w:spacing w:line="360" w:lineRule="auto"/>
              <w:ind w:firstLine="482" w:firstLineChars="200"/>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特别提示：投标保证金以电汇、网银转账方式缴纳的，必须通过投标人的基本账户转出，转出账户名称必须与投标人名称一致</w:t>
            </w:r>
            <w:r>
              <w:rPr>
                <w:rFonts w:hint="eastAsia" w:ascii="仿宋" w:hAnsi="仿宋" w:eastAsia="仿宋" w:cs="仿宋"/>
                <w:b/>
                <w:bCs/>
                <w:kern w:val="0"/>
                <w:sz w:val="24"/>
                <w:szCs w:val="24"/>
                <w:lang w:eastAsia="zh-CN" w:bidi="ar"/>
              </w:rPr>
              <w:t>，</w:t>
            </w:r>
            <w:r>
              <w:rPr>
                <w:rFonts w:hint="eastAsia" w:ascii="仿宋" w:hAnsi="仿宋" w:eastAsia="仿宋" w:cs="仿宋"/>
                <w:b/>
                <w:bCs/>
                <w:kern w:val="0"/>
                <w:sz w:val="24"/>
                <w:szCs w:val="24"/>
                <w:lang w:bidi="ar"/>
              </w:rPr>
              <w:t>且在投标文件递交截止时间前确保到达代理公司账户，投标人应充分考虑在途时间。基本开户许可证或者基本存款账户信息、电汇、网银缴纳凭证须附入投标文件中，未按照采购文件要求提交保证金的，其投标文件将被拒绝；</w:t>
            </w:r>
          </w:p>
          <w:p>
            <w:pPr>
              <w:pStyle w:val="43"/>
              <w:spacing w:line="360" w:lineRule="auto"/>
              <w:ind w:left="0" w:leftChars="0" w:firstLine="482" w:firstLineChars="200"/>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如投标人保证金的形式为银行保函，银行保函有效期不小于投标有效期 90 天，须将有效期内的银行保函扫描件加盖单位公章附入投标文件中，如银行保函的有效期少于投标有效期90天的，其银行保函无效且投标文件作废标处理。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是否接受联合体投标</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不接受/</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分包</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00FE"/>
            </w:r>
            <w:r>
              <w:rPr>
                <w:rFonts w:hint="eastAsia" w:ascii="仿宋" w:hAnsi="仿宋" w:eastAsia="仿宋" w:cs="仿宋"/>
                <w:color w:val="000000"/>
                <w:sz w:val="24"/>
                <w:szCs w:val="24"/>
              </w:rPr>
              <w:t>不允许/</w:t>
            </w:r>
            <w:r>
              <w:rPr>
                <w:rFonts w:hint="eastAsia" w:ascii="仿宋" w:hAnsi="仿宋" w:eastAsia="仿宋" w:cs="仿宋"/>
                <w:color w:val="000000"/>
                <w:sz w:val="24"/>
                <w:szCs w:val="24"/>
              </w:rPr>
              <w:sym w:font="Wingdings" w:char="00A8"/>
            </w:r>
            <w:r>
              <w:rPr>
                <w:rFonts w:hint="eastAsia" w:ascii="仿宋" w:hAnsi="仿宋" w:eastAsia="仿宋" w:cs="仿宋"/>
                <w:color w:val="000000"/>
                <w:sz w:val="24"/>
                <w:szCs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15</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响应文件递交截止时间及开标时间</w:t>
            </w:r>
          </w:p>
        </w:tc>
        <w:tc>
          <w:tcPr>
            <w:tcW w:w="6253" w:type="dxa"/>
            <w:vAlign w:val="center"/>
          </w:tcPr>
          <w:p>
            <w:pPr>
              <w:pStyle w:val="29"/>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采用不见面开标：</w:t>
            </w:r>
            <w:bookmarkStart w:id="229" w:name="_GoBack"/>
            <w:bookmarkEnd w:id="229"/>
          </w:p>
          <w:p>
            <w:pPr>
              <w:pStyle w:val="29"/>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开标时间：2023年10月11日 11：00 (北京时间)</w:t>
            </w:r>
          </w:p>
          <w:p>
            <w:pPr>
              <w:pStyle w:val="29"/>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开标地点：新疆政府采购网</w:t>
            </w:r>
          </w:p>
          <w:p>
            <w:pPr>
              <w:pStyle w:val="29"/>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(http://www.ccgp-xinjiang.gov.cn) 政采云线上平台。</w:t>
            </w:r>
          </w:p>
          <w:p>
            <w:pPr>
              <w:pStyle w:val="29"/>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不见面开标默认解密时长：30 分钟</w:t>
            </w:r>
          </w:p>
          <w:p>
            <w:pPr>
              <w:spacing w:beforeAutospacing="0" w:afterAutospacing="0"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注：如因供应商自身原因导致在规定时间内无法正常解密的 (如：浏览器故障、未安装相关驱动、网络故障、加密 CA与解密CA不一致等) ，采购中心/代理机构不予异常处理，视为供应商自动弃标。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16</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响应文件</w:t>
            </w:r>
          </w:p>
        </w:tc>
        <w:tc>
          <w:tcPr>
            <w:tcW w:w="6253" w:type="dxa"/>
            <w:vAlign w:val="center"/>
          </w:tcPr>
          <w:p>
            <w:pPr>
              <w:spacing w:beforeAutospacing="0" w:afterAutospacing="0" w:line="360" w:lineRule="auto"/>
              <w:rPr>
                <w:rFonts w:hint="eastAsia" w:ascii="仿宋" w:hAnsi="仿宋" w:eastAsia="仿宋" w:cs="仿宋"/>
                <w:kern w:val="2"/>
                <w:sz w:val="24"/>
                <w:szCs w:val="24"/>
                <w:lang w:val="en-US" w:eastAsia="zh-CN" w:bidi="ar-SA"/>
              </w:rPr>
            </w:pPr>
            <w:r>
              <w:rPr>
                <w:rFonts w:hint="eastAsia" w:ascii="仿宋" w:hAnsi="仿宋" w:eastAsia="仿宋" w:cs="仿宋"/>
                <w:color w:val="000000"/>
                <w:sz w:val="24"/>
                <w:szCs w:val="24"/>
                <w:lang w:eastAsia="zh-CN"/>
              </w:rPr>
              <w:t>1、本项目实行网上投标，采用电子投标文件； 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 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 4、供应商应当在磋商截止时间前,将生成的“电子加密响应文件”上传递交至“政府采购云平台”,磋商截止时间以后上传递交的响应文件将被“政府采购云平台”拒收。5、供应商在磋商前须提前配置好电脑浏览器（建议使用360浏览器或谷歌浏览器）,磋商时请使用制作加密电子响应文件的CA锁进行解密及报价确认。本项目响应文件解密时间定为30分钟内,如因自身原因导致无法正常解密,后果由供应商自行承担。6、供应商登录政采云平台，在磋商时间后 30 分钟内用“项目采购-开标评标”功能进行解密响应文件。若供应商在规定时间内（未按时解密的，视为无效磋商。解密与加密响应文件须使用同一个 CA。 中小企业划分标准依据《工业和信息化部、国家统计局、国家发展和改革委员会、财政部关于印发中小企业划型标准规定的通知》（工信部联企业〔2011〕300号）规定。本项目采购标的对应的中小企业划分标准所属行业为其他未列明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17</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投标报价</w:t>
            </w:r>
          </w:p>
        </w:tc>
        <w:tc>
          <w:tcPr>
            <w:tcW w:w="6253" w:type="dxa"/>
            <w:vAlign w:val="center"/>
          </w:tcPr>
          <w:p>
            <w:pPr>
              <w:spacing w:beforeAutospacing="0" w:afterAutospacing="0" w:line="36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的报价明显低于其他通过符合性审查</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的报价，有可能影响质量或者不能诚信履约的，</w:t>
            </w:r>
            <w:r>
              <w:rPr>
                <w:rFonts w:hint="eastAsia" w:ascii="仿宋" w:hAnsi="仿宋" w:eastAsia="仿宋" w:cs="仿宋"/>
                <w:color w:val="000000"/>
                <w:sz w:val="24"/>
                <w:szCs w:val="24"/>
                <w:lang w:val="en-US" w:eastAsia="zh-CN"/>
              </w:rPr>
              <w:t>供应商应</w:t>
            </w:r>
            <w:r>
              <w:rPr>
                <w:rFonts w:hint="eastAsia" w:ascii="仿宋" w:hAnsi="仿宋" w:eastAsia="仿宋" w:cs="仿宋"/>
                <w:color w:val="000000"/>
                <w:sz w:val="24"/>
                <w:szCs w:val="24"/>
              </w:rPr>
              <w:t>在评标现场合理的时间内提供书面说明，必要时提交相关证明材料；</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不能证明其报价合理性的，</w:t>
            </w:r>
            <w:r>
              <w:rPr>
                <w:rFonts w:hint="eastAsia" w:ascii="仿宋" w:hAnsi="仿宋" w:eastAsia="仿宋" w:cs="仿宋"/>
                <w:color w:val="000000"/>
                <w:sz w:val="24"/>
                <w:szCs w:val="24"/>
                <w:lang w:eastAsia="zh-CN"/>
              </w:rPr>
              <w:t>自行承担相关责任</w:t>
            </w:r>
            <w:r>
              <w:rPr>
                <w:rFonts w:hint="eastAsia" w:ascii="仿宋" w:hAnsi="仿宋" w:eastAsia="仿宋" w:cs="仿宋"/>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18</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踏勘现场</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F0FE"/>
            </w:r>
            <w:r>
              <w:rPr>
                <w:rFonts w:hint="eastAsia" w:ascii="仿宋" w:hAnsi="仿宋" w:eastAsia="仿宋" w:cs="仿宋"/>
                <w:color w:val="000000"/>
                <w:sz w:val="24"/>
                <w:szCs w:val="24"/>
              </w:rPr>
              <w:t>不组织，</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自行踏勘，无论</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对现场考察与否，都将被视为熟悉履行合同有关的一切情况。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19</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投标答疑会</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F0FE"/>
            </w:r>
            <w:r>
              <w:rPr>
                <w:rFonts w:hint="eastAsia" w:ascii="仿宋" w:hAnsi="仿宋" w:eastAsia="仿宋" w:cs="仿宋"/>
                <w:color w:val="000000"/>
                <w:sz w:val="24"/>
                <w:szCs w:val="24"/>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提出问题或要求</w:t>
            </w:r>
          </w:p>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澄清</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的截止时间</w:t>
            </w:r>
          </w:p>
        </w:tc>
        <w:tc>
          <w:tcPr>
            <w:tcW w:w="6253" w:type="dxa"/>
            <w:vAlign w:val="center"/>
          </w:tcPr>
          <w:p>
            <w:pPr>
              <w:spacing w:beforeAutospacing="0" w:afterAutospacing="0" w:line="36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应当在知道或应当知道（即收到采购文件之日或者采购文件公告期限届满之日）其权益受到损害之日起七个工作日内书面提出。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21</w:t>
            </w:r>
          </w:p>
        </w:tc>
        <w:tc>
          <w:tcPr>
            <w:tcW w:w="1463" w:type="dxa"/>
            <w:vAlign w:val="center"/>
          </w:tcPr>
          <w:p>
            <w:pPr>
              <w:spacing w:beforeAutospacing="0" w:afterAutospacing="0" w:line="360" w:lineRule="auto"/>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近年财务状况年份要求</w:t>
            </w:r>
          </w:p>
        </w:tc>
        <w:tc>
          <w:tcPr>
            <w:tcW w:w="6253" w:type="dxa"/>
            <w:vAlign w:val="center"/>
          </w:tcPr>
          <w:p>
            <w:pPr>
              <w:pStyle w:val="39"/>
              <w:spacing w:beforeAutospacing="0" w:afterAutospacing="0" w:line="360" w:lineRule="auto"/>
              <w:ind w:left="0" w:firstLine="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2022</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度，新成立企业无需提供。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22</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投标有效期</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从开标之日起</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23</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的组建</w:t>
            </w:r>
          </w:p>
        </w:tc>
        <w:tc>
          <w:tcPr>
            <w:tcW w:w="6253" w:type="dxa"/>
            <w:vAlign w:val="center"/>
          </w:tcPr>
          <w:p>
            <w:pPr>
              <w:spacing w:beforeAutospacing="0" w:afterAutospacing="0" w:line="360" w:lineRule="auto"/>
              <w:rPr>
                <w:rFonts w:hint="eastAsia" w:ascii="仿宋" w:hAnsi="仿宋" w:eastAsia="仿宋" w:cs="仿宋"/>
                <w:sz w:val="24"/>
                <w:szCs w:val="24"/>
              </w:rPr>
            </w:pPr>
            <w:r>
              <w:rPr>
                <w:rFonts w:hint="eastAsia" w:ascii="仿宋" w:hAnsi="仿宋" w:eastAsia="仿宋" w:cs="仿宋"/>
                <w:sz w:val="24"/>
                <w:szCs w:val="24"/>
              </w:rPr>
              <w:t>评标委员会构成：</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24</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评标办法</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25</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是否授权</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确定</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w:t>
            </w:r>
          </w:p>
        </w:tc>
        <w:tc>
          <w:tcPr>
            <w:tcW w:w="6253" w:type="dxa"/>
            <w:vAlign w:val="center"/>
          </w:tcPr>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sym w:font="Wingdings" w:char="F0FE"/>
            </w:r>
            <w:r>
              <w:rPr>
                <w:rFonts w:hint="eastAsia" w:ascii="仿宋" w:hAnsi="仿宋" w:eastAsia="仿宋" w:cs="仿宋"/>
                <w:color w:val="000000"/>
                <w:sz w:val="24"/>
                <w:szCs w:val="24"/>
              </w:rPr>
              <w:t>否，推荐3名</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26</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履约保证金</w:t>
            </w:r>
          </w:p>
        </w:tc>
        <w:tc>
          <w:tcPr>
            <w:tcW w:w="6253" w:type="dxa"/>
            <w:vAlign w:val="center"/>
          </w:tcPr>
          <w:p>
            <w:pPr>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27</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代理服务费</w:t>
            </w:r>
          </w:p>
        </w:tc>
        <w:tc>
          <w:tcPr>
            <w:tcW w:w="6253" w:type="dxa"/>
            <w:vAlign w:val="center"/>
          </w:tcPr>
          <w:p>
            <w:pPr>
              <w:spacing w:beforeAutospacing="0" w:afterAutospacing="0" w:line="36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代理服务费</w:t>
            </w:r>
            <w:r>
              <w:rPr>
                <w:rFonts w:hint="eastAsia" w:ascii="仿宋" w:hAnsi="仿宋" w:eastAsia="仿宋" w:cs="仿宋"/>
                <w:bCs/>
                <w:color w:val="000000"/>
                <w:sz w:val="24"/>
                <w:szCs w:val="24"/>
                <w:lang w:val="en-US" w:eastAsia="zh-CN"/>
              </w:rPr>
              <w:t>按照《招标代理服务收费管理暂行办法》(国家发展计划委员会计价格〔2002〕1980号文)计算</w:t>
            </w:r>
            <w:r>
              <w:rPr>
                <w:rFonts w:hint="eastAsia" w:ascii="仿宋" w:hAnsi="仿宋" w:eastAsia="仿宋" w:cs="仿宋"/>
                <w:bCs/>
                <w:sz w:val="24"/>
                <w:szCs w:val="24"/>
              </w:rPr>
              <w:t>，由中标单位支付。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28</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付款方式</w:t>
            </w:r>
          </w:p>
        </w:tc>
        <w:tc>
          <w:tcPr>
            <w:tcW w:w="6253" w:type="dxa"/>
            <w:vAlign w:val="center"/>
          </w:tcPr>
          <w:p>
            <w:pPr>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以最终签订为准。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29</w:t>
            </w:r>
          </w:p>
        </w:tc>
        <w:tc>
          <w:tcPr>
            <w:tcW w:w="1463" w:type="dxa"/>
            <w:vAlign w:val="center"/>
          </w:tcPr>
          <w:p>
            <w:pPr>
              <w:spacing w:beforeAutospacing="0" w:afterAutospacing="0"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w:t>
            </w:r>
          </w:p>
        </w:tc>
        <w:tc>
          <w:tcPr>
            <w:tcW w:w="6253" w:type="dxa"/>
            <w:vAlign w:val="center"/>
          </w:tcPr>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注意事项：</w:t>
            </w:r>
          </w:p>
          <w:p>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后）报价。因供应商自身原因未在系统内及时填报二次报价的，其责任由供应商承担。</w:t>
            </w:r>
          </w:p>
          <w:p>
            <w:pPr>
              <w:spacing w:beforeAutospacing="0" w:afterAutospacing="0"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示：开标/磋商时，请供应商随时关注政采云账号内的站内信；注册时留下的注册人的手机短息（系统会推送短信至注册联系人的手机），但此短信仅系友情提示，并不具有任何约束性和必要性，采购代理机构不承担投标人未收到短信而引起的一切后果和法律责任。</w:t>
            </w:r>
          </w:p>
        </w:tc>
      </w:tr>
    </w:tbl>
    <w:p>
      <w:pPr>
        <w:pStyle w:val="18"/>
        <w:spacing w:beforeAutospacing="0" w:afterAutospacing="0" w:line="400" w:lineRule="exact"/>
        <w:jc w:val="center"/>
        <w:outlineLvl w:val="9"/>
        <w:rPr>
          <w:rFonts w:hint="eastAsia" w:ascii="仿宋" w:hAnsi="仿宋" w:eastAsia="仿宋" w:cs="仿宋"/>
          <w:bCs w:val="0"/>
          <w:color w:val="000000"/>
          <w:sz w:val="24"/>
          <w:szCs w:val="24"/>
        </w:rPr>
      </w:pPr>
    </w:p>
    <w:p>
      <w:pPr>
        <w:pStyle w:val="18"/>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br w:type="page"/>
      </w:r>
      <w:r>
        <w:rPr>
          <w:rFonts w:hint="eastAsia" w:ascii="仿宋" w:hAnsi="仿宋" w:eastAsia="仿宋" w:cs="仿宋"/>
          <w:bCs w:val="0"/>
          <w:color w:val="000000"/>
          <w:sz w:val="24"/>
          <w:szCs w:val="24"/>
        </w:rPr>
        <w:t>二、总  则</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87" w:name="_Toc183682342"/>
      <w:bookmarkEnd w:id="87"/>
      <w:bookmarkStart w:id="88" w:name="_Toc183582205"/>
      <w:bookmarkEnd w:id="88"/>
      <w:bookmarkStart w:id="89" w:name="_Toc217446034"/>
      <w:bookmarkEnd w:id="89"/>
      <w:r>
        <w:rPr>
          <w:rFonts w:hint="eastAsia" w:ascii="仿宋" w:hAnsi="仿宋" w:eastAsia="仿宋" w:cs="仿宋"/>
          <w:color w:val="000000"/>
          <w:sz w:val="24"/>
          <w:szCs w:val="24"/>
        </w:rPr>
        <w:t>1. 适用范围</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 本</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仅适用于本次</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项目。</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90" w:name="_Toc183682343"/>
      <w:bookmarkEnd w:id="90"/>
      <w:bookmarkStart w:id="91" w:name="_Toc183582206"/>
      <w:bookmarkEnd w:id="91"/>
      <w:bookmarkStart w:id="92" w:name="_Toc217446035"/>
      <w:bookmarkEnd w:id="92"/>
      <w:r>
        <w:rPr>
          <w:rFonts w:hint="eastAsia" w:ascii="仿宋" w:hAnsi="仿宋" w:eastAsia="仿宋" w:cs="仿宋"/>
          <w:color w:val="000000"/>
          <w:sz w:val="24"/>
          <w:szCs w:val="24"/>
        </w:rPr>
        <w:t>2. 有关定义</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2.1 “采购人”系指依法进行政府采购的国家机关、事业单位、团体组织。本</w:t>
      </w:r>
      <w:r>
        <w:rPr>
          <w:rFonts w:hint="eastAsia" w:ascii="仿宋" w:hAnsi="仿宋" w:eastAsia="仿宋" w:cs="仿宋"/>
          <w:color w:val="000000"/>
          <w:sz w:val="24"/>
          <w:szCs w:val="24"/>
          <w:lang w:eastAsia="zh-CN"/>
        </w:rPr>
        <w:t>项目</w:t>
      </w:r>
      <w:r>
        <w:rPr>
          <w:rFonts w:hint="eastAsia" w:ascii="仿宋" w:hAnsi="仿宋" w:eastAsia="仿宋" w:cs="仿宋"/>
          <w:color w:val="000000"/>
          <w:sz w:val="24"/>
          <w:szCs w:val="24"/>
        </w:rPr>
        <w:t xml:space="preserve">采购人是 </w:t>
      </w:r>
      <w:r>
        <w:rPr>
          <w:rFonts w:hint="eastAsia" w:ascii="仿宋" w:hAnsi="仿宋" w:eastAsia="仿宋" w:cs="仿宋"/>
          <w:color w:val="000000"/>
          <w:sz w:val="24"/>
          <w:szCs w:val="24"/>
          <w:lang w:val="en-US" w:eastAsia="zh-CN"/>
        </w:rPr>
        <w:t>乌鲁木齐市米东区卡子湾片区管理委员会</w:t>
      </w:r>
      <w:r>
        <w:rPr>
          <w:rFonts w:hint="eastAsia" w:ascii="仿宋" w:hAnsi="仿宋" w:eastAsia="仿宋" w:cs="仿宋"/>
          <w:color w:val="000000"/>
          <w:sz w:val="24"/>
          <w:szCs w:val="24"/>
        </w:rPr>
        <w:t>。</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2.2 “采购代理机构”系指根据采购人的委托依法办理</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事宜的采购机构。本次</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 xml:space="preserve">的采购代理机构是 </w:t>
      </w:r>
      <w:r>
        <w:rPr>
          <w:rFonts w:hint="eastAsia" w:ascii="仿宋" w:hAnsi="仿宋" w:eastAsia="仿宋" w:cs="仿宋"/>
          <w:color w:val="000000"/>
          <w:sz w:val="24"/>
          <w:szCs w:val="24"/>
          <w:lang w:eastAsia="zh-CN"/>
        </w:rPr>
        <w:t>新疆凯智工程管理咨询有限责任公司</w:t>
      </w:r>
      <w:r>
        <w:rPr>
          <w:rFonts w:hint="eastAsia" w:ascii="仿宋" w:hAnsi="仿宋" w:eastAsia="仿宋" w:cs="仿宋"/>
          <w:color w:val="000000"/>
          <w:sz w:val="24"/>
          <w:szCs w:val="24"/>
        </w:rPr>
        <w:t>。</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2.3 “采购单位”系指“采购人”和“采购代理机构”的统称。</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2.4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”系指购买了</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拟参加投标和向采购人提供服务的供应商。</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93" w:name="_Toc217390843"/>
      <w:bookmarkEnd w:id="93"/>
      <w:bookmarkStart w:id="94" w:name="_Toc183682344"/>
      <w:bookmarkEnd w:id="94"/>
      <w:bookmarkStart w:id="95" w:name="_Toc183582207"/>
      <w:bookmarkEnd w:id="95"/>
      <w:bookmarkStart w:id="96" w:name="_Toc217446036"/>
      <w:bookmarkEnd w:id="96"/>
      <w:r>
        <w:rPr>
          <w:rFonts w:hint="eastAsia" w:ascii="仿宋" w:hAnsi="仿宋" w:eastAsia="仿宋" w:cs="仿宋"/>
          <w:color w:val="000000"/>
          <w:sz w:val="24"/>
          <w:szCs w:val="24"/>
        </w:rPr>
        <w:t>3. 合格的</w:t>
      </w:r>
      <w:r>
        <w:rPr>
          <w:rFonts w:hint="eastAsia" w:ascii="仿宋" w:hAnsi="仿宋" w:eastAsia="仿宋" w:cs="仿宋"/>
          <w:color w:val="000000"/>
          <w:sz w:val="24"/>
          <w:szCs w:val="24"/>
          <w:lang w:eastAsia="zh-CN"/>
        </w:rPr>
        <w:t>供应商</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合格的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应具备以下条件：</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（1）本</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磋商邀请</w:t>
      </w:r>
      <w:r>
        <w:rPr>
          <w:rFonts w:hint="eastAsia" w:ascii="仿宋" w:hAnsi="仿宋" w:eastAsia="仿宋" w:cs="仿宋"/>
          <w:color w:val="000000"/>
          <w:sz w:val="24"/>
          <w:szCs w:val="24"/>
        </w:rPr>
        <w:t>”第</w:t>
      </w:r>
      <w:r>
        <w:rPr>
          <w:rFonts w:hint="eastAsia" w:ascii="仿宋" w:hAnsi="仿宋" w:eastAsia="仿宋" w:cs="仿宋"/>
          <w:color w:val="000000"/>
          <w:sz w:val="24"/>
          <w:szCs w:val="24"/>
          <w:lang w:val="en-US" w:eastAsia="zh-CN"/>
        </w:rPr>
        <w:t>四</w:t>
      </w:r>
      <w:r>
        <w:rPr>
          <w:rFonts w:hint="eastAsia" w:ascii="仿宋" w:hAnsi="仿宋" w:eastAsia="仿宋" w:cs="仿宋"/>
          <w:color w:val="000000"/>
          <w:sz w:val="24"/>
          <w:szCs w:val="24"/>
        </w:rPr>
        <w:t>条规定的条件</w:t>
      </w:r>
      <w:r>
        <w:rPr>
          <w:rFonts w:hint="eastAsia" w:ascii="仿宋" w:hAnsi="仿宋" w:eastAsia="仿宋" w:cs="仿宋"/>
          <w:color w:val="000000"/>
          <w:spacing w:val="-4"/>
          <w:sz w:val="24"/>
          <w:szCs w:val="24"/>
        </w:rPr>
        <w:t>；</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（2）遵守国家有关的法律、法规、规章和其他政策制度；</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（3）向采购代理机构购买了</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并登记。</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97" w:name="_Toc217446037"/>
      <w:bookmarkEnd w:id="97"/>
      <w:bookmarkStart w:id="98" w:name="_Toc183582208"/>
      <w:bookmarkEnd w:id="98"/>
      <w:bookmarkStart w:id="99" w:name="_Toc183682345"/>
      <w:bookmarkEnd w:id="99"/>
      <w:r>
        <w:rPr>
          <w:rFonts w:hint="eastAsia" w:ascii="仿宋" w:hAnsi="仿宋" w:eastAsia="仿宋" w:cs="仿宋"/>
          <w:color w:val="000000"/>
          <w:sz w:val="24"/>
          <w:szCs w:val="24"/>
        </w:rPr>
        <w:t>4. 投标费用</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参加投标的有关费用由</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自行承担。</w:t>
      </w:r>
    </w:p>
    <w:p>
      <w:pPr>
        <w:pStyle w:val="18"/>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bCs w:val="0"/>
          <w:color w:val="000000"/>
          <w:sz w:val="24"/>
          <w:szCs w:val="24"/>
        </w:rPr>
      </w:pPr>
      <w:bookmarkStart w:id="100" w:name="_Toc89075875"/>
      <w:bookmarkEnd w:id="100"/>
      <w:bookmarkStart w:id="101" w:name="_Toc183582209"/>
      <w:bookmarkEnd w:id="101"/>
      <w:bookmarkStart w:id="102" w:name="_Toc77400779"/>
      <w:bookmarkEnd w:id="102"/>
      <w:bookmarkStart w:id="103" w:name="_Toc183682346"/>
      <w:bookmarkEnd w:id="103"/>
      <w:bookmarkStart w:id="104" w:name="_Toc217446038"/>
      <w:bookmarkEnd w:id="104"/>
      <w:r>
        <w:rPr>
          <w:rFonts w:hint="eastAsia" w:ascii="仿宋" w:hAnsi="仿宋" w:eastAsia="仿宋" w:cs="仿宋"/>
          <w:bCs w:val="0"/>
          <w:color w:val="000000"/>
          <w:sz w:val="24"/>
          <w:szCs w:val="24"/>
        </w:rPr>
        <w:t>三、</w:t>
      </w:r>
      <w:r>
        <w:rPr>
          <w:rFonts w:hint="eastAsia" w:ascii="仿宋" w:hAnsi="仿宋" w:eastAsia="仿宋" w:cs="仿宋"/>
          <w:bCs w:val="0"/>
          <w:color w:val="000000"/>
          <w:sz w:val="24"/>
          <w:szCs w:val="24"/>
          <w:lang w:eastAsia="zh-CN"/>
        </w:rPr>
        <w:t>磋商文件</w:t>
      </w:r>
    </w:p>
    <w:p>
      <w:pPr>
        <w:pStyle w:val="19"/>
        <w:pageBreakBefore w:val="0"/>
        <w:widowControl w:val="0"/>
        <w:kinsoku/>
        <w:wordWrap/>
        <w:overflowPunct/>
        <w:topLinePunct w:val="0"/>
        <w:autoSpaceDE/>
        <w:autoSpaceDN/>
        <w:bidi w:val="0"/>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05" w:name="_Toc183582210"/>
      <w:bookmarkEnd w:id="105"/>
      <w:bookmarkStart w:id="106" w:name="_Toc217446039"/>
      <w:bookmarkEnd w:id="106"/>
      <w:bookmarkStart w:id="107" w:name="_Toc183682347"/>
      <w:bookmarkEnd w:id="107"/>
      <w:r>
        <w:rPr>
          <w:rFonts w:hint="eastAsia" w:ascii="仿宋" w:hAnsi="仿宋" w:eastAsia="仿宋" w:cs="仿宋"/>
          <w:color w:val="000000"/>
          <w:sz w:val="24"/>
          <w:szCs w:val="24"/>
        </w:rPr>
        <w:t>6．</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的构成</w:t>
      </w:r>
    </w:p>
    <w:p>
      <w:pPr>
        <w:pageBreakBefore w:val="0"/>
        <w:widowControl w:val="0"/>
        <w:tabs>
          <w:tab w:val="left" w:pos="720"/>
        </w:tabs>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 xml:space="preserve">1 </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是供应商准备</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和参加投标的依据，同时也是评标的重要依据，具有准法律文件性质。</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用以阐明</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项目所需的资质、技术、服务及报价等要求、</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程序、有关规定和注意事项以及合同主要条款等。本</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包括以下内容：</w:t>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）磋商邀请</w:t>
      </w:r>
      <w:r>
        <w:rPr>
          <w:rFonts w:hint="eastAsia" w:ascii="仿宋" w:hAnsi="仿宋" w:eastAsia="仿宋" w:cs="仿宋"/>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须知</w:t>
      </w:r>
      <w:r>
        <w:rPr>
          <w:rFonts w:hint="eastAsia" w:ascii="仿宋" w:hAnsi="仿宋" w:eastAsia="仿宋" w:cs="仿宋"/>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格式</w:t>
      </w:r>
      <w:r>
        <w:rPr>
          <w:rFonts w:hint="eastAsia" w:ascii="仿宋" w:hAnsi="仿宋" w:eastAsia="仿宋" w:cs="仿宋"/>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的资格要求</w:t>
      </w:r>
      <w:r>
        <w:rPr>
          <w:rFonts w:hint="eastAsia" w:ascii="仿宋" w:hAnsi="仿宋" w:eastAsia="仿宋" w:cs="仿宋"/>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采购项目采购需求</w:t>
      </w:r>
      <w:r>
        <w:rPr>
          <w:rFonts w:hint="eastAsia" w:ascii="仿宋" w:hAnsi="仿宋" w:eastAsia="仿宋" w:cs="仿宋"/>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评标办法</w:t>
      </w:r>
      <w:r>
        <w:rPr>
          <w:rFonts w:hint="eastAsia" w:ascii="仿宋" w:hAnsi="仿宋" w:eastAsia="仿宋" w:cs="仿宋"/>
          <w:color w:val="000000"/>
          <w:sz w:val="24"/>
          <w:szCs w:val="24"/>
        </w:rPr>
        <w:tab/>
      </w:r>
    </w:p>
    <w:p>
      <w:pPr>
        <w:keepNext w:val="0"/>
        <w:keepLines w:val="0"/>
        <w:pageBreakBefore w:val="0"/>
        <w:widowControl w:val="0"/>
        <w:numPr>
          <w:ilvl w:val="0"/>
          <w:numId w:val="0"/>
        </w:numPr>
        <w:tabs>
          <w:tab w:val="left" w:pos="0"/>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合同主要条款</w:t>
      </w:r>
      <w:r>
        <w:rPr>
          <w:rFonts w:hint="eastAsia" w:ascii="仿宋" w:hAnsi="仿宋" w:eastAsia="仿宋" w:cs="仿宋"/>
          <w:color w:val="000000"/>
          <w:sz w:val="24"/>
          <w:szCs w:val="24"/>
        </w:rPr>
        <w:tab/>
      </w:r>
    </w:p>
    <w:p>
      <w:pPr>
        <w:pageBreakBefore w:val="0"/>
        <w:widowControl w:val="0"/>
        <w:tabs>
          <w:tab w:val="left" w:pos="7665"/>
        </w:tabs>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 xml:space="preserve">2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应认真阅读和充分理解</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中所有的事项、格式条款和规范要求。</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没有对</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全面做出实质性响应是</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的风险。没有按照</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要求作出实质性响应的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将被拒绝。</w:t>
      </w:r>
    </w:p>
    <w:p>
      <w:pPr>
        <w:pStyle w:val="19"/>
        <w:pageBreakBefore w:val="0"/>
        <w:widowControl w:val="0"/>
        <w:kinsoku/>
        <w:wordWrap/>
        <w:overflowPunct/>
        <w:topLinePunct w:val="0"/>
        <w:autoSpaceDE/>
        <w:autoSpaceDN/>
        <w:bidi w:val="0"/>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08" w:name="_Toc183582211"/>
      <w:bookmarkEnd w:id="108"/>
      <w:bookmarkStart w:id="109" w:name="_Toc217446040"/>
      <w:bookmarkEnd w:id="109"/>
      <w:bookmarkStart w:id="110" w:name="_Toc183682348"/>
      <w:bookmarkEnd w:id="110"/>
      <w:r>
        <w:rPr>
          <w:rFonts w:hint="eastAsia" w:ascii="仿宋" w:hAnsi="仿宋" w:eastAsia="仿宋" w:cs="仿宋"/>
          <w:color w:val="000000"/>
          <w:sz w:val="24"/>
          <w:szCs w:val="24"/>
        </w:rPr>
        <w:t xml:space="preserve">7. </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的澄清和修改</w:t>
      </w:r>
    </w:p>
    <w:p>
      <w:pPr>
        <w:pageBreakBefore w:val="0"/>
        <w:widowControl w:val="0"/>
        <w:tabs>
          <w:tab w:val="left" w:pos="720"/>
        </w:tabs>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7.1 在投标截止时间前，采购单位无论出于何种原因，可以对</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进行澄清或者修改。</w:t>
      </w:r>
    </w:p>
    <w:p>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7.2 采购单位对已发出的</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进行澄清或者修改，将在</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要求的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lang w:val="en-US" w:eastAsia="zh-CN"/>
        </w:rPr>
        <w:t>递交</w:t>
      </w:r>
      <w:r>
        <w:rPr>
          <w:rFonts w:hint="eastAsia" w:ascii="仿宋" w:hAnsi="仿宋" w:eastAsia="仿宋" w:cs="仿宋"/>
          <w:color w:val="000000"/>
          <w:sz w:val="24"/>
          <w:szCs w:val="24"/>
        </w:rPr>
        <w:t>截止时间五日前进行，并以书面</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或公告</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形式将澄清或者修改的内容通知所有</w:t>
      </w:r>
      <w:r>
        <w:rPr>
          <w:rFonts w:hint="eastAsia" w:ascii="仿宋" w:hAnsi="仿宋" w:eastAsia="仿宋" w:cs="仿宋"/>
          <w:color w:val="000000"/>
          <w:sz w:val="24"/>
          <w:szCs w:val="24"/>
          <w:lang w:val="en-US" w:eastAsia="zh-CN"/>
        </w:rPr>
        <w:t>获取</w:t>
      </w:r>
      <w:r>
        <w:rPr>
          <w:rFonts w:hint="eastAsia" w:ascii="仿宋" w:hAnsi="仿宋" w:eastAsia="仿宋" w:cs="仿宋"/>
          <w:color w:val="000000"/>
          <w:sz w:val="24"/>
          <w:szCs w:val="24"/>
        </w:rPr>
        <w:t>了</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的供应商。该澄清或者修改的内容为</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的组成部分。</w:t>
      </w:r>
    </w:p>
    <w:p>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 xml:space="preserve">3 </w:t>
      </w:r>
      <w:r>
        <w:rPr>
          <w:rFonts w:hint="eastAsia" w:ascii="仿宋" w:hAnsi="仿宋" w:eastAsia="仿宋" w:cs="仿宋"/>
          <w:color w:val="000000"/>
          <w:sz w:val="24"/>
          <w:szCs w:val="24"/>
          <w:lang w:eastAsia="zh-CN"/>
        </w:rPr>
        <w:t>供应商对磋商文件质疑或</w:t>
      </w:r>
      <w:r>
        <w:rPr>
          <w:rFonts w:hint="eastAsia" w:ascii="仿宋" w:hAnsi="仿宋" w:eastAsia="仿宋" w:cs="仿宋"/>
          <w:color w:val="000000"/>
          <w:sz w:val="24"/>
          <w:szCs w:val="24"/>
        </w:rPr>
        <w:t>要求对</w:t>
      </w:r>
      <w:r>
        <w:rPr>
          <w:rFonts w:hint="eastAsia" w:ascii="仿宋" w:hAnsi="仿宋" w:eastAsia="仿宋" w:cs="仿宋"/>
          <w:color w:val="000000"/>
          <w:sz w:val="24"/>
          <w:szCs w:val="24"/>
          <w:lang w:eastAsia="zh-CN"/>
        </w:rPr>
        <w:t>磋商</w:t>
      </w:r>
      <w:r>
        <w:rPr>
          <w:rFonts w:hint="eastAsia" w:ascii="仿宋" w:hAnsi="仿宋" w:eastAsia="仿宋" w:cs="仿宋"/>
          <w:color w:val="000000"/>
          <w:sz w:val="24"/>
          <w:szCs w:val="24"/>
        </w:rPr>
        <w:t>文件进行澄清的，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应当在知道或应当知道（即收到</w:t>
      </w:r>
      <w:r>
        <w:rPr>
          <w:rFonts w:hint="eastAsia" w:ascii="仿宋" w:hAnsi="仿宋" w:eastAsia="仿宋" w:cs="仿宋"/>
          <w:color w:val="000000"/>
          <w:sz w:val="24"/>
          <w:szCs w:val="24"/>
          <w:lang w:eastAsia="zh-CN"/>
        </w:rPr>
        <w:t>磋商</w:t>
      </w:r>
      <w:r>
        <w:rPr>
          <w:rFonts w:hint="eastAsia" w:ascii="仿宋" w:hAnsi="仿宋" w:eastAsia="仿宋" w:cs="仿宋"/>
          <w:color w:val="000000"/>
          <w:sz w:val="24"/>
          <w:szCs w:val="24"/>
        </w:rPr>
        <w:t>文件之日或者</w:t>
      </w:r>
      <w:r>
        <w:rPr>
          <w:rFonts w:hint="eastAsia" w:ascii="仿宋" w:hAnsi="仿宋" w:eastAsia="仿宋" w:cs="仿宋"/>
          <w:color w:val="000000"/>
          <w:sz w:val="24"/>
          <w:szCs w:val="24"/>
          <w:lang w:eastAsia="zh-CN"/>
        </w:rPr>
        <w:t>磋商</w:t>
      </w:r>
      <w:r>
        <w:rPr>
          <w:rFonts w:hint="eastAsia" w:ascii="仿宋" w:hAnsi="仿宋" w:eastAsia="仿宋" w:cs="仿宋"/>
          <w:color w:val="000000"/>
          <w:sz w:val="24"/>
          <w:szCs w:val="24"/>
        </w:rPr>
        <w:t>文件公告期限届满之日）其权益受到损害之日起七个工作日内书面提出。</w:t>
      </w:r>
    </w:p>
    <w:p>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7.4 在投标截止时间前，采购单位可以视采购具体情况，延长投标截止时间和开标时间。</w:t>
      </w:r>
    </w:p>
    <w:p>
      <w:pPr>
        <w:pStyle w:val="19"/>
        <w:pageBreakBefore w:val="0"/>
        <w:widowControl w:val="0"/>
        <w:kinsoku/>
        <w:wordWrap/>
        <w:overflowPunct/>
        <w:topLinePunct w:val="0"/>
        <w:autoSpaceDE/>
        <w:autoSpaceDN/>
        <w:bidi w:val="0"/>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11" w:name="_Toc217446041"/>
      <w:bookmarkEnd w:id="111"/>
      <w:bookmarkStart w:id="112" w:name="_Toc208848971"/>
      <w:bookmarkEnd w:id="112"/>
      <w:r>
        <w:rPr>
          <w:rFonts w:hint="eastAsia" w:ascii="仿宋" w:hAnsi="仿宋" w:eastAsia="仿宋" w:cs="仿宋"/>
          <w:color w:val="000000"/>
          <w:sz w:val="24"/>
          <w:szCs w:val="24"/>
        </w:rPr>
        <w:t>8. 答疑会和现场考察</w:t>
      </w:r>
    </w:p>
    <w:p>
      <w:pPr>
        <w:pageBreakBefore w:val="0"/>
        <w:widowControl w:val="0"/>
        <w:kinsoku/>
        <w:wordWrap/>
        <w:overflowPunct/>
        <w:topLinePunct w:val="0"/>
        <w:autoSpaceDE/>
        <w:autoSpaceDN/>
        <w:bidi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8.1 根据采购项目和具体情况，采购单位认为有必要，可以组织召开标前答疑会或组织</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对项目现场进行考察。答疑会或进行现场考察的时间，采购单位将以书面形式通知所有购买了</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的供应商。</w:t>
      </w:r>
    </w:p>
    <w:p>
      <w:pPr>
        <w:pageBreakBefore w:val="0"/>
        <w:widowControl w:val="0"/>
        <w:kinsoku/>
        <w:wordWrap/>
        <w:overflowPunct/>
        <w:topLinePunct w:val="0"/>
        <w:autoSpaceDE/>
        <w:autoSpaceDN/>
        <w:bidi w:val="0"/>
        <w:snapToGrid w:val="0"/>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8.2 供应商考察现场所发生的一切费用由供应商自己承担。</w:t>
      </w:r>
    </w:p>
    <w:p>
      <w:pPr>
        <w:pStyle w:val="18"/>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bCs w:val="0"/>
          <w:color w:val="000000"/>
          <w:sz w:val="24"/>
          <w:szCs w:val="24"/>
        </w:rPr>
      </w:pPr>
      <w:bookmarkStart w:id="113" w:name="_Toc217446042"/>
      <w:bookmarkEnd w:id="113"/>
      <w:bookmarkStart w:id="114" w:name="_Toc183682351"/>
      <w:bookmarkEnd w:id="114"/>
      <w:bookmarkStart w:id="115" w:name="_Toc89075876"/>
      <w:bookmarkEnd w:id="115"/>
      <w:bookmarkStart w:id="116" w:name="_Toc77400780"/>
      <w:bookmarkEnd w:id="116"/>
      <w:bookmarkStart w:id="117" w:name="_Toc183582214"/>
      <w:bookmarkEnd w:id="117"/>
      <w:r>
        <w:rPr>
          <w:rFonts w:hint="eastAsia" w:ascii="仿宋" w:hAnsi="仿宋" w:eastAsia="仿宋" w:cs="仿宋"/>
          <w:bCs w:val="0"/>
          <w:color w:val="000000"/>
          <w:sz w:val="24"/>
          <w:szCs w:val="24"/>
        </w:rPr>
        <w:t>四、</w:t>
      </w:r>
      <w:r>
        <w:rPr>
          <w:rFonts w:hint="eastAsia" w:ascii="仿宋" w:hAnsi="仿宋" w:eastAsia="仿宋" w:cs="仿宋"/>
          <w:bCs w:val="0"/>
          <w:color w:val="000000"/>
          <w:sz w:val="24"/>
          <w:szCs w:val="24"/>
          <w:lang w:eastAsia="zh-CN"/>
        </w:rPr>
        <w:t>响应文件</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bookmarkStart w:id="118" w:name="_Toc183582215"/>
      <w:bookmarkEnd w:id="118"/>
      <w:bookmarkStart w:id="119" w:name="_Toc183682352"/>
      <w:bookmarkEnd w:id="119"/>
      <w:bookmarkStart w:id="120" w:name="_Toc217446043"/>
      <w:bookmarkEnd w:id="120"/>
      <w:r>
        <w:rPr>
          <w:rFonts w:hint="eastAsia" w:ascii="仿宋" w:hAnsi="仿宋" w:eastAsia="仿宋" w:cs="仿宋"/>
          <w:bCs w:val="0"/>
          <w:color w:val="000000"/>
          <w:sz w:val="24"/>
          <w:szCs w:val="24"/>
        </w:rPr>
        <w:t>9．</w:t>
      </w:r>
      <w:r>
        <w:rPr>
          <w:rFonts w:hint="eastAsia" w:ascii="仿宋" w:hAnsi="仿宋" w:eastAsia="仿宋" w:cs="仿宋"/>
          <w:bCs w:val="0"/>
          <w:color w:val="000000"/>
          <w:sz w:val="24"/>
          <w:szCs w:val="24"/>
          <w:lang w:eastAsia="zh-CN"/>
        </w:rPr>
        <w:t>响应文件</w:t>
      </w:r>
      <w:r>
        <w:rPr>
          <w:rFonts w:hint="eastAsia" w:ascii="仿宋" w:hAnsi="仿宋" w:eastAsia="仿宋" w:cs="仿宋"/>
          <w:bCs w:val="0"/>
          <w:color w:val="000000"/>
          <w:sz w:val="24"/>
          <w:szCs w:val="24"/>
        </w:rPr>
        <w:t>的语言</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9.1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提交的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以及</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与采购单位就有关投标的所有来往书面文件均须使用中文。</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中如附有外文资料，必须逐一对应翻译成中文并加盖</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公章后附在相关外文资料后面，否则，</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将作为无效投标处理。</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9.2 翻译的中文资料与外文资料如果出现差异和矛盾时，以中文为准。但不能故意错误翻译，否则，</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将作为无效投标处理。</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21" w:name="_Toc183582216"/>
      <w:bookmarkEnd w:id="121"/>
      <w:bookmarkStart w:id="122" w:name="_Toc183682353"/>
      <w:bookmarkEnd w:id="122"/>
      <w:bookmarkStart w:id="123" w:name="_Toc217446044"/>
      <w:bookmarkEnd w:id="123"/>
      <w:r>
        <w:rPr>
          <w:rFonts w:hint="eastAsia" w:ascii="仿宋" w:hAnsi="仿宋" w:eastAsia="仿宋" w:cs="仿宋"/>
          <w:color w:val="000000"/>
          <w:sz w:val="24"/>
          <w:szCs w:val="24"/>
        </w:rPr>
        <w:t>10．计量单位</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除技术规格及要求中另有规定外，本采购项下的投标均采用国家法定的计量单位。</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24" w:name="_Toc217446045"/>
      <w:bookmarkEnd w:id="124"/>
      <w:r>
        <w:rPr>
          <w:rFonts w:hint="eastAsia" w:ascii="仿宋" w:hAnsi="仿宋" w:eastAsia="仿宋" w:cs="仿宋"/>
          <w:color w:val="000000"/>
          <w:sz w:val="24"/>
          <w:szCs w:val="24"/>
        </w:rPr>
        <w:t>11. 投标货币</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本次</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项目的投标均以人民币报价。</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25" w:name="_Toc217446046"/>
      <w:bookmarkEnd w:id="125"/>
      <w:r>
        <w:rPr>
          <w:rFonts w:hint="eastAsia" w:ascii="仿宋" w:hAnsi="仿宋" w:eastAsia="仿宋" w:cs="仿宋"/>
          <w:color w:val="000000"/>
          <w:sz w:val="24"/>
          <w:szCs w:val="24"/>
        </w:rPr>
        <w:t>12. 联合体投标</w:t>
      </w:r>
    </w:p>
    <w:p>
      <w:pPr>
        <w:pStyle w:val="31"/>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详见供应商须知前附表</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bookmarkStart w:id="126" w:name="_Toc217446047"/>
      <w:bookmarkEnd w:id="126"/>
      <w:r>
        <w:rPr>
          <w:rFonts w:hint="eastAsia" w:ascii="仿宋" w:hAnsi="仿宋" w:eastAsia="仿宋" w:cs="仿宋"/>
          <w:bCs w:val="0"/>
          <w:color w:val="000000"/>
          <w:sz w:val="24"/>
          <w:szCs w:val="24"/>
        </w:rPr>
        <w:t>13. 知识产权</w:t>
      </w:r>
    </w:p>
    <w:p>
      <w:pPr>
        <w:pStyle w:val="31"/>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13.1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承担所有相关责任。</w:t>
      </w:r>
    </w:p>
    <w:p>
      <w:pPr>
        <w:pStyle w:val="31"/>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13.2 采购人享有本项目实施过程中产生的知识成果及知识产权。</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13.3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如欲在项目实施过程中采用自有知识成果，需在</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中声明，并提供相关知识产权证明文件。使用该知识成果后，</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需提供开发接口和开发手册等技术文档，并承诺提供无限期技术支持，采购人享有永久使用权。</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13.4 如采用</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 xml:space="preserve">所不拥有的知识产权，则在投标报价中必须包括合法获取该知识产权的相关费用。 </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27" w:name="_Toc183682354"/>
      <w:bookmarkEnd w:id="127"/>
      <w:bookmarkStart w:id="128" w:name="_Toc183582217"/>
      <w:bookmarkEnd w:id="128"/>
      <w:bookmarkStart w:id="129" w:name="_Toc217446048"/>
      <w:bookmarkEnd w:id="129"/>
      <w:r>
        <w:rPr>
          <w:rFonts w:hint="eastAsia" w:ascii="仿宋" w:hAnsi="仿宋" w:eastAsia="仿宋" w:cs="仿宋"/>
          <w:color w:val="000000"/>
          <w:sz w:val="24"/>
          <w:szCs w:val="24"/>
        </w:rPr>
        <w:t>14．</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的组成</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仿宋" w:hAnsi="仿宋" w:eastAsia="仿宋" w:cs="仿宋"/>
          <w:color w:val="000000"/>
          <w:sz w:val="24"/>
          <w:szCs w:val="24"/>
        </w:rPr>
      </w:pPr>
      <w:bookmarkStart w:id="130" w:name="_Toc183582218"/>
      <w:bookmarkStart w:id="131" w:name="_Toc217446049"/>
      <w:bookmarkStart w:id="132" w:name="_Toc183682355"/>
      <w:r>
        <w:rPr>
          <w:rFonts w:hint="eastAsia" w:ascii="仿宋" w:hAnsi="仿宋" w:eastAsia="仿宋" w:cs="仿宋"/>
          <w:color w:val="000000"/>
          <w:sz w:val="24"/>
          <w:szCs w:val="24"/>
          <w:lang w:val="en-US" w:eastAsia="zh-CN"/>
        </w:rPr>
        <w:t>14.1</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应按照</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的规定和要求编制</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磋商文件允许分包的，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拟在</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后将</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项目的非主体、非关键性工作交由他人完成的，应当在响应文件中载明。供应商编写的响应文件应包括下列部分：</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仿宋" w:hAnsi="仿宋" w:eastAsia="仿宋" w:cs="仿宋"/>
          <w:color w:val="000000"/>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投标函；</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身份证明书及</w:t>
      </w:r>
      <w:r>
        <w:rPr>
          <w:rFonts w:hint="eastAsia" w:ascii="仿宋" w:hAnsi="仿宋" w:eastAsia="仿宋" w:cs="仿宋"/>
          <w:sz w:val="24"/>
          <w:szCs w:val="24"/>
        </w:rPr>
        <w:t>授权书</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开标一览表</w:t>
      </w:r>
    </w:p>
    <w:p>
      <w:pPr>
        <w:pStyle w:val="43"/>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bCs/>
          <w:kern w:val="2"/>
          <w:sz w:val="24"/>
          <w:szCs w:val="24"/>
          <w:lang w:val="en-US" w:eastAsia="zh-CN" w:bidi="ar-SA"/>
        </w:rPr>
        <w:t>供应商基本情况表</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类似项目业绩一览表</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）供应商</w:t>
      </w:r>
      <w:r>
        <w:rPr>
          <w:rFonts w:hint="eastAsia" w:ascii="仿宋" w:hAnsi="仿宋" w:eastAsia="仿宋" w:cs="仿宋"/>
          <w:sz w:val="24"/>
          <w:szCs w:val="24"/>
        </w:rPr>
        <w:t>本项目管理、服务、其他人员情况表</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供应商资格证明文件及供应商认为需要提供的其他文件和资料</w:t>
      </w:r>
    </w:p>
    <w:p>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（8）服务方案</w:t>
      </w:r>
    </w:p>
    <w:bookmarkEnd w:id="130"/>
    <w:bookmarkEnd w:id="131"/>
    <w:bookmarkEnd w:id="132"/>
    <w:p>
      <w:pPr>
        <w:pStyle w:val="19"/>
        <w:pageBreakBefore w:val="0"/>
        <w:widowControl w:val="0"/>
        <w:tabs>
          <w:tab w:val="left" w:pos="3480"/>
        </w:tabs>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15．</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格式</w:t>
      </w:r>
      <w:r>
        <w:rPr>
          <w:rFonts w:hint="eastAsia" w:ascii="仿宋" w:hAnsi="仿宋" w:eastAsia="仿宋" w:cs="仿宋"/>
          <w:color w:val="000000"/>
          <w:sz w:val="24"/>
          <w:szCs w:val="24"/>
        </w:rPr>
        <w:tab/>
      </w:r>
    </w:p>
    <w:p>
      <w:pPr>
        <w:tabs>
          <w:tab w:val="left" w:pos="7665"/>
        </w:tabs>
        <w:spacing w:beforeAutospacing="0" w:afterAutospacing="0" w:line="360" w:lineRule="auto"/>
        <w:ind w:firstLine="480" w:firstLineChars="200"/>
        <w:rPr>
          <w:rFonts w:hint="eastAsia" w:ascii="仿宋" w:hAnsi="仿宋" w:eastAsia="仿宋" w:cs="仿宋"/>
          <w:sz w:val="24"/>
        </w:rPr>
      </w:pPr>
      <w:bookmarkStart w:id="133" w:name="_Toc183682360"/>
      <w:bookmarkStart w:id="134" w:name="_Toc183582223"/>
      <w:bookmarkStart w:id="135" w:name="_Toc217446050"/>
      <w:r>
        <w:rPr>
          <w:rFonts w:hint="eastAsia" w:ascii="仿宋" w:hAnsi="仿宋" w:eastAsia="仿宋" w:cs="仿宋"/>
          <w:sz w:val="24"/>
        </w:rPr>
        <w:t>15.1 供应商应严格按照磋商文件第三章中提供的“响应文件格式”填写相关内容。除明确允许供应商可以自行编写的外，供应商不得以“响应文件格式”规定之外的方式填写相关内容。</w:t>
      </w:r>
    </w:p>
    <w:p>
      <w:pPr>
        <w:tabs>
          <w:tab w:val="left" w:pos="7665"/>
        </w:tabs>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15.2 对于没有格式要求的响应文件由供应商自行编写。</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15.3应商提供的响应文件应当使用竞争性磋商文件所提供响应文件格式（表格可按照同样格式扩展），并保证所提供的资料的真实性。未提供格式的，供应商可自行编制。</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15.4</w:t>
      </w:r>
      <w:r>
        <w:rPr>
          <w:rFonts w:hint="eastAsia" w:ascii="仿宋" w:hAnsi="仿宋" w:eastAsia="仿宋" w:cs="仿宋"/>
          <w:sz w:val="24"/>
        </w:rPr>
        <w:t>本</w:t>
      </w:r>
      <w:r>
        <w:rPr>
          <w:rFonts w:hint="eastAsia" w:ascii="仿宋" w:hAnsi="仿宋" w:eastAsia="仿宋" w:cs="仿宋"/>
          <w:sz w:val="24"/>
          <w:lang w:eastAsia="zh-CN"/>
        </w:rPr>
        <w:t>竞争性磋商文件</w:t>
      </w:r>
      <w:r>
        <w:rPr>
          <w:rFonts w:hint="eastAsia" w:ascii="仿宋" w:hAnsi="仿宋" w:eastAsia="仿宋" w:cs="仿宋"/>
          <w:sz w:val="24"/>
        </w:rPr>
        <w:t>规定的</w:t>
      </w:r>
      <w:r>
        <w:rPr>
          <w:rFonts w:hint="eastAsia" w:ascii="仿宋" w:hAnsi="仿宋" w:eastAsia="仿宋" w:cs="仿宋"/>
          <w:sz w:val="24"/>
          <w:lang w:eastAsia="zh-CN"/>
        </w:rPr>
        <w:t>响应文件</w:t>
      </w:r>
      <w:r>
        <w:rPr>
          <w:rFonts w:hint="eastAsia" w:ascii="仿宋" w:hAnsi="仿宋" w:eastAsia="仿宋" w:cs="仿宋"/>
          <w:sz w:val="24"/>
        </w:rPr>
        <w:t>编制中所需提交的证明材料</w:t>
      </w:r>
      <w:r>
        <w:rPr>
          <w:rFonts w:hint="eastAsia" w:ascii="仿宋" w:hAnsi="仿宋" w:eastAsia="仿宋" w:cs="仿宋"/>
          <w:sz w:val="24"/>
          <w:lang w:val="en-US" w:eastAsia="zh-CN"/>
        </w:rPr>
        <w:t>须加盖供应商电子公章</w:t>
      </w:r>
      <w:r>
        <w:rPr>
          <w:rFonts w:hint="eastAsia" w:ascii="仿宋" w:hAnsi="仿宋" w:eastAsia="仿宋" w:cs="仿宋"/>
          <w:sz w:val="24"/>
        </w:rPr>
        <w:t>，且内容须清晰可辩。</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15.5</w:t>
      </w:r>
      <w:r>
        <w:rPr>
          <w:rFonts w:hint="eastAsia" w:ascii="仿宋" w:hAnsi="仿宋" w:eastAsia="仿宋" w:cs="仿宋"/>
          <w:sz w:val="24"/>
          <w:lang w:eastAsia="zh-CN"/>
        </w:rPr>
        <w:t>响应文件</w:t>
      </w:r>
      <w:r>
        <w:rPr>
          <w:rFonts w:hint="eastAsia" w:ascii="仿宋" w:hAnsi="仿宋" w:eastAsia="仿宋" w:cs="仿宋"/>
          <w:sz w:val="24"/>
        </w:rPr>
        <w:t>严禁涂改或行间插字和增删。除非这些修改是根据采购人的指示进行的，或者是供应商造成的必须修改的错误，必要的修改处必须有供应商法人代表或其授权代表人签字。</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15.6</w:t>
      </w:r>
      <w:r>
        <w:rPr>
          <w:rFonts w:hint="eastAsia" w:ascii="仿宋" w:hAnsi="仿宋" w:eastAsia="仿宋" w:cs="仿宋"/>
          <w:sz w:val="24"/>
          <w:lang w:eastAsia="zh-CN"/>
        </w:rPr>
        <w:t>竞争性磋商文件</w:t>
      </w:r>
      <w:r>
        <w:rPr>
          <w:rFonts w:hint="eastAsia" w:ascii="仿宋" w:hAnsi="仿宋" w:eastAsia="仿宋" w:cs="仿宋"/>
          <w:sz w:val="24"/>
        </w:rPr>
        <w:t>中分标段的，</w:t>
      </w:r>
      <w:r>
        <w:rPr>
          <w:rFonts w:hint="eastAsia" w:ascii="仿宋" w:hAnsi="仿宋" w:eastAsia="仿宋" w:cs="仿宋"/>
          <w:sz w:val="24"/>
          <w:lang w:val="zh-CN"/>
        </w:rPr>
        <w:t>供应商须针对本单位所投标段分别编制响应文件并单独提交。</w:t>
      </w:r>
      <w:r>
        <w:rPr>
          <w:rFonts w:hint="eastAsia" w:ascii="仿宋" w:hAnsi="仿宋" w:eastAsia="仿宋" w:cs="仿宋"/>
          <w:sz w:val="24"/>
        </w:rPr>
        <w:t>供应商应当按照</w:t>
      </w:r>
      <w:r>
        <w:rPr>
          <w:rFonts w:hint="eastAsia" w:ascii="仿宋" w:hAnsi="仿宋" w:eastAsia="仿宋" w:cs="仿宋"/>
          <w:sz w:val="24"/>
          <w:lang w:eastAsia="zh-CN"/>
        </w:rPr>
        <w:t>竞争性磋商文件</w:t>
      </w:r>
      <w:r>
        <w:rPr>
          <w:rFonts w:hint="eastAsia" w:ascii="仿宋" w:hAnsi="仿宋" w:eastAsia="仿宋" w:cs="仿宋"/>
          <w:sz w:val="24"/>
        </w:rPr>
        <w:t>的要求编制</w:t>
      </w:r>
      <w:r>
        <w:rPr>
          <w:rFonts w:hint="eastAsia" w:ascii="仿宋" w:hAnsi="仿宋" w:eastAsia="仿宋" w:cs="仿宋"/>
          <w:sz w:val="24"/>
          <w:lang w:eastAsia="zh-CN"/>
        </w:rPr>
        <w:t>响应文件</w:t>
      </w:r>
      <w:r>
        <w:rPr>
          <w:rFonts w:hint="eastAsia" w:ascii="仿宋" w:hAnsi="仿宋" w:eastAsia="仿宋" w:cs="仿宋"/>
          <w:sz w:val="24"/>
        </w:rPr>
        <w:t>。</w:t>
      </w:r>
      <w:r>
        <w:rPr>
          <w:rFonts w:hint="eastAsia" w:ascii="仿宋" w:hAnsi="仿宋" w:eastAsia="仿宋" w:cs="仿宋"/>
          <w:sz w:val="24"/>
          <w:lang w:eastAsia="zh-CN"/>
        </w:rPr>
        <w:t>响应文件</w:t>
      </w:r>
      <w:r>
        <w:rPr>
          <w:rFonts w:hint="eastAsia" w:ascii="仿宋" w:hAnsi="仿宋" w:eastAsia="仿宋" w:cs="仿宋"/>
          <w:sz w:val="24"/>
        </w:rPr>
        <w:t>应当对</w:t>
      </w:r>
      <w:r>
        <w:rPr>
          <w:rFonts w:hint="eastAsia" w:ascii="仿宋" w:hAnsi="仿宋" w:eastAsia="仿宋" w:cs="仿宋"/>
          <w:sz w:val="24"/>
          <w:lang w:eastAsia="zh-CN"/>
        </w:rPr>
        <w:t>竞争性磋商文件</w:t>
      </w:r>
      <w:r>
        <w:rPr>
          <w:rFonts w:hint="eastAsia" w:ascii="仿宋" w:hAnsi="仿宋" w:eastAsia="仿宋" w:cs="仿宋"/>
          <w:sz w:val="24"/>
        </w:rPr>
        <w:t>提出的要求和条件作出明确响应。</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15.7</w:t>
      </w:r>
      <w:r>
        <w:rPr>
          <w:rFonts w:hint="eastAsia" w:ascii="仿宋" w:hAnsi="仿宋" w:eastAsia="仿宋" w:cs="仿宋"/>
          <w:sz w:val="24"/>
        </w:rPr>
        <w:t>电子</w:t>
      </w:r>
      <w:r>
        <w:rPr>
          <w:rFonts w:hint="eastAsia" w:ascii="仿宋" w:hAnsi="仿宋" w:eastAsia="仿宋" w:cs="仿宋"/>
          <w:sz w:val="24"/>
          <w:lang w:eastAsia="zh-CN"/>
        </w:rPr>
        <w:t>响应文件</w:t>
      </w:r>
      <w:r>
        <w:rPr>
          <w:rFonts w:hint="eastAsia" w:ascii="仿宋" w:hAnsi="仿宋" w:eastAsia="仿宋" w:cs="仿宋"/>
          <w:sz w:val="24"/>
        </w:rPr>
        <w:t>制作时，按照</w:t>
      </w:r>
      <w:r>
        <w:rPr>
          <w:rFonts w:hint="eastAsia" w:ascii="仿宋" w:hAnsi="仿宋" w:eastAsia="仿宋" w:cs="仿宋"/>
          <w:sz w:val="24"/>
          <w:lang w:eastAsia="zh-CN"/>
        </w:rPr>
        <w:t>竞争性磋商文件</w:t>
      </w:r>
      <w:r>
        <w:rPr>
          <w:rFonts w:hint="eastAsia" w:ascii="仿宋" w:hAnsi="仿宋" w:eastAsia="仿宋" w:cs="仿宋"/>
          <w:sz w:val="24"/>
        </w:rPr>
        <w:t>中明确的</w:t>
      </w:r>
      <w:r>
        <w:rPr>
          <w:rFonts w:hint="eastAsia" w:ascii="仿宋" w:hAnsi="仿宋" w:eastAsia="仿宋" w:cs="仿宋"/>
          <w:sz w:val="24"/>
          <w:lang w:eastAsia="zh-CN"/>
        </w:rPr>
        <w:t>响应文件</w:t>
      </w:r>
      <w:r>
        <w:rPr>
          <w:rFonts w:hint="eastAsia" w:ascii="仿宋" w:hAnsi="仿宋" w:eastAsia="仿宋" w:cs="仿宋"/>
          <w:sz w:val="24"/>
        </w:rPr>
        <w:t>目录和格式进行编制，保证目录清晰、内容完整。</w:t>
      </w:r>
      <w:r>
        <w:rPr>
          <w:rFonts w:hint="eastAsia" w:ascii="仿宋" w:hAnsi="仿宋" w:eastAsia="仿宋" w:cs="仿宋"/>
          <w:sz w:val="24"/>
          <w:lang w:val="en-US" w:eastAsia="zh-CN"/>
        </w:rPr>
        <w:t>操作方法详见本须知前附表第24项。</w:t>
      </w:r>
      <w:r>
        <w:rPr>
          <w:rFonts w:hint="eastAsia" w:ascii="仿宋" w:hAnsi="仿宋" w:eastAsia="仿宋" w:cs="仿宋"/>
          <w:sz w:val="24"/>
        </w:rPr>
        <w:t xml:space="preserve">  </w:t>
      </w:r>
    </w:p>
    <w:p>
      <w:pPr>
        <w:tabs>
          <w:tab w:val="left" w:pos="7665"/>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15.8</w:t>
      </w:r>
      <w:r>
        <w:rPr>
          <w:rFonts w:hint="eastAsia" w:ascii="仿宋" w:hAnsi="仿宋" w:eastAsia="仿宋" w:cs="仿宋"/>
          <w:sz w:val="24"/>
        </w:rPr>
        <w:t>电子</w:t>
      </w:r>
      <w:r>
        <w:rPr>
          <w:rFonts w:hint="eastAsia" w:ascii="仿宋" w:hAnsi="仿宋" w:eastAsia="仿宋" w:cs="仿宋"/>
          <w:sz w:val="24"/>
          <w:lang w:eastAsia="zh-CN"/>
        </w:rPr>
        <w:t>响应文件</w:t>
      </w:r>
      <w:r>
        <w:rPr>
          <w:rFonts w:hint="eastAsia" w:ascii="仿宋" w:hAnsi="仿宋" w:eastAsia="仿宋" w:cs="仿宋"/>
          <w:sz w:val="24"/>
        </w:rPr>
        <w:t>须使用</w:t>
      </w:r>
      <w:r>
        <w:rPr>
          <w:rFonts w:hint="eastAsia" w:ascii="仿宋" w:hAnsi="仿宋" w:eastAsia="仿宋" w:cs="仿宋"/>
          <w:sz w:val="24"/>
          <w:lang w:eastAsia="zh-CN"/>
        </w:rPr>
        <w:t>供应商</w:t>
      </w:r>
      <w:r>
        <w:rPr>
          <w:rFonts w:hint="eastAsia" w:ascii="仿宋" w:hAnsi="仿宋" w:eastAsia="仿宋" w:cs="仿宋"/>
          <w:sz w:val="24"/>
          <w:lang w:val="en-US" w:eastAsia="zh-CN"/>
        </w:rPr>
        <w:t>电子公章</w:t>
      </w:r>
      <w:r>
        <w:rPr>
          <w:rFonts w:hint="eastAsia" w:ascii="仿宋" w:hAnsi="仿宋" w:eastAsia="仿宋" w:cs="仿宋"/>
          <w:sz w:val="24"/>
        </w:rPr>
        <w:t>以及法定代表人的电子签</w:t>
      </w:r>
      <w:r>
        <w:rPr>
          <w:rFonts w:hint="eastAsia" w:ascii="仿宋" w:hAnsi="仿宋" w:eastAsia="仿宋" w:cs="仿宋"/>
          <w:sz w:val="24"/>
          <w:lang w:val="en-US" w:eastAsia="zh-CN"/>
        </w:rPr>
        <w:t>名（或手写签名的扫描件）</w:t>
      </w:r>
      <w:r>
        <w:rPr>
          <w:rFonts w:hint="eastAsia" w:ascii="仿宋" w:hAnsi="仿宋" w:eastAsia="仿宋" w:cs="仿宋"/>
          <w:sz w:val="24"/>
        </w:rPr>
        <w:t>。</w:t>
      </w:r>
      <w:r>
        <w:rPr>
          <w:rFonts w:hint="eastAsia" w:ascii="仿宋" w:hAnsi="仿宋" w:eastAsia="仿宋" w:cs="仿宋"/>
          <w:b/>
          <w:bCs/>
          <w:sz w:val="24"/>
        </w:rPr>
        <w:t>若无电子签章</w:t>
      </w:r>
      <w:r>
        <w:rPr>
          <w:rFonts w:hint="eastAsia" w:ascii="仿宋" w:hAnsi="仿宋" w:eastAsia="仿宋" w:cs="仿宋"/>
          <w:b/>
          <w:bCs/>
          <w:sz w:val="24"/>
          <w:lang w:val="en-US" w:eastAsia="zh-CN"/>
        </w:rPr>
        <w:t>/签名</w:t>
      </w:r>
      <w:r>
        <w:rPr>
          <w:rFonts w:hint="eastAsia" w:ascii="仿宋" w:hAnsi="仿宋" w:eastAsia="仿宋" w:cs="仿宋"/>
          <w:b/>
          <w:bCs/>
          <w:sz w:val="24"/>
        </w:rPr>
        <w:t>，则视为</w:t>
      </w:r>
      <w:r>
        <w:rPr>
          <w:rFonts w:hint="eastAsia" w:ascii="仿宋" w:hAnsi="仿宋" w:eastAsia="仿宋" w:cs="仿宋"/>
          <w:b/>
          <w:bCs/>
          <w:sz w:val="24"/>
          <w:lang w:eastAsia="zh-CN"/>
        </w:rPr>
        <w:t>无效响应</w:t>
      </w:r>
      <w:r>
        <w:rPr>
          <w:rFonts w:hint="eastAsia" w:ascii="仿宋" w:hAnsi="仿宋" w:eastAsia="仿宋" w:cs="仿宋"/>
          <w:b/>
          <w:bCs/>
          <w:sz w:val="24"/>
        </w:rPr>
        <w:t>。</w:t>
      </w:r>
    </w:p>
    <w:bookmarkEnd w:id="133"/>
    <w:bookmarkEnd w:id="134"/>
    <w:bookmarkEnd w:id="135"/>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16．投标保证金</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16.1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投标时，必须以人民币提交</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规定数额的投标保证金，并作为其投标的一部分。</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16.2未按</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要求在规定时间前交纳规定数额投标保证金的投标将被拒绝。</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16.3 </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所交纳的投标保证金不计利息。</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16.4未</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人的投标保证金，将在</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通知书发出后五个工作日内全额退还。</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人的投标保证金，在合同签订生效并按规定交纳了履约保证金后五个工作日内全额退还。</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16.5发生下列情形之一的，采购代理机构将不予退还</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交纳的投标保证金：</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（1）在</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规定的投标截止时间内撤回投标；</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（2）在采购人确定</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人以前放弃</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候选资格的；</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（3）由于</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人的原因未能按照</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的规定与采购人签订合同；</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（4）由于</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人的原因未能按照</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的规定交纳履约保证金；</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（5）投标有效期内，</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在政府采购活动中有违法、违规、违纪行为</w:t>
      </w:r>
      <w:r>
        <w:rPr>
          <w:rFonts w:hint="eastAsia" w:ascii="仿宋" w:hAnsi="仿宋" w:eastAsia="仿宋" w:cs="仿宋"/>
          <w:color w:val="000000"/>
          <w:sz w:val="24"/>
          <w:szCs w:val="24"/>
          <w:lang w:eastAsia="zh-CN"/>
        </w:rPr>
        <w:t>。</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bookmarkStart w:id="136" w:name="_Toc217446051"/>
      <w:bookmarkEnd w:id="136"/>
      <w:bookmarkStart w:id="137" w:name="_Toc183682361"/>
      <w:bookmarkEnd w:id="137"/>
      <w:bookmarkStart w:id="138" w:name="_Toc183582224"/>
      <w:bookmarkEnd w:id="138"/>
      <w:r>
        <w:rPr>
          <w:rFonts w:hint="eastAsia" w:ascii="仿宋" w:hAnsi="仿宋" w:eastAsia="仿宋" w:cs="仿宋"/>
          <w:bCs w:val="0"/>
          <w:color w:val="000000"/>
          <w:sz w:val="24"/>
          <w:szCs w:val="24"/>
        </w:rPr>
        <w:t>17．投标有效期</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17.1 投标有效期</w:t>
      </w:r>
      <w:r>
        <w:rPr>
          <w:rFonts w:hint="eastAsia" w:ascii="仿宋" w:hAnsi="仿宋" w:eastAsia="仿宋" w:cs="仿宋"/>
          <w:color w:val="000000"/>
          <w:sz w:val="24"/>
          <w:szCs w:val="24"/>
          <w:lang w:val="en-US" w:eastAsia="zh-CN"/>
        </w:rPr>
        <w:t>详见供应商须知前附表</w:t>
      </w:r>
      <w:r>
        <w:rPr>
          <w:rFonts w:hint="eastAsia" w:ascii="仿宋" w:hAnsi="仿宋" w:eastAsia="仿宋" w:cs="仿宋"/>
          <w:color w:val="000000"/>
          <w:sz w:val="24"/>
          <w:szCs w:val="24"/>
        </w:rPr>
        <w:t>。投标有效期短于此规定期限的投标，将被拒绝。</w:t>
      </w:r>
    </w:p>
    <w:p>
      <w:pPr>
        <w:pageBreakBefore w:val="0"/>
        <w:widowControl w:val="0"/>
        <w:tabs>
          <w:tab w:val="left" w:pos="7665"/>
        </w:tabs>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17.2 特殊情况下，采购人可于投标有效期满之前要求</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同意延长有效期，要求与答复均应为书面形式。</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可以拒绝上述要求，其投标保证金</w:t>
      </w:r>
      <w:r>
        <w:rPr>
          <w:rFonts w:hint="eastAsia" w:ascii="仿宋" w:hAnsi="仿宋" w:eastAsia="仿宋" w:cs="仿宋"/>
          <w:color w:val="000000"/>
          <w:spacing w:val="8"/>
          <w:sz w:val="24"/>
          <w:szCs w:val="24"/>
        </w:rPr>
        <w:t>不被没收。</w:t>
      </w:r>
      <w:r>
        <w:rPr>
          <w:rFonts w:hint="eastAsia" w:ascii="仿宋" w:hAnsi="仿宋" w:eastAsia="仿宋" w:cs="仿宋"/>
          <w:color w:val="000000"/>
          <w:sz w:val="24"/>
          <w:szCs w:val="24"/>
        </w:rPr>
        <w:t>拒绝延长投标有效期的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不得再参与该项目后续采购活动。同意延长投标有效期的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不能修改其</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，关于投标保证金的有关规定在延长的投标有效期内继续有效。</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bookmarkStart w:id="139" w:name="_Toc183682362"/>
      <w:bookmarkEnd w:id="139"/>
      <w:bookmarkStart w:id="140" w:name="_Toc183582225"/>
      <w:bookmarkEnd w:id="140"/>
      <w:bookmarkStart w:id="141" w:name="_Toc217446052"/>
      <w:bookmarkEnd w:id="141"/>
      <w:r>
        <w:rPr>
          <w:rFonts w:hint="eastAsia" w:ascii="仿宋" w:hAnsi="仿宋" w:eastAsia="仿宋" w:cs="仿宋"/>
          <w:bCs w:val="0"/>
          <w:color w:val="000000"/>
          <w:sz w:val="24"/>
          <w:szCs w:val="24"/>
        </w:rPr>
        <w:t>18．</w:t>
      </w:r>
      <w:r>
        <w:rPr>
          <w:rFonts w:hint="eastAsia" w:ascii="仿宋" w:hAnsi="仿宋" w:eastAsia="仿宋" w:cs="仿宋"/>
          <w:bCs w:val="0"/>
          <w:color w:val="000000"/>
          <w:sz w:val="24"/>
          <w:szCs w:val="24"/>
          <w:lang w:eastAsia="zh-CN"/>
        </w:rPr>
        <w:t>响应文件</w:t>
      </w:r>
      <w:r>
        <w:rPr>
          <w:rFonts w:hint="eastAsia" w:ascii="仿宋" w:hAnsi="仿宋" w:eastAsia="仿宋" w:cs="仿宋"/>
          <w:bCs w:val="0"/>
          <w:color w:val="000000"/>
          <w:sz w:val="24"/>
          <w:szCs w:val="24"/>
        </w:rPr>
        <w:t>的印制和签署</w:t>
      </w:r>
    </w:p>
    <w:p>
      <w:pPr>
        <w:pStyle w:val="19"/>
        <w:spacing w:before="0" w:after="0" w:line="360" w:lineRule="auto"/>
        <w:ind w:firstLine="512" w:firstLineChars="200"/>
        <w:rPr>
          <w:rFonts w:hint="eastAsia" w:ascii="仿宋" w:hAnsi="仿宋" w:eastAsia="仿宋" w:cs="仿宋"/>
          <w:b w:val="0"/>
          <w:bCs w:val="0"/>
          <w:color w:val="000000"/>
          <w:spacing w:val="8"/>
          <w:sz w:val="24"/>
          <w:szCs w:val="24"/>
          <w:lang w:val="en-US" w:eastAsia="zh-CN" w:bidi="ar-SA"/>
        </w:rPr>
      </w:pPr>
      <w:r>
        <w:rPr>
          <w:rFonts w:hint="eastAsia" w:ascii="仿宋" w:hAnsi="仿宋" w:eastAsia="仿宋" w:cs="仿宋"/>
          <w:b w:val="0"/>
          <w:bCs w:val="0"/>
          <w:color w:val="000000"/>
          <w:spacing w:val="8"/>
          <w:sz w:val="24"/>
          <w:szCs w:val="24"/>
          <w:lang w:val="en-US" w:eastAsia="zh-CN" w:bidi="ar-SA"/>
        </w:rPr>
        <w:t>本项目采用不见面开标。</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 xml:space="preserve">19. </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的密封和标注</w:t>
      </w:r>
    </w:p>
    <w:p>
      <w:pPr>
        <w:tabs>
          <w:tab w:val="left" w:pos="1080"/>
        </w:tabs>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19.1 供应商应在磋商文件规定的磋商截止时间前，将响应文件按供应商须知第15条规定加密上传，磋商截止时间以后上传递交的响应文件将被“政府采购云平台”拒收。</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20．</w:t>
      </w:r>
      <w:r>
        <w:rPr>
          <w:rFonts w:hint="eastAsia" w:ascii="仿宋" w:hAnsi="仿宋" w:eastAsia="仿宋" w:cs="仿宋"/>
          <w:bCs w:val="0"/>
          <w:color w:val="000000"/>
          <w:sz w:val="24"/>
          <w:szCs w:val="24"/>
          <w:lang w:eastAsia="zh-CN"/>
        </w:rPr>
        <w:t>响应文件</w:t>
      </w:r>
      <w:r>
        <w:rPr>
          <w:rFonts w:hint="eastAsia" w:ascii="仿宋" w:hAnsi="仿宋" w:eastAsia="仿宋" w:cs="仿宋"/>
          <w:bCs w:val="0"/>
          <w:color w:val="000000"/>
          <w:sz w:val="24"/>
          <w:szCs w:val="24"/>
        </w:rPr>
        <w:t>的递交</w:t>
      </w:r>
    </w:p>
    <w:p>
      <w:pPr>
        <w:tabs>
          <w:tab w:val="left" w:pos="1080"/>
        </w:tabs>
        <w:spacing w:beforeAutospacing="0" w:afterAutospacing="0" w:line="360" w:lineRule="auto"/>
        <w:ind w:firstLine="480" w:firstLineChars="200"/>
        <w:rPr>
          <w:rFonts w:hint="eastAsia" w:ascii="仿宋" w:hAnsi="仿宋" w:eastAsia="仿宋" w:cs="仿宋"/>
          <w:sz w:val="24"/>
        </w:rPr>
      </w:pPr>
      <w:bookmarkStart w:id="142" w:name="_Toc183582228"/>
      <w:bookmarkStart w:id="143" w:name="_Toc183682365"/>
      <w:bookmarkStart w:id="144" w:name="_Toc217446055"/>
      <w:r>
        <w:rPr>
          <w:rFonts w:hint="eastAsia" w:ascii="仿宋" w:hAnsi="仿宋" w:eastAsia="仿宋" w:cs="仿宋"/>
          <w:sz w:val="24"/>
        </w:rPr>
        <w:t>20.1 在招标文件要求提交投标文件的截止时间之后提交的投标文件，为无效投标文件，采购代理机构将拒绝接收。</w:t>
      </w:r>
    </w:p>
    <w:p>
      <w:pPr>
        <w:tabs>
          <w:tab w:val="left" w:pos="1080"/>
        </w:tabs>
        <w:spacing w:beforeAutospacing="0" w:afterAutospacing="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20.2项目采用不见面开标。只需将加密电子投标文件在投标截止时间前通过 新疆政府采购网-政采云平台上传完成。上传时必须得到电脑“上传成功”的确认回复后方为上传成功。逾期上传的或者未上传到平台的投标文件，采购人不予受理。</w:t>
      </w:r>
    </w:p>
    <w:bookmarkEnd w:id="142"/>
    <w:bookmarkEnd w:id="143"/>
    <w:bookmarkEnd w:id="144"/>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21．</w:t>
      </w:r>
      <w:r>
        <w:rPr>
          <w:rFonts w:hint="eastAsia" w:ascii="仿宋" w:hAnsi="仿宋" w:eastAsia="仿宋" w:cs="仿宋"/>
          <w:bCs w:val="0"/>
          <w:color w:val="000000"/>
          <w:sz w:val="24"/>
          <w:szCs w:val="24"/>
          <w:lang w:eastAsia="zh-CN"/>
        </w:rPr>
        <w:t>响应文件</w:t>
      </w:r>
      <w:r>
        <w:rPr>
          <w:rFonts w:hint="eastAsia" w:ascii="仿宋" w:hAnsi="仿宋" w:eastAsia="仿宋" w:cs="仿宋"/>
          <w:bCs w:val="0"/>
          <w:color w:val="000000"/>
          <w:sz w:val="24"/>
          <w:szCs w:val="24"/>
        </w:rPr>
        <w:t>的修改和撤回</w:t>
      </w:r>
    </w:p>
    <w:p>
      <w:pPr>
        <w:spacing w:beforeAutospacing="0" w:afterAutospacing="0" w:line="360" w:lineRule="auto"/>
        <w:ind w:firstLine="480" w:firstLineChars="200"/>
        <w:rPr>
          <w:rFonts w:hint="eastAsia" w:ascii="仿宋" w:hAnsi="仿宋" w:eastAsia="仿宋" w:cs="仿宋"/>
          <w:sz w:val="24"/>
        </w:rPr>
      </w:pPr>
      <w:bookmarkStart w:id="145" w:name="_Toc183682368"/>
      <w:bookmarkStart w:id="146" w:name="_Toc217446056"/>
      <w:bookmarkStart w:id="147" w:name="_Toc89075878"/>
      <w:bookmarkStart w:id="148" w:name="_Toc77400782"/>
      <w:bookmarkStart w:id="149" w:name="_Toc183582231"/>
      <w:r>
        <w:rPr>
          <w:rFonts w:hint="eastAsia" w:ascii="仿宋" w:hAnsi="仿宋" w:eastAsia="仿宋" w:cs="仿宋"/>
          <w:sz w:val="24"/>
        </w:rPr>
        <w:t>21.1 供应商在供应商须知前附表规定的响应文件递交截止时间之前，可在政采云平台上随时撤回已上传的电子响应文件，将修改好的电子响应文件在响应文件递交截止时间前重新上传到政采云平台的制定位置。</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21.2 在投标截止时间之后，供应商不得对其递交的响应文件做任何修改或撤回投标。</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21.3 响应文件中如果出现计算上或累加上的算术错误，可按以下原则进行修改：</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（1）用数字表示的金额和用文字表示的金额不一致，应以文字表示的金额为准。</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（2）单价和数量的乘积与总价不一致时，以单价为准，并修正总价。</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（3）单价金额小数点有明显错误的，以总价为准，修正单价。</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按上述修正错误的方法调整的投标报价应对供应商具有约束力。如果供应商不接受修正后的价格，其投标将被拒绝。</w:t>
      </w:r>
    </w:p>
    <w:bookmarkEnd w:id="145"/>
    <w:bookmarkEnd w:id="146"/>
    <w:bookmarkEnd w:id="147"/>
    <w:bookmarkEnd w:id="148"/>
    <w:bookmarkEnd w:id="149"/>
    <w:p>
      <w:pPr>
        <w:pStyle w:val="18"/>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五、开标和</w:t>
      </w:r>
      <w:r>
        <w:rPr>
          <w:rFonts w:hint="eastAsia" w:ascii="仿宋" w:hAnsi="仿宋" w:eastAsia="仿宋" w:cs="仿宋"/>
          <w:color w:val="000000"/>
          <w:sz w:val="24"/>
          <w:szCs w:val="24"/>
          <w:lang w:eastAsia="zh-CN"/>
        </w:rPr>
        <w:t>成交</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bookmarkStart w:id="150" w:name="_Toc183682369"/>
      <w:bookmarkEnd w:id="150"/>
      <w:bookmarkStart w:id="151" w:name="_Toc217446057"/>
      <w:bookmarkEnd w:id="151"/>
      <w:bookmarkStart w:id="152" w:name="_Toc183582232"/>
      <w:bookmarkEnd w:id="152"/>
      <w:r>
        <w:rPr>
          <w:rFonts w:hint="eastAsia" w:ascii="仿宋" w:hAnsi="仿宋" w:eastAsia="仿宋" w:cs="仿宋"/>
          <w:bCs w:val="0"/>
          <w:color w:val="000000"/>
          <w:sz w:val="24"/>
          <w:szCs w:val="24"/>
        </w:rPr>
        <w:t>22．开标</w:t>
      </w:r>
    </w:p>
    <w:p>
      <w:pPr>
        <w:spacing w:beforeAutospacing="0" w:afterAutospacing="0" w:line="360" w:lineRule="auto"/>
        <w:ind w:firstLine="480" w:firstLineChars="200"/>
        <w:rPr>
          <w:rFonts w:hint="eastAsia" w:ascii="仿宋" w:hAnsi="仿宋" w:eastAsia="仿宋" w:cs="仿宋"/>
          <w:sz w:val="24"/>
        </w:rPr>
      </w:pPr>
      <w:bookmarkStart w:id="153" w:name="_Toc217446058"/>
      <w:bookmarkEnd w:id="153"/>
      <w:r>
        <w:rPr>
          <w:rFonts w:hint="eastAsia" w:ascii="仿宋" w:hAnsi="仿宋" w:eastAsia="仿宋" w:cs="仿宋"/>
          <w:sz w:val="24"/>
        </w:rPr>
        <w:t>22.1 采购代理机构在磋商文件规定的时间和地点组织公开开标，邀请所有参与投标供应商参加开标。</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22.2 开标时，采购代理机构可以邀请有关监督管理部门对开标进行现场监督，也可以（非必须）申请公证机构对整个开标程序进行现场公证。</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22.3 采购人在规定的投标截止时间 (开标时间) 和供应商须知前附表规定的地点开标。供应商的法定代表人或其委托代理人无需到达开标现场，仅需在任意地点 通过新疆政府采购网 (政采云) ，使用 CA 密钥完成远程解密、提疑澄清、开标</w:t>
      </w:r>
      <w:r>
        <w:rPr>
          <w:rFonts w:hint="eastAsia" w:ascii="仿宋" w:hAnsi="仿宋" w:eastAsia="仿宋" w:cs="仿宋"/>
          <w:sz w:val="24"/>
          <w:lang w:eastAsia="zh-CN"/>
        </w:rPr>
        <w:t>、</w:t>
      </w:r>
      <w:r>
        <w:rPr>
          <w:rFonts w:hint="eastAsia" w:ascii="仿宋" w:hAnsi="仿宋" w:eastAsia="仿宋" w:cs="仿宋"/>
          <w:sz w:val="24"/>
        </w:rPr>
        <w:t>结果公布等交互环节。</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spacing w:beforeAutospacing="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22.4 对不同文字文本响应文件的解释发生异议的，以中文文本为准。</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23. 开标程序</w:t>
      </w:r>
    </w:p>
    <w:p>
      <w:pPr>
        <w:spacing w:beforeAutospacing="0" w:afterAutospacing="0" w:line="360" w:lineRule="auto"/>
        <w:ind w:firstLine="480" w:firstLineChars="200"/>
        <w:rPr>
          <w:rFonts w:hint="eastAsia" w:ascii="仿宋" w:hAnsi="仿宋" w:eastAsia="仿宋" w:cs="仿宋"/>
          <w:sz w:val="24"/>
        </w:rPr>
      </w:pPr>
      <w:bookmarkStart w:id="154" w:name="_Toc183682375"/>
      <w:bookmarkStart w:id="155" w:name="_Toc183582238"/>
      <w:bookmarkStart w:id="156" w:name="_Toc217446063"/>
      <w:r>
        <w:rPr>
          <w:rFonts w:hint="eastAsia" w:ascii="仿宋" w:hAnsi="仿宋" w:eastAsia="仿宋" w:cs="仿宋"/>
          <w:sz w:val="24"/>
        </w:rPr>
        <w:t>开标会主持人按照磋商文件规定的开标时间宣布开标，按照规定要求主持开标会。开标将按以下程序进行：</w:t>
      </w:r>
    </w:p>
    <w:p>
      <w:pPr>
        <w:spacing w:beforeAutospacing="0" w:afterAutospacing="0"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23.1采购人在规定的响应文件递交截止时间（开标/磋商时间）和供应商须知前附表规定的地点进行不见面远程开标/磋商。供应商的法定代表人或其委托代理人无需到达开标/磋商现场，仅需在任意地点登录政采云平台https://www.zcygov.cn/进入“政采云远程开标大厅”参加开标/磋商会议，并使用CA密钥完成远程解密、提疑澄清、开标/磋商唱标、二次报价、结果公布等交互环节。</w:t>
      </w:r>
    </w:p>
    <w:p>
      <w:pPr>
        <w:pStyle w:val="19"/>
        <w:spacing w:before="0" w:beforeAutospacing="0" w:after="0" w:afterAutospacing="0"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23.2开标/磋商时，各供应商应在规定的解密时间（30分钟）内对本单位加密的电子响应文件进行解密，如在规定的解密时间内仍有供应商未解密，采购代理机构将采取“异常处理”，开启该单位的备份标书。采购代理机构工作人员在监督人员或公证人员监督下开启响应文件。</w:t>
      </w:r>
    </w:p>
    <w:bookmarkEnd w:id="154"/>
    <w:bookmarkEnd w:id="155"/>
    <w:bookmarkEnd w:id="156"/>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24．</w:t>
      </w:r>
      <w:r>
        <w:rPr>
          <w:rFonts w:hint="eastAsia" w:ascii="仿宋" w:hAnsi="仿宋" w:eastAsia="仿宋" w:cs="仿宋"/>
          <w:bCs w:val="0"/>
          <w:color w:val="000000"/>
          <w:sz w:val="24"/>
          <w:szCs w:val="24"/>
          <w:lang w:eastAsia="zh-CN"/>
        </w:rPr>
        <w:t>成交</w:t>
      </w:r>
      <w:r>
        <w:rPr>
          <w:rFonts w:hint="eastAsia" w:ascii="仿宋" w:hAnsi="仿宋" w:eastAsia="仿宋" w:cs="仿宋"/>
          <w:bCs w:val="0"/>
          <w:color w:val="000000"/>
          <w:sz w:val="24"/>
          <w:szCs w:val="24"/>
        </w:rPr>
        <w:t>通知书</w:t>
      </w:r>
    </w:p>
    <w:p>
      <w:pPr>
        <w:tabs>
          <w:tab w:val="left" w:pos="7665"/>
        </w:tabs>
        <w:spacing w:line="360" w:lineRule="auto"/>
        <w:ind w:firstLine="480" w:firstLineChars="200"/>
        <w:rPr>
          <w:rFonts w:hint="eastAsia" w:ascii="仿宋" w:hAnsi="仿宋" w:eastAsia="仿宋" w:cs="仿宋"/>
          <w:b w:val="0"/>
          <w:bCs w:val="0"/>
          <w:kern w:val="2"/>
          <w:sz w:val="24"/>
          <w:szCs w:val="24"/>
          <w:lang w:val="en-US" w:eastAsia="zh-CN" w:bidi="ar-SA"/>
        </w:rPr>
      </w:pPr>
      <w:bookmarkStart w:id="157" w:name="_Toc217446064"/>
      <w:bookmarkEnd w:id="157"/>
      <w:bookmarkStart w:id="158" w:name="_Toc183582240"/>
      <w:bookmarkStart w:id="159" w:name="_Toc183682377"/>
      <w:r>
        <w:rPr>
          <w:rFonts w:hint="eastAsia" w:ascii="仿宋" w:hAnsi="仿宋" w:eastAsia="仿宋" w:cs="仿宋"/>
          <w:b w:val="0"/>
          <w:bCs w:val="0"/>
          <w:kern w:val="2"/>
          <w:sz w:val="24"/>
          <w:szCs w:val="24"/>
          <w:lang w:val="en-US" w:eastAsia="zh-CN" w:bidi="ar-SA"/>
        </w:rPr>
        <w:t>24.1 成交通知书为签订政府采购合同的依据，是合同的有效组成部分。</w:t>
      </w:r>
    </w:p>
    <w:p>
      <w:pPr>
        <w:tabs>
          <w:tab w:val="left" w:pos="7665"/>
        </w:tabs>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24.2 成交通知书对采购人和成交人均具有法律效力。成交通知书发出后，采购人改变成交结果，或者成交人无正当理由放弃成交的，应当承担相应的法律责任。</w:t>
      </w:r>
    </w:p>
    <w:p>
      <w:pPr>
        <w:tabs>
          <w:tab w:val="left" w:pos="7665"/>
        </w:tabs>
        <w:spacing w:line="36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24．3成交人的响应文件本应作为无效投标处理或者有政府采购法律法规规章制度规定的成交无效情形的，采购代理机构在取得有权主体的认定以后，应当宣布发出的成交通知书无效，并收回发出的成交通知书（成交人也应当缴回），依法重新确定成交人或者重新开展采购活动。</w:t>
      </w:r>
    </w:p>
    <w:p>
      <w:pPr>
        <w:pStyle w:val="18"/>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bCs w:val="0"/>
          <w:color w:val="000000"/>
          <w:sz w:val="24"/>
          <w:szCs w:val="24"/>
        </w:rPr>
      </w:pPr>
      <w:r>
        <w:rPr>
          <w:rFonts w:hint="eastAsia" w:ascii="仿宋" w:hAnsi="仿宋" w:eastAsia="仿宋" w:cs="仿宋"/>
          <w:bCs w:val="0"/>
          <w:color w:val="000000"/>
          <w:sz w:val="24"/>
          <w:szCs w:val="24"/>
        </w:rPr>
        <w:t>六、签订及履行合同和验收</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60" w:name="_Toc217446065"/>
      <w:bookmarkEnd w:id="160"/>
      <w:r>
        <w:rPr>
          <w:rFonts w:hint="eastAsia" w:ascii="仿宋" w:hAnsi="仿宋" w:eastAsia="仿宋" w:cs="仿宋"/>
          <w:color w:val="000000"/>
          <w:sz w:val="24"/>
          <w:szCs w:val="24"/>
        </w:rPr>
        <w:t>25.</w:t>
      </w:r>
      <w:r>
        <w:rPr>
          <w:rFonts w:hint="eastAsia" w:ascii="仿宋" w:hAnsi="仿宋" w:eastAsia="仿宋" w:cs="仿宋"/>
          <w:b w:val="0"/>
          <w:color w:val="000000"/>
          <w:sz w:val="24"/>
          <w:szCs w:val="24"/>
        </w:rPr>
        <w:t xml:space="preserve"> 签订合同</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25.1 </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人在收到</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人发出的《</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通知书》后，应在</w:t>
      </w:r>
      <w:r>
        <w:rPr>
          <w:rFonts w:hint="eastAsia" w:ascii="仿宋" w:hAnsi="仿宋" w:eastAsia="仿宋" w:cs="仿宋"/>
          <w:color w:val="000000"/>
          <w:sz w:val="24"/>
          <w:szCs w:val="24"/>
          <w:lang w:val="en-US" w:eastAsia="zh-CN"/>
        </w:rPr>
        <w:t>法律法规</w:t>
      </w:r>
      <w:r>
        <w:rPr>
          <w:rFonts w:hint="eastAsia" w:ascii="仿宋" w:hAnsi="仿宋" w:eastAsia="仿宋" w:cs="仿宋"/>
          <w:color w:val="000000"/>
          <w:sz w:val="24"/>
          <w:szCs w:val="24"/>
        </w:rPr>
        <w:t>规定的时间内与采购人签订采购合同。由于</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人的原因逾期未与采购人签订采购合同的，将视为放弃</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，取消其</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资格并将按相关规定进行处理。</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25.2 采购人不得向</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人提出任何不合理的要求，作为签订合同的条件，不得与</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人私下订立背离合同实质性内容的任何协议，所签订的合同不得对</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和</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作实质性修改。</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25.3 </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人因不可抗力原因不能履行采购合同或放弃</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的，采购人可以与排在</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人之后第一位的</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候选人签订采购合同，以此类推。</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25.4 </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人在合同签订之后三个工作日内，将签订的合同（一份）送采购代理机构。</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61" w:name="_Toc217446066"/>
      <w:bookmarkEnd w:id="161"/>
      <w:r>
        <w:rPr>
          <w:rFonts w:hint="eastAsia" w:ascii="仿宋" w:hAnsi="仿宋" w:eastAsia="仿宋" w:cs="仿宋"/>
          <w:color w:val="000000"/>
          <w:sz w:val="24"/>
          <w:szCs w:val="24"/>
        </w:rPr>
        <w:t xml:space="preserve">26. </w:t>
      </w:r>
      <w:r>
        <w:rPr>
          <w:rFonts w:hint="eastAsia" w:ascii="仿宋" w:hAnsi="仿宋" w:eastAsia="仿宋" w:cs="仿宋"/>
          <w:b w:val="0"/>
          <w:color w:val="000000"/>
          <w:sz w:val="24"/>
          <w:szCs w:val="24"/>
        </w:rPr>
        <w:t>合同分包</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26.1 </w:t>
      </w:r>
      <w:r>
        <w:rPr>
          <w:rFonts w:hint="eastAsia" w:ascii="仿宋" w:hAnsi="仿宋" w:eastAsia="仿宋" w:cs="仿宋"/>
          <w:color w:val="000000"/>
          <w:sz w:val="24"/>
          <w:szCs w:val="24"/>
          <w:lang w:val="en-US" w:eastAsia="zh-CN"/>
        </w:rPr>
        <w:t>若本项目允许分包的，</w:t>
      </w:r>
      <w:r>
        <w:rPr>
          <w:rFonts w:hint="eastAsia" w:ascii="仿宋" w:hAnsi="仿宋" w:eastAsia="仿宋" w:cs="仿宋"/>
          <w:color w:val="000000"/>
          <w:sz w:val="24"/>
          <w:szCs w:val="24"/>
        </w:rPr>
        <w:t>经采购人同意，</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人可以依法采取分包方式履行合同。这种要求应当在合同签订之前征得采购人同意，并且分包供应商履行的分包项目的品牌、规格型号及技术要求等，必须与</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的一致。</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26.2 采购合同实行分包履行的，</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人就采购项目和分包项目向采购人负责，分包供应商就分包项目承担责任。</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62" w:name="_Toc217446067"/>
      <w:bookmarkEnd w:id="162"/>
      <w:r>
        <w:rPr>
          <w:rFonts w:hint="eastAsia" w:ascii="仿宋" w:hAnsi="仿宋" w:eastAsia="仿宋" w:cs="仿宋"/>
          <w:color w:val="000000"/>
          <w:sz w:val="24"/>
          <w:szCs w:val="24"/>
        </w:rPr>
        <w:t xml:space="preserve">27. </w:t>
      </w:r>
      <w:r>
        <w:rPr>
          <w:rFonts w:hint="eastAsia" w:ascii="仿宋" w:hAnsi="仿宋" w:eastAsia="仿宋" w:cs="仿宋"/>
          <w:b w:val="0"/>
          <w:color w:val="000000"/>
          <w:sz w:val="24"/>
          <w:szCs w:val="24"/>
        </w:rPr>
        <w:t>采购人增加合同标的权利</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采购合同履行过程中，采购人需要追加与合同标的相同的货物或者服务的，在不改变合同其他条款的前提下，可以与</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供应商协商签订补充合同，但所有补充合同的采购金额不得超过原合同采购金额的百分之十。</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63" w:name="_Toc217446068"/>
      <w:bookmarkEnd w:id="163"/>
      <w:r>
        <w:rPr>
          <w:rFonts w:hint="eastAsia" w:ascii="仿宋" w:hAnsi="仿宋" w:eastAsia="仿宋" w:cs="仿宋"/>
          <w:color w:val="000000"/>
          <w:sz w:val="24"/>
          <w:szCs w:val="24"/>
        </w:rPr>
        <w:t xml:space="preserve">28. </w:t>
      </w:r>
      <w:r>
        <w:rPr>
          <w:rFonts w:hint="eastAsia" w:ascii="仿宋" w:hAnsi="仿宋" w:eastAsia="仿宋" w:cs="仿宋"/>
          <w:b w:val="0"/>
          <w:color w:val="000000"/>
          <w:sz w:val="24"/>
          <w:szCs w:val="24"/>
        </w:rPr>
        <w:t>履约保证金</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28.1 </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人应在合同签订之前交纳</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规定数额的履约保证金。</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28.2 如果</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人在规定的合同签订时间内，没有按照</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的规定交纳履约保证金，且又无正当理由的，将视为放弃</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，其交纳的投标保证金将不与退还。</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64" w:name="_Toc217446069"/>
      <w:bookmarkEnd w:id="164"/>
      <w:r>
        <w:rPr>
          <w:rFonts w:hint="eastAsia" w:ascii="仿宋" w:hAnsi="仿宋" w:eastAsia="仿宋" w:cs="仿宋"/>
          <w:color w:val="000000"/>
          <w:sz w:val="24"/>
          <w:szCs w:val="24"/>
        </w:rPr>
        <w:t>29.</w:t>
      </w:r>
      <w:r>
        <w:rPr>
          <w:rFonts w:hint="eastAsia" w:ascii="仿宋" w:hAnsi="仿宋" w:eastAsia="仿宋" w:cs="仿宋"/>
          <w:b w:val="0"/>
          <w:color w:val="000000"/>
          <w:sz w:val="24"/>
          <w:szCs w:val="24"/>
        </w:rPr>
        <w:t xml:space="preserve"> 履行合同</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29.1 </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人与采购人签订合同后，合同双方应严格执行合同条款，履行合同规定的义务，保证合同的顺利完成。</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29.2 在合同履行过程中，如发生合同纠纷，合同双方应按照《合同法》的有关规定进行处理。</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65" w:name="_Toc217446070"/>
      <w:bookmarkEnd w:id="165"/>
      <w:r>
        <w:rPr>
          <w:rFonts w:hint="eastAsia" w:ascii="仿宋" w:hAnsi="仿宋" w:eastAsia="仿宋" w:cs="仿宋"/>
          <w:color w:val="000000"/>
          <w:sz w:val="24"/>
          <w:szCs w:val="24"/>
        </w:rPr>
        <w:t xml:space="preserve">30. </w:t>
      </w:r>
      <w:r>
        <w:rPr>
          <w:rFonts w:hint="eastAsia" w:ascii="仿宋" w:hAnsi="仿宋" w:eastAsia="仿宋" w:cs="仿宋"/>
          <w:b w:val="0"/>
          <w:color w:val="000000"/>
          <w:sz w:val="24"/>
          <w:szCs w:val="24"/>
        </w:rPr>
        <w:t>验收</w:t>
      </w:r>
    </w:p>
    <w:p>
      <w:pPr>
        <w:pStyle w:val="26"/>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bookmarkStart w:id="166" w:name="_Toc217446071"/>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人与采购人应严格按照国家财政部《关于进一步加强政府采购需求和履约验收管理的指导意见》（</w:t>
      </w:r>
      <w:r>
        <w:rPr>
          <w:rFonts w:hint="eastAsia" w:ascii="仿宋" w:hAnsi="仿宋" w:eastAsia="仿宋" w:cs="仿宋"/>
          <w:color w:val="000000"/>
          <w:sz w:val="24"/>
          <w:szCs w:val="24"/>
          <w:shd w:val="clear" w:color="auto" w:fill="FFFFFF"/>
        </w:rPr>
        <w:t>财库〔2016〕205号</w:t>
      </w:r>
      <w:r>
        <w:rPr>
          <w:rFonts w:hint="eastAsia" w:ascii="仿宋" w:hAnsi="仿宋" w:eastAsia="仿宋" w:cs="仿宋"/>
          <w:color w:val="000000"/>
          <w:sz w:val="24"/>
          <w:szCs w:val="24"/>
        </w:rPr>
        <w:t>）的要求进行验收。</w:t>
      </w:r>
    </w:p>
    <w:bookmarkEnd w:id="158"/>
    <w:bookmarkEnd w:id="159"/>
    <w:bookmarkEnd w:id="166"/>
    <w:p>
      <w:pPr>
        <w:pStyle w:val="18"/>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color w:val="000000"/>
          <w:sz w:val="24"/>
          <w:szCs w:val="24"/>
        </w:rPr>
      </w:pPr>
      <w:bookmarkStart w:id="167" w:name="_Toc217446074"/>
      <w:bookmarkEnd w:id="167"/>
      <w:bookmarkStart w:id="168" w:name="_Toc183582243"/>
      <w:bookmarkStart w:id="169" w:name="_Toc183682380"/>
      <w:r>
        <w:rPr>
          <w:rFonts w:hint="eastAsia" w:ascii="仿宋" w:hAnsi="仿宋" w:eastAsia="仿宋" w:cs="仿宋"/>
          <w:color w:val="000000"/>
          <w:sz w:val="24"/>
          <w:szCs w:val="24"/>
        </w:rPr>
        <w:t>七、投标纪律要求</w:t>
      </w:r>
    </w:p>
    <w:p>
      <w:pPr>
        <w:pStyle w:val="19"/>
        <w:pageBreakBefore w:val="0"/>
        <w:widowControl w:val="0"/>
        <w:kinsoku/>
        <w:wordWrap/>
        <w:overflowPunct/>
        <w:topLinePunct w:val="0"/>
        <w:autoSpaceDE/>
        <w:autoSpaceDN/>
        <w:bidi w:val="0"/>
        <w:snapToGrid/>
        <w:spacing w:before="0" w:beforeAutospacing="0" w:after="0" w:afterAutospacing="0" w:line="360" w:lineRule="auto"/>
        <w:ind w:left="0" w:leftChars="0" w:firstLine="482" w:firstLineChars="200"/>
        <w:rPr>
          <w:rFonts w:hint="eastAsia" w:ascii="仿宋" w:hAnsi="仿宋" w:eastAsia="仿宋" w:cs="仿宋"/>
          <w:color w:val="000000"/>
          <w:sz w:val="24"/>
          <w:szCs w:val="24"/>
        </w:rPr>
      </w:pPr>
      <w:bookmarkStart w:id="170" w:name="_Toc217446075"/>
      <w:bookmarkEnd w:id="170"/>
      <w:r>
        <w:rPr>
          <w:rFonts w:hint="eastAsia" w:ascii="仿宋" w:hAnsi="仿宋" w:eastAsia="仿宋" w:cs="仿宋"/>
          <w:color w:val="000000"/>
          <w:sz w:val="24"/>
          <w:szCs w:val="24"/>
        </w:rPr>
        <w:t xml:space="preserve">31. </w:t>
      </w:r>
      <w:r>
        <w:rPr>
          <w:rFonts w:hint="eastAsia" w:ascii="仿宋" w:hAnsi="仿宋" w:eastAsia="仿宋" w:cs="仿宋"/>
          <w:bCs w:val="0"/>
          <w:color w:val="000000"/>
          <w:sz w:val="24"/>
          <w:szCs w:val="24"/>
          <w:lang w:eastAsia="zh-CN"/>
        </w:rPr>
        <w:t>供应商</w:t>
      </w:r>
      <w:r>
        <w:rPr>
          <w:rFonts w:hint="eastAsia" w:ascii="仿宋" w:hAnsi="仿宋" w:eastAsia="仿宋" w:cs="仿宋"/>
          <w:bCs w:val="0"/>
          <w:color w:val="000000"/>
          <w:sz w:val="24"/>
          <w:szCs w:val="24"/>
        </w:rPr>
        <w:t>不得具有的情形</w:t>
      </w:r>
    </w:p>
    <w:p>
      <w:pPr>
        <w:pStyle w:val="26"/>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参加投标不得有下列情形：</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（1）提供虚假材料谋取</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（2）采取不正当手段诋毁、排挤其他</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p>
    <w:p>
      <w:pPr>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（3）与采购单位、其他</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恶意串通；</w:t>
      </w:r>
    </w:p>
    <w:p>
      <w:pPr>
        <w:pStyle w:val="26"/>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（4）向采购单位、</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成员行贿或者提供其他不正当利益；</w:t>
      </w:r>
    </w:p>
    <w:p>
      <w:pPr>
        <w:pStyle w:val="26"/>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（5）在</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过程中与采购单位进行协商谈判；</w:t>
      </w:r>
    </w:p>
    <w:p>
      <w:pPr>
        <w:pStyle w:val="26"/>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（6）拒绝有关部门的监督检查或者向监督检查部门提供虚假情况。</w:t>
      </w:r>
    </w:p>
    <w:p>
      <w:pPr>
        <w:pStyle w:val="26"/>
        <w:pageBreakBefore w:val="0"/>
        <w:widowControl w:val="0"/>
        <w:kinsoku/>
        <w:wordWrap/>
        <w:overflowPunct/>
        <w:topLinePunct w:val="0"/>
        <w:autoSpaceDE/>
        <w:autoSpaceDN/>
        <w:bidi w:val="0"/>
        <w:snapToGrid/>
        <w:spacing w:beforeAutospacing="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有上述情形之一的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，属于不合格</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，其投标或</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资格将被取消。</w:t>
      </w:r>
    </w:p>
    <w:p>
      <w:pPr>
        <w:pStyle w:val="18"/>
        <w:pageBreakBefore w:val="0"/>
        <w:widowControl w:val="0"/>
        <w:kinsoku/>
        <w:wordWrap/>
        <w:overflowPunct/>
        <w:topLinePunct w:val="0"/>
        <w:autoSpaceDE/>
        <w:autoSpaceDN/>
        <w:bidi w:val="0"/>
        <w:spacing w:before="0" w:beforeAutospacing="0" w:after="0" w:afterAutospacing="0" w:line="360" w:lineRule="auto"/>
        <w:ind w:left="0" w:leftChars="0"/>
        <w:jc w:val="center"/>
        <w:rPr>
          <w:rFonts w:hint="eastAsia" w:ascii="仿宋" w:hAnsi="仿宋" w:eastAsia="仿宋" w:cs="仿宋"/>
          <w:color w:val="000000"/>
          <w:sz w:val="24"/>
          <w:szCs w:val="24"/>
          <w:lang w:val="en-US" w:eastAsia="zh-CN"/>
        </w:rPr>
      </w:pPr>
      <w:bookmarkStart w:id="171" w:name="_Toc217446078"/>
      <w:bookmarkEnd w:id="171"/>
      <w:bookmarkStart w:id="172" w:name="_Toc217446079"/>
      <w:r>
        <w:rPr>
          <w:rFonts w:hint="eastAsia" w:ascii="仿宋" w:hAnsi="仿宋" w:eastAsia="仿宋" w:cs="仿宋"/>
          <w:color w:val="000000"/>
          <w:sz w:val="24"/>
          <w:szCs w:val="24"/>
          <w:lang w:val="en-US" w:eastAsia="zh-CN"/>
        </w:rPr>
        <w:t>八</w:t>
      </w:r>
      <w:r>
        <w:rPr>
          <w:rFonts w:hint="eastAsia" w:ascii="仿宋" w:hAnsi="仿宋" w:eastAsia="仿宋" w:cs="仿宋"/>
          <w:color w:val="000000"/>
          <w:sz w:val="24"/>
          <w:szCs w:val="24"/>
        </w:rPr>
        <w:t>、质疑和投诉</w:t>
      </w:r>
    </w:p>
    <w:bookmarkEnd w:id="168"/>
    <w:bookmarkEnd w:id="169"/>
    <w:bookmarkEnd w:id="172"/>
    <w:p>
      <w:pPr>
        <w:pStyle w:val="34"/>
        <w:pageBreakBefore w:val="0"/>
        <w:widowControl w:val="0"/>
        <w:kinsoku/>
        <w:wordWrap/>
        <w:overflowPunct/>
        <w:topLinePunct w:val="0"/>
        <w:autoSpaceDE/>
        <w:autoSpaceDN/>
        <w:bidi w:val="0"/>
        <w:spacing w:beforeAutospacing="0" w:after="0" w:afterAutospacing="0" w:line="360" w:lineRule="auto"/>
        <w:ind w:left="0" w:leftChars="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．质疑、投诉的接收和处理严格按照《中华人共和国政府采购法》、《政府采购质疑和投诉办法》、《财政部关于加强政府采购供应商投诉受理审查工作的通知》的规定办理。</w:t>
      </w:r>
    </w:p>
    <w:p>
      <w:pPr>
        <w:pStyle w:val="34"/>
        <w:pageBreakBefore w:val="0"/>
        <w:widowControl w:val="0"/>
        <w:kinsoku/>
        <w:wordWrap/>
        <w:overflowPunct/>
        <w:topLinePunct w:val="0"/>
        <w:autoSpaceDE/>
        <w:autoSpaceDN/>
        <w:bidi w:val="0"/>
        <w:spacing w:beforeAutospacing="0" w:after="0" w:afterAutospacing="0" w:line="360" w:lineRule="auto"/>
        <w:ind w:left="0" w:leftChars="0" w:firstLine="480" w:firstLineChars="200"/>
        <w:rPr>
          <w:rFonts w:hint="eastAsia" w:ascii="仿宋" w:hAnsi="仿宋" w:eastAsia="仿宋" w:cs="仿宋"/>
          <w:color w:val="000000"/>
          <w:sz w:val="24"/>
          <w:szCs w:val="24"/>
        </w:rPr>
      </w:pPr>
    </w:p>
    <w:p>
      <w:pPr>
        <w:pStyle w:val="17"/>
        <w:keepNext/>
        <w:keepLines/>
        <w:pageBreakBefore w:val="0"/>
        <w:widowControl w:val="0"/>
        <w:kinsoku/>
        <w:wordWrap/>
        <w:overflowPunct/>
        <w:topLinePunct w:val="0"/>
        <w:autoSpaceDE/>
        <w:autoSpaceDN/>
        <w:bidi w:val="0"/>
        <w:snapToGrid/>
        <w:spacing w:beforeAutospacing="0" w:after="340" w:afterAutospacing="0" w:line="400" w:lineRule="exact"/>
        <w:jc w:val="center"/>
        <w:rPr>
          <w:rFonts w:hint="eastAsia" w:ascii="仿宋" w:hAnsi="仿宋" w:eastAsia="仿宋" w:cs="仿宋"/>
          <w:color w:val="000000"/>
          <w:sz w:val="24"/>
          <w:szCs w:val="24"/>
        </w:rPr>
      </w:pPr>
      <w:bookmarkStart w:id="173" w:name="_Toc12593"/>
      <w:bookmarkEnd w:id="173"/>
      <w:bookmarkStart w:id="174" w:name="_Toc5850_WPSOffice_Level1"/>
      <w:bookmarkEnd w:id="174"/>
      <w:bookmarkStart w:id="175" w:name="_Toc10244"/>
      <w:bookmarkEnd w:id="175"/>
      <w:r>
        <w:rPr>
          <w:rFonts w:hint="eastAsia" w:ascii="仿宋" w:hAnsi="仿宋" w:eastAsia="仿宋" w:cs="仿宋"/>
          <w:color w:val="000000"/>
          <w:sz w:val="24"/>
          <w:szCs w:val="24"/>
        </w:rPr>
        <w:br w:type="page"/>
      </w:r>
      <w:bookmarkStart w:id="176" w:name="_Toc3261"/>
      <w:r>
        <w:rPr>
          <w:rFonts w:hint="eastAsia" w:ascii="仿宋" w:hAnsi="仿宋" w:eastAsia="仿宋" w:cs="仿宋"/>
        </w:rPr>
        <w:t xml:space="preserve">第三章 </w:t>
      </w:r>
      <w:r>
        <w:rPr>
          <w:rFonts w:hint="eastAsia" w:ascii="仿宋" w:hAnsi="仿宋" w:eastAsia="仿宋" w:cs="仿宋"/>
          <w:lang w:val="en-US" w:eastAsia="zh-CN"/>
        </w:rPr>
        <w:t xml:space="preserve"> </w:t>
      </w:r>
      <w:r>
        <w:rPr>
          <w:rFonts w:hint="eastAsia" w:ascii="仿宋" w:hAnsi="仿宋" w:eastAsia="仿宋" w:cs="仿宋"/>
          <w:lang w:eastAsia="zh-CN"/>
        </w:rPr>
        <w:t>响应文件</w:t>
      </w:r>
      <w:r>
        <w:rPr>
          <w:rFonts w:hint="eastAsia" w:ascii="仿宋" w:hAnsi="仿宋" w:eastAsia="仿宋" w:cs="仿宋"/>
        </w:rPr>
        <w:t>格式</w:t>
      </w:r>
      <w:bookmarkEnd w:id="176"/>
    </w:p>
    <w:p>
      <w:pPr>
        <w:pStyle w:val="18"/>
        <w:spacing w:beforeAutospacing="0" w:afterAutospacing="0" w:line="400" w:lineRule="exact"/>
        <w:jc w:val="center"/>
        <w:rPr>
          <w:rFonts w:hint="eastAsia" w:ascii="仿宋" w:hAnsi="仿宋" w:eastAsia="仿宋" w:cs="仿宋"/>
          <w:color w:val="000000"/>
          <w:sz w:val="28"/>
          <w:szCs w:val="28"/>
        </w:rPr>
      </w:pPr>
      <w:bookmarkStart w:id="177" w:name="_Toc217446082"/>
      <w:bookmarkEnd w:id="177"/>
      <w:r>
        <w:rPr>
          <w:rFonts w:hint="eastAsia" w:ascii="仿宋" w:hAnsi="仿宋" w:eastAsia="仿宋" w:cs="仿宋"/>
          <w:color w:val="000000"/>
          <w:sz w:val="28"/>
          <w:szCs w:val="28"/>
        </w:rPr>
        <w:t>一、投 标 函</w:t>
      </w:r>
    </w:p>
    <w:p>
      <w:pPr>
        <w:pStyle w:val="34"/>
        <w:spacing w:beforeAutospacing="0" w:afterAutospacing="0" w:line="24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__________________（采购代理机构名称）：</w:t>
      </w:r>
    </w:p>
    <w:p>
      <w:pPr>
        <w:pStyle w:val="3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我方全面研究了 “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val="en-US" w:eastAsia="zh-CN"/>
        </w:rPr>
        <w:t>项目名称、采购</w:t>
      </w:r>
      <w:r>
        <w:rPr>
          <w:rFonts w:hint="eastAsia" w:ascii="仿宋" w:hAnsi="仿宋" w:eastAsia="仿宋" w:cs="仿宋"/>
          <w:bCs/>
          <w:color w:val="000000"/>
          <w:sz w:val="24"/>
          <w:szCs w:val="24"/>
        </w:rPr>
        <w:t>编号）”项目</w:t>
      </w:r>
      <w:r>
        <w:rPr>
          <w:rFonts w:hint="eastAsia" w:ascii="仿宋" w:hAnsi="仿宋" w:eastAsia="仿宋" w:cs="仿宋"/>
          <w:bCs/>
          <w:color w:val="000000"/>
          <w:sz w:val="24"/>
          <w:szCs w:val="24"/>
          <w:lang w:eastAsia="zh-CN"/>
        </w:rPr>
        <w:t>磋商文件</w:t>
      </w:r>
      <w:r>
        <w:rPr>
          <w:rFonts w:hint="eastAsia" w:ascii="仿宋" w:hAnsi="仿宋" w:eastAsia="仿宋" w:cs="仿宋"/>
          <w:bCs/>
          <w:color w:val="000000"/>
          <w:sz w:val="24"/>
          <w:szCs w:val="24"/>
        </w:rPr>
        <w:t>，决定参加贵单位组织的本项目投标。我方授权</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（姓名、职务）代表我方</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（投标单位的名称）全权处理本项目投标的有关事宜。</w:t>
      </w:r>
    </w:p>
    <w:p>
      <w:pPr>
        <w:pStyle w:val="3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1、我方自愿按照</w:t>
      </w:r>
      <w:r>
        <w:rPr>
          <w:rFonts w:hint="eastAsia" w:ascii="仿宋" w:hAnsi="仿宋" w:eastAsia="仿宋" w:cs="仿宋"/>
          <w:bCs/>
          <w:color w:val="000000"/>
          <w:sz w:val="24"/>
          <w:szCs w:val="24"/>
          <w:lang w:eastAsia="zh-CN"/>
        </w:rPr>
        <w:t>磋商文件</w:t>
      </w:r>
      <w:r>
        <w:rPr>
          <w:rFonts w:hint="eastAsia" w:ascii="仿宋" w:hAnsi="仿宋" w:eastAsia="仿宋" w:cs="仿宋"/>
          <w:bCs/>
          <w:color w:val="000000"/>
          <w:sz w:val="24"/>
          <w:szCs w:val="24"/>
        </w:rPr>
        <w:t>规定的各项要求向采购人提供所需服务，总投标价为人民币</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元（大写：</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 xml:space="preserve"> ）</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lang w:val="en-US" w:eastAsia="zh-CN"/>
        </w:rPr>
        <w:t>投标有效期</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lang w:val="en-US" w:eastAsia="zh-CN"/>
        </w:rPr>
        <w:t>日历天</w:t>
      </w:r>
      <w:r>
        <w:rPr>
          <w:rFonts w:hint="eastAsia" w:ascii="仿宋" w:hAnsi="仿宋" w:eastAsia="仿宋" w:cs="仿宋"/>
          <w:bCs/>
          <w:color w:val="000000"/>
          <w:sz w:val="24"/>
          <w:szCs w:val="24"/>
        </w:rPr>
        <w:t>。</w:t>
      </w:r>
    </w:p>
    <w:p>
      <w:pPr>
        <w:pStyle w:val="3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2、一旦我方</w:t>
      </w:r>
      <w:r>
        <w:rPr>
          <w:rFonts w:hint="eastAsia" w:ascii="仿宋" w:hAnsi="仿宋" w:eastAsia="仿宋" w:cs="仿宋"/>
          <w:bCs/>
          <w:color w:val="000000"/>
          <w:sz w:val="24"/>
          <w:szCs w:val="24"/>
          <w:lang w:eastAsia="zh-CN"/>
        </w:rPr>
        <w:t>成交</w:t>
      </w:r>
      <w:r>
        <w:rPr>
          <w:rFonts w:hint="eastAsia" w:ascii="仿宋" w:hAnsi="仿宋" w:eastAsia="仿宋" w:cs="仿宋"/>
          <w:bCs/>
          <w:color w:val="000000"/>
          <w:sz w:val="24"/>
          <w:szCs w:val="24"/>
        </w:rPr>
        <w:t>，我方将严格履行合同规定的责任和义务，保证于合同签字生效后完成应尽义务，并交付采购人验收、使用。</w:t>
      </w:r>
    </w:p>
    <w:p>
      <w:pPr>
        <w:pStyle w:val="3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3、我方同意按照</w:t>
      </w:r>
      <w:r>
        <w:rPr>
          <w:rFonts w:hint="eastAsia" w:ascii="仿宋" w:hAnsi="仿宋" w:eastAsia="仿宋" w:cs="仿宋"/>
          <w:bCs/>
          <w:color w:val="000000"/>
          <w:sz w:val="24"/>
          <w:szCs w:val="24"/>
          <w:lang w:eastAsia="zh-CN"/>
        </w:rPr>
        <w:t>磋商文件</w:t>
      </w:r>
      <w:r>
        <w:rPr>
          <w:rFonts w:hint="eastAsia" w:ascii="仿宋" w:hAnsi="仿宋" w:eastAsia="仿宋" w:cs="仿宋"/>
          <w:bCs/>
          <w:color w:val="000000"/>
          <w:sz w:val="24"/>
          <w:szCs w:val="24"/>
        </w:rPr>
        <w:t>的要求，向贵单位交纳人民币</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元（大写：</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）的投标保证金。并承诺：下列任何情况发生时，我方将不要求退还投标保证金：</w:t>
      </w:r>
    </w:p>
    <w:p>
      <w:pPr>
        <w:pStyle w:val="3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（1）如果我方在投标有效期内撤回投标；</w:t>
      </w:r>
    </w:p>
    <w:p>
      <w:pPr>
        <w:pStyle w:val="3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（2）我方提供了虚假响应</w:t>
      </w:r>
      <w:r>
        <w:rPr>
          <w:rFonts w:hint="eastAsia" w:ascii="仿宋" w:hAnsi="仿宋" w:eastAsia="仿宋" w:cs="仿宋"/>
          <w:bCs/>
          <w:color w:val="000000"/>
          <w:sz w:val="24"/>
          <w:szCs w:val="24"/>
          <w:lang w:eastAsia="zh-CN"/>
        </w:rPr>
        <w:t>磋商文件</w:t>
      </w:r>
      <w:r>
        <w:rPr>
          <w:rFonts w:hint="eastAsia" w:ascii="仿宋" w:hAnsi="仿宋" w:eastAsia="仿宋" w:cs="仿宋"/>
          <w:bCs/>
          <w:color w:val="000000"/>
          <w:sz w:val="24"/>
          <w:szCs w:val="24"/>
        </w:rPr>
        <w:t>的</w:t>
      </w:r>
      <w:r>
        <w:rPr>
          <w:rFonts w:hint="eastAsia" w:ascii="仿宋" w:hAnsi="仿宋" w:eastAsia="仿宋" w:cs="仿宋"/>
          <w:bCs/>
          <w:color w:val="000000"/>
          <w:sz w:val="24"/>
          <w:szCs w:val="24"/>
          <w:lang w:eastAsia="zh-CN"/>
        </w:rPr>
        <w:t>响应文件</w:t>
      </w:r>
      <w:r>
        <w:rPr>
          <w:rFonts w:hint="eastAsia" w:ascii="仿宋" w:hAnsi="仿宋" w:eastAsia="仿宋" w:cs="仿宋"/>
          <w:bCs/>
          <w:color w:val="000000"/>
          <w:sz w:val="24"/>
          <w:szCs w:val="24"/>
        </w:rPr>
        <w:t>；</w:t>
      </w:r>
    </w:p>
    <w:p>
      <w:pPr>
        <w:pStyle w:val="3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（3）在投标过程中有违规违纪行为；</w:t>
      </w:r>
    </w:p>
    <w:p>
      <w:pPr>
        <w:pStyle w:val="3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（4）我方在投标有效期内收到</w:t>
      </w:r>
      <w:r>
        <w:rPr>
          <w:rFonts w:hint="eastAsia" w:ascii="仿宋" w:hAnsi="仿宋" w:eastAsia="仿宋" w:cs="仿宋"/>
          <w:bCs/>
          <w:color w:val="000000"/>
          <w:sz w:val="24"/>
          <w:szCs w:val="24"/>
          <w:lang w:eastAsia="zh-CN"/>
        </w:rPr>
        <w:t>成交</w:t>
      </w:r>
      <w:r>
        <w:rPr>
          <w:rFonts w:hint="eastAsia" w:ascii="仿宋" w:hAnsi="仿宋" w:eastAsia="仿宋" w:cs="仿宋"/>
          <w:bCs/>
          <w:color w:val="000000"/>
          <w:sz w:val="24"/>
          <w:szCs w:val="24"/>
        </w:rPr>
        <w:t>通知书后，由于我方原因未能按照</w:t>
      </w:r>
      <w:r>
        <w:rPr>
          <w:rFonts w:hint="eastAsia" w:ascii="仿宋" w:hAnsi="仿宋" w:eastAsia="仿宋" w:cs="仿宋"/>
          <w:bCs/>
          <w:color w:val="000000"/>
          <w:sz w:val="24"/>
          <w:szCs w:val="24"/>
          <w:lang w:eastAsia="zh-CN"/>
        </w:rPr>
        <w:t>磋商文件</w:t>
      </w:r>
      <w:r>
        <w:rPr>
          <w:rFonts w:hint="eastAsia" w:ascii="仿宋" w:hAnsi="仿宋" w:eastAsia="仿宋" w:cs="仿宋"/>
          <w:bCs/>
          <w:color w:val="000000"/>
          <w:sz w:val="24"/>
          <w:szCs w:val="24"/>
        </w:rPr>
        <w:t>要求提交履约保证金或与采购人签订并履行合同。</w:t>
      </w:r>
    </w:p>
    <w:p>
      <w:pPr>
        <w:pStyle w:val="3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4、我方为本项目提交的</w:t>
      </w:r>
      <w:r>
        <w:rPr>
          <w:rFonts w:hint="eastAsia" w:ascii="仿宋" w:hAnsi="仿宋" w:eastAsia="仿宋" w:cs="仿宋"/>
          <w:bCs/>
          <w:color w:val="000000"/>
          <w:sz w:val="24"/>
          <w:szCs w:val="24"/>
          <w:lang w:eastAsia="zh-CN"/>
        </w:rPr>
        <w:t>响应文件</w:t>
      </w:r>
      <w:r>
        <w:rPr>
          <w:rFonts w:hint="eastAsia" w:ascii="仿宋" w:hAnsi="仿宋" w:eastAsia="仿宋" w:cs="仿宋"/>
          <w:bCs/>
          <w:color w:val="000000"/>
          <w:sz w:val="24"/>
          <w:szCs w:val="24"/>
          <w:lang w:val="en-US" w:eastAsia="zh-CN"/>
        </w:rPr>
        <w:t>满足磋商文件供应商须知前附表要求</w:t>
      </w:r>
      <w:r>
        <w:rPr>
          <w:rFonts w:hint="eastAsia" w:ascii="仿宋" w:hAnsi="仿宋" w:eastAsia="仿宋" w:cs="仿宋"/>
          <w:bCs/>
          <w:color w:val="000000"/>
          <w:sz w:val="24"/>
          <w:szCs w:val="24"/>
        </w:rPr>
        <w:t>。</w:t>
      </w:r>
    </w:p>
    <w:p>
      <w:pPr>
        <w:pStyle w:val="3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5、我方愿意提供</w:t>
      </w:r>
      <w:r>
        <w:rPr>
          <w:rFonts w:hint="eastAsia" w:ascii="仿宋" w:hAnsi="仿宋" w:eastAsia="仿宋" w:cs="仿宋"/>
          <w:bCs/>
          <w:color w:val="000000"/>
          <w:sz w:val="24"/>
          <w:szCs w:val="24"/>
          <w:lang w:val="en-US" w:eastAsia="zh-CN"/>
        </w:rPr>
        <w:t>采购人</w:t>
      </w:r>
      <w:r>
        <w:rPr>
          <w:rFonts w:hint="eastAsia" w:ascii="仿宋" w:hAnsi="仿宋" w:eastAsia="仿宋" w:cs="仿宋"/>
          <w:bCs/>
          <w:color w:val="000000"/>
          <w:sz w:val="24"/>
          <w:szCs w:val="24"/>
        </w:rPr>
        <w:t>可能另外要求的，与投标有关的文件资料，并保证我方已提供和将要提供的文件资料是真实、准确的。</w:t>
      </w:r>
    </w:p>
    <w:p>
      <w:pPr>
        <w:pStyle w:val="3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6、我方完全理解采购人不一定将合同授予最低报价的</w:t>
      </w:r>
      <w:r>
        <w:rPr>
          <w:rFonts w:hint="eastAsia" w:ascii="仿宋" w:hAnsi="仿宋" w:eastAsia="仿宋" w:cs="仿宋"/>
          <w:bCs/>
          <w:color w:val="000000"/>
          <w:sz w:val="24"/>
          <w:szCs w:val="24"/>
          <w:lang w:eastAsia="zh-CN"/>
        </w:rPr>
        <w:t>供应商</w:t>
      </w:r>
      <w:r>
        <w:rPr>
          <w:rFonts w:hint="eastAsia" w:ascii="仿宋" w:hAnsi="仿宋" w:eastAsia="仿宋" w:cs="仿宋"/>
          <w:bCs/>
          <w:color w:val="000000"/>
          <w:sz w:val="24"/>
          <w:szCs w:val="24"/>
        </w:rPr>
        <w:t>的行为。</w:t>
      </w:r>
    </w:p>
    <w:p>
      <w:pPr>
        <w:pStyle w:val="34"/>
        <w:spacing w:beforeAutospacing="0" w:afterAutospacing="0" w:line="240" w:lineRule="auto"/>
        <w:ind w:firstLine="480" w:firstLineChars="20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lang w:eastAsia="zh-CN"/>
        </w:rPr>
        <w:t>供应商</w:t>
      </w:r>
      <w:r>
        <w:rPr>
          <w:rFonts w:hint="eastAsia" w:ascii="仿宋" w:hAnsi="仿宋" w:eastAsia="仿宋" w:cs="仿宋"/>
          <w:bCs/>
          <w:color w:val="000000"/>
          <w:sz w:val="24"/>
          <w:szCs w:val="24"/>
        </w:rPr>
        <w:t>名称：</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（盖章）</w:t>
      </w:r>
    </w:p>
    <w:p>
      <w:pPr>
        <w:pStyle w:val="3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法定代表人或授权代表（签字）：</w:t>
      </w:r>
    </w:p>
    <w:p>
      <w:pPr>
        <w:pStyle w:val="3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通讯地址：</w:t>
      </w:r>
    </w:p>
    <w:p>
      <w:pPr>
        <w:pStyle w:val="3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联系电话：</w:t>
      </w:r>
    </w:p>
    <w:p>
      <w:pPr>
        <w:pStyle w:val="34"/>
        <w:spacing w:beforeAutospacing="0" w:afterAutospacing="0" w:line="24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日    期：</w:t>
      </w:r>
    </w:p>
    <w:p>
      <w:pPr>
        <w:pStyle w:val="34"/>
        <w:spacing w:beforeAutospacing="0" w:afterAutospacing="0" w:line="240" w:lineRule="auto"/>
        <w:ind w:firstLine="480" w:firstLineChars="200"/>
        <w:rPr>
          <w:rFonts w:hint="eastAsia" w:ascii="仿宋" w:hAnsi="仿宋" w:eastAsia="仿宋" w:cs="仿宋"/>
          <w:bCs/>
          <w:color w:val="000000"/>
          <w:sz w:val="24"/>
          <w:szCs w:val="24"/>
        </w:rPr>
      </w:pPr>
    </w:p>
    <w:p>
      <w:pPr>
        <w:pStyle w:val="34"/>
        <w:spacing w:beforeAutospacing="0" w:afterAutospacing="0" w:line="240" w:lineRule="auto"/>
        <w:ind w:firstLine="480" w:firstLineChars="200"/>
        <w:rPr>
          <w:rFonts w:hint="eastAsia" w:ascii="仿宋" w:hAnsi="仿宋" w:eastAsia="仿宋" w:cs="仿宋"/>
          <w:bCs/>
          <w:color w:val="000000"/>
          <w:sz w:val="24"/>
          <w:szCs w:val="24"/>
        </w:rPr>
      </w:pPr>
    </w:p>
    <w:p>
      <w:pPr>
        <w:pStyle w:val="34"/>
        <w:spacing w:beforeAutospacing="0" w:afterAutospacing="0" w:line="240" w:lineRule="auto"/>
        <w:ind w:firstLine="480" w:firstLineChars="200"/>
        <w:rPr>
          <w:rFonts w:hint="eastAsia" w:ascii="仿宋" w:hAnsi="仿宋" w:eastAsia="仿宋" w:cs="仿宋"/>
          <w:bCs/>
          <w:color w:val="000000"/>
          <w:sz w:val="24"/>
          <w:szCs w:val="24"/>
        </w:rPr>
      </w:pPr>
    </w:p>
    <w:p>
      <w:pPr>
        <w:pStyle w:val="8"/>
        <w:spacing w:line="280" w:lineRule="exact"/>
        <w:ind w:left="0" w:leftChars="0" w:firstLine="0" w:firstLineChars="0"/>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附：投标保证金缴纳凭证</w:t>
      </w:r>
    </w:p>
    <w:p>
      <w:pPr>
        <w:jc w:val="center"/>
        <w:outlineLvl w:val="0"/>
        <w:rPr>
          <w:rFonts w:hint="eastAsia" w:ascii="仿宋" w:hAnsi="仿宋" w:eastAsia="仿宋" w:cs="仿宋"/>
          <w:b/>
          <w:bCs w:val="0"/>
          <w:sz w:val="28"/>
          <w:szCs w:val="28"/>
          <w:lang w:val="en-US" w:eastAsia="zh-CN"/>
        </w:rPr>
      </w:pPr>
      <w:bookmarkStart w:id="178" w:name="_Toc9237"/>
    </w:p>
    <w:p>
      <w:pPr>
        <w:jc w:val="center"/>
        <w:outlineLvl w:val="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投标保证金</w:t>
      </w:r>
      <w:bookmarkEnd w:id="178"/>
    </w:p>
    <w:p>
      <w:pPr>
        <w:jc w:val="center"/>
        <w:rPr>
          <w:rFonts w:hint="eastAsia" w:ascii="仿宋" w:hAnsi="仿宋" w:eastAsia="仿宋" w:cs="仿宋"/>
          <w:b w:val="0"/>
          <w:bCs/>
          <w:sz w:val="28"/>
          <w:szCs w:val="28"/>
          <w:lang w:val="en-US" w:eastAsia="zh-CN"/>
        </w:rPr>
      </w:pPr>
    </w:p>
    <w:p>
      <w:pPr>
        <w:pStyle w:val="6"/>
        <w:spacing w:line="6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投标保证金为银行电汇、银行保函，需提供以下证明材料：</w:t>
      </w:r>
    </w:p>
    <w:p>
      <w:pPr>
        <w:pStyle w:val="6"/>
        <w:numPr>
          <w:ilvl w:val="0"/>
          <w:numId w:val="5"/>
        </w:numPr>
        <w:spacing w:line="6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采用</w:t>
      </w:r>
      <w:r>
        <w:rPr>
          <w:rFonts w:hint="eastAsia" w:ascii="仿宋" w:hAnsi="仿宋" w:eastAsia="仿宋" w:cs="仿宋"/>
          <w:sz w:val="24"/>
          <w:szCs w:val="24"/>
        </w:rPr>
        <w:t>银行电汇</w:t>
      </w:r>
      <w:r>
        <w:rPr>
          <w:rFonts w:hint="eastAsia" w:ascii="仿宋" w:hAnsi="仿宋" w:eastAsia="仿宋" w:cs="仿宋"/>
          <w:sz w:val="24"/>
          <w:szCs w:val="24"/>
          <w:lang w:eastAsia="zh-CN"/>
        </w:rPr>
        <w:t>：</w:t>
      </w:r>
      <w:r>
        <w:rPr>
          <w:rFonts w:hint="eastAsia" w:ascii="仿宋" w:hAnsi="仿宋" w:eastAsia="仿宋" w:cs="仿宋"/>
          <w:sz w:val="24"/>
          <w:szCs w:val="24"/>
        </w:rPr>
        <w:t>需在投标文件中提供银行电汇单复印件或网银转账凭证打印件和基本账户开户许可证复印件（或企业所在省份发布的关于取消企业银行账户许可的通知复印件及基本存款账户开户银行打印的《基本存款账户信息》）。</w:t>
      </w:r>
    </w:p>
    <w:p>
      <w:pPr>
        <w:pStyle w:val="6"/>
        <w:numPr>
          <w:ilvl w:val="0"/>
          <w:numId w:val="5"/>
        </w:numPr>
        <w:spacing w:line="6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采用</w:t>
      </w:r>
      <w:r>
        <w:rPr>
          <w:rFonts w:hint="eastAsia" w:ascii="仿宋" w:hAnsi="仿宋" w:eastAsia="仿宋" w:cs="仿宋"/>
          <w:sz w:val="24"/>
          <w:szCs w:val="24"/>
        </w:rPr>
        <w:t>银行保函</w:t>
      </w:r>
      <w:r>
        <w:rPr>
          <w:rFonts w:hint="eastAsia" w:ascii="仿宋" w:hAnsi="仿宋" w:eastAsia="仿宋" w:cs="仿宋"/>
          <w:sz w:val="24"/>
          <w:szCs w:val="24"/>
          <w:lang w:eastAsia="zh-CN"/>
        </w:rPr>
        <w:t>：</w:t>
      </w:r>
      <w:r>
        <w:rPr>
          <w:rFonts w:hint="eastAsia" w:ascii="仿宋" w:hAnsi="仿宋" w:eastAsia="仿宋" w:cs="仿宋"/>
          <w:sz w:val="24"/>
          <w:szCs w:val="24"/>
        </w:rPr>
        <w:t>需在投标文件中提供</w:t>
      </w:r>
      <w:r>
        <w:rPr>
          <w:rFonts w:hint="eastAsia" w:ascii="仿宋" w:hAnsi="仿宋" w:eastAsia="仿宋" w:cs="仿宋"/>
          <w:sz w:val="24"/>
          <w:szCs w:val="24"/>
          <w:lang w:val="en-US" w:eastAsia="zh-CN"/>
        </w:rPr>
        <w:t>投标保证金保函。</w:t>
      </w:r>
    </w:p>
    <w:p>
      <w:pPr>
        <w:pStyle w:val="34"/>
        <w:spacing w:beforeAutospacing="0" w:afterAutospacing="0" w:line="240" w:lineRule="auto"/>
        <w:ind w:left="0" w:leftChars="0" w:firstLine="0" w:firstLineChars="0"/>
        <w:rPr>
          <w:rFonts w:hint="eastAsia" w:ascii="仿宋" w:hAnsi="仿宋" w:eastAsia="仿宋" w:cs="仿宋"/>
          <w:bCs/>
          <w:color w:val="000000"/>
          <w:sz w:val="24"/>
          <w:szCs w:val="24"/>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bookmarkStart w:id="179" w:name="_Toc217446083"/>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color w:val="000000"/>
          <w:sz w:val="28"/>
          <w:szCs w:val="28"/>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color w:val="000000"/>
          <w:sz w:val="28"/>
          <w:szCs w:val="28"/>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color w:val="000000"/>
          <w:sz w:val="28"/>
          <w:szCs w:val="28"/>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color w:val="000000"/>
          <w:sz w:val="28"/>
          <w:szCs w:val="28"/>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8"/>
          <w:szCs w:val="28"/>
          <w:lang w:val="en-US" w:eastAsia="zh-CN"/>
        </w:rPr>
        <w:t>二、身份证明书及</w:t>
      </w:r>
      <w:r>
        <w:rPr>
          <w:rFonts w:hint="eastAsia" w:ascii="仿宋" w:hAnsi="仿宋" w:eastAsia="仿宋" w:cs="仿宋"/>
          <w:color w:val="000000"/>
          <w:sz w:val="28"/>
          <w:szCs w:val="28"/>
        </w:rPr>
        <w:t>授权书</w:t>
      </w:r>
    </w:p>
    <w:p>
      <w:pPr>
        <w:numPr>
          <w:ilvl w:val="0"/>
          <w:numId w:val="0"/>
        </w:numPr>
        <w:jc w:val="center"/>
        <w:rPr>
          <w:rFonts w:hint="eastAsia" w:ascii="仿宋" w:hAnsi="仿宋" w:eastAsia="仿宋" w:cs="仿宋"/>
          <w:b/>
          <w:bCs/>
          <w:color w:val="000000"/>
          <w:sz w:val="24"/>
          <w:szCs w:val="24"/>
        </w:rPr>
      </w:pPr>
    </w:p>
    <w:p>
      <w:pPr>
        <w:numPr>
          <w:ilvl w:val="0"/>
          <w:numId w:val="0"/>
        </w:num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法定代表人</w:t>
      </w:r>
      <w:r>
        <w:rPr>
          <w:rFonts w:hint="eastAsia" w:ascii="仿宋" w:hAnsi="仿宋" w:eastAsia="仿宋" w:cs="仿宋"/>
          <w:b/>
          <w:bCs/>
          <w:color w:val="000000"/>
          <w:sz w:val="24"/>
          <w:szCs w:val="24"/>
          <w:lang w:val="en-US" w:eastAsia="zh-CN"/>
        </w:rPr>
        <w:t>身份</w:t>
      </w:r>
      <w:r>
        <w:rPr>
          <w:rFonts w:hint="eastAsia" w:ascii="仿宋" w:hAnsi="仿宋" w:eastAsia="仿宋" w:cs="仿宋"/>
          <w:b/>
          <w:bCs/>
          <w:color w:val="000000"/>
          <w:sz w:val="24"/>
          <w:szCs w:val="24"/>
        </w:rPr>
        <w:t>证明书</w:t>
      </w:r>
    </w:p>
    <w:p>
      <w:pPr>
        <w:spacing w:beforeAutospacing="0" w:afterAutospacing="0" w:line="9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单位名称：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w:t>
      </w:r>
    </w:p>
    <w:p>
      <w:pPr>
        <w:spacing w:beforeAutospacing="0" w:afterAutospacing="0" w:line="9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地    址：                                             </w:t>
      </w:r>
    </w:p>
    <w:p>
      <w:pPr>
        <w:spacing w:beforeAutospacing="0" w:afterAutospacing="0" w:line="9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姓    名：       性别：       年龄：      职务：       </w:t>
      </w:r>
    </w:p>
    <w:p>
      <w:pPr>
        <w:spacing w:beforeAutospacing="0" w:afterAutospacing="0" w:line="9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pPr>
        <w:spacing w:beforeAutospacing="0" w:afterAutospacing="0" w:line="9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系</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的法定代表人。为</w:t>
      </w:r>
      <w:r>
        <w:rPr>
          <w:rFonts w:hint="eastAsia" w:ascii="仿宋" w:hAnsi="仿宋" w:eastAsia="仿宋" w:cs="仿宋"/>
          <w:color w:val="000000"/>
          <w:sz w:val="24"/>
          <w:szCs w:val="24"/>
          <w:lang w:val="en-US" w:eastAsia="zh-CN"/>
        </w:rPr>
        <w:t>服务</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项目名称），签署上述</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、进行合同谈判、签署合同和处理与之有关的一切事务。</w:t>
      </w:r>
    </w:p>
    <w:p>
      <w:pPr>
        <w:spacing w:beforeAutospacing="0" w:afterAutospacing="0" w:line="9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特此证明。</w:t>
      </w:r>
    </w:p>
    <w:p>
      <w:pPr>
        <w:spacing w:beforeAutospacing="0" w:afterAutospacing="0" w:line="900" w:lineRule="exact"/>
        <w:ind w:firstLine="3120" w:firstLineChars="1300"/>
        <w:rPr>
          <w:rFonts w:hint="eastAsia" w:ascii="仿宋" w:hAnsi="仿宋" w:eastAsia="仿宋" w:cs="仿宋"/>
          <w:color w:val="000000"/>
          <w:sz w:val="24"/>
          <w:szCs w:val="24"/>
        </w:rPr>
      </w:pPr>
      <w:r>
        <w:rPr>
          <w:rFonts w:hint="eastAsia" w:ascii="仿宋" w:hAnsi="仿宋" w:eastAsia="仿宋" w:cs="仿宋"/>
          <w:color w:val="000000"/>
          <w:sz w:val="24"/>
          <w:szCs w:val="24"/>
        </w:rPr>
        <w:t>投标单位：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w:t>
      </w:r>
      <w:r>
        <w:rPr>
          <w:rFonts w:hint="eastAsia" w:ascii="仿宋" w:hAnsi="仿宋" w:eastAsia="仿宋" w:cs="仿宋"/>
          <w:color w:val="000000"/>
          <w:sz w:val="24"/>
          <w:szCs w:val="24"/>
          <w:u w:val="single"/>
          <w:lang w:val="en-US" w:eastAsia="zh-CN"/>
        </w:rPr>
        <w:t>公章</w:t>
      </w:r>
      <w:r>
        <w:rPr>
          <w:rFonts w:hint="eastAsia" w:ascii="仿宋" w:hAnsi="仿宋" w:eastAsia="仿宋" w:cs="仿宋"/>
          <w:color w:val="000000"/>
          <w:sz w:val="24"/>
          <w:szCs w:val="24"/>
          <w:u w:val="single"/>
        </w:rPr>
        <w:t xml:space="preserve">） </w:t>
      </w:r>
    </w:p>
    <w:p>
      <w:pPr>
        <w:spacing w:beforeAutospacing="0" w:afterAutospacing="0" w:line="900" w:lineRule="exact"/>
        <w:ind w:firstLine="3240" w:firstLineChars="135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日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期：      年     月    日</w:t>
      </w:r>
    </w:p>
    <w:p>
      <w:pPr>
        <w:spacing w:beforeAutospacing="0" w:afterAutospacing="0" w:line="50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附法人身份证扫描件</w:t>
      </w:r>
    </w:p>
    <w:p>
      <w:pPr>
        <w:numPr>
          <w:ilvl w:val="0"/>
          <w:numId w:val="0"/>
        </w:numPr>
        <w:jc w:val="center"/>
        <w:rPr>
          <w:rFonts w:hint="eastAsia" w:ascii="仿宋" w:hAnsi="仿宋" w:eastAsia="仿宋" w:cs="仿宋"/>
          <w:b/>
          <w:bCs/>
          <w:color w:val="000000"/>
          <w:sz w:val="24"/>
          <w:szCs w:val="24"/>
        </w:rPr>
      </w:pPr>
    </w:p>
    <w:p>
      <w:pPr>
        <w:numPr>
          <w:ilvl w:val="0"/>
          <w:numId w:val="0"/>
        </w:num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r>
        <w:rPr>
          <w:rFonts w:hint="eastAsia" w:ascii="仿宋" w:hAnsi="仿宋" w:eastAsia="仿宋" w:cs="仿宋"/>
          <w:b/>
          <w:bCs/>
          <w:color w:val="000000"/>
          <w:sz w:val="24"/>
          <w:szCs w:val="24"/>
        </w:rPr>
        <w:t>法定代表人授权书</w:t>
      </w:r>
    </w:p>
    <w:p>
      <w:pPr>
        <w:pStyle w:val="43"/>
        <w:rPr>
          <w:rFonts w:hint="eastAsia" w:ascii="仿宋" w:hAnsi="仿宋" w:eastAsia="仿宋" w:cs="仿宋"/>
          <w:color w:val="000000"/>
          <w:sz w:val="24"/>
          <w:szCs w:val="24"/>
          <w:lang w:val="en-US" w:eastAsia="zh-CN"/>
        </w:rPr>
      </w:pPr>
    </w:p>
    <w:bookmarkEnd w:id="179"/>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__________________（采购代理机构名称）：</w:t>
      </w:r>
    </w:p>
    <w:p>
      <w:pPr>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本授权声明：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（法定代表人姓名、职务）授权 </w:t>
      </w:r>
      <w:r>
        <w:rPr>
          <w:rFonts w:hint="eastAsia" w:ascii="仿宋" w:hAnsi="仿宋" w:eastAsia="仿宋" w:cs="仿宋"/>
          <w:i/>
          <w:iCs/>
          <w:color w:val="000000"/>
          <w:sz w:val="24"/>
          <w:szCs w:val="24"/>
          <w:u w:val="single"/>
        </w:rPr>
        <w:t xml:space="preserve">                       </w:t>
      </w:r>
      <w:r>
        <w:rPr>
          <w:rFonts w:hint="eastAsia" w:ascii="仿宋" w:hAnsi="仿宋" w:eastAsia="仿宋" w:cs="仿宋"/>
          <w:color w:val="000000"/>
          <w:sz w:val="24"/>
          <w:szCs w:val="24"/>
        </w:rPr>
        <w:t xml:space="preserve">（被授权人姓名、职务）为我方 “ </w:t>
      </w:r>
      <w:r>
        <w:rPr>
          <w:rFonts w:hint="eastAsia" w:ascii="仿宋" w:hAnsi="仿宋" w:eastAsia="仿宋" w:cs="仿宋"/>
          <w:color w:val="000000"/>
          <w:sz w:val="24"/>
          <w:szCs w:val="24"/>
          <w:u w:val="single"/>
        </w:rPr>
        <w:t xml:space="preserve">             </w:t>
      </w: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val="en-US" w:eastAsia="zh-CN"/>
        </w:rPr>
        <w:t>项目名称、采购</w:t>
      </w:r>
      <w:r>
        <w:rPr>
          <w:rFonts w:hint="eastAsia" w:ascii="仿宋" w:hAnsi="仿宋" w:eastAsia="仿宋" w:cs="仿宋"/>
          <w:bCs/>
          <w:color w:val="000000"/>
          <w:sz w:val="24"/>
          <w:szCs w:val="24"/>
        </w:rPr>
        <w:t>编号）</w:t>
      </w:r>
      <w:r>
        <w:rPr>
          <w:rFonts w:hint="eastAsia" w:ascii="仿宋" w:hAnsi="仿宋" w:eastAsia="仿宋" w:cs="仿宋"/>
          <w:color w:val="000000"/>
          <w:sz w:val="24"/>
          <w:szCs w:val="24"/>
        </w:rPr>
        <w:t>” 项目投标活动的合法代表，以我方名义全权处理该项目有关投标、签订合同以及执行合同等一切事宜。</w:t>
      </w:r>
    </w:p>
    <w:p>
      <w:pPr>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特此声明。</w:t>
      </w:r>
    </w:p>
    <w:p>
      <w:pPr>
        <w:spacing w:beforeAutospacing="0" w:afterAutospacing="0"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附：法人及被授权人身份证正反面</w:t>
      </w:r>
    </w:p>
    <w:p>
      <w:pPr>
        <w:pStyle w:val="43"/>
        <w:spacing w:beforeAutospacing="0" w:afterAutospacing="0" w:line="360" w:lineRule="auto"/>
        <w:rPr>
          <w:rFonts w:hint="eastAsia" w:ascii="仿宋" w:hAnsi="仿宋" w:eastAsia="仿宋" w:cs="仿宋"/>
          <w:color w:val="000000"/>
          <w:sz w:val="24"/>
          <w:szCs w:val="24"/>
        </w:rPr>
      </w:pPr>
    </w:p>
    <w:p>
      <w:pPr>
        <w:spacing w:beforeAutospacing="0" w:afterAutospacing="0" w:line="360" w:lineRule="auto"/>
        <w:ind w:firstLine="480" w:firstLineChars="200"/>
        <w:rPr>
          <w:rFonts w:hint="eastAsia" w:ascii="仿宋" w:hAnsi="仿宋" w:eastAsia="仿宋" w:cs="仿宋"/>
          <w:color w:val="000000"/>
          <w:sz w:val="24"/>
          <w:szCs w:val="24"/>
        </w:rPr>
      </w:pPr>
    </w:p>
    <w:p>
      <w:pPr>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法定代表人签字：</w:t>
      </w:r>
    </w:p>
    <w:p>
      <w:pPr>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授权代表签字：</w:t>
      </w:r>
    </w:p>
    <w:p>
      <w:pPr>
        <w:spacing w:beforeAutospacing="0" w:afterAutospacing="0"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         （盖章）</w:t>
      </w:r>
    </w:p>
    <w:p>
      <w:pPr>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日    期：</w:t>
      </w:r>
    </w:p>
    <w:p>
      <w:pPr>
        <w:spacing w:beforeAutospacing="0" w:afterAutospacing="0" w:line="360" w:lineRule="auto"/>
        <w:ind w:firstLine="480" w:firstLineChars="200"/>
        <w:rPr>
          <w:rFonts w:hint="eastAsia" w:ascii="仿宋" w:hAnsi="仿宋" w:eastAsia="仿宋" w:cs="仿宋"/>
          <w:color w:val="000000"/>
          <w:sz w:val="24"/>
          <w:szCs w:val="24"/>
        </w:rPr>
      </w:pPr>
      <w:bookmarkStart w:id="180" w:name="_Toc263768864"/>
      <w:bookmarkStart w:id="181" w:name="_Toc297204985"/>
      <w:bookmarkStart w:id="182" w:name="_Toc263753600"/>
      <w:bookmarkStart w:id="183" w:name="_Toc256175382"/>
      <w:bookmarkStart w:id="184" w:name="_Toc237145385"/>
      <w:bookmarkStart w:id="185" w:name="_Toc250041691"/>
      <w:bookmarkStart w:id="186" w:name="_Toc217446085"/>
      <w:r>
        <w:rPr>
          <w:rFonts w:hint="eastAsia" w:ascii="仿宋" w:hAnsi="仿宋" w:eastAsia="仿宋" w:cs="仿宋"/>
          <w:color w:val="000000"/>
          <w:sz w:val="24"/>
          <w:szCs w:val="24"/>
        </w:rPr>
        <w:br w:type="page"/>
      </w:r>
    </w:p>
    <w:bookmarkEnd w:id="180"/>
    <w:bookmarkEnd w:id="181"/>
    <w:bookmarkEnd w:id="182"/>
    <w:bookmarkEnd w:id="183"/>
    <w:bookmarkEnd w:id="184"/>
    <w:bookmarkEnd w:id="185"/>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三、开标一览表</w:t>
      </w: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tbl>
      <w:tblPr>
        <w:tblStyle w:val="13"/>
        <w:tblW w:w="8279" w:type="dxa"/>
        <w:jc w:val="center"/>
        <w:tblLayout w:type="fixed"/>
        <w:tblCellMar>
          <w:top w:w="0" w:type="dxa"/>
          <w:left w:w="108" w:type="dxa"/>
          <w:bottom w:w="0" w:type="dxa"/>
          <w:right w:w="108" w:type="dxa"/>
        </w:tblCellMar>
      </w:tblPr>
      <w:tblGrid>
        <w:gridCol w:w="788"/>
        <w:gridCol w:w="1996"/>
        <w:gridCol w:w="2083"/>
        <w:gridCol w:w="3412"/>
      </w:tblGrid>
      <w:tr>
        <w:tblPrEx>
          <w:tblCellMar>
            <w:top w:w="0" w:type="dxa"/>
            <w:left w:w="108" w:type="dxa"/>
            <w:bottom w:w="0" w:type="dxa"/>
            <w:right w:w="108" w:type="dxa"/>
          </w:tblCellMar>
        </w:tblPrEx>
        <w:trPr>
          <w:trHeight w:val="533"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5495" w:type="dxa"/>
            <w:gridSpan w:val="2"/>
            <w:tcBorders>
              <w:top w:val="single" w:color="000000" w:sz="4" w:space="0"/>
              <w:left w:val="nil"/>
              <w:bottom w:val="single" w:color="000000" w:sz="4" w:space="0"/>
              <w:right w:val="single" w:color="000000" w:sz="4" w:space="0"/>
            </w:tcBorders>
            <w:vAlign w:val="center"/>
          </w:tcPr>
          <w:p>
            <w:pPr>
              <w:widowControl/>
              <w:spacing w:beforeAutospacing="0" w:afterAutospacing="0" w:line="240" w:lineRule="auto"/>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468" w:hRule="atLeast"/>
          <w:jc w:val="center"/>
        </w:trPr>
        <w:tc>
          <w:tcPr>
            <w:tcW w:w="27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采购</w:t>
            </w:r>
            <w:r>
              <w:rPr>
                <w:rFonts w:hint="eastAsia" w:ascii="仿宋" w:hAnsi="仿宋" w:eastAsia="仿宋" w:cs="仿宋"/>
                <w:color w:val="000000"/>
                <w:kern w:val="0"/>
                <w:sz w:val="24"/>
                <w:szCs w:val="24"/>
              </w:rPr>
              <w:t>编号</w:t>
            </w:r>
          </w:p>
        </w:tc>
        <w:tc>
          <w:tcPr>
            <w:tcW w:w="5495" w:type="dxa"/>
            <w:gridSpan w:val="2"/>
            <w:tcBorders>
              <w:top w:val="single" w:color="000000" w:sz="4" w:space="0"/>
              <w:left w:val="nil"/>
              <w:bottom w:val="single" w:color="000000" w:sz="4" w:space="0"/>
              <w:right w:val="single" w:color="000000" w:sz="4" w:space="0"/>
            </w:tcBorders>
            <w:vAlign w:val="center"/>
          </w:tcPr>
          <w:p>
            <w:pPr>
              <w:widowControl/>
              <w:spacing w:beforeAutospacing="0" w:afterAutospacing="0" w:line="240" w:lineRule="auto"/>
              <w:rPr>
                <w:rFonts w:hint="eastAsia" w:ascii="仿宋" w:hAnsi="仿宋" w:eastAsia="仿宋" w:cs="仿宋"/>
                <w:color w:val="000000"/>
                <w:kern w:val="0"/>
                <w:sz w:val="24"/>
                <w:szCs w:val="24"/>
              </w:rPr>
            </w:pPr>
          </w:p>
        </w:tc>
      </w:tr>
      <w:tr>
        <w:tblPrEx>
          <w:tblCellMar>
            <w:top w:w="0" w:type="dxa"/>
            <w:left w:w="108" w:type="dxa"/>
            <w:bottom w:w="0" w:type="dxa"/>
            <w:right w:w="108" w:type="dxa"/>
          </w:tblCellMar>
        </w:tblPrEx>
        <w:trPr>
          <w:trHeight w:val="1002" w:hRule="atLeast"/>
          <w:jc w:val="center"/>
        </w:trPr>
        <w:tc>
          <w:tcPr>
            <w:tcW w:w="788" w:type="dxa"/>
            <w:tcBorders>
              <w:top w:val="nil"/>
              <w:left w:val="single" w:color="000000" w:sz="4" w:space="0"/>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序号</w:t>
            </w:r>
          </w:p>
        </w:tc>
        <w:tc>
          <w:tcPr>
            <w:tcW w:w="1996" w:type="dxa"/>
            <w:tcBorders>
              <w:top w:val="nil"/>
              <w:left w:val="nil"/>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采购</w:t>
            </w:r>
            <w:r>
              <w:rPr>
                <w:rFonts w:hint="eastAsia" w:ascii="仿宋" w:hAnsi="仿宋" w:eastAsia="仿宋" w:cs="仿宋"/>
                <w:bCs/>
                <w:color w:val="000000"/>
                <w:kern w:val="0"/>
                <w:sz w:val="24"/>
                <w:szCs w:val="24"/>
              </w:rPr>
              <w:t>内容</w:t>
            </w:r>
          </w:p>
        </w:tc>
        <w:tc>
          <w:tcPr>
            <w:tcW w:w="2083" w:type="dxa"/>
            <w:tcBorders>
              <w:top w:val="nil"/>
              <w:left w:val="nil"/>
              <w:bottom w:val="single" w:color="000000" w:sz="4" w:space="0"/>
              <w:right w:val="single" w:color="000000" w:sz="4" w:space="0"/>
            </w:tcBorders>
            <w:vAlign w:val="center"/>
          </w:tcPr>
          <w:p>
            <w:pPr>
              <w:spacing w:beforeAutospacing="0" w:afterAutospacing="0" w:line="240" w:lineRule="auto"/>
              <w:jc w:val="center"/>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服务期限</w:t>
            </w:r>
          </w:p>
        </w:tc>
        <w:tc>
          <w:tcPr>
            <w:tcW w:w="3412" w:type="dxa"/>
            <w:tcBorders>
              <w:top w:val="nil"/>
              <w:left w:val="nil"/>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报价（元）</w:t>
            </w:r>
          </w:p>
        </w:tc>
      </w:tr>
      <w:tr>
        <w:tblPrEx>
          <w:tblCellMar>
            <w:top w:w="0" w:type="dxa"/>
            <w:left w:w="108" w:type="dxa"/>
            <w:bottom w:w="0" w:type="dxa"/>
            <w:right w:w="108" w:type="dxa"/>
          </w:tblCellMar>
        </w:tblPrEx>
        <w:trPr>
          <w:trHeight w:val="995" w:hRule="atLeast"/>
          <w:jc w:val="center"/>
        </w:trPr>
        <w:tc>
          <w:tcPr>
            <w:tcW w:w="788" w:type="dxa"/>
            <w:tcBorders>
              <w:top w:val="nil"/>
              <w:left w:val="single" w:color="000000" w:sz="4" w:space="0"/>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t>1</w:t>
            </w:r>
          </w:p>
        </w:tc>
        <w:tc>
          <w:tcPr>
            <w:tcW w:w="1996" w:type="dxa"/>
            <w:tcBorders>
              <w:top w:val="nil"/>
              <w:left w:val="nil"/>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bCs/>
                <w:color w:val="000000"/>
                <w:kern w:val="0"/>
                <w:sz w:val="24"/>
                <w:szCs w:val="24"/>
              </w:rPr>
            </w:pPr>
          </w:p>
        </w:tc>
        <w:tc>
          <w:tcPr>
            <w:tcW w:w="2083" w:type="dxa"/>
            <w:tcBorders>
              <w:top w:val="nil"/>
              <w:left w:val="nil"/>
              <w:bottom w:val="single" w:color="000000" w:sz="4" w:space="0"/>
              <w:right w:val="single" w:color="000000" w:sz="4" w:space="0"/>
            </w:tcBorders>
            <w:vAlign w:val="center"/>
          </w:tcPr>
          <w:p>
            <w:pPr>
              <w:spacing w:beforeAutospacing="0" w:afterAutospacing="0" w:line="240" w:lineRule="auto"/>
              <w:jc w:val="center"/>
              <w:rPr>
                <w:rFonts w:hint="eastAsia" w:ascii="仿宋" w:hAnsi="仿宋" w:eastAsia="仿宋" w:cs="仿宋"/>
                <w:bCs/>
                <w:color w:val="000000"/>
                <w:kern w:val="0"/>
                <w:sz w:val="24"/>
                <w:szCs w:val="24"/>
                <w:lang w:val="en-US" w:eastAsia="zh-CN"/>
              </w:rPr>
            </w:pPr>
          </w:p>
        </w:tc>
        <w:tc>
          <w:tcPr>
            <w:tcW w:w="3412" w:type="dxa"/>
            <w:tcBorders>
              <w:top w:val="nil"/>
              <w:left w:val="nil"/>
              <w:bottom w:val="single" w:color="000000" w:sz="4" w:space="0"/>
              <w:right w:val="single" w:color="000000" w:sz="4" w:space="0"/>
            </w:tcBorders>
            <w:vAlign w:val="center"/>
          </w:tcPr>
          <w:p>
            <w:pPr>
              <w:widowControl/>
              <w:spacing w:beforeAutospacing="0" w:afterAutospacing="0" w:line="240" w:lineRule="auto"/>
              <w:jc w:val="center"/>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人民币大写：            元（人民币小写：      元）</w:t>
            </w:r>
          </w:p>
        </w:tc>
      </w:tr>
    </w:tbl>
    <w:p>
      <w:pPr>
        <w:pStyle w:val="26"/>
        <w:spacing w:beforeAutospacing="0" w:afterAutospacing="0" w:line="360" w:lineRule="auto"/>
        <w:ind w:firstLine="480"/>
        <w:rPr>
          <w:rFonts w:hint="eastAsia" w:ascii="仿宋" w:hAnsi="仿宋" w:eastAsia="仿宋" w:cs="仿宋"/>
          <w:color w:val="000000"/>
          <w:sz w:val="24"/>
          <w:szCs w:val="24"/>
        </w:rPr>
      </w:pPr>
    </w:p>
    <w:p>
      <w:pPr>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注：1、“投标总价”应与“投标函”中“投标总价”一致。</w:t>
      </w:r>
    </w:p>
    <w:bookmarkEnd w:id="186"/>
    <w:p>
      <w:pPr>
        <w:spacing w:beforeAutospacing="0" w:afterAutospacing="0" w:line="400" w:lineRule="exact"/>
        <w:ind w:left="1084" w:leftChars="213" w:hanging="360" w:hangingChars="150"/>
        <w:rPr>
          <w:rFonts w:hint="eastAsia" w:ascii="仿宋" w:hAnsi="仿宋" w:eastAsia="仿宋" w:cs="仿宋"/>
          <w:color w:val="000000"/>
          <w:sz w:val="24"/>
          <w:szCs w:val="24"/>
        </w:rPr>
      </w:pPr>
      <w:r>
        <w:rPr>
          <w:rFonts w:hint="eastAsia" w:ascii="仿宋" w:hAnsi="仿宋" w:eastAsia="仿宋" w:cs="仿宋"/>
          <w:color w:val="000000"/>
          <w:sz w:val="24"/>
          <w:szCs w:val="24"/>
        </w:rPr>
        <w:t>2.“开标一览表”为多页的，每页均需由法定代表人或授权代表签字并盖</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印章。</w:t>
      </w:r>
    </w:p>
    <w:p>
      <w:pPr>
        <w:spacing w:beforeAutospacing="0" w:afterAutospacing="0"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3、“开标一览表”以包为单位填写。</w:t>
      </w:r>
    </w:p>
    <w:p>
      <w:pPr>
        <w:spacing w:beforeAutospacing="0" w:afterAutospacing="0" w:line="400" w:lineRule="exact"/>
        <w:ind w:firstLine="480" w:firstLineChars="200"/>
        <w:jc w:val="left"/>
        <w:rPr>
          <w:rFonts w:hint="eastAsia" w:ascii="仿宋" w:hAnsi="仿宋" w:eastAsia="仿宋" w:cs="仿宋"/>
          <w:color w:val="000000"/>
          <w:sz w:val="24"/>
          <w:szCs w:val="24"/>
        </w:rPr>
      </w:pPr>
    </w:p>
    <w:p>
      <w:pPr>
        <w:spacing w:beforeAutospacing="0" w:afterAutospacing="0" w:line="400" w:lineRule="exact"/>
        <w:ind w:firstLine="480" w:firstLineChars="20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        （盖章）</w:t>
      </w:r>
    </w:p>
    <w:p>
      <w:pPr>
        <w:spacing w:beforeAutospacing="0" w:afterAutospacing="0"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法定代表人或授权代表（签字</w:t>
      </w:r>
      <w:r>
        <w:rPr>
          <w:rFonts w:hint="eastAsia" w:ascii="仿宋" w:hAnsi="仿宋" w:eastAsia="仿宋" w:cs="仿宋"/>
          <w:color w:val="000000"/>
          <w:sz w:val="24"/>
          <w:szCs w:val="24"/>
          <w:lang w:val="en-US" w:eastAsia="zh-CN"/>
        </w:rPr>
        <w:t>或盖章</w:t>
      </w:r>
      <w:r>
        <w:rPr>
          <w:rFonts w:hint="eastAsia" w:ascii="仿宋" w:hAnsi="仿宋" w:eastAsia="仿宋" w:cs="仿宋"/>
          <w:color w:val="000000"/>
          <w:sz w:val="24"/>
          <w:szCs w:val="24"/>
        </w:rPr>
        <w:t>）：</w:t>
      </w:r>
    </w:p>
    <w:p>
      <w:pPr>
        <w:spacing w:beforeAutospacing="0" w:afterAutospacing="0"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投标日期：</w:t>
      </w:r>
    </w:p>
    <w:p>
      <w:pPr>
        <w:pStyle w:val="6"/>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6"/>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6"/>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6"/>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6"/>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6"/>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6"/>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6"/>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6"/>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6"/>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pStyle w:val="5"/>
        <w:spacing w:beforeAutospacing="0" w:afterAutospacing="0" w:line="400" w:lineRule="exact"/>
        <w:jc w:val="center"/>
        <w:rPr>
          <w:rFonts w:hint="eastAsia" w:ascii="仿宋" w:hAnsi="仿宋" w:eastAsia="仿宋" w:cs="仿宋"/>
          <w:b/>
          <w:bCs/>
          <w:color w:val="000000"/>
          <w:kern w:val="0"/>
          <w:sz w:val="28"/>
          <w:szCs w:val="28"/>
          <w:lang w:val="en-US" w:eastAsia="zh-CN" w:bidi="ar-SA"/>
        </w:rPr>
      </w:pPr>
      <w:r>
        <w:rPr>
          <w:rFonts w:hint="eastAsia" w:ascii="仿宋" w:hAnsi="仿宋" w:eastAsia="仿宋" w:cs="仿宋"/>
          <w:b/>
          <w:bCs/>
          <w:color w:val="000000"/>
          <w:kern w:val="0"/>
          <w:sz w:val="28"/>
          <w:szCs w:val="28"/>
          <w:lang w:val="en-US" w:eastAsia="zh-CN" w:bidi="ar-SA"/>
        </w:rPr>
        <w:t>分项报价明细表</w:t>
      </w:r>
    </w:p>
    <w:p>
      <w:pPr>
        <w:widowControl w:val="0"/>
        <w:tabs>
          <w:tab w:val="left" w:pos="7020"/>
        </w:tabs>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项目名称：</w:t>
      </w:r>
      <w:r>
        <w:rPr>
          <w:rFonts w:hint="eastAsia" w:ascii="仿宋" w:hAnsi="仿宋" w:eastAsia="仿宋" w:cs="仿宋"/>
          <w:color w:val="auto"/>
          <w:kern w:val="2"/>
          <w:sz w:val="24"/>
          <w:szCs w:val="24"/>
          <w:highlight w:val="none"/>
          <w:lang w:val="en-US" w:eastAsia="zh-CN" w:bidi="ar-SA"/>
        </w:rPr>
        <w:tab/>
      </w:r>
    </w:p>
    <w:p>
      <w:pPr>
        <w:widowControl w:val="0"/>
        <w:tabs>
          <w:tab w:val="left" w:pos="7560"/>
        </w:tabs>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采购编号：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494"/>
        <w:gridCol w:w="3497"/>
        <w:gridCol w:w="1188"/>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28" w:type="dxa"/>
            <w:noWrap w:val="0"/>
            <w:vAlign w:val="center"/>
          </w:tcPr>
          <w:p>
            <w:pPr>
              <w:widowControl w:val="0"/>
              <w:spacing w:before="120" w:beforeLines="50"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序号</w:t>
            </w:r>
          </w:p>
        </w:tc>
        <w:tc>
          <w:tcPr>
            <w:tcW w:w="1494" w:type="dxa"/>
            <w:noWrap w:val="0"/>
            <w:vAlign w:val="center"/>
          </w:tcPr>
          <w:p>
            <w:pPr>
              <w:widowControl w:val="0"/>
              <w:spacing w:before="120" w:beforeLines="50"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000000"/>
                <w:kern w:val="0"/>
                <w:sz w:val="24"/>
                <w:szCs w:val="24"/>
                <w:lang w:val="en-US" w:eastAsia="zh-CN"/>
              </w:rPr>
              <w:t>采购</w:t>
            </w:r>
            <w:r>
              <w:rPr>
                <w:rFonts w:hint="eastAsia" w:ascii="仿宋" w:hAnsi="仿宋" w:eastAsia="仿宋" w:cs="仿宋"/>
                <w:bCs/>
                <w:color w:val="000000"/>
                <w:kern w:val="0"/>
                <w:sz w:val="24"/>
                <w:szCs w:val="24"/>
              </w:rPr>
              <w:t>内容</w:t>
            </w:r>
          </w:p>
        </w:tc>
        <w:tc>
          <w:tcPr>
            <w:tcW w:w="3497" w:type="dxa"/>
            <w:noWrap w:val="0"/>
            <w:vAlign w:val="center"/>
          </w:tcPr>
          <w:p>
            <w:pPr>
              <w:widowControl w:val="0"/>
              <w:spacing w:before="120" w:beforeLines="50"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项目描述</w:t>
            </w:r>
          </w:p>
        </w:tc>
        <w:tc>
          <w:tcPr>
            <w:tcW w:w="1188" w:type="dxa"/>
            <w:noWrap w:val="0"/>
            <w:vAlign w:val="center"/>
          </w:tcPr>
          <w:p>
            <w:pPr>
              <w:widowControl w:val="0"/>
              <w:spacing w:before="120" w:beforeLines="50"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数量</w:t>
            </w:r>
          </w:p>
        </w:tc>
        <w:tc>
          <w:tcPr>
            <w:tcW w:w="1469" w:type="dxa"/>
            <w:noWrap w:val="0"/>
            <w:vAlign w:val="center"/>
          </w:tcPr>
          <w:p>
            <w:pPr>
              <w:widowControl w:val="0"/>
              <w:spacing w:before="120" w:beforeLines="50"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28" w:type="dxa"/>
            <w:noWrap w:val="0"/>
            <w:vAlign w:val="center"/>
          </w:tcPr>
          <w:p>
            <w:pPr>
              <w:snapToGrid w:val="0"/>
              <w:spacing w:beforeAutospacing="0" w:afterAutospacing="0"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p>
        </w:tc>
        <w:tc>
          <w:tcPr>
            <w:tcW w:w="1494"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3497"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18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69"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28" w:type="dxa"/>
            <w:noWrap w:val="0"/>
            <w:vAlign w:val="center"/>
          </w:tcPr>
          <w:p>
            <w:pPr>
              <w:snapToGrid w:val="0"/>
              <w:spacing w:beforeAutospacing="0" w:afterAutospacing="0"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1494"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3497"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18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69"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28" w:type="dxa"/>
            <w:noWrap w:val="0"/>
            <w:vAlign w:val="center"/>
          </w:tcPr>
          <w:p>
            <w:pPr>
              <w:snapToGrid w:val="0"/>
              <w:spacing w:beforeAutospacing="0" w:afterAutospacing="0" w:line="360" w:lineRule="auto"/>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p>
        </w:tc>
        <w:tc>
          <w:tcPr>
            <w:tcW w:w="1494"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3497"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18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69"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2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w:t>
            </w:r>
          </w:p>
        </w:tc>
        <w:tc>
          <w:tcPr>
            <w:tcW w:w="1494"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3497"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18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69"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2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94"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3497"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18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69"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2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94"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3497"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18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69"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2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94"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3497"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18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69"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2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94"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3497"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18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69"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2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94"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3497"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18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69"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2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94"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3497"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18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69"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2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94"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3497"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188"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c>
          <w:tcPr>
            <w:tcW w:w="1469" w:type="dxa"/>
            <w:noWrap w:val="0"/>
            <w:vAlign w:val="center"/>
          </w:tcPr>
          <w:p>
            <w:pPr>
              <w:widowControl w:val="0"/>
              <w:spacing w:line="360" w:lineRule="auto"/>
              <w:jc w:val="center"/>
              <w:rPr>
                <w:rFonts w:hint="eastAsia" w:ascii="仿宋" w:hAnsi="仿宋" w:eastAsia="仿宋" w:cs="仿宋"/>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122" w:type="dxa"/>
            <w:gridSpan w:val="2"/>
            <w:noWrap w:val="0"/>
            <w:vAlign w:val="center"/>
          </w:tcPr>
          <w:p>
            <w:pPr>
              <w:widowControl w:val="0"/>
              <w:spacing w:line="360" w:lineRule="auto"/>
              <w:jc w:val="both"/>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w:t>
            </w:r>
            <w:r>
              <w:rPr>
                <w:rFonts w:hint="eastAsia" w:ascii="仿宋" w:hAnsi="仿宋" w:eastAsia="仿宋" w:cs="仿宋"/>
                <w:b/>
                <w:color w:val="auto"/>
                <w:kern w:val="0"/>
                <w:sz w:val="24"/>
                <w:szCs w:val="24"/>
                <w:highlight w:val="none"/>
                <w:lang w:val="en-US" w:eastAsia="zh-CN" w:bidi="ar-SA"/>
              </w:rPr>
              <w:t>总    价(元)</w:t>
            </w:r>
          </w:p>
        </w:tc>
        <w:tc>
          <w:tcPr>
            <w:tcW w:w="3497" w:type="dxa"/>
            <w:noWrap w:val="0"/>
            <w:vAlign w:val="center"/>
          </w:tcPr>
          <w:p>
            <w:pPr>
              <w:widowControl w:val="0"/>
              <w:spacing w:line="360" w:lineRule="auto"/>
              <w:ind w:firstLine="360" w:firstLineChars="150"/>
              <w:jc w:val="both"/>
              <w:rPr>
                <w:rFonts w:hint="eastAsia" w:ascii="仿宋" w:hAnsi="仿宋" w:eastAsia="仿宋" w:cs="仿宋"/>
                <w:color w:val="auto"/>
                <w:kern w:val="0"/>
                <w:sz w:val="24"/>
                <w:szCs w:val="24"/>
                <w:highlight w:val="none"/>
                <w:lang w:val="en-US" w:eastAsia="zh-CN" w:bidi="ar-SA"/>
              </w:rPr>
            </w:pPr>
          </w:p>
        </w:tc>
        <w:tc>
          <w:tcPr>
            <w:tcW w:w="1188" w:type="dxa"/>
            <w:noWrap w:val="0"/>
            <w:vAlign w:val="center"/>
          </w:tcPr>
          <w:p>
            <w:pPr>
              <w:widowControl w:val="0"/>
              <w:spacing w:line="360" w:lineRule="auto"/>
              <w:ind w:firstLine="360" w:firstLineChars="150"/>
              <w:jc w:val="both"/>
              <w:rPr>
                <w:rFonts w:hint="eastAsia" w:ascii="仿宋" w:hAnsi="仿宋" w:eastAsia="仿宋" w:cs="仿宋"/>
                <w:color w:val="auto"/>
                <w:kern w:val="0"/>
                <w:sz w:val="24"/>
                <w:szCs w:val="24"/>
                <w:highlight w:val="none"/>
                <w:lang w:val="en-US" w:eastAsia="zh-CN" w:bidi="ar-SA"/>
              </w:rPr>
            </w:pPr>
          </w:p>
        </w:tc>
        <w:tc>
          <w:tcPr>
            <w:tcW w:w="1469" w:type="dxa"/>
            <w:noWrap w:val="0"/>
            <w:vAlign w:val="center"/>
          </w:tcPr>
          <w:p>
            <w:pPr>
              <w:widowControl w:val="0"/>
              <w:spacing w:line="360" w:lineRule="auto"/>
              <w:ind w:firstLine="360" w:firstLineChars="150"/>
              <w:jc w:val="both"/>
              <w:rPr>
                <w:rFonts w:hint="eastAsia" w:ascii="仿宋" w:hAnsi="仿宋" w:eastAsia="仿宋" w:cs="仿宋"/>
                <w:color w:val="auto"/>
                <w:kern w:val="0"/>
                <w:sz w:val="24"/>
                <w:szCs w:val="24"/>
                <w:highlight w:val="none"/>
                <w:lang w:val="en-US" w:eastAsia="zh-CN" w:bidi="ar-SA"/>
              </w:rPr>
            </w:pPr>
          </w:p>
        </w:tc>
      </w:tr>
    </w:tbl>
    <w:p>
      <w:pPr>
        <w:spacing w:beforeAutospacing="0" w:afterAutospacing="0" w:line="400" w:lineRule="exac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注：</w:t>
      </w:r>
    </w:p>
    <w:p>
      <w:pPr>
        <w:spacing w:beforeAutospacing="0" w:afterAutospacing="0" w:line="400" w:lineRule="exact"/>
        <w:rPr>
          <w:rFonts w:hint="eastAsia" w:ascii="仿宋" w:hAnsi="仿宋" w:eastAsia="仿宋" w:cs="仿宋"/>
          <w:bCs/>
          <w:color w:val="auto"/>
          <w:kern w:val="2"/>
          <w:sz w:val="24"/>
          <w:szCs w:val="24"/>
          <w:highlight w:val="none"/>
        </w:rPr>
      </w:pPr>
      <w:r>
        <w:rPr>
          <w:rFonts w:hint="eastAsia" w:ascii="仿宋" w:hAnsi="仿宋" w:eastAsia="仿宋" w:cs="仿宋"/>
          <w:color w:val="auto"/>
          <w:kern w:val="2"/>
          <w:sz w:val="24"/>
          <w:szCs w:val="24"/>
          <w:highlight w:val="none"/>
        </w:rPr>
        <w:t>1、供应商必须按“</w:t>
      </w:r>
      <w:r>
        <w:rPr>
          <w:rFonts w:hint="eastAsia" w:ascii="仿宋" w:hAnsi="仿宋" w:eastAsia="仿宋" w:cs="仿宋"/>
          <w:bCs/>
          <w:color w:val="auto"/>
          <w:kern w:val="2"/>
          <w:sz w:val="24"/>
          <w:szCs w:val="24"/>
          <w:highlight w:val="none"/>
        </w:rPr>
        <w:t>分项报价明细表”的格式</w:t>
      </w:r>
      <w:r>
        <w:rPr>
          <w:rFonts w:hint="eastAsia" w:ascii="仿宋" w:hAnsi="仿宋" w:eastAsia="仿宋" w:cs="仿宋"/>
          <w:color w:val="auto"/>
          <w:kern w:val="2"/>
          <w:sz w:val="24"/>
          <w:szCs w:val="24"/>
          <w:highlight w:val="none"/>
        </w:rPr>
        <w:t>详细报出投标总价的各个组成部分的报价，否则作无效投标处理。</w:t>
      </w:r>
    </w:p>
    <w:p>
      <w:pPr>
        <w:spacing w:beforeAutospacing="0" w:afterAutospacing="0" w:line="400" w:lineRule="exact"/>
        <w:jc w:val="left"/>
        <w:rPr>
          <w:rFonts w:hint="eastAsia" w:ascii="仿宋" w:hAnsi="仿宋" w:eastAsia="仿宋" w:cs="仿宋"/>
          <w:b/>
          <w:bCs/>
          <w:color w:val="auto"/>
          <w:kern w:val="2"/>
          <w:sz w:val="24"/>
          <w:szCs w:val="24"/>
          <w:highlight w:val="none"/>
        </w:rPr>
      </w:pPr>
      <w:r>
        <w:rPr>
          <w:rFonts w:hint="eastAsia" w:ascii="仿宋" w:hAnsi="仿宋" w:eastAsia="仿宋" w:cs="仿宋"/>
          <w:bCs/>
          <w:color w:val="auto"/>
          <w:kern w:val="2"/>
          <w:sz w:val="24"/>
          <w:szCs w:val="24"/>
          <w:highlight w:val="none"/>
        </w:rPr>
        <w:t xml:space="preserve"> 2、</w:t>
      </w:r>
      <w:r>
        <w:rPr>
          <w:rFonts w:hint="eastAsia" w:ascii="仿宋" w:hAnsi="仿宋" w:eastAsia="仿宋" w:cs="仿宋"/>
          <w:color w:val="auto"/>
          <w:kern w:val="2"/>
          <w:sz w:val="24"/>
          <w:szCs w:val="24"/>
          <w:highlight w:val="none"/>
        </w:rPr>
        <w:t>“</w:t>
      </w:r>
      <w:r>
        <w:rPr>
          <w:rFonts w:hint="eastAsia" w:ascii="仿宋" w:hAnsi="仿宋" w:eastAsia="仿宋" w:cs="仿宋"/>
          <w:bCs/>
          <w:color w:val="auto"/>
          <w:kern w:val="2"/>
          <w:sz w:val="24"/>
          <w:szCs w:val="24"/>
          <w:highlight w:val="none"/>
        </w:rPr>
        <w:t>分项报价明细表”各分项报价合计应当与“开标一览表”报价合计相等。</w:t>
      </w:r>
    </w:p>
    <w:p>
      <w:pPr>
        <w:adjustRightInd w:val="0"/>
        <w:spacing w:beforeAutospacing="0" w:afterAutospacing="0" w:line="400" w:lineRule="exact"/>
        <w:ind w:firstLine="560" w:firstLineChars="200"/>
        <w:jc w:val="left"/>
        <w:rPr>
          <w:rFonts w:hint="eastAsia" w:ascii="仿宋" w:hAnsi="仿宋" w:eastAsia="仿宋" w:cs="仿宋"/>
          <w:color w:val="auto"/>
          <w:kern w:val="2"/>
          <w:sz w:val="28"/>
          <w:szCs w:val="24"/>
          <w:highlight w:val="none"/>
        </w:rPr>
      </w:pPr>
    </w:p>
    <w:p>
      <w:pPr>
        <w:adjustRightInd w:val="0"/>
        <w:spacing w:beforeAutospacing="0" w:afterAutospacing="0" w:line="400" w:lineRule="exact"/>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供应商名称：        （盖章）</w:t>
      </w:r>
    </w:p>
    <w:p>
      <w:pPr>
        <w:adjustRightInd w:val="0"/>
        <w:spacing w:beforeAutospacing="0" w:afterAutospacing="0" w:line="400" w:lineRule="exact"/>
        <w:jc w:val="left"/>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法定代表人或授权代表</w:t>
      </w:r>
      <w:r>
        <w:rPr>
          <w:rFonts w:hint="eastAsia" w:ascii="仿宋" w:hAnsi="仿宋" w:eastAsia="仿宋" w:cs="仿宋"/>
          <w:bCs/>
          <w:color w:val="auto"/>
          <w:kern w:val="2"/>
          <w:sz w:val="24"/>
          <w:szCs w:val="24"/>
          <w:highlight w:val="none"/>
        </w:rPr>
        <w:t>（签字或盖章）</w:t>
      </w:r>
      <w:r>
        <w:rPr>
          <w:rFonts w:hint="eastAsia" w:ascii="仿宋" w:hAnsi="仿宋" w:eastAsia="仿宋" w:cs="仿宋"/>
          <w:color w:val="auto"/>
          <w:kern w:val="2"/>
          <w:sz w:val="24"/>
          <w:szCs w:val="24"/>
          <w:highlight w:val="none"/>
        </w:rPr>
        <w:t>：</w:t>
      </w:r>
    </w:p>
    <w:p>
      <w:pPr>
        <w:pStyle w:val="6"/>
        <w:ind w:left="0" w:leftChars="0" w:firstLine="0" w:firstLineChars="0"/>
        <w:rPr>
          <w:rFonts w:hint="eastAsia"/>
        </w:rPr>
        <w:sectPr>
          <w:footerReference r:id="rId6" w:type="default"/>
          <w:pgSz w:w="11907" w:h="16840"/>
          <w:pgMar w:top="1440" w:right="1800" w:bottom="1440" w:left="1800" w:header="851" w:footer="992" w:gutter="0"/>
          <w:pgNumType w:fmt="decimal" w:start="1"/>
          <w:cols w:space="720" w:num="1"/>
          <w:docGrid w:linePitch="312" w:charSpace="0"/>
        </w:sectPr>
      </w:pPr>
      <w:r>
        <w:rPr>
          <w:rFonts w:hint="eastAsia" w:ascii="仿宋" w:hAnsi="仿宋" w:eastAsia="仿宋" w:cs="仿宋"/>
          <w:color w:val="auto"/>
          <w:kern w:val="2"/>
          <w:sz w:val="24"/>
          <w:szCs w:val="24"/>
          <w:highlight w:val="none"/>
        </w:rPr>
        <w:t>投标日期：</w:t>
      </w: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bookmarkStart w:id="187" w:name="_Toc217446088"/>
      <w:bookmarkEnd w:id="187"/>
      <w:r>
        <w:rPr>
          <w:rFonts w:hint="eastAsia" w:ascii="仿宋" w:hAnsi="仿宋" w:eastAsia="仿宋" w:cs="仿宋"/>
          <w:color w:val="000000"/>
          <w:sz w:val="28"/>
          <w:szCs w:val="28"/>
          <w:lang w:val="en-US" w:eastAsia="zh-CN"/>
        </w:rPr>
        <w:t>四、供应商基本情况表</w:t>
      </w:r>
    </w:p>
    <w:p>
      <w:pPr>
        <w:pStyle w:val="18"/>
        <w:numPr>
          <w:ilvl w:val="0"/>
          <w:numId w:val="0"/>
        </w:numPr>
        <w:spacing w:before="0" w:beforeAutospacing="0" w:after="0" w:afterAutospacing="0" w:line="240" w:lineRule="auto"/>
        <w:jc w:val="center"/>
        <w:rPr>
          <w:rFonts w:hint="eastAsia" w:ascii="仿宋" w:hAnsi="仿宋" w:eastAsia="仿宋" w:cs="仿宋"/>
          <w:color w:val="000000"/>
          <w:sz w:val="28"/>
          <w:szCs w:val="28"/>
          <w:lang w:val="en-US" w:eastAsia="zh-CN"/>
        </w:rPr>
      </w:pPr>
    </w:p>
    <w:tbl>
      <w:tblPr>
        <w:tblStyle w:val="1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6"/>
        <w:gridCol w:w="978"/>
        <w:gridCol w:w="1215"/>
        <w:gridCol w:w="1248"/>
        <w:gridCol w:w="8"/>
        <w:gridCol w:w="1318"/>
        <w:gridCol w:w="160"/>
        <w:gridCol w:w="1012"/>
        <w:gridCol w:w="1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供应商名称</w:t>
            </w:r>
          </w:p>
        </w:tc>
        <w:tc>
          <w:tcPr>
            <w:tcW w:w="7006" w:type="dxa"/>
            <w:gridSpan w:val="8"/>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是否为联合体</w:t>
            </w:r>
          </w:p>
        </w:tc>
        <w:tc>
          <w:tcPr>
            <w:tcW w:w="7006" w:type="dxa"/>
            <w:gridSpan w:val="8"/>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sym w:font="Wingdings" w:char="00A8"/>
            </w:r>
            <w:r>
              <w:rPr>
                <w:rFonts w:hint="eastAsia" w:ascii="仿宋" w:hAnsi="仿宋" w:eastAsia="仿宋" w:cs="仿宋"/>
                <w:color w:val="000000"/>
                <w:sz w:val="24"/>
                <w:szCs w:val="24"/>
                <w:lang w:val="en-US" w:eastAsia="zh-CN"/>
              </w:rPr>
              <w:t xml:space="preserve">是     </w:t>
            </w:r>
            <w:r>
              <w:rPr>
                <w:rFonts w:hint="eastAsia" w:ascii="仿宋" w:hAnsi="仿宋" w:eastAsia="仿宋" w:cs="仿宋"/>
                <w:color w:val="000000"/>
                <w:sz w:val="24"/>
                <w:szCs w:val="24"/>
                <w:lang w:val="en-US" w:eastAsia="zh-CN"/>
              </w:rPr>
              <w:sym w:font="Wingdings" w:char="00A8"/>
            </w:r>
            <w:r>
              <w:rPr>
                <w:rFonts w:hint="eastAsia" w:ascii="仿宋" w:hAnsi="仿宋" w:eastAsia="仿宋" w:cs="仿宋"/>
                <w:color w:val="000000"/>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注册地址</w:t>
            </w:r>
          </w:p>
        </w:tc>
        <w:tc>
          <w:tcPr>
            <w:tcW w:w="3449" w:type="dxa"/>
            <w:gridSpan w:val="4"/>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318"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邮政编码</w:t>
            </w:r>
          </w:p>
        </w:tc>
        <w:tc>
          <w:tcPr>
            <w:tcW w:w="2239"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Merge w:val="restart"/>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联系方式</w:t>
            </w:r>
          </w:p>
        </w:tc>
        <w:tc>
          <w:tcPr>
            <w:tcW w:w="978"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联系人</w:t>
            </w:r>
          </w:p>
        </w:tc>
        <w:tc>
          <w:tcPr>
            <w:tcW w:w="246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326"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电话</w:t>
            </w:r>
          </w:p>
        </w:tc>
        <w:tc>
          <w:tcPr>
            <w:tcW w:w="2239"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8" w:hRule="atLeast"/>
        </w:trPr>
        <w:tc>
          <w:tcPr>
            <w:tcW w:w="1516" w:type="dxa"/>
            <w:vMerge w:val="continue"/>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978"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传真</w:t>
            </w:r>
          </w:p>
        </w:tc>
        <w:tc>
          <w:tcPr>
            <w:tcW w:w="246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326"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网址</w:t>
            </w:r>
          </w:p>
        </w:tc>
        <w:tc>
          <w:tcPr>
            <w:tcW w:w="2239"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组织结构</w:t>
            </w:r>
          </w:p>
        </w:tc>
        <w:tc>
          <w:tcPr>
            <w:tcW w:w="7006" w:type="dxa"/>
            <w:gridSpan w:val="8"/>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法定代表人</w:t>
            </w:r>
          </w:p>
        </w:tc>
        <w:tc>
          <w:tcPr>
            <w:tcW w:w="978"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姓名</w:t>
            </w:r>
          </w:p>
        </w:tc>
        <w:tc>
          <w:tcPr>
            <w:tcW w:w="1215" w:type="dxa"/>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248"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技术职称</w:t>
            </w:r>
          </w:p>
        </w:tc>
        <w:tc>
          <w:tcPr>
            <w:tcW w:w="1326"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172"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电话</w:t>
            </w:r>
          </w:p>
        </w:tc>
        <w:tc>
          <w:tcPr>
            <w:tcW w:w="1067" w:type="dxa"/>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技术负责人</w:t>
            </w:r>
          </w:p>
        </w:tc>
        <w:tc>
          <w:tcPr>
            <w:tcW w:w="978"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姓名</w:t>
            </w:r>
          </w:p>
        </w:tc>
        <w:tc>
          <w:tcPr>
            <w:tcW w:w="1215" w:type="dxa"/>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248"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技术职称</w:t>
            </w:r>
          </w:p>
        </w:tc>
        <w:tc>
          <w:tcPr>
            <w:tcW w:w="1326"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172"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电话</w:t>
            </w:r>
          </w:p>
        </w:tc>
        <w:tc>
          <w:tcPr>
            <w:tcW w:w="1067" w:type="dxa"/>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成立时间</w:t>
            </w:r>
          </w:p>
        </w:tc>
        <w:tc>
          <w:tcPr>
            <w:tcW w:w="219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4813" w:type="dxa"/>
            <w:gridSpan w:val="6"/>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企业资质等级</w:t>
            </w:r>
          </w:p>
        </w:tc>
        <w:tc>
          <w:tcPr>
            <w:tcW w:w="219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248" w:type="dxa"/>
            <w:vMerge w:val="restart"/>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其中</w:t>
            </w:r>
          </w:p>
        </w:tc>
        <w:tc>
          <w:tcPr>
            <w:tcW w:w="1486"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项目经理</w:t>
            </w:r>
          </w:p>
        </w:tc>
        <w:tc>
          <w:tcPr>
            <w:tcW w:w="2079"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营业执照号</w:t>
            </w:r>
          </w:p>
        </w:tc>
        <w:tc>
          <w:tcPr>
            <w:tcW w:w="219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248" w:type="dxa"/>
            <w:vMerge w:val="continue"/>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486"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高级职称人员</w:t>
            </w:r>
          </w:p>
        </w:tc>
        <w:tc>
          <w:tcPr>
            <w:tcW w:w="2079"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注册资金</w:t>
            </w:r>
          </w:p>
        </w:tc>
        <w:tc>
          <w:tcPr>
            <w:tcW w:w="219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248" w:type="dxa"/>
            <w:vMerge w:val="continue"/>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486"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中级职称人员</w:t>
            </w:r>
          </w:p>
        </w:tc>
        <w:tc>
          <w:tcPr>
            <w:tcW w:w="2079"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开户银行</w:t>
            </w:r>
          </w:p>
        </w:tc>
        <w:tc>
          <w:tcPr>
            <w:tcW w:w="219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248" w:type="dxa"/>
            <w:vMerge w:val="continue"/>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486"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初级职称人员</w:t>
            </w:r>
          </w:p>
        </w:tc>
        <w:tc>
          <w:tcPr>
            <w:tcW w:w="2079"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2"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账号</w:t>
            </w:r>
          </w:p>
        </w:tc>
        <w:tc>
          <w:tcPr>
            <w:tcW w:w="2193"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248" w:type="dxa"/>
            <w:vMerge w:val="continue"/>
            <w:vAlign w:val="center"/>
          </w:tcPr>
          <w:p>
            <w:pPr>
              <w:spacing w:beforeAutospacing="0" w:afterAutospacing="0" w:line="400" w:lineRule="exact"/>
              <w:rPr>
                <w:rFonts w:hint="eastAsia" w:ascii="仿宋" w:hAnsi="仿宋" w:eastAsia="仿宋" w:cs="仿宋"/>
                <w:color w:val="000000"/>
                <w:sz w:val="24"/>
                <w:szCs w:val="24"/>
                <w:lang w:val="en-US" w:eastAsia="zh-CN"/>
              </w:rPr>
            </w:pPr>
          </w:p>
        </w:tc>
        <w:tc>
          <w:tcPr>
            <w:tcW w:w="1486" w:type="dxa"/>
            <w:gridSpan w:val="3"/>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技工</w:t>
            </w:r>
          </w:p>
        </w:tc>
        <w:tc>
          <w:tcPr>
            <w:tcW w:w="2079" w:type="dxa"/>
            <w:gridSpan w:val="2"/>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25" w:hRule="atLeast"/>
        </w:trPr>
        <w:tc>
          <w:tcPr>
            <w:tcW w:w="1516" w:type="dxa"/>
            <w:vAlign w:val="center"/>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经营范围</w:t>
            </w:r>
          </w:p>
        </w:tc>
        <w:tc>
          <w:tcPr>
            <w:tcW w:w="7006" w:type="dxa"/>
            <w:gridSpan w:val="8"/>
            <w:vAlign w:val="center"/>
          </w:tcPr>
          <w:p>
            <w:pPr>
              <w:spacing w:beforeAutospacing="0" w:afterAutospacing="0" w:line="400" w:lineRule="exact"/>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2" w:hRule="atLeast"/>
        </w:trPr>
        <w:tc>
          <w:tcPr>
            <w:tcW w:w="1516" w:type="dxa"/>
            <w:vAlign w:val="top"/>
          </w:tcPr>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p>
        </w:tc>
        <w:tc>
          <w:tcPr>
            <w:tcW w:w="7006" w:type="dxa"/>
            <w:gridSpan w:val="8"/>
            <w:vAlign w:val="top"/>
          </w:tcPr>
          <w:p>
            <w:pPr>
              <w:spacing w:beforeAutospacing="0" w:afterAutospacing="0" w:line="400" w:lineRule="exact"/>
              <w:rPr>
                <w:rFonts w:hint="eastAsia" w:ascii="仿宋" w:hAnsi="仿宋" w:eastAsia="仿宋" w:cs="仿宋"/>
                <w:color w:val="000000"/>
                <w:sz w:val="24"/>
                <w:szCs w:val="24"/>
                <w:lang w:val="en-US" w:eastAsia="zh-CN"/>
              </w:rPr>
            </w:pPr>
          </w:p>
        </w:tc>
      </w:tr>
    </w:tbl>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供应商名称：        （盖章）</w:t>
      </w:r>
    </w:p>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法定代表人或授权代表（签字或盖章）：</w:t>
      </w:r>
    </w:p>
    <w:p>
      <w:pPr>
        <w:spacing w:beforeAutospacing="0" w:afterAutospacing="0"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投标日期:</w:t>
      </w:r>
    </w:p>
    <w:p>
      <w:pPr>
        <w:pStyle w:val="18"/>
        <w:keepNext/>
        <w:keepLines/>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color w:val="000000"/>
          <w:sz w:val="28"/>
          <w:szCs w:val="28"/>
          <w:lang w:val="en-US" w:eastAsia="zh-CN"/>
        </w:rPr>
      </w:pPr>
      <w:bookmarkStart w:id="188" w:name="_Toc217446089"/>
      <w:bookmarkEnd w:id="188"/>
      <w:r>
        <w:rPr>
          <w:rFonts w:hint="eastAsia" w:ascii="仿宋" w:hAnsi="仿宋" w:eastAsia="仿宋" w:cs="仿宋"/>
          <w:bCs w:val="0"/>
          <w:color w:val="000000"/>
          <w:sz w:val="24"/>
          <w:szCs w:val="24"/>
          <w:lang w:val="en-US" w:eastAsia="zh-CN"/>
        </w:rPr>
        <w:br w:type="page"/>
      </w:r>
      <w:r>
        <w:rPr>
          <w:rFonts w:hint="eastAsia" w:ascii="仿宋" w:hAnsi="仿宋" w:eastAsia="仿宋" w:cs="仿宋"/>
          <w:color w:val="000000"/>
          <w:sz w:val="28"/>
          <w:szCs w:val="28"/>
          <w:lang w:val="en-US" w:eastAsia="zh-CN"/>
        </w:rPr>
        <w:t>五、供应商类似项目业绩一览表</w:t>
      </w:r>
    </w:p>
    <w:p>
      <w:pPr>
        <w:pStyle w:val="18"/>
        <w:keepNext/>
        <w:keepLines/>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仿宋" w:hAnsi="仿宋" w:eastAsia="仿宋" w:cs="仿宋"/>
          <w:color w:val="000000"/>
          <w:sz w:val="28"/>
          <w:szCs w:val="28"/>
          <w:lang w:val="en-US" w:eastAsia="zh-CN"/>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54" w:type="dxa"/>
          <w:bottom w:w="0" w:type="dxa"/>
          <w:right w:w="54" w:type="dxa"/>
        </w:tblCellMar>
      </w:tblPr>
      <w:tblGrid>
        <w:gridCol w:w="804"/>
        <w:gridCol w:w="1610"/>
        <w:gridCol w:w="1477"/>
        <w:gridCol w:w="1298"/>
        <w:gridCol w:w="1411"/>
        <w:gridCol w:w="9"/>
        <w:gridCol w:w="1518"/>
        <w:gridCol w:w="1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cantSplit/>
          <w:trHeight w:val="600" w:hRule="atLeast"/>
          <w:jc w:val="center"/>
        </w:trPr>
        <w:tc>
          <w:tcPr>
            <w:tcW w:w="804" w:type="dxa"/>
            <w:vAlign w:val="center"/>
          </w:tcPr>
          <w:p>
            <w:pPr>
              <w:spacing w:beforeAutospacing="0" w:afterAutospacing="0" w:line="400" w:lineRule="exact"/>
              <w:ind w:firstLine="120" w:firstLineChars="50"/>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序号</w:t>
            </w:r>
          </w:p>
        </w:tc>
        <w:tc>
          <w:tcPr>
            <w:tcW w:w="1610" w:type="dxa"/>
            <w:vAlign w:val="center"/>
          </w:tcPr>
          <w:p>
            <w:pPr>
              <w:spacing w:beforeAutospacing="0" w:afterAutospacing="0" w:line="400" w:lineRule="exact"/>
              <w:jc w:val="center"/>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采购人</w:t>
            </w:r>
          </w:p>
        </w:tc>
        <w:tc>
          <w:tcPr>
            <w:tcW w:w="1477" w:type="dxa"/>
            <w:vAlign w:val="center"/>
          </w:tcPr>
          <w:p>
            <w:pPr>
              <w:spacing w:beforeAutospacing="0" w:afterAutospacing="0" w:line="40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项目名称</w:t>
            </w:r>
          </w:p>
        </w:tc>
        <w:tc>
          <w:tcPr>
            <w:tcW w:w="1298" w:type="dxa"/>
            <w:vAlign w:val="center"/>
          </w:tcPr>
          <w:p>
            <w:pPr>
              <w:spacing w:beforeAutospacing="0" w:afterAutospacing="0" w:line="40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完成时间</w:t>
            </w:r>
          </w:p>
        </w:tc>
        <w:tc>
          <w:tcPr>
            <w:tcW w:w="1411" w:type="dxa"/>
            <w:vAlign w:val="center"/>
          </w:tcPr>
          <w:p>
            <w:pPr>
              <w:spacing w:beforeAutospacing="0" w:afterAutospacing="0" w:line="400" w:lineRule="exact"/>
              <w:ind w:firstLine="120" w:firstLineChars="50"/>
              <w:rPr>
                <w:rFonts w:hint="eastAsia" w:ascii="仿宋" w:hAnsi="仿宋" w:eastAsia="仿宋" w:cs="仿宋"/>
                <w:b/>
                <w:color w:val="000000"/>
                <w:sz w:val="24"/>
                <w:szCs w:val="24"/>
              </w:rPr>
            </w:pPr>
            <w:r>
              <w:rPr>
                <w:rFonts w:hint="eastAsia" w:ascii="仿宋" w:hAnsi="仿宋" w:eastAsia="仿宋" w:cs="仿宋"/>
                <w:b/>
                <w:color w:val="000000"/>
                <w:sz w:val="24"/>
                <w:szCs w:val="24"/>
              </w:rPr>
              <w:t>合同金额</w:t>
            </w:r>
          </w:p>
        </w:tc>
        <w:tc>
          <w:tcPr>
            <w:tcW w:w="1537" w:type="dxa"/>
            <w:gridSpan w:val="3"/>
            <w:vAlign w:val="center"/>
          </w:tcPr>
          <w:p>
            <w:pPr>
              <w:spacing w:beforeAutospacing="0" w:afterAutospacing="0" w:line="400" w:lineRule="exact"/>
              <w:jc w:val="center"/>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项目描述</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cantSplit/>
          <w:trHeight w:val="600" w:hRule="atLeast"/>
          <w:jc w:val="center"/>
        </w:trPr>
        <w:tc>
          <w:tcPr>
            <w:tcW w:w="804"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610"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77"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298"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11"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537" w:type="dxa"/>
            <w:gridSpan w:val="3"/>
            <w:vAlign w:val="center"/>
          </w:tcPr>
          <w:p>
            <w:pPr>
              <w:spacing w:beforeAutospacing="0" w:afterAutospacing="0" w:line="400" w:lineRule="exact"/>
              <w:jc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cantSplit/>
          <w:trHeight w:val="600" w:hRule="atLeast"/>
          <w:jc w:val="center"/>
        </w:trPr>
        <w:tc>
          <w:tcPr>
            <w:tcW w:w="804"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610"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77"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298"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11"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537" w:type="dxa"/>
            <w:gridSpan w:val="3"/>
            <w:vAlign w:val="center"/>
          </w:tcPr>
          <w:p>
            <w:pPr>
              <w:spacing w:beforeAutospacing="0" w:afterAutospacing="0" w:line="400" w:lineRule="exact"/>
              <w:jc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cantSplit/>
          <w:trHeight w:val="600" w:hRule="atLeast"/>
          <w:jc w:val="center"/>
        </w:trPr>
        <w:tc>
          <w:tcPr>
            <w:tcW w:w="804"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610"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77"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298"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11"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537" w:type="dxa"/>
            <w:gridSpan w:val="3"/>
            <w:vAlign w:val="center"/>
          </w:tcPr>
          <w:p>
            <w:pPr>
              <w:spacing w:beforeAutospacing="0" w:afterAutospacing="0" w:line="400" w:lineRule="exact"/>
              <w:jc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cantSplit/>
          <w:trHeight w:val="600" w:hRule="atLeast"/>
          <w:jc w:val="center"/>
        </w:trPr>
        <w:tc>
          <w:tcPr>
            <w:tcW w:w="804"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610"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77"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298"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11"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537" w:type="dxa"/>
            <w:gridSpan w:val="3"/>
            <w:vAlign w:val="center"/>
          </w:tcPr>
          <w:p>
            <w:pPr>
              <w:spacing w:beforeAutospacing="0" w:afterAutospacing="0" w:line="400" w:lineRule="exact"/>
              <w:jc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cantSplit/>
          <w:trHeight w:val="600" w:hRule="atLeast"/>
          <w:jc w:val="center"/>
        </w:trPr>
        <w:tc>
          <w:tcPr>
            <w:tcW w:w="804" w:type="dxa"/>
            <w:vAlign w:val="center"/>
          </w:tcPr>
          <w:p>
            <w:pPr>
              <w:spacing w:beforeAutospacing="0" w:afterAutospacing="0" w:line="400" w:lineRule="exact"/>
              <w:rPr>
                <w:rFonts w:hint="eastAsia" w:ascii="仿宋" w:hAnsi="仿宋" w:eastAsia="仿宋" w:cs="仿宋"/>
                <w:color w:val="000000"/>
                <w:sz w:val="24"/>
                <w:szCs w:val="24"/>
              </w:rPr>
            </w:pPr>
          </w:p>
        </w:tc>
        <w:tc>
          <w:tcPr>
            <w:tcW w:w="1610" w:type="dxa"/>
            <w:vAlign w:val="center"/>
          </w:tcPr>
          <w:p>
            <w:pPr>
              <w:spacing w:beforeAutospacing="0" w:afterAutospacing="0" w:line="400" w:lineRule="exact"/>
              <w:rPr>
                <w:rFonts w:hint="eastAsia" w:ascii="仿宋" w:hAnsi="仿宋" w:eastAsia="仿宋" w:cs="仿宋"/>
                <w:color w:val="000000"/>
                <w:sz w:val="24"/>
                <w:szCs w:val="24"/>
              </w:rPr>
            </w:pPr>
          </w:p>
        </w:tc>
        <w:tc>
          <w:tcPr>
            <w:tcW w:w="1477" w:type="dxa"/>
            <w:vAlign w:val="center"/>
          </w:tcPr>
          <w:p>
            <w:pPr>
              <w:spacing w:beforeAutospacing="0" w:afterAutospacing="0" w:line="400" w:lineRule="exact"/>
              <w:rPr>
                <w:rFonts w:hint="eastAsia" w:ascii="仿宋" w:hAnsi="仿宋" w:eastAsia="仿宋" w:cs="仿宋"/>
                <w:color w:val="000000"/>
                <w:sz w:val="24"/>
                <w:szCs w:val="24"/>
              </w:rPr>
            </w:pPr>
          </w:p>
        </w:tc>
        <w:tc>
          <w:tcPr>
            <w:tcW w:w="1298" w:type="dxa"/>
            <w:vAlign w:val="center"/>
          </w:tcPr>
          <w:p>
            <w:pPr>
              <w:spacing w:beforeAutospacing="0" w:afterAutospacing="0" w:line="400" w:lineRule="exact"/>
              <w:rPr>
                <w:rFonts w:hint="eastAsia" w:ascii="仿宋" w:hAnsi="仿宋" w:eastAsia="仿宋" w:cs="仿宋"/>
                <w:color w:val="000000"/>
                <w:sz w:val="24"/>
                <w:szCs w:val="24"/>
              </w:rPr>
            </w:pPr>
          </w:p>
        </w:tc>
        <w:tc>
          <w:tcPr>
            <w:tcW w:w="1420" w:type="dxa"/>
            <w:gridSpan w:val="2"/>
            <w:vAlign w:val="center"/>
          </w:tcPr>
          <w:p>
            <w:pPr>
              <w:spacing w:beforeAutospacing="0" w:afterAutospacing="0" w:line="400" w:lineRule="exact"/>
              <w:rPr>
                <w:rFonts w:hint="eastAsia" w:ascii="仿宋" w:hAnsi="仿宋" w:eastAsia="仿宋" w:cs="仿宋"/>
                <w:color w:val="000000"/>
                <w:sz w:val="24"/>
                <w:szCs w:val="24"/>
              </w:rPr>
            </w:pPr>
          </w:p>
        </w:tc>
        <w:tc>
          <w:tcPr>
            <w:tcW w:w="1528" w:type="dxa"/>
            <w:gridSpan w:val="2"/>
            <w:vAlign w:val="center"/>
          </w:tcPr>
          <w:p>
            <w:pPr>
              <w:spacing w:beforeAutospacing="0" w:afterAutospacing="0" w:line="400" w:lineRule="exact"/>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600" w:hRule="atLeast"/>
          <w:jc w:val="center"/>
        </w:trPr>
        <w:tc>
          <w:tcPr>
            <w:tcW w:w="804" w:type="dxa"/>
            <w:vAlign w:val="center"/>
          </w:tcPr>
          <w:p>
            <w:pPr>
              <w:spacing w:beforeAutospacing="0" w:afterAutospacing="0" w:line="400" w:lineRule="exact"/>
              <w:rPr>
                <w:rFonts w:hint="eastAsia" w:ascii="仿宋" w:hAnsi="仿宋" w:eastAsia="仿宋" w:cs="仿宋"/>
                <w:color w:val="000000"/>
                <w:sz w:val="24"/>
                <w:szCs w:val="24"/>
              </w:rPr>
            </w:pPr>
          </w:p>
        </w:tc>
        <w:tc>
          <w:tcPr>
            <w:tcW w:w="1610" w:type="dxa"/>
            <w:vAlign w:val="center"/>
          </w:tcPr>
          <w:p>
            <w:pPr>
              <w:spacing w:beforeAutospacing="0" w:afterAutospacing="0" w:line="400" w:lineRule="exact"/>
              <w:rPr>
                <w:rFonts w:hint="eastAsia" w:ascii="仿宋" w:hAnsi="仿宋" w:eastAsia="仿宋" w:cs="仿宋"/>
                <w:color w:val="000000"/>
                <w:sz w:val="24"/>
                <w:szCs w:val="24"/>
              </w:rPr>
            </w:pPr>
          </w:p>
        </w:tc>
        <w:tc>
          <w:tcPr>
            <w:tcW w:w="1477" w:type="dxa"/>
            <w:vAlign w:val="center"/>
          </w:tcPr>
          <w:p>
            <w:pPr>
              <w:spacing w:beforeAutospacing="0" w:afterAutospacing="0" w:line="400" w:lineRule="exact"/>
              <w:rPr>
                <w:rFonts w:hint="eastAsia" w:ascii="仿宋" w:hAnsi="仿宋" w:eastAsia="仿宋" w:cs="仿宋"/>
                <w:color w:val="000000"/>
                <w:sz w:val="24"/>
                <w:szCs w:val="24"/>
              </w:rPr>
            </w:pPr>
          </w:p>
        </w:tc>
        <w:tc>
          <w:tcPr>
            <w:tcW w:w="1298" w:type="dxa"/>
            <w:vAlign w:val="center"/>
          </w:tcPr>
          <w:p>
            <w:pPr>
              <w:spacing w:beforeAutospacing="0" w:afterAutospacing="0" w:line="400" w:lineRule="exact"/>
              <w:rPr>
                <w:rFonts w:hint="eastAsia" w:ascii="仿宋" w:hAnsi="仿宋" w:eastAsia="仿宋" w:cs="仿宋"/>
                <w:color w:val="000000"/>
                <w:sz w:val="24"/>
                <w:szCs w:val="24"/>
              </w:rPr>
            </w:pPr>
          </w:p>
        </w:tc>
        <w:tc>
          <w:tcPr>
            <w:tcW w:w="1420" w:type="dxa"/>
            <w:gridSpan w:val="2"/>
            <w:vAlign w:val="center"/>
          </w:tcPr>
          <w:p>
            <w:pPr>
              <w:spacing w:beforeAutospacing="0" w:afterAutospacing="0" w:line="400" w:lineRule="exact"/>
              <w:rPr>
                <w:rFonts w:hint="eastAsia" w:ascii="仿宋" w:hAnsi="仿宋" w:eastAsia="仿宋" w:cs="仿宋"/>
                <w:color w:val="000000"/>
                <w:sz w:val="24"/>
                <w:szCs w:val="24"/>
              </w:rPr>
            </w:pPr>
          </w:p>
        </w:tc>
        <w:tc>
          <w:tcPr>
            <w:tcW w:w="1518" w:type="dxa"/>
            <w:vAlign w:val="center"/>
          </w:tcPr>
          <w:p>
            <w:pPr>
              <w:spacing w:beforeAutospacing="0" w:afterAutospacing="0" w:line="400" w:lineRule="exact"/>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600" w:hRule="atLeast"/>
          <w:jc w:val="center"/>
        </w:trPr>
        <w:tc>
          <w:tcPr>
            <w:tcW w:w="804"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610"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77"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298"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20" w:type="dxa"/>
            <w:gridSpan w:val="2"/>
            <w:vAlign w:val="center"/>
          </w:tcPr>
          <w:p>
            <w:pPr>
              <w:spacing w:beforeAutospacing="0" w:afterAutospacing="0" w:line="400" w:lineRule="exact"/>
              <w:jc w:val="center"/>
              <w:rPr>
                <w:rFonts w:hint="eastAsia" w:ascii="仿宋" w:hAnsi="仿宋" w:eastAsia="仿宋" w:cs="仿宋"/>
                <w:color w:val="000000"/>
                <w:sz w:val="24"/>
                <w:szCs w:val="24"/>
              </w:rPr>
            </w:pPr>
          </w:p>
        </w:tc>
        <w:tc>
          <w:tcPr>
            <w:tcW w:w="1518" w:type="dxa"/>
            <w:vAlign w:val="center"/>
          </w:tcPr>
          <w:p>
            <w:pPr>
              <w:spacing w:beforeAutospacing="0" w:afterAutospacing="0" w:line="400" w:lineRule="exact"/>
              <w:jc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600" w:hRule="atLeast"/>
          <w:jc w:val="center"/>
        </w:trPr>
        <w:tc>
          <w:tcPr>
            <w:tcW w:w="804"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610"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77"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298"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20" w:type="dxa"/>
            <w:gridSpan w:val="2"/>
            <w:vAlign w:val="center"/>
          </w:tcPr>
          <w:p>
            <w:pPr>
              <w:spacing w:beforeAutospacing="0" w:afterAutospacing="0" w:line="400" w:lineRule="exact"/>
              <w:jc w:val="center"/>
              <w:rPr>
                <w:rFonts w:hint="eastAsia" w:ascii="仿宋" w:hAnsi="仿宋" w:eastAsia="仿宋" w:cs="仿宋"/>
                <w:color w:val="000000"/>
                <w:sz w:val="24"/>
                <w:szCs w:val="24"/>
              </w:rPr>
            </w:pPr>
          </w:p>
        </w:tc>
        <w:tc>
          <w:tcPr>
            <w:tcW w:w="1518" w:type="dxa"/>
            <w:vAlign w:val="center"/>
          </w:tcPr>
          <w:p>
            <w:pPr>
              <w:spacing w:beforeAutospacing="0" w:afterAutospacing="0" w:line="400" w:lineRule="exact"/>
              <w:jc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510" w:hRule="atLeast"/>
          <w:jc w:val="center"/>
        </w:trPr>
        <w:tc>
          <w:tcPr>
            <w:tcW w:w="804"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610"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77"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298"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20" w:type="dxa"/>
            <w:gridSpan w:val="2"/>
            <w:vAlign w:val="center"/>
          </w:tcPr>
          <w:p>
            <w:pPr>
              <w:spacing w:beforeAutospacing="0" w:afterAutospacing="0" w:line="400" w:lineRule="exact"/>
              <w:jc w:val="center"/>
              <w:rPr>
                <w:rFonts w:hint="eastAsia" w:ascii="仿宋" w:hAnsi="仿宋" w:eastAsia="仿宋" w:cs="仿宋"/>
                <w:color w:val="000000"/>
                <w:sz w:val="24"/>
                <w:szCs w:val="24"/>
              </w:rPr>
            </w:pPr>
          </w:p>
        </w:tc>
        <w:tc>
          <w:tcPr>
            <w:tcW w:w="1518" w:type="dxa"/>
            <w:vAlign w:val="center"/>
          </w:tcPr>
          <w:p>
            <w:pPr>
              <w:spacing w:beforeAutospacing="0" w:afterAutospacing="0" w:line="400" w:lineRule="exact"/>
              <w:jc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615" w:hRule="atLeast"/>
          <w:jc w:val="center"/>
        </w:trPr>
        <w:tc>
          <w:tcPr>
            <w:tcW w:w="804"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610"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77"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298"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20" w:type="dxa"/>
            <w:gridSpan w:val="2"/>
            <w:vAlign w:val="center"/>
          </w:tcPr>
          <w:p>
            <w:pPr>
              <w:spacing w:beforeAutospacing="0" w:afterAutospacing="0" w:line="400" w:lineRule="exact"/>
              <w:jc w:val="center"/>
              <w:rPr>
                <w:rFonts w:hint="eastAsia" w:ascii="仿宋" w:hAnsi="仿宋" w:eastAsia="仿宋" w:cs="仿宋"/>
                <w:color w:val="000000"/>
                <w:sz w:val="24"/>
                <w:szCs w:val="24"/>
              </w:rPr>
            </w:pPr>
          </w:p>
        </w:tc>
        <w:tc>
          <w:tcPr>
            <w:tcW w:w="1518" w:type="dxa"/>
            <w:vAlign w:val="center"/>
          </w:tcPr>
          <w:p>
            <w:pPr>
              <w:spacing w:beforeAutospacing="0" w:afterAutospacing="0" w:line="400" w:lineRule="exact"/>
              <w:jc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615" w:hRule="atLeast"/>
          <w:jc w:val="center"/>
        </w:trPr>
        <w:tc>
          <w:tcPr>
            <w:tcW w:w="804"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610"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77"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298"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20" w:type="dxa"/>
            <w:gridSpan w:val="2"/>
            <w:vAlign w:val="center"/>
          </w:tcPr>
          <w:p>
            <w:pPr>
              <w:spacing w:beforeAutospacing="0" w:afterAutospacing="0" w:line="400" w:lineRule="exact"/>
              <w:jc w:val="center"/>
              <w:rPr>
                <w:rFonts w:hint="eastAsia" w:ascii="仿宋" w:hAnsi="仿宋" w:eastAsia="仿宋" w:cs="仿宋"/>
                <w:color w:val="000000"/>
                <w:sz w:val="24"/>
                <w:szCs w:val="24"/>
              </w:rPr>
            </w:pPr>
          </w:p>
        </w:tc>
        <w:tc>
          <w:tcPr>
            <w:tcW w:w="1518" w:type="dxa"/>
            <w:vAlign w:val="center"/>
          </w:tcPr>
          <w:p>
            <w:pPr>
              <w:spacing w:beforeAutospacing="0" w:afterAutospacing="0" w:line="400" w:lineRule="exact"/>
              <w:jc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450" w:hRule="atLeast"/>
          <w:jc w:val="center"/>
        </w:trPr>
        <w:tc>
          <w:tcPr>
            <w:tcW w:w="804"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610"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77"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298"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20" w:type="dxa"/>
            <w:gridSpan w:val="2"/>
            <w:vAlign w:val="center"/>
          </w:tcPr>
          <w:p>
            <w:pPr>
              <w:spacing w:beforeAutospacing="0" w:afterAutospacing="0" w:line="400" w:lineRule="exact"/>
              <w:jc w:val="center"/>
              <w:rPr>
                <w:rFonts w:hint="eastAsia" w:ascii="仿宋" w:hAnsi="仿宋" w:eastAsia="仿宋" w:cs="仿宋"/>
                <w:color w:val="000000"/>
                <w:sz w:val="24"/>
                <w:szCs w:val="24"/>
              </w:rPr>
            </w:pPr>
          </w:p>
        </w:tc>
        <w:tc>
          <w:tcPr>
            <w:tcW w:w="1518" w:type="dxa"/>
            <w:vAlign w:val="center"/>
          </w:tcPr>
          <w:p>
            <w:pPr>
              <w:spacing w:beforeAutospacing="0" w:afterAutospacing="0" w:line="400" w:lineRule="exact"/>
              <w:jc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54" w:type="dxa"/>
            <w:bottom w:w="0" w:type="dxa"/>
            <w:right w:w="54" w:type="dxa"/>
          </w:tblCellMar>
        </w:tblPrEx>
        <w:trPr>
          <w:gridAfter w:val="1"/>
          <w:wAfter w:w="10" w:type="dxa"/>
          <w:cantSplit/>
          <w:trHeight w:val="435" w:hRule="atLeast"/>
          <w:jc w:val="center"/>
        </w:trPr>
        <w:tc>
          <w:tcPr>
            <w:tcW w:w="804"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610"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77"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298" w:type="dxa"/>
            <w:vAlign w:val="center"/>
          </w:tcPr>
          <w:p>
            <w:pPr>
              <w:spacing w:beforeAutospacing="0" w:afterAutospacing="0" w:line="400" w:lineRule="exact"/>
              <w:jc w:val="center"/>
              <w:rPr>
                <w:rFonts w:hint="eastAsia" w:ascii="仿宋" w:hAnsi="仿宋" w:eastAsia="仿宋" w:cs="仿宋"/>
                <w:color w:val="000000"/>
                <w:sz w:val="24"/>
                <w:szCs w:val="24"/>
              </w:rPr>
            </w:pPr>
          </w:p>
        </w:tc>
        <w:tc>
          <w:tcPr>
            <w:tcW w:w="1420" w:type="dxa"/>
            <w:gridSpan w:val="2"/>
            <w:vAlign w:val="center"/>
          </w:tcPr>
          <w:p>
            <w:pPr>
              <w:spacing w:beforeAutospacing="0" w:afterAutospacing="0" w:line="400" w:lineRule="exact"/>
              <w:jc w:val="center"/>
              <w:rPr>
                <w:rFonts w:hint="eastAsia" w:ascii="仿宋" w:hAnsi="仿宋" w:eastAsia="仿宋" w:cs="仿宋"/>
                <w:color w:val="000000"/>
                <w:sz w:val="24"/>
                <w:szCs w:val="24"/>
              </w:rPr>
            </w:pPr>
          </w:p>
        </w:tc>
        <w:tc>
          <w:tcPr>
            <w:tcW w:w="1518" w:type="dxa"/>
            <w:vAlign w:val="center"/>
          </w:tcPr>
          <w:p>
            <w:pPr>
              <w:spacing w:beforeAutospacing="0" w:afterAutospacing="0" w:line="400" w:lineRule="exact"/>
              <w:jc w:val="center"/>
              <w:rPr>
                <w:rFonts w:hint="eastAsia" w:ascii="仿宋" w:hAnsi="仿宋" w:eastAsia="仿宋" w:cs="仿宋"/>
                <w:color w:val="000000"/>
                <w:sz w:val="24"/>
                <w:szCs w:val="24"/>
              </w:rPr>
            </w:pPr>
          </w:p>
        </w:tc>
      </w:tr>
    </w:tbl>
    <w:p>
      <w:pPr>
        <w:spacing w:beforeAutospacing="0" w:afterAutospacing="0" w:line="400" w:lineRule="exac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附：相关证明材料</w:t>
      </w:r>
    </w:p>
    <w:p>
      <w:pPr>
        <w:spacing w:beforeAutospacing="0" w:afterAutospacing="0" w:line="400" w:lineRule="exact"/>
        <w:ind w:left="360"/>
        <w:jc w:val="center"/>
        <w:rPr>
          <w:rFonts w:hint="eastAsia" w:ascii="仿宋" w:hAnsi="仿宋" w:eastAsia="仿宋" w:cs="仿宋"/>
          <w:color w:val="000000"/>
          <w:sz w:val="24"/>
          <w:szCs w:val="24"/>
        </w:rPr>
      </w:pPr>
    </w:p>
    <w:p>
      <w:pPr>
        <w:spacing w:beforeAutospacing="0" w:afterAutospacing="0" w:line="400" w:lineRule="exact"/>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名称：         （盖章）</w:t>
      </w:r>
    </w:p>
    <w:p>
      <w:pPr>
        <w:spacing w:beforeAutospacing="0" w:afterAutospacing="0"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法定代表人或授权代表（签字</w:t>
      </w:r>
      <w:r>
        <w:rPr>
          <w:rFonts w:hint="eastAsia" w:ascii="仿宋" w:hAnsi="仿宋" w:eastAsia="仿宋" w:cs="仿宋"/>
          <w:color w:val="000000"/>
          <w:sz w:val="24"/>
          <w:szCs w:val="24"/>
          <w:lang w:val="en-US" w:eastAsia="zh-CN"/>
        </w:rPr>
        <w:t>或盖章</w:t>
      </w:r>
      <w:r>
        <w:rPr>
          <w:rFonts w:hint="eastAsia" w:ascii="仿宋" w:hAnsi="仿宋" w:eastAsia="仿宋" w:cs="仿宋"/>
          <w:color w:val="000000"/>
          <w:sz w:val="24"/>
          <w:szCs w:val="24"/>
        </w:rPr>
        <w:t>）</w:t>
      </w:r>
      <w:r>
        <w:rPr>
          <w:rFonts w:hint="eastAsia" w:ascii="仿宋" w:hAnsi="仿宋" w:eastAsia="仿宋" w:cs="仿宋"/>
          <w:bCs/>
          <w:color w:val="000000"/>
          <w:sz w:val="24"/>
          <w:szCs w:val="24"/>
        </w:rPr>
        <w:t>：</w:t>
      </w:r>
    </w:p>
    <w:p>
      <w:pPr>
        <w:spacing w:beforeAutospacing="0" w:afterAutospacing="0" w:line="40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投标日期:</w:t>
      </w:r>
    </w:p>
    <w:p>
      <w:pPr>
        <w:spacing w:beforeAutospacing="0" w:afterAutospacing="0" w:line="400" w:lineRule="exact"/>
        <w:rPr>
          <w:rFonts w:hint="eastAsia" w:ascii="仿宋" w:hAnsi="仿宋" w:eastAsia="仿宋" w:cs="仿宋"/>
          <w:color w:val="000000"/>
          <w:sz w:val="24"/>
          <w:szCs w:val="24"/>
        </w:rPr>
      </w:pPr>
    </w:p>
    <w:p>
      <w:pPr>
        <w:spacing w:beforeAutospacing="0" w:afterAutospacing="0" w:line="400" w:lineRule="exact"/>
        <w:rPr>
          <w:rFonts w:hint="eastAsia" w:ascii="仿宋" w:hAnsi="仿宋" w:eastAsia="仿宋" w:cs="仿宋"/>
          <w:color w:val="000000"/>
          <w:sz w:val="24"/>
          <w:szCs w:val="24"/>
        </w:rPr>
      </w:pPr>
    </w:p>
    <w:p>
      <w:pPr>
        <w:spacing w:beforeAutospacing="0" w:afterAutospacing="0" w:line="400" w:lineRule="exact"/>
        <w:rPr>
          <w:rFonts w:hint="eastAsia" w:ascii="仿宋" w:hAnsi="仿宋" w:eastAsia="仿宋" w:cs="仿宋"/>
          <w:color w:val="000000"/>
          <w:sz w:val="24"/>
          <w:szCs w:val="24"/>
        </w:rPr>
      </w:pPr>
    </w:p>
    <w:p>
      <w:pPr>
        <w:pStyle w:val="18"/>
        <w:keepNext/>
        <w:keepLines/>
        <w:pageBreakBefore w:val="0"/>
        <w:widowControl w:val="0"/>
        <w:kinsoku/>
        <w:wordWrap/>
        <w:overflowPunct/>
        <w:topLinePunct w:val="0"/>
        <w:autoSpaceDE/>
        <w:autoSpaceDN/>
        <w:bidi w:val="0"/>
        <w:adjustRightInd/>
        <w:snapToGrid/>
        <w:spacing w:before="0" w:beforeAutospacing="0" w:afterAutospacing="0" w:line="400" w:lineRule="exact"/>
        <w:jc w:val="center"/>
        <w:textAlignment w:val="auto"/>
        <w:rPr>
          <w:rFonts w:hint="eastAsia" w:ascii="仿宋" w:hAnsi="仿宋" w:eastAsia="仿宋" w:cs="仿宋"/>
          <w:bCs w:val="0"/>
          <w:color w:val="000000"/>
          <w:kern w:val="0"/>
          <w:sz w:val="24"/>
          <w:szCs w:val="24"/>
          <w:lang w:val="en-US" w:eastAsia="zh-CN"/>
        </w:rPr>
      </w:pPr>
      <w:bookmarkStart w:id="189" w:name="_Toc217446090"/>
      <w:bookmarkEnd w:id="189"/>
      <w:bookmarkStart w:id="190" w:name="_Toc217446091"/>
      <w:r>
        <w:rPr>
          <w:rFonts w:hint="eastAsia" w:ascii="仿宋" w:hAnsi="仿宋" w:eastAsia="仿宋" w:cs="仿宋"/>
          <w:bCs w:val="0"/>
          <w:color w:val="000000"/>
          <w:kern w:val="0"/>
          <w:sz w:val="24"/>
          <w:szCs w:val="24"/>
          <w:lang w:val="en-US" w:eastAsia="zh-CN"/>
        </w:rPr>
        <w:br w:type="page"/>
      </w:r>
      <w:r>
        <w:rPr>
          <w:rFonts w:hint="eastAsia" w:ascii="仿宋" w:hAnsi="仿宋" w:eastAsia="仿宋" w:cs="仿宋"/>
          <w:color w:val="000000"/>
          <w:sz w:val="28"/>
          <w:szCs w:val="28"/>
          <w:lang w:val="en-US" w:eastAsia="zh-CN"/>
        </w:rPr>
        <w:t>六、供应商本项目管理、服务、其他人员情况表</w:t>
      </w:r>
    </w:p>
    <w:p>
      <w:pPr>
        <w:spacing w:beforeAutospacing="0" w:afterAutospacing="0" w:line="40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   </w:t>
      </w:r>
      <w:r>
        <w:rPr>
          <w:rFonts w:hint="eastAsia" w:ascii="仿宋" w:hAnsi="仿宋" w:eastAsia="仿宋" w:cs="仿宋"/>
          <w:bCs/>
          <w:color w:val="000000"/>
          <w:sz w:val="24"/>
          <w:szCs w:val="24"/>
        </w:rPr>
        <w:t xml:space="preserve"> </w:t>
      </w:r>
      <w:r>
        <w:rPr>
          <w:rFonts w:hint="eastAsia" w:ascii="仿宋" w:hAnsi="仿宋" w:eastAsia="仿宋" w:cs="仿宋"/>
          <w:bCs/>
          <w:color w:val="000000"/>
          <w:sz w:val="24"/>
          <w:szCs w:val="24"/>
          <w:lang w:eastAsia="zh-CN"/>
        </w:rPr>
        <w:t>采购</w:t>
      </w:r>
      <w:r>
        <w:rPr>
          <w:rFonts w:hint="eastAsia" w:ascii="仿宋" w:hAnsi="仿宋" w:eastAsia="仿宋" w:cs="仿宋"/>
          <w:bCs/>
          <w:color w:val="000000"/>
          <w:sz w:val="24"/>
          <w:szCs w:val="24"/>
        </w:rPr>
        <w:t>编号：</w:t>
      </w:r>
    </w:p>
    <w:tbl>
      <w:tblPr>
        <w:tblStyle w:val="13"/>
        <w:tblW w:w="482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668"/>
        <w:gridCol w:w="669"/>
        <w:gridCol w:w="669"/>
        <w:gridCol w:w="669"/>
        <w:gridCol w:w="871"/>
        <w:gridCol w:w="613"/>
        <w:gridCol w:w="698"/>
        <w:gridCol w:w="2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775" w:type="dxa"/>
            <w:vMerge w:val="restart"/>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类别</w:t>
            </w:r>
          </w:p>
        </w:tc>
        <w:tc>
          <w:tcPr>
            <w:tcW w:w="668" w:type="dxa"/>
            <w:vMerge w:val="restart"/>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姓名</w:t>
            </w:r>
          </w:p>
        </w:tc>
        <w:tc>
          <w:tcPr>
            <w:tcW w:w="669" w:type="dxa"/>
            <w:vMerge w:val="restart"/>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联系方式</w:t>
            </w:r>
          </w:p>
        </w:tc>
        <w:tc>
          <w:tcPr>
            <w:tcW w:w="669" w:type="dxa"/>
            <w:vMerge w:val="restart"/>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职称或职务</w:t>
            </w:r>
          </w:p>
        </w:tc>
        <w:tc>
          <w:tcPr>
            <w:tcW w:w="669" w:type="dxa"/>
            <w:vMerge w:val="restart"/>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常住地</w:t>
            </w:r>
          </w:p>
        </w:tc>
        <w:tc>
          <w:tcPr>
            <w:tcW w:w="4783" w:type="dxa"/>
            <w:gridSpan w:val="4"/>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资格证明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775" w:type="dxa"/>
            <w:vMerge w:val="continue"/>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8" w:type="dxa"/>
            <w:vMerge w:val="continue"/>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Merge w:val="continue"/>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Merge w:val="continue"/>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Merge w:val="continue"/>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87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证书名称</w:t>
            </w:r>
          </w:p>
        </w:tc>
        <w:tc>
          <w:tcPr>
            <w:tcW w:w="613"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级别</w:t>
            </w:r>
          </w:p>
        </w:tc>
        <w:tc>
          <w:tcPr>
            <w:tcW w:w="69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证号</w:t>
            </w:r>
          </w:p>
        </w:tc>
        <w:tc>
          <w:tcPr>
            <w:tcW w:w="260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jc w:val="center"/>
        </w:trPr>
        <w:tc>
          <w:tcPr>
            <w:tcW w:w="775" w:type="dxa"/>
            <w:vMerge w:val="restart"/>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管理人员</w:t>
            </w:r>
          </w:p>
        </w:tc>
        <w:tc>
          <w:tcPr>
            <w:tcW w:w="66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87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13"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9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260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775" w:type="dxa"/>
            <w:vMerge w:val="continue"/>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87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13"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9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260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jc w:val="center"/>
        </w:trPr>
        <w:tc>
          <w:tcPr>
            <w:tcW w:w="775" w:type="dxa"/>
            <w:vMerge w:val="continue"/>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87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13"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9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260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775" w:type="dxa"/>
            <w:vMerge w:val="restart"/>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服务人</w:t>
            </w:r>
          </w:p>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员</w:t>
            </w:r>
          </w:p>
        </w:tc>
        <w:tc>
          <w:tcPr>
            <w:tcW w:w="66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87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13"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9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260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jc w:val="center"/>
        </w:trPr>
        <w:tc>
          <w:tcPr>
            <w:tcW w:w="775" w:type="dxa"/>
            <w:vMerge w:val="continue"/>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87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13"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9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260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775" w:type="dxa"/>
            <w:vMerge w:val="continue"/>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87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13"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9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260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jc w:val="center"/>
        </w:trPr>
        <w:tc>
          <w:tcPr>
            <w:tcW w:w="775" w:type="dxa"/>
            <w:vMerge w:val="restart"/>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其他人</w:t>
            </w:r>
          </w:p>
          <w:p>
            <w:pPr>
              <w:spacing w:beforeAutospacing="0" w:afterAutospacing="0"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员</w:t>
            </w:r>
          </w:p>
        </w:tc>
        <w:tc>
          <w:tcPr>
            <w:tcW w:w="66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87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13"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9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260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775" w:type="dxa"/>
            <w:vMerge w:val="continue"/>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87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13"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9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260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jc w:val="center"/>
        </w:trPr>
        <w:tc>
          <w:tcPr>
            <w:tcW w:w="775" w:type="dxa"/>
            <w:vMerge w:val="continue"/>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69"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87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13"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698"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c>
          <w:tcPr>
            <w:tcW w:w="2601" w:type="dxa"/>
            <w:vAlign w:val="center"/>
          </w:tcPr>
          <w:p>
            <w:pPr>
              <w:spacing w:beforeAutospacing="0" w:afterAutospacing="0" w:line="400" w:lineRule="exact"/>
              <w:jc w:val="center"/>
              <w:rPr>
                <w:rFonts w:hint="eastAsia" w:ascii="仿宋" w:hAnsi="仿宋" w:eastAsia="仿宋" w:cs="仿宋"/>
                <w:color w:val="000000"/>
                <w:sz w:val="24"/>
                <w:szCs w:val="24"/>
                <w:lang w:val="en-US" w:eastAsia="zh-CN"/>
              </w:rPr>
            </w:pPr>
          </w:p>
        </w:tc>
      </w:tr>
    </w:tbl>
    <w:p>
      <w:pPr>
        <w:spacing w:beforeAutospacing="0" w:afterAutospacing="0" w:line="400" w:lineRule="exact"/>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后附相关证书复印件</w:t>
      </w:r>
    </w:p>
    <w:p>
      <w:pPr>
        <w:spacing w:beforeAutospacing="0" w:afterAutospacing="0" w:line="400" w:lineRule="exact"/>
        <w:ind w:firstLine="900" w:firstLineChars="375"/>
        <w:jc w:val="left"/>
        <w:rPr>
          <w:rFonts w:hint="eastAsia" w:ascii="仿宋" w:hAnsi="仿宋" w:eastAsia="仿宋" w:cs="仿宋"/>
          <w:bCs/>
          <w:sz w:val="24"/>
          <w:szCs w:val="24"/>
        </w:rPr>
      </w:pPr>
    </w:p>
    <w:p>
      <w:pPr>
        <w:pStyle w:val="30"/>
        <w:rPr>
          <w:rFonts w:hint="eastAsia" w:ascii="仿宋" w:hAnsi="仿宋" w:eastAsia="仿宋" w:cs="仿宋"/>
          <w:sz w:val="24"/>
          <w:szCs w:val="24"/>
        </w:rPr>
      </w:pPr>
    </w:p>
    <w:p>
      <w:pPr>
        <w:spacing w:beforeAutospacing="0" w:afterAutospacing="0" w:line="400" w:lineRule="exact"/>
        <w:jc w:val="left"/>
        <w:rPr>
          <w:rFonts w:hint="eastAsia" w:ascii="仿宋" w:hAnsi="仿宋" w:eastAsia="仿宋" w:cs="仿宋"/>
          <w:bCs/>
          <w:sz w:val="24"/>
          <w:szCs w:val="24"/>
          <w:lang w:eastAsia="zh-CN"/>
        </w:rPr>
      </w:pPr>
      <w:r>
        <w:rPr>
          <w:rFonts w:hint="eastAsia" w:ascii="仿宋" w:hAnsi="仿宋" w:eastAsia="仿宋" w:cs="仿宋"/>
          <w:bCs/>
          <w:sz w:val="24"/>
          <w:szCs w:val="24"/>
          <w:lang w:eastAsia="zh-CN"/>
        </w:rPr>
        <w:t>供应商</w:t>
      </w:r>
      <w:r>
        <w:rPr>
          <w:rFonts w:hint="eastAsia" w:ascii="仿宋" w:hAnsi="仿宋" w:eastAsia="仿宋" w:cs="仿宋"/>
          <w:bCs/>
          <w:sz w:val="24"/>
          <w:szCs w:val="24"/>
        </w:rPr>
        <w:t>名称：        （盖章）</w:t>
      </w:r>
    </w:p>
    <w:p>
      <w:pPr>
        <w:spacing w:beforeAutospacing="0" w:afterAutospacing="0" w:line="400" w:lineRule="exact"/>
        <w:jc w:val="left"/>
        <w:rPr>
          <w:rFonts w:hint="eastAsia" w:ascii="仿宋" w:hAnsi="仿宋" w:eastAsia="仿宋" w:cs="仿宋"/>
          <w:sz w:val="24"/>
          <w:szCs w:val="24"/>
        </w:rPr>
      </w:pPr>
      <w:r>
        <w:rPr>
          <w:rFonts w:hint="eastAsia" w:ascii="仿宋" w:hAnsi="仿宋" w:eastAsia="仿宋" w:cs="仿宋"/>
          <w:sz w:val="24"/>
          <w:szCs w:val="24"/>
        </w:rPr>
        <w:t>法定代表人或授权代表（签字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w:t>
      </w:r>
      <w:r>
        <w:rPr>
          <w:rFonts w:hint="eastAsia" w:ascii="仿宋" w:hAnsi="仿宋" w:eastAsia="仿宋" w:cs="仿宋"/>
          <w:bCs/>
          <w:sz w:val="24"/>
          <w:szCs w:val="24"/>
        </w:rPr>
        <w:t>：</w:t>
      </w:r>
    </w:p>
    <w:p>
      <w:pPr>
        <w:spacing w:beforeAutospacing="0" w:afterAutospacing="0" w:line="400" w:lineRule="exact"/>
        <w:jc w:val="left"/>
        <w:rPr>
          <w:rFonts w:hint="eastAsia" w:ascii="仿宋" w:hAnsi="仿宋" w:eastAsia="仿宋" w:cs="仿宋"/>
          <w:bCs/>
          <w:sz w:val="24"/>
          <w:szCs w:val="24"/>
        </w:rPr>
      </w:pPr>
      <w:r>
        <w:rPr>
          <w:rFonts w:hint="eastAsia" w:ascii="仿宋" w:hAnsi="仿宋" w:eastAsia="仿宋" w:cs="仿宋"/>
          <w:bCs/>
          <w:sz w:val="24"/>
          <w:szCs w:val="24"/>
        </w:rPr>
        <w:t>投标日期:</w:t>
      </w:r>
    </w:p>
    <w:p>
      <w:pPr>
        <w:rPr>
          <w:rFonts w:hint="eastAsia" w:ascii="仿宋" w:hAnsi="仿宋" w:eastAsia="仿宋" w:cs="仿宋"/>
          <w:sz w:val="24"/>
          <w:szCs w:val="24"/>
        </w:rPr>
      </w:pPr>
    </w:p>
    <w:p>
      <w:pPr>
        <w:pStyle w:val="18"/>
        <w:spacing w:beforeAutospacing="0" w:afterAutospacing="0" w:line="400" w:lineRule="exact"/>
        <w:jc w:val="center"/>
        <w:outlineLvl w:val="9"/>
        <w:rPr>
          <w:rFonts w:hint="eastAsia" w:ascii="仿宋" w:hAnsi="仿宋" w:eastAsia="仿宋" w:cs="仿宋"/>
          <w:bCs w:val="0"/>
          <w:color w:val="000000"/>
          <w:kern w:val="0"/>
          <w:sz w:val="24"/>
          <w:szCs w:val="24"/>
          <w:lang w:val="en-US" w:eastAsia="zh-CN"/>
        </w:rPr>
      </w:pPr>
    </w:p>
    <w:p>
      <w:pPr>
        <w:pStyle w:val="18"/>
        <w:spacing w:beforeAutospacing="0" w:afterAutospacing="0" w:line="400" w:lineRule="exact"/>
        <w:jc w:val="center"/>
        <w:outlineLvl w:val="9"/>
        <w:rPr>
          <w:rFonts w:hint="eastAsia" w:ascii="仿宋" w:hAnsi="仿宋" w:eastAsia="仿宋" w:cs="仿宋"/>
          <w:bCs w:val="0"/>
          <w:color w:val="000000"/>
          <w:kern w:val="0"/>
          <w:sz w:val="24"/>
          <w:szCs w:val="24"/>
          <w:lang w:val="en-US" w:eastAsia="zh-CN"/>
        </w:rPr>
      </w:pPr>
    </w:p>
    <w:p>
      <w:pPr>
        <w:pStyle w:val="18"/>
        <w:spacing w:beforeAutospacing="0" w:afterAutospacing="0" w:line="400" w:lineRule="exact"/>
        <w:jc w:val="both"/>
        <w:outlineLvl w:val="9"/>
        <w:rPr>
          <w:rFonts w:hint="eastAsia" w:ascii="仿宋" w:hAnsi="仿宋" w:eastAsia="仿宋" w:cs="仿宋"/>
          <w:bCs w:val="0"/>
          <w:color w:val="000000"/>
          <w:kern w:val="0"/>
          <w:sz w:val="24"/>
          <w:szCs w:val="24"/>
          <w:lang w:val="en-US" w:eastAsia="zh-CN"/>
        </w:rPr>
      </w:pPr>
    </w:p>
    <w:p>
      <w:pPr>
        <w:rPr>
          <w:rFonts w:hint="eastAsia" w:ascii="仿宋" w:hAnsi="仿宋" w:eastAsia="仿宋" w:cs="仿宋"/>
          <w:bCs/>
          <w:color w:val="000000"/>
          <w:kern w:val="0"/>
          <w:sz w:val="24"/>
          <w:szCs w:val="24"/>
          <w:lang w:val="en-US" w:eastAsia="zh-CN"/>
        </w:rPr>
      </w:pPr>
    </w:p>
    <w:p>
      <w:pPr>
        <w:pStyle w:val="26"/>
        <w:rPr>
          <w:rFonts w:hint="eastAsia" w:ascii="仿宋" w:hAnsi="仿宋" w:eastAsia="仿宋" w:cs="仿宋"/>
          <w:bCs/>
          <w:color w:val="000000"/>
          <w:kern w:val="0"/>
          <w:sz w:val="24"/>
          <w:szCs w:val="24"/>
          <w:lang w:val="en-US" w:eastAsia="zh-CN"/>
        </w:rPr>
      </w:pPr>
    </w:p>
    <w:bookmarkEnd w:id="190"/>
    <w:p>
      <w:pPr>
        <w:pStyle w:val="18"/>
        <w:spacing w:beforeAutospacing="0" w:afterAutospacing="0" w:line="40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七、供应商资格证明文件及供应商认为需要提供的其他文件和资料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1、供应商须具有独立承担民事责任的能力；【法人或者其他组织投标需提供营业执照等证明文件，自然人投标需提供自然人的身份证明】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2、具有良好的商业信誉和健全的财务会计制度；【须提供承诺书】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3、具有履行合同所必需的专业技术能力与人员队伍；【须提供承诺书】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4、具有依法缴纳税收和社会保障资金的良好记录；【须提供承诺书】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5、参与投标的单位前三年内，在经营活动中没有重大违法记录；【须提供承诺书】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6、法律、行政法规规定的其他条件；【须提供承诺书】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7、其他说明：单位负责人为同一人或者存在直接控股、管理关系的不同供应商，不得参加同一合同项下的政府采购活动。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8、本项目不接受联合体投标</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br w:type="page"/>
      </w:r>
      <w:r>
        <w:rPr>
          <w:rFonts w:hint="eastAsia" w:ascii="仿宋" w:hAnsi="仿宋" w:eastAsia="仿宋" w:cs="仿宋"/>
          <w:color w:val="000000"/>
          <w:sz w:val="24"/>
          <w:szCs w:val="24"/>
          <w:lang w:val="en-US" w:eastAsia="zh-CN"/>
        </w:rPr>
        <w:t xml:space="preserve">                          </w:t>
      </w:r>
      <w:r>
        <w:rPr>
          <w:rFonts w:hint="eastAsia" w:ascii="仿宋" w:hAnsi="仿宋" w:eastAsia="仿宋" w:cs="仿宋"/>
          <w:b/>
          <w:bCs/>
          <w:color w:val="000000"/>
          <w:sz w:val="28"/>
          <w:szCs w:val="28"/>
          <w:lang w:val="en-US" w:eastAsia="zh-CN" w:bidi="ar-SA"/>
        </w:rPr>
        <w:t xml:space="preserve">  八、服务方案</w:t>
      </w:r>
    </w:p>
    <w:p>
      <w:pPr>
        <w:ind w:firstLine="3840" w:firstLineChars="1600"/>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格式自拟</w:t>
      </w: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pStyle w:val="18"/>
        <w:outlineLvl w:val="9"/>
        <w:rPr>
          <w:rFonts w:hint="eastAsia" w:ascii="仿宋" w:hAnsi="仿宋" w:eastAsia="仿宋" w:cs="仿宋"/>
          <w:b/>
          <w:sz w:val="24"/>
          <w:szCs w:val="24"/>
        </w:rPr>
      </w:pPr>
    </w:p>
    <w:p>
      <w:pPr>
        <w:rPr>
          <w:rFonts w:hint="eastAsia" w:ascii="仿宋" w:hAnsi="仿宋" w:eastAsia="仿宋" w:cs="仿宋"/>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spacing w:beforeAutospacing="0" w:afterAutospacing="0" w:line="320" w:lineRule="exact"/>
        <w:ind w:firstLine="573"/>
        <w:rPr>
          <w:rFonts w:hint="eastAsia" w:ascii="仿宋" w:hAnsi="仿宋" w:eastAsia="仿宋" w:cs="仿宋"/>
          <w:b/>
          <w:sz w:val="24"/>
          <w:szCs w:val="24"/>
        </w:rPr>
      </w:pPr>
    </w:p>
    <w:p>
      <w:pPr>
        <w:jc w:val="center"/>
        <w:outlineLvl w:val="9"/>
        <w:rPr>
          <w:rStyle w:val="16"/>
          <w:rFonts w:hint="eastAsia" w:ascii="仿宋" w:hAnsi="仿宋" w:eastAsia="仿宋" w:cs="仿宋"/>
          <w:color w:val="000000"/>
          <w:sz w:val="32"/>
          <w:szCs w:val="32"/>
          <w:lang w:val="en-US" w:eastAsia="zh-CN"/>
        </w:rPr>
      </w:pPr>
      <w:bookmarkStart w:id="191" w:name="_Toc31271_WPSOffice_Level1"/>
      <w:bookmarkStart w:id="192" w:name="_Toc31134"/>
      <w:bookmarkStart w:id="193" w:name="_Toc9879"/>
    </w:p>
    <w:p>
      <w:pPr>
        <w:jc w:val="center"/>
        <w:outlineLvl w:val="9"/>
        <w:rPr>
          <w:rStyle w:val="16"/>
          <w:rFonts w:hint="eastAsia" w:ascii="仿宋" w:hAnsi="仿宋" w:eastAsia="仿宋" w:cs="仿宋"/>
          <w:color w:val="000000"/>
          <w:sz w:val="32"/>
          <w:szCs w:val="32"/>
          <w:lang w:val="en-US" w:eastAsia="zh-CN"/>
        </w:rPr>
      </w:pPr>
    </w:p>
    <w:p>
      <w:pPr>
        <w:jc w:val="center"/>
        <w:outlineLvl w:val="9"/>
        <w:rPr>
          <w:rStyle w:val="16"/>
          <w:rFonts w:hint="eastAsia" w:ascii="仿宋" w:hAnsi="仿宋" w:eastAsia="仿宋" w:cs="仿宋"/>
          <w:color w:val="000000"/>
          <w:sz w:val="32"/>
          <w:szCs w:val="32"/>
          <w:lang w:val="en-US" w:eastAsia="zh-CN"/>
        </w:rPr>
      </w:pPr>
    </w:p>
    <w:p>
      <w:pPr>
        <w:jc w:val="center"/>
        <w:outlineLvl w:val="9"/>
        <w:rPr>
          <w:rStyle w:val="16"/>
          <w:rFonts w:hint="eastAsia" w:ascii="仿宋" w:hAnsi="仿宋" w:eastAsia="仿宋" w:cs="仿宋"/>
          <w:color w:val="000000"/>
          <w:sz w:val="32"/>
          <w:szCs w:val="32"/>
          <w:lang w:val="en-US" w:eastAsia="zh-CN"/>
        </w:rPr>
      </w:pPr>
    </w:p>
    <w:p>
      <w:pPr>
        <w:jc w:val="center"/>
        <w:outlineLvl w:val="9"/>
        <w:rPr>
          <w:rStyle w:val="16"/>
          <w:rFonts w:hint="eastAsia" w:ascii="仿宋" w:hAnsi="仿宋" w:eastAsia="仿宋" w:cs="仿宋"/>
          <w:color w:val="000000"/>
          <w:sz w:val="32"/>
          <w:szCs w:val="32"/>
          <w:lang w:val="en-US" w:eastAsia="zh-CN"/>
        </w:rPr>
      </w:pPr>
    </w:p>
    <w:p>
      <w:pPr>
        <w:jc w:val="center"/>
        <w:outlineLvl w:val="9"/>
        <w:rPr>
          <w:rStyle w:val="16"/>
          <w:rFonts w:hint="eastAsia" w:ascii="仿宋" w:hAnsi="仿宋" w:eastAsia="仿宋" w:cs="仿宋"/>
          <w:color w:val="000000"/>
          <w:sz w:val="32"/>
          <w:szCs w:val="32"/>
          <w:lang w:val="en-US" w:eastAsia="zh-CN"/>
        </w:rPr>
      </w:pPr>
    </w:p>
    <w:p>
      <w:pPr>
        <w:jc w:val="center"/>
        <w:outlineLvl w:val="9"/>
        <w:rPr>
          <w:rStyle w:val="16"/>
          <w:rFonts w:hint="eastAsia" w:ascii="仿宋" w:hAnsi="仿宋" w:eastAsia="仿宋" w:cs="仿宋"/>
          <w:color w:val="000000"/>
          <w:sz w:val="32"/>
          <w:szCs w:val="32"/>
          <w:lang w:val="en-US" w:eastAsia="zh-CN"/>
        </w:rPr>
      </w:pPr>
    </w:p>
    <w:p>
      <w:pPr>
        <w:jc w:val="center"/>
        <w:outlineLvl w:val="9"/>
        <w:rPr>
          <w:rStyle w:val="16"/>
          <w:rFonts w:hint="eastAsia" w:ascii="仿宋" w:hAnsi="仿宋" w:eastAsia="仿宋" w:cs="仿宋"/>
          <w:color w:val="000000"/>
          <w:sz w:val="32"/>
          <w:szCs w:val="32"/>
          <w:lang w:val="en-US" w:eastAsia="zh-CN"/>
        </w:rPr>
      </w:pPr>
    </w:p>
    <w:p>
      <w:pPr>
        <w:jc w:val="center"/>
        <w:outlineLvl w:val="9"/>
        <w:rPr>
          <w:rStyle w:val="16"/>
          <w:rFonts w:hint="eastAsia" w:ascii="仿宋" w:hAnsi="仿宋" w:eastAsia="仿宋" w:cs="仿宋"/>
          <w:color w:val="000000"/>
          <w:sz w:val="32"/>
          <w:szCs w:val="32"/>
          <w:lang w:val="en-US" w:eastAsia="zh-CN"/>
        </w:rPr>
      </w:pPr>
    </w:p>
    <w:p>
      <w:pPr>
        <w:jc w:val="center"/>
        <w:outlineLvl w:val="9"/>
        <w:rPr>
          <w:rStyle w:val="16"/>
          <w:rFonts w:hint="eastAsia" w:ascii="仿宋" w:hAnsi="仿宋" w:eastAsia="仿宋" w:cs="仿宋"/>
          <w:color w:val="000000"/>
          <w:sz w:val="32"/>
          <w:szCs w:val="32"/>
          <w:lang w:val="en-US" w:eastAsia="zh-CN"/>
        </w:rPr>
      </w:pPr>
    </w:p>
    <w:p>
      <w:pPr>
        <w:jc w:val="both"/>
        <w:rPr>
          <w:rStyle w:val="16"/>
          <w:rFonts w:hint="eastAsia" w:ascii="仿宋" w:hAnsi="仿宋" w:eastAsia="仿宋" w:cs="仿宋"/>
        </w:rPr>
      </w:pPr>
    </w:p>
    <w:p>
      <w:pPr>
        <w:pStyle w:val="26"/>
        <w:rPr>
          <w:rStyle w:val="16"/>
          <w:rFonts w:hint="eastAsia" w:ascii="仿宋" w:hAnsi="仿宋" w:eastAsia="仿宋" w:cs="仿宋"/>
        </w:rPr>
      </w:pPr>
    </w:p>
    <w:p>
      <w:pPr>
        <w:pStyle w:val="26"/>
        <w:rPr>
          <w:rStyle w:val="16"/>
          <w:rFonts w:hint="eastAsia" w:ascii="仿宋" w:hAnsi="仿宋" w:eastAsia="仿宋" w:cs="仿宋"/>
        </w:rPr>
      </w:pPr>
    </w:p>
    <w:p>
      <w:pPr>
        <w:pStyle w:val="26"/>
        <w:rPr>
          <w:rStyle w:val="16"/>
          <w:rFonts w:hint="eastAsia" w:ascii="仿宋" w:hAnsi="仿宋" w:eastAsia="仿宋" w:cs="仿宋"/>
        </w:rPr>
      </w:pPr>
    </w:p>
    <w:p>
      <w:pPr>
        <w:pStyle w:val="26"/>
        <w:rPr>
          <w:rStyle w:val="16"/>
          <w:rFonts w:hint="eastAsia" w:ascii="仿宋" w:hAnsi="仿宋" w:eastAsia="仿宋" w:cs="仿宋"/>
        </w:rPr>
      </w:pPr>
    </w:p>
    <w:p>
      <w:pPr>
        <w:pStyle w:val="26"/>
        <w:rPr>
          <w:rStyle w:val="16"/>
          <w:rFonts w:hint="eastAsia" w:ascii="仿宋" w:hAnsi="仿宋" w:eastAsia="仿宋" w:cs="仿宋"/>
        </w:rPr>
      </w:pPr>
    </w:p>
    <w:p>
      <w:pPr>
        <w:pStyle w:val="26"/>
        <w:rPr>
          <w:rStyle w:val="16"/>
          <w:rFonts w:hint="eastAsia" w:ascii="仿宋" w:hAnsi="仿宋" w:eastAsia="仿宋" w:cs="仿宋"/>
        </w:rPr>
      </w:pPr>
    </w:p>
    <w:p>
      <w:pPr>
        <w:pStyle w:val="26"/>
        <w:rPr>
          <w:rStyle w:val="16"/>
          <w:rFonts w:hint="eastAsia" w:ascii="仿宋" w:hAnsi="仿宋" w:eastAsia="仿宋" w:cs="仿宋"/>
        </w:rPr>
      </w:pPr>
    </w:p>
    <w:p>
      <w:pPr>
        <w:spacing w:before="91" w:beforeAutospacing="0" w:afterAutospacing="0" w:line="223" w:lineRule="auto"/>
        <w:rPr>
          <w:rFonts w:hint="eastAsia" w:ascii="仿宋" w:hAnsi="仿宋" w:eastAsia="仿宋" w:cs="仿宋"/>
          <w:b/>
          <w:bCs/>
          <w:kern w:val="0"/>
          <w:sz w:val="24"/>
          <w:szCs w:val="24"/>
          <w:lang w:val="en-US" w:eastAsia="zh-CN" w:bidi="ar-SA"/>
        </w:rPr>
      </w:pPr>
      <w:bookmarkStart w:id="194" w:name="_Toc5425"/>
      <w:bookmarkEnd w:id="194"/>
      <w:bookmarkStart w:id="195" w:name="_Toc26203"/>
      <w:bookmarkEnd w:id="195"/>
      <w:bookmarkStart w:id="196" w:name="_Toc19298"/>
      <w:bookmarkEnd w:id="196"/>
      <w:bookmarkStart w:id="197" w:name="_Toc26369"/>
      <w:bookmarkEnd w:id="197"/>
      <w:bookmarkStart w:id="198" w:name="_Toc13017"/>
      <w:bookmarkEnd w:id="198"/>
      <w:r>
        <w:rPr>
          <w:rFonts w:hint="eastAsia" w:ascii="仿宋" w:hAnsi="仿宋" w:eastAsia="仿宋" w:cs="仿宋"/>
          <w:b/>
          <w:bCs/>
          <w:kern w:val="0"/>
          <w:sz w:val="24"/>
          <w:szCs w:val="24"/>
          <w:lang w:val="en-US" w:eastAsia="zh-CN" w:bidi="ar-SA"/>
        </w:rPr>
        <w:t>附件1：</w:t>
      </w:r>
    </w:p>
    <w:p>
      <w:pPr>
        <w:numPr>
          <w:ilvl w:val="0"/>
          <w:numId w:val="0"/>
        </w:numPr>
        <w:jc w:val="both"/>
        <w:rPr>
          <w:rFonts w:hint="eastAsia" w:ascii="仿宋" w:hAnsi="仿宋" w:eastAsia="仿宋" w:cs="仿宋"/>
          <w:b/>
          <w:bCs/>
          <w:color w:val="000000"/>
          <w:sz w:val="28"/>
          <w:szCs w:val="28"/>
        </w:rPr>
      </w:pPr>
    </w:p>
    <w:p>
      <w:pPr>
        <w:numPr>
          <w:ilvl w:val="0"/>
          <w:numId w:val="0"/>
        </w:numPr>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中小企业声明函（符合本声明函填写）</w:t>
      </w:r>
    </w:p>
    <w:p>
      <w:pPr>
        <w:pStyle w:val="6"/>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本公司</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（联合体）郑重声明，根据《政府采购促进中小企业发展管理办法》（财库〔2020〕[2020]46号）的规定，本公司</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（联合体）参加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（单位名称）的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项目名称）采购活动，工程的施工单位全部为符合政策要求的中小企业（或者：服务全部由符合政策要求的中小企业承接）。相关企业（含联合体中的中小企业、签订分包意向协议的中小企业）的具体情况如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1.（标的名称），属于</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（采购文件中明确的所属行业）；承建（承接）企业为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（企业名称），从业人员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万元，属于（中型企业、小型企业、微型企业）；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2.（标的名称），属于</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（采购文件中明确的所属行业）；承建（承接）企业为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（企业名称），从业人员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万元，属于（中型企业、小型企业、微型企业）；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以上企业，不属于大企业的分支机构，不存在控股股东为大企业的情形，也不存在与大企业的负责人为同一人的情形。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本企业对上述声明内容的真实性负责。如有虚假，将依法承担相应责任。</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rPr>
      </w:pPr>
    </w:p>
    <w:p>
      <w:pPr>
        <w:spacing w:beforeAutospacing="0" w:afterAutospacing="0" w:line="251" w:lineRule="auto"/>
        <w:rPr>
          <w:rFonts w:hint="eastAsia" w:ascii="仿宋" w:hAnsi="仿宋" w:eastAsia="仿宋" w:cs="仿宋"/>
          <w:sz w:val="24"/>
          <w:szCs w:val="24"/>
        </w:rPr>
      </w:pPr>
    </w:p>
    <w:p>
      <w:pPr>
        <w:spacing w:before="75" w:beforeAutospacing="0" w:afterAutospacing="0" w:line="360" w:lineRule="auto"/>
        <w:ind w:left="1"/>
        <w:rPr>
          <w:rFonts w:hint="eastAsia" w:ascii="仿宋" w:hAnsi="仿宋" w:eastAsia="仿宋" w:cs="仿宋"/>
          <w:spacing w:val="-1"/>
          <w:sz w:val="24"/>
          <w:szCs w:val="24"/>
        </w:rPr>
      </w:pPr>
      <w:r>
        <w:rPr>
          <w:rFonts w:hint="eastAsia" w:ascii="仿宋" w:hAnsi="仿宋" w:eastAsia="仿宋" w:cs="仿宋"/>
          <w:spacing w:val="-1"/>
          <w:sz w:val="24"/>
          <w:szCs w:val="24"/>
        </w:rPr>
        <w:t>企业名称：                      (电子</w:t>
      </w:r>
      <w:r>
        <w:rPr>
          <w:rFonts w:hint="eastAsia" w:ascii="仿宋" w:hAnsi="仿宋" w:eastAsia="仿宋" w:cs="仿宋"/>
          <w:sz w:val="24"/>
          <w:szCs w:val="24"/>
        </w:rPr>
        <w:t>签章)</w:t>
      </w:r>
    </w:p>
    <w:p>
      <w:pPr>
        <w:spacing w:before="180" w:beforeAutospacing="0" w:afterAutospacing="0" w:line="360" w:lineRule="auto"/>
        <w:rPr>
          <w:rFonts w:hint="eastAsia" w:ascii="仿宋" w:hAnsi="仿宋" w:eastAsia="仿宋" w:cs="仿宋"/>
          <w:spacing w:val="-8"/>
          <w:sz w:val="24"/>
          <w:szCs w:val="24"/>
        </w:rPr>
      </w:pPr>
      <w:r>
        <w:rPr>
          <w:rFonts w:hint="eastAsia" w:ascii="仿宋" w:hAnsi="仿宋" w:eastAsia="仿宋" w:cs="仿宋"/>
          <w:spacing w:val="-8"/>
          <w:sz w:val="24"/>
          <w:szCs w:val="24"/>
        </w:rPr>
        <w:t>日 期 ：</w:t>
      </w:r>
      <w:r>
        <w:rPr>
          <w:rFonts w:hint="eastAsia" w:ascii="仿宋" w:hAnsi="仿宋" w:eastAsia="仿宋" w:cs="仿宋"/>
          <w:spacing w:val="-7"/>
          <w:sz w:val="24"/>
          <w:szCs w:val="24"/>
        </w:rPr>
        <w:t xml:space="preserve"> </w:t>
      </w:r>
      <w:r>
        <w:rPr>
          <w:rFonts w:hint="eastAsia" w:ascii="仿宋" w:hAnsi="仿宋" w:eastAsia="仿宋" w:cs="仿宋"/>
          <w:spacing w:val="-4"/>
          <w:sz w:val="24"/>
          <w:szCs w:val="24"/>
        </w:rPr>
        <w:t xml:space="preserve">         年      月     日</w:t>
      </w:r>
    </w:p>
    <w:p>
      <w:pPr>
        <w:spacing w:beforeAutospacing="0" w:afterAutospacing="0" w:line="245" w:lineRule="auto"/>
        <w:rPr>
          <w:rFonts w:hint="eastAsia" w:ascii="仿宋" w:hAnsi="仿宋" w:eastAsia="仿宋" w:cs="仿宋"/>
          <w:sz w:val="24"/>
          <w:szCs w:val="24"/>
        </w:rPr>
      </w:pPr>
    </w:p>
    <w:p>
      <w:pPr>
        <w:spacing w:beforeAutospacing="0" w:afterAutospacing="0" w:line="245" w:lineRule="auto"/>
        <w:rPr>
          <w:rFonts w:hint="eastAsia" w:ascii="仿宋" w:hAnsi="仿宋" w:eastAsia="仿宋" w:cs="仿宋"/>
          <w:sz w:val="24"/>
          <w:szCs w:val="24"/>
        </w:rPr>
      </w:pPr>
    </w:p>
    <w:p>
      <w:pPr>
        <w:spacing w:before="75" w:beforeAutospacing="0" w:afterAutospacing="0" w:line="382" w:lineRule="auto"/>
        <w:ind w:left="6" w:hanging="6"/>
        <w:rPr>
          <w:rFonts w:hint="eastAsia" w:ascii="仿宋" w:hAnsi="仿宋" w:eastAsia="仿宋" w:cs="仿宋"/>
          <w:spacing w:val="16"/>
          <w:sz w:val="24"/>
          <w:szCs w:val="24"/>
        </w:rPr>
      </w:pPr>
      <w:r>
        <w:rPr>
          <w:rFonts w:hint="eastAsia" w:ascii="仿宋" w:hAnsi="仿宋" w:eastAsia="仿宋" w:cs="仿宋"/>
          <w:spacing w:val="16"/>
          <w:sz w:val="24"/>
          <w:szCs w:val="24"/>
        </w:rPr>
        <w:t>从业</w:t>
      </w:r>
      <w:r>
        <w:rPr>
          <w:rFonts w:hint="eastAsia" w:ascii="仿宋" w:hAnsi="仿宋" w:eastAsia="仿宋" w:cs="仿宋"/>
          <w:spacing w:val="14"/>
          <w:sz w:val="24"/>
          <w:szCs w:val="24"/>
        </w:rPr>
        <w:t>人</w:t>
      </w:r>
      <w:r>
        <w:rPr>
          <w:rFonts w:hint="eastAsia" w:ascii="仿宋" w:hAnsi="仿宋" w:eastAsia="仿宋" w:cs="仿宋"/>
          <w:spacing w:val="8"/>
          <w:sz w:val="24"/>
          <w:szCs w:val="24"/>
        </w:rPr>
        <w:t>员、营业收入、资产总额填报上一年度数据，无上一年度数据的新成立企业可</w:t>
      </w:r>
      <w:r>
        <w:rPr>
          <w:rFonts w:hint="eastAsia" w:ascii="仿宋" w:hAnsi="仿宋" w:eastAsia="仿宋" w:cs="仿宋"/>
          <w:spacing w:val="2"/>
          <w:sz w:val="24"/>
          <w:szCs w:val="24"/>
        </w:rPr>
        <w:t>不填报。</w:t>
      </w:r>
    </w:p>
    <w:p>
      <w:pPr>
        <w:spacing w:before="91" w:beforeAutospacing="0" w:afterAutospacing="0" w:line="223" w:lineRule="auto"/>
        <w:rPr>
          <w:rFonts w:hint="default" w:ascii="仿宋" w:hAnsi="仿宋" w:eastAsia="仿宋" w:cs="仿宋"/>
          <w:kern w:val="0"/>
          <w:sz w:val="24"/>
          <w:szCs w:val="24"/>
          <w:lang w:val="en-US" w:eastAsia="zh-CN" w:bidi="ar-SA"/>
        </w:rPr>
      </w:pPr>
    </w:p>
    <w:p>
      <w:pPr>
        <w:pStyle w:val="6"/>
        <w:rPr>
          <w:rFonts w:hint="default" w:ascii="仿宋" w:hAnsi="仿宋" w:eastAsia="仿宋" w:cs="仿宋"/>
          <w:kern w:val="0"/>
          <w:sz w:val="24"/>
          <w:szCs w:val="24"/>
          <w:lang w:val="en-US" w:eastAsia="zh-CN" w:bidi="ar-SA"/>
        </w:rPr>
      </w:pPr>
    </w:p>
    <w:p>
      <w:pPr>
        <w:rPr>
          <w:rFonts w:hint="default" w:ascii="仿宋" w:hAnsi="仿宋" w:eastAsia="仿宋" w:cs="仿宋"/>
          <w:kern w:val="0"/>
          <w:sz w:val="24"/>
          <w:szCs w:val="24"/>
          <w:lang w:val="en-US" w:eastAsia="zh-CN" w:bidi="ar-SA"/>
        </w:rPr>
      </w:pPr>
    </w:p>
    <w:p>
      <w:pPr>
        <w:pStyle w:val="6"/>
        <w:rPr>
          <w:rFonts w:hint="default" w:ascii="仿宋" w:hAnsi="仿宋" w:eastAsia="仿宋" w:cs="仿宋"/>
          <w:kern w:val="0"/>
          <w:sz w:val="24"/>
          <w:szCs w:val="24"/>
          <w:lang w:val="en-US" w:eastAsia="zh-CN" w:bidi="ar-SA"/>
        </w:rPr>
      </w:pPr>
    </w:p>
    <w:p>
      <w:pPr>
        <w:spacing w:before="91" w:beforeAutospacing="0" w:afterAutospacing="0" w:line="223" w:lineRule="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附件2：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352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监狱企业声明函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3418"/>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(监狱企业适用)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 w:firstLine="562"/>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本公司郑重声明，根据《关于政府采购支持监狱企业发展有关问题的通知》 (财库[2014]68号) 的规定，本公司为监狱企业。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1" w:right="24" w:firstLine="566"/>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本公司参加______单位的______项目采购活动，采购活动提供本企业 (填写 制造的货物， 由本企业承担工程、提供服务)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68"/>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本条所称货物不包括使用大型企业注册商标的货物和服务。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68"/>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投标人 ( 电子签章)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8"/>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法定代表人或其授权代表(电子签章或电子签名)：____________</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1"/>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日 期 ：            年      月     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pStyle w:val="6"/>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附件3：</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2949"/>
        <w:textAlignment w:val="auto"/>
        <w:outlineLvl w:val="2"/>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残疾人福利性单位声明函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24" w:firstLine="505"/>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本单位郑重声明，根据《财政部民政部中国残疾人联合会关于促进残疾人就 业政府采购政策的通知》(财库〔2017〕141号) 的规定，本单位为符合条件的残 疾人福利</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05"/>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单位名称：                       (电子签章)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51"/>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日 期 ：            年      月     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7"/>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注：．投标人根据情况自行选择，不享受相关政策的投标人无需提供附件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yellow"/>
        </w:rPr>
        <w:sectPr>
          <w:footerReference r:id="rId7" w:type="default"/>
          <w:pgSz w:w="11907" w:h="16840"/>
          <w:pgMar w:top="1440" w:right="1800" w:bottom="1440" w:left="1800" w:header="0" w:footer="916" w:gutter="0"/>
          <w:pgNumType w:fmt="decimal"/>
          <w:cols w:space="720" w:num="1"/>
          <w:docGrid w:linePitch="0" w:charSpace="0"/>
        </w:sectPr>
      </w:pPr>
    </w:p>
    <w:bookmarkEnd w:id="191"/>
    <w:bookmarkEnd w:id="192"/>
    <w:p>
      <w:pPr>
        <w:jc w:val="left"/>
        <w:outlineLvl w:val="0"/>
        <w:rPr>
          <w:rStyle w:val="16"/>
          <w:rFonts w:hint="eastAsia" w:ascii="仿宋" w:hAnsi="仿宋" w:eastAsia="仿宋" w:cs="仿宋"/>
          <w:lang w:val="en-US" w:eastAsia="zh-CN"/>
        </w:rPr>
      </w:pPr>
      <w:r>
        <w:rPr>
          <w:rStyle w:val="16"/>
          <w:rFonts w:hint="eastAsia" w:ascii="仿宋" w:hAnsi="仿宋" w:eastAsia="仿宋" w:cs="仿宋"/>
          <w:lang w:val="en-US" w:eastAsia="zh-CN"/>
        </w:rPr>
        <w:t xml:space="preserve">          </w:t>
      </w:r>
      <w:bookmarkStart w:id="199" w:name="_Toc10275"/>
      <w:r>
        <w:rPr>
          <w:rStyle w:val="16"/>
          <w:rFonts w:hint="eastAsia" w:ascii="仿宋" w:hAnsi="仿宋" w:eastAsia="仿宋" w:cs="仿宋"/>
          <w:color w:val="000000"/>
          <w:sz w:val="32"/>
          <w:szCs w:val="32"/>
          <w:lang w:val="en-US" w:eastAsia="zh-CN"/>
        </w:rPr>
        <w:t>第四章  供应商的资格要求</w:t>
      </w:r>
      <w:bookmarkEnd w:id="199"/>
    </w:p>
    <w:bookmarkEnd w:id="193"/>
    <w:p>
      <w:pPr>
        <w:rPr>
          <w:rFonts w:hint="eastAsia" w:ascii="仿宋" w:hAnsi="仿宋" w:eastAsia="仿宋" w:cs="仿宋"/>
          <w:color w:val="000000"/>
          <w:sz w:val="24"/>
          <w:szCs w:val="24"/>
        </w:rPr>
      </w:pPr>
    </w:p>
    <w:p>
      <w:pPr>
        <w:pStyle w:val="55"/>
        <w:ind w:right="-82" w:rightChars="-24"/>
        <w:rPr>
          <w:rFonts w:hint="eastAsia" w:ascii="仿宋" w:hAnsi="仿宋" w:eastAsia="仿宋" w:cs="仿宋"/>
          <w:sz w:val="24"/>
          <w:szCs w:val="24"/>
          <w:lang w:eastAsia="zh-CN"/>
        </w:rPr>
      </w:pPr>
      <w:bookmarkStart w:id="200" w:name="_Toc217446093"/>
      <w:r>
        <w:rPr>
          <w:rFonts w:hint="eastAsia" w:ascii="仿宋" w:hAnsi="仿宋" w:eastAsia="仿宋" w:cs="仿宋"/>
          <w:sz w:val="24"/>
          <w:szCs w:val="24"/>
          <w:lang w:eastAsia="zh-CN"/>
        </w:rPr>
        <w:t>1、符合《中华人民共和国政府采购法》第二十二条及磋商文件要求的供应商资格要求。</w:t>
      </w:r>
    </w:p>
    <w:bookmarkEnd w:id="200"/>
    <w:p>
      <w:pPr>
        <w:pStyle w:val="17"/>
        <w:numPr>
          <w:ilvl w:val="0"/>
          <w:numId w:val="0"/>
        </w:numPr>
        <w:spacing w:beforeAutospacing="0" w:afterAutospacing="0" w:line="400" w:lineRule="exact"/>
        <w:jc w:val="center"/>
        <w:rPr>
          <w:rFonts w:hint="eastAsia" w:ascii="仿宋" w:hAnsi="仿宋" w:eastAsia="仿宋" w:cs="仿宋"/>
          <w:color w:val="000000"/>
          <w:sz w:val="24"/>
          <w:szCs w:val="24"/>
          <w:highlight w:val="yellow"/>
        </w:rPr>
      </w:pPr>
      <w:bookmarkStart w:id="201" w:name="_Toc17293"/>
      <w:bookmarkEnd w:id="201"/>
      <w:r>
        <w:rPr>
          <w:rFonts w:hint="eastAsia" w:ascii="仿宋" w:hAnsi="仿宋" w:eastAsia="仿宋" w:cs="仿宋"/>
          <w:color w:val="000000"/>
          <w:sz w:val="24"/>
          <w:szCs w:val="24"/>
        </w:rPr>
        <w:br w:type="page"/>
      </w:r>
      <w:bookmarkStart w:id="202" w:name="_Toc22251"/>
      <w:r>
        <w:rPr>
          <w:rFonts w:hint="eastAsia" w:ascii="仿宋" w:hAnsi="仿宋" w:eastAsia="仿宋" w:cs="仿宋"/>
          <w:b/>
          <w:bCs/>
          <w:color w:val="000000"/>
          <w:sz w:val="36"/>
          <w:szCs w:val="36"/>
          <w:highlight w:val="none"/>
          <w:lang w:val="en-US" w:eastAsia="zh-CN"/>
        </w:rPr>
        <w:t xml:space="preserve">第五章  </w:t>
      </w:r>
      <w:r>
        <w:rPr>
          <w:rFonts w:hint="eastAsia" w:ascii="仿宋" w:hAnsi="仿宋" w:eastAsia="仿宋" w:cs="仿宋"/>
          <w:color w:val="000000"/>
          <w:sz w:val="36"/>
          <w:szCs w:val="36"/>
          <w:highlight w:val="none"/>
          <w:lang w:val="en-US" w:eastAsia="zh-CN"/>
        </w:rPr>
        <w:t>采购项目采购需求</w:t>
      </w:r>
      <w:bookmarkEnd w:id="202"/>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lang w:val="en-US" w:eastAsia="zh-CN"/>
        </w:rPr>
      </w:pPr>
      <w:bookmarkStart w:id="203" w:name="_Toc31291"/>
      <w:bookmarkEnd w:id="203"/>
      <w:bookmarkStart w:id="204" w:name="_Hlt101846155"/>
      <w:bookmarkEnd w:id="204"/>
      <w:bookmarkStart w:id="205" w:name="_Toc30882"/>
      <w:bookmarkEnd w:id="205"/>
      <w:bookmarkStart w:id="206" w:name="_Toc217446097"/>
      <w:bookmarkStart w:id="207" w:name="_Toc183682415"/>
      <w:bookmarkStart w:id="208" w:name="_Toc183582280"/>
      <w:bookmarkStart w:id="209" w:name="_Toc208849007"/>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配合研究并提出米东区全社会固定资产投资总规模和投资结构目标、提出申请地方政府债券、中央预算内、自治区预算内、市预算内等各类上级资金支持项目申报计划及配合权限内政府投资项目审批和社会投资项目备案，核准上报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bidi="ar-SA"/>
        </w:rPr>
      </w:pPr>
    </w:p>
    <w:p>
      <w:pPr>
        <w:pageBreakBefore w:val="0"/>
        <w:widowControl w:val="0"/>
        <w:kinsoku/>
        <w:wordWrap/>
        <w:overflowPunct/>
        <w:topLinePunct w:val="0"/>
        <w:autoSpaceDE/>
        <w:autoSpaceDN/>
        <w:bidi w:val="0"/>
        <w:snapToGrid/>
        <w:spacing w:beforeAutospacing="0" w:afterAutospacing="0" w:line="240" w:lineRule="auto"/>
        <w:rPr>
          <w:rFonts w:hint="eastAsia" w:ascii="仿宋" w:hAnsi="仿宋" w:eastAsia="仿宋" w:cs="仿宋"/>
        </w:rPr>
      </w:pPr>
      <w:r>
        <w:rPr>
          <w:rFonts w:hint="eastAsia" w:ascii="仿宋" w:hAnsi="仿宋" w:eastAsia="仿宋" w:cs="仿宋"/>
        </w:rPr>
        <w:br w:type="page"/>
      </w:r>
    </w:p>
    <w:p>
      <w:pPr>
        <w:pStyle w:val="17"/>
        <w:bidi w:val="0"/>
        <w:jc w:val="center"/>
        <w:rPr>
          <w:rFonts w:hint="eastAsia" w:ascii="仿宋" w:hAnsi="仿宋" w:eastAsia="仿宋" w:cs="仿宋"/>
        </w:rPr>
      </w:pPr>
      <w:bookmarkStart w:id="210" w:name="_Toc3627"/>
      <w:r>
        <w:rPr>
          <w:rFonts w:hint="eastAsia" w:ascii="仿宋" w:hAnsi="仿宋" w:eastAsia="仿宋" w:cs="仿宋"/>
        </w:rPr>
        <w:t>第</w:t>
      </w:r>
      <w:r>
        <w:rPr>
          <w:rFonts w:hint="eastAsia" w:ascii="仿宋" w:hAnsi="仿宋" w:eastAsia="仿宋" w:cs="仿宋"/>
          <w:lang w:val="en-US" w:eastAsia="zh-CN"/>
        </w:rPr>
        <w:t>六</w:t>
      </w:r>
      <w:r>
        <w:rPr>
          <w:rFonts w:hint="eastAsia" w:ascii="仿宋" w:hAnsi="仿宋" w:eastAsia="仿宋" w:cs="仿宋"/>
        </w:rPr>
        <w:t xml:space="preserve">章 </w:t>
      </w:r>
      <w:r>
        <w:rPr>
          <w:rFonts w:hint="eastAsia" w:ascii="仿宋" w:hAnsi="仿宋" w:eastAsia="仿宋" w:cs="仿宋"/>
          <w:lang w:val="en-US" w:eastAsia="zh-CN"/>
        </w:rPr>
        <w:t xml:space="preserve"> </w:t>
      </w:r>
      <w:r>
        <w:rPr>
          <w:rFonts w:hint="eastAsia" w:ascii="仿宋" w:hAnsi="仿宋" w:eastAsia="仿宋" w:cs="仿宋"/>
        </w:rPr>
        <w:t>评标办法</w:t>
      </w:r>
      <w:bookmarkEnd w:id="210"/>
    </w:p>
    <w:bookmarkEnd w:id="206"/>
    <w:bookmarkEnd w:id="207"/>
    <w:bookmarkEnd w:id="208"/>
    <w:bookmarkEnd w:id="209"/>
    <w:p>
      <w:pPr>
        <w:pStyle w:val="18"/>
        <w:pageBreakBefore w:val="0"/>
        <w:widowControl w:val="0"/>
        <w:kinsoku/>
        <w:wordWrap/>
        <w:overflowPunct/>
        <w:topLinePunct w:val="0"/>
        <w:autoSpaceDE/>
        <w:autoSpaceDN/>
        <w:bidi w:val="0"/>
        <w:snapToGrid/>
        <w:spacing w:before="0" w:beforeAutospacing="0" w:after="0" w:afterAutospacing="0" w:line="360" w:lineRule="auto"/>
        <w:ind w:firstLine="482"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 总则</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 根据《中华人民共和国</w:t>
      </w:r>
      <w:r>
        <w:rPr>
          <w:rFonts w:hint="eastAsia" w:ascii="仿宋" w:hAnsi="仿宋" w:eastAsia="仿宋" w:cs="仿宋"/>
          <w:color w:val="000000"/>
          <w:sz w:val="24"/>
          <w:szCs w:val="24"/>
          <w:lang w:val="en-US" w:eastAsia="zh-CN"/>
        </w:rPr>
        <w:t>招标投标</w:t>
      </w:r>
      <w:r>
        <w:rPr>
          <w:rFonts w:hint="eastAsia" w:ascii="仿宋" w:hAnsi="仿宋" w:eastAsia="仿宋" w:cs="仿宋"/>
          <w:color w:val="000000"/>
          <w:sz w:val="24"/>
          <w:szCs w:val="24"/>
        </w:rPr>
        <w:t>法》和《中华人民共和国</w:t>
      </w:r>
      <w:r>
        <w:rPr>
          <w:rFonts w:hint="eastAsia" w:ascii="仿宋" w:hAnsi="仿宋" w:eastAsia="仿宋" w:cs="仿宋"/>
          <w:color w:val="000000"/>
          <w:sz w:val="24"/>
          <w:szCs w:val="24"/>
          <w:lang w:val="en-US" w:eastAsia="zh-CN"/>
        </w:rPr>
        <w:t>招标投标实施条例</w:t>
      </w:r>
      <w:r>
        <w:rPr>
          <w:rFonts w:hint="eastAsia" w:ascii="仿宋" w:hAnsi="仿宋" w:eastAsia="仿宋" w:cs="仿宋"/>
          <w:color w:val="000000"/>
          <w:sz w:val="24"/>
          <w:szCs w:val="24"/>
        </w:rPr>
        <w:t>》等法律规章，结合采购项目特点制定本评标办法。</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1.2 </w:t>
      </w:r>
      <w:r>
        <w:rPr>
          <w:rFonts w:hint="eastAsia" w:ascii="仿宋" w:hAnsi="仿宋" w:eastAsia="仿宋" w:cs="仿宋"/>
          <w:bCs/>
          <w:color w:val="000000"/>
          <w:sz w:val="24"/>
          <w:szCs w:val="24"/>
        </w:rPr>
        <w:t>评标工作由</w:t>
      </w:r>
      <w:r>
        <w:rPr>
          <w:rFonts w:hint="eastAsia" w:ascii="仿宋" w:hAnsi="仿宋" w:eastAsia="仿宋" w:cs="仿宋"/>
          <w:bCs/>
          <w:color w:val="000000"/>
          <w:sz w:val="24"/>
          <w:szCs w:val="24"/>
          <w:lang w:eastAsia="zh-CN"/>
        </w:rPr>
        <w:t>采购</w:t>
      </w:r>
      <w:r>
        <w:rPr>
          <w:rFonts w:hint="eastAsia" w:ascii="仿宋" w:hAnsi="仿宋" w:eastAsia="仿宋" w:cs="仿宋"/>
          <w:bCs/>
          <w:color w:val="000000"/>
          <w:sz w:val="24"/>
          <w:szCs w:val="24"/>
        </w:rPr>
        <w:t>人负责组织，具体评标事务由</w:t>
      </w:r>
      <w:r>
        <w:rPr>
          <w:rFonts w:hint="eastAsia" w:ascii="仿宋" w:hAnsi="仿宋" w:eastAsia="仿宋" w:cs="仿宋"/>
          <w:bCs/>
          <w:color w:val="000000"/>
          <w:sz w:val="24"/>
          <w:szCs w:val="24"/>
          <w:lang w:eastAsia="zh-CN"/>
        </w:rPr>
        <w:t>采购</w:t>
      </w:r>
      <w:r>
        <w:rPr>
          <w:rFonts w:hint="eastAsia" w:ascii="仿宋" w:hAnsi="仿宋" w:eastAsia="仿宋" w:cs="仿宋"/>
          <w:bCs/>
          <w:color w:val="000000"/>
          <w:sz w:val="24"/>
          <w:szCs w:val="24"/>
        </w:rPr>
        <w:t>人依法组建的</w:t>
      </w:r>
      <w:r>
        <w:rPr>
          <w:rFonts w:hint="eastAsia" w:ascii="仿宋" w:hAnsi="仿宋" w:eastAsia="仿宋" w:cs="仿宋"/>
          <w:bCs/>
          <w:color w:val="000000"/>
          <w:sz w:val="24"/>
          <w:szCs w:val="24"/>
          <w:lang w:eastAsia="zh-CN"/>
        </w:rPr>
        <w:t>磋商小组</w:t>
      </w:r>
      <w:r>
        <w:rPr>
          <w:rFonts w:hint="eastAsia" w:ascii="仿宋" w:hAnsi="仿宋" w:eastAsia="仿宋" w:cs="仿宋"/>
          <w:bCs/>
          <w:color w:val="000000"/>
          <w:sz w:val="24"/>
          <w:szCs w:val="24"/>
        </w:rPr>
        <w:t>负责。</w:t>
      </w:r>
      <w:r>
        <w:rPr>
          <w:rFonts w:hint="eastAsia" w:ascii="仿宋" w:hAnsi="仿宋" w:eastAsia="仿宋" w:cs="仿宋"/>
          <w:bCs/>
          <w:color w:val="000000"/>
          <w:sz w:val="24"/>
          <w:szCs w:val="24"/>
          <w:lang w:eastAsia="zh-CN"/>
        </w:rPr>
        <w:t>磋商小组</w:t>
      </w:r>
      <w:r>
        <w:rPr>
          <w:rFonts w:hint="eastAsia" w:ascii="仿宋" w:hAnsi="仿宋" w:eastAsia="仿宋" w:cs="仿宋"/>
          <w:bCs/>
          <w:color w:val="000000"/>
          <w:sz w:val="24"/>
          <w:szCs w:val="24"/>
        </w:rPr>
        <w:t>由采购人代表和有关技术、经济等方面的专家组成。</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 评标工作应遵循公平、公正、科学及择优的原则，并以相同的评标程序和标准对待所有的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1.4 </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按照</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规定的评标方法和标准进行评标，并独立履行下列职责：</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（1）审查</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是否符合</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要求，并作出评价；</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（2）要求投标供应商对</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有关事项作出解释或者澄清；</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（3）推荐</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候选供应商名单，或者受采购人委托按照事先确定的办法直接确定</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供应商；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bookmarkStart w:id="211" w:name="_Toc217446098"/>
      <w:r>
        <w:rPr>
          <w:rFonts w:hint="eastAsia" w:ascii="仿宋" w:hAnsi="仿宋" w:eastAsia="仿宋" w:cs="仿宋"/>
          <w:color w:val="000000"/>
          <w:sz w:val="24"/>
          <w:szCs w:val="24"/>
        </w:rPr>
        <w:t>（4）向采购单位或者有关部门报告非法干预评标工作的行为。</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1.5 评标过程严格保密。</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对</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的评标过程或合同授予决定施加影响的任何行为都可能导致其投标被拒绝。</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1.6</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决定</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的响应性依据</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本身的内容，而不寻求外部的证据。</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1.7</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发现</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表述不明确或需要说明的事项，可提请采购单位书面解释说明。发现</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违反有关法律、法规和规章的，可以拒绝评标，并向采购单位书面说明情况。</w:t>
      </w:r>
    </w:p>
    <w:p>
      <w:pPr>
        <w:pageBreakBefore w:val="0"/>
        <w:widowControl w:val="0"/>
        <w:kinsoku/>
        <w:wordWrap/>
        <w:overflowPunct/>
        <w:topLinePunct w:val="0"/>
        <w:autoSpaceDE/>
        <w:autoSpaceDN/>
        <w:bidi w:val="0"/>
        <w:snapToGrid/>
        <w:spacing w:beforeAutospacing="0" w:afterAutospacing="0" w:line="360" w:lineRule="auto"/>
        <w:ind w:firstLine="482" w:firstLineChars="200"/>
        <w:outlineLvl w:val="1"/>
        <w:rPr>
          <w:rFonts w:hint="eastAsia" w:ascii="仿宋" w:hAnsi="仿宋" w:eastAsia="仿宋" w:cs="仿宋"/>
          <w:b/>
          <w:color w:val="000000"/>
          <w:sz w:val="24"/>
          <w:szCs w:val="24"/>
        </w:rPr>
      </w:pPr>
      <w:r>
        <w:rPr>
          <w:rFonts w:hint="eastAsia" w:ascii="仿宋" w:hAnsi="仿宋" w:eastAsia="仿宋" w:cs="仿宋"/>
          <w:b/>
          <w:color w:val="000000"/>
          <w:sz w:val="24"/>
          <w:szCs w:val="24"/>
        </w:rPr>
        <w:t>2</w:t>
      </w:r>
      <w:r>
        <w:rPr>
          <w:rFonts w:hint="eastAsia" w:ascii="仿宋" w:hAnsi="仿宋" w:eastAsia="仿宋" w:cs="仿宋"/>
          <w:color w:val="000000"/>
          <w:sz w:val="24"/>
          <w:szCs w:val="24"/>
        </w:rPr>
        <w:t xml:space="preserve">. </w:t>
      </w:r>
      <w:r>
        <w:rPr>
          <w:rFonts w:hint="eastAsia" w:ascii="仿宋" w:hAnsi="仿宋" w:eastAsia="仿宋" w:cs="仿宋"/>
          <w:b/>
          <w:color w:val="000000"/>
          <w:sz w:val="24"/>
          <w:szCs w:val="24"/>
        </w:rPr>
        <w:t>评标方法</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本项目评标方法为：综合评分法。</w:t>
      </w:r>
    </w:p>
    <w:bookmarkEnd w:id="211"/>
    <w:p>
      <w:pPr>
        <w:pageBreakBefore w:val="0"/>
        <w:widowControl w:val="0"/>
        <w:numPr>
          <w:ilvl w:val="0"/>
          <w:numId w:val="6"/>
        </w:numPr>
        <w:kinsoku/>
        <w:wordWrap/>
        <w:overflowPunct/>
        <w:topLinePunct w:val="0"/>
        <w:autoSpaceDE/>
        <w:autoSpaceDN/>
        <w:bidi w:val="0"/>
        <w:snapToGrid/>
        <w:spacing w:beforeAutospacing="0" w:afterAutospacing="0" w:line="360" w:lineRule="auto"/>
        <w:ind w:firstLine="482" w:firstLineChars="200"/>
        <w:outlineLvl w:val="1"/>
        <w:rPr>
          <w:rFonts w:hint="eastAsia" w:ascii="仿宋" w:hAnsi="仿宋" w:eastAsia="仿宋" w:cs="仿宋"/>
          <w:b/>
          <w:color w:val="000000"/>
          <w:sz w:val="24"/>
          <w:szCs w:val="24"/>
        </w:rPr>
      </w:pPr>
      <w:r>
        <w:rPr>
          <w:rFonts w:hint="eastAsia" w:ascii="仿宋" w:hAnsi="仿宋" w:eastAsia="仿宋" w:cs="仿宋"/>
          <w:b/>
          <w:color w:val="000000"/>
          <w:sz w:val="24"/>
          <w:szCs w:val="24"/>
        </w:rPr>
        <w:t>评标程序</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3.1</w:t>
      </w:r>
      <w:r>
        <w:rPr>
          <w:rFonts w:hint="eastAsia" w:ascii="仿宋" w:hAnsi="仿宋" w:eastAsia="仿宋" w:cs="仿宋"/>
          <w:color w:val="000000"/>
          <w:sz w:val="24"/>
          <w:szCs w:val="24"/>
          <w:lang w:val="en-US" w:eastAsia="zh-CN"/>
        </w:rPr>
        <w:t>资格审查</w:t>
      </w:r>
    </w:p>
    <w:p>
      <w:pPr>
        <w:spacing w:beforeAutospacing="0" w:afterAutospacing="0" w:line="360" w:lineRule="exact"/>
        <w:jc w:val="center"/>
        <w:rPr>
          <w:rFonts w:hint="eastAsia" w:ascii="仿宋" w:hAnsi="仿宋" w:eastAsia="仿宋" w:cs="仿宋"/>
          <w:b/>
          <w:sz w:val="24"/>
          <w:szCs w:val="24"/>
        </w:rPr>
      </w:pPr>
      <w:r>
        <w:rPr>
          <w:rFonts w:hint="eastAsia" w:ascii="仿宋" w:hAnsi="仿宋" w:eastAsia="仿宋" w:cs="仿宋"/>
          <w:b/>
          <w:sz w:val="24"/>
          <w:szCs w:val="24"/>
        </w:rPr>
        <w:t>《资格审查标准》</w:t>
      </w:r>
    </w:p>
    <w:tbl>
      <w:tblPr>
        <w:tblStyle w:val="13"/>
        <w:tblW w:w="4998"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1116"/>
        <w:gridCol w:w="7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1116"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7403"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2" w:hRule="atLeast"/>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7403"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val="zh-CN" w:eastAsia="zh-CN"/>
              </w:rPr>
            </w:pPr>
            <w:r>
              <w:rPr>
                <w:rFonts w:hint="eastAsia" w:ascii="仿宋" w:hAnsi="仿宋" w:eastAsia="仿宋" w:cs="仿宋"/>
                <w:color w:val="000000"/>
                <w:sz w:val="24"/>
                <w:szCs w:val="24"/>
                <w:lang w:val="zh-CN" w:eastAsia="zh-CN"/>
              </w:rPr>
              <w:t>供应商须具有独立承担民事责任的能力；【法人或者其他组织投标需提供营业执照等证明文件，自然人投标需提供自然人的身份证明】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8" w:hRule="atLeast"/>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7403"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具有良好的商业信誉和健全的财务会计制度；【须提供承诺书】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1" w:hRule="atLeast"/>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7403"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具有履行合同所必需的专业技术能力与人员队伍；【须提供承诺书】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7" w:hRule="atLeast"/>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7403"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具有依法缴纳税收和社会保障资金的良好记录；</w:t>
            </w:r>
            <w:r>
              <w:rPr>
                <w:rFonts w:hint="eastAsia" w:ascii="仿宋" w:hAnsi="仿宋" w:eastAsia="仿宋" w:cs="仿宋"/>
                <w:color w:val="000000"/>
                <w:sz w:val="24"/>
                <w:szCs w:val="24"/>
                <w:lang w:val="en-US" w:eastAsia="zh-CN"/>
              </w:rPr>
              <w:t>【须提供承诺书】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7403" w:type="dxa"/>
            <w:shd w:val="clear" w:color="auto" w:fill="FFFFFF"/>
            <w:vAlign w:val="center"/>
          </w:tcPr>
          <w:p>
            <w:pPr>
              <w:spacing w:beforeAutospacing="0" w:afterAutospacing="0" w:line="24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参与投标的单位前三年内，在经营活动中没有重大违法记录；【须提供承诺书】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7" w:hRule="atLeast"/>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7403" w:type="dxa"/>
            <w:shd w:val="clear" w:color="auto" w:fill="FFFFFF"/>
            <w:vAlign w:val="center"/>
          </w:tcPr>
          <w:p>
            <w:pPr>
              <w:spacing w:beforeAutospacing="0" w:afterAutospacing="0" w:line="240" w:lineRule="auto"/>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法律、行政法规规定的其他条件；【须提供承诺书】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7403"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其他说明：单位负责人为同一人或者存在直接控股、管理关系的不同供应商，不得参加同一合同项下的政府采购活动。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Pr>
        <w:tc>
          <w:tcPr>
            <w:tcW w:w="1116" w:type="dxa"/>
            <w:shd w:val="clear" w:color="auto" w:fill="FFFFFF"/>
            <w:vAlign w:val="center"/>
          </w:tcPr>
          <w:p>
            <w:pPr>
              <w:pageBreakBefore w:val="0"/>
              <w:widowControl w:val="0"/>
              <w:tabs>
                <w:tab w:val="center" w:pos="330"/>
              </w:tabs>
              <w:kinsoku/>
              <w:wordWrap/>
              <w:overflowPunct/>
              <w:topLinePunct w:val="0"/>
              <w:autoSpaceDE/>
              <w:autoSpaceDN/>
              <w:bidi w:val="0"/>
              <w:snapToGrid/>
              <w:spacing w:beforeAutospacing="0" w:afterAutospacing="0" w:line="360" w:lineRule="auto"/>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7403"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cantSplit/>
        </w:trPr>
        <w:tc>
          <w:tcPr>
            <w:tcW w:w="1116" w:type="dxa"/>
            <w:shd w:val="clear" w:color="auto" w:fill="FFFFFF"/>
            <w:vAlign w:val="center"/>
          </w:tcPr>
          <w:p>
            <w:pPr>
              <w:pageBreakBefore w:val="0"/>
              <w:widowControl w:val="0"/>
              <w:kinsoku/>
              <w:wordWrap/>
              <w:overflowPunct/>
              <w:topLinePunct w:val="0"/>
              <w:autoSpaceDE/>
              <w:autoSpaceDN/>
              <w:bidi w:val="0"/>
              <w:snapToGrid/>
              <w:spacing w:beforeAutospacing="0" w:afterAutospacing="0"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p>
        </w:tc>
        <w:tc>
          <w:tcPr>
            <w:tcW w:w="7403" w:type="dxa"/>
            <w:shd w:val="clear" w:color="auto" w:fill="FFFFFF"/>
            <w:vAlign w:val="top"/>
          </w:tcPr>
          <w:p>
            <w:pPr>
              <w:pageBreakBefore w:val="0"/>
              <w:widowControl w:val="0"/>
              <w:kinsoku/>
              <w:wordWrap/>
              <w:overflowPunct/>
              <w:topLinePunct w:val="0"/>
              <w:autoSpaceDE/>
              <w:autoSpaceDN/>
              <w:bidi w:val="0"/>
              <w:snapToGrid/>
              <w:spacing w:beforeAutospacing="0" w:afterAutospacing="0"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备注：</w:t>
            </w:r>
            <w:r>
              <w:rPr>
                <w:rFonts w:hint="eastAsia" w:ascii="仿宋" w:hAnsi="仿宋" w:eastAsia="仿宋" w:cs="仿宋"/>
                <w:sz w:val="24"/>
                <w:szCs w:val="24"/>
              </w:rPr>
              <w:t>如果</w:t>
            </w:r>
            <w:r>
              <w:rPr>
                <w:rFonts w:hint="eastAsia" w:ascii="仿宋" w:hAnsi="仿宋" w:eastAsia="仿宋" w:cs="仿宋"/>
                <w:sz w:val="24"/>
                <w:szCs w:val="24"/>
                <w:lang w:eastAsia="zh-CN"/>
              </w:rPr>
              <w:t>响应文件</w:t>
            </w:r>
            <w:r>
              <w:rPr>
                <w:rFonts w:hint="eastAsia" w:ascii="仿宋" w:hAnsi="仿宋" w:eastAsia="仿宋" w:cs="仿宋"/>
                <w:sz w:val="24"/>
                <w:szCs w:val="24"/>
              </w:rPr>
              <w:t>中有一项未通过上述审查标准，</w:t>
            </w:r>
            <w:r>
              <w:rPr>
                <w:rFonts w:hint="eastAsia" w:ascii="仿宋" w:hAnsi="仿宋" w:eastAsia="仿宋" w:cs="仿宋"/>
                <w:sz w:val="24"/>
                <w:szCs w:val="24"/>
                <w:lang w:val="en-US" w:eastAsia="zh-CN"/>
              </w:rPr>
              <w:t>磋商</w:t>
            </w:r>
            <w:r>
              <w:rPr>
                <w:rFonts w:hint="eastAsia" w:ascii="仿宋" w:hAnsi="仿宋" w:eastAsia="仿宋" w:cs="仿宋"/>
                <w:sz w:val="24"/>
                <w:szCs w:val="24"/>
              </w:rPr>
              <w:t>小组将认定整个</w:t>
            </w:r>
            <w:r>
              <w:rPr>
                <w:rFonts w:hint="eastAsia" w:ascii="仿宋" w:hAnsi="仿宋" w:eastAsia="仿宋" w:cs="仿宋"/>
                <w:sz w:val="24"/>
                <w:szCs w:val="24"/>
                <w:lang w:eastAsia="zh-CN"/>
              </w:rPr>
              <w:t>响应文件</w:t>
            </w:r>
            <w:r>
              <w:rPr>
                <w:rFonts w:hint="eastAsia" w:ascii="仿宋" w:hAnsi="仿宋" w:eastAsia="仿宋" w:cs="仿宋"/>
                <w:sz w:val="24"/>
                <w:szCs w:val="24"/>
              </w:rPr>
              <w:t>不响应</w:t>
            </w:r>
            <w:r>
              <w:rPr>
                <w:rFonts w:hint="eastAsia" w:ascii="仿宋" w:hAnsi="仿宋" w:eastAsia="仿宋" w:cs="仿宋"/>
                <w:sz w:val="24"/>
                <w:szCs w:val="24"/>
                <w:lang w:eastAsia="zh-CN"/>
              </w:rPr>
              <w:t>磋商文件</w:t>
            </w:r>
            <w:r>
              <w:rPr>
                <w:rFonts w:hint="eastAsia" w:ascii="仿宋" w:hAnsi="仿宋" w:eastAsia="仿宋" w:cs="仿宋"/>
                <w:sz w:val="24"/>
                <w:szCs w:val="24"/>
              </w:rPr>
              <w:t>而予以无效处理，并且不允许</w:t>
            </w:r>
            <w:r>
              <w:rPr>
                <w:rFonts w:hint="eastAsia" w:ascii="仿宋" w:hAnsi="仿宋" w:eastAsia="仿宋" w:cs="仿宋"/>
                <w:sz w:val="24"/>
                <w:szCs w:val="24"/>
                <w:lang w:eastAsia="zh-CN"/>
              </w:rPr>
              <w:t>供应商</w:t>
            </w:r>
            <w:r>
              <w:rPr>
                <w:rFonts w:hint="eastAsia" w:ascii="仿宋" w:hAnsi="仿宋" w:eastAsia="仿宋" w:cs="仿宋"/>
                <w:sz w:val="24"/>
                <w:szCs w:val="24"/>
              </w:rPr>
              <w:t>通过修改或撤销其不符合要求的差异或保留，使之成为具有响应性的投标。</w:t>
            </w:r>
          </w:p>
        </w:tc>
      </w:tr>
    </w:tbl>
    <w:p>
      <w:pPr>
        <w:pStyle w:val="28"/>
        <w:numPr>
          <w:ilvl w:val="0"/>
          <w:numId w:val="0"/>
        </w:numPr>
        <w:rPr>
          <w:rFonts w:hint="eastAsia" w:ascii="仿宋" w:hAnsi="仿宋" w:eastAsia="仿宋" w:cs="仿宋"/>
          <w:sz w:val="24"/>
          <w:szCs w:val="24"/>
        </w:rPr>
      </w:pP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bookmarkStart w:id="212" w:name="_Toc217446099"/>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符合性检查。依据</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的规定，从</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的有效性、完整性和对</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的响应程度进行审查，以确定是否对</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的实质性要求作出响应。</w:t>
      </w:r>
      <w:r>
        <w:rPr>
          <w:rFonts w:hint="eastAsia" w:ascii="仿宋" w:hAnsi="仿宋" w:eastAsia="仿宋" w:cs="仿宋"/>
          <w:color w:val="000000"/>
          <w:sz w:val="24"/>
          <w:szCs w:val="24"/>
          <w:lang w:eastAsia="zh-CN"/>
        </w:rPr>
        <w:t>供应商响应文件</w:t>
      </w:r>
      <w:r>
        <w:rPr>
          <w:rFonts w:hint="eastAsia" w:ascii="仿宋" w:hAnsi="仿宋" w:eastAsia="仿宋" w:cs="仿宋"/>
          <w:color w:val="000000"/>
          <w:sz w:val="24"/>
          <w:szCs w:val="24"/>
        </w:rPr>
        <w:t>属于下列情况之一的，在符合性检查时按照无效投标处理：</w:t>
      </w:r>
    </w:p>
    <w:tbl>
      <w:tblPr>
        <w:tblStyle w:val="13"/>
        <w:tblW w:w="83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3"/>
        <w:gridCol w:w="645"/>
        <w:gridCol w:w="5565"/>
        <w:gridCol w:w="602"/>
        <w:gridCol w:w="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973" w:type="dxa"/>
            <w:vMerge w:val="restart"/>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w:t>
            </w:r>
          </w:p>
        </w:tc>
        <w:tc>
          <w:tcPr>
            <w:tcW w:w="6210" w:type="dxa"/>
            <w:gridSpan w:val="2"/>
            <w:vMerge w:val="restart"/>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   审   内   容</w:t>
            </w:r>
          </w:p>
        </w:tc>
        <w:tc>
          <w:tcPr>
            <w:tcW w:w="1153" w:type="dxa"/>
            <w:gridSpan w:val="2"/>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评审</w:t>
            </w:r>
          </w:p>
          <w:p>
            <w:pPr>
              <w:pStyle w:val="66"/>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973" w:type="dxa"/>
            <w:vMerge w:val="continue"/>
            <w:vAlign w:val="center"/>
          </w:tcPr>
          <w:p>
            <w:pPr>
              <w:widowControl/>
              <w:spacing w:beforeAutospacing="0" w:afterAutospacing="0" w:line="240" w:lineRule="auto"/>
              <w:ind w:firstLine="480"/>
              <w:jc w:val="left"/>
              <w:rPr>
                <w:rFonts w:hint="eastAsia" w:ascii="仿宋" w:hAnsi="仿宋" w:eastAsia="仿宋" w:cs="仿宋"/>
                <w:color w:val="000000"/>
                <w:kern w:val="2"/>
                <w:sz w:val="24"/>
                <w:szCs w:val="24"/>
                <w:lang w:val="en-US" w:eastAsia="zh-CN" w:bidi="ar-SA"/>
              </w:rPr>
            </w:pPr>
          </w:p>
        </w:tc>
        <w:tc>
          <w:tcPr>
            <w:tcW w:w="6210" w:type="dxa"/>
            <w:gridSpan w:val="2"/>
            <w:vMerge w:val="continue"/>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c>
          <w:tcPr>
            <w:tcW w:w="602"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符合</w:t>
            </w:r>
          </w:p>
        </w:tc>
        <w:tc>
          <w:tcPr>
            <w:tcW w:w="551"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73" w:type="dxa"/>
            <w:vMerge w:val="continue"/>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c>
          <w:tcPr>
            <w:tcW w:w="645"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5565" w:type="dxa"/>
            <w:vAlign w:val="center"/>
          </w:tcPr>
          <w:p>
            <w:pPr>
              <w:pStyle w:val="66"/>
              <w:ind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按照磋商文件规定和要求加密、签章;</w:t>
            </w:r>
          </w:p>
        </w:tc>
        <w:tc>
          <w:tcPr>
            <w:tcW w:w="602"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c>
          <w:tcPr>
            <w:tcW w:w="551"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973" w:type="dxa"/>
            <w:vMerge w:val="continue"/>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c>
          <w:tcPr>
            <w:tcW w:w="645"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5565" w:type="dxa"/>
            <w:vAlign w:val="center"/>
          </w:tcPr>
          <w:p>
            <w:pPr>
              <w:pStyle w:val="66"/>
              <w:ind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按照磋商文件规定交纳投标保证金、电子</w:t>
            </w:r>
            <w:r>
              <w:rPr>
                <w:rFonts w:hint="eastAsia" w:ascii="仿宋" w:hAnsi="仿宋" w:eastAsia="仿宋" w:cs="仿宋"/>
                <w:kern w:val="0"/>
                <w:sz w:val="24"/>
                <w:szCs w:val="24"/>
                <w:lang w:val="en-US" w:eastAsia="zh-CN" w:bidi="ar"/>
              </w:rPr>
              <w:t>保函</w:t>
            </w:r>
            <w:r>
              <w:rPr>
                <w:rFonts w:hint="eastAsia" w:ascii="仿宋" w:hAnsi="仿宋" w:eastAsia="仿宋" w:cs="仿宋"/>
                <w:color w:val="000000"/>
                <w:kern w:val="2"/>
                <w:sz w:val="24"/>
                <w:szCs w:val="24"/>
                <w:lang w:val="en-US" w:eastAsia="zh-CN" w:bidi="ar-SA"/>
              </w:rPr>
              <w:t>；</w:t>
            </w:r>
          </w:p>
        </w:tc>
        <w:tc>
          <w:tcPr>
            <w:tcW w:w="602"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c>
          <w:tcPr>
            <w:tcW w:w="551"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73" w:type="dxa"/>
            <w:vMerge w:val="continue"/>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c>
          <w:tcPr>
            <w:tcW w:w="645"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5565" w:type="dxa"/>
            <w:vAlign w:val="center"/>
          </w:tcPr>
          <w:p>
            <w:pPr>
              <w:pStyle w:val="66"/>
              <w:ind w:firstLine="0" w:firstLineChars="0"/>
              <w:rPr>
                <w:rFonts w:hint="eastAsia" w:ascii="仿宋" w:hAnsi="仿宋" w:eastAsia="仿宋" w:cs="仿宋"/>
                <w:sz w:val="24"/>
                <w:szCs w:val="24"/>
              </w:rPr>
            </w:pPr>
            <w:r>
              <w:rPr>
                <w:rFonts w:hint="eastAsia" w:ascii="仿宋" w:hAnsi="仿宋" w:eastAsia="仿宋" w:cs="仿宋"/>
                <w:sz w:val="24"/>
                <w:szCs w:val="24"/>
              </w:rPr>
              <w:t>投标报价不</w:t>
            </w:r>
            <w:r>
              <w:rPr>
                <w:rFonts w:hint="eastAsia" w:ascii="仿宋" w:hAnsi="仿宋" w:eastAsia="仿宋" w:cs="仿宋"/>
                <w:sz w:val="24"/>
                <w:szCs w:val="24"/>
                <w:lang w:val="en-US" w:eastAsia="zh-CN"/>
              </w:rPr>
              <w:t>得</w:t>
            </w:r>
            <w:r>
              <w:rPr>
                <w:rFonts w:hint="eastAsia" w:ascii="仿宋" w:hAnsi="仿宋" w:eastAsia="仿宋" w:cs="仿宋"/>
                <w:sz w:val="24"/>
                <w:szCs w:val="24"/>
              </w:rPr>
              <w:t>高于设定的</w:t>
            </w:r>
            <w:r>
              <w:rPr>
                <w:rFonts w:hint="eastAsia" w:ascii="仿宋" w:hAnsi="仿宋" w:eastAsia="仿宋" w:cs="仿宋"/>
                <w:color w:val="000000"/>
                <w:kern w:val="2"/>
                <w:sz w:val="24"/>
                <w:szCs w:val="24"/>
                <w:lang w:val="en-US" w:eastAsia="zh-CN" w:bidi="ar-SA"/>
              </w:rPr>
              <w:t>预算金额；</w:t>
            </w:r>
          </w:p>
        </w:tc>
        <w:tc>
          <w:tcPr>
            <w:tcW w:w="602"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c>
          <w:tcPr>
            <w:tcW w:w="551"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73" w:type="dxa"/>
            <w:vMerge w:val="continue"/>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c>
          <w:tcPr>
            <w:tcW w:w="645"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w:t>
            </w:r>
          </w:p>
        </w:tc>
        <w:tc>
          <w:tcPr>
            <w:tcW w:w="5565" w:type="dxa"/>
            <w:vAlign w:val="center"/>
          </w:tcPr>
          <w:p>
            <w:pPr>
              <w:pStyle w:val="66"/>
              <w:ind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服务期符合磋商文件规定期限；</w:t>
            </w:r>
          </w:p>
        </w:tc>
        <w:tc>
          <w:tcPr>
            <w:tcW w:w="602"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c>
          <w:tcPr>
            <w:tcW w:w="551"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73" w:type="dxa"/>
            <w:vMerge w:val="continue"/>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c>
          <w:tcPr>
            <w:tcW w:w="645"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w:t>
            </w:r>
          </w:p>
        </w:tc>
        <w:tc>
          <w:tcPr>
            <w:tcW w:w="5565" w:type="dxa"/>
            <w:vAlign w:val="center"/>
          </w:tcPr>
          <w:p>
            <w:pPr>
              <w:pStyle w:val="66"/>
              <w:ind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按照磋商文件规定的格式要求编制响应文件，实质性响应磋商文件内容；</w:t>
            </w:r>
          </w:p>
        </w:tc>
        <w:tc>
          <w:tcPr>
            <w:tcW w:w="602"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c>
          <w:tcPr>
            <w:tcW w:w="551"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73" w:type="dxa"/>
            <w:vMerge w:val="continue"/>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c>
          <w:tcPr>
            <w:tcW w:w="645"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w:t>
            </w:r>
          </w:p>
        </w:tc>
        <w:tc>
          <w:tcPr>
            <w:tcW w:w="5565" w:type="dxa"/>
            <w:vAlign w:val="center"/>
          </w:tcPr>
          <w:p>
            <w:pPr>
              <w:pStyle w:val="66"/>
              <w:ind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响应文件不得附有采购人不能接受的条件；</w:t>
            </w:r>
          </w:p>
        </w:tc>
        <w:tc>
          <w:tcPr>
            <w:tcW w:w="602"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c>
          <w:tcPr>
            <w:tcW w:w="551"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73" w:type="dxa"/>
            <w:vMerge w:val="continue"/>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c>
          <w:tcPr>
            <w:tcW w:w="645"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w:t>
            </w:r>
          </w:p>
        </w:tc>
        <w:tc>
          <w:tcPr>
            <w:tcW w:w="5565" w:type="dxa"/>
            <w:vAlign w:val="center"/>
          </w:tcPr>
          <w:p>
            <w:pPr>
              <w:pStyle w:val="66"/>
              <w:ind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响应文件实质性响应磋商文件要求。</w:t>
            </w:r>
          </w:p>
        </w:tc>
        <w:tc>
          <w:tcPr>
            <w:tcW w:w="602"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c>
          <w:tcPr>
            <w:tcW w:w="551" w:type="dxa"/>
            <w:vAlign w:val="center"/>
          </w:tcPr>
          <w:p>
            <w:pPr>
              <w:pStyle w:val="66"/>
              <w:ind w:firstLine="0" w:firstLineChars="0"/>
              <w:jc w:val="center"/>
              <w:rPr>
                <w:rFonts w:hint="eastAsia" w:ascii="仿宋" w:hAnsi="仿宋" w:eastAsia="仿宋" w:cs="仿宋"/>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8336" w:type="dxa"/>
            <w:gridSpan w:val="5"/>
            <w:vAlign w:val="center"/>
          </w:tcPr>
          <w:p>
            <w:pPr>
              <w:pStyle w:val="66"/>
              <w:ind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备注：如果响应文件中有一项未通过上述审查标准，磋商小组将认定整个响应文件不响应磋商文件而予以无效处理，并且不允许供应商通过修改或撤销其不符合要求的差异或保留，使之成为具有响应性的投标。</w:t>
            </w:r>
          </w:p>
        </w:tc>
      </w:tr>
    </w:tbl>
    <w:p>
      <w:pPr>
        <w:pStyle w:val="31"/>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在</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符合性检查过程中，如果出现</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成员意见不一致的情况，按照少数服从多数的原则确定，但不得违背政府采购基本原则和</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bookmarkStart w:id="213" w:name="_Toc183582287"/>
      <w:bookmarkStart w:id="214" w:name="_Toc217446104"/>
      <w:bookmarkStart w:id="215" w:name="_Toc183682422"/>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澄清有关问题。对</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中含义不明确、同类问题表述不一致或者有明显文字和计算错误的内容，</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可以书面形式（应当由</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lang w:val="en-US" w:eastAsia="zh-CN"/>
        </w:rPr>
        <w:t>成员</w:t>
      </w:r>
      <w:r>
        <w:rPr>
          <w:rFonts w:hint="eastAsia" w:ascii="仿宋" w:hAnsi="仿宋" w:eastAsia="仿宋" w:cs="仿宋"/>
          <w:color w:val="000000"/>
          <w:sz w:val="24"/>
          <w:szCs w:val="24"/>
        </w:rPr>
        <w:t>签字）要求</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作出必要的澄清、说明或者纠正。</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的澄清、说明或者补正应当采用书面形式，由其授权的代表签字，并不得超出</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的范围或者改变</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的实质性内容。</w:t>
      </w:r>
    </w:p>
    <w:bookmarkEnd w:id="213"/>
    <w:bookmarkEnd w:id="214"/>
    <w:bookmarkEnd w:id="215"/>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4磋商。</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lang w:val="en-US" w:eastAsia="zh-CN"/>
        </w:rPr>
        <w:t>所有成员按响应文件递交逆顺序集中与通过符合性检查的单一供应商分别进行磋商，并给予所有通过符合性检查的供应商平等的磋商机会。</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3.4.1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3.4.2磋商文件不能够详细列明采购标的的技术、服务要求的，须经磋商由供应商提供的最终供货方案或解决方案的，磋商结束后，磋商小组应当按照少数服从多数的原则投票推荐3家以上供应商的供货方案或者解决方案，并要求其在规定时间内提交最后报价。最后报价是供应商响应文件的有效组成部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5比较、评价。</w:t>
      </w:r>
      <w:r>
        <w:rPr>
          <w:rFonts w:hint="eastAsia" w:ascii="仿宋" w:hAnsi="仿宋" w:eastAsia="仿宋" w:cs="仿宋"/>
          <w:color w:val="000000"/>
          <w:sz w:val="24"/>
          <w:szCs w:val="24"/>
        </w:rPr>
        <w:t>经磋商确定最终采购需求和提交最后报价的供应商后，由磋商小组采用综合评分法对提交最后报价的供应商的响应文件和最后报价进行综合评分</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并</w:t>
      </w:r>
      <w:r>
        <w:rPr>
          <w:rFonts w:hint="eastAsia" w:ascii="仿宋" w:hAnsi="仿宋" w:eastAsia="仿宋" w:cs="仿宋"/>
          <w:color w:val="000000"/>
          <w:sz w:val="24"/>
          <w:szCs w:val="24"/>
        </w:rPr>
        <w:t>推荐</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候选供应商名单</w:t>
      </w:r>
      <w:r>
        <w:rPr>
          <w:rFonts w:hint="eastAsia" w:ascii="仿宋" w:hAnsi="仿宋" w:eastAsia="仿宋" w:cs="仿宋"/>
          <w:color w:val="000000"/>
          <w:sz w:val="24"/>
          <w:szCs w:val="24"/>
          <w:lang w:eastAsia="zh-CN"/>
        </w:rPr>
        <w:t>。</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本项目</w:t>
      </w:r>
      <w:r>
        <w:rPr>
          <w:rFonts w:hint="eastAsia" w:ascii="仿宋" w:hAnsi="仿宋" w:eastAsia="仿宋" w:cs="仿宋"/>
          <w:color w:val="000000"/>
          <w:sz w:val="24"/>
          <w:szCs w:val="24"/>
        </w:rPr>
        <w:t>采用综合评分法，评标结果按评审后得分由高到低顺序排列。得分相同的，按投标报价由低到高顺序排列。得分且投标报价相同的</w:t>
      </w:r>
      <w:r>
        <w:rPr>
          <w:rFonts w:hint="eastAsia" w:ascii="仿宋" w:hAnsi="仿宋" w:eastAsia="仿宋" w:cs="仿宋"/>
          <w:color w:val="000000"/>
          <w:sz w:val="24"/>
          <w:szCs w:val="24"/>
          <w:lang w:eastAsia="zh-CN"/>
        </w:rPr>
        <w:t>排序</w:t>
      </w:r>
      <w:r>
        <w:rPr>
          <w:rFonts w:hint="eastAsia" w:ascii="仿宋" w:hAnsi="仿宋" w:eastAsia="仿宋" w:cs="仿宋"/>
          <w:color w:val="000000"/>
          <w:sz w:val="24"/>
          <w:szCs w:val="24"/>
        </w:rPr>
        <w:t>并列。</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编写评标报告。评标报告是</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根据全体评标成员签字的原始评标记录和评标结果编写的报告，其主要内容包括：</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项目概况</w:t>
      </w:r>
      <w:r>
        <w:rPr>
          <w:rFonts w:hint="eastAsia" w:ascii="仿宋" w:hAnsi="仿宋" w:eastAsia="仿宋" w:cs="仿宋"/>
          <w:color w:val="000000"/>
          <w:sz w:val="24"/>
          <w:szCs w:val="24"/>
        </w:rPr>
        <w:t>、开标日期和地点；</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（2）购买</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名单和</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成员名单；</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（3）评标方法和标准；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（4）开标记录和评标情况及说明，包括投标无效</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名单及原因；</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（5）评标结果和</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候选供应商排序</w:t>
      </w:r>
      <w:r>
        <w:rPr>
          <w:rFonts w:hint="eastAsia" w:ascii="仿宋" w:hAnsi="仿宋" w:eastAsia="仿宋" w:cs="仿宋"/>
          <w:color w:val="000000"/>
          <w:sz w:val="24"/>
          <w:szCs w:val="24"/>
          <w:lang w:eastAsia="zh-CN"/>
        </w:rPr>
        <w:t>。</w:t>
      </w:r>
    </w:p>
    <w:p>
      <w:pPr>
        <w:pStyle w:val="18"/>
        <w:pageBreakBefore w:val="0"/>
        <w:widowControl w:val="0"/>
        <w:kinsoku/>
        <w:wordWrap/>
        <w:overflowPunct/>
        <w:topLinePunct w:val="0"/>
        <w:autoSpaceDE/>
        <w:autoSpaceDN/>
        <w:bidi w:val="0"/>
        <w:snapToGrid/>
        <w:spacing w:before="0" w:beforeAutospacing="0" w:after="0" w:afterAutospacing="0" w:line="360" w:lineRule="auto"/>
        <w:ind w:firstLine="482" w:firstLineChars="200"/>
        <w:rPr>
          <w:rFonts w:hint="eastAsia" w:ascii="仿宋" w:hAnsi="仿宋" w:eastAsia="仿宋" w:cs="仿宋"/>
          <w:color w:val="000000"/>
          <w:sz w:val="24"/>
          <w:szCs w:val="24"/>
        </w:rPr>
      </w:pPr>
      <w:bookmarkStart w:id="216" w:name="_Toc217446103"/>
      <w:bookmarkEnd w:id="216"/>
      <w:r>
        <w:rPr>
          <w:rFonts w:hint="eastAsia" w:ascii="仿宋" w:hAnsi="仿宋" w:eastAsia="仿宋" w:cs="仿宋"/>
          <w:color w:val="000000"/>
          <w:sz w:val="24"/>
          <w:szCs w:val="24"/>
        </w:rPr>
        <w:t>4. 评标细则及标准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4.1 </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只对通过</w:t>
      </w:r>
      <w:r>
        <w:rPr>
          <w:rFonts w:hint="eastAsia" w:ascii="仿宋" w:hAnsi="仿宋" w:eastAsia="仿宋" w:cs="仿宋"/>
          <w:color w:val="000000"/>
          <w:sz w:val="24"/>
          <w:szCs w:val="24"/>
          <w:lang w:eastAsia="zh-CN"/>
        </w:rPr>
        <w:t>符合性检查</w:t>
      </w:r>
      <w:r>
        <w:rPr>
          <w:rFonts w:hint="eastAsia" w:ascii="仿宋" w:hAnsi="仿宋" w:eastAsia="仿宋" w:cs="仿宋"/>
          <w:color w:val="000000"/>
          <w:sz w:val="24"/>
          <w:szCs w:val="24"/>
        </w:rPr>
        <w:t>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，根据</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的要求采用相同的评标程序、评分办法及标准进行评价和比较。</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4.2 本次综合评分的因素是：价格、服务、信誉、业绩、对</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的响应程度和（如涉及）节能、环境标志产品及</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规范性等。</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4.3 除价格因素外，</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成员应依据</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规定的评分标准和方法独立对其他因素进行比较打分。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4.4 在评标过程中，</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有下列情况之一，</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成员应当按照</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规定的非实质性偏离进行扣分：</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（1）文字表述的内容含义不明确，或者同类问题表述不一致，或者有明显文字和计算错误，或者提供的技术信息和数据资料不完整，</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拒不或在规定的时间内没有进行澄清、说明或补正或澄清、说明、补正的内容也不能说明问题的；</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未编制目录、页码；</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（3）认定的与</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第五章规定的技术、商务和其他规定要求不符的非实质性偏离</w:t>
      </w:r>
    </w:p>
    <w:p>
      <w:pPr>
        <w:pageBreakBefore w:val="0"/>
        <w:widowControl w:val="0"/>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（4）认定的其他非实质性偏离。</w:t>
      </w:r>
    </w:p>
    <w:p>
      <w:pPr>
        <w:pStyle w:val="31"/>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4.5综合评分明细表</w:t>
      </w:r>
    </w:p>
    <w:p>
      <w:pPr>
        <w:pStyle w:val="31"/>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4.5.1综合评分明细表的制定以科学合理、降低</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自由裁量权为原则</w:t>
      </w:r>
      <w:r>
        <w:rPr>
          <w:rFonts w:hint="eastAsia" w:ascii="仿宋" w:hAnsi="仿宋" w:eastAsia="仿宋" w:cs="仿宋"/>
          <w:color w:val="000000"/>
          <w:sz w:val="24"/>
          <w:szCs w:val="24"/>
          <w:lang w:eastAsia="zh-CN"/>
        </w:rPr>
        <w:t>。</w:t>
      </w:r>
    </w:p>
    <w:p>
      <w:pPr>
        <w:pStyle w:val="31"/>
        <w:pageBreakBefore w:val="0"/>
        <w:widowControl w:val="0"/>
        <w:tabs>
          <w:tab w:val="left" w:pos="600"/>
        </w:tabs>
        <w:kinsoku/>
        <w:wordWrap/>
        <w:overflowPunct/>
        <w:topLinePunct w:val="0"/>
        <w:autoSpaceDE/>
        <w:autoSpaceDN/>
        <w:bidi w:val="0"/>
        <w:snapToGrid/>
        <w:spacing w:beforeAutospacing="0" w:afterAutospacing="0"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4.5.</w:t>
      </w:r>
      <w:r>
        <w:rPr>
          <w:rFonts w:hint="eastAsia" w:ascii="仿宋" w:hAnsi="仿宋" w:eastAsia="仿宋" w:cs="仿宋"/>
          <w:color w:val="000000"/>
          <w:sz w:val="24"/>
          <w:szCs w:val="24"/>
          <w:lang w:val="en-US" w:eastAsia="zh-CN"/>
        </w:rPr>
        <w:t>2磋商小组将按照下述评分标准对通过符合性检查的响应文件进行详细评审，供应商评审得分等于所有评委评分的算术平均值，结果保留两位小数。</w:t>
      </w:r>
    </w:p>
    <w:p>
      <w:pPr>
        <w:pStyle w:val="31"/>
        <w:pageBreakBefore w:val="0"/>
        <w:widowControl w:val="0"/>
        <w:tabs>
          <w:tab w:val="left" w:pos="600"/>
        </w:tabs>
        <w:kinsoku/>
        <w:wordWrap/>
        <w:overflowPunct/>
        <w:topLinePunct w:val="0"/>
        <w:autoSpaceDE/>
        <w:autoSpaceDN/>
        <w:bidi w:val="0"/>
        <w:snapToGrid/>
        <w:spacing w:beforeAutospacing="0" w:afterAutospacing="0" w:line="360" w:lineRule="auto"/>
        <w:ind w:left="0" w:leftChars="0" w:firstLine="0" w:firstLineChars="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评标因素权重表：</w:t>
      </w:r>
    </w:p>
    <w:tbl>
      <w:tblPr>
        <w:tblStyle w:val="13"/>
        <w:tblW w:w="483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06"/>
        <w:gridCol w:w="1974"/>
        <w:gridCol w:w="2240"/>
        <w:gridCol w:w="2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jc w:val="center"/>
        </w:trPr>
        <w:tc>
          <w:tcPr>
            <w:tcW w:w="1607" w:type="dxa"/>
            <w:vAlign w:val="center"/>
          </w:tcPr>
          <w:p>
            <w:pPr>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74" w:type="dxa"/>
            <w:vAlign w:val="center"/>
          </w:tcPr>
          <w:p>
            <w:pPr>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240" w:type="dxa"/>
            <w:vAlign w:val="center"/>
          </w:tcPr>
          <w:p>
            <w:pPr>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416" w:type="dxa"/>
            <w:vAlign w:val="center"/>
          </w:tcPr>
          <w:p>
            <w:pPr>
              <w:spacing w:beforeAutospacing="0" w:afterAutospacing="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07" w:type="dxa"/>
            <w:vAlign w:val="center"/>
          </w:tcPr>
          <w:p>
            <w:pPr>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评标因素</w:t>
            </w:r>
          </w:p>
        </w:tc>
        <w:tc>
          <w:tcPr>
            <w:tcW w:w="1974" w:type="dxa"/>
            <w:vAlign w:val="center"/>
          </w:tcPr>
          <w:p>
            <w:pPr>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投标报价</w:t>
            </w:r>
          </w:p>
        </w:tc>
        <w:tc>
          <w:tcPr>
            <w:tcW w:w="2240" w:type="dxa"/>
            <w:vAlign w:val="center"/>
          </w:tcPr>
          <w:p>
            <w:pPr>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技术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商务</w:t>
            </w:r>
            <w:r>
              <w:rPr>
                <w:rFonts w:hint="eastAsia" w:ascii="仿宋" w:hAnsi="仿宋" w:eastAsia="仿宋" w:cs="仿宋"/>
                <w:sz w:val="24"/>
                <w:szCs w:val="24"/>
              </w:rPr>
              <w:t>部分</w:t>
            </w:r>
          </w:p>
        </w:tc>
        <w:tc>
          <w:tcPr>
            <w:tcW w:w="2416" w:type="dxa"/>
            <w:vAlign w:val="center"/>
          </w:tcPr>
          <w:p>
            <w:pPr>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1607" w:type="dxa"/>
            <w:vAlign w:val="center"/>
          </w:tcPr>
          <w:p>
            <w:pPr>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权重</w:t>
            </w:r>
          </w:p>
        </w:tc>
        <w:tc>
          <w:tcPr>
            <w:tcW w:w="1974" w:type="dxa"/>
            <w:vAlign w:val="center"/>
          </w:tcPr>
          <w:p>
            <w:pPr>
              <w:spacing w:beforeAutospacing="0" w:afterAutospacing="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w:t>
            </w:r>
          </w:p>
        </w:tc>
        <w:tc>
          <w:tcPr>
            <w:tcW w:w="2240" w:type="dxa"/>
            <w:vAlign w:val="center"/>
          </w:tcPr>
          <w:p>
            <w:pPr>
              <w:spacing w:beforeAutospacing="0" w:afterAutospacing="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90</w:t>
            </w:r>
            <w:r>
              <w:rPr>
                <w:rFonts w:hint="eastAsia" w:ascii="仿宋" w:hAnsi="仿宋" w:eastAsia="仿宋" w:cs="仿宋"/>
                <w:sz w:val="24"/>
                <w:szCs w:val="24"/>
              </w:rPr>
              <w:t>%</w:t>
            </w:r>
          </w:p>
        </w:tc>
        <w:tc>
          <w:tcPr>
            <w:tcW w:w="2416" w:type="dxa"/>
            <w:vAlign w:val="center"/>
          </w:tcPr>
          <w:p>
            <w:pPr>
              <w:spacing w:beforeAutospacing="0" w:afterAutospacing="0" w:line="360" w:lineRule="auto"/>
              <w:jc w:val="center"/>
              <w:rPr>
                <w:rFonts w:hint="eastAsia" w:ascii="仿宋" w:hAnsi="仿宋" w:eastAsia="仿宋" w:cs="仿宋"/>
                <w:sz w:val="24"/>
                <w:szCs w:val="24"/>
              </w:rPr>
            </w:pPr>
            <w:r>
              <w:rPr>
                <w:rFonts w:hint="eastAsia" w:ascii="仿宋" w:hAnsi="仿宋" w:eastAsia="仿宋" w:cs="仿宋"/>
                <w:sz w:val="24"/>
                <w:szCs w:val="24"/>
              </w:rPr>
              <w:t>100%</w:t>
            </w:r>
          </w:p>
        </w:tc>
      </w:tr>
    </w:tbl>
    <w:p>
      <w:pPr>
        <w:pStyle w:val="31"/>
        <w:tabs>
          <w:tab w:val="left" w:pos="600"/>
        </w:tabs>
        <w:spacing w:beforeAutospacing="0" w:afterAutospacing="0" w:line="360" w:lineRule="auto"/>
        <w:ind w:firstLine="0"/>
        <w:jc w:val="center"/>
        <w:rPr>
          <w:rFonts w:hint="eastAsia" w:ascii="仿宋" w:hAnsi="仿宋" w:eastAsia="仿宋" w:cs="仿宋"/>
          <w:b/>
          <w:bCs/>
          <w:sz w:val="24"/>
          <w:szCs w:val="24"/>
        </w:rPr>
      </w:pPr>
      <w:r>
        <w:rPr>
          <w:rFonts w:hint="eastAsia" w:ascii="仿宋" w:hAnsi="仿宋" w:eastAsia="仿宋" w:cs="仿宋"/>
          <w:b/>
          <w:bCs/>
          <w:sz w:val="24"/>
          <w:szCs w:val="24"/>
        </w:rPr>
        <w:t>商务</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技术</w:t>
      </w:r>
      <w:r>
        <w:rPr>
          <w:rFonts w:hint="eastAsia" w:ascii="仿宋" w:hAnsi="仿宋" w:eastAsia="仿宋" w:cs="仿宋"/>
          <w:b/>
          <w:bCs/>
          <w:sz w:val="24"/>
          <w:szCs w:val="24"/>
        </w:rPr>
        <w:t>部分评分标准（</w:t>
      </w:r>
      <w:r>
        <w:rPr>
          <w:rFonts w:hint="eastAsia" w:ascii="仿宋" w:hAnsi="仿宋" w:eastAsia="仿宋" w:cs="仿宋"/>
          <w:b/>
          <w:bCs/>
          <w:sz w:val="24"/>
          <w:szCs w:val="24"/>
          <w:lang w:val="en-US" w:eastAsia="zh-CN"/>
        </w:rPr>
        <w:t>90</w:t>
      </w:r>
      <w:r>
        <w:rPr>
          <w:rFonts w:hint="eastAsia" w:ascii="仿宋" w:hAnsi="仿宋" w:eastAsia="仿宋" w:cs="仿宋"/>
          <w:b/>
          <w:bCs/>
          <w:sz w:val="24"/>
          <w:szCs w:val="24"/>
        </w:rPr>
        <w:t>分）</w:t>
      </w:r>
    </w:p>
    <w:tbl>
      <w:tblPr>
        <w:tblStyle w:val="13"/>
        <w:tblW w:w="83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1"/>
        <w:gridCol w:w="1241"/>
        <w:gridCol w:w="1558"/>
        <w:gridCol w:w="4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1"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241"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内容</w:t>
            </w:r>
          </w:p>
        </w:tc>
        <w:tc>
          <w:tcPr>
            <w:tcW w:w="1558"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分值（90分）</w:t>
            </w:r>
          </w:p>
        </w:tc>
        <w:tc>
          <w:tcPr>
            <w:tcW w:w="4880" w:type="dxa"/>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评分规则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4" w:hRule="atLeast"/>
          <w:jc w:val="center"/>
        </w:trPr>
        <w:tc>
          <w:tcPr>
            <w:tcW w:w="69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41" w:type="dxa"/>
            <w:vAlign w:val="center"/>
          </w:tcPr>
          <w:p>
            <w:pPr>
              <w:tabs>
                <w:tab w:val="left" w:pos="749"/>
                <w:tab w:val="left" w:pos="3346"/>
                <w:tab w:val="left" w:pos="3873"/>
                <w:tab w:val="left" w:pos="9611"/>
              </w:tabs>
              <w:jc w:val="center"/>
              <w:rPr>
                <w:rFonts w:hint="eastAsia" w:ascii="仿宋" w:hAnsi="仿宋" w:eastAsia="仿宋" w:cs="仿宋"/>
                <w:bCs/>
                <w:color w:val="000000"/>
                <w:sz w:val="24"/>
              </w:rPr>
            </w:pPr>
            <w:r>
              <w:rPr>
                <w:rFonts w:hint="eastAsia" w:ascii="仿宋" w:hAnsi="仿宋" w:eastAsia="仿宋" w:cs="仿宋"/>
                <w:bCs/>
                <w:color w:val="000000"/>
                <w:sz w:val="24"/>
                <w:highlight w:val="none"/>
              </w:rPr>
              <w:t>企业的基本概况</w:t>
            </w:r>
          </w:p>
        </w:tc>
        <w:tc>
          <w:tcPr>
            <w:tcW w:w="155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分</w:t>
            </w:r>
          </w:p>
        </w:tc>
        <w:tc>
          <w:tcPr>
            <w:tcW w:w="4880" w:type="dxa"/>
            <w:vAlign w:val="center"/>
          </w:tcPr>
          <w:p>
            <w:pPr>
              <w:tabs>
                <w:tab w:val="left" w:pos="749"/>
                <w:tab w:val="left" w:pos="3346"/>
                <w:tab w:val="left" w:pos="3873"/>
                <w:tab w:val="left" w:pos="9611"/>
              </w:tabs>
              <w:jc w:val="left"/>
              <w:rPr>
                <w:rFonts w:hint="eastAsia" w:ascii="仿宋" w:hAnsi="仿宋" w:eastAsia="仿宋" w:cs="仿宋"/>
                <w:bCs/>
                <w:color w:val="000000"/>
                <w:sz w:val="24"/>
                <w:lang w:val="en-US" w:eastAsia="zh-CN"/>
              </w:rPr>
            </w:pPr>
            <w:r>
              <w:rPr>
                <w:rFonts w:hint="eastAsia" w:ascii="仿宋" w:hAnsi="仿宋" w:eastAsia="仿宋" w:cs="仿宋"/>
                <w:bCs/>
                <w:color w:val="000000"/>
                <w:sz w:val="24"/>
                <w:highlight w:val="none"/>
                <w:lang w:val="en-US" w:eastAsia="zh-CN"/>
              </w:rPr>
              <w:t>根据供应商财务、信誉、技术设备力量等综合实力进行评分，</w:t>
            </w:r>
            <w:r>
              <w:rPr>
                <w:rFonts w:hint="eastAsia" w:ascii="仿宋" w:hAnsi="仿宋" w:eastAsia="仿宋" w:cs="仿宋"/>
                <w:color w:val="000000"/>
                <w:sz w:val="24"/>
                <w:szCs w:val="24"/>
                <w:lang w:val="en-US" w:eastAsia="zh-CN"/>
              </w:rPr>
              <w:t>优[10-8）分，良[8-5） 分，一般[5-0]分。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1" w:hRule="exact"/>
          <w:jc w:val="center"/>
        </w:trPr>
        <w:tc>
          <w:tcPr>
            <w:tcW w:w="691" w:type="dxa"/>
            <w:noWrap w:val="0"/>
            <w:vAlign w:val="center"/>
          </w:tcPr>
          <w:p>
            <w:pPr>
              <w:pStyle w:val="71"/>
              <w:spacing w:before="66" w:line="241" w:lineRule="auto"/>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1241" w:type="dxa"/>
            <w:noWrap w:val="0"/>
            <w:vAlign w:val="center"/>
          </w:tcPr>
          <w:p>
            <w:pPr>
              <w:pStyle w:val="71"/>
              <w:spacing w:before="66" w:line="241" w:lineRule="auto"/>
              <w:jc w:val="center"/>
              <w:rPr>
                <w:rFonts w:hint="eastAsia"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lang w:val="en-US" w:eastAsia="zh-CN"/>
              </w:rPr>
              <w:t>拟投入人员</w:t>
            </w:r>
          </w:p>
        </w:tc>
        <w:tc>
          <w:tcPr>
            <w:tcW w:w="1558" w:type="dxa"/>
            <w:noWrap w:val="0"/>
            <w:vAlign w:val="center"/>
          </w:tcPr>
          <w:p>
            <w:pPr>
              <w:jc w:val="center"/>
              <w:rPr>
                <w:rFonts w:hint="default"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lang w:val="en-US" w:eastAsia="zh-CN"/>
              </w:rPr>
              <w:t>10分</w:t>
            </w:r>
          </w:p>
        </w:tc>
        <w:tc>
          <w:tcPr>
            <w:tcW w:w="4880" w:type="dxa"/>
            <w:noWrap w:val="0"/>
            <w:vAlign w:val="center"/>
          </w:tcPr>
          <w:p>
            <w:pPr>
              <w:pStyle w:val="71"/>
              <w:spacing w:before="66" w:line="241" w:lineRule="auto"/>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根据供应商拟投入本项目人员配置情况进行评分，优得（6-10]分，良得（3-6]分，差得（0-3]分。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1" w:hRule="exact"/>
          <w:jc w:val="center"/>
        </w:trPr>
        <w:tc>
          <w:tcPr>
            <w:tcW w:w="691" w:type="dxa"/>
            <w:noWrap w:val="0"/>
            <w:vAlign w:val="center"/>
          </w:tcPr>
          <w:p>
            <w:pPr>
              <w:pStyle w:val="71"/>
              <w:spacing w:before="66" w:line="241"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1241" w:type="dxa"/>
            <w:noWrap w:val="0"/>
            <w:vAlign w:val="center"/>
          </w:tcPr>
          <w:p>
            <w:pPr>
              <w:pStyle w:val="71"/>
              <w:spacing w:before="66" w:line="241"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bCs/>
                <w:color w:val="000000"/>
                <w:sz w:val="24"/>
                <w:highlight w:val="none"/>
                <w:lang w:val="en-US" w:eastAsia="zh-CN"/>
              </w:rPr>
              <w:t>供应商类似</w:t>
            </w:r>
            <w:r>
              <w:rPr>
                <w:rFonts w:hint="eastAsia" w:ascii="仿宋" w:hAnsi="仿宋" w:eastAsia="仿宋" w:cs="仿宋"/>
                <w:color w:val="000000"/>
                <w:sz w:val="24"/>
                <w:szCs w:val="24"/>
                <w:lang w:val="en-US" w:eastAsia="zh-CN"/>
              </w:rPr>
              <w:t>业绩</w:t>
            </w:r>
          </w:p>
        </w:tc>
        <w:tc>
          <w:tcPr>
            <w:tcW w:w="1558" w:type="dxa"/>
            <w:noWrap w:val="0"/>
            <w:vAlign w:val="center"/>
          </w:tcPr>
          <w:p>
            <w:pPr>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bCs/>
                <w:color w:val="000000"/>
                <w:sz w:val="24"/>
                <w:highlight w:val="none"/>
                <w:lang w:val="en-US" w:eastAsia="zh-CN"/>
              </w:rPr>
              <w:t>20分</w:t>
            </w:r>
          </w:p>
        </w:tc>
        <w:tc>
          <w:tcPr>
            <w:tcW w:w="4880" w:type="dxa"/>
            <w:noWrap w:val="0"/>
            <w:vAlign w:val="center"/>
          </w:tcPr>
          <w:p>
            <w:pPr>
              <w:pStyle w:val="71"/>
              <w:spacing w:before="66" w:line="241" w:lineRule="auto"/>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供应商近三年（2020年9月1日-至今）已完成的本项目类似业绩，（须提供中标通知书或合同复印件）。每个有效业绩得4分，无业绩不得分，满分20分。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691" w:type="dxa"/>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2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bCs/>
                <w:color w:val="000000"/>
                <w:sz w:val="24"/>
                <w:szCs w:val="24"/>
                <w:highlight w:val="none"/>
                <w:lang w:val="en-US" w:eastAsia="zh-CN"/>
              </w:rPr>
              <w:t>对于项目合理性、可行性和明确性方案</w:t>
            </w:r>
          </w:p>
        </w:tc>
        <w:tc>
          <w:tcPr>
            <w:tcW w:w="155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bCs/>
                <w:color w:val="000000"/>
                <w:sz w:val="24"/>
                <w:highlight w:val="none"/>
                <w:lang w:val="en-US" w:eastAsia="zh-CN"/>
              </w:rPr>
              <w:t>15分</w:t>
            </w:r>
          </w:p>
        </w:tc>
        <w:tc>
          <w:tcPr>
            <w:tcW w:w="4880"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bCs/>
                <w:color w:val="000000"/>
                <w:sz w:val="24"/>
                <w:szCs w:val="24"/>
                <w:highlight w:val="none"/>
                <w:lang w:val="en-US" w:eastAsia="zh-CN"/>
              </w:rPr>
              <w:t>根据项目能否解决现实问题，提供最佳方案，充分考虑了业主的情况和要求，相互配合，彼此协调，运行高效、稳定，对于重大建设项目是否经过规范、科学的论证和决策且合理；</w:t>
            </w:r>
            <w:r>
              <w:rPr>
                <w:rFonts w:hint="eastAsia" w:ascii="仿宋" w:hAnsi="仿宋" w:eastAsia="仿宋" w:cs="仿宋"/>
                <w:color w:val="000000"/>
                <w:sz w:val="24"/>
                <w:szCs w:val="24"/>
                <w:lang w:val="en-US" w:eastAsia="zh-CN"/>
              </w:rPr>
              <w:t>优[15-10）分，良[10-5） 分，一般[5-0]分。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1" w:type="dxa"/>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241"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bCs/>
                <w:color w:val="000000"/>
                <w:sz w:val="24"/>
                <w:szCs w:val="24"/>
                <w:highlight w:val="none"/>
                <w:lang w:val="en-US" w:eastAsia="zh-CN"/>
              </w:rPr>
              <w:t>项目组织实施</w:t>
            </w:r>
          </w:p>
        </w:tc>
        <w:tc>
          <w:tcPr>
            <w:tcW w:w="155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bCs/>
                <w:color w:val="000000"/>
                <w:sz w:val="24"/>
                <w:highlight w:val="none"/>
                <w:lang w:val="en-US" w:eastAsia="zh-CN"/>
              </w:rPr>
              <w:t>20分</w:t>
            </w:r>
          </w:p>
        </w:tc>
        <w:tc>
          <w:tcPr>
            <w:tcW w:w="4880" w:type="dxa"/>
            <w:vAlign w:val="center"/>
          </w:tcPr>
          <w:p>
            <w:pPr>
              <w:jc w:val="left"/>
              <w:rPr>
                <w:rFonts w:hint="eastAsia" w:ascii="仿宋" w:hAnsi="仿宋" w:eastAsia="仿宋" w:cs="仿宋"/>
                <w:color w:val="000000"/>
                <w:sz w:val="24"/>
                <w:szCs w:val="24"/>
                <w:lang w:val="en-US" w:eastAsia="zh-CN"/>
              </w:rPr>
            </w:pPr>
            <w:r>
              <w:rPr>
                <w:rFonts w:hint="eastAsia" w:ascii="仿宋" w:hAnsi="仿宋" w:eastAsia="仿宋" w:cs="仿宋"/>
                <w:bCs/>
                <w:color w:val="000000"/>
                <w:sz w:val="24"/>
                <w:szCs w:val="24"/>
                <w:highlight w:val="none"/>
                <w:lang w:val="en-US" w:eastAsia="zh-CN"/>
              </w:rPr>
              <w:t>针对本项目统一过程标准的项目管理过程有清晰的描述并且有完善的质量保证计划及有详细、可行的项目计划；</w:t>
            </w:r>
            <w:r>
              <w:rPr>
                <w:rFonts w:hint="eastAsia" w:ascii="仿宋" w:hAnsi="仿宋" w:eastAsia="仿宋" w:cs="仿宋"/>
                <w:color w:val="000000"/>
                <w:sz w:val="24"/>
                <w:szCs w:val="24"/>
                <w:lang w:val="en-US" w:eastAsia="zh-CN"/>
              </w:rPr>
              <w:t>优[20-15）分，良[15-10） 分，一般[10-0]分。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jc w:val="center"/>
        </w:trPr>
        <w:tc>
          <w:tcPr>
            <w:tcW w:w="691" w:type="dxa"/>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1241" w:type="dxa"/>
            <w:vAlign w:val="center"/>
          </w:tcPr>
          <w:p>
            <w:pPr>
              <w:pStyle w:val="74"/>
              <w:keepNext w:val="0"/>
              <w:keepLines w:val="0"/>
              <w:pageBreakBefore w:val="0"/>
              <w:kinsoku/>
              <w:wordWrap/>
              <w:overflowPunct/>
              <w:topLinePunct w:val="0"/>
              <w:autoSpaceDE/>
              <w:autoSpaceDN/>
              <w:bidi w:val="0"/>
              <w:adjustRightInd/>
              <w:snapToGrid/>
              <w:spacing w:before="0" w:beforeLines="0" w:after="0" w:afterLines="0" w:line="300" w:lineRule="exact"/>
              <w:ind w:firstLine="0" w:firstLineChars="0"/>
              <w:jc w:val="center"/>
              <w:textAlignment w:val="auto"/>
              <w:rPr>
                <w:rFonts w:hint="eastAsia" w:ascii="仿宋" w:hAnsi="仿宋" w:eastAsia="仿宋" w:cs="仿宋"/>
                <w:sz w:val="24"/>
                <w:szCs w:val="24"/>
                <w:lang w:val="en-US" w:eastAsia="zh-CN" w:bidi="ar-SA"/>
              </w:rPr>
            </w:pPr>
            <w:r>
              <w:rPr>
                <w:rFonts w:hint="eastAsia" w:ascii="仿宋" w:hAnsi="仿宋" w:eastAsia="仿宋" w:cs="仿宋"/>
                <w:color w:val="000000"/>
                <w:kern w:val="2"/>
                <w:sz w:val="24"/>
                <w:szCs w:val="24"/>
                <w:lang w:val="en-US" w:eastAsia="zh-CN" w:bidi="ar-SA"/>
              </w:rPr>
              <w:t>服务质量及承诺</w:t>
            </w:r>
          </w:p>
        </w:tc>
        <w:tc>
          <w:tcPr>
            <w:tcW w:w="1558"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lang w:val="en-US" w:eastAsia="zh-CN" w:bidi="ar-SA"/>
              </w:rPr>
            </w:pPr>
            <w:r>
              <w:rPr>
                <w:rFonts w:hint="eastAsia" w:ascii="仿宋" w:hAnsi="仿宋" w:eastAsia="仿宋" w:cs="仿宋"/>
                <w:color w:val="000000"/>
                <w:kern w:val="2"/>
                <w:sz w:val="24"/>
                <w:szCs w:val="24"/>
                <w:lang w:val="en-US" w:eastAsia="zh-CN" w:bidi="ar-SA"/>
              </w:rPr>
              <w:t>5分</w:t>
            </w:r>
          </w:p>
        </w:tc>
        <w:tc>
          <w:tcPr>
            <w:tcW w:w="4880" w:type="dxa"/>
            <w:vAlign w:val="center"/>
          </w:tcPr>
          <w:p>
            <w:pPr>
              <w:pStyle w:val="74"/>
              <w:keepNext w:val="0"/>
              <w:keepLines w:val="0"/>
              <w:pageBreakBefore w:val="0"/>
              <w:kinsoku/>
              <w:wordWrap/>
              <w:overflowPunct/>
              <w:topLinePunct w:val="0"/>
              <w:autoSpaceDE/>
              <w:autoSpaceDN/>
              <w:bidi w:val="0"/>
              <w:adjustRightInd/>
              <w:snapToGrid/>
              <w:spacing w:before="0" w:beforeLines="0" w:after="0" w:afterLines="0" w:line="300" w:lineRule="exact"/>
              <w:ind w:firstLine="0" w:firstLineChars="0"/>
              <w:jc w:val="left"/>
              <w:textAlignment w:val="auto"/>
              <w:rPr>
                <w:rFonts w:hint="eastAsia" w:ascii="仿宋" w:hAnsi="仿宋" w:eastAsia="仿宋" w:cs="仿宋"/>
                <w:sz w:val="24"/>
                <w:szCs w:val="24"/>
                <w:lang w:val="en-US" w:eastAsia="zh-CN" w:bidi="ar-SA"/>
              </w:rPr>
            </w:pPr>
            <w:r>
              <w:rPr>
                <w:rFonts w:hint="eastAsia" w:ascii="仿宋" w:hAnsi="仿宋" w:eastAsia="仿宋" w:cs="仿宋"/>
                <w:color w:val="000000"/>
                <w:kern w:val="2"/>
                <w:sz w:val="24"/>
                <w:szCs w:val="24"/>
                <w:lang w:val="en-US" w:eastAsia="zh-CN" w:bidi="ar-SA"/>
              </w:rPr>
              <w:t>招标企业服务质量及承诺满足招标文件条款的得3分，投标人条款优于招标文件规定的商务条款的，每多一项加1分，直到满分5分。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1" w:type="dxa"/>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1241" w:type="dxa"/>
            <w:vAlign w:val="center"/>
          </w:tcPr>
          <w:p>
            <w:pPr>
              <w:jc w:val="center"/>
              <w:rPr>
                <w:rFonts w:hint="eastAsia" w:ascii="仿宋" w:hAnsi="仿宋" w:eastAsia="仿宋" w:cs="仿宋"/>
                <w:sz w:val="24"/>
                <w:szCs w:val="24"/>
                <w:lang w:val="en-US" w:eastAsia="zh-CN" w:bidi="ar-SA"/>
              </w:rPr>
            </w:pPr>
            <w:r>
              <w:rPr>
                <w:rFonts w:hint="eastAsia" w:ascii="仿宋" w:hAnsi="仿宋" w:eastAsia="仿宋" w:cs="仿宋"/>
                <w:color w:val="000000"/>
                <w:sz w:val="24"/>
                <w:szCs w:val="24"/>
              </w:rPr>
              <w:t>售后服务承诺</w:t>
            </w:r>
          </w:p>
        </w:tc>
        <w:tc>
          <w:tcPr>
            <w:tcW w:w="1558" w:type="dxa"/>
            <w:vAlign w:val="center"/>
          </w:tcPr>
          <w:p>
            <w:pPr>
              <w:jc w:val="center"/>
              <w:rPr>
                <w:rFonts w:hint="eastAsia" w:ascii="仿宋" w:hAnsi="仿宋" w:eastAsia="仿宋" w:cs="仿宋"/>
                <w:sz w:val="24"/>
                <w:szCs w:val="24"/>
                <w:lang w:val="en-US" w:eastAsia="zh-CN" w:bidi="ar-SA"/>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分</w:t>
            </w:r>
          </w:p>
        </w:tc>
        <w:tc>
          <w:tcPr>
            <w:tcW w:w="4880" w:type="dxa"/>
            <w:vAlign w:val="center"/>
          </w:tcPr>
          <w:p>
            <w:pPr>
              <w:jc w:val="left"/>
              <w:rPr>
                <w:rFonts w:hint="eastAsia" w:ascii="仿宋" w:hAnsi="仿宋" w:eastAsia="仿宋" w:cs="仿宋"/>
                <w:sz w:val="24"/>
                <w:szCs w:val="24"/>
                <w:lang w:val="en-US" w:eastAsia="zh-CN" w:bidi="ar-SA"/>
              </w:rPr>
            </w:pPr>
            <w:r>
              <w:rPr>
                <w:rFonts w:hint="eastAsia" w:ascii="仿宋" w:hAnsi="仿宋" w:eastAsia="仿宋" w:cs="仿宋"/>
                <w:color w:val="000000"/>
                <w:sz w:val="24"/>
                <w:szCs w:val="24"/>
              </w:rPr>
              <w:t>招标企业工程咨询服务成果与项目申报通过率、资金争取率、项目如期开工落地等挂钩，售后服务贯穿全过程得</w:t>
            </w:r>
            <w:r>
              <w:rPr>
                <w:rFonts w:hint="eastAsia" w:ascii="仿宋" w:hAnsi="仿宋" w:eastAsia="仿宋" w:cs="仿宋"/>
                <w:color w:val="000000"/>
                <w:sz w:val="24"/>
                <w:szCs w:val="24"/>
                <w:lang w:eastAsia="zh-CN"/>
              </w:rPr>
              <w:t>。</w:t>
            </w:r>
            <w:r>
              <w:rPr>
                <w:rFonts w:hint="eastAsia" w:ascii="仿宋" w:hAnsi="仿宋" w:eastAsia="仿宋" w:cs="仿宋"/>
                <w:bCs/>
                <w:color w:val="auto"/>
                <w:sz w:val="24"/>
                <w:szCs w:val="24"/>
                <w:highlight w:val="none"/>
                <w:lang w:val="en-US" w:eastAsia="zh-CN"/>
              </w:rPr>
              <w:t>[0-5]分。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1" w:type="dxa"/>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1241" w:type="dxa"/>
            <w:vAlign w:val="center"/>
          </w:tcPr>
          <w:p>
            <w:pPr>
              <w:jc w:val="both"/>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标函质量</w:t>
            </w:r>
          </w:p>
        </w:tc>
        <w:tc>
          <w:tcPr>
            <w:tcW w:w="155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分</w:t>
            </w:r>
          </w:p>
        </w:tc>
        <w:tc>
          <w:tcPr>
            <w:tcW w:w="4880" w:type="dxa"/>
            <w:vAlign w:val="center"/>
          </w:tcPr>
          <w:p>
            <w:pPr>
              <w:jc w:val="both"/>
              <w:rPr>
                <w:rFonts w:hint="default" w:ascii="仿宋" w:hAnsi="仿宋" w:eastAsia="仿宋" w:cs="仿宋"/>
                <w:sz w:val="24"/>
                <w:szCs w:val="24"/>
                <w:lang w:val="en-US" w:eastAsia="zh-CN"/>
              </w:rPr>
            </w:pPr>
            <w:r>
              <w:rPr>
                <w:rFonts w:hint="eastAsia" w:ascii="仿宋" w:hAnsi="仿宋" w:eastAsia="仿宋" w:cs="仿宋"/>
                <w:bCs/>
                <w:color w:val="auto"/>
                <w:sz w:val="24"/>
                <w:szCs w:val="24"/>
                <w:highlight w:val="none"/>
              </w:rPr>
              <w:t>标函编制内容完整、齐全、叙述严谨、标书无涂改、错页、漏页现象，否则酌情扣分。</w:t>
            </w:r>
            <w:r>
              <w:rPr>
                <w:rFonts w:hint="eastAsia" w:ascii="仿宋" w:hAnsi="仿宋" w:eastAsia="仿宋" w:cs="仿宋"/>
                <w:bCs/>
                <w:color w:val="auto"/>
                <w:sz w:val="24"/>
                <w:szCs w:val="24"/>
                <w:highlight w:val="none"/>
                <w:lang w:val="en-US" w:eastAsia="zh-CN"/>
              </w:rPr>
              <w:t>[0-5]分。</w:t>
            </w:r>
          </w:p>
        </w:tc>
      </w:tr>
    </w:tbl>
    <w:p>
      <w:pPr>
        <w:pStyle w:val="31"/>
        <w:tabs>
          <w:tab w:val="left" w:pos="600"/>
        </w:tabs>
        <w:spacing w:beforeAutospacing="0" w:afterAutospacing="0" w:line="360" w:lineRule="auto"/>
        <w:ind w:left="0" w:leftChars="0" w:firstLine="0" w:firstLineChars="0"/>
        <w:jc w:val="both"/>
        <w:rPr>
          <w:rFonts w:hint="eastAsia" w:ascii="仿宋" w:hAnsi="仿宋" w:eastAsia="仿宋" w:cs="仿宋"/>
          <w:b/>
          <w:bCs/>
          <w:sz w:val="24"/>
          <w:szCs w:val="24"/>
        </w:rPr>
      </w:pPr>
    </w:p>
    <w:p>
      <w:pPr>
        <w:pStyle w:val="31"/>
        <w:tabs>
          <w:tab w:val="left" w:pos="600"/>
        </w:tabs>
        <w:spacing w:beforeAutospacing="0" w:afterAutospacing="0" w:line="360" w:lineRule="auto"/>
        <w:ind w:left="0" w:leftChars="0"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报价部分评分标准（</w:t>
      </w:r>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分）</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4"/>
        <w:gridCol w:w="1250"/>
        <w:gridCol w:w="6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574" w:type="dxa"/>
            <w:vAlign w:val="center"/>
          </w:tcPr>
          <w:p>
            <w:pPr>
              <w:autoSpaceDE w:val="0"/>
              <w:autoSpaceDN w:val="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序号</w:t>
            </w:r>
          </w:p>
        </w:tc>
        <w:tc>
          <w:tcPr>
            <w:tcW w:w="1250" w:type="dxa"/>
            <w:vAlign w:val="center"/>
          </w:tcPr>
          <w:p>
            <w:pPr>
              <w:autoSpaceDE w:val="0"/>
              <w:autoSpaceDN w:val="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评审项目</w:t>
            </w:r>
          </w:p>
        </w:tc>
        <w:tc>
          <w:tcPr>
            <w:tcW w:w="6698" w:type="dxa"/>
            <w:vAlign w:val="center"/>
          </w:tcPr>
          <w:p>
            <w:pPr>
              <w:autoSpaceDE w:val="0"/>
              <w:autoSpaceDN w:val="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74" w:type="dxa"/>
            <w:vMerge w:val="restart"/>
            <w:vAlign w:val="center"/>
          </w:tcPr>
          <w:p>
            <w:pPr>
              <w:autoSpaceDE w:val="0"/>
              <w:autoSpaceDN w:val="0"/>
              <w:jc w:val="center"/>
              <w:rPr>
                <w:rFonts w:hint="eastAsia" w:ascii="仿宋" w:hAnsi="仿宋" w:eastAsia="仿宋" w:cs="仿宋"/>
                <w:bCs/>
                <w:sz w:val="24"/>
                <w:szCs w:val="24"/>
                <w:lang w:val="zh-CN"/>
              </w:rPr>
            </w:pPr>
            <w:r>
              <w:rPr>
                <w:rFonts w:hint="eastAsia" w:ascii="仿宋" w:hAnsi="仿宋" w:eastAsia="仿宋" w:cs="仿宋"/>
                <w:bCs/>
                <w:sz w:val="24"/>
                <w:szCs w:val="24"/>
                <w:lang w:val="zh-CN"/>
              </w:rPr>
              <w:t>1</w:t>
            </w:r>
          </w:p>
        </w:tc>
        <w:tc>
          <w:tcPr>
            <w:tcW w:w="1250" w:type="dxa"/>
            <w:vMerge w:val="restart"/>
            <w:vAlign w:val="center"/>
          </w:tcPr>
          <w:p>
            <w:pPr>
              <w:autoSpaceDE w:val="0"/>
              <w:autoSpaceDN w:val="0"/>
              <w:jc w:val="center"/>
              <w:rPr>
                <w:rFonts w:hint="eastAsia" w:ascii="仿宋" w:hAnsi="仿宋" w:eastAsia="仿宋" w:cs="仿宋"/>
                <w:sz w:val="24"/>
                <w:szCs w:val="24"/>
                <w:lang w:val="zh-CN"/>
              </w:rPr>
            </w:pPr>
            <w:r>
              <w:rPr>
                <w:rFonts w:hint="eastAsia" w:ascii="仿宋" w:hAnsi="仿宋" w:eastAsia="仿宋" w:cs="仿宋"/>
                <w:sz w:val="24"/>
                <w:szCs w:val="24"/>
                <w:lang w:val="zh-CN"/>
              </w:rPr>
              <w:t>投标报价</w:t>
            </w:r>
          </w:p>
        </w:tc>
        <w:tc>
          <w:tcPr>
            <w:tcW w:w="6698" w:type="dxa"/>
            <w:vAlign w:val="center"/>
          </w:tcPr>
          <w:p>
            <w:pPr>
              <w:autoSpaceDE w:val="0"/>
              <w:autoSpaceDN w:val="0"/>
              <w:rPr>
                <w:rFonts w:hint="eastAsia" w:ascii="仿宋" w:hAnsi="仿宋" w:eastAsia="仿宋" w:cs="仿宋"/>
                <w:sz w:val="24"/>
                <w:szCs w:val="24"/>
                <w:lang w:val="zh-CN"/>
              </w:rPr>
            </w:pPr>
            <w:r>
              <w:rPr>
                <w:rFonts w:hint="eastAsia" w:ascii="仿宋" w:hAnsi="仿宋" w:eastAsia="仿宋" w:cs="仿宋"/>
                <w:sz w:val="24"/>
                <w:szCs w:val="24"/>
                <w:lang w:val="zh-CN"/>
              </w:rPr>
              <w:t>评标基准价即满足磋商文件要求且投标价格最低的投标报价。</w:t>
            </w:r>
          </w:p>
          <w:p>
            <w:pPr>
              <w:autoSpaceDE w:val="0"/>
              <w:autoSpaceDN w:val="0"/>
              <w:rPr>
                <w:rFonts w:hint="eastAsia" w:ascii="仿宋" w:hAnsi="仿宋" w:eastAsia="仿宋" w:cs="仿宋"/>
                <w:sz w:val="24"/>
                <w:szCs w:val="24"/>
                <w:lang w:val="zh-CN"/>
              </w:rPr>
            </w:pPr>
            <w:r>
              <w:rPr>
                <w:rFonts w:hint="eastAsia" w:ascii="仿宋" w:hAnsi="仿宋" w:eastAsia="仿宋" w:cs="仿宋"/>
                <w:sz w:val="24"/>
                <w:szCs w:val="24"/>
                <w:lang w:val="zh-CN"/>
              </w:rPr>
              <w:t>投标报价得分=（评标基准价/投标报价）×</w:t>
            </w:r>
            <w:r>
              <w:rPr>
                <w:rFonts w:hint="eastAsia" w:ascii="仿宋" w:hAnsi="仿宋" w:eastAsia="仿宋" w:cs="仿宋"/>
                <w:sz w:val="24"/>
                <w:szCs w:val="24"/>
              </w:rPr>
              <w:t>报价部分权重×100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574" w:type="dxa"/>
            <w:vMerge w:val="continue"/>
            <w:vAlign w:val="center"/>
          </w:tcPr>
          <w:p>
            <w:pPr>
              <w:autoSpaceDE w:val="0"/>
              <w:autoSpaceDN w:val="0"/>
              <w:jc w:val="center"/>
              <w:rPr>
                <w:rFonts w:hint="eastAsia" w:ascii="仿宋" w:hAnsi="仿宋" w:eastAsia="仿宋" w:cs="仿宋"/>
                <w:bCs/>
                <w:sz w:val="24"/>
                <w:szCs w:val="24"/>
                <w:lang w:val="zh-CN"/>
              </w:rPr>
            </w:pPr>
          </w:p>
        </w:tc>
        <w:tc>
          <w:tcPr>
            <w:tcW w:w="1250" w:type="dxa"/>
            <w:vMerge w:val="continue"/>
            <w:vAlign w:val="center"/>
          </w:tcPr>
          <w:p>
            <w:pPr>
              <w:autoSpaceDE w:val="0"/>
              <w:autoSpaceDN w:val="0"/>
              <w:jc w:val="center"/>
              <w:rPr>
                <w:rFonts w:hint="eastAsia" w:ascii="仿宋" w:hAnsi="仿宋" w:eastAsia="仿宋" w:cs="仿宋"/>
                <w:sz w:val="24"/>
                <w:szCs w:val="24"/>
                <w:lang w:val="zh-CN"/>
              </w:rPr>
            </w:pPr>
          </w:p>
        </w:tc>
        <w:tc>
          <w:tcPr>
            <w:tcW w:w="6698" w:type="dxa"/>
            <w:vAlign w:val="center"/>
          </w:tcPr>
          <w:p>
            <w:pPr>
              <w:autoSpaceDE w:val="0"/>
              <w:autoSpaceDN w:val="0"/>
              <w:rPr>
                <w:rFonts w:hint="eastAsia" w:ascii="仿宋" w:hAnsi="仿宋" w:eastAsia="仿宋" w:cs="仿宋"/>
                <w:sz w:val="24"/>
                <w:szCs w:val="24"/>
                <w:lang w:val="zh-CN"/>
              </w:rPr>
            </w:pPr>
            <w:r>
              <w:rPr>
                <w:rFonts w:hint="eastAsia" w:ascii="仿宋" w:hAnsi="仿宋" w:eastAsia="仿宋" w:cs="仿宋"/>
                <w:sz w:val="24"/>
                <w:szCs w:val="24"/>
                <w:lang w:val="zh-CN"/>
              </w:rPr>
              <w:t>因落实政府采购政策进行价格调整的，以调整后的价格计算评标基准价和投标报价。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574"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政府采购价格折扣优惠政策说明</w:t>
            </w:r>
          </w:p>
        </w:tc>
        <w:tc>
          <w:tcPr>
            <w:tcW w:w="1250"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中小企业</w:t>
            </w:r>
          </w:p>
        </w:tc>
        <w:tc>
          <w:tcPr>
            <w:tcW w:w="6698" w:type="dxa"/>
            <w:vAlign w:val="center"/>
          </w:tcPr>
          <w:p>
            <w:pPr>
              <w:rPr>
                <w:rFonts w:hint="eastAsia" w:ascii="仿宋" w:hAnsi="仿宋" w:eastAsia="仿宋" w:cs="仿宋"/>
                <w:sz w:val="24"/>
                <w:szCs w:val="24"/>
              </w:rPr>
            </w:pPr>
            <w:r>
              <w:rPr>
                <w:rFonts w:hint="eastAsia" w:ascii="仿宋" w:hAnsi="仿宋" w:eastAsia="仿宋" w:cs="仿宋"/>
                <w:sz w:val="24"/>
                <w:szCs w:val="24"/>
              </w:rPr>
              <w:t>根据工信部等部委发布的《关于印发中小企业划型标准规定的通知》（工信部联企业</w:t>
            </w:r>
            <w:r>
              <w:rPr>
                <w:rFonts w:hint="eastAsia" w:ascii="仿宋" w:hAnsi="仿宋" w:eastAsia="仿宋" w:cs="仿宋"/>
                <w:bCs/>
                <w:color w:val="000000"/>
                <w:sz w:val="24"/>
                <w:szCs w:val="24"/>
              </w:rPr>
              <w:t>〔2011〕300</w:t>
            </w:r>
            <w:r>
              <w:rPr>
                <w:rFonts w:hint="eastAsia" w:ascii="仿宋" w:hAnsi="仿宋" w:eastAsia="仿宋" w:cs="仿宋"/>
                <w:sz w:val="24"/>
                <w:szCs w:val="24"/>
              </w:rPr>
              <w:t>号），按照本次采购标的所属行业的划型标准，符合条件的中小企业须提供自拟格式的《中小企业声明函》。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574" w:type="dxa"/>
            <w:vMerge w:val="continue"/>
            <w:vAlign w:val="center"/>
          </w:tcPr>
          <w:p>
            <w:pPr>
              <w:jc w:val="center"/>
              <w:rPr>
                <w:rFonts w:hint="eastAsia" w:ascii="仿宋" w:hAnsi="仿宋" w:eastAsia="仿宋" w:cs="仿宋"/>
                <w:sz w:val="24"/>
                <w:szCs w:val="24"/>
              </w:rPr>
            </w:pPr>
          </w:p>
        </w:tc>
        <w:tc>
          <w:tcPr>
            <w:tcW w:w="1250" w:type="dxa"/>
            <w:vMerge w:val="continue"/>
            <w:vAlign w:val="center"/>
          </w:tcPr>
          <w:p>
            <w:pPr>
              <w:jc w:val="center"/>
              <w:rPr>
                <w:rFonts w:hint="eastAsia" w:ascii="仿宋" w:hAnsi="仿宋" w:eastAsia="仿宋" w:cs="仿宋"/>
                <w:sz w:val="24"/>
                <w:szCs w:val="24"/>
              </w:rPr>
            </w:pPr>
          </w:p>
        </w:tc>
        <w:tc>
          <w:tcPr>
            <w:tcW w:w="6698" w:type="dxa"/>
            <w:vAlign w:val="center"/>
          </w:tcPr>
          <w:p>
            <w:pPr>
              <w:rPr>
                <w:rFonts w:hint="default" w:ascii="仿宋" w:hAnsi="仿宋" w:eastAsia="仿宋" w:cs="仿宋"/>
                <w:bCs/>
                <w:color w:val="000000"/>
                <w:sz w:val="24"/>
                <w:szCs w:val="24"/>
                <w:lang w:val="en-US" w:eastAsia="zh-CN"/>
              </w:rPr>
            </w:pPr>
            <w:r>
              <w:rPr>
                <w:rFonts w:hint="eastAsia" w:ascii="仿宋" w:hAnsi="仿宋" w:eastAsia="仿宋" w:cs="仿宋"/>
                <w:sz w:val="24"/>
                <w:szCs w:val="24"/>
                <w:lang w:val="en-US" w:eastAsia="zh-CN"/>
              </w:rPr>
              <w:t>本项目专门面向小微企业;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574" w:type="dxa"/>
            <w:vMerge w:val="continue"/>
            <w:vAlign w:val="center"/>
          </w:tcPr>
          <w:p>
            <w:pPr>
              <w:jc w:val="center"/>
              <w:rPr>
                <w:rFonts w:hint="eastAsia" w:ascii="仿宋" w:hAnsi="仿宋" w:eastAsia="仿宋" w:cs="仿宋"/>
                <w:sz w:val="24"/>
                <w:szCs w:val="24"/>
              </w:rPr>
            </w:pPr>
          </w:p>
        </w:tc>
        <w:tc>
          <w:tcPr>
            <w:tcW w:w="1250" w:type="dxa"/>
            <w:vMerge w:val="continue"/>
            <w:vAlign w:val="center"/>
          </w:tcPr>
          <w:p>
            <w:pPr>
              <w:jc w:val="center"/>
              <w:rPr>
                <w:rFonts w:hint="eastAsia" w:ascii="仿宋" w:hAnsi="仿宋" w:eastAsia="仿宋" w:cs="仿宋"/>
                <w:sz w:val="24"/>
                <w:szCs w:val="24"/>
              </w:rPr>
            </w:pPr>
          </w:p>
        </w:tc>
        <w:tc>
          <w:tcPr>
            <w:tcW w:w="6698" w:type="dxa"/>
            <w:vAlign w:val="center"/>
          </w:tcPr>
          <w:p>
            <w:pPr>
              <w:rPr>
                <w:rFonts w:hint="eastAsia" w:ascii="仿宋" w:hAnsi="仿宋" w:eastAsia="仿宋" w:cs="仿宋"/>
                <w:bCs/>
                <w:color w:val="000000"/>
                <w:sz w:val="24"/>
                <w:szCs w:val="24"/>
              </w:rPr>
            </w:pPr>
            <w:r>
              <w:rPr>
                <w:rFonts w:hint="eastAsia" w:ascii="仿宋" w:hAnsi="仿宋" w:eastAsia="仿宋" w:cs="仿宋"/>
                <w:bCs/>
                <w:color w:val="000000"/>
                <w:sz w:val="24"/>
                <w:szCs w:val="24"/>
              </w:rPr>
              <w:t>小、微企业只有提供本企业制造的货物、承担的工程或者服务，或者提供其他小、微企业制造的货物，享受投标货物的价格折扣，须如实填写</w:t>
            </w:r>
            <w:r>
              <w:rPr>
                <w:rFonts w:hint="eastAsia" w:ascii="仿宋" w:hAnsi="仿宋" w:eastAsia="仿宋" w:cs="仿宋"/>
                <w:sz w:val="24"/>
                <w:szCs w:val="24"/>
              </w:rPr>
              <w:t>自拟格式的</w:t>
            </w:r>
            <w:r>
              <w:rPr>
                <w:rFonts w:hint="eastAsia" w:ascii="仿宋" w:hAnsi="仿宋" w:eastAsia="仿宋" w:cs="仿宋"/>
                <w:bCs/>
                <w:color w:val="000000"/>
                <w:sz w:val="24"/>
                <w:szCs w:val="24"/>
              </w:rPr>
              <w:t>《适用政府采购价格折扣优惠政策投标货物明细表》；</w:t>
            </w:r>
          </w:p>
          <w:p>
            <w:pPr>
              <w:rPr>
                <w:rFonts w:hint="eastAsia" w:ascii="仿宋" w:hAnsi="仿宋" w:eastAsia="仿宋" w:cs="仿宋"/>
                <w:bCs/>
                <w:color w:val="000000"/>
                <w:sz w:val="24"/>
                <w:szCs w:val="24"/>
              </w:rPr>
            </w:pPr>
            <w:r>
              <w:rPr>
                <w:rFonts w:hint="eastAsia" w:ascii="仿宋" w:hAnsi="仿宋" w:eastAsia="仿宋" w:cs="仿宋"/>
                <w:bCs/>
                <w:color w:val="000000"/>
                <w:sz w:val="24"/>
                <w:szCs w:val="24"/>
              </w:rPr>
              <w:t>小型、微型企业提供中型企业制造的货物或使用大型企业注册商标货物的，视同为中型企业。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574" w:type="dxa"/>
            <w:vMerge w:val="continue"/>
            <w:vAlign w:val="center"/>
          </w:tcPr>
          <w:p>
            <w:pPr>
              <w:jc w:val="center"/>
              <w:rPr>
                <w:rFonts w:hint="eastAsia" w:ascii="仿宋" w:hAnsi="仿宋" w:eastAsia="仿宋" w:cs="仿宋"/>
                <w:sz w:val="24"/>
                <w:szCs w:val="24"/>
              </w:rPr>
            </w:pPr>
          </w:p>
        </w:tc>
        <w:tc>
          <w:tcPr>
            <w:tcW w:w="12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监狱企业</w:t>
            </w:r>
          </w:p>
        </w:tc>
        <w:tc>
          <w:tcPr>
            <w:tcW w:w="6698" w:type="dxa"/>
            <w:vAlign w:val="center"/>
          </w:tcPr>
          <w:p>
            <w:pPr>
              <w:rPr>
                <w:rFonts w:hint="eastAsia" w:ascii="仿宋" w:hAnsi="仿宋" w:eastAsia="仿宋" w:cs="仿宋"/>
                <w:bCs/>
                <w:color w:val="000000"/>
                <w:sz w:val="24"/>
                <w:szCs w:val="24"/>
              </w:rPr>
            </w:pPr>
            <w:r>
              <w:rPr>
                <w:rFonts w:hint="eastAsia" w:ascii="仿宋" w:hAnsi="仿宋" w:eastAsia="仿宋" w:cs="仿宋"/>
                <w:bCs/>
                <w:color w:val="000000"/>
                <w:sz w:val="24"/>
                <w:szCs w:val="24"/>
              </w:rPr>
              <w:t>根据财库〔2014〕68号《财政部司法部关于政府采购支持监狱企业发展有关问题的通知》，能够</w:t>
            </w:r>
            <w:r>
              <w:rPr>
                <w:rFonts w:hint="eastAsia" w:ascii="仿宋" w:hAnsi="仿宋" w:eastAsia="仿宋" w:cs="仿宋"/>
                <w:sz w:val="24"/>
                <w:szCs w:val="24"/>
              </w:rPr>
              <w:t>提供由省级以上监狱管理局、戒毒管理局（含新疆生产建设兵团）出具的“属于监狱企业的证明文件”的监狱企业，</w:t>
            </w:r>
            <w:r>
              <w:rPr>
                <w:rFonts w:hint="eastAsia" w:ascii="仿宋" w:hAnsi="仿宋" w:eastAsia="仿宋" w:cs="仿宋"/>
                <w:bCs/>
                <w:color w:val="000000"/>
                <w:sz w:val="24"/>
                <w:szCs w:val="24"/>
              </w:rPr>
              <w:t>视同小型、微型企业。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4" w:type="dxa"/>
            <w:vMerge w:val="continue"/>
            <w:vAlign w:val="center"/>
          </w:tcPr>
          <w:p>
            <w:pPr>
              <w:jc w:val="center"/>
              <w:rPr>
                <w:rFonts w:hint="eastAsia" w:ascii="仿宋" w:hAnsi="仿宋" w:eastAsia="仿宋" w:cs="仿宋"/>
                <w:sz w:val="24"/>
                <w:szCs w:val="24"/>
              </w:rPr>
            </w:pPr>
          </w:p>
        </w:tc>
        <w:tc>
          <w:tcPr>
            <w:tcW w:w="12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福利企业</w:t>
            </w:r>
          </w:p>
        </w:tc>
        <w:tc>
          <w:tcPr>
            <w:tcW w:w="6698" w:type="dxa"/>
            <w:vAlign w:val="center"/>
          </w:tcPr>
          <w:p>
            <w:pPr>
              <w:rPr>
                <w:rFonts w:hint="eastAsia" w:ascii="仿宋" w:hAnsi="仿宋" w:eastAsia="仿宋" w:cs="仿宋"/>
                <w:bCs/>
                <w:color w:val="000000"/>
                <w:sz w:val="24"/>
                <w:szCs w:val="24"/>
              </w:rPr>
            </w:pPr>
            <w:r>
              <w:rPr>
                <w:rFonts w:hint="eastAsia" w:ascii="仿宋" w:hAnsi="仿宋" w:eastAsia="仿宋" w:cs="仿宋"/>
                <w:bCs/>
                <w:color w:val="000000"/>
                <w:sz w:val="24"/>
                <w:szCs w:val="24"/>
              </w:rPr>
              <w:t>根据财库〔2017〕141号《财政部民政部中国残疾人联合会关于促进残疾人就业政府采购政策的通知》，符合享受政府采购支持政策的残疾人福利性单位条件且提供</w:t>
            </w:r>
            <w:r>
              <w:rPr>
                <w:rFonts w:hint="eastAsia" w:ascii="仿宋" w:hAnsi="仿宋" w:eastAsia="仿宋" w:cs="仿宋"/>
                <w:sz w:val="24"/>
                <w:szCs w:val="24"/>
              </w:rPr>
              <w:t>自拟格式的</w:t>
            </w:r>
            <w:r>
              <w:rPr>
                <w:rFonts w:hint="eastAsia" w:ascii="仿宋" w:hAnsi="仿宋" w:eastAsia="仿宋" w:cs="仿宋"/>
                <w:bCs/>
                <w:color w:val="000000"/>
                <w:sz w:val="24"/>
                <w:szCs w:val="24"/>
              </w:rPr>
              <w:t>《残疾人福利性单位声明函》的残疾人福利性单位，视同小型、微型企业。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8522" w:type="dxa"/>
            <w:gridSpan w:val="3"/>
            <w:vAlign w:val="center"/>
          </w:tcPr>
          <w:p>
            <w:pPr>
              <w:rPr>
                <w:rFonts w:hint="eastAsia" w:ascii="仿宋" w:hAnsi="仿宋" w:eastAsia="仿宋" w:cs="仿宋"/>
                <w:b/>
                <w:sz w:val="24"/>
                <w:szCs w:val="24"/>
                <w:lang w:val="zh-CN"/>
              </w:rPr>
            </w:pPr>
            <w:r>
              <w:rPr>
                <w:rFonts w:hint="eastAsia" w:ascii="仿宋" w:hAnsi="仿宋" w:eastAsia="仿宋" w:cs="仿宋"/>
                <w:b/>
                <w:sz w:val="24"/>
                <w:szCs w:val="24"/>
                <w:lang w:val="zh-CN"/>
              </w:rPr>
              <w:t>评分注意事项：</w:t>
            </w:r>
          </w:p>
          <w:p>
            <w:pPr>
              <w:rPr>
                <w:rFonts w:hint="eastAsia" w:ascii="仿宋" w:hAnsi="仿宋" w:eastAsia="仿宋" w:cs="仿宋"/>
                <w:b/>
                <w:sz w:val="24"/>
                <w:szCs w:val="24"/>
                <w:lang w:val="zh-CN"/>
              </w:rPr>
            </w:pPr>
            <w:r>
              <w:rPr>
                <w:rFonts w:hint="eastAsia" w:ascii="仿宋" w:hAnsi="仿宋" w:eastAsia="仿宋" w:cs="仿宋"/>
                <w:b/>
                <w:sz w:val="24"/>
                <w:szCs w:val="24"/>
                <w:lang w:val="zh-CN"/>
              </w:rPr>
              <w:t xml:space="preserve">    </w:t>
            </w:r>
            <w:r>
              <w:rPr>
                <w:rFonts w:hint="eastAsia" w:ascii="仿宋" w:hAnsi="仿宋" w:eastAsia="仿宋" w:cs="仿宋"/>
                <w:sz w:val="24"/>
                <w:szCs w:val="24"/>
                <w:lang w:val="zh-CN"/>
              </w:rPr>
              <w:t>因落实政府采购政策进行价格调整的，磋商小组应记录价格调整的依据、计算过程及计算结果。</w:t>
            </w:r>
          </w:p>
        </w:tc>
      </w:tr>
    </w:tbl>
    <w:p>
      <w:pPr>
        <w:pStyle w:val="31"/>
        <w:tabs>
          <w:tab w:val="left" w:pos="600"/>
        </w:tabs>
        <w:spacing w:beforeAutospacing="0" w:afterAutospacing="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4.5.3供应商总分=报价部分得分+技术</w:t>
      </w:r>
      <w:r>
        <w:rPr>
          <w:rFonts w:hint="eastAsia" w:ascii="仿宋" w:hAnsi="仿宋" w:eastAsia="仿宋" w:cs="仿宋"/>
          <w:sz w:val="24"/>
          <w:szCs w:val="24"/>
          <w:lang w:val="en-US" w:eastAsia="zh-CN"/>
        </w:rPr>
        <w:t>部分得分+</w:t>
      </w:r>
      <w:r>
        <w:rPr>
          <w:rFonts w:hint="eastAsia" w:ascii="仿宋" w:hAnsi="仿宋" w:eastAsia="仿宋" w:cs="仿宋"/>
          <w:sz w:val="24"/>
          <w:szCs w:val="24"/>
        </w:rPr>
        <w:t>商务部分得分，结果保留两位小数。</w:t>
      </w:r>
    </w:p>
    <w:p>
      <w:pPr>
        <w:pStyle w:val="18"/>
        <w:pageBreakBefore w:val="0"/>
        <w:kinsoku/>
        <w:wordWrap/>
        <w:overflowPunct/>
        <w:topLinePunct w:val="0"/>
        <w:bidi w:val="0"/>
        <w:snapToGrid/>
        <w:spacing w:before="0" w:beforeAutospacing="0" w:after="0" w:afterAutospacing="0" w:line="360" w:lineRule="auto"/>
        <w:ind w:right="0" w:firstLine="482" w:firstLineChars="200"/>
        <w:rPr>
          <w:rFonts w:hint="eastAsia" w:ascii="仿宋" w:hAnsi="仿宋" w:eastAsia="仿宋" w:cs="仿宋"/>
          <w:color w:val="000000"/>
          <w:sz w:val="24"/>
          <w:szCs w:val="24"/>
        </w:rPr>
      </w:pPr>
      <w:bookmarkStart w:id="217" w:name="_Toc217446060"/>
      <w:r>
        <w:rPr>
          <w:rFonts w:hint="eastAsia" w:ascii="仿宋" w:hAnsi="仿宋" w:eastAsia="仿宋" w:cs="仿宋"/>
          <w:color w:val="000000"/>
          <w:sz w:val="24"/>
          <w:szCs w:val="24"/>
        </w:rPr>
        <w:t>5. 废标</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本次政府采购活动中，出现下列情形之一的，予以废标：</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（1）符合专业条件的供应商或者对</w:t>
      </w:r>
      <w:r>
        <w:rPr>
          <w:rFonts w:hint="eastAsia" w:ascii="仿宋" w:hAnsi="仿宋" w:eastAsia="仿宋" w:cs="仿宋"/>
          <w:color w:val="000000"/>
          <w:sz w:val="24"/>
          <w:szCs w:val="24"/>
          <w:lang w:eastAsia="zh-CN"/>
        </w:rPr>
        <w:t>磋商文件</w:t>
      </w:r>
      <w:r>
        <w:rPr>
          <w:rFonts w:hint="eastAsia" w:ascii="仿宋" w:hAnsi="仿宋" w:eastAsia="仿宋" w:cs="仿宋"/>
          <w:color w:val="000000"/>
          <w:sz w:val="24"/>
          <w:szCs w:val="24"/>
        </w:rPr>
        <w:t>作实质响应的供应商不足三家的；</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（2）出现影响采购公正的违法、违规行为的；</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的报价均超过了采购预算，采购人不能支付的；</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（4）因重大变故，采购任务取消的。</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废标后，采购代理机构应在</w:t>
      </w:r>
      <w:r>
        <w:rPr>
          <w:rFonts w:hint="eastAsia" w:ascii="仿宋" w:hAnsi="仿宋" w:eastAsia="仿宋" w:cs="仿宋"/>
          <w:color w:val="000000"/>
          <w:sz w:val="24"/>
          <w:szCs w:val="24"/>
          <w:lang w:val="en-US" w:eastAsia="zh-CN"/>
        </w:rPr>
        <w:t>发布采购公告的媒体上发布废标</w:t>
      </w:r>
      <w:r>
        <w:rPr>
          <w:rFonts w:hint="eastAsia" w:ascii="仿宋" w:hAnsi="仿宋" w:eastAsia="仿宋" w:cs="仿宋"/>
          <w:color w:val="000000"/>
          <w:sz w:val="24"/>
          <w:szCs w:val="24"/>
        </w:rPr>
        <w:t>公告，并公告废标的详细理由。</w:t>
      </w:r>
    </w:p>
    <w:bookmarkEnd w:id="217"/>
    <w:p>
      <w:pPr>
        <w:pStyle w:val="18"/>
        <w:pageBreakBefore w:val="0"/>
        <w:kinsoku/>
        <w:wordWrap/>
        <w:overflowPunct/>
        <w:topLinePunct w:val="0"/>
        <w:bidi w:val="0"/>
        <w:snapToGrid/>
        <w:spacing w:before="0" w:beforeAutospacing="0" w:after="0" w:afterAutospacing="0" w:line="360" w:lineRule="auto"/>
        <w:ind w:right="0" w:firstLine="482" w:firstLineChars="200"/>
        <w:rPr>
          <w:rFonts w:hint="eastAsia" w:ascii="仿宋" w:hAnsi="仿宋" w:eastAsia="仿宋" w:cs="仿宋"/>
          <w:color w:val="000000"/>
          <w:sz w:val="24"/>
          <w:szCs w:val="24"/>
        </w:rPr>
      </w:pPr>
      <w:bookmarkStart w:id="218" w:name="_Toc217446061"/>
      <w:r>
        <w:rPr>
          <w:rFonts w:hint="eastAsia" w:ascii="仿宋" w:hAnsi="仿宋" w:eastAsia="仿宋" w:cs="仿宋"/>
          <w:color w:val="000000"/>
          <w:sz w:val="24"/>
          <w:szCs w:val="24"/>
        </w:rPr>
        <w:t>6. 定标</w:t>
      </w:r>
    </w:p>
    <w:bookmarkEnd w:id="218"/>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 定标原则：本项目根据</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推荐的</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候选人名单，按顺序确定</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bookmarkStart w:id="219" w:name="_Toc217446062"/>
      <w:bookmarkEnd w:id="219"/>
      <w:r>
        <w:rPr>
          <w:rFonts w:hint="eastAsia" w:ascii="仿宋" w:hAnsi="仿宋" w:eastAsia="仿宋" w:cs="仿宋"/>
          <w:color w:val="000000"/>
          <w:sz w:val="24"/>
          <w:szCs w:val="24"/>
        </w:rPr>
        <w:t>6.2. 定标程序</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6.2.1 </w:t>
      </w:r>
      <w:r>
        <w:rPr>
          <w:rFonts w:hint="eastAsia" w:ascii="仿宋" w:hAnsi="仿宋" w:eastAsia="仿宋" w:cs="仿宋"/>
          <w:color w:val="000000"/>
          <w:sz w:val="24"/>
          <w:szCs w:val="24"/>
          <w:lang w:eastAsia="zh-CN"/>
        </w:rPr>
        <w:t>磋商小组</w:t>
      </w:r>
      <w:r>
        <w:rPr>
          <w:rFonts w:hint="eastAsia" w:ascii="仿宋" w:hAnsi="仿宋" w:eastAsia="仿宋" w:cs="仿宋"/>
          <w:color w:val="000000"/>
          <w:sz w:val="24"/>
          <w:szCs w:val="24"/>
        </w:rPr>
        <w:t>将评标情况写出书面报告，推荐</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候选人，并按照综合得分高低标明排列顺序。</w:t>
      </w:r>
      <w:r>
        <w:rPr>
          <w:rFonts w:hint="eastAsia" w:ascii="仿宋" w:hAnsi="仿宋" w:eastAsia="仿宋" w:cs="仿宋"/>
          <w:color w:val="000000"/>
          <w:sz w:val="24"/>
          <w:szCs w:val="24"/>
          <w:lang w:eastAsia="zh-CN"/>
        </w:rPr>
        <w:t>本项目</w:t>
      </w:r>
      <w:r>
        <w:rPr>
          <w:rFonts w:hint="eastAsia" w:ascii="仿宋" w:hAnsi="仿宋" w:eastAsia="仿宋" w:cs="仿宋"/>
          <w:color w:val="000000"/>
          <w:sz w:val="24"/>
          <w:szCs w:val="24"/>
        </w:rPr>
        <w:t>采用综合评分法，评标结果按评审后得分由高到低顺序排列。得分相同的，按投标报价由低到高顺序排列。得分且投标报价相同的</w:t>
      </w:r>
      <w:r>
        <w:rPr>
          <w:rFonts w:hint="eastAsia" w:ascii="仿宋" w:hAnsi="仿宋" w:eastAsia="仿宋" w:cs="仿宋"/>
          <w:color w:val="000000"/>
          <w:sz w:val="24"/>
          <w:szCs w:val="24"/>
          <w:lang w:eastAsia="zh-CN"/>
        </w:rPr>
        <w:t>排序</w:t>
      </w:r>
      <w:r>
        <w:rPr>
          <w:rFonts w:hint="eastAsia" w:ascii="仿宋" w:hAnsi="仿宋" w:eastAsia="仿宋" w:cs="仿宋"/>
          <w:color w:val="000000"/>
          <w:sz w:val="24"/>
          <w:szCs w:val="24"/>
        </w:rPr>
        <w:t>并列。</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6.2.2 </w:t>
      </w:r>
      <w:r>
        <w:rPr>
          <w:rFonts w:hint="eastAsia" w:ascii="仿宋" w:hAnsi="仿宋" w:eastAsia="仿宋" w:cs="仿宋"/>
          <w:color w:val="000000"/>
          <w:sz w:val="24"/>
          <w:szCs w:val="24"/>
          <w:lang w:val="en-US" w:eastAsia="zh-CN"/>
        </w:rPr>
        <w:t>采购代理机构</w:t>
      </w:r>
      <w:r>
        <w:rPr>
          <w:rFonts w:hint="eastAsia" w:ascii="仿宋" w:hAnsi="仿宋" w:eastAsia="仿宋" w:cs="仿宋"/>
          <w:color w:val="000000"/>
          <w:sz w:val="24"/>
          <w:szCs w:val="24"/>
        </w:rPr>
        <w:t>在评标结束后</w:t>
      </w:r>
      <w:r>
        <w:rPr>
          <w:rFonts w:hint="eastAsia" w:ascii="仿宋" w:hAnsi="仿宋" w:eastAsia="仿宋" w:cs="仿宋"/>
          <w:color w:val="000000"/>
          <w:sz w:val="24"/>
          <w:szCs w:val="24"/>
          <w:lang w:val="en-US" w:eastAsia="zh-CN"/>
        </w:rPr>
        <w:t>两</w:t>
      </w:r>
      <w:r>
        <w:rPr>
          <w:rFonts w:hint="eastAsia" w:ascii="仿宋" w:hAnsi="仿宋" w:eastAsia="仿宋" w:cs="仿宋"/>
          <w:color w:val="000000"/>
          <w:sz w:val="24"/>
          <w:szCs w:val="24"/>
        </w:rPr>
        <w:t>个工作日内将评标报告送</w:t>
      </w:r>
      <w:r>
        <w:rPr>
          <w:rFonts w:hint="eastAsia" w:ascii="仿宋" w:hAnsi="仿宋" w:eastAsia="仿宋" w:cs="仿宋"/>
          <w:color w:val="000000"/>
          <w:sz w:val="24"/>
          <w:szCs w:val="24"/>
          <w:lang w:val="en-US" w:eastAsia="zh-CN"/>
        </w:rPr>
        <w:t>至</w:t>
      </w:r>
      <w:r>
        <w:rPr>
          <w:rFonts w:hint="eastAsia" w:ascii="仿宋" w:hAnsi="仿宋" w:eastAsia="仿宋" w:cs="仿宋"/>
          <w:color w:val="000000"/>
          <w:sz w:val="24"/>
          <w:szCs w:val="24"/>
        </w:rPr>
        <w:t>采购人。</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6.2.3 采购人应当自收到评审报告之日起5个工作日内在评审报告推荐的成交候选人中按顺序确定成交供应商。</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6.2.4 根据采购人确定的</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人在</w:t>
      </w:r>
      <w:r>
        <w:rPr>
          <w:rFonts w:hint="eastAsia" w:ascii="仿宋" w:hAnsi="仿宋" w:eastAsia="仿宋" w:cs="仿宋"/>
          <w:color w:val="000000"/>
          <w:sz w:val="24"/>
          <w:szCs w:val="24"/>
          <w:lang w:val="en-US" w:eastAsia="zh-CN"/>
        </w:rPr>
        <w:t>采购公告发布的媒体上</w:t>
      </w:r>
      <w:r>
        <w:rPr>
          <w:rFonts w:hint="eastAsia" w:ascii="仿宋" w:hAnsi="仿宋" w:eastAsia="仿宋" w:cs="仿宋"/>
          <w:color w:val="000000"/>
          <w:sz w:val="24"/>
          <w:szCs w:val="24"/>
        </w:rPr>
        <w:t>发布</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公告，同时向</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人发出</w:t>
      </w:r>
      <w:r>
        <w:rPr>
          <w:rFonts w:hint="eastAsia" w:ascii="仿宋" w:hAnsi="仿宋" w:eastAsia="仿宋" w:cs="仿宋"/>
          <w:color w:val="000000"/>
          <w:sz w:val="24"/>
          <w:szCs w:val="24"/>
          <w:lang w:eastAsia="zh-CN"/>
        </w:rPr>
        <w:t>成交</w:t>
      </w:r>
      <w:r>
        <w:rPr>
          <w:rFonts w:hint="eastAsia" w:ascii="仿宋" w:hAnsi="仿宋" w:eastAsia="仿宋" w:cs="仿宋"/>
          <w:color w:val="000000"/>
          <w:sz w:val="24"/>
          <w:szCs w:val="24"/>
        </w:rPr>
        <w:t>通知书。</w:t>
      </w:r>
    </w:p>
    <w:p>
      <w:pPr>
        <w:pageBreakBefore w:val="0"/>
        <w:kinsoku/>
        <w:wordWrap/>
        <w:overflowPunct/>
        <w:topLinePunct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6.2.5 采购单位不退回</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和其他投标资料。</w:t>
      </w:r>
    </w:p>
    <w:bookmarkEnd w:id="212"/>
    <w:p>
      <w:pPr>
        <w:pStyle w:val="18"/>
        <w:pageBreakBefore w:val="0"/>
        <w:kinsoku/>
        <w:wordWrap/>
        <w:overflowPunct/>
        <w:topLinePunct w:val="0"/>
        <w:bidi w:val="0"/>
        <w:snapToGrid/>
        <w:spacing w:before="0" w:beforeAutospacing="0" w:after="0" w:afterAutospacing="0" w:line="360" w:lineRule="auto"/>
        <w:ind w:right="0" w:firstLine="482" w:firstLineChars="200"/>
        <w:rPr>
          <w:rFonts w:hint="eastAsia" w:ascii="仿宋" w:hAnsi="仿宋" w:eastAsia="仿宋" w:cs="仿宋"/>
          <w:bCs w:val="0"/>
          <w:color w:val="000000"/>
          <w:sz w:val="24"/>
          <w:szCs w:val="24"/>
        </w:rPr>
      </w:pPr>
      <w:bookmarkStart w:id="220" w:name="_Toc183682432"/>
      <w:bookmarkEnd w:id="220"/>
      <w:bookmarkStart w:id="221" w:name="_Toc183582297"/>
      <w:bookmarkEnd w:id="221"/>
      <w:bookmarkStart w:id="222" w:name="_Toc208849022"/>
      <w:bookmarkEnd w:id="222"/>
      <w:bookmarkStart w:id="223" w:name="_Toc217446105"/>
      <w:bookmarkEnd w:id="223"/>
      <w:r>
        <w:rPr>
          <w:rFonts w:hint="eastAsia" w:ascii="仿宋" w:hAnsi="仿宋" w:eastAsia="仿宋" w:cs="仿宋"/>
          <w:bCs w:val="0"/>
          <w:color w:val="000000"/>
          <w:sz w:val="24"/>
          <w:szCs w:val="24"/>
        </w:rPr>
        <w:t xml:space="preserve">7. </w:t>
      </w:r>
      <w:r>
        <w:rPr>
          <w:rFonts w:hint="eastAsia" w:ascii="仿宋" w:hAnsi="仿宋" w:eastAsia="仿宋" w:cs="仿宋"/>
          <w:color w:val="000000"/>
          <w:sz w:val="24"/>
          <w:szCs w:val="24"/>
        </w:rPr>
        <w:t>评标专家在政府采购活动中承担以下义务：</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7.1 遵纪守法，客观、公正、廉洁地履行职责。</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7.2 按照政府采购法律法规和采购文件的规定要求对供应商的资格条件和供应商提供的产品价格、技术、服务等方面严格进行评判，提供科学合理、公平公正的评审意见，参与起草评审报告，并予签字确认。</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7.3 保守秘密。不得透露采购文件咨询情况，不得泄漏供应商的</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及知悉的商业秘密，不得向供应商透露评审情况。</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7.4 发现供应商在政府采购活动中有不正当竞争或恶意串通等违规行为，及时向政府采购评审工作的组织者或财政部门报告并加以制止。</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发现采购人、政府采购代理机构及其工作人员在政府采购活动中有干预评审、发表倾向性和歧视性言论、受贿或者接受供应商的其他好处及其他违法违规行为，及时向财政部门报告。</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7.5 解答有关方面对政府采购评审工作中有关问题的询问，配合采购人或者政府采购代理机构答复供应商质疑，配合财政部门的投诉处理工作等事宜。</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7.6 法律、法规和规章规定的其他义务。</w:t>
      </w:r>
    </w:p>
    <w:p>
      <w:pPr>
        <w:pageBreakBefore w:val="0"/>
        <w:widowControl/>
        <w:kinsoku/>
        <w:wordWrap/>
        <w:overflowPunct/>
        <w:topLinePunct w:val="0"/>
        <w:autoSpaceDE w:val="0"/>
        <w:autoSpaceDN w:val="0"/>
        <w:bidi w:val="0"/>
        <w:snapToGrid/>
        <w:spacing w:beforeAutospacing="0" w:afterAutospacing="0" w:line="360" w:lineRule="auto"/>
        <w:ind w:right="0" w:firstLine="482" w:firstLineChars="200"/>
        <w:outlineLvl w:val="1"/>
        <w:rPr>
          <w:rFonts w:hint="eastAsia" w:ascii="仿宋" w:hAnsi="仿宋" w:eastAsia="仿宋" w:cs="仿宋"/>
          <w:b/>
          <w:color w:val="000000"/>
          <w:sz w:val="24"/>
          <w:szCs w:val="24"/>
        </w:rPr>
      </w:pPr>
      <w:r>
        <w:rPr>
          <w:rFonts w:hint="eastAsia" w:ascii="仿宋" w:hAnsi="仿宋" w:eastAsia="仿宋" w:cs="仿宋"/>
          <w:b/>
          <w:color w:val="000000"/>
          <w:sz w:val="24"/>
          <w:szCs w:val="24"/>
        </w:rPr>
        <w:t>8</w:t>
      </w:r>
      <w:r>
        <w:rPr>
          <w:rFonts w:hint="eastAsia" w:ascii="仿宋" w:hAnsi="仿宋" w:eastAsia="仿宋" w:cs="仿宋"/>
          <w:color w:val="000000"/>
          <w:sz w:val="24"/>
          <w:szCs w:val="24"/>
        </w:rPr>
        <w:t xml:space="preserve">. </w:t>
      </w:r>
      <w:r>
        <w:rPr>
          <w:rFonts w:hint="eastAsia" w:ascii="仿宋" w:hAnsi="仿宋" w:eastAsia="仿宋" w:cs="仿宋"/>
          <w:b/>
          <w:color w:val="000000"/>
          <w:sz w:val="24"/>
          <w:szCs w:val="24"/>
        </w:rPr>
        <w:t>评审专家在政府采购活动中应当遵守以下工作纪律：</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8.1 应邀按时参加评审和咨询活动。遇特殊情况不能出席或途中遇阻不能按时参加评审或咨询的，应及时告知财政部门或者采购人或者政府采购代理机构，不得私自转托他人。</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8.2 不得参加与自己有利害关系的政府采购项目的评审活动。对与自己有利害关系的评审项目，如受到邀请，应主动提出回避。财政部门、采购人或政府采购代理机构也可要求该评审专家回避。</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8.3 评审或咨询过程中关闭通讯设备，不得与外界联系。因发生不可预见情况，确实需要与外界联系的，应当有在场工作人员陪同。</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8.4 评审过程中，不得发表影响评审公正的倾向性、歧视性言论；不得征询或者接受采购人的倾向性意见；不得以任何明示或暗示的方式要求参加该采购项目的供应商以澄清、说明或补正为借口，表达与其原</w:t>
      </w:r>
      <w:r>
        <w:rPr>
          <w:rFonts w:hint="eastAsia" w:ascii="仿宋" w:hAnsi="仿宋" w:eastAsia="仿宋" w:cs="仿宋"/>
          <w:color w:val="000000"/>
          <w:sz w:val="24"/>
          <w:szCs w:val="24"/>
          <w:lang w:eastAsia="zh-CN"/>
        </w:rPr>
        <w:t>响应文件</w:t>
      </w:r>
      <w:r>
        <w:rPr>
          <w:rFonts w:hint="eastAsia" w:ascii="仿宋" w:hAnsi="仿宋" w:eastAsia="仿宋" w:cs="仿宋"/>
          <w:color w:val="000000"/>
          <w:sz w:val="24"/>
          <w:szCs w:val="24"/>
        </w:rPr>
        <w:t>原意不同的新意见；不得以采购文件没有规定的方法和标准作为评审的依据；不得违反规定的评审格式评分和撰写评审意见；不得拒绝对自己的评审意见签字确认。</w:t>
      </w:r>
    </w:p>
    <w:p>
      <w:pPr>
        <w:pageBreakBefore w:val="0"/>
        <w:widowControl/>
        <w:kinsoku/>
        <w:wordWrap/>
        <w:overflowPunct/>
        <w:topLinePunct w:val="0"/>
        <w:autoSpaceDE w:val="0"/>
        <w:autoSpaceDN w:val="0"/>
        <w:bidi w:val="0"/>
        <w:snapToGrid/>
        <w:spacing w:beforeAutospacing="0" w:afterAutospacing="0" w:line="360" w:lineRule="auto"/>
        <w:ind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8.5 在咨询工作中，严格执行国家产业政策和产品标准，认真听取咨询方的合理要求，提出科学合理的、无倾向性和歧视性的咨询方案，并对所提出的意见和建议承担个人责任。</w:t>
      </w:r>
    </w:p>
    <w:p>
      <w:pPr>
        <w:pStyle w:val="17"/>
        <w:keepNext/>
        <w:keepLines/>
        <w:pageBreakBefore w:val="0"/>
        <w:widowControl w:val="0"/>
        <w:kinsoku/>
        <w:wordWrap/>
        <w:overflowPunct/>
        <w:topLinePunct w:val="0"/>
        <w:autoSpaceDE/>
        <w:autoSpaceDN/>
        <w:bidi w:val="0"/>
        <w:snapToGrid/>
        <w:spacing w:before="0" w:beforeAutospacing="0" w:after="340" w:afterAutospacing="0" w:line="579" w:lineRule="auto"/>
        <w:jc w:val="center"/>
        <w:rPr>
          <w:rFonts w:hint="eastAsia" w:ascii="仿宋" w:hAnsi="仿宋" w:eastAsia="仿宋" w:cs="仿宋"/>
          <w:b w:val="0"/>
          <w:bCs w:val="0"/>
          <w:color w:val="000000"/>
          <w:sz w:val="24"/>
        </w:rPr>
      </w:pPr>
      <w:bookmarkStart w:id="224" w:name="_Toc26290"/>
      <w:bookmarkEnd w:id="224"/>
      <w:bookmarkStart w:id="225" w:name="_Toc19219"/>
      <w:bookmarkEnd w:id="225"/>
      <w:bookmarkStart w:id="226" w:name="_Toc20328_WPSOffice_Level1"/>
      <w:bookmarkEnd w:id="226"/>
      <w:r>
        <w:rPr>
          <w:rFonts w:hint="eastAsia" w:ascii="仿宋" w:hAnsi="仿宋" w:eastAsia="仿宋" w:cs="仿宋"/>
          <w:b w:val="0"/>
          <w:bCs w:val="0"/>
          <w:color w:val="000000"/>
          <w:sz w:val="24"/>
        </w:rPr>
        <w:br w:type="page"/>
      </w:r>
      <w:bookmarkStart w:id="227" w:name="_Toc81"/>
      <w:r>
        <w:rPr>
          <w:rFonts w:hint="eastAsia" w:ascii="仿宋" w:hAnsi="仿宋" w:eastAsia="仿宋" w:cs="仿宋"/>
          <w:color w:val="000000"/>
          <w:sz w:val="36"/>
          <w:szCs w:val="36"/>
        </w:rPr>
        <w:t>第</w:t>
      </w:r>
      <w:r>
        <w:rPr>
          <w:rFonts w:hint="eastAsia" w:ascii="仿宋" w:hAnsi="仿宋" w:eastAsia="仿宋" w:cs="仿宋"/>
          <w:color w:val="000000"/>
          <w:sz w:val="36"/>
          <w:szCs w:val="36"/>
          <w:lang w:val="en-US" w:eastAsia="zh-CN"/>
        </w:rPr>
        <w:t>七</w:t>
      </w:r>
      <w:r>
        <w:rPr>
          <w:rFonts w:hint="eastAsia" w:ascii="仿宋" w:hAnsi="仿宋" w:eastAsia="仿宋" w:cs="仿宋"/>
          <w:color w:val="000000"/>
          <w:sz w:val="36"/>
          <w:szCs w:val="36"/>
        </w:rPr>
        <w:t>章  合同主要条款</w:t>
      </w:r>
      <w:bookmarkEnd w:id="227"/>
    </w:p>
    <w:p>
      <w:pPr>
        <w:pStyle w:val="4"/>
        <w:spacing w:before="200" w:beforeAutospacing="0" w:after="200" w:afterAutospacing="0" w:line="360" w:lineRule="auto"/>
        <w:jc w:val="center"/>
        <w:rPr>
          <w:rFonts w:hint="eastAsia" w:ascii="仿宋" w:hAnsi="仿宋" w:eastAsia="仿宋" w:cs="仿宋"/>
          <w:sz w:val="24"/>
          <w:szCs w:val="24"/>
        </w:rPr>
      </w:pPr>
      <w:bookmarkStart w:id="228" w:name="_Toc31264"/>
      <w:r>
        <w:rPr>
          <w:rFonts w:hint="eastAsia" w:ascii="仿宋" w:hAnsi="仿宋" w:eastAsia="仿宋" w:cs="仿宋"/>
          <w:kern w:val="2"/>
          <w:sz w:val="24"/>
          <w:szCs w:val="24"/>
        </w:rPr>
        <w:t>合同条款</w:t>
      </w:r>
      <w:bookmarkEnd w:id="228"/>
    </w:p>
    <w:p>
      <w:pPr>
        <w:spacing w:beforeAutospacing="0" w:afterAutospacing="0" w:line="440" w:lineRule="exact"/>
        <w:jc w:val="center"/>
        <w:rPr>
          <w:rFonts w:hint="eastAsia" w:ascii="仿宋" w:hAnsi="仿宋" w:eastAsia="仿宋" w:cs="仿宋"/>
          <w:b/>
          <w:kern w:val="2"/>
          <w:sz w:val="24"/>
          <w:szCs w:val="24"/>
          <w:u w:val="none"/>
        </w:rPr>
      </w:pPr>
      <w:r>
        <w:rPr>
          <w:rFonts w:hint="eastAsia" w:ascii="仿宋" w:hAnsi="仿宋" w:eastAsia="仿宋" w:cs="仿宋"/>
          <w:b/>
          <w:bCs/>
          <w:kern w:val="2"/>
          <w:sz w:val="24"/>
          <w:szCs w:val="24"/>
          <w:u w:val="none"/>
        </w:rPr>
        <w:t>(合同具体条款以双方最终签订的为准) 。</w:t>
      </w:r>
    </w:p>
    <w:p>
      <w:pPr>
        <w:spacing w:beforeAutospacing="0" w:afterAutospacing="0" w:line="440" w:lineRule="exact"/>
        <w:jc w:val="center"/>
        <w:rPr>
          <w:rFonts w:hint="eastAsia" w:ascii="仿宋" w:hAnsi="仿宋" w:eastAsia="仿宋" w:cs="仿宋"/>
          <w:b/>
          <w:kern w:val="2"/>
          <w:sz w:val="24"/>
          <w:szCs w:val="24"/>
          <w:u w:val="none"/>
        </w:rPr>
      </w:pPr>
      <w:r>
        <w:rPr>
          <w:rFonts w:hint="eastAsia" w:ascii="仿宋" w:hAnsi="仿宋" w:eastAsia="仿宋" w:cs="仿宋"/>
          <w:b/>
          <w:bCs/>
          <w:kern w:val="2"/>
          <w:sz w:val="24"/>
          <w:szCs w:val="24"/>
          <w:u w:val="none"/>
        </w:rPr>
        <w:t>(此合同样本仅供参考,合同具体条款以双方最终签订的为准) 。</w:t>
      </w:r>
    </w:p>
    <w:p>
      <w:pPr>
        <w:spacing w:beforeAutospacing="0" w:afterAutospacing="0" w:line="440" w:lineRule="exact"/>
        <w:ind w:firstLine="480" w:firstLineChars="200"/>
        <w:jc w:val="center"/>
        <w:rPr>
          <w:rFonts w:hint="eastAsia" w:ascii="仿宋" w:hAnsi="仿宋" w:eastAsia="仿宋" w:cs="仿宋"/>
          <w:kern w:val="2"/>
          <w:sz w:val="24"/>
          <w:szCs w:val="24"/>
        </w:rPr>
      </w:pPr>
    </w:p>
    <w:p>
      <w:pPr>
        <w:widowControl w:val="0"/>
        <w:autoSpaceDE w:val="0"/>
        <w:autoSpaceDN w:val="0"/>
        <w:adjustRightInd w:val="0"/>
        <w:spacing w:line="380" w:lineRule="exact"/>
        <w:rPr>
          <w:rFonts w:hint="eastAsia" w:ascii="仿宋" w:hAnsi="仿宋" w:eastAsia="仿宋" w:cs="仿宋"/>
          <w:b/>
          <w:color w:val="auto"/>
          <w:sz w:val="24"/>
          <w:szCs w:val="24"/>
          <w:lang w:val="en-US" w:eastAsia="zh-CN" w:bidi="ar-SA"/>
        </w:rPr>
      </w:pPr>
      <w:r>
        <w:rPr>
          <w:rFonts w:hint="eastAsia" w:ascii="仿宋" w:hAnsi="仿宋" w:eastAsia="仿宋" w:cs="仿宋"/>
          <w:b/>
          <w:color w:val="auto"/>
          <w:sz w:val="24"/>
          <w:szCs w:val="24"/>
          <w:lang w:val="en-US" w:eastAsia="zh-CN" w:bidi="ar-SA"/>
        </w:rPr>
        <w:t>重要说明：采购人在签订合同前有权依据采购文件要求和项目实际情况对以下合同内容进行删改或补充。</w:t>
      </w:r>
    </w:p>
    <w:p>
      <w:pPr>
        <w:widowControl w:val="0"/>
        <w:shd w:val="clear" w:color="auto" w:fill="FFFFFF"/>
        <w:spacing w:before="4" w:beforeAutospacing="0" w:after="0" w:afterAutospacing="0" w:line="40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甲方：__________________</w:t>
      </w:r>
    </w:p>
    <w:p>
      <w:pPr>
        <w:widowControl w:val="0"/>
        <w:shd w:val="clear" w:color="auto" w:fill="FFFFFF"/>
        <w:spacing w:before="4" w:beforeAutospacing="0" w:after="0" w:afterAutospacing="0" w:line="40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法定代表人：____________</w:t>
      </w:r>
    </w:p>
    <w:p>
      <w:pPr>
        <w:widowControl w:val="0"/>
        <w:shd w:val="clear" w:color="auto" w:fill="FFFFFF"/>
        <w:spacing w:before="4" w:beforeAutospacing="0" w:after="0" w:afterAutospacing="0" w:line="40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住址：______________________________________________________ </w:t>
      </w:r>
    </w:p>
    <w:p>
      <w:pPr>
        <w:widowControl w:val="0"/>
        <w:shd w:val="clear" w:color="auto" w:fill="FFFFFF"/>
        <w:spacing w:before="4" w:beforeAutospacing="0" w:after="0" w:afterAutospacing="0" w:line="40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联系电话：______________</w:t>
      </w:r>
    </w:p>
    <w:p>
      <w:pPr>
        <w:widowControl w:val="0"/>
        <w:shd w:val="clear" w:color="auto" w:fill="FFFFFF"/>
        <w:spacing w:before="4" w:beforeAutospacing="0" w:after="0" w:afterAutospacing="0" w:line="40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乙方：__________________</w:t>
      </w:r>
    </w:p>
    <w:p>
      <w:pPr>
        <w:widowControl w:val="0"/>
        <w:shd w:val="clear" w:color="auto" w:fill="FFFFFF"/>
        <w:spacing w:before="4" w:beforeAutospacing="0" w:after="0" w:afterAutospacing="0" w:line="40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法定代表人：____________</w:t>
      </w:r>
    </w:p>
    <w:p>
      <w:pPr>
        <w:widowControl w:val="0"/>
        <w:shd w:val="clear" w:color="auto" w:fill="FFFFFF"/>
        <w:spacing w:before="4" w:beforeAutospacing="0" w:after="0" w:afterAutospacing="0" w:line="40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住址：______________________________________________________ </w:t>
      </w:r>
    </w:p>
    <w:p>
      <w:pPr>
        <w:widowControl w:val="0"/>
        <w:shd w:val="clear" w:color="auto" w:fill="FFFFFF"/>
        <w:spacing w:before="4" w:beforeAutospacing="0" w:after="0" w:afterAutospacing="0" w:line="40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联系电话：______________</w:t>
      </w:r>
    </w:p>
    <w:p>
      <w:pPr>
        <w:spacing w:beforeAutospacing="0" w:afterAutospacing="0" w:line="400" w:lineRule="exact"/>
        <w:ind w:firstLine="480" w:firstLineChars="20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根据《中华人民共和国政府采购法》、《中华人民共和国民法典》等相关法律法规之规定，按照平等、自愿、公平和诚实信用的原则，经</w:t>
      </w:r>
      <w:r>
        <w:rPr>
          <w:rFonts w:hint="eastAsia" w:ascii="仿宋" w:hAnsi="仿宋" w:eastAsia="仿宋" w:cs="仿宋"/>
          <w:kern w:val="2"/>
          <w:sz w:val="24"/>
          <w:szCs w:val="24"/>
          <w:u w:val="single"/>
        </w:rPr>
        <w:t xml:space="preserve">   （采购人名称）   </w:t>
      </w:r>
      <w:r>
        <w:rPr>
          <w:rFonts w:hint="eastAsia" w:ascii="仿宋" w:hAnsi="仿宋" w:eastAsia="仿宋" w:cs="仿宋"/>
          <w:kern w:val="2"/>
          <w:sz w:val="24"/>
          <w:szCs w:val="24"/>
          <w:lang w:val="zh-CN"/>
        </w:rPr>
        <w:t>(以下简称：甲方)和</w:t>
      </w:r>
      <w:r>
        <w:rPr>
          <w:rFonts w:hint="eastAsia" w:ascii="仿宋" w:hAnsi="仿宋" w:eastAsia="仿宋" w:cs="仿宋"/>
          <w:kern w:val="2"/>
          <w:sz w:val="24"/>
          <w:szCs w:val="24"/>
          <w:u w:val="single"/>
        </w:rPr>
        <w:t xml:space="preserve">   （中标供应商名称）   </w:t>
      </w:r>
      <w:r>
        <w:rPr>
          <w:rFonts w:hint="eastAsia" w:ascii="仿宋" w:hAnsi="仿宋" w:eastAsia="仿宋" w:cs="仿宋"/>
          <w:kern w:val="2"/>
          <w:sz w:val="24"/>
          <w:szCs w:val="24"/>
          <w:lang w:val="zh-CN"/>
        </w:rPr>
        <w:t>(以下简称：乙方)协商一致就</w:t>
      </w:r>
      <w:r>
        <w:rPr>
          <w:rFonts w:hint="eastAsia" w:ascii="仿宋" w:hAnsi="仿宋" w:eastAsia="仿宋" w:cs="仿宋"/>
          <w:kern w:val="2"/>
          <w:sz w:val="24"/>
          <w:szCs w:val="24"/>
          <w:u w:val="single"/>
          <w:lang w:val="zh-CN"/>
        </w:rPr>
        <w:t>XXXXX</w:t>
      </w:r>
      <w:r>
        <w:rPr>
          <w:rFonts w:hint="eastAsia" w:ascii="仿宋" w:hAnsi="仿宋" w:eastAsia="仿宋" w:cs="仿宋"/>
          <w:kern w:val="2"/>
          <w:sz w:val="24"/>
          <w:szCs w:val="24"/>
          <w:lang w:val="zh-CN"/>
        </w:rPr>
        <w:t>项目采购结果，约定以下合同</w:t>
      </w:r>
      <w:r>
        <w:rPr>
          <w:rFonts w:hint="eastAsia" w:ascii="仿宋" w:hAnsi="仿宋" w:eastAsia="仿宋" w:cs="仿宋"/>
          <w:kern w:val="2"/>
          <w:sz w:val="24"/>
          <w:szCs w:val="24"/>
        </w:rPr>
        <w:t>条款，以兹共同遵守、全面履行。</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一、服务内容</w:t>
      </w:r>
    </w:p>
    <w:p>
      <w:pPr>
        <w:widowControl/>
        <w:snapToGrid w:val="0"/>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 项目名称：</w:t>
      </w:r>
    </w:p>
    <w:p>
      <w:pPr>
        <w:widowControl/>
        <w:snapToGrid w:val="0"/>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1.2 项目范围： </w:t>
      </w:r>
    </w:p>
    <w:p>
      <w:pPr>
        <w:widowControl/>
        <w:snapToGrid w:val="0"/>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 数量（单位）：</w:t>
      </w:r>
    </w:p>
    <w:p>
      <w:pPr>
        <w:widowControl/>
        <w:snapToGrid w:val="0"/>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 工期：</w:t>
      </w:r>
    </w:p>
    <w:p>
      <w:pPr>
        <w:widowControl/>
        <w:snapToGrid w:val="0"/>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1.5 服务目标：  </w:t>
      </w:r>
    </w:p>
    <w:p>
      <w:pPr>
        <w:widowControl/>
        <w:snapToGrid w:val="0"/>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1.6其他：</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二、质量和验收标准</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乙方供应的设备和提供的服务，有国家强制性标准的，应当符合国家强制性标准，没有强制性标准的，应符合国家推荐标准，没有国家推荐标准的，适用行业标准及厂家标准、合同要求，同时存在以上标准的，按最严格的标准执行；没有以上标准的，按实现甲方合同目的或者符合本合同目的和采购文件约定的特定标准确定。</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三、合同金额</w:t>
      </w:r>
    </w:p>
    <w:p>
      <w:pPr>
        <w:widowControl/>
        <w:snapToGrid w:val="0"/>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3.1 本合同金额为（大写）：__________元（_________元）人民币。</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双方明确，上述费用总额包括乙方按照投标书和本合同约定，完成全部产品和服务供给，达到双方约定的质量标准，经甲方验收合格，发生的全部费用支出。包括设备采购款、税费等一切与本项目的相关费用、提供质量保证和后期服务发生的人工费、材料费等与乙方完成本合同全部义务有关的所有费用支出以及合理利润，除上述费用外，如无其他书面约定，甲方不再向乙方支付其他任何费用支出。</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四、技术资料</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4.1乙方应按采购文件规定的时间向甲方提供服务及相关的技术资料。</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五、知识产权</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5.1乙方应保证甲方在使用、接受本合同服务或其任何一部分时不受第三方提出侵犯其专利权、版权、商标权和工业设计权等知识产权的起诉。一旦出现侵权，由乙方负责处理并承担全部责任，因此给甲方造成名誉和经济利益损失的，由乙方承担全部赔偿责任。</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六、产权担保</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6.1 乙方保证所交付的产品的所有权完全属于乙方且无任何抵押、查封等产权瑕疵。</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七、转包或分包</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7.1本合同范围的产品及服务，应由乙方直接供应，不得转让他人供应；</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7.2 除非得到甲方的书面同意，乙方不得部分分包给他人供应。</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7.3乙方如有转让和未经甲方书面同意的转包和分包行为，甲方有权终止合同，并要求乙方按照本合同约定承担违约责任。</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八、质保期</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8.1 质保期</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年。（自交货验收合格之日起计）</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8.2双方明确，本合同约定的质量保证期低于国家法律法规或者行业规范要求的质量保证期的，以国家法律法规或者行业规范要求的质量保证期为准。</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九、服务期及服务地点</w:t>
      </w:r>
    </w:p>
    <w:p>
      <w:pPr>
        <w:widowControl/>
        <w:snapToGrid w:val="0"/>
        <w:spacing w:before="120" w:beforeAutospacing="0" w:after="120" w:afterAutospacing="0" w:line="240" w:lineRule="auto"/>
        <w:ind w:firstLine="480" w:firstLineChars="200"/>
        <w:jc w:val="left"/>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9.1 服务周期：</w:t>
      </w:r>
      <w:r>
        <w:rPr>
          <w:rFonts w:hint="eastAsia" w:ascii="仿宋" w:hAnsi="仿宋" w:eastAsia="仿宋" w:cs="仿宋"/>
          <w:kern w:val="2"/>
          <w:sz w:val="24"/>
          <w:szCs w:val="24"/>
          <w:u w:val="single"/>
          <w:lang w:val="en-US" w:eastAsia="zh-CN" w:bidi="ar-SA"/>
        </w:rPr>
        <w:t xml:space="preserve"> 乙方在收到甲方全部款项后开始设计工作，设计方案签字确定后于30个工作日内完成制作安装工作。</w:t>
      </w:r>
    </w:p>
    <w:p>
      <w:pPr>
        <w:widowControl/>
        <w:snapToGrid w:val="0"/>
        <w:spacing w:before="120" w:beforeAutospacing="0" w:after="120" w:afterAutospacing="0" w:line="240" w:lineRule="auto"/>
        <w:ind w:firstLine="480"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Cs/>
          <w:kern w:val="2"/>
          <w:sz w:val="24"/>
          <w:szCs w:val="24"/>
          <w:lang w:val="en-US" w:eastAsia="zh-CN" w:bidi="ar-SA"/>
        </w:rPr>
        <w:t>9.2 服务地点：</w:t>
      </w:r>
      <w:r>
        <w:rPr>
          <w:rFonts w:hint="eastAsia" w:ascii="仿宋" w:hAnsi="仿宋" w:eastAsia="仿宋" w:cs="仿宋"/>
          <w:kern w:val="2"/>
          <w:sz w:val="24"/>
          <w:szCs w:val="24"/>
          <w:u w:val="single"/>
          <w:lang w:val="en-US" w:eastAsia="zh-CN" w:bidi="ar-SA"/>
        </w:rPr>
        <w:t xml:space="preserve">    。</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十、付款支付</w:t>
      </w:r>
    </w:p>
    <w:p>
      <w:pPr>
        <w:widowControl/>
        <w:snapToGrid w:val="0"/>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bCs/>
          <w:kern w:val="2"/>
          <w:sz w:val="24"/>
          <w:szCs w:val="24"/>
          <w:lang w:val="en-US" w:eastAsia="zh-CN" w:bidi="ar-SA"/>
        </w:rPr>
        <w:t>10.1 采购资金的支付方式、时间及条件：</w:t>
      </w:r>
      <w:r>
        <w:rPr>
          <w:rFonts w:hint="eastAsia" w:ascii="仿宋" w:hAnsi="仿宋" w:eastAsia="仿宋" w:cs="仿宋"/>
          <w:bCs/>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（1）甲方于合同签订并收到乙方开具的发票后</w:t>
      </w:r>
      <w:r>
        <w:rPr>
          <w:rFonts w:hint="eastAsia" w:ascii="仿宋" w:hAnsi="仿宋" w:eastAsia="仿宋" w:cs="仿宋"/>
          <w:kern w:val="2"/>
          <w:sz w:val="24"/>
          <w:szCs w:val="24"/>
          <w:u w:val="single"/>
          <w:lang w:val="en-US" w:eastAsia="zh-CN" w:bidi="ar-SA"/>
        </w:rPr>
        <w:t xml:space="preserve">  5  </w:t>
      </w:r>
      <w:r>
        <w:rPr>
          <w:rFonts w:hint="eastAsia" w:ascii="仿宋" w:hAnsi="仿宋" w:eastAsia="仿宋" w:cs="仿宋"/>
          <w:kern w:val="2"/>
          <w:sz w:val="24"/>
          <w:szCs w:val="24"/>
          <w:lang w:val="en-US" w:eastAsia="zh-CN" w:bidi="ar-SA"/>
        </w:rPr>
        <w:t>个工作日内，支付乙方合同金额的</w:t>
      </w:r>
      <w:r>
        <w:rPr>
          <w:rFonts w:hint="eastAsia" w:ascii="仿宋" w:hAnsi="仿宋" w:eastAsia="仿宋" w:cs="仿宋"/>
          <w:kern w:val="2"/>
          <w:sz w:val="24"/>
          <w:szCs w:val="24"/>
          <w:u w:val="single"/>
          <w:lang w:val="en-US" w:eastAsia="zh-CN" w:bidi="ar-SA"/>
        </w:rPr>
        <w:t xml:space="preserve"> 100  </w:t>
      </w:r>
      <w:r>
        <w:rPr>
          <w:rFonts w:hint="eastAsia" w:ascii="仿宋" w:hAnsi="仿宋" w:eastAsia="仿宋" w:cs="仿宋"/>
          <w:kern w:val="2"/>
          <w:sz w:val="24"/>
          <w:szCs w:val="24"/>
          <w:lang w:val="en-US" w:eastAsia="zh-CN" w:bidi="ar-SA"/>
        </w:rPr>
        <w:t>%，即￥</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元（大写:人民币</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元整)；</w:t>
      </w:r>
    </w:p>
    <w:p>
      <w:pPr>
        <w:widowControl/>
        <w:snapToGrid w:val="0"/>
        <w:spacing w:before="40" w:beforeAutospacing="0" w:after="40" w:afterAutospacing="0" w:line="400" w:lineRule="exact"/>
        <w:ind w:firstLine="480" w:firstLineChars="200"/>
        <w:jc w:val="left"/>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10.2</w:t>
      </w:r>
      <w:r>
        <w:rPr>
          <w:rFonts w:hint="eastAsia" w:ascii="仿宋" w:hAnsi="仿宋" w:eastAsia="仿宋" w:cs="仿宋"/>
          <w:kern w:val="2"/>
          <w:sz w:val="24"/>
          <w:szCs w:val="24"/>
          <w:lang w:val="en-US" w:eastAsia="zh-CN" w:bidi="ar-SA"/>
        </w:rPr>
        <w:t>当采购数量与实际使用数量不一致时，乙方应根据实际使用情况进行供货及服务，合同的最终结算金额按实际使用量乘以成交单价进行计算。</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十一、税费</w:t>
      </w:r>
    </w:p>
    <w:p>
      <w:pPr>
        <w:widowControl/>
        <w:snapToGrid w:val="0"/>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11.1本合同执行中相关的一切税费均由乙方负担。</w:t>
      </w:r>
    </w:p>
    <w:p>
      <w:pPr>
        <w:widowControl/>
        <w:snapToGrid w:val="0"/>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11.2本合同履行过程，乙方向甲方申请支付合同款项，需先向甲方提供符合甲方财务要求的正规税务发票，并对发票的真实性、合法性承担责任。如乙方未向甲方提供发票，甲方有权拒付项目款项并不承担任何违约责任。</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十二、违约责任</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12.1 乙方提供的服务不符合采购文件、报价文件或本合同规定的，甲方有权拒收，并且乙方须向甲方支付本合同总价</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%的违约金。</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12.2乙方未能按本合同规定的服务时间提供服务，从逾期之日起每日按本合同总价</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%的数额向甲方支付违约金；逾期半个月以上的，甲方有权终止合同，由此造成的甲方经济损失由乙方承担。</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12.3未经甲方同意乙方不得私自将该服务转包第三方完成。如私自转包，则处本合同总价</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%的违约金。</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12.4 甲方无正当理由拒绝接受服务，到期拒付服务款项的，甲方向乙方偿付本合同总价的</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%的违约金。甲方逾期付款，则每日按逾期金额的</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%向乙方偿付违约金。</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12.5其它违约责任按《中华人民共和国民法典》有关条文处理。</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十三、不可抗力事件处理</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13.1 在合同有效期内，任何一方因不可抗力事件导致不能履行合同，则合同履行期可延长，其延长期与不可抗力影响期相同。</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13.2 不可抗力事件发生后，应立即通知对方，并寄送有关权威机构出具的证明。</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13.3 不可抗力事件延续120天以上，双方应通过友好协商，确定是否继续履行合同。</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十四、通知送达条款</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14.1本合同载明的双方地址、电话、邮箱等联系方式，系双方的有效联系方式，如发生变更，应提前3日书面告知对方。否则一方按照本合同约定联系方式或双方工商登记备案的地址、邮箱等任一联系方式给另一方发出相关文书（包括诉讼、仲裁各阶段相关法律文书）的，邮政信函于投寄之日起第三日或退回之日即视为已送达；派人专程递送的，签收日视为送达；以邮箱、彩信、短信及其他方式发出的，发出之日即视为送达。</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十五、诉讼</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15.1 双方在执行合同中所发生的一切争议，应通过协商解决。如协商不成，可向合同签订地法院起诉，合同签订地在此约定为</w:t>
      </w:r>
      <w:r>
        <w:rPr>
          <w:rFonts w:hint="eastAsia" w:ascii="仿宋" w:hAnsi="仿宋" w:eastAsia="仿宋" w:cs="仿宋"/>
          <w:kern w:val="2"/>
          <w:sz w:val="24"/>
          <w:szCs w:val="24"/>
          <w:u w:val="single"/>
          <w:lang w:val="en-US" w:eastAsia="zh-CN" w:bidi="ar-SA"/>
        </w:rPr>
        <w:t>乌鲁木齐市</w:t>
      </w:r>
      <w:r>
        <w:rPr>
          <w:rFonts w:hint="eastAsia" w:ascii="仿宋" w:hAnsi="仿宋" w:eastAsia="仿宋" w:cs="仿宋"/>
          <w:kern w:val="2"/>
          <w:sz w:val="24"/>
          <w:szCs w:val="24"/>
          <w:lang w:val="en-US" w:eastAsia="zh-CN" w:bidi="ar-SA"/>
        </w:rPr>
        <w:t>。</w:t>
      </w:r>
    </w:p>
    <w:p>
      <w:pPr>
        <w:widowControl/>
        <w:snapToGrid w:val="0"/>
        <w:spacing w:before="120" w:beforeAutospacing="0" w:after="120" w:afterAutospacing="0" w:line="240" w:lineRule="auto"/>
        <w:ind w:firstLine="482" w:firstLineChars="200"/>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十六、合同生效及其它</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16.1合同经双方法定代表人或授权委托代表人签字并加盖单位公章后生效。</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16.2本合同未尽事宜，遵照《中华人民共和国民法典》有关条文执行。</w:t>
      </w:r>
    </w:p>
    <w:p>
      <w:pPr>
        <w:widowControl/>
        <w:spacing w:before="40" w:beforeAutospacing="0" w:after="40" w:afterAutospacing="0" w:line="400" w:lineRule="exact"/>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16.3本合同正本一式</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份，具有同等法律效力，甲方、乙方各执</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kern w:val="2"/>
          <w:sz w:val="24"/>
          <w:szCs w:val="24"/>
          <w:lang w:val="en-US" w:eastAsia="zh-CN" w:bidi="ar-SA"/>
        </w:rPr>
        <w:t>份。</w:t>
      </w:r>
    </w:p>
    <w:p>
      <w:pPr>
        <w:widowControl w:val="0"/>
        <w:spacing w:beforeAutospacing="0" w:after="120" w:afterAutospacing="0" w:line="240" w:lineRule="auto"/>
        <w:ind w:left="680" w:leftChars="200" w:firstLine="480" w:firstLineChars="200"/>
        <w:jc w:val="both"/>
        <w:rPr>
          <w:rFonts w:hint="eastAsia" w:ascii="仿宋" w:hAnsi="仿宋" w:eastAsia="仿宋" w:cs="仿宋"/>
          <w:color w:val="auto"/>
          <w:kern w:val="2"/>
          <w:sz w:val="24"/>
          <w:szCs w:val="24"/>
          <w:lang w:val="en-US" w:eastAsia="zh-CN" w:bidi="ar-SA"/>
        </w:rPr>
      </w:pPr>
    </w:p>
    <w:tbl>
      <w:tblPr>
        <w:tblStyle w:val="13"/>
        <w:tblW w:w="8188" w:type="dxa"/>
        <w:tblInd w:w="0" w:type="dxa"/>
        <w:tblLayout w:type="autofit"/>
        <w:tblCellMar>
          <w:top w:w="0" w:type="dxa"/>
          <w:left w:w="108" w:type="dxa"/>
          <w:bottom w:w="0" w:type="dxa"/>
          <w:right w:w="108" w:type="dxa"/>
        </w:tblCellMar>
      </w:tblPr>
      <w:tblGrid>
        <w:gridCol w:w="4219"/>
        <w:gridCol w:w="3969"/>
      </w:tblGrid>
      <w:tr>
        <w:tblPrEx>
          <w:tblCellMar>
            <w:top w:w="0" w:type="dxa"/>
            <w:left w:w="108" w:type="dxa"/>
            <w:bottom w:w="0" w:type="dxa"/>
            <w:right w:w="108" w:type="dxa"/>
          </w:tblCellMar>
        </w:tblPrEx>
        <w:tc>
          <w:tcPr>
            <w:tcW w:w="421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委托方（盖章）：</w:t>
            </w:r>
          </w:p>
        </w:tc>
        <w:tc>
          <w:tcPr>
            <w:tcW w:w="396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受托方（盖章）：</w:t>
            </w:r>
          </w:p>
        </w:tc>
      </w:tr>
      <w:tr>
        <w:tblPrEx>
          <w:tblCellMar>
            <w:top w:w="0" w:type="dxa"/>
            <w:left w:w="108" w:type="dxa"/>
            <w:bottom w:w="0" w:type="dxa"/>
            <w:right w:w="108" w:type="dxa"/>
          </w:tblCellMar>
        </w:tblPrEx>
        <w:tc>
          <w:tcPr>
            <w:tcW w:w="421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法定代表人</w:t>
            </w:r>
          </w:p>
        </w:tc>
        <w:tc>
          <w:tcPr>
            <w:tcW w:w="396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法定代表人</w:t>
            </w:r>
          </w:p>
        </w:tc>
      </w:tr>
      <w:tr>
        <w:tblPrEx>
          <w:tblCellMar>
            <w:top w:w="0" w:type="dxa"/>
            <w:left w:w="108" w:type="dxa"/>
            <w:bottom w:w="0" w:type="dxa"/>
            <w:right w:w="108" w:type="dxa"/>
          </w:tblCellMar>
        </w:tblPrEx>
        <w:tc>
          <w:tcPr>
            <w:tcW w:w="421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或委托代理人：</w:t>
            </w:r>
          </w:p>
        </w:tc>
        <w:tc>
          <w:tcPr>
            <w:tcW w:w="396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或委托代理人：</w:t>
            </w:r>
          </w:p>
        </w:tc>
      </w:tr>
      <w:tr>
        <w:tblPrEx>
          <w:tblCellMar>
            <w:top w:w="0" w:type="dxa"/>
            <w:left w:w="108" w:type="dxa"/>
            <w:bottom w:w="0" w:type="dxa"/>
            <w:right w:w="108" w:type="dxa"/>
          </w:tblCellMar>
        </w:tblPrEx>
        <w:tc>
          <w:tcPr>
            <w:tcW w:w="421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签字地点：</w:t>
            </w:r>
          </w:p>
        </w:tc>
        <w:tc>
          <w:tcPr>
            <w:tcW w:w="396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签字地点：</w:t>
            </w:r>
          </w:p>
        </w:tc>
      </w:tr>
      <w:tr>
        <w:tblPrEx>
          <w:tblCellMar>
            <w:top w:w="0" w:type="dxa"/>
            <w:left w:w="108" w:type="dxa"/>
            <w:bottom w:w="0" w:type="dxa"/>
            <w:right w:w="108" w:type="dxa"/>
          </w:tblCellMar>
        </w:tblPrEx>
        <w:tc>
          <w:tcPr>
            <w:tcW w:w="421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经 办 人：</w:t>
            </w:r>
          </w:p>
        </w:tc>
        <w:tc>
          <w:tcPr>
            <w:tcW w:w="396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经 办 人：</w:t>
            </w:r>
          </w:p>
        </w:tc>
      </w:tr>
      <w:tr>
        <w:tblPrEx>
          <w:tblCellMar>
            <w:top w:w="0" w:type="dxa"/>
            <w:left w:w="108" w:type="dxa"/>
            <w:bottom w:w="0" w:type="dxa"/>
            <w:right w:w="108" w:type="dxa"/>
          </w:tblCellMar>
        </w:tblPrEx>
        <w:tc>
          <w:tcPr>
            <w:tcW w:w="421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开 户 名：</w:t>
            </w:r>
          </w:p>
        </w:tc>
        <w:tc>
          <w:tcPr>
            <w:tcW w:w="396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开 户 名：</w:t>
            </w:r>
          </w:p>
        </w:tc>
      </w:tr>
      <w:tr>
        <w:tblPrEx>
          <w:tblCellMar>
            <w:top w:w="0" w:type="dxa"/>
            <w:left w:w="108" w:type="dxa"/>
            <w:bottom w:w="0" w:type="dxa"/>
            <w:right w:w="108" w:type="dxa"/>
          </w:tblCellMar>
        </w:tblPrEx>
        <w:tc>
          <w:tcPr>
            <w:tcW w:w="421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开户银行：</w:t>
            </w:r>
          </w:p>
        </w:tc>
        <w:tc>
          <w:tcPr>
            <w:tcW w:w="396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开户银行：</w:t>
            </w:r>
          </w:p>
        </w:tc>
      </w:tr>
      <w:tr>
        <w:tblPrEx>
          <w:tblCellMar>
            <w:top w:w="0" w:type="dxa"/>
            <w:left w:w="108" w:type="dxa"/>
            <w:bottom w:w="0" w:type="dxa"/>
            <w:right w:w="108" w:type="dxa"/>
          </w:tblCellMar>
        </w:tblPrEx>
        <w:tc>
          <w:tcPr>
            <w:tcW w:w="421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银行账号：</w:t>
            </w:r>
          </w:p>
        </w:tc>
        <w:tc>
          <w:tcPr>
            <w:tcW w:w="3969" w:type="dxa"/>
            <w:noWrap w:val="0"/>
            <w:vAlign w:val="center"/>
          </w:tcPr>
          <w:p>
            <w:pPr>
              <w:spacing w:beforeAutospacing="0" w:afterAutospacing="0" w:line="500" w:lineRule="exact"/>
              <w:rPr>
                <w:rFonts w:hint="eastAsia" w:ascii="仿宋" w:hAnsi="仿宋" w:eastAsia="仿宋" w:cs="仿宋"/>
                <w:kern w:val="2"/>
                <w:sz w:val="24"/>
                <w:szCs w:val="24"/>
              </w:rPr>
            </w:pPr>
            <w:r>
              <w:rPr>
                <w:rFonts w:hint="eastAsia" w:ascii="仿宋" w:hAnsi="仿宋" w:eastAsia="仿宋" w:cs="仿宋"/>
                <w:kern w:val="2"/>
                <w:sz w:val="24"/>
                <w:szCs w:val="24"/>
              </w:rPr>
              <w:t>银行账号：</w:t>
            </w:r>
          </w:p>
        </w:tc>
      </w:tr>
      <w:tr>
        <w:tblPrEx>
          <w:tblCellMar>
            <w:top w:w="0" w:type="dxa"/>
            <w:left w:w="108" w:type="dxa"/>
            <w:bottom w:w="0" w:type="dxa"/>
            <w:right w:w="108" w:type="dxa"/>
          </w:tblCellMar>
        </w:tblPrEx>
        <w:trPr>
          <w:trHeight w:val="410" w:hRule="atLeast"/>
        </w:trPr>
        <w:tc>
          <w:tcPr>
            <w:tcW w:w="4219" w:type="dxa"/>
            <w:noWrap w:val="0"/>
            <w:vAlign w:val="center"/>
          </w:tcPr>
          <w:p>
            <w:pPr>
              <w:spacing w:beforeAutospacing="0" w:afterAutospacing="0" w:line="500" w:lineRule="exact"/>
              <w:jc w:val="left"/>
              <w:rPr>
                <w:rFonts w:hint="eastAsia" w:ascii="仿宋" w:hAnsi="仿宋" w:eastAsia="仿宋" w:cs="仿宋"/>
                <w:kern w:val="2"/>
                <w:sz w:val="24"/>
                <w:szCs w:val="24"/>
              </w:rPr>
            </w:pPr>
            <w:r>
              <w:rPr>
                <w:rFonts w:hint="eastAsia" w:ascii="仿宋" w:hAnsi="仿宋" w:eastAsia="仿宋" w:cs="仿宋"/>
                <w:kern w:val="2"/>
                <w:sz w:val="24"/>
                <w:szCs w:val="24"/>
              </w:rPr>
              <w:t>日    期： 20   年   月   日</w:t>
            </w:r>
          </w:p>
        </w:tc>
        <w:tc>
          <w:tcPr>
            <w:tcW w:w="3969" w:type="dxa"/>
            <w:noWrap w:val="0"/>
            <w:vAlign w:val="center"/>
          </w:tcPr>
          <w:p>
            <w:pPr>
              <w:spacing w:beforeAutospacing="0" w:afterAutospacing="0" w:line="500" w:lineRule="exact"/>
              <w:jc w:val="left"/>
              <w:rPr>
                <w:rFonts w:hint="eastAsia" w:ascii="仿宋" w:hAnsi="仿宋" w:eastAsia="仿宋" w:cs="仿宋"/>
                <w:kern w:val="2"/>
                <w:sz w:val="24"/>
                <w:szCs w:val="24"/>
              </w:rPr>
            </w:pPr>
            <w:r>
              <w:rPr>
                <w:rFonts w:hint="eastAsia" w:ascii="仿宋" w:hAnsi="仿宋" w:eastAsia="仿宋" w:cs="仿宋"/>
                <w:kern w:val="2"/>
                <w:sz w:val="24"/>
                <w:szCs w:val="24"/>
              </w:rPr>
              <w:t>日    期：20   年   月   日</w:t>
            </w:r>
          </w:p>
        </w:tc>
      </w:tr>
    </w:tbl>
    <w:p>
      <w:pPr>
        <w:pStyle w:val="26"/>
        <w:ind w:left="0" w:leftChars="0" w:firstLine="0" w:firstLineChars="0"/>
        <w:rPr>
          <w:rFonts w:hint="eastAsia" w:ascii="仿宋" w:hAnsi="仿宋" w:eastAsia="仿宋" w:cs="仿宋"/>
          <w:color w:val="000000"/>
          <w:kern w:val="2"/>
          <w:sz w:val="24"/>
          <w:szCs w:val="24"/>
          <w:lang w:val="en-US" w:eastAsia="zh-CN" w:bidi="ar-SA"/>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4153"/>
        <w:tab w:val="clear" w:pos="8306"/>
      </w:tabs>
      <w:jc w:val="both"/>
      <w:rPr>
        <w:rFonts w:hint="eastAsia" w:ascii="宋体" w:hAnsi="宋体" w:eastAsia="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4153"/>
        <w:tab w:val="clear" w:pos="8306"/>
      </w:tabs>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Bz6c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5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3gc+nLAQAAnAMAAA4AAAAAAAAAAQAgAAAAHgEAAGRycy9lMm9E&#10;b2MueG1sUEsFBgAAAAAGAAYAWQEAAFs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323"/>
      <w:rPr>
        <w:rFonts w:ascii="Times New Roman" w:hAnsi="Times New Roman" w:eastAsia="Times New Roman"/>
        <w:spacing w:val="2"/>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Cv6csBAACc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nhb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Lwr+nLAQAAnAMAAA4AAAAAAAAAAQAgAAAAHgEAAGRycy9lMm9E&#10;b2MueG1sUEsFBgAAAAAGAAYAWQEAAFs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E76C1"/>
    <w:multiLevelType w:val="singleLevel"/>
    <w:tmpl w:val="ADAE76C1"/>
    <w:lvl w:ilvl="0" w:tentative="0">
      <w:start w:val="3"/>
      <w:numFmt w:val="decimal"/>
      <w:suff w:val="space"/>
      <w:lvlText w:val="%1."/>
      <w:lvlJc w:val="left"/>
    </w:lvl>
  </w:abstractNum>
  <w:abstractNum w:abstractNumId="1">
    <w:nsid w:val="CFA603C8"/>
    <w:multiLevelType w:val="singleLevel"/>
    <w:tmpl w:val="CFA603C8"/>
    <w:lvl w:ilvl="0" w:tentative="0">
      <w:start w:val="1"/>
      <w:numFmt w:val="chineseCounting"/>
      <w:suff w:val="nothing"/>
      <w:lvlText w:val="%1、"/>
      <w:lvlJc w:val="left"/>
      <w:rPr>
        <w:rFonts w:hint="eastAsia"/>
      </w:rPr>
    </w:lvl>
  </w:abstractNum>
  <w:abstractNum w:abstractNumId="2">
    <w:nsid w:val="F6463217"/>
    <w:multiLevelType w:val="singleLevel"/>
    <w:tmpl w:val="F6463217"/>
    <w:lvl w:ilvl="0" w:tentative="0">
      <w:start w:val="1"/>
      <w:numFmt w:val="decimal"/>
      <w:lvlText w:val="%1."/>
      <w:lvlJc w:val="left"/>
      <w:pPr>
        <w:tabs>
          <w:tab w:val="left" w:pos="312"/>
        </w:tabs>
      </w:pPr>
    </w:lvl>
  </w:abstractNum>
  <w:abstractNum w:abstractNumId="3">
    <w:nsid w:val="FFFFFFFB"/>
    <w:multiLevelType w:val="multilevel"/>
    <w:tmpl w:val="FFFFFFFB"/>
    <w:lvl w:ilvl="0" w:tentative="0">
      <w:start w:val="1"/>
      <w:numFmt w:val="chineseCountingThousand"/>
      <w:lvlText w:val="%1. "/>
      <w:legacy w:legacy="1" w:legacySpace="0" w:legacyIndent="0"/>
      <w:lvlJc w:val="left"/>
      <w:rPr>
        <w:sz w:val="32"/>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left"/>
    </w:lvl>
    <w:lvl w:ilvl="5" w:tentative="0">
      <w:start w:val="1"/>
      <w:numFmt w:val="decimal"/>
      <w:suff w:val="nothing"/>
      <w:lvlText w:val=""/>
      <w:lvlJc w:val="left"/>
    </w:lvl>
    <w:lvl w:ilvl="6" w:tentative="0">
      <w:start w:val="1"/>
      <w:numFmt w:val="decimal"/>
      <w:pStyle w:val="23"/>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abstractNum w:abstractNumId="4">
    <w:nsid w:val="00000003"/>
    <w:multiLevelType w:val="singleLevel"/>
    <w:tmpl w:val="00000003"/>
    <w:lvl w:ilvl="0" w:tentative="0">
      <w:start w:val="1"/>
      <w:numFmt w:val="decimal"/>
      <w:pStyle w:val="53"/>
      <w:lvlText w:val="%1."/>
      <w:lvlJc w:val="left"/>
      <w:pPr>
        <w:tabs>
          <w:tab w:val="left" w:pos="360"/>
        </w:tabs>
        <w:ind w:left="360" w:hanging="360"/>
      </w:pPr>
    </w:lvl>
  </w:abstractNum>
  <w:abstractNum w:abstractNumId="5">
    <w:nsid w:val="6E17D4D7"/>
    <w:multiLevelType w:val="multilevel"/>
    <w:tmpl w:val="6E17D4D7"/>
    <w:lvl w:ilvl="0" w:tentative="0">
      <w:start w:val="1"/>
      <w:numFmt w:val="decimal"/>
      <w:lvlText w:val="第%1章"/>
      <w:lvlJc w:val="left"/>
      <w:pPr>
        <w:ind w:left="432" w:hanging="432"/>
      </w:pPr>
      <w:rPr>
        <w:rFonts w:hint="eastAsia" w:ascii="宋体" w:hAnsi="宋体" w:eastAsia="宋体"/>
      </w:rPr>
    </w:lvl>
    <w:lvl w:ilvl="1" w:tentative="0">
      <w:start w:val="1"/>
      <w:numFmt w:val="none"/>
      <w:lvlText w:val="%1.%2"/>
      <w:lvlJc w:val="left"/>
      <w:pPr>
        <w:ind w:left="575" w:hanging="575"/>
      </w:pPr>
      <w:rPr>
        <w:rFonts w:hint="eastAsia" w:ascii="宋体" w:hAnsi="宋体" w:eastAsia="宋体"/>
      </w:rPr>
    </w:lvl>
    <w:lvl w:ilvl="2" w:tentative="0">
      <w:start w:val="1"/>
      <w:numFmt w:val="decimal"/>
      <w:lvlText w:val="%1.%2.%3 "/>
      <w:lvlJc w:val="left"/>
      <w:pPr>
        <w:ind w:left="720" w:hanging="720"/>
      </w:pPr>
      <w:rPr>
        <w:rFonts w:hint="eastAsia" w:ascii="宋体" w:hAnsi="宋体" w:eastAsia="宋体"/>
      </w:rPr>
    </w:lvl>
    <w:lvl w:ilvl="3" w:tentative="0">
      <w:start w:val="1"/>
      <w:numFmt w:val="decimal"/>
      <w:pStyle w:val="20"/>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NDRlODk4NmJmYzVkZjYzZTkwYjM5MDllZDY3NjcifQ=="/>
  </w:docVars>
  <w:rsids>
    <w:rsidRoot w:val="00000000"/>
    <w:rsid w:val="00C34DAD"/>
    <w:rsid w:val="0273010D"/>
    <w:rsid w:val="02F05C02"/>
    <w:rsid w:val="03887BE8"/>
    <w:rsid w:val="03E72B61"/>
    <w:rsid w:val="040C25C7"/>
    <w:rsid w:val="04402271"/>
    <w:rsid w:val="04E470A0"/>
    <w:rsid w:val="051200B1"/>
    <w:rsid w:val="05322502"/>
    <w:rsid w:val="07222102"/>
    <w:rsid w:val="089351B1"/>
    <w:rsid w:val="0955241D"/>
    <w:rsid w:val="0AC232DE"/>
    <w:rsid w:val="0BE33E15"/>
    <w:rsid w:val="0C0A4C4D"/>
    <w:rsid w:val="0DE17D54"/>
    <w:rsid w:val="0DED5218"/>
    <w:rsid w:val="0E8F62CF"/>
    <w:rsid w:val="0EA0672E"/>
    <w:rsid w:val="0EF97BEC"/>
    <w:rsid w:val="0F0767AD"/>
    <w:rsid w:val="0F707EAE"/>
    <w:rsid w:val="0FC71A98"/>
    <w:rsid w:val="10DF3A55"/>
    <w:rsid w:val="115630D4"/>
    <w:rsid w:val="115B40DB"/>
    <w:rsid w:val="116E48C1"/>
    <w:rsid w:val="11847C41"/>
    <w:rsid w:val="11C6025A"/>
    <w:rsid w:val="11E22BBA"/>
    <w:rsid w:val="12062D4C"/>
    <w:rsid w:val="125731CE"/>
    <w:rsid w:val="128D6FC9"/>
    <w:rsid w:val="12BE3627"/>
    <w:rsid w:val="12EA441C"/>
    <w:rsid w:val="13165211"/>
    <w:rsid w:val="13832473"/>
    <w:rsid w:val="13CB5FFB"/>
    <w:rsid w:val="14165942"/>
    <w:rsid w:val="1436464C"/>
    <w:rsid w:val="17005FBC"/>
    <w:rsid w:val="18455DC8"/>
    <w:rsid w:val="18BE612E"/>
    <w:rsid w:val="18C74DD1"/>
    <w:rsid w:val="18E11E1D"/>
    <w:rsid w:val="19CC487B"/>
    <w:rsid w:val="19EF1139"/>
    <w:rsid w:val="1A3B49F1"/>
    <w:rsid w:val="1ACA4475"/>
    <w:rsid w:val="1B570174"/>
    <w:rsid w:val="1BB15E18"/>
    <w:rsid w:val="1BE7599C"/>
    <w:rsid w:val="1CC72A36"/>
    <w:rsid w:val="1D5E10DB"/>
    <w:rsid w:val="1D6161FF"/>
    <w:rsid w:val="1E0345E3"/>
    <w:rsid w:val="1ECE4A0A"/>
    <w:rsid w:val="1EFC4C0E"/>
    <w:rsid w:val="205B298F"/>
    <w:rsid w:val="20796DDF"/>
    <w:rsid w:val="20F070A1"/>
    <w:rsid w:val="210147AE"/>
    <w:rsid w:val="21052421"/>
    <w:rsid w:val="223B07F0"/>
    <w:rsid w:val="22695E7F"/>
    <w:rsid w:val="22A15189"/>
    <w:rsid w:val="22F866E1"/>
    <w:rsid w:val="244B0A92"/>
    <w:rsid w:val="245E1D27"/>
    <w:rsid w:val="24DB1E16"/>
    <w:rsid w:val="25FF1B34"/>
    <w:rsid w:val="26804A23"/>
    <w:rsid w:val="26C37006"/>
    <w:rsid w:val="26FE003E"/>
    <w:rsid w:val="27604855"/>
    <w:rsid w:val="2AC5334C"/>
    <w:rsid w:val="2AEA2DB3"/>
    <w:rsid w:val="2C3D62FD"/>
    <w:rsid w:val="2CD70CF0"/>
    <w:rsid w:val="2ECC1AD7"/>
    <w:rsid w:val="2FF124EE"/>
    <w:rsid w:val="30874C00"/>
    <w:rsid w:val="318D6246"/>
    <w:rsid w:val="329D4BAF"/>
    <w:rsid w:val="3349596A"/>
    <w:rsid w:val="33576B0C"/>
    <w:rsid w:val="33686F6B"/>
    <w:rsid w:val="33AD7981"/>
    <w:rsid w:val="34AE15AA"/>
    <w:rsid w:val="35E86141"/>
    <w:rsid w:val="35E93673"/>
    <w:rsid w:val="369D6F2B"/>
    <w:rsid w:val="37503F9E"/>
    <w:rsid w:val="3798538C"/>
    <w:rsid w:val="38454AF6"/>
    <w:rsid w:val="38763ED8"/>
    <w:rsid w:val="389F34E3"/>
    <w:rsid w:val="39A64349"/>
    <w:rsid w:val="3A5C0EAC"/>
    <w:rsid w:val="3AE96BE3"/>
    <w:rsid w:val="3C7324DC"/>
    <w:rsid w:val="3CE82ECA"/>
    <w:rsid w:val="3CFC0570"/>
    <w:rsid w:val="3D365343"/>
    <w:rsid w:val="3D7E0386"/>
    <w:rsid w:val="3DE71EF3"/>
    <w:rsid w:val="3E75253C"/>
    <w:rsid w:val="3ED40657"/>
    <w:rsid w:val="3F78162B"/>
    <w:rsid w:val="3FCE187E"/>
    <w:rsid w:val="404743B5"/>
    <w:rsid w:val="41105A26"/>
    <w:rsid w:val="43162494"/>
    <w:rsid w:val="4379487C"/>
    <w:rsid w:val="437B05F4"/>
    <w:rsid w:val="43E066A9"/>
    <w:rsid w:val="43EF2D90"/>
    <w:rsid w:val="43F32881"/>
    <w:rsid w:val="44083B7C"/>
    <w:rsid w:val="445D3C9B"/>
    <w:rsid w:val="45264590"/>
    <w:rsid w:val="454113CA"/>
    <w:rsid w:val="459B6D2C"/>
    <w:rsid w:val="4647334B"/>
    <w:rsid w:val="465C3A3F"/>
    <w:rsid w:val="47637D1D"/>
    <w:rsid w:val="47DA343B"/>
    <w:rsid w:val="48253552"/>
    <w:rsid w:val="4A253F1B"/>
    <w:rsid w:val="4A783A80"/>
    <w:rsid w:val="4B9C03C6"/>
    <w:rsid w:val="4C51643C"/>
    <w:rsid w:val="4C651E42"/>
    <w:rsid w:val="4CC44899"/>
    <w:rsid w:val="4D7F6F33"/>
    <w:rsid w:val="4DFA1637"/>
    <w:rsid w:val="4F3A5808"/>
    <w:rsid w:val="4F7F30C2"/>
    <w:rsid w:val="51133902"/>
    <w:rsid w:val="5139159D"/>
    <w:rsid w:val="52432C25"/>
    <w:rsid w:val="525941F7"/>
    <w:rsid w:val="541617E6"/>
    <w:rsid w:val="54224ABC"/>
    <w:rsid w:val="546B1FBF"/>
    <w:rsid w:val="54E87AB4"/>
    <w:rsid w:val="55222FC6"/>
    <w:rsid w:val="556B3665"/>
    <w:rsid w:val="562B2612"/>
    <w:rsid w:val="564048A6"/>
    <w:rsid w:val="56A93273"/>
    <w:rsid w:val="5798756F"/>
    <w:rsid w:val="5809168D"/>
    <w:rsid w:val="58DE3F06"/>
    <w:rsid w:val="59561490"/>
    <w:rsid w:val="59926240"/>
    <w:rsid w:val="59AA4345"/>
    <w:rsid w:val="5A4206BD"/>
    <w:rsid w:val="5A601E9A"/>
    <w:rsid w:val="5A8C2C8F"/>
    <w:rsid w:val="5A950AB4"/>
    <w:rsid w:val="5AE91E90"/>
    <w:rsid w:val="5BD95D8A"/>
    <w:rsid w:val="5BE03AC9"/>
    <w:rsid w:val="5C292E8C"/>
    <w:rsid w:val="5C4952DC"/>
    <w:rsid w:val="5DEF1EB3"/>
    <w:rsid w:val="5F313E05"/>
    <w:rsid w:val="5F814D8D"/>
    <w:rsid w:val="5FF6265A"/>
    <w:rsid w:val="603A63E4"/>
    <w:rsid w:val="605E6E7C"/>
    <w:rsid w:val="613D2F35"/>
    <w:rsid w:val="621811CA"/>
    <w:rsid w:val="62F77D9F"/>
    <w:rsid w:val="639808F7"/>
    <w:rsid w:val="659B1356"/>
    <w:rsid w:val="65C854C3"/>
    <w:rsid w:val="663E5786"/>
    <w:rsid w:val="66ED2D08"/>
    <w:rsid w:val="67A21D44"/>
    <w:rsid w:val="683230C8"/>
    <w:rsid w:val="689773CF"/>
    <w:rsid w:val="690245F2"/>
    <w:rsid w:val="692B7527"/>
    <w:rsid w:val="698E432E"/>
    <w:rsid w:val="69DD182C"/>
    <w:rsid w:val="6A6C1B13"/>
    <w:rsid w:val="6AA97ABF"/>
    <w:rsid w:val="6B015A74"/>
    <w:rsid w:val="6B1C51D6"/>
    <w:rsid w:val="6B560FC3"/>
    <w:rsid w:val="6B5670CE"/>
    <w:rsid w:val="6BB145C0"/>
    <w:rsid w:val="6C285D64"/>
    <w:rsid w:val="6C77379F"/>
    <w:rsid w:val="6CD02EB0"/>
    <w:rsid w:val="6D17288C"/>
    <w:rsid w:val="6D3C3588"/>
    <w:rsid w:val="6D567859"/>
    <w:rsid w:val="6D9360F3"/>
    <w:rsid w:val="6DF36E56"/>
    <w:rsid w:val="6E3A4A84"/>
    <w:rsid w:val="6F3B6D06"/>
    <w:rsid w:val="6F7B68A3"/>
    <w:rsid w:val="6F8D34C0"/>
    <w:rsid w:val="708609B4"/>
    <w:rsid w:val="70E84C6C"/>
    <w:rsid w:val="70E92897"/>
    <w:rsid w:val="714F58B3"/>
    <w:rsid w:val="724D0AFE"/>
    <w:rsid w:val="72A96169"/>
    <w:rsid w:val="735F6D3B"/>
    <w:rsid w:val="73893DB8"/>
    <w:rsid w:val="73EA390A"/>
    <w:rsid w:val="74937F3C"/>
    <w:rsid w:val="74D97A6A"/>
    <w:rsid w:val="76C515AB"/>
    <w:rsid w:val="778E4466"/>
    <w:rsid w:val="78B73EB0"/>
    <w:rsid w:val="79852AA2"/>
    <w:rsid w:val="799D05BD"/>
    <w:rsid w:val="79B11A3C"/>
    <w:rsid w:val="79CC5832"/>
    <w:rsid w:val="7A1016C4"/>
    <w:rsid w:val="7B0528FD"/>
    <w:rsid w:val="7B3348D9"/>
    <w:rsid w:val="7C1728A9"/>
    <w:rsid w:val="7C280612"/>
    <w:rsid w:val="7C4B60AF"/>
    <w:rsid w:val="7CC05D74"/>
    <w:rsid w:val="7D5F393E"/>
    <w:rsid w:val="7DC51E91"/>
    <w:rsid w:val="7EAA7A04"/>
    <w:rsid w:val="7EB87481"/>
    <w:rsid w:val="7F713D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1"/>
    <w:qFormat/>
    <w:uiPriority w:val="0"/>
    <w:pPr>
      <w:widowControl w:val="0"/>
      <w:spacing w:beforeAutospacing="0" w:afterAutospacing="0" w:line="312" w:lineRule="atLeast"/>
      <w:jc w:val="both"/>
    </w:pPr>
    <w:rPr>
      <w:rFonts w:ascii="宋体" w:hAnsi="Times New Roman" w:eastAsia="宋体" w:cs="Times New Roman"/>
      <w:sz w:val="34"/>
      <w:lang w:val="en-US" w:eastAsia="zh-CN" w:bidi="ar-SA"/>
    </w:rPr>
  </w:style>
  <w:style w:type="paragraph" w:styleId="4">
    <w:name w:val="heading 1"/>
    <w:next w:val="1"/>
    <w:qFormat/>
    <w:uiPriority w:val="9"/>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5">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Times New Roman" w:hAnsi="Times New Roman" w:eastAsia="宋体" w:cs="Times New Roman"/>
      <w:color w:val="FF0000"/>
      <w:kern w:val="2"/>
      <w:sz w:val="21"/>
      <w:szCs w:val="24"/>
      <w:lang w:val="en-US" w:eastAsia="zh-CN" w:bidi="ar-SA"/>
    </w:rPr>
  </w:style>
  <w:style w:type="paragraph" w:styleId="3">
    <w:name w:val="Body Text Indent"/>
    <w:basedOn w:val="1"/>
    <w:qFormat/>
    <w:uiPriority w:val="0"/>
    <w:pPr>
      <w:widowControl w:val="0"/>
      <w:spacing w:after="120"/>
      <w:ind w:left="420" w:leftChars="200"/>
      <w:jc w:val="both"/>
    </w:pPr>
    <w:rPr>
      <w:rFonts w:ascii="Times New Roman" w:hAnsi="Times New Roman" w:eastAsia="宋体" w:cs="Times New Roman"/>
      <w:kern w:val="2"/>
      <w:sz w:val="21"/>
      <w:szCs w:val="22"/>
      <w:lang w:val="en-US" w:eastAsia="zh-CN" w:bidi="ar-SA"/>
    </w:rPr>
  </w:style>
  <w:style w:type="paragraph" w:styleId="6">
    <w:name w:val="Normal Indent"/>
    <w:basedOn w:val="1"/>
    <w:next w:val="1"/>
    <w:qFormat/>
    <w:uiPriority w:val="0"/>
    <w:pPr>
      <w:ind w:firstLine="420" w:firstLineChars="200"/>
    </w:pPr>
  </w:style>
  <w:style w:type="paragraph" w:styleId="7">
    <w:name w:val="Plain Text"/>
    <w:qFormat/>
    <w:uiPriority w:val="99"/>
    <w:pPr>
      <w:widowControl w:val="0"/>
      <w:jc w:val="both"/>
    </w:pPr>
    <w:rPr>
      <w:rFonts w:ascii="宋体" w:hAnsi="Courier New" w:eastAsia="宋体" w:cs="Times New Roman"/>
      <w:kern w:val="2"/>
      <w:sz w:val="22"/>
      <w:szCs w:val="20"/>
      <w:lang w:val="en-US" w:eastAsia="zh-CN" w:bidi="ar-SA"/>
    </w:rPr>
  </w:style>
  <w:style w:type="paragraph" w:styleId="8">
    <w:name w:val="Body Text Indent 2"/>
    <w:basedOn w:val="1"/>
    <w:qFormat/>
    <w:uiPriority w:val="0"/>
    <w:pPr>
      <w:spacing w:after="120" w:line="480" w:lineRule="auto"/>
      <w:ind w:left="420" w:leftChars="200"/>
    </w:pPr>
    <w:rPr>
      <w:rFonts w:ascii="Calibri" w:hAnsi="Calibri" w:eastAsia="宋体" w:cs="Times New Roma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qFormat/>
    <w:uiPriority w:val="99"/>
    <w:pPr>
      <w:widowControl/>
      <w:spacing w:before="100" w:beforeAutospacing="1" w:after="100" w:afterAutospacing="1"/>
      <w:jc w:val="left"/>
    </w:pPr>
    <w:rPr>
      <w:rFonts w:ascii="宋体" w:hAnsi="宋体" w:eastAsia="宋体" w:cs="Times New Roman"/>
      <w:kern w:val="0"/>
      <w:sz w:val="24"/>
      <w:szCs w:val="24"/>
      <w:lang w:val="en-US" w:eastAsia="zh-CN" w:bidi="ar-SA"/>
    </w:rPr>
  </w:style>
  <w:style w:type="character" w:styleId="15">
    <w:name w:val="Hyperlink"/>
    <w:basedOn w:val="14"/>
    <w:qFormat/>
    <w:uiPriority w:val="0"/>
    <w:rPr>
      <w:color w:val="0000FF"/>
      <w:u w:val="single"/>
    </w:rPr>
  </w:style>
  <w:style w:type="character" w:customStyle="1" w:styleId="16">
    <w:name w:val="标题 1 Char"/>
    <w:link w:val="17"/>
    <w:qFormat/>
    <w:uiPriority w:val="0"/>
    <w:rPr>
      <w:rFonts w:ascii="Calibri" w:hAnsi="Calibri" w:eastAsia="宋体"/>
      <w:b/>
      <w:bCs/>
      <w:kern w:val="44"/>
      <w:sz w:val="36"/>
      <w:szCs w:val="44"/>
    </w:rPr>
  </w:style>
  <w:style w:type="paragraph" w:customStyle="1" w:styleId="17">
    <w:name w:val="标题 11"/>
    <w:basedOn w:val="1"/>
    <w:link w:val="16"/>
    <w:qFormat/>
    <w:uiPriority w:val="0"/>
    <w:pPr>
      <w:keepNext/>
      <w:keepLines/>
      <w:spacing w:beforeAutospacing="0" w:afterAutospacing="0" w:line="360" w:lineRule="auto"/>
      <w:jc w:val="center"/>
      <w:outlineLvl w:val="0"/>
    </w:pPr>
    <w:rPr>
      <w:rFonts w:ascii="Calibri" w:hAnsi="Calibri" w:eastAsia="宋体"/>
      <w:b/>
      <w:bCs/>
      <w:kern w:val="44"/>
      <w:sz w:val="36"/>
      <w:szCs w:val="44"/>
    </w:rPr>
  </w:style>
  <w:style w:type="paragraph" w:customStyle="1" w:styleId="18">
    <w:name w:val="标题 21"/>
    <w:basedOn w:val="1"/>
    <w:qFormat/>
    <w:uiPriority w:val="0"/>
    <w:pPr>
      <w:keepNext/>
      <w:keepLines/>
      <w:spacing w:before="260" w:beforeAutospacing="0" w:after="260" w:afterAutospacing="0" w:line="416" w:lineRule="auto"/>
      <w:outlineLvl w:val="1"/>
    </w:pPr>
    <w:rPr>
      <w:rFonts w:ascii="Arial" w:hAnsi="Arial" w:eastAsia="黑体"/>
      <w:b/>
      <w:bCs/>
      <w:sz w:val="32"/>
      <w:szCs w:val="32"/>
    </w:rPr>
  </w:style>
  <w:style w:type="paragraph" w:customStyle="1" w:styleId="19">
    <w:name w:val="标题 31"/>
    <w:basedOn w:val="1"/>
    <w:qFormat/>
    <w:uiPriority w:val="0"/>
    <w:pPr>
      <w:keepNext/>
      <w:keepLines/>
      <w:spacing w:before="260" w:beforeAutospacing="0" w:after="260" w:afterAutospacing="0" w:line="416" w:lineRule="auto"/>
      <w:outlineLvl w:val="2"/>
    </w:pPr>
    <w:rPr>
      <w:b/>
      <w:bCs/>
      <w:sz w:val="32"/>
      <w:szCs w:val="32"/>
    </w:rPr>
  </w:style>
  <w:style w:type="paragraph" w:customStyle="1" w:styleId="20">
    <w:name w:val="标题 41"/>
    <w:basedOn w:val="1"/>
    <w:qFormat/>
    <w:uiPriority w:val="0"/>
    <w:pPr>
      <w:keepNext/>
      <w:keepLines/>
      <w:numPr>
        <w:ilvl w:val="3"/>
        <w:numId w:val="1"/>
      </w:numPr>
      <w:spacing w:before="280" w:beforeAutospacing="0" w:after="290" w:afterAutospacing="0" w:line="372" w:lineRule="auto"/>
      <w:ind w:left="864" w:hanging="864"/>
      <w:outlineLvl w:val="3"/>
    </w:pPr>
    <w:rPr>
      <w:rFonts w:ascii="Arial" w:hAnsi="Arial" w:eastAsia="黑体"/>
      <w:b/>
      <w:sz w:val="28"/>
    </w:rPr>
  </w:style>
  <w:style w:type="paragraph" w:customStyle="1" w:styleId="21">
    <w:name w:val="标题 51"/>
    <w:basedOn w:val="1"/>
    <w:qFormat/>
    <w:uiPriority w:val="0"/>
    <w:pPr>
      <w:keepNext/>
      <w:keepLines/>
      <w:spacing w:before="280" w:beforeAutospacing="0" w:after="290" w:afterAutospacing="0" w:line="376" w:lineRule="auto"/>
      <w:outlineLvl w:val="4"/>
    </w:pPr>
    <w:rPr>
      <w:b/>
      <w:bCs/>
      <w:kern w:val="0"/>
      <w:sz w:val="28"/>
      <w:szCs w:val="28"/>
    </w:rPr>
  </w:style>
  <w:style w:type="paragraph" w:customStyle="1" w:styleId="22">
    <w:name w:val="标题 61"/>
    <w:basedOn w:val="1"/>
    <w:qFormat/>
    <w:uiPriority w:val="0"/>
    <w:pPr>
      <w:keepNext/>
      <w:keepLines/>
      <w:spacing w:before="240" w:beforeAutospacing="0" w:after="64" w:afterAutospacing="0" w:line="320" w:lineRule="auto"/>
      <w:outlineLvl w:val="5"/>
    </w:pPr>
    <w:rPr>
      <w:rFonts w:ascii="Arial" w:hAnsi="Arial" w:eastAsia="黑体"/>
      <w:b/>
      <w:bCs/>
      <w:kern w:val="0"/>
      <w:sz w:val="24"/>
    </w:rPr>
  </w:style>
  <w:style w:type="paragraph" w:customStyle="1" w:styleId="23">
    <w:name w:val="标题 71"/>
    <w:basedOn w:val="1"/>
    <w:qFormat/>
    <w:uiPriority w:val="0"/>
    <w:pPr>
      <w:keepNext/>
      <w:keepLines/>
      <w:numPr>
        <w:ilvl w:val="6"/>
        <w:numId w:val="2"/>
      </w:numPr>
      <w:spacing w:before="240" w:beforeAutospacing="0" w:after="64" w:afterAutospacing="0" w:line="320" w:lineRule="atLeast"/>
      <w:outlineLvl w:val="6"/>
    </w:pPr>
    <w:rPr>
      <w:rFonts w:ascii="宋体" w:eastAsia="仿宋_GB2312"/>
      <w:b/>
      <w:kern w:val="0"/>
      <w:sz w:val="24"/>
    </w:rPr>
  </w:style>
  <w:style w:type="character" w:customStyle="1" w:styleId="24">
    <w:name w:val="默认段落字体1"/>
    <w:link w:val="1"/>
    <w:semiHidden/>
    <w:qFormat/>
    <w:uiPriority w:val="0"/>
  </w:style>
  <w:style w:type="table" w:customStyle="1" w:styleId="25">
    <w:name w:val="普通表格1"/>
    <w:semiHidden/>
    <w:qFormat/>
    <w:uiPriority w:val="0"/>
  </w:style>
  <w:style w:type="paragraph" w:customStyle="1" w:styleId="26">
    <w:name w:val="正文缩进1"/>
    <w:basedOn w:val="1"/>
    <w:link w:val="27"/>
    <w:qFormat/>
    <w:uiPriority w:val="0"/>
    <w:pPr>
      <w:ind w:firstLine="420" w:firstLineChars="200"/>
    </w:pPr>
  </w:style>
  <w:style w:type="character" w:customStyle="1" w:styleId="27">
    <w:name w:val="正文缩进 字符"/>
    <w:link w:val="26"/>
    <w:qFormat/>
    <w:uiPriority w:val="0"/>
    <w:rPr>
      <w:rFonts w:eastAsia="宋体"/>
      <w:kern w:val="2"/>
      <w:sz w:val="21"/>
      <w:szCs w:val="24"/>
      <w:lang w:val="en-US" w:eastAsia="zh-CN" w:bidi="ar-SA"/>
    </w:rPr>
  </w:style>
  <w:style w:type="paragraph" w:customStyle="1" w:styleId="28">
    <w:name w:val="引文目录标题1"/>
    <w:basedOn w:val="1"/>
    <w:semiHidden/>
    <w:qFormat/>
    <w:uiPriority w:val="0"/>
    <w:pPr>
      <w:spacing w:before="120" w:beforeAutospacing="0" w:afterAutospacing="0"/>
    </w:pPr>
    <w:rPr>
      <w:rFonts w:ascii="Arial" w:hAnsi="Arial" w:eastAsia="宋体"/>
      <w:kern w:val="0"/>
      <w:sz w:val="24"/>
      <w:szCs w:val="20"/>
    </w:rPr>
  </w:style>
  <w:style w:type="paragraph" w:customStyle="1" w:styleId="29">
    <w:name w:val="批注文字1"/>
    <w:basedOn w:val="1"/>
    <w:qFormat/>
    <w:uiPriority w:val="0"/>
    <w:pPr>
      <w:jc w:val="left"/>
    </w:pPr>
  </w:style>
  <w:style w:type="paragraph" w:customStyle="1" w:styleId="30">
    <w:name w:val="正文文本1"/>
    <w:basedOn w:val="1"/>
    <w:qFormat/>
    <w:uiPriority w:val="0"/>
    <w:pPr>
      <w:spacing w:beforeAutospacing="0" w:after="120" w:afterAutospacing="0"/>
    </w:pPr>
  </w:style>
  <w:style w:type="paragraph" w:customStyle="1" w:styleId="31">
    <w:name w:val="正文文本缩进1"/>
    <w:basedOn w:val="1"/>
    <w:qFormat/>
    <w:uiPriority w:val="0"/>
    <w:pPr>
      <w:ind w:firstLine="630"/>
    </w:pPr>
    <w:rPr>
      <w:sz w:val="32"/>
      <w:szCs w:val="20"/>
    </w:rPr>
  </w:style>
  <w:style w:type="paragraph" w:customStyle="1" w:styleId="32">
    <w:name w:val="纯文本1"/>
    <w:basedOn w:val="1"/>
    <w:link w:val="33"/>
    <w:qFormat/>
    <w:uiPriority w:val="0"/>
    <w:rPr>
      <w:rFonts w:ascii="宋体" w:hAnsi="Courier New"/>
      <w:szCs w:val="20"/>
    </w:rPr>
  </w:style>
  <w:style w:type="character" w:customStyle="1" w:styleId="33">
    <w:name w:val="纯文本 字符"/>
    <w:link w:val="32"/>
    <w:qFormat/>
    <w:uiPriority w:val="0"/>
    <w:rPr>
      <w:rFonts w:ascii="宋体" w:hAnsi="Courier New" w:eastAsia="宋体"/>
      <w:kern w:val="2"/>
      <w:sz w:val="21"/>
      <w:lang w:val="en-US" w:eastAsia="zh-CN" w:bidi="ar-SA"/>
    </w:rPr>
  </w:style>
  <w:style w:type="paragraph" w:customStyle="1" w:styleId="34">
    <w:name w:val="正文文本缩进 21"/>
    <w:basedOn w:val="1"/>
    <w:qFormat/>
    <w:uiPriority w:val="0"/>
    <w:pPr>
      <w:spacing w:beforeAutospacing="0" w:after="120" w:afterAutospacing="0" w:line="480" w:lineRule="auto"/>
      <w:ind w:left="420" w:leftChars="200"/>
    </w:pPr>
  </w:style>
  <w:style w:type="paragraph" w:customStyle="1" w:styleId="35">
    <w:name w:val="页脚1"/>
    <w:basedOn w:val="1"/>
    <w:qFormat/>
    <w:uiPriority w:val="0"/>
    <w:pPr>
      <w:tabs>
        <w:tab w:val="center" w:pos="4153"/>
        <w:tab w:val="right" w:pos="8306"/>
      </w:tabs>
      <w:snapToGrid w:val="0"/>
      <w:jc w:val="left"/>
    </w:pPr>
    <w:rPr>
      <w:sz w:val="18"/>
      <w:szCs w:val="20"/>
    </w:rPr>
  </w:style>
  <w:style w:type="paragraph" w:customStyle="1" w:styleId="36">
    <w:name w:val="页眉1"/>
    <w:basedOn w:val="1"/>
    <w:qFormat/>
    <w:uiPriority w:val="0"/>
    <w:pPr>
      <w:pBdr>
        <w:bottom w:val="single" w:color="000000" w:sz="6" w:space="1"/>
      </w:pBdr>
      <w:tabs>
        <w:tab w:val="center" w:pos="4153"/>
        <w:tab w:val="right" w:pos="8306"/>
      </w:tabs>
      <w:snapToGrid w:val="0"/>
      <w:jc w:val="center"/>
    </w:pPr>
    <w:rPr>
      <w:sz w:val="18"/>
      <w:szCs w:val="20"/>
    </w:rPr>
  </w:style>
  <w:style w:type="paragraph" w:customStyle="1" w:styleId="37">
    <w:name w:val="目录 11"/>
    <w:basedOn w:val="1"/>
    <w:qFormat/>
    <w:uiPriority w:val="0"/>
    <w:pPr>
      <w:spacing w:beforeAutospacing="0" w:afterAutospacing="0" w:line="480" w:lineRule="auto"/>
    </w:pPr>
    <w:rPr>
      <w:rFonts w:ascii="Times New Roman" w:hAnsi="Times New Roman" w:eastAsia="宋体"/>
      <w:sz w:val="30"/>
    </w:rPr>
  </w:style>
  <w:style w:type="paragraph" w:customStyle="1" w:styleId="38">
    <w:name w:val="副标题1"/>
    <w:basedOn w:val="1"/>
    <w:qFormat/>
    <w:uiPriority w:val="0"/>
    <w:pPr>
      <w:spacing w:beforeAutospacing="0" w:afterAutospacing="0" w:line="500" w:lineRule="exact"/>
      <w:ind w:firstLine="200" w:firstLineChars="200"/>
      <w:jc w:val="left"/>
      <w:outlineLvl w:val="1"/>
    </w:pPr>
    <w:rPr>
      <w:rFonts w:ascii="黑体" w:hAnsi="Cambria" w:eastAsia="黑体"/>
      <w:b/>
      <w:bCs/>
      <w:kern w:val="28"/>
      <w:sz w:val="24"/>
      <w:szCs w:val="32"/>
    </w:rPr>
  </w:style>
  <w:style w:type="paragraph" w:customStyle="1" w:styleId="39">
    <w:name w:val="列表 51"/>
    <w:basedOn w:val="1"/>
    <w:qFormat/>
    <w:uiPriority w:val="0"/>
    <w:pPr>
      <w:ind w:left="2100" w:hanging="420"/>
    </w:pPr>
    <w:rPr>
      <w:rFonts w:eastAsia="楷体_GB2312"/>
      <w:sz w:val="32"/>
      <w:szCs w:val="20"/>
    </w:rPr>
  </w:style>
  <w:style w:type="paragraph" w:customStyle="1" w:styleId="40">
    <w:name w:val="正文文本缩进 31"/>
    <w:basedOn w:val="1"/>
    <w:qFormat/>
    <w:uiPriority w:val="0"/>
    <w:pPr>
      <w:spacing w:beforeAutospacing="0" w:after="120" w:afterAutospacing="0"/>
      <w:ind w:left="420" w:leftChars="200"/>
    </w:pPr>
    <w:rPr>
      <w:sz w:val="16"/>
      <w:szCs w:val="16"/>
    </w:rPr>
  </w:style>
  <w:style w:type="paragraph" w:customStyle="1" w:styleId="41">
    <w:name w:val="普通(网站)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2">
    <w:name w:val="标题1"/>
    <w:basedOn w:val="1"/>
    <w:qFormat/>
    <w:uiPriority w:val="0"/>
    <w:pPr>
      <w:spacing w:before="240" w:beforeAutospacing="0" w:after="60" w:afterAutospacing="0"/>
      <w:jc w:val="center"/>
      <w:outlineLvl w:val="0"/>
    </w:pPr>
    <w:rPr>
      <w:rFonts w:ascii="Cambria" w:hAnsi="Cambria" w:eastAsia="宋体"/>
      <w:b/>
      <w:bCs/>
      <w:sz w:val="32"/>
      <w:szCs w:val="32"/>
    </w:rPr>
  </w:style>
  <w:style w:type="paragraph" w:customStyle="1" w:styleId="43">
    <w:name w:val="正文首行缩进 21"/>
    <w:basedOn w:val="31"/>
    <w:qFormat/>
    <w:uiPriority w:val="0"/>
    <w:pPr>
      <w:ind w:firstLine="420"/>
    </w:pPr>
  </w:style>
  <w:style w:type="character" w:customStyle="1" w:styleId="44">
    <w:name w:val="要点1"/>
    <w:basedOn w:val="24"/>
    <w:link w:val="1"/>
    <w:qFormat/>
    <w:uiPriority w:val="0"/>
    <w:rPr>
      <w:rFonts w:ascii="Calibri" w:hAnsi="Calibri" w:eastAsia="宋体"/>
      <w:b/>
    </w:rPr>
  </w:style>
  <w:style w:type="character" w:customStyle="1" w:styleId="45">
    <w:name w:val="页码1"/>
    <w:basedOn w:val="24"/>
    <w:link w:val="1"/>
    <w:qFormat/>
    <w:uiPriority w:val="0"/>
  </w:style>
  <w:style w:type="character" w:customStyle="1" w:styleId="46">
    <w:name w:val="强调1"/>
    <w:basedOn w:val="24"/>
    <w:link w:val="1"/>
    <w:qFormat/>
    <w:uiPriority w:val="0"/>
    <w:rPr>
      <w:rFonts w:ascii="仿宋_GB2312" w:eastAsia="仿宋_GB2312"/>
      <w:i/>
      <w:sz w:val="24"/>
    </w:rPr>
  </w:style>
  <w:style w:type="character" w:customStyle="1" w:styleId="47">
    <w:name w:val="font21"/>
    <w:basedOn w:val="24"/>
    <w:link w:val="1"/>
    <w:qFormat/>
    <w:uiPriority w:val="0"/>
    <w:rPr>
      <w:rFonts w:hint="eastAsia" w:ascii="宋体" w:hAnsi="宋体" w:eastAsia="宋体"/>
      <w:color w:val="000000"/>
      <w:sz w:val="22"/>
      <w:szCs w:val="22"/>
    </w:rPr>
  </w:style>
  <w:style w:type="character" w:customStyle="1" w:styleId="48">
    <w:name w:val="font01"/>
    <w:basedOn w:val="24"/>
    <w:link w:val="1"/>
    <w:qFormat/>
    <w:uiPriority w:val="0"/>
    <w:rPr>
      <w:rFonts w:hint="eastAsia" w:ascii="宋体" w:hAnsi="宋体" w:eastAsia="宋体"/>
      <w:color w:val="000000"/>
      <w:sz w:val="22"/>
      <w:szCs w:val="22"/>
    </w:rPr>
  </w:style>
  <w:style w:type="character" w:customStyle="1" w:styleId="49">
    <w:name w:val="（符号）邀请函中一、"/>
    <w:link w:val="1"/>
    <w:qFormat/>
    <w:uiPriority w:val="0"/>
    <w:rPr>
      <w:rFonts w:ascii="黑体" w:hAnsi="黑体" w:eastAsia="黑体"/>
      <w:b/>
      <w:bCs/>
      <w:sz w:val="24"/>
    </w:rPr>
  </w:style>
  <w:style w:type="character" w:customStyle="1" w:styleId="50">
    <w:name w:val="NormalCharacter"/>
    <w:link w:val="1"/>
    <w:semiHidden/>
    <w:qFormat/>
    <w:uiPriority w:val="0"/>
  </w:style>
  <w:style w:type="character" w:customStyle="1" w:styleId="51">
    <w:name w:val="font11"/>
    <w:basedOn w:val="24"/>
    <w:link w:val="1"/>
    <w:qFormat/>
    <w:uiPriority w:val="0"/>
    <w:rPr>
      <w:rFonts w:hint="eastAsia" w:ascii="宋体" w:hAnsi="宋体" w:eastAsia="宋体"/>
      <w:color w:val="000000"/>
      <w:sz w:val="21"/>
      <w:szCs w:val="21"/>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rPr>
  </w:style>
  <w:style w:type="paragraph" w:customStyle="1" w:styleId="53">
    <w:name w:val="Z-符号层进"/>
    <w:basedOn w:val="1"/>
    <w:qFormat/>
    <w:uiPriority w:val="0"/>
    <w:pPr>
      <w:widowControl/>
      <w:numPr>
        <w:ilvl w:val="0"/>
        <w:numId w:val="3"/>
      </w:numPr>
      <w:tabs>
        <w:tab w:val="clear" w:pos="360"/>
      </w:tabs>
      <w:spacing w:beforeAutospacing="0" w:afterAutospacing="0" w:line="360" w:lineRule="auto"/>
      <w:jc w:val="left"/>
    </w:pPr>
    <w:rPr>
      <w:kern w:val="0"/>
      <w:sz w:val="24"/>
      <w:szCs w:val="22"/>
    </w:rPr>
  </w:style>
  <w:style w:type="paragraph" w:customStyle="1" w:styleId="54">
    <w:name w:val="列表段落"/>
    <w:basedOn w:val="1"/>
    <w:qFormat/>
    <w:uiPriority w:val="0"/>
    <w:pPr>
      <w:ind w:firstLine="420" w:firstLineChars="200"/>
    </w:pPr>
    <w:rPr>
      <w:sz w:val="18"/>
      <w:szCs w:val="18"/>
    </w:rPr>
  </w:style>
  <w:style w:type="paragraph" w:customStyle="1" w:styleId="55">
    <w:name w:val="首行缩进:  0.85 厘米"/>
    <w:basedOn w:val="1"/>
    <w:qFormat/>
    <w:uiPriority w:val="0"/>
    <w:pPr>
      <w:widowControl/>
      <w:spacing w:beforeAutospacing="0" w:after="100" w:afterAutospacing="0" w:line="360" w:lineRule="auto"/>
      <w:ind w:firstLine="482"/>
      <w:jc w:val="left"/>
    </w:pPr>
    <w:rPr>
      <w:kern w:val="0"/>
      <w:sz w:val="24"/>
      <w:lang w:eastAsia="en-US"/>
    </w:rPr>
  </w:style>
  <w:style w:type="paragraph" w:customStyle="1" w:styleId="56">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正"/>
    <w:basedOn w:val="56"/>
    <w:qFormat/>
    <w:uiPriority w:val="0"/>
    <w:pPr>
      <w:tabs>
        <w:tab w:val="left" w:pos="-120"/>
      </w:tabs>
      <w:spacing w:beforeAutospacing="0" w:afterAutospacing="0" w:line="560" w:lineRule="exact"/>
      <w:ind w:firstLine="600"/>
    </w:pPr>
    <w:rPr>
      <w:rFonts w:ascii="仿宋_GB2312" w:hAnsi="仿宋_GB2312" w:eastAsia="仿宋_GB2312"/>
      <w:color w:val="000000"/>
      <w:spacing w:val="20"/>
      <w:kern w:val="0"/>
    </w:rPr>
  </w:style>
  <w:style w:type="paragraph" w:customStyle="1" w:styleId="58">
    <w:name w:val="BodyText"/>
    <w:basedOn w:val="1"/>
    <w:qFormat/>
    <w:uiPriority w:val="0"/>
    <w:pPr>
      <w:widowControl/>
      <w:spacing w:beforeAutospacing="0" w:after="120" w:afterAutospacing="0" w:line="240" w:lineRule="auto"/>
      <w:ind w:firstLine="0" w:firstLineChars="0"/>
      <w:jc w:val="left"/>
    </w:pPr>
    <w:rPr>
      <w:rFonts w:ascii="宋体" w:hAnsi="宋体"/>
      <w:kern w:val="0"/>
      <w:sz w:val="24"/>
      <w:szCs w:val="24"/>
    </w:rPr>
  </w:style>
  <w:style w:type="paragraph" w:customStyle="1" w:styleId="59">
    <w:name w:val="正文首行缩进两字符"/>
    <w:basedOn w:val="1"/>
    <w:qFormat/>
    <w:uiPriority w:val="0"/>
    <w:pPr>
      <w:spacing w:beforeAutospacing="0" w:afterAutospacing="0" w:line="360" w:lineRule="auto"/>
      <w:ind w:firstLine="200" w:firstLineChars="200"/>
    </w:pPr>
  </w:style>
  <w:style w:type="paragraph" w:customStyle="1" w:styleId="60">
    <w:name w:val="Default"/>
    <w:qFormat/>
    <w:uiPriority w:val="0"/>
    <w:pPr>
      <w:widowControl w:val="0"/>
    </w:pPr>
    <w:rPr>
      <w:rFonts w:ascii="Times New Roman" w:hAnsi="Times New Roman" w:eastAsia="Times New Roman" w:cs="Times New Roman"/>
      <w:color w:val="000000"/>
      <w:sz w:val="24"/>
      <w:lang w:val="en-US" w:eastAsia="en-US" w:bidi="ar-SA"/>
    </w:rPr>
  </w:style>
  <w:style w:type="paragraph" w:customStyle="1" w:styleId="61">
    <w:name w:val="表格"/>
    <w:basedOn w:val="1"/>
    <w:qFormat/>
    <w:uiPriority w:val="0"/>
    <w:pPr>
      <w:spacing w:beforeAutospacing="0" w:afterAutospacing="0" w:line="400" w:lineRule="exact"/>
    </w:pPr>
    <w:rPr>
      <w:sz w:val="24"/>
    </w:rPr>
  </w:style>
  <w:style w:type="paragraph" w:customStyle="1" w:styleId="62">
    <w:name w:val="TableNormal"/>
    <w:basedOn w:val="1"/>
    <w:qFormat/>
    <w:uiPriority w:val="0"/>
    <w:pPr>
      <w:widowControl/>
      <w:spacing w:before="40" w:beforeAutospacing="0" w:after="40" w:afterAutospacing="0" w:line="264" w:lineRule="auto"/>
      <w:jc w:val="left"/>
    </w:pPr>
    <w:rPr>
      <w:rFonts w:ascii="Arial" w:hAnsi="Arial"/>
      <w:kern w:val="0"/>
      <w:lang w:eastAsia="en-US"/>
    </w:rPr>
  </w:style>
  <w:style w:type="paragraph" w:customStyle="1" w:styleId="63">
    <w:name w:val="样式"/>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64">
    <w:name w:val="正文1"/>
    <w:qFormat/>
    <w:uiPriority w:val="0"/>
    <w:pPr>
      <w:widowControl w:val="0"/>
      <w:spacing w:beforeAutospacing="0" w:afterAutospacing="0" w:line="312" w:lineRule="atLeast"/>
      <w:jc w:val="both"/>
    </w:pPr>
    <w:rPr>
      <w:rFonts w:ascii="宋体" w:hAnsi="Times New Roman" w:eastAsia="宋体" w:cs="Times New Roman"/>
      <w:sz w:val="34"/>
      <w:lang w:val="en-US" w:eastAsia="zh-CN" w:bidi="ar-SA"/>
    </w:rPr>
  </w:style>
  <w:style w:type="paragraph" w:customStyle="1" w:styleId="65">
    <w:name w:val="列出段落1"/>
    <w:basedOn w:val="1"/>
    <w:qFormat/>
    <w:uiPriority w:val="0"/>
    <w:pPr>
      <w:spacing w:beforeAutospacing="0" w:afterAutospacing="0" w:line="360" w:lineRule="auto"/>
      <w:ind w:firstLine="420" w:firstLineChars="200"/>
    </w:pPr>
    <w:rPr>
      <w:rFonts w:ascii="等线" w:hAnsi="等线"/>
      <w:szCs w:val="22"/>
    </w:rPr>
  </w:style>
  <w:style w:type="paragraph" w:customStyle="1" w:styleId="66">
    <w:name w:val="WPS Plain"/>
    <w:basedOn w:val="1"/>
    <w:qFormat/>
    <w:uiPriority w:val="0"/>
    <w:pPr>
      <w:widowControl/>
      <w:spacing w:beforeAutospacing="0" w:afterAutospacing="0" w:line="240" w:lineRule="auto"/>
      <w:jc w:val="left"/>
    </w:pPr>
    <w:rPr>
      <w:rFonts w:ascii="Times New Roman"/>
      <w:sz w:val="24"/>
      <w:szCs w:val="24"/>
    </w:rPr>
  </w:style>
  <w:style w:type="paragraph" w:customStyle="1" w:styleId="67">
    <w:name w:val="Default Tex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68">
    <w:name w:val="日期_0"/>
    <w:basedOn w:val="56"/>
    <w:qFormat/>
    <w:uiPriority w:val="0"/>
    <w:pPr>
      <w:spacing w:beforeAutospacing="0" w:afterAutospacing="0" w:line="360" w:lineRule="atLeast"/>
    </w:pPr>
    <w:rPr>
      <w:rFonts w:ascii="宋体" w:hAnsi="Calibri" w:eastAsia="宋体"/>
      <w:kern w:val="0"/>
      <w:sz w:val="24"/>
      <w:szCs w:val="20"/>
    </w:rPr>
  </w:style>
  <w:style w:type="paragraph" w:customStyle="1" w:styleId="6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样式 首行缩进:  2 字符"/>
    <w:basedOn w:val="1"/>
    <w:qFormat/>
    <w:uiPriority w:val="0"/>
    <w:pPr>
      <w:spacing w:beforeAutospacing="0" w:afterAutospacing="0" w:line="400" w:lineRule="exact"/>
      <w:ind w:firstLine="200" w:firstLineChars="200"/>
    </w:pPr>
    <w:rPr>
      <w:sz w:val="24"/>
    </w:rPr>
  </w:style>
  <w:style w:type="paragraph" w:customStyle="1" w:styleId="71">
    <w:name w:val="Table Paragraph"/>
    <w:basedOn w:val="1"/>
    <w:qFormat/>
    <w:uiPriority w:val="0"/>
    <w:pPr>
      <w:autoSpaceDE w:val="0"/>
      <w:autoSpaceDN w:val="0"/>
      <w:jc w:val="left"/>
    </w:pPr>
    <w:rPr>
      <w:rFonts w:ascii="Calibri" w:hAnsi="Calibri"/>
      <w:kern w:val="0"/>
      <w:sz w:val="24"/>
    </w:rPr>
  </w:style>
  <w:style w:type="paragraph" w:customStyle="1" w:styleId="72">
    <w:name w:val="Body text|1"/>
    <w:basedOn w:val="1"/>
    <w:qFormat/>
    <w:uiPriority w:val="0"/>
    <w:pPr>
      <w:widowControl w:val="0"/>
      <w:shd w:val="clear" w:color="auto" w:fill="auto"/>
      <w:spacing w:beforeAutospacing="0" w:afterAutospacing="0" w:line="290" w:lineRule="auto"/>
      <w:ind w:firstLine="400"/>
    </w:pPr>
    <w:rPr>
      <w:rFonts w:ascii="宋体" w:hAnsi="宋体" w:eastAsia="宋体"/>
      <w:sz w:val="22"/>
      <w:szCs w:val="22"/>
      <w:shd w:val="clear" w:color="auto" w:fill="auto"/>
      <w:lang w:val="zh-CN" w:eastAsia="zh-CN" w:bidi="zh-CN"/>
    </w:rPr>
  </w:style>
  <w:style w:type="paragraph" w:customStyle="1" w:styleId="73">
    <w:name w:val="缺省文本"/>
    <w:qFormat/>
    <w:uiPriority w:val="0"/>
    <w:pPr>
      <w:widowControl w:val="0"/>
      <w:autoSpaceDE w:val="0"/>
      <w:autoSpaceDN w:val="0"/>
    </w:pPr>
    <w:rPr>
      <w:rFonts w:ascii="Times New Roman" w:hAnsi="Times New Roman" w:eastAsia="宋体" w:cs="Times New Roman"/>
      <w:color w:val="000000"/>
      <w:szCs w:val="24"/>
      <w:lang w:val="en-US" w:eastAsia="zh-CN" w:bidi="ar-SA"/>
    </w:rPr>
  </w:style>
  <w:style w:type="paragraph" w:customStyle="1" w:styleId="74">
    <w:name w:val="样式 样式 样式 左侧:  2 字符1 + 首行缩进:  2 字符1 + 首行缩进:  2 字符"/>
    <w:basedOn w:val="1"/>
    <w:qFormat/>
    <w:uiPriority w:val="0"/>
    <w:pPr>
      <w:widowControl/>
      <w:spacing w:before="60" w:beforeLines="0" w:after="120" w:afterLines="0" w:line="440" w:lineRule="atLeast"/>
      <w:ind w:firstLine="480"/>
    </w:pPr>
    <w:rPr>
      <w:rFonts w:hint="eastAsia"/>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22035</Words>
  <Characters>23308</Characters>
  <Lines>0</Lines>
  <Paragraphs>0</Paragraphs>
  <TotalTime>11</TotalTime>
  <ScaleCrop>false</ScaleCrop>
  <LinksUpToDate>false</LinksUpToDate>
  <CharactersWithSpaces>25187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2023-03-30T09:02:00Z</dcterms:created>
  <dc:creator>User</dc:creator>
  <cp:lastModifiedBy>人生若只如初见</cp:lastModifiedBy>
  <dcterms:modified xsi:type="dcterms:W3CDTF">2023-09-26T07:28:18Z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98E6A2322A534796B1BAF0541F137310_13</vt:lpwstr>
  </property>
</Properties>
</file>