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wordWrap/>
        <w:overflowPunct/>
        <w:topLinePunct w:val="0"/>
        <w:bidi w:val="0"/>
        <w:jc w:val="center"/>
        <w:rPr>
          <w:rFonts w:hint="eastAsia" w:ascii="宋体" w:hAnsi="宋体" w:eastAsia="宋体" w:cs="宋体"/>
          <w:b/>
          <w:bCs/>
          <w:color w:val="auto"/>
          <w:spacing w:val="0"/>
          <w:sz w:val="96"/>
          <w:szCs w:val="96"/>
          <w:highlight w:val="none"/>
          <w:lang w:eastAsia="zh-CN"/>
        </w:rPr>
      </w:pPr>
    </w:p>
    <w:p>
      <w:pPr>
        <w:pageBreakBefore w:val="0"/>
        <w:tabs>
          <w:tab w:val="left" w:pos="1134"/>
          <w:tab w:val="left" w:pos="5481"/>
          <w:tab w:val="left" w:pos="5859"/>
        </w:tabs>
        <w:kinsoku/>
        <w:wordWrap/>
        <w:overflowPunct/>
        <w:topLinePunct w:val="0"/>
        <w:bidi w:val="0"/>
        <w:jc w:val="center"/>
        <w:rPr>
          <w:rFonts w:hint="eastAsia" w:ascii="宋体" w:hAnsi="宋体" w:eastAsia="宋体" w:cs="宋体"/>
          <w:b/>
          <w:bCs/>
          <w:color w:val="auto"/>
          <w:spacing w:val="0"/>
          <w:sz w:val="96"/>
          <w:szCs w:val="96"/>
          <w:highlight w:val="none"/>
          <w:lang w:eastAsia="zh-CN"/>
        </w:rPr>
      </w:pPr>
      <w:r>
        <w:rPr>
          <w:rFonts w:hint="eastAsia" w:ascii="宋体" w:hAnsi="宋体" w:eastAsia="宋体" w:cs="宋体"/>
          <w:b/>
          <w:bCs/>
          <w:color w:val="auto"/>
          <w:spacing w:val="0"/>
          <w:sz w:val="96"/>
          <w:szCs w:val="96"/>
          <w:highlight w:val="none"/>
          <w:lang w:eastAsia="zh-CN"/>
        </w:rPr>
        <w:t>政府采购</w:t>
      </w:r>
    </w:p>
    <w:p>
      <w:pPr>
        <w:pageBreakBefore w:val="0"/>
        <w:tabs>
          <w:tab w:val="left" w:pos="1134"/>
          <w:tab w:val="left" w:pos="5481"/>
          <w:tab w:val="left" w:pos="5859"/>
        </w:tabs>
        <w:kinsoku/>
        <w:wordWrap/>
        <w:overflowPunct/>
        <w:topLinePunct w:val="0"/>
        <w:bidi w:val="0"/>
        <w:jc w:val="center"/>
        <w:rPr>
          <w:rFonts w:hint="eastAsia" w:ascii="宋体" w:hAnsi="宋体" w:eastAsia="宋体" w:cs="宋体"/>
          <w:b/>
          <w:bCs/>
          <w:color w:val="auto"/>
          <w:spacing w:val="0"/>
          <w:sz w:val="96"/>
          <w:szCs w:val="96"/>
          <w:highlight w:val="none"/>
        </w:rPr>
      </w:pPr>
      <w:r>
        <w:rPr>
          <w:rFonts w:hint="eastAsia" w:ascii="宋体" w:hAnsi="宋体" w:eastAsia="宋体" w:cs="宋体"/>
          <w:b/>
          <w:bCs/>
          <w:color w:val="auto"/>
          <w:spacing w:val="0"/>
          <w:sz w:val="96"/>
          <w:szCs w:val="96"/>
          <w:highlight w:val="none"/>
        </w:rPr>
        <w:t>竞争性磋商文件</w:t>
      </w:r>
    </w:p>
    <w:p>
      <w:pPr>
        <w:pageBreakBefore w:val="0"/>
        <w:tabs>
          <w:tab w:val="left" w:pos="1134"/>
          <w:tab w:val="left" w:pos="5160"/>
        </w:tabs>
        <w:kinsoku/>
        <w:wordWrap/>
        <w:overflowPunct/>
        <w:topLinePunct w:val="0"/>
        <w:bidi w:val="0"/>
        <w:jc w:val="center"/>
        <w:rPr>
          <w:rFonts w:hint="default" w:ascii="宋体" w:hAnsi="宋体" w:eastAsia="宋体" w:cs="宋体"/>
          <w:b/>
          <w:bCs/>
          <w:color w:val="auto"/>
          <w:spacing w:val="0"/>
          <w:sz w:val="40"/>
          <w:szCs w:val="40"/>
          <w:highlight w:val="none"/>
          <w:lang w:val="en-US" w:eastAsia="zh-CN"/>
        </w:rPr>
      </w:pPr>
      <w:r>
        <w:rPr>
          <w:rFonts w:hint="eastAsia" w:ascii="宋体" w:hAnsi="宋体" w:eastAsia="宋体" w:cs="宋体"/>
          <w:b/>
          <w:bCs/>
          <w:color w:val="auto"/>
          <w:spacing w:val="0"/>
          <w:sz w:val="22"/>
          <w:szCs w:val="22"/>
          <w:highlight w:val="none"/>
          <w:lang w:eastAsia="zh-CN"/>
        </w:rPr>
        <w:drawing>
          <wp:anchor distT="0" distB="0" distL="114300" distR="114300" simplePos="0" relativeHeight="251659264" behindDoc="1" locked="0" layoutInCell="1" allowOverlap="1">
            <wp:simplePos x="0" y="0"/>
            <wp:positionH relativeFrom="column">
              <wp:posOffset>1583055</wp:posOffset>
            </wp:positionH>
            <wp:positionV relativeFrom="paragraph">
              <wp:posOffset>336550</wp:posOffset>
            </wp:positionV>
            <wp:extent cx="2305050" cy="1809750"/>
            <wp:effectExtent l="0" t="0" r="0" b="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2305050" cy="1809750"/>
                    </a:xfrm>
                    <a:prstGeom prst="rect">
                      <a:avLst/>
                    </a:prstGeom>
                    <a:ln w="12700">
                      <a:noFill/>
                    </a:ln>
                  </pic:spPr>
                </pic:pic>
              </a:graphicData>
            </a:graphic>
          </wp:anchor>
        </w:drawing>
      </w:r>
      <w:r>
        <w:rPr>
          <w:rFonts w:hint="eastAsia" w:ascii="宋体" w:hAnsi="宋体" w:eastAsia="宋体" w:cs="宋体"/>
          <w:b/>
          <w:bCs/>
          <w:color w:val="auto"/>
          <w:spacing w:val="0"/>
          <w:sz w:val="40"/>
          <w:szCs w:val="40"/>
          <w:highlight w:val="none"/>
          <w:lang w:val="en-US" w:eastAsia="zh-CN"/>
        </w:rPr>
        <w:t>(服务类)</w:t>
      </w:r>
    </w:p>
    <w:p>
      <w:pPr>
        <w:pStyle w:val="12"/>
        <w:pageBreakBefore w:val="0"/>
        <w:kinsoku/>
        <w:wordWrap/>
        <w:overflowPunct/>
        <w:topLinePunct w:val="0"/>
        <w:bidi w:val="0"/>
        <w:spacing w:line="480" w:lineRule="auto"/>
        <w:rPr>
          <w:rFonts w:hint="eastAsia" w:ascii="宋体" w:hAnsi="宋体" w:eastAsia="宋体" w:cs="宋体"/>
          <w:b/>
          <w:bCs/>
          <w:color w:val="auto"/>
          <w:spacing w:val="0"/>
          <w:sz w:val="28"/>
          <w:szCs w:val="28"/>
          <w:highlight w:val="none"/>
          <w:lang w:eastAsia="zh-CN"/>
        </w:rPr>
      </w:pPr>
    </w:p>
    <w:p>
      <w:pPr>
        <w:pStyle w:val="9"/>
        <w:pageBreakBefore w:val="0"/>
        <w:kinsoku/>
        <w:wordWrap/>
        <w:overflowPunct/>
        <w:topLinePunct w:val="0"/>
        <w:bidi w:val="0"/>
        <w:spacing w:line="360" w:lineRule="auto"/>
        <w:ind w:firstLine="723" w:firstLineChars="300"/>
        <w:rPr>
          <w:rFonts w:hint="eastAsia" w:ascii="宋体" w:hAnsi="宋体" w:eastAsia="宋体" w:cs="宋体"/>
          <w:b/>
          <w:bCs/>
          <w:color w:val="auto"/>
          <w:spacing w:val="0"/>
          <w:highlight w:val="none"/>
        </w:rPr>
      </w:pPr>
    </w:p>
    <w:p>
      <w:pPr>
        <w:pStyle w:val="9"/>
        <w:pageBreakBefore w:val="0"/>
        <w:kinsoku/>
        <w:wordWrap/>
        <w:overflowPunct/>
        <w:topLinePunct w:val="0"/>
        <w:bidi w:val="0"/>
        <w:spacing w:line="360" w:lineRule="auto"/>
        <w:ind w:firstLine="723" w:firstLineChars="300"/>
        <w:rPr>
          <w:rFonts w:hint="eastAsia" w:ascii="宋体" w:hAnsi="宋体" w:eastAsia="宋体" w:cs="宋体"/>
          <w:b/>
          <w:bCs/>
          <w:color w:val="auto"/>
          <w:spacing w:val="0"/>
          <w:highlight w:val="none"/>
        </w:rPr>
      </w:pP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highlight w:val="none"/>
          <w:lang w:eastAsia="zh-CN"/>
        </w:rPr>
      </w:pP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highlight w:val="none"/>
          <w:lang w:eastAsia="zh-CN"/>
        </w:rPr>
      </w:pP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lang w:eastAsia="zh-CN"/>
        </w:rPr>
      </w:pPr>
    </w:p>
    <w:p>
      <w:pPr>
        <w:pStyle w:val="9"/>
        <w:pageBreakBefore w:val="0"/>
        <w:kinsoku/>
        <w:wordWrap/>
        <w:overflowPunct/>
        <w:topLinePunct w:val="0"/>
        <w:bidi w:val="0"/>
        <w:spacing w:line="360" w:lineRule="auto"/>
        <w:ind w:left="0" w:leftChars="0" w:firstLine="0" w:firstLineChars="0"/>
        <w:rPr>
          <w:rFonts w:hint="default"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eastAsia="zh-CN"/>
        </w:rPr>
        <w:t>项目名称：</w:t>
      </w:r>
      <w:r>
        <w:rPr>
          <w:rFonts w:hint="eastAsia" w:ascii="宋体" w:hAnsi="宋体" w:cs="宋体"/>
          <w:b/>
          <w:bCs/>
          <w:color w:val="auto"/>
          <w:spacing w:val="0"/>
          <w:sz w:val="28"/>
          <w:szCs w:val="28"/>
          <w:highlight w:val="none"/>
          <w:lang w:eastAsia="zh-CN"/>
        </w:rPr>
        <w:t>乌鲁木齐市米东区中医医院设备维保采购项目</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eastAsia="zh-CN"/>
        </w:rPr>
        <w:t>招标编号：</w:t>
      </w:r>
      <w:r>
        <w:rPr>
          <w:rFonts w:hint="eastAsia" w:ascii="宋体" w:hAnsi="宋体" w:cs="宋体"/>
          <w:b/>
          <w:bCs/>
          <w:color w:val="auto"/>
          <w:spacing w:val="0"/>
          <w:sz w:val="28"/>
          <w:szCs w:val="28"/>
          <w:highlight w:val="none"/>
          <w:lang w:eastAsia="zh-CN"/>
        </w:rPr>
        <w:t>XJCC-ZB-2023-103</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采购人</w:t>
      </w:r>
      <w:r>
        <w:rPr>
          <w:rFonts w:hint="eastAsia" w:ascii="宋体" w:hAnsi="宋体" w:eastAsia="宋体" w:cs="宋体"/>
          <w:b/>
          <w:bCs/>
          <w:color w:val="auto"/>
          <w:spacing w:val="0"/>
          <w:position w:val="0"/>
          <w:sz w:val="28"/>
          <w:szCs w:val="28"/>
          <w:highlight w:val="none"/>
          <w:lang w:eastAsia="zh-CN"/>
        </w:rPr>
        <w:t>（盖章）</w:t>
      </w:r>
      <w:r>
        <w:rPr>
          <w:rFonts w:hint="eastAsia" w:ascii="宋体" w:hAnsi="宋体" w:eastAsia="宋体" w:cs="宋体"/>
          <w:b/>
          <w:bCs/>
          <w:color w:val="auto"/>
          <w:spacing w:val="0"/>
          <w:position w:val="0"/>
          <w:sz w:val="28"/>
          <w:szCs w:val="28"/>
          <w:highlight w:val="none"/>
        </w:rPr>
        <w:t>：</w:t>
      </w:r>
      <w:r>
        <w:rPr>
          <w:rFonts w:hint="eastAsia" w:ascii="宋体" w:hAnsi="宋体" w:eastAsia="宋体" w:cs="宋体"/>
          <w:b/>
          <w:bCs/>
          <w:color w:val="auto"/>
          <w:spacing w:val="0"/>
          <w:position w:val="0"/>
          <w:sz w:val="28"/>
          <w:szCs w:val="28"/>
          <w:highlight w:val="none"/>
          <w:lang w:val="en-US" w:eastAsia="zh-CN"/>
        </w:rPr>
        <w:t xml:space="preserve"> 乌鲁木齐市米东区中医医院（盖章）</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eastAsia="zh-CN"/>
        </w:rPr>
        <w:t>联系人</w:t>
      </w:r>
      <w:r>
        <w:rPr>
          <w:rFonts w:hint="eastAsia" w:ascii="宋体" w:hAnsi="宋体" w:eastAsia="宋体" w:cs="宋体"/>
          <w:b/>
          <w:bCs/>
          <w:color w:val="auto"/>
          <w:spacing w:val="0"/>
          <w:position w:val="0"/>
          <w:sz w:val="28"/>
          <w:szCs w:val="28"/>
          <w:highlight w:val="none"/>
          <w:lang w:val="en-US" w:eastAsia="zh-CN"/>
        </w:rPr>
        <w:t>：雷佳       联系电话：(0991) 7501365</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lang w:eastAsia="zh-CN"/>
        </w:rPr>
        <w:t>联系地址：</w:t>
      </w:r>
      <w:r>
        <w:rPr>
          <w:rFonts w:hint="eastAsia" w:ascii="宋体" w:hAnsi="宋体" w:eastAsia="宋体" w:cs="宋体"/>
          <w:b/>
          <w:bCs/>
          <w:color w:val="auto"/>
          <w:spacing w:val="0"/>
          <w:position w:val="0"/>
          <w:sz w:val="28"/>
          <w:szCs w:val="28"/>
          <w:highlight w:val="none"/>
          <w:lang w:val="en-US" w:eastAsia="zh-CN"/>
        </w:rPr>
        <w:t xml:space="preserve"> 乌鲁木齐市米东区府前中路1055号</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u w:val="single"/>
          <w:lang w:eastAsia="zh-CN"/>
        </w:rPr>
      </w:pPr>
      <w:r>
        <w:rPr>
          <w:rFonts w:hint="eastAsia" w:ascii="宋体" w:hAnsi="宋体" w:eastAsia="宋体" w:cs="宋体"/>
          <w:b/>
          <w:bCs/>
          <w:color w:val="auto"/>
          <w:spacing w:val="0"/>
          <w:sz w:val="28"/>
          <w:szCs w:val="28"/>
          <w:highlight w:val="none"/>
        </w:rPr>
        <w:t>采购代理机构</w:t>
      </w:r>
      <w:r>
        <w:rPr>
          <w:rFonts w:hint="eastAsia" w:ascii="宋体" w:hAnsi="宋体" w:eastAsia="宋体" w:cs="宋体"/>
          <w:b/>
          <w:bCs/>
          <w:color w:val="auto"/>
          <w:spacing w:val="0"/>
          <w:sz w:val="28"/>
          <w:szCs w:val="28"/>
          <w:highlight w:val="none"/>
          <w:lang w:eastAsia="zh-CN"/>
        </w:rPr>
        <w:t>（盖章）</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lang w:eastAsia="zh-CN"/>
        </w:rPr>
        <w:t>新疆诚成工程项目管理有限公司</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lang w:val="en-US" w:eastAsia="zh-CN"/>
        </w:rPr>
      </w:pPr>
      <w:r>
        <w:rPr>
          <w:rFonts w:hint="eastAsia" w:ascii="宋体" w:hAnsi="宋体" w:cs="宋体"/>
          <w:b/>
          <w:bCs/>
          <w:color w:val="auto"/>
          <w:spacing w:val="0"/>
          <w:sz w:val="28"/>
          <w:szCs w:val="28"/>
          <w:highlight w:val="none"/>
          <w:lang w:val="en-US" w:eastAsia="zh-CN"/>
        </w:rPr>
        <w:t>联</w:t>
      </w:r>
      <w:r>
        <w:rPr>
          <w:rFonts w:hint="eastAsia" w:ascii="宋体" w:hAnsi="宋体" w:eastAsia="宋体" w:cs="宋体"/>
          <w:b/>
          <w:bCs/>
          <w:color w:val="auto"/>
          <w:spacing w:val="0"/>
          <w:sz w:val="28"/>
          <w:szCs w:val="28"/>
          <w:highlight w:val="none"/>
          <w:lang w:val="en-US" w:eastAsia="zh-CN"/>
        </w:rPr>
        <w:t>系人：赵雅琦 李颖　</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联系电话：19990210962  18690136275</w:t>
      </w:r>
    </w:p>
    <w:p>
      <w:pPr>
        <w:pStyle w:val="9"/>
        <w:pageBreakBefore w:val="0"/>
        <w:kinsoku/>
        <w:wordWrap/>
        <w:overflowPunct/>
        <w:topLinePunct w:val="0"/>
        <w:bidi w:val="0"/>
        <w:spacing w:line="360" w:lineRule="auto"/>
        <w:ind w:left="0" w:leftChars="0" w:firstLine="0" w:firstLineChars="0"/>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eastAsia="zh-CN"/>
        </w:rPr>
        <w:t>联系地址：乌鲁木齐市水磨沟区红光山路2588号绿地中心</w:t>
      </w:r>
    </w:p>
    <w:p>
      <w:pPr>
        <w:pStyle w:val="9"/>
        <w:pageBreakBefore w:val="0"/>
        <w:kinsoku/>
        <w:wordWrap/>
        <w:overflowPunct/>
        <w:topLinePunct w:val="0"/>
        <w:bidi w:val="0"/>
        <w:spacing w:line="360" w:lineRule="auto"/>
        <w:ind w:left="0" w:leftChars="0" w:firstLine="1405" w:firstLineChars="500"/>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lang w:eastAsia="zh-CN"/>
        </w:rPr>
        <w:t>101栋1806室</w:t>
      </w:r>
    </w:p>
    <w:p>
      <w:pPr>
        <w:pStyle w:val="9"/>
        <w:spacing w:line="240" w:lineRule="auto"/>
        <w:ind w:left="0" w:leftChars="0" w:firstLine="0" w:firstLineChars="0"/>
        <w:jc w:val="both"/>
        <w:rPr>
          <w:rFonts w:hint="eastAsia" w:ascii="宋体" w:hAnsi="宋体" w:eastAsia="宋体" w:cs="宋体"/>
          <w:b/>
          <w:bCs/>
          <w:color w:val="auto"/>
          <w:spacing w:val="0"/>
          <w:sz w:val="28"/>
          <w:szCs w:val="28"/>
          <w:highlight w:val="none"/>
        </w:rPr>
      </w:pPr>
      <w:bookmarkStart w:id="0" w:name="EBad5fb9b79797401bae5ba8a0a3b3cb20"/>
      <w:bookmarkEnd w:id="0"/>
      <w:r>
        <w:rPr>
          <w:rFonts w:hint="eastAsia" w:ascii="宋体" w:hAnsi="宋体" w:eastAsia="宋体" w:cs="宋体"/>
          <w:b/>
          <w:bCs/>
          <w:color w:val="auto"/>
          <w:spacing w:val="0"/>
          <w:sz w:val="28"/>
          <w:szCs w:val="28"/>
          <w:highlight w:val="none"/>
        </w:rPr>
        <w:t>日期：</w:t>
      </w:r>
      <w:bookmarkStart w:id="153" w:name="_GoBack"/>
      <w:r>
        <w:rPr>
          <w:rFonts w:hint="eastAsia" w:ascii="宋体" w:hAnsi="宋体" w:eastAsia="宋体" w:cs="宋体"/>
          <w:b/>
          <w:bCs/>
          <w:color w:val="auto"/>
          <w:spacing w:val="0"/>
          <w:sz w:val="28"/>
          <w:szCs w:val="28"/>
          <w:highlight w:val="none"/>
        </w:rPr>
        <w:t>202</w:t>
      </w:r>
      <w:r>
        <w:rPr>
          <w:rFonts w:hint="eastAsia" w:ascii="宋体" w:hAnsi="宋体" w:eastAsia="宋体" w:cs="宋体"/>
          <w:b/>
          <w:bCs/>
          <w:color w:val="auto"/>
          <w:spacing w:val="0"/>
          <w:sz w:val="28"/>
          <w:szCs w:val="28"/>
          <w:highlight w:val="none"/>
          <w:lang w:val="en-US" w:eastAsia="zh-CN"/>
        </w:rPr>
        <w:t>3</w:t>
      </w:r>
      <w:bookmarkEnd w:id="153"/>
      <w:r>
        <w:rPr>
          <w:rFonts w:hint="eastAsia" w:ascii="宋体" w:hAnsi="宋体" w:eastAsia="宋体" w:cs="宋体"/>
          <w:b/>
          <w:bCs/>
          <w:color w:val="auto"/>
          <w:spacing w:val="0"/>
          <w:sz w:val="28"/>
          <w:szCs w:val="28"/>
          <w:highlight w:val="none"/>
        </w:rPr>
        <w:t>年</w:t>
      </w:r>
      <w:r>
        <w:rPr>
          <w:rFonts w:hint="eastAsia" w:ascii="宋体" w:hAnsi="宋体" w:cs="宋体"/>
          <w:b/>
          <w:bCs/>
          <w:color w:val="auto"/>
          <w:spacing w:val="0"/>
          <w:sz w:val="28"/>
          <w:szCs w:val="28"/>
          <w:highlight w:val="none"/>
          <w:lang w:val="en-US" w:eastAsia="zh-CN"/>
        </w:rPr>
        <w:t>09</w:t>
      </w:r>
      <w:r>
        <w:rPr>
          <w:rFonts w:hint="eastAsia" w:ascii="宋体" w:hAnsi="宋体" w:eastAsia="宋体" w:cs="宋体"/>
          <w:b/>
          <w:bCs/>
          <w:color w:val="auto"/>
          <w:spacing w:val="0"/>
          <w:sz w:val="28"/>
          <w:szCs w:val="28"/>
          <w:highlight w:val="none"/>
        </w:rPr>
        <w:t>月</w:t>
      </w:r>
    </w:p>
    <w:p>
      <w:pPr>
        <w:spacing w:line="500" w:lineRule="exact"/>
        <w:ind w:left="849" w:hanging="853" w:hangingChars="193"/>
        <w:jc w:val="center"/>
        <w:rPr>
          <w:rFonts w:ascii="宋体" w:hAnsi="宋体"/>
          <w:b/>
          <w:color w:val="auto"/>
          <w:sz w:val="44"/>
          <w:highlight w:val="none"/>
          <w:lang w:val="zh-CN"/>
        </w:rPr>
        <w:sectPr>
          <w:pgSz w:w="11906" w:h="16838"/>
          <w:pgMar w:top="1440" w:right="1797" w:bottom="1440" w:left="1797" w:header="851" w:footer="992" w:gutter="0"/>
          <w:pgNumType w:fmt="decimal" w:start="1"/>
          <w:cols w:space="425" w:num="1"/>
          <w:docGrid w:linePitch="312" w:charSpace="0"/>
        </w:sectPr>
      </w:pPr>
    </w:p>
    <w:p>
      <w:pPr>
        <w:spacing w:line="500" w:lineRule="exact"/>
        <w:ind w:left="849" w:hanging="853" w:hangingChars="193"/>
        <w:jc w:val="center"/>
        <w:rPr>
          <w:rFonts w:hint="eastAsia" w:ascii="宋体" w:hAnsi="宋体"/>
          <w:b/>
          <w:color w:val="auto"/>
          <w:sz w:val="44"/>
          <w:highlight w:val="none"/>
          <w:lang w:val="zh-CN"/>
        </w:rPr>
      </w:pPr>
      <w:r>
        <w:rPr>
          <w:rFonts w:ascii="宋体" w:hAnsi="宋体"/>
          <w:b/>
          <w:color w:val="auto"/>
          <w:sz w:val="44"/>
          <w:highlight w:val="none"/>
          <w:lang w:val="zh-CN"/>
        </w:rPr>
        <w:t>目</w:t>
      </w:r>
      <w:r>
        <w:rPr>
          <w:rFonts w:hint="eastAsia" w:ascii="宋体" w:hAnsi="宋体"/>
          <w:b/>
          <w:color w:val="auto"/>
          <w:sz w:val="44"/>
          <w:highlight w:val="none"/>
          <w:lang w:val="zh-CN"/>
        </w:rPr>
        <w:t xml:space="preserve">    </w:t>
      </w:r>
      <w:r>
        <w:rPr>
          <w:rFonts w:ascii="宋体" w:hAnsi="宋体"/>
          <w:b/>
          <w:color w:val="auto"/>
          <w:sz w:val="44"/>
          <w:highlight w:val="none"/>
          <w:lang w:val="zh-CN"/>
        </w:rPr>
        <w:t>录</w:t>
      </w:r>
    </w:p>
    <w:p>
      <w:pPr>
        <w:pStyle w:val="13"/>
        <w:tabs>
          <w:tab w:val="right" w:leader="dot" w:pos="8312"/>
        </w:tabs>
        <w:rPr>
          <w:color w:val="auto"/>
          <w:sz w:val="24"/>
          <w:szCs w:val="18"/>
          <w:highlight w:val="none"/>
        </w:rPr>
      </w:pPr>
      <w:r>
        <w:rPr>
          <w:rFonts w:ascii="宋体" w:hAnsi="宋体"/>
          <w:color w:val="auto"/>
          <w:sz w:val="24"/>
          <w:szCs w:val="18"/>
          <w:highlight w:val="none"/>
        </w:rPr>
        <w:fldChar w:fldCharType="begin"/>
      </w:r>
      <w:r>
        <w:rPr>
          <w:rFonts w:ascii="宋体" w:hAnsi="宋体"/>
          <w:color w:val="auto"/>
          <w:sz w:val="24"/>
          <w:szCs w:val="18"/>
          <w:highlight w:val="none"/>
        </w:rPr>
        <w:instrText xml:space="preserve"> TOC \h \z \u \t "标题 1,1,标题 2,2" </w:instrText>
      </w:r>
      <w:r>
        <w:rPr>
          <w:rFonts w:ascii="宋体" w:hAnsi="宋体"/>
          <w:color w:val="auto"/>
          <w:sz w:val="24"/>
          <w:szCs w:val="18"/>
          <w:highlight w:val="none"/>
        </w:rPr>
        <w:fldChar w:fldCharType="separate"/>
      </w:r>
      <w:bookmarkStart w:id="1" w:name="_Toc18304"/>
      <w:bookmarkEnd w:id="1"/>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_Toc5887 </w:instrText>
      </w:r>
      <w:r>
        <w:rPr>
          <w:rFonts w:ascii="宋体" w:hAnsi="宋体"/>
          <w:color w:val="auto"/>
          <w:sz w:val="24"/>
          <w:szCs w:val="16"/>
          <w:highlight w:val="none"/>
        </w:rPr>
        <w:fldChar w:fldCharType="separate"/>
      </w:r>
      <w:r>
        <w:rPr>
          <w:rFonts w:hint="eastAsia" w:cs="Times New Roman" w:asciiTheme="majorEastAsia" w:hAnsiTheme="majorEastAsia" w:eastAsiaTheme="majorEastAsia"/>
          <w:color w:val="auto"/>
          <w:sz w:val="24"/>
          <w:szCs w:val="18"/>
          <w:highlight w:val="none"/>
        </w:rPr>
        <w:t xml:space="preserve">第一章 </w:t>
      </w:r>
      <w:r>
        <w:rPr>
          <w:rFonts w:hint="eastAsia" w:cs="Times New Roman" w:asciiTheme="majorEastAsia" w:hAnsiTheme="majorEastAsia" w:eastAsiaTheme="majorEastAsia"/>
          <w:color w:val="auto"/>
          <w:sz w:val="24"/>
          <w:szCs w:val="18"/>
          <w:highlight w:val="none"/>
        </w:rPr>
        <w:t>竞争性磋商公告</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_Toc5887 \h </w:instrText>
      </w:r>
      <w:r>
        <w:rPr>
          <w:color w:val="auto"/>
          <w:sz w:val="24"/>
          <w:szCs w:val="18"/>
          <w:highlight w:val="none"/>
        </w:rPr>
        <w:fldChar w:fldCharType="separate"/>
      </w:r>
      <w:r>
        <w:rPr>
          <w:color w:val="auto"/>
          <w:sz w:val="24"/>
          <w:szCs w:val="18"/>
          <w:highlight w:val="none"/>
        </w:rPr>
        <w:t>2</w:t>
      </w:r>
      <w:r>
        <w:rPr>
          <w:color w:val="auto"/>
          <w:sz w:val="24"/>
          <w:szCs w:val="18"/>
          <w:highlight w:val="none"/>
        </w:rPr>
        <w:fldChar w:fldCharType="end"/>
      </w:r>
      <w:r>
        <w:rPr>
          <w:rFonts w:ascii="宋体" w:hAnsi="宋体"/>
          <w:color w:val="auto"/>
          <w:sz w:val="24"/>
          <w:szCs w:val="16"/>
          <w:highlight w:val="none"/>
        </w:rPr>
        <w:fldChar w:fldCharType="end"/>
      </w:r>
    </w:p>
    <w:p>
      <w:pPr>
        <w:pStyle w:val="13"/>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_Toc24450 </w:instrText>
      </w:r>
      <w:r>
        <w:rPr>
          <w:rFonts w:ascii="宋体" w:hAnsi="宋体"/>
          <w:color w:val="auto"/>
          <w:sz w:val="24"/>
          <w:szCs w:val="16"/>
          <w:highlight w:val="none"/>
        </w:rPr>
        <w:fldChar w:fldCharType="separate"/>
      </w:r>
      <w:r>
        <w:rPr>
          <w:rFonts w:hint="eastAsia"/>
          <w:color w:val="auto"/>
          <w:sz w:val="24"/>
          <w:szCs w:val="18"/>
          <w:highlight w:val="none"/>
        </w:rPr>
        <w:t xml:space="preserve">第二章 </w:t>
      </w:r>
      <w:r>
        <w:rPr>
          <w:rFonts w:hint="eastAsia"/>
          <w:color w:val="auto"/>
          <w:sz w:val="24"/>
          <w:szCs w:val="18"/>
          <w:highlight w:val="none"/>
        </w:rPr>
        <w:t>供应商须知</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_Toc24450 \h </w:instrText>
      </w:r>
      <w:r>
        <w:rPr>
          <w:color w:val="auto"/>
          <w:sz w:val="24"/>
          <w:szCs w:val="18"/>
          <w:highlight w:val="none"/>
        </w:rPr>
        <w:fldChar w:fldCharType="separate"/>
      </w:r>
      <w:r>
        <w:rPr>
          <w:color w:val="auto"/>
          <w:sz w:val="24"/>
          <w:szCs w:val="18"/>
          <w:highlight w:val="none"/>
        </w:rPr>
        <w:t>6</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_Toc6730 </w:instrText>
      </w:r>
      <w:r>
        <w:rPr>
          <w:rFonts w:ascii="宋体" w:hAnsi="宋体"/>
          <w:color w:val="auto"/>
          <w:sz w:val="24"/>
          <w:szCs w:val="16"/>
          <w:highlight w:val="none"/>
        </w:rPr>
        <w:fldChar w:fldCharType="separate"/>
      </w:r>
      <w:r>
        <w:rPr>
          <w:rFonts w:hint="eastAsia"/>
          <w:color w:val="auto"/>
          <w:sz w:val="24"/>
          <w:szCs w:val="18"/>
          <w:highlight w:val="none"/>
        </w:rPr>
        <w:t>一、 说明</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_Toc6730 \h </w:instrText>
      </w:r>
      <w:r>
        <w:rPr>
          <w:color w:val="auto"/>
          <w:sz w:val="24"/>
          <w:szCs w:val="18"/>
          <w:highlight w:val="none"/>
        </w:rPr>
        <w:fldChar w:fldCharType="separate"/>
      </w:r>
      <w:r>
        <w:rPr>
          <w:color w:val="auto"/>
          <w:sz w:val="24"/>
          <w:szCs w:val="18"/>
          <w:highlight w:val="none"/>
        </w:rPr>
        <w:t>12</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_Toc31275 </w:instrText>
      </w:r>
      <w:r>
        <w:rPr>
          <w:rFonts w:ascii="宋体" w:hAnsi="宋体"/>
          <w:color w:val="auto"/>
          <w:sz w:val="24"/>
          <w:szCs w:val="16"/>
          <w:highlight w:val="none"/>
        </w:rPr>
        <w:fldChar w:fldCharType="separate"/>
      </w:r>
      <w:r>
        <w:rPr>
          <w:rFonts w:hint="eastAsia"/>
          <w:color w:val="auto"/>
          <w:sz w:val="24"/>
          <w:szCs w:val="18"/>
          <w:highlight w:val="none"/>
        </w:rPr>
        <w:t>二、磋商文件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_Toc31275 \h </w:instrText>
      </w:r>
      <w:r>
        <w:rPr>
          <w:color w:val="auto"/>
          <w:sz w:val="24"/>
          <w:szCs w:val="18"/>
          <w:highlight w:val="none"/>
        </w:rPr>
        <w:fldChar w:fldCharType="separate"/>
      </w:r>
      <w:r>
        <w:rPr>
          <w:color w:val="auto"/>
          <w:sz w:val="24"/>
          <w:szCs w:val="18"/>
          <w:highlight w:val="none"/>
        </w:rPr>
        <w:t>12</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_Toc582 </w:instrText>
      </w:r>
      <w:r>
        <w:rPr>
          <w:rFonts w:ascii="宋体" w:hAnsi="宋体"/>
          <w:color w:val="auto"/>
          <w:sz w:val="24"/>
          <w:szCs w:val="16"/>
          <w:highlight w:val="none"/>
        </w:rPr>
        <w:fldChar w:fldCharType="separate"/>
      </w:r>
      <w:r>
        <w:rPr>
          <w:rFonts w:hint="eastAsia"/>
          <w:color w:val="auto"/>
          <w:sz w:val="24"/>
          <w:szCs w:val="18"/>
          <w:highlight w:val="none"/>
        </w:rPr>
        <w:t>三、响应文件的编制和数量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_Toc582 \h </w:instrText>
      </w:r>
      <w:r>
        <w:rPr>
          <w:color w:val="auto"/>
          <w:sz w:val="24"/>
          <w:szCs w:val="18"/>
          <w:highlight w:val="none"/>
        </w:rPr>
        <w:fldChar w:fldCharType="separate"/>
      </w:r>
      <w:r>
        <w:rPr>
          <w:color w:val="auto"/>
          <w:sz w:val="24"/>
          <w:szCs w:val="18"/>
          <w:highlight w:val="none"/>
        </w:rPr>
        <w:t>14</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_Toc10605 </w:instrText>
      </w:r>
      <w:r>
        <w:rPr>
          <w:rFonts w:ascii="宋体" w:hAnsi="宋体"/>
          <w:color w:val="auto"/>
          <w:sz w:val="24"/>
          <w:szCs w:val="16"/>
          <w:highlight w:val="none"/>
        </w:rPr>
        <w:fldChar w:fldCharType="separate"/>
      </w:r>
      <w:r>
        <w:rPr>
          <w:rFonts w:hint="eastAsia" w:ascii="宋体" w:hAnsi="宋体" w:eastAsia="宋体" w:cs="Times New Roman"/>
          <w:bCs/>
          <w:color w:val="auto"/>
          <w:kern w:val="0"/>
          <w:sz w:val="24"/>
          <w:szCs w:val="24"/>
          <w:highlight w:val="none"/>
          <w:lang w:val="en-US" w:eastAsia="zh-CN" w:bidi="ar-SA"/>
        </w:rPr>
        <w:t>四、响应文件的递交</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_Toc10605 \h </w:instrText>
      </w:r>
      <w:r>
        <w:rPr>
          <w:color w:val="auto"/>
          <w:sz w:val="24"/>
          <w:szCs w:val="18"/>
          <w:highlight w:val="none"/>
        </w:rPr>
        <w:fldChar w:fldCharType="separate"/>
      </w:r>
      <w:r>
        <w:rPr>
          <w:color w:val="auto"/>
          <w:sz w:val="24"/>
          <w:szCs w:val="18"/>
          <w:highlight w:val="none"/>
        </w:rPr>
        <w:t>17</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_Toc4486 </w:instrText>
      </w:r>
      <w:r>
        <w:rPr>
          <w:rFonts w:ascii="宋体" w:hAnsi="宋体"/>
          <w:color w:val="auto"/>
          <w:sz w:val="24"/>
          <w:szCs w:val="16"/>
          <w:highlight w:val="none"/>
        </w:rPr>
        <w:fldChar w:fldCharType="separate"/>
      </w:r>
      <w:r>
        <w:rPr>
          <w:rFonts w:hint="eastAsia"/>
          <w:color w:val="auto"/>
          <w:sz w:val="24"/>
          <w:szCs w:val="18"/>
          <w:highlight w:val="none"/>
        </w:rPr>
        <w:t>五、竞争性磋商程序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_Toc4486 \h </w:instrText>
      </w:r>
      <w:r>
        <w:rPr>
          <w:color w:val="auto"/>
          <w:sz w:val="24"/>
          <w:szCs w:val="18"/>
          <w:highlight w:val="none"/>
        </w:rPr>
        <w:fldChar w:fldCharType="separate"/>
      </w:r>
      <w:r>
        <w:rPr>
          <w:color w:val="auto"/>
          <w:sz w:val="24"/>
          <w:szCs w:val="18"/>
          <w:highlight w:val="none"/>
        </w:rPr>
        <w:t>18</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_Toc11457 </w:instrText>
      </w:r>
      <w:r>
        <w:rPr>
          <w:rFonts w:ascii="宋体" w:hAnsi="宋体"/>
          <w:color w:val="auto"/>
          <w:sz w:val="24"/>
          <w:szCs w:val="16"/>
          <w:highlight w:val="none"/>
        </w:rPr>
        <w:fldChar w:fldCharType="separate"/>
      </w:r>
      <w:r>
        <w:rPr>
          <w:rFonts w:hint="eastAsia"/>
          <w:color w:val="auto"/>
          <w:sz w:val="24"/>
          <w:szCs w:val="18"/>
          <w:highlight w:val="none"/>
        </w:rPr>
        <w:t>六、 授予合同</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_Toc11457 \h </w:instrText>
      </w:r>
      <w:r>
        <w:rPr>
          <w:color w:val="auto"/>
          <w:sz w:val="24"/>
          <w:szCs w:val="18"/>
          <w:highlight w:val="none"/>
        </w:rPr>
        <w:fldChar w:fldCharType="separate"/>
      </w:r>
      <w:r>
        <w:rPr>
          <w:color w:val="auto"/>
          <w:sz w:val="24"/>
          <w:szCs w:val="18"/>
          <w:highlight w:val="none"/>
        </w:rPr>
        <w:t>22</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_Toc23528 </w:instrText>
      </w:r>
      <w:r>
        <w:rPr>
          <w:rFonts w:ascii="宋体" w:hAnsi="宋体"/>
          <w:color w:val="auto"/>
          <w:sz w:val="24"/>
          <w:szCs w:val="16"/>
          <w:highlight w:val="none"/>
        </w:rPr>
        <w:fldChar w:fldCharType="separate"/>
      </w:r>
      <w:r>
        <w:rPr>
          <w:rFonts w:hint="eastAsia" w:cs="Times New Roman"/>
          <w:color w:val="auto"/>
          <w:sz w:val="24"/>
          <w:szCs w:val="18"/>
          <w:highlight w:val="none"/>
        </w:rPr>
        <w:t>七、质疑和投诉</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_Toc23528 \h </w:instrText>
      </w:r>
      <w:r>
        <w:rPr>
          <w:color w:val="auto"/>
          <w:sz w:val="24"/>
          <w:szCs w:val="18"/>
          <w:highlight w:val="none"/>
        </w:rPr>
        <w:fldChar w:fldCharType="separate"/>
      </w:r>
      <w:r>
        <w:rPr>
          <w:color w:val="auto"/>
          <w:sz w:val="24"/>
          <w:szCs w:val="18"/>
          <w:highlight w:val="none"/>
        </w:rPr>
        <w:t>22</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_Toc6558 </w:instrText>
      </w:r>
      <w:r>
        <w:rPr>
          <w:rFonts w:ascii="宋体" w:hAnsi="宋体"/>
          <w:color w:val="auto"/>
          <w:sz w:val="24"/>
          <w:szCs w:val="16"/>
          <w:highlight w:val="none"/>
        </w:rPr>
        <w:fldChar w:fldCharType="separate"/>
      </w:r>
      <w:r>
        <w:rPr>
          <w:rFonts w:hint="eastAsia"/>
          <w:color w:val="auto"/>
          <w:sz w:val="24"/>
          <w:szCs w:val="18"/>
          <w:highlight w:val="none"/>
        </w:rPr>
        <w:t>八、项目验收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_Toc6558 \h </w:instrText>
      </w:r>
      <w:r>
        <w:rPr>
          <w:color w:val="auto"/>
          <w:sz w:val="24"/>
          <w:szCs w:val="18"/>
          <w:highlight w:val="none"/>
        </w:rPr>
        <w:fldChar w:fldCharType="separate"/>
      </w:r>
      <w:r>
        <w:rPr>
          <w:color w:val="auto"/>
          <w:sz w:val="24"/>
          <w:szCs w:val="18"/>
          <w:highlight w:val="none"/>
        </w:rPr>
        <w:t>24</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_Toc22001 </w:instrText>
      </w:r>
      <w:r>
        <w:rPr>
          <w:rFonts w:ascii="宋体" w:hAnsi="宋体"/>
          <w:color w:val="auto"/>
          <w:sz w:val="24"/>
          <w:szCs w:val="16"/>
          <w:highlight w:val="none"/>
        </w:rPr>
        <w:fldChar w:fldCharType="separate"/>
      </w:r>
      <w:r>
        <w:rPr>
          <w:rFonts w:hint="eastAsia"/>
          <w:color w:val="auto"/>
          <w:sz w:val="24"/>
          <w:szCs w:val="18"/>
          <w:highlight w:val="none"/>
        </w:rPr>
        <w:t>九、适用法律</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_Toc22001 \h </w:instrText>
      </w:r>
      <w:r>
        <w:rPr>
          <w:color w:val="auto"/>
          <w:sz w:val="24"/>
          <w:szCs w:val="18"/>
          <w:highlight w:val="none"/>
        </w:rPr>
        <w:fldChar w:fldCharType="separate"/>
      </w:r>
      <w:r>
        <w:rPr>
          <w:color w:val="auto"/>
          <w:sz w:val="24"/>
          <w:szCs w:val="18"/>
          <w:highlight w:val="none"/>
        </w:rPr>
        <w:t>24</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_Toc31688 </w:instrText>
      </w:r>
      <w:r>
        <w:rPr>
          <w:rFonts w:ascii="宋体" w:hAnsi="宋体"/>
          <w:color w:val="auto"/>
          <w:sz w:val="24"/>
          <w:szCs w:val="16"/>
          <w:highlight w:val="none"/>
        </w:rPr>
        <w:fldChar w:fldCharType="separate"/>
      </w:r>
      <w:r>
        <w:rPr>
          <w:rFonts w:hint="eastAsia"/>
          <w:color w:val="auto"/>
          <w:sz w:val="24"/>
          <w:szCs w:val="18"/>
          <w:highlight w:val="none"/>
        </w:rPr>
        <w:t>十、磋商文件的解释权</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_Toc31688 \h </w:instrText>
      </w:r>
      <w:r>
        <w:rPr>
          <w:color w:val="auto"/>
          <w:sz w:val="24"/>
          <w:szCs w:val="18"/>
          <w:highlight w:val="none"/>
        </w:rPr>
        <w:fldChar w:fldCharType="separate"/>
      </w:r>
      <w:r>
        <w:rPr>
          <w:color w:val="auto"/>
          <w:sz w:val="24"/>
          <w:szCs w:val="18"/>
          <w:highlight w:val="none"/>
        </w:rPr>
        <w:t>24</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_Toc2113 </w:instrText>
      </w:r>
      <w:r>
        <w:rPr>
          <w:rFonts w:ascii="宋体" w:hAnsi="宋体"/>
          <w:color w:val="auto"/>
          <w:sz w:val="24"/>
          <w:szCs w:val="16"/>
          <w:highlight w:val="none"/>
        </w:rPr>
        <w:fldChar w:fldCharType="separate"/>
      </w:r>
      <w:r>
        <w:rPr>
          <w:rFonts w:hint="eastAsia"/>
          <w:color w:val="auto"/>
          <w:sz w:val="24"/>
          <w:szCs w:val="18"/>
          <w:highlight w:val="none"/>
        </w:rPr>
        <w:t>十一、其他注意事项</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_Toc2113 \h </w:instrText>
      </w:r>
      <w:r>
        <w:rPr>
          <w:color w:val="auto"/>
          <w:sz w:val="24"/>
          <w:szCs w:val="18"/>
          <w:highlight w:val="none"/>
        </w:rPr>
        <w:fldChar w:fldCharType="separate"/>
      </w:r>
      <w:r>
        <w:rPr>
          <w:color w:val="auto"/>
          <w:sz w:val="24"/>
          <w:szCs w:val="18"/>
          <w:highlight w:val="none"/>
        </w:rPr>
        <w:t>25</w:t>
      </w:r>
      <w:r>
        <w:rPr>
          <w:color w:val="auto"/>
          <w:sz w:val="24"/>
          <w:szCs w:val="18"/>
          <w:highlight w:val="none"/>
        </w:rPr>
        <w:fldChar w:fldCharType="end"/>
      </w:r>
      <w:r>
        <w:rPr>
          <w:rFonts w:ascii="宋体" w:hAnsi="宋体"/>
          <w:color w:val="auto"/>
          <w:sz w:val="24"/>
          <w:szCs w:val="16"/>
          <w:highlight w:val="none"/>
        </w:rPr>
        <w:fldChar w:fldCharType="end"/>
      </w:r>
    </w:p>
    <w:p>
      <w:pPr>
        <w:pStyle w:val="13"/>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_Toc32140 </w:instrText>
      </w:r>
      <w:r>
        <w:rPr>
          <w:rFonts w:ascii="宋体" w:hAnsi="宋体"/>
          <w:color w:val="auto"/>
          <w:sz w:val="24"/>
          <w:szCs w:val="16"/>
          <w:highlight w:val="none"/>
        </w:rPr>
        <w:fldChar w:fldCharType="separate"/>
      </w:r>
      <w:r>
        <w:rPr>
          <w:rFonts w:hint="eastAsia"/>
          <w:color w:val="auto"/>
          <w:sz w:val="24"/>
          <w:szCs w:val="18"/>
          <w:highlight w:val="none"/>
          <w:lang w:eastAsia="zh-CN"/>
        </w:rPr>
        <w:t xml:space="preserve">第三章 </w:t>
      </w:r>
      <w:r>
        <w:rPr>
          <w:rFonts w:hint="eastAsia"/>
          <w:color w:val="auto"/>
          <w:sz w:val="24"/>
          <w:szCs w:val="18"/>
          <w:highlight w:val="none"/>
        </w:rPr>
        <w:t>采购项目技术规格、参数及要求</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_Toc32140 \h </w:instrText>
      </w:r>
      <w:r>
        <w:rPr>
          <w:color w:val="auto"/>
          <w:sz w:val="24"/>
          <w:szCs w:val="18"/>
          <w:highlight w:val="none"/>
        </w:rPr>
        <w:fldChar w:fldCharType="separate"/>
      </w:r>
      <w:r>
        <w:rPr>
          <w:color w:val="auto"/>
          <w:sz w:val="24"/>
          <w:szCs w:val="18"/>
          <w:highlight w:val="none"/>
        </w:rPr>
        <w:t>26</w:t>
      </w:r>
      <w:r>
        <w:rPr>
          <w:color w:val="auto"/>
          <w:sz w:val="24"/>
          <w:szCs w:val="18"/>
          <w:highlight w:val="none"/>
        </w:rPr>
        <w:fldChar w:fldCharType="end"/>
      </w:r>
      <w:r>
        <w:rPr>
          <w:rFonts w:ascii="宋体" w:hAnsi="宋体"/>
          <w:color w:val="auto"/>
          <w:sz w:val="24"/>
          <w:szCs w:val="16"/>
          <w:highlight w:val="none"/>
        </w:rPr>
        <w:fldChar w:fldCharType="end"/>
      </w:r>
    </w:p>
    <w:p>
      <w:pPr>
        <w:pStyle w:val="13"/>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_Toc20339 </w:instrText>
      </w:r>
      <w:r>
        <w:rPr>
          <w:rFonts w:ascii="宋体" w:hAnsi="宋体"/>
          <w:color w:val="auto"/>
          <w:sz w:val="24"/>
          <w:szCs w:val="16"/>
          <w:highlight w:val="none"/>
        </w:rPr>
        <w:fldChar w:fldCharType="separate"/>
      </w:r>
      <w:r>
        <w:rPr>
          <w:rFonts w:hint="eastAsia" w:ascii="Times New Roman" w:hAnsi="Times New Roman" w:eastAsia="宋体" w:cs="Times New Roman"/>
          <w:bCs w:val="0"/>
          <w:color w:val="auto"/>
          <w:kern w:val="44"/>
          <w:sz w:val="24"/>
          <w:szCs w:val="40"/>
          <w:highlight w:val="none"/>
          <w:lang w:val="en-US" w:eastAsia="zh-CN" w:bidi="ar-SA"/>
        </w:rPr>
        <w:t>第四章   评审方法</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_Toc20339 \h </w:instrText>
      </w:r>
      <w:r>
        <w:rPr>
          <w:color w:val="auto"/>
          <w:sz w:val="24"/>
          <w:szCs w:val="18"/>
          <w:highlight w:val="none"/>
        </w:rPr>
        <w:fldChar w:fldCharType="separate"/>
      </w:r>
      <w:r>
        <w:rPr>
          <w:color w:val="auto"/>
          <w:sz w:val="24"/>
          <w:szCs w:val="18"/>
          <w:highlight w:val="none"/>
        </w:rPr>
        <w:t>29</w:t>
      </w:r>
      <w:r>
        <w:rPr>
          <w:color w:val="auto"/>
          <w:sz w:val="24"/>
          <w:szCs w:val="18"/>
          <w:highlight w:val="none"/>
        </w:rPr>
        <w:fldChar w:fldCharType="end"/>
      </w:r>
      <w:r>
        <w:rPr>
          <w:rFonts w:ascii="宋体" w:hAnsi="宋体"/>
          <w:color w:val="auto"/>
          <w:sz w:val="24"/>
          <w:szCs w:val="16"/>
          <w:highlight w:val="none"/>
        </w:rPr>
        <w:fldChar w:fldCharType="end"/>
      </w:r>
    </w:p>
    <w:p>
      <w:pPr>
        <w:pStyle w:val="13"/>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_Toc32405 </w:instrText>
      </w:r>
      <w:r>
        <w:rPr>
          <w:rFonts w:ascii="宋体" w:hAnsi="宋体"/>
          <w:color w:val="auto"/>
          <w:sz w:val="24"/>
          <w:szCs w:val="16"/>
          <w:highlight w:val="none"/>
        </w:rPr>
        <w:fldChar w:fldCharType="separate"/>
      </w:r>
      <w:r>
        <w:rPr>
          <w:rFonts w:hint="eastAsia"/>
          <w:color w:val="auto"/>
          <w:sz w:val="24"/>
          <w:szCs w:val="32"/>
          <w:highlight w:val="none"/>
        </w:rPr>
        <w:t>第</w:t>
      </w:r>
      <w:r>
        <w:rPr>
          <w:rFonts w:hint="eastAsia"/>
          <w:color w:val="auto"/>
          <w:sz w:val="24"/>
          <w:szCs w:val="32"/>
          <w:highlight w:val="none"/>
          <w:lang w:val="en-US" w:eastAsia="zh-CN"/>
        </w:rPr>
        <w:t>五</w:t>
      </w:r>
      <w:r>
        <w:rPr>
          <w:rFonts w:hint="eastAsia"/>
          <w:color w:val="auto"/>
          <w:sz w:val="24"/>
          <w:szCs w:val="32"/>
          <w:highlight w:val="none"/>
        </w:rPr>
        <w:t xml:space="preserve">章  </w:t>
      </w:r>
      <w:r>
        <w:rPr>
          <w:rFonts w:hint="eastAsia"/>
          <w:color w:val="auto"/>
          <w:sz w:val="24"/>
          <w:szCs w:val="32"/>
          <w:highlight w:val="none"/>
          <w:lang w:eastAsia="zh-CN"/>
        </w:rPr>
        <w:t>合同格式</w:t>
      </w:r>
      <w:r>
        <w:rPr>
          <w:rFonts w:hint="eastAsia"/>
          <w:color w:val="auto"/>
          <w:sz w:val="24"/>
          <w:szCs w:val="32"/>
          <w:highlight w:val="none"/>
        </w:rPr>
        <w:t>及</w:t>
      </w:r>
      <w:r>
        <w:rPr>
          <w:rFonts w:hint="eastAsia"/>
          <w:color w:val="auto"/>
          <w:sz w:val="24"/>
          <w:szCs w:val="32"/>
          <w:highlight w:val="none"/>
          <w:lang w:eastAsia="zh-CN"/>
        </w:rPr>
        <w:t>合同</w:t>
      </w:r>
      <w:r>
        <w:rPr>
          <w:rFonts w:hint="eastAsia"/>
          <w:color w:val="auto"/>
          <w:sz w:val="24"/>
          <w:szCs w:val="32"/>
          <w:highlight w:val="none"/>
        </w:rPr>
        <w:t>条款</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_Toc32405 \h </w:instrText>
      </w:r>
      <w:r>
        <w:rPr>
          <w:color w:val="auto"/>
          <w:sz w:val="24"/>
          <w:szCs w:val="18"/>
          <w:highlight w:val="none"/>
        </w:rPr>
        <w:fldChar w:fldCharType="separate"/>
      </w:r>
      <w:r>
        <w:rPr>
          <w:color w:val="auto"/>
          <w:sz w:val="24"/>
          <w:szCs w:val="18"/>
          <w:highlight w:val="none"/>
        </w:rPr>
        <w:t>34</w:t>
      </w:r>
      <w:r>
        <w:rPr>
          <w:color w:val="auto"/>
          <w:sz w:val="24"/>
          <w:szCs w:val="18"/>
          <w:highlight w:val="none"/>
        </w:rPr>
        <w:fldChar w:fldCharType="end"/>
      </w:r>
      <w:r>
        <w:rPr>
          <w:rFonts w:ascii="宋体" w:hAnsi="宋体"/>
          <w:color w:val="auto"/>
          <w:sz w:val="24"/>
          <w:szCs w:val="16"/>
          <w:highlight w:val="none"/>
        </w:rPr>
        <w:fldChar w:fldCharType="end"/>
      </w:r>
    </w:p>
    <w:p>
      <w:pPr>
        <w:pStyle w:val="13"/>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_Toc5151 </w:instrText>
      </w:r>
      <w:r>
        <w:rPr>
          <w:rFonts w:ascii="宋体" w:hAnsi="宋体"/>
          <w:color w:val="auto"/>
          <w:sz w:val="24"/>
          <w:szCs w:val="16"/>
          <w:highlight w:val="none"/>
        </w:rPr>
        <w:fldChar w:fldCharType="separate"/>
      </w:r>
      <w:r>
        <w:rPr>
          <w:rFonts w:hint="eastAsia"/>
          <w:color w:val="auto"/>
          <w:sz w:val="24"/>
          <w:szCs w:val="18"/>
          <w:highlight w:val="none"/>
        </w:rPr>
        <w:t>第</w:t>
      </w:r>
      <w:r>
        <w:rPr>
          <w:rFonts w:hint="eastAsia"/>
          <w:color w:val="auto"/>
          <w:sz w:val="24"/>
          <w:szCs w:val="18"/>
          <w:highlight w:val="none"/>
          <w:lang w:val="en-US" w:eastAsia="zh-CN"/>
        </w:rPr>
        <w:t>六</w:t>
      </w:r>
      <w:r>
        <w:rPr>
          <w:rFonts w:hint="eastAsia"/>
          <w:color w:val="auto"/>
          <w:sz w:val="24"/>
          <w:szCs w:val="18"/>
          <w:highlight w:val="none"/>
        </w:rPr>
        <w:t>章</w:t>
      </w:r>
      <w:r>
        <w:rPr>
          <w:color w:val="auto"/>
          <w:sz w:val="24"/>
          <w:szCs w:val="18"/>
          <w:highlight w:val="none"/>
        </w:rPr>
        <w:t xml:space="preserve">  </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响应</w:t>
      </w:r>
      <w:r>
        <w:rPr>
          <w:rFonts w:hint="eastAsia" w:ascii="宋体" w:hAnsi="宋体" w:eastAsia="宋体" w:cs="Times New Roman"/>
          <w:color w:val="auto"/>
          <w:sz w:val="24"/>
          <w:szCs w:val="24"/>
          <w:highlight w:val="none"/>
          <w:lang w:val="en-US" w:eastAsia="zh-CN"/>
        </w:rPr>
        <w:t>文件格式</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_Toc5151 \h </w:instrText>
      </w:r>
      <w:r>
        <w:rPr>
          <w:color w:val="auto"/>
          <w:sz w:val="24"/>
          <w:szCs w:val="18"/>
          <w:highlight w:val="none"/>
        </w:rPr>
        <w:fldChar w:fldCharType="separate"/>
      </w:r>
      <w:r>
        <w:rPr>
          <w:color w:val="auto"/>
          <w:sz w:val="24"/>
          <w:szCs w:val="18"/>
          <w:highlight w:val="none"/>
        </w:rPr>
        <w:t>39</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ind w:left="0" w:leftChars="0" w:firstLine="240" w:firstLineChars="100"/>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_Toc990 </w:instrText>
      </w:r>
      <w:r>
        <w:rPr>
          <w:rFonts w:ascii="宋体" w:hAnsi="宋体"/>
          <w:color w:val="auto"/>
          <w:sz w:val="24"/>
          <w:szCs w:val="16"/>
          <w:highlight w:val="none"/>
        </w:rPr>
        <w:fldChar w:fldCharType="separate"/>
      </w:r>
      <w:r>
        <w:rPr>
          <w:rFonts w:hint="eastAsia"/>
          <w:bCs/>
          <w:color w:val="auto"/>
          <w:sz w:val="24"/>
          <w:szCs w:val="18"/>
          <w:highlight w:val="none"/>
          <w:lang w:val="en-US" w:eastAsia="zh-CN" w:bidi="ar-SA"/>
        </w:rPr>
        <w:t>一、资格审查材料</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_Toc990 \h </w:instrText>
      </w:r>
      <w:r>
        <w:rPr>
          <w:color w:val="auto"/>
          <w:sz w:val="24"/>
          <w:szCs w:val="18"/>
          <w:highlight w:val="none"/>
        </w:rPr>
        <w:fldChar w:fldCharType="separate"/>
      </w:r>
      <w:r>
        <w:rPr>
          <w:color w:val="auto"/>
          <w:sz w:val="24"/>
          <w:szCs w:val="18"/>
          <w:highlight w:val="none"/>
        </w:rPr>
        <w:t>40</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_Toc10180 </w:instrText>
      </w:r>
      <w:r>
        <w:rPr>
          <w:rFonts w:ascii="宋体" w:hAnsi="宋体"/>
          <w:color w:val="auto"/>
          <w:sz w:val="24"/>
          <w:szCs w:val="16"/>
          <w:highlight w:val="none"/>
        </w:rPr>
        <w:fldChar w:fldCharType="separate"/>
      </w:r>
      <w:r>
        <w:rPr>
          <w:rFonts w:hint="eastAsia" w:ascii="宋体" w:hAnsi="宋体" w:eastAsia="宋体" w:cs="宋体"/>
          <w:i w:val="0"/>
          <w:color w:val="auto"/>
          <w:spacing w:val="0"/>
          <w:w w:val="100"/>
          <w:sz w:val="24"/>
          <w:szCs w:val="21"/>
          <w:highlight w:val="none"/>
          <w:lang w:val="en-US" w:eastAsia="zh-CN" w:bidi="ar-SA"/>
        </w:rPr>
        <w:t>1.</w:t>
      </w:r>
      <w:r>
        <w:rPr>
          <w:rFonts w:hint="eastAsia" w:ascii="宋体" w:hAnsi="宋体" w:eastAsia="宋体" w:cs="宋体"/>
          <w:i w:val="0"/>
          <w:color w:val="auto"/>
          <w:spacing w:val="0"/>
          <w:w w:val="100"/>
          <w:sz w:val="24"/>
          <w:szCs w:val="21"/>
          <w:highlight w:val="none"/>
          <w:lang w:bidi="ar-SA"/>
        </w:rPr>
        <w:t>《中华人民共和国政府采购法》第二十二条应当具备的条件；</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_Toc10180 \h </w:instrText>
      </w:r>
      <w:r>
        <w:rPr>
          <w:color w:val="auto"/>
          <w:sz w:val="24"/>
          <w:szCs w:val="18"/>
          <w:highlight w:val="none"/>
        </w:rPr>
        <w:fldChar w:fldCharType="separate"/>
      </w:r>
      <w:r>
        <w:rPr>
          <w:color w:val="auto"/>
          <w:sz w:val="24"/>
          <w:szCs w:val="18"/>
          <w:highlight w:val="none"/>
        </w:rPr>
        <w:t>40</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_Toc23425 </w:instrText>
      </w:r>
      <w:r>
        <w:rPr>
          <w:rFonts w:ascii="宋体" w:hAnsi="宋体"/>
          <w:color w:val="auto"/>
          <w:sz w:val="24"/>
          <w:szCs w:val="16"/>
          <w:highlight w:val="none"/>
        </w:rPr>
        <w:fldChar w:fldCharType="separate"/>
      </w:r>
      <w:r>
        <w:rPr>
          <w:rFonts w:hint="eastAsia" w:ascii="宋体" w:hAnsi="宋体"/>
          <w:color w:val="auto"/>
          <w:sz w:val="24"/>
          <w:szCs w:val="18"/>
          <w:highlight w:val="none"/>
          <w:lang w:val="en-US" w:eastAsia="zh-CN"/>
        </w:rPr>
        <w:t>2.</w:t>
      </w:r>
      <w:r>
        <w:rPr>
          <w:rFonts w:hint="eastAsia" w:ascii="宋体" w:hAnsi="宋体"/>
          <w:color w:val="auto"/>
          <w:sz w:val="24"/>
          <w:szCs w:val="18"/>
          <w:highlight w:val="none"/>
        </w:rPr>
        <w:t>投标保证金</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_Toc23425 \h </w:instrText>
      </w:r>
      <w:r>
        <w:rPr>
          <w:color w:val="auto"/>
          <w:sz w:val="24"/>
          <w:szCs w:val="18"/>
          <w:highlight w:val="none"/>
        </w:rPr>
        <w:fldChar w:fldCharType="separate"/>
      </w:r>
      <w:r>
        <w:rPr>
          <w:color w:val="auto"/>
          <w:sz w:val="24"/>
          <w:szCs w:val="18"/>
          <w:highlight w:val="none"/>
        </w:rPr>
        <w:t>43</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_Toc5298 </w:instrText>
      </w:r>
      <w:r>
        <w:rPr>
          <w:rFonts w:ascii="宋体" w:hAnsi="宋体"/>
          <w:color w:val="auto"/>
          <w:sz w:val="24"/>
          <w:szCs w:val="16"/>
          <w:highlight w:val="none"/>
        </w:rPr>
        <w:fldChar w:fldCharType="separate"/>
      </w:r>
      <w:r>
        <w:rPr>
          <w:rFonts w:hint="eastAsia" w:ascii="Times New Roman PS Pro" w:hAnsi="Times New Roman PS Pro" w:cs="Times New Roman PS Pro"/>
          <w:bCs/>
          <w:color w:val="auto"/>
          <w:spacing w:val="0"/>
          <w:sz w:val="24"/>
          <w:szCs w:val="22"/>
          <w:highlight w:val="none"/>
          <w:lang w:val="en-US" w:eastAsia="zh-CN"/>
        </w:rPr>
        <w:t>3.</w:t>
      </w:r>
      <w:r>
        <w:rPr>
          <w:rFonts w:hint="default" w:ascii="Times New Roman PS Pro" w:hAnsi="Times New Roman PS Pro" w:cs="Times New Roman PS Pro"/>
          <w:bCs/>
          <w:color w:val="auto"/>
          <w:spacing w:val="0"/>
          <w:sz w:val="24"/>
          <w:szCs w:val="22"/>
          <w:highlight w:val="none"/>
        </w:rPr>
        <w:t>中小企业声明函</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_Toc5298 \h </w:instrText>
      </w:r>
      <w:r>
        <w:rPr>
          <w:color w:val="auto"/>
          <w:sz w:val="24"/>
          <w:szCs w:val="18"/>
          <w:highlight w:val="none"/>
        </w:rPr>
        <w:fldChar w:fldCharType="separate"/>
      </w:r>
      <w:r>
        <w:rPr>
          <w:color w:val="auto"/>
          <w:sz w:val="24"/>
          <w:szCs w:val="18"/>
          <w:highlight w:val="none"/>
        </w:rPr>
        <w:t>44</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_Toc5074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二</w:t>
      </w:r>
      <w:r>
        <w:rPr>
          <w:rFonts w:hint="eastAsia"/>
          <w:color w:val="auto"/>
          <w:sz w:val="24"/>
          <w:szCs w:val="18"/>
          <w:highlight w:val="none"/>
        </w:rPr>
        <w:t>、商务文件组成</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_Toc5074 \h </w:instrText>
      </w:r>
      <w:r>
        <w:rPr>
          <w:color w:val="auto"/>
          <w:sz w:val="24"/>
          <w:szCs w:val="18"/>
          <w:highlight w:val="none"/>
        </w:rPr>
        <w:fldChar w:fldCharType="separate"/>
      </w:r>
      <w:r>
        <w:rPr>
          <w:color w:val="auto"/>
          <w:sz w:val="24"/>
          <w:szCs w:val="18"/>
          <w:highlight w:val="none"/>
        </w:rPr>
        <w:t>45</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_Toc24199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1、</w:t>
      </w:r>
      <w:r>
        <w:rPr>
          <w:rFonts w:hint="eastAsia"/>
          <w:color w:val="auto"/>
          <w:sz w:val="24"/>
          <w:szCs w:val="18"/>
          <w:highlight w:val="none"/>
        </w:rPr>
        <w:t>竞争性磋商函</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_Toc24199 \h </w:instrText>
      </w:r>
      <w:r>
        <w:rPr>
          <w:color w:val="auto"/>
          <w:sz w:val="24"/>
          <w:szCs w:val="18"/>
          <w:highlight w:val="none"/>
        </w:rPr>
        <w:fldChar w:fldCharType="separate"/>
      </w:r>
      <w:r>
        <w:rPr>
          <w:color w:val="auto"/>
          <w:sz w:val="24"/>
          <w:szCs w:val="18"/>
          <w:highlight w:val="none"/>
        </w:rPr>
        <w:t>46</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_Toc3486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2、法定授权人委托书</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_Toc3486 \h </w:instrText>
      </w:r>
      <w:r>
        <w:rPr>
          <w:color w:val="auto"/>
          <w:sz w:val="24"/>
          <w:szCs w:val="18"/>
          <w:highlight w:val="none"/>
        </w:rPr>
        <w:fldChar w:fldCharType="separate"/>
      </w:r>
      <w:r>
        <w:rPr>
          <w:color w:val="auto"/>
          <w:sz w:val="24"/>
          <w:szCs w:val="18"/>
          <w:highlight w:val="none"/>
        </w:rPr>
        <w:t>47</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_Toc23652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3、开标一览</w:t>
      </w:r>
      <w:r>
        <w:rPr>
          <w:rFonts w:hint="eastAsia"/>
          <w:color w:val="auto"/>
          <w:sz w:val="24"/>
          <w:szCs w:val="18"/>
          <w:highlight w:val="none"/>
        </w:rPr>
        <w:t>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_Toc23652 \h </w:instrText>
      </w:r>
      <w:r>
        <w:rPr>
          <w:color w:val="auto"/>
          <w:sz w:val="24"/>
          <w:szCs w:val="18"/>
          <w:highlight w:val="none"/>
        </w:rPr>
        <w:fldChar w:fldCharType="separate"/>
      </w:r>
      <w:r>
        <w:rPr>
          <w:color w:val="auto"/>
          <w:sz w:val="24"/>
          <w:szCs w:val="18"/>
          <w:highlight w:val="none"/>
        </w:rPr>
        <w:t>49</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_Toc32478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4、</w:t>
      </w:r>
      <w:r>
        <w:rPr>
          <w:rFonts w:hint="eastAsia"/>
          <w:color w:val="auto"/>
          <w:sz w:val="24"/>
          <w:szCs w:val="18"/>
          <w:highlight w:val="none"/>
        </w:rPr>
        <w:t>竞争性磋商报价明细表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_Toc32478 \h </w:instrText>
      </w:r>
      <w:r>
        <w:rPr>
          <w:color w:val="auto"/>
          <w:sz w:val="24"/>
          <w:szCs w:val="18"/>
          <w:highlight w:val="none"/>
        </w:rPr>
        <w:fldChar w:fldCharType="separate"/>
      </w:r>
      <w:r>
        <w:rPr>
          <w:color w:val="auto"/>
          <w:sz w:val="24"/>
          <w:szCs w:val="18"/>
          <w:highlight w:val="none"/>
        </w:rPr>
        <w:t>50</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_Toc16958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5、</w:t>
      </w:r>
      <w:r>
        <w:rPr>
          <w:rFonts w:hint="eastAsia"/>
          <w:color w:val="auto"/>
          <w:sz w:val="24"/>
          <w:szCs w:val="18"/>
          <w:highlight w:val="none"/>
        </w:rPr>
        <w:t>投标服务清单</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_Toc16958 \h </w:instrText>
      </w:r>
      <w:r>
        <w:rPr>
          <w:color w:val="auto"/>
          <w:sz w:val="24"/>
          <w:szCs w:val="18"/>
          <w:highlight w:val="none"/>
        </w:rPr>
        <w:fldChar w:fldCharType="separate"/>
      </w:r>
      <w:r>
        <w:rPr>
          <w:color w:val="auto"/>
          <w:sz w:val="24"/>
          <w:szCs w:val="18"/>
          <w:highlight w:val="none"/>
        </w:rPr>
        <w:t>51</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_Toc12841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6、</w:t>
      </w:r>
      <w:r>
        <w:rPr>
          <w:rFonts w:hint="eastAsia"/>
          <w:color w:val="auto"/>
          <w:sz w:val="24"/>
          <w:szCs w:val="18"/>
          <w:highlight w:val="none"/>
        </w:rPr>
        <w:t>商务响应、偏离说明表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_Toc12841 \h </w:instrText>
      </w:r>
      <w:r>
        <w:rPr>
          <w:color w:val="auto"/>
          <w:sz w:val="24"/>
          <w:szCs w:val="18"/>
          <w:highlight w:val="none"/>
        </w:rPr>
        <w:fldChar w:fldCharType="separate"/>
      </w:r>
      <w:r>
        <w:rPr>
          <w:color w:val="auto"/>
          <w:sz w:val="24"/>
          <w:szCs w:val="18"/>
          <w:highlight w:val="none"/>
        </w:rPr>
        <w:t>52</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_Toc17650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7、项目管理机构配备情况</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_Toc17650 \h </w:instrText>
      </w:r>
      <w:r>
        <w:rPr>
          <w:color w:val="auto"/>
          <w:sz w:val="24"/>
          <w:szCs w:val="18"/>
          <w:highlight w:val="none"/>
        </w:rPr>
        <w:fldChar w:fldCharType="separate"/>
      </w:r>
      <w:r>
        <w:rPr>
          <w:color w:val="auto"/>
          <w:sz w:val="24"/>
          <w:szCs w:val="18"/>
          <w:highlight w:val="none"/>
        </w:rPr>
        <w:t>53</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_Toc29415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8、</w:t>
      </w:r>
      <w:r>
        <w:rPr>
          <w:rFonts w:hint="eastAsia"/>
          <w:color w:val="auto"/>
          <w:sz w:val="24"/>
          <w:szCs w:val="18"/>
          <w:highlight w:val="none"/>
        </w:rPr>
        <w:t>供应商类似项目业绩表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_Toc29415 \h </w:instrText>
      </w:r>
      <w:r>
        <w:rPr>
          <w:color w:val="auto"/>
          <w:sz w:val="24"/>
          <w:szCs w:val="18"/>
          <w:highlight w:val="none"/>
        </w:rPr>
        <w:fldChar w:fldCharType="separate"/>
      </w:r>
      <w:r>
        <w:rPr>
          <w:color w:val="auto"/>
          <w:sz w:val="24"/>
          <w:szCs w:val="18"/>
          <w:highlight w:val="none"/>
        </w:rPr>
        <w:t>54</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_Toc19528 </w:instrText>
      </w:r>
      <w:r>
        <w:rPr>
          <w:rFonts w:ascii="宋体" w:hAnsi="宋体"/>
          <w:color w:val="auto"/>
          <w:sz w:val="24"/>
          <w:szCs w:val="16"/>
          <w:highlight w:val="none"/>
        </w:rPr>
        <w:fldChar w:fldCharType="separate"/>
      </w:r>
      <w:r>
        <w:rPr>
          <w:rFonts w:hint="eastAsia" w:hAnsi="宋体" w:cs="Times New Roman"/>
          <w:color w:val="auto"/>
          <w:sz w:val="24"/>
          <w:szCs w:val="18"/>
          <w:highlight w:val="none"/>
          <w:lang w:val="en-US" w:eastAsia="zh-CN"/>
        </w:rPr>
        <w:t>9、磋商文件要求提供或供应商认为需提供的其它资料；</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_Toc19528 \h </w:instrText>
      </w:r>
      <w:r>
        <w:rPr>
          <w:color w:val="auto"/>
          <w:sz w:val="24"/>
          <w:szCs w:val="18"/>
          <w:highlight w:val="none"/>
        </w:rPr>
        <w:fldChar w:fldCharType="separate"/>
      </w:r>
      <w:r>
        <w:rPr>
          <w:color w:val="auto"/>
          <w:sz w:val="24"/>
          <w:szCs w:val="18"/>
          <w:highlight w:val="none"/>
        </w:rPr>
        <w:t>55</w:t>
      </w:r>
      <w:r>
        <w:rPr>
          <w:color w:val="auto"/>
          <w:sz w:val="24"/>
          <w:szCs w:val="18"/>
          <w:highlight w:val="none"/>
        </w:rPr>
        <w:fldChar w:fldCharType="end"/>
      </w:r>
      <w:r>
        <w:rPr>
          <w:rFonts w:ascii="宋体" w:hAnsi="宋体"/>
          <w:color w:val="auto"/>
          <w:sz w:val="24"/>
          <w:szCs w:val="16"/>
          <w:highlight w:val="none"/>
        </w:rPr>
        <w:fldChar w:fldCharType="end"/>
      </w:r>
    </w:p>
    <w:p>
      <w:pPr>
        <w:pStyle w:val="14"/>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_Toc5076 </w:instrText>
      </w:r>
      <w:r>
        <w:rPr>
          <w:rFonts w:ascii="宋体" w:hAnsi="宋体"/>
          <w:color w:val="auto"/>
          <w:sz w:val="24"/>
          <w:szCs w:val="16"/>
          <w:highlight w:val="none"/>
        </w:rPr>
        <w:fldChar w:fldCharType="separate"/>
      </w:r>
      <w:r>
        <w:rPr>
          <w:rFonts w:hint="eastAsia"/>
          <w:color w:val="auto"/>
          <w:sz w:val="24"/>
          <w:szCs w:val="18"/>
          <w:highlight w:val="none"/>
        </w:rPr>
        <w:t>二、技术文件组成</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_Toc5076 \h </w:instrText>
      </w:r>
      <w:r>
        <w:rPr>
          <w:color w:val="auto"/>
          <w:sz w:val="24"/>
          <w:szCs w:val="18"/>
          <w:highlight w:val="none"/>
        </w:rPr>
        <w:fldChar w:fldCharType="separate"/>
      </w:r>
      <w:r>
        <w:rPr>
          <w:color w:val="auto"/>
          <w:sz w:val="24"/>
          <w:szCs w:val="18"/>
          <w:highlight w:val="none"/>
        </w:rPr>
        <w:t>56</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sz w:val="24"/>
          <w:szCs w:val="18"/>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_Toc2519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1、服务介绍、项目建设（服务）方案；</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_Toc2519 \h </w:instrText>
      </w:r>
      <w:r>
        <w:rPr>
          <w:color w:val="auto"/>
          <w:sz w:val="24"/>
          <w:szCs w:val="18"/>
          <w:highlight w:val="none"/>
        </w:rPr>
        <w:fldChar w:fldCharType="separate"/>
      </w:r>
      <w:r>
        <w:rPr>
          <w:color w:val="auto"/>
          <w:sz w:val="24"/>
          <w:szCs w:val="18"/>
          <w:highlight w:val="none"/>
        </w:rPr>
        <w:t>57</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color w:val="auto"/>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_Toc10958 </w:instrText>
      </w:r>
      <w:r>
        <w:rPr>
          <w:rFonts w:ascii="宋体" w:hAnsi="宋体"/>
          <w:color w:val="auto"/>
          <w:sz w:val="24"/>
          <w:szCs w:val="16"/>
          <w:highlight w:val="none"/>
        </w:rPr>
        <w:fldChar w:fldCharType="separate"/>
      </w:r>
      <w:r>
        <w:rPr>
          <w:rFonts w:hint="eastAsia"/>
          <w:color w:val="auto"/>
          <w:sz w:val="24"/>
          <w:szCs w:val="18"/>
          <w:highlight w:val="none"/>
          <w:lang w:val="en-US" w:eastAsia="zh-CN"/>
        </w:rPr>
        <w:t>2、</w:t>
      </w:r>
      <w:r>
        <w:rPr>
          <w:rFonts w:hint="eastAsia"/>
          <w:color w:val="auto"/>
          <w:sz w:val="24"/>
          <w:szCs w:val="18"/>
          <w:highlight w:val="none"/>
        </w:rPr>
        <w:t>技术条款响应、偏离说明表</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_Toc10958 \h </w:instrText>
      </w:r>
      <w:r>
        <w:rPr>
          <w:color w:val="auto"/>
          <w:sz w:val="24"/>
          <w:szCs w:val="18"/>
          <w:highlight w:val="none"/>
        </w:rPr>
        <w:fldChar w:fldCharType="separate"/>
      </w:r>
      <w:r>
        <w:rPr>
          <w:color w:val="auto"/>
          <w:sz w:val="24"/>
          <w:szCs w:val="18"/>
          <w:highlight w:val="none"/>
        </w:rPr>
        <w:t>58</w:t>
      </w:r>
      <w:r>
        <w:rPr>
          <w:color w:val="auto"/>
          <w:sz w:val="24"/>
          <w:szCs w:val="18"/>
          <w:highlight w:val="none"/>
        </w:rPr>
        <w:fldChar w:fldCharType="end"/>
      </w:r>
      <w:r>
        <w:rPr>
          <w:rFonts w:ascii="宋体" w:hAnsi="宋体"/>
          <w:color w:val="auto"/>
          <w:sz w:val="24"/>
          <w:szCs w:val="16"/>
          <w:highlight w:val="none"/>
        </w:rPr>
        <w:fldChar w:fldCharType="end"/>
      </w:r>
    </w:p>
    <w:p>
      <w:pPr>
        <w:pStyle w:val="10"/>
        <w:tabs>
          <w:tab w:val="right" w:leader="dot" w:pos="8312"/>
        </w:tabs>
        <w:rPr>
          <w:rFonts w:ascii="宋体" w:hAnsi="宋体"/>
          <w:color w:val="auto"/>
          <w:sz w:val="24"/>
          <w:szCs w:val="16"/>
          <w:highlight w:val="none"/>
        </w:rPr>
      </w:pPr>
      <w:r>
        <w:rPr>
          <w:rFonts w:ascii="宋体" w:hAnsi="宋体"/>
          <w:color w:val="auto"/>
          <w:sz w:val="24"/>
          <w:szCs w:val="16"/>
          <w:highlight w:val="none"/>
        </w:rPr>
        <w:fldChar w:fldCharType="begin"/>
      </w:r>
      <w:r>
        <w:rPr>
          <w:rFonts w:ascii="宋体" w:hAnsi="宋体"/>
          <w:color w:val="auto"/>
          <w:sz w:val="24"/>
          <w:szCs w:val="16"/>
          <w:highlight w:val="none"/>
        </w:rPr>
        <w:instrText xml:space="preserve"> HYPERLINK \l _Toc17433 </w:instrText>
      </w:r>
      <w:r>
        <w:rPr>
          <w:rFonts w:ascii="宋体" w:hAnsi="宋体"/>
          <w:color w:val="auto"/>
          <w:sz w:val="24"/>
          <w:szCs w:val="16"/>
          <w:highlight w:val="none"/>
        </w:rPr>
        <w:fldChar w:fldCharType="separate"/>
      </w:r>
      <w:r>
        <w:rPr>
          <w:rFonts w:hint="eastAsia" w:hAnsi="宋体" w:cs="Times New Roman"/>
          <w:color w:val="auto"/>
          <w:sz w:val="24"/>
          <w:szCs w:val="18"/>
          <w:highlight w:val="none"/>
          <w:lang w:val="en-US" w:eastAsia="zh-CN"/>
        </w:rPr>
        <w:t>3、磋商文件要求提供或供应商认为需提供的其它资料</w:t>
      </w:r>
      <w:r>
        <w:rPr>
          <w:color w:val="auto"/>
          <w:sz w:val="24"/>
          <w:szCs w:val="18"/>
          <w:highlight w:val="none"/>
        </w:rPr>
        <w:tab/>
      </w:r>
      <w:r>
        <w:rPr>
          <w:color w:val="auto"/>
          <w:sz w:val="24"/>
          <w:szCs w:val="18"/>
          <w:highlight w:val="none"/>
        </w:rPr>
        <w:fldChar w:fldCharType="begin"/>
      </w:r>
      <w:r>
        <w:rPr>
          <w:color w:val="auto"/>
          <w:sz w:val="24"/>
          <w:szCs w:val="18"/>
          <w:highlight w:val="none"/>
        </w:rPr>
        <w:instrText xml:space="preserve"> PAGEREF _Toc17433 \h </w:instrText>
      </w:r>
      <w:r>
        <w:rPr>
          <w:color w:val="auto"/>
          <w:sz w:val="24"/>
          <w:szCs w:val="18"/>
          <w:highlight w:val="none"/>
        </w:rPr>
        <w:fldChar w:fldCharType="separate"/>
      </w:r>
      <w:r>
        <w:rPr>
          <w:color w:val="auto"/>
          <w:sz w:val="24"/>
          <w:szCs w:val="18"/>
          <w:highlight w:val="none"/>
        </w:rPr>
        <w:t>59</w:t>
      </w:r>
      <w:r>
        <w:rPr>
          <w:color w:val="auto"/>
          <w:sz w:val="24"/>
          <w:szCs w:val="18"/>
          <w:highlight w:val="none"/>
        </w:rPr>
        <w:fldChar w:fldCharType="end"/>
      </w:r>
      <w:r>
        <w:rPr>
          <w:rFonts w:ascii="宋体" w:hAnsi="宋体"/>
          <w:color w:val="auto"/>
          <w:sz w:val="24"/>
          <w:szCs w:val="16"/>
          <w:highlight w:val="none"/>
        </w:rPr>
        <w:fldChar w:fldCharType="end"/>
      </w:r>
    </w:p>
    <w:p>
      <w:pPr>
        <w:rPr>
          <w:rFonts w:ascii="宋体" w:hAnsi="宋体"/>
          <w:color w:val="auto"/>
          <w:szCs w:val="18"/>
          <w:highlight w:val="none"/>
        </w:rPr>
      </w:pPr>
      <w:r>
        <w:rPr>
          <w:rFonts w:ascii="宋体" w:hAnsi="宋体"/>
          <w:color w:val="auto"/>
          <w:szCs w:val="18"/>
          <w:highlight w:val="none"/>
        </w:rPr>
        <w:br w:type="page"/>
      </w:r>
    </w:p>
    <w:p>
      <w:pPr>
        <w:rPr>
          <w:color w:val="auto"/>
          <w:highlight w:val="none"/>
        </w:rPr>
      </w:pPr>
    </w:p>
    <w:p>
      <w:pPr>
        <w:pStyle w:val="3"/>
        <w:numPr>
          <w:ilvl w:val="0"/>
          <w:numId w:val="1"/>
        </w:numPr>
        <w:adjustRightInd w:val="0"/>
        <w:snapToGrid w:val="0"/>
        <w:spacing w:before="0" w:after="0" w:line="240" w:lineRule="auto"/>
        <w:ind w:left="0" w:leftChars="0" w:firstLine="0"/>
        <w:rPr>
          <w:rFonts w:hint="eastAsia" w:cs="Times New Roman" w:asciiTheme="majorEastAsia" w:hAnsiTheme="majorEastAsia" w:eastAsiaTheme="majorEastAsia"/>
          <w:color w:val="auto"/>
          <w:highlight w:val="none"/>
        </w:rPr>
      </w:pPr>
      <w:r>
        <w:rPr>
          <w:rFonts w:ascii="宋体" w:hAnsi="宋体"/>
          <w:color w:val="auto"/>
          <w:szCs w:val="18"/>
          <w:highlight w:val="none"/>
        </w:rPr>
        <w:fldChar w:fldCharType="end"/>
      </w:r>
      <w:bookmarkStart w:id="2" w:name="_Toc5887"/>
      <w:r>
        <w:rPr>
          <w:rFonts w:hint="eastAsia" w:cs="Times New Roman" w:asciiTheme="majorEastAsia" w:hAnsiTheme="majorEastAsia" w:eastAsiaTheme="majorEastAsia"/>
          <w:color w:val="auto"/>
          <w:highlight w:val="none"/>
        </w:rPr>
        <w:t>竞争性磋商公告</w:t>
      </w:r>
      <w:bookmarkEnd w:id="2"/>
    </w:p>
    <w:p>
      <w:pPr>
        <w:rPr>
          <w:rFonts w:hint="eastAsia" w:ascii="宋体" w:hAnsi="宋体" w:cs="宋体"/>
          <w:color w:val="auto"/>
          <w:highlight w:val="none"/>
        </w:rPr>
      </w:pPr>
    </w:p>
    <w:p>
      <w:pPr>
        <w:keepNext w:val="0"/>
        <w:keepLines w:val="0"/>
        <w:pageBreakBefore w:val="0"/>
        <w:widowControl/>
        <w:kinsoku/>
        <w:wordWrap/>
        <w:overflowPunct/>
        <w:topLinePunct w:val="0"/>
        <w:autoSpaceDE/>
        <w:autoSpaceDN/>
        <w:bidi w:val="0"/>
        <w:spacing w:line="360" w:lineRule="auto"/>
        <w:jc w:val="center"/>
        <w:outlineLvl w:val="9"/>
        <w:rPr>
          <w:rFonts w:hint="eastAsia" w:ascii="宋体" w:hAnsi="宋体" w:cs="宋体"/>
          <w:b/>
          <w:color w:val="auto"/>
          <w:kern w:val="36"/>
          <w:sz w:val="28"/>
          <w:highlight w:val="none"/>
        </w:rPr>
      </w:pPr>
      <w:bookmarkStart w:id="3" w:name="_Toc10182"/>
      <w:bookmarkEnd w:id="3"/>
      <w:r>
        <w:rPr>
          <w:rFonts w:hint="eastAsia" w:ascii="宋体" w:hAnsi="宋体" w:cs="宋体"/>
          <w:b/>
          <w:color w:val="auto"/>
          <w:kern w:val="36"/>
          <w:sz w:val="28"/>
          <w:highlight w:val="none"/>
          <w:lang w:eastAsia="zh-CN"/>
        </w:rPr>
        <w:t>乌鲁木齐市米东区中医医院设备维保采购项目</w:t>
      </w:r>
      <w:r>
        <w:rPr>
          <w:rFonts w:hint="eastAsia" w:ascii="宋体" w:hAnsi="宋体" w:cs="宋体"/>
          <w:b/>
          <w:color w:val="auto"/>
          <w:kern w:val="36"/>
          <w:sz w:val="28"/>
          <w:highlight w:val="none"/>
        </w:rPr>
        <w:t> </w:t>
      </w:r>
    </w:p>
    <w:p>
      <w:pPr>
        <w:keepNext w:val="0"/>
        <w:keepLines w:val="0"/>
        <w:pageBreakBefore w:val="0"/>
        <w:widowControl/>
        <w:kinsoku/>
        <w:wordWrap/>
        <w:overflowPunct/>
        <w:topLinePunct w:val="0"/>
        <w:autoSpaceDE/>
        <w:autoSpaceDN/>
        <w:bidi w:val="0"/>
        <w:spacing w:line="360" w:lineRule="auto"/>
        <w:jc w:val="center"/>
        <w:outlineLvl w:val="9"/>
        <w:rPr>
          <w:rFonts w:hint="eastAsia" w:ascii="宋体" w:hAnsi="宋体" w:cs="宋体"/>
          <w:b/>
          <w:color w:val="auto"/>
          <w:kern w:val="36"/>
          <w:sz w:val="28"/>
          <w:highlight w:val="none"/>
        </w:rPr>
      </w:pPr>
      <w:bookmarkStart w:id="4" w:name="_Toc16900"/>
      <w:bookmarkEnd w:id="4"/>
      <w:bookmarkStart w:id="5" w:name="_Toc2797"/>
      <w:bookmarkEnd w:id="5"/>
      <w:bookmarkStart w:id="6" w:name="_Toc20347"/>
      <w:bookmarkEnd w:id="6"/>
      <w:bookmarkStart w:id="7" w:name="_Toc31220"/>
      <w:bookmarkEnd w:id="7"/>
      <w:r>
        <w:rPr>
          <w:rFonts w:hint="eastAsia" w:ascii="宋体" w:hAnsi="宋体" w:cs="宋体"/>
          <w:b/>
          <w:color w:val="auto"/>
          <w:kern w:val="36"/>
          <w:sz w:val="28"/>
          <w:highlight w:val="none"/>
        </w:rPr>
        <w:t>竞争性磋商公告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528" w:type="dxa"/>
            <w:noWrap w:val="0"/>
            <w:vAlign w:val="top"/>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ascii="宋体" w:hAnsi="宋体" w:eastAsia="宋体" w:cs="宋体"/>
                <w:color w:val="auto"/>
                <w:highlight w:val="none"/>
              </w:rPr>
            </w:pPr>
            <w:r>
              <w:rPr>
                <w:rFonts w:hint="eastAsia" w:ascii="宋体" w:hAnsi="宋体" w:eastAsia="宋体" w:cs="宋体"/>
                <w:color w:val="auto"/>
                <w:highlight w:val="none"/>
              </w:rPr>
              <w:t>   项目概况</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ascii="宋体" w:hAnsi="宋体" w:eastAsia="宋体" w:cs="宋体"/>
                <w:color w:val="auto"/>
                <w:highlight w:val="none"/>
              </w:rPr>
            </w:pPr>
            <w:r>
              <w:rPr>
                <w:rFonts w:hint="eastAsia" w:ascii="宋体" w:hAnsi="宋体" w:eastAsia="宋体" w:cs="宋体"/>
                <w:color w:val="auto"/>
                <w:highlight w:val="none"/>
              </w:rPr>
              <w:t>   </w:t>
            </w:r>
            <w:r>
              <w:rPr>
                <w:rFonts w:hint="eastAsia" w:cs="宋体"/>
                <w:color w:val="auto"/>
                <w:highlight w:val="none"/>
                <w:u w:val="single"/>
                <w:lang w:eastAsia="zh-CN"/>
              </w:rPr>
              <w:t>乌鲁木齐市米东区中医医院设备维保采购项目</w:t>
            </w:r>
            <w:r>
              <w:rPr>
                <w:rFonts w:hint="eastAsia" w:ascii="宋体" w:hAnsi="宋体" w:eastAsia="宋体" w:cs="宋体"/>
                <w:color w:val="auto"/>
                <w:highlight w:val="none"/>
              </w:rPr>
              <w:t>招标项目的潜在</w:t>
            </w:r>
            <w:r>
              <w:rPr>
                <w:rFonts w:hint="eastAsia" w:ascii="宋体" w:hAnsi="宋体" w:cs="宋体"/>
                <w:color w:val="auto"/>
                <w:highlight w:val="none"/>
                <w:lang w:eastAsia="zh-CN"/>
              </w:rPr>
              <w:t>供应商</w:t>
            </w:r>
            <w:r>
              <w:rPr>
                <w:rFonts w:hint="eastAsia" w:ascii="宋体" w:hAnsi="宋体" w:eastAsia="宋体" w:cs="宋体"/>
                <w:color w:val="auto"/>
                <w:highlight w:val="none"/>
              </w:rPr>
              <w:t>应在</w:t>
            </w:r>
            <w:r>
              <w:rPr>
                <w:rFonts w:hint="eastAsia" w:cs="宋体"/>
                <w:color w:val="auto"/>
                <w:szCs w:val="24"/>
                <w:highlight w:val="none"/>
                <w:u w:val="single"/>
              </w:rPr>
              <w:t>政采云平台</w:t>
            </w:r>
            <w:r>
              <w:rPr>
                <w:rFonts w:hint="eastAsia" w:cs="宋体"/>
                <w:color w:val="auto"/>
                <w:szCs w:val="24"/>
                <w:highlight w:val="none"/>
                <w:u w:val="single"/>
              </w:rPr>
              <w:fldChar w:fldCharType="begin"/>
            </w:r>
            <w:r>
              <w:rPr>
                <w:rFonts w:hint="eastAsia" w:cs="宋体"/>
                <w:color w:val="auto"/>
                <w:szCs w:val="24"/>
                <w:highlight w:val="none"/>
                <w:u w:val="single"/>
              </w:rPr>
              <w:instrText xml:space="preserve"> HYPERLINK "https://www.zcygov.cn/" </w:instrText>
            </w:r>
            <w:r>
              <w:rPr>
                <w:rFonts w:hint="eastAsia" w:cs="宋体"/>
                <w:color w:val="auto"/>
                <w:szCs w:val="24"/>
                <w:highlight w:val="none"/>
                <w:u w:val="single"/>
              </w:rPr>
              <w:fldChar w:fldCharType="separate"/>
            </w:r>
            <w:r>
              <w:rPr>
                <w:rFonts w:hint="eastAsia" w:cs="宋体"/>
                <w:color w:val="auto"/>
                <w:szCs w:val="24"/>
                <w:highlight w:val="none"/>
                <w:u w:val="single"/>
              </w:rPr>
              <w:t>https://www.zcygov.cn/</w:t>
            </w:r>
            <w:r>
              <w:rPr>
                <w:rFonts w:hint="eastAsia" w:cs="宋体"/>
                <w:color w:val="auto"/>
                <w:szCs w:val="24"/>
                <w:highlight w:val="none"/>
                <w:u w:val="single"/>
              </w:rPr>
              <w:fldChar w:fldCharType="end"/>
            </w:r>
            <w:r>
              <w:rPr>
                <w:rFonts w:hint="eastAsia" w:cs="宋体"/>
                <w:color w:val="auto"/>
                <w:szCs w:val="24"/>
                <w:highlight w:val="none"/>
                <w:u w:val="single"/>
              </w:rPr>
              <w:t>线上</w:t>
            </w:r>
            <w:r>
              <w:rPr>
                <w:rFonts w:hint="eastAsia" w:ascii="宋体" w:hAnsi="宋体" w:eastAsia="宋体" w:cs="宋体"/>
                <w:color w:val="auto"/>
                <w:highlight w:val="none"/>
              </w:rPr>
              <w:t>获取</w:t>
            </w:r>
            <w:r>
              <w:rPr>
                <w:rFonts w:hint="eastAsia" w:ascii="宋体" w:hAnsi="宋体" w:cs="宋体"/>
                <w:color w:val="auto"/>
                <w:highlight w:val="none"/>
                <w:lang w:eastAsia="zh-CN"/>
              </w:rPr>
              <w:t>竞争性磋商</w:t>
            </w:r>
            <w:r>
              <w:rPr>
                <w:rFonts w:hint="eastAsia" w:ascii="宋体" w:hAnsi="宋体" w:eastAsia="宋体" w:cs="宋体"/>
                <w:color w:val="auto"/>
                <w:highlight w:val="none"/>
              </w:rPr>
              <w:t>文件，并于</w:t>
            </w:r>
            <w:r>
              <w:rPr>
                <w:rFonts w:hint="eastAsia" w:cs="宋体"/>
                <w:color w:val="auto"/>
                <w:highlight w:val="none"/>
                <w:u w:val="single"/>
                <w:lang w:eastAsia="zh-CN"/>
              </w:rPr>
              <w:t>2023</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 xml:space="preserve">10  </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10</w:t>
            </w:r>
            <w:r>
              <w:rPr>
                <w:rFonts w:hint="eastAsia" w:ascii="宋体" w:hAnsi="宋体" w:eastAsia="宋体" w:cs="宋体"/>
                <w:color w:val="auto"/>
                <w:highlight w:val="none"/>
                <w:u w:val="single"/>
              </w:rPr>
              <w:t>日1</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rPr>
              <w:t>（北京时间）前递交</w:t>
            </w:r>
            <w:r>
              <w:rPr>
                <w:rFonts w:hint="eastAsia" w:ascii="宋体" w:hAnsi="宋体" w:cs="宋体"/>
                <w:color w:val="auto"/>
                <w:highlight w:val="none"/>
                <w:lang w:eastAsia="zh-CN"/>
              </w:rPr>
              <w:t>响应</w:t>
            </w:r>
            <w:r>
              <w:rPr>
                <w:rFonts w:hint="eastAsia" w:ascii="宋体" w:hAnsi="宋体" w:eastAsia="宋体" w:cs="宋体"/>
                <w:color w:val="auto"/>
                <w:highlight w:val="none"/>
              </w:rPr>
              <w:t>文件。</w:t>
            </w:r>
          </w:p>
        </w:tc>
      </w:tr>
    </w:tbl>
    <w:p>
      <w:pPr>
        <w:pStyle w:val="15"/>
        <w:keepNext w:val="0"/>
        <w:keepLines w:val="0"/>
        <w:pageBreakBefore w:val="0"/>
        <w:widowControl/>
        <w:numPr>
          <w:ilvl w:val="0"/>
          <w:numId w:val="0"/>
        </w:numPr>
        <w:kinsoku/>
        <w:wordWrap/>
        <w:overflowPunct/>
        <w:topLinePunct w:val="0"/>
        <w:autoSpaceDE/>
        <w:autoSpaceDN/>
        <w:bidi w:val="0"/>
        <w:spacing w:before="0" w:beforeAutospacing="0" w:after="0" w:afterAutospacing="0" w:line="440" w:lineRule="exact"/>
        <w:outlineLvl w:val="9"/>
        <w:rPr>
          <w:rStyle w:val="20"/>
          <w:rFonts w:hint="eastAsia" w:ascii="黑体" w:hAnsi="宋体" w:eastAsia="黑体" w:cs="黑体"/>
          <w:i w:val="0"/>
          <w:iCs w:val="0"/>
          <w:color w:val="auto"/>
          <w:spacing w:val="0"/>
          <w:sz w:val="27"/>
          <w:szCs w:val="27"/>
          <w:highlight w:val="none"/>
        </w:rPr>
      </w:pPr>
      <w:bookmarkStart w:id="8" w:name="_Toc17554"/>
      <w:bookmarkEnd w:id="8"/>
      <w:r>
        <w:rPr>
          <w:rStyle w:val="20"/>
          <w:rFonts w:hint="eastAsia" w:ascii="黑体" w:hAnsi="宋体" w:eastAsia="黑体" w:cs="黑体"/>
          <w:i w:val="0"/>
          <w:iCs w:val="0"/>
          <w:color w:val="auto"/>
          <w:spacing w:val="0"/>
          <w:sz w:val="27"/>
          <w:szCs w:val="27"/>
          <w:highlight w:val="none"/>
        </w:rPr>
        <w:t>一、项目基本情况</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lang w:eastAsia="zh-CN"/>
        </w:rPr>
      </w:pPr>
      <w:r>
        <w:rPr>
          <w:rFonts w:hint="eastAsia" w:cs="宋体"/>
          <w:color w:val="auto"/>
          <w:szCs w:val="24"/>
          <w:highlight w:val="none"/>
        </w:rPr>
        <w:t>项目编号：</w:t>
      </w:r>
      <w:r>
        <w:rPr>
          <w:rFonts w:hint="eastAsia" w:cs="宋体"/>
          <w:color w:val="auto"/>
          <w:szCs w:val="24"/>
          <w:highlight w:val="none"/>
          <w:lang w:eastAsia="zh-CN"/>
        </w:rPr>
        <w:t>XJCC-ZB-2023-103</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rPr>
      </w:pPr>
      <w:r>
        <w:rPr>
          <w:rFonts w:hint="eastAsia" w:cs="宋体"/>
          <w:color w:val="auto"/>
          <w:szCs w:val="24"/>
          <w:highlight w:val="none"/>
        </w:rPr>
        <w:t xml:space="preserve">项目名称： </w:t>
      </w:r>
      <w:r>
        <w:rPr>
          <w:rFonts w:hint="eastAsia" w:cs="宋体"/>
          <w:color w:val="auto"/>
          <w:szCs w:val="24"/>
          <w:highlight w:val="none"/>
          <w:lang w:eastAsia="zh-CN"/>
        </w:rPr>
        <w:t>乌鲁木齐市米东区中医医院设备维保采购项目</w:t>
      </w:r>
      <w:r>
        <w:rPr>
          <w:rFonts w:hint="eastAsia" w:cs="宋体"/>
          <w:color w:val="auto"/>
          <w:szCs w:val="24"/>
          <w:highlight w:val="none"/>
        </w:rPr>
        <w:t> </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rPr>
      </w:pPr>
      <w:r>
        <w:rPr>
          <w:rFonts w:hint="eastAsia" w:cs="宋体"/>
          <w:color w:val="auto"/>
          <w:szCs w:val="24"/>
          <w:highlight w:val="none"/>
        </w:rPr>
        <w:t>预算金额（元）：</w:t>
      </w:r>
      <w:r>
        <w:rPr>
          <w:rFonts w:hint="eastAsia" w:cs="宋体"/>
          <w:color w:val="auto"/>
          <w:szCs w:val="21"/>
          <w:highlight w:val="none"/>
          <w:lang w:val="en-US" w:eastAsia="zh-CN" w:bidi="ar"/>
        </w:rPr>
        <w:t>880000.00</w:t>
      </w:r>
      <w:r>
        <w:rPr>
          <w:rFonts w:hint="eastAsia" w:cs="宋体"/>
          <w:color w:val="auto"/>
          <w:szCs w:val="24"/>
          <w:highlight w:val="none"/>
        </w:rPr>
        <w:t>元</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rPr>
      </w:pPr>
      <w:r>
        <w:rPr>
          <w:rFonts w:hint="eastAsia" w:cs="宋体"/>
          <w:color w:val="auto"/>
          <w:szCs w:val="24"/>
          <w:highlight w:val="none"/>
          <w:lang w:val="en-US" w:eastAsia="zh-CN"/>
        </w:rPr>
        <w:t>最高限价</w:t>
      </w:r>
      <w:r>
        <w:rPr>
          <w:rFonts w:hint="eastAsia" w:cs="宋体"/>
          <w:color w:val="auto"/>
          <w:szCs w:val="24"/>
          <w:highlight w:val="none"/>
          <w:lang w:val="en-US" w:eastAsia="zh-CN"/>
        </w:rPr>
        <w:t>：</w:t>
      </w:r>
      <w:r>
        <w:rPr>
          <w:rFonts w:hint="eastAsia" w:cs="宋体"/>
          <w:color w:val="auto"/>
          <w:szCs w:val="21"/>
          <w:highlight w:val="none"/>
          <w:lang w:val="en-US" w:eastAsia="zh-CN" w:bidi="ar"/>
        </w:rPr>
        <w:t>870000.0</w:t>
      </w:r>
      <w:r>
        <w:rPr>
          <w:rFonts w:hint="eastAsia" w:cs="宋体"/>
          <w:color w:val="auto"/>
          <w:szCs w:val="21"/>
          <w:highlight w:val="none"/>
          <w:lang w:val="en-US" w:eastAsia="zh-CN" w:bidi="ar"/>
        </w:rPr>
        <w:t>0</w:t>
      </w:r>
      <w:r>
        <w:rPr>
          <w:rFonts w:hint="eastAsia" w:cs="宋体"/>
          <w:color w:val="auto"/>
          <w:szCs w:val="24"/>
          <w:highlight w:val="none"/>
        </w:rPr>
        <w:t>元</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ascii="宋体" w:hAnsi="宋体" w:eastAsia="宋体" w:cs="宋体"/>
          <w:color w:val="auto"/>
          <w:highlight w:val="none"/>
        </w:rPr>
      </w:pPr>
      <w:r>
        <w:rPr>
          <w:rFonts w:hint="eastAsia" w:cs="宋体"/>
          <w:color w:val="auto"/>
          <w:szCs w:val="24"/>
          <w:highlight w:val="none"/>
        </w:rPr>
        <w:t>采购需求：</w:t>
      </w:r>
      <w:r>
        <w:rPr>
          <w:rFonts w:hint="eastAsia" w:ascii="宋体" w:hAnsi="宋体" w:eastAsia="宋体" w:cs="宋体"/>
          <w:color w:val="auto"/>
          <w:highlight w:val="none"/>
        </w:rPr>
        <w:t xml:space="preserve">    </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lang w:val="en-US" w:eastAsia="zh-CN"/>
        </w:rPr>
      </w:pPr>
      <w:r>
        <w:rPr>
          <w:rFonts w:hint="eastAsia" w:ascii="宋体" w:hAnsi="宋体" w:eastAsia="宋体" w:cs="宋体"/>
          <w:color w:val="auto"/>
          <w:highlight w:val="none"/>
        </w:rPr>
        <w:t>标项名称:</w:t>
      </w:r>
      <w:r>
        <w:rPr>
          <w:rFonts w:hint="eastAsia" w:cs="宋体"/>
          <w:color w:val="auto"/>
          <w:szCs w:val="24"/>
          <w:highlight w:val="none"/>
        </w:rPr>
        <w:t xml:space="preserve"> </w:t>
      </w:r>
      <w:r>
        <w:rPr>
          <w:rFonts w:hint="eastAsia" w:cs="宋体"/>
          <w:color w:val="auto"/>
          <w:szCs w:val="24"/>
          <w:highlight w:val="none"/>
          <w:lang w:eastAsia="zh-CN"/>
        </w:rPr>
        <w:t>乌鲁木齐市米东区中医医院设备维保采购项目</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highlight w:val="none"/>
          <w:lang w:val="en-US" w:eastAsia="zh-CN"/>
        </w:rPr>
      </w:pPr>
      <w:r>
        <w:rPr>
          <w:rFonts w:hint="eastAsia" w:ascii="宋体" w:hAnsi="宋体" w:eastAsia="宋体" w:cs="宋体"/>
          <w:color w:val="auto"/>
          <w:highlight w:val="none"/>
        </w:rPr>
        <w:t>数量:</w:t>
      </w:r>
      <w:r>
        <w:rPr>
          <w:rFonts w:hint="eastAsia" w:cs="宋体"/>
          <w:color w:val="auto"/>
          <w:highlight w:val="none"/>
          <w:lang w:val="en-US" w:eastAsia="zh-CN"/>
        </w:rPr>
        <w:t>1项</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szCs w:val="24"/>
          <w:highlight w:val="none"/>
        </w:rPr>
      </w:pPr>
      <w:r>
        <w:rPr>
          <w:rFonts w:hint="eastAsia" w:ascii="宋体" w:hAnsi="宋体" w:eastAsia="宋体" w:cs="宋体"/>
          <w:color w:val="auto"/>
          <w:highlight w:val="none"/>
        </w:rPr>
        <w:t>预算金额（元）</w:t>
      </w:r>
      <w:r>
        <w:rPr>
          <w:rFonts w:hint="eastAsia" w:ascii="宋体" w:hAnsi="宋体" w:eastAsia="宋体" w:cs="宋体"/>
          <w:color w:val="auto"/>
          <w:highlight w:val="none"/>
        </w:rPr>
        <w:t>:</w:t>
      </w:r>
      <w:r>
        <w:rPr>
          <w:rFonts w:hint="eastAsia" w:cs="宋体"/>
          <w:color w:val="auto"/>
          <w:szCs w:val="21"/>
          <w:highlight w:val="none"/>
          <w:lang w:val="en-US" w:eastAsia="zh-CN" w:bidi="ar"/>
        </w:rPr>
        <w:t>880000.00</w:t>
      </w:r>
      <w:r>
        <w:rPr>
          <w:rFonts w:hint="eastAsia" w:cs="宋体"/>
          <w:color w:val="auto"/>
          <w:szCs w:val="24"/>
          <w:highlight w:val="none"/>
        </w:rPr>
        <w:t>元</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eastAsia" w:cs="宋体"/>
          <w:color w:val="auto"/>
          <w:highlight w:val="none"/>
          <w:lang w:val="en-US" w:eastAsia="zh-CN"/>
        </w:rPr>
      </w:pPr>
      <w:r>
        <w:rPr>
          <w:rFonts w:hint="eastAsia" w:ascii="宋体" w:hAnsi="宋体" w:eastAsia="宋体" w:cs="宋体"/>
          <w:color w:val="auto"/>
          <w:highlight w:val="none"/>
        </w:rPr>
        <w:t>简要规格描述或项目基本概况介绍、用途：详见</w:t>
      </w:r>
      <w:r>
        <w:rPr>
          <w:rFonts w:hint="eastAsia" w:cs="宋体"/>
          <w:color w:val="auto"/>
          <w:highlight w:val="none"/>
          <w:lang w:val="en-US" w:eastAsia="zh-CN"/>
        </w:rPr>
        <w:t>竞争性磋商文件</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default" w:cs="宋体"/>
          <w:color w:val="auto"/>
          <w:highlight w:val="none"/>
          <w:lang w:val="en-US" w:eastAsia="zh-CN"/>
        </w:rPr>
      </w:pPr>
      <w:r>
        <w:rPr>
          <w:rFonts w:hint="eastAsia" w:ascii="宋体" w:hAnsi="宋体" w:eastAsia="宋体" w:cs="宋体"/>
          <w:color w:val="auto"/>
          <w:highlight w:val="none"/>
        </w:rPr>
        <w:t>备注：</w:t>
      </w:r>
      <w:r>
        <w:rPr>
          <w:rFonts w:hint="eastAsia" w:cs="宋体"/>
          <w:color w:val="auto"/>
          <w:highlight w:val="none"/>
          <w:lang w:val="en-US" w:eastAsia="zh-CN"/>
        </w:rPr>
        <w:t>290000元/年，服务期限：3年</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hint="default" w:cs="宋体"/>
          <w:color w:val="auto"/>
          <w:highlight w:val="none"/>
          <w:lang w:val="en-US" w:eastAsia="zh-CN"/>
        </w:rPr>
      </w:pPr>
      <w:r>
        <w:rPr>
          <w:rFonts w:hint="eastAsia" w:cs="宋体"/>
          <w:color w:val="auto"/>
          <w:highlight w:val="none"/>
          <w:lang w:val="en-US" w:eastAsia="zh-CN"/>
        </w:rPr>
        <w:t>合同履行期限：服务期限：3年</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outlineLvl w:val="9"/>
        <w:rPr>
          <w:rFonts w:ascii="宋体" w:hAnsi="宋体" w:eastAsia="宋体" w:cs="宋体"/>
          <w:color w:val="auto"/>
          <w:highlight w:val="none"/>
        </w:rPr>
      </w:pPr>
      <w:r>
        <w:rPr>
          <w:rFonts w:hint="eastAsia" w:ascii="宋体" w:hAnsi="宋体" w:eastAsia="宋体" w:cs="宋体"/>
          <w:color w:val="auto"/>
          <w:highlight w:val="none"/>
        </w:rPr>
        <w:t>本项目（否）接受联合体投标。</w:t>
      </w:r>
    </w:p>
    <w:p>
      <w:pPr>
        <w:pStyle w:val="15"/>
        <w:keepNext w:val="0"/>
        <w:keepLines w:val="0"/>
        <w:pageBreakBefore w:val="0"/>
        <w:widowControl/>
        <w:numPr>
          <w:ilvl w:val="0"/>
          <w:numId w:val="0"/>
        </w:numPr>
        <w:kinsoku/>
        <w:wordWrap/>
        <w:overflowPunct/>
        <w:topLinePunct w:val="0"/>
        <w:autoSpaceDE/>
        <w:autoSpaceDN/>
        <w:bidi w:val="0"/>
        <w:spacing w:before="0" w:beforeAutospacing="0" w:after="0" w:afterAutospacing="0" w:line="440" w:lineRule="exact"/>
        <w:outlineLvl w:val="9"/>
        <w:rPr>
          <w:rStyle w:val="20"/>
          <w:rFonts w:hint="eastAsia" w:ascii="黑体" w:hAnsi="宋体" w:eastAsia="黑体" w:cs="黑体"/>
          <w:i w:val="0"/>
          <w:iCs w:val="0"/>
          <w:color w:val="auto"/>
          <w:spacing w:val="0"/>
          <w:sz w:val="27"/>
          <w:szCs w:val="27"/>
          <w:highlight w:val="none"/>
        </w:rPr>
      </w:pPr>
      <w:bookmarkStart w:id="9" w:name="_Toc200"/>
      <w:bookmarkEnd w:id="9"/>
      <w:r>
        <w:rPr>
          <w:rStyle w:val="20"/>
          <w:rFonts w:hint="eastAsia" w:ascii="黑体" w:hAnsi="宋体" w:eastAsia="黑体" w:cs="黑体"/>
          <w:i w:val="0"/>
          <w:iCs w:val="0"/>
          <w:color w:val="auto"/>
          <w:spacing w:val="0"/>
          <w:sz w:val="27"/>
          <w:szCs w:val="27"/>
          <w:highlight w:val="none"/>
        </w:rPr>
        <w:t>二、申请人的资格要求：</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cs="宋体"/>
          <w:color w:val="auto"/>
          <w:highlight w:val="none"/>
          <w:lang w:eastAsia="zh-CN"/>
        </w:rPr>
      </w:pPr>
      <w:r>
        <w:rPr>
          <w:rFonts w:hint="eastAsia" w:ascii="宋体" w:hAnsi="宋体" w:eastAsia="宋体" w:cs="宋体"/>
          <w:color w:val="auto"/>
          <w:highlight w:val="none"/>
        </w:rPr>
        <w:t>2.落实政府采购政策需满足的资格要求：</w:t>
      </w:r>
      <w:bookmarkStart w:id="10" w:name="_Toc29188"/>
      <w:r>
        <w:rPr>
          <w:rFonts w:hint="eastAsia" w:ascii="宋体" w:hAnsi="宋体" w:cs="宋体"/>
          <w:color w:val="auto"/>
          <w:highlight w:val="none"/>
          <w:lang w:eastAsia="zh-CN"/>
        </w:rPr>
        <w:t>本项目</w:t>
      </w:r>
      <w:r>
        <w:rPr>
          <w:rFonts w:hint="eastAsia" w:cs="宋体"/>
          <w:color w:val="auto"/>
          <w:highlight w:val="none"/>
          <w:lang w:val="en-US" w:eastAsia="zh-CN"/>
        </w:rPr>
        <w:t>为</w:t>
      </w:r>
      <w:r>
        <w:rPr>
          <w:rFonts w:hint="eastAsia" w:ascii="宋体" w:hAnsi="宋体" w:cs="宋体"/>
          <w:color w:val="auto"/>
          <w:highlight w:val="none"/>
          <w:lang w:eastAsia="zh-CN"/>
        </w:rPr>
        <w:t>专门面向中小企业采购</w:t>
      </w:r>
      <w:r>
        <w:rPr>
          <w:rFonts w:hint="eastAsia" w:cs="宋体"/>
          <w:color w:val="auto"/>
          <w:highlight w:val="none"/>
          <w:lang w:eastAsia="zh-CN"/>
        </w:rPr>
        <w:t>。</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3.本项目的特定资格要求：①</w:t>
      </w:r>
      <w:r>
        <w:rPr>
          <w:rFonts w:hint="eastAsia" w:cs="宋体"/>
          <w:color w:val="auto"/>
          <w:highlight w:val="none"/>
          <w:lang w:val="en-US" w:eastAsia="zh-CN"/>
        </w:rPr>
        <w:t>提供有效的行政主管部门颁发的医疗器械经营备案凭证（或医疗器械生产许可证或医疗器械经营许可证）；</w:t>
      </w:r>
      <w:r>
        <w:rPr>
          <w:rFonts w:hint="eastAsia" w:ascii="宋体" w:hAnsi="宋体" w:eastAsia="宋体" w:cs="宋体"/>
          <w:color w:val="auto"/>
          <w:highlight w:val="none"/>
        </w:rPr>
        <w:t>②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w:t>
      </w:r>
      <w:r>
        <w:rPr>
          <w:rFonts w:hint="eastAsia" w:cs="宋体"/>
          <w:color w:val="auto"/>
          <w:highlight w:val="none"/>
          <w:lang w:val="en-US" w:eastAsia="zh-CN"/>
        </w:rPr>
        <w:t>③</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近三年内在中国裁判文书网（http://wenshu.court.gov.cn/）无行贿犯罪记录；</w:t>
      </w:r>
      <w:r>
        <w:rPr>
          <w:rFonts w:hint="eastAsia" w:ascii="宋体" w:hAnsi="宋体" w:eastAsia="宋体" w:cs="宋体"/>
          <w:color w:val="auto"/>
          <w:highlight w:val="none"/>
          <w:lang w:val="en-US" w:eastAsia="zh-CN"/>
        </w:rPr>
        <w:t>需提供网站截图。</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default" w:cs="宋体"/>
          <w:color w:val="auto"/>
          <w:highlight w:val="none"/>
          <w:lang w:val="en-US" w:eastAsia="zh-CN"/>
        </w:rPr>
      </w:pPr>
      <w:r>
        <w:rPr>
          <w:rFonts w:hint="eastAsia" w:cs="宋体"/>
          <w:color w:val="auto"/>
          <w:highlight w:val="none"/>
          <w:lang w:val="en-US" w:eastAsia="zh-CN"/>
        </w:rPr>
        <w:t>4.本项目不接受联合体投标。</w:t>
      </w:r>
    </w:p>
    <w:bookmarkEnd w:id="10"/>
    <w:p>
      <w:pPr>
        <w:pStyle w:val="15"/>
        <w:keepNext w:val="0"/>
        <w:keepLines w:val="0"/>
        <w:pageBreakBefore w:val="0"/>
        <w:widowControl/>
        <w:numPr>
          <w:ilvl w:val="0"/>
          <w:numId w:val="0"/>
        </w:numPr>
        <w:kinsoku/>
        <w:wordWrap/>
        <w:overflowPunct/>
        <w:topLinePunct w:val="0"/>
        <w:autoSpaceDE/>
        <w:autoSpaceDN/>
        <w:bidi w:val="0"/>
        <w:spacing w:before="0" w:beforeAutospacing="0" w:after="0" w:afterAutospacing="0" w:line="440" w:lineRule="exact"/>
        <w:outlineLvl w:val="9"/>
        <w:rPr>
          <w:rStyle w:val="20"/>
          <w:rFonts w:hint="eastAsia" w:ascii="黑体" w:hAnsi="宋体" w:eastAsia="黑体" w:cs="黑体"/>
          <w:i w:val="0"/>
          <w:iCs w:val="0"/>
          <w:color w:val="auto"/>
          <w:spacing w:val="0"/>
          <w:sz w:val="27"/>
          <w:szCs w:val="27"/>
          <w:highlight w:val="none"/>
        </w:rPr>
      </w:pPr>
      <w:r>
        <w:rPr>
          <w:rStyle w:val="20"/>
          <w:rFonts w:hint="eastAsia" w:ascii="黑体" w:hAnsi="宋体" w:eastAsia="黑体" w:cs="黑体"/>
          <w:i w:val="0"/>
          <w:iCs w:val="0"/>
          <w:color w:val="auto"/>
          <w:spacing w:val="0"/>
          <w:sz w:val="27"/>
          <w:szCs w:val="27"/>
          <w:highlight w:val="none"/>
        </w:rPr>
        <w:t>三、获取</w:t>
      </w:r>
      <w:r>
        <w:rPr>
          <w:rStyle w:val="20"/>
          <w:rFonts w:hint="eastAsia" w:ascii="黑体" w:hAnsi="宋体" w:eastAsia="黑体" w:cs="黑体"/>
          <w:i w:val="0"/>
          <w:iCs w:val="0"/>
          <w:color w:val="auto"/>
          <w:spacing w:val="0"/>
          <w:sz w:val="27"/>
          <w:szCs w:val="27"/>
          <w:highlight w:val="none"/>
          <w:lang w:eastAsia="zh-CN"/>
        </w:rPr>
        <w:t>竞争性磋商</w:t>
      </w:r>
      <w:r>
        <w:rPr>
          <w:rStyle w:val="20"/>
          <w:rFonts w:hint="eastAsia" w:ascii="黑体" w:hAnsi="宋体" w:eastAsia="黑体" w:cs="黑体"/>
          <w:i w:val="0"/>
          <w:iCs w:val="0"/>
          <w:color w:val="auto"/>
          <w:spacing w:val="0"/>
          <w:sz w:val="27"/>
          <w:szCs w:val="27"/>
          <w:highlight w:val="none"/>
        </w:rPr>
        <w:t>文件</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ascii="宋体" w:hAnsi="宋体" w:eastAsia="宋体" w:cs="宋体"/>
          <w:color w:val="auto"/>
          <w:highlight w:val="none"/>
        </w:rPr>
      </w:pPr>
      <w:r>
        <w:rPr>
          <w:rFonts w:hint="eastAsia" w:ascii="宋体" w:hAnsi="宋体" w:eastAsia="宋体" w:cs="宋体"/>
          <w:color w:val="auto"/>
          <w:highlight w:val="none"/>
        </w:rPr>
        <w:t>    时间：</w:t>
      </w:r>
      <w:r>
        <w:rPr>
          <w:rFonts w:hint="eastAsia" w:ascii="宋体" w:hAnsi="宋体" w:eastAsia="宋体" w:cs="宋体"/>
          <w:color w:val="auto"/>
          <w:highlight w:val="none"/>
          <w:u w:val="single"/>
        </w:rPr>
        <w:t xml:space="preserve"> </w:t>
      </w:r>
      <w:r>
        <w:rPr>
          <w:rFonts w:hint="eastAsia" w:cs="宋体"/>
          <w:color w:val="auto"/>
          <w:highlight w:val="none"/>
          <w:u w:val="single"/>
          <w:lang w:eastAsia="zh-CN"/>
        </w:rPr>
        <w:t>2023</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 xml:space="preserve">09 </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 xml:space="preserve"> 25</w:t>
      </w:r>
      <w:r>
        <w:rPr>
          <w:rFonts w:hint="eastAsia" w:ascii="宋体" w:hAnsi="宋体" w:eastAsia="宋体" w:cs="宋体"/>
          <w:color w:val="auto"/>
          <w:highlight w:val="none"/>
          <w:u w:val="single"/>
        </w:rPr>
        <w:t>日</w:t>
      </w:r>
      <w:r>
        <w:rPr>
          <w:rFonts w:hint="eastAsia" w:ascii="宋体" w:hAnsi="宋体" w:eastAsia="宋体" w:cs="宋体"/>
          <w:color w:val="auto"/>
          <w:highlight w:val="none"/>
        </w:rPr>
        <w:t>至</w:t>
      </w:r>
      <w:r>
        <w:rPr>
          <w:rFonts w:hint="eastAsia" w:cs="宋体"/>
          <w:color w:val="auto"/>
          <w:highlight w:val="none"/>
          <w:u w:val="single"/>
          <w:lang w:eastAsia="zh-CN"/>
        </w:rPr>
        <w:t>2023</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10</w:t>
      </w:r>
      <w:r>
        <w:rPr>
          <w:rFonts w:hint="eastAsia" w:ascii="宋体" w:hAnsi="宋体" w:eastAsia="宋体" w:cs="宋体"/>
          <w:color w:val="auto"/>
          <w:highlight w:val="none"/>
          <w:u w:val="single"/>
          <w:lang w:val="en-US" w:eastAsia="zh-CN"/>
        </w:rPr>
        <w:t>月</w:t>
      </w:r>
      <w:r>
        <w:rPr>
          <w:rFonts w:hint="eastAsia" w:cs="宋体"/>
          <w:color w:val="auto"/>
          <w:highlight w:val="none"/>
          <w:u w:val="single"/>
          <w:lang w:val="en-US" w:eastAsia="zh-CN"/>
        </w:rPr>
        <w:t>08</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，每天上午</w:t>
      </w:r>
      <w:r>
        <w:rPr>
          <w:rFonts w:hint="eastAsia" w:cs="宋体"/>
          <w:color w:val="auto"/>
          <w:highlight w:val="none"/>
          <w:u w:val="single"/>
          <w:lang w:val="en-US" w:eastAsia="zh-CN"/>
        </w:rPr>
        <w:t>00</w:t>
      </w:r>
      <w:r>
        <w:rPr>
          <w:rFonts w:hint="eastAsia" w:ascii="宋体" w:hAnsi="宋体" w:eastAsia="宋体" w:cs="宋体"/>
          <w:color w:val="auto"/>
          <w:highlight w:val="none"/>
          <w:u w:val="single"/>
        </w:rPr>
        <w:t>:00至</w:t>
      </w:r>
      <w:r>
        <w:rPr>
          <w:rFonts w:hint="eastAsia" w:cs="宋体"/>
          <w:color w:val="auto"/>
          <w:highlight w:val="none"/>
          <w:u w:val="single"/>
          <w:lang w:val="en-US" w:eastAsia="zh-CN"/>
        </w:rPr>
        <w:t>12</w:t>
      </w:r>
      <w:r>
        <w:rPr>
          <w:rFonts w:hint="eastAsia" w:ascii="宋体" w:hAnsi="宋体" w:eastAsia="宋体" w:cs="宋体"/>
          <w:color w:val="auto"/>
          <w:highlight w:val="none"/>
          <w:u w:val="single"/>
        </w:rPr>
        <w:t>:</w:t>
      </w:r>
      <w:r>
        <w:rPr>
          <w:rFonts w:hint="eastAsia"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，下午</w:t>
      </w:r>
      <w:r>
        <w:rPr>
          <w:rFonts w:hint="eastAsia" w:cs="宋体"/>
          <w:color w:val="auto"/>
          <w:highlight w:val="none"/>
          <w:u w:val="single"/>
          <w:lang w:val="en-US" w:eastAsia="zh-CN"/>
        </w:rPr>
        <w:t>12</w:t>
      </w:r>
      <w:r>
        <w:rPr>
          <w:rFonts w:hint="eastAsia" w:ascii="宋体" w:hAnsi="宋体" w:eastAsia="宋体" w:cs="宋体"/>
          <w:color w:val="auto"/>
          <w:highlight w:val="none"/>
          <w:u w:val="single"/>
        </w:rPr>
        <w:t>:</w:t>
      </w:r>
      <w:r>
        <w:rPr>
          <w:rFonts w:hint="eastAsia" w:cs="宋体"/>
          <w:color w:val="auto"/>
          <w:highlight w:val="none"/>
          <w:u w:val="single"/>
          <w:lang w:val="en-US" w:eastAsia="zh-CN"/>
        </w:rPr>
        <w:t>00</w:t>
      </w:r>
      <w:r>
        <w:rPr>
          <w:rFonts w:hint="eastAsia" w:ascii="宋体" w:hAnsi="宋体" w:eastAsia="宋体" w:cs="宋体"/>
          <w:color w:val="auto"/>
          <w:highlight w:val="none"/>
          <w:u w:val="single"/>
        </w:rPr>
        <w:t>至</w:t>
      </w:r>
      <w:r>
        <w:rPr>
          <w:rFonts w:hint="eastAsia" w:cs="宋体"/>
          <w:color w:val="auto"/>
          <w:highlight w:val="none"/>
          <w:u w:val="single"/>
          <w:lang w:val="en-US" w:eastAsia="zh-CN"/>
        </w:rPr>
        <w:t>23</w:t>
      </w:r>
      <w:r>
        <w:rPr>
          <w:rFonts w:hint="eastAsia" w:ascii="宋体" w:hAnsi="宋体" w:eastAsia="宋体" w:cs="宋体"/>
          <w:color w:val="auto"/>
          <w:highlight w:val="none"/>
          <w:u w:val="single"/>
        </w:rPr>
        <w:t>:</w:t>
      </w:r>
      <w:r>
        <w:rPr>
          <w:rFonts w:hint="eastAsia" w:cs="宋体"/>
          <w:color w:val="auto"/>
          <w:highlight w:val="none"/>
          <w:u w:val="single"/>
          <w:lang w:val="en-US" w:eastAsia="zh-CN"/>
        </w:rPr>
        <w:t>59</w:t>
      </w:r>
      <w:r>
        <w:rPr>
          <w:rFonts w:hint="eastAsia" w:ascii="宋体" w:hAnsi="宋体" w:eastAsia="宋体" w:cs="宋体"/>
          <w:color w:val="auto"/>
          <w:highlight w:val="none"/>
        </w:rPr>
        <w:t>（线下获取文件法定节假日除外）</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地点：政采云平台线上获取 </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方式：供应商登录政采云平台https://www.zcygov.cn/在线申请获取采购文件（进入“项目采购”应用，在获取采购文件菜单中选择项目，申请获取采购文件） </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售价（元）： 0 </w:t>
      </w:r>
    </w:p>
    <w:p>
      <w:pPr>
        <w:pStyle w:val="15"/>
        <w:keepNext w:val="0"/>
        <w:keepLines w:val="0"/>
        <w:pageBreakBefore w:val="0"/>
        <w:widowControl/>
        <w:numPr>
          <w:ilvl w:val="0"/>
          <w:numId w:val="0"/>
        </w:numPr>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Style w:val="20"/>
          <w:rFonts w:ascii="黑体" w:hAnsi="宋体" w:eastAsia="黑体" w:cs="黑体"/>
          <w:i w:val="0"/>
          <w:iCs w:val="0"/>
          <w:color w:val="auto"/>
          <w:spacing w:val="0"/>
          <w:sz w:val="27"/>
          <w:szCs w:val="27"/>
          <w:highlight w:val="none"/>
        </w:rPr>
        <w:t>四、响应文件提交</w:t>
      </w:r>
      <w:r>
        <w:rPr>
          <w:rFonts w:hint="eastAsia" w:ascii="宋体" w:hAnsi="宋体" w:eastAsia="宋体" w:cs="宋体"/>
          <w:color w:val="auto"/>
          <w:highlight w:val="none"/>
        </w:rPr>
        <w:t xml:space="preserve"> </w:t>
      </w:r>
    </w:p>
    <w:p>
      <w:pPr>
        <w:pStyle w:val="15"/>
        <w:keepNext w:val="0"/>
        <w:keepLines w:val="0"/>
        <w:pageBreakBefore w:val="0"/>
        <w:widowControl/>
        <w:numPr>
          <w:ilvl w:val="0"/>
          <w:numId w:val="0"/>
        </w:numPr>
        <w:kinsoku/>
        <w:wordWrap/>
        <w:overflowPunct/>
        <w:topLinePunct w:val="0"/>
        <w:autoSpaceDE/>
        <w:autoSpaceDN/>
        <w:bidi w:val="0"/>
        <w:spacing w:before="0" w:beforeAutospacing="0" w:after="0" w:afterAutospacing="0" w:line="440" w:lineRule="exact"/>
        <w:ind w:firstLine="240" w:firstLineChars="100"/>
        <w:outlineLvl w:val="9"/>
        <w:rPr>
          <w:rFonts w:ascii="宋体" w:hAnsi="宋体" w:eastAsia="宋体" w:cs="宋体"/>
          <w:color w:val="auto"/>
          <w:highlight w:val="none"/>
        </w:rPr>
      </w:pPr>
      <w:r>
        <w:rPr>
          <w:rFonts w:hint="eastAsia" w:ascii="宋体" w:hAnsi="宋体" w:eastAsia="宋体" w:cs="宋体"/>
          <w:color w:val="auto"/>
          <w:highlight w:val="none"/>
        </w:rPr>
        <w:t>提交</w:t>
      </w:r>
      <w:r>
        <w:rPr>
          <w:rFonts w:hint="eastAsia" w:ascii="宋体" w:hAnsi="宋体" w:cs="宋体"/>
          <w:color w:val="auto"/>
          <w:highlight w:val="none"/>
          <w:lang w:eastAsia="zh-CN"/>
        </w:rPr>
        <w:t>响应</w:t>
      </w:r>
      <w:r>
        <w:rPr>
          <w:rFonts w:hint="eastAsia" w:ascii="宋体" w:hAnsi="宋体" w:eastAsia="宋体" w:cs="宋体"/>
          <w:color w:val="auto"/>
          <w:highlight w:val="none"/>
        </w:rPr>
        <w:t>文件截止时</w:t>
      </w:r>
      <w:r>
        <w:rPr>
          <w:rFonts w:hint="eastAsia" w:ascii="宋体" w:hAnsi="宋体" w:eastAsia="宋体" w:cs="宋体"/>
          <w:color w:val="auto"/>
          <w:highlight w:val="none"/>
          <w:u w:val="none"/>
        </w:rPr>
        <w:t>间：</w:t>
      </w:r>
      <w:r>
        <w:rPr>
          <w:rFonts w:hint="eastAsia" w:cs="宋体"/>
          <w:color w:val="auto"/>
          <w:highlight w:val="none"/>
          <w:u w:val="none"/>
          <w:lang w:eastAsia="zh-CN"/>
        </w:rPr>
        <w:t>2023</w:t>
      </w:r>
      <w:r>
        <w:rPr>
          <w:rFonts w:hint="eastAsia" w:ascii="宋体" w:hAnsi="宋体" w:eastAsia="宋体" w:cs="宋体"/>
          <w:color w:val="auto"/>
          <w:highlight w:val="none"/>
          <w:u w:val="none"/>
        </w:rPr>
        <w:t>年</w:t>
      </w:r>
      <w:r>
        <w:rPr>
          <w:rFonts w:hint="eastAsia" w:cs="宋体"/>
          <w:color w:val="auto"/>
          <w:highlight w:val="none"/>
          <w:u w:val="none"/>
          <w:lang w:val="en-US" w:eastAsia="zh-CN"/>
        </w:rPr>
        <w:t>10</w:t>
      </w:r>
      <w:r>
        <w:rPr>
          <w:rFonts w:hint="eastAsia" w:ascii="宋体" w:hAnsi="宋体" w:eastAsia="宋体" w:cs="宋体"/>
          <w:color w:val="auto"/>
          <w:highlight w:val="none"/>
          <w:u w:val="none"/>
        </w:rPr>
        <w:t>月</w:t>
      </w:r>
      <w:r>
        <w:rPr>
          <w:rFonts w:hint="eastAsia" w:cs="宋体"/>
          <w:color w:val="auto"/>
          <w:highlight w:val="none"/>
          <w:u w:val="none"/>
          <w:lang w:val="en-US" w:eastAsia="zh-CN"/>
        </w:rPr>
        <w:t xml:space="preserve">10 </w:t>
      </w:r>
      <w:r>
        <w:rPr>
          <w:rFonts w:hint="eastAsia" w:ascii="宋体" w:hAnsi="宋体" w:eastAsia="宋体" w:cs="宋体"/>
          <w:color w:val="auto"/>
          <w:highlight w:val="none"/>
          <w:u w:val="none"/>
        </w:rPr>
        <w:t>日</w:t>
      </w:r>
      <w:r>
        <w:rPr>
          <w:rFonts w:hint="eastAsia" w:ascii="宋体" w:hAnsi="宋体" w:eastAsia="宋体" w:cs="宋体"/>
          <w:color w:val="auto"/>
          <w:highlight w:val="none"/>
          <w:u w:val="none"/>
          <w:lang w:val="en-US" w:eastAsia="zh-CN"/>
        </w:rPr>
        <w:t>1</w:t>
      </w:r>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rPr>
        <w:t>:</w:t>
      </w:r>
      <w:r>
        <w:rPr>
          <w:rFonts w:hint="eastAsia" w:ascii="宋体" w:hAnsi="宋体" w:cs="宋体"/>
          <w:color w:val="auto"/>
          <w:highlight w:val="none"/>
          <w:u w:val="none"/>
          <w:lang w:val="en-US" w:eastAsia="zh-CN"/>
        </w:rPr>
        <w:t>0</w:t>
      </w:r>
      <w:r>
        <w:rPr>
          <w:rFonts w:hint="eastAsia" w:ascii="宋体" w:hAnsi="宋体" w:eastAsia="宋体" w:cs="宋体"/>
          <w:color w:val="auto"/>
          <w:highlight w:val="none"/>
          <w:u w:val="none"/>
          <w:lang w:val="en-US" w:eastAsia="zh-CN"/>
        </w:rPr>
        <w:t>0</w:t>
      </w:r>
      <w:r>
        <w:rPr>
          <w:rFonts w:hint="eastAsia" w:ascii="宋体" w:hAnsi="宋体" w:eastAsia="宋体" w:cs="宋体"/>
          <w:color w:val="auto"/>
          <w:highlight w:val="none"/>
          <w:u w:val="none"/>
        </w:rPr>
        <w:t>  （北</w:t>
      </w:r>
      <w:r>
        <w:rPr>
          <w:rFonts w:hint="eastAsia" w:ascii="宋体" w:hAnsi="宋体" w:eastAsia="宋体" w:cs="宋体"/>
          <w:color w:val="auto"/>
          <w:highlight w:val="none"/>
        </w:rPr>
        <w:t>京时间）</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地点：请登录政采云投标客户端投标    </w:t>
      </w:r>
    </w:p>
    <w:p>
      <w:pPr>
        <w:pStyle w:val="15"/>
        <w:keepNext w:val="0"/>
        <w:keepLines w:val="0"/>
        <w:pageBreakBefore w:val="0"/>
        <w:widowControl/>
        <w:suppressLineNumbers w:val="0"/>
        <w:kinsoku/>
        <w:wordWrap/>
        <w:overflowPunct/>
        <w:topLinePunct w:val="0"/>
        <w:autoSpaceDE/>
        <w:autoSpaceDN/>
        <w:bidi w:val="0"/>
        <w:spacing w:before="255" w:beforeAutospacing="0" w:after="255" w:afterAutospacing="0" w:line="450" w:lineRule="atLeast"/>
        <w:ind w:left="0" w:right="0" w:firstLine="0"/>
        <w:jc w:val="both"/>
        <w:outlineLvl w:val="9"/>
        <w:rPr>
          <w:rFonts w:ascii="黑体" w:hAnsi="宋体" w:eastAsia="黑体" w:cs="黑体"/>
          <w:i w:val="0"/>
          <w:iCs w:val="0"/>
          <w:color w:val="auto"/>
          <w:spacing w:val="0"/>
          <w:sz w:val="27"/>
          <w:szCs w:val="27"/>
          <w:highlight w:val="none"/>
        </w:rPr>
      </w:pPr>
      <w:r>
        <w:rPr>
          <w:rStyle w:val="20"/>
          <w:rFonts w:ascii="黑体" w:hAnsi="宋体" w:eastAsia="黑体" w:cs="黑体"/>
          <w:i w:val="0"/>
          <w:iCs w:val="0"/>
          <w:color w:val="auto"/>
          <w:spacing w:val="0"/>
          <w:sz w:val="27"/>
          <w:szCs w:val="27"/>
          <w:highlight w:val="none"/>
        </w:rPr>
        <w:t>五、响应文件开启</w:t>
      </w:r>
      <w:r>
        <w:rPr>
          <w:rFonts w:ascii="黑体" w:hAnsi="宋体" w:eastAsia="黑体" w:cs="黑体"/>
          <w:i w:val="0"/>
          <w:iCs w:val="0"/>
          <w:color w:val="auto"/>
          <w:spacing w:val="0"/>
          <w:sz w:val="27"/>
          <w:szCs w:val="27"/>
          <w:highlight w:val="none"/>
        </w:rPr>
        <w:t> </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ascii="仿宋" w:hAnsi="仿宋" w:eastAsia="仿宋" w:cs="仿宋"/>
          <w:i w:val="0"/>
          <w:iCs w:val="0"/>
          <w:color w:val="auto"/>
          <w:spacing w:val="0"/>
          <w:sz w:val="27"/>
          <w:szCs w:val="27"/>
          <w:highlight w:val="none"/>
        </w:rPr>
        <w:t>   </w:t>
      </w:r>
      <w:r>
        <w:rPr>
          <w:rFonts w:hint="eastAsia" w:ascii="宋体" w:hAnsi="宋体" w:eastAsia="宋体" w:cs="宋体"/>
          <w:color w:val="auto"/>
          <w:highlight w:val="none"/>
        </w:rPr>
        <w:t xml:space="preserve"> 开启时间：2023年</w:t>
      </w:r>
      <w:r>
        <w:rPr>
          <w:rFonts w:hint="eastAsia" w:cs="宋体"/>
          <w:color w:val="auto"/>
          <w:highlight w:val="none"/>
          <w:lang w:val="en-US" w:eastAsia="zh-CN"/>
        </w:rPr>
        <w:t>10</w:t>
      </w:r>
      <w:r>
        <w:rPr>
          <w:rFonts w:hint="eastAsia" w:ascii="宋体" w:hAnsi="宋体" w:eastAsia="宋体" w:cs="宋体"/>
          <w:color w:val="auto"/>
          <w:highlight w:val="none"/>
        </w:rPr>
        <w:t>月</w:t>
      </w:r>
      <w:r>
        <w:rPr>
          <w:rFonts w:hint="eastAsia" w:cs="宋体"/>
          <w:color w:val="auto"/>
          <w:highlight w:val="none"/>
          <w:lang w:val="en-US" w:eastAsia="zh-CN"/>
        </w:rPr>
        <w:t>10</w:t>
      </w:r>
      <w:r>
        <w:rPr>
          <w:rFonts w:hint="eastAsia" w:ascii="宋体" w:hAnsi="宋体" w:eastAsia="宋体" w:cs="宋体"/>
          <w:color w:val="auto"/>
          <w:highlight w:val="none"/>
        </w:rPr>
        <w:t xml:space="preserve">日 </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 （北京时间）</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地点：政采云平台https://www.zcygov.cn/ </w:t>
      </w:r>
    </w:p>
    <w:p>
      <w:pPr>
        <w:pStyle w:val="15"/>
        <w:keepNext w:val="0"/>
        <w:keepLines w:val="0"/>
        <w:pageBreakBefore w:val="0"/>
        <w:widowControl/>
        <w:suppressLineNumbers w:val="0"/>
        <w:kinsoku/>
        <w:wordWrap/>
        <w:overflowPunct/>
        <w:topLinePunct w:val="0"/>
        <w:autoSpaceDE/>
        <w:autoSpaceDN/>
        <w:bidi w:val="0"/>
        <w:spacing w:before="255" w:beforeAutospacing="0" w:after="255" w:afterAutospacing="0" w:line="450" w:lineRule="atLeast"/>
        <w:ind w:left="0" w:right="0" w:firstLine="0"/>
        <w:jc w:val="both"/>
        <w:outlineLvl w:val="9"/>
        <w:rPr>
          <w:rFonts w:ascii="黑体" w:hAnsi="宋体" w:eastAsia="黑体" w:cs="黑体"/>
          <w:i w:val="0"/>
          <w:iCs w:val="0"/>
          <w:color w:val="auto"/>
          <w:spacing w:val="0"/>
          <w:sz w:val="31"/>
          <w:szCs w:val="31"/>
          <w:highlight w:val="none"/>
        </w:rPr>
      </w:pPr>
      <w:r>
        <w:rPr>
          <w:rStyle w:val="20"/>
          <w:rFonts w:ascii="黑体" w:hAnsi="宋体" w:eastAsia="黑体" w:cs="黑体"/>
          <w:i w:val="0"/>
          <w:iCs w:val="0"/>
          <w:color w:val="auto"/>
          <w:spacing w:val="0"/>
          <w:sz w:val="27"/>
          <w:szCs w:val="27"/>
          <w:highlight w:val="none"/>
        </w:rPr>
        <w:t>六、公告期限</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rPr>
      </w:pPr>
      <w:r>
        <w:rPr>
          <w:rFonts w:hint="eastAsia" w:ascii="仿宋" w:hAnsi="仿宋" w:eastAsia="仿宋" w:cs="仿宋"/>
          <w:i w:val="0"/>
          <w:iCs w:val="0"/>
          <w:color w:val="auto"/>
          <w:spacing w:val="0"/>
          <w:sz w:val="27"/>
          <w:szCs w:val="27"/>
          <w:highlight w:val="none"/>
        </w:rPr>
        <w:t> </w:t>
      </w:r>
      <w:r>
        <w:rPr>
          <w:rFonts w:hint="eastAsia" w:ascii="宋体" w:hAnsi="宋体" w:eastAsia="宋体" w:cs="宋体"/>
          <w:color w:val="auto"/>
          <w:highlight w:val="none"/>
        </w:rPr>
        <w:t xml:space="preserve">   自本公告发布之日起</w:t>
      </w:r>
      <w:r>
        <w:rPr>
          <w:rFonts w:hint="eastAsia" w:cs="宋体"/>
          <w:color w:val="auto"/>
          <w:highlight w:val="none"/>
          <w:lang w:val="en-US" w:eastAsia="zh-CN"/>
        </w:rPr>
        <w:t>3</w:t>
      </w:r>
      <w:r>
        <w:rPr>
          <w:rFonts w:hint="eastAsia" w:ascii="宋体" w:hAnsi="宋体" w:eastAsia="宋体" w:cs="宋体"/>
          <w:color w:val="auto"/>
          <w:highlight w:val="none"/>
        </w:rPr>
        <w:t>个工作日。</w:t>
      </w:r>
    </w:p>
    <w:p>
      <w:pPr>
        <w:pStyle w:val="15"/>
        <w:keepNext w:val="0"/>
        <w:keepLines w:val="0"/>
        <w:pageBreakBefore w:val="0"/>
        <w:widowControl/>
        <w:suppressLineNumbers w:val="0"/>
        <w:kinsoku/>
        <w:wordWrap/>
        <w:overflowPunct/>
        <w:topLinePunct w:val="0"/>
        <w:autoSpaceDE/>
        <w:autoSpaceDN/>
        <w:bidi w:val="0"/>
        <w:spacing w:before="255" w:beforeAutospacing="0" w:after="255" w:afterAutospacing="0" w:line="450" w:lineRule="atLeast"/>
        <w:ind w:left="0" w:right="0" w:firstLine="0"/>
        <w:jc w:val="both"/>
        <w:outlineLvl w:val="9"/>
        <w:rPr>
          <w:rFonts w:ascii="黑体" w:hAnsi="宋体" w:eastAsia="黑体" w:cs="黑体"/>
          <w:i w:val="0"/>
          <w:iCs w:val="0"/>
          <w:color w:val="auto"/>
          <w:spacing w:val="0"/>
          <w:sz w:val="27"/>
          <w:szCs w:val="27"/>
          <w:highlight w:val="none"/>
        </w:rPr>
      </w:pPr>
      <w:r>
        <w:rPr>
          <w:rStyle w:val="20"/>
          <w:rFonts w:ascii="黑体" w:hAnsi="宋体" w:eastAsia="黑体" w:cs="黑体"/>
          <w:i w:val="0"/>
          <w:iCs w:val="0"/>
          <w:color w:val="auto"/>
          <w:spacing w:val="0"/>
          <w:sz w:val="27"/>
          <w:szCs w:val="27"/>
          <w:highlight w:val="none"/>
        </w:rPr>
        <w:t>七、其他补充事宜</w:t>
      </w:r>
      <w:r>
        <w:rPr>
          <w:rFonts w:ascii="黑体" w:hAnsi="宋体" w:eastAsia="黑体" w:cs="黑体"/>
          <w:i w:val="0"/>
          <w:iCs w:val="0"/>
          <w:color w:val="auto"/>
          <w:spacing w:val="0"/>
          <w:sz w:val="27"/>
          <w:szCs w:val="27"/>
          <w:highlight w:val="none"/>
        </w:rPr>
        <w:t> </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、本项目实行网上投标，采用电子投标文件；</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、各供应商应成为</w:t>
      </w:r>
      <w:r>
        <w:rPr>
          <w:rFonts w:hint="eastAsia" w:cs="宋体"/>
          <w:color w:val="auto"/>
          <w:highlight w:val="none"/>
          <w:lang w:val="en-US" w:eastAsia="zh-CN"/>
        </w:rPr>
        <w:t>新疆</w:t>
      </w:r>
      <w:r>
        <w:rPr>
          <w:rFonts w:hint="eastAsia" w:ascii="宋体" w:hAnsi="宋体" w:eastAsia="宋体" w:cs="宋体"/>
          <w:color w:val="auto"/>
          <w:highlight w:val="none"/>
        </w:rPr>
        <w:t>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、供应商将政采云电子交易客户端下载、安装完成后，可通过账号密码或CA登录客户端进行响应文件的制作。在使用政采云投标客户端时，建议使用WIN7及以上操作系统。客户端请至</w:t>
      </w:r>
      <w:r>
        <w:rPr>
          <w:rFonts w:hint="eastAsia" w:cs="宋体"/>
          <w:color w:val="auto"/>
          <w:highlight w:val="none"/>
          <w:lang w:val="en-US" w:eastAsia="zh-CN"/>
        </w:rPr>
        <w:t>新疆</w:t>
      </w:r>
      <w:r>
        <w:rPr>
          <w:rFonts w:hint="eastAsia" w:cs="宋体"/>
          <w:color w:val="auto"/>
          <w:highlight w:val="none"/>
          <w:lang w:eastAsia="zh-CN"/>
        </w:rPr>
        <w:t>政府采购</w:t>
      </w:r>
      <w:r>
        <w:rPr>
          <w:rFonts w:hint="eastAsia" w:cs="宋体"/>
          <w:color w:val="auto"/>
          <w:highlight w:val="none"/>
          <w:lang w:val="en-US" w:eastAsia="zh-CN"/>
        </w:rPr>
        <w:t>网</w:t>
      </w:r>
      <w:r>
        <w:rPr>
          <w:rFonts w:hint="eastAsia" w:cs="宋体"/>
          <w:color w:val="auto"/>
          <w:highlight w:val="none"/>
          <w:lang w:eastAsia="zh-CN"/>
        </w:rPr>
        <w:t>（http://www.ccgp-xinjiang.gov.cn/）</w:t>
      </w:r>
      <w:r>
        <w:rPr>
          <w:rFonts w:hint="eastAsia" w:ascii="宋体" w:hAnsi="宋体" w:eastAsia="宋体" w:cs="宋体"/>
          <w:color w:val="auto"/>
          <w:highlight w:val="none"/>
        </w:rPr>
        <w:t>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、供应商应当在招标截止时间前,将生成的“电子加密响应文件”上传递交至“政府采购云平台”,招标截止时间以后上传递交的响应文件将被“政府采购云平台”拒收。</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、供应商登录政采云平台，在招标时间后30分钟内用“项目采购-开标评标”功能进行解密响应文件。若供应商在规定时间内（未按时解密的，视为无效招标。解密与加密响应文件须使用同一个CA。 </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仿宋" w:hAnsi="仿宋" w:eastAsia="仿宋" w:cs="仿宋"/>
          <w:i w:val="0"/>
          <w:iCs w:val="0"/>
          <w:color w:val="auto"/>
          <w:spacing w:val="0"/>
          <w:sz w:val="27"/>
          <w:szCs w:val="27"/>
          <w:highlight w:val="none"/>
        </w:rPr>
        <w:t> </w:t>
      </w:r>
      <w:r>
        <w:rPr>
          <w:rFonts w:hint="eastAsia" w:ascii="宋体" w:hAnsi="宋体" w:eastAsia="宋体" w:cs="宋体"/>
          <w:color w:val="auto"/>
          <w:highlight w:val="none"/>
        </w:rPr>
        <w:t>特别提示：</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1、采购限额标准以上，200万元以下的货物和服务采购项目、400万元以下的工程采购项目，适宜由中小企业提供的，采购人应当专门面向中小企业采购。</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5"/>
        <w:keepNext w:val="0"/>
        <w:keepLines w:val="0"/>
        <w:pageBreakBefore w:val="0"/>
        <w:widowControl/>
        <w:suppressLineNumbers w:val="0"/>
        <w:kinsoku/>
        <w:wordWrap/>
        <w:overflowPunct/>
        <w:topLinePunct w:val="0"/>
        <w:autoSpaceDE/>
        <w:autoSpaceDN/>
        <w:bidi w:val="0"/>
        <w:ind w:left="0" w:firstLine="0"/>
        <w:outlineLvl w:val="9"/>
        <w:rPr>
          <w:rFonts w:hint="eastAsia" w:ascii="宋体" w:hAnsi="宋体" w:eastAsia="宋体" w:cs="宋体"/>
          <w:color w:val="auto"/>
          <w:highlight w:val="none"/>
        </w:rPr>
      </w:pPr>
      <w:r>
        <w:rPr>
          <w:rFonts w:hint="eastAsia" w:ascii="宋体" w:hAnsi="宋体" w:eastAsia="宋体" w:cs="宋体"/>
          <w:color w:val="auto"/>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5"/>
        <w:keepNext w:val="0"/>
        <w:keepLines w:val="0"/>
        <w:pageBreakBefore w:val="0"/>
        <w:widowControl/>
        <w:numPr>
          <w:ilvl w:val="0"/>
          <w:numId w:val="2"/>
        </w:numPr>
        <w:kinsoku/>
        <w:wordWrap/>
        <w:overflowPunct/>
        <w:topLinePunct w:val="0"/>
        <w:autoSpaceDE/>
        <w:autoSpaceDN/>
        <w:bidi w:val="0"/>
        <w:spacing w:before="0" w:beforeAutospacing="0" w:after="0" w:afterAutospacing="0" w:line="440" w:lineRule="exact"/>
        <w:jc w:val="both"/>
        <w:outlineLvl w:val="9"/>
        <w:rPr>
          <w:rFonts w:ascii="宋体" w:hAnsi="宋体" w:eastAsia="宋体" w:cs="宋体"/>
          <w:color w:val="auto"/>
          <w:highlight w:val="none"/>
        </w:rPr>
      </w:pPr>
      <w:r>
        <w:rPr>
          <w:rStyle w:val="20"/>
          <w:rFonts w:hint="eastAsia" w:ascii="宋体" w:hAnsi="宋体" w:eastAsia="宋体" w:cs="宋体"/>
          <w:color w:val="auto"/>
          <w:highlight w:val="none"/>
        </w:rPr>
        <w:t>对本次招标提出询问，请按以下方式联系。</w:t>
      </w:r>
      <w:r>
        <w:rPr>
          <w:rFonts w:hint="eastAsia" w:ascii="宋体" w:hAnsi="宋体" w:eastAsia="宋体" w:cs="宋体"/>
          <w:color w:val="auto"/>
          <w:highlight w:val="none"/>
        </w:rPr>
        <w:t>　　　　　　　　　　　　</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ind w:firstLine="420"/>
        <w:outlineLvl w:val="9"/>
        <w:rPr>
          <w:color w:val="auto"/>
          <w:highlight w:val="none"/>
        </w:rPr>
      </w:pPr>
      <w:r>
        <w:rPr>
          <w:rFonts w:hint="eastAsia"/>
          <w:color w:val="auto"/>
          <w:highlight w:val="none"/>
        </w:rPr>
        <w:t>1.采购人信息</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名称：乌鲁木齐市米东区中医医院 　　　　　　　　　</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地址：乌鲁木齐市米东区府前中路1055号 </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项目联系人（询问）：雷佳　　　　　　　　　　</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项目联系方式（询问）：(0991) 7501365</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2.采购代理机构信息</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名 称：新疆诚成工程项目管理有限公司</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地 址：新疆乌鲁木齐市水磨沟区红光山路2588号绿地中心101栋18层商业办公6号房</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lang w:eastAsia="zh-CN"/>
        </w:rPr>
      </w:pPr>
      <w:r>
        <w:rPr>
          <w:rStyle w:val="20"/>
          <w:rFonts w:hint="eastAsia" w:ascii="宋体" w:hAnsi="宋体" w:eastAsia="宋体" w:cs="宋体"/>
          <w:b w:val="0"/>
          <w:bCs w:val="0"/>
          <w:i w:val="0"/>
          <w:caps w:val="0"/>
          <w:color w:val="auto"/>
          <w:spacing w:val="0"/>
          <w:w w:val="100"/>
          <w:position w:val="0"/>
          <w:sz w:val="24"/>
          <w:highlight w:val="none"/>
        </w:rPr>
        <w:t>联系方式：</w:t>
      </w:r>
      <w:r>
        <w:rPr>
          <w:rStyle w:val="20"/>
          <w:rFonts w:hint="eastAsia" w:ascii="宋体" w:hAnsi="宋体" w:eastAsia="宋体" w:cs="宋体"/>
          <w:b w:val="0"/>
          <w:bCs w:val="0"/>
          <w:i w:val="0"/>
          <w:caps w:val="0"/>
          <w:color w:val="auto"/>
          <w:spacing w:val="0"/>
          <w:w w:val="100"/>
          <w:position w:val="0"/>
          <w:sz w:val="24"/>
          <w:highlight w:val="none"/>
          <w:lang w:val="en-US" w:eastAsia="zh-CN"/>
        </w:rPr>
        <w:t>19990210962  18690136275</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3.项目联系方式</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rPr>
      </w:pPr>
      <w:r>
        <w:rPr>
          <w:rStyle w:val="20"/>
          <w:rFonts w:hint="eastAsia" w:ascii="宋体" w:hAnsi="宋体" w:eastAsia="宋体" w:cs="宋体"/>
          <w:b w:val="0"/>
          <w:bCs w:val="0"/>
          <w:i w:val="0"/>
          <w:caps w:val="0"/>
          <w:color w:val="auto"/>
          <w:spacing w:val="0"/>
          <w:w w:val="100"/>
          <w:position w:val="0"/>
          <w:sz w:val="24"/>
          <w:highlight w:val="none"/>
        </w:rPr>
        <w:t>项目联系人：赵雅琦 李颖</w:t>
      </w:r>
    </w:p>
    <w:p>
      <w:pPr>
        <w:numPr>
          <w:ilvl w:val="0"/>
          <w:numId w:val="0"/>
        </w:numPr>
        <w:spacing w:line="360" w:lineRule="auto"/>
        <w:rPr>
          <w:rStyle w:val="20"/>
          <w:rFonts w:hint="eastAsia" w:ascii="宋体" w:hAnsi="宋体" w:eastAsia="宋体" w:cs="宋体"/>
          <w:b w:val="0"/>
          <w:bCs w:val="0"/>
          <w:i w:val="0"/>
          <w:caps w:val="0"/>
          <w:color w:val="auto"/>
          <w:spacing w:val="0"/>
          <w:w w:val="100"/>
          <w:position w:val="0"/>
          <w:sz w:val="24"/>
          <w:highlight w:val="none"/>
          <w:lang w:val="en-US" w:eastAsia="zh-CN"/>
        </w:rPr>
      </w:pPr>
      <w:r>
        <w:rPr>
          <w:rStyle w:val="20"/>
          <w:rFonts w:hint="eastAsia" w:ascii="宋体" w:hAnsi="宋体" w:eastAsia="宋体" w:cs="宋体"/>
          <w:b w:val="0"/>
          <w:bCs w:val="0"/>
          <w:i w:val="0"/>
          <w:caps w:val="0"/>
          <w:color w:val="auto"/>
          <w:spacing w:val="0"/>
          <w:w w:val="100"/>
          <w:position w:val="0"/>
          <w:sz w:val="24"/>
          <w:highlight w:val="none"/>
          <w:lang w:val="en-US" w:eastAsia="zh-CN"/>
        </w:rPr>
        <w:t>电      话：19990210962  18690136275</w:t>
      </w:r>
    </w:p>
    <w:p>
      <w:pPr>
        <w:pStyle w:val="15"/>
        <w:keepNext w:val="0"/>
        <w:keepLines w:val="0"/>
        <w:pageBreakBefore w:val="0"/>
        <w:kinsoku/>
        <w:wordWrap/>
        <w:overflowPunct/>
        <w:topLinePunct w:val="0"/>
        <w:autoSpaceDE/>
        <w:autoSpaceDN/>
        <w:bidi w:val="0"/>
        <w:spacing w:before="75" w:beforeAutospacing="0" w:after="75" w:afterAutospacing="0"/>
        <w:outlineLvl w:val="9"/>
        <w:rPr>
          <w:rFonts w:hint="eastAsia" w:cs="宋体"/>
          <w:color w:val="auto"/>
          <w:szCs w:val="24"/>
          <w:highlight w:val="none"/>
        </w:rPr>
      </w:pPr>
    </w:p>
    <w:p>
      <w:pPr>
        <w:keepNext w:val="0"/>
        <w:keepLines w:val="0"/>
        <w:pageBreakBefore w:val="0"/>
        <w:kinsoku/>
        <w:wordWrap/>
        <w:overflowPunct/>
        <w:topLinePunct w:val="0"/>
        <w:autoSpaceDE/>
        <w:autoSpaceDN/>
        <w:bidi w:val="0"/>
        <w:outlineLvl w:val="9"/>
        <w:rPr>
          <w:rFonts w:hint="eastAsia" w:cs="宋体"/>
          <w:color w:val="auto"/>
          <w:sz w:val="20"/>
          <w:szCs w:val="20"/>
          <w:highlight w:val="none"/>
        </w:rPr>
      </w:pPr>
      <w:r>
        <w:rPr>
          <w:rFonts w:hint="eastAsia" w:cs="宋体"/>
          <w:color w:val="auto"/>
          <w:sz w:val="20"/>
          <w:szCs w:val="20"/>
          <w:highlight w:val="none"/>
        </w:rPr>
        <w:br w:type="page"/>
      </w:r>
    </w:p>
    <w:p>
      <w:pPr>
        <w:pStyle w:val="3"/>
        <w:numPr>
          <w:ilvl w:val="0"/>
          <w:numId w:val="1"/>
        </w:numPr>
        <w:spacing w:before="0" w:after="0" w:line="240" w:lineRule="auto"/>
        <w:ind w:left="0" w:leftChars="0"/>
        <w:rPr>
          <w:rFonts w:hint="eastAsia"/>
          <w:color w:val="auto"/>
          <w:highlight w:val="none"/>
        </w:rPr>
      </w:pPr>
      <w:bookmarkStart w:id="11" w:name="_Toc10571"/>
      <w:bookmarkEnd w:id="11"/>
      <w:bookmarkStart w:id="12" w:name="_Toc1347"/>
      <w:bookmarkEnd w:id="12"/>
      <w:bookmarkStart w:id="13" w:name="_Toc24450"/>
      <w:r>
        <w:rPr>
          <w:rFonts w:hint="eastAsia"/>
          <w:color w:val="auto"/>
          <w:highlight w:val="none"/>
        </w:rPr>
        <w:t>供应商须知</w:t>
      </w:r>
      <w:bookmarkEnd w:id="13"/>
    </w:p>
    <w:p>
      <w:pPr>
        <w:spacing w:line="500" w:lineRule="exact"/>
        <w:jc w:val="center"/>
        <w:rPr>
          <w:rStyle w:val="21"/>
          <w:rFonts w:ascii="宋体" w:hAnsi="宋体" w:cs="宋体"/>
          <w:b/>
          <w:color w:val="auto"/>
          <w:sz w:val="28"/>
          <w:szCs w:val="28"/>
          <w:highlight w:val="none"/>
        </w:rPr>
      </w:pPr>
      <w:r>
        <w:rPr>
          <w:rStyle w:val="21"/>
          <w:rFonts w:hint="eastAsia" w:ascii="宋体" w:hAnsi="宋体" w:cs="宋体"/>
          <w:b/>
          <w:color w:val="auto"/>
          <w:sz w:val="28"/>
          <w:szCs w:val="28"/>
          <w:highlight w:val="none"/>
        </w:rPr>
        <w:t>投标人须知前附表</w:t>
      </w:r>
    </w:p>
    <w:tbl>
      <w:tblPr>
        <w:tblStyle w:val="17"/>
        <w:tblW w:w="10005"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348"/>
        <w:gridCol w:w="65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117" w:type="dxa"/>
            <w:noWrap w:val="0"/>
            <w:vAlign w:val="center"/>
          </w:tcPr>
          <w:p>
            <w:pPr>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序列号</w:t>
            </w: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540" w:type="dxa"/>
            <w:noWrap w:val="0"/>
            <w:vAlign w:val="center"/>
          </w:tcPr>
          <w:p>
            <w:pPr>
              <w:adjustRightInd w:val="0"/>
              <w:snapToGrid w:val="0"/>
              <w:spacing w:before="120"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540" w:type="dxa"/>
            <w:noWrap w:val="0"/>
            <w:vAlign w:val="center"/>
          </w:tcPr>
          <w:p>
            <w:pPr>
              <w:adjustRightInd w:val="0"/>
              <w:snapToGrid w:val="0"/>
              <w:spacing w:before="120" w:beforeLines="50"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乌鲁木齐市米东区中医医院设备维保采购项目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3"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6540" w:type="dxa"/>
            <w:noWrap w:val="0"/>
            <w:vAlign w:val="center"/>
          </w:tcPr>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乌鲁木齐市米东区中医医院</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乌鲁木齐市米东区府前中路1055号</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系人：</w:t>
            </w:r>
            <w:r>
              <w:rPr>
                <w:rFonts w:hint="eastAsia" w:ascii="宋体" w:hAnsi="宋体" w:eastAsia="宋体" w:cs="宋体"/>
                <w:color w:val="auto"/>
                <w:sz w:val="24"/>
                <w:szCs w:val="24"/>
                <w:highlight w:val="none"/>
                <w:u w:val="single"/>
              </w:rPr>
              <w:t xml:space="preserve">  雷佳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(0991) 7501365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kinsoku/>
              <w:topLinePunct w:val="0"/>
              <w:bidi w:val="0"/>
              <w:snapToGrid/>
              <w:spacing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6540" w:type="dxa"/>
            <w:noWrap w:val="0"/>
            <w:vAlign w:val="center"/>
          </w:tcPr>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新疆诚成工程项目管理有限公司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新疆维吾尔自治区乌鲁木齐市水磨沟区红光山路2588号绿地中心101栋1806室</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系人：</w:t>
            </w:r>
            <w:r>
              <w:rPr>
                <w:rFonts w:hint="eastAsia" w:ascii="宋体" w:hAnsi="宋体" w:eastAsia="宋体" w:cs="宋体"/>
                <w:color w:val="auto"/>
                <w:sz w:val="24"/>
                <w:szCs w:val="24"/>
                <w:highlight w:val="none"/>
                <w:u w:val="single"/>
              </w:rPr>
              <w:t>赵雅琦 李颖</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19990210962  18690136275</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kinsoku/>
              <w:topLinePunct w:val="0"/>
              <w:bidi w:val="0"/>
              <w:snapToGrid/>
              <w:spacing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450378115@qq.com</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监管部门</w:t>
            </w:r>
          </w:p>
        </w:tc>
        <w:tc>
          <w:tcPr>
            <w:tcW w:w="6540"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乌鲁木齐市米东区</w:t>
            </w:r>
            <w:r>
              <w:rPr>
                <w:rFonts w:hint="eastAsia" w:ascii="宋体" w:hAnsi="宋体" w:eastAsia="宋体" w:cs="宋体"/>
                <w:color w:val="auto"/>
                <w:sz w:val="24"/>
                <w:szCs w:val="24"/>
                <w:highlight w:val="none"/>
                <w:lang w:val="en-US" w:eastAsia="zh-CN"/>
              </w:rPr>
              <w:t>财政局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项目预算</w:t>
            </w:r>
          </w:p>
        </w:tc>
        <w:tc>
          <w:tcPr>
            <w:tcW w:w="6540" w:type="dxa"/>
            <w:noWrap w:val="0"/>
            <w:vAlign w:val="center"/>
          </w:tcPr>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项目预算金额：</w:t>
            </w:r>
            <w:r>
              <w:rPr>
                <w:rFonts w:hint="eastAsia" w:ascii="宋体" w:hAnsi="宋体" w:cs="宋体"/>
                <w:color w:val="auto"/>
                <w:sz w:val="24"/>
                <w:szCs w:val="24"/>
                <w:highlight w:val="none"/>
                <w:u w:val="single"/>
                <w:lang w:val="en-US" w:eastAsia="zh-CN"/>
              </w:rPr>
              <w:t>880000.00</w:t>
            </w:r>
            <w:r>
              <w:rPr>
                <w:rFonts w:hint="eastAsia" w:ascii="宋体" w:hAnsi="宋体" w:eastAsia="宋体" w:cs="宋体"/>
                <w:color w:val="auto"/>
                <w:sz w:val="24"/>
                <w:szCs w:val="24"/>
                <w:highlight w:val="none"/>
                <w:u w:val="single"/>
                <w:lang w:val="en-US" w:eastAsia="zh-CN"/>
              </w:rPr>
              <w:t xml:space="preserve">元 </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zh-CN"/>
              </w:rPr>
              <w:t>金额（小写）：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870000.00</w:t>
            </w:r>
            <w:r>
              <w:rPr>
                <w:rFonts w:hint="eastAsia" w:ascii="宋体" w:hAnsi="宋体" w:eastAsia="宋体" w:cs="宋体"/>
                <w:color w:val="auto"/>
                <w:sz w:val="24"/>
                <w:szCs w:val="24"/>
                <w:highlight w:val="none"/>
                <w:u w:val="single"/>
                <w:lang w:val="en-US" w:eastAsia="zh-CN"/>
              </w:rPr>
              <w:t xml:space="preserve">元        </w:t>
            </w:r>
          </w:p>
          <w:p>
            <w:pPr>
              <w:keepNext w:val="0"/>
              <w:keepLines w:val="0"/>
              <w:pageBreakBefore w:val="0"/>
              <w:widowControl w:val="0"/>
              <w:kinsoku/>
              <w:overflowPunct/>
              <w:topLinePunct w:val="0"/>
              <w:bidi w:val="0"/>
              <w:adjustRightInd w:val="0"/>
              <w:snapToGrid w:val="0"/>
              <w:spacing w:line="360" w:lineRule="auto"/>
              <w:ind w:left="0" w:leftChars="0"/>
              <w:jc w:val="left"/>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zh-CN"/>
              </w:rPr>
              <w:t>金额（大写）：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捌拾柒万元整</w:t>
            </w:r>
            <w:r>
              <w:rPr>
                <w:rFonts w:hint="eastAsia" w:ascii="宋体" w:hAnsi="宋体" w:eastAsia="宋体" w:cs="宋体"/>
                <w:color w:val="auto"/>
                <w:sz w:val="24"/>
                <w:szCs w:val="24"/>
                <w:highlight w:val="none"/>
                <w:u w:val="single"/>
                <w:lang w:val="en-US" w:eastAsia="zh-CN"/>
              </w:rPr>
              <w:t xml:space="preserve">       </w:t>
            </w:r>
          </w:p>
          <w:p>
            <w:pPr>
              <w:pStyle w:val="5"/>
              <w:ind w:left="0" w:leftChars="0" w:firstLine="0" w:firstLineChars="0"/>
              <w:rPr>
                <w:rFonts w:hint="eastAsia"/>
                <w:color w:val="auto"/>
                <w:highlight w:val="none"/>
                <w:lang w:val="en-US" w:eastAsia="zh-CN"/>
              </w:rPr>
            </w:pPr>
            <w:r>
              <w:rPr>
                <w:rFonts w:hint="eastAsia" w:ascii="宋体" w:hAnsi="宋体" w:cs="宋体"/>
                <w:b/>
                <w:bCs/>
                <w:color w:val="auto"/>
                <w:sz w:val="24"/>
                <w:szCs w:val="24"/>
                <w:highlight w:val="none"/>
                <w:lang w:val="zh-CN"/>
              </w:rPr>
              <w:t>注：供应商报价超过</w:t>
            </w:r>
            <w:r>
              <w:rPr>
                <w:rFonts w:hint="eastAsia" w:ascii="宋体" w:hAnsi="宋体" w:cs="宋体"/>
                <w:b/>
                <w:bCs/>
                <w:color w:val="auto"/>
                <w:sz w:val="24"/>
                <w:szCs w:val="24"/>
                <w:highlight w:val="none"/>
                <w:lang w:val="en-US" w:eastAsia="zh-CN"/>
              </w:rPr>
              <w:t>最高限价</w:t>
            </w:r>
            <w:r>
              <w:rPr>
                <w:rFonts w:hint="eastAsia" w:ascii="宋体" w:hAnsi="宋体" w:cs="宋体"/>
                <w:b/>
                <w:bCs/>
                <w:color w:val="auto"/>
                <w:sz w:val="24"/>
                <w:szCs w:val="24"/>
                <w:highlight w:val="none"/>
                <w:lang w:val="zh-CN"/>
              </w:rPr>
              <w:t>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供应商资格条件</w:t>
            </w:r>
          </w:p>
        </w:tc>
        <w:tc>
          <w:tcPr>
            <w:tcW w:w="6540" w:type="dxa"/>
            <w:noWrap w:val="0"/>
            <w:vAlign w:val="center"/>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cs="宋体"/>
                <w:color w:val="auto"/>
                <w:highlight w:val="none"/>
                <w:lang w:eastAsia="zh-CN"/>
              </w:rPr>
            </w:pPr>
            <w:r>
              <w:rPr>
                <w:rFonts w:hint="eastAsia" w:ascii="宋体" w:hAnsi="宋体" w:eastAsia="宋体" w:cs="宋体"/>
                <w:color w:val="auto"/>
                <w:highlight w:val="none"/>
              </w:rPr>
              <w:t>2.落实政府采购政策需满足的资格要求：</w:t>
            </w:r>
            <w:r>
              <w:rPr>
                <w:rFonts w:hint="eastAsia" w:ascii="宋体" w:hAnsi="宋体" w:cs="宋体"/>
                <w:color w:val="auto"/>
                <w:highlight w:val="none"/>
                <w:lang w:eastAsia="zh-CN"/>
              </w:rPr>
              <w:t>本项目</w:t>
            </w:r>
            <w:r>
              <w:rPr>
                <w:rFonts w:hint="eastAsia" w:cs="宋体"/>
                <w:color w:val="auto"/>
                <w:highlight w:val="none"/>
                <w:lang w:val="en-US" w:eastAsia="zh-CN"/>
              </w:rPr>
              <w:t>为</w:t>
            </w:r>
            <w:r>
              <w:rPr>
                <w:rFonts w:hint="eastAsia" w:ascii="宋体" w:hAnsi="宋体" w:cs="宋体"/>
                <w:color w:val="auto"/>
                <w:highlight w:val="none"/>
                <w:lang w:eastAsia="zh-CN"/>
              </w:rPr>
              <w:t>专门面向中小企业采购</w:t>
            </w:r>
            <w:r>
              <w:rPr>
                <w:rFonts w:hint="eastAsia" w:cs="宋体"/>
                <w:color w:val="auto"/>
                <w:highlight w:val="none"/>
                <w:lang w:eastAsia="zh-CN"/>
              </w:rPr>
              <w:t>。</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3.本项目的特定资格要求：①</w:t>
            </w:r>
            <w:r>
              <w:rPr>
                <w:rFonts w:hint="eastAsia" w:cs="宋体"/>
                <w:color w:val="auto"/>
                <w:highlight w:val="none"/>
                <w:lang w:val="en-US" w:eastAsia="zh-CN"/>
              </w:rPr>
              <w:t>提供有效的行政主管部门颁发的医疗器械经营备案凭证（或医疗器械生产许可证或医疗器械经营许可证）；</w:t>
            </w:r>
            <w:r>
              <w:rPr>
                <w:rFonts w:hint="eastAsia" w:ascii="宋体" w:hAnsi="宋体" w:eastAsia="宋体" w:cs="宋体"/>
                <w:color w:val="auto"/>
                <w:highlight w:val="none"/>
              </w:rPr>
              <w:t>②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w:t>
            </w:r>
            <w:r>
              <w:rPr>
                <w:rFonts w:hint="eastAsia" w:cs="宋体"/>
                <w:color w:val="auto"/>
                <w:highlight w:val="none"/>
                <w:lang w:val="en-US" w:eastAsia="zh-CN"/>
              </w:rPr>
              <w:t>③</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近三年内在中国裁判文书网（http://wenshu.court.gov.cn/）无行贿犯罪记录；</w:t>
            </w:r>
            <w:r>
              <w:rPr>
                <w:rFonts w:hint="eastAsia" w:ascii="宋体" w:hAnsi="宋体" w:eastAsia="宋体" w:cs="宋体"/>
                <w:color w:val="auto"/>
                <w:highlight w:val="none"/>
                <w:lang w:val="en-US" w:eastAsia="zh-CN"/>
              </w:rPr>
              <w:t>需提供网站截图。</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default" w:cs="宋体"/>
                <w:color w:val="auto"/>
                <w:highlight w:val="none"/>
                <w:lang w:val="en-US" w:eastAsia="zh-CN"/>
              </w:rPr>
            </w:pPr>
            <w:r>
              <w:rPr>
                <w:rFonts w:hint="eastAsia" w:cs="宋体"/>
                <w:color w:val="auto"/>
                <w:highlight w:val="none"/>
                <w:lang w:val="en-US" w:eastAsia="zh-CN"/>
              </w:rPr>
              <w:t>4.本项目不接受联合体投标。</w:t>
            </w:r>
          </w:p>
          <w:p>
            <w:pPr>
              <w:pStyle w:val="24"/>
              <w:rPr>
                <w:rFonts w:hint="eastAsia"/>
                <w:color w:val="auto"/>
                <w:highlight w:val="none"/>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联合体投标</w:t>
            </w:r>
            <w:r>
              <w:rPr>
                <w:rFonts w:hint="eastAsia" w:ascii="宋体" w:hAnsi="宋体" w:eastAsia="宋体" w:cs="宋体"/>
                <w:b/>
                <w:bCs/>
                <w:color w:val="auto"/>
                <w:sz w:val="24"/>
                <w:szCs w:val="24"/>
                <w:highlight w:val="none"/>
                <w:lang w:val="en-US" w:eastAsia="zh-CN"/>
              </w:rPr>
              <w:t xml:space="preserve">    </w:t>
            </w:r>
          </w:p>
        </w:tc>
        <w:tc>
          <w:tcPr>
            <w:tcW w:w="6540"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 xml:space="preserve">不接受 </w:t>
            </w:r>
          </w:p>
          <w:p>
            <w:pPr>
              <w:adjustRightInd w:val="0"/>
              <w:snapToGrid w:val="0"/>
              <w:spacing w:before="156" w:beforeLines="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540" w:type="dxa"/>
            <w:noWrap w:val="0"/>
            <w:vAlign w:val="center"/>
          </w:tcPr>
          <w:p>
            <w:pPr>
              <w:adjustRightInd w:val="0"/>
              <w:snapToGrid w:val="0"/>
              <w:spacing w:before="120"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不接受            </w:t>
            </w:r>
          </w:p>
          <w:p>
            <w:pPr>
              <w:adjustRightInd w:val="0"/>
              <w:snapToGrid w:val="0"/>
              <w:spacing w:before="120" w:beforeLines="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接受</w:t>
            </w:r>
            <w:r>
              <w:rPr>
                <w:rFonts w:hint="eastAsia" w:ascii="宋体" w:hAnsi="宋体" w:eastAsia="宋体" w:cs="宋体"/>
                <w:color w:val="auto"/>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540" w:type="dxa"/>
            <w:noWrap w:val="0"/>
            <w:vAlign w:val="center"/>
          </w:tcPr>
          <w:p>
            <w:pPr>
              <w:adjustRightInd w:val="0"/>
              <w:snapToGrid w:val="0"/>
              <w:spacing w:before="120" w:beforeLines="50" w:line="360" w:lineRule="auto"/>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响应文件递交截止时间</w:t>
            </w:r>
          </w:p>
        </w:tc>
        <w:tc>
          <w:tcPr>
            <w:tcW w:w="6540" w:type="dxa"/>
            <w:noWrap w:val="0"/>
            <w:vAlign w:val="center"/>
          </w:tcPr>
          <w:p>
            <w:pPr>
              <w:adjustRightInd w:val="0"/>
              <w:snapToGrid w:val="0"/>
              <w:spacing w:before="120" w:beforeLines="50"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023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日 </w:t>
            </w:r>
            <w:r>
              <w:rPr>
                <w:rFonts w:hint="eastAsia" w:ascii="宋体" w:hAnsi="宋体" w:eastAsia="宋体" w:cs="宋体"/>
                <w:color w:val="auto"/>
                <w:sz w:val="24"/>
                <w:szCs w:val="24"/>
                <w:highlight w:val="none"/>
                <w:lang w:val="en-US" w:eastAsia="zh-CN"/>
              </w:rPr>
              <w:t>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磋商时间、地点</w:t>
            </w:r>
          </w:p>
        </w:tc>
        <w:tc>
          <w:tcPr>
            <w:tcW w:w="6540" w:type="dxa"/>
            <w:noWrap w:val="0"/>
            <w:vAlign w:val="center"/>
          </w:tcPr>
          <w:p>
            <w:pPr>
              <w:adjustRightInd w:val="0"/>
              <w:snapToGrid w:val="0"/>
              <w:spacing w:before="156"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 xml:space="preserve">分（北京时间）  </w:t>
            </w:r>
          </w:p>
          <w:p>
            <w:pPr>
              <w:spacing w:line="360" w:lineRule="auto"/>
              <w:rPr>
                <w:rFonts w:hint="eastAsia" w:ascii="宋体" w:hAnsi="宋体" w:eastAsia="宋体" w:cs="宋体"/>
                <w:color w:val="auto"/>
                <w:sz w:val="24"/>
                <w:szCs w:val="24"/>
                <w:highlight w:val="none"/>
                <w:u w:val="single"/>
              </w:rPr>
            </w:pPr>
            <w:r>
              <w:rPr>
                <w:rStyle w:val="21"/>
                <w:rFonts w:hint="eastAsia" w:ascii="宋体" w:hAnsi="宋体" w:eastAsia="宋体" w:cs="宋体"/>
                <w:b w:val="0"/>
                <w:i w:val="0"/>
                <w:color w:val="auto"/>
                <w:spacing w:val="0"/>
                <w:w w:val="100"/>
                <w:kern w:val="2"/>
                <w:sz w:val="24"/>
                <w:szCs w:val="24"/>
                <w:highlight w:val="none"/>
                <w:lang w:val="en-US" w:eastAsia="zh-CN" w:bidi="ar-SA"/>
              </w:rPr>
              <w:t>磋商地点：本项目采用不见面开标，供应商需要递交加密的电子响应文件，在磋商截止时间前通过兵团政府采购网（http://ccgp-bingtuan.gov.cn/）开标系统上传到指定位置。逾期未上传的或不符合规定的响应文件将被拒绝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1"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p>
          <w:p>
            <w:pPr>
              <w:adjustRightInd w:val="0"/>
              <w:snapToGrid w:val="0"/>
              <w:spacing w:before="120" w:beforeLines="50"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磋商小组的组建及评审专家的确定方式</w:t>
            </w:r>
          </w:p>
        </w:tc>
        <w:tc>
          <w:tcPr>
            <w:tcW w:w="6540"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招标采购单位依法组建磋商小组由采购人代表和评审专家共3人以上单数组成，其中评审专家人数不得少于磋商小组成员总数的2/3。</w:t>
            </w:r>
          </w:p>
          <w:p>
            <w:pPr>
              <w:keepNext w:val="0"/>
              <w:keepLines w:val="0"/>
              <w:pageBreakBefore w:val="0"/>
              <w:widowControl w:val="0"/>
              <w:kinsoku/>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小组确定方式：</w:t>
            </w:r>
          </w:p>
          <w:p>
            <w:pPr>
              <w:keepNext w:val="0"/>
              <w:keepLines w:val="0"/>
              <w:pageBreakBefore w:val="0"/>
              <w:widowControl w:val="0"/>
              <w:kinsoku/>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☑计算机随机抽取语音通知方式 </w:t>
            </w:r>
          </w:p>
          <w:p>
            <w:pPr>
              <w:adjustRightInd w:val="0"/>
              <w:snapToGrid w:val="0"/>
              <w:spacing w:before="120" w:beforeLines="5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w:t>
            </w:r>
          </w:p>
        </w:tc>
        <w:tc>
          <w:tcPr>
            <w:tcW w:w="6540" w:type="dxa"/>
            <w:noWrap w:val="0"/>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left"/>
              <w:rPr>
                <w:rStyle w:val="21"/>
                <w:rFonts w:hint="default"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磋商保证金额为：</w:t>
            </w:r>
            <w:r>
              <w:rPr>
                <w:rStyle w:val="21"/>
                <w:rFonts w:hint="eastAsia" w:ascii="宋体" w:hAnsi="宋体" w:cs="宋体"/>
                <w:b w:val="0"/>
                <w:i w:val="0"/>
                <w:color w:val="auto"/>
                <w:spacing w:val="0"/>
                <w:w w:val="100"/>
                <w:kern w:val="0"/>
                <w:sz w:val="24"/>
                <w:szCs w:val="24"/>
                <w:highlight w:val="none"/>
                <w:lang w:val="en-US" w:eastAsia="zh-CN" w:bidi="ar-SA"/>
              </w:rPr>
              <w:t>8700.00</w:t>
            </w:r>
            <w:r>
              <w:rPr>
                <w:rStyle w:val="21"/>
                <w:rFonts w:hint="eastAsia" w:ascii="宋体" w:hAnsi="宋体" w:eastAsia="宋体" w:cs="宋体"/>
                <w:b w:val="0"/>
                <w:i w:val="0"/>
                <w:color w:val="auto"/>
                <w:spacing w:val="0"/>
                <w:w w:val="100"/>
                <w:kern w:val="0"/>
                <w:sz w:val="24"/>
                <w:szCs w:val="24"/>
                <w:highlight w:val="none"/>
                <w:lang w:val="en-US" w:eastAsia="zh-CN" w:bidi="ar-SA"/>
              </w:rPr>
              <w:t>元</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投标保证金缴纳方式：银行汇票、银行电汇、转账、本票或者金融机构、担保机构出具的保函等非现金形式提交。</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 xml:space="preserve">1、若采用银行汇票、银行电汇、转账、本票时，投标保证金于2023年 </w:t>
            </w:r>
            <w:r>
              <w:rPr>
                <w:rStyle w:val="21"/>
                <w:rFonts w:hint="eastAsia" w:ascii="宋体" w:hAnsi="宋体" w:cs="宋体"/>
                <w:b w:val="0"/>
                <w:i w:val="0"/>
                <w:color w:val="auto"/>
                <w:spacing w:val="0"/>
                <w:w w:val="100"/>
                <w:kern w:val="0"/>
                <w:sz w:val="24"/>
                <w:szCs w:val="24"/>
                <w:highlight w:val="none"/>
                <w:lang w:val="en-US" w:eastAsia="zh-CN" w:bidi="ar-SA"/>
              </w:rPr>
              <w:t>10</w:t>
            </w:r>
            <w:r>
              <w:rPr>
                <w:rStyle w:val="21"/>
                <w:rFonts w:hint="eastAsia" w:ascii="宋体" w:hAnsi="宋体" w:eastAsia="宋体" w:cs="宋体"/>
                <w:b w:val="0"/>
                <w:i w:val="0"/>
                <w:color w:val="auto"/>
                <w:spacing w:val="0"/>
                <w:w w:val="100"/>
                <w:kern w:val="0"/>
                <w:sz w:val="24"/>
                <w:szCs w:val="24"/>
                <w:highlight w:val="none"/>
                <w:lang w:val="en-US" w:eastAsia="zh-CN" w:bidi="ar-SA"/>
              </w:rPr>
              <w:t>月</w:t>
            </w:r>
            <w:r>
              <w:rPr>
                <w:rStyle w:val="21"/>
                <w:rFonts w:hint="eastAsia" w:ascii="宋体" w:hAnsi="宋体" w:cs="宋体"/>
                <w:b w:val="0"/>
                <w:i w:val="0"/>
                <w:color w:val="auto"/>
                <w:spacing w:val="0"/>
                <w:w w:val="100"/>
                <w:kern w:val="0"/>
                <w:sz w:val="24"/>
                <w:szCs w:val="24"/>
                <w:highlight w:val="none"/>
                <w:lang w:val="en-US" w:eastAsia="zh-CN" w:bidi="ar-SA"/>
              </w:rPr>
              <w:t>10</w:t>
            </w:r>
            <w:r>
              <w:rPr>
                <w:rStyle w:val="21"/>
                <w:rFonts w:hint="eastAsia" w:ascii="宋体" w:hAnsi="宋体" w:eastAsia="宋体" w:cs="宋体"/>
                <w:b w:val="0"/>
                <w:i w:val="0"/>
                <w:color w:val="auto"/>
                <w:spacing w:val="0"/>
                <w:w w:val="100"/>
                <w:kern w:val="0"/>
                <w:sz w:val="24"/>
                <w:szCs w:val="24"/>
                <w:highlight w:val="none"/>
                <w:lang w:val="en-US" w:eastAsia="zh-CN" w:bidi="ar-SA"/>
              </w:rPr>
              <w:t xml:space="preserve"> 日11时00分（北京时间，以到帐时间为准）之前从供应商账户汇至新疆诚成工程项目管理有限公司账户，否则其投标文件将被拒绝评审，供应商提交投标保证金应充分考虑资金在途时间。</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注：供应商向银行办理投标保证金汇（转）款时，应在用途栏（备注栏）准确注明"本项目招标编号（例如：XJCC-ZB-2023-   投标保证金）"字样（每个标段应分别汇款），由于未按要求准确注明信息而导致的一切后果由供应商承担。</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户名：新疆诚成工程项目管理有限公司</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开户行名称：乌鲁木齐银行新华南路支行</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账号：0000001211121500053685</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开户行号：313881000176</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2、若采用金融机构、担保机构出具的保函形式递交时，须出具对本项目（项目名称）的保函，提供原件的扫描件于投标文件中，否则视为无效。保函有效期不少于投标有效期。</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3、如采用电子保函方式缴纳可按照新疆政府采购网-电子保函，进行操作。采用电子保函形式应按以下要求办理：</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（1）电子保函按照“一分包一保函”的原则。</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（2）电子保函须在招标文件规定的投标截止时间前办理完成。</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（3）具体办理流程详见政采云平台电子保函模块。</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投标人以保函形式缴纳投标保证金的，应通过“政采云电子交易金融服务中心”，使用其企业CA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spacing w:line="360" w:lineRule="auto"/>
              <w:ind w:firstLine="2"/>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（备注：如采用电子保函形式缴纳的，在投标截止日之前须从电子保函服务支撑管理平台中确认是否生效。电子保函服务管理平台技术人员联系方式：400-903-9583；） </w:t>
            </w:r>
          </w:p>
          <w:p>
            <w:pPr>
              <w:spacing w:line="360" w:lineRule="auto"/>
              <w:ind w:firstLine="2"/>
              <w:rPr>
                <w:rFonts w:hint="eastAsia" w:ascii="宋体" w:hAnsi="宋体" w:eastAsia="宋体" w:cs="宋体"/>
                <w:bCs/>
                <w:color w:val="auto"/>
                <w:sz w:val="24"/>
                <w:szCs w:val="24"/>
                <w:highlight w:val="none"/>
              </w:rPr>
            </w:pPr>
            <w:r>
              <w:rPr>
                <w:rStyle w:val="21"/>
                <w:rFonts w:hint="eastAsia" w:ascii="宋体" w:hAnsi="宋体" w:eastAsia="宋体" w:cs="宋体"/>
                <w:b w:val="0"/>
                <w:i w:val="0"/>
                <w:color w:val="auto"/>
                <w:spacing w:val="0"/>
                <w:w w:val="100"/>
                <w:kern w:val="0"/>
                <w:sz w:val="24"/>
                <w:szCs w:val="24"/>
                <w:highlight w:val="none"/>
                <w:lang w:val="en-US" w:eastAsia="zh-CN" w:bidi="ar-SA"/>
              </w:rPr>
              <w:t>★备注：（1）投标保证金保证金缴纳截止时间同开标时间一致。（2）供应商未按照采购文件上述要求提交投标保证金的，投标将被否决。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评审办法</w:t>
            </w:r>
          </w:p>
        </w:tc>
        <w:tc>
          <w:tcPr>
            <w:tcW w:w="6540" w:type="dxa"/>
            <w:noWrap w:val="0"/>
            <w:vAlign w:val="center"/>
          </w:tcPr>
          <w:p>
            <w:pPr>
              <w:keepNext w:val="0"/>
              <w:keepLines w:val="0"/>
              <w:pageBreakBefore w:val="0"/>
              <w:widowControl w:val="0"/>
              <w:kinsoku/>
              <w:overflowPunct/>
              <w:topLinePunct w:val="0"/>
              <w:bidi w:val="0"/>
              <w:adjustRightInd w:val="0"/>
              <w:snapToGrid w:val="0"/>
              <w:spacing w:line="360" w:lineRule="auto"/>
              <w:ind w:left="518" w:leftChars="0" w:hanging="518" w:hangingChars="216"/>
              <w:rPr>
                <w:rStyle w:val="21"/>
                <w:rFonts w:hint="eastAsia" w:ascii="宋体" w:hAnsi="宋体" w:eastAsia="宋体" w:cs="宋体"/>
                <w:b w:val="0"/>
                <w:i w:val="0"/>
                <w:color w:val="auto"/>
                <w:spacing w:val="0"/>
                <w:w w:val="100"/>
                <w:kern w:val="0"/>
                <w:sz w:val="24"/>
                <w:szCs w:val="24"/>
                <w:highlight w:val="none"/>
                <w:lang w:val="en-US" w:eastAsia="zh-CN" w:bidi="ar-SA"/>
              </w:rPr>
            </w:pPr>
            <w:r>
              <w:rPr>
                <w:rFonts w:hint="eastAsia" w:ascii="宋体" w:hAnsi="宋体" w:eastAsia="宋体" w:cs="宋体"/>
                <w:color w:val="auto"/>
                <w:sz w:val="24"/>
                <w:szCs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adjustRightInd w:val="0"/>
              <w:snapToGrid w:val="0"/>
              <w:spacing w:before="120"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磋商有效期</w:t>
            </w:r>
          </w:p>
        </w:tc>
        <w:tc>
          <w:tcPr>
            <w:tcW w:w="6540" w:type="dxa"/>
            <w:noWrap w:val="0"/>
            <w:vAlign w:val="center"/>
          </w:tcPr>
          <w:p>
            <w:pPr>
              <w:adjustRightInd w:val="0"/>
              <w:snapToGrid w:val="0"/>
              <w:spacing w:before="120" w:beforeLines="50"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kinsoku/>
              <w:overflowPunct/>
              <w:topLinePunct w:val="0"/>
              <w:bidi w:val="0"/>
              <w:adjustRightInd w:val="0"/>
              <w:snapToGrid w:val="0"/>
              <w:spacing w:beforeAutospacing="0" w:afterAutospacing="0" w:line="360" w:lineRule="auto"/>
              <w:ind w:left="0" w:leftChars="0"/>
              <w:jc w:val="center"/>
              <w:rPr>
                <w:rFonts w:hint="eastAsia" w:ascii="宋体" w:hAnsi="宋体" w:eastAsia="宋体" w:cs="宋体"/>
                <w:b/>
                <w:bCs/>
                <w:color w:val="auto"/>
                <w:sz w:val="24"/>
                <w:szCs w:val="24"/>
                <w:highlight w:val="none"/>
              </w:rPr>
            </w:pPr>
            <w:r>
              <w:rPr>
                <w:rFonts w:hint="eastAsia" w:ascii="宋体" w:hAnsi="宋体"/>
                <w:b/>
                <w:bCs/>
                <w:color w:val="auto"/>
                <w:sz w:val="24"/>
                <w:szCs w:val="24"/>
                <w:highlight w:val="none"/>
                <w:lang w:val="en-US" w:eastAsia="zh-CN"/>
              </w:rPr>
              <w:t>磋商响应</w:t>
            </w:r>
            <w:r>
              <w:rPr>
                <w:rFonts w:hint="eastAsia" w:ascii="宋体" w:hAnsi="宋体"/>
                <w:b/>
                <w:bCs/>
                <w:color w:val="auto"/>
                <w:sz w:val="24"/>
                <w:szCs w:val="24"/>
                <w:highlight w:val="none"/>
              </w:rPr>
              <w:t>文件</w:t>
            </w:r>
          </w:p>
        </w:tc>
        <w:tc>
          <w:tcPr>
            <w:tcW w:w="6540"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360" w:lineRule="auto"/>
              <w:ind w:left="0" w:right="0" w:firstLine="0" w:firstLineChars="0"/>
              <w:jc w:val="both"/>
              <w:textAlignment w:val="baseline"/>
              <w:rPr>
                <w:rStyle w:val="2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1"/>
                <w:rFonts w:hint="eastAsia" w:ascii="宋体" w:hAnsi="宋体" w:eastAsia="宋体" w:cs="宋体"/>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pPr>
              <w:keepNext w:val="0"/>
              <w:keepLines w:val="0"/>
              <w:pageBreakBefore w:val="0"/>
              <w:kinsoku/>
              <w:wordWrap/>
              <w:overflowPunct/>
              <w:topLinePunct w:val="0"/>
              <w:bidi w:val="0"/>
              <w:adjustRightInd w:val="0"/>
              <w:snapToGrid w:val="0"/>
              <w:spacing w:before="0" w:beforeAutospacing="0" w:after="0" w:afterAutospacing="0" w:line="360" w:lineRule="auto"/>
              <w:ind w:left="0" w:right="0" w:firstLine="0" w:firstLineChars="0"/>
              <w:jc w:val="both"/>
              <w:textAlignment w:val="baseline"/>
              <w:rPr>
                <w:rStyle w:val="2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1"/>
                <w:rFonts w:hint="eastAsia" w:ascii="宋体" w:hAnsi="宋体" w:eastAsia="宋体" w:cs="宋体"/>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kinsoku/>
              <w:overflowPunct/>
              <w:topLinePunct w:val="0"/>
              <w:bidi w:val="0"/>
              <w:adjustRightInd w:val="0"/>
              <w:snapToGrid w:val="0"/>
              <w:spacing w:beforeAutospacing="0" w:afterAutospacing="0" w:line="360" w:lineRule="auto"/>
              <w:ind w:left="0" w:leftChars="0"/>
              <w:rPr>
                <w:rFonts w:hint="eastAsia" w:ascii="宋体" w:hAnsi="宋体" w:eastAsia="宋体" w:cs="宋体"/>
                <w:color w:val="auto"/>
                <w:sz w:val="24"/>
                <w:szCs w:val="24"/>
                <w:highlight w:val="none"/>
                <w:u w:val="single"/>
              </w:rPr>
            </w:pPr>
            <w:r>
              <w:rPr>
                <w:rStyle w:val="21"/>
                <w:rFonts w:hint="eastAsia" w:ascii="宋体" w:hAnsi="宋体" w:eastAsia="宋体" w:cs="宋体"/>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b/>
                <w:bCs/>
                <w:color w:val="auto"/>
                <w:sz w:val="24"/>
                <w:szCs w:val="24"/>
                <w:highlight w:val="none"/>
                <w:lang w:val="en-US" w:eastAsia="zh-CN"/>
              </w:rPr>
            </w:pPr>
            <w:r>
              <w:rPr>
                <w:rFonts w:hint="eastAsia" w:ascii="宋体" w:hAnsi="宋体" w:eastAsia="宋体" w:cs="宋体"/>
                <w:b/>
                <w:bCs/>
                <w:color w:val="auto"/>
                <w:sz w:val="24"/>
                <w:szCs w:val="24"/>
                <w:highlight w:val="none"/>
              </w:rPr>
              <w:t>是否允许投报进口产品</w:t>
            </w:r>
          </w:p>
        </w:tc>
        <w:tc>
          <w:tcPr>
            <w:tcW w:w="6540" w:type="dxa"/>
            <w:noWrap w:val="0"/>
            <w:vAlign w:val="center"/>
          </w:tcPr>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               </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Style w:val="21"/>
                <w:rFonts w:hint="eastAsia" w:ascii="宋体" w:hAnsi="宋体" w:eastAsia="宋体" w:cs="宋体"/>
                <w:b w:val="0"/>
                <w:i w:val="0"/>
                <w:color w:val="auto"/>
                <w:spacing w:val="0"/>
                <w:w w:val="100"/>
                <w:kern w:val="2"/>
                <w:sz w:val="24"/>
                <w:szCs w:val="24"/>
                <w:highlight w:val="none"/>
                <w:lang w:val="en-US" w:eastAsia="zh-CN" w:bidi="ar-SA"/>
              </w:rPr>
            </w:pPr>
            <w:r>
              <w:rPr>
                <w:rFonts w:hint="eastAsia" w:ascii="宋体" w:hAnsi="宋体" w:eastAsia="宋体" w:cs="宋体"/>
                <w:color w:val="auto"/>
                <w:kern w:val="0"/>
                <w:sz w:val="24"/>
                <w:szCs w:val="24"/>
                <w:highlight w:val="none"/>
              </w:rPr>
              <w:sym w:font="Wingdings 2" w:char="0052"/>
            </w:r>
            <w:r>
              <w:rPr>
                <w:rFonts w:hint="eastAsia" w:ascii="宋体" w:hAnsi="宋体" w:eastAsia="宋体" w:cs="宋体"/>
                <w:color w:val="auto"/>
                <w:kern w:val="0"/>
                <w:sz w:val="24"/>
                <w:szCs w:val="24"/>
                <w:highlight w:val="none"/>
              </w:rPr>
              <w:t>否</w:t>
            </w:r>
            <w:r>
              <w:rPr>
                <w:rFonts w:hint="eastAsia" w:ascii="宋体" w:hAnsi="宋体" w:eastAsia="宋体" w:cs="宋体"/>
                <w:color w:val="auto"/>
                <w:kern w:val="0"/>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b/>
                <w:bCs/>
                <w:color w:val="auto"/>
                <w:sz w:val="24"/>
                <w:szCs w:val="24"/>
                <w:highlight w:val="none"/>
                <w:lang w:val="en-US" w:eastAsia="zh-CN"/>
              </w:rPr>
            </w:pPr>
            <w:r>
              <w:rPr>
                <w:rFonts w:hint="eastAsia" w:ascii="宋体" w:hAnsi="宋体" w:eastAsia="宋体" w:cs="宋体"/>
                <w:b/>
                <w:bCs/>
                <w:color w:val="auto"/>
                <w:sz w:val="24"/>
                <w:szCs w:val="24"/>
                <w:highlight w:val="none"/>
              </w:rPr>
              <w:t>踏勘现场</w:t>
            </w:r>
          </w:p>
        </w:tc>
        <w:tc>
          <w:tcPr>
            <w:tcW w:w="6540" w:type="dxa"/>
            <w:noWrap w:val="0"/>
            <w:vAlign w:val="center"/>
          </w:tcPr>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2" w:char="0052"/>
            </w:r>
            <w:r>
              <w:rPr>
                <w:rFonts w:hint="eastAsia" w:ascii="宋体" w:hAnsi="宋体" w:eastAsia="宋体" w:cs="宋体"/>
                <w:color w:val="auto"/>
                <w:kern w:val="0"/>
                <w:sz w:val="24"/>
                <w:szCs w:val="24"/>
                <w:highlight w:val="none"/>
              </w:rPr>
              <w:t>自行踏勘。</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□统一组织。</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rPr>
                <w:rStyle w:val="21"/>
                <w:rFonts w:hint="eastAsia" w:ascii="宋体" w:hAnsi="宋体" w:eastAsia="宋体" w:cs="宋体"/>
                <w:b w:val="0"/>
                <w:i w:val="0"/>
                <w:color w:val="auto"/>
                <w:spacing w:val="0"/>
                <w:w w:val="100"/>
                <w:kern w:val="2"/>
                <w:sz w:val="24"/>
                <w:szCs w:val="24"/>
                <w:highlight w:val="none"/>
                <w:lang w:val="en-US" w:eastAsia="zh-CN" w:bidi="ar-SA"/>
              </w:rPr>
            </w:pPr>
            <w:r>
              <w:rPr>
                <w:rFonts w:hint="eastAsia" w:ascii="宋体" w:hAnsi="宋体" w:eastAsia="宋体" w:cs="宋体"/>
                <w:color w:val="auto"/>
                <w:kern w:val="0"/>
                <w:sz w:val="24"/>
                <w:szCs w:val="24"/>
                <w:highlight w:val="none"/>
              </w:rPr>
              <w:t>踏勘时间：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xml:space="preserve"> 踏勘地点：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kinsoku/>
              <w:overflowPunct/>
              <w:topLinePunct w:val="0"/>
              <w:bidi w:val="0"/>
              <w:adjustRightInd w:val="0"/>
              <w:snapToGrid w:val="0"/>
              <w:spacing w:beforeAutospacing="0" w:afterAutospacing="0" w:line="360" w:lineRule="auto"/>
              <w:ind w:left="0" w:leftChars="0"/>
              <w:jc w:val="center"/>
              <w:rPr>
                <w:rFonts w:hint="eastAsia" w:ascii="宋体" w:hAnsi="宋体" w:eastAsia="宋体" w:cs="宋体"/>
                <w:b/>
                <w:bCs/>
                <w:color w:val="auto"/>
                <w:sz w:val="24"/>
                <w:szCs w:val="24"/>
                <w:highlight w:val="none"/>
              </w:rPr>
            </w:pPr>
            <w:r>
              <w:rPr>
                <w:rFonts w:hint="eastAsia" w:ascii="宋体" w:hAnsi="宋体"/>
                <w:b/>
                <w:bCs/>
                <w:color w:val="auto"/>
                <w:sz w:val="24"/>
                <w:szCs w:val="24"/>
                <w:highlight w:val="none"/>
              </w:rPr>
              <w:t>代理服务费</w:t>
            </w:r>
          </w:p>
        </w:tc>
        <w:tc>
          <w:tcPr>
            <w:tcW w:w="6540" w:type="dxa"/>
            <w:noWrap w:val="0"/>
            <w:vAlign w:val="center"/>
          </w:tcPr>
          <w:p>
            <w:pPr>
              <w:keepNext w:val="0"/>
              <w:keepLines w:val="0"/>
              <w:pageBreakBefore w:val="0"/>
              <w:kinsoku/>
              <w:overflowPunct/>
              <w:topLinePunct w:val="0"/>
              <w:autoSpaceDE w:val="0"/>
              <w:autoSpaceDN w:val="0"/>
              <w:bidi w:val="0"/>
              <w:adjustRightInd w:val="0"/>
              <w:snapToGrid w:val="0"/>
              <w:spacing w:beforeAutospacing="0" w:afterAutospacing="0" w:line="360" w:lineRule="auto"/>
              <w:ind w:left="0" w:leftChars="0"/>
              <w:rPr>
                <w:rFonts w:ascii="宋体" w:hAnsi="宋体"/>
                <w:color w:val="auto"/>
                <w:kern w:val="0"/>
                <w:sz w:val="24"/>
                <w:szCs w:val="24"/>
                <w:highlight w:val="none"/>
              </w:rPr>
            </w:pPr>
            <w:r>
              <w:rPr>
                <w:rFonts w:hint="eastAsia" w:ascii="宋体" w:hAnsi="宋体"/>
                <w:color w:val="auto"/>
                <w:kern w:val="0"/>
                <w:sz w:val="24"/>
                <w:szCs w:val="24"/>
                <w:highlight w:val="none"/>
              </w:rPr>
              <w:t>□不交纳。</w:t>
            </w:r>
          </w:p>
          <w:p>
            <w:pPr>
              <w:keepNext w:val="0"/>
              <w:keepLines w:val="0"/>
              <w:pageBreakBefore w:val="0"/>
              <w:kinsoku/>
              <w:overflowPunct/>
              <w:topLinePunct w:val="0"/>
              <w:bidi w:val="0"/>
              <w:adjustRightInd w:val="0"/>
              <w:snapToGrid w:val="0"/>
              <w:spacing w:beforeAutospacing="0" w:afterAutospacing="0" w:line="360" w:lineRule="auto"/>
              <w:ind w:left="0" w:leftChars="0"/>
              <w:rPr>
                <w:rFonts w:hint="eastAsia" w:ascii="宋体" w:hAnsi="宋体"/>
                <w:b/>
                <w:color w:val="auto"/>
                <w:sz w:val="24"/>
                <w:szCs w:val="24"/>
                <w:highlight w:val="none"/>
              </w:rPr>
            </w:pPr>
            <w:r>
              <w:rPr>
                <w:rFonts w:hint="eastAsia" w:ascii="宋体" w:hAnsi="宋体"/>
                <w:color w:val="auto"/>
                <w:kern w:val="0"/>
                <w:sz w:val="24"/>
                <w:szCs w:val="24"/>
                <w:highlight w:val="none"/>
              </w:rPr>
              <w:sym w:font="Wingdings 2" w:char="0052"/>
            </w:r>
            <w:r>
              <w:rPr>
                <w:rFonts w:hint="eastAsia" w:ascii="宋体" w:hAnsi="宋体"/>
                <w:color w:val="auto"/>
                <w:kern w:val="0"/>
                <w:sz w:val="24"/>
                <w:szCs w:val="24"/>
                <w:highlight w:val="none"/>
              </w:rPr>
              <w:t>交纳。</w:t>
            </w:r>
          </w:p>
          <w:p>
            <w:pPr>
              <w:keepNext w:val="0"/>
              <w:keepLines w:val="0"/>
              <w:pageBreakBefore w:val="0"/>
              <w:kinsoku/>
              <w:wordWrap w:val="0"/>
              <w:overflowPunct/>
              <w:topLinePunct w:val="0"/>
              <w:bidi w:val="0"/>
              <w:adjustRightInd w:val="0"/>
              <w:snapToGrid w:val="0"/>
              <w:spacing w:beforeAutospacing="0" w:afterAutospacing="0" w:line="360" w:lineRule="auto"/>
              <w:ind w:left="0" w:leftChars="0"/>
              <w:jc w:val="left"/>
              <w:rPr>
                <w:rFonts w:hint="eastAsia" w:ascii="宋体" w:hAnsi="宋体" w:eastAsia="宋体" w:cs="宋体"/>
                <w:color w:val="auto"/>
                <w:kern w:val="0"/>
                <w:sz w:val="24"/>
                <w:szCs w:val="24"/>
                <w:highlight w:val="none"/>
              </w:rPr>
            </w:pPr>
            <w:r>
              <w:rPr>
                <w:rFonts w:hint="eastAsia" w:ascii="宋体" w:hAnsi="宋体" w:eastAsia="宋体" w:cs="宋体"/>
                <w:b w:val="0"/>
                <w:i w:val="0"/>
                <w:color w:val="auto"/>
                <w:spacing w:val="0"/>
                <w:w w:val="100"/>
                <w:kern w:val="2"/>
                <w:sz w:val="24"/>
                <w:szCs w:val="24"/>
                <w:highlight w:val="none"/>
                <w:u w:val="single" w:color="000000"/>
                <w:lang w:val="en-US" w:eastAsia="zh-CN" w:bidi="ar-SA"/>
              </w:rPr>
              <w:t>招标代理服务费按照国家发展改革委关于进一步放开建设项目专业服务价格的通知发改价格[2015]299号文</w:t>
            </w:r>
            <w:r>
              <w:rPr>
                <w:rFonts w:hint="eastAsia" w:ascii="宋体" w:hAnsi="宋体" w:cs="宋体"/>
                <w:b w:val="0"/>
                <w:i w:val="0"/>
                <w:color w:val="auto"/>
                <w:spacing w:val="0"/>
                <w:w w:val="100"/>
                <w:kern w:val="2"/>
                <w:sz w:val="24"/>
                <w:szCs w:val="24"/>
                <w:highlight w:val="none"/>
                <w:u w:val="single" w:color="000000"/>
                <w:lang w:val="en-US" w:eastAsia="zh-CN" w:bidi="ar-SA"/>
              </w:rPr>
              <w:t>，</w:t>
            </w:r>
            <w:r>
              <w:rPr>
                <w:rFonts w:hint="eastAsia" w:ascii="宋体" w:hAnsi="宋体" w:eastAsia="宋体" w:cs="宋体"/>
                <w:b w:val="0"/>
                <w:i w:val="0"/>
                <w:color w:val="auto"/>
                <w:spacing w:val="0"/>
                <w:w w:val="100"/>
                <w:kern w:val="2"/>
                <w:sz w:val="24"/>
                <w:szCs w:val="24"/>
                <w:highlight w:val="none"/>
                <w:u w:val="single" w:color="000000"/>
                <w:lang w:val="en-US" w:eastAsia="zh-CN" w:bidi="ar-SA"/>
              </w:rPr>
              <w:t>计算</w:t>
            </w:r>
            <w:r>
              <w:rPr>
                <w:rFonts w:hint="eastAsia" w:ascii="宋体" w:hAnsi="宋体" w:cs="宋体"/>
                <w:b w:val="0"/>
                <w:i w:val="0"/>
                <w:color w:val="auto"/>
                <w:spacing w:val="0"/>
                <w:w w:val="100"/>
                <w:kern w:val="2"/>
                <w:sz w:val="24"/>
                <w:szCs w:val="24"/>
                <w:highlight w:val="none"/>
                <w:u w:val="single" w:color="000000"/>
                <w:lang w:val="en-US" w:eastAsia="zh-CN" w:bidi="ar-SA"/>
              </w:rPr>
              <w:t>方法</w:t>
            </w:r>
            <w:r>
              <w:rPr>
                <w:rFonts w:hint="eastAsia" w:ascii="宋体" w:hAnsi="宋体" w:eastAsia="宋体" w:cs="宋体"/>
                <w:b w:val="0"/>
                <w:i w:val="0"/>
                <w:color w:val="auto"/>
                <w:spacing w:val="0"/>
                <w:w w:val="100"/>
                <w:kern w:val="2"/>
                <w:sz w:val="24"/>
                <w:szCs w:val="24"/>
                <w:highlight w:val="none"/>
                <w:u w:val="single" w:color="000000"/>
                <w:lang w:val="en-US" w:eastAsia="zh-CN" w:bidi="ar-SA"/>
              </w:rPr>
              <w:t>参照“国家计委关于印发《招标代理服务收费管理暂行办法》的</w:t>
            </w:r>
            <w:r>
              <w:rPr>
                <w:rFonts w:hint="eastAsia" w:ascii="宋体" w:hAnsi="宋体" w:cs="宋体"/>
                <w:b w:val="0"/>
                <w:i w:val="0"/>
                <w:color w:val="auto"/>
                <w:spacing w:val="0"/>
                <w:w w:val="100"/>
                <w:kern w:val="2"/>
                <w:sz w:val="24"/>
                <w:szCs w:val="24"/>
                <w:highlight w:val="none"/>
                <w:u w:val="single" w:color="000000"/>
                <w:lang w:val="en-US" w:eastAsia="zh-CN" w:bidi="ar-SA"/>
              </w:rPr>
              <w:t>通</w:t>
            </w:r>
            <w:r>
              <w:rPr>
                <w:rFonts w:hint="eastAsia" w:ascii="宋体" w:hAnsi="宋体" w:eastAsia="宋体" w:cs="宋体"/>
                <w:b w:val="0"/>
                <w:i w:val="0"/>
                <w:color w:val="auto"/>
                <w:spacing w:val="0"/>
                <w:w w:val="100"/>
                <w:kern w:val="2"/>
                <w:sz w:val="24"/>
                <w:szCs w:val="24"/>
                <w:highlight w:val="none"/>
                <w:u w:val="single" w:color="000000"/>
                <w:lang w:val="en-US" w:eastAsia="zh-CN" w:bidi="ar-SA"/>
              </w:rPr>
              <w:t>知”(计价格〔2002〕1980号)文件规定</w:t>
            </w:r>
            <w:r>
              <w:rPr>
                <w:rFonts w:hint="eastAsia" w:ascii="宋体" w:hAnsi="宋体" w:cs="宋体"/>
                <w:b w:val="0"/>
                <w:i w:val="0"/>
                <w:color w:val="auto"/>
                <w:spacing w:val="0"/>
                <w:w w:val="100"/>
                <w:kern w:val="2"/>
                <w:sz w:val="24"/>
                <w:szCs w:val="24"/>
                <w:highlight w:val="none"/>
                <w:u w:val="single" w:color="000000"/>
                <w:lang w:val="en-US" w:eastAsia="zh-CN" w:bidi="ar-SA"/>
              </w:rPr>
              <w:t>，</w:t>
            </w:r>
            <w:r>
              <w:rPr>
                <w:rFonts w:hint="eastAsia" w:ascii="宋体" w:hAnsi="宋体" w:eastAsia="宋体" w:cs="宋体"/>
                <w:b w:val="0"/>
                <w:i w:val="0"/>
                <w:color w:val="auto"/>
                <w:spacing w:val="0"/>
                <w:w w:val="100"/>
                <w:kern w:val="2"/>
                <w:sz w:val="24"/>
                <w:szCs w:val="24"/>
                <w:highlight w:val="none"/>
                <w:u w:val="single" w:color="000000"/>
                <w:lang w:val="en-US" w:eastAsia="zh-CN" w:bidi="ar-SA"/>
              </w:rPr>
              <w:t>根据上述文件的规定，本次招标代理服务费以中标价格为基数，由中标人向</w:t>
            </w:r>
            <w:r>
              <w:rPr>
                <w:rFonts w:hint="eastAsia" w:ascii="宋体" w:hAnsi="宋体" w:cs="宋体"/>
                <w:b w:val="0"/>
                <w:i w:val="0"/>
                <w:color w:val="auto"/>
                <w:spacing w:val="0"/>
                <w:w w:val="100"/>
                <w:kern w:val="2"/>
                <w:sz w:val="24"/>
                <w:szCs w:val="24"/>
                <w:highlight w:val="none"/>
                <w:u w:val="single" w:color="000000"/>
                <w:lang w:val="en-US" w:eastAsia="zh-CN" w:bidi="ar-SA"/>
              </w:rPr>
              <w:t>采购代理机构</w:t>
            </w:r>
            <w:r>
              <w:rPr>
                <w:rFonts w:hint="eastAsia" w:ascii="宋体" w:hAnsi="宋体" w:eastAsia="宋体" w:cs="宋体"/>
                <w:b w:val="0"/>
                <w:i w:val="0"/>
                <w:color w:val="auto"/>
                <w:spacing w:val="0"/>
                <w:w w:val="100"/>
                <w:kern w:val="2"/>
                <w:sz w:val="24"/>
                <w:szCs w:val="24"/>
                <w:highlight w:val="none"/>
                <w:u w:val="single" w:color="000000"/>
                <w:lang w:val="en-US" w:eastAsia="zh-CN" w:bidi="ar-SA"/>
              </w:rPr>
              <w:t>支付。本项目最高限价已包含代理服务费，请供应商将该费用考虑在报价之中，招标人将不另行支付。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117" w:type="dxa"/>
            <w:noWrap w:val="0"/>
            <w:vAlign w:val="center"/>
          </w:tcPr>
          <w:p>
            <w:pPr>
              <w:numPr>
                <w:ilvl w:val="0"/>
                <w:numId w:val="3"/>
              </w:numPr>
              <w:adjustRightInd w:val="0"/>
              <w:snapToGrid w:val="0"/>
              <w:spacing w:before="120" w:beforeLines="50" w:line="360" w:lineRule="auto"/>
              <w:ind w:left="425" w:leftChars="0" w:hanging="425" w:firstLineChars="0"/>
              <w:jc w:val="center"/>
              <w:rPr>
                <w:rFonts w:hint="eastAsia" w:ascii="宋体" w:hAnsi="宋体" w:eastAsia="宋体" w:cs="宋体"/>
                <w:b/>
                <w:bCs/>
                <w:color w:val="auto"/>
                <w:sz w:val="24"/>
                <w:szCs w:val="24"/>
                <w:highlight w:val="none"/>
                <w:lang w:val="en-US" w:eastAsia="zh-CN"/>
              </w:rPr>
            </w:pPr>
          </w:p>
        </w:tc>
        <w:tc>
          <w:tcPr>
            <w:tcW w:w="2348" w:type="dxa"/>
            <w:noWrap w:val="0"/>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i w:val="0"/>
                <w:color w:val="auto"/>
                <w:spacing w:val="0"/>
                <w:w w:val="100"/>
                <w:kern w:val="0"/>
                <w:sz w:val="24"/>
                <w:szCs w:val="24"/>
                <w:highlight w:val="none"/>
                <w:lang w:val="en-US" w:eastAsia="zh-CN" w:bidi="ar-SA"/>
              </w:rPr>
              <w:t>政府采购政策落实</w:t>
            </w:r>
          </w:p>
        </w:tc>
        <w:tc>
          <w:tcPr>
            <w:tcW w:w="6540" w:type="dxa"/>
            <w:noWrap w:val="0"/>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rPr>
                <w:rStyle w:val="21"/>
                <w:rFonts w:hint="default"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cs="宋体"/>
                <w:b w:val="0"/>
                <w:i w:val="0"/>
                <w:color w:val="auto"/>
                <w:spacing w:val="0"/>
                <w:w w:val="100"/>
                <w:kern w:val="0"/>
                <w:sz w:val="24"/>
                <w:szCs w:val="24"/>
                <w:highlight w:val="none"/>
                <w:lang w:val="en-US" w:eastAsia="zh-CN" w:bidi="ar-SA"/>
              </w:rPr>
              <w:t>20.1</w:t>
            </w:r>
            <w:r>
              <w:rPr>
                <w:rStyle w:val="21"/>
                <w:rFonts w:hint="eastAsia" w:ascii="宋体" w:hAnsi="宋体" w:eastAsia="宋体" w:cs="宋体"/>
                <w:b w:val="0"/>
                <w:i w:val="0"/>
                <w:color w:val="auto"/>
                <w:spacing w:val="0"/>
                <w:w w:val="100"/>
                <w:kern w:val="0"/>
                <w:sz w:val="24"/>
                <w:szCs w:val="24"/>
                <w:highlight w:val="none"/>
                <w:lang w:val="en-US" w:eastAsia="zh-CN" w:bidi="ar-SA"/>
              </w:rPr>
              <w:t>本项目专门面向中小微企业，各供应商须提供《中小企业申明函》（由供应商声明其服务有中小企业承接，即提供服务的人员为中小企业依照《中华人民共和国劳动合同法》订立劳动合同的从业人员），否则视为无效投标。</w:t>
            </w:r>
          </w:p>
          <w:p>
            <w:pPr>
              <w:pageBreakBefore w:val="0"/>
              <w:kinsoku/>
              <w:wordWrap/>
              <w:overflowPunct/>
              <w:topLinePunct w:val="0"/>
              <w:bidi w:val="0"/>
              <w:snapToGrid/>
              <w:spacing w:before="0" w:beforeAutospacing="0" w:after="0" w:afterAutospacing="0" w:line="440" w:lineRule="exact"/>
              <w:ind w:left="0" w:right="0" w:firstLine="0" w:firstLineChars="0"/>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cs="宋体"/>
                <w:b w:val="0"/>
                <w:i w:val="0"/>
                <w:color w:val="auto"/>
                <w:spacing w:val="0"/>
                <w:w w:val="100"/>
                <w:kern w:val="0"/>
                <w:sz w:val="24"/>
                <w:szCs w:val="24"/>
                <w:highlight w:val="none"/>
                <w:lang w:val="en-US" w:eastAsia="zh-CN" w:bidi="ar-SA"/>
              </w:rPr>
              <w:t>20</w:t>
            </w:r>
            <w:r>
              <w:rPr>
                <w:rStyle w:val="21"/>
                <w:rFonts w:hint="eastAsia" w:ascii="宋体" w:hAnsi="宋体" w:eastAsia="宋体" w:cs="宋体"/>
                <w:b w:val="0"/>
                <w:i w:val="0"/>
                <w:color w:val="auto"/>
                <w:spacing w:val="0"/>
                <w:w w:val="100"/>
                <w:kern w:val="0"/>
                <w:sz w:val="24"/>
                <w:szCs w:val="24"/>
                <w:highlight w:val="none"/>
                <w:lang w:val="en-US" w:eastAsia="zh-CN" w:bidi="ar-SA"/>
              </w:rPr>
              <w:t>.2根据工信部等部委发布的《关于印发中小企业划型标准规定的通知》（工信部联企业〔2011〕300号）、财政部、工业和信息化部《政府采购促进中小企业发展管理办法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宋体" w:hAnsi="宋体" w:eastAsia="宋体" w:cs="宋体"/>
                <w:b/>
                <w:bCs/>
                <w:color w:val="auto"/>
                <w:sz w:val="24"/>
                <w:szCs w:val="24"/>
                <w:highlight w:val="none"/>
                <w:u w:val="single"/>
              </w:rPr>
              <w:t>其它为未列明行业</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维修和其他服务业</w:t>
            </w:r>
            <w:r>
              <w:rPr>
                <w:rFonts w:hint="eastAsia" w:ascii="宋体" w:hAnsi="宋体" w:cs="宋体"/>
                <w:b/>
                <w:bCs/>
                <w:color w:val="auto"/>
                <w:sz w:val="24"/>
                <w:szCs w:val="24"/>
                <w:highlight w:val="none"/>
                <w:u w:val="single"/>
                <w:lang w:eastAsia="zh-CN"/>
              </w:rPr>
              <w:t>）</w:t>
            </w:r>
            <w:r>
              <w:rPr>
                <w:rStyle w:val="21"/>
                <w:rFonts w:hint="eastAsia" w:ascii="宋体" w:hAnsi="宋体" w:eastAsia="宋体" w:cs="宋体"/>
                <w:b w:val="0"/>
                <w:i w:val="0"/>
                <w:color w:val="auto"/>
                <w:spacing w:val="0"/>
                <w:w w:val="100"/>
                <w:kern w:val="0"/>
                <w:sz w:val="24"/>
                <w:szCs w:val="24"/>
                <w:highlight w:val="none"/>
                <w:lang w:val="en-US" w:eastAsia="zh-CN" w:bidi="ar-SA"/>
              </w:rPr>
              <w:t>，符合以下条件的中小微型企业应按照招标文件格式要求提供《中小企业声明函》。</w:t>
            </w:r>
          </w:p>
          <w:p>
            <w:pPr>
              <w:pageBreakBefore w:val="0"/>
              <w:kinsoku/>
              <w:wordWrap/>
              <w:overflowPunct/>
              <w:topLinePunct w:val="0"/>
              <w:bidi w:val="0"/>
              <w:snapToGrid/>
              <w:spacing w:before="0" w:beforeAutospacing="0" w:after="0" w:afterAutospacing="0" w:line="440" w:lineRule="exact"/>
              <w:ind w:left="0" w:right="0" w:firstLine="0" w:firstLineChars="0"/>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cs="宋体"/>
                <w:b w:val="0"/>
                <w:i w:val="0"/>
                <w:color w:val="auto"/>
                <w:spacing w:val="0"/>
                <w:w w:val="100"/>
                <w:kern w:val="0"/>
                <w:sz w:val="24"/>
                <w:szCs w:val="24"/>
                <w:highlight w:val="none"/>
                <w:lang w:val="en-US" w:eastAsia="zh-CN" w:bidi="ar-SA"/>
              </w:rPr>
              <w:t>20</w:t>
            </w:r>
            <w:r>
              <w:rPr>
                <w:rStyle w:val="21"/>
                <w:rFonts w:hint="eastAsia" w:ascii="宋体" w:hAnsi="宋体" w:eastAsia="宋体" w:cs="宋体"/>
                <w:b w:val="0"/>
                <w:i w:val="0"/>
                <w:color w:val="auto"/>
                <w:spacing w:val="0"/>
                <w:w w:val="100"/>
                <w:kern w:val="0"/>
                <w:sz w:val="24"/>
                <w:szCs w:val="24"/>
                <w:highlight w:val="none"/>
                <w:lang w:val="en-US" w:eastAsia="zh-CN" w:bidi="ar-SA"/>
              </w:rPr>
              <w:t>.3节能、环境标志产品评审优惠内容及加分幅度：</w:t>
            </w:r>
          </w:p>
          <w:p>
            <w:pPr>
              <w:pageBreakBefore w:val="0"/>
              <w:kinsoku/>
              <w:wordWrap/>
              <w:overflowPunct/>
              <w:topLinePunct w:val="0"/>
              <w:bidi w:val="0"/>
              <w:snapToGrid/>
              <w:spacing w:before="0" w:beforeAutospacing="0" w:after="0" w:afterAutospacing="0" w:line="440" w:lineRule="exact"/>
              <w:ind w:left="0" w:right="0" w:firstLine="0" w:firstLineChars="0"/>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严格执行《财政部 发展改革委 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rPr>
                <w:rFonts w:hint="eastAsia" w:ascii="宋体" w:hAnsi="宋体" w:eastAsia="宋体" w:cs="宋体"/>
                <w:color w:val="auto"/>
                <w:sz w:val="24"/>
                <w:szCs w:val="24"/>
                <w:highlight w:val="none"/>
              </w:rPr>
            </w:pPr>
            <w:r>
              <w:rPr>
                <w:rStyle w:val="21"/>
                <w:rFonts w:hint="eastAsia" w:ascii="宋体" w:hAnsi="宋体" w:eastAsia="宋体" w:cs="宋体"/>
                <w:b w:val="0"/>
                <w:i w:val="0"/>
                <w:color w:val="auto"/>
                <w:spacing w:val="0"/>
                <w:w w:val="100"/>
                <w:kern w:val="0"/>
                <w:sz w:val="24"/>
                <w:szCs w:val="24"/>
                <w:highlight w:val="none"/>
                <w:lang w:val="en-US" w:eastAsia="zh-CN" w:bidi="ar-SA"/>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noWrap w:val="0"/>
            <w:vAlign w:val="center"/>
          </w:tcPr>
          <w:p>
            <w:pPr>
              <w:keepNext w:val="0"/>
              <w:keepLines w:val="0"/>
              <w:pageBreakBefore w:val="0"/>
              <w:numPr>
                <w:ilvl w:val="0"/>
                <w:numId w:val="3"/>
              </w:numPr>
              <w:kinsoku/>
              <w:overflowPunct/>
              <w:topLinePunct w:val="0"/>
              <w:bidi w:val="0"/>
              <w:adjustRightInd w:val="0"/>
              <w:snapToGrid w:val="0"/>
              <w:spacing w:beforeAutospacing="0" w:afterAutospacing="0" w:line="360" w:lineRule="auto"/>
              <w:ind w:left="425" w:leftChars="0" w:hanging="425" w:firstLineChars="0"/>
              <w:jc w:val="center"/>
              <w:rPr>
                <w:rFonts w:hint="default"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both"/>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服务期限</w:t>
            </w:r>
          </w:p>
        </w:tc>
        <w:tc>
          <w:tcPr>
            <w:tcW w:w="6540" w:type="dxa"/>
            <w:noWrap w:val="0"/>
            <w:vAlign w:val="center"/>
          </w:tcPr>
          <w:p>
            <w:pPr>
              <w:pageBreakBefore w:val="0"/>
              <w:kinsoku/>
              <w:wordWrap/>
              <w:overflowPunct/>
              <w:topLinePunct w:val="0"/>
              <w:bidi w:val="0"/>
              <w:snapToGrid/>
              <w:spacing w:before="0" w:beforeAutospacing="0" w:after="0" w:afterAutospacing="0" w:line="440" w:lineRule="exact"/>
              <w:ind w:left="0" w:leftChars="0" w:right="0" w:rightChars="0" w:firstLine="0" w:firstLineChars="0"/>
              <w:jc w:val="both"/>
              <w:rPr>
                <w:rStyle w:val="21"/>
                <w:rFonts w:hint="default"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117" w:type="dxa"/>
            <w:noWrap w:val="0"/>
            <w:vAlign w:val="center"/>
          </w:tcPr>
          <w:p>
            <w:pPr>
              <w:keepNext w:val="0"/>
              <w:keepLines w:val="0"/>
              <w:pageBreakBefore w:val="0"/>
              <w:numPr>
                <w:ilvl w:val="0"/>
                <w:numId w:val="3"/>
              </w:numPr>
              <w:kinsoku/>
              <w:overflowPunct/>
              <w:topLinePunct w:val="0"/>
              <w:bidi w:val="0"/>
              <w:adjustRightInd w:val="0"/>
              <w:snapToGrid w:val="0"/>
              <w:spacing w:beforeAutospacing="0" w:afterAutospacing="0" w:line="360" w:lineRule="auto"/>
              <w:ind w:left="425" w:leftChars="0" w:hanging="425" w:firstLineChars="0"/>
              <w:jc w:val="center"/>
              <w:rPr>
                <w:rFonts w:hint="default"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付款方式</w:t>
            </w:r>
          </w:p>
        </w:tc>
        <w:tc>
          <w:tcPr>
            <w:tcW w:w="6540" w:type="dxa"/>
            <w:noWrap w:val="0"/>
            <w:vAlign w:val="center"/>
          </w:tcPr>
          <w:p>
            <w:pPr>
              <w:bidi w:val="0"/>
              <w:rPr>
                <w:rStyle w:val="21"/>
                <w:rFonts w:hint="default" w:ascii="宋体" w:hAnsi="宋体" w:eastAsia="宋体" w:cs="宋体"/>
                <w:b w:val="0"/>
                <w:i w:val="0"/>
                <w:color w:val="auto"/>
                <w:spacing w:val="0"/>
                <w:w w:val="100"/>
                <w:kern w:val="0"/>
                <w:sz w:val="24"/>
                <w:szCs w:val="24"/>
                <w:highlight w:val="none"/>
                <w:lang w:val="en-US" w:eastAsia="zh-CN" w:bidi="ar-SA"/>
              </w:rPr>
            </w:pPr>
            <w:r>
              <w:rPr>
                <w:rFonts w:hint="eastAsia" w:asciiTheme="minorEastAsia" w:hAnsiTheme="minorEastAsia" w:eastAsiaTheme="minorEastAsia" w:cstheme="minorEastAsia"/>
                <w:b w:val="0"/>
                <w:bCs w:val="0"/>
                <w:color w:val="auto"/>
                <w:highlight w:val="none"/>
                <w:lang w:val="en-US" w:eastAsia="zh-CN"/>
              </w:rPr>
              <w:t>最终付款方式以和甲方单位签订合同为准。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117" w:type="dxa"/>
            <w:noWrap w:val="0"/>
            <w:vAlign w:val="center"/>
          </w:tcPr>
          <w:p>
            <w:pPr>
              <w:keepNext w:val="0"/>
              <w:keepLines w:val="0"/>
              <w:pageBreakBefore w:val="0"/>
              <w:numPr>
                <w:ilvl w:val="0"/>
                <w:numId w:val="3"/>
              </w:numPr>
              <w:kinsoku/>
              <w:overflowPunct/>
              <w:topLinePunct w:val="0"/>
              <w:bidi w:val="0"/>
              <w:adjustRightInd w:val="0"/>
              <w:snapToGrid w:val="0"/>
              <w:spacing w:beforeAutospacing="0" w:afterAutospacing="0" w:line="360" w:lineRule="auto"/>
              <w:ind w:left="425" w:leftChars="0" w:hanging="425" w:firstLineChars="0"/>
              <w:jc w:val="center"/>
              <w:rPr>
                <w:rFonts w:hint="default" w:ascii="宋体" w:hAnsi="宋体" w:eastAsia="宋体" w:cs="宋体"/>
                <w:b/>
                <w:bCs/>
                <w:color w:val="auto"/>
                <w:sz w:val="24"/>
                <w:szCs w:val="24"/>
                <w:highlight w:val="none"/>
                <w:lang w:val="en-US" w:eastAsia="zh-CN"/>
              </w:rPr>
            </w:pPr>
          </w:p>
        </w:tc>
        <w:tc>
          <w:tcPr>
            <w:tcW w:w="2348" w:type="dxa"/>
            <w:noWrap w:val="0"/>
            <w:vAlign w:val="center"/>
          </w:tcPr>
          <w:p>
            <w:pPr>
              <w:keepNext w:val="0"/>
              <w:keepLines w:val="0"/>
              <w:pageBreakBefore w:val="0"/>
              <w:widowControl w:val="0"/>
              <w:kinsoku/>
              <w:overflowPunct/>
              <w:topLinePunct w:val="0"/>
              <w:bidi w:val="0"/>
              <w:adjustRightInd w:val="0"/>
              <w:snapToGrid w:val="0"/>
              <w:spacing w:line="360" w:lineRule="auto"/>
              <w:ind w:left="0"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采购人认为应该补充的其他内容</w:t>
            </w:r>
          </w:p>
        </w:tc>
        <w:tc>
          <w:tcPr>
            <w:tcW w:w="6540" w:type="dxa"/>
            <w:noWrap w:val="0"/>
            <w:vAlign w:val="center"/>
          </w:tcPr>
          <w:p>
            <w:pPr>
              <w:keepNext w:val="0"/>
              <w:keepLines w:val="0"/>
              <w:pageBreakBefore w:val="0"/>
              <w:widowControl w:val="0"/>
              <w:kinsoku/>
              <w:wordWrap w:val="0"/>
              <w:overflowPunct/>
              <w:topLinePunct w:val="0"/>
              <w:bidi w:val="0"/>
              <w:adjustRightInd w:val="0"/>
              <w:snapToGrid w:val="0"/>
              <w:spacing w:line="360" w:lineRule="auto"/>
              <w:ind w:left="0" w:leftChars="0"/>
              <w:jc w:val="center"/>
              <w:rPr>
                <w:rFonts w:hint="default" w:ascii="宋体" w:hAnsi="宋体"/>
                <w:b/>
                <w:bCs/>
                <w:color w:val="auto"/>
                <w:sz w:val="24"/>
                <w:szCs w:val="24"/>
                <w:highlight w:val="none"/>
                <w:u w:val="none"/>
                <w:lang w:val="en-US"/>
              </w:rPr>
            </w:pPr>
            <w:r>
              <w:rPr>
                <w:rFonts w:hint="eastAsia" w:ascii="宋体" w:hAnsi="宋体" w:cs="宋体"/>
                <w:b/>
                <w:bCs/>
                <w:color w:val="auto"/>
                <w:sz w:val="24"/>
                <w:szCs w:val="24"/>
                <w:highlight w:val="none"/>
                <w:u w:val="single"/>
                <w:lang w:val="en-US" w:eastAsia="zh-CN"/>
              </w:rPr>
              <w:t xml:space="preserve">                无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7" w:type="dxa"/>
            <w:noWrap w:val="0"/>
            <w:vAlign w:val="center"/>
          </w:tcPr>
          <w:p>
            <w:pPr>
              <w:pStyle w:val="5"/>
              <w:keepNext w:val="0"/>
              <w:keepLines w:val="0"/>
              <w:pageBreakBefore w:val="0"/>
              <w:widowControl w:val="0"/>
              <w:kinsoku/>
              <w:overflowPunct/>
              <w:topLinePunct w:val="0"/>
              <w:bidi w:val="0"/>
              <w:adjustRightInd w:val="0"/>
              <w:snapToGrid w:val="0"/>
              <w:spacing w:line="360" w:lineRule="auto"/>
              <w:ind w:left="482" w:leftChars="0" w:hanging="482" w:hangingChars="200"/>
              <w:contextualSpacing/>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注意</w:t>
            </w:r>
          </w:p>
          <w:p>
            <w:pPr>
              <w:pStyle w:val="5"/>
              <w:keepNext w:val="0"/>
              <w:keepLines w:val="0"/>
              <w:pageBreakBefore w:val="0"/>
              <w:widowControl w:val="0"/>
              <w:kinsoku/>
              <w:overflowPunct/>
              <w:topLinePunct w:val="0"/>
              <w:bidi w:val="0"/>
              <w:adjustRightInd w:val="0"/>
              <w:snapToGrid w:val="0"/>
              <w:spacing w:line="360" w:lineRule="auto"/>
              <w:ind w:left="482" w:leftChars="0" w:hanging="482" w:hangingChars="200"/>
              <w:contextualSpacing/>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事项</w:t>
            </w:r>
          </w:p>
        </w:tc>
        <w:tc>
          <w:tcPr>
            <w:tcW w:w="8888" w:type="dxa"/>
            <w:gridSpan w:val="2"/>
            <w:noWrap w:val="0"/>
            <w:vAlign w:val="center"/>
          </w:tcPr>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rPr>
                <w:rStyle w:val="21"/>
                <w:rFonts w:hint="eastAsia" w:ascii="宋体" w:hAnsi="宋体" w:eastAsia="宋体" w:cs="宋体"/>
                <w:b w:val="0"/>
                <w:bCs/>
                <w:i w:val="0"/>
                <w:color w:val="auto"/>
                <w:spacing w:val="0"/>
                <w:w w:val="100"/>
                <w:kern w:val="2"/>
                <w:sz w:val="24"/>
                <w:szCs w:val="24"/>
                <w:highlight w:val="none"/>
                <w:lang w:val="en-US" w:eastAsia="zh-CN" w:bidi="ar-SA"/>
              </w:rPr>
            </w:pPr>
            <w:r>
              <w:rPr>
                <w:rStyle w:val="21"/>
                <w:rFonts w:hint="eastAsia" w:ascii="宋体" w:hAnsi="宋体" w:eastAsia="宋体" w:cs="宋体"/>
                <w:b w:val="0"/>
                <w:bCs/>
                <w:i w:val="0"/>
                <w:color w:val="auto"/>
                <w:spacing w:val="0"/>
                <w:w w:val="100"/>
                <w:kern w:val="2"/>
                <w:sz w:val="24"/>
                <w:szCs w:val="24"/>
                <w:highlight w:val="none"/>
                <w:lang w:val="en-US" w:eastAsia="zh-CN" w:bidi="ar-SA"/>
              </w:rPr>
              <w:t>1、本项目实行网上投标，采用电子响应文件。</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rPr>
                <w:rStyle w:val="21"/>
                <w:rFonts w:hint="eastAsia" w:ascii="宋体" w:hAnsi="宋体" w:eastAsia="宋体" w:cs="宋体"/>
                <w:b w:val="0"/>
                <w:bCs/>
                <w:i w:val="0"/>
                <w:color w:val="auto"/>
                <w:spacing w:val="0"/>
                <w:w w:val="100"/>
                <w:kern w:val="2"/>
                <w:sz w:val="24"/>
                <w:szCs w:val="24"/>
                <w:highlight w:val="none"/>
                <w:lang w:val="en-US" w:eastAsia="zh-CN" w:bidi="ar-SA"/>
              </w:rPr>
            </w:pPr>
            <w:r>
              <w:rPr>
                <w:rStyle w:val="21"/>
                <w:rFonts w:hint="eastAsia" w:ascii="宋体" w:hAnsi="宋体" w:eastAsia="宋体" w:cs="宋体"/>
                <w:b w:val="0"/>
                <w:bCs/>
                <w:i w:val="0"/>
                <w:color w:val="auto"/>
                <w:spacing w:val="0"/>
                <w:w w:val="100"/>
                <w:kern w:val="2"/>
                <w:sz w:val="24"/>
                <w:szCs w:val="24"/>
                <w:highlight w:val="none"/>
                <w:lang w:val="en-US" w:eastAsia="zh-CN" w:bidi="ar-SA"/>
              </w:rPr>
              <w:t>2、各供应商应在开标前应确保成为</w:t>
            </w:r>
            <w:r>
              <w:rPr>
                <w:rStyle w:val="21"/>
                <w:rFonts w:hint="eastAsia" w:ascii="宋体" w:hAnsi="宋体" w:cs="宋体"/>
                <w:b w:val="0"/>
                <w:bCs/>
                <w:i w:val="0"/>
                <w:color w:val="auto"/>
                <w:spacing w:val="0"/>
                <w:w w:val="100"/>
                <w:kern w:val="2"/>
                <w:sz w:val="24"/>
                <w:szCs w:val="24"/>
                <w:highlight w:val="none"/>
                <w:lang w:val="en-US" w:eastAsia="zh-CN" w:bidi="ar-SA"/>
              </w:rPr>
              <w:t>新</w:t>
            </w:r>
            <w:r>
              <w:rPr>
                <w:rStyle w:val="21"/>
                <w:rFonts w:hint="eastAsia" w:ascii="宋体" w:hAnsi="宋体" w:eastAsia="宋体" w:cs="宋体"/>
                <w:b w:val="0"/>
                <w:bCs/>
                <w:i w:val="0"/>
                <w:color w:val="auto"/>
                <w:spacing w:val="0"/>
                <w:w w:val="100"/>
                <w:kern w:val="2"/>
                <w:sz w:val="24"/>
                <w:szCs w:val="24"/>
                <w:highlight w:val="none"/>
                <w:lang w:val="en-US" w:eastAsia="zh-CN" w:bidi="ar-SA"/>
              </w:rPr>
              <w:t>疆政府采购网正式注册入库供应商，并完成CA数字证书（符合国密标准）申领。因未注册入库、未办理CA数字证书等原因造成无法投标或投标失败等后果由供应商自行承担。有意向参与新疆维吾尔自治区区域电子开评标的供应商，可访问新疆数字证书认证中心官方网站（https://www.xjca.com.cn/）或下载“新疆政务通”APP自行进行申领。如需咨询，请联系新疆CA服务热线0991-2819290。</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rPr>
                <w:rStyle w:val="21"/>
                <w:rFonts w:hint="eastAsia" w:ascii="宋体" w:hAnsi="宋体" w:eastAsia="宋体" w:cs="宋体"/>
                <w:b w:val="0"/>
                <w:bCs/>
                <w:i w:val="0"/>
                <w:color w:val="auto"/>
                <w:spacing w:val="0"/>
                <w:w w:val="100"/>
                <w:kern w:val="2"/>
                <w:sz w:val="24"/>
                <w:szCs w:val="24"/>
                <w:highlight w:val="none"/>
                <w:lang w:val="en-US" w:eastAsia="zh-CN" w:bidi="ar-SA"/>
              </w:rPr>
            </w:pPr>
            <w:r>
              <w:rPr>
                <w:rStyle w:val="21"/>
                <w:rFonts w:hint="eastAsia" w:ascii="宋体" w:hAnsi="宋体" w:eastAsia="宋体" w:cs="宋体"/>
                <w:b w:val="0"/>
                <w:bCs/>
                <w:i w:val="0"/>
                <w:color w:val="auto"/>
                <w:spacing w:val="0"/>
                <w:w w:val="100"/>
                <w:kern w:val="2"/>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政采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5"/>
              <w:keepNext w:val="0"/>
              <w:keepLines w:val="0"/>
              <w:pageBreakBefore w:val="0"/>
              <w:widowControl w:val="0"/>
              <w:kinsoku/>
              <w:overflowPunct/>
              <w:topLinePunct w:val="0"/>
              <w:bidi w:val="0"/>
              <w:adjustRightInd w:val="0"/>
              <w:snapToGrid w:val="0"/>
              <w:spacing w:line="360" w:lineRule="auto"/>
              <w:ind w:left="0" w:leftChars="0" w:firstLine="410" w:firstLineChars="171"/>
              <w:contextualSpacing/>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val="0"/>
                <w:bCs/>
                <w:i w:val="0"/>
                <w:color w:val="auto"/>
                <w:spacing w:val="0"/>
                <w:w w:val="100"/>
                <w:kern w:val="2"/>
                <w:sz w:val="24"/>
                <w:szCs w:val="24"/>
                <w:highlight w:val="none"/>
                <w:lang w:val="en-US" w:eastAsia="zh-CN" w:bidi="ar-SA"/>
              </w:rPr>
              <w:t>4、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spacing w:line="440" w:lineRule="exact"/>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 w:val="24"/>
          <w:szCs w:val="22"/>
          <w:highlight w:val="none"/>
        </w:rPr>
        <w:t>注：</w:t>
      </w: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rPr>
        <w:t>、本表内容与招标文件其它内容不一致的，应当以本表内容为准。</w:t>
      </w:r>
    </w:p>
    <w:p>
      <w:pPr>
        <w:rPr>
          <w:rFonts w:hint="eastAsia" w:eastAsia="宋体"/>
          <w:color w:val="auto"/>
          <w:sz w:val="32"/>
          <w:szCs w:val="32"/>
          <w:highlight w:val="none"/>
          <w:lang w:eastAsia="zh-CN"/>
        </w:rPr>
        <w:sectPr>
          <w:footerReference r:id="rId3" w:type="default"/>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rPr>
        <w:t>、本表中“</w:t>
      </w:r>
      <w:r>
        <w:rPr>
          <w:rFonts w:hint="eastAsia" w:ascii="宋体" w:hAnsi="宋体" w:eastAsia="宋体" w:cs="宋体"/>
          <w:color w:val="auto"/>
          <w:kern w:val="0"/>
          <w:sz w:val="24"/>
          <w:szCs w:val="22"/>
          <w:highlight w:val="none"/>
        </w:rPr>
        <w:fldChar w:fldCharType="begin"/>
      </w:r>
      <w:r>
        <w:rPr>
          <w:rFonts w:hint="eastAsia" w:ascii="宋体" w:hAnsi="宋体" w:eastAsia="宋体" w:cs="宋体"/>
          <w:color w:val="auto"/>
          <w:kern w:val="0"/>
          <w:sz w:val="22"/>
          <w:szCs w:val="22"/>
          <w:highlight w:val="none"/>
        </w:rPr>
        <w:instrText xml:space="preserve"> eq \o\ac(</w:instrText>
      </w:r>
      <w:r>
        <w:rPr>
          <w:rFonts w:hint="eastAsia" w:ascii="宋体" w:hAnsi="宋体" w:eastAsia="宋体" w:cs="宋体"/>
          <w:color w:val="auto"/>
          <w:kern w:val="0"/>
          <w:position w:val="-4"/>
          <w:sz w:val="33"/>
          <w:szCs w:val="22"/>
          <w:highlight w:val="none"/>
        </w:rPr>
        <w:instrText xml:space="preserve">□</w:instrText>
      </w:r>
      <w:r>
        <w:rPr>
          <w:rFonts w:hint="eastAsia" w:ascii="宋体" w:hAnsi="宋体" w:eastAsia="宋体" w:cs="宋体"/>
          <w:color w:val="auto"/>
          <w:kern w:val="0"/>
          <w:position w:val="0"/>
          <w:sz w:val="22"/>
          <w:szCs w:val="22"/>
          <w:highlight w:val="none"/>
        </w:rPr>
        <w:instrText xml:space="preserve">,√)</w:instrText>
      </w:r>
      <w:r>
        <w:rPr>
          <w:rFonts w:hint="eastAsia" w:ascii="宋体" w:hAnsi="宋体" w:eastAsia="宋体" w:cs="宋体"/>
          <w:color w:val="auto"/>
          <w:kern w:val="0"/>
          <w:sz w:val="24"/>
          <w:szCs w:val="22"/>
          <w:highlight w:val="none"/>
        </w:rPr>
        <w:fldChar w:fldCharType="end"/>
      </w:r>
      <w:r>
        <w:rPr>
          <w:rFonts w:hint="eastAsia" w:ascii="宋体" w:hAnsi="宋体" w:eastAsia="宋体" w:cs="宋体"/>
          <w:color w:val="auto"/>
          <w:kern w:val="0"/>
          <w:sz w:val="24"/>
          <w:szCs w:val="22"/>
          <w:highlight w:val="none"/>
        </w:rPr>
        <w:t>”标示选择使用该项</w:t>
      </w:r>
      <w:r>
        <w:rPr>
          <w:rFonts w:hint="eastAsia" w:ascii="宋体" w:hAnsi="宋体" w:eastAsia="宋体" w:cs="宋体"/>
          <w:color w:val="auto"/>
          <w:kern w:val="0"/>
          <w:sz w:val="24"/>
          <w:szCs w:val="22"/>
          <w:highlight w:val="none"/>
          <w:lang w:eastAsia="zh-CN"/>
        </w:rPr>
        <w:t>。</w:t>
      </w:r>
    </w:p>
    <w:p>
      <w:pPr>
        <w:pStyle w:val="4"/>
        <w:pageBreakBefore w:val="0"/>
        <w:kinsoku/>
        <w:wordWrap/>
        <w:overflowPunct/>
        <w:topLinePunct w:val="0"/>
        <w:autoSpaceDE/>
        <w:autoSpaceDN/>
        <w:bidi w:val="0"/>
        <w:adjustRightInd w:val="0"/>
        <w:snapToGrid w:val="0"/>
        <w:spacing w:before="0" w:after="0" w:line="360" w:lineRule="auto"/>
        <w:rPr>
          <w:rFonts w:hint="eastAsia"/>
          <w:color w:val="auto"/>
          <w:highlight w:val="none"/>
        </w:rPr>
      </w:pPr>
      <w:bookmarkStart w:id="14" w:name="_Toc20759"/>
      <w:bookmarkEnd w:id="14"/>
      <w:bookmarkStart w:id="15" w:name="_Toc1621"/>
      <w:bookmarkEnd w:id="15"/>
      <w:bookmarkStart w:id="16" w:name="_Toc6730"/>
      <w:r>
        <w:rPr>
          <w:rFonts w:hint="eastAsia"/>
          <w:color w:val="auto"/>
          <w:highlight w:val="none"/>
        </w:rPr>
        <w:t>一、 说明</w:t>
      </w:r>
      <w:bookmarkEnd w:id="16"/>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1.1适用范围</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1.1 .1本磋商文件仅适用于本磋商邀请函中所述项目的货物及相关服务的采购。</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1.2定义</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1.2.1“采购人”是指：详见供应商须知前附表.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1.2.2“采购代理机构”是指：详见供应商须知前附表.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1.2.3“监管部门”是指：详见供应商须知前附表.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1.2.4 “供应商”是指：响应磋商文件要求并且符合磋商文件规定资格条件和参加竞争性磋商的法人、其他组织或者自然人。</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1.2.5“电子响应文件</w:t>
      </w:r>
      <w:r>
        <w:rPr>
          <w:rFonts w:asciiTheme="majorEastAsia" w:hAnsiTheme="majorEastAsia" w:eastAsiaTheme="majorEastAsia"/>
          <w:color w:val="auto"/>
          <w:sz w:val="24"/>
          <w:szCs w:val="24"/>
          <w:highlight w:val="none"/>
        </w:rPr>
        <w:t>”</w:t>
      </w:r>
      <w:r>
        <w:rPr>
          <w:rFonts w:hint="eastAsia" w:asciiTheme="majorEastAsia" w:hAnsiTheme="majorEastAsia" w:eastAsiaTheme="majorEastAsia"/>
          <w:color w:val="auto"/>
          <w:sz w:val="24"/>
          <w:szCs w:val="24"/>
          <w:highlight w:val="none"/>
        </w:rPr>
        <w:t>是指：利用</w:t>
      </w:r>
      <w:r>
        <w:rPr>
          <w:rFonts w:hint="eastAsia" w:asciiTheme="majorEastAsia" w:hAnsiTheme="majorEastAsia" w:eastAsiaTheme="majorEastAsia"/>
          <w:color w:val="auto"/>
          <w:sz w:val="24"/>
          <w:szCs w:val="24"/>
          <w:highlight w:val="none"/>
          <w:lang w:eastAsia="zh-CN"/>
        </w:rPr>
        <w:t>相应的</w:t>
      </w:r>
      <w:r>
        <w:rPr>
          <w:rFonts w:hint="eastAsia" w:asciiTheme="majorEastAsia" w:hAnsiTheme="majorEastAsia" w:eastAsiaTheme="majorEastAsia"/>
          <w:color w:val="auto"/>
          <w:sz w:val="24"/>
          <w:szCs w:val="24"/>
          <w:highlight w:val="none"/>
        </w:rPr>
        <w:t>“</w:t>
      </w:r>
      <w:r>
        <w:rPr>
          <w:rFonts w:hint="eastAsia" w:asciiTheme="majorEastAsia" w:hAnsiTheme="majorEastAsia" w:eastAsiaTheme="majorEastAsia"/>
          <w:color w:val="auto"/>
          <w:sz w:val="24"/>
          <w:szCs w:val="24"/>
          <w:highlight w:val="none"/>
          <w:lang w:eastAsia="zh-CN"/>
        </w:rPr>
        <w:t>响应文件</w:t>
      </w:r>
      <w:r>
        <w:rPr>
          <w:rFonts w:hint="eastAsia" w:asciiTheme="majorEastAsia" w:hAnsiTheme="majorEastAsia" w:eastAsiaTheme="majorEastAsia"/>
          <w:color w:val="auto"/>
          <w:sz w:val="24"/>
          <w:szCs w:val="24"/>
          <w:highlight w:val="none"/>
        </w:rPr>
        <w:t>制作工具</w:t>
      </w:r>
      <w:r>
        <w:rPr>
          <w:rFonts w:asciiTheme="majorEastAsia" w:hAnsiTheme="majorEastAsia" w:eastAsiaTheme="majorEastAsia"/>
          <w:color w:val="auto"/>
          <w:sz w:val="24"/>
          <w:szCs w:val="24"/>
          <w:highlight w:val="none"/>
        </w:rPr>
        <w:t>”</w:t>
      </w:r>
      <w:r>
        <w:rPr>
          <w:rFonts w:hint="eastAsia" w:asciiTheme="majorEastAsia" w:hAnsiTheme="majorEastAsia" w:eastAsiaTheme="majorEastAsia"/>
          <w:color w:val="auto"/>
          <w:sz w:val="24"/>
          <w:szCs w:val="24"/>
          <w:highlight w:val="none"/>
        </w:rPr>
        <w:t>编制加密的响应文件。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1.2.6“成交供应商”是指: 是指经磋商小组评审，授予合同的供应商。</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561" w:leftChars="267"/>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1.2.7采购人和采购代理机构统称为招标采购单位。</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1.3、货物和服务</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Theme="majorEastAsia" w:hAnsiTheme="majorEastAsia" w:eastAsiaTheme="majorEastAsia"/>
          <w:color w:val="auto"/>
          <w:kern w:val="0"/>
          <w:sz w:val="24"/>
          <w:szCs w:val="24"/>
          <w:highlight w:val="none"/>
        </w:rPr>
        <w:t>提供的货物必须是其合法生产的符合国家有关标准要求的货物，并能够按照合同规定的品牌、产地、质量、价格和有效期等履约。</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1.3.2“服务”是指：除货物和工程以外的其他政府采购对象。包括：政府自身需要的服务和政府向社会公众提供的公共服务。</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1.4、磋商费用</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4"/>
          <w:szCs w:val="24"/>
          <w:highlight w:val="none"/>
        </w:rPr>
        <w:t>1.4.1供应商应承担所有与准备和参加竞争性磋商有关的费用。不论磋商的结果如何，采购单位均无义务和责任承担这些费用。</w:t>
      </w:r>
    </w:p>
    <w:p>
      <w:pPr>
        <w:pStyle w:val="4"/>
        <w:pageBreakBefore w:val="0"/>
        <w:kinsoku/>
        <w:wordWrap/>
        <w:overflowPunct/>
        <w:topLinePunct w:val="0"/>
        <w:autoSpaceDE/>
        <w:autoSpaceDN/>
        <w:bidi w:val="0"/>
        <w:adjustRightInd w:val="0"/>
        <w:snapToGrid w:val="0"/>
        <w:spacing w:before="0" w:after="0" w:line="360" w:lineRule="auto"/>
        <w:rPr>
          <w:color w:val="auto"/>
          <w:highlight w:val="none"/>
        </w:rPr>
      </w:pPr>
      <w:bookmarkStart w:id="17" w:name="_Toc293736054"/>
      <w:bookmarkEnd w:id="17"/>
      <w:bookmarkStart w:id="18" w:name="_Toc3092"/>
      <w:bookmarkEnd w:id="18"/>
      <w:bookmarkStart w:id="19" w:name="_Toc293738992"/>
      <w:bookmarkEnd w:id="19"/>
      <w:bookmarkStart w:id="20" w:name="_Toc293736011"/>
      <w:bookmarkEnd w:id="20"/>
      <w:bookmarkStart w:id="21" w:name="_Toc18317"/>
      <w:bookmarkEnd w:id="21"/>
      <w:bookmarkStart w:id="22" w:name="_Toc446599311"/>
      <w:bookmarkEnd w:id="22"/>
      <w:bookmarkStart w:id="23" w:name="_Toc31275"/>
      <w:r>
        <w:rPr>
          <w:rFonts w:hint="eastAsia"/>
          <w:color w:val="auto"/>
          <w:highlight w:val="none"/>
        </w:rPr>
        <w:t>二、磋商文件</w:t>
      </w:r>
      <w:bookmarkEnd w:id="23"/>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2.1.磋商文件的构成</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2.1.1磋商文件由下列文件以及在采购过程中发出的修正和补充文件组成：</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(1)磋商邀请函；</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(3)采购项目技术规格、参数及相关服务要求；</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(4)评审方法、步骤、标准；</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(5)合同格式及合同条款；</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(7)在磋商过程中由采购单位发出的澄清和补充文件等。</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2.2.1供应商应仔细阅读和检查磋商文件的全部内容。供应商若对磋商文件有任何疑问，均应在响应文件递交截止时间5日前</w:t>
      </w:r>
      <w:r>
        <w:rPr>
          <w:rFonts w:hint="eastAsia" w:ascii="宋体" w:hAnsi="宋体" w:eastAsia="宋体" w:cs="宋体"/>
          <w:color w:val="auto"/>
          <w:sz w:val="24"/>
          <w:szCs w:val="24"/>
          <w:highlight w:val="none"/>
          <w:lang w:eastAsia="zh-CN"/>
        </w:rPr>
        <w:t>向采购人提出</w:t>
      </w:r>
      <w:r>
        <w:rPr>
          <w:rFonts w:hint="eastAsia" w:ascii="宋体" w:hAnsi="宋体" w:eastAsia="宋体" w:cs="宋体"/>
          <w:color w:val="auto"/>
          <w:sz w:val="24"/>
          <w:szCs w:val="24"/>
          <w:highlight w:val="none"/>
        </w:rPr>
        <w:t>。采购单位对供应商所要求澄清的内容均予以答复（答复中不包括问题的来源）。必要时，采购单位将组织相关专家召开答疑会，并在</w:t>
      </w:r>
      <w:r>
        <w:rPr>
          <w:rFonts w:hint="eastAsia" w:ascii="宋体" w:hAnsi="宋体" w:eastAsia="宋体" w:cs="宋体"/>
          <w:color w:val="auto"/>
          <w:sz w:val="24"/>
          <w:szCs w:val="24"/>
          <w:highlight w:val="none"/>
          <w:lang w:eastAsia="zh-CN"/>
        </w:rPr>
        <w:t>新疆政采云平台上</w:t>
      </w:r>
      <w:r>
        <w:rPr>
          <w:rFonts w:hint="eastAsia" w:ascii="宋体" w:hAnsi="宋体" w:eastAsia="宋体" w:cs="宋体"/>
          <w:color w:val="auto"/>
          <w:sz w:val="24"/>
          <w:szCs w:val="24"/>
          <w:highlight w:val="none"/>
        </w:rPr>
        <w:t>向所有供应商公布，供应商可在</w:t>
      </w:r>
      <w:r>
        <w:rPr>
          <w:rFonts w:hint="eastAsia" w:ascii="宋体" w:hAnsi="宋体" w:eastAsia="宋体" w:cs="宋体"/>
          <w:color w:val="auto"/>
          <w:sz w:val="24"/>
          <w:szCs w:val="24"/>
          <w:highlight w:val="none"/>
          <w:lang w:eastAsia="zh-CN"/>
        </w:rPr>
        <w:t>平台相对应的</w:t>
      </w:r>
      <w:r>
        <w:rPr>
          <w:rFonts w:hint="eastAsia" w:ascii="宋体" w:hAnsi="宋体" w:eastAsia="宋体" w:cs="宋体"/>
          <w:color w:val="auto"/>
          <w:sz w:val="24"/>
          <w:szCs w:val="24"/>
          <w:highlight w:val="none"/>
        </w:rPr>
        <w:t>栏目下载澄清文件。澄清文件作为磋商文件的组成部分，对供应商具有同等约束作用。</w:t>
      </w:r>
    </w:p>
    <w:p>
      <w:pPr>
        <w:pStyle w:val="5"/>
        <w:pageBreakBefore w:val="0"/>
        <w:kinsoku/>
        <w:wordWrap/>
        <w:overflowPunct/>
        <w:topLinePunct w:val="0"/>
        <w:autoSpaceDE/>
        <w:autoSpaceDN/>
        <w:bidi w:val="0"/>
        <w:adjustRightInd w:val="0"/>
        <w:snapToGrid w:val="0"/>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2.2.2</w:t>
      </w:r>
      <w:r>
        <w:rPr>
          <w:rFonts w:hint="eastAsia" w:ascii="宋体" w:hAnsi="宋体" w:eastAsia="宋体" w:cs="宋体"/>
          <w:color w:val="auto"/>
          <w:sz w:val="24"/>
          <w:szCs w:val="24"/>
          <w:highlight w:val="none"/>
        </w:rPr>
        <w:t>供应商在本项目采购公告期限届满之日起七个工作日内未对磋商文件提出异议的，采购单位将视其为同意。在规定的时间后就磋商文件内容提出的质疑将不予受理。</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磋商文件的修改</w:t>
      </w:r>
    </w:p>
    <w:p>
      <w:pPr>
        <w:pStyle w:val="5"/>
        <w:pageBreakBefore w:val="0"/>
        <w:kinsoku/>
        <w:wordWrap/>
        <w:overflowPunct/>
        <w:topLinePunct w:val="0"/>
        <w:autoSpaceDE/>
        <w:autoSpaceDN/>
        <w:bidi w:val="0"/>
        <w:adjustRightInd w:val="0"/>
        <w:snapToGrid w:val="0"/>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2.3.1采购单位可以对已发出的磋商文件进行必要的澄清或者修改。</w:t>
      </w:r>
      <w:r>
        <w:rPr>
          <w:rFonts w:hint="eastAsia" w:ascii="宋体" w:hAnsi="宋体" w:eastAsia="宋体" w:cs="宋体"/>
          <w:color w:val="auto"/>
          <w:sz w:val="24"/>
          <w:szCs w:val="24"/>
          <w:highlight w:val="none"/>
        </w:rPr>
        <w:t>澄清或者修改的内容可能影响响应文件编制的，采购单位将在响应文件递交截止时间五日前在新疆</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 xml:space="preserve">发布更正公告。 </w:t>
      </w:r>
    </w:p>
    <w:p>
      <w:pPr>
        <w:pStyle w:val="5"/>
        <w:pageBreakBefore w:val="0"/>
        <w:kinsoku/>
        <w:wordWrap/>
        <w:overflowPunct/>
        <w:topLinePunct w:val="0"/>
        <w:autoSpaceDE/>
        <w:autoSpaceDN/>
        <w:bidi w:val="0"/>
        <w:adjustRightInd w:val="0"/>
        <w:snapToGrid w:val="0"/>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2.3.2澄清或者修改的内容是磋商文件的组成部分，将在</w:t>
      </w:r>
      <w:r>
        <w:rPr>
          <w:rFonts w:hint="eastAsia" w:ascii="宋体" w:hAnsi="宋体" w:eastAsia="宋体" w:cs="宋体"/>
          <w:color w:val="auto"/>
          <w:sz w:val="24"/>
          <w:szCs w:val="24"/>
          <w:highlight w:val="none"/>
        </w:rPr>
        <w:t>新疆</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上会员专区向所有供应商公布，并对供应商具有约束力。</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2.3.3为使供应商有充足的时间对磋商文件的修改部分进行研究，采购单位可适当推迟响应文件截止期，并通过在新疆</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上发布公告方式通知所有下载磋商文件的供应商。</w:t>
      </w:r>
    </w:p>
    <w:p>
      <w:pPr>
        <w:pStyle w:val="5"/>
        <w:pageBreakBefore w:val="0"/>
        <w:kinsoku/>
        <w:wordWrap/>
        <w:overflowPunct/>
        <w:topLinePunct w:val="0"/>
        <w:autoSpaceDE/>
        <w:autoSpaceDN/>
        <w:bidi w:val="0"/>
        <w:adjustRightInd w:val="0"/>
        <w:snapToGrid w:val="0"/>
        <w:spacing w:line="360" w:lineRule="auto"/>
        <w:ind w:firstLine="460" w:firstLineChars="202"/>
        <w:jc w:val="left"/>
        <w:rPr>
          <w:rFonts w:asciiTheme="majorEastAsia" w:hAnsiTheme="majorEastAsia" w:eastAsiaTheme="majorEastAsia"/>
          <w:color w:val="auto"/>
          <w:spacing w:val="-6"/>
          <w:sz w:val="28"/>
          <w:szCs w:val="28"/>
          <w:highlight w:val="none"/>
        </w:rPr>
      </w:pPr>
      <w:r>
        <w:rPr>
          <w:rFonts w:hint="eastAsia" w:ascii="宋体" w:hAnsi="宋体" w:eastAsia="宋体" w:cs="宋体"/>
          <w:color w:val="auto"/>
          <w:spacing w:val="-6"/>
          <w:sz w:val="24"/>
          <w:szCs w:val="24"/>
          <w:highlight w:val="none"/>
        </w:rPr>
        <w:t>2.3.4供应商应注意及时浏览网上发布的澄清或修改通知并下载，因供应商原因未及时获知澄清、修改或补充内容而导致的任何后果将由供应商自行承担。</w:t>
      </w:r>
    </w:p>
    <w:p>
      <w:pPr>
        <w:pStyle w:val="4"/>
        <w:pageBreakBefore w:val="0"/>
        <w:kinsoku/>
        <w:wordWrap/>
        <w:overflowPunct/>
        <w:topLinePunct w:val="0"/>
        <w:autoSpaceDE/>
        <w:autoSpaceDN/>
        <w:bidi w:val="0"/>
        <w:adjustRightInd w:val="0"/>
        <w:snapToGrid w:val="0"/>
        <w:spacing w:before="0" w:after="0" w:line="360" w:lineRule="auto"/>
        <w:rPr>
          <w:color w:val="auto"/>
          <w:highlight w:val="none"/>
        </w:rPr>
      </w:pPr>
      <w:bookmarkStart w:id="24" w:name="_Toc446599312"/>
      <w:bookmarkEnd w:id="24"/>
      <w:bookmarkStart w:id="25" w:name="_Toc1735"/>
      <w:bookmarkEnd w:id="25"/>
      <w:bookmarkStart w:id="26" w:name="_Toc293736055"/>
      <w:bookmarkEnd w:id="26"/>
      <w:bookmarkStart w:id="27" w:name="_Toc293736012"/>
      <w:bookmarkEnd w:id="27"/>
      <w:bookmarkStart w:id="28" w:name="_Toc293738993"/>
      <w:bookmarkEnd w:id="28"/>
      <w:bookmarkStart w:id="29" w:name="_Toc13231"/>
      <w:bookmarkEnd w:id="29"/>
      <w:bookmarkStart w:id="30" w:name="_Toc582"/>
      <w:r>
        <w:rPr>
          <w:rFonts w:hint="eastAsia"/>
          <w:color w:val="auto"/>
          <w:highlight w:val="none"/>
        </w:rPr>
        <w:t>三、响应文件的编制和数量</w:t>
      </w:r>
      <w:bookmarkEnd w:id="30"/>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3.1．响应文件的语言</w:t>
      </w:r>
    </w:p>
    <w:p>
      <w:pPr>
        <w:pStyle w:val="5"/>
        <w:pageBreakBefore w:val="0"/>
        <w:kinsoku/>
        <w:wordWrap/>
        <w:overflowPunct/>
        <w:topLinePunct w:val="0"/>
        <w:autoSpaceDE/>
        <w:autoSpaceDN/>
        <w:bidi w:val="0"/>
        <w:adjustRightInd w:val="0"/>
        <w:snapToGrid w:val="0"/>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3.2响应文件的构成</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3.2.1供应商编制的响应文件应包括但不少于下列内容：</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
          <w:sz w:val="24"/>
          <w:szCs w:val="24"/>
          <w:highlight w:val="none"/>
        </w:rPr>
        <w:t>商务</w:t>
      </w:r>
      <w:r>
        <w:rPr>
          <w:rFonts w:hint="eastAsia" w:ascii="宋体" w:hAnsi="宋体" w:eastAsia="宋体" w:cs="宋体"/>
          <w:color w:val="auto"/>
          <w:sz w:val="24"/>
          <w:szCs w:val="24"/>
          <w:highlight w:val="none"/>
        </w:rPr>
        <w:t>文件内容（详见第六章商务文件组成）</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（2)技术文件内容（详见第六章技术文件组成）</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3.3响应文件编制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w:t>
      </w:r>
      <w:r>
        <w:rPr>
          <w:rFonts w:hint="eastAsia" w:ascii="宋体" w:hAnsi="宋体" w:eastAsia="宋体" w:cs="宋体"/>
          <w:color w:val="auto"/>
          <w:spacing w:val="-6"/>
          <w:sz w:val="24"/>
          <w:szCs w:val="24"/>
          <w:highlight w:val="none"/>
        </w:rPr>
        <w:t>电子</w:t>
      </w:r>
      <w:r>
        <w:rPr>
          <w:rFonts w:hint="eastAsia" w:ascii="宋体" w:hAnsi="宋体" w:eastAsia="宋体" w:cs="宋体"/>
          <w:color w:val="auto"/>
          <w:kern w:val="0"/>
          <w:sz w:val="24"/>
          <w:szCs w:val="24"/>
          <w:highlight w:val="none"/>
        </w:rPr>
        <w:t>响应文件制作时，应按照统一的“</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制作工具”和磋商文件中明确的响应文件目录和投标</w:t>
      </w:r>
      <w:r>
        <w:rPr>
          <w:rFonts w:hint="eastAsia" w:ascii="宋体" w:hAnsi="宋体" w:eastAsia="宋体" w:cs="宋体"/>
          <w:color w:val="auto"/>
          <w:sz w:val="24"/>
          <w:szCs w:val="24"/>
          <w:highlight w:val="none"/>
        </w:rPr>
        <w:t>技术规格、参数及相关要求</w:t>
      </w:r>
      <w:r>
        <w:rPr>
          <w:rFonts w:hint="eastAsia" w:ascii="宋体" w:hAnsi="宋体" w:eastAsia="宋体" w:cs="宋体"/>
          <w:color w:val="auto"/>
          <w:kern w:val="0"/>
          <w:sz w:val="24"/>
          <w:szCs w:val="24"/>
          <w:highlight w:val="none"/>
        </w:rPr>
        <w:t>格式进行编制，保证目录清晰、内容完整。</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3.3.2供应商应按照供应商须知前附表要求的份数编制响应文件。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3.3.3网上</w:t>
      </w:r>
      <w:r>
        <w:rPr>
          <w:rFonts w:hint="eastAsia" w:ascii="宋体" w:hAnsi="宋体" w:eastAsia="宋体" w:cs="宋体"/>
          <w:color w:val="auto"/>
          <w:spacing w:val="-6"/>
          <w:sz w:val="24"/>
          <w:szCs w:val="24"/>
          <w:highlight w:val="none"/>
        </w:rPr>
        <w:t>提交</w:t>
      </w:r>
      <w:r>
        <w:rPr>
          <w:rFonts w:hint="eastAsia" w:ascii="宋体" w:hAnsi="宋体" w:eastAsia="宋体" w:cs="宋体"/>
          <w:color w:val="auto"/>
          <w:kern w:val="0"/>
          <w:sz w:val="24"/>
          <w:szCs w:val="24"/>
          <w:highlight w:val="none"/>
        </w:rPr>
        <w:t xml:space="preserve">的电子响应文件（加密）为正本，磋商现场提交的电子光盘(未加密的电子响应文件)为副本。当副本和正本不一致时，以正本为准。 </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3.3.4供应商因自身原因导致电子响应文件无法导入电子评标系统的，该响应文件视为无效文件。 </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3.3.5电子响应文件具有法律效力,与其他形式的响应文件在内容和格式上等同，若响应文件与磋商文件要求不一致，其内容影响成交结果时，责任由供应商自行承担。 </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3.3.6为了保证</w:t>
      </w:r>
      <w:r>
        <w:rPr>
          <w:rFonts w:hint="eastAsia" w:ascii="宋体" w:hAnsi="宋体" w:eastAsia="宋体" w:cs="宋体"/>
          <w:color w:val="auto"/>
          <w:spacing w:val="-6"/>
          <w:sz w:val="24"/>
          <w:szCs w:val="24"/>
          <w:highlight w:val="none"/>
        </w:rPr>
        <w:t>电子</w:t>
      </w:r>
      <w:r>
        <w:rPr>
          <w:rFonts w:hint="eastAsia" w:ascii="宋体" w:hAnsi="宋体" w:eastAsia="宋体" w:cs="宋体"/>
          <w:color w:val="auto"/>
          <w:kern w:val="0"/>
          <w:sz w:val="24"/>
          <w:szCs w:val="24"/>
          <w:highlight w:val="none"/>
        </w:rPr>
        <w:t>标书的合法性、安全性和完整性，电子响应文件转换完成后，应在规定区域加盖单位和法定代表人CA印章。电子响应文件若无 CA电子签章，则视为无效文件。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3.3.7供应商应完整地</w:t>
      </w:r>
      <w:r>
        <w:rPr>
          <w:rFonts w:hint="eastAsia" w:ascii="宋体" w:hAnsi="宋体" w:eastAsia="宋体" w:cs="宋体"/>
          <w:color w:val="auto"/>
          <w:spacing w:val="-6"/>
          <w:sz w:val="24"/>
          <w:szCs w:val="24"/>
          <w:highlight w:val="none"/>
        </w:rPr>
        <w:t>填写</w:t>
      </w:r>
      <w:r>
        <w:rPr>
          <w:rFonts w:hint="eastAsia" w:ascii="宋体" w:hAnsi="宋体" w:eastAsia="宋体" w:cs="宋体"/>
          <w:color w:val="auto"/>
          <w:kern w:val="0"/>
          <w:sz w:val="24"/>
          <w:szCs w:val="24"/>
          <w:highlight w:val="none"/>
        </w:rPr>
        <w:t xml:space="preserve">磋商文件中提供的《竞争性磋商函》、《竞争性磋商报价一览表》、《竞争性磋商报价明细表》等磋商文件中规定的所有内容。 </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3.3.8供应商必须保证响应文件所提供的全部资料真实可靠，并接受采购单位对其中任何资料进一步核实的要求。 </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磋商报价要求</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3.4.1供应商所提供的货物和服务均以人民币报价。</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3.4.3《竞争性磋商报价明细表》填写时应响应下列要求：</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（1）对于报价免费的项目应标明“免费”；</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（2）所有根据合同或其它原因应由供应商支付的税款和其它应交纳的费用都要包括在供应商提交的磋商总价中；</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（3）应包含货物运至最终目的地的运输、保险和伴随货物服务的有关费用。</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3.4.5每一种规格的货物、服务只允许有一个报价，否则将被视为无效投标。</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3.4.6供应商所报的总价在合同执行过程中是固定不变的，不得以任何理由予以变更。</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3.4.7供应商的最后磋商报价超过项目采购预算的为无效报价。</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3.5备选方案</w:t>
      </w:r>
    </w:p>
    <w:p>
      <w:pPr>
        <w:pStyle w:val="11"/>
        <w:pageBreakBefore w:val="0"/>
        <w:kinsoku/>
        <w:wordWrap/>
        <w:overflowPunct/>
        <w:topLinePunct w:val="0"/>
        <w:autoSpaceDE/>
        <w:autoSpaceDN/>
        <w:bidi w:val="0"/>
        <w:adjustRightInd w:val="0"/>
        <w:snapToGrid w:val="0"/>
        <w:spacing w:line="360" w:lineRule="auto"/>
        <w:ind w:firstLine="482"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3.5.1供应商应按照供应商须知前附表要求编制磋商备选方案，否则将被视为无效响应文件。</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3.6联合体投标</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3.6.1两个以上供应商可以组成一个联合体，以一个供应商的身份共同参与磋商。</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3.6.3联合体各方之间必须签订联合磋商协议，明确约定联合体主体及各方承担的工作和相应的责任，其响应文件中必须提供联合磋商协议。</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3.6.4以联合体形式参加政府采购活动的，联合体各方不得再单独参加或者与其他供应商另外组成联合体参加同一合同项下的政府采购活动。</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3.6.5采取联合体形式投标的，其响应文件必须由联合体所有成员或其各自正式书面授权的代表签署（盖章），以便对所有成员作为整体及作为个体均具有法律约束力。</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3.6.6联合体成交的，联合体各方应当共同与采购人签订采购合同。</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3.6.7联合体中有同类资质的供应商按照联合体分工承担相同工作的，应当按照资质等级较低的供应商确定资质等级。</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 供应商资格证明文件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3.7.1供应商应提交证明其有资格参加磋商和成交后有能力履行合同的文件，并作为其响应文件的一部分。</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3.7.2资格证明文件必须真实可靠、不得伪造。</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3.7.3供应商相关资格证明文件：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（1）法人或者其他组织的营业执照等证明文件，自然人的身份证明；</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（2）财务状况报告，依法缴纳税收和社会保障资金的相关材料；</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（3）具备履行合同所必需的设备和专业技术能力的证明材料；</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（4）参加政府采购活动前3年内在经营活动中没有重大违法记录的书面声明；</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（5）具备法律、行政法规规定的其他条件的证明材料；</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（6）采购项目有特殊要求的，供应商还应当提供其符合特殊要求的证明材料或者情况说明；</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（7）信用信息查询记录；</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（8）磋商文件要求或供应商认为需提供的其它相关资格证明材料。</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证明投标货物、服务的合格性和符合磋商文件规定的文件。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采取资格预审方式项目的</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在递交</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时，其资格条件与资格预审时发生变化的，提交变化后的资料。</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 磋商保证金</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sz w:val="24"/>
          <w:szCs w:val="24"/>
          <w:highlight w:val="none"/>
        </w:rPr>
        <w:t>应在响应文件截止时间之前，通过</w:t>
      </w:r>
      <w:r>
        <w:rPr>
          <w:rFonts w:hint="eastAsia" w:ascii="宋体" w:hAnsi="宋体" w:eastAsia="宋体" w:cs="宋体"/>
          <w:color w:val="auto"/>
          <w:sz w:val="24"/>
          <w:szCs w:val="24"/>
          <w:highlight w:val="none"/>
          <w:lang w:val="en-US" w:eastAsia="zh-CN"/>
        </w:rPr>
        <w:t>信息主体库</w:t>
      </w:r>
      <w:r>
        <w:rPr>
          <w:rFonts w:hint="eastAsia" w:ascii="宋体" w:hAnsi="宋体" w:eastAsia="宋体" w:cs="宋体"/>
          <w:color w:val="auto"/>
          <w:sz w:val="24"/>
          <w:szCs w:val="24"/>
          <w:highlight w:val="none"/>
        </w:rPr>
        <w:t>中备案的企业银行账户，将所规定数额的保证金以转账或电汇方式缴纳至该项目所</w:t>
      </w:r>
      <w:r>
        <w:rPr>
          <w:rFonts w:hint="eastAsia" w:ascii="宋体" w:hAnsi="宋体" w:eastAsia="宋体" w:cs="宋体"/>
          <w:color w:val="auto"/>
          <w:kern w:val="0"/>
          <w:sz w:val="24"/>
          <w:szCs w:val="24"/>
          <w:highlight w:val="none"/>
        </w:rPr>
        <w:t>对应的保证金收取账号内（不接受现金缴纳）。保证金缴纳时间以该项目所对应的保证金收取账号中显示的到账时间为准。</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3.8.2对于未能按要求提交保证金的将视为未响应磋商文件的要求，其响应文件无效。</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3.8.5有下列情形之一的，保证金将被没收：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（1）供应商在响应文件中提供虚假资料的；</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（2）除因不可抗力或磋商文件认可的情形以外，成交供应商不与采购人签订合同的；</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（3）供应商与采购人、其他供应商或者采购代理机构恶意串通的；</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（4）磋商文件规定的其他情形。</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3.9. 磋商的有效期</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3.9.1磋商有效期详见供应商须知前附表。供应商响应文件中有效期不足的将被视为无效文件。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 有效期内供应商未经采购结果确认</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达成一致不得改变其磋商最后报价及承诺的全部义务。</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649" w:firstLineChars="202"/>
        <w:jc w:val="center"/>
        <w:textAlignment w:val="auto"/>
        <w:outlineLvl w:val="1"/>
        <w:rPr>
          <w:rFonts w:hint="eastAsia" w:ascii="宋体" w:hAnsi="宋体" w:eastAsia="宋体" w:cs="Times New Roman"/>
          <w:b/>
          <w:bCs/>
          <w:color w:val="auto"/>
          <w:kern w:val="0"/>
          <w:sz w:val="32"/>
          <w:szCs w:val="28"/>
          <w:highlight w:val="none"/>
          <w:lang w:val="en-US" w:eastAsia="zh-CN" w:bidi="ar-SA"/>
        </w:rPr>
      </w:pPr>
      <w:bookmarkStart w:id="31" w:name="_Toc446599313"/>
      <w:bookmarkEnd w:id="31"/>
      <w:bookmarkStart w:id="32" w:name="_Toc293738994"/>
      <w:bookmarkEnd w:id="32"/>
      <w:bookmarkStart w:id="33" w:name="_Toc293736013"/>
      <w:bookmarkEnd w:id="33"/>
      <w:bookmarkStart w:id="34" w:name="_Toc293736056"/>
      <w:bookmarkEnd w:id="34"/>
      <w:bookmarkStart w:id="35" w:name="_Toc10605"/>
      <w:r>
        <w:rPr>
          <w:rFonts w:hint="eastAsia" w:ascii="宋体" w:hAnsi="宋体" w:eastAsia="宋体" w:cs="Times New Roman"/>
          <w:b/>
          <w:bCs/>
          <w:color w:val="auto"/>
          <w:kern w:val="0"/>
          <w:sz w:val="32"/>
          <w:szCs w:val="28"/>
          <w:highlight w:val="none"/>
          <w:lang w:val="en-US" w:eastAsia="zh-CN" w:bidi="ar-SA"/>
        </w:rPr>
        <w:t>四、响应文件的递交</w:t>
      </w:r>
      <w:bookmarkEnd w:id="35"/>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响应文件的密封和标记</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.1响应文件的密封和标记。电子响应文件的内容通过数字证书进行加密并签章。未按要求加密和数字证书认证的响应文件，电子评标系统将无法接受,采购单位不予受理。</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4.2响应文件的递交</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ker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4.3迟交的响应文件</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kern w:val="0"/>
          <w:sz w:val="24"/>
          <w:szCs w:val="24"/>
          <w:highlight w:val="none"/>
        </w:rPr>
        <w:t>4.3</w:t>
      </w:r>
      <w:r>
        <w:rPr>
          <w:rFonts w:hint="eastAsia" w:asciiTheme="majorEastAsia" w:hAnsiTheme="majorEastAsia" w:eastAsiaTheme="majorEastAsia"/>
          <w:color w:val="auto"/>
          <w:sz w:val="24"/>
          <w:szCs w:val="24"/>
          <w:highlight w:val="none"/>
        </w:rPr>
        <w:t>.1采购</w:t>
      </w:r>
      <w:r>
        <w:rPr>
          <w:rFonts w:hint="eastAsia" w:asciiTheme="majorEastAsia" w:hAnsiTheme="majorEastAsia" w:eastAsiaTheme="majorEastAsia"/>
          <w:color w:val="auto"/>
          <w:ker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w:t>
      </w:r>
      <w:r>
        <w:rPr>
          <w:rFonts w:hint="eastAsia" w:asciiTheme="majorEastAsia" w:hAnsiTheme="majorEastAsia" w:eastAsiaTheme="majorEastAsia"/>
          <w:color w:val="auto"/>
          <w:kern w:val="0"/>
          <w:sz w:val="24"/>
          <w:szCs w:val="24"/>
          <w:highlight w:val="none"/>
          <w:lang w:eastAsia="zh-CN"/>
        </w:rPr>
        <w:t>采购人</w:t>
      </w:r>
      <w:r>
        <w:rPr>
          <w:rFonts w:hint="eastAsia" w:asciiTheme="majorEastAsia" w:hAnsiTheme="majorEastAsia" w:eastAsiaTheme="majorEastAsia"/>
          <w:color w:val="auto"/>
          <w:kern w:val="0"/>
          <w:sz w:val="24"/>
          <w:szCs w:val="24"/>
          <w:highlight w:val="none"/>
        </w:rPr>
        <w:t>不负任何责任。建议于开标前1个工作日完成响应文件的制作与上传。</w:t>
      </w:r>
    </w:p>
    <w:p>
      <w:pPr>
        <w:pStyle w:val="11"/>
        <w:pageBreakBefore w:val="0"/>
        <w:kinsoku/>
        <w:wordWrap/>
        <w:overflowPunct/>
        <w:topLinePunct w:val="0"/>
        <w:autoSpaceDE/>
        <w:autoSpaceDN/>
        <w:bidi w:val="0"/>
        <w:adjustRightInd w:val="0"/>
        <w:snapToGrid w:val="0"/>
        <w:spacing w:line="360" w:lineRule="auto"/>
        <w:ind w:firstLine="484" w:firstLineChars="201"/>
        <w:contextualSpacing/>
        <w:jc w:val="left"/>
        <w:rPr>
          <w:rFonts w:cs="仿宋_GB2312" w:asciiTheme="majorEastAsia" w:hAnsiTheme="majorEastAsia" w:eastAsiaTheme="majorEastAsia"/>
          <w:color w:val="auto"/>
          <w:kern w:val="0"/>
          <w:sz w:val="24"/>
          <w:szCs w:val="24"/>
          <w:highlight w:val="none"/>
        </w:rPr>
      </w:pPr>
      <w:r>
        <w:rPr>
          <w:rFonts w:hint="eastAsia" w:asciiTheme="majorEastAsia" w:hAnsiTheme="majorEastAsia" w:eastAsiaTheme="majorEastAsia"/>
          <w:b/>
          <w:color w:val="auto"/>
          <w:sz w:val="24"/>
          <w:szCs w:val="24"/>
          <w:highlight w:val="none"/>
        </w:rPr>
        <w:t>4.4响应文件的修改和撤回</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4"/>
          <w:szCs w:val="24"/>
          <w:highlight w:val="none"/>
        </w:rPr>
        <w:t>4.4.2供应商所提交的响应文件在评审结束后，无论中标与否都不退还。</w:t>
      </w:r>
    </w:p>
    <w:p>
      <w:pPr>
        <w:pStyle w:val="4"/>
        <w:pageBreakBefore w:val="0"/>
        <w:kinsoku/>
        <w:wordWrap/>
        <w:overflowPunct/>
        <w:topLinePunct w:val="0"/>
        <w:autoSpaceDE/>
        <w:autoSpaceDN/>
        <w:bidi w:val="0"/>
        <w:adjustRightInd w:val="0"/>
        <w:snapToGrid w:val="0"/>
        <w:spacing w:before="0" w:after="0" w:line="360" w:lineRule="auto"/>
        <w:rPr>
          <w:color w:val="auto"/>
          <w:highlight w:val="none"/>
        </w:rPr>
      </w:pPr>
      <w:bookmarkStart w:id="36" w:name="_Toc446599314"/>
      <w:bookmarkEnd w:id="36"/>
      <w:bookmarkStart w:id="37" w:name="_Toc9220"/>
      <w:bookmarkEnd w:id="37"/>
      <w:bookmarkStart w:id="38" w:name="_Toc293736057"/>
      <w:bookmarkEnd w:id="38"/>
      <w:bookmarkStart w:id="39" w:name="_Toc293738995"/>
      <w:bookmarkEnd w:id="39"/>
      <w:bookmarkStart w:id="40" w:name="_Toc4087"/>
      <w:bookmarkEnd w:id="40"/>
      <w:bookmarkStart w:id="41" w:name="_Toc293736014"/>
      <w:bookmarkEnd w:id="41"/>
      <w:bookmarkStart w:id="42" w:name="_Toc4486"/>
      <w:r>
        <w:rPr>
          <w:rFonts w:hint="eastAsia"/>
          <w:color w:val="auto"/>
          <w:highlight w:val="none"/>
        </w:rPr>
        <w:t>五、竞争性磋商程序</w:t>
      </w:r>
      <w:bookmarkEnd w:id="42"/>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1磋商小组的组成</w:t>
      </w:r>
    </w:p>
    <w:p>
      <w:pPr>
        <w:pStyle w:val="5"/>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"file:///C:\\WordForm\\e944b4b1-01b6-4e42-b170-f783fcf7903a.doc" \l "_评标委员会"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5.2磋商方法</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5.2.1项目评审方法详见磋商文件“第四章 评审方法。</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5.3响应文件的初审</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初审分为资格性检查和符合性检查。</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cs="Times New Roman" w:asciiTheme="majorEastAsia" w:hAnsiTheme="majorEastAsia" w:eastAsiaTheme="majorEastAsia"/>
          <w:color w:val="auto"/>
          <w:kern w:val="0"/>
          <w:sz w:val="24"/>
          <w:szCs w:val="24"/>
          <w:highlight w:val="none"/>
        </w:rPr>
      </w:pPr>
      <w:r>
        <w:rPr>
          <w:rFonts w:hint="eastAsia" w:cs="Times New Roman" w:asciiTheme="majorEastAsia" w:hAnsiTheme="majorEastAsia" w:eastAsiaTheme="majorEastAsia"/>
          <w:color w:val="auto"/>
          <w:kern w:val="0"/>
          <w:sz w:val="24"/>
          <w:szCs w:val="24"/>
          <w:highlight w:val="none"/>
        </w:rPr>
        <w:t>5.3.1资格性检查</w:t>
      </w:r>
    </w:p>
    <w:p>
      <w:pPr>
        <w:pStyle w:val="5"/>
        <w:pageBreakBefore w:val="0"/>
        <w:kinsoku/>
        <w:wordWrap/>
        <w:overflowPunct/>
        <w:topLinePunct w:val="0"/>
        <w:autoSpaceDE/>
        <w:autoSpaceDN/>
        <w:bidi w:val="0"/>
        <w:adjustRightInd w:val="0"/>
        <w:snapToGrid w:val="0"/>
        <w:spacing w:line="360" w:lineRule="auto"/>
        <w:ind w:firstLine="484" w:firstLineChars="202"/>
        <w:jc w:val="left"/>
        <w:rPr>
          <w:rFonts w:hint="eastAsia" w:cs="Times New Roman" w:asciiTheme="majorEastAsia" w:hAnsiTheme="majorEastAsia" w:eastAsiaTheme="majorEastAsia"/>
          <w:color w:val="auto"/>
          <w:kern w:val="0"/>
          <w:sz w:val="28"/>
          <w:szCs w:val="28"/>
          <w:highlight w:val="none"/>
          <w:lang w:eastAsia="zh-CN"/>
        </w:rPr>
      </w:pPr>
      <w:r>
        <w:rPr>
          <w:rFonts w:hint="eastAsia" w:cs="Times New Roman" w:asciiTheme="majorEastAsia" w:hAnsiTheme="majorEastAsia" w:eastAsiaTheme="majorEastAsia"/>
          <w:color w:val="auto"/>
          <w:kern w:val="0"/>
          <w:sz w:val="24"/>
          <w:szCs w:val="24"/>
          <w:highlight w:val="none"/>
        </w:rPr>
        <w:t>（1）资格性检查指依据法律、法规和磋商文件的规定，</w:t>
      </w:r>
      <w:r>
        <w:rPr>
          <w:rFonts w:hint="eastAsia" w:cs="Times New Roman" w:asciiTheme="majorEastAsia" w:hAnsiTheme="majorEastAsia" w:eastAsiaTheme="majorEastAsia"/>
          <w:color w:val="auto"/>
          <w:kern w:val="0"/>
          <w:sz w:val="24"/>
          <w:szCs w:val="24"/>
          <w:highlight w:val="none"/>
          <w:lang w:eastAsia="zh-CN"/>
        </w:rPr>
        <w:t>由采购人</w:t>
      </w:r>
      <w:r>
        <w:rPr>
          <w:rFonts w:hint="eastAsia" w:cs="Times New Roman" w:asciiTheme="majorEastAsia" w:hAnsiTheme="majorEastAsia" w:eastAsiaTheme="majorEastAsia"/>
          <w:color w:val="auto"/>
          <w:kern w:val="0"/>
          <w:sz w:val="24"/>
          <w:szCs w:val="24"/>
          <w:highlight w:val="none"/>
        </w:rPr>
        <w:t>对响应文件资格证明、磋商保证金等进行审查，以确定供应商是否具备报价资格。</w:t>
      </w:r>
      <w:r>
        <w:rPr>
          <w:rFonts w:hint="eastAsia" w:cs="Times New Roman" w:asciiTheme="majorEastAsia" w:hAnsiTheme="majorEastAsia" w:eastAsiaTheme="majorEastAsia"/>
          <w:color w:val="auto"/>
          <w:kern w:val="0"/>
          <w:sz w:val="24"/>
          <w:szCs w:val="24"/>
          <w:highlight w:val="none"/>
          <w:lang w:eastAsia="zh-CN"/>
        </w:rPr>
        <w:t>见下表：</w:t>
      </w: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ind w:firstLine="495"/>
        <w:jc w:val="center"/>
        <w:rPr>
          <w:rFonts w:hint="eastAsia" w:ascii="宋体" w:hAnsi="宋体" w:cs="宋体"/>
          <w:b/>
          <w:color w:val="auto"/>
          <w:sz w:val="24"/>
          <w:highlight w:val="none"/>
        </w:rPr>
      </w:pPr>
      <w:r>
        <w:rPr>
          <w:rFonts w:hint="eastAsia" w:ascii="宋体" w:hAnsi="宋体" w:cs="宋体"/>
          <w:b/>
          <w:color w:val="auto"/>
          <w:sz w:val="24"/>
          <w:highlight w:val="none"/>
        </w:rPr>
        <w:t>资格性检查表</w:t>
      </w:r>
    </w:p>
    <w:tbl>
      <w:tblPr>
        <w:tblStyle w:val="17"/>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2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9" w:type="dxa"/>
            <w:vMerge w:val="restart"/>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p>
        </w:tc>
        <w:tc>
          <w:tcPr>
            <w:tcW w:w="3240"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color w:val="auto"/>
                <w:spacing w:val="0"/>
                <w:sz w:val="24"/>
                <w:szCs w:val="24"/>
                <w:highlight w:val="none"/>
              </w:rPr>
              <w:t>具有独立承担民事责任的能力</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rPr>
              <w:t>须提供相关证明材料</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color w:val="auto"/>
                <w:spacing w:val="0"/>
                <w:sz w:val="24"/>
                <w:szCs w:val="24"/>
                <w:highlight w:val="none"/>
              </w:rPr>
              <w:t>具有良好的商业信誉和健全的财务会计制度</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rPr>
              <w:t>须提供相关证明材料</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color w:val="auto"/>
                <w:spacing w:val="0"/>
                <w:sz w:val="24"/>
                <w:szCs w:val="24"/>
                <w:highlight w:val="none"/>
                <w:lang w:val="zh-CN"/>
              </w:rPr>
              <w:t>具有履行合同所必须的设备和专业技术能力，</w:t>
            </w:r>
            <w:r>
              <w:rPr>
                <w:rFonts w:hint="eastAsia" w:ascii="宋体" w:hAnsi="宋体" w:eastAsia="宋体" w:cs="宋体"/>
                <w:b w:val="0"/>
                <w:bCs/>
                <w:color w:val="auto"/>
                <w:spacing w:val="0"/>
                <w:sz w:val="24"/>
                <w:szCs w:val="24"/>
                <w:highlight w:val="none"/>
              </w:rPr>
              <w:t>须提供相关证明材料</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color w:val="auto"/>
                <w:spacing w:val="0"/>
                <w:sz w:val="24"/>
                <w:szCs w:val="24"/>
                <w:highlight w:val="none"/>
                <w:lang w:val="zh-CN"/>
              </w:rPr>
              <w:t>有依法缴纳税收和社会保障金的良好记录，</w:t>
            </w:r>
            <w:r>
              <w:rPr>
                <w:rFonts w:hint="eastAsia" w:ascii="宋体" w:hAnsi="宋体" w:eastAsia="宋体" w:cs="宋体"/>
                <w:b w:val="0"/>
                <w:bCs/>
                <w:color w:val="auto"/>
                <w:spacing w:val="0"/>
                <w:sz w:val="24"/>
                <w:szCs w:val="24"/>
                <w:highlight w:val="none"/>
              </w:rPr>
              <w:t>须提供相关证明材料</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color w:val="auto"/>
                <w:spacing w:val="0"/>
                <w:sz w:val="24"/>
                <w:szCs w:val="24"/>
                <w:highlight w:val="none"/>
                <w:lang w:val="zh-CN"/>
              </w:rPr>
              <w:t>参加政府采购活动近3年内，在经营活动中没有重大违法记录，</w:t>
            </w:r>
            <w:r>
              <w:rPr>
                <w:rFonts w:hint="eastAsia" w:ascii="宋体" w:hAnsi="宋体" w:eastAsia="宋体" w:cs="宋体"/>
                <w:b w:val="0"/>
                <w:bCs/>
                <w:color w:val="auto"/>
                <w:spacing w:val="0"/>
                <w:sz w:val="24"/>
                <w:szCs w:val="24"/>
                <w:highlight w:val="none"/>
              </w:rPr>
              <w:t>须提供相关证明材料</w:t>
            </w:r>
            <w:r>
              <w:rPr>
                <w:rFonts w:hint="eastAsia" w:ascii="宋体" w:hAnsi="宋体" w:eastAsia="宋体" w:cs="宋体"/>
                <w:b w:val="0"/>
                <w:bCs/>
                <w:color w:val="auto"/>
                <w:spacing w:val="0"/>
                <w:sz w:val="24"/>
                <w:szCs w:val="24"/>
                <w:highlight w:val="none"/>
                <w:lang w:eastAsia="zh-CN"/>
              </w:rPr>
              <w:t>，</w:t>
            </w:r>
            <w:r>
              <w:rPr>
                <w:rFonts w:hint="eastAsia" w:ascii="宋体" w:hAnsi="宋体" w:eastAsia="宋体" w:cs="宋体"/>
                <w:b w:val="0"/>
                <w:bCs/>
                <w:color w:val="auto"/>
                <w:spacing w:val="0"/>
                <w:sz w:val="24"/>
                <w:szCs w:val="24"/>
                <w:highlight w:val="none"/>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pPr>
              <w:pStyle w:val="26"/>
              <w:keepNext w:val="0"/>
              <w:keepLines w:val="0"/>
              <w:pageBreakBefore w:val="0"/>
              <w:widowControl/>
              <w:tabs>
                <w:tab w:val="center" w:pos="1512"/>
              </w:tabs>
              <w:kinsoku/>
              <w:wordWrap/>
              <w:overflowPunct/>
              <w:topLinePunct w:val="0"/>
              <w:autoSpaceDE/>
              <w:autoSpaceDN/>
              <w:bidi w:val="0"/>
              <w:adjustRightInd w:val="0"/>
              <w:snapToGrid w:val="0"/>
              <w:spacing w:line="360" w:lineRule="auto"/>
              <w:ind w:firstLine="960" w:firstLineChars="4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资质要求</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b w:val="0"/>
                <w:bCs/>
                <w:color w:val="auto"/>
                <w:spacing w:val="0"/>
                <w:sz w:val="24"/>
                <w:szCs w:val="24"/>
                <w:highlight w:val="none"/>
                <w:lang w:val="zh-CN" w:bidi="ar-SA"/>
              </w:rPr>
            </w:pPr>
            <w:r>
              <w:rPr>
                <w:rFonts w:hint="eastAsia" w:ascii="宋体" w:hAnsi="宋体" w:eastAsia="宋体" w:cs="宋体"/>
                <w:b w:val="0"/>
                <w:bCs/>
                <w:color w:val="auto"/>
                <w:spacing w:val="0"/>
                <w:sz w:val="24"/>
                <w:szCs w:val="24"/>
                <w:highlight w:val="none"/>
                <w:lang w:val="zh-CN"/>
              </w:rPr>
              <w:t>①</w:t>
            </w:r>
            <w:r>
              <w:rPr>
                <w:rFonts w:hint="eastAsia" w:ascii="宋体" w:hAnsi="宋体" w:eastAsia="宋体" w:cs="宋体"/>
                <w:b w:val="0"/>
                <w:bCs/>
                <w:color w:val="auto"/>
                <w:spacing w:val="0"/>
                <w:sz w:val="24"/>
                <w:szCs w:val="24"/>
                <w:highlight w:val="none"/>
                <w:lang w:val="zh-CN" w:eastAsia="zh-CN"/>
              </w:rPr>
              <w:t>提供有效的行政主管部门颁发的医疗器械经营备案凭证（或医疗器械生产许可证或医疗器械经营许可证）；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pacing w:val="0"/>
                <w:sz w:val="24"/>
                <w:szCs w:val="24"/>
                <w:highlight w:val="none"/>
                <w:lang w:val="en-US" w:eastAsia="zh-CN"/>
              </w:rPr>
              <w:t>信用查询</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b w:val="0"/>
                <w:bCs/>
                <w:color w:val="auto"/>
                <w:spacing w:val="0"/>
                <w:sz w:val="24"/>
                <w:szCs w:val="24"/>
                <w:highlight w:val="none"/>
                <w:lang w:val="zh-CN"/>
              </w:rPr>
            </w:pPr>
            <w:r>
              <w:rPr>
                <w:rFonts w:hint="eastAsia" w:ascii="宋体" w:hAnsi="宋体" w:eastAsia="宋体" w:cs="宋体"/>
                <w:color w:val="auto"/>
                <w:highlight w:val="none"/>
              </w:rPr>
              <w:t>②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highlight w:val="none"/>
              </w:rPr>
              <w:t>中国裁判文书网无行贿犯罪记录</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近三年内在中国裁判文书网（http://wenshu.court.gov.cn/）无行贿犯罪记录；</w:t>
            </w:r>
            <w:r>
              <w:rPr>
                <w:rFonts w:hint="eastAsia" w:ascii="宋体" w:hAnsi="宋体" w:eastAsia="宋体" w:cs="宋体"/>
                <w:color w:val="auto"/>
                <w:highlight w:val="none"/>
                <w:lang w:val="en-US" w:eastAsia="zh-CN"/>
              </w:rPr>
              <w:t>需提供网站截图。</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供应商应为中小企业</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b w:val="0"/>
                <w:bCs/>
                <w:color w:val="auto"/>
                <w:spacing w:val="0"/>
                <w:sz w:val="24"/>
                <w:szCs w:val="24"/>
                <w:highlight w:val="none"/>
                <w:lang w:val="zh-CN"/>
              </w:rPr>
            </w:pPr>
            <w:r>
              <w:rPr>
                <w:rFonts w:hint="eastAsia" w:ascii="宋体" w:hAnsi="宋体" w:eastAsia="宋体" w:cs="宋体"/>
                <w:color w:val="auto"/>
                <w:spacing w:val="0"/>
                <w:sz w:val="24"/>
                <w:szCs w:val="24"/>
                <w:highlight w:val="none"/>
                <w:lang w:val="en-US" w:eastAsia="zh-CN" w:bidi="ar-SA"/>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960" w:firstLineChars="4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磋商保证金</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供应商是否按要求缴纳磋商保证金</w:t>
            </w:r>
          </w:p>
        </w:tc>
      </w:tr>
    </w:tbl>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）通过全部资格性检查条件合格的供应商才能通过资格检查，其响应文件方可进入下一个检查阶段。</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5.3.2符合性检查</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5.4违法违规行为 </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5.4.1在评审过程中，磋商小组发现供应商有下列情形之一的，作无效文件处理：</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（1）属于同一集团、协会、商会等组织成员的供应商按照该组织要求协同投标；</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（2）不同供应商的响应文件由同一单位或者个人编制；</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（3）不同供应商委托同一单位或者个人办理投标事宜；</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（4）不同供应商的响应文件载明的项目管理成员为同一人；</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（5）不同供应商的响应文件异常一致或者投标报价呈规律性差异；</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（6）不同供应商的响应文件相互混装；</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（7）不同供应商的投标保证金从同一单位或者个人的账户转出；</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（8）使用伪造、变造的行政许可证件；</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（9）提供虚假的财务状况或者业绩；</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（10）提供虚假的项目负责人或者主要技术人员简历、劳动关系证明；</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（11）提供虚假的信用状况；</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（12）其他弄虚作假的行为。</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5.5 磋商小组审查响应文件是否完整、有无计算上的错误等。</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 响应文件的修正及澄清</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（1）磋商小组对确定为实质上响应磋商文件要求的响应文件进行校核，看其是否有计算或表达上的错误，算术错误将按以下方法更正：</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5.5.3实质上没有响应磋商文件要求的响应文件将被视为无效文件。供应商不得通过修正或撤销不合要求的偏离从而使其成为实质上响应的文件。</w:t>
      </w:r>
    </w:p>
    <w:p>
      <w:pPr>
        <w:pStyle w:val="11"/>
        <w:keepNext w:val="0"/>
        <w:keepLines w:val="0"/>
        <w:pageBreakBefore w:val="0"/>
        <w:kinsoku/>
        <w:wordWrap/>
        <w:overflowPunct/>
        <w:topLinePunct w:val="0"/>
        <w:autoSpaceDE/>
        <w:autoSpaceDN/>
        <w:bidi w:val="0"/>
        <w:adjustRightInd w:val="0"/>
        <w:snapToGrid w:val="0"/>
        <w:spacing w:line="360" w:lineRule="auto"/>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5.5.5供应商的澄清文件是其响应文件</w:t>
      </w:r>
      <w:r>
        <w:rPr>
          <w:rFonts w:hint="eastAsia" w:ascii="宋体" w:hAnsi="宋体" w:eastAsia="宋体" w:cs="宋体"/>
          <w:color w:val="auto"/>
          <w:sz w:val="24"/>
          <w:szCs w:val="24"/>
          <w:highlight w:val="none"/>
        </w:rPr>
        <w:t>的组成部分。</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5.6磋商</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5.6.1磋商小组所有成员应当集中与单一供应商分别进行磋商，并给予所有参加磋商的供应商平等的磋商机会。</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5.6.3对磋商文件作出的实质性变动是磋商文件的有效组成部分，磋商小组应当及时以书面形式同时通知所有参加磋商的供应商。</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5.6.5磋商文件能够详细列明采购标的的技术、服务要求的，磋商结束后，磋商小组应当要求所有实质性响应的供应商在规定时间内提交最后报价，提交最后报价的供应商不得少于2家。</w:t>
      </w:r>
    </w:p>
    <w:p>
      <w:pPr>
        <w:pStyle w:val="5"/>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5"/>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5.6.8最后报价是供应商响应文件的有效组成部分。符合本办法第三条第四项情形的，提交最后报价的供应商可以为2家。</w:t>
      </w:r>
    </w:p>
    <w:p>
      <w:pPr>
        <w:pStyle w:val="5"/>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pPr>
        <w:pStyle w:val="5"/>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5.6.10采购结果确认</w:t>
      </w:r>
    </w:p>
    <w:p>
      <w:pPr>
        <w:pStyle w:val="5"/>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5.7.公示或公告</w:t>
      </w:r>
    </w:p>
    <w:p>
      <w:pPr>
        <w:keepNext w:val="0"/>
        <w:keepLines w:val="0"/>
        <w:pageBreakBefore w:val="0"/>
        <w:tabs>
          <w:tab w:val="left" w:pos="1875"/>
        </w:tabs>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
        <w:spacing w:line="360" w:lineRule="auto"/>
        <w:rPr>
          <w:rFonts w:asciiTheme="majorEastAsia" w:hAnsiTheme="majorEastAsia" w:eastAsiaTheme="majorEastAsia"/>
          <w:b/>
          <w:color w:val="auto"/>
          <w:sz w:val="28"/>
          <w:szCs w:val="28"/>
          <w:highlight w:val="none"/>
        </w:rPr>
      </w:pPr>
      <w:bookmarkStart w:id="43" w:name="_Toc446599315"/>
      <w:bookmarkEnd w:id="43"/>
      <w:bookmarkStart w:id="44" w:name="_Toc293736015"/>
      <w:bookmarkEnd w:id="44"/>
      <w:bookmarkStart w:id="45" w:name="_Toc293736058"/>
      <w:bookmarkEnd w:id="45"/>
      <w:bookmarkStart w:id="46" w:name="_Toc293738996"/>
      <w:bookmarkEnd w:id="46"/>
      <w:bookmarkStart w:id="47" w:name="_Toc10373"/>
      <w:bookmarkEnd w:id="47"/>
      <w:bookmarkStart w:id="48" w:name="_Toc21441"/>
      <w:bookmarkEnd w:id="48"/>
      <w:bookmarkStart w:id="49" w:name="_Toc11457"/>
      <w:r>
        <w:rPr>
          <w:rFonts w:hint="eastAsia"/>
          <w:color w:val="auto"/>
          <w:highlight w:val="none"/>
        </w:rPr>
        <w:t>六、 授予合同</w:t>
      </w:r>
      <w:bookmarkEnd w:id="49"/>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 签订合同</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6.1.1采购人应在成交通知书发出后30日内，根据成交结果和磋商文件、响应文件及有关补遗文件和确认</w:t>
      </w:r>
      <w:r>
        <w:rPr>
          <w:rFonts w:hint="eastAsia" w:ascii="宋体" w:hAnsi="宋体" w:cs="宋体"/>
          <w:color w:val="auto"/>
          <w:kern w:val="2"/>
          <w:sz w:val="24"/>
          <w:szCs w:val="24"/>
          <w:highlight w:val="none"/>
          <w:lang w:val="en-US" w:eastAsia="zh-CN" w:bidi="ar-SA"/>
        </w:rPr>
        <w:t>磋商</w:t>
      </w:r>
      <w:r>
        <w:rPr>
          <w:rFonts w:hint="eastAsia" w:ascii="宋体" w:hAnsi="宋体" w:eastAsia="宋体" w:cs="宋体"/>
          <w:color w:val="auto"/>
          <w:kern w:val="2"/>
          <w:sz w:val="24"/>
          <w:szCs w:val="24"/>
          <w:highlight w:val="none"/>
          <w:lang w:val="en-US" w:eastAsia="zh-CN" w:bidi="ar-SA"/>
        </w:rPr>
        <w:t>备忘录拟定的合同文本与成采购人签订合同。</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6.1.3采购人应在《中标通知书》发出之日起30天内与中标人签订政府采购合同。签订政府采购合同后7个工作日内，采购人应将政府采购合同副本报政府采购监管部门和政府采购代理机构备案。</w:t>
      </w:r>
    </w:p>
    <w:p>
      <w:pPr>
        <w:pStyle w:val="4"/>
        <w:spacing w:line="360" w:lineRule="auto"/>
        <w:rPr>
          <w:rFonts w:hint="eastAsia" w:cs="Times New Roman"/>
          <w:color w:val="auto"/>
          <w:highlight w:val="none"/>
        </w:rPr>
      </w:pPr>
      <w:bookmarkStart w:id="50" w:name="_Toc293736016"/>
      <w:bookmarkEnd w:id="50"/>
      <w:bookmarkStart w:id="51" w:name="_Toc3715"/>
      <w:bookmarkEnd w:id="51"/>
      <w:bookmarkStart w:id="52" w:name="_Toc293736059"/>
      <w:bookmarkEnd w:id="52"/>
      <w:bookmarkStart w:id="53" w:name="_Toc14775"/>
      <w:bookmarkEnd w:id="53"/>
      <w:bookmarkStart w:id="54" w:name="_Toc446599316"/>
      <w:bookmarkEnd w:id="54"/>
      <w:bookmarkStart w:id="55" w:name="_Toc293738997"/>
      <w:bookmarkEnd w:id="55"/>
      <w:bookmarkStart w:id="56" w:name="_Toc23528"/>
      <w:r>
        <w:rPr>
          <w:rFonts w:hint="eastAsia" w:cs="Times New Roman"/>
          <w:color w:val="auto"/>
          <w:highlight w:val="none"/>
        </w:rPr>
        <w:t>七、质疑和投诉</w:t>
      </w:r>
      <w:bookmarkEnd w:id="56"/>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bookmarkStart w:id="57" w:name="_Toc446599317"/>
      <w:bookmarkStart w:id="58" w:name="_Toc294515577"/>
      <w:bookmarkStart w:id="59" w:name="_Toc293736060"/>
      <w:bookmarkStart w:id="60" w:name="_Toc293738998"/>
      <w:bookmarkStart w:id="61" w:name="_Toc293736017"/>
      <w:r>
        <w:rPr>
          <w:rFonts w:hint="eastAsia" w:ascii="宋体" w:hAnsi="宋体" w:eastAsia="宋体" w:cs="宋体"/>
          <w:b/>
          <w:color w:val="auto"/>
          <w:sz w:val="24"/>
          <w:szCs w:val="24"/>
          <w:highlight w:val="none"/>
          <w:lang w:val="en-US" w:eastAsia="zh-CN"/>
        </w:rPr>
        <w:t>7.1质疑</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7.1.1供应商提出质疑应当符合以下条件：</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如果供应商对此次采购活动有疑问，可依据《政府采购法》等相关规定，在规定的时间内以书面形式向采购人或代理机构提出质疑。质疑书应当包括下列主要内容：</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（1）质疑人的名称、地址、电话等；</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（2）质疑人法人签章和单位公章；</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（3）具体的质疑事项及事实依据；</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（4）明确的请求和必要（合法来源）的证明材料；</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（5）以联合体形式参与资格预审的，则必须联合体各方共同签署、盖章；</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（6）提起质疑的日期。</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特注：未按上述程序规定的必备内容进行质疑的，采购人或代理机构将不予以受理。</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7.1.3质疑人可以委托代理人办理质疑事项，代理人办理质疑事项时，除提交质疑书外，还应当提交质疑人的授权委托书及代理人的有效身份证明，授权委托书应当载明委托代理的具体权限和事项。</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7.1.4被质疑人应当在受理质疑后7个工作日内作出答复，并以书面形式通知质疑人和其他有关供应商，答复内容仅限于供应商所质疑的内容，不得涉及国家秘密和商业秘密。</w:t>
      </w:r>
    </w:p>
    <w:p>
      <w:pPr>
        <w:pageBreakBefore w:val="0"/>
        <w:widowControl/>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bookmarkStart w:id="62" w:name="_Toc456336161"/>
      <w:bookmarkEnd w:id="62"/>
      <w:bookmarkStart w:id="63" w:name="_Toc450546725"/>
      <w:bookmarkEnd w:id="63"/>
      <w:bookmarkStart w:id="64" w:name="_Toc9365"/>
      <w:bookmarkEnd w:id="64"/>
      <w:bookmarkStart w:id="65" w:name="_Toc483174929"/>
      <w:bookmarkEnd w:id="65"/>
      <w:r>
        <w:rPr>
          <w:rFonts w:hint="eastAsia" w:ascii="宋体" w:hAnsi="宋体" w:eastAsia="宋体" w:cs="宋体"/>
          <w:b/>
          <w:color w:val="auto"/>
          <w:sz w:val="24"/>
          <w:szCs w:val="24"/>
          <w:highlight w:val="none"/>
          <w:lang w:val="en-US" w:eastAsia="zh-CN"/>
        </w:rPr>
        <w:t>7.2投诉</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7.2.2投诉人提起投诉应符合以下条件：</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(1)投诉人应是参与项目的供应商；</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(2)投诉前已依法进行质疑；</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(3)投诉书内容符合中华人民共和国财政部94号令《政府采购质疑和投诉办法》的规定；</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(4)在投诉有效期内；</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(5)同一投诉事项未经处理的；</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GB" w:eastAsia="zh-CN" w:bidi="ar-SA"/>
        </w:rPr>
        <w:t>(6)</w:t>
      </w:r>
      <w:r>
        <w:rPr>
          <w:rFonts w:hint="eastAsia" w:ascii="宋体" w:hAnsi="宋体" w:eastAsia="宋体" w:cs="宋体"/>
          <w:color w:val="auto"/>
          <w:kern w:val="2"/>
          <w:sz w:val="24"/>
          <w:szCs w:val="24"/>
          <w:highlight w:val="none"/>
          <w:lang w:val="en-US" w:eastAsia="zh-CN" w:bidi="ar-SA"/>
        </w:rPr>
        <w:t>相关法律、法规和省级以上人民政府财政部门规定的其他条件。</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7.2.3供应商投诉时，应当当面提交投诉书，投诉书应当包括下列主要内容：</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(1)投诉人的姓名或者名称、住所、联系方式及相关证明；</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(2)被投诉人的名称、住所、联系方式；</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(3)具体的投诉事项、事实根据和法律依据；</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(4)质疑和质疑答复情况及相关证明材料；</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(5)提起投诉的日期。</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投诉人为自然人的，应当由本人签字。投诉人为法人的，应当由其法定代表人签字并加盖单位公章。投诉人为其他组织的，应当由其主要负责人签字盖章并加盖单位公章。</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7.2.4投诉人可以授权代理人办理投诉事务。代理人办理投诉事务时，除提交投诉书外，还应当向监督部门提交投诉人的授权委托书，授权委托书应当载明委托代理的具体权限和事项。</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7.2.5投诉人不符合上述规定提起的投诉，政府采购监督部门不予受理。</w:t>
      </w:r>
    </w:p>
    <w:bookmarkEnd w:id="57"/>
    <w:bookmarkEnd w:id="58"/>
    <w:bookmarkEnd w:id="59"/>
    <w:bookmarkEnd w:id="60"/>
    <w:bookmarkEnd w:id="61"/>
    <w:p>
      <w:pPr>
        <w:pStyle w:val="4"/>
        <w:rPr>
          <w:color w:val="auto"/>
          <w:kern w:val="0"/>
          <w:highlight w:val="none"/>
        </w:rPr>
      </w:pPr>
      <w:bookmarkStart w:id="66" w:name="_Toc8018"/>
      <w:bookmarkEnd w:id="66"/>
      <w:bookmarkStart w:id="67" w:name="_Toc3182"/>
      <w:bookmarkEnd w:id="67"/>
      <w:bookmarkStart w:id="68" w:name="_Toc6558"/>
      <w:r>
        <w:rPr>
          <w:rFonts w:hint="eastAsia"/>
          <w:color w:val="auto"/>
          <w:highlight w:val="none"/>
        </w:rPr>
        <w:t>八、项目验收</w:t>
      </w:r>
      <w:bookmarkEnd w:id="68"/>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8.1采购单位按照政府采购合同规定的技术、服务、安全标准对供应商履约情况进行验收，并出具验收书。验收书包括每一项技术、服务、安全标准的履约情况。</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8.2验收标准:磋商文件、响应文件、政府采购合同规定的标准。</w:t>
      </w:r>
    </w:p>
    <w:p>
      <w:pPr>
        <w:pStyle w:val="4"/>
        <w:rPr>
          <w:color w:val="auto"/>
          <w:highlight w:val="none"/>
        </w:rPr>
      </w:pPr>
      <w:bookmarkStart w:id="69" w:name="_Toc293736018"/>
      <w:bookmarkEnd w:id="69"/>
      <w:bookmarkStart w:id="70" w:name="_Toc293736061"/>
      <w:bookmarkEnd w:id="70"/>
      <w:bookmarkStart w:id="71" w:name="_Toc293738999"/>
      <w:bookmarkEnd w:id="71"/>
      <w:bookmarkStart w:id="72" w:name="_Toc28499"/>
      <w:bookmarkEnd w:id="72"/>
      <w:bookmarkStart w:id="73" w:name="_Toc6671"/>
      <w:bookmarkEnd w:id="73"/>
      <w:bookmarkStart w:id="74" w:name="_Toc446599318"/>
      <w:bookmarkEnd w:id="74"/>
      <w:bookmarkStart w:id="75" w:name="_Toc22001"/>
      <w:r>
        <w:rPr>
          <w:rFonts w:hint="eastAsia"/>
          <w:color w:val="auto"/>
          <w:highlight w:val="none"/>
        </w:rPr>
        <w:t>九、适用法律</w:t>
      </w:r>
      <w:bookmarkEnd w:id="75"/>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9.1招标采购单位和供应商的一切招标投标活动均适用于《政府采购法》、《政府采购实施条例》、《政府采购竞争性磋商采购方式管理办法》等相关规定。</w:t>
      </w:r>
    </w:p>
    <w:p>
      <w:pPr>
        <w:pStyle w:val="4"/>
        <w:rPr>
          <w:color w:val="auto"/>
          <w:highlight w:val="none"/>
        </w:rPr>
      </w:pPr>
      <w:bookmarkStart w:id="76" w:name="_Toc446599319"/>
      <w:bookmarkEnd w:id="76"/>
      <w:bookmarkStart w:id="77" w:name="_Toc272247702"/>
      <w:bookmarkEnd w:id="77"/>
      <w:bookmarkStart w:id="78" w:name="_Toc26356"/>
      <w:bookmarkEnd w:id="78"/>
      <w:bookmarkStart w:id="79" w:name="_Toc278891599"/>
      <w:bookmarkEnd w:id="79"/>
      <w:bookmarkStart w:id="80" w:name="_Toc437611460"/>
      <w:bookmarkEnd w:id="80"/>
      <w:bookmarkStart w:id="81" w:name="_Toc21968"/>
      <w:bookmarkEnd w:id="81"/>
      <w:bookmarkStart w:id="82" w:name="_Toc31688"/>
      <w:r>
        <w:rPr>
          <w:rFonts w:hint="eastAsia"/>
          <w:color w:val="auto"/>
          <w:highlight w:val="none"/>
        </w:rPr>
        <w:t>十、磋商文件的解释权</w:t>
      </w:r>
      <w:bookmarkEnd w:id="82"/>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10.1本项目磋商文件的最终解释权为采购单位所有。</w:t>
      </w:r>
    </w:p>
    <w:p>
      <w:pPr>
        <w:pStyle w:val="4"/>
        <w:rPr>
          <w:color w:val="auto"/>
          <w:highlight w:val="none"/>
        </w:rPr>
      </w:pPr>
      <w:bookmarkStart w:id="83" w:name="_Toc446599320"/>
      <w:bookmarkEnd w:id="83"/>
      <w:bookmarkStart w:id="84" w:name="_Toc21207"/>
      <w:bookmarkEnd w:id="84"/>
      <w:bookmarkStart w:id="85" w:name="_Toc437611461"/>
      <w:bookmarkEnd w:id="85"/>
      <w:bookmarkStart w:id="86" w:name="_Toc15447"/>
      <w:bookmarkEnd w:id="86"/>
      <w:bookmarkStart w:id="87" w:name="_Toc2113"/>
      <w:r>
        <w:rPr>
          <w:rFonts w:hint="eastAsia"/>
          <w:color w:val="auto"/>
          <w:highlight w:val="none"/>
        </w:rPr>
        <w:t>十一、其他注意事项</w:t>
      </w:r>
      <w:bookmarkEnd w:id="87"/>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11.1单位负责人为同一人或者存在直接控股、管理关系的不同供应商，不得参加同一合同项下的政府采购活动。</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11.2供应商为采购项目提供整体设计、规范编制或者项目管理、监理、检测等服务的供应商，不得再参加该采购项目的其他采购活动。</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11.3政府采购法第二十二条第一款第五项所称重大违法记录，是指供应商因违法经营受到刑事处罚或者责令停产停业、吊销许可证或者执照、较大数额罚款等行政处罚。</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11.4按照财政部《关于规范政府采购行政处罚有关问题的通知》的规定，各级人民政府财政部门依法对参加政府采购活动的供应商作出的禁止参加政府采购活动等行政处罚决定在全国范围内生效。</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11.5供应商在参加政府采购活动前3年内因违法经营被禁止在一定期限内参加政府采购活动，期限届满的，可以参加政府采购活动。</w:t>
      </w:r>
    </w:p>
    <w:p>
      <w:pPr>
        <w:tabs>
          <w:tab w:val="left" w:pos="1875"/>
        </w:tabs>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sectPr>
          <w:pgSz w:w="11906" w:h="16838"/>
          <w:pgMar w:top="1440" w:right="1797" w:bottom="1440" w:left="1797" w:header="851" w:footer="992" w:gutter="0"/>
          <w:pgNumType w:fmt="decimal"/>
          <w:cols w:space="425" w:num="1"/>
          <w:docGrid w:linePitch="312" w:charSpace="0"/>
        </w:sectPr>
      </w:pPr>
    </w:p>
    <w:p>
      <w:pPr>
        <w:pStyle w:val="3"/>
        <w:numPr>
          <w:ilvl w:val="0"/>
          <w:numId w:val="4"/>
        </w:numPr>
        <w:spacing w:line="360" w:lineRule="auto"/>
        <w:rPr>
          <w:rFonts w:hint="eastAsia"/>
          <w:color w:val="auto"/>
          <w:highlight w:val="none"/>
          <w:lang w:eastAsia="zh-CN"/>
        </w:rPr>
      </w:pPr>
      <w:r>
        <w:rPr>
          <w:rFonts w:hint="eastAsia"/>
          <w:color w:val="auto"/>
          <w:highlight w:val="none"/>
        </w:rPr>
        <w:t xml:space="preserve"> </w:t>
      </w:r>
      <w:bookmarkStart w:id="88" w:name="_Toc32140"/>
      <w:r>
        <w:rPr>
          <w:rFonts w:hint="eastAsia"/>
          <w:color w:val="auto"/>
          <w:highlight w:val="none"/>
        </w:rPr>
        <w:t>采购项目技术规格、参数及要求</w:t>
      </w:r>
      <w:bookmarkEnd w:id="88"/>
    </w:p>
    <w:p>
      <w:pPr>
        <w:spacing w:before="156" w:beforeLines="50" w:after="156" w:afterLines="50"/>
        <w:rPr>
          <w:rFonts w:cs="Times New Roman" w:asciiTheme="minorEastAsia" w:hAnsiTheme="minorEastAsia" w:eastAsiaTheme="minorEastAsia"/>
          <w:b/>
          <w:color w:val="auto"/>
          <w:sz w:val="28"/>
          <w:szCs w:val="24"/>
          <w:highlight w:val="none"/>
          <w:lang w:val="en-US" w:eastAsia="zh-CN"/>
        </w:rPr>
      </w:pPr>
      <w:r>
        <w:rPr>
          <w:rFonts w:hint="eastAsia" w:cs="Times New Roman" w:asciiTheme="minorEastAsia" w:hAnsiTheme="minorEastAsia" w:eastAsiaTheme="minorEastAsia"/>
          <w:b/>
          <w:color w:val="auto"/>
          <w:sz w:val="28"/>
          <w:szCs w:val="24"/>
          <w:highlight w:val="none"/>
          <w:lang w:val="en-US" w:eastAsia="zh-CN"/>
        </w:rPr>
        <w:t>一、</w:t>
      </w:r>
      <w:r>
        <w:rPr>
          <w:rFonts w:cs="Times New Roman" w:asciiTheme="minorEastAsia" w:hAnsiTheme="minorEastAsia" w:eastAsiaTheme="minorEastAsia"/>
          <w:b/>
          <w:color w:val="auto"/>
          <w:sz w:val="28"/>
          <w:szCs w:val="24"/>
          <w:highlight w:val="none"/>
          <w:lang w:val="en-US" w:eastAsia="zh-CN"/>
        </w:rPr>
        <w:t>采购清单</w:t>
      </w:r>
    </w:p>
    <w:tbl>
      <w:tblPr>
        <w:tblStyle w:val="17"/>
        <w:tblW w:w="5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146"/>
        <w:gridCol w:w="1055"/>
        <w:gridCol w:w="551"/>
        <w:gridCol w:w="1239"/>
        <w:gridCol w:w="1200"/>
        <w:gridCol w:w="1335"/>
        <w:gridCol w:w="2660"/>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92" w:type="pct"/>
            <w:shd w:val="clear" w:color="auto" w:fill="auto"/>
            <w:noWrap/>
            <w:vAlign w:val="center"/>
          </w:tcPr>
          <w:p>
            <w:pPr>
              <w:widowControl/>
              <w:spacing w:before="156" w:beforeLines="50" w:after="156" w:afterLines="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序号</w:t>
            </w:r>
          </w:p>
        </w:tc>
        <w:tc>
          <w:tcPr>
            <w:tcW w:w="542" w:type="pct"/>
            <w:shd w:val="clear" w:color="auto" w:fill="auto"/>
            <w:vAlign w:val="center"/>
          </w:tcPr>
          <w:p>
            <w:pPr>
              <w:widowControl/>
              <w:spacing w:before="156" w:beforeLines="50" w:after="156" w:afterLines="50"/>
              <w:jc w:val="center"/>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项目名称</w:t>
            </w:r>
          </w:p>
        </w:tc>
        <w:tc>
          <w:tcPr>
            <w:tcW w:w="499" w:type="pct"/>
            <w:shd w:val="clear" w:color="auto" w:fill="auto"/>
            <w:vAlign w:val="center"/>
          </w:tcPr>
          <w:p>
            <w:pPr>
              <w:pStyle w:val="11"/>
              <w:spacing w:line="440" w:lineRule="exact"/>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采购内容</w:t>
            </w:r>
          </w:p>
        </w:tc>
        <w:tc>
          <w:tcPr>
            <w:tcW w:w="261" w:type="pct"/>
            <w:shd w:val="clear" w:color="auto" w:fill="auto"/>
            <w:vAlign w:val="center"/>
          </w:tcPr>
          <w:p>
            <w:pPr>
              <w:widowControl/>
              <w:spacing w:before="156" w:beforeLines="50" w:after="156" w:afterLines="50"/>
              <w:jc w:val="center"/>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数量</w:t>
            </w:r>
          </w:p>
        </w:tc>
        <w:tc>
          <w:tcPr>
            <w:tcW w:w="586" w:type="pct"/>
            <w:shd w:val="clear" w:color="auto" w:fill="auto"/>
            <w:vAlign w:val="center"/>
          </w:tcPr>
          <w:p>
            <w:pPr>
              <w:pStyle w:val="11"/>
              <w:spacing w:line="440" w:lineRule="exact"/>
              <w:jc w:val="center"/>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项目预算金额（元）</w:t>
            </w:r>
          </w:p>
        </w:tc>
        <w:tc>
          <w:tcPr>
            <w:tcW w:w="568" w:type="pct"/>
            <w:shd w:val="clear" w:color="auto" w:fill="auto"/>
            <w:vAlign w:val="center"/>
          </w:tcPr>
          <w:p>
            <w:pPr>
              <w:pStyle w:val="11"/>
              <w:spacing w:line="440" w:lineRule="exact"/>
              <w:jc w:val="center"/>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项目最高限价金额（元）</w:t>
            </w:r>
          </w:p>
        </w:tc>
        <w:tc>
          <w:tcPr>
            <w:tcW w:w="632" w:type="pct"/>
            <w:shd w:val="clear" w:color="auto" w:fill="auto"/>
            <w:vAlign w:val="center"/>
          </w:tcPr>
          <w:p>
            <w:pPr>
              <w:pStyle w:val="11"/>
              <w:spacing w:line="440" w:lineRule="exact"/>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rPr>
              <w:t>年度采购</w:t>
            </w:r>
            <w:r>
              <w:rPr>
                <w:rFonts w:hint="eastAsia" w:hAnsi="宋体" w:cs="宋体"/>
                <w:color w:val="auto"/>
                <w:sz w:val="24"/>
                <w:szCs w:val="24"/>
                <w:highlight w:val="none"/>
                <w:lang w:val="en-US" w:eastAsia="zh-CN"/>
              </w:rPr>
              <w:t>最高限价</w:t>
            </w:r>
          </w:p>
          <w:p>
            <w:pPr>
              <w:pStyle w:val="11"/>
              <w:spacing w:line="440" w:lineRule="exact"/>
              <w:jc w:val="center"/>
              <w:rPr>
                <w:rFonts w:hint="eastAsia" w:hAnsi="宋体" w:cs="宋体"/>
                <w:color w:val="auto"/>
                <w:sz w:val="24"/>
                <w:szCs w:val="24"/>
                <w:highlight w:val="none"/>
              </w:rPr>
            </w:pPr>
            <w:r>
              <w:rPr>
                <w:rFonts w:hint="eastAsia" w:hAnsi="宋体" w:cs="宋体"/>
                <w:color w:val="auto"/>
                <w:sz w:val="24"/>
                <w:szCs w:val="24"/>
                <w:highlight w:val="none"/>
              </w:rPr>
              <w:t>（元）</w:t>
            </w:r>
          </w:p>
        </w:tc>
        <w:tc>
          <w:tcPr>
            <w:tcW w:w="1260" w:type="pct"/>
            <w:shd w:val="clear" w:color="auto" w:fill="auto"/>
            <w:vAlign w:val="center"/>
          </w:tcPr>
          <w:p>
            <w:pPr>
              <w:pStyle w:val="11"/>
              <w:spacing w:line="440" w:lineRule="exact"/>
              <w:jc w:val="center"/>
              <w:rPr>
                <w:rFonts w:hint="eastAsia" w:hAnsi="宋体" w:cs="宋体"/>
                <w:color w:val="auto"/>
                <w:sz w:val="24"/>
                <w:szCs w:val="24"/>
                <w:highlight w:val="none"/>
              </w:rPr>
            </w:pPr>
            <w:r>
              <w:rPr>
                <w:rFonts w:hint="eastAsia" w:hAnsi="宋体" w:cs="宋体"/>
                <w:color w:val="auto"/>
                <w:sz w:val="24"/>
                <w:szCs w:val="24"/>
                <w:highlight w:val="none"/>
              </w:rPr>
              <w:t>项目基本情况</w:t>
            </w:r>
          </w:p>
        </w:tc>
        <w:tc>
          <w:tcPr>
            <w:tcW w:w="455" w:type="pct"/>
            <w:shd w:val="clear" w:color="auto" w:fill="auto"/>
            <w:vAlign w:val="center"/>
          </w:tcPr>
          <w:p>
            <w:pPr>
              <w:pStyle w:val="11"/>
              <w:spacing w:line="440" w:lineRule="exact"/>
              <w:jc w:val="center"/>
              <w:rPr>
                <w:rFonts w:hint="eastAsia" w:hAnsi="宋体" w:cs="宋体"/>
                <w:color w:val="auto"/>
                <w:sz w:val="24"/>
                <w:szCs w:val="24"/>
                <w:highlight w:val="none"/>
              </w:rPr>
            </w:pPr>
            <w:r>
              <w:rPr>
                <w:rFonts w:hint="eastAsia" w:hAnsi="宋体" w:cs="宋体"/>
                <w:color w:val="auto"/>
                <w:sz w:val="24"/>
                <w:szCs w:val="24"/>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19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w:t>
            </w:r>
          </w:p>
        </w:tc>
        <w:tc>
          <w:tcPr>
            <w:tcW w:w="542"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乌鲁木齐市米东区中医医院设备维保采购项目</w:t>
            </w:r>
          </w:p>
        </w:tc>
        <w:tc>
          <w:tcPr>
            <w:tcW w:w="499" w:type="pct"/>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88" w:lineRule="auto"/>
              <w:jc w:val="center"/>
              <w:textAlignment w:val="auto"/>
              <w:rPr>
                <w:rFonts w:hAnsi="宋体" w:cs="Times New Roman"/>
                <w:color w:val="auto"/>
                <w:sz w:val="24"/>
                <w:szCs w:val="24"/>
                <w:highlight w:val="none"/>
              </w:rPr>
            </w:pPr>
            <w:r>
              <w:rPr>
                <w:rFonts w:hAnsi="宋体" w:cs="Times New Roman"/>
                <w:color w:val="auto"/>
                <w:sz w:val="24"/>
                <w:szCs w:val="24"/>
                <w:highlight w:val="none"/>
              </w:rPr>
              <w:t>SIEMENS  A</w:t>
            </w:r>
            <w:r>
              <w:rPr>
                <w:rFonts w:hint="eastAsia" w:hAnsi="宋体" w:cs="Times New Roman"/>
                <w:color w:val="auto"/>
                <w:sz w:val="24"/>
                <w:szCs w:val="24"/>
                <w:highlight w:val="none"/>
                <w:lang w:val="en-US" w:eastAsia="zh-CN"/>
              </w:rPr>
              <w:t>ltea</w:t>
            </w:r>
            <w:r>
              <w:rPr>
                <w:rFonts w:hAnsi="宋体" w:cs="Times New Roman"/>
                <w:color w:val="auto"/>
                <w:sz w:val="24"/>
                <w:szCs w:val="24"/>
                <w:highlight w:val="none"/>
              </w:rPr>
              <w:t xml:space="preserve"> 1.5T设备壹套</w:t>
            </w:r>
          </w:p>
          <w:p>
            <w:pPr>
              <w:pStyle w:val="11"/>
              <w:keepNext w:val="0"/>
              <w:keepLines w:val="0"/>
              <w:pageBreakBefore w:val="0"/>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kern w:val="0"/>
                <w:sz w:val="24"/>
                <w:szCs w:val="24"/>
                <w:highlight w:val="none"/>
              </w:rPr>
            </w:pPr>
            <w:r>
              <w:rPr>
                <w:rFonts w:hint="eastAsia" w:hAnsi="宋体" w:cs="Times New Roman"/>
                <w:color w:val="auto"/>
                <w:sz w:val="24"/>
                <w:szCs w:val="24"/>
                <w:highlight w:val="none"/>
              </w:rPr>
              <w:t>核磁共振</w:t>
            </w:r>
          </w:p>
        </w:tc>
        <w:tc>
          <w:tcPr>
            <w:tcW w:w="26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hAnsi="宋体" w:cs="宋体"/>
                <w:color w:val="auto"/>
                <w:sz w:val="24"/>
                <w:szCs w:val="24"/>
                <w:highlight w:val="none"/>
              </w:rPr>
              <w:t>台</w:t>
            </w:r>
          </w:p>
        </w:tc>
        <w:tc>
          <w:tcPr>
            <w:tcW w:w="586" w:type="pct"/>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880000.00元</w:t>
            </w:r>
          </w:p>
        </w:tc>
        <w:tc>
          <w:tcPr>
            <w:tcW w:w="568" w:type="pct"/>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870000.00元</w:t>
            </w:r>
          </w:p>
        </w:tc>
        <w:tc>
          <w:tcPr>
            <w:tcW w:w="632" w:type="pct"/>
            <w:shd w:val="clear" w:color="auto" w:fill="auto"/>
            <w:vAlign w:val="center"/>
          </w:tcPr>
          <w:p>
            <w:pPr>
              <w:pStyle w:val="11"/>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b w:val="0"/>
                <w:color w:val="auto"/>
                <w:sz w:val="24"/>
                <w:szCs w:val="24"/>
                <w:highlight w:val="none"/>
              </w:rPr>
            </w:pPr>
            <w:r>
              <w:rPr>
                <w:rFonts w:hint="eastAsia" w:hAnsi="宋体" w:cs="宋体"/>
                <w:color w:val="auto"/>
                <w:sz w:val="24"/>
                <w:szCs w:val="24"/>
                <w:highlight w:val="none"/>
                <w:lang w:val="en-US" w:eastAsia="zh-CN"/>
              </w:rPr>
              <w:t>290000.00</w:t>
            </w:r>
            <w:r>
              <w:rPr>
                <w:rFonts w:hint="eastAsia" w:hAnsi="宋体" w:cs="宋体"/>
                <w:color w:val="auto"/>
                <w:sz w:val="24"/>
                <w:szCs w:val="24"/>
                <w:highlight w:val="none"/>
              </w:rPr>
              <w:t>元/年</w:t>
            </w:r>
          </w:p>
        </w:tc>
        <w:tc>
          <w:tcPr>
            <w:tcW w:w="126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cs="宋体"/>
                <w:b w:val="0"/>
                <w:color w:val="auto"/>
                <w:sz w:val="24"/>
                <w:szCs w:val="24"/>
                <w:highlight w:val="none"/>
              </w:rPr>
            </w:pPr>
            <w:r>
              <w:rPr>
                <w:rFonts w:hint="eastAsia"/>
                <w:b w:val="0"/>
                <w:color w:val="auto"/>
                <w:sz w:val="24"/>
                <w:szCs w:val="24"/>
                <w:highlight w:val="none"/>
              </w:rPr>
              <w:t>对</w:t>
            </w:r>
            <w:r>
              <w:rPr>
                <w:b w:val="0"/>
                <w:color w:val="auto"/>
                <w:sz w:val="24"/>
                <w:szCs w:val="24"/>
                <w:highlight w:val="none"/>
              </w:rPr>
              <w:t xml:space="preserve">SIEMENS </w:t>
            </w:r>
            <w:r>
              <w:rPr>
                <w:rFonts w:hint="eastAsia"/>
                <w:b w:val="0"/>
                <w:color w:val="auto"/>
                <w:sz w:val="24"/>
                <w:szCs w:val="24"/>
                <w:highlight w:val="none"/>
                <w:lang w:eastAsia="zh-CN"/>
              </w:rPr>
              <w:t>Altea</w:t>
            </w:r>
            <w:r>
              <w:rPr>
                <w:b w:val="0"/>
                <w:color w:val="auto"/>
                <w:sz w:val="24"/>
                <w:szCs w:val="24"/>
                <w:highlight w:val="none"/>
              </w:rPr>
              <w:t>1.5T设备壹套。制冷系统全保(包含冷头、吸附器、高低压氦气管、氦压缩机、可移动线圈的维护、室内外水冷机组、空调的人工服务费、备件费用及电子系统人工技术服务费）</w:t>
            </w:r>
          </w:p>
        </w:tc>
        <w:tc>
          <w:tcPr>
            <w:tcW w:w="45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cs="宋体"/>
                <w:b w:val="0"/>
                <w:color w:val="auto"/>
                <w:sz w:val="24"/>
                <w:szCs w:val="24"/>
                <w:highlight w:val="none"/>
              </w:rPr>
            </w:pPr>
            <w:r>
              <w:rPr>
                <w:rFonts w:hint="eastAsia" w:cs="宋体"/>
                <w:b w:val="0"/>
                <w:color w:val="auto"/>
                <w:sz w:val="24"/>
                <w:szCs w:val="24"/>
                <w:highlight w:val="none"/>
              </w:rPr>
              <w:t>3年</w:t>
            </w:r>
          </w:p>
        </w:tc>
      </w:tr>
    </w:tbl>
    <w:p>
      <w:pPr>
        <w:pStyle w:val="28"/>
        <w:pageBreakBefore w:val="0"/>
        <w:numPr>
          <w:ilvl w:val="0"/>
          <w:numId w:val="0"/>
        </w:numPr>
        <w:kinsoku/>
        <w:wordWrap/>
        <w:overflowPunct/>
        <w:topLinePunct w:val="0"/>
        <w:autoSpaceDE/>
        <w:autoSpaceDN/>
        <w:bidi w:val="0"/>
        <w:adjustRightInd/>
        <w:snapToGrid/>
        <w:spacing w:before="156" w:beforeLines="50" w:after="156" w:afterLines="50"/>
        <w:outlineLvl w:val="9"/>
        <w:rPr>
          <w:rFonts w:hint="eastAsia" w:cs="仿宋" w:asciiTheme="minorEastAsia" w:hAnsiTheme="minorEastAsia" w:eastAsiaTheme="minorEastAsia"/>
          <w:b/>
          <w:bCs/>
          <w:color w:val="auto"/>
          <w:sz w:val="28"/>
          <w:highlight w:val="none"/>
          <w:lang w:val="en-US" w:eastAsia="zh-CN"/>
        </w:rPr>
      </w:pPr>
    </w:p>
    <w:p>
      <w:pPr>
        <w:pStyle w:val="28"/>
        <w:pageBreakBefore w:val="0"/>
        <w:numPr>
          <w:ilvl w:val="0"/>
          <w:numId w:val="0"/>
        </w:numPr>
        <w:kinsoku/>
        <w:wordWrap/>
        <w:overflowPunct/>
        <w:topLinePunct w:val="0"/>
        <w:autoSpaceDE/>
        <w:autoSpaceDN/>
        <w:bidi w:val="0"/>
        <w:adjustRightInd/>
        <w:snapToGrid/>
        <w:spacing w:before="156" w:beforeLines="50" w:after="156" w:afterLines="50"/>
        <w:outlineLvl w:val="9"/>
        <w:rPr>
          <w:rFonts w:cs="仿宋" w:asciiTheme="minorEastAsia" w:hAnsiTheme="minorEastAsia" w:eastAsiaTheme="minorEastAsia"/>
          <w:b/>
          <w:bCs/>
          <w:color w:val="auto"/>
          <w:sz w:val="28"/>
          <w:highlight w:val="none"/>
        </w:rPr>
      </w:pPr>
      <w:r>
        <w:rPr>
          <w:rFonts w:hint="eastAsia" w:cs="仿宋" w:asciiTheme="minorEastAsia" w:hAnsiTheme="minorEastAsia" w:eastAsiaTheme="minorEastAsia"/>
          <w:b/>
          <w:bCs/>
          <w:color w:val="auto"/>
          <w:sz w:val="28"/>
          <w:highlight w:val="none"/>
          <w:lang w:val="en-US" w:eastAsia="zh-CN"/>
        </w:rPr>
        <w:t>二、</w:t>
      </w:r>
      <w:r>
        <w:rPr>
          <w:rFonts w:hint="eastAsia" w:cs="仿宋" w:asciiTheme="minorEastAsia" w:hAnsiTheme="minorEastAsia" w:eastAsiaTheme="minorEastAsia"/>
          <w:b/>
          <w:bCs/>
          <w:color w:val="auto"/>
          <w:sz w:val="28"/>
          <w:highlight w:val="none"/>
        </w:rPr>
        <w:t>采购服务相关技术要求</w:t>
      </w:r>
    </w:p>
    <w:p>
      <w:pPr>
        <w:keepNext w:val="0"/>
        <w:keepLines w:val="0"/>
        <w:pageBreakBefore w:val="0"/>
        <w:widowControl w:val="0"/>
        <w:kinsoku/>
        <w:wordWrap/>
        <w:overflowPunct/>
        <w:topLinePunct w:val="0"/>
        <w:autoSpaceDE/>
        <w:autoSpaceDN/>
        <w:bidi w:val="0"/>
        <w:adjustRightInd/>
        <w:snapToGrid/>
        <w:spacing w:line="400" w:lineRule="exact"/>
        <w:jc w:val="left"/>
        <w:rPr>
          <w:rFonts w:hint="eastAsia" w:cs="宋体" w:asciiTheme="minorEastAsia" w:hAnsiTheme="minorEastAsia" w:eastAsiaTheme="minorEastAsia"/>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1.项目名称：</w:t>
      </w:r>
      <w:r>
        <w:rPr>
          <w:rFonts w:hint="eastAsia" w:cs="宋体" w:asciiTheme="minorEastAsia" w:hAnsiTheme="minorEastAsia" w:eastAsiaTheme="minorEastAsia"/>
          <w:color w:val="auto"/>
          <w:kern w:val="0"/>
          <w:sz w:val="24"/>
          <w:szCs w:val="24"/>
          <w:highlight w:val="none"/>
          <w:lang w:val="en-US" w:eastAsia="zh-CN"/>
        </w:rPr>
        <w:t>乌鲁木齐市米东区中医医院设备维保采购项目</w:t>
      </w:r>
    </w:p>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2.实施地点：米东区中医医院</w:t>
      </w:r>
    </w:p>
    <w:p>
      <w:pPr>
        <w:keepNext w:val="0"/>
        <w:keepLines w:val="0"/>
        <w:pageBreakBefore w:val="0"/>
        <w:widowControl w:val="0"/>
        <w:kinsoku/>
        <w:wordWrap/>
        <w:overflowPunct/>
        <w:topLinePunct w:val="0"/>
        <w:autoSpaceDE/>
        <w:autoSpaceDN/>
        <w:bidi w:val="0"/>
        <w:adjustRightInd/>
        <w:snapToGrid/>
        <w:spacing w:line="400" w:lineRule="exact"/>
        <w:jc w:val="left"/>
        <w:rPr>
          <w:rFonts w:hint="eastAsia"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年度最高限价</w:t>
      </w:r>
      <w:r>
        <w:rPr>
          <w:rFonts w:hint="eastAsia" w:ascii="宋体" w:hAnsi="宋体" w:eastAsia="宋体" w:cs="宋体"/>
          <w:b w:val="0"/>
          <w:bCs w:val="0"/>
          <w:color w:val="auto"/>
          <w:sz w:val="24"/>
          <w:szCs w:val="24"/>
          <w:highlight w:val="none"/>
          <w:lang w:val="en-US" w:eastAsia="zh-CN"/>
        </w:rPr>
        <w:t>：</w:t>
      </w:r>
      <w:r>
        <w:rPr>
          <w:rFonts w:hint="eastAsia" w:hAnsi="宋体" w:cs="宋体"/>
          <w:color w:val="auto"/>
          <w:sz w:val="24"/>
          <w:szCs w:val="24"/>
          <w:highlight w:val="none"/>
          <w:lang w:val="en-US" w:eastAsia="zh-CN"/>
        </w:rPr>
        <w:t>290000.00</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Theme="minorEastAsia" w:hAnsiTheme="minorEastAsia" w:eastAsiaTheme="minorEastAsia"/>
          <w:b w:val="0"/>
          <w:color w:val="auto"/>
          <w:sz w:val="24"/>
          <w:szCs w:val="24"/>
          <w:highlight w:val="none"/>
        </w:rPr>
        <w:t>招标内容：</w:t>
      </w:r>
    </w:p>
    <w:tbl>
      <w:tblPr>
        <w:tblStyle w:val="17"/>
        <w:tblW w:w="9300" w:type="dxa"/>
        <w:tblInd w:w="138" w:type="dxa"/>
        <w:tblLayout w:type="fixed"/>
        <w:tblCellMar>
          <w:top w:w="0" w:type="dxa"/>
          <w:left w:w="108" w:type="dxa"/>
          <w:bottom w:w="0" w:type="dxa"/>
          <w:right w:w="108" w:type="dxa"/>
        </w:tblCellMar>
      </w:tblPr>
      <w:tblGrid>
        <w:gridCol w:w="933"/>
        <w:gridCol w:w="8367"/>
      </w:tblGrid>
      <w:tr>
        <w:tblPrEx>
          <w:tblCellMar>
            <w:top w:w="0" w:type="dxa"/>
            <w:left w:w="108" w:type="dxa"/>
            <w:bottom w:w="0" w:type="dxa"/>
            <w:right w:w="108" w:type="dxa"/>
          </w:tblCellMar>
        </w:tblPrEx>
        <w:trPr>
          <w:trHeight w:val="322" w:hRule="atLeast"/>
        </w:trPr>
        <w:tc>
          <w:tcPr>
            <w:tcW w:w="9300" w:type="dxa"/>
            <w:gridSpan w:val="2"/>
            <w:tcBorders>
              <w:top w:val="nil"/>
              <w:left w:val="nil"/>
              <w:bottom w:val="single" w:color="auto" w:sz="4" w:space="0"/>
              <w:right w:val="nil"/>
            </w:tcBorders>
            <w:noWrap/>
            <w:vAlign w:val="center"/>
          </w:tcPr>
          <w:p>
            <w:pPr>
              <w:keepNext w:val="0"/>
              <w:keepLines w:val="0"/>
              <w:pageBreakBefore w:val="0"/>
              <w:kinsoku/>
              <w:wordWrap/>
              <w:overflowPunct/>
              <w:topLinePunct w:val="0"/>
              <w:autoSpaceDE/>
              <w:autoSpaceDN/>
              <w:bidi w:val="0"/>
              <w:adjustRightInd w:val="0"/>
              <w:snapToGrid w:val="0"/>
              <w:spacing w:line="288" w:lineRule="auto"/>
              <w:ind w:left="0" w:leftChars="0" w:firstLine="480"/>
              <w:jc w:val="center"/>
              <w:textAlignment w:val="auto"/>
              <w:rPr>
                <w:rFonts w:cs="宋体"/>
                <w:b w:val="0"/>
                <w:bCs/>
                <w:color w:val="auto"/>
                <w:sz w:val="24"/>
                <w:szCs w:val="24"/>
                <w:highlight w:val="none"/>
              </w:rPr>
            </w:pPr>
            <w:r>
              <w:rPr>
                <w:rFonts w:hint="eastAsia" w:cs="宋体"/>
                <w:b w:val="0"/>
                <w:bCs/>
                <w:color w:val="auto"/>
                <w:sz w:val="24"/>
                <w:szCs w:val="24"/>
                <w:highlight w:val="none"/>
              </w:rPr>
              <w:t>MRI核磁设备维保项目(人工+</w:t>
            </w:r>
            <w:r>
              <w:rPr>
                <w:rFonts w:cs="宋体"/>
                <w:b w:val="0"/>
                <w:bCs/>
                <w:color w:val="auto"/>
                <w:sz w:val="24"/>
                <w:szCs w:val="24"/>
                <w:highlight w:val="none"/>
              </w:rPr>
              <w:t xml:space="preserve"> </w:t>
            </w:r>
            <w:r>
              <w:rPr>
                <w:rFonts w:hint="eastAsia" w:cs="宋体"/>
                <w:b w:val="0"/>
                <w:bCs/>
                <w:color w:val="auto"/>
                <w:sz w:val="24"/>
                <w:szCs w:val="24"/>
                <w:highlight w:val="none"/>
              </w:rPr>
              <w:t>制冷系统全保)招标要求</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序号</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600" w:leftChars="0" w:hanging="600" w:hangingChars="250"/>
              <w:jc w:val="center"/>
              <w:textAlignment w:val="auto"/>
              <w:rPr>
                <w:rFonts w:cs="宋体"/>
                <w:b w:val="0"/>
                <w:bCs/>
                <w:color w:val="auto"/>
                <w:sz w:val="24"/>
                <w:szCs w:val="24"/>
                <w:highlight w:val="none"/>
              </w:rPr>
            </w:pPr>
            <w:r>
              <w:rPr>
                <w:rFonts w:hint="eastAsia"/>
                <w:b w:val="0"/>
                <w:bCs/>
                <w:color w:val="auto"/>
                <w:sz w:val="24"/>
                <w:szCs w:val="24"/>
                <w:highlight w:val="none"/>
                <w:lang w:val="en-US"/>
              </w:rPr>
              <w:t>招标技术要求</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600" w:leftChars="0" w:hanging="600" w:hangingChars="250"/>
              <w:textAlignment w:val="auto"/>
              <w:rPr>
                <w:rFonts w:cs="宋体"/>
                <w:b w:val="0"/>
                <w:bCs/>
                <w:color w:val="auto"/>
                <w:sz w:val="24"/>
                <w:szCs w:val="24"/>
                <w:highlight w:val="none"/>
              </w:rPr>
            </w:pPr>
            <w:r>
              <w:rPr>
                <w:rFonts w:hint="eastAsia" w:cs="宋体"/>
                <w:b w:val="0"/>
                <w:bCs/>
                <w:color w:val="auto"/>
                <w:sz w:val="24"/>
                <w:szCs w:val="24"/>
                <w:highlight w:val="none"/>
              </w:rPr>
              <w:t>合同期限：三年，先服务后付款，按每半年分期付款，每满半年服务期到付一</w:t>
            </w:r>
          </w:p>
          <w:p>
            <w:pPr>
              <w:keepNext w:val="0"/>
              <w:keepLines w:val="0"/>
              <w:pageBreakBefore w:val="0"/>
              <w:kinsoku/>
              <w:wordWrap/>
              <w:overflowPunct/>
              <w:topLinePunct w:val="0"/>
              <w:autoSpaceDE/>
              <w:autoSpaceDN/>
              <w:bidi w:val="0"/>
              <w:adjustRightInd w:val="0"/>
              <w:snapToGrid w:val="0"/>
              <w:spacing w:line="288" w:lineRule="auto"/>
              <w:ind w:left="600" w:leftChars="0" w:hanging="600" w:hangingChars="250"/>
              <w:textAlignment w:val="auto"/>
              <w:rPr>
                <w:rFonts w:cs="宋体"/>
                <w:b w:val="0"/>
                <w:bCs/>
                <w:color w:val="auto"/>
                <w:sz w:val="24"/>
                <w:szCs w:val="24"/>
                <w:highlight w:val="none"/>
              </w:rPr>
            </w:pPr>
            <w:r>
              <w:rPr>
                <w:rFonts w:hint="eastAsia" w:cs="宋体"/>
                <w:b w:val="0"/>
                <w:bCs/>
                <w:color w:val="auto"/>
                <w:sz w:val="24"/>
                <w:szCs w:val="24"/>
                <w:highlight w:val="none"/>
              </w:rPr>
              <w:t>次款，三年内分六次付款，服务期满支付剩余尾款。</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 xml:space="preserve">维保范围：SIEMENS  </w:t>
            </w:r>
            <w:r>
              <w:rPr>
                <w:rFonts w:hint="eastAsia" w:cs="宋体"/>
                <w:b w:val="0"/>
                <w:bCs/>
                <w:color w:val="auto"/>
                <w:sz w:val="24"/>
                <w:szCs w:val="24"/>
                <w:highlight w:val="none"/>
                <w:lang w:eastAsia="zh-CN"/>
              </w:rPr>
              <w:t>Altea</w:t>
            </w:r>
            <w:r>
              <w:rPr>
                <w:rFonts w:hint="eastAsia" w:cs="宋体"/>
                <w:b w:val="0"/>
                <w:bCs/>
                <w:color w:val="auto"/>
                <w:sz w:val="24"/>
                <w:szCs w:val="24"/>
                <w:highlight w:val="none"/>
              </w:rPr>
              <w:t>1.5T设备壹套。制冷系统全保</w:t>
            </w:r>
            <w:r>
              <w:rPr>
                <w:rFonts w:cs="宋体"/>
                <w:b w:val="0"/>
                <w:bCs/>
                <w:color w:val="auto"/>
                <w:sz w:val="24"/>
                <w:szCs w:val="24"/>
                <w:highlight w:val="none"/>
              </w:rPr>
              <w:t>(包含冷头、吸附器、高低压氦气管、氦压缩机、可移动线圈的维护、室内外水冷机组、空调的人工服务费、备件费用及电子系统人工技术服务费）。</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2.1</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包括电子部分的梯度柜、射频柜、系统柜、AW图形工作站、线圈、扫描床等。</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w:t>
            </w:r>
            <w:r>
              <w:rPr>
                <w:rFonts w:cs="宋体"/>
                <w:b w:val="0"/>
                <w:bCs/>
                <w:color w:val="auto"/>
                <w:sz w:val="24"/>
                <w:szCs w:val="24"/>
                <w:highlight w:val="none"/>
              </w:rPr>
              <w:t>.2</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维保范围不包括：磁体、可移动线圈的更换、液氦、电子系统的所有配件费以及第三方外围产品：高压注射器，稳压电源，</w:t>
            </w:r>
            <w:r>
              <w:rPr>
                <w:rFonts w:cs="宋体"/>
                <w:b w:val="0"/>
                <w:bCs/>
                <w:color w:val="auto"/>
                <w:sz w:val="24"/>
                <w:szCs w:val="24"/>
                <w:highlight w:val="none"/>
              </w:rPr>
              <w:t>UPS，激光相机，外配打印机，录像机，视频外设等。</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3</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 xml:space="preserve">MRI设备维保项目, SIEMENS  </w:t>
            </w:r>
            <w:r>
              <w:rPr>
                <w:rFonts w:hint="eastAsia"/>
                <w:b w:val="0"/>
                <w:color w:val="auto"/>
                <w:sz w:val="24"/>
                <w:szCs w:val="24"/>
                <w:highlight w:val="none"/>
                <w:lang w:eastAsia="zh-CN"/>
              </w:rPr>
              <w:t>Altea</w:t>
            </w:r>
            <w:r>
              <w:rPr>
                <w:rFonts w:hint="eastAsia" w:cs="宋体"/>
                <w:b w:val="0"/>
                <w:bCs/>
                <w:color w:val="auto"/>
                <w:sz w:val="24"/>
                <w:szCs w:val="24"/>
                <w:highlight w:val="none"/>
              </w:rPr>
              <w:t xml:space="preserve"> 1.5T设备壹套。制冷系统全保(人工服务费、所有制冷系统配件费、可移动线圈的维护、室内外水冷机组、空调的人工服务费、备件费用及电子系统人工技术服务费) 包括在投标总价中</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4</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制冷系统每年保证开机率≥</w:t>
            </w:r>
            <w:r>
              <w:rPr>
                <w:rFonts w:cs="宋体"/>
                <w:b w:val="0"/>
                <w:bCs/>
                <w:color w:val="auto"/>
                <w:sz w:val="24"/>
                <w:szCs w:val="24"/>
                <w:highlight w:val="none"/>
              </w:rPr>
              <w:t>95％(即正常开机达到347个日历日，停机不超过18个日历日)；及时保证紧急配备件供应，除去电子系统故障等待备件的时间</w:t>
            </w:r>
            <w:r>
              <w:rPr>
                <w:rFonts w:hint="eastAsia" w:cs="宋体"/>
                <w:b w:val="0"/>
                <w:bCs/>
                <w:color w:val="auto"/>
                <w:sz w:val="24"/>
                <w:szCs w:val="24"/>
                <w:highlight w:val="none"/>
                <w:lang w:eastAsia="zh-CN"/>
              </w:rPr>
              <w:t>，</w:t>
            </w:r>
            <w:r>
              <w:rPr>
                <w:rFonts w:hint="eastAsia" w:cs="宋体"/>
                <w:b w:val="0"/>
                <w:bCs/>
                <w:color w:val="auto"/>
                <w:sz w:val="24"/>
                <w:szCs w:val="24"/>
                <w:highlight w:val="none"/>
                <w:lang w:val="en-US" w:eastAsia="zh-CN"/>
              </w:rPr>
              <w:t>并承诺先服务保证开机率再付费</w:t>
            </w:r>
            <w:r>
              <w:rPr>
                <w:rFonts w:cs="宋体"/>
                <w:b w:val="0"/>
                <w:bCs/>
                <w:color w:val="auto"/>
                <w:sz w:val="24"/>
                <w:szCs w:val="24"/>
                <w:highlight w:val="none"/>
              </w:rPr>
              <w:t>。</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5</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如果开机率达不到95%时，停机时间超过一天则顺延四天维保期。</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6</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合同期内提供，每一年四次的设备定期保养并提供纸质版的保养计划，调试、参数校正,按医院要求提供符合原厂技术要求的纸质版保养报告,不限次数的电话指导及现场维护服务。</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7</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设备定期保养包含但不限于如下项目：设备清洁、系统性能测试及校准、必要的电气环境检测等。</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8</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提供详细的保养计划,包含但不限于：设备清洁、系统性能测试及校准、电气环境检测等</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9</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具有电气环境保障团队和设备，能够检测包括但不限于电网质量、电磁干扰、环境腐蚀气体与震动等。要求提供仪器资料、检测报告样本作证明。</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10</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投标人必须具备客户服务专线电话，每年365天开通，接到故障报修电话后，维修工程师在3小时内赶到现场处理故障，确保紧急零备件供应，防止失超。</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11</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响应时间要求：投标人必须在接获报修电话后，提供突发性问题的解决措施及特殊紧急的合理化处理措施。</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12</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val="0"/>
              <w:snapToGrid w:val="0"/>
              <w:spacing w:line="288" w:lineRule="auto"/>
              <w:ind w:left="9" w:leftChars="0" w:hanging="9" w:hangingChars="4"/>
              <w:textAlignment w:val="auto"/>
              <w:rPr>
                <w:rFonts w:cs="宋体"/>
                <w:b w:val="0"/>
                <w:bCs/>
                <w:color w:val="auto"/>
                <w:sz w:val="24"/>
                <w:szCs w:val="24"/>
                <w:highlight w:val="none"/>
              </w:rPr>
            </w:pPr>
            <w:r>
              <w:rPr>
                <w:rFonts w:hint="eastAsia" w:cs="宋体"/>
                <w:b w:val="0"/>
                <w:bCs/>
                <w:color w:val="auto"/>
                <w:sz w:val="24"/>
                <w:szCs w:val="24"/>
                <w:highlight w:val="none"/>
              </w:rPr>
              <w:t>投标人所有更换的零部件必须是所维修保养设备的原厂备件。确保所提供的备件是与原设备型号一致的原厂(配件需提供报关单)备件，安装完毕后达到SIEMENS公司MRI设备运行标准（旧件收回）。</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13</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投标人具备充足的备件供应能力，要求在国内设有备零备件仓库，且仓库面积&gt;2000平方米，库存零件价值&gt;人民币1000万元，投标人须提供详细文字和图片等说明文件以供采购方核实。</w:t>
            </w:r>
          </w:p>
        </w:tc>
      </w:tr>
      <w:tr>
        <w:tblPrEx>
          <w:tblCellMar>
            <w:top w:w="0" w:type="dxa"/>
            <w:left w:w="108" w:type="dxa"/>
            <w:bottom w:w="0" w:type="dxa"/>
            <w:right w:w="108" w:type="dxa"/>
          </w:tblCellMar>
        </w:tblPrEx>
        <w:trPr>
          <w:trHeight w:val="130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14</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投标商必须提供相同品牌维保业绩项目合同或中标通知书，要求投标人必需在全国拥有超过 20家以上SIEMENS的在保医院。并且必须提供相关医院名单与设备型号等详细信息以供采购方核实，均提供合同或中标通知书</w:t>
            </w:r>
            <w:r>
              <w:rPr>
                <w:rFonts w:hint="eastAsia" w:cs="宋体"/>
                <w:b w:val="0"/>
                <w:bCs/>
                <w:color w:val="auto"/>
                <w:sz w:val="24"/>
                <w:szCs w:val="24"/>
                <w:highlight w:val="none"/>
                <w:lang w:val="en-US"/>
              </w:rPr>
              <w:t>复印件加盖公章</w:t>
            </w:r>
            <w:r>
              <w:rPr>
                <w:rFonts w:hint="eastAsia" w:cs="宋体"/>
                <w:b w:val="0"/>
                <w:bCs/>
                <w:color w:val="auto"/>
                <w:sz w:val="24"/>
                <w:szCs w:val="24"/>
                <w:highlight w:val="none"/>
              </w:rPr>
              <w:t>。</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15</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要求投标人必须具有全新磁体更换的能力，并提供5年内磁体海关报关单据复印件以资证明。</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16</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投标人在设备所在地新疆有3个5年以上稳定的常驻</w:t>
            </w:r>
            <w:r>
              <w:rPr>
                <w:rFonts w:hint="eastAsia" w:cs="宋体"/>
                <w:b w:val="0"/>
                <w:bCs/>
                <w:color w:val="auto"/>
                <w:sz w:val="24"/>
                <w:szCs w:val="24"/>
                <w:highlight w:val="none"/>
              </w:rPr>
              <w:t>服务</w:t>
            </w:r>
            <w:r>
              <w:rPr>
                <w:rFonts w:hint="eastAsia" w:cs="宋体"/>
                <w:b w:val="0"/>
                <w:bCs/>
                <w:color w:val="auto"/>
                <w:sz w:val="24"/>
                <w:szCs w:val="24"/>
                <w:highlight w:val="none"/>
                <w:lang w:val="en-US"/>
              </w:rPr>
              <w:t>网点</w:t>
            </w:r>
            <w:r>
              <w:rPr>
                <w:rFonts w:hint="eastAsia" w:cs="宋体"/>
                <w:b w:val="0"/>
                <w:bCs/>
                <w:color w:val="auto"/>
                <w:sz w:val="24"/>
                <w:szCs w:val="24"/>
                <w:highlight w:val="none"/>
              </w:rPr>
              <w:t>（人员），并提供社保证明及劳务关系证明，投标人须提供其相关办事处详细地址与联系电话以供采购方核实。</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17</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投标人配备有维修保养设备的全职的应用培训专家≥2人，能以现场或远程的形式，提供临床扫描、图像处理和相应业务拓展的专业支持。提供人员姓名、职位及专业背景资料。</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18</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投标人必须有SIEMENS MR系列设备专职技术支持团队≥4人，且至少1名具备10年以上的投标人公司服务年限。提供姓名及原厂培训考核合格授权资质证，提供资质</w:t>
            </w:r>
            <w:r>
              <w:rPr>
                <w:rFonts w:hint="eastAsia" w:cs="宋体"/>
                <w:b w:val="0"/>
                <w:bCs/>
                <w:color w:val="auto"/>
                <w:sz w:val="24"/>
                <w:szCs w:val="24"/>
                <w:highlight w:val="none"/>
                <w:lang w:val="en-US"/>
              </w:rPr>
              <w:t>复印件加盖公章</w:t>
            </w:r>
            <w:r>
              <w:rPr>
                <w:rFonts w:hint="eastAsia" w:cs="宋体"/>
                <w:b w:val="0"/>
                <w:bCs/>
                <w:color w:val="auto"/>
                <w:sz w:val="24"/>
                <w:szCs w:val="24"/>
                <w:highlight w:val="none"/>
              </w:rPr>
              <w:t>。</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19</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为保障设备稳定运行，各项技术参数符合临床要求，投标人需提供此设备在新疆境内的使用备件的用户的名单、联系方式、工单证明≥10个，热循环工单证明≥2个。</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20</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left"/>
              <w:textAlignment w:val="auto"/>
              <w:rPr>
                <w:rFonts w:cs="宋体"/>
                <w:b w:val="0"/>
                <w:bCs/>
                <w:color w:val="auto"/>
                <w:sz w:val="24"/>
                <w:szCs w:val="24"/>
                <w:highlight w:val="none"/>
              </w:rPr>
            </w:pPr>
            <w:r>
              <w:rPr>
                <w:rFonts w:hint="eastAsia" w:cs="宋体"/>
                <w:b w:val="0"/>
                <w:bCs/>
                <w:color w:val="auto"/>
                <w:sz w:val="24"/>
                <w:szCs w:val="24"/>
                <w:highlight w:val="none"/>
              </w:rPr>
              <w:t>能够提供匀场、励磁、除冰，技术方案。</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21</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投标人须具有经校正的所维修保修保养设备的专业维修工具、仪器，并提供序列号和需校正的工具仪器的校正记录文件。</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22</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投标人须具相关专用工具和设备，并提供相应资料证明。</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22.1</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投标人须具有SIEMENS MR专用励磁、匀场工具至少一套。</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22.2</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投标人须具有SIEMENS MR梯度涡流校正工具至少一套。</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22.3</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投标人须具有SIEMENS MR专用射频调试工具至少一套。</w:t>
            </w:r>
          </w:p>
        </w:tc>
      </w:tr>
      <w:tr>
        <w:tblPrEx>
          <w:tblCellMar>
            <w:top w:w="0" w:type="dxa"/>
            <w:left w:w="108" w:type="dxa"/>
            <w:bottom w:w="0" w:type="dxa"/>
            <w:right w:w="108" w:type="dxa"/>
          </w:tblCellMar>
        </w:tblPrEx>
        <w:trPr>
          <w:trHeight w:val="97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23</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投标人须提供国家食品药品监督管理局之认证证书(认证证书复印件加盖投标人公司公章). 该证书证明了相关零备件比如线圈与上述所有维修设备整机匹配性。</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24</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投标人工程师须具有静电防护工具1套和相应安全防护用品，保证服务过程的安全性。</w:t>
            </w:r>
          </w:p>
        </w:tc>
      </w:tr>
      <w:tr>
        <w:tblPrEx>
          <w:tblCellMar>
            <w:top w:w="0" w:type="dxa"/>
            <w:left w:w="108" w:type="dxa"/>
            <w:bottom w:w="0" w:type="dxa"/>
            <w:right w:w="108" w:type="dxa"/>
          </w:tblCellMar>
        </w:tblPrEx>
        <w:trPr>
          <w:trHeight w:val="656"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25</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支持远程设备运行分析管理及设备维修维护管理，客户通过登录提供的链接查询设备状态信息</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26</w:t>
            </w:r>
          </w:p>
        </w:tc>
        <w:tc>
          <w:tcPr>
            <w:tcW w:w="836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提供一台终端接入设备</w:t>
            </w:r>
          </w:p>
        </w:tc>
      </w:tr>
      <w:tr>
        <w:tblPrEx>
          <w:tblCellMar>
            <w:top w:w="0" w:type="dxa"/>
            <w:left w:w="108" w:type="dxa"/>
            <w:bottom w:w="0" w:type="dxa"/>
            <w:right w:w="108" w:type="dxa"/>
          </w:tblCellMar>
        </w:tblPrEx>
        <w:trPr>
          <w:trHeight w:val="333"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rPr>
            </w:pPr>
            <w:r>
              <w:rPr>
                <w:rFonts w:hint="eastAsia" w:cs="宋体"/>
                <w:b w:val="0"/>
                <w:bCs/>
                <w:color w:val="auto"/>
                <w:sz w:val="24"/>
                <w:szCs w:val="24"/>
                <w:highlight w:val="none"/>
              </w:rPr>
              <w:t>2</w:t>
            </w:r>
            <w:r>
              <w:rPr>
                <w:rFonts w:hint="eastAsia" w:cs="宋体"/>
                <w:b w:val="0"/>
                <w:bCs/>
                <w:color w:val="auto"/>
                <w:sz w:val="24"/>
                <w:szCs w:val="24"/>
                <w:highlight w:val="none"/>
                <w:lang w:val="en-US"/>
              </w:rPr>
              <w:t>7</w:t>
            </w:r>
          </w:p>
        </w:tc>
        <w:tc>
          <w:tcPr>
            <w:tcW w:w="8367"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营业执照须经年检有效。</w:t>
            </w:r>
          </w:p>
        </w:tc>
      </w:tr>
      <w:tr>
        <w:tblPrEx>
          <w:tblCellMar>
            <w:top w:w="0" w:type="dxa"/>
            <w:left w:w="108" w:type="dxa"/>
            <w:bottom w:w="0" w:type="dxa"/>
            <w:right w:w="108" w:type="dxa"/>
          </w:tblCellMar>
        </w:tblPrEx>
        <w:trPr>
          <w:trHeight w:val="989" w:hRule="atLeast"/>
        </w:trPr>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jc w:val="center"/>
              <w:textAlignment w:val="auto"/>
              <w:rPr>
                <w:rFonts w:cs="宋体"/>
                <w:b w:val="0"/>
                <w:bCs/>
                <w:color w:val="auto"/>
                <w:sz w:val="24"/>
                <w:szCs w:val="24"/>
                <w:highlight w:val="none"/>
                <w:lang w:val="en-US"/>
              </w:rPr>
            </w:pPr>
            <w:r>
              <w:rPr>
                <w:rFonts w:hint="eastAsia" w:cs="宋体"/>
                <w:b w:val="0"/>
                <w:bCs/>
                <w:color w:val="auto"/>
                <w:sz w:val="24"/>
                <w:szCs w:val="24"/>
                <w:highlight w:val="none"/>
                <w:lang w:val="en-US"/>
              </w:rPr>
              <w:t>29</w:t>
            </w:r>
          </w:p>
        </w:tc>
        <w:tc>
          <w:tcPr>
            <w:tcW w:w="8367"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val="0"/>
              <w:snapToGrid w:val="0"/>
              <w:spacing w:line="288" w:lineRule="auto"/>
              <w:ind w:left="0" w:leftChars="0" w:firstLine="0" w:firstLineChars="0"/>
              <w:textAlignment w:val="auto"/>
              <w:rPr>
                <w:rFonts w:cs="宋体"/>
                <w:b w:val="0"/>
                <w:bCs/>
                <w:color w:val="auto"/>
                <w:sz w:val="24"/>
                <w:szCs w:val="24"/>
                <w:highlight w:val="none"/>
              </w:rPr>
            </w:pPr>
            <w:r>
              <w:rPr>
                <w:rFonts w:hint="eastAsia" w:cs="宋体"/>
                <w:b w:val="0"/>
                <w:bCs/>
                <w:color w:val="auto"/>
                <w:sz w:val="24"/>
                <w:szCs w:val="24"/>
                <w:highlight w:val="none"/>
              </w:rPr>
              <w:t>投标人确保维保期内线圈供应与更换的及时性，具有磁共振线圈自主研发能力，提供具有线圈经营范围的营业执照复印件及相关线圈生产证明材料及案例（如是控股公司或集团公司需要提供股权证明）</w:t>
            </w:r>
          </w:p>
        </w:tc>
      </w:tr>
    </w:tbl>
    <w:p>
      <w:pPr>
        <w:rPr>
          <w:rFonts w:hint="eastAsia" w:ascii="Times New Roman" w:hAnsi="Times New Roman" w:eastAsia="宋体" w:cs="Times New Roman"/>
          <w:b w:val="0"/>
          <w:bCs w:val="0"/>
          <w:color w:val="auto"/>
          <w:kern w:val="44"/>
          <w:sz w:val="44"/>
          <w:szCs w:val="44"/>
          <w:highlight w:val="none"/>
          <w:lang w:val="en-US" w:eastAsia="zh-CN" w:bidi="ar-SA"/>
        </w:rPr>
      </w:pPr>
      <w:r>
        <w:rPr>
          <w:rFonts w:hint="eastAsia" w:ascii="Times New Roman" w:hAnsi="Times New Roman" w:eastAsia="宋体" w:cs="Times New Roman"/>
          <w:b w:val="0"/>
          <w:bCs w:val="0"/>
          <w:color w:val="auto"/>
          <w:kern w:val="44"/>
          <w:sz w:val="44"/>
          <w:szCs w:val="44"/>
          <w:highlight w:val="none"/>
          <w:lang w:val="en-US" w:eastAsia="zh-CN" w:bidi="ar-SA"/>
        </w:rPr>
        <w:br w:type="page"/>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ind w:firstLine="880" w:firstLineChars="200"/>
        <w:jc w:val="center"/>
        <w:outlineLvl w:val="0"/>
        <w:rPr>
          <w:rFonts w:hint="eastAsia" w:ascii="Times New Roman" w:hAnsi="Times New Roman" w:eastAsia="宋体" w:cs="Times New Roman"/>
          <w:b w:val="0"/>
          <w:bCs w:val="0"/>
          <w:color w:val="auto"/>
          <w:kern w:val="44"/>
          <w:sz w:val="44"/>
          <w:szCs w:val="44"/>
          <w:highlight w:val="none"/>
          <w:lang w:val="en-US" w:eastAsia="zh-CN" w:bidi="ar-SA"/>
        </w:rPr>
      </w:pPr>
      <w:bookmarkStart w:id="89" w:name="_Toc20339"/>
      <w:r>
        <w:rPr>
          <w:rFonts w:hint="eastAsia" w:ascii="Times New Roman" w:hAnsi="Times New Roman" w:eastAsia="宋体" w:cs="Times New Roman"/>
          <w:b w:val="0"/>
          <w:bCs w:val="0"/>
          <w:color w:val="auto"/>
          <w:kern w:val="44"/>
          <w:sz w:val="44"/>
          <w:szCs w:val="44"/>
          <w:highlight w:val="none"/>
          <w:lang w:val="en-US" w:eastAsia="zh-CN" w:bidi="ar-SA"/>
        </w:rPr>
        <w:t>第四章   评审方法</w:t>
      </w:r>
      <w:bookmarkEnd w:id="89"/>
    </w:p>
    <w:p>
      <w:pPr>
        <w:spacing w:line="360" w:lineRule="auto"/>
        <w:ind w:firstLine="480" w:firstLineChars="200"/>
        <w:rPr>
          <w:rFonts w:hint="eastAsia" w:ascii="宋体" w:hAnsi="宋体"/>
          <w:color w:val="auto"/>
          <w:kern w:val="0"/>
          <w:sz w:val="24"/>
          <w:highlight w:val="none"/>
        </w:rPr>
      </w:pPr>
      <w:r>
        <w:rPr>
          <w:rFonts w:hint="eastAsia" w:ascii="宋体" w:hAnsi="宋体"/>
          <w:color w:val="auto"/>
          <w:sz w:val="24"/>
          <w:highlight w:val="none"/>
        </w:rPr>
        <w:t>本项目评审方法见招标文件第二部分“投标人须知前附表”中第21项的规定。</w:t>
      </w:r>
      <w:r>
        <w:rPr>
          <w:rFonts w:hint="eastAsia" w:ascii="宋体" w:hAnsi="宋体"/>
          <w:color w:val="auto"/>
          <w:kern w:val="0"/>
          <w:sz w:val="24"/>
          <w:highlight w:val="none"/>
        </w:rPr>
        <w:t>如果采用综合评分法，评分细则如下：</w:t>
      </w:r>
    </w:p>
    <w:p>
      <w:pPr>
        <w:pageBreakBefore w:val="0"/>
        <w:kinsoku/>
        <w:wordWrap/>
        <w:overflowPunct/>
        <w:topLinePunct w:val="0"/>
        <w:bidi w:val="0"/>
        <w:snapToGrid/>
        <w:spacing w:before="0" w:beforeAutospacing="0" w:after="0" w:afterAutospacing="0" w:line="360" w:lineRule="auto"/>
        <w:ind w:firstLine="482" w:firstLineChars="200"/>
        <w:jc w:val="both"/>
        <w:rPr>
          <w:rStyle w:val="21"/>
          <w:rFonts w:hint="eastAsia" w:ascii="宋体" w:hAnsi="宋体" w:eastAsia="宋体" w:cs="宋体"/>
          <w:bCs/>
          <w:i w:val="0"/>
          <w:color w:val="auto"/>
          <w:spacing w:val="0"/>
          <w:w w:val="100"/>
          <w:kern w:val="2"/>
          <w:sz w:val="24"/>
          <w:szCs w:val="22"/>
          <w:highlight w:val="none"/>
          <w:lang w:val="en-US" w:eastAsia="zh-CN" w:bidi="ar-SA"/>
        </w:rPr>
      </w:pPr>
      <w:r>
        <w:rPr>
          <w:rStyle w:val="21"/>
          <w:rFonts w:hint="eastAsia" w:ascii="宋体" w:hAnsi="宋体" w:eastAsia="宋体" w:cs="宋体"/>
          <w:bCs/>
          <w:i w:val="0"/>
          <w:color w:val="auto"/>
          <w:spacing w:val="0"/>
          <w:w w:val="100"/>
          <w:kern w:val="2"/>
          <w:sz w:val="24"/>
          <w:szCs w:val="22"/>
          <w:highlight w:val="none"/>
          <w:lang w:val="en-US" w:eastAsia="zh-CN" w:bidi="ar-SA"/>
        </w:rPr>
        <w:t>1、初步评审</w:t>
      </w:r>
    </w:p>
    <w:p>
      <w:pPr>
        <w:pageBreakBefore w:val="0"/>
        <w:kinsoku/>
        <w:wordWrap/>
        <w:overflowPunct/>
        <w:topLinePunct w:val="0"/>
        <w:bidi w:val="0"/>
        <w:snapToGrid/>
        <w:spacing w:before="0" w:beforeAutospacing="0" w:after="0" w:afterAutospacing="0" w:line="360" w:lineRule="auto"/>
        <w:ind w:firstLine="480" w:firstLineChars="200"/>
        <w:jc w:val="both"/>
        <w:rPr>
          <w:rFonts w:hint="eastAsia"/>
          <w:color w:val="auto"/>
          <w:highlight w:val="none"/>
        </w:rPr>
      </w:pPr>
      <w:r>
        <w:rPr>
          <w:rStyle w:val="21"/>
          <w:rFonts w:hint="eastAsia" w:ascii="宋体" w:hAnsi="宋体" w:eastAsia="宋体" w:cs="宋体"/>
          <w:b w:val="0"/>
          <w:i w:val="0"/>
          <w:color w:val="auto"/>
          <w:spacing w:val="0"/>
          <w:w w:val="100"/>
          <w:kern w:val="2"/>
          <w:sz w:val="24"/>
          <w:szCs w:val="22"/>
          <w:highlight w:val="none"/>
          <w:lang w:val="en-US" w:eastAsia="zh-CN" w:bidi="ar-SA"/>
        </w:rPr>
        <w:t>评审</w:t>
      </w:r>
      <w:r>
        <w:rPr>
          <w:rStyle w:val="21"/>
          <w:rFonts w:hint="default" w:ascii="宋体" w:hAnsi="宋体" w:eastAsia="宋体" w:cs="宋体"/>
          <w:b w:val="0"/>
          <w:i w:val="0"/>
          <w:color w:val="auto"/>
          <w:spacing w:val="0"/>
          <w:w w:val="100"/>
          <w:kern w:val="2"/>
          <w:sz w:val="24"/>
          <w:szCs w:val="22"/>
          <w:highlight w:val="none"/>
          <w:lang w:val="en-US" w:eastAsia="zh-CN" w:bidi="ar-SA"/>
        </w:rPr>
        <w:t>小组根据评审办法前附表规定的评审因素和评审标准，对供应商的</w:t>
      </w:r>
      <w:r>
        <w:rPr>
          <w:rStyle w:val="21"/>
          <w:rFonts w:hint="eastAsia" w:ascii="宋体" w:hAnsi="宋体" w:eastAsia="宋体" w:cs="宋体"/>
          <w:b w:val="0"/>
          <w:i w:val="0"/>
          <w:color w:val="auto"/>
          <w:spacing w:val="0"/>
          <w:w w:val="100"/>
          <w:kern w:val="2"/>
          <w:sz w:val="24"/>
          <w:szCs w:val="22"/>
          <w:highlight w:val="none"/>
          <w:lang w:val="en-US" w:eastAsia="zh-CN" w:bidi="ar-SA"/>
        </w:rPr>
        <w:t>投标</w:t>
      </w:r>
      <w:r>
        <w:rPr>
          <w:rStyle w:val="21"/>
          <w:rFonts w:hint="default" w:ascii="宋体" w:hAnsi="宋体" w:eastAsia="宋体" w:cs="宋体"/>
          <w:b w:val="0"/>
          <w:i w:val="0"/>
          <w:color w:val="auto"/>
          <w:spacing w:val="0"/>
          <w:w w:val="100"/>
          <w:kern w:val="2"/>
          <w:sz w:val="24"/>
          <w:szCs w:val="22"/>
          <w:highlight w:val="none"/>
          <w:lang w:val="en-US" w:eastAsia="zh-CN" w:bidi="ar-SA"/>
        </w:rPr>
        <w:t>文件进行符合性检查。符合性检查不合格的供应商的响应文件作无效文件处理。</w:t>
      </w:r>
    </w:p>
    <w:tbl>
      <w:tblPr>
        <w:tblStyle w:val="17"/>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0"/>
        <w:gridCol w:w="1102"/>
        <w:gridCol w:w="1440"/>
        <w:gridCol w:w="3908"/>
        <w:gridCol w:w="773"/>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206" w:type="pct"/>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708" w:firstLineChars="294"/>
              <w:jc w:val="both"/>
              <w:textAlignment w:val="auto"/>
              <w:rPr>
                <w:rFonts w:hint="eastAsia" w:ascii="宋体" w:hAnsi="宋体" w:cs="宋体"/>
                <w:b/>
                <w:color w:val="auto"/>
                <w:sz w:val="24"/>
                <w:highlight w:val="none"/>
              </w:rPr>
            </w:pPr>
            <w:r>
              <w:rPr>
                <w:rFonts w:hint="eastAsia" w:ascii="宋体" w:hAnsi="宋体" w:cs="宋体"/>
                <w:b/>
                <w:color w:val="auto"/>
                <w:sz w:val="24"/>
                <w:highlight w:val="none"/>
              </w:rPr>
              <w:t>评分因素</w:t>
            </w:r>
          </w:p>
        </w:tc>
        <w:tc>
          <w:tcPr>
            <w:tcW w:w="792"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评分点</w:t>
            </w:r>
          </w:p>
        </w:tc>
        <w:tc>
          <w:tcPr>
            <w:tcW w:w="215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851" w:type="pct"/>
            <w:gridSpan w:val="2"/>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1206" w:type="pct"/>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p>
        </w:tc>
        <w:tc>
          <w:tcPr>
            <w:tcW w:w="79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p>
        </w:tc>
        <w:tc>
          <w:tcPr>
            <w:tcW w:w="215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p>
        </w:tc>
        <w:tc>
          <w:tcPr>
            <w:tcW w:w="425"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是</w:t>
            </w: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初步评审</w:t>
            </w:r>
          </w:p>
        </w:tc>
        <w:tc>
          <w:tcPr>
            <w:tcW w:w="605"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资格检查</w:t>
            </w: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eastAsia="zh-CN" w:bidi="ar-SA"/>
              </w:rPr>
            </w:pPr>
            <w:r>
              <w:rPr>
                <w:rStyle w:val="21"/>
                <w:rFonts w:hint="eastAsia" w:ascii="宋体" w:hAnsi="宋体" w:eastAsia="宋体" w:cs="宋体"/>
                <w:b w:val="0"/>
                <w:bCs/>
                <w:i w:val="0"/>
                <w:color w:val="auto"/>
                <w:spacing w:val="0"/>
                <w:w w:val="100"/>
                <w:sz w:val="24"/>
                <w:szCs w:val="24"/>
                <w:highlight w:val="none"/>
                <w:lang w:bidi="ar-SA"/>
              </w:rPr>
              <w:t>营业执照具有独立承担民事责任的能力</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bidi="ar-SA"/>
              </w:rPr>
            </w:pPr>
            <w:r>
              <w:rPr>
                <w:rStyle w:val="21"/>
                <w:rFonts w:hint="eastAsia" w:ascii="宋体" w:hAnsi="宋体" w:eastAsia="宋体" w:cs="宋体"/>
                <w:b w:val="0"/>
                <w:bCs/>
                <w:i w:val="0"/>
                <w:color w:val="auto"/>
                <w:spacing w:val="0"/>
                <w:w w:val="100"/>
                <w:sz w:val="24"/>
                <w:szCs w:val="24"/>
                <w:highlight w:val="none"/>
                <w:lang w:bidi="ar-SA"/>
              </w:rPr>
              <w:t>是否具备有效在中华人民共和国境内注册的法人或其他组织或自然人的营业执照副本或事业法人登记证或执业许可证或身份证等相关证明原件扫描件</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eastAsia="zh-CN" w:bidi="ar-SA"/>
              </w:rPr>
            </w:pPr>
            <w:r>
              <w:rPr>
                <w:rStyle w:val="21"/>
                <w:rFonts w:hint="eastAsia" w:ascii="宋体" w:hAnsi="宋体" w:eastAsia="宋体" w:cs="宋体"/>
                <w:b w:val="0"/>
                <w:bCs/>
                <w:i w:val="0"/>
                <w:color w:val="auto"/>
                <w:spacing w:val="0"/>
                <w:w w:val="100"/>
                <w:sz w:val="24"/>
                <w:szCs w:val="24"/>
                <w:highlight w:val="none"/>
                <w:lang w:bidi="ar-SA"/>
              </w:rPr>
              <w:t>具有良好的商业信誉和健全的财务会计制度</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bidi="ar-SA"/>
              </w:rPr>
            </w:pPr>
            <w:r>
              <w:rPr>
                <w:rStyle w:val="21"/>
                <w:rFonts w:hint="eastAsia" w:ascii="宋体" w:hAnsi="宋体" w:eastAsia="宋体" w:cs="宋体"/>
                <w:b w:val="0"/>
                <w:bCs/>
                <w:i w:val="0"/>
                <w:color w:val="auto"/>
                <w:spacing w:val="0"/>
                <w:w w:val="100"/>
                <w:sz w:val="24"/>
                <w:szCs w:val="24"/>
                <w:highlight w:val="none"/>
                <w:lang w:bidi="ar-SA"/>
              </w:rPr>
              <w:t>须提供近两年度（任意一年）经审计的财务审计报告复印件（报告中须包括资产负债表、利润表、现金流量表等），或其基本银行在开标日期前三个月内开具的资信证明</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eastAsia="zh-CN" w:bidi="ar-SA"/>
              </w:rPr>
            </w:pPr>
            <w:r>
              <w:rPr>
                <w:rStyle w:val="21"/>
                <w:rFonts w:hint="eastAsia" w:ascii="宋体" w:hAnsi="宋体" w:eastAsia="宋体" w:cs="宋体"/>
                <w:b w:val="0"/>
                <w:bCs/>
                <w:i w:val="0"/>
                <w:color w:val="auto"/>
                <w:spacing w:val="0"/>
                <w:w w:val="100"/>
                <w:sz w:val="24"/>
                <w:szCs w:val="24"/>
                <w:highlight w:val="none"/>
                <w:lang w:bidi="ar-SA"/>
              </w:rPr>
              <w:t>具有履行合同所必需的设备和专业技术能力</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bidi="ar-SA"/>
              </w:rPr>
            </w:pPr>
            <w:r>
              <w:rPr>
                <w:rStyle w:val="21"/>
                <w:rFonts w:hint="eastAsia" w:ascii="宋体" w:hAnsi="宋体" w:eastAsia="宋体" w:cs="宋体"/>
                <w:b w:val="0"/>
                <w:bCs/>
                <w:i w:val="0"/>
                <w:color w:val="auto"/>
                <w:spacing w:val="0"/>
                <w:w w:val="100"/>
                <w:sz w:val="24"/>
                <w:szCs w:val="24"/>
                <w:highlight w:val="none"/>
                <w:lang w:bidi="ar-SA"/>
              </w:rPr>
              <w:t>具备履行合同所必需的设备和专业技术能力的书面声明原件扫描件</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eastAsia="zh-CN" w:bidi="ar-SA"/>
              </w:rPr>
            </w:pPr>
            <w:r>
              <w:rPr>
                <w:rStyle w:val="21"/>
                <w:rFonts w:hint="eastAsia" w:ascii="宋体" w:hAnsi="宋体" w:eastAsia="宋体" w:cs="宋体"/>
                <w:b w:val="0"/>
                <w:bCs/>
                <w:i w:val="0"/>
                <w:color w:val="auto"/>
                <w:spacing w:val="0"/>
                <w:w w:val="100"/>
                <w:sz w:val="24"/>
                <w:szCs w:val="24"/>
                <w:highlight w:val="none"/>
                <w:lang w:bidi="ar-SA"/>
              </w:rPr>
              <w:t>有依法缴纳税收和社会保障资金的良好记录</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bidi="ar-SA"/>
              </w:rPr>
            </w:pPr>
            <w:r>
              <w:rPr>
                <w:rStyle w:val="21"/>
                <w:rFonts w:hint="eastAsia" w:ascii="宋体" w:hAnsi="宋体" w:eastAsia="宋体" w:cs="宋体"/>
                <w:b w:val="0"/>
                <w:bCs/>
                <w:i w:val="0"/>
                <w:color w:val="auto"/>
                <w:spacing w:val="0"/>
                <w:w w:val="100"/>
                <w:sz w:val="24"/>
                <w:szCs w:val="24"/>
                <w:highlight w:val="none"/>
                <w:lang w:val="en-US" w:eastAsia="zh-CN" w:bidi="ar-SA"/>
              </w:rPr>
              <w:t>依法缴纳税收和社会保障资金的证明材料，须提供开标前六个月内任意一个月的依法缴税凭据和缴纳社会保险的凭据复印件</w:t>
            </w:r>
            <w:r>
              <w:rPr>
                <w:rStyle w:val="21"/>
                <w:rFonts w:hint="eastAsia" w:ascii="宋体" w:hAnsi="宋体" w:eastAsia="宋体" w:cs="宋体"/>
                <w:b w:val="0"/>
                <w:bCs/>
                <w:i w:val="0"/>
                <w:color w:val="auto"/>
                <w:spacing w:val="0"/>
                <w:w w:val="100"/>
                <w:sz w:val="24"/>
                <w:szCs w:val="24"/>
                <w:highlight w:val="none"/>
                <w:lang w:bidi="ar-SA"/>
              </w:rPr>
              <w:t>（依法免税的应提供相应文件说明）</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eastAsia="zh-CN" w:bidi="ar-SA"/>
              </w:rPr>
            </w:pPr>
            <w:r>
              <w:rPr>
                <w:rStyle w:val="21"/>
                <w:rFonts w:hint="eastAsia" w:ascii="宋体" w:hAnsi="宋体" w:eastAsia="宋体" w:cs="宋体"/>
                <w:b w:val="0"/>
                <w:bCs/>
                <w:i w:val="0"/>
                <w:color w:val="auto"/>
                <w:spacing w:val="0"/>
                <w:w w:val="100"/>
                <w:sz w:val="24"/>
                <w:szCs w:val="24"/>
                <w:highlight w:val="none"/>
                <w:lang w:bidi="ar-SA"/>
              </w:rPr>
              <w:t>参加政府采购活动前三年内，在经营活动中没有重大违法记录</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Style w:val="21"/>
                <w:rFonts w:hint="eastAsia" w:ascii="宋体" w:hAnsi="宋体" w:eastAsia="宋体" w:cs="宋体"/>
                <w:b w:val="0"/>
                <w:bCs/>
                <w:i w:val="0"/>
                <w:color w:val="auto"/>
                <w:spacing w:val="0"/>
                <w:w w:val="100"/>
                <w:sz w:val="24"/>
                <w:szCs w:val="24"/>
                <w:highlight w:val="none"/>
                <w:lang w:bidi="ar-SA"/>
              </w:rPr>
            </w:pPr>
            <w:r>
              <w:rPr>
                <w:rStyle w:val="21"/>
                <w:rFonts w:hint="eastAsia" w:ascii="宋体" w:hAnsi="宋体" w:eastAsia="宋体" w:cs="宋体"/>
                <w:b w:val="0"/>
                <w:bCs/>
                <w:i w:val="0"/>
                <w:color w:val="auto"/>
                <w:spacing w:val="0"/>
                <w:w w:val="100"/>
                <w:sz w:val="24"/>
                <w:szCs w:val="24"/>
                <w:highlight w:val="none"/>
                <w:lang w:bidi="ar-SA"/>
              </w:rPr>
              <w:t>参加政府采购活动前三年内，在经营活动中没有重大违法记录；须提供书面声明</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26"/>
              <w:keepNext w:val="0"/>
              <w:keepLines w:val="0"/>
              <w:pageBreakBefore w:val="0"/>
              <w:widowControl/>
              <w:tabs>
                <w:tab w:val="center" w:pos="1512"/>
              </w:tabs>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资质要求</w:t>
            </w:r>
          </w:p>
        </w:tc>
        <w:tc>
          <w:tcPr>
            <w:tcW w:w="2150"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val="zh-CN"/>
              </w:rPr>
              <w:t>①</w:t>
            </w:r>
            <w:r>
              <w:rPr>
                <w:rFonts w:hint="eastAsia" w:ascii="宋体" w:hAnsi="宋体" w:eastAsia="宋体" w:cs="宋体"/>
                <w:b w:val="0"/>
                <w:bCs/>
                <w:color w:val="auto"/>
                <w:spacing w:val="0"/>
                <w:sz w:val="24"/>
                <w:szCs w:val="24"/>
                <w:highlight w:val="none"/>
                <w:lang w:val="zh-CN" w:eastAsia="zh-CN"/>
              </w:rPr>
              <w:t>提供有效的行政主管部门颁发的医疗器械经营备案凭证（或医疗器械生产许可证或医疗器械经营许可证）；</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信用查询</w:t>
            </w:r>
          </w:p>
        </w:tc>
        <w:tc>
          <w:tcPr>
            <w:tcW w:w="2150" w:type="pct"/>
            <w:noWrap w:val="0"/>
            <w:vAlign w:val="center"/>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b w:val="0"/>
                <w:bCs/>
                <w:color w:val="auto"/>
                <w:spacing w:val="0"/>
                <w:kern w:val="0"/>
                <w:sz w:val="24"/>
                <w:szCs w:val="24"/>
                <w:highlight w:val="none"/>
                <w:lang w:val="en-US" w:eastAsia="zh-CN" w:bidi="ar-SA"/>
              </w:rPr>
            </w:pPr>
            <w:r>
              <w:rPr>
                <w:rFonts w:hint="eastAsia" w:ascii="宋体" w:hAnsi="宋体" w:eastAsia="宋体" w:cs="宋体"/>
                <w:color w:val="auto"/>
                <w:highlight w:val="none"/>
              </w:rPr>
              <w:t>②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1438"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highlight w:val="none"/>
              </w:rPr>
              <w:t>中国裁判文书网无行贿犯罪记录</w:t>
            </w:r>
          </w:p>
        </w:tc>
        <w:tc>
          <w:tcPr>
            <w:tcW w:w="3904" w:type="dxa"/>
            <w:noWrap w:val="0"/>
            <w:vAlign w:val="center"/>
          </w:tcPr>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近三年内在中国裁判文书网（http://wenshu.court.gov.cn/）无行贿犯罪记录；</w:t>
            </w:r>
            <w:r>
              <w:rPr>
                <w:rFonts w:hint="eastAsia" w:ascii="宋体" w:hAnsi="宋体" w:eastAsia="宋体" w:cs="宋体"/>
                <w:color w:val="auto"/>
                <w:highlight w:val="none"/>
                <w:lang w:val="en-US" w:eastAsia="zh-CN"/>
              </w:rPr>
              <w:t>需提供网站截图。</w:t>
            </w:r>
          </w:p>
          <w:p>
            <w:pPr>
              <w:pStyle w:val="15"/>
              <w:keepNext w:val="0"/>
              <w:keepLines w:val="0"/>
              <w:pageBreakBefore w:val="0"/>
              <w:widowControl/>
              <w:kinsoku/>
              <w:wordWrap/>
              <w:overflowPunct/>
              <w:topLinePunct w:val="0"/>
              <w:autoSpaceDE/>
              <w:autoSpaceDN/>
              <w:bidi w:val="0"/>
              <w:spacing w:before="0" w:beforeAutospacing="0" w:after="0" w:afterAutospacing="0" w:line="440" w:lineRule="exact"/>
              <w:outlineLvl w:val="9"/>
              <w:rPr>
                <w:rFonts w:hint="eastAsia" w:ascii="宋体" w:hAnsi="宋体" w:eastAsia="宋体" w:cs="宋体"/>
                <w:color w:val="auto"/>
                <w:spacing w:val="0"/>
                <w:sz w:val="24"/>
                <w:szCs w:val="24"/>
                <w:highlight w:val="none"/>
                <w:lang w:val="en-US" w:eastAsia="zh-CN" w:bidi="ar-SA"/>
              </w:rPr>
            </w:pP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1438"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val="0"/>
                <w:bCs/>
                <w:i w:val="0"/>
                <w:color w:val="auto"/>
                <w:spacing w:val="0"/>
                <w:w w:val="10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供应商应为中小企业</w:t>
            </w:r>
          </w:p>
        </w:tc>
        <w:tc>
          <w:tcPr>
            <w:tcW w:w="3904"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b w:val="0"/>
                <w:bCs/>
                <w:i w:val="0"/>
                <w:color w:val="auto"/>
                <w:spacing w:val="0"/>
                <w:w w:val="10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请根据要求单独上传《中小企业声明函》。格式以采购文件要求为准。</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1438"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jc w:val="both"/>
              <w:rPr>
                <w:rStyle w:val="21"/>
                <w:rFonts w:hint="default" w:ascii="宋体" w:hAnsi="宋体" w:eastAsia="宋体" w:cs="宋体"/>
                <w:b w:val="0"/>
                <w:bCs/>
                <w:i w:val="0"/>
                <w:color w:val="auto"/>
                <w:spacing w:val="0"/>
                <w:w w:val="10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磋商保证金</w:t>
            </w:r>
          </w:p>
        </w:tc>
        <w:tc>
          <w:tcPr>
            <w:tcW w:w="3904"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rPr>
                <w:rStyle w:val="21"/>
                <w:rFonts w:hint="eastAsia" w:ascii="宋体" w:hAnsi="宋体" w:eastAsia="宋体" w:cs="宋体"/>
                <w:b w:val="0"/>
                <w:bCs/>
                <w:i w:val="0"/>
                <w:color w:val="auto"/>
                <w:spacing w:val="0"/>
                <w:w w:val="100"/>
                <w:sz w:val="24"/>
                <w:szCs w:val="24"/>
                <w:highlight w:val="none"/>
                <w:lang w:bidi="ar-SA"/>
              </w:rPr>
            </w:pPr>
            <w:r>
              <w:rPr>
                <w:rFonts w:hint="eastAsia" w:ascii="宋体" w:hAnsi="宋体" w:eastAsia="宋体" w:cs="宋体"/>
                <w:color w:val="auto"/>
                <w:spacing w:val="0"/>
                <w:sz w:val="24"/>
                <w:szCs w:val="24"/>
                <w:highlight w:val="none"/>
                <w:lang w:val="en-US" w:eastAsia="zh-CN" w:bidi="ar-SA"/>
              </w:rPr>
              <w:t>供应商是否按要求缴纳磋商保证金</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ind w:firstLine="120" w:firstLineChars="5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初步评审</w:t>
            </w:r>
          </w:p>
        </w:tc>
        <w:tc>
          <w:tcPr>
            <w:tcW w:w="605"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符合性检查</w:t>
            </w: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b w:val="0"/>
                <w:color w:val="auto"/>
                <w:sz w:val="24"/>
                <w:highlight w:val="none"/>
              </w:rPr>
            </w:pPr>
            <w:r>
              <w:rPr>
                <w:rStyle w:val="21"/>
                <w:rFonts w:hint="eastAsia" w:ascii="宋体" w:hAnsi="宋体" w:eastAsia="宋体" w:cs="宋体"/>
                <w:b w:val="0"/>
                <w:bCs/>
                <w:i w:val="0"/>
                <w:color w:val="auto"/>
                <w:spacing w:val="0"/>
                <w:w w:val="100"/>
                <w:sz w:val="24"/>
                <w:szCs w:val="24"/>
                <w:highlight w:val="none"/>
                <w:lang w:eastAsia="zh-CN" w:bidi="ar-SA"/>
              </w:rPr>
              <w:t>供应商</w:t>
            </w:r>
            <w:r>
              <w:rPr>
                <w:rStyle w:val="21"/>
                <w:rFonts w:hint="eastAsia" w:ascii="宋体" w:hAnsi="宋体" w:eastAsia="宋体" w:cs="宋体"/>
                <w:b w:val="0"/>
                <w:bCs/>
                <w:i w:val="0"/>
                <w:color w:val="auto"/>
                <w:spacing w:val="0"/>
                <w:w w:val="100"/>
                <w:sz w:val="24"/>
                <w:szCs w:val="24"/>
                <w:highlight w:val="none"/>
                <w:lang w:bidi="ar-SA"/>
              </w:rPr>
              <w:t>名称</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是否与营业执照、税务登记证、资质证书一致</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投标文件签章</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投标文件是否按照规定在应由企业法人或法人授权代表在所有规定签字处逐一签章及加盖单位公章</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投标报价</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投标文件针对同一种货物</w:t>
            </w:r>
            <w:r>
              <w:rPr>
                <w:rStyle w:val="21"/>
                <w:rFonts w:hint="eastAsia" w:ascii="宋体" w:hAnsi="宋体" w:eastAsia="宋体" w:cs="宋体"/>
                <w:b w:val="0"/>
                <w:bCs/>
                <w:i w:val="0"/>
                <w:color w:val="auto"/>
                <w:spacing w:val="0"/>
                <w:w w:val="100"/>
                <w:sz w:val="24"/>
                <w:szCs w:val="24"/>
                <w:highlight w:val="none"/>
                <w:lang w:eastAsia="zh-CN" w:bidi="ar-SA"/>
              </w:rPr>
              <w:t>或服务</w:t>
            </w:r>
            <w:r>
              <w:rPr>
                <w:rStyle w:val="21"/>
                <w:rFonts w:hint="eastAsia" w:ascii="宋体" w:hAnsi="宋体" w:eastAsia="宋体" w:cs="宋体"/>
                <w:b w:val="0"/>
                <w:bCs/>
                <w:i w:val="0"/>
                <w:color w:val="auto"/>
                <w:spacing w:val="0"/>
                <w:w w:val="100"/>
                <w:sz w:val="24"/>
                <w:szCs w:val="24"/>
                <w:highlight w:val="none"/>
                <w:lang w:bidi="ar-SA"/>
              </w:rPr>
              <w:t>出现了两个或两个以上的报价；报价超过项目/包预算或最高限价或经评标委员会认定低于成本的</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投标文件内容</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投标文件按照招标文件规定的内容填写</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投标有效期</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投标有效期满足招标文件要求</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eastAsia="黑体" w:cs="宋体"/>
                <w:color w:val="auto"/>
                <w:sz w:val="24"/>
                <w:highlight w:val="none"/>
                <w:lang w:eastAsia="zh-CN"/>
              </w:rPr>
            </w:pPr>
            <w:r>
              <w:rPr>
                <w:rStyle w:val="21"/>
                <w:rFonts w:hint="eastAsia" w:ascii="宋体" w:hAnsi="宋体" w:eastAsia="宋体" w:cs="宋体"/>
                <w:b w:val="0"/>
                <w:bCs/>
                <w:i w:val="0"/>
                <w:color w:val="auto"/>
                <w:spacing w:val="0"/>
                <w:w w:val="100"/>
                <w:sz w:val="24"/>
                <w:szCs w:val="24"/>
                <w:highlight w:val="none"/>
                <w:lang w:val="en-US" w:eastAsia="zh-CN" w:bidi="ar-SA"/>
              </w:rPr>
              <w:t>服务期限</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val="en-US" w:eastAsia="zh-CN" w:bidi="ar-SA"/>
              </w:rPr>
              <w:t>服务期限</w:t>
            </w:r>
            <w:r>
              <w:rPr>
                <w:rStyle w:val="21"/>
                <w:rFonts w:hint="eastAsia" w:ascii="宋体" w:hAnsi="宋体" w:eastAsia="宋体" w:cs="宋体"/>
                <w:b w:val="0"/>
                <w:bCs/>
                <w:i w:val="0"/>
                <w:color w:val="auto"/>
                <w:spacing w:val="0"/>
                <w:w w:val="100"/>
                <w:sz w:val="24"/>
                <w:szCs w:val="24"/>
                <w:highlight w:val="none"/>
                <w:lang w:bidi="ar-SA"/>
              </w:rPr>
              <w:t>是否满足招标文件要求</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附加条件</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投标文件含有采购人不能接受的附加条件的</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00" w:type="pct"/>
            <w:vMerge w:val="continue"/>
            <w:noWrap w:val="0"/>
            <w:vAlign w:val="top"/>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60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00" w:lineRule="auto"/>
              <w:textAlignment w:val="auto"/>
              <w:rPr>
                <w:rFonts w:hint="eastAsia" w:ascii="宋体" w:hAnsi="宋体" w:cs="宋体"/>
                <w:color w:val="auto"/>
                <w:sz w:val="24"/>
                <w:highlight w:val="none"/>
              </w:rPr>
            </w:pPr>
          </w:p>
        </w:tc>
        <w:tc>
          <w:tcPr>
            <w:tcW w:w="792"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其他</w:t>
            </w:r>
          </w:p>
        </w:tc>
        <w:tc>
          <w:tcPr>
            <w:tcW w:w="2150" w:type="pct"/>
            <w:noWrap w:val="0"/>
            <w:vAlign w:val="center"/>
          </w:tcPr>
          <w:p>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firstLine="0" w:firstLineChars="0"/>
              <w:jc w:val="both"/>
              <w:textAlignment w:val="auto"/>
              <w:rPr>
                <w:rFonts w:hint="eastAsia" w:ascii="宋体" w:hAnsi="宋体" w:cs="宋体"/>
                <w:color w:val="auto"/>
                <w:sz w:val="24"/>
                <w:highlight w:val="none"/>
              </w:rPr>
            </w:pPr>
            <w:r>
              <w:rPr>
                <w:rStyle w:val="21"/>
                <w:rFonts w:hint="eastAsia" w:ascii="宋体" w:hAnsi="宋体" w:eastAsia="宋体" w:cs="宋体"/>
                <w:b w:val="0"/>
                <w:bCs/>
                <w:i w:val="0"/>
                <w:color w:val="auto"/>
                <w:spacing w:val="0"/>
                <w:w w:val="100"/>
                <w:sz w:val="24"/>
                <w:szCs w:val="24"/>
                <w:highlight w:val="none"/>
                <w:lang w:bidi="ar-SA"/>
              </w:rPr>
              <w:t>违反国家法律、法规和招标文件规定的其他无效情形</w:t>
            </w:r>
          </w:p>
        </w:tc>
        <w:tc>
          <w:tcPr>
            <w:tcW w:w="425" w:type="pct"/>
            <w:noWrap w:val="0"/>
            <w:vAlign w:val="top"/>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c>
          <w:tcPr>
            <w:tcW w:w="426" w:type="pct"/>
            <w:noWrap w:val="0"/>
            <w:vAlign w:val="center"/>
          </w:tcPr>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宋体" w:hAnsi="宋体" w:cs="宋体"/>
                <w:color w:val="auto"/>
                <w:sz w:val="24"/>
                <w:highlight w:val="none"/>
              </w:rPr>
            </w:pPr>
          </w:p>
        </w:tc>
      </w:tr>
    </w:tbl>
    <w:p>
      <w:pPr>
        <w:pageBreakBefore w:val="0"/>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cs="宋体"/>
          <w:b w:val="0"/>
          <w:i w:val="0"/>
          <w:color w:val="auto"/>
          <w:spacing w:val="0"/>
          <w:w w:val="100"/>
          <w:kern w:val="2"/>
          <w:sz w:val="24"/>
          <w:szCs w:val="22"/>
          <w:highlight w:val="none"/>
          <w:lang w:val="en-US" w:eastAsia="zh-CN" w:bidi="ar-SA"/>
        </w:rPr>
      </w:pPr>
    </w:p>
    <w:p>
      <w:pPr>
        <w:pageBreakBefore w:val="0"/>
        <w:kinsoku/>
        <w:wordWrap/>
        <w:overflowPunct/>
        <w:topLinePunct w:val="0"/>
        <w:bidi w:val="0"/>
        <w:snapToGrid/>
        <w:spacing w:before="0" w:beforeAutospacing="0" w:after="0" w:afterAutospacing="0" w:line="360" w:lineRule="auto"/>
        <w:ind w:firstLine="482" w:firstLineChars="200"/>
        <w:jc w:val="both"/>
        <w:rPr>
          <w:rStyle w:val="21"/>
          <w:rFonts w:hint="default" w:ascii="宋体" w:hAnsi="宋体" w:eastAsia="宋体" w:cs="宋体"/>
          <w:bCs/>
          <w:i w:val="0"/>
          <w:color w:val="auto"/>
          <w:spacing w:val="0"/>
          <w:w w:val="100"/>
          <w:kern w:val="2"/>
          <w:sz w:val="24"/>
          <w:szCs w:val="22"/>
          <w:highlight w:val="none"/>
          <w:lang w:val="en-US" w:eastAsia="zh-CN" w:bidi="ar-SA"/>
        </w:rPr>
      </w:pPr>
      <w:r>
        <w:rPr>
          <w:rStyle w:val="21"/>
          <w:rFonts w:hint="eastAsia" w:ascii="宋体" w:hAnsi="宋体" w:eastAsia="宋体" w:cs="宋体"/>
          <w:bCs/>
          <w:i w:val="0"/>
          <w:color w:val="auto"/>
          <w:spacing w:val="0"/>
          <w:w w:val="100"/>
          <w:kern w:val="2"/>
          <w:sz w:val="24"/>
          <w:szCs w:val="22"/>
          <w:highlight w:val="none"/>
          <w:lang w:val="en-US" w:eastAsia="zh-CN" w:bidi="ar-SA"/>
        </w:rPr>
        <w:t>2、详细评审</w:t>
      </w:r>
    </w:p>
    <w:tbl>
      <w:tblPr>
        <w:tblStyle w:val="1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1518"/>
        <w:gridCol w:w="1701"/>
        <w:gridCol w:w="417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410" w:type="dxa"/>
            <w:gridSpan w:val="2"/>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eastAsia="宋体" w:cs="宋体"/>
                <w:b/>
                <w:color w:val="auto"/>
                <w:sz w:val="24"/>
                <w:szCs w:val="24"/>
                <w:highlight w:val="none"/>
              </w:rPr>
              <w:t>评分因素</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eastAsia="宋体" w:cs="宋体"/>
                <w:b/>
                <w:color w:val="auto"/>
                <w:sz w:val="24"/>
                <w:szCs w:val="24"/>
                <w:highlight w:val="none"/>
              </w:rPr>
              <w:t>评分点</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eastAsia="宋体" w:cs="宋体"/>
                <w:b/>
                <w:color w:val="auto"/>
                <w:sz w:val="24"/>
                <w:szCs w:val="24"/>
                <w:highlight w:val="none"/>
              </w:rPr>
              <w:t>评分标准</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szCs w:val="24"/>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7" w:hRule="atLeast"/>
          <w:jc w:val="center"/>
        </w:trPr>
        <w:tc>
          <w:tcPr>
            <w:tcW w:w="892" w:type="dxa"/>
            <w:vMerge w:val="restart"/>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详细评审</w:t>
            </w:r>
          </w:p>
        </w:tc>
        <w:tc>
          <w:tcPr>
            <w:tcW w:w="151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20分</w:t>
            </w:r>
            <w:r>
              <w:rPr>
                <w:rFonts w:hint="eastAsia" w:ascii="宋体" w:hAnsi="宋体" w:cs="宋体"/>
                <w:color w:val="auto"/>
                <w:sz w:val="24"/>
                <w:szCs w:val="24"/>
                <w:highlight w:val="none"/>
                <w:lang w:eastAsia="zh-CN"/>
              </w:rPr>
              <w:t>）</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cs="宋体"/>
                <w:color w:val="auto"/>
                <w:sz w:val="24"/>
                <w:highlight w:val="none"/>
              </w:rPr>
            </w:pPr>
            <w:r>
              <w:rPr>
                <w:rFonts w:hint="eastAsia" w:ascii="宋体" w:hAnsi="宋体" w:eastAsia="宋体" w:cs="宋体"/>
                <w:bCs/>
                <w:color w:val="auto"/>
                <w:sz w:val="24"/>
                <w:szCs w:val="24"/>
                <w:highlight w:val="none"/>
              </w:rPr>
              <w:t>磋商小组只对符合性检查合格的响应文件进行价格评议，报价分采用低价优先法计算，即满足磋商文件要求且最终报价最低为评审基准价，其价格分为满分。其他供应商的价格分按照下列公式计算：磋商报价得分=(</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基准价／</w:t>
            </w:r>
            <w:r>
              <w:rPr>
                <w:rFonts w:hint="eastAsia" w:ascii="宋体" w:hAnsi="宋体" w:eastAsia="宋体" w:cs="宋体"/>
                <w:bCs/>
                <w:color w:val="auto"/>
                <w:sz w:val="24"/>
                <w:szCs w:val="24"/>
                <w:highlight w:val="none"/>
                <w:lang w:val="en-US" w:eastAsia="zh-CN"/>
              </w:rPr>
              <w:t>最后磋商</w:t>
            </w: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 w:hRule="atLeast"/>
          <w:jc w:val="center"/>
        </w:trPr>
        <w:tc>
          <w:tcPr>
            <w:tcW w:w="892" w:type="dxa"/>
            <w:vMerge w:val="continue"/>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518" w:type="dxa"/>
            <w:vMerge w:val="restart"/>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商务标评审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15分</w:t>
            </w:r>
            <w:r>
              <w:rPr>
                <w:rFonts w:hint="eastAsia" w:ascii="宋体" w:hAnsi="宋体" w:cs="宋体"/>
                <w:color w:val="auto"/>
                <w:sz w:val="24"/>
                <w:szCs w:val="24"/>
                <w:highlight w:val="none"/>
                <w:lang w:eastAsia="zh-CN"/>
              </w:rPr>
              <w:t>）</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技术服务人员能力</w:t>
            </w:r>
            <w:r>
              <w:rPr>
                <w:rFonts w:hint="eastAsia" w:ascii="宋体" w:hAnsi="宋体" w:eastAsia="宋体" w:cs="宋体"/>
                <w:color w:val="auto"/>
                <w:sz w:val="24"/>
                <w:szCs w:val="24"/>
                <w:highlight w:val="none"/>
                <w:lang w:val="en-US" w:eastAsia="zh-CN"/>
              </w:rPr>
              <w:t>（10分）</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专业技术团队人员配备情况，技术人员的能力与经验，有相应的培训及考核证书，对仪器设备的安装调试和使用操作人员的培训方案。根据供应商为此项目配置的技术人员的数量、便利性、合理性等进行评分：配置方案完善，人员构成科学合理的得 10 分；配置方案较完善，人员构成较科学合理的得 6 分；未提供配置方案，或提供的方案不可行的得 0 分。</w:t>
            </w:r>
          </w:p>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注：需提供身份证、社保缴纳证明及相关证书复印件，提供不全或不提供者不得分。</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0" w:hRule="atLeast"/>
          <w:jc w:val="center"/>
        </w:trPr>
        <w:tc>
          <w:tcPr>
            <w:tcW w:w="892" w:type="dxa"/>
            <w:vMerge w:val="continue"/>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518" w:type="dxa"/>
            <w:vMerge w:val="continue"/>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企业</w:t>
            </w:r>
            <w:r>
              <w:rPr>
                <w:rFonts w:hint="eastAsia" w:ascii="宋体" w:hAnsi="宋体" w:cs="宋体"/>
                <w:color w:val="auto"/>
                <w:sz w:val="24"/>
                <w:szCs w:val="24"/>
                <w:highlight w:val="none"/>
                <w:lang w:eastAsia="zh-CN"/>
              </w:rPr>
              <w:t>业绩</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5分</w:t>
            </w:r>
            <w:r>
              <w:rPr>
                <w:rFonts w:hint="eastAsia" w:ascii="宋体" w:hAnsi="宋体" w:cs="宋体"/>
                <w:color w:val="auto"/>
                <w:sz w:val="24"/>
                <w:szCs w:val="24"/>
                <w:highlight w:val="none"/>
                <w:lang w:eastAsia="zh-CN"/>
              </w:rPr>
              <w:t>）</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Cs/>
                <w:color w:val="auto"/>
                <w:sz w:val="24"/>
                <w:szCs w:val="24"/>
                <w:highlight w:val="none"/>
              </w:rPr>
            </w:pPr>
            <w:r>
              <w:rPr>
                <w:rFonts w:hint="eastAsia" w:ascii="宋体" w:hAnsi="宋体" w:cs="宋体"/>
                <w:color w:val="auto"/>
                <w:kern w:val="0"/>
                <w:sz w:val="24"/>
                <w:szCs w:val="24"/>
                <w:highlight w:val="none"/>
                <w:lang w:val="en-US"/>
              </w:rPr>
              <w:t>供应商提供（2018年至今）的类似销售业绩，每提供一项得1分，不提供不得分，最高得5分，须提供中标通知书或或合同原件。</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518" w:type="dxa"/>
            <w:vMerge w:val="restart"/>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技术标评审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65分</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服务能力</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（10分）</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1、提供紧急配件及常用备品备件明细清单齐全得5分，不提供不得分。</w:t>
            </w:r>
          </w:p>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为保证服务质量，综合考虑供应商所提供的服务质量标准、是否具备核磁设备维修保养系统以及服务质量保证措施，须提出相适应的服务措施及方案。完全满足招标要求，并能加以优化，措施完善，方案具体，切实可行得5分；基本满足招标要求，方案全面，措施到位，可操作性合理得3分；方案粗略，措施欠妥，可操作性较差得1分，未提供不得分。</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518" w:type="dxa"/>
            <w:vMerge w:val="continue"/>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技术指标</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（50分）</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1、供应商全部满足招标文件“第三章采购项目技术规格、参数及要求”技术要求的得</w:t>
            </w:r>
            <w:r>
              <w:rPr>
                <w:rFonts w:hint="eastAsia" w:ascii="宋体" w:hAnsi="宋体" w:cs="宋体"/>
                <w:color w:val="auto"/>
                <w:sz w:val="24"/>
                <w:highlight w:val="none"/>
                <w:lang w:val="en-US" w:eastAsia="zh-CN"/>
              </w:rPr>
              <w:t>46</w:t>
            </w:r>
            <w:r>
              <w:rPr>
                <w:rFonts w:hint="eastAsia" w:ascii="宋体" w:hAnsi="宋体" w:eastAsia="宋体" w:cs="宋体"/>
                <w:color w:val="auto"/>
                <w:sz w:val="24"/>
                <w:highlight w:val="none"/>
                <w:lang w:val="en-US" w:eastAsia="zh-CN"/>
              </w:rPr>
              <w:t>分；由专家评审，逐条确定是否达到技术要求，技术要求一项不满足扣4分，扣完为止。</w:t>
            </w:r>
          </w:p>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2、技术指标和性能高于招标文件中技术要求和性能的可加分，每一项加2分，最多加4分。</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518" w:type="dxa"/>
            <w:vMerge w:val="continue"/>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cs="宋体"/>
                <w:color w:val="auto"/>
                <w:sz w:val="24"/>
                <w:highlight w:val="none"/>
              </w:rPr>
            </w:pP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企业的承诺及优惠条件（5分）</w:t>
            </w:r>
          </w:p>
        </w:tc>
        <w:tc>
          <w:tcPr>
            <w:tcW w:w="4178"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1.有非常满意的承诺和优惠条件得5分；</w:t>
            </w:r>
          </w:p>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2.有较好的承诺和优惠条件得2分；</w:t>
            </w:r>
          </w:p>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3.承诺较差、优惠条件一般得1分。</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289" w:type="dxa"/>
            <w:gridSpan w:val="4"/>
            <w:shd w:val="clear" w:color="auto" w:fill="FEFEF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合计</w:t>
            </w:r>
          </w:p>
        </w:tc>
        <w:tc>
          <w:tcPr>
            <w:tcW w:w="1701" w:type="dxa"/>
            <w:shd w:val="clear" w:color="auto" w:fill="FEFEF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100分</w:t>
            </w:r>
          </w:p>
        </w:tc>
      </w:tr>
    </w:tbl>
    <w:p>
      <w:pPr>
        <w:pStyle w:val="6"/>
        <w:rPr>
          <w:rStyle w:val="21"/>
          <w:rFonts w:hint="eastAsia" w:ascii="宋体" w:hAnsi="宋体" w:eastAsia="宋体" w:cs="宋体"/>
          <w:bCs/>
          <w:i w:val="0"/>
          <w:color w:val="auto"/>
          <w:spacing w:val="0"/>
          <w:w w:val="100"/>
          <w:kern w:val="2"/>
          <w:sz w:val="24"/>
          <w:szCs w:val="22"/>
          <w:highlight w:val="none"/>
          <w:lang w:val="en-US" w:eastAsia="zh-CN" w:bidi="ar-SA"/>
        </w:rPr>
      </w:pPr>
      <w:r>
        <w:rPr>
          <w:rStyle w:val="21"/>
          <w:rFonts w:hint="eastAsia" w:ascii="宋体" w:hAnsi="宋体" w:eastAsia="宋体" w:cs="宋体"/>
          <w:bCs/>
          <w:i w:val="0"/>
          <w:color w:val="auto"/>
          <w:spacing w:val="0"/>
          <w:w w:val="100"/>
          <w:kern w:val="2"/>
          <w:sz w:val="24"/>
          <w:szCs w:val="22"/>
          <w:highlight w:val="none"/>
          <w:lang w:val="en-US" w:eastAsia="zh-CN" w:bidi="ar-SA"/>
        </w:rPr>
        <w:t>3、政府采购政策</w:t>
      </w:r>
    </w:p>
    <w:p>
      <w:pPr>
        <w:pageBreakBefore w:val="0"/>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2"/>
          <w:sz w:val="24"/>
          <w:szCs w:val="22"/>
          <w:highlight w:val="none"/>
          <w:lang w:val="en-US" w:eastAsia="zh-CN" w:bidi="ar-SA"/>
        </w:rPr>
      </w:pPr>
      <w:r>
        <w:rPr>
          <w:rFonts w:hint="default"/>
          <w:color w:val="auto"/>
          <w:sz w:val="24"/>
          <w:szCs w:val="24"/>
          <w:highlight w:val="none"/>
          <w:lang w:val="en-US" w:eastAsia="zh-CN"/>
        </w:rPr>
        <w:t>本项目专门面向中小企业采购，供应商须按《政府采购促进中小企业发展管理办法》（财库〔2020〕46号）第四条的规定参与此次投标，并提供中小企业声明函。</w:t>
      </w:r>
    </w:p>
    <w:p>
      <w:pPr>
        <w:pageBreakBefore w:val="0"/>
        <w:kinsoku/>
        <w:wordWrap/>
        <w:overflowPunct/>
        <w:topLinePunct w:val="0"/>
        <w:bidi w:val="0"/>
        <w:snapToGrid/>
        <w:spacing w:before="0" w:beforeAutospacing="0" w:after="0" w:afterAutospacing="0" w:line="360" w:lineRule="auto"/>
        <w:ind w:firstLine="482" w:firstLineChars="200"/>
        <w:jc w:val="both"/>
        <w:rPr>
          <w:rStyle w:val="21"/>
          <w:rFonts w:hint="default" w:ascii="宋体" w:hAnsi="宋体" w:eastAsia="宋体" w:cs="宋体"/>
          <w:b/>
          <w:bCs/>
          <w:i w:val="0"/>
          <w:color w:val="auto"/>
          <w:spacing w:val="0"/>
          <w:w w:val="100"/>
          <w:kern w:val="2"/>
          <w:sz w:val="24"/>
          <w:szCs w:val="22"/>
          <w:highlight w:val="none"/>
          <w:lang w:val="en-US" w:eastAsia="zh-CN" w:bidi="ar-SA"/>
        </w:rPr>
      </w:pPr>
      <w:r>
        <w:rPr>
          <w:rStyle w:val="21"/>
          <w:rFonts w:hint="eastAsia" w:ascii="宋体" w:hAnsi="宋体" w:eastAsia="宋体" w:cs="宋体"/>
          <w:b/>
          <w:bCs/>
          <w:i w:val="0"/>
          <w:color w:val="auto"/>
          <w:spacing w:val="0"/>
          <w:w w:val="100"/>
          <w:kern w:val="2"/>
          <w:sz w:val="24"/>
          <w:szCs w:val="22"/>
          <w:highlight w:val="none"/>
          <w:lang w:val="en-US" w:eastAsia="zh-CN" w:bidi="ar-SA"/>
        </w:rPr>
        <w:t>4、评标原则</w:t>
      </w:r>
    </w:p>
    <w:p>
      <w:pPr>
        <w:pageBreakBefore w:val="0"/>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2"/>
          <w:sz w:val="24"/>
          <w:szCs w:val="22"/>
          <w:highlight w:val="none"/>
          <w:lang w:val="en-US" w:eastAsia="zh-CN" w:bidi="ar-SA"/>
        </w:rPr>
      </w:pPr>
      <w:r>
        <w:rPr>
          <w:rStyle w:val="21"/>
          <w:rFonts w:hint="eastAsia" w:ascii="宋体" w:hAnsi="宋体" w:cs="宋体"/>
          <w:b w:val="0"/>
          <w:i w:val="0"/>
          <w:color w:val="auto"/>
          <w:spacing w:val="0"/>
          <w:w w:val="100"/>
          <w:kern w:val="2"/>
          <w:sz w:val="24"/>
          <w:szCs w:val="22"/>
          <w:highlight w:val="none"/>
          <w:lang w:val="en-US" w:eastAsia="zh-CN" w:bidi="ar-SA"/>
        </w:rPr>
        <w:t>4.1</w:t>
      </w:r>
      <w:r>
        <w:rPr>
          <w:rStyle w:val="21"/>
          <w:rFonts w:hint="eastAsia" w:ascii="宋体" w:hAnsi="宋体" w:eastAsia="宋体" w:cs="宋体"/>
          <w:b w:val="0"/>
          <w:i w:val="0"/>
          <w:color w:val="auto"/>
          <w:spacing w:val="0"/>
          <w:w w:val="100"/>
          <w:kern w:val="2"/>
          <w:sz w:val="24"/>
          <w:szCs w:val="22"/>
          <w:highlight w:val="none"/>
          <w:lang w:val="en-US" w:eastAsia="zh-CN" w:bidi="ar-SA"/>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2"/>
          <w:sz w:val="24"/>
          <w:szCs w:val="22"/>
          <w:highlight w:val="none"/>
          <w:lang w:val="en-US" w:eastAsia="zh-CN" w:bidi="ar-SA"/>
        </w:rPr>
      </w:pPr>
      <w:r>
        <w:rPr>
          <w:rStyle w:val="21"/>
          <w:rFonts w:hint="eastAsia" w:ascii="宋体" w:hAnsi="宋体" w:cs="宋体"/>
          <w:b w:val="0"/>
          <w:i w:val="0"/>
          <w:color w:val="auto"/>
          <w:spacing w:val="0"/>
          <w:w w:val="100"/>
          <w:kern w:val="2"/>
          <w:sz w:val="24"/>
          <w:szCs w:val="22"/>
          <w:highlight w:val="none"/>
          <w:lang w:val="en-US" w:eastAsia="zh-CN" w:bidi="ar-SA"/>
        </w:rPr>
        <w:t>4.2</w:t>
      </w:r>
      <w:r>
        <w:rPr>
          <w:rStyle w:val="21"/>
          <w:rFonts w:hint="eastAsia" w:ascii="宋体" w:hAnsi="宋体" w:eastAsia="宋体" w:cs="宋体"/>
          <w:b w:val="0"/>
          <w:i w:val="0"/>
          <w:color w:val="auto"/>
          <w:spacing w:val="0"/>
          <w:w w:val="100"/>
          <w:kern w:val="2"/>
          <w:sz w:val="24"/>
          <w:szCs w:val="22"/>
          <w:highlight w:val="none"/>
          <w:lang w:val="en-US" w:eastAsia="zh-CN" w:bidi="ar-SA"/>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2"/>
          <w:sz w:val="24"/>
          <w:szCs w:val="22"/>
          <w:highlight w:val="none"/>
          <w:lang w:val="en-US" w:eastAsia="zh-CN" w:bidi="ar-SA"/>
        </w:rPr>
      </w:pPr>
      <w:r>
        <w:rPr>
          <w:rStyle w:val="21"/>
          <w:rFonts w:hint="eastAsia" w:ascii="宋体" w:hAnsi="宋体" w:cs="宋体"/>
          <w:b w:val="0"/>
          <w:i w:val="0"/>
          <w:color w:val="auto"/>
          <w:spacing w:val="0"/>
          <w:w w:val="100"/>
          <w:kern w:val="2"/>
          <w:sz w:val="24"/>
          <w:szCs w:val="22"/>
          <w:highlight w:val="none"/>
          <w:lang w:val="en-US" w:eastAsia="zh-CN" w:bidi="ar-SA"/>
        </w:rPr>
        <w:t>4.3</w:t>
      </w:r>
      <w:r>
        <w:rPr>
          <w:rStyle w:val="21"/>
          <w:rFonts w:hint="eastAsia" w:ascii="宋体" w:hAnsi="宋体" w:eastAsia="宋体" w:cs="宋体"/>
          <w:b w:val="0"/>
          <w:i w:val="0"/>
          <w:color w:val="auto"/>
          <w:spacing w:val="0"/>
          <w:w w:val="100"/>
          <w:kern w:val="2"/>
          <w:sz w:val="24"/>
          <w:szCs w:val="22"/>
          <w:highlight w:val="none"/>
          <w:lang w:val="en-US" w:eastAsia="zh-CN" w:bidi="ar-SA"/>
        </w:rPr>
        <w:t>、在任何评标环节中，需评标委员会就某项评审结论做出表决的，由评标委员会全体成员按照少数服从多数的原则，以记名投票方式表决。</w:t>
      </w:r>
    </w:p>
    <w:p>
      <w:pPr>
        <w:spacing w:line="360" w:lineRule="auto"/>
        <w:ind w:firstLine="482" w:firstLineChars="200"/>
        <w:rPr>
          <w:rStyle w:val="21"/>
          <w:rFonts w:hint="eastAsia" w:ascii="宋体" w:hAnsi="宋体" w:eastAsia="宋体" w:cs="宋体"/>
          <w:b/>
          <w:bCs/>
          <w:i w:val="0"/>
          <w:color w:val="auto"/>
          <w:spacing w:val="0"/>
          <w:w w:val="100"/>
          <w:kern w:val="2"/>
          <w:sz w:val="24"/>
          <w:szCs w:val="22"/>
          <w:highlight w:val="none"/>
          <w:lang w:val="en-US" w:eastAsia="zh-CN" w:bidi="ar-SA"/>
        </w:rPr>
      </w:pPr>
      <w:r>
        <w:rPr>
          <w:rStyle w:val="21"/>
          <w:rFonts w:hint="eastAsia" w:ascii="宋体" w:hAnsi="宋体" w:eastAsia="宋体" w:cs="宋体"/>
          <w:b/>
          <w:bCs/>
          <w:i w:val="0"/>
          <w:color w:val="auto"/>
          <w:spacing w:val="0"/>
          <w:w w:val="100"/>
          <w:kern w:val="2"/>
          <w:sz w:val="24"/>
          <w:szCs w:val="22"/>
          <w:highlight w:val="none"/>
          <w:lang w:val="en-US" w:eastAsia="zh-CN" w:bidi="ar-SA"/>
        </w:rPr>
        <w:t>5、中标人的确定</w:t>
      </w:r>
    </w:p>
    <w:p>
      <w:pPr>
        <w:spacing w:line="360" w:lineRule="auto"/>
        <w:ind w:firstLine="480" w:firstLineChars="200"/>
        <w:rPr>
          <w:rStyle w:val="21"/>
          <w:rFonts w:hint="eastAsia" w:ascii="宋体" w:hAnsi="宋体" w:eastAsia="宋体" w:cs="宋体"/>
          <w:b w:val="0"/>
          <w:i w:val="0"/>
          <w:color w:val="auto"/>
          <w:spacing w:val="0"/>
          <w:w w:val="100"/>
          <w:kern w:val="2"/>
          <w:sz w:val="24"/>
          <w:szCs w:val="22"/>
          <w:highlight w:val="none"/>
          <w:lang w:val="en-US" w:eastAsia="zh-CN" w:bidi="ar-SA"/>
        </w:rPr>
      </w:pPr>
      <w:r>
        <w:rPr>
          <w:rStyle w:val="21"/>
          <w:rFonts w:hint="eastAsia" w:ascii="宋体" w:hAnsi="宋体" w:eastAsia="宋体" w:cs="宋体"/>
          <w:b w:val="0"/>
          <w:i w:val="0"/>
          <w:color w:val="auto"/>
          <w:spacing w:val="0"/>
          <w:w w:val="100"/>
          <w:kern w:val="2"/>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pPr>
        <w:spacing w:line="360" w:lineRule="auto"/>
        <w:ind w:firstLine="480" w:firstLineChars="200"/>
        <w:rPr>
          <w:rStyle w:val="21"/>
          <w:rFonts w:hint="eastAsia" w:ascii="宋体" w:hAnsi="宋体" w:eastAsia="宋体" w:cs="宋体"/>
          <w:b w:val="0"/>
          <w:i w:val="0"/>
          <w:color w:val="auto"/>
          <w:spacing w:val="0"/>
          <w:w w:val="100"/>
          <w:kern w:val="2"/>
          <w:sz w:val="24"/>
          <w:szCs w:val="22"/>
          <w:highlight w:val="none"/>
          <w:lang w:val="en-US" w:eastAsia="zh-CN" w:bidi="ar-SA"/>
        </w:rPr>
      </w:pPr>
      <w:r>
        <w:rPr>
          <w:rStyle w:val="21"/>
          <w:rFonts w:hint="eastAsia" w:ascii="宋体" w:hAnsi="宋体" w:eastAsia="宋体" w:cs="宋体"/>
          <w:b w:val="0"/>
          <w:i w:val="0"/>
          <w:color w:val="auto"/>
          <w:spacing w:val="0"/>
          <w:w w:val="100"/>
          <w:kern w:val="2"/>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pPr>
        <w:rPr>
          <w:rFonts w:hint="eastAsia"/>
          <w:color w:val="auto"/>
          <w:sz w:val="36"/>
          <w:szCs w:val="36"/>
          <w:highlight w:val="none"/>
        </w:rPr>
      </w:pPr>
      <w:r>
        <w:rPr>
          <w:rFonts w:hint="eastAsia"/>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color w:val="auto"/>
          <w:sz w:val="20"/>
          <w:highlight w:val="none"/>
        </w:rPr>
      </w:pPr>
      <w:bookmarkStart w:id="90" w:name="_Toc32405"/>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合同格式</w:t>
      </w:r>
      <w:r>
        <w:rPr>
          <w:rFonts w:hint="eastAsia"/>
          <w:color w:val="auto"/>
          <w:sz w:val="36"/>
          <w:szCs w:val="36"/>
          <w:highlight w:val="none"/>
        </w:rPr>
        <w:t>及</w:t>
      </w:r>
      <w:r>
        <w:rPr>
          <w:rFonts w:hint="eastAsia"/>
          <w:color w:val="auto"/>
          <w:sz w:val="36"/>
          <w:szCs w:val="36"/>
          <w:highlight w:val="none"/>
          <w:lang w:eastAsia="zh-CN"/>
        </w:rPr>
        <w:t>合同</w:t>
      </w:r>
      <w:r>
        <w:rPr>
          <w:rFonts w:hint="eastAsia"/>
          <w:color w:val="auto"/>
          <w:sz w:val="36"/>
          <w:szCs w:val="36"/>
          <w:highlight w:val="none"/>
        </w:rPr>
        <w:t>条款</w:t>
      </w:r>
      <w:bookmarkEnd w:id="90"/>
    </w:p>
    <w:p>
      <w:pPr>
        <w:tabs>
          <w:tab w:val="left" w:pos="720"/>
        </w:tabs>
        <w:spacing w:line="360" w:lineRule="auto"/>
        <w:jc w:val="center"/>
        <w:rPr>
          <w:rFonts w:hint="eastAsia" w:ascii="宋体" w:hAnsi="宋体"/>
          <w:b/>
          <w:color w:val="auto"/>
          <w:sz w:val="28"/>
          <w:szCs w:val="28"/>
          <w:highlight w:val="none"/>
          <w:u w:val="single"/>
        </w:rPr>
      </w:pPr>
    </w:p>
    <w:p>
      <w:pPr>
        <w:tabs>
          <w:tab w:val="left" w:pos="720"/>
        </w:tabs>
        <w:spacing w:line="360" w:lineRule="auto"/>
        <w:jc w:val="center"/>
        <w:rPr>
          <w:rFonts w:hint="eastAsia" w:ascii="宋体" w:hAnsi="宋体"/>
          <w:b/>
          <w:color w:val="auto"/>
          <w:sz w:val="28"/>
          <w:szCs w:val="28"/>
          <w:highlight w:val="none"/>
          <w:u w:val="single"/>
        </w:rPr>
      </w:pPr>
    </w:p>
    <w:p>
      <w:pPr>
        <w:tabs>
          <w:tab w:val="left" w:pos="720"/>
        </w:tabs>
        <w:spacing w:line="360" w:lineRule="auto"/>
        <w:jc w:val="center"/>
        <w:rPr>
          <w:rFonts w:hint="eastAsia" w:ascii="宋体" w:hAnsi="宋体" w:eastAsia="宋体" w:cs="宋体"/>
          <w:b/>
          <w:color w:val="auto"/>
          <w:sz w:val="28"/>
          <w:szCs w:val="28"/>
          <w:highlight w:val="none"/>
          <w:u w:val="single"/>
        </w:rPr>
      </w:pPr>
      <w:bookmarkStart w:id="91" w:name="_Toc456291165"/>
      <w:bookmarkStart w:id="92" w:name="_Toc456291260"/>
      <w:bookmarkStart w:id="93" w:name="_Toc456291537"/>
      <w:bookmarkStart w:id="94" w:name="_Toc456291479"/>
      <w:bookmarkStart w:id="95" w:name="_Toc456291280"/>
      <w:bookmarkStart w:id="96" w:name="_Toc456291354"/>
    </w:p>
    <w:p>
      <w:pPr>
        <w:tabs>
          <w:tab w:val="left" w:pos="720"/>
        </w:tabs>
        <w:spacing w:line="360" w:lineRule="auto"/>
        <w:jc w:val="center"/>
        <w:rPr>
          <w:rFonts w:hint="eastAsia" w:ascii="宋体" w:hAnsi="宋体" w:eastAsia="宋体" w:cs="宋体"/>
          <w:b/>
          <w:color w:val="auto"/>
          <w:sz w:val="28"/>
          <w:szCs w:val="28"/>
          <w:highlight w:val="none"/>
          <w:u w:val="single"/>
        </w:rPr>
      </w:pPr>
    </w:p>
    <w:p>
      <w:pPr>
        <w:tabs>
          <w:tab w:val="left" w:pos="720"/>
        </w:tabs>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政府采购</w:t>
      </w:r>
    </w:p>
    <w:p>
      <w:pPr>
        <w:tabs>
          <w:tab w:val="left" w:pos="720"/>
        </w:tabs>
        <w:spacing w:line="360" w:lineRule="auto"/>
        <w:jc w:val="center"/>
        <w:rPr>
          <w:rFonts w:hint="eastAsia" w:ascii="宋体" w:hAnsi="宋体" w:eastAsia="宋体" w:cs="宋体"/>
          <w:b/>
          <w:color w:val="auto"/>
          <w:sz w:val="28"/>
          <w:szCs w:val="28"/>
          <w:highlight w:val="none"/>
        </w:rPr>
      </w:pPr>
    </w:p>
    <w:p>
      <w:pPr>
        <w:tabs>
          <w:tab w:val="left" w:pos="720"/>
        </w:tabs>
        <w:spacing w:line="360" w:lineRule="auto"/>
        <w:jc w:val="center"/>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ind w:firstLine="1110" w:firstLineChars="3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采购编号：</w:t>
      </w:r>
      <w:r>
        <w:rPr>
          <w:rFonts w:hint="eastAsia" w:ascii="宋体" w:hAnsi="宋体" w:eastAsia="宋体" w:cs="宋体"/>
          <w:b/>
          <w:color w:val="auto"/>
          <w:sz w:val="28"/>
          <w:szCs w:val="28"/>
          <w:highlight w:val="none"/>
          <w:u w:val="single"/>
        </w:rPr>
        <w:t xml:space="preserve">                      </w:t>
      </w: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ind w:firstLine="1110" w:firstLineChars="3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tabs>
          <w:tab w:val="left" w:pos="720"/>
        </w:tabs>
        <w:spacing w:line="360" w:lineRule="auto"/>
        <w:rPr>
          <w:rFonts w:hint="eastAsia" w:ascii="宋体" w:hAnsi="宋体" w:eastAsia="宋体" w:cs="宋体"/>
          <w:b/>
          <w:color w:val="auto"/>
          <w:sz w:val="28"/>
          <w:szCs w:val="28"/>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注：本协议书仅为参考文本，签订双方可根据项目的具体要求进行修订。</w:t>
      </w:r>
    </w:p>
    <w:p>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szCs w:val="24"/>
          <w:highlight w:val="none"/>
        </w:rPr>
        <w:t>合同主要条款</w:t>
      </w:r>
    </w:p>
    <w:p>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具体合同条款以最终签订为准</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52"/>
        <w:spacing w:line="560" w:lineRule="exact"/>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本合同中和附件中所用的下列术语应解释为：</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1.1“买方”系指买服务的单位。</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1.2“卖方”系指提供合同服务和服务的经济实体。</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1.3“合同”系指买方、卖方双方签署的、合同格式中载明的供需双方所达成的协议，包括所有附件、附表和组成合同的所有文件。</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1.4“合同价格”系指根据合同规定，在卖方全面正确的履行合同义务时买方应支付给卖方的货币额。</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1.5“服务”系指根据合同所含招标文件中技术规范要求的服务内容及其它类似的义务。</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合同标的(详见技术规格及要求)</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供货范围</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合同的采购范围详见第三章相关条款。</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合同价格</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合同价格即</w:t>
      </w:r>
      <w:r>
        <w:rPr>
          <w:rFonts w:hint="eastAsia" w:ascii="宋体" w:hAnsi="宋体" w:eastAsia="宋体" w:cs="宋体"/>
          <w:color w:val="auto"/>
          <w:sz w:val="24"/>
          <w:szCs w:val="24"/>
          <w:highlight w:val="none"/>
          <w:u w:val="single"/>
        </w:rPr>
        <w:t>合同总价（      ）万元（大写:       万元）</w:t>
      </w:r>
      <w:r>
        <w:rPr>
          <w:rFonts w:hint="eastAsia" w:ascii="宋体" w:hAnsi="宋体" w:eastAsia="宋体" w:cs="宋体"/>
          <w:color w:val="auto"/>
          <w:sz w:val="24"/>
          <w:szCs w:val="24"/>
          <w:highlight w:val="none"/>
        </w:rPr>
        <w:t>。</w:t>
      </w:r>
    </w:p>
    <w:p>
      <w:pPr>
        <w:pStyle w:val="52"/>
        <w:spacing w:line="560" w:lineRule="exact"/>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本合同采用的合同价格方式为固定合同总价，包括服务及与合同有关的所有费用。</w:t>
      </w:r>
    </w:p>
    <w:p>
      <w:pPr>
        <w:pStyle w:val="8"/>
        <w:spacing w:line="56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合同</w:t>
      </w:r>
      <w:r>
        <w:rPr>
          <w:rFonts w:hint="eastAsia" w:ascii="宋体" w:hAnsi="宋体" w:eastAsia="宋体" w:cs="宋体"/>
          <w:color w:val="auto"/>
          <w:sz w:val="24"/>
          <w:szCs w:val="24"/>
          <w:highlight w:val="none"/>
          <w:u w:val="single"/>
        </w:rPr>
        <w:t>价格为（      ）万元</w:t>
      </w:r>
      <w:r>
        <w:rPr>
          <w:rFonts w:hint="eastAsia" w:ascii="宋体" w:hAnsi="宋体" w:eastAsia="宋体" w:cs="宋体"/>
          <w:color w:val="auto"/>
          <w:sz w:val="24"/>
          <w:szCs w:val="24"/>
          <w:highlight w:val="none"/>
        </w:rPr>
        <w:t>。</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合同</w:t>
      </w:r>
      <w:r>
        <w:rPr>
          <w:rFonts w:hint="eastAsia" w:ascii="宋体" w:hAnsi="宋体" w:eastAsia="宋体" w:cs="宋体"/>
          <w:color w:val="auto"/>
          <w:sz w:val="24"/>
          <w:szCs w:val="24"/>
          <w:highlight w:val="none"/>
          <w:u w:val="single"/>
        </w:rPr>
        <w:t>其他费为（      ）万元</w:t>
      </w:r>
      <w:r>
        <w:rPr>
          <w:rFonts w:hint="eastAsia" w:ascii="宋体" w:hAnsi="宋体" w:eastAsia="宋体" w:cs="宋体"/>
          <w:color w:val="auto"/>
          <w:sz w:val="24"/>
          <w:szCs w:val="24"/>
          <w:highlight w:val="none"/>
        </w:rPr>
        <w:t>。</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合同价格在合同执行期内不得变动。</w:t>
      </w:r>
    </w:p>
    <w:p>
      <w:pPr>
        <w:autoSpaceDE w:val="0"/>
        <w:autoSpaceDN w:val="0"/>
        <w:adjustRightInd w:val="0"/>
        <w:spacing w:before="22" w:line="520" w:lineRule="exact"/>
        <w:ind w:right="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4.2.1如因在合同履行过程中有变更，存在减少有关服务情况，经甲乙双方现场确认，报财务局审批后，按乙方中标时的固定单价对总价进行调减，并按有关规定签订补充合同。</w:t>
      </w:r>
    </w:p>
    <w:p>
      <w:pPr>
        <w:autoSpaceDE w:val="0"/>
        <w:autoSpaceDN w:val="0"/>
        <w:adjustRightIn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4.2.2如因在合同履行过程中，需追加与本合同标的相同的服务的，在不改变合同条款的 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w:t>
      </w:r>
    </w:p>
    <w:p>
      <w:pPr>
        <w:widowControl/>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 xml:space="preserve"> 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结算方式： </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本合同使用的货币种类为人民币。</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费用的支付：合同签订后支付合同价款的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按照工作要求和时限完成审计工作，经确认无误后支付剩余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服务期限</w:t>
      </w:r>
    </w:p>
    <w:p>
      <w:pPr>
        <w:snapToGrid w:val="0"/>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 本合同服务内</w:t>
      </w:r>
      <w:r>
        <w:rPr>
          <w:rFonts w:hint="eastAsia" w:ascii="宋体" w:hAnsi="宋体" w:eastAsia="宋体" w:cs="宋体"/>
          <w:color w:val="auto"/>
          <w:kern w:val="0"/>
          <w:sz w:val="24"/>
          <w:szCs w:val="24"/>
          <w:highlight w:val="none"/>
        </w:rPr>
        <w:t>容为满足招标文件的要求。</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违约罚款</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8.1如果卖方没有按照规定的时间完成服务，或没有达到投标文件中任一条款的承诺都是卖方违约。应向买方支付的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的违约金。如果达到最高限额，买方将考虑终止合同。</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不可抗力</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如果双方任何一方由于战争、严重的火灾、水灾、台风和地震以及其他双方同意属于不可抗力的事故，致使合同的履行受到影响时，履行合同的期限应予以延长，延长的期限应相当于事故所影响的时间。</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受事故影响的一方应在不可抗力发生后尽快以传真通知另一方，并在事故发生后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天内，将有关部门出具的证明文件用特快专递寄给另一方，如果不可抗力影响时间延续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天以上时，双方应通过友好协商在合理的时间内达成进一步履行合同的协议。</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税费</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本合同价格为含税价。卖方提供的服务等所有税费已全部包含在合同价格内，由卖方承担。</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合同争议的解决</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在执行本合同中所发生的或与本合同有关一切争端，买卖双方通过友好协商解决，如协商不能解决，双方应将争端提交人民法院诉讼解决。</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法院判决对双方均有约束力。</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由上述过程发生的费用除法院判决另有规定外，应有败诉方负担。</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在法院审理期间，除正在进行法院审理的部分外，本合同其他部分应继续执行。</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违约终止合同</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在买方对因卖方违约而采取的任何补救不受损害的情况下，买方可向卖方发出终止部分或全部合同的书面通知书。</w:t>
      </w:r>
    </w:p>
    <w:p>
      <w:pPr>
        <w:pStyle w:val="52"/>
        <w:spacing w:line="560" w:lineRule="exact"/>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A.如果卖方未能按合同规定的期限或买方同意延长的限期内提供部分或者全部服务。</w:t>
      </w:r>
    </w:p>
    <w:p>
      <w:pPr>
        <w:pStyle w:val="52"/>
        <w:spacing w:line="560" w:lineRule="exact"/>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B.如果卖方未能履行合同规定的其他任何义务。</w:t>
      </w:r>
    </w:p>
    <w:p>
      <w:pPr>
        <w:pStyle w:val="52"/>
        <w:spacing w:line="560" w:lineRule="exact"/>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在上述任一情况下，卖方在收到买方发出的违约通知后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天内，或经买方书面认可延长的时间内未能矫正其过失。</w:t>
      </w:r>
    </w:p>
    <w:p>
      <w:pPr>
        <w:pStyle w:val="53"/>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12.2 在买方根据12.1条规定，终止了全部或部分合同，买方可以依其认为适当的条件和方法购买类似未交的服务，卖方应对购买类似服务所超出的费用部分负责。但是，卖方应继续执行合同中未终止部分。</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转让和分包</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除买方事先书面同意外，卖方不得部分转让或全部转让其应履行的合同义务。</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如投标文件中没有明确分包合同，卖方应书面通知买方本合同中卖方所转授出的全部分包合同，但原投标文件或后来发出的通知均不能解除卖方履行本合同的义务。</w:t>
      </w:r>
    </w:p>
    <w:p>
      <w:pPr>
        <w:spacing w:line="560" w:lineRule="exact"/>
        <w:ind w:right="420" w:rightChars="20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卖方对部分或全部转让其应履行的义务而确定的分包合同负全部责任，买方不承担任何责任和义务。</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适用法律</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本合同按中华人民共和国的法律进行解释。</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合同生效及其他：</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合同在买方、卖方双方签字后即开始生效。</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本合同一式四份，以中文书写。买、卖双方各执两份。</w:t>
      </w:r>
    </w:p>
    <w:p>
      <w:pPr>
        <w:pStyle w:val="52"/>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招标文件、投标单位的投标文件、评标答疑记录及中标通知书都是本合同不可分割的一部分。</w:t>
      </w:r>
    </w:p>
    <w:p>
      <w:pPr>
        <w:spacing w:line="560" w:lineRule="exact"/>
        <w:ind w:firstLine="48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14.4如需修改或补充合同内容,经协商，买卖双方应签署书面修改或补充协议，该协议将作为本合同不可分割的一部分。</w:t>
      </w:r>
    </w:p>
    <w:p>
      <w:pPr>
        <w:rPr>
          <w:rFonts w:hint="eastAsia" w:ascii="宋体" w:hAnsi="宋体" w:eastAsia="宋体" w:cs="宋体"/>
          <w:color w:val="auto"/>
          <w:sz w:val="28"/>
          <w:szCs w:val="28"/>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91"/>
    <w:bookmarkEnd w:id="92"/>
    <w:bookmarkEnd w:id="93"/>
    <w:bookmarkEnd w:id="94"/>
    <w:bookmarkEnd w:id="95"/>
    <w:bookmarkEnd w:id="96"/>
    <w:p>
      <w:pPr>
        <w:pStyle w:val="3"/>
        <w:ind w:left="0" w:leftChars="0" w:firstLine="0" w:firstLineChars="0"/>
        <w:jc w:val="center"/>
        <w:rPr>
          <w:rFonts w:hint="eastAsia" w:ascii="宋体" w:hAnsi="宋体" w:eastAsia="宋体" w:cs="Times New Roman"/>
          <w:color w:val="auto"/>
          <w:szCs w:val="28"/>
          <w:highlight w:val="none"/>
          <w:lang w:val="en-US" w:eastAsia="zh-CN"/>
        </w:rPr>
      </w:pPr>
      <w:bookmarkStart w:id="97" w:name="_Toc5151"/>
      <w:r>
        <w:rPr>
          <w:rFonts w:hint="eastAsia"/>
          <w:color w:val="auto"/>
          <w:highlight w:val="none"/>
        </w:rPr>
        <w:t>第</w:t>
      </w:r>
      <w:r>
        <w:rPr>
          <w:rFonts w:hint="eastAsia"/>
          <w:color w:val="auto"/>
          <w:highlight w:val="none"/>
          <w:lang w:val="en-US" w:eastAsia="zh-CN"/>
        </w:rPr>
        <w:t>六</w:t>
      </w:r>
      <w:r>
        <w:rPr>
          <w:rFonts w:hint="eastAsia"/>
          <w:color w:val="auto"/>
          <w:highlight w:val="none"/>
        </w:rPr>
        <w:t>章</w:t>
      </w:r>
      <w:r>
        <w:rPr>
          <w:color w:val="auto"/>
          <w:sz w:val="28"/>
          <w:highlight w:val="none"/>
        </w:rPr>
        <w:t xml:space="preserve">  </w:t>
      </w:r>
      <w:r>
        <w:rPr>
          <w:rFonts w:hint="eastAsia" w:ascii="宋体" w:hAnsi="宋体"/>
          <w:color w:val="auto"/>
          <w:szCs w:val="28"/>
          <w:highlight w:val="none"/>
          <w:lang w:val="en-US" w:eastAsia="zh-CN"/>
        </w:rPr>
        <w:t>磋商</w:t>
      </w:r>
      <w:r>
        <w:rPr>
          <w:rFonts w:hint="eastAsia" w:ascii="宋体" w:hAnsi="宋体"/>
          <w:color w:val="auto"/>
          <w:szCs w:val="28"/>
          <w:highlight w:val="none"/>
        </w:rPr>
        <w:t>响应</w:t>
      </w:r>
      <w:r>
        <w:rPr>
          <w:rFonts w:hint="eastAsia" w:ascii="宋体" w:hAnsi="宋体" w:eastAsia="宋体" w:cs="Times New Roman"/>
          <w:color w:val="auto"/>
          <w:szCs w:val="28"/>
          <w:highlight w:val="none"/>
          <w:lang w:val="en-US" w:eastAsia="zh-CN"/>
        </w:rPr>
        <w:t>文件格式</w:t>
      </w:r>
      <w:bookmarkEnd w:id="97"/>
    </w:p>
    <w:p>
      <w:pPr>
        <w:spacing w:line="360" w:lineRule="auto"/>
        <w:rPr>
          <w:rFonts w:hint="eastAsia" w:ascii="宋体" w:hAnsi="宋体"/>
          <w:b/>
          <w:color w:val="auto"/>
          <w:sz w:val="24"/>
          <w:highlight w:val="none"/>
        </w:rPr>
      </w:pPr>
      <w:r>
        <w:rPr>
          <w:rFonts w:hint="eastAsia" w:ascii="宋体" w:hAnsi="宋体"/>
          <w:b/>
          <w:color w:val="auto"/>
          <w:sz w:val="24"/>
          <w:highlight w:val="none"/>
        </w:rPr>
        <w:t>封面</w:t>
      </w:r>
    </w:p>
    <w:p>
      <w:pPr>
        <w:pStyle w:val="3"/>
        <w:ind w:left="0" w:leftChars="0" w:firstLine="0" w:firstLineChars="0"/>
        <w:jc w:val="right"/>
        <w:rPr>
          <w:rFonts w:hint="eastAsia" w:ascii="宋体" w:hAnsi="宋体"/>
          <w:b/>
          <w:color w:val="auto"/>
          <w:sz w:val="24"/>
          <w:highlight w:val="none"/>
        </w:rPr>
      </w:pPr>
      <w:bookmarkStart w:id="98" w:name="_Toc12189"/>
      <w:bookmarkStart w:id="99" w:name="_Toc30307"/>
      <w:bookmarkStart w:id="100" w:name="_Toc9074"/>
      <w:r>
        <w:rPr>
          <w:rFonts w:hint="eastAsia" w:ascii="宋体" w:hAnsi="宋体" w:cs="Times New Roman"/>
          <w:color w:val="auto"/>
          <w:szCs w:val="28"/>
          <w:highlight w:val="none"/>
          <w:lang w:val="en-US" w:eastAsia="zh-CN"/>
        </w:rPr>
        <w:t>正本/副本</w:t>
      </w:r>
      <w:bookmarkEnd w:id="98"/>
      <w:bookmarkEnd w:id="99"/>
      <w:bookmarkEnd w:id="100"/>
    </w:p>
    <w:p>
      <w:pPr>
        <w:spacing w:line="360" w:lineRule="auto"/>
        <w:jc w:val="both"/>
        <w:rPr>
          <w:rFonts w:hint="eastAsia" w:ascii="宋体" w:hAnsi="宋体"/>
          <w:color w:val="auto"/>
          <w:sz w:val="24"/>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w:t>
      </w:r>
    </w:p>
    <w:p>
      <w:pPr>
        <w:spacing w:line="360" w:lineRule="auto"/>
        <w:jc w:val="center"/>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（项目编号）</w:t>
      </w:r>
    </w:p>
    <w:p>
      <w:pPr>
        <w:spacing w:line="360" w:lineRule="auto"/>
        <w:rPr>
          <w:rFonts w:hint="eastAsia" w:ascii="宋体" w:hAnsi="宋体"/>
          <w:color w:val="auto"/>
          <w:sz w:val="28"/>
          <w:szCs w:val="28"/>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eastAsia="黑体"/>
          <w:b/>
          <w:color w:val="auto"/>
          <w:sz w:val="72"/>
          <w:szCs w:val="72"/>
          <w:highlight w:val="none"/>
        </w:rPr>
      </w:pPr>
      <w:r>
        <w:rPr>
          <w:rFonts w:hint="eastAsia" w:eastAsia="黑体"/>
          <w:b/>
          <w:color w:val="auto"/>
          <w:sz w:val="72"/>
          <w:szCs w:val="72"/>
          <w:highlight w:val="none"/>
          <w:lang w:val="en-US" w:eastAsia="zh-CN"/>
        </w:rPr>
        <w:t>响应</w:t>
      </w:r>
      <w:r>
        <w:rPr>
          <w:rFonts w:hint="eastAsia" w:eastAsia="黑体"/>
          <w:b/>
          <w:color w:val="auto"/>
          <w:sz w:val="72"/>
          <w:szCs w:val="72"/>
          <w:highlight w:val="none"/>
        </w:rPr>
        <w:t>文件</w:t>
      </w:r>
    </w:p>
    <w:p>
      <w:pPr>
        <w:spacing w:line="360" w:lineRule="auto"/>
        <w:jc w:val="both"/>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pStyle w:val="31"/>
        <w:spacing w:line="360"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Style w:val="31"/>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pPr>
        <w:pStyle w:val="31"/>
        <w:spacing w:line="36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rPr>
        <w:t xml:space="preserve">                     </w:t>
      </w:r>
    </w:p>
    <w:p>
      <w:pPr>
        <w:pStyle w:val="31"/>
        <w:spacing w:line="36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w:t>
      </w:r>
      <w:r>
        <w:rPr>
          <w:rFonts w:hint="eastAsia" w:ascii="宋体" w:hAnsi="宋体" w:eastAsia="宋体" w:cs="宋体"/>
          <w:color w:val="auto"/>
          <w:sz w:val="28"/>
          <w:szCs w:val="28"/>
          <w:highlight w:val="none"/>
          <w:u w:val="single"/>
        </w:rPr>
        <w:t xml:space="preserve">                     </w:t>
      </w:r>
    </w:p>
    <w:p>
      <w:pPr>
        <w:pStyle w:val="31"/>
        <w:spacing w:line="36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u w:val="single"/>
        </w:rPr>
        <w:t xml:space="preserve">                     </w:t>
      </w:r>
    </w:p>
    <w:p>
      <w:pPr>
        <w:pStyle w:val="31"/>
        <w:spacing w:line="360"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pPr>
        <w:pStyle w:val="32"/>
        <w:keepNext/>
        <w:keepLines/>
        <w:pageBreakBefore w:val="0"/>
        <w:widowControl/>
        <w:kinsoku/>
        <w:wordWrap/>
        <w:overflowPunct/>
        <w:topLinePunct w:val="0"/>
        <w:autoSpaceDE/>
        <w:autoSpaceDN/>
        <w:bidi w:val="0"/>
        <w:adjustRightInd/>
        <w:snapToGrid/>
        <w:spacing w:line="416" w:lineRule="auto"/>
        <w:jc w:val="center"/>
        <w:rPr>
          <w:rFonts w:hint="eastAsia"/>
          <w:b/>
          <w:bCs/>
          <w:color w:val="auto"/>
          <w:highlight w:val="none"/>
          <w:lang w:val="en-US" w:eastAsia="zh-CN" w:bidi="ar-SA"/>
        </w:rPr>
      </w:pPr>
      <w:bookmarkStart w:id="101" w:name="_Toc990"/>
      <w:r>
        <w:rPr>
          <w:rFonts w:hint="eastAsia"/>
          <w:b/>
          <w:bCs/>
          <w:color w:val="auto"/>
          <w:highlight w:val="none"/>
          <w:lang w:val="en-US" w:eastAsia="zh-CN" w:bidi="ar-SA"/>
        </w:rPr>
        <w:t>一、资格审查材料</w:t>
      </w:r>
      <w:bookmarkEnd w:id="101"/>
    </w:p>
    <w:p>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outlineLvl w:val="2"/>
        <w:rPr>
          <w:rStyle w:val="21"/>
          <w:rFonts w:hint="eastAsia" w:ascii="宋体" w:hAnsi="宋体" w:eastAsia="宋体" w:cs="宋体"/>
          <w:b/>
          <w:i w:val="0"/>
          <w:color w:val="auto"/>
          <w:spacing w:val="0"/>
          <w:w w:val="100"/>
          <w:sz w:val="28"/>
          <w:szCs w:val="22"/>
          <w:highlight w:val="none"/>
          <w:lang w:bidi="ar-SA"/>
        </w:rPr>
      </w:pPr>
      <w:bookmarkStart w:id="102" w:name="_Toc10180"/>
      <w:r>
        <w:rPr>
          <w:rStyle w:val="21"/>
          <w:rFonts w:hint="eastAsia" w:ascii="宋体" w:hAnsi="宋体" w:eastAsia="宋体" w:cs="宋体"/>
          <w:b/>
          <w:i w:val="0"/>
          <w:color w:val="auto"/>
          <w:spacing w:val="0"/>
          <w:w w:val="100"/>
          <w:sz w:val="28"/>
          <w:szCs w:val="22"/>
          <w:highlight w:val="none"/>
          <w:lang w:val="en-US" w:eastAsia="zh-CN" w:bidi="ar-SA"/>
        </w:rPr>
        <w:t>1.</w:t>
      </w:r>
      <w:r>
        <w:rPr>
          <w:rStyle w:val="21"/>
          <w:rFonts w:hint="eastAsia" w:ascii="宋体" w:hAnsi="宋体" w:eastAsia="宋体" w:cs="宋体"/>
          <w:b/>
          <w:i w:val="0"/>
          <w:color w:val="auto"/>
          <w:spacing w:val="0"/>
          <w:w w:val="100"/>
          <w:sz w:val="28"/>
          <w:szCs w:val="22"/>
          <w:highlight w:val="none"/>
          <w:lang w:bidi="ar-SA"/>
        </w:rPr>
        <w:t>《中华人民共和国政府采购法》第二十二条应当具备的条件；</w:t>
      </w:r>
      <w:bookmarkEnd w:id="102"/>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①具有独立承担民事责任的能力；</w:t>
      </w:r>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②具有良好的商业信誉和健全的财务会计制度；</w:t>
      </w:r>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③具有履行合同所必需的设备和专业技术能力；</w:t>
      </w:r>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④有依法缴纳税收和社会保障资金的良好记录；</w:t>
      </w:r>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⑤参加政府采购活动前三年内，在经营活动中没有重大违法记录；</w:t>
      </w:r>
    </w:p>
    <w:p>
      <w:pPr>
        <w:pStyle w:val="35"/>
        <w:pageBreakBefore w:val="0"/>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⑥</w:t>
      </w:r>
      <w:r>
        <w:rPr>
          <w:rStyle w:val="21"/>
          <w:rFonts w:hint="eastAsia" w:ascii="宋体" w:hAnsi="宋体" w:eastAsia="宋体" w:cs="宋体"/>
          <w:b w:val="0"/>
          <w:i w:val="0"/>
          <w:color w:val="auto"/>
          <w:spacing w:val="0"/>
          <w:w w:val="100"/>
          <w:kern w:val="2"/>
          <w:sz w:val="24"/>
          <w:szCs w:val="24"/>
          <w:highlight w:val="none"/>
          <w:lang w:val="en-US" w:eastAsia="zh-CN" w:bidi="ar-SA"/>
        </w:rPr>
        <w:t>法律、行政法规规定的其他条件;</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bCs/>
          <w:i w:val="0"/>
          <w:color w:val="auto"/>
          <w:spacing w:val="0"/>
          <w:w w:val="100"/>
          <w:kern w:val="0"/>
          <w:sz w:val="24"/>
          <w:szCs w:val="24"/>
          <w:highlight w:val="none"/>
          <w:lang w:val="en-US" w:eastAsia="zh-CN" w:bidi="ar-SA"/>
        </w:rPr>
      </w:pPr>
      <w:r>
        <w:rPr>
          <w:rStyle w:val="21"/>
          <w:rFonts w:hint="eastAsia" w:ascii="宋体" w:hAnsi="宋体" w:eastAsia="宋体" w:cs="宋体"/>
          <w:b/>
          <w:bCs/>
          <w:i w:val="0"/>
          <w:color w:val="auto"/>
          <w:spacing w:val="0"/>
          <w:w w:val="100"/>
          <w:kern w:val="0"/>
          <w:sz w:val="24"/>
          <w:szCs w:val="24"/>
          <w:highlight w:val="none"/>
          <w:lang w:val="en-US" w:eastAsia="zh-CN" w:bidi="ar-SA"/>
        </w:rPr>
        <w:t>须提供以下资料：</w:t>
      </w:r>
    </w:p>
    <w:p>
      <w:pPr>
        <w:pStyle w:val="38"/>
        <w:pageBreakBefore w:val="0"/>
        <w:widowControl/>
        <w:kinsoku/>
        <w:wordWrap/>
        <w:overflowPunct/>
        <w:topLinePunct w:val="0"/>
        <w:bidi w:val="0"/>
        <w:snapToGrid/>
        <w:spacing w:before="0" w:beforeAutospacing="0" w:after="0" w:afterAutospacing="0" w:line="440" w:lineRule="exact"/>
        <w:jc w:val="both"/>
        <w:rPr>
          <w:rStyle w:val="21"/>
          <w:rFonts w:hint="eastAsia" w:ascii="宋体" w:hAnsi="宋体" w:eastAsia="宋体" w:cs="宋体"/>
          <w:b/>
          <w:bCs/>
          <w:i w:val="0"/>
          <w:color w:val="auto"/>
          <w:spacing w:val="0"/>
          <w:w w:val="100"/>
          <w:kern w:val="2"/>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2"/>
          <w:sz w:val="24"/>
          <w:szCs w:val="24"/>
          <w:highlight w:val="none"/>
          <w:lang w:val="en-US" w:eastAsia="zh-CN" w:bidi="ar-SA"/>
        </w:rPr>
        <w:t>1、具有独立承担民事责任的能力；须提供相关证明材料，其中：</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供应商是企业（包括合伙企业）的，</w:t>
      </w:r>
      <w:r>
        <w:rPr>
          <w:rStyle w:val="21"/>
          <w:rFonts w:hint="eastAsia" w:ascii="宋体" w:hAnsi="宋体" w:eastAsia="宋体" w:cs="宋体"/>
          <w:b w:val="0"/>
          <w:i w:val="0"/>
          <w:color w:val="auto"/>
          <w:spacing w:val="0"/>
          <w:w w:val="100"/>
          <w:kern w:val="2"/>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供应商是事业单位的</w:t>
      </w:r>
      <w:r>
        <w:rPr>
          <w:rStyle w:val="21"/>
          <w:rFonts w:hint="eastAsia" w:ascii="宋体" w:hAnsi="宋体" w:eastAsia="宋体" w:cs="宋体"/>
          <w:b w:val="0"/>
          <w:i w:val="0"/>
          <w:color w:val="auto"/>
          <w:spacing w:val="0"/>
          <w:w w:val="100"/>
          <w:kern w:val="2"/>
          <w:sz w:val="24"/>
          <w:szCs w:val="24"/>
          <w:highlight w:val="none"/>
          <w:lang w:val="en-US" w:eastAsia="zh-CN" w:bidi="ar-SA"/>
        </w:rPr>
        <w:t>，须提供其有效的“事业单位法人证书”复印件；</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供应商是非企业专业服务机构的，</w:t>
      </w:r>
      <w:r>
        <w:rPr>
          <w:rStyle w:val="21"/>
          <w:rFonts w:hint="eastAsia" w:ascii="宋体" w:hAnsi="宋体" w:eastAsia="宋体" w:cs="宋体"/>
          <w:b w:val="0"/>
          <w:i w:val="0"/>
          <w:color w:val="auto"/>
          <w:spacing w:val="0"/>
          <w:w w:val="100"/>
          <w:kern w:val="2"/>
          <w:sz w:val="24"/>
          <w:szCs w:val="24"/>
          <w:highlight w:val="none"/>
          <w:lang w:val="en-US" w:eastAsia="zh-CN" w:bidi="ar-SA"/>
        </w:rPr>
        <w:t>须提供其有效的执业许可证复印件；</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供应商是个体工商户的，</w:t>
      </w:r>
      <w:r>
        <w:rPr>
          <w:rStyle w:val="21"/>
          <w:rFonts w:hint="eastAsia" w:ascii="宋体" w:hAnsi="宋体" w:eastAsia="宋体" w:cs="宋体"/>
          <w:b w:val="0"/>
          <w:i w:val="0"/>
          <w:color w:val="auto"/>
          <w:spacing w:val="0"/>
          <w:w w:val="100"/>
          <w:kern w:val="2"/>
          <w:sz w:val="24"/>
          <w:szCs w:val="24"/>
          <w:highlight w:val="none"/>
          <w:lang w:val="en-US" w:eastAsia="zh-CN" w:bidi="ar-SA"/>
        </w:rPr>
        <w:t>须提供其有效的“个体工商户营业执照” 复印件；</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以上复印件须加盖供应商公章。</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供应商是自然人的，</w:t>
      </w:r>
      <w:r>
        <w:rPr>
          <w:rStyle w:val="21"/>
          <w:rFonts w:hint="eastAsia" w:ascii="宋体" w:hAnsi="宋体" w:eastAsia="宋体" w:cs="宋体"/>
          <w:b w:val="0"/>
          <w:i w:val="0"/>
          <w:color w:val="auto"/>
          <w:spacing w:val="0"/>
          <w:w w:val="100"/>
          <w:kern w:val="2"/>
          <w:sz w:val="24"/>
          <w:szCs w:val="24"/>
          <w:highlight w:val="none"/>
          <w:lang w:val="en-US" w:eastAsia="zh-CN" w:bidi="ar-SA"/>
        </w:rPr>
        <w:t>应提供其有效的自然人身份证明；</w:t>
      </w:r>
    </w:p>
    <w:p>
      <w:pPr>
        <w:pStyle w:val="38"/>
        <w:pageBreakBefore w:val="0"/>
        <w:widowControl/>
        <w:kinsoku/>
        <w:wordWrap/>
        <w:overflowPunct/>
        <w:topLinePunct w:val="0"/>
        <w:bidi w:val="0"/>
        <w:snapToGrid/>
        <w:spacing w:before="0" w:beforeAutospacing="0" w:after="0" w:afterAutospacing="0" w:line="440" w:lineRule="exact"/>
        <w:jc w:val="both"/>
        <w:rPr>
          <w:rStyle w:val="21"/>
          <w:rFonts w:hint="eastAsia" w:ascii="宋体" w:hAnsi="宋体" w:eastAsia="宋体" w:cs="宋体"/>
          <w:b/>
          <w:bCs/>
          <w:i w:val="0"/>
          <w:color w:val="auto"/>
          <w:spacing w:val="0"/>
          <w:w w:val="100"/>
          <w:kern w:val="2"/>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2"/>
          <w:sz w:val="24"/>
          <w:szCs w:val="24"/>
          <w:highlight w:val="none"/>
          <w:lang w:val="en-US" w:eastAsia="zh-CN" w:bidi="ar-SA"/>
        </w:rPr>
        <w:t>2、具有良好的商业信誉和健全的财务会计制度；须提供相关证明材料，其中：</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供应商是法人的，</w:t>
      </w:r>
      <w:r>
        <w:rPr>
          <w:rStyle w:val="21"/>
          <w:rFonts w:hint="eastAsia" w:ascii="宋体" w:hAnsi="宋体" w:eastAsia="宋体" w:cs="宋体"/>
          <w:b w:val="0"/>
          <w:bCs/>
          <w:i w:val="0"/>
          <w:color w:val="auto"/>
          <w:spacing w:val="0"/>
          <w:w w:val="10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21"/>
          <w:rFonts w:hint="eastAsia" w:ascii="宋体" w:hAnsi="宋体" w:eastAsia="宋体" w:cs="宋体"/>
          <w:b w:val="0"/>
          <w:i w:val="0"/>
          <w:color w:val="auto"/>
          <w:spacing w:val="0"/>
          <w:w w:val="100"/>
          <w:kern w:val="2"/>
          <w:sz w:val="24"/>
          <w:szCs w:val="24"/>
          <w:highlight w:val="none"/>
          <w:lang w:val="en-US" w:eastAsia="zh-CN" w:bidi="ar-SA"/>
        </w:rPr>
        <w:t>；</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bCs/>
          <w:i w:val="0"/>
          <w:color w:val="auto"/>
          <w:spacing w:val="0"/>
          <w:w w:val="100"/>
          <w:kern w:val="2"/>
          <w:sz w:val="24"/>
          <w:szCs w:val="24"/>
          <w:highlight w:val="none"/>
          <w:lang w:val="en-US" w:eastAsia="zh-CN" w:bidi="ar-SA"/>
        </w:rPr>
        <w:t>供应商是其他组织或自然人的，</w:t>
      </w:r>
      <w:r>
        <w:rPr>
          <w:rStyle w:val="21"/>
          <w:rFonts w:hint="eastAsia" w:ascii="宋体" w:hAnsi="宋体" w:eastAsia="宋体" w:cs="宋体"/>
          <w:b w:val="0"/>
          <w:i w:val="0"/>
          <w:color w:val="auto"/>
          <w:spacing w:val="0"/>
          <w:w w:val="100"/>
          <w:kern w:val="2"/>
          <w:sz w:val="24"/>
          <w:szCs w:val="24"/>
          <w:highlight w:val="none"/>
          <w:lang w:val="en-US" w:eastAsia="zh-CN" w:bidi="ar-SA"/>
        </w:rPr>
        <w:t>须提供银行出具的资信证明原件；</w:t>
      </w:r>
    </w:p>
    <w:p>
      <w:pPr>
        <w:pStyle w:val="38"/>
        <w:pageBreakBefore w:val="0"/>
        <w:widowControl/>
        <w:kinsoku/>
        <w:wordWrap/>
        <w:overflowPunct/>
        <w:topLinePunct w:val="0"/>
        <w:bidi w:val="0"/>
        <w:snapToGrid/>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39"/>
        <w:pageBreakBefore w:val="0"/>
        <w:widowControl/>
        <w:kinsoku/>
        <w:wordWrap/>
        <w:overflowPunct/>
        <w:topLinePunct w:val="0"/>
        <w:bidi w:val="0"/>
        <w:snapToGrid w:val="0"/>
        <w:spacing w:before="0" w:beforeAutospacing="0" w:after="0" w:afterAutospacing="0" w:line="240" w:lineRule="auto"/>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 xml:space="preserve"> </w:t>
      </w:r>
    </w:p>
    <w:p>
      <w:pPr>
        <w:pStyle w:val="39"/>
        <w:pageBreakBefore w:val="0"/>
        <w:widowControl/>
        <w:kinsoku/>
        <w:wordWrap/>
        <w:overflowPunct/>
        <w:topLinePunct w:val="0"/>
        <w:bidi w:val="0"/>
        <w:snapToGrid w:val="0"/>
        <w:spacing w:before="0" w:beforeAutospacing="0" w:after="0" w:afterAutospacing="0" w:line="240" w:lineRule="auto"/>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2"/>
          <w:sz w:val="24"/>
          <w:szCs w:val="24"/>
          <w:highlight w:val="none"/>
          <w:lang w:val="en-US" w:eastAsia="zh-CN" w:bidi="ar-SA"/>
        </w:rPr>
        <w:t>3、具有履行合同所必需的设备和专业技术能力；须附相关证明材料或书面声明</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 xml:space="preserve"> </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书面声明格式：</w:t>
      </w:r>
    </w:p>
    <w:p>
      <w:pPr>
        <w:pStyle w:val="40"/>
        <w:pageBreakBefore w:val="0"/>
        <w:kinsoku/>
        <w:wordWrap/>
        <w:overflowPunct/>
        <w:topLinePunct w:val="0"/>
        <w:bidi w:val="0"/>
        <w:snapToGrid/>
        <w:spacing w:before="0" w:beforeAutospacing="0" w:after="0" w:afterAutospacing="0" w:line="240" w:lineRule="auto"/>
        <w:jc w:val="both"/>
        <w:rPr>
          <w:rStyle w:val="21"/>
          <w:rFonts w:hint="eastAsia" w:ascii="宋体" w:hAnsi="宋体" w:eastAsia="宋体" w:cs="宋体"/>
          <w:b w:val="0"/>
          <w:i w:val="0"/>
          <w:color w:val="auto"/>
          <w:spacing w:val="0"/>
          <w:w w:val="100"/>
          <w:kern w:val="2"/>
          <w:sz w:val="21"/>
          <w:szCs w:val="22"/>
          <w:highlight w:val="none"/>
          <w:lang w:val="en-US" w:eastAsia="zh-CN" w:bidi="ar-SA"/>
        </w:rPr>
      </w:pPr>
      <w:r>
        <w:rPr>
          <w:rStyle w:val="21"/>
          <w:rFonts w:hint="eastAsia" w:ascii="宋体" w:hAnsi="宋体" w:eastAsia="宋体" w:cs="宋体"/>
          <w:b w:val="0"/>
          <w:i w:val="0"/>
          <w:color w:val="auto"/>
          <w:spacing w:val="0"/>
          <w:w w:val="100"/>
          <w:kern w:val="2"/>
          <w:sz w:val="21"/>
          <w:szCs w:val="22"/>
          <w:highlight w:val="none"/>
          <w:lang w:val="en-US" w:eastAsia="zh-CN" w:bidi="ar-SA"/>
        </w:rPr>
        <w:t xml:space="preserve"> </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本供应商郑重声明：</w:t>
      </w:r>
    </w:p>
    <w:p>
      <w:pPr>
        <w:pStyle w:val="37"/>
        <w:pageBreakBefore w:val="0"/>
        <w:widowControl/>
        <w:kinsoku/>
        <w:wordWrap/>
        <w:overflowPunct/>
        <w:topLinePunct w:val="0"/>
        <w:bidi w:val="0"/>
        <w:snapToGrid/>
        <w:spacing w:before="0" w:beforeAutospacing="0" w:after="0" w:afterAutospacing="0" w:line="240" w:lineRule="auto"/>
        <w:ind w:firstLine="480" w:firstLineChars="200"/>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本公司（或单位）具备本项目履行合同所必需的设备和专业技术能力，特此声明。</w:t>
      </w:r>
    </w:p>
    <w:p>
      <w:pPr>
        <w:pStyle w:val="38"/>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供应商法定代表人（或法定代表人授权代表）签字：</w:t>
      </w:r>
    </w:p>
    <w:p>
      <w:pPr>
        <w:pStyle w:val="38"/>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供应商名称（加盖公章）：</w:t>
      </w:r>
    </w:p>
    <w:p>
      <w:pPr>
        <w:pStyle w:val="39"/>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日期：   年   月   日</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 xml:space="preserve"> </w:t>
      </w:r>
    </w:p>
    <w:p>
      <w:pPr>
        <w:pStyle w:val="39"/>
        <w:pageBreakBefore w:val="0"/>
        <w:widowControl/>
        <w:kinsoku/>
        <w:wordWrap/>
        <w:overflowPunct/>
        <w:topLinePunct w:val="0"/>
        <w:bidi w:val="0"/>
        <w:snapToGrid w:val="0"/>
        <w:spacing w:before="0" w:beforeAutospacing="0" w:after="0" w:afterAutospacing="0" w:line="440" w:lineRule="exact"/>
        <w:jc w:val="left"/>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2"/>
          <w:sz w:val="24"/>
          <w:szCs w:val="24"/>
          <w:highlight w:val="none"/>
          <w:lang w:val="en-US" w:eastAsia="zh-CN" w:bidi="ar-SA"/>
        </w:rPr>
        <w:t>4、有依法缴纳税收和社会保障资金的良好记录；须提供</w:t>
      </w:r>
      <w:r>
        <w:rPr>
          <w:rStyle w:val="21"/>
          <w:rFonts w:hint="eastAsia" w:ascii="宋体" w:hAnsi="宋体" w:eastAsia="宋体" w:cs="宋体"/>
          <w:b w:val="0"/>
          <w:bCs/>
          <w:i w:val="0"/>
          <w:color w:val="auto"/>
          <w:spacing w:val="0"/>
          <w:w w:val="100"/>
          <w:sz w:val="24"/>
          <w:szCs w:val="24"/>
          <w:highlight w:val="none"/>
          <w:lang w:val="en-US" w:eastAsia="zh-CN" w:bidi="ar-SA"/>
        </w:rPr>
        <w:t>依法缴纳税收和社会保障资金的证明材料，须提供开标前六个月内任意一个月的依法缴税凭据和缴纳社会保险的凭据</w:t>
      </w:r>
      <w:r>
        <w:rPr>
          <w:rStyle w:val="21"/>
          <w:rFonts w:hint="eastAsia" w:ascii="宋体" w:hAnsi="宋体" w:eastAsia="宋体" w:cs="宋体"/>
          <w:b w:val="0"/>
          <w:bCs/>
          <w:i w:val="0"/>
          <w:color w:val="auto"/>
          <w:spacing w:val="0"/>
          <w:w w:val="100"/>
          <w:sz w:val="24"/>
          <w:szCs w:val="24"/>
          <w:highlight w:val="none"/>
          <w:lang w:bidi="ar-SA"/>
        </w:rPr>
        <w:t>（依法免税的应提供相应文件说明）</w:t>
      </w:r>
      <w:r>
        <w:rPr>
          <w:rStyle w:val="21"/>
          <w:rFonts w:hint="eastAsia" w:ascii="宋体" w:hAnsi="宋体" w:eastAsia="宋体" w:cs="宋体"/>
          <w:b w:val="0"/>
          <w:i w:val="0"/>
          <w:color w:val="auto"/>
          <w:spacing w:val="0"/>
          <w:w w:val="100"/>
          <w:kern w:val="2"/>
          <w:sz w:val="24"/>
          <w:szCs w:val="24"/>
          <w:highlight w:val="none"/>
          <w:lang w:val="en-US" w:eastAsia="zh-CN" w:bidi="ar-SA"/>
        </w:rPr>
        <w:t>；</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 xml:space="preserve"> </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 xml:space="preserve"> </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bCs/>
          <w:i w:val="0"/>
          <w:color w:val="auto"/>
          <w:spacing w:val="0"/>
          <w:w w:val="100"/>
          <w:kern w:val="0"/>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0"/>
          <w:sz w:val="24"/>
          <w:szCs w:val="24"/>
          <w:highlight w:val="none"/>
          <w:lang w:val="en-US" w:eastAsia="zh-CN" w:bidi="ar-SA"/>
        </w:rPr>
        <w:t>5、参加政府采购活动前三年内，在经营活动中没有重大违法记录；须提供书面声明</w:t>
      </w:r>
    </w:p>
    <w:p>
      <w:pPr>
        <w:pStyle w:val="37"/>
        <w:pageBreakBefore w:val="0"/>
        <w:widowControl/>
        <w:kinsoku/>
        <w:wordWrap/>
        <w:overflowPunct/>
        <w:topLinePunct w:val="0"/>
        <w:bidi w:val="0"/>
        <w:snapToGrid/>
        <w:spacing w:before="0" w:beforeAutospacing="0" w:after="0" w:afterAutospacing="0" w:line="240" w:lineRule="auto"/>
        <w:jc w:val="left"/>
        <w:rPr>
          <w:rStyle w:val="21"/>
          <w:rFonts w:hint="eastAsia" w:ascii="宋体" w:hAnsi="宋体" w:eastAsia="宋体" w:cs="宋体"/>
          <w:b/>
          <w:bCs/>
          <w:i w:val="0"/>
          <w:color w:val="auto"/>
          <w:spacing w:val="0"/>
          <w:w w:val="100"/>
          <w:kern w:val="0"/>
          <w:sz w:val="24"/>
          <w:szCs w:val="24"/>
          <w:highlight w:val="none"/>
          <w:lang w:val="en-US" w:eastAsia="zh-CN" w:bidi="ar-SA"/>
        </w:rPr>
      </w:pPr>
      <w:r>
        <w:rPr>
          <w:rStyle w:val="21"/>
          <w:rFonts w:hint="eastAsia" w:ascii="宋体" w:hAnsi="宋体" w:eastAsia="宋体" w:cs="宋体"/>
          <w:b/>
          <w:bCs/>
          <w:i w:val="0"/>
          <w:color w:val="auto"/>
          <w:spacing w:val="0"/>
          <w:w w:val="100"/>
          <w:kern w:val="0"/>
          <w:sz w:val="24"/>
          <w:szCs w:val="24"/>
          <w:highlight w:val="none"/>
          <w:lang w:val="en-US" w:eastAsia="zh-CN" w:bidi="ar-SA"/>
        </w:rPr>
        <w:t xml:space="preserve"> </w:t>
      </w:r>
    </w:p>
    <w:p>
      <w:pPr>
        <w:pStyle w:val="38"/>
        <w:pageBreakBefore w:val="0"/>
        <w:widowControl/>
        <w:kinsoku/>
        <w:wordWrap/>
        <w:overflowPunct/>
        <w:topLinePunct w:val="0"/>
        <w:bidi w:val="0"/>
        <w:snapToGrid/>
        <w:spacing w:before="0" w:beforeAutospacing="0" w:after="0" w:afterAutospacing="0" w:line="360" w:lineRule="auto"/>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 xml:space="preserve">我单位郑重声明： </w:t>
      </w:r>
    </w:p>
    <w:p>
      <w:pPr>
        <w:pStyle w:val="38"/>
        <w:pageBreakBefore w:val="0"/>
        <w:widowControl/>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38"/>
        <w:pageBreakBefore w:val="0"/>
        <w:widowControl/>
        <w:kinsoku/>
        <w:wordWrap/>
        <w:overflowPunct/>
        <w:topLinePunct w:val="0"/>
        <w:bidi w:val="0"/>
        <w:snapToGrid/>
        <w:spacing w:before="0" w:beforeAutospacing="0" w:after="0" w:afterAutospacing="0" w:line="360" w:lineRule="auto"/>
        <w:ind w:firstLine="480" w:firstLineChars="200"/>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 xml:space="preserve">如我公司声明与实际不符，我公司将承担因此引起的一切后果。 </w:t>
      </w:r>
    </w:p>
    <w:p>
      <w:pPr>
        <w:pStyle w:val="39"/>
        <w:pageBreakBefore w:val="0"/>
        <w:widowControl/>
        <w:kinsoku/>
        <w:wordWrap/>
        <w:overflowPunct/>
        <w:topLinePunct w:val="0"/>
        <w:bidi w:val="0"/>
        <w:snapToGrid w:val="0"/>
        <w:spacing w:before="0" w:beforeAutospacing="0" w:after="0" w:afterAutospacing="0" w:line="440" w:lineRule="exact"/>
        <w:ind w:firstLine="480" w:firstLineChars="200"/>
        <w:jc w:val="both"/>
        <w:rPr>
          <w:rStyle w:val="21"/>
          <w:rFonts w:hint="eastAsia" w:ascii="宋体" w:hAnsi="宋体" w:eastAsia="宋体" w:cs="宋体"/>
          <w:b w:val="0"/>
          <w:i w:val="0"/>
          <w:color w:val="auto"/>
          <w:spacing w:val="0"/>
          <w:w w:val="100"/>
          <w:kern w:val="2"/>
          <w:sz w:val="24"/>
          <w:szCs w:val="24"/>
          <w:highlight w:val="none"/>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 xml:space="preserve"> </w:t>
      </w:r>
    </w:p>
    <w:p>
      <w:pPr>
        <w:pStyle w:val="38"/>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供应商法定代表人（或法定代表人授权代表）签字：</w:t>
      </w:r>
    </w:p>
    <w:p>
      <w:pPr>
        <w:pStyle w:val="38"/>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21"/>
          <w:rFonts w:hint="eastAsia" w:ascii="宋体" w:hAnsi="宋体" w:eastAsia="宋体" w:cs="宋体"/>
          <w:b w:val="0"/>
          <w:i w:val="0"/>
          <w:color w:val="auto"/>
          <w:spacing w:val="0"/>
          <w:w w:val="100"/>
          <w:kern w:val="2"/>
          <w:sz w:val="24"/>
          <w:szCs w:val="24"/>
          <w:highlight w:val="none"/>
          <w:lang w:val="en-US" w:eastAsia="zh-CN" w:bidi="ar-SA"/>
        </w:rPr>
        <w:t>供应商名称（加盖公章）：</w:t>
      </w:r>
    </w:p>
    <w:p>
      <w:pPr>
        <w:pStyle w:val="39"/>
        <w:pageBreakBefore w:val="0"/>
        <w:widowControl/>
        <w:kinsoku/>
        <w:wordWrap/>
        <w:overflowPunct/>
        <w:topLinePunct w:val="0"/>
        <w:bidi w:val="0"/>
        <w:snapToGrid w:val="0"/>
        <w:spacing w:before="0" w:beforeAutospacing="0" w:after="0" w:afterAutospacing="0" w:line="440" w:lineRule="exact"/>
        <w:jc w:val="both"/>
        <w:rPr>
          <w:rStyle w:val="21"/>
          <w:rFonts w:hint="eastAsia" w:ascii="宋体" w:hAnsi="宋体" w:eastAsia="宋体" w:cs="宋体"/>
          <w:b w:val="0"/>
          <w:i w:val="0"/>
          <w:color w:val="auto"/>
          <w:spacing w:val="0"/>
          <w:w w:val="100"/>
          <w:kern w:val="0"/>
          <w:sz w:val="24"/>
          <w:szCs w:val="24"/>
          <w:highlight w:val="none"/>
          <w:lang w:val="en-US" w:eastAsia="zh-CN" w:bidi="ar-SA"/>
        </w:rPr>
      </w:pPr>
      <w:r>
        <w:rPr>
          <w:rStyle w:val="21"/>
          <w:rFonts w:hint="eastAsia" w:ascii="宋体" w:hAnsi="宋体" w:eastAsia="宋体" w:cs="宋体"/>
          <w:b w:val="0"/>
          <w:i w:val="0"/>
          <w:color w:val="auto"/>
          <w:spacing w:val="0"/>
          <w:w w:val="100"/>
          <w:kern w:val="0"/>
          <w:sz w:val="24"/>
          <w:szCs w:val="24"/>
          <w:highlight w:val="none"/>
          <w:lang w:val="en-US" w:eastAsia="zh-CN" w:bidi="ar-SA"/>
        </w:rPr>
        <w:t>日期：   年   月   日</w:t>
      </w:r>
    </w:p>
    <w:p>
      <w:pPr>
        <w:pStyle w:val="41"/>
        <w:pageBreakBefore w:val="0"/>
        <w:widowControl/>
        <w:kinsoku/>
        <w:wordWrap/>
        <w:overflowPunct/>
        <w:topLinePunct w:val="0"/>
        <w:bidi w:val="0"/>
        <w:snapToGrid/>
        <w:spacing w:before="0" w:beforeAutospacing="0" w:after="0" w:afterAutospacing="0" w:line="440" w:lineRule="exact"/>
        <w:jc w:val="both"/>
        <w:rPr>
          <w:rStyle w:val="21"/>
          <w:rFonts w:hint="eastAsia" w:ascii="宋体" w:hAnsi="宋体" w:eastAsia="宋体" w:cs="宋体"/>
          <w:b/>
          <w:bCs/>
          <w:i w:val="0"/>
          <w:color w:val="auto"/>
          <w:spacing w:val="0"/>
          <w:w w:val="100"/>
          <w:kern w:val="0"/>
          <w:sz w:val="24"/>
          <w:szCs w:val="24"/>
          <w:highlight w:val="none"/>
          <w:lang w:val="en-US" w:eastAsia="zh-CN" w:bidi="ar-SA"/>
        </w:rPr>
      </w:pPr>
    </w:p>
    <w:p>
      <w:pPr>
        <w:pStyle w:val="41"/>
        <w:pageBreakBefore w:val="0"/>
        <w:widowControl/>
        <w:kinsoku/>
        <w:wordWrap/>
        <w:overflowPunct/>
        <w:topLinePunct w:val="0"/>
        <w:bidi w:val="0"/>
        <w:snapToGrid/>
        <w:spacing w:before="0" w:beforeAutospacing="0" w:after="0" w:afterAutospacing="0" w:line="440" w:lineRule="exact"/>
        <w:jc w:val="both"/>
        <w:rPr>
          <w:rStyle w:val="21"/>
          <w:rFonts w:hint="eastAsia" w:ascii="宋体" w:hAnsi="宋体" w:eastAsia="宋体" w:cs="宋体"/>
          <w:b/>
          <w:bCs/>
          <w:i w:val="0"/>
          <w:color w:val="auto"/>
          <w:spacing w:val="0"/>
          <w:w w:val="100"/>
          <w:kern w:val="0"/>
          <w:sz w:val="24"/>
          <w:szCs w:val="24"/>
          <w:highlight w:val="none"/>
          <w:lang w:val="en-US" w:eastAsia="zh-CN" w:bidi="ar-SA"/>
        </w:rPr>
      </w:pPr>
      <w:r>
        <w:rPr>
          <w:rStyle w:val="21"/>
          <w:rFonts w:hint="eastAsia" w:ascii="宋体" w:hAnsi="宋体" w:cs="宋体"/>
          <w:b/>
          <w:bCs/>
          <w:i w:val="0"/>
          <w:color w:val="auto"/>
          <w:spacing w:val="0"/>
          <w:w w:val="100"/>
          <w:kern w:val="2"/>
          <w:sz w:val="24"/>
          <w:szCs w:val="24"/>
          <w:highlight w:val="none"/>
          <w:lang w:val="en-US" w:eastAsia="zh-CN" w:bidi="ar-SA"/>
        </w:rPr>
        <w:t>1.</w:t>
      </w:r>
      <w:r>
        <w:rPr>
          <w:rStyle w:val="21"/>
          <w:rFonts w:hint="eastAsia" w:ascii="宋体" w:hAnsi="宋体" w:eastAsia="宋体" w:cs="宋体"/>
          <w:b/>
          <w:bCs/>
          <w:i w:val="0"/>
          <w:color w:val="auto"/>
          <w:spacing w:val="0"/>
          <w:w w:val="100"/>
          <w:kern w:val="0"/>
          <w:sz w:val="24"/>
          <w:szCs w:val="24"/>
          <w:highlight w:val="none"/>
          <w:lang w:val="en-US" w:eastAsia="zh-CN" w:bidi="ar-SA"/>
        </w:rPr>
        <w:t>6、法律、行政法规规定的其他条件;</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rPr>
          <w:rFonts w:hint="eastAsia" w:ascii="宋体" w:hAnsi="宋体" w:eastAsia="宋体" w:cs="宋体"/>
          <w:b w:val="0"/>
          <w:bCs w:val="0"/>
          <w:color w:val="auto"/>
          <w:spacing w:val="0"/>
          <w:sz w:val="24"/>
          <w:szCs w:val="24"/>
          <w:highlight w:val="none"/>
          <w:lang w:val="en-US" w:eastAsia="zh-CN" w:bidi="ar-SA"/>
        </w:rPr>
      </w:pPr>
      <w:r>
        <w:rPr>
          <w:rStyle w:val="21"/>
          <w:rFonts w:hint="eastAsia" w:ascii="宋体" w:hAnsi="宋体" w:eastAsia="宋体" w:cs="宋体"/>
          <w:b w:val="0"/>
          <w:bCs w:val="0"/>
          <w:i w:val="0"/>
          <w:color w:val="auto"/>
          <w:spacing w:val="0"/>
          <w:w w:val="100"/>
          <w:kern w:val="0"/>
          <w:sz w:val="24"/>
          <w:szCs w:val="24"/>
          <w:highlight w:val="none"/>
          <w:lang w:val="en-US" w:eastAsia="zh-CN" w:bidi="ar-SA"/>
        </w:rPr>
        <w:t>1.6.1、信誉要求：</w:t>
      </w:r>
      <w:r>
        <w:rPr>
          <w:rFonts w:hint="eastAsia" w:ascii="宋体" w:hAnsi="宋体" w:eastAsia="宋体" w:cs="宋体"/>
          <w:b w:val="0"/>
          <w:bCs w:val="0"/>
          <w:color w:val="auto"/>
          <w:spacing w:val="0"/>
          <w:sz w:val="24"/>
          <w:szCs w:val="24"/>
          <w:highlight w:val="none"/>
          <w:lang w:val="en-US" w:eastAsia="zh-CN" w:bidi="ar-SA"/>
        </w:rPr>
        <w:t>凡拟参加本次招标项目的供应商，如在“信用中国”网站被列入失信被执行人、重大税收违法失信主体；在中国政府采购网被列入政府采购严重违法失信行为记录名单的（尚在处罚期内的），将拒绝其参与本次政府采购活动。</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rPr>
          <w:rStyle w:val="21"/>
          <w:rFonts w:hint="eastAsia" w:ascii="宋体" w:hAnsi="宋体" w:eastAsia="宋体" w:cs="宋体"/>
          <w:b w:val="0"/>
          <w:bCs w:val="0"/>
          <w:i w:val="0"/>
          <w:color w:val="auto"/>
          <w:spacing w:val="0"/>
          <w:w w:val="100"/>
          <w:kern w:val="0"/>
          <w:sz w:val="24"/>
          <w:szCs w:val="24"/>
          <w:highlight w:val="none"/>
          <w:lang w:val="en-US" w:eastAsia="zh-CN" w:bidi="ar-SA"/>
        </w:rPr>
      </w:pPr>
      <w:r>
        <w:rPr>
          <w:rFonts w:hint="eastAsia" w:ascii="宋体" w:hAnsi="宋体" w:eastAsia="宋体" w:cs="宋体"/>
          <w:b w:val="0"/>
          <w:bCs w:val="0"/>
          <w:color w:val="auto"/>
          <w:spacing w:val="0"/>
          <w:sz w:val="24"/>
          <w:szCs w:val="24"/>
          <w:highlight w:val="none"/>
          <w:lang w:val="en-US" w:eastAsia="zh-CN" w:bidi="ar-SA"/>
        </w:rPr>
        <w:t>1.6.2、供应商近三年内在中国裁判文书网（http://wenshu.court.gov.cn/）无行贿犯罪记录；需提供网站截图。</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rPr>
          <w:rStyle w:val="21"/>
          <w:rFonts w:hint="eastAsia" w:ascii="宋体" w:hAnsi="宋体" w:eastAsia="宋体" w:cs="宋体"/>
          <w:b/>
          <w:bCs/>
          <w:i w:val="0"/>
          <w:color w:val="auto"/>
          <w:spacing w:val="0"/>
          <w:w w:val="100"/>
          <w:kern w:val="0"/>
          <w:sz w:val="24"/>
          <w:szCs w:val="24"/>
          <w:highlight w:val="none"/>
          <w:lang w:val="en-US" w:eastAsia="zh-CN" w:bidi="ar-SA"/>
        </w:rPr>
      </w:pPr>
      <w:r>
        <w:rPr>
          <w:rStyle w:val="21"/>
          <w:rFonts w:hint="eastAsia" w:ascii="宋体" w:hAnsi="宋体" w:eastAsia="宋体" w:cs="宋体"/>
          <w:b/>
          <w:bCs/>
          <w:i w:val="0"/>
          <w:color w:val="auto"/>
          <w:spacing w:val="0"/>
          <w:w w:val="100"/>
          <w:kern w:val="0"/>
          <w:sz w:val="24"/>
          <w:szCs w:val="24"/>
          <w:highlight w:val="none"/>
          <w:lang w:val="en-US" w:eastAsia="zh-CN" w:bidi="ar-SA"/>
        </w:rPr>
        <w:t>1.7资质要求</w:t>
      </w:r>
    </w:p>
    <w:p>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rPr>
          <w:rFonts w:hint="default" w:ascii="宋体" w:hAnsi="宋体" w:eastAsia="宋体" w:cs="宋体"/>
          <w:b w:val="0"/>
          <w:bCs w:val="0"/>
          <w:color w:val="auto"/>
          <w:spacing w:val="0"/>
          <w:sz w:val="24"/>
          <w:szCs w:val="24"/>
          <w:highlight w:val="none"/>
          <w:lang w:val="en-US" w:eastAsia="zh-CN" w:bidi="ar-SA"/>
        </w:rPr>
      </w:pPr>
      <w:r>
        <w:rPr>
          <w:rFonts w:hint="eastAsia" w:ascii="宋体" w:hAnsi="宋体" w:eastAsia="宋体" w:cs="宋体"/>
          <w:b w:val="0"/>
          <w:bCs w:val="0"/>
          <w:color w:val="auto"/>
          <w:spacing w:val="0"/>
          <w:sz w:val="24"/>
          <w:szCs w:val="24"/>
          <w:highlight w:val="none"/>
          <w:lang w:val="en-US" w:eastAsia="zh-CN" w:bidi="ar-SA"/>
        </w:rPr>
        <w:t>1.7.1、供应商需提供有效的行政主管部门颁发的医疗器械经营备案凭证（或医疗器械生产许可证或医疗器械经营许可证）；</w:t>
      </w:r>
    </w:p>
    <w:p>
      <w:pPr>
        <w:pStyle w:val="34"/>
        <w:pageBreakBefore w:val="0"/>
        <w:widowControl/>
        <w:kinsoku/>
        <w:wordWrap/>
        <w:overflowPunct/>
        <w:topLinePunct w:val="0"/>
        <w:bidi w:val="0"/>
        <w:snapToGrid/>
        <w:spacing w:before="0" w:beforeAutospacing="0" w:after="0" w:afterAutospacing="0" w:line="240" w:lineRule="auto"/>
        <w:jc w:val="both"/>
        <w:rPr>
          <w:rStyle w:val="21"/>
          <w:rFonts w:hint="eastAsia" w:ascii="宋体" w:hAnsi="宋体" w:eastAsia="宋体" w:cs="宋体"/>
          <w:b/>
          <w:bCs/>
          <w:i w:val="0"/>
          <w:color w:val="auto"/>
          <w:spacing w:val="0"/>
          <w:w w:val="100"/>
          <w:sz w:val="32"/>
          <w:szCs w:val="24"/>
          <w:highlight w:val="none"/>
          <w:lang w:bidi="ar-SA"/>
        </w:rPr>
      </w:pPr>
      <w:r>
        <w:rPr>
          <w:rStyle w:val="21"/>
          <w:rFonts w:hint="eastAsia" w:ascii="宋体" w:hAnsi="宋体" w:eastAsia="宋体" w:cs="宋体"/>
          <w:b/>
          <w:bCs/>
          <w:i w:val="0"/>
          <w:color w:val="auto"/>
          <w:spacing w:val="0"/>
          <w:w w:val="100"/>
          <w:ker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7"/>
        <w:tabs>
          <w:tab w:val="left" w:pos="8786"/>
        </w:tabs>
        <w:spacing w:after="0" w:line="360" w:lineRule="auto"/>
        <w:rPr>
          <w:rFonts w:hint="eastAsia" w:ascii="宋体" w:hAnsi="宋体"/>
          <w:b/>
          <w:color w:val="auto"/>
          <w:sz w:val="24"/>
          <w:highlight w:val="none"/>
        </w:rPr>
      </w:pPr>
      <w:r>
        <w:rPr>
          <w:rStyle w:val="21"/>
          <w:rFonts w:hint="eastAsia" w:ascii="宋体" w:hAnsi="宋体" w:eastAsia="宋体" w:cs="宋体"/>
          <w:b/>
          <w:i w:val="0"/>
          <w:color w:val="auto"/>
          <w:spacing w:val="0"/>
          <w:w w:val="100"/>
          <w:sz w:val="32"/>
          <w:szCs w:val="24"/>
          <w:highlight w:val="none"/>
          <w:lang w:bidi="ar-SA"/>
        </w:rPr>
        <w:br w:type="page"/>
      </w:r>
    </w:p>
    <w:p>
      <w:pPr>
        <w:pStyle w:val="7"/>
        <w:tabs>
          <w:tab w:val="left" w:pos="8786"/>
        </w:tabs>
        <w:spacing w:after="0" w:line="360" w:lineRule="auto"/>
        <w:outlineLvl w:val="2"/>
        <w:rPr>
          <w:rFonts w:hint="eastAsia" w:ascii="宋体" w:hAnsi="宋体"/>
          <w:b/>
          <w:color w:val="auto"/>
          <w:sz w:val="24"/>
          <w:highlight w:val="none"/>
        </w:rPr>
      </w:pPr>
      <w:bookmarkStart w:id="103" w:name="_Toc1366"/>
      <w:bookmarkEnd w:id="103"/>
      <w:bookmarkStart w:id="104" w:name="_Toc480368426"/>
      <w:bookmarkEnd w:id="104"/>
      <w:bookmarkStart w:id="105" w:name="_Toc23425"/>
      <w:r>
        <w:rPr>
          <w:rFonts w:hint="eastAsia" w:ascii="宋体" w:hAnsi="宋体"/>
          <w:b/>
          <w:color w:val="auto"/>
          <w:sz w:val="24"/>
          <w:highlight w:val="none"/>
          <w:lang w:val="en-US" w:eastAsia="zh-CN"/>
        </w:rPr>
        <w:t>2.</w:t>
      </w:r>
      <w:r>
        <w:rPr>
          <w:rFonts w:hint="eastAsia" w:ascii="宋体" w:hAnsi="宋体"/>
          <w:b/>
          <w:color w:val="auto"/>
          <w:sz w:val="24"/>
          <w:highlight w:val="none"/>
        </w:rPr>
        <w:t>投标保证金</w:t>
      </w:r>
      <w:bookmarkEnd w:id="105"/>
    </w:p>
    <w:p>
      <w:pPr>
        <w:pStyle w:val="7"/>
        <w:tabs>
          <w:tab w:val="left" w:pos="8786"/>
        </w:tabs>
        <w:spacing w:after="0" w:line="360" w:lineRule="auto"/>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说明：此处</w:t>
      </w:r>
      <w:r>
        <w:rPr>
          <w:rFonts w:hint="eastAsia" w:ascii="宋体" w:hAnsi="宋体"/>
          <w:color w:val="auto"/>
          <w:sz w:val="24"/>
          <w:highlight w:val="none"/>
          <w:lang w:eastAsia="zh-CN"/>
        </w:rPr>
        <w:t>附</w:t>
      </w:r>
      <w:r>
        <w:rPr>
          <w:rFonts w:hint="eastAsia" w:ascii="宋体" w:hAnsi="宋体"/>
          <w:color w:val="auto"/>
          <w:sz w:val="24"/>
          <w:highlight w:val="none"/>
        </w:rPr>
        <w:t>投标保证金缴纳证明文件；</w:t>
      </w: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pStyle w:val="7"/>
        <w:tabs>
          <w:tab w:val="left" w:pos="8786"/>
        </w:tabs>
        <w:spacing w:after="0" w:line="360" w:lineRule="auto"/>
        <w:rPr>
          <w:rFonts w:hint="eastAsia" w:ascii="宋体" w:hAnsi="宋体"/>
          <w:color w:val="auto"/>
          <w:sz w:val="24"/>
          <w:highlight w:val="none"/>
        </w:rPr>
      </w:pPr>
    </w:p>
    <w:p>
      <w:pPr>
        <w:spacing w:line="360" w:lineRule="auto"/>
        <w:ind w:firstLine="6000" w:firstLineChars="2500"/>
        <w:jc w:val="right"/>
        <w:rPr>
          <w:rFonts w:hint="eastAsia"/>
          <w:color w:val="auto"/>
          <w:sz w:val="24"/>
          <w:highlight w:val="none"/>
        </w:rPr>
      </w:pPr>
    </w:p>
    <w:p>
      <w:pPr>
        <w:rPr>
          <w:rFonts w:hint="eastAsia" w:ascii="Times New Roman PS Pro" w:hAnsi="Times New Roman PS Pro" w:cs="Times New Roman PS Pro"/>
          <w:b/>
          <w:bCs/>
          <w:color w:val="auto"/>
          <w:spacing w:val="0"/>
          <w:sz w:val="24"/>
          <w:szCs w:val="24"/>
          <w:highlight w:val="none"/>
          <w:lang w:val="en-US" w:eastAsia="zh-CN"/>
        </w:rPr>
      </w:pPr>
      <w:r>
        <w:rPr>
          <w:rFonts w:hint="eastAsia" w:ascii="Times New Roman PS Pro" w:hAnsi="Times New Roman PS Pro" w:cs="Times New Roman PS Pro"/>
          <w:b/>
          <w:bCs/>
          <w:color w:val="auto"/>
          <w:spacing w:val="0"/>
          <w:sz w:val="24"/>
          <w:szCs w:val="24"/>
          <w:highlight w:val="none"/>
          <w:lang w:val="en-US" w:eastAsia="zh-CN"/>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jc w:val="left"/>
        <w:outlineLvl w:val="2"/>
        <w:rPr>
          <w:rFonts w:hint="default" w:ascii="Times New Roman PS Pro" w:hAnsi="Times New Roman PS Pro" w:eastAsia="宋体" w:cs="Times New Roman PS Pro"/>
          <w:b/>
          <w:bCs/>
          <w:color w:val="auto"/>
          <w:spacing w:val="0"/>
          <w:sz w:val="24"/>
          <w:szCs w:val="24"/>
          <w:highlight w:val="none"/>
          <w:lang w:val="en-US" w:eastAsia="zh-CN"/>
        </w:rPr>
      </w:pPr>
      <w:bookmarkStart w:id="106" w:name="_Toc5298"/>
      <w:r>
        <w:rPr>
          <w:rFonts w:hint="eastAsia" w:ascii="Times New Roman PS Pro" w:hAnsi="Times New Roman PS Pro" w:cs="Times New Roman PS Pro"/>
          <w:b/>
          <w:bCs/>
          <w:color w:val="auto"/>
          <w:spacing w:val="0"/>
          <w:sz w:val="24"/>
          <w:szCs w:val="24"/>
          <w:highlight w:val="none"/>
          <w:lang w:val="en-US" w:eastAsia="zh-CN"/>
        </w:rPr>
        <w:t>3.</w:t>
      </w:r>
      <w:r>
        <w:rPr>
          <w:rFonts w:hint="default" w:ascii="Times New Roman PS Pro" w:hAnsi="Times New Roman PS Pro" w:cs="Times New Roman PS Pro"/>
          <w:b/>
          <w:bCs/>
          <w:color w:val="auto"/>
          <w:spacing w:val="0"/>
          <w:sz w:val="24"/>
          <w:szCs w:val="24"/>
          <w:highlight w:val="none"/>
        </w:rPr>
        <w:t>中小企业声明函</w:t>
      </w:r>
      <w:bookmarkEnd w:id="106"/>
    </w:p>
    <w:p>
      <w:pPr>
        <w:shd w:val="clear" w:color="auto" w:fill="FFFFFF"/>
        <w:spacing w:line="440" w:lineRule="exact"/>
        <w:jc w:val="center"/>
        <w:rPr>
          <w:rFonts w:hint="default" w:ascii="Times New Roman PS Pro" w:hAnsi="Times New Roman PS Pro" w:cs="Times New Roman PS Pro"/>
          <w:color w:val="auto"/>
          <w:spacing w:val="0"/>
          <w:sz w:val="24"/>
          <w:szCs w:val="24"/>
          <w:highlight w:val="none"/>
        </w:rPr>
      </w:pPr>
      <w:r>
        <w:rPr>
          <w:rFonts w:hint="default" w:ascii="Times New Roman PS Pro" w:hAnsi="Times New Roman PS Pro" w:cs="Times New Roman PS Pro"/>
          <w:b/>
          <w:bCs/>
          <w:color w:val="auto"/>
          <w:spacing w:val="0"/>
          <w:sz w:val="24"/>
          <w:szCs w:val="24"/>
          <w:highlight w:val="none"/>
        </w:rPr>
        <w:t>中小企业声明函（工程、服务）</w:t>
      </w:r>
    </w:p>
    <w:p>
      <w:pPr>
        <w:widowControl/>
        <w:spacing w:line="440" w:lineRule="exact"/>
        <w:jc w:val="left"/>
        <w:rPr>
          <w:rFonts w:hint="default" w:ascii="Times New Roman PS Pro" w:hAnsi="Times New Roman PS Pro" w:cs="Times New Roman PS Pro"/>
          <w:color w:val="auto"/>
          <w:spacing w:val="0"/>
          <w:sz w:val="21"/>
          <w:szCs w:val="21"/>
          <w:highlight w:val="none"/>
        </w:rPr>
      </w:pPr>
    </w:p>
    <w:p>
      <w:pPr>
        <w:widowControl/>
        <w:spacing w:line="44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highlight w:val="none"/>
          <w:u w:val="single"/>
        </w:rPr>
        <w:t xml:space="preserve">  （单位名称）  </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 xml:space="preserve">      （项目名称） </w:t>
      </w:r>
      <w:r>
        <w:rPr>
          <w:rFonts w:hint="eastAsia" w:ascii="宋体" w:hAnsi="宋体" w:eastAsia="宋体" w:cs="宋体"/>
          <w:color w:val="auto"/>
          <w:spacing w:val="0"/>
          <w:sz w:val="24"/>
          <w:szCs w:val="24"/>
          <w:highlight w:val="none"/>
        </w:rPr>
        <w:t>采购活动，工程的施工单位全部符合政策要求的中小企业（或者：服务全部由符合要求的中小企业承接）。相关企业（含联合体中的中小企业、签订分包意向协议的中小企业）的具体情况如下：</w:t>
      </w:r>
    </w:p>
    <w:p>
      <w:pPr>
        <w:widowControl/>
        <w:spacing w:line="44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1、   （标的名称）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 xml:space="preserve"> （中型企业、小型企业、微型企业）；</w:t>
      </w:r>
    </w:p>
    <w:p>
      <w:pPr>
        <w:widowControl/>
        <w:spacing w:line="44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2、   （标的名称）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 xml:space="preserve"> （中型企业、小型企业、微型企业）；</w:t>
      </w:r>
    </w:p>
    <w:p>
      <w:pPr>
        <w:pStyle w:val="43"/>
        <w:tabs>
          <w:tab w:val="left" w:pos="-120"/>
        </w:tabs>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pPr>
        <w:widowControl/>
        <w:spacing w:line="44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本企业对上述声明的真实性负责。如有虚假，将依法承担相应责任。</w:t>
      </w:r>
    </w:p>
    <w:p>
      <w:pPr>
        <w:widowControl/>
        <w:spacing w:line="440" w:lineRule="exact"/>
        <w:jc w:val="left"/>
        <w:rPr>
          <w:rFonts w:hint="eastAsia" w:ascii="宋体" w:hAnsi="宋体" w:eastAsia="宋体" w:cs="宋体"/>
          <w:color w:val="auto"/>
          <w:spacing w:val="0"/>
          <w:sz w:val="24"/>
          <w:szCs w:val="24"/>
          <w:highlight w:val="none"/>
        </w:rPr>
      </w:pPr>
    </w:p>
    <w:p>
      <w:pPr>
        <w:widowControl/>
        <w:spacing w:line="440" w:lineRule="exact"/>
        <w:jc w:val="left"/>
        <w:rPr>
          <w:rFonts w:hint="eastAsia" w:ascii="宋体" w:hAnsi="宋体" w:eastAsia="宋体" w:cs="宋体"/>
          <w:color w:val="auto"/>
          <w:spacing w:val="0"/>
          <w:sz w:val="24"/>
          <w:szCs w:val="24"/>
          <w:highlight w:val="none"/>
        </w:rPr>
      </w:pPr>
    </w:p>
    <w:p>
      <w:pPr>
        <w:pStyle w:val="45"/>
        <w:spacing w:line="44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供应商名称：</w:t>
      </w:r>
      <w:r>
        <w:rPr>
          <w:rFonts w:hint="eastAsia" w:ascii="宋体" w:hAnsi="宋体" w:eastAsia="宋体" w:cs="宋体"/>
          <w:color w:val="auto"/>
          <w:spacing w:val="0"/>
          <w:sz w:val="24"/>
          <w:szCs w:val="24"/>
          <w:highlight w:val="none"/>
          <w:u w:val="single"/>
        </w:rPr>
        <w:t xml:space="preserve">       （盖章）       </w:t>
      </w:r>
    </w:p>
    <w:p>
      <w:pPr>
        <w:widowControl/>
        <w:spacing w:line="440" w:lineRule="exact"/>
        <w:jc w:val="center"/>
        <w:rPr>
          <w:rFonts w:hint="eastAsia" w:ascii="宋体" w:hAnsi="宋体" w:eastAsia="宋体" w:cs="宋体"/>
          <w:color w:val="auto"/>
          <w:spacing w:val="0"/>
          <w:sz w:val="24"/>
          <w:szCs w:val="24"/>
          <w:highlight w:val="none"/>
        </w:rPr>
      </w:pPr>
    </w:p>
    <w:p>
      <w:pPr>
        <w:widowControl/>
        <w:spacing w:line="44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日   期：  年   月   日</w:t>
      </w:r>
    </w:p>
    <w:p>
      <w:pPr>
        <w:pStyle w:val="43"/>
        <w:tabs>
          <w:tab w:val="left" w:pos="-120"/>
        </w:tabs>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43"/>
        <w:tabs>
          <w:tab w:val="left" w:pos="-120"/>
        </w:tabs>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widowControl/>
        <w:spacing w:line="440" w:lineRule="exact"/>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kern w:val="0"/>
          <w:sz w:val="24"/>
          <w:szCs w:val="24"/>
          <w:highlight w:val="none"/>
        </w:rPr>
        <w:t>若为监狱企业或残疾人企业，须提供监狱企业或残疾人企业声明函（格式自拟）</w:t>
      </w:r>
    </w:p>
    <w:p>
      <w:pPr>
        <w:pStyle w:val="7"/>
        <w:tabs>
          <w:tab w:val="left" w:pos="8786"/>
        </w:tabs>
        <w:spacing w:after="0" w:line="360" w:lineRule="auto"/>
        <w:rPr>
          <w:rFonts w:hint="eastAsia" w:ascii="宋体" w:hAnsi="宋体"/>
          <w:b/>
          <w:color w:val="auto"/>
          <w:sz w:val="24"/>
          <w:highlight w:val="none"/>
        </w:rPr>
      </w:pPr>
      <w:r>
        <w:rPr>
          <w:rFonts w:hint="eastAsia" w:ascii="宋体" w:hAnsi="宋体" w:eastAsia="宋体" w:cs="宋体"/>
          <w:color w:val="auto"/>
          <w:spacing w:val="0"/>
          <w:kern w:val="0"/>
          <w:sz w:val="24"/>
          <w:szCs w:val="24"/>
          <w:highlight w:val="none"/>
        </w:rPr>
        <w:t>3、中标的供应商的《中小微企业声明函》将作为中标结果公告一并公示。</w:t>
      </w:r>
    </w:p>
    <w:p>
      <w:pPr>
        <w:pStyle w:val="7"/>
        <w:tabs>
          <w:tab w:val="left" w:pos="8786"/>
        </w:tabs>
        <w:spacing w:after="0" w:line="360" w:lineRule="auto"/>
        <w:rPr>
          <w:rFonts w:hint="eastAsia" w:ascii="宋体" w:hAnsi="宋体"/>
          <w:b/>
          <w:color w:val="auto"/>
          <w:sz w:val="24"/>
          <w:highlight w:val="none"/>
        </w:rPr>
      </w:pPr>
    </w:p>
    <w:p>
      <w:pPr>
        <w:rPr>
          <w:color w:val="auto"/>
          <w:highlight w:val="none"/>
        </w:rPr>
      </w:pPr>
      <w:r>
        <w:rPr>
          <w:color w:val="auto"/>
          <w:highlight w:val="none"/>
        </w:rPr>
        <w:br w:type="page"/>
      </w:r>
    </w:p>
    <w:p>
      <w:pPr>
        <w:pStyle w:val="4"/>
        <w:keepNext/>
        <w:keepLines/>
        <w:pageBreakBefore w:val="0"/>
        <w:widowControl w:val="0"/>
        <w:kinsoku/>
        <w:wordWrap/>
        <w:overflowPunct/>
        <w:topLinePunct w:val="0"/>
        <w:autoSpaceDE/>
        <w:autoSpaceDN/>
        <w:bidi w:val="0"/>
        <w:adjustRightInd/>
        <w:snapToGrid/>
        <w:ind w:left="1071" w:hanging="1071"/>
        <w:rPr>
          <w:color w:val="auto"/>
          <w:highlight w:val="none"/>
        </w:rPr>
      </w:pPr>
      <w:bookmarkStart w:id="107" w:name="_Toc29905"/>
      <w:bookmarkEnd w:id="107"/>
      <w:bookmarkStart w:id="108" w:name="_Toc446599332"/>
      <w:bookmarkEnd w:id="108"/>
      <w:bookmarkStart w:id="109" w:name="_Toc293736028"/>
      <w:bookmarkEnd w:id="109"/>
      <w:bookmarkStart w:id="110" w:name="_Toc293736071"/>
      <w:bookmarkEnd w:id="110"/>
      <w:bookmarkStart w:id="111" w:name="_Toc293739009"/>
      <w:bookmarkEnd w:id="111"/>
      <w:bookmarkStart w:id="112" w:name="_Toc485895990"/>
      <w:bookmarkEnd w:id="112"/>
      <w:bookmarkStart w:id="113" w:name="_Toc12074"/>
      <w:bookmarkEnd w:id="113"/>
      <w:bookmarkStart w:id="114" w:name="_Toc5074"/>
      <w:r>
        <w:rPr>
          <w:rFonts w:hint="eastAsia"/>
          <w:color w:val="auto"/>
          <w:highlight w:val="none"/>
          <w:lang w:val="en-US" w:eastAsia="zh-CN"/>
        </w:rPr>
        <w:t>二</w:t>
      </w:r>
      <w:r>
        <w:rPr>
          <w:rFonts w:hint="eastAsia"/>
          <w:color w:val="auto"/>
          <w:highlight w:val="none"/>
        </w:rPr>
        <w:t>、商务文件组成</w:t>
      </w:r>
      <w:bookmarkEnd w:id="114"/>
    </w:p>
    <w:p>
      <w:pPr>
        <w:autoSpaceDE w:val="0"/>
        <w:autoSpaceDN w:val="0"/>
        <w:adjustRightInd w:val="0"/>
        <w:spacing w:line="500" w:lineRule="exact"/>
        <w:ind w:firstLine="140" w:firstLineChars="50"/>
        <w:jc w:val="left"/>
        <w:rPr>
          <w:rFonts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商务文件目录</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1、竞争性磋商函；</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2、法定授权人委托书。</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3、开标一览表；</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4、竞争性磋商报价明细表</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5、投标服务清单</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6、商务响应、偏离说明表</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lang w:val="en-US" w:eastAsia="zh-CN"/>
        </w:rPr>
        <w:t>7、项目管理机构配备情况</w:t>
      </w:r>
      <w:r>
        <w:rPr>
          <w:rFonts w:hint="eastAsia" w:asciiTheme="majorEastAsia" w:hAnsiTheme="majorEastAsia" w:eastAsiaTheme="majorEastAsia"/>
          <w:color w:val="auto"/>
          <w:kern w:val="0"/>
          <w:sz w:val="28"/>
          <w:szCs w:val="28"/>
          <w:highlight w:val="none"/>
        </w:rPr>
        <w:t>；</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lang w:val="en-US" w:eastAsia="zh-CN"/>
        </w:rPr>
        <w:t>8</w:t>
      </w:r>
      <w:r>
        <w:rPr>
          <w:rFonts w:hint="eastAsia" w:asciiTheme="majorEastAsia" w:hAnsiTheme="majorEastAsia" w:eastAsiaTheme="majorEastAsia"/>
          <w:color w:val="auto"/>
          <w:kern w:val="0"/>
          <w:sz w:val="28"/>
          <w:szCs w:val="28"/>
          <w:highlight w:val="none"/>
        </w:rPr>
        <w:t>、供应商类似项目业绩表；</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10、商务条款响应、偏离说明表；</w:t>
      </w:r>
    </w:p>
    <w:p>
      <w:pPr>
        <w:autoSpaceDE w:val="0"/>
        <w:autoSpaceDN w:val="0"/>
        <w:adjustRightInd w:val="0"/>
        <w:spacing w:line="500" w:lineRule="exact"/>
        <w:jc w:val="left"/>
        <w:rPr>
          <w:rFonts w:hint="eastAsia" w:asciiTheme="majorEastAsia" w:hAnsiTheme="majorEastAsia" w:eastAsiaTheme="majorEastAsia"/>
          <w:color w:val="auto"/>
          <w:kern w:val="0"/>
          <w:sz w:val="28"/>
          <w:szCs w:val="28"/>
          <w:highlight w:val="none"/>
        </w:rPr>
      </w:pPr>
      <w:r>
        <w:rPr>
          <w:rFonts w:hint="eastAsia" w:asciiTheme="majorEastAsia" w:hAnsiTheme="majorEastAsia" w:eastAsiaTheme="majorEastAsia"/>
          <w:color w:val="auto"/>
          <w:kern w:val="0"/>
          <w:sz w:val="28"/>
          <w:szCs w:val="28"/>
          <w:highlight w:val="none"/>
        </w:rPr>
        <w:t>11、磋商文件要求提供或供应商认为需提供的其它资料；</w:t>
      </w:r>
    </w:p>
    <w:p>
      <w:pPr>
        <w:autoSpaceDE w:val="0"/>
        <w:autoSpaceDN w:val="0"/>
        <w:adjustRightInd w:val="0"/>
        <w:spacing w:line="500" w:lineRule="exact"/>
        <w:ind w:firstLine="141" w:firstLineChars="50"/>
        <w:jc w:val="left"/>
        <w:rPr>
          <w:rFonts w:asciiTheme="majorEastAsia" w:hAnsiTheme="majorEastAsia" w:eastAsiaTheme="majorEastAsia"/>
          <w:color w:val="auto"/>
          <w:kern w:val="0"/>
          <w:sz w:val="28"/>
          <w:szCs w:val="28"/>
          <w:highlight w:val="none"/>
        </w:rPr>
      </w:pPr>
      <w:r>
        <w:rPr>
          <w:rFonts w:asciiTheme="majorEastAsia" w:hAnsiTheme="majorEastAsia" w:eastAsiaTheme="majorEastAsia"/>
          <w:b/>
          <w:color w:val="auto"/>
          <w:kern w:val="0"/>
          <w:sz w:val="28"/>
          <w:szCs w:val="28"/>
          <w:highlight w:val="none"/>
        </w:rPr>
        <w:br w:type="page"/>
      </w:r>
    </w:p>
    <w:p>
      <w:pPr>
        <w:pStyle w:val="2"/>
        <w:keepNext/>
        <w:keepLines/>
        <w:pageBreakBefore w:val="0"/>
        <w:widowControl w:val="0"/>
        <w:kinsoku/>
        <w:wordWrap/>
        <w:overflowPunct/>
        <w:topLinePunct w:val="0"/>
        <w:autoSpaceDE/>
        <w:autoSpaceDN/>
        <w:bidi w:val="0"/>
        <w:adjustRightInd/>
        <w:snapToGrid/>
        <w:ind w:left="1071" w:hanging="1071"/>
        <w:rPr>
          <w:color w:val="auto"/>
          <w:highlight w:val="none"/>
        </w:rPr>
      </w:pPr>
      <w:bookmarkStart w:id="115" w:name="_Toc12389"/>
      <w:bookmarkEnd w:id="115"/>
      <w:bookmarkStart w:id="116" w:name="_Toc485895991"/>
      <w:bookmarkEnd w:id="116"/>
      <w:bookmarkStart w:id="117" w:name="_Toc13369"/>
      <w:bookmarkEnd w:id="117"/>
      <w:bookmarkStart w:id="118" w:name="_Toc24199"/>
      <w:r>
        <w:rPr>
          <w:rFonts w:hint="eastAsia"/>
          <w:color w:val="auto"/>
          <w:highlight w:val="none"/>
          <w:lang w:val="en-US" w:eastAsia="zh-CN"/>
        </w:rPr>
        <w:t>1、</w:t>
      </w:r>
      <w:r>
        <w:rPr>
          <w:rFonts w:hint="eastAsia"/>
          <w:color w:val="auto"/>
          <w:highlight w:val="none"/>
        </w:rPr>
        <w:t>竞争性磋商函</w:t>
      </w:r>
      <w:bookmarkEnd w:id="118"/>
    </w:p>
    <w:p>
      <w:pPr>
        <w:adjustRightInd w:val="0"/>
        <w:snapToGrid w:val="0"/>
        <w:spacing w:line="40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u w:val="single"/>
        </w:rPr>
        <w:t>（代理机构名称）</w:t>
      </w:r>
      <w:r>
        <w:rPr>
          <w:rFonts w:hint="eastAsia" w:asciiTheme="minorEastAsia" w:hAnsiTheme="minorEastAsia" w:eastAsiaTheme="minorEastAsia"/>
          <w:color w:val="auto"/>
          <w:sz w:val="28"/>
          <w:szCs w:val="28"/>
          <w:highlight w:val="none"/>
        </w:rPr>
        <w:t>：</w:t>
      </w:r>
    </w:p>
    <w:p>
      <w:pPr>
        <w:autoSpaceDE w:val="0"/>
        <w:autoSpaceDN w:val="0"/>
        <w:adjustRightInd w:val="0"/>
        <w:spacing w:line="400" w:lineRule="exact"/>
        <w:ind w:right="26" w:firstLine="560" w:firstLineChars="200"/>
        <w:jc w:val="left"/>
        <w:rPr>
          <w:rFonts w:hint="eastAsia" w:asciiTheme="minorEastAsia" w:hAnsiTheme="minorEastAsia" w:eastAsiaTheme="minorEastAsia"/>
          <w:color w:val="auto"/>
          <w:kern w:val="0"/>
          <w:sz w:val="28"/>
          <w:szCs w:val="28"/>
          <w:highlight w:val="none"/>
          <w:lang w:eastAsia="zh-CN"/>
        </w:rPr>
      </w:pPr>
      <w:r>
        <w:rPr>
          <w:rFonts w:hint="eastAsia" w:asciiTheme="minorEastAsia" w:hAnsiTheme="minorEastAsia" w:eastAsiaTheme="minorEastAsia"/>
          <w:color w:val="auto"/>
          <w:kern w:val="0"/>
          <w:sz w:val="28"/>
          <w:szCs w:val="28"/>
          <w:highlight w:val="none"/>
        </w:rPr>
        <w:t>依据贵方</w:t>
      </w:r>
      <w:r>
        <w:rPr>
          <w:rFonts w:hint="eastAsia" w:asciiTheme="minorEastAsia" w:hAnsiTheme="minorEastAsia" w:eastAsiaTheme="minorEastAsia"/>
          <w:color w:val="auto"/>
          <w:sz w:val="28"/>
          <w:szCs w:val="28"/>
          <w:highlight w:val="none"/>
          <w:u w:val="single"/>
        </w:rPr>
        <w:t xml:space="preserve"> (采购项目名称/采购项目编号) </w:t>
      </w:r>
      <w:r>
        <w:rPr>
          <w:rFonts w:hint="eastAsia" w:asciiTheme="minorEastAsia" w:hAnsiTheme="minorEastAsia" w:eastAsiaTheme="minorEastAsia"/>
          <w:color w:val="auto"/>
          <w:kern w:val="0"/>
          <w:sz w:val="28"/>
          <w:szCs w:val="28"/>
          <w:highlight w:val="none"/>
        </w:rPr>
        <w:t>项目招标采购服务的磋商邀请，我方代表</w:t>
      </w:r>
      <w:r>
        <w:rPr>
          <w:rFonts w:hint="eastAsia" w:asciiTheme="minorEastAsia" w:hAnsiTheme="minorEastAsia" w:eastAsiaTheme="minorEastAsia"/>
          <w:color w:val="auto"/>
          <w:sz w:val="28"/>
          <w:szCs w:val="28"/>
          <w:highlight w:val="none"/>
          <w:u w:val="single"/>
        </w:rPr>
        <w:t>（姓名、职务）</w:t>
      </w:r>
      <w:r>
        <w:rPr>
          <w:rFonts w:hint="eastAsia" w:asciiTheme="minorEastAsia" w:hAnsiTheme="minorEastAsia" w:eastAsiaTheme="minorEastAsia"/>
          <w:color w:val="auto"/>
          <w:kern w:val="0"/>
          <w:sz w:val="28"/>
          <w:szCs w:val="28"/>
          <w:highlight w:val="none"/>
        </w:rPr>
        <w:t>经正式授权并代表供应商</w:t>
      </w:r>
      <w:r>
        <w:rPr>
          <w:rFonts w:hint="eastAsia" w:asciiTheme="minorEastAsia" w:hAnsiTheme="minorEastAsia" w:eastAsiaTheme="minorEastAsia"/>
          <w:color w:val="auto"/>
          <w:sz w:val="28"/>
          <w:szCs w:val="28"/>
          <w:highlight w:val="none"/>
          <w:u w:val="single"/>
        </w:rPr>
        <w:t>（供应商名称、地址）</w:t>
      </w:r>
      <w:r>
        <w:rPr>
          <w:rFonts w:hint="eastAsia" w:asciiTheme="minorEastAsia" w:hAnsiTheme="minorEastAsia" w:eastAsiaTheme="minorEastAsia"/>
          <w:color w:val="auto"/>
          <w:kern w:val="0"/>
          <w:sz w:val="28"/>
          <w:szCs w:val="28"/>
          <w:highlight w:val="none"/>
        </w:rPr>
        <w:t>提交在</w:t>
      </w:r>
      <w:r>
        <w:rPr>
          <w:rFonts w:hint="eastAsia" w:ascii="宋体" w:hAnsi="宋体"/>
          <w:color w:val="auto"/>
          <w:kern w:val="0"/>
          <w:sz w:val="28"/>
          <w:szCs w:val="28"/>
          <w:highlight w:val="none"/>
        </w:rPr>
        <w:t>项目所属电子交易平台</w:t>
      </w:r>
      <w:r>
        <w:rPr>
          <w:rFonts w:hint="eastAsia" w:asciiTheme="minorEastAsia" w:hAnsiTheme="minorEastAsia" w:eastAsiaTheme="minorEastAsia"/>
          <w:color w:val="auto"/>
          <w:kern w:val="0"/>
          <w:sz w:val="28"/>
          <w:szCs w:val="28"/>
          <w:highlight w:val="none"/>
        </w:rPr>
        <w:t>上传电子响应文件。</w:t>
      </w:r>
      <w:r>
        <w:rPr>
          <w:rFonts w:hint="eastAsia" w:asciiTheme="minorEastAsia" w:hAnsiTheme="minorEastAsia" w:eastAsiaTheme="minorEastAsia"/>
          <w:color w:val="auto"/>
          <w:kern w:val="0"/>
          <w:sz w:val="28"/>
          <w:szCs w:val="28"/>
          <w:highlight w:val="none"/>
          <w:lang w:eastAsia="zh-CN"/>
        </w:rPr>
        <w:t>包含内容如下：</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1</w:t>
      </w:r>
      <w:r>
        <w:rPr>
          <w:rFonts w:hint="eastAsia" w:asciiTheme="minorEastAsia" w:hAnsiTheme="minorEastAsia" w:eastAsiaTheme="minorEastAsia"/>
          <w:color w:val="auto"/>
          <w:kern w:val="0"/>
          <w:sz w:val="28"/>
          <w:szCs w:val="28"/>
          <w:highlight w:val="none"/>
        </w:rPr>
        <w:t>．磋商报价表；</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2．磋商报价明细表；</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3．所投服务清单；</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4．按磋商文件供应商须知和技术规格要求提供的有关文件；</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5．资格证明文件；</w:t>
      </w:r>
    </w:p>
    <w:p>
      <w:pPr>
        <w:autoSpaceDE w:val="0"/>
        <w:autoSpaceDN w:val="0"/>
        <w:adjustRightInd w:val="0"/>
        <w:spacing w:line="288" w:lineRule="auto"/>
        <w:ind w:right="32"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6．按磋商文件的规定递交的磋商保证金。</w:t>
      </w:r>
    </w:p>
    <w:p>
      <w:pPr>
        <w:autoSpaceDE w:val="0"/>
        <w:autoSpaceDN w:val="0"/>
        <w:adjustRightInd w:val="0"/>
        <w:spacing w:line="288" w:lineRule="auto"/>
        <w:ind w:right="246"/>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在此，我方宣布同意如下：</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1．所附《磋商报价表》中规定的应提交和交付的</w:t>
      </w:r>
      <w:r>
        <w:rPr>
          <w:rFonts w:hint="eastAsia" w:asciiTheme="minorEastAsia" w:hAnsiTheme="minorEastAsia" w:eastAsiaTheme="minorEastAsia"/>
          <w:color w:val="auto"/>
          <w:kern w:val="0"/>
          <w:sz w:val="28"/>
          <w:szCs w:val="28"/>
          <w:highlight w:val="none"/>
          <w:u w:val="single"/>
        </w:rPr>
        <w:t xml:space="preserve">  （包号） </w:t>
      </w:r>
      <w:r>
        <w:rPr>
          <w:rFonts w:hint="eastAsia" w:asciiTheme="minorEastAsia" w:hAnsiTheme="minorEastAsia" w:eastAsiaTheme="minorEastAsia"/>
          <w:color w:val="auto"/>
          <w:kern w:val="0"/>
          <w:sz w:val="28"/>
          <w:szCs w:val="28"/>
          <w:highlight w:val="none"/>
        </w:rPr>
        <w:t>货物投标总价为</w:t>
      </w:r>
      <w:r>
        <w:rPr>
          <w:rFonts w:hint="eastAsia" w:asciiTheme="minorEastAsia" w:hAnsiTheme="minorEastAsia" w:eastAsiaTheme="minorEastAsia"/>
          <w:color w:val="auto"/>
          <w:kern w:val="0"/>
          <w:sz w:val="28"/>
          <w:szCs w:val="28"/>
          <w:highlight w:val="none"/>
          <w:u w:val="single"/>
        </w:rPr>
        <w:t>（注明币种，并用文字和数字表示的投标总价）</w:t>
      </w:r>
      <w:r>
        <w:rPr>
          <w:rFonts w:hint="eastAsia" w:asciiTheme="minorEastAsia" w:hAnsiTheme="minorEastAsia" w:eastAsiaTheme="minorEastAsia"/>
          <w:color w:val="auto"/>
          <w:kern w:val="0"/>
          <w:sz w:val="28"/>
          <w:szCs w:val="28"/>
          <w:highlight w:val="none"/>
        </w:rPr>
        <w:t>。</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2．将按磋商文件的约定履行合同责任和义务。</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3．已详细审查全部磋商文件，包括</w:t>
      </w:r>
      <w:r>
        <w:rPr>
          <w:rFonts w:hint="eastAsia" w:asciiTheme="minorEastAsia" w:hAnsiTheme="minorEastAsia" w:eastAsiaTheme="minorEastAsia"/>
          <w:color w:val="auto"/>
          <w:kern w:val="0"/>
          <w:sz w:val="28"/>
          <w:szCs w:val="28"/>
          <w:highlight w:val="none"/>
          <w:u w:val="single"/>
        </w:rPr>
        <w:t>（修正或补充文件）</w:t>
      </w:r>
      <w:r>
        <w:rPr>
          <w:rFonts w:hint="eastAsia" w:asciiTheme="minorEastAsia" w:hAnsiTheme="minorEastAsia" w:eastAsiaTheme="minorEastAsia"/>
          <w:color w:val="auto"/>
          <w:kern w:val="0"/>
          <w:sz w:val="28"/>
          <w:szCs w:val="28"/>
          <w:highlight w:val="none"/>
        </w:rPr>
        <w:t>（如有），对此无异议。</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4．本投标有效期为自开标日起，共</w:t>
      </w:r>
      <w:r>
        <w:rPr>
          <w:rFonts w:hint="eastAsia" w:asciiTheme="minorEastAsia" w:hAnsiTheme="minorEastAsia" w:eastAsiaTheme="minorEastAsia"/>
          <w:color w:val="auto"/>
          <w:kern w:val="0"/>
          <w:sz w:val="28"/>
          <w:szCs w:val="28"/>
          <w:highlight w:val="none"/>
          <w:u w:val="single"/>
          <w:lang w:val="en-US" w:eastAsia="zh-CN"/>
        </w:rPr>
        <w:t xml:space="preserve">   </w:t>
      </w:r>
      <w:r>
        <w:rPr>
          <w:rFonts w:hint="eastAsia" w:asciiTheme="minorEastAsia" w:hAnsiTheme="minorEastAsia" w:eastAsiaTheme="minorEastAsia"/>
          <w:color w:val="auto"/>
          <w:kern w:val="0"/>
          <w:sz w:val="28"/>
          <w:szCs w:val="28"/>
          <w:highlight w:val="none"/>
        </w:rPr>
        <w:t>个日历日。</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5．接受磋商文件所列须知中关于没收投标保证金的约定。</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6．同意提供按照贵方可能要求的与其投标有关的一切数据或资料。</w:t>
      </w:r>
    </w:p>
    <w:p>
      <w:pPr>
        <w:autoSpaceDE w:val="0"/>
        <w:autoSpaceDN w:val="0"/>
        <w:adjustRightInd w:val="0"/>
        <w:spacing w:line="288" w:lineRule="auto"/>
        <w:ind w:right="246" w:firstLine="560" w:firstLineChars="20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7.与本投标有关的一切正式往来信函请寄：。</w:t>
      </w:r>
    </w:p>
    <w:p>
      <w:pPr>
        <w:adjustRightInd w:val="0"/>
        <w:snapToGrid w:val="0"/>
        <w:spacing w:line="400" w:lineRule="exact"/>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8.其他：</w:t>
      </w:r>
    </w:p>
    <w:p>
      <w:pPr>
        <w:adjustRightInd w:val="0"/>
        <w:snapToGrid w:val="0"/>
        <w:spacing w:line="400" w:lineRule="exact"/>
        <w:ind w:firstLine="420" w:firstLineChars="150"/>
        <w:jc w:val="lef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 xml:space="preserve">供应商名称(公章)： </w:t>
      </w:r>
    </w:p>
    <w:p>
      <w:pPr>
        <w:adjustRightInd w:val="0"/>
        <w:snapToGrid w:val="0"/>
        <w:spacing w:line="400" w:lineRule="exact"/>
        <w:ind w:firstLine="420" w:firstLineChars="150"/>
        <w:jc w:val="lef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法定代表人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签字或盖章</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w:t>
      </w:r>
    </w:p>
    <w:p>
      <w:pPr>
        <w:autoSpaceDE w:val="0"/>
        <w:autoSpaceDN w:val="0"/>
        <w:adjustRightInd w:val="0"/>
        <w:spacing w:line="400" w:lineRule="exact"/>
        <w:ind w:right="246" w:firstLine="420" w:firstLineChars="15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地    址：</w:t>
      </w:r>
    </w:p>
    <w:p>
      <w:pPr>
        <w:autoSpaceDE w:val="0"/>
        <w:autoSpaceDN w:val="0"/>
        <w:adjustRightInd w:val="0"/>
        <w:spacing w:line="400" w:lineRule="exact"/>
        <w:ind w:right="33" w:firstLine="420" w:firstLineChars="15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电    话：</w:t>
      </w:r>
    </w:p>
    <w:p>
      <w:pPr>
        <w:autoSpaceDE w:val="0"/>
        <w:autoSpaceDN w:val="0"/>
        <w:adjustRightInd w:val="0"/>
        <w:spacing w:line="400" w:lineRule="exact"/>
        <w:ind w:right="246" w:firstLine="420" w:firstLineChars="150"/>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电子函件：</w:t>
      </w:r>
    </w:p>
    <w:p>
      <w:pPr>
        <w:adjustRightInd w:val="0"/>
        <w:snapToGrid w:val="0"/>
        <w:spacing w:line="400" w:lineRule="exact"/>
        <w:ind w:firstLine="420" w:firstLineChars="150"/>
        <w:jc w:val="lef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期：</w:t>
      </w:r>
    </w:p>
    <w:p>
      <w:pPr>
        <w:adjustRightInd w:val="0"/>
        <w:snapToGrid w:val="0"/>
        <w:spacing w:line="500" w:lineRule="exac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pStyle w:val="2"/>
        <w:keepNext/>
        <w:keepLines/>
        <w:pageBreakBefore w:val="0"/>
        <w:widowControl w:val="0"/>
        <w:kinsoku/>
        <w:wordWrap/>
        <w:overflowPunct/>
        <w:topLinePunct w:val="0"/>
        <w:autoSpaceDE/>
        <w:autoSpaceDN/>
        <w:bidi w:val="0"/>
        <w:adjustRightInd/>
        <w:snapToGrid/>
        <w:ind w:left="1071" w:hanging="1071"/>
        <w:rPr>
          <w:rFonts w:hint="eastAsia"/>
          <w:color w:val="auto"/>
          <w:highlight w:val="none"/>
          <w:lang w:val="en-US" w:eastAsia="zh-CN"/>
        </w:rPr>
      </w:pPr>
      <w:bookmarkStart w:id="119" w:name="_Toc3486"/>
      <w:bookmarkStart w:id="120" w:name="_Toc20150"/>
      <w:bookmarkStart w:id="121" w:name="_Toc485895992"/>
      <w:bookmarkStart w:id="122" w:name="_Toc13846"/>
      <w:r>
        <w:rPr>
          <w:rFonts w:hint="eastAsia"/>
          <w:color w:val="auto"/>
          <w:highlight w:val="none"/>
          <w:lang w:val="en-US" w:eastAsia="zh-CN"/>
        </w:rPr>
        <w:t>2、法定授权人委托书</w:t>
      </w:r>
      <w:bookmarkEnd w:id="119"/>
    </w:p>
    <w:p>
      <w:pPr>
        <w:adjustRightInd w:val="0"/>
        <w:snapToGrid w:val="0"/>
        <w:spacing w:line="360" w:lineRule="auto"/>
        <w:ind w:left="562" w:hanging="560" w:hangingChars="200"/>
        <w:rPr>
          <w:rFonts w:hint="eastAsia" w:cs="Corbel" w:asciiTheme="minorEastAsia" w:hAnsiTheme="minorEastAsia" w:eastAsiaTheme="minorEastAsia"/>
          <w:color w:val="auto"/>
          <w:sz w:val="28"/>
          <w:szCs w:val="28"/>
          <w:highlight w:val="none"/>
          <w:lang w:val="en-US" w:eastAsia="zh-CN"/>
        </w:rPr>
      </w:pPr>
    </w:p>
    <w:p>
      <w:pPr>
        <w:pStyle w:val="11"/>
        <w:tabs>
          <w:tab w:val="left" w:pos="5580"/>
        </w:tabs>
        <w:spacing w:line="360" w:lineRule="auto"/>
        <w:ind w:firstLine="480"/>
        <w:rPr>
          <w:rFonts w:hint="eastAsia" w:hAnsi="宋体"/>
          <w:color w:val="auto"/>
          <w:sz w:val="28"/>
          <w:szCs w:val="32"/>
          <w:highlight w:val="none"/>
        </w:rPr>
      </w:pPr>
      <w:r>
        <w:rPr>
          <w:rFonts w:hint="eastAsia" w:hAnsi="宋体"/>
          <w:color w:val="auto"/>
          <w:sz w:val="28"/>
          <w:szCs w:val="28"/>
          <w:highlight w:val="none"/>
        </w:rPr>
        <w:t xml:space="preserve">本授权书声明：注册于 </w:t>
      </w:r>
      <w:r>
        <w:rPr>
          <w:rFonts w:hint="eastAsia" w:hAnsi="宋体"/>
          <w:color w:val="auto"/>
          <w:sz w:val="28"/>
          <w:szCs w:val="28"/>
          <w:highlight w:val="none"/>
          <w:u w:val="single"/>
        </w:rPr>
        <w:t xml:space="preserve">              </w:t>
      </w:r>
      <w:r>
        <w:rPr>
          <w:rFonts w:hint="eastAsia" w:hAnsi="宋体"/>
          <w:color w:val="auto"/>
          <w:sz w:val="28"/>
          <w:szCs w:val="28"/>
          <w:highlight w:val="none"/>
        </w:rPr>
        <w:t>（</w:t>
      </w:r>
      <w:r>
        <w:rPr>
          <w:rFonts w:hint="eastAsia" w:hAnsi="宋体"/>
          <w:color w:val="auto"/>
          <w:sz w:val="28"/>
          <w:szCs w:val="28"/>
          <w:highlight w:val="none"/>
          <w:lang w:eastAsia="zh-CN"/>
        </w:rPr>
        <w:t>供应商</w:t>
      </w:r>
      <w:r>
        <w:rPr>
          <w:rFonts w:hint="eastAsia" w:hAnsi="宋体"/>
          <w:color w:val="auto"/>
          <w:sz w:val="28"/>
          <w:szCs w:val="28"/>
          <w:highlight w:val="none"/>
        </w:rPr>
        <w:t>住址）的</w:t>
      </w:r>
      <w:r>
        <w:rPr>
          <w:rFonts w:hint="eastAsia" w:hAnsi="宋体"/>
          <w:color w:val="auto"/>
          <w:sz w:val="28"/>
          <w:szCs w:val="28"/>
          <w:highlight w:val="none"/>
          <w:u w:val="single"/>
        </w:rPr>
        <w:t xml:space="preserve">           </w:t>
      </w:r>
      <w:r>
        <w:rPr>
          <w:rFonts w:hint="eastAsia" w:hAnsi="宋体"/>
          <w:color w:val="auto"/>
          <w:sz w:val="28"/>
          <w:szCs w:val="28"/>
          <w:highlight w:val="none"/>
        </w:rPr>
        <w:t>（</w:t>
      </w:r>
      <w:r>
        <w:rPr>
          <w:rFonts w:hint="eastAsia" w:hAnsi="宋体"/>
          <w:color w:val="auto"/>
          <w:sz w:val="28"/>
          <w:szCs w:val="28"/>
          <w:highlight w:val="none"/>
          <w:lang w:eastAsia="zh-CN"/>
        </w:rPr>
        <w:t>供应商</w:t>
      </w:r>
      <w:r>
        <w:rPr>
          <w:rFonts w:hint="eastAsia" w:hAnsi="宋体"/>
          <w:color w:val="auto"/>
          <w:sz w:val="28"/>
          <w:szCs w:val="28"/>
          <w:highlight w:val="none"/>
        </w:rPr>
        <w:t>名称）的在下面电子签章的</w:t>
      </w:r>
      <w:r>
        <w:rPr>
          <w:rFonts w:hint="eastAsia" w:hAnsi="宋体"/>
          <w:color w:val="auto"/>
          <w:sz w:val="28"/>
          <w:szCs w:val="28"/>
          <w:highlight w:val="none"/>
          <w:u w:val="single"/>
        </w:rPr>
        <w:t xml:space="preserve">             </w:t>
      </w:r>
      <w:r>
        <w:rPr>
          <w:rFonts w:hint="eastAsia" w:hAnsi="宋体"/>
          <w:color w:val="auto"/>
          <w:sz w:val="28"/>
          <w:szCs w:val="28"/>
          <w:highlight w:val="none"/>
        </w:rPr>
        <w:t>（法定代表人姓名、职务）代表本公司授权</w:t>
      </w:r>
      <w:r>
        <w:rPr>
          <w:rFonts w:hint="eastAsia" w:hAnsi="宋体"/>
          <w:color w:val="auto"/>
          <w:sz w:val="28"/>
          <w:szCs w:val="28"/>
          <w:highlight w:val="none"/>
          <w:u w:val="single"/>
        </w:rPr>
        <w:t xml:space="preserve">             </w:t>
      </w:r>
      <w:r>
        <w:rPr>
          <w:rFonts w:hint="eastAsia" w:hAnsi="宋体"/>
          <w:color w:val="auto"/>
          <w:sz w:val="28"/>
          <w:szCs w:val="28"/>
          <w:highlight w:val="none"/>
        </w:rPr>
        <w:t>（授权代理人的姓名、职务）为本公司的合法代理人，就贵方组织</w:t>
      </w:r>
      <w:r>
        <w:rPr>
          <w:rFonts w:hint="eastAsia" w:hAnsi="宋体"/>
          <w:color w:val="auto"/>
          <w:sz w:val="28"/>
          <w:szCs w:val="28"/>
          <w:highlight w:val="none"/>
          <w:u w:val="single"/>
        </w:rPr>
        <w:t xml:space="preserve">             </w:t>
      </w:r>
      <w:r>
        <w:rPr>
          <w:rFonts w:hint="eastAsia" w:hAnsi="宋体"/>
          <w:color w:val="auto"/>
          <w:sz w:val="28"/>
          <w:szCs w:val="28"/>
          <w:highlight w:val="none"/>
        </w:rPr>
        <w:t>（项目名称）项目（项目编号、包号：</w:t>
      </w:r>
      <w:r>
        <w:rPr>
          <w:rFonts w:hint="eastAsia" w:hAnsi="宋体"/>
          <w:color w:val="auto"/>
          <w:sz w:val="28"/>
          <w:szCs w:val="28"/>
          <w:highlight w:val="none"/>
          <w:u w:val="single"/>
        </w:rPr>
        <w:t xml:space="preserve">           </w:t>
      </w:r>
      <w:r>
        <w:rPr>
          <w:rFonts w:hint="eastAsia" w:hAnsi="宋体"/>
          <w:color w:val="auto"/>
          <w:sz w:val="28"/>
          <w:szCs w:val="28"/>
          <w:highlight w:val="none"/>
        </w:rPr>
        <w:t>），以本公司名义处理一切与之有关的事宜。</w:t>
      </w:r>
      <w:r>
        <w:rPr>
          <w:rFonts w:hint="eastAsia" w:hAnsi="宋体"/>
          <w:color w:val="auto"/>
          <w:sz w:val="28"/>
          <w:szCs w:val="32"/>
          <w:highlight w:val="none"/>
          <w:lang w:eastAsia="zh-CN"/>
        </w:rPr>
        <w:t>供应商</w:t>
      </w:r>
      <w:r>
        <w:rPr>
          <w:rFonts w:hint="eastAsia" w:hAnsi="宋体"/>
          <w:color w:val="auto"/>
          <w:sz w:val="28"/>
          <w:szCs w:val="32"/>
          <w:highlight w:val="none"/>
        </w:rPr>
        <w:t>授权代理人在投标过程中所签署的一切文件和处理与之有关的一切事务，本公司均予以认可并对此承担责任。</w:t>
      </w:r>
    </w:p>
    <w:p>
      <w:pPr>
        <w:pStyle w:val="11"/>
        <w:tabs>
          <w:tab w:val="left" w:pos="5580"/>
        </w:tabs>
        <w:spacing w:line="360" w:lineRule="auto"/>
        <w:ind w:firstLine="480"/>
        <w:rPr>
          <w:rFonts w:hint="eastAsia" w:hAnsi="宋体"/>
          <w:color w:val="auto"/>
          <w:sz w:val="28"/>
          <w:szCs w:val="28"/>
          <w:highlight w:val="none"/>
        </w:rPr>
      </w:pPr>
      <w:r>
        <w:rPr>
          <w:rFonts w:hint="eastAsia" w:hAnsi="宋体"/>
          <w:color w:val="auto"/>
          <w:sz w:val="28"/>
          <w:szCs w:val="32"/>
          <w:highlight w:val="none"/>
          <w:lang w:eastAsia="zh-CN"/>
        </w:rPr>
        <w:t>供应商</w:t>
      </w:r>
      <w:r>
        <w:rPr>
          <w:rFonts w:hint="eastAsia" w:hAnsi="宋体"/>
          <w:color w:val="auto"/>
          <w:sz w:val="28"/>
          <w:szCs w:val="32"/>
          <w:highlight w:val="none"/>
        </w:rPr>
        <w:t>授权代理人无转委托权。特此授权。</w:t>
      </w:r>
      <w:r>
        <w:rPr>
          <w:rFonts w:hint="eastAsia" w:hAnsi="宋体"/>
          <w:color w:val="auto"/>
          <w:sz w:val="28"/>
          <w:szCs w:val="28"/>
          <w:highlight w:val="none"/>
        </w:rPr>
        <w:cr/>
      </w:r>
      <w:r>
        <w:rPr>
          <w:rFonts w:hint="eastAsia" w:hAnsi="宋体"/>
          <w:color w:val="auto"/>
          <w:sz w:val="28"/>
          <w:szCs w:val="28"/>
          <w:highlight w:val="none"/>
        </w:rPr>
        <w:t>　　</w:t>
      </w:r>
    </w:p>
    <w:p>
      <w:pPr>
        <w:pStyle w:val="11"/>
        <w:tabs>
          <w:tab w:val="left" w:pos="5580"/>
        </w:tabs>
        <w:spacing w:line="360" w:lineRule="auto"/>
        <w:ind w:firstLine="480"/>
        <w:rPr>
          <w:rFonts w:hint="eastAsia" w:hAnsi="宋体"/>
          <w:color w:val="auto"/>
          <w:sz w:val="28"/>
          <w:szCs w:val="28"/>
          <w:highlight w:val="none"/>
        </w:rPr>
      </w:pPr>
      <w:r>
        <w:rPr>
          <w:rFonts w:hint="eastAsia" w:hAnsi="宋体"/>
          <w:color w:val="auto"/>
          <w:sz w:val="28"/>
          <w:szCs w:val="28"/>
          <w:highlight w:val="none"/>
        </w:rPr>
        <w:t>本授权书于__________年_____月______日生效，特此声明。</w:t>
      </w:r>
      <w:r>
        <w:rPr>
          <w:rFonts w:hint="eastAsia" w:hAnsi="宋体"/>
          <w:color w:val="auto"/>
          <w:sz w:val="28"/>
          <w:szCs w:val="28"/>
          <w:highlight w:val="none"/>
        </w:rPr>
        <w:cr/>
      </w:r>
    </w:p>
    <w:p>
      <w:pPr>
        <w:pStyle w:val="11"/>
        <w:tabs>
          <w:tab w:val="left" w:pos="5580"/>
        </w:tabs>
        <w:spacing w:line="360" w:lineRule="auto"/>
        <w:rPr>
          <w:rFonts w:hint="eastAsia" w:hAnsi="宋体"/>
          <w:color w:val="auto"/>
          <w:sz w:val="28"/>
          <w:szCs w:val="28"/>
          <w:highlight w:val="none"/>
        </w:rPr>
      </w:pPr>
    </w:p>
    <w:p>
      <w:pPr>
        <w:pStyle w:val="11"/>
        <w:tabs>
          <w:tab w:val="left" w:pos="5580"/>
        </w:tabs>
        <w:spacing w:line="360" w:lineRule="auto"/>
        <w:rPr>
          <w:rFonts w:hint="eastAsia" w:hAnsi="宋体"/>
          <w:color w:val="auto"/>
          <w:sz w:val="28"/>
          <w:szCs w:val="28"/>
          <w:highlight w:val="none"/>
        </w:rPr>
      </w:pPr>
    </w:p>
    <w:p>
      <w:pPr>
        <w:pStyle w:val="11"/>
        <w:tabs>
          <w:tab w:val="left" w:pos="5580"/>
        </w:tabs>
        <w:spacing w:line="360" w:lineRule="auto"/>
        <w:rPr>
          <w:rFonts w:hint="eastAsia" w:hAnsi="宋体"/>
          <w:color w:val="auto"/>
          <w:sz w:val="28"/>
          <w:szCs w:val="28"/>
          <w:highlight w:val="none"/>
        </w:rPr>
      </w:pPr>
    </w:p>
    <w:p>
      <w:pPr>
        <w:pStyle w:val="11"/>
        <w:tabs>
          <w:tab w:val="left" w:pos="5580"/>
        </w:tabs>
        <w:spacing w:line="360" w:lineRule="auto"/>
        <w:rPr>
          <w:rFonts w:hint="eastAsia" w:hAnsi="宋体"/>
          <w:b/>
          <w:color w:val="auto"/>
          <w:sz w:val="28"/>
          <w:szCs w:val="28"/>
          <w:highlight w:val="none"/>
        </w:rPr>
      </w:pPr>
      <w:r>
        <w:rPr>
          <w:rFonts w:hint="eastAsia" w:hAnsi="宋体"/>
          <w:b/>
          <w:color w:val="auto"/>
          <w:sz w:val="28"/>
          <w:szCs w:val="28"/>
          <w:highlight w:val="none"/>
        </w:rPr>
        <w:t xml:space="preserve">                         （附授权代理人身份证正反两面扫描件）</w:t>
      </w:r>
    </w:p>
    <w:p>
      <w:pPr>
        <w:pStyle w:val="11"/>
        <w:tabs>
          <w:tab w:val="left" w:pos="5580"/>
        </w:tabs>
        <w:spacing w:line="360" w:lineRule="auto"/>
        <w:rPr>
          <w:rFonts w:hint="eastAsia" w:hAnsi="宋体"/>
          <w:color w:val="auto"/>
          <w:sz w:val="28"/>
          <w:szCs w:val="28"/>
          <w:highlight w:val="none"/>
        </w:rPr>
      </w:pPr>
    </w:p>
    <w:p>
      <w:pPr>
        <w:pStyle w:val="11"/>
        <w:tabs>
          <w:tab w:val="left" w:pos="5580"/>
        </w:tabs>
        <w:spacing w:line="360" w:lineRule="auto"/>
        <w:rPr>
          <w:rFonts w:hint="eastAsia" w:hAnsi="宋体"/>
          <w:color w:val="auto"/>
          <w:sz w:val="28"/>
          <w:szCs w:val="28"/>
          <w:highlight w:val="none"/>
        </w:rPr>
      </w:pPr>
    </w:p>
    <w:p>
      <w:pPr>
        <w:spacing w:line="360" w:lineRule="auto"/>
        <w:ind w:firstLine="560" w:firstLineChars="200"/>
        <w:rPr>
          <w:rFonts w:hint="eastAsia" w:ascii="宋体" w:hAnsi="宋体"/>
          <w:color w:val="auto"/>
          <w:sz w:val="28"/>
          <w:szCs w:val="24"/>
          <w:highlight w:val="none"/>
        </w:rPr>
      </w:pPr>
      <w:r>
        <w:rPr>
          <w:rFonts w:hint="eastAsia" w:ascii="宋体" w:hAnsi="宋体"/>
          <w:color w:val="auto"/>
          <w:sz w:val="28"/>
          <w:szCs w:val="24"/>
          <w:highlight w:val="none"/>
          <w:lang w:eastAsia="zh-CN"/>
        </w:rPr>
        <w:t>供应商</w:t>
      </w:r>
      <w:r>
        <w:rPr>
          <w:rFonts w:hint="eastAsia" w:ascii="宋体" w:hAnsi="宋体"/>
          <w:color w:val="auto"/>
          <w:sz w:val="28"/>
          <w:szCs w:val="24"/>
          <w:highlight w:val="none"/>
        </w:rPr>
        <w:t>法定代表人电子签章：</w:t>
      </w:r>
    </w:p>
    <w:p>
      <w:pPr>
        <w:spacing w:line="360" w:lineRule="auto"/>
        <w:ind w:firstLine="560" w:firstLineChars="200"/>
        <w:rPr>
          <w:rFonts w:hint="eastAsia" w:ascii="宋体" w:hAnsi="宋体"/>
          <w:color w:val="auto"/>
          <w:sz w:val="28"/>
          <w:szCs w:val="24"/>
          <w:highlight w:val="none"/>
        </w:rPr>
      </w:pPr>
    </w:p>
    <w:p>
      <w:pPr>
        <w:spacing w:line="360" w:lineRule="auto"/>
        <w:ind w:firstLine="560" w:firstLineChars="200"/>
        <w:rPr>
          <w:rFonts w:ascii="宋体" w:hAnsi="宋体"/>
          <w:color w:val="auto"/>
          <w:sz w:val="28"/>
          <w:szCs w:val="24"/>
          <w:highlight w:val="none"/>
        </w:rPr>
      </w:pPr>
      <w:r>
        <w:rPr>
          <w:rFonts w:hint="eastAsia" w:ascii="宋体" w:hAnsi="宋体"/>
          <w:color w:val="auto"/>
          <w:sz w:val="28"/>
          <w:szCs w:val="24"/>
          <w:highlight w:val="none"/>
          <w:lang w:eastAsia="zh-CN"/>
        </w:rPr>
        <w:t>供应商</w:t>
      </w:r>
      <w:r>
        <w:rPr>
          <w:rFonts w:hint="eastAsia" w:ascii="宋体" w:hAnsi="宋体"/>
          <w:color w:val="auto"/>
          <w:sz w:val="28"/>
          <w:szCs w:val="24"/>
          <w:highlight w:val="none"/>
        </w:rPr>
        <w:t>电子公章：</w:t>
      </w:r>
    </w:p>
    <w:p>
      <w:pPr>
        <w:spacing w:line="360" w:lineRule="auto"/>
        <w:ind w:firstLine="560" w:firstLineChars="200"/>
        <w:rPr>
          <w:rFonts w:ascii="宋体" w:hAnsi="宋体"/>
          <w:color w:val="auto"/>
          <w:sz w:val="28"/>
          <w:szCs w:val="24"/>
          <w:highlight w:val="none"/>
        </w:rPr>
      </w:pPr>
    </w:p>
    <w:p>
      <w:pPr>
        <w:spacing w:line="360" w:lineRule="auto"/>
        <w:ind w:firstLine="560" w:firstLineChars="200"/>
        <w:rPr>
          <w:rFonts w:ascii="宋体" w:hAnsi="宋体"/>
          <w:color w:val="auto"/>
          <w:sz w:val="28"/>
          <w:szCs w:val="24"/>
          <w:highlight w:val="none"/>
        </w:rPr>
      </w:pPr>
      <w:r>
        <w:rPr>
          <w:rFonts w:ascii="宋体" w:hAnsi="宋体"/>
          <w:color w:val="auto"/>
          <w:sz w:val="28"/>
          <w:szCs w:val="24"/>
          <w:highlight w:val="none"/>
        </w:rPr>
        <w:t>日</w:t>
      </w:r>
      <w:r>
        <w:rPr>
          <w:rFonts w:hint="eastAsia" w:ascii="宋体" w:hAnsi="宋体"/>
          <w:color w:val="auto"/>
          <w:sz w:val="28"/>
          <w:szCs w:val="24"/>
          <w:highlight w:val="none"/>
        </w:rPr>
        <w:t xml:space="preserve">   </w:t>
      </w:r>
      <w:r>
        <w:rPr>
          <w:rFonts w:ascii="宋体" w:hAnsi="宋体"/>
          <w:color w:val="auto"/>
          <w:sz w:val="28"/>
          <w:szCs w:val="24"/>
          <w:highlight w:val="none"/>
        </w:rPr>
        <w:t>期：</w:t>
      </w:r>
      <w:r>
        <w:rPr>
          <w:rFonts w:hint="eastAsia" w:ascii="宋体" w:hAnsi="宋体"/>
          <w:color w:val="auto"/>
          <w:sz w:val="28"/>
          <w:szCs w:val="24"/>
          <w:highlight w:val="none"/>
          <w:u w:val="single"/>
        </w:rPr>
        <w:t xml:space="preserve">         </w:t>
      </w:r>
      <w:r>
        <w:rPr>
          <w:rFonts w:ascii="宋体" w:hAnsi="宋体"/>
          <w:color w:val="auto"/>
          <w:sz w:val="28"/>
          <w:szCs w:val="24"/>
          <w:highlight w:val="none"/>
        </w:rPr>
        <w:t>年</w:t>
      </w:r>
      <w:r>
        <w:rPr>
          <w:rFonts w:hint="eastAsia" w:ascii="宋体" w:hAnsi="宋体"/>
          <w:color w:val="auto"/>
          <w:sz w:val="28"/>
          <w:szCs w:val="24"/>
          <w:highlight w:val="none"/>
          <w:u w:val="single"/>
        </w:rPr>
        <w:t xml:space="preserve">     </w:t>
      </w:r>
      <w:r>
        <w:rPr>
          <w:rFonts w:ascii="宋体" w:hAnsi="宋体"/>
          <w:color w:val="auto"/>
          <w:sz w:val="28"/>
          <w:szCs w:val="24"/>
          <w:highlight w:val="none"/>
        </w:rPr>
        <w:t>月</w:t>
      </w:r>
      <w:r>
        <w:rPr>
          <w:rFonts w:hint="eastAsia" w:ascii="宋体" w:hAnsi="宋体"/>
          <w:color w:val="auto"/>
          <w:sz w:val="28"/>
          <w:szCs w:val="24"/>
          <w:highlight w:val="none"/>
          <w:u w:val="single"/>
        </w:rPr>
        <w:t xml:space="preserve">     </w:t>
      </w:r>
      <w:r>
        <w:rPr>
          <w:rFonts w:ascii="宋体" w:hAnsi="宋体"/>
          <w:color w:val="auto"/>
          <w:sz w:val="28"/>
          <w:szCs w:val="24"/>
          <w:highlight w:val="none"/>
        </w:rPr>
        <w:t>日</w:t>
      </w:r>
    </w:p>
    <w:p>
      <w:pPr>
        <w:pStyle w:val="11"/>
        <w:snapToGrid w:val="0"/>
        <w:spacing w:line="360" w:lineRule="auto"/>
        <w:jc w:val="left"/>
        <w:rPr>
          <w:rFonts w:hint="eastAsia" w:hAnsi="宋体"/>
          <w:b/>
          <w:color w:val="auto"/>
          <w:sz w:val="24"/>
          <w:szCs w:val="24"/>
          <w:highlight w:val="none"/>
        </w:rPr>
      </w:pPr>
    </w:p>
    <w:p>
      <w:pPr>
        <w:pStyle w:val="8"/>
        <w:widowControl/>
        <w:spacing w:line="360" w:lineRule="auto"/>
        <w:ind w:left="0" w:leftChars="0"/>
        <w:rPr>
          <w:rFonts w:hint="eastAsia"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附：法定代表人身份证明书</w:t>
      </w: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单位名称：</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单位</w:t>
      </w:r>
      <w:r>
        <w:rPr>
          <w:rFonts w:hint="eastAsia" w:ascii="宋体" w:hAnsi="宋体"/>
          <w:color w:val="auto"/>
          <w:sz w:val="28"/>
          <w:szCs w:val="28"/>
          <w:highlight w:val="none"/>
        </w:rPr>
        <w:t>类型</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p>
    <w:p>
      <w:pPr>
        <w:spacing w:line="360" w:lineRule="auto"/>
        <w:rPr>
          <w:rFonts w:hint="eastAsia"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住</w:t>
      </w:r>
      <w:r>
        <w:rPr>
          <w:rFonts w:ascii="宋体" w:hAnsi="宋体"/>
          <w:color w:val="auto"/>
          <w:sz w:val="28"/>
          <w:szCs w:val="28"/>
          <w:highlight w:val="none"/>
        </w:rPr>
        <w:t xml:space="preserve">    </w:t>
      </w:r>
      <w:r>
        <w:rPr>
          <w:rFonts w:hint="eastAsia" w:ascii="宋体" w:hAnsi="宋体"/>
          <w:color w:val="auto"/>
          <w:sz w:val="28"/>
          <w:szCs w:val="28"/>
          <w:highlight w:val="none"/>
        </w:rPr>
        <w:t>所</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p>
    <w:p>
      <w:pPr>
        <w:spacing w:line="360" w:lineRule="auto"/>
        <w:rPr>
          <w:rFonts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成立</w:t>
      </w:r>
      <w:r>
        <w:rPr>
          <w:rFonts w:hint="eastAsia" w:ascii="宋体" w:hAnsi="宋体"/>
          <w:color w:val="auto"/>
          <w:sz w:val="28"/>
          <w:szCs w:val="28"/>
          <w:highlight w:val="none"/>
        </w:rPr>
        <w:t>日期</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r>
        <w:rPr>
          <w:rFonts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rPr>
        <w:t>日</w:t>
      </w:r>
    </w:p>
    <w:p>
      <w:pPr>
        <w:spacing w:line="360" w:lineRule="auto"/>
        <w:ind w:firstLine="465"/>
        <w:rPr>
          <w:rFonts w:hint="eastAsia" w:ascii="宋体" w:hAnsi="宋体"/>
          <w:color w:val="auto"/>
          <w:sz w:val="28"/>
          <w:szCs w:val="28"/>
          <w:highlight w:val="none"/>
          <w:u w:val="single"/>
        </w:rPr>
      </w:pPr>
      <w:r>
        <w:rPr>
          <w:rFonts w:hint="eastAsia" w:ascii="宋体" w:hAnsi="宋体"/>
          <w:color w:val="auto"/>
          <w:sz w:val="28"/>
          <w:szCs w:val="28"/>
          <w:highlight w:val="none"/>
        </w:rPr>
        <w:t>营业期限</w:t>
      </w:r>
      <w:r>
        <w:rPr>
          <w:rFonts w:ascii="宋体" w:hAnsi="宋体"/>
          <w:color w:val="auto"/>
          <w:sz w:val="28"/>
          <w:szCs w:val="28"/>
          <w:highlight w:val="none"/>
        </w:rPr>
        <w:t>：</w:t>
      </w:r>
      <w:r>
        <w:rPr>
          <w:rFonts w:hint="eastAsia" w:ascii="宋体" w:hAnsi="宋体"/>
          <w:color w:val="auto"/>
          <w:sz w:val="28"/>
          <w:szCs w:val="28"/>
          <w:highlight w:val="none"/>
          <w:u w:val="single"/>
        </w:rPr>
        <w:t xml:space="preserve">                                  </w:t>
      </w:r>
    </w:p>
    <w:p>
      <w:pPr>
        <w:spacing w:line="360" w:lineRule="auto"/>
        <w:ind w:firstLine="465"/>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u w:val="single"/>
        </w:rPr>
      </w:pPr>
      <w:r>
        <w:rPr>
          <w:rFonts w:ascii="宋体" w:hAnsi="宋体"/>
          <w:color w:val="auto"/>
          <w:sz w:val="28"/>
          <w:szCs w:val="28"/>
          <w:highlight w:val="none"/>
        </w:rPr>
        <w:t>姓    名：</w:t>
      </w:r>
      <w:r>
        <w:rPr>
          <w:rFonts w:hint="eastAsia" w:ascii="宋体" w:hAnsi="宋体"/>
          <w:color w:val="auto"/>
          <w:sz w:val="28"/>
          <w:szCs w:val="28"/>
          <w:highlight w:val="none"/>
          <w:u w:val="single"/>
        </w:rPr>
        <w:t xml:space="preserve">          </w:t>
      </w:r>
      <w:r>
        <w:rPr>
          <w:rFonts w:ascii="宋体" w:hAnsi="宋体"/>
          <w:color w:val="auto"/>
          <w:sz w:val="28"/>
          <w:szCs w:val="28"/>
          <w:highlight w:val="none"/>
        </w:rPr>
        <w:t>性别：</w:t>
      </w:r>
      <w:r>
        <w:rPr>
          <w:rFonts w:hint="eastAsia" w:ascii="宋体" w:hAnsi="宋体"/>
          <w:color w:val="auto"/>
          <w:sz w:val="28"/>
          <w:szCs w:val="28"/>
          <w:highlight w:val="none"/>
          <w:u w:val="single"/>
        </w:rPr>
        <w:t xml:space="preserve">           </w:t>
      </w:r>
    </w:p>
    <w:p>
      <w:pPr>
        <w:spacing w:line="360" w:lineRule="auto"/>
        <w:ind w:firstLine="480"/>
        <w:rPr>
          <w:rFonts w:hint="eastAsia" w:ascii="宋体" w:hAnsi="宋体"/>
          <w:color w:val="auto"/>
          <w:sz w:val="28"/>
          <w:szCs w:val="28"/>
          <w:highlight w:val="none"/>
        </w:rPr>
      </w:pPr>
      <w:r>
        <w:rPr>
          <w:rFonts w:ascii="宋体" w:hAnsi="宋体"/>
          <w:color w:val="auto"/>
          <w:sz w:val="28"/>
          <w:szCs w:val="28"/>
          <w:highlight w:val="none"/>
        </w:rPr>
        <w:t>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供应商</w:t>
      </w:r>
      <w:r>
        <w:rPr>
          <w:rFonts w:hint="eastAsia" w:ascii="宋体" w:hAnsi="宋体"/>
          <w:color w:val="auto"/>
          <w:sz w:val="28"/>
          <w:szCs w:val="28"/>
          <w:highlight w:val="none"/>
          <w:u w:val="single"/>
        </w:rPr>
        <w:t xml:space="preserve">名称）   </w:t>
      </w:r>
      <w:r>
        <w:rPr>
          <w:rFonts w:ascii="宋体" w:hAnsi="宋体"/>
          <w:color w:val="auto"/>
          <w:sz w:val="28"/>
          <w:szCs w:val="28"/>
          <w:highlight w:val="none"/>
        </w:rPr>
        <w:t>的法定代表人。</w:t>
      </w:r>
    </w:p>
    <w:p>
      <w:pPr>
        <w:spacing w:line="360" w:lineRule="auto"/>
        <w:ind w:firstLine="480"/>
        <w:rPr>
          <w:rFonts w:hint="eastAsia" w:ascii="宋体" w:hAnsi="宋体"/>
          <w:color w:val="auto"/>
          <w:sz w:val="28"/>
          <w:szCs w:val="28"/>
          <w:highlight w:val="none"/>
        </w:rPr>
      </w:pPr>
    </w:p>
    <w:p>
      <w:pPr>
        <w:spacing w:line="360" w:lineRule="auto"/>
        <w:ind w:firstLine="480"/>
        <w:rPr>
          <w:rFonts w:hint="eastAsia" w:ascii="宋体" w:hAnsi="宋体"/>
          <w:color w:val="auto"/>
          <w:sz w:val="28"/>
          <w:szCs w:val="28"/>
          <w:highlight w:val="none"/>
        </w:rPr>
      </w:pPr>
      <w:r>
        <w:rPr>
          <w:rFonts w:ascii="宋体" w:hAnsi="宋体"/>
          <w:color w:val="auto"/>
          <w:sz w:val="28"/>
          <w:szCs w:val="28"/>
          <w:highlight w:val="none"/>
        </w:rPr>
        <w:t>特此证明。</w:t>
      </w:r>
    </w:p>
    <w:p>
      <w:pPr>
        <w:spacing w:line="360" w:lineRule="auto"/>
        <w:ind w:firstLine="480"/>
        <w:rPr>
          <w:rFonts w:hint="eastAsia" w:ascii="宋体" w:hAnsi="宋体"/>
          <w:color w:val="auto"/>
          <w:sz w:val="28"/>
          <w:szCs w:val="28"/>
          <w:highlight w:val="none"/>
        </w:rPr>
      </w:pPr>
    </w:p>
    <w:p>
      <w:pPr>
        <w:pStyle w:val="11"/>
        <w:tabs>
          <w:tab w:val="left" w:pos="5580"/>
        </w:tabs>
        <w:spacing w:line="360" w:lineRule="auto"/>
        <w:rPr>
          <w:rFonts w:hint="eastAsia" w:hAnsi="宋体"/>
          <w:b/>
          <w:bCs/>
          <w:color w:val="auto"/>
          <w:sz w:val="28"/>
          <w:szCs w:val="28"/>
          <w:highlight w:val="none"/>
        </w:rPr>
      </w:pPr>
      <w:r>
        <w:rPr>
          <w:rFonts w:hint="eastAsia" w:hAnsi="宋体"/>
          <w:color w:val="auto"/>
          <w:sz w:val="28"/>
          <w:szCs w:val="28"/>
          <w:highlight w:val="none"/>
        </w:rPr>
        <w:t xml:space="preserve">                  </w:t>
      </w:r>
      <w:r>
        <w:rPr>
          <w:rFonts w:hint="eastAsia" w:hAnsi="宋体"/>
          <w:b/>
          <w:bCs/>
          <w:color w:val="auto"/>
          <w:sz w:val="28"/>
          <w:szCs w:val="28"/>
          <w:highlight w:val="none"/>
        </w:rPr>
        <w:t xml:space="preserve"> （附法定代表人身份证正反两面扫描件）</w:t>
      </w:r>
    </w:p>
    <w:p>
      <w:pPr>
        <w:spacing w:line="360" w:lineRule="auto"/>
        <w:ind w:firstLine="480"/>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电子公章：</w:t>
      </w:r>
    </w:p>
    <w:p>
      <w:pPr>
        <w:spacing w:line="360" w:lineRule="auto"/>
        <w:ind w:firstLine="560" w:firstLineChars="200"/>
        <w:rPr>
          <w:rFonts w:ascii="宋体" w:hAnsi="宋体"/>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日</w:t>
      </w:r>
      <w:r>
        <w:rPr>
          <w:rFonts w:hint="eastAsia" w:ascii="宋体" w:hAnsi="宋体"/>
          <w:color w:val="auto"/>
          <w:sz w:val="28"/>
          <w:szCs w:val="28"/>
          <w:highlight w:val="none"/>
        </w:rPr>
        <w:t xml:space="preserve">   </w:t>
      </w:r>
      <w:r>
        <w:rPr>
          <w:rFonts w:ascii="宋体" w:hAnsi="宋体"/>
          <w:color w:val="auto"/>
          <w:sz w:val="28"/>
          <w:szCs w:val="28"/>
          <w:highlight w:val="none"/>
        </w:rPr>
        <w:t>期：</w:t>
      </w:r>
      <w:r>
        <w:rPr>
          <w:rFonts w:hint="eastAsia" w:ascii="宋体" w:hAnsi="宋体"/>
          <w:color w:val="auto"/>
          <w:sz w:val="28"/>
          <w:szCs w:val="28"/>
          <w:highlight w:val="none"/>
          <w:u w:val="single"/>
        </w:rPr>
        <w:t xml:space="preserve">         </w:t>
      </w:r>
      <w:r>
        <w:rPr>
          <w:rFonts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ascii="宋体" w:hAnsi="宋体"/>
          <w:color w:val="auto"/>
          <w:sz w:val="28"/>
          <w:szCs w:val="28"/>
          <w:highlight w:val="none"/>
        </w:rPr>
        <w:t>日</w:t>
      </w:r>
    </w:p>
    <w:p>
      <w:pPr>
        <w:spacing w:line="360" w:lineRule="auto"/>
        <w:rPr>
          <w:rFonts w:hint="eastAsia" w:ascii="宋体" w:hAnsi="宋体"/>
          <w:color w:val="auto"/>
          <w:sz w:val="28"/>
          <w:szCs w:val="28"/>
          <w:highlight w:val="none"/>
        </w:rPr>
      </w:pPr>
    </w:p>
    <w:p>
      <w:pPr>
        <w:spacing w:line="360" w:lineRule="auto"/>
        <w:rPr>
          <w:rFonts w:hint="eastAsia" w:cs="Corbel" w:asciiTheme="minorEastAsia" w:hAnsiTheme="minorEastAsia" w:eastAsiaTheme="minorEastAsia"/>
          <w:color w:val="auto"/>
          <w:sz w:val="28"/>
          <w:szCs w:val="28"/>
          <w:highlight w:val="none"/>
          <w:lang w:val="en-US" w:eastAsia="zh-CN"/>
        </w:rPr>
        <w:sectPr>
          <w:headerReference r:id="rId4" w:type="default"/>
          <w:pgSz w:w="11906" w:h="16838"/>
          <w:pgMar w:top="1460" w:right="1417" w:bottom="1440" w:left="1417" w:header="851" w:footer="992" w:gutter="0"/>
          <w:pgNumType w:fmt="decimal"/>
          <w:cols w:space="425" w:num="1"/>
          <w:docGrid w:linePitch="312" w:charSpace="0"/>
        </w:sectPr>
      </w:pPr>
      <w:r>
        <w:rPr>
          <w:rFonts w:hint="eastAsia" w:ascii="宋体" w:hAnsi="宋体"/>
          <w:color w:val="auto"/>
          <w:sz w:val="28"/>
          <w:szCs w:val="28"/>
          <w:highlight w:val="none"/>
        </w:rPr>
        <w:t>注：1、本项目只允许有唯一的</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授权代理人，且必须为</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在职员工。2、</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法定代表人参加投标的，可以不提供法定代表人授权委托书，但必须提供上述法定代表人身份证明书，否则将按无效投标处理。</w:t>
      </w:r>
    </w:p>
    <w:p>
      <w:pPr>
        <w:bidi w:val="0"/>
        <w:rPr>
          <w:rFonts w:hint="eastAsia"/>
          <w:color w:val="auto"/>
          <w:highlight w:val="none"/>
          <w:lang w:val="en-US" w:eastAsia="zh-CN"/>
        </w:rPr>
      </w:pPr>
    </w:p>
    <w:bookmarkEnd w:id="120"/>
    <w:bookmarkEnd w:id="121"/>
    <w:bookmarkEnd w:id="122"/>
    <w:p>
      <w:pPr>
        <w:pStyle w:val="2"/>
        <w:rPr>
          <w:color w:val="auto"/>
          <w:highlight w:val="none"/>
        </w:rPr>
      </w:pPr>
      <w:bookmarkStart w:id="123" w:name="_Toc23652"/>
      <w:r>
        <w:rPr>
          <w:rFonts w:hint="eastAsia"/>
          <w:color w:val="auto"/>
          <w:highlight w:val="none"/>
          <w:lang w:val="en-US" w:eastAsia="zh-CN"/>
        </w:rPr>
        <w:t>3、开标一览</w:t>
      </w:r>
      <w:r>
        <w:rPr>
          <w:rFonts w:hint="eastAsia"/>
          <w:color w:val="auto"/>
          <w:highlight w:val="none"/>
        </w:rPr>
        <w:t>表</w:t>
      </w:r>
      <w:bookmarkEnd w:id="123"/>
    </w:p>
    <w:p>
      <w:pPr>
        <w:pStyle w:val="9"/>
        <w:spacing w:line="360" w:lineRule="auto"/>
        <w:ind w:left="0" w:leftChars="0" w:firstLine="0" w:firstLineChars="0"/>
        <w:rPr>
          <w:rFonts w:hint="eastAsia" w:ascii="宋体" w:hAnsi="宋体" w:eastAsia="宋体" w:cs="宋体"/>
          <w:color w:val="auto"/>
          <w:sz w:val="28"/>
          <w:szCs w:val="28"/>
          <w:highlight w:val="none"/>
        </w:rPr>
      </w:pPr>
      <w:bookmarkStart w:id="124" w:name="_Toc485895993"/>
      <w:r>
        <w:rPr>
          <w:rFonts w:hint="eastAsia" w:ascii="宋体" w:hAnsi="宋体" w:eastAsia="宋体" w:cs="宋体"/>
          <w:color w:val="auto"/>
          <w:sz w:val="28"/>
          <w:szCs w:val="28"/>
          <w:highlight w:val="none"/>
        </w:rPr>
        <w:t>项目编号、包号：</w:t>
      </w:r>
      <w:r>
        <w:rPr>
          <w:rFonts w:hint="eastAsia" w:ascii="宋体" w:hAnsi="宋体" w:eastAsia="宋体" w:cs="宋体"/>
          <w:color w:val="auto"/>
          <w:sz w:val="28"/>
          <w:szCs w:val="28"/>
          <w:highlight w:val="none"/>
          <w:u w:val="single"/>
        </w:rPr>
        <w:t xml:space="preserve">                     </w:t>
      </w: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0" w:type="dxa"/>
            <w:tcBorders>
              <w:bottom w:val="single" w:color="auto" w:sz="4" w:space="0"/>
            </w:tcBorders>
            <w:vAlign w:val="center"/>
          </w:tcPr>
          <w:p>
            <w:pPr>
              <w:tabs>
                <w:tab w:val="left" w:pos="1337"/>
              </w:tabs>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项目名称</w:t>
            </w:r>
          </w:p>
        </w:tc>
        <w:tc>
          <w:tcPr>
            <w:tcW w:w="6770" w:type="dxa"/>
            <w:tcBorders>
              <w:bottom w:val="single" w:color="auto" w:sz="4" w:space="0"/>
            </w:tcBorders>
            <w:vAlign w:val="center"/>
          </w:tcPr>
          <w:p>
            <w:pPr>
              <w:tabs>
                <w:tab w:val="left" w:pos="1337"/>
              </w:tabs>
              <w:spacing w:line="240" w:lineRule="auto"/>
              <w:jc w:val="center"/>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2410" w:type="dxa"/>
            <w:vAlign w:val="center"/>
          </w:tcPr>
          <w:p>
            <w:pPr>
              <w:tabs>
                <w:tab w:val="left" w:pos="1337"/>
              </w:tabs>
              <w:spacing w:line="24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w:t>
            </w:r>
            <w:r>
              <w:rPr>
                <w:rFonts w:hint="eastAsia" w:ascii="宋体" w:hAnsi="宋体" w:cs="宋体"/>
                <w:bCs/>
                <w:color w:val="auto"/>
                <w:sz w:val="28"/>
                <w:szCs w:val="28"/>
                <w:highlight w:val="none"/>
                <w:lang w:val="en-US" w:eastAsia="zh-CN"/>
              </w:rPr>
              <w:t>总</w:t>
            </w:r>
            <w:r>
              <w:rPr>
                <w:rFonts w:hint="eastAsia" w:ascii="宋体" w:hAnsi="宋体" w:eastAsia="宋体" w:cs="宋体"/>
                <w:bCs/>
                <w:color w:val="auto"/>
                <w:sz w:val="28"/>
                <w:szCs w:val="28"/>
                <w:highlight w:val="none"/>
              </w:rPr>
              <w:t>报价</w:t>
            </w:r>
          </w:p>
          <w:p>
            <w:pPr>
              <w:tabs>
                <w:tab w:val="left" w:pos="1337"/>
              </w:tabs>
              <w:spacing w:line="240" w:lineRule="auto"/>
              <w:jc w:val="center"/>
              <w:rPr>
                <w:rFonts w:hint="eastAsia" w:ascii="宋体" w:hAnsi="宋体" w:eastAsia="宋体" w:cs="宋体"/>
                <w:color w:val="auto"/>
                <w:sz w:val="28"/>
                <w:szCs w:val="28"/>
                <w:highlight w:val="none"/>
                <w:lang w:eastAsia="zh-CN"/>
              </w:rPr>
            </w:pP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合计金额</w:t>
            </w:r>
            <w:r>
              <w:rPr>
                <w:rFonts w:hint="eastAsia" w:ascii="宋体" w:hAnsi="宋体" w:cs="宋体"/>
                <w:bCs/>
                <w:color w:val="auto"/>
                <w:sz w:val="28"/>
                <w:szCs w:val="28"/>
                <w:highlight w:val="none"/>
                <w:lang w:eastAsia="zh-CN"/>
              </w:rPr>
              <w:t>）</w:t>
            </w:r>
          </w:p>
        </w:tc>
        <w:tc>
          <w:tcPr>
            <w:tcW w:w="6770" w:type="dxa"/>
            <w:vAlign w:val="top"/>
          </w:tcPr>
          <w:p>
            <w:pPr>
              <w:tabs>
                <w:tab w:val="left" w:pos="1337"/>
              </w:tabs>
              <w:spacing w:line="24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小写：</w:t>
            </w:r>
            <w:r>
              <w:rPr>
                <w:rFonts w:hint="eastAsia" w:ascii="宋体" w:hAnsi="宋体" w:eastAsia="宋体" w:cs="宋体"/>
                <w:bCs/>
                <w:color w:val="auto"/>
                <w:sz w:val="28"/>
                <w:szCs w:val="28"/>
                <w:highlight w:val="none"/>
                <w:u w:val="single"/>
              </w:rPr>
              <w:t xml:space="preserve">                               </w:t>
            </w:r>
          </w:p>
          <w:p>
            <w:pPr>
              <w:tabs>
                <w:tab w:val="left" w:pos="1337"/>
              </w:tabs>
              <w:spacing w:line="24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大写：</w:t>
            </w:r>
            <w:r>
              <w:rPr>
                <w:rFonts w:hint="eastAsia" w:ascii="宋体" w:hAnsi="宋体" w:eastAsia="宋体" w:cs="宋体"/>
                <w:bCs/>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410" w:type="dxa"/>
            <w:vAlign w:val="center"/>
          </w:tcPr>
          <w:p>
            <w:pPr>
              <w:tabs>
                <w:tab w:val="left" w:pos="1337"/>
              </w:tabs>
              <w:spacing w:line="240" w:lineRule="auto"/>
              <w:jc w:val="center"/>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年度报价</w:t>
            </w:r>
          </w:p>
        </w:tc>
        <w:tc>
          <w:tcPr>
            <w:tcW w:w="6770" w:type="dxa"/>
            <w:vAlign w:val="top"/>
          </w:tcPr>
          <w:p>
            <w:pPr>
              <w:tabs>
                <w:tab w:val="left" w:pos="1337"/>
              </w:tabs>
              <w:spacing w:line="24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小写：</w:t>
            </w:r>
            <w:r>
              <w:rPr>
                <w:rFonts w:hint="eastAsia" w:ascii="宋体" w:hAnsi="宋体" w:eastAsia="宋体" w:cs="宋体"/>
                <w:bCs/>
                <w:color w:val="auto"/>
                <w:sz w:val="28"/>
                <w:szCs w:val="28"/>
                <w:highlight w:val="none"/>
                <w:u w:val="single"/>
              </w:rPr>
              <w:t xml:space="preserve">                               </w:t>
            </w:r>
          </w:p>
          <w:p>
            <w:pPr>
              <w:tabs>
                <w:tab w:val="left" w:pos="1337"/>
              </w:tabs>
              <w:spacing w:line="24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大写：</w:t>
            </w:r>
            <w:r>
              <w:rPr>
                <w:rFonts w:hint="eastAsia" w:ascii="宋体" w:hAnsi="宋体" w:eastAsia="宋体" w:cs="宋体"/>
                <w:bCs/>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0" w:type="dxa"/>
            <w:vAlign w:val="center"/>
          </w:tcPr>
          <w:p>
            <w:pPr>
              <w:tabs>
                <w:tab w:val="left" w:pos="1337"/>
              </w:tabs>
              <w:spacing w:line="240" w:lineRule="auto"/>
              <w:jc w:val="center"/>
              <w:rPr>
                <w:rFonts w:hint="eastAsia" w:ascii="宋体" w:hAnsi="宋体" w:eastAsia="宋体" w:cs="宋体"/>
                <w:color w:val="auto"/>
                <w:sz w:val="28"/>
                <w:szCs w:val="28"/>
                <w:highlight w:val="none"/>
                <w:lang w:eastAsia="zh-CN"/>
              </w:rPr>
            </w:pPr>
            <w:r>
              <w:rPr>
                <w:rFonts w:hint="eastAsia" w:ascii="宋体" w:hAnsi="宋体" w:cs="宋体"/>
                <w:bCs/>
                <w:color w:val="auto"/>
                <w:sz w:val="28"/>
                <w:szCs w:val="28"/>
                <w:highlight w:val="none"/>
                <w:lang w:val="en-US" w:eastAsia="zh-CN"/>
              </w:rPr>
              <w:t>服务期限</w:t>
            </w:r>
          </w:p>
        </w:tc>
        <w:tc>
          <w:tcPr>
            <w:tcW w:w="6770" w:type="dxa"/>
            <w:vAlign w:val="center"/>
          </w:tcPr>
          <w:p>
            <w:pPr>
              <w:tabs>
                <w:tab w:val="left" w:pos="1337"/>
              </w:tabs>
              <w:spacing w:line="24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9180" w:type="dxa"/>
            <w:gridSpan w:val="2"/>
            <w:vAlign w:val="top"/>
          </w:tcPr>
          <w:p>
            <w:pPr>
              <w:tabs>
                <w:tab w:val="left" w:pos="1337"/>
              </w:tabs>
              <w:spacing w:line="240" w:lineRule="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备注：</w:t>
            </w:r>
          </w:p>
        </w:tc>
      </w:tr>
    </w:tbl>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严格按照规定的格式填写。投标报价为优惠后报价，并作为评审及定标的依据。</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2、任何有选择或有条件的投标报价或表中某一包填写多个报价，均将导致投标被拒绝。</w:t>
      </w: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u w:val="single"/>
        </w:rPr>
      </w:pP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电子公章：</w:t>
      </w: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rPr>
          <w:rFonts w:hint="eastAsia" w:ascii="宋体" w:hAnsi="宋体" w:eastAsia="宋体" w:cs="宋体"/>
          <w:color w:val="auto"/>
          <w:sz w:val="28"/>
          <w:szCs w:val="28"/>
          <w:highlight w:val="none"/>
        </w:rPr>
      </w:pPr>
    </w:p>
    <w:bookmarkEnd w:id="124"/>
    <w:p>
      <w:pPr>
        <w:pStyle w:val="2"/>
        <w:rPr>
          <w:rFonts w:hint="eastAsia" w:eastAsiaTheme="minorEastAsia"/>
          <w:color w:val="auto"/>
          <w:highlight w:val="none"/>
          <w:lang w:eastAsia="zh-CN"/>
        </w:rPr>
      </w:pPr>
      <w:bookmarkStart w:id="125" w:name="_Toc11120"/>
      <w:bookmarkEnd w:id="125"/>
      <w:bookmarkStart w:id="126" w:name="_Toc3564"/>
      <w:bookmarkEnd w:id="126"/>
      <w:r>
        <w:rPr>
          <w:rFonts w:ascii="宋体" w:hAnsi="宋体"/>
          <w:b w:val="0"/>
          <w:color w:val="auto"/>
          <w:sz w:val="28"/>
          <w:highlight w:val="none"/>
        </w:rPr>
        <w:br w:type="page"/>
      </w:r>
      <w:bookmarkStart w:id="127" w:name="_Toc32478"/>
      <w:r>
        <w:rPr>
          <w:rFonts w:hint="eastAsia"/>
          <w:color w:val="auto"/>
          <w:highlight w:val="none"/>
          <w:lang w:val="en-US" w:eastAsia="zh-CN"/>
        </w:rPr>
        <w:t>4、</w:t>
      </w:r>
      <w:r>
        <w:rPr>
          <w:rFonts w:hint="eastAsia"/>
          <w:color w:val="auto"/>
          <w:highlight w:val="none"/>
        </w:rPr>
        <w:t>竞争性磋商报价明细表</w:t>
      </w:r>
      <w:bookmarkEnd w:id="127"/>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采购项目编号：</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采购项目名称：</w:t>
      </w:r>
    </w:p>
    <w:tbl>
      <w:tblPr>
        <w:tblStyle w:val="17"/>
        <w:tblW w:w="86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813"/>
        <w:gridCol w:w="4565"/>
        <w:gridCol w:w="17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序号</w:t>
            </w:r>
          </w:p>
        </w:tc>
        <w:tc>
          <w:tcPr>
            <w:tcW w:w="1813"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明细</w:t>
            </w:r>
            <w:r>
              <w:rPr>
                <w:rFonts w:hint="eastAsia" w:asciiTheme="minorEastAsia" w:hAnsiTheme="minorEastAsia" w:eastAsiaTheme="minorEastAsia"/>
                <w:color w:val="auto"/>
                <w:sz w:val="28"/>
                <w:szCs w:val="28"/>
                <w:highlight w:val="none"/>
              </w:rPr>
              <w:t>名称</w:t>
            </w:r>
          </w:p>
        </w:tc>
        <w:tc>
          <w:tcPr>
            <w:tcW w:w="6356" w:type="dxa"/>
            <w:gridSpan w:val="2"/>
            <w:tcBorders>
              <w:top w:val="single" w:color="auto" w:sz="4"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p>
        </w:tc>
        <w:tc>
          <w:tcPr>
            <w:tcW w:w="181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p>
        </w:tc>
        <w:tc>
          <w:tcPr>
            <w:tcW w:w="181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p>
        </w:tc>
        <w:tc>
          <w:tcPr>
            <w:tcW w:w="181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服务1</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w:t>
            </w:r>
          </w:p>
        </w:tc>
        <w:tc>
          <w:tcPr>
            <w:tcW w:w="181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firstLine="700" w:firstLineChars="25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181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其他</w:t>
            </w:r>
          </w:p>
        </w:tc>
        <w:tc>
          <w:tcPr>
            <w:tcW w:w="635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6860" w:type="dxa"/>
            <w:gridSpan w:val="3"/>
            <w:tcBorders>
              <w:top w:val="single" w:color="auto" w:sz="6" w:space="0"/>
              <w:left w:val="single" w:color="auto" w:sz="4" w:space="0"/>
              <w:bottom w:val="single" w:color="auto" w:sz="4" w:space="0"/>
              <w:right w:val="single" w:color="auto" w:sz="6" w:space="0"/>
            </w:tcBorders>
            <w:vAlign w:val="center"/>
          </w:tcPr>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总 计：                                                                                 </w:t>
            </w:r>
          </w:p>
        </w:tc>
        <w:tc>
          <w:tcPr>
            <w:tcW w:w="1791"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500" w:lineRule="exac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w:t>
            </w:r>
          </w:p>
        </w:tc>
      </w:tr>
    </w:tbl>
    <w:p>
      <w:pPr>
        <w:adjustRightInd w:val="0"/>
        <w:snapToGrid w:val="0"/>
        <w:spacing w:line="500" w:lineRule="exact"/>
        <w:ind w:left="-88" w:leftChars="-42"/>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说明：1．所有价格均用人民币表示，单位为元。</w:t>
      </w:r>
    </w:p>
    <w:p>
      <w:pPr>
        <w:adjustRightInd w:val="0"/>
        <w:snapToGrid w:val="0"/>
        <w:spacing w:line="500" w:lineRule="exact"/>
        <w:ind w:left="-88" w:leftChars="-42" w:firstLine="840" w:firstLineChars="3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 分项报价总计价格必须与《</w:t>
      </w:r>
      <w:r>
        <w:rPr>
          <w:rFonts w:hint="eastAsia" w:asciiTheme="minorEastAsia" w:hAnsiTheme="minorEastAsia" w:eastAsiaTheme="minorEastAsia"/>
          <w:color w:val="auto"/>
          <w:sz w:val="28"/>
          <w:szCs w:val="28"/>
          <w:highlight w:val="none"/>
          <w:lang w:val="en-US" w:eastAsia="zh-CN"/>
        </w:rPr>
        <w:t>开标一览</w:t>
      </w:r>
      <w:r>
        <w:rPr>
          <w:rFonts w:hint="eastAsia" w:asciiTheme="minorEastAsia" w:hAnsiTheme="minorEastAsia" w:eastAsiaTheme="minorEastAsia"/>
          <w:color w:val="auto"/>
          <w:sz w:val="28"/>
          <w:szCs w:val="28"/>
          <w:highlight w:val="none"/>
        </w:rPr>
        <w:t>表》报价一致。</w:t>
      </w:r>
    </w:p>
    <w:p>
      <w:pPr>
        <w:adjustRightInd w:val="0"/>
        <w:snapToGrid w:val="0"/>
        <w:spacing w:line="500" w:lineRule="exact"/>
        <w:ind w:left="1079" w:leftChars="358" w:hanging="327" w:hangingChars="11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 如果不提供详细的投标分项报价表将被视为没有实质性响应磋商文件。</w:t>
      </w:r>
    </w:p>
    <w:p>
      <w:pPr>
        <w:adjustRightInd w:val="0"/>
        <w:snapToGrid w:val="0"/>
        <w:spacing w:line="500" w:lineRule="exact"/>
        <w:ind w:left="1079" w:leftChars="358" w:hanging="327" w:hangingChars="11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4．供应商必须按此表格式中的对应栏目内容填写，若需增加栏目，请在栏目“其它”中填写，并作详细说明。</w:t>
      </w:r>
    </w:p>
    <w:p>
      <w:pPr>
        <w:adjustRightInd w:val="0"/>
        <w:snapToGrid w:val="0"/>
        <w:spacing w:line="500" w:lineRule="exact"/>
        <w:ind w:left="1079" w:leftChars="342" w:hanging="361" w:hangingChars="129"/>
        <w:rPr>
          <w:rFonts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供应商法定代表人（</w:t>
      </w:r>
      <w:r>
        <w:rPr>
          <w:rFonts w:hint="eastAsia" w:asciiTheme="minorEastAsia" w:hAnsiTheme="minorEastAsia" w:eastAsiaTheme="minorEastAsia"/>
          <w:color w:val="auto"/>
          <w:sz w:val="28"/>
          <w:szCs w:val="28"/>
          <w:highlight w:val="none"/>
          <w:lang w:val="en-US" w:eastAsia="zh-CN"/>
        </w:rPr>
        <w:t>签字或盖章</w:t>
      </w:r>
      <w:r>
        <w:rPr>
          <w:rFonts w:hint="eastAsia" w:asciiTheme="minorEastAsia" w:hAnsiTheme="minorEastAsia" w:eastAsiaTheme="minorEastAsia"/>
          <w:color w:val="auto"/>
          <w:sz w:val="28"/>
          <w:szCs w:val="28"/>
          <w:highlight w:val="none"/>
        </w:rPr>
        <w:t>）：</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供应商名称（</w:t>
      </w:r>
      <w:r>
        <w:rPr>
          <w:rFonts w:hint="eastAsia" w:cs="Times New Roman" w:asciiTheme="minorEastAsia" w:hAnsiTheme="minorEastAsia" w:eastAsiaTheme="minorEastAsia"/>
          <w:color w:val="auto"/>
          <w:kern w:val="2"/>
          <w:sz w:val="28"/>
          <w:szCs w:val="28"/>
          <w:highlight w:val="none"/>
          <w:lang w:val="en-US" w:eastAsia="zh-CN" w:bidi="ar-SA"/>
        </w:rPr>
        <w:t>盖章</w:t>
      </w:r>
      <w:r>
        <w:rPr>
          <w:rFonts w:hint="eastAsia" w:asciiTheme="minorEastAsia" w:hAnsiTheme="minorEastAsia" w:eastAsiaTheme="minorEastAsia"/>
          <w:color w:val="auto"/>
          <w:sz w:val="28"/>
          <w:szCs w:val="28"/>
          <w:highlight w:val="none"/>
        </w:rPr>
        <w:t>）：</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日期：年 月 日</w:t>
      </w:r>
    </w:p>
    <w:p>
      <w:pPr>
        <w:adjustRightInd w:val="0"/>
        <w:snapToGrid w:val="0"/>
        <w:spacing w:line="500" w:lineRule="exact"/>
        <w:rPr>
          <w:rFonts w:asciiTheme="minorEastAsia" w:hAnsiTheme="minorEastAsia" w:eastAsiaTheme="minorEastAsia"/>
          <w:b/>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2"/>
        <w:rPr>
          <w:color w:val="auto"/>
          <w:highlight w:val="none"/>
        </w:rPr>
      </w:pPr>
      <w:bookmarkStart w:id="128" w:name="_Toc16701"/>
      <w:bookmarkEnd w:id="128"/>
      <w:bookmarkStart w:id="129" w:name="_Toc26879"/>
      <w:bookmarkEnd w:id="129"/>
      <w:bookmarkStart w:id="130" w:name="_Toc485895994"/>
      <w:bookmarkEnd w:id="130"/>
      <w:bookmarkStart w:id="131" w:name="_Toc16958"/>
      <w:r>
        <w:rPr>
          <w:rFonts w:hint="eastAsia"/>
          <w:color w:val="auto"/>
          <w:highlight w:val="none"/>
          <w:lang w:val="en-US" w:eastAsia="zh-CN"/>
        </w:rPr>
        <w:t>5、</w:t>
      </w:r>
      <w:r>
        <w:rPr>
          <w:rFonts w:hint="eastAsia"/>
          <w:color w:val="auto"/>
          <w:highlight w:val="none"/>
        </w:rPr>
        <w:t>投标服务清单</w:t>
      </w:r>
      <w:bookmarkEnd w:id="131"/>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采购项目编号：</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采购项目名称：</w:t>
      </w: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4"/>
        <w:gridCol w:w="4208"/>
        <w:gridCol w:w="16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序号</w:t>
            </w:r>
          </w:p>
        </w:tc>
        <w:tc>
          <w:tcPr>
            <w:tcW w:w="2164"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服务名称</w:t>
            </w:r>
          </w:p>
        </w:tc>
        <w:tc>
          <w:tcPr>
            <w:tcW w:w="4208"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服务内容</w:t>
            </w:r>
          </w:p>
        </w:tc>
        <w:tc>
          <w:tcPr>
            <w:tcW w:w="1660"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w:t>
            </w:r>
          </w:p>
        </w:tc>
        <w:tc>
          <w:tcPr>
            <w:tcW w:w="21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w:t>
            </w:r>
          </w:p>
        </w:tc>
        <w:tc>
          <w:tcPr>
            <w:tcW w:w="2164"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500" w:lineRule="exact"/>
              <w:ind w:left="-88" w:leftChars="-42"/>
              <w:jc w:val="center"/>
              <w:rPr>
                <w:rFonts w:asciiTheme="minorEastAsia" w:hAnsiTheme="minorEastAsia" w:eastAsiaTheme="minorEastAsia"/>
                <w:color w:val="auto"/>
                <w:sz w:val="28"/>
                <w:szCs w:val="28"/>
                <w:highlight w:val="none"/>
              </w:rPr>
            </w:pPr>
          </w:p>
        </w:tc>
        <w:tc>
          <w:tcPr>
            <w:tcW w:w="4208"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c>
          <w:tcPr>
            <w:tcW w:w="1660"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500" w:lineRule="exact"/>
              <w:jc w:val="center"/>
              <w:rPr>
                <w:rFonts w:asciiTheme="minorEastAsia" w:hAnsiTheme="minorEastAsia" w:eastAsiaTheme="minorEastAsia"/>
                <w:color w:val="auto"/>
                <w:sz w:val="28"/>
                <w:szCs w:val="28"/>
                <w:highlight w:val="none"/>
              </w:rPr>
            </w:pPr>
          </w:p>
        </w:tc>
      </w:tr>
    </w:tbl>
    <w:p>
      <w:pPr>
        <w:adjustRightInd w:val="0"/>
        <w:snapToGrid w:val="0"/>
        <w:spacing w:line="500" w:lineRule="exact"/>
        <w:rPr>
          <w:rFonts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color w:val="auto"/>
          <w:sz w:val="28"/>
          <w:szCs w:val="28"/>
          <w:highlight w:val="none"/>
        </w:rPr>
      </w:pPr>
    </w:p>
    <w:p>
      <w:pPr>
        <w:widowControl/>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pPr>
        <w:pStyle w:val="2"/>
        <w:rPr>
          <w:color w:val="auto"/>
          <w:highlight w:val="none"/>
        </w:rPr>
      </w:pPr>
      <w:bookmarkStart w:id="132" w:name="_Toc485895995"/>
      <w:bookmarkEnd w:id="132"/>
      <w:bookmarkStart w:id="133" w:name="_Toc27689"/>
      <w:bookmarkEnd w:id="133"/>
      <w:bookmarkStart w:id="134" w:name="_Toc22044"/>
      <w:bookmarkEnd w:id="134"/>
      <w:bookmarkStart w:id="135" w:name="_Toc12841"/>
      <w:r>
        <w:rPr>
          <w:rFonts w:hint="eastAsia"/>
          <w:color w:val="auto"/>
          <w:highlight w:val="none"/>
          <w:lang w:val="en-US" w:eastAsia="zh-CN"/>
        </w:rPr>
        <w:t>6、</w:t>
      </w:r>
      <w:r>
        <w:rPr>
          <w:rFonts w:hint="eastAsia"/>
          <w:color w:val="auto"/>
          <w:highlight w:val="none"/>
        </w:rPr>
        <w:t>商务响应、偏离说明表</w:t>
      </w:r>
      <w:bookmarkEnd w:id="135"/>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采购项目编号：</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采购项目名称：</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投标服务</w:t>
            </w:r>
          </w:p>
          <w:p>
            <w:pPr>
              <w:spacing w:line="500" w:lineRule="exact"/>
              <w:jc w:val="center"/>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r>
              <w:rPr>
                <w:rFonts w:hint="eastAsia" w:cs="Courier New" w:asciiTheme="minorEastAsia" w:hAnsiTheme="minorEastAsia" w:eastAsiaTheme="minorEastAsia"/>
                <w:color w:val="auto"/>
                <w:sz w:val="28"/>
                <w:szCs w:val="28"/>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spacing w:line="500" w:lineRule="exact"/>
              <w:rPr>
                <w:rFonts w:cs="Courier New" w:asciiTheme="minorEastAsia" w:hAnsiTheme="minorEastAsia" w:eastAsiaTheme="minorEastAsia"/>
                <w:color w:val="auto"/>
                <w:sz w:val="28"/>
                <w:szCs w:val="28"/>
                <w:highlight w:val="none"/>
              </w:rPr>
            </w:pPr>
          </w:p>
        </w:tc>
      </w:tr>
    </w:tbl>
    <w:p>
      <w:pPr>
        <w:spacing w:line="500" w:lineRule="exact"/>
        <w:rPr>
          <w:rFonts w:cs="Courier New" w:asciiTheme="minorEastAsia" w:hAnsiTheme="minorEastAsia" w:eastAsiaTheme="minorEastAsia"/>
          <w:color w:val="auto"/>
          <w:sz w:val="28"/>
          <w:szCs w:val="28"/>
          <w:highlight w:val="none"/>
        </w:rPr>
      </w:pPr>
      <w:r>
        <w:rPr>
          <w:rFonts w:hint="eastAsia" w:cs="Corbel" w:asciiTheme="minorEastAsia" w:hAnsiTheme="minorEastAsia" w:eastAsiaTheme="minorEastAsia"/>
          <w:color w:val="auto"/>
          <w:sz w:val="28"/>
          <w:szCs w:val="28"/>
          <w:highlight w:val="none"/>
        </w:rPr>
        <w:t>注：1.供应商须对照磋商文件第四章“评审方法、步骤及标准”中“符合性检查”关于</w:t>
      </w:r>
      <w:r>
        <w:rPr>
          <w:rFonts w:hint="eastAsia" w:asciiTheme="minorEastAsia" w:hAnsiTheme="minorEastAsia" w:eastAsiaTheme="minorEastAsia"/>
          <w:color w:val="auto"/>
          <w:sz w:val="28"/>
          <w:szCs w:val="28"/>
          <w:highlight w:val="none"/>
        </w:rPr>
        <w:t>磋商文件第三章“</w:t>
      </w:r>
      <w:r>
        <w:rPr>
          <w:rFonts w:hint="eastAsia" w:asciiTheme="minorEastAsia" w:hAnsiTheme="minorEastAsia" w:eastAsiaTheme="minorEastAsia"/>
          <w:color w:val="auto"/>
          <w:sz w:val="28"/>
          <w:szCs w:val="28"/>
          <w:highlight w:val="none"/>
          <w:lang w:val="en-US" w:eastAsia="zh-CN"/>
        </w:rPr>
        <w:t>采购需求</w:t>
      </w:r>
      <w:r>
        <w:rPr>
          <w:rFonts w:hint="eastAsia" w:asciiTheme="minorEastAsia" w:hAnsiTheme="minorEastAsia" w:eastAsiaTheme="minorEastAsia"/>
          <w:color w:val="auto"/>
          <w:sz w:val="28"/>
          <w:szCs w:val="28"/>
          <w:highlight w:val="none"/>
        </w:rPr>
        <w:t>”中标商务要求</w:t>
      </w:r>
      <w:r>
        <w:rPr>
          <w:rFonts w:hint="eastAsia" w:cs="Corbel" w:asciiTheme="minorEastAsia" w:hAnsiTheme="minorEastAsia" w:eastAsiaTheme="minorEastAsia"/>
          <w:color w:val="auto"/>
          <w:sz w:val="28"/>
          <w:szCs w:val="28"/>
          <w:highlight w:val="none"/>
        </w:rPr>
        <w:t>”的条款进行逐项说明是否满足要求，并附相关证明文件，同时将相关证明文件的相应页码填写到上表“响应文件中对应的页码”中。</w:t>
      </w:r>
    </w:p>
    <w:p>
      <w:pPr>
        <w:spacing w:line="500" w:lineRule="exact"/>
        <w:rPr>
          <w:rFonts w:cs="Courier New" w:asciiTheme="minorEastAsia" w:hAnsiTheme="minorEastAsia" w:eastAsiaTheme="minorEastAsia"/>
          <w:color w:val="auto"/>
          <w:sz w:val="28"/>
          <w:szCs w:val="28"/>
          <w:highlight w:val="none"/>
        </w:rPr>
      </w:pPr>
    </w:p>
    <w:p>
      <w:pPr>
        <w:adjustRightInd w:val="0"/>
        <w:snapToGrid w:val="0"/>
        <w:spacing w:line="500" w:lineRule="exact"/>
        <w:rPr>
          <w:rFonts w:asciiTheme="minorEastAsia" w:hAnsiTheme="minorEastAsia" w:eastAsiaTheme="minorEastAsia"/>
          <w:b/>
          <w:color w:val="auto"/>
          <w:sz w:val="28"/>
          <w:szCs w:val="28"/>
          <w:highlight w:val="none"/>
        </w:rPr>
      </w:pPr>
      <w:r>
        <w:rPr>
          <w:rFonts w:asciiTheme="minorEastAsia" w:hAnsiTheme="minorEastAsia" w:eastAsiaTheme="minorEastAsia"/>
          <w:color w:val="auto"/>
          <w:sz w:val="28"/>
          <w:szCs w:val="28"/>
          <w:highlight w:val="none"/>
        </w:rPr>
        <w:br w:type="page"/>
      </w:r>
    </w:p>
    <w:p>
      <w:pPr>
        <w:pStyle w:val="2"/>
        <w:rPr>
          <w:rFonts w:hint="eastAsia"/>
          <w:color w:val="auto"/>
          <w:highlight w:val="none"/>
          <w:lang w:val="en-US" w:eastAsia="zh-CN"/>
        </w:rPr>
      </w:pPr>
      <w:bookmarkStart w:id="136" w:name="_Toc17650"/>
      <w:r>
        <w:rPr>
          <w:rFonts w:hint="eastAsia"/>
          <w:color w:val="auto"/>
          <w:highlight w:val="none"/>
          <w:lang w:val="en-US" w:eastAsia="zh-CN"/>
        </w:rPr>
        <w:t>7、项目管理机构配备情况</w:t>
      </w:r>
      <w:bookmarkEnd w:id="136"/>
    </w:p>
    <w:p>
      <w:pPr>
        <w:spacing w:line="364" w:lineRule="exact"/>
        <w:ind w:left="219" w:right="-20"/>
        <w:jc w:val="center"/>
        <w:rPr>
          <w:rFonts w:ascii="宋体" w:cs="宋体"/>
          <w:color w:val="auto"/>
          <w:sz w:val="24"/>
          <w:szCs w:val="24"/>
          <w:highlight w:val="none"/>
        </w:rPr>
      </w:pPr>
      <w:r>
        <w:rPr>
          <w:rFonts w:hint="eastAsia" w:ascii="宋体" w:hAnsi="宋体" w:cs="宋体"/>
          <w:color w:val="auto"/>
          <w:spacing w:val="2"/>
          <w:position w:val="-2"/>
          <w:sz w:val="24"/>
          <w:szCs w:val="24"/>
          <w:highlight w:val="none"/>
        </w:rPr>
        <w:t>（</w:t>
      </w:r>
      <w:r>
        <w:rPr>
          <w:rFonts w:hint="eastAsia" w:ascii="Arial" w:hAnsi="Arial" w:eastAsia="宋体" w:cs="Arial"/>
          <w:color w:val="auto"/>
          <w:position w:val="-2"/>
          <w:sz w:val="24"/>
          <w:szCs w:val="24"/>
          <w:highlight w:val="none"/>
          <w:lang w:val="en-US" w:eastAsia="zh-CN"/>
        </w:rPr>
        <w:t>1</w:t>
      </w:r>
      <w:r>
        <w:rPr>
          <w:rFonts w:hint="eastAsia" w:ascii="宋体" w:hAnsi="宋体" w:cs="宋体"/>
          <w:color w:val="auto"/>
          <w:position w:val="-2"/>
          <w:sz w:val="24"/>
          <w:szCs w:val="24"/>
          <w:highlight w:val="none"/>
        </w:rPr>
        <w:t>）项</w:t>
      </w:r>
      <w:r>
        <w:rPr>
          <w:rFonts w:hint="eastAsia" w:ascii="宋体" w:hAnsi="宋体" w:cs="宋体"/>
          <w:color w:val="auto"/>
          <w:spacing w:val="2"/>
          <w:position w:val="-2"/>
          <w:sz w:val="24"/>
          <w:szCs w:val="24"/>
          <w:highlight w:val="none"/>
        </w:rPr>
        <w:t>目</w:t>
      </w:r>
      <w:r>
        <w:rPr>
          <w:rFonts w:hint="eastAsia" w:ascii="宋体" w:hAnsi="宋体" w:cs="宋体"/>
          <w:color w:val="auto"/>
          <w:position w:val="-2"/>
          <w:sz w:val="24"/>
          <w:szCs w:val="24"/>
          <w:highlight w:val="none"/>
        </w:rPr>
        <w:t>经理</w:t>
      </w:r>
      <w:r>
        <w:rPr>
          <w:rFonts w:hint="eastAsia" w:ascii="宋体" w:hAnsi="宋体" w:cs="宋体"/>
          <w:color w:val="auto"/>
          <w:spacing w:val="2"/>
          <w:position w:val="-2"/>
          <w:sz w:val="24"/>
          <w:szCs w:val="24"/>
          <w:highlight w:val="none"/>
        </w:rPr>
        <w:t>简</w:t>
      </w:r>
      <w:r>
        <w:rPr>
          <w:rFonts w:hint="eastAsia" w:ascii="宋体" w:hAnsi="宋体" w:cs="宋体"/>
          <w:color w:val="auto"/>
          <w:position w:val="-2"/>
          <w:sz w:val="24"/>
          <w:szCs w:val="24"/>
          <w:highlight w:val="none"/>
        </w:rPr>
        <w:t>历表</w:t>
      </w:r>
    </w:p>
    <w:p>
      <w:pPr>
        <w:spacing w:before="7" w:line="40" w:lineRule="exact"/>
        <w:rPr>
          <w:color w:val="auto"/>
          <w:sz w:val="4"/>
          <w:szCs w:val="4"/>
          <w:highlight w:val="none"/>
        </w:rPr>
      </w:pPr>
    </w:p>
    <w:tbl>
      <w:tblPr>
        <w:tblStyle w:val="17"/>
        <w:tblW w:w="0" w:type="auto"/>
        <w:jc w:val="center"/>
        <w:tblLayout w:type="fixed"/>
        <w:tblCellMar>
          <w:top w:w="0" w:type="dxa"/>
          <w:left w:w="0" w:type="dxa"/>
          <w:bottom w:w="0" w:type="dxa"/>
          <w:right w:w="0" w:type="dxa"/>
        </w:tblCellMar>
      </w:tblPr>
      <w:tblGrid>
        <w:gridCol w:w="1548"/>
        <w:gridCol w:w="773"/>
        <w:gridCol w:w="776"/>
        <w:gridCol w:w="1548"/>
        <w:gridCol w:w="1546"/>
        <w:gridCol w:w="775"/>
        <w:gridCol w:w="774"/>
        <w:gridCol w:w="1548"/>
      </w:tblGrid>
      <w:tr>
        <w:tblPrEx>
          <w:tblCellMar>
            <w:top w:w="0" w:type="dxa"/>
            <w:left w:w="0" w:type="dxa"/>
            <w:bottom w:w="0" w:type="dxa"/>
            <w:right w:w="0" w:type="dxa"/>
          </w:tblCellMar>
        </w:tblPrEx>
        <w:trPr>
          <w:trHeight w:val="593"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5"/>
              <w:ind w:left="489" w:right="471"/>
              <w:jc w:val="center"/>
              <w:rPr>
                <w:rFonts w:ascii="宋体" w:cs="宋体"/>
                <w:color w:val="auto"/>
                <w:sz w:val="24"/>
                <w:szCs w:val="24"/>
                <w:highlight w:val="none"/>
              </w:rPr>
            </w:pPr>
            <w:r>
              <w:rPr>
                <w:rFonts w:hint="eastAsia" w:ascii="宋体" w:hAnsi="宋体" w:cs="宋体"/>
                <w:color w:val="auto"/>
                <w:sz w:val="24"/>
                <w:szCs w:val="24"/>
                <w:highlight w:val="none"/>
              </w:rPr>
              <w:t>姓名</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5"/>
              <w:ind w:left="487" w:right="474"/>
              <w:jc w:val="center"/>
              <w:rPr>
                <w:rFonts w:ascii="宋体" w:cs="宋体"/>
                <w:color w:val="auto"/>
                <w:sz w:val="24"/>
                <w:szCs w:val="24"/>
                <w:highlight w:val="none"/>
              </w:rPr>
            </w:pPr>
            <w:r>
              <w:rPr>
                <w:rFonts w:hint="eastAsia" w:ascii="宋体" w:hAnsi="宋体" w:cs="宋体"/>
                <w:color w:val="auto"/>
                <w:sz w:val="24"/>
                <w:szCs w:val="24"/>
                <w:highlight w:val="none"/>
              </w:rPr>
              <w:t>性别</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489" w:right="472"/>
              <w:jc w:val="center"/>
              <w:rPr>
                <w:rFonts w:ascii="宋体" w:cs="宋体"/>
                <w:color w:val="auto"/>
                <w:sz w:val="24"/>
                <w:szCs w:val="24"/>
                <w:highlight w:val="none"/>
              </w:rPr>
            </w:pPr>
            <w:r>
              <w:rPr>
                <w:rFonts w:hint="eastAsia" w:ascii="宋体" w:hAnsi="宋体" w:cs="宋体"/>
                <w:color w:val="auto"/>
                <w:sz w:val="24"/>
                <w:szCs w:val="24"/>
                <w:highlight w:val="none"/>
              </w:rPr>
              <w:t>年龄</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r>
      <w:tr>
        <w:tblPrEx>
          <w:tblCellMar>
            <w:top w:w="0" w:type="dxa"/>
            <w:left w:w="0" w:type="dxa"/>
            <w:bottom w:w="0" w:type="dxa"/>
            <w:right w:w="0" w:type="dxa"/>
          </w:tblCellMar>
        </w:tblPrEx>
        <w:trPr>
          <w:trHeight w:val="595"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8"/>
              <w:ind w:left="489" w:right="471"/>
              <w:jc w:val="center"/>
              <w:rPr>
                <w:rFonts w:ascii="宋体" w:cs="宋体"/>
                <w:color w:val="auto"/>
                <w:sz w:val="24"/>
                <w:szCs w:val="24"/>
                <w:highlight w:val="none"/>
              </w:rPr>
            </w:pPr>
            <w:r>
              <w:rPr>
                <w:rFonts w:hint="eastAsia" w:ascii="宋体" w:hAnsi="宋体" w:cs="宋体"/>
                <w:color w:val="auto"/>
                <w:sz w:val="24"/>
                <w:szCs w:val="24"/>
                <w:highlight w:val="none"/>
              </w:rPr>
              <w:t>职务</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spacing w:before="58"/>
              <w:ind w:left="487" w:right="474"/>
              <w:jc w:val="center"/>
              <w:rPr>
                <w:rFonts w:ascii="宋体" w:cs="宋体"/>
                <w:color w:val="auto"/>
                <w:sz w:val="24"/>
                <w:szCs w:val="24"/>
                <w:highlight w:val="none"/>
              </w:rPr>
            </w:pPr>
            <w:r>
              <w:rPr>
                <w:rFonts w:hint="eastAsia" w:ascii="宋体" w:hAnsi="宋体" w:cs="宋体"/>
                <w:color w:val="auto"/>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8"/>
              <w:ind w:left="489" w:right="472"/>
              <w:jc w:val="center"/>
              <w:rPr>
                <w:rFonts w:ascii="宋体" w:cs="宋体"/>
                <w:color w:val="auto"/>
                <w:sz w:val="24"/>
                <w:szCs w:val="24"/>
                <w:highlight w:val="none"/>
              </w:rPr>
            </w:pPr>
            <w:r>
              <w:rPr>
                <w:rFonts w:hint="eastAsia" w:ascii="宋体" w:hAnsi="宋体" w:cs="宋体"/>
                <w:color w:val="auto"/>
                <w:sz w:val="24"/>
                <w:szCs w:val="24"/>
                <w:highlight w:val="none"/>
              </w:rPr>
              <w:t>学历</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433" w:right="-20"/>
              <w:rPr>
                <w:rFonts w:ascii="宋体" w:cs="宋体"/>
                <w:color w:val="auto"/>
                <w:sz w:val="24"/>
                <w:szCs w:val="24"/>
                <w:highlight w:val="none"/>
              </w:rPr>
            </w:pPr>
            <w:r>
              <w:rPr>
                <w:rFonts w:hint="eastAsia" w:ascii="宋体" w:hAnsi="宋体" w:cs="宋体"/>
                <w:color w:val="auto"/>
                <w:sz w:val="24"/>
                <w:szCs w:val="24"/>
                <w:highlight w:val="none"/>
              </w:rPr>
              <w:t>参加工作时间</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191" w:right="-20"/>
              <w:rPr>
                <w:rFonts w:ascii="宋体" w:cs="宋体"/>
                <w:color w:val="auto"/>
                <w:sz w:val="24"/>
                <w:szCs w:val="24"/>
                <w:highlight w:val="none"/>
              </w:rPr>
            </w:pPr>
            <w:r>
              <w:rPr>
                <w:rFonts w:hint="eastAsia" w:ascii="宋体" w:hAnsi="宋体" w:cs="宋体"/>
                <w:color w:val="auto"/>
                <w:sz w:val="24"/>
                <w:szCs w:val="24"/>
                <w:highlight w:val="none"/>
              </w:rPr>
              <w:t>担任项目经理年限</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r>
      <w:tr>
        <w:tblPrEx>
          <w:tblCellMar>
            <w:top w:w="0" w:type="dxa"/>
            <w:left w:w="0" w:type="dxa"/>
            <w:bottom w:w="0" w:type="dxa"/>
            <w:right w:w="0" w:type="dxa"/>
          </w:tblCellMar>
        </w:tblPrEx>
        <w:trPr>
          <w:trHeight w:val="595" w:hRule="exact"/>
          <w:jc w:val="center"/>
        </w:trPr>
        <w:tc>
          <w:tcPr>
            <w:tcW w:w="9287" w:type="dxa"/>
            <w:gridSpan w:val="8"/>
            <w:tcBorders>
              <w:top w:val="single" w:color="000000" w:sz="4" w:space="0"/>
              <w:left w:val="single" w:color="000000" w:sz="4" w:space="0"/>
              <w:bottom w:val="single" w:color="000000" w:sz="4" w:space="0"/>
              <w:right w:val="single" w:color="000000" w:sz="4" w:space="0"/>
            </w:tcBorders>
            <w:noWrap w:val="0"/>
            <w:vAlign w:val="top"/>
          </w:tcPr>
          <w:p>
            <w:pPr>
              <w:spacing w:before="58"/>
              <w:ind w:left="3878" w:right="3861"/>
              <w:jc w:val="center"/>
              <w:rPr>
                <w:rFonts w:ascii="宋体" w:cs="宋体"/>
                <w:color w:val="auto"/>
                <w:sz w:val="24"/>
                <w:szCs w:val="24"/>
                <w:highlight w:val="none"/>
              </w:rPr>
            </w:pPr>
            <w:r>
              <w:rPr>
                <w:rFonts w:hint="eastAsia" w:ascii="宋体" w:hAnsi="宋体" w:cs="宋体"/>
                <w:color w:val="auto"/>
                <w:sz w:val="24"/>
                <w:szCs w:val="24"/>
                <w:highlight w:val="none"/>
              </w:rPr>
              <w:t>承担项目情况</w:t>
            </w: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3" w:right="-20"/>
              <w:rPr>
                <w:rFonts w:ascii="宋体" w:cs="宋体"/>
                <w:color w:val="auto"/>
                <w:sz w:val="24"/>
                <w:szCs w:val="24"/>
                <w:highlight w:val="none"/>
              </w:rPr>
            </w:pPr>
            <w:r>
              <w:rPr>
                <w:rFonts w:hint="eastAsia" w:ascii="宋体" w:hAnsi="宋体" w:cs="宋体"/>
                <w:color w:val="auto"/>
                <w:sz w:val="24"/>
                <w:szCs w:val="24"/>
                <w:highlight w:val="none"/>
              </w:rPr>
              <w:t>建设单位</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6" w:right="-20"/>
              <w:rPr>
                <w:rFonts w:ascii="宋体" w:cs="宋体"/>
                <w:color w:val="auto"/>
                <w:sz w:val="24"/>
                <w:szCs w:val="24"/>
                <w:highlight w:val="none"/>
              </w:rPr>
            </w:pPr>
            <w:r>
              <w:rPr>
                <w:rFonts w:hint="eastAsia" w:ascii="宋体" w:hAnsi="宋体" w:cs="宋体"/>
                <w:color w:val="auto"/>
                <w:sz w:val="24"/>
                <w:szCs w:val="24"/>
                <w:highlight w:val="none"/>
              </w:rPr>
              <w:t>项目名称</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1" w:right="-20"/>
              <w:rPr>
                <w:rFonts w:ascii="宋体" w:cs="宋体"/>
                <w:color w:val="auto"/>
                <w:sz w:val="24"/>
                <w:szCs w:val="24"/>
                <w:highlight w:val="none"/>
              </w:rPr>
            </w:pPr>
            <w:r>
              <w:rPr>
                <w:rFonts w:hint="eastAsia" w:ascii="宋体" w:hAnsi="宋体" w:cs="宋体"/>
                <w:color w:val="auto"/>
                <w:sz w:val="24"/>
                <w:szCs w:val="24"/>
                <w:highlight w:val="none"/>
              </w:rPr>
              <w:t>建设规模</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55"/>
              <w:ind w:left="674" w:right="-20"/>
              <w:rPr>
                <w:rFonts w:ascii="宋体" w:cs="宋体"/>
                <w:color w:val="auto"/>
                <w:sz w:val="24"/>
                <w:szCs w:val="24"/>
                <w:highlight w:val="none"/>
              </w:rPr>
            </w:pPr>
            <w:r>
              <w:rPr>
                <w:rFonts w:hint="eastAsia" w:ascii="宋体" w:hAnsi="宋体" w:cs="宋体"/>
                <w:color w:val="auto"/>
                <w:sz w:val="24"/>
                <w:szCs w:val="24"/>
                <w:highlight w:val="none"/>
              </w:rPr>
              <w:t>销售情况</w:t>
            </w:r>
          </w:p>
        </w:tc>
      </w:tr>
      <w:tr>
        <w:tblPrEx>
          <w:tblCellMar>
            <w:top w:w="0" w:type="dxa"/>
            <w:left w:w="0" w:type="dxa"/>
            <w:bottom w:w="0" w:type="dxa"/>
            <w:right w:w="0" w:type="dxa"/>
          </w:tblCellMar>
        </w:tblPrEx>
        <w:trPr>
          <w:trHeight w:val="596"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r>
      <w:tr>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pPr>
              <w:rPr>
                <w:color w:val="auto"/>
                <w:highlight w:val="none"/>
              </w:rPr>
            </w:pPr>
          </w:p>
        </w:tc>
      </w:tr>
    </w:tbl>
    <w:p>
      <w:pPr>
        <w:spacing w:line="364" w:lineRule="exact"/>
        <w:ind w:right="-20"/>
        <w:jc w:val="left"/>
        <w:rPr>
          <w:rFonts w:hint="eastAsia" w:ascii="宋体" w:hAnsi="宋体" w:eastAsia="宋体" w:cs="宋体"/>
          <w:color w:val="auto"/>
          <w:spacing w:val="2"/>
          <w:position w:val="-2"/>
          <w:sz w:val="24"/>
          <w:szCs w:val="24"/>
          <w:highlight w:val="none"/>
          <w:lang w:eastAsia="zh-CN"/>
        </w:rPr>
      </w:pPr>
      <w:r>
        <w:rPr>
          <w:rFonts w:hint="eastAsia" w:ascii="宋体" w:hAnsi="宋体" w:cs="宋体"/>
          <w:color w:val="auto"/>
          <w:spacing w:val="2"/>
          <w:position w:val="-2"/>
          <w:sz w:val="24"/>
          <w:szCs w:val="24"/>
          <w:highlight w:val="none"/>
          <w:lang w:eastAsia="zh-CN"/>
        </w:rPr>
        <w:t>注：后附相关证件（书）</w:t>
      </w:r>
    </w:p>
    <w:p>
      <w:pPr>
        <w:spacing w:line="364" w:lineRule="exact"/>
        <w:ind w:right="-20"/>
        <w:jc w:val="center"/>
        <w:rPr>
          <w:rFonts w:ascii="宋体" w:cs="宋体"/>
          <w:color w:val="auto"/>
          <w:sz w:val="24"/>
          <w:szCs w:val="24"/>
          <w:highlight w:val="none"/>
        </w:rPr>
      </w:pPr>
      <w:r>
        <w:rPr>
          <w:rFonts w:hint="eastAsia" w:ascii="宋体" w:hAnsi="宋体" w:cs="宋体"/>
          <w:color w:val="auto"/>
          <w:spacing w:val="2"/>
          <w:position w:val="-2"/>
          <w:sz w:val="24"/>
          <w:szCs w:val="24"/>
          <w:highlight w:val="none"/>
        </w:rPr>
        <w:t>（</w:t>
      </w:r>
      <w:r>
        <w:rPr>
          <w:rFonts w:hint="eastAsia" w:ascii="Arial" w:hAnsi="Arial" w:eastAsia="宋体" w:cs="Arial"/>
          <w:color w:val="auto"/>
          <w:position w:val="-2"/>
          <w:sz w:val="24"/>
          <w:szCs w:val="24"/>
          <w:highlight w:val="none"/>
          <w:lang w:val="en-US" w:eastAsia="zh-CN"/>
        </w:rPr>
        <w:t>2</w:t>
      </w:r>
      <w:r>
        <w:rPr>
          <w:rFonts w:hint="eastAsia" w:ascii="宋体" w:hAnsi="宋体" w:cs="宋体"/>
          <w:color w:val="auto"/>
          <w:position w:val="-2"/>
          <w:sz w:val="24"/>
          <w:szCs w:val="24"/>
          <w:highlight w:val="none"/>
        </w:rPr>
        <w:t>）</w:t>
      </w:r>
      <w:r>
        <w:rPr>
          <w:rFonts w:ascii="宋体" w:hAnsi="宋体" w:cs="宋体"/>
          <w:color w:val="auto"/>
          <w:spacing w:val="-13"/>
          <w:position w:val="-2"/>
          <w:sz w:val="24"/>
          <w:szCs w:val="24"/>
          <w:highlight w:val="none"/>
        </w:rPr>
        <w:t xml:space="preserve"> </w:t>
      </w:r>
      <w:r>
        <w:rPr>
          <w:rFonts w:hint="eastAsia" w:ascii="宋体" w:hAnsi="宋体" w:cs="宋体"/>
          <w:color w:val="auto"/>
          <w:position w:val="-2"/>
          <w:sz w:val="24"/>
          <w:szCs w:val="24"/>
          <w:highlight w:val="none"/>
        </w:rPr>
        <w:t>拟</w:t>
      </w:r>
      <w:r>
        <w:rPr>
          <w:rFonts w:hint="eastAsia" w:ascii="宋体" w:hAnsi="宋体" w:cs="宋体"/>
          <w:color w:val="auto"/>
          <w:spacing w:val="2"/>
          <w:position w:val="-2"/>
          <w:sz w:val="24"/>
          <w:szCs w:val="24"/>
          <w:highlight w:val="none"/>
        </w:rPr>
        <w:t>投</w:t>
      </w:r>
      <w:r>
        <w:rPr>
          <w:rFonts w:hint="eastAsia" w:ascii="宋体" w:hAnsi="宋体" w:cs="宋体"/>
          <w:color w:val="auto"/>
          <w:position w:val="-2"/>
          <w:sz w:val="24"/>
          <w:szCs w:val="24"/>
          <w:highlight w:val="none"/>
        </w:rPr>
        <w:t>入项</w:t>
      </w:r>
      <w:r>
        <w:rPr>
          <w:rFonts w:hint="eastAsia" w:ascii="宋体" w:hAnsi="宋体" w:cs="宋体"/>
          <w:color w:val="auto"/>
          <w:spacing w:val="2"/>
          <w:position w:val="-2"/>
          <w:sz w:val="24"/>
          <w:szCs w:val="24"/>
          <w:highlight w:val="none"/>
        </w:rPr>
        <w:t>目</w:t>
      </w:r>
      <w:r>
        <w:rPr>
          <w:rFonts w:hint="eastAsia" w:ascii="宋体" w:hAnsi="宋体" w:cs="宋体"/>
          <w:color w:val="auto"/>
          <w:position w:val="-2"/>
          <w:sz w:val="24"/>
          <w:szCs w:val="24"/>
          <w:highlight w:val="none"/>
        </w:rPr>
        <w:t>组成</w:t>
      </w:r>
      <w:r>
        <w:rPr>
          <w:rFonts w:hint="eastAsia" w:ascii="宋体" w:hAnsi="宋体" w:cs="宋体"/>
          <w:color w:val="auto"/>
          <w:spacing w:val="2"/>
          <w:position w:val="-2"/>
          <w:sz w:val="24"/>
          <w:szCs w:val="24"/>
          <w:highlight w:val="none"/>
        </w:rPr>
        <w:t>人</w:t>
      </w:r>
      <w:r>
        <w:rPr>
          <w:rFonts w:hint="eastAsia" w:ascii="宋体" w:hAnsi="宋体" w:cs="宋体"/>
          <w:color w:val="auto"/>
          <w:position w:val="-2"/>
          <w:sz w:val="24"/>
          <w:szCs w:val="24"/>
          <w:highlight w:val="none"/>
        </w:rPr>
        <w:t>员</w:t>
      </w:r>
      <w:r>
        <w:rPr>
          <w:rFonts w:hint="eastAsia" w:ascii="宋体" w:hAnsi="宋体" w:cs="宋体"/>
          <w:color w:val="auto"/>
          <w:spacing w:val="2"/>
          <w:position w:val="-2"/>
          <w:sz w:val="24"/>
          <w:szCs w:val="24"/>
          <w:highlight w:val="none"/>
        </w:rPr>
        <w:t>简</w:t>
      </w:r>
      <w:r>
        <w:rPr>
          <w:rFonts w:hint="eastAsia" w:ascii="宋体" w:hAnsi="宋体" w:cs="宋体"/>
          <w:color w:val="auto"/>
          <w:position w:val="-2"/>
          <w:sz w:val="24"/>
          <w:szCs w:val="24"/>
          <w:highlight w:val="none"/>
        </w:rPr>
        <w:t>历表</w:t>
      </w:r>
    </w:p>
    <w:p>
      <w:pPr>
        <w:spacing w:before="7" w:line="40" w:lineRule="exact"/>
        <w:rPr>
          <w:color w:val="auto"/>
          <w:sz w:val="4"/>
          <w:szCs w:val="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姓名</w:t>
            </w:r>
          </w:p>
        </w:tc>
        <w:tc>
          <w:tcPr>
            <w:tcW w:w="1175"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身份证号码</w:t>
            </w:r>
          </w:p>
        </w:tc>
        <w:tc>
          <w:tcPr>
            <w:tcW w:w="1147"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性别</w:t>
            </w:r>
          </w:p>
        </w:tc>
        <w:tc>
          <w:tcPr>
            <w:tcW w:w="1176"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职称</w:t>
            </w:r>
          </w:p>
        </w:tc>
        <w:tc>
          <w:tcPr>
            <w:tcW w:w="1176"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学历</w:t>
            </w:r>
          </w:p>
        </w:tc>
        <w:tc>
          <w:tcPr>
            <w:tcW w:w="1150"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专业</w:t>
            </w:r>
          </w:p>
        </w:tc>
        <w:tc>
          <w:tcPr>
            <w:tcW w:w="1176" w:type="dxa"/>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从事工作年限</w:t>
            </w:r>
          </w:p>
        </w:tc>
        <w:tc>
          <w:tcPr>
            <w:tcW w:w="1144" w:type="dxa"/>
            <w:noWrap w:val="0"/>
            <w:vAlign w:val="top"/>
          </w:tcPr>
          <w:p>
            <w:pPr>
              <w:jc w:val="center"/>
              <w:rPr>
                <w:rFonts w:ascii="宋体" w:hAnsi="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noWrap w:val="0"/>
            <w:vAlign w:val="top"/>
          </w:tcPr>
          <w:p>
            <w:pPr>
              <w:rPr>
                <w:rFonts w:ascii="宋体" w:hAnsi="宋体"/>
                <w:color w:val="auto"/>
                <w:sz w:val="24"/>
                <w:szCs w:val="24"/>
                <w:highlight w:val="none"/>
              </w:rPr>
            </w:pPr>
          </w:p>
        </w:tc>
        <w:tc>
          <w:tcPr>
            <w:tcW w:w="1175" w:type="dxa"/>
            <w:noWrap w:val="0"/>
            <w:vAlign w:val="top"/>
          </w:tcPr>
          <w:p>
            <w:pPr>
              <w:rPr>
                <w:rFonts w:ascii="宋体" w:hAnsi="宋体"/>
                <w:color w:val="auto"/>
                <w:sz w:val="24"/>
                <w:szCs w:val="24"/>
                <w:highlight w:val="none"/>
              </w:rPr>
            </w:pPr>
          </w:p>
        </w:tc>
        <w:tc>
          <w:tcPr>
            <w:tcW w:w="1147"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50" w:type="dxa"/>
            <w:noWrap w:val="0"/>
            <w:vAlign w:val="top"/>
          </w:tcPr>
          <w:p>
            <w:pPr>
              <w:rPr>
                <w:rFonts w:ascii="宋体" w:hAnsi="宋体"/>
                <w:color w:val="auto"/>
                <w:sz w:val="24"/>
                <w:szCs w:val="24"/>
                <w:highlight w:val="none"/>
              </w:rPr>
            </w:pPr>
          </w:p>
        </w:tc>
        <w:tc>
          <w:tcPr>
            <w:tcW w:w="1176" w:type="dxa"/>
            <w:noWrap w:val="0"/>
            <w:vAlign w:val="top"/>
          </w:tcPr>
          <w:p>
            <w:pPr>
              <w:rPr>
                <w:rFonts w:ascii="宋体" w:hAnsi="宋体"/>
                <w:color w:val="auto"/>
                <w:sz w:val="24"/>
                <w:szCs w:val="24"/>
                <w:highlight w:val="none"/>
              </w:rPr>
            </w:pPr>
          </w:p>
        </w:tc>
        <w:tc>
          <w:tcPr>
            <w:tcW w:w="1144" w:type="dxa"/>
            <w:noWrap w:val="0"/>
            <w:vAlign w:val="top"/>
          </w:tcPr>
          <w:p>
            <w:pPr>
              <w:rPr>
                <w:rFonts w:ascii="宋体" w:hAnsi="宋体"/>
                <w:color w:val="auto"/>
                <w:sz w:val="24"/>
                <w:szCs w:val="24"/>
                <w:highlight w:val="none"/>
              </w:rPr>
            </w:pPr>
          </w:p>
        </w:tc>
      </w:tr>
    </w:tbl>
    <w:p>
      <w:pPr>
        <w:spacing w:line="364" w:lineRule="exact"/>
        <w:ind w:right="-20"/>
        <w:jc w:val="left"/>
        <w:rPr>
          <w:rFonts w:hint="eastAsia" w:ascii="宋体" w:hAnsi="宋体" w:eastAsia="宋体" w:cs="宋体"/>
          <w:color w:val="auto"/>
          <w:spacing w:val="2"/>
          <w:position w:val="-2"/>
          <w:sz w:val="24"/>
          <w:szCs w:val="24"/>
          <w:highlight w:val="none"/>
          <w:lang w:eastAsia="zh-CN"/>
        </w:rPr>
      </w:pPr>
      <w:r>
        <w:rPr>
          <w:rFonts w:hint="eastAsia" w:ascii="宋体" w:hAnsi="宋体" w:cs="宋体"/>
          <w:color w:val="auto"/>
          <w:spacing w:val="2"/>
          <w:position w:val="-2"/>
          <w:sz w:val="24"/>
          <w:szCs w:val="24"/>
          <w:highlight w:val="none"/>
          <w:lang w:eastAsia="zh-CN"/>
        </w:rPr>
        <w:t>注：后附相关证件（书）</w:t>
      </w:r>
    </w:p>
    <w:p>
      <w:pPr>
        <w:autoSpaceDE w:val="0"/>
        <w:autoSpaceDN w:val="0"/>
        <w:spacing w:line="500" w:lineRule="exact"/>
        <w:ind w:firstLine="480"/>
        <w:rPr>
          <w:rFonts w:asciiTheme="minorEastAsia" w:hAnsiTheme="minorEastAsia" w:eastAsiaTheme="minorEastAsia"/>
          <w:color w:val="auto"/>
          <w:sz w:val="28"/>
          <w:szCs w:val="28"/>
          <w:highlight w:val="none"/>
        </w:rPr>
      </w:pPr>
    </w:p>
    <w:p>
      <w:pPr>
        <w:autoSpaceDE w:val="0"/>
        <w:autoSpaceDN w:val="0"/>
        <w:spacing w:line="500" w:lineRule="exact"/>
        <w:ind w:firstLine="480"/>
        <w:rPr>
          <w:rFonts w:asciiTheme="minorEastAsia" w:hAnsiTheme="minorEastAsia" w:eastAsiaTheme="minorEastAsia"/>
          <w:color w:val="auto"/>
          <w:sz w:val="28"/>
          <w:szCs w:val="28"/>
          <w:highlight w:val="none"/>
        </w:rPr>
      </w:pPr>
    </w:p>
    <w:p>
      <w:pPr>
        <w:widowControl/>
        <w:jc w:val="left"/>
        <w:rPr>
          <w:rFonts w:asciiTheme="minorEastAsia" w:hAnsiTheme="minorEastAsia" w:eastAsiaTheme="minorEastAsia"/>
          <w:color w:val="auto"/>
          <w:sz w:val="28"/>
          <w:szCs w:val="28"/>
          <w:highlight w:val="none"/>
        </w:rPr>
      </w:pPr>
    </w:p>
    <w:p>
      <w:pPr>
        <w:pStyle w:val="11"/>
        <w:spacing w:line="360" w:lineRule="auto"/>
        <w:jc w:val="left"/>
        <w:rPr>
          <w:rFonts w:asciiTheme="minorEastAsia" w:hAnsiTheme="minorEastAsia" w:eastAsiaTheme="minorEastAsia"/>
          <w:color w:val="auto"/>
          <w:sz w:val="28"/>
          <w:szCs w:val="28"/>
          <w:highlight w:val="none"/>
        </w:rPr>
      </w:pPr>
    </w:p>
    <w:p>
      <w:pPr>
        <w:tabs>
          <w:tab w:val="left" w:pos="750"/>
        </w:tabs>
        <w:adjustRightInd w:val="0"/>
        <w:snapToGrid w:val="0"/>
        <w:spacing w:line="500" w:lineRule="exact"/>
        <w:rPr>
          <w:rFonts w:asciiTheme="minorEastAsia" w:hAnsiTheme="minorEastAsia" w:eastAsiaTheme="minorEastAsia"/>
          <w:color w:val="auto"/>
          <w:sz w:val="28"/>
          <w:szCs w:val="28"/>
          <w:highlight w:val="none"/>
        </w:rPr>
      </w:pPr>
    </w:p>
    <w:p>
      <w:pPr>
        <w:widowControl/>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pPr>
        <w:pStyle w:val="2"/>
        <w:rPr>
          <w:color w:val="auto"/>
          <w:highlight w:val="none"/>
        </w:rPr>
      </w:pPr>
      <w:bookmarkStart w:id="137" w:name="_Toc236473312"/>
      <w:bookmarkEnd w:id="137"/>
      <w:bookmarkStart w:id="138" w:name="_Toc238276256"/>
      <w:bookmarkEnd w:id="138"/>
      <w:bookmarkStart w:id="139" w:name="_Toc437611485"/>
      <w:bookmarkEnd w:id="139"/>
      <w:bookmarkStart w:id="140" w:name="_Toc12618"/>
      <w:bookmarkEnd w:id="140"/>
      <w:bookmarkStart w:id="141" w:name="_Toc485896002"/>
      <w:bookmarkEnd w:id="141"/>
      <w:bookmarkStart w:id="142" w:name="_Toc31264"/>
      <w:bookmarkEnd w:id="142"/>
      <w:bookmarkStart w:id="143" w:name="_Toc29415"/>
      <w:r>
        <w:rPr>
          <w:rFonts w:hint="eastAsia"/>
          <w:color w:val="auto"/>
          <w:highlight w:val="none"/>
          <w:lang w:val="en-US" w:eastAsia="zh-CN"/>
        </w:rPr>
        <w:t>8、</w:t>
      </w:r>
      <w:r>
        <w:rPr>
          <w:rFonts w:hint="eastAsia"/>
          <w:color w:val="auto"/>
          <w:highlight w:val="none"/>
        </w:rPr>
        <w:t>供应商类似项目业绩表</w:t>
      </w:r>
      <w:bookmarkEnd w:id="143"/>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采购项目编号：</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采购项目名称：</w:t>
      </w:r>
    </w:p>
    <w:p>
      <w:pPr>
        <w:pStyle w:val="5"/>
        <w:ind w:firstLine="560"/>
        <w:rPr>
          <w:rFonts w:asciiTheme="minorEastAsia" w:hAnsiTheme="minorEastAsia" w:eastAsiaTheme="minorEastAsia"/>
          <w:color w:val="auto"/>
          <w:sz w:val="28"/>
          <w:szCs w:val="28"/>
          <w:highlight w:val="none"/>
        </w:rPr>
      </w:pP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项目名称</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项目单位名称</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项目单位联系人姓名及联系方式</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合同金额</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项目负责人</w:t>
            </w:r>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姓名</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项目实施时间</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项目内容说明</w:t>
            </w:r>
          </w:p>
        </w:tc>
        <w:tc>
          <w:tcPr>
            <w:tcW w:w="7200" w:type="dxa"/>
            <w:shd w:val="clear" w:color="auto" w:fill="auto"/>
          </w:tcPr>
          <w:p>
            <w:pPr>
              <w:jc w:val="center"/>
              <w:rPr>
                <w:rFonts w:asciiTheme="minorEastAsia" w:hAnsiTheme="minorEastAsia" w:eastAsiaTheme="minorEastAsia"/>
                <w:color w:val="auto"/>
                <w:sz w:val="28"/>
                <w:szCs w:val="28"/>
                <w:highlight w:val="none"/>
              </w:rPr>
            </w:pPr>
          </w:p>
        </w:tc>
      </w:tr>
    </w:tbl>
    <w:p>
      <w:pPr>
        <w:autoSpaceDE w:val="0"/>
        <w:autoSpaceDN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说明：1．每个合同须单独附表，并附上相关证明材料，否则专家在评审时将不予采信；</w:t>
      </w:r>
    </w:p>
    <w:p>
      <w:pPr>
        <w:spacing w:line="360" w:lineRule="auto"/>
        <w:ind w:firstLine="840" w:firstLineChars="3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2．项目内容请详细说明所承担的具体工作内容；</w:t>
      </w:r>
    </w:p>
    <w:p>
      <w:pPr>
        <w:spacing w:line="500" w:lineRule="exact"/>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2"/>
        <w:rPr>
          <w:rFonts w:hint="eastAsia" w:hAnsi="宋体" w:cs="Times New Roman"/>
          <w:color w:val="auto"/>
          <w:highlight w:val="none"/>
          <w:lang w:val="en-US" w:eastAsia="zh-CN"/>
        </w:rPr>
      </w:pPr>
      <w:bookmarkStart w:id="144" w:name="_Toc19528"/>
      <w:r>
        <w:rPr>
          <w:rFonts w:hint="eastAsia" w:hAnsi="宋体" w:cs="Times New Roman"/>
          <w:color w:val="auto"/>
          <w:highlight w:val="none"/>
          <w:lang w:val="en-US" w:eastAsia="zh-CN"/>
        </w:rPr>
        <w:t>9、磋商文件要求提供或供应商认为需提供的其它资料；</w:t>
      </w:r>
      <w:bookmarkEnd w:id="144"/>
    </w:p>
    <w:p>
      <w:pPr>
        <w:jc w:val="center"/>
        <w:rPr>
          <w:rFonts w:hint="eastAsia" w:asciiTheme="minorEastAsia" w:hAnsiTheme="minorEastAsia" w:eastAsiaTheme="minorEastAsia"/>
          <w:color w:val="auto"/>
          <w:sz w:val="36"/>
          <w:szCs w:val="36"/>
          <w:highlight w:val="none"/>
          <w:lang w:val="en-US" w:eastAsia="zh-CN"/>
        </w:rPr>
      </w:pPr>
      <w:r>
        <w:rPr>
          <w:rFonts w:hint="eastAsia" w:asciiTheme="minorEastAsia" w:hAnsiTheme="minorEastAsia" w:eastAsiaTheme="minorEastAsia"/>
          <w:color w:val="auto"/>
          <w:sz w:val="28"/>
          <w:szCs w:val="28"/>
          <w:highlight w:val="none"/>
        </w:rPr>
        <w:br w:type="page"/>
      </w:r>
      <w:r>
        <w:rPr>
          <w:rFonts w:hint="eastAsia" w:asciiTheme="minorEastAsia" w:hAnsiTheme="minorEastAsia" w:eastAsiaTheme="minorEastAsia"/>
          <w:b/>
          <w:bCs/>
          <w:color w:val="auto"/>
          <w:sz w:val="36"/>
          <w:szCs w:val="36"/>
          <w:highlight w:val="none"/>
          <w:lang w:val="en-US" w:eastAsia="zh-CN"/>
        </w:rPr>
        <w:t>承诺函</w:t>
      </w:r>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 xml:space="preserve"> 我公司</w:t>
      </w:r>
      <w:r>
        <w:rPr>
          <w:rFonts w:hint="eastAsia" w:cs="Times New Roman" w:asciiTheme="minorEastAsia" w:hAnsiTheme="minorEastAsia" w:eastAsiaTheme="minorEastAsia"/>
          <w:color w:val="auto"/>
          <w:kern w:val="2"/>
          <w:sz w:val="28"/>
          <w:szCs w:val="28"/>
          <w:highlight w:val="none"/>
          <w:u w:val="single"/>
          <w:lang w:val="en-US" w:eastAsia="zh-CN" w:bidi="ar-SA"/>
        </w:rPr>
        <w:t xml:space="preserve">（商户）         </w:t>
      </w:r>
      <w:r>
        <w:rPr>
          <w:rFonts w:hint="eastAsia" w:cs="Times New Roman" w:asciiTheme="minorEastAsia" w:hAnsiTheme="minorEastAsia" w:eastAsiaTheme="minorEastAsia"/>
          <w:color w:val="auto"/>
          <w:kern w:val="2"/>
          <w:sz w:val="28"/>
          <w:szCs w:val="28"/>
          <w:highlight w:val="none"/>
          <w:lang w:val="en-US" w:eastAsia="zh-CN" w:bidi="ar-SA"/>
        </w:rPr>
        <w:t>承诺，近三年内没有因为维修能力的原因被终止过合同，近三年无因投标申请人违约或不恰当履约引起的合同终止、纠纷、争议、仲裁和公诉纪录。如有上述行为，我公司及项目参与人员愿意接受采购人的处罚。 </w:t>
      </w:r>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特此承诺。</w:t>
      </w:r>
    </w:p>
    <w:p>
      <w:pPr>
        <w:widowControl/>
        <w:spacing w:before="100" w:beforeAutospacing="1" w:after="100" w:afterAutospacing="1" w:line="360" w:lineRule="auto"/>
        <w:ind w:firstLine="560" w:firstLineChars="200"/>
        <w:jc w:val="left"/>
        <w:rPr>
          <w:rFonts w:hint="default" w:cs="Times New Roman" w:asciiTheme="minorEastAsia" w:hAnsiTheme="minorEastAsia" w:eastAsiaTheme="minorEastAsia"/>
          <w:color w:val="auto"/>
          <w:kern w:val="2"/>
          <w:sz w:val="28"/>
          <w:szCs w:val="28"/>
          <w:highlight w:val="none"/>
          <w:lang w:val="en-US" w:eastAsia="zh-CN" w:bidi="ar-SA"/>
        </w:rPr>
      </w:pPr>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bookmarkStart w:id="145" w:name="_Toc257633149"/>
      <w:bookmarkEnd w:id="145"/>
      <w:bookmarkStart w:id="146" w:name="_Toc5076"/>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供应商名称：         （盖章）</w:t>
      </w:r>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公司法人代表：       （签字或盖章）</w:t>
      </w:r>
    </w:p>
    <w:p>
      <w:pPr>
        <w:widowControl/>
        <w:spacing w:before="100" w:beforeAutospacing="1" w:after="100" w:afterAutospacing="1" w:line="360" w:lineRule="auto"/>
        <w:ind w:firstLine="560" w:firstLineChars="200"/>
        <w:jc w:val="left"/>
        <w:rPr>
          <w:rFonts w:hint="eastAsia" w:cs="Times New Roman" w:asciiTheme="minorEastAsia" w:hAnsiTheme="minorEastAsia" w:eastAsiaTheme="minorEastAsia"/>
          <w:color w:val="auto"/>
          <w:kern w:val="2"/>
          <w:sz w:val="28"/>
          <w:szCs w:val="28"/>
          <w:highlight w:val="none"/>
          <w:lang w:val="en-US" w:eastAsia="zh-CN" w:bidi="ar-SA"/>
        </w:rPr>
      </w:pPr>
      <w:r>
        <w:rPr>
          <w:rFonts w:hint="eastAsia" w:cs="Times New Roman" w:asciiTheme="minorEastAsia" w:hAnsiTheme="minorEastAsia" w:eastAsiaTheme="minorEastAsia"/>
          <w:color w:val="auto"/>
          <w:kern w:val="2"/>
          <w:sz w:val="28"/>
          <w:szCs w:val="28"/>
          <w:highlight w:val="none"/>
          <w:lang w:val="en-US" w:eastAsia="zh-CN" w:bidi="ar-SA"/>
        </w:rPr>
        <w:t>授权委托人：         （签字）</w:t>
      </w:r>
    </w:p>
    <w:p>
      <w:pPr>
        <w:widowControl/>
        <w:spacing w:before="100" w:beforeAutospacing="1" w:after="100" w:afterAutospacing="1" w:line="360" w:lineRule="auto"/>
        <w:ind w:firstLine="420" w:firstLineChars="200"/>
        <w:jc w:val="left"/>
        <w:rPr>
          <w:rFonts w:asciiTheme="minorEastAsia" w:hAnsiTheme="minorEastAsia" w:eastAsiaTheme="minorEastAsia" w:cstheme="minorEastAsia"/>
          <w:color w:val="auto"/>
          <w:sz w:val="24"/>
          <w:szCs w:val="24"/>
          <w:highlight w:val="none"/>
        </w:rPr>
      </w:pPr>
      <w:r>
        <w:rPr>
          <w:rFonts w:hint="eastAsia"/>
          <w:color w:val="auto"/>
          <w:highlight w:val="none"/>
        </w:rPr>
        <w:br w:type="page"/>
      </w:r>
    </w:p>
    <w:p>
      <w:pPr>
        <w:rPr>
          <w:rFonts w:hint="eastAsia"/>
          <w:color w:val="auto"/>
          <w:highlight w:val="none"/>
        </w:rPr>
      </w:pPr>
    </w:p>
    <w:p>
      <w:pPr>
        <w:pStyle w:val="4"/>
        <w:rPr>
          <w:color w:val="auto"/>
          <w:highlight w:val="none"/>
        </w:rPr>
      </w:pPr>
      <w:r>
        <w:rPr>
          <w:rFonts w:hint="eastAsia"/>
          <w:color w:val="auto"/>
          <w:highlight w:val="none"/>
        </w:rPr>
        <w:t>二、技术文件组成</w:t>
      </w:r>
      <w:bookmarkEnd w:id="146"/>
    </w:p>
    <w:p>
      <w:pPr>
        <w:tabs>
          <w:tab w:val="left" w:pos="1365"/>
        </w:tabs>
        <w:spacing w:line="360" w:lineRule="auto"/>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由各供应商根据参考格式要求自行编写。目录清晰、内容详尽、易于理解和评审并富有建设性的技术方案将在评审时具有优势。具体内容应包括但不限于：</w:t>
      </w:r>
    </w:p>
    <w:p>
      <w:pPr>
        <w:tabs>
          <w:tab w:val="left" w:pos="1365"/>
        </w:tabs>
        <w:spacing w:line="360" w:lineRule="auto"/>
        <w:ind w:firstLine="565" w:firstLineChars="202"/>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、服务介绍、项目建设（服务）方案；</w:t>
      </w:r>
    </w:p>
    <w:p>
      <w:pPr>
        <w:tabs>
          <w:tab w:val="left" w:pos="1365"/>
        </w:tabs>
        <w:spacing w:line="360" w:lineRule="auto"/>
        <w:ind w:firstLine="565" w:firstLineChars="202"/>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、技术响应、偏离说明表；</w:t>
      </w:r>
    </w:p>
    <w:p>
      <w:pPr>
        <w:tabs>
          <w:tab w:val="left" w:pos="1365"/>
        </w:tabs>
        <w:spacing w:line="360" w:lineRule="auto"/>
        <w:ind w:firstLine="565" w:firstLineChars="202"/>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、磋商文件要求提供或供应商认为需提供的其它资料。</w:t>
      </w:r>
    </w:p>
    <w:p>
      <w:pPr>
        <w:tabs>
          <w:tab w:val="left" w:pos="1365"/>
        </w:tabs>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说明：响应文件技术服务文件的编制原则，一是按文件要求，提供相应说明、资料、表格以证明所投服务是否响应磋商文件要求；二是对应项目评审标准，充分体现所投服务对于评分标准的响应程度和优势。注明：各供应商根据项目的需要参照以上内容制作响应文件。</w:t>
      </w:r>
    </w:p>
    <w:p>
      <w:pPr>
        <w:widowControl/>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pPr>
        <w:pStyle w:val="2"/>
        <w:rPr>
          <w:rFonts w:hint="eastAsia"/>
          <w:color w:val="auto"/>
          <w:highlight w:val="none"/>
          <w:lang w:val="en-US" w:eastAsia="zh-CN"/>
        </w:rPr>
      </w:pPr>
      <w:bookmarkStart w:id="147" w:name="_Toc2519"/>
      <w:bookmarkStart w:id="148" w:name="_Toc8027"/>
      <w:bookmarkStart w:id="149" w:name="_Toc18302"/>
      <w:bookmarkStart w:id="150" w:name="_Toc485896008"/>
      <w:r>
        <w:rPr>
          <w:rFonts w:hint="eastAsia"/>
          <w:color w:val="auto"/>
          <w:highlight w:val="none"/>
          <w:lang w:val="en-US" w:eastAsia="zh-CN"/>
        </w:rPr>
        <w:t>1、服务介绍、项目建设（服务）方案；</w:t>
      </w:r>
      <w:bookmarkEnd w:id="147"/>
    </w:p>
    <w:p>
      <w:pPr>
        <w:bidi w:val="0"/>
        <w:jc w:val="center"/>
        <w:rPr>
          <w:rFonts w:hint="eastAsia"/>
          <w:color w:val="auto"/>
          <w:sz w:val="24"/>
          <w:szCs w:val="28"/>
          <w:highlight w:val="none"/>
          <w:lang w:val="en-US" w:eastAsia="zh-CN"/>
        </w:rPr>
      </w:pPr>
      <w:r>
        <w:rPr>
          <w:rFonts w:hint="eastAsia"/>
          <w:color w:val="auto"/>
          <w:sz w:val="24"/>
          <w:szCs w:val="28"/>
          <w:highlight w:val="none"/>
          <w:lang w:val="en-US" w:eastAsia="zh-CN"/>
        </w:rPr>
        <w:t>（格式自拟）</w:t>
      </w: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rPr>
          <w:rFonts w:hint="eastAsia"/>
          <w:color w:val="auto"/>
          <w:highlight w:val="none"/>
          <w:lang w:val="en-US" w:eastAsia="zh-CN"/>
        </w:rPr>
      </w:pPr>
    </w:p>
    <w:p>
      <w:pPr>
        <w:bidi w:val="0"/>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bookmarkEnd w:id="148"/>
    <w:bookmarkEnd w:id="149"/>
    <w:bookmarkEnd w:id="150"/>
    <w:p>
      <w:pPr>
        <w:pStyle w:val="2"/>
        <w:rPr>
          <w:color w:val="auto"/>
          <w:highlight w:val="none"/>
        </w:rPr>
      </w:pPr>
      <w:bookmarkStart w:id="151" w:name="_Toc10958"/>
      <w:r>
        <w:rPr>
          <w:rFonts w:hint="eastAsia"/>
          <w:color w:val="auto"/>
          <w:highlight w:val="none"/>
          <w:lang w:val="en-US" w:eastAsia="zh-CN"/>
        </w:rPr>
        <w:t>2、</w:t>
      </w:r>
      <w:r>
        <w:rPr>
          <w:rFonts w:hint="eastAsia"/>
          <w:color w:val="auto"/>
          <w:highlight w:val="none"/>
        </w:rPr>
        <w:t>技术条款响应、偏离说明表</w:t>
      </w:r>
      <w:bookmarkEnd w:id="151"/>
    </w:p>
    <w:p>
      <w:pPr>
        <w:adjustRightInd w:val="0"/>
        <w:snapToGrid w:val="0"/>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采购项目编号：</w:t>
      </w:r>
    </w:p>
    <w:p>
      <w:pPr>
        <w:adjustRightInd w:val="0"/>
        <w:snapToGrid w:val="0"/>
        <w:spacing w:line="500" w:lineRule="exact"/>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采购项目名称：</w:t>
      </w:r>
    </w:p>
    <w:p>
      <w:pPr>
        <w:pStyle w:val="5"/>
        <w:ind w:firstLine="560"/>
        <w:rPr>
          <w:rFonts w:asciiTheme="minorEastAsia" w:hAnsiTheme="minorEastAsia" w:eastAsiaTheme="minorEastAsia"/>
          <w:color w:val="auto"/>
          <w:sz w:val="28"/>
          <w:szCs w:val="28"/>
          <w:highlight w:val="none"/>
        </w:rPr>
      </w:pPr>
    </w:p>
    <w:tbl>
      <w:tblPr>
        <w:tblStyle w:val="17"/>
        <w:tblW w:w="8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序号</w:t>
            </w:r>
          </w:p>
        </w:tc>
        <w:tc>
          <w:tcPr>
            <w:tcW w:w="2422" w:type="dxa"/>
            <w:shd w:val="pct10"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磋商文件中条款内容</w:t>
            </w:r>
          </w:p>
        </w:tc>
        <w:tc>
          <w:tcPr>
            <w:tcW w:w="2422" w:type="dxa"/>
            <w:shd w:val="pct10"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响应文件条款部分</w:t>
            </w:r>
          </w:p>
        </w:tc>
        <w:tc>
          <w:tcPr>
            <w:tcW w:w="1418" w:type="dxa"/>
            <w:shd w:val="pct10" w:color="auto" w:fill="auto"/>
            <w:vAlign w:val="center"/>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偏离说明</w:t>
            </w:r>
          </w:p>
        </w:tc>
        <w:tc>
          <w:tcPr>
            <w:tcW w:w="1418" w:type="dxa"/>
            <w:shd w:val="pct10" w:color="auto" w:fill="auto"/>
          </w:tcPr>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b/>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b/>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b/>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b/>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b/>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vAlign w:val="center"/>
          </w:tcPr>
          <w:p>
            <w:pPr>
              <w:jc w:val="center"/>
              <w:rPr>
                <w:rFonts w:cs="仿宋_GB2312" w:asciiTheme="minorEastAsia" w:hAnsiTheme="minorEastAsia" w:eastAsiaTheme="minorEastAsia"/>
                <w:color w:val="auto"/>
                <w:sz w:val="28"/>
                <w:szCs w:val="28"/>
                <w:highlight w:val="none"/>
              </w:rPr>
            </w:pPr>
            <w:r>
              <w:rPr>
                <w:rFonts w:hint="eastAsia" w:cs="仿宋_GB2312" w:asciiTheme="minorEastAsia" w:hAnsiTheme="minorEastAsia" w:eastAsiaTheme="minorEastAsia"/>
                <w:color w:val="auto"/>
                <w:sz w:val="28"/>
                <w:szCs w:val="28"/>
                <w:highlight w:val="none"/>
              </w:rPr>
              <w:t>…</w:t>
            </w: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2422"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c>
          <w:tcPr>
            <w:tcW w:w="1418" w:type="dxa"/>
            <w:vAlign w:val="center"/>
          </w:tcPr>
          <w:p>
            <w:pPr>
              <w:jc w:val="center"/>
              <w:rPr>
                <w:rFonts w:cs="仿宋_GB2312" w:asciiTheme="minorEastAsia" w:hAnsiTheme="minorEastAsia" w:eastAsiaTheme="minorEastAsia"/>
                <w:color w:val="auto"/>
                <w:sz w:val="28"/>
                <w:szCs w:val="28"/>
                <w:highlight w:val="none"/>
              </w:rPr>
            </w:pPr>
          </w:p>
        </w:tc>
      </w:tr>
    </w:tbl>
    <w:p>
      <w:pPr>
        <w:adjustRightInd w:val="0"/>
        <w:snapToGrid w:val="0"/>
        <w:spacing w:line="500" w:lineRule="exact"/>
        <w:ind w:left="840" w:hanging="840" w:hangingChars="300"/>
        <w:rPr>
          <w:rFonts w:asciiTheme="minorEastAsia" w:hAnsiTheme="minorEastAsia" w:eastAsiaTheme="minorEastAsia"/>
          <w:color w:val="auto"/>
          <w:sz w:val="28"/>
          <w:szCs w:val="28"/>
          <w:highlight w:val="none"/>
        </w:rPr>
      </w:pPr>
      <w:r>
        <w:rPr>
          <w:rFonts w:hint="eastAsia" w:cs="Corbel" w:asciiTheme="minorEastAsia" w:hAnsiTheme="minorEastAsia" w:eastAsiaTheme="minorEastAsia"/>
          <w:color w:val="auto"/>
          <w:sz w:val="28"/>
          <w:szCs w:val="28"/>
          <w:highlight w:val="none"/>
        </w:rPr>
        <w:t>注：1.供应商须对照磋商文件第四章“评审方法、步骤及标准”中“符合性检查”关于</w:t>
      </w:r>
      <w:r>
        <w:rPr>
          <w:rFonts w:hint="eastAsia" w:asciiTheme="minorEastAsia" w:hAnsiTheme="minorEastAsia" w:eastAsiaTheme="minorEastAsia"/>
          <w:color w:val="auto"/>
          <w:sz w:val="28"/>
          <w:szCs w:val="28"/>
          <w:highlight w:val="none"/>
        </w:rPr>
        <w:t>磋商文件第三章“</w:t>
      </w:r>
      <w:r>
        <w:rPr>
          <w:rFonts w:hint="eastAsia" w:asciiTheme="minorEastAsia" w:hAnsiTheme="minorEastAsia" w:eastAsiaTheme="minorEastAsia"/>
          <w:color w:val="auto"/>
          <w:sz w:val="28"/>
          <w:szCs w:val="28"/>
          <w:highlight w:val="none"/>
          <w:lang w:val="en-US" w:eastAsia="zh-CN"/>
        </w:rPr>
        <w:t>采购需求</w:t>
      </w:r>
      <w:r>
        <w:rPr>
          <w:rFonts w:hint="eastAsia" w:asciiTheme="minorEastAsia" w:hAnsiTheme="minorEastAsia" w:eastAsiaTheme="minorEastAsia"/>
          <w:color w:val="auto"/>
          <w:sz w:val="28"/>
          <w:szCs w:val="28"/>
          <w:highlight w:val="none"/>
        </w:rPr>
        <w:t>”中标技术要求和商务要求</w:t>
      </w:r>
      <w:r>
        <w:rPr>
          <w:rFonts w:hint="eastAsia" w:cs="Corbel" w:asciiTheme="minorEastAsia" w:hAnsiTheme="minorEastAsia" w:eastAsiaTheme="minorEastAsia"/>
          <w:color w:val="auto"/>
          <w:sz w:val="28"/>
          <w:szCs w:val="28"/>
          <w:highlight w:val="none"/>
        </w:rPr>
        <w:t>”的条款进行逐项说明是否满足要求，并附相关证明文件，同时将相关证明文件的相应页码填写到上表“响应文件中对应的页码”中。</w:t>
      </w:r>
    </w:p>
    <w:p>
      <w:pPr>
        <w:adjustRightInd w:val="0"/>
        <w:snapToGrid w:val="0"/>
        <w:spacing w:line="500" w:lineRule="exact"/>
        <w:rPr>
          <w:rFonts w:asciiTheme="minorEastAsia" w:hAnsiTheme="minorEastAsia" w:eastAsiaTheme="minorEastAsia"/>
          <w:color w:val="auto"/>
          <w:sz w:val="28"/>
          <w:szCs w:val="28"/>
          <w:highlight w:val="none"/>
        </w:rPr>
      </w:pPr>
    </w:p>
    <w:p>
      <w:pPr>
        <w:widowControl/>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pPr>
        <w:pStyle w:val="2"/>
        <w:rPr>
          <w:rFonts w:hint="eastAsia" w:hAnsi="宋体" w:cs="Times New Roman"/>
          <w:color w:val="auto"/>
          <w:highlight w:val="none"/>
          <w:lang w:val="en-US" w:eastAsia="zh-CN"/>
        </w:rPr>
      </w:pPr>
      <w:bookmarkStart w:id="152" w:name="_Toc17433"/>
      <w:r>
        <w:rPr>
          <w:rFonts w:hint="eastAsia" w:hAnsi="宋体" w:cs="Times New Roman"/>
          <w:color w:val="auto"/>
          <w:highlight w:val="none"/>
          <w:lang w:val="en-US" w:eastAsia="zh-CN"/>
        </w:rPr>
        <w:t>3、磋商文件要求提供或供应商认为需提供的其它资料</w:t>
      </w:r>
      <w:bookmarkEnd w:id="152"/>
    </w:p>
    <w:p>
      <w:pPr>
        <w:pStyle w:val="16"/>
        <w:rPr>
          <w:rFonts w:hint="eastAsia"/>
          <w:color w:val="auto"/>
          <w:highlight w:val="none"/>
        </w:rPr>
      </w:pPr>
    </w:p>
    <w:p>
      <w:pPr>
        <w:pStyle w:val="16"/>
        <w:rPr>
          <w:color w:val="auto"/>
          <w:highlight w:val="none"/>
        </w:rPr>
      </w:pPr>
    </w:p>
    <w:p>
      <w:pP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br w:type="page"/>
      </w:r>
    </w:p>
    <w:p>
      <w:pPr>
        <w:jc w:val="center"/>
        <w:rPr>
          <w:rStyle w:val="21"/>
          <w:rFonts w:hint="eastAsia" w:ascii="宋体" w:hAnsi="宋体" w:cs="宋体"/>
          <w:b/>
          <w:bCs/>
          <w:i w:val="0"/>
          <w:color w:val="auto"/>
          <w:spacing w:val="0"/>
          <w:w w:val="100"/>
          <w:kern w:val="2"/>
          <w:sz w:val="28"/>
          <w:szCs w:val="28"/>
          <w:highlight w:val="none"/>
          <w:lang w:val="en-US" w:eastAsia="zh-CN" w:bidi="ar-SA"/>
        </w:rPr>
      </w:pPr>
      <w:r>
        <w:rPr>
          <w:rStyle w:val="21"/>
          <w:rFonts w:hint="eastAsia" w:ascii="宋体" w:hAnsi="宋体" w:cs="宋体"/>
          <w:b/>
          <w:bCs/>
          <w:i w:val="0"/>
          <w:color w:val="auto"/>
          <w:spacing w:val="0"/>
          <w:w w:val="100"/>
          <w:kern w:val="2"/>
          <w:sz w:val="28"/>
          <w:szCs w:val="28"/>
          <w:highlight w:val="none"/>
          <w:lang w:val="en-US" w:eastAsia="zh-CN" w:bidi="ar-SA"/>
        </w:rPr>
        <w:t>招标文件补充材料</w:t>
      </w:r>
    </w:p>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1、关于印发中小企业划型标准规定的通知（不属于投标文件格式，仅作为判断中小企业的依据）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20"/>
          <w:rFonts w:hint="eastAsia" w:ascii="微软雅黑" w:hAnsi="微软雅黑" w:eastAsia="微软雅黑" w:cs="微软雅黑"/>
          <w:i w:val="0"/>
          <w:iCs w:val="0"/>
          <w:color w:val="auto"/>
          <w:spacing w:val="0"/>
          <w:sz w:val="36"/>
          <w:szCs w:val="36"/>
          <w:highlight w:val="none"/>
          <w:lang w:eastAsia="zh-CN"/>
        </w:rPr>
      </w:pPr>
      <w:r>
        <w:rPr>
          <w:rStyle w:val="20"/>
          <w:rFonts w:hint="eastAsia" w:ascii="微软雅黑" w:hAnsi="微软雅黑" w:eastAsia="微软雅黑" w:cs="微软雅黑"/>
          <w:i w:val="0"/>
          <w:iCs w:val="0"/>
          <w:color w:val="auto"/>
          <w:spacing w:val="0"/>
          <w:sz w:val="36"/>
          <w:szCs w:val="36"/>
          <w:highlight w:val="none"/>
        </w:rPr>
        <w:t>关于印发中小企业划型标准规定的通知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工信部联企业〔2011〕300号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各省、自治区、直辖市人民政府，国务院各部委、各直属机构及有关单位：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工业和信息化部　国家统计局</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国家发展和改革委员会　财政部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二○一一年六月十八日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olor w:val="auto"/>
          <w:spacing w:val="0"/>
          <w:sz w:val="21"/>
          <w:szCs w:val="21"/>
          <w:highlight w:val="none"/>
        </w:rPr>
      </w:pPr>
      <w:r>
        <w:rPr>
          <w:rFonts w:hint="eastAsia" w:ascii="微软雅黑" w:hAnsi="微软雅黑" w:eastAsia="微软雅黑" w:cs="微软雅黑"/>
          <w:i w:val="0"/>
          <w:iCs w:val="0"/>
          <w:color w:val="auto"/>
          <w:spacing w:val="0"/>
          <w:sz w:val="21"/>
          <w:szCs w:val="21"/>
          <w:highlight w:val="none"/>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olor w:val="auto"/>
          <w:spacing w:val="0"/>
          <w:sz w:val="21"/>
          <w:szCs w:val="21"/>
          <w:highlight w:val="none"/>
        </w:rPr>
      </w:pPr>
      <w:r>
        <w:rPr>
          <w:rStyle w:val="20"/>
          <w:rFonts w:hint="eastAsia" w:ascii="微软雅黑" w:hAnsi="微软雅黑" w:eastAsia="微软雅黑" w:cs="微软雅黑"/>
          <w:i w:val="0"/>
          <w:iCs w:val="0"/>
          <w:color w:val="auto"/>
          <w:spacing w:val="0"/>
          <w:sz w:val="36"/>
          <w:szCs w:val="36"/>
          <w:highlight w:val="none"/>
        </w:rPr>
        <w:t>中小企业划型标准规定</w:t>
      </w:r>
    </w:p>
    <w:p>
      <w:pPr>
        <w:pStyle w:val="16"/>
        <w:rPr>
          <w:rFonts w:hint="eastAsia" w:ascii="宋体" w:hAnsi="宋体" w:eastAsia="宋体" w:cs="宋体"/>
          <w:color w:val="auto"/>
          <w:kern w:val="2"/>
          <w:sz w:val="24"/>
          <w:szCs w:val="24"/>
          <w:highlight w:val="none"/>
          <w:lang w:val="en-US" w:eastAsia="zh-CN" w:bidi="ar-SA"/>
        </w:rPr>
      </w:pPr>
      <w:r>
        <w:rPr>
          <w:rFonts w:hint="eastAsia" w:ascii="微软雅黑" w:hAnsi="微软雅黑" w:eastAsia="微软雅黑" w:cs="微软雅黑"/>
          <w:i w:val="0"/>
          <w:iCs w:val="0"/>
          <w:color w:val="auto"/>
          <w:spacing w:val="0"/>
          <w:sz w:val="21"/>
          <w:szCs w:val="21"/>
          <w:highlight w:val="none"/>
        </w:rPr>
        <w:t>　　</w:t>
      </w:r>
      <w:r>
        <w:rPr>
          <w:rFonts w:hint="eastAsia" w:ascii="宋体" w:hAnsi="宋体" w:eastAsia="宋体" w:cs="宋体"/>
          <w:color w:val="auto"/>
          <w:kern w:val="2"/>
          <w:sz w:val="24"/>
          <w:szCs w:val="24"/>
          <w:highlight w:val="none"/>
          <w:lang w:val="en-US" w:eastAsia="zh-CN" w:bidi="ar-SA"/>
        </w:rPr>
        <w:t>一、根据《中华人民共和国中小企业促进法》和《国务院关于进一步促进中小企业发展的若干意见》(国发〔2009〕36号)，制定本规定。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二、中小企业划分为中型、小型、微型三种类型，具体标准根据企业从业人员、营业收入、资产总额等指标，结合行业特点制定。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四、各行业划型标准为：</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五、企业类型的划分以统计部门的统计数据为依据。</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六、本规定适用于在中华人民共和国境内依法设立的各类所有制和各种组织形式的企业。个体工商户和本规定以外的行业，参照本规定进行划型。</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八、本规定由工业和信息化部、国家统计局会同有关部门根据《国民经济行业分类》修订情况和企业发展变化情况适时修订。</w:t>
      </w:r>
    </w:p>
    <w:p>
      <w:pPr>
        <w:pStyle w:val="1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九、本规定由工业和信息化部、国家统计局会同有关部门负责解释。</w:t>
      </w:r>
    </w:p>
    <w:p>
      <w:pPr>
        <w:pStyle w:val="16"/>
        <w:rPr>
          <w:rFonts w:hint="eastAsia"/>
          <w:color w:val="auto"/>
          <w:highlight w:val="none"/>
        </w:rPr>
      </w:pPr>
      <w:r>
        <w:rPr>
          <w:rFonts w:hint="eastAsia" w:ascii="宋体" w:hAnsi="宋体" w:eastAsia="宋体" w:cs="宋体"/>
          <w:color w:val="auto"/>
          <w:kern w:val="2"/>
          <w:sz w:val="24"/>
          <w:szCs w:val="24"/>
          <w:highlight w:val="none"/>
          <w:lang w:val="en-US" w:eastAsia="zh-CN" w:bidi="ar-SA"/>
        </w:rPr>
        <w:t>　　十、本规定自发布之日起执行，原国家经贸委、原国家计委、财政部和国家统计局2003年颁布的《中小企业标准暂行规定》同时废止。</w:t>
      </w:r>
    </w:p>
    <w:p>
      <w:pPr>
        <w:pStyle w:val="6"/>
        <w:rPr>
          <w:color w:val="auto"/>
          <w:highlight w:val="none"/>
        </w:rPr>
      </w:pPr>
    </w:p>
    <w:p>
      <w:pPr>
        <w:rPr>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PS Pro">
    <w:altName w:val="Times New Roman"/>
    <w:panose1 w:val="02020603050405020304"/>
    <w:charset w:val="00"/>
    <w:family w:val="auto"/>
    <w:pitch w:val="default"/>
    <w:sig w:usb0="00000000" w:usb1="00000000" w:usb2="00000000" w:usb3="00000000" w:csb0="20000093"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Corbel">
    <w:panose1 w:val="020B0503020204020204"/>
    <w:charset w:val="00"/>
    <w:family w:val="swiss"/>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ets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pJZopFPz84/v5&#10;5+/zr2/kKs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z562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E73CC52C"/>
    <w:multiLevelType w:val="singleLevel"/>
    <w:tmpl w:val="E73CC52C"/>
    <w:lvl w:ilvl="0" w:tentative="0">
      <w:start w:val="1"/>
      <w:numFmt w:val="decimal"/>
      <w:lvlText w:val="%1."/>
      <w:lvlJc w:val="left"/>
      <w:pPr>
        <w:tabs>
          <w:tab w:val="left" w:pos="420"/>
        </w:tabs>
        <w:ind w:left="425" w:leftChars="0" w:hanging="425" w:firstLineChars="0"/>
      </w:pPr>
      <w:rPr>
        <w:rFonts w:hint="default"/>
      </w:rPr>
    </w:lvl>
  </w:abstractNum>
  <w:abstractNum w:abstractNumId="2">
    <w:nsid w:val="FB28382D"/>
    <w:multiLevelType w:val="singleLevel"/>
    <w:tmpl w:val="FB28382D"/>
    <w:lvl w:ilvl="0" w:tentative="0">
      <w:start w:val="3"/>
      <w:numFmt w:val="chineseCounting"/>
      <w:suff w:val="space"/>
      <w:lvlText w:val="第%1章"/>
      <w:lvlJc w:val="left"/>
      <w:rPr>
        <w:rFonts w:hint="eastAsia"/>
      </w:rPr>
    </w:lvl>
  </w:abstractNum>
  <w:abstractNum w:abstractNumId="3">
    <w:nsid w:val="131B6204"/>
    <w:multiLevelType w:val="singleLevel"/>
    <w:tmpl w:val="131B6204"/>
    <w:lvl w:ilvl="0" w:tentative="0">
      <w:start w:val="6"/>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TIwODIyZjk2ZDg3NjM4NWQzZDJkZTU3MzBkN2IifQ=="/>
  </w:docVars>
  <w:rsids>
    <w:rsidRoot w:val="00000000"/>
    <w:rsid w:val="0089189B"/>
    <w:rsid w:val="00F474BF"/>
    <w:rsid w:val="01941722"/>
    <w:rsid w:val="01EA636A"/>
    <w:rsid w:val="01EC5D08"/>
    <w:rsid w:val="02987B74"/>
    <w:rsid w:val="029F2C5A"/>
    <w:rsid w:val="02F2197A"/>
    <w:rsid w:val="03563CB7"/>
    <w:rsid w:val="038E1D2C"/>
    <w:rsid w:val="03DD1CE2"/>
    <w:rsid w:val="03E5328D"/>
    <w:rsid w:val="041F054D"/>
    <w:rsid w:val="0475016D"/>
    <w:rsid w:val="047D34C5"/>
    <w:rsid w:val="04D63E97"/>
    <w:rsid w:val="04EF4949"/>
    <w:rsid w:val="04FA4B16"/>
    <w:rsid w:val="05167D14"/>
    <w:rsid w:val="052A01B4"/>
    <w:rsid w:val="052A45EE"/>
    <w:rsid w:val="056F1060"/>
    <w:rsid w:val="065443CF"/>
    <w:rsid w:val="06CA3F77"/>
    <w:rsid w:val="06CB676A"/>
    <w:rsid w:val="06D80E87"/>
    <w:rsid w:val="06F400AD"/>
    <w:rsid w:val="072B0FB7"/>
    <w:rsid w:val="07D72EEC"/>
    <w:rsid w:val="07F25F78"/>
    <w:rsid w:val="087F6BF6"/>
    <w:rsid w:val="08DF2743"/>
    <w:rsid w:val="09412D13"/>
    <w:rsid w:val="09546F6A"/>
    <w:rsid w:val="099C43EE"/>
    <w:rsid w:val="09C83435"/>
    <w:rsid w:val="09D43B87"/>
    <w:rsid w:val="09EB0ED1"/>
    <w:rsid w:val="0A3E36F7"/>
    <w:rsid w:val="0AB9356F"/>
    <w:rsid w:val="0ADB0F46"/>
    <w:rsid w:val="0ADE6740"/>
    <w:rsid w:val="0AFA13CC"/>
    <w:rsid w:val="0B1D330C"/>
    <w:rsid w:val="0B3255D1"/>
    <w:rsid w:val="0B555B13"/>
    <w:rsid w:val="0BD84435"/>
    <w:rsid w:val="0C191D25"/>
    <w:rsid w:val="0C4F1BEB"/>
    <w:rsid w:val="0D3B3F1D"/>
    <w:rsid w:val="0D4252AC"/>
    <w:rsid w:val="0E267FA8"/>
    <w:rsid w:val="0E5232CD"/>
    <w:rsid w:val="0EE04D7C"/>
    <w:rsid w:val="0FA77648"/>
    <w:rsid w:val="0FFC54A0"/>
    <w:rsid w:val="103C4234"/>
    <w:rsid w:val="105B0B5E"/>
    <w:rsid w:val="11427949"/>
    <w:rsid w:val="11505129"/>
    <w:rsid w:val="1182036D"/>
    <w:rsid w:val="11845E93"/>
    <w:rsid w:val="11940AC6"/>
    <w:rsid w:val="12616984"/>
    <w:rsid w:val="143811B7"/>
    <w:rsid w:val="14BB6070"/>
    <w:rsid w:val="14BD497F"/>
    <w:rsid w:val="156E30E2"/>
    <w:rsid w:val="15793835"/>
    <w:rsid w:val="1594241D"/>
    <w:rsid w:val="15E433A4"/>
    <w:rsid w:val="16A56DF3"/>
    <w:rsid w:val="16AB5C70"/>
    <w:rsid w:val="16FB6BF7"/>
    <w:rsid w:val="17233A58"/>
    <w:rsid w:val="17674926"/>
    <w:rsid w:val="18016BC3"/>
    <w:rsid w:val="184665A9"/>
    <w:rsid w:val="185E39E0"/>
    <w:rsid w:val="18C80D5B"/>
    <w:rsid w:val="18F727B7"/>
    <w:rsid w:val="1901426D"/>
    <w:rsid w:val="190478B9"/>
    <w:rsid w:val="191A70DD"/>
    <w:rsid w:val="19314B52"/>
    <w:rsid w:val="194A5C14"/>
    <w:rsid w:val="195720DF"/>
    <w:rsid w:val="195C76F5"/>
    <w:rsid w:val="198804EA"/>
    <w:rsid w:val="1A15084E"/>
    <w:rsid w:val="1A5F2FF9"/>
    <w:rsid w:val="1A90602C"/>
    <w:rsid w:val="1A911621"/>
    <w:rsid w:val="1ACC4407"/>
    <w:rsid w:val="1AED589C"/>
    <w:rsid w:val="1AF220BF"/>
    <w:rsid w:val="1BAA0BEC"/>
    <w:rsid w:val="1BCD6688"/>
    <w:rsid w:val="1C153956"/>
    <w:rsid w:val="1C1D316C"/>
    <w:rsid w:val="1C56667E"/>
    <w:rsid w:val="1C664547"/>
    <w:rsid w:val="1C8E7BC6"/>
    <w:rsid w:val="1D992CC6"/>
    <w:rsid w:val="1E116D00"/>
    <w:rsid w:val="1E1E5E28"/>
    <w:rsid w:val="1E2A6014"/>
    <w:rsid w:val="1E4E2CA8"/>
    <w:rsid w:val="1E557950"/>
    <w:rsid w:val="1E601A36"/>
    <w:rsid w:val="1E803E86"/>
    <w:rsid w:val="1ECE074D"/>
    <w:rsid w:val="1F666BD8"/>
    <w:rsid w:val="1FA53BA4"/>
    <w:rsid w:val="202D76F6"/>
    <w:rsid w:val="203B617F"/>
    <w:rsid w:val="209033B2"/>
    <w:rsid w:val="212705E9"/>
    <w:rsid w:val="21470C8B"/>
    <w:rsid w:val="214D44F3"/>
    <w:rsid w:val="21816EE4"/>
    <w:rsid w:val="21BB15CD"/>
    <w:rsid w:val="21D30750"/>
    <w:rsid w:val="22066450"/>
    <w:rsid w:val="221338AA"/>
    <w:rsid w:val="22140B6D"/>
    <w:rsid w:val="2277734E"/>
    <w:rsid w:val="227C4964"/>
    <w:rsid w:val="23531B69"/>
    <w:rsid w:val="24020E26"/>
    <w:rsid w:val="245931AF"/>
    <w:rsid w:val="24A7710A"/>
    <w:rsid w:val="24AB60C9"/>
    <w:rsid w:val="255A71DF"/>
    <w:rsid w:val="25665B84"/>
    <w:rsid w:val="25956469"/>
    <w:rsid w:val="25FA451E"/>
    <w:rsid w:val="261E58DB"/>
    <w:rsid w:val="26404627"/>
    <w:rsid w:val="26435EC5"/>
    <w:rsid w:val="2666570F"/>
    <w:rsid w:val="267C3185"/>
    <w:rsid w:val="26A60202"/>
    <w:rsid w:val="26B648E9"/>
    <w:rsid w:val="26D20FF7"/>
    <w:rsid w:val="26F23447"/>
    <w:rsid w:val="26FE1770"/>
    <w:rsid w:val="27133AE9"/>
    <w:rsid w:val="27303F23"/>
    <w:rsid w:val="28397580"/>
    <w:rsid w:val="286F60EE"/>
    <w:rsid w:val="28F72F97"/>
    <w:rsid w:val="291853E7"/>
    <w:rsid w:val="29211DC2"/>
    <w:rsid w:val="292D69B8"/>
    <w:rsid w:val="297168A5"/>
    <w:rsid w:val="299741EC"/>
    <w:rsid w:val="29E259F5"/>
    <w:rsid w:val="29E7300B"/>
    <w:rsid w:val="2A5C1303"/>
    <w:rsid w:val="2A701253"/>
    <w:rsid w:val="2ABA24CE"/>
    <w:rsid w:val="2AD25A69"/>
    <w:rsid w:val="2AEE36BE"/>
    <w:rsid w:val="2B083239"/>
    <w:rsid w:val="2B1240B8"/>
    <w:rsid w:val="2B2E545E"/>
    <w:rsid w:val="2B5D643F"/>
    <w:rsid w:val="2B8042B4"/>
    <w:rsid w:val="2BD15D21"/>
    <w:rsid w:val="2C0559CB"/>
    <w:rsid w:val="2C4B7881"/>
    <w:rsid w:val="2C714E0E"/>
    <w:rsid w:val="2C922B4A"/>
    <w:rsid w:val="2D406CBA"/>
    <w:rsid w:val="2D6B7AAF"/>
    <w:rsid w:val="2DE51610"/>
    <w:rsid w:val="2DE55AB4"/>
    <w:rsid w:val="2E365E73"/>
    <w:rsid w:val="2E671DE1"/>
    <w:rsid w:val="2E746F02"/>
    <w:rsid w:val="2E9D1C0D"/>
    <w:rsid w:val="2EA4771D"/>
    <w:rsid w:val="2F032695"/>
    <w:rsid w:val="2F0D0E1E"/>
    <w:rsid w:val="2F4B5DEA"/>
    <w:rsid w:val="30026472"/>
    <w:rsid w:val="30112B90"/>
    <w:rsid w:val="305B268B"/>
    <w:rsid w:val="30647164"/>
    <w:rsid w:val="30FC63E2"/>
    <w:rsid w:val="311F752F"/>
    <w:rsid w:val="31F52A85"/>
    <w:rsid w:val="32B13044"/>
    <w:rsid w:val="336B3220"/>
    <w:rsid w:val="33E30964"/>
    <w:rsid w:val="33F95E15"/>
    <w:rsid w:val="340A0022"/>
    <w:rsid w:val="34452E08"/>
    <w:rsid w:val="344D7162"/>
    <w:rsid w:val="34533777"/>
    <w:rsid w:val="34931DC5"/>
    <w:rsid w:val="34C06513"/>
    <w:rsid w:val="34D50630"/>
    <w:rsid w:val="34DF179B"/>
    <w:rsid w:val="34E16FD5"/>
    <w:rsid w:val="34F211E2"/>
    <w:rsid w:val="3518051D"/>
    <w:rsid w:val="3518676F"/>
    <w:rsid w:val="351C3F29"/>
    <w:rsid w:val="356E3DC6"/>
    <w:rsid w:val="35753BC1"/>
    <w:rsid w:val="35CA6155"/>
    <w:rsid w:val="35D54660"/>
    <w:rsid w:val="36AC3612"/>
    <w:rsid w:val="36D13079"/>
    <w:rsid w:val="36FD79CA"/>
    <w:rsid w:val="370A0339"/>
    <w:rsid w:val="374A7131"/>
    <w:rsid w:val="378E2D18"/>
    <w:rsid w:val="37D270A9"/>
    <w:rsid w:val="38A04AB1"/>
    <w:rsid w:val="38B62526"/>
    <w:rsid w:val="390C0398"/>
    <w:rsid w:val="39406294"/>
    <w:rsid w:val="396F0B07"/>
    <w:rsid w:val="3A1957AC"/>
    <w:rsid w:val="3A43428E"/>
    <w:rsid w:val="3A907DCF"/>
    <w:rsid w:val="3AE92DF4"/>
    <w:rsid w:val="3AEA4709"/>
    <w:rsid w:val="3AFF6407"/>
    <w:rsid w:val="3B9528C7"/>
    <w:rsid w:val="3B9C3C56"/>
    <w:rsid w:val="3B9F54F4"/>
    <w:rsid w:val="3BBE5586"/>
    <w:rsid w:val="3BD86C58"/>
    <w:rsid w:val="3C251641"/>
    <w:rsid w:val="3C3519B4"/>
    <w:rsid w:val="3CA803D8"/>
    <w:rsid w:val="3CD613E9"/>
    <w:rsid w:val="3CE33B06"/>
    <w:rsid w:val="3CFB2BFE"/>
    <w:rsid w:val="3D2917C9"/>
    <w:rsid w:val="3D2F28A7"/>
    <w:rsid w:val="3D874B44"/>
    <w:rsid w:val="3DD11BB1"/>
    <w:rsid w:val="3E03620E"/>
    <w:rsid w:val="3E4800C5"/>
    <w:rsid w:val="3E94330A"/>
    <w:rsid w:val="3EB92D70"/>
    <w:rsid w:val="3F32042D"/>
    <w:rsid w:val="3F3B3785"/>
    <w:rsid w:val="3F3D2EC3"/>
    <w:rsid w:val="3F5B3E28"/>
    <w:rsid w:val="3F684F93"/>
    <w:rsid w:val="3FC96A37"/>
    <w:rsid w:val="3FFD4EDF"/>
    <w:rsid w:val="401D732F"/>
    <w:rsid w:val="409A44DC"/>
    <w:rsid w:val="40BA4B7E"/>
    <w:rsid w:val="40C07776"/>
    <w:rsid w:val="41270465"/>
    <w:rsid w:val="413761CE"/>
    <w:rsid w:val="41C537DA"/>
    <w:rsid w:val="41E453D3"/>
    <w:rsid w:val="420D7A68"/>
    <w:rsid w:val="42417305"/>
    <w:rsid w:val="42666D6B"/>
    <w:rsid w:val="42672AE3"/>
    <w:rsid w:val="42734FE4"/>
    <w:rsid w:val="428E14C2"/>
    <w:rsid w:val="42A03821"/>
    <w:rsid w:val="42BE29A2"/>
    <w:rsid w:val="42C45840"/>
    <w:rsid w:val="4356403B"/>
    <w:rsid w:val="43661A0D"/>
    <w:rsid w:val="43C401ED"/>
    <w:rsid w:val="43DE2931"/>
    <w:rsid w:val="440C79AE"/>
    <w:rsid w:val="444A6219"/>
    <w:rsid w:val="44501A81"/>
    <w:rsid w:val="445D419E"/>
    <w:rsid w:val="44B32ADD"/>
    <w:rsid w:val="44D51F86"/>
    <w:rsid w:val="44FA7C3F"/>
    <w:rsid w:val="4508410A"/>
    <w:rsid w:val="455740D3"/>
    <w:rsid w:val="45942067"/>
    <w:rsid w:val="45AA6F6F"/>
    <w:rsid w:val="46CA3D89"/>
    <w:rsid w:val="47495A20"/>
    <w:rsid w:val="474E29E4"/>
    <w:rsid w:val="476D64A6"/>
    <w:rsid w:val="47887784"/>
    <w:rsid w:val="479954ED"/>
    <w:rsid w:val="486A0C38"/>
    <w:rsid w:val="48C20A74"/>
    <w:rsid w:val="49115705"/>
    <w:rsid w:val="49C36851"/>
    <w:rsid w:val="4A11580F"/>
    <w:rsid w:val="4A7D2EA4"/>
    <w:rsid w:val="4A8E0D19"/>
    <w:rsid w:val="4AB81412"/>
    <w:rsid w:val="4AC06D1D"/>
    <w:rsid w:val="4AE41175"/>
    <w:rsid w:val="4B6202EC"/>
    <w:rsid w:val="4B977F95"/>
    <w:rsid w:val="4BF74ED8"/>
    <w:rsid w:val="4C686721"/>
    <w:rsid w:val="4CD9638C"/>
    <w:rsid w:val="4CEC4311"/>
    <w:rsid w:val="4CF96DCF"/>
    <w:rsid w:val="4D317A9C"/>
    <w:rsid w:val="4DFC0DC2"/>
    <w:rsid w:val="4DFE60AA"/>
    <w:rsid w:val="4E451F2B"/>
    <w:rsid w:val="4E633658"/>
    <w:rsid w:val="4E810A89"/>
    <w:rsid w:val="4ECC43FA"/>
    <w:rsid w:val="4EF120B3"/>
    <w:rsid w:val="4F204746"/>
    <w:rsid w:val="4F403AED"/>
    <w:rsid w:val="4F624D5E"/>
    <w:rsid w:val="4F906F6A"/>
    <w:rsid w:val="4FB55FFB"/>
    <w:rsid w:val="50285660"/>
    <w:rsid w:val="50665115"/>
    <w:rsid w:val="50B25444"/>
    <w:rsid w:val="50B909AE"/>
    <w:rsid w:val="50BE4216"/>
    <w:rsid w:val="50D43A3A"/>
    <w:rsid w:val="50DD469C"/>
    <w:rsid w:val="50E066F5"/>
    <w:rsid w:val="50E56E68"/>
    <w:rsid w:val="51183927"/>
    <w:rsid w:val="51383FC9"/>
    <w:rsid w:val="5167040A"/>
    <w:rsid w:val="52320A18"/>
    <w:rsid w:val="523B5750"/>
    <w:rsid w:val="52690C81"/>
    <w:rsid w:val="527D083F"/>
    <w:rsid w:val="527D2D7F"/>
    <w:rsid w:val="52860D64"/>
    <w:rsid w:val="52976ACD"/>
    <w:rsid w:val="52E753F5"/>
    <w:rsid w:val="52F656AA"/>
    <w:rsid w:val="53057EDB"/>
    <w:rsid w:val="53144842"/>
    <w:rsid w:val="53373E0C"/>
    <w:rsid w:val="537961D3"/>
    <w:rsid w:val="53BD07B5"/>
    <w:rsid w:val="53E2646E"/>
    <w:rsid w:val="541D1254"/>
    <w:rsid w:val="54817A35"/>
    <w:rsid w:val="549C661D"/>
    <w:rsid w:val="54A61A65"/>
    <w:rsid w:val="54C53DC5"/>
    <w:rsid w:val="551E1FFA"/>
    <w:rsid w:val="554D5B69"/>
    <w:rsid w:val="55821CB6"/>
    <w:rsid w:val="55B6370E"/>
    <w:rsid w:val="55F61D5C"/>
    <w:rsid w:val="564A0724"/>
    <w:rsid w:val="56625644"/>
    <w:rsid w:val="567235B5"/>
    <w:rsid w:val="56B05759"/>
    <w:rsid w:val="56B57916"/>
    <w:rsid w:val="56DE4CCA"/>
    <w:rsid w:val="56DF6C95"/>
    <w:rsid w:val="56F67803"/>
    <w:rsid w:val="57400A23"/>
    <w:rsid w:val="57C32112"/>
    <w:rsid w:val="57E502DB"/>
    <w:rsid w:val="58201313"/>
    <w:rsid w:val="5829466B"/>
    <w:rsid w:val="582C415B"/>
    <w:rsid w:val="58A9755A"/>
    <w:rsid w:val="58C47B45"/>
    <w:rsid w:val="58CD0A4B"/>
    <w:rsid w:val="59162E41"/>
    <w:rsid w:val="5943350B"/>
    <w:rsid w:val="594352B9"/>
    <w:rsid w:val="59CD7278"/>
    <w:rsid w:val="59F14D15"/>
    <w:rsid w:val="59FE1C9F"/>
    <w:rsid w:val="5A511C57"/>
    <w:rsid w:val="5B3F5F54"/>
    <w:rsid w:val="5B61236E"/>
    <w:rsid w:val="5BD26DC8"/>
    <w:rsid w:val="5BD42B40"/>
    <w:rsid w:val="5BE56AFB"/>
    <w:rsid w:val="5CC15124"/>
    <w:rsid w:val="5D170F36"/>
    <w:rsid w:val="5E162F9C"/>
    <w:rsid w:val="5E282CCF"/>
    <w:rsid w:val="5E3E0745"/>
    <w:rsid w:val="5E4352CB"/>
    <w:rsid w:val="5E8F2D4E"/>
    <w:rsid w:val="5EBF69F4"/>
    <w:rsid w:val="5EC23124"/>
    <w:rsid w:val="5F996D1A"/>
    <w:rsid w:val="5FA82319"/>
    <w:rsid w:val="5FC5248A"/>
    <w:rsid w:val="5FE62E42"/>
    <w:rsid w:val="60272D83"/>
    <w:rsid w:val="604A33D1"/>
    <w:rsid w:val="606A3A73"/>
    <w:rsid w:val="608C4857"/>
    <w:rsid w:val="60CF12EC"/>
    <w:rsid w:val="60E07891"/>
    <w:rsid w:val="60F33A68"/>
    <w:rsid w:val="611C2D78"/>
    <w:rsid w:val="61371BA7"/>
    <w:rsid w:val="61432E47"/>
    <w:rsid w:val="61443C48"/>
    <w:rsid w:val="616B1851"/>
    <w:rsid w:val="61972646"/>
    <w:rsid w:val="61BF1B9C"/>
    <w:rsid w:val="623B7475"/>
    <w:rsid w:val="62764951"/>
    <w:rsid w:val="628F77C1"/>
    <w:rsid w:val="62B114E5"/>
    <w:rsid w:val="62B80AC5"/>
    <w:rsid w:val="62CF4061"/>
    <w:rsid w:val="62EE2739"/>
    <w:rsid w:val="63220635"/>
    <w:rsid w:val="636C7B02"/>
    <w:rsid w:val="63AA623B"/>
    <w:rsid w:val="63CA175E"/>
    <w:rsid w:val="63D53536"/>
    <w:rsid w:val="63EB0A27"/>
    <w:rsid w:val="6427244F"/>
    <w:rsid w:val="65293EFC"/>
    <w:rsid w:val="6531690D"/>
    <w:rsid w:val="655F4C8C"/>
    <w:rsid w:val="65876E75"/>
    <w:rsid w:val="65AC2438"/>
    <w:rsid w:val="65B512EC"/>
    <w:rsid w:val="66196A74"/>
    <w:rsid w:val="66430FEE"/>
    <w:rsid w:val="666A0329"/>
    <w:rsid w:val="66855163"/>
    <w:rsid w:val="66974E96"/>
    <w:rsid w:val="67075680"/>
    <w:rsid w:val="674007B3"/>
    <w:rsid w:val="6742138D"/>
    <w:rsid w:val="679D472E"/>
    <w:rsid w:val="67A04DFA"/>
    <w:rsid w:val="67C972D1"/>
    <w:rsid w:val="67FF7197"/>
    <w:rsid w:val="68A73236"/>
    <w:rsid w:val="68BE495C"/>
    <w:rsid w:val="68C47A98"/>
    <w:rsid w:val="69771BA1"/>
    <w:rsid w:val="69A27755"/>
    <w:rsid w:val="69B30239"/>
    <w:rsid w:val="69E22FAE"/>
    <w:rsid w:val="69F66377"/>
    <w:rsid w:val="6A22716C"/>
    <w:rsid w:val="6A2B6021"/>
    <w:rsid w:val="6AB26742"/>
    <w:rsid w:val="6AE04902"/>
    <w:rsid w:val="6B5D5176"/>
    <w:rsid w:val="6BAC2C9C"/>
    <w:rsid w:val="6BC84DC9"/>
    <w:rsid w:val="6BCC3834"/>
    <w:rsid w:val="6BFD39ED"/>
    <w:rsid w:val="6C1B7DE7"/>
    <w:rsid w:val="6C1D5E3D"/>
    <w:rsid w:val="6C2947E2"/>
    <w:rsid w:val="6C5C6966"/>
    <w:rsid w:val="6C882CD0"/>
    <w:rsid w:val="6D087F43"/>
    <w:rsid w:val="6DC02F24"/>
    <w:rsid w:val="6DC742B3"/>
    <w:rsid w:val="6E1D776A"/>
    <w:rsid w:val="6E1F40EF"/>
    <w:rsid w:val="6E2D6717"/>
    <w:rsid w:val="6E526272"/>
    <w:rsid w:val="6E684B6A"/>
    <w:rsid w:val="6EB2704A"/>
    <w:rsid w:val="6F6B5594"/>
    <w:rsid w:val="6F7D6D84"/>
    <w:rsid w:val="6FA654BB"/>
    <w:rsid w:val="704C4972"/>
    <w:rsid w:val="70674864"/>
    <w:rsid w:val="70981F36"/>
    <w:rsid w:val="70B56644"/>
    <w:rsid w:val="70DC62C7"/>
    <w:rsid w:val="71B96608"/>
    <w:rsid w:val="71BC3A02"/>
    <w:rsid w:val="72BC5B45"/>
    <w:rsid w:val="7431692A"/>
    <w:rsid w:val="74FF2584"/>
    <w:rsid w:val="75D27C98"/>
    <w:rsid w:val="75F23E97"/>
    <w:rsid w:val="7602008A"/>
    <w:rsid w:val="76067942"/>
    <w:rsid w:val="76685113"/>
    <w:rsid w:val="76F36118"/>
    <w:rsid w:val="7711659E"/>
    <w:rsid w:val="771542E1"/>
    <w:rsid w:val="781A0EFF"/>
    <w:rsid w:val="78340796"/>
    <w:rsid w:val="78370287"/>
    <w:rsid w:val="78654DF4"/>
    <w:rsid w:val="788F1E71"/>
    <w:rsid w:val="78A6284A"/>
    <w:rsid w:val="78DB50B6"/>
    <w:rsid w:val="78DD0E2E"/>
    <w:rsid w:val="795338F8"/>
    <w:rsid w:val="79584959"/>
    <w:rsid w:val="796926C2"/>
    <w:rsid w:val="798B088A"/>
    <w:rsid w:val="79A61220"/>
    <w:rsid w:val="7A513882"/>
    <w:rsid w:val="7A6B246A"/>
    <w:rsid w:val="7A6D1D3E"/>
    <w:rsid w:val="7AC06311"/>
    <w:rsid w:val="7AEA338E"/>
    <w:rsid w:val="7B5353D8"/>
    <w:rsid w:val="7BB51BEE"/>
    <w:rsid w:val="7BF032FA"/>
    <w:rsid w:val="7C743857"/>
    <w:rsid w:val="7CD442F6"/>
    <w:rsid w:val="7D23702C"/>
    <w:rsid w:val="7D5947FB"/>
    <w:rsid w:val="7D851991"/>
    <w:rsid w:val="7DA0067C"/>
    <w:rsid w:val="7DA71A0B"/>
    <w:rsid w:val="7DDC24A4"/>
    <w:rsid w:val="7DEE7639"/>
    <w:rsid w:val="7DF32EA2"/>
    <w:rsid w:val="7E394D59"/>
    <w:rsid w:val="7E4436FD"/>
    <w:rsid w:val="7E752E96"/>
    <w:rsid w:val="7E9E2E0E"/>
    <w:rsid w:val="7EC150BC"/>
    <w:rsid w:val="7EDE145C"/>
    <w:rsid w:val="7F6851CA"/>
    <w:rsid w:val="7FFB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kern w:val="44"/>
      <w:sz w:val="44"/>
      <w:szCs w:val="44"/>
    </w:rPr>
  </w:style>
  <w:style w:type="paragraph" w:styleId="4">
    <w:name w:val="heading 2"/>
    <w:basedOn w:val="2"/>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2">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style>
  <w:style w:type="paragraph" w:styleId="6">
    <w:name w:val="toa heading"/>
    <w:basedOn w:val="1"/>
    <w:next w:val="1"/>
    <w:qFormat/>
    <w:uiPriority w:val="0"/>
    <w:pPr>
      <w:spacing w:before="120"/>
    </w:pPr>
    <w:rPr>
      <w:rFonts w:ascii="Cambria" w:hAnsi="Cambria"/>
      <w:sz w:val="24"/>
      <w:szCs w:val="24"/>
    </w:rPr>
  </w:style>
  <w:style w:type="paragraph" w:styleId="7">
    <w:name w:val="Body Text"/>
    <w:basedOn w:val="1"/>
    <w:next w:val="8"/>
    <w:qFormat/>
    <w:uiPriority w:val="0"/>
    <w:pPr>
      <w:spacing w:after="120"/>
    </w:pPr>
  </w:style>
  <w:style w:type="paragraph" w:styleId="8">
    <w:name w:val="Date"/>
    <w:basedOn w:val="1"/>
    <w:next w:val="1"/>
    <w:qFormat/>
    <w:uiPriority w:val="0"/>
    <w:pPr>
      <w:adjustRightInd w:val="0"/>
      <w:spacing w:line="360" w:lineRule="atLeast"/>
    </w:pPr>
    <w:rPr>
      <w:rFonts w:hint="eastAsia" w:ascii="宋体"/>
      <w:kern w:val="0"/>
      <w:sz w:val="24"/>
      <w:szCs w:val="20"/>
    </w:rPr>
  </w:style>
  <w:style w:type="paragraph" w:styleId="9">
    <w:name w:val="Body Text Indent"/>
    <w:basedOn w:val="1"/>
    <w:qFormat/>
    <w:uiPriority w:val="0"/>
    <w:pPr>
      <w:spacing w:line="500" w:lineRule="exact"/>
      <w:ind w:left="1588" w:leftChars="832" w:firstLine="433" w:firstLineChars="196"/>
    </w:pPr>
    <w:rPr>
      <w:sz w:val="24"/>
    </w:rPr>
  </w:style>
  <w:style w:type="paragraph" w:styleId="10">
    <w:name w:val="toc 3"/>
    <w:basedOn w:val="1"/>
    <w:next w:val="1"/>
    <w:unhideWhenUsed/>
    <w:qFormat/>
    <w:uiPriority w:val="39"/>
    <w:pPr>
      <w:ind w:left="420"/>
      <w:jc w:val="left"/>
    </w:pPr>
    <w:rPr>
      <w:iCs/>
      <w:sz w:val="28"/>
      <w:szCs w:val="20"/>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pPr>
      <w:spacing w:before="120" w:after="120"/>
      <w:jc w:val="left"/>
    </w:pPr>
    <w:rPr>
      <w:b/>
      <w:bCs/>
      <w:caps/>
      <w:sz w:val="28"/>
      <w:szCs w:val="20"/>
    </w:rPr>
  </w:style>
  <w:style w:type="paragraph" w:styleId="14">
    <w:name w:val="toc 2"/>
    <w:basedOn w:val="1"/>
    <w:next w:val="1"/>
    <w:unhideWhenUsed/>
    <w:qFormat/>
    <w:uiPriority w:val="39"/>
    <w:pPr>
      <w:ind w:left="200" w:leftChars="200"/>
      <w:jc w:val="left"/>
    </w:pPr>
    <w:rPr>
      <w:sz w:val="28"/>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w:basedOn w:val="7"/>
    <w:next w:val="1"/>
    <w:unhideWhenUsed/>
    <w:qFormat/>
    <w:uiPriority w:val="99"/>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21"/>
    <w:qFormat/>
    <w:uiPriority w:val="0"/>
    <w:rPr>
      <w:bCs/>
    </w:rPr>
  </w:style>
  <w:style w:type="character" w:customStyle="1" w:styleId="21">
    <w:name w:val="NormalCharacter"/>
    <w:link w:val="22"/>
    <w:qFormat/>
    <w:uiPriority w:val="0"/>
    <w:rPr>
      <w:rFonts w:ascii="仿宋_GB2312" w:hAnsi="Calibri" w:eastAsia="仿宋_GB2312" w:cs="Times New Roman"/>
      <w:b/>
      <w:sz w:val="32"/>
      <w:szCs w:val="32"/>
    </w:rPr>
  </w:style>
  <w:style w:type="paragraph" w:customStyle="1" w:styleId="22">
    <w:name w:val="UserStyle_5"/>
    <w:basedOn w:val="1"/>
    <w:link w:val="21"/>
    <w:qFormat/>
    <w:uiPriority w:val="0"/>
    <w:pPr>
      <w:widowControl/>
      <w:spacing w:after="160" w:line="240" w:lineRule="exact"/>
      <w:jc w:val="left"/>
    </w:pPr>
  </w:style>
  <w:style w:type="paragraph" w:customStyle="1" w:styleId="23">
    <w:name w:val="UserStyle_461"/>
    <w:basedOn w:val="1"/>
    <w:link w:val="21"/>
    <w:qFormat/>
    <w:uiPriority w:val="0"/>
    <w:pPr>
      <w:widowControl/>
      <w:textAlignment w:val="baseline"/>
    </w:pPr>
    <w:rPr>
      <w:rFonts w:ascii="仿宋_GB2312" w:hAnsi="Calibri" w:eastAsia="仿宋_GB2312" w:cs="Times New Roman"/>
      <w:b/>
      <w:sz w:val="32"/>
      <w:szCs w:val="32"/>
    </w:rPr>
  </w:style>
  <w:style w:type="paragraph" w:customStyle="1" w:styleId="24">
    <w:name w:val="目录 4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
    <w:name w:val="BodyTextIndent"/>
    <w:basedOn w:val="1"/>
    <w:qFormat/>
    <w:uiPriority w:val="0"/>
    <w:pPr>
      <w:spacing w:line="500" w:lineRule="exact"/>
      <w:ind w:left="1588" w:leftChars="832" w:firstLine="433" w:firstLineChars="196"/>
      <w:jc w:val="both"/>
    </w:pPr>
    <w:rPr>
      <w:rFonts w:ascii="Times New Roman" w:hAnsi="Times New Roman"/>
      <w:kern w:val="2"/>
      <w:sz w:val="24"/>
      <w:szCs w:val="24"/>
      <w:lang w:val="en-US" w:eastAsia="zh-CN" w:bidi="ar-SA"/>
    </w:rPr>
  </w:style>
  <w:style w:type="paragraph" w:customStyle="1" w:styleId="26">
    <w:name w:val="Normal_0"/>
    <w:qFormat/>
    <w:uiPriority w:val="0"/>
    <w:rPr>
      <w:rFonts w:ascii="Times New Roman" w:hAnsi="Times New Roman" w:eastAsia="Times New Roman" w:cs="Times New Roman"/>
      <w:sz w:val="24"/>
      <w:szCs w:val="24"/>
      <w:lang w:bidi="ar-SA"/>
    </w:rPr>
  </w:style>
  <w:style w:type="paragraph" w:styleId="27">
    <w:name w:val="List Paragraph"/>
    <w:basedOn w:val="1"/>
    <w:qFormat/>
    <w:uiPriority w:val="34"/>
    <w:pPr>
      <w:ind w:firstLine="420" w:firstLineChars="200"/>
    </w:pPr>
  </w:style>
  <w:style w:type="paragraph" w:customStyle="1" w:styleId="28">
    <w:name w:val="正文文本_1"/>
    <w:basedOn w:val="29"/>
    <w:unhideWhenUsed/>
    <w:qFormat/>
    <w:uiPriority w:val="99"/>
    <w:pPr>
      <w:spacing w:after="120"/>
    </w:pPr>
  </w:style>
  <w:style w:type="paragraph" w:customStyle="1" w:styleId="29">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UserStyle_32"/>
    <w:qFormat/>
    <w:uiPriority w:val="0"/>
    <w:pPr>
      <w:widowControl/>
    </w:pPr>
    <w:rPr>
      <w:rFonts w:ascii="黑体" w:hAnsi="黑体" w:eastAsia="黑体" w:cs="Times New Roman"/>
      <w:b/>
      <w:sz w:val="32"/>
      <w:szCs w:val="24"/>
      <w:lang w:val="en-US" w:bidi="ar-SA"/>
    </w:rPr>
  </w:style>
  <w:style w:type="paragraph" w:customStyle="1" w:styleId="31">
    <w:name w:val="正文_2"/>
    <w:basedOn w:val="29"/>
    <w:qFormat/>
    <w:uiPriority w:val="0"/>
    <w:pPr>
      <w:widowControl w:val="0"/>
      <w:jc w:val="both"/>
    </w:pPr>
    <w:rPr>
      <w:kern w:val="2"/>
      <w:sz w:val="21"/>
      <w:szCs w:val="22"/>
      <w:lang w:val="en-US" w:eastAsia="zh-CN" w:bidi="ar-SA"/>
    </w:rPr>
  </w:style>
  <w:style w:type="paragraph" w:customStyle="1" w:styleId="32">
    <w:name w:val="标题 2_0"/>
    <w:basedOn w:val="33"/>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33">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4">
    <w:name w:val="UserStyle_38"/>
    <w:qFormat/>
    <w:uiPriority w:val="0"/>
    <w:pPr>
      <w:widowControl/>
    </w:pPr>
    <w:rPr>
      <w:rFonts w:ascii="黑体" w:hAnsi="黑体" w:eastAsia="黑体" w:cs="Times New Roman"/>
      <w:b/>
      <w:sz w:val="32"/>
      <w:szCs w:val="24"/>
      <w:lang w:val="en-US" w:bidi="ar-SA"/>
    </w:rPr>
  </w:style>
  <w:style w:type="paragraph" w:customStyle="1" w:styleId="35">
    <w:name w:val="UserStyle_66"/>
    <w:basedOn w:val="36"/>
    <w:qFormat/>
    <w:uiPriority w:val="0"/>
    <w:pPr>
      <w:jc w:val="both"/>
    </w:pPr>
    <w:rPr>
      <w:rFonts w:ascii="Calibri" w:hAnsi="Calibri" w:eastAsia="宋体"/>
      <w:kern w:val="2"/>
      <w:sz w:val="21"/>
      <w:szCs w:val="22"/>
      <w:lang w:val="en-US" w:eastAsia="zh-CN" w:bidi="ar-SA"/>
    </w:rPr>
  </w:style>
  <w:style w:type="paragraph" w:customStyle="1" w:styleId="36">
    <w:name w:val="UserStyle_67"/>
    <w:qFormat/>
    <w:uiPriority w:val="0"/>
    <w:pPr>
      <w:jc w:val="both"/>
    </w:pPr>
    <w:rPr>
      <w:rFonts w:ascii="Calibri" w:hAnsi="Calibri" w:eastAsia="宋体" w:cs="Times New Roman"/>
      <w:kern w:val="2"/>
      <w:sz w:val="21"/>
      <w:szCs w:val="22"/>
      <w:lang w:val="en-US" w:eastAsia="zh-CN" w:bidi="ar-SA"/>
    </w:rPr>
  </w:style>
  <w:style w:type="paragraph" w:customStyle="1" w:styleId="37">
    <w:name w:val="UserStyle_122"/>
    <w:basedOn w:val="36"/>
    <w:qFormat/>
    <w:uiPriority w:val="0"/>
    <w:pPr>
      <w:widowControl/>
      <w:jc w:val="left"/>
    </w:pPr>
    <w:rPr>
      <w:rFonts w:ascii="黑体" w:hAnsi="黑体" w:eastAsia="黑体" w:cs="宋体"/>
      <w:b/>
      <w:bCs/>
      <w:kern w:val="0"/>
      <w:sz w:val="32"/>
      <w:szCs w:val="32"/>
      <w:lang w:val="en-US" w:eastAsia="zh-CN" w:bidi="ar-SA"/>
    </w:rPr>
  </w:style>
  <w:style w:type="paragraph" w:customStyle="1" w:styleId="38">
    <w:name w:val="UserStyle_123"/>
    <w:basedOn w:val="36"/>
    <w:qFormat/>
    <w:uiPriority w:val="0"/>
    <w:pPr>
      <w:jc w:val="both"/>
    </w:pPr>
    <w:rPr>
      <w:rFonts w:ascii="Times New Roman" w:hAnsi="Times New Roman" w:eastAsia="宋体"/>
      <w:kern w:val="2"/>
      <w:sz w:val="21"/>
      <w:szCs w:val="21"/>
      <w:lang w:val="en-US" w:eastAsia="zh-CN" w:bidi="ar-SA"/>
    </w:rPr>
  </w:style>
  <w:style w:type="paragraph" w:customStyle="1" w:styleId="39">
    <w:name w:val="UserStyle_124"/>
    <w:basedOn w:val="38"/>
    <w:semiHidden/>
    <w:qFormat/>
    <w:uiPriority w:val="0"/>
    <w:pPr>
      <w:snapToGrid w:val="0"/>
      <w:jc w:val="left"/>
    </w:pPr>
    <w:rPr>
      <w:rFonts w:ascii="Calibri" w:hAnsi="Calibri" w:eastAsia="宋体"/>
      <w:kern w:val="2"/>
      <w:sz w:val="18"/>
      <w:szCs w:val="18"/>
      <w:lang w:val="en-US" w:eastAsia="zh-CN" w:bidi="ar-SA"/>
    </w:rPr>
  </w:style>
  <w:style w:type="paragraph" w:customStyle="1" w:styleId="40">
    <w:name w:val="UserStyle_100"/>
    <w:qFormat/>
    <w:uiPriority w:val="0"/>
    <w:pPr>
      <w:jc w:val="both"/>
    </w:pPr>
    <w:rPr>
      <w:rFonts w:ascii="Calibri" w:hAnsi="Calibri" w:eastAsia="宋体" w:cs="Times New Roman"/>
      <w:kern w:val="2"/>
      <w:sz w:val="21"/>
      <w:szCs w:val="22"/>
      <w:lang w:val="en-US" w:eastAsia="zh-CN" w:bidi="ar-SA"/>
    </w:rPr>
  </w:style>
  <w:style w:type="paragraph" w:customStyle="1" w:styleId="41">
    <w:name w:val="UserStyle_125"/>
    <w:basedOn w:val="36"/>
    <w:qFormat/>
    <w:uiPriority w:val="0"/>
    <w:pPr>
      <w:jc w:val="both"/>
    </w:pPr>
    <w:rPr>
      <w:rFonts w:ascii="Times New Roman" w:hAnsi="Times New Roman" w:eastAsia="宋体"/>
      <w:kern w:val="2"/>
      <w:sz w:val="21"/>
      <w:szCs w:val="21"/>
      <w:lang w:val="en-US" w:eastAsia="zh-CN" w:bidi="ar-SA"/>
    </w:rPr>
  </w:style>
  <w:style w:type="paragraph" w:customStyle="1" w:styleId="42">
    <w:name w:val="UserStyle_74"/>
    <w:qFormat/>
    <w:uiPriority w:val="0"/>
    <w:pPr>
      <w:widowControl/>
    </w:pPr>
    <w:rPr>
      <w:rFonts w:ascii="黑体" w:hAnsi="黑体" w:eastAsia="黑体" w:cs="Times New Roman"/>
      <w:b/>
      <w:sz w:val="32"/>
      <w:szCs w:val="24"/>
      <w:lang w:val="en-US" w:bidi="ar-SA"/>
    </w:rPr>
  </w:style>
  <w:style w:type="paragraph" w:customStyle="1" w:styleId="43">
    <w:name w:val="正"/>
    <w:basedOn w:val="44"/>
    <w:qFormat/>
    <w:uiPriority w:val="0"/>
    <w:pPr>
      <w:ind w:firstLine="525"/>
    </w:pPr>
    <w:rPr>
      <w:spacing w:val="20"/>
      <w:szCs w:val="20"/>
    </w:rPr>
  </w:style>
  <w:style w:type="paragraph" w:customStyle="1" w:styleId="44">
    <w:name w:val="正文_1"/>
    <w:basedOn w:val="31"/>
    <w:qFormat/>
    <w:uiPriority w:val="0"/>
    <w:pPr>
      <w:widowControl w:val="0"/>
    </w:pPr>
    <w:rPr>
      <w:rFonts w:ascii="等线" w:hAnsi="等线"/>
      <w:kern w:val="2"/>
      <w:sz w:val="24"/>
      <w:szCs w:val="22"/>
      <w:lang w:val="en-US" w:eastAsia="zh-CN" w:bidi="ar-SA"/>
    </w:rPr>
  </w:style>
  <w:style w:type="paragraph" w:customStyle="1" w:styleId="45">
    <w:name w:val="正文_1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文本_2_0"/>
    <w:basedOn w:val="45"/>
    <w:qFormat/>
    <w:uiPriority w:val="0"/>
    <w:pPr>
      <w:spacing w:after="120"/>
    </w:pPr>
  </w:style>
  <w:style w:type="paragraph" w:customStyle="1" w:styleId="47">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
    <w:name w:val="正文_1_0_0"/>
    <w:basedOn w:val="50"/>
    <w:qFormat/>
    <w:uiPriority w:val="0"/>
    <w:rPr>
      <w:rFonts w:ascii="Times New Roman" w:hAnsi="Times New Roman"/>
      <w:szCs w:val="21"/>
    </w:rPr>
  </w:style>
  <w:style w:type="paragraph" w:customStyle="1" w:styleId="5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页脚_1"/>
    <w:basedOn w:val="49"/>
    <w:semiHidden/>
    <w:qFormat/>
    <w:uiPriority w:val="0"/>
    <w:pPr>
      <w:snapToGrid w:val="0"/>
      <w:jc w:val="left"/>
    </w:pPr>
    <w:rPr>
      <w:rFonts w:ascii="Calibri" w:hAnsi="Calibri"/>
      <w:sz w:val="18"/>
      <w:szCs w:val="18"/>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28959</Words>
  <Characters>30963</Characters>
  <Lines>0</Lines>
  <Paragraphs>0</Paragraphs>
  <TotalTime>11</TotalTime>
  <ScaleCrop>false</ScaleCrop>
  <LinksUpToDate>false</LinksUpToDate>
  <CharactersWithSpaces>38541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2023-07-06T03:05:00Z</dcterms:created>
  <dc:creator>wszc</dc:creator>
  <cp:lastModifiedBy>新疆诚成工程项目管理有限公司288858</cp:lastModifiedBy>
  <dcterms:modified xsi:type="dcterms:W3CDTF">2023-09-21T11:01:32Z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5B9DC49997B64FE4B480162DFC43C089_12</vt:lpwstr>
  </property>
</Properties>
</file>