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highlight w:val="none"/>
        </w:rPr>
      </w:pPr>
      <w:r>
        <w:rPr>
          <w:rFonts w:hint="eastAsia" w:ascii="仿宋_GB2312" w:hAnsi="仿宋_GB2312" w:eastAsia="仿宋_GB2312" w:cs="仿宋_GB2312"/>
          <w:highlight w:val="none"/>
        </w:rPr>
        <w:drawing>
          <wp:anchor distT="0" distB="0" distL="114300" distR="114300" simplePos="0" relativeHeight="251662336" behindDoc="1" locked="0" layoutInCell="1" allowOverlap="1">
            <wp:simplePos x="0" y="0"/>
            <wp:positionH relativeFrom="column">
              <wp:posOffset>-1266190</wp:posOffset>
            </wp:positionH>
            <wp:positionV relativeFrom="paragraph">
              <wp:posOffset>-889635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7769225" cy="10739755"/>
                    </a:xfrm>
                    <a:prstGeom prst="rect">
                      <a:avLst/>
                    </a:prstGeom>
                    <a:noFill/>
                    <a:ln>
                      <a:noFill/>
                    </a:ln>
                  </pic:spPr>
                </pic:pic>
              </a:graphicData>
            </a:graphic>
          </wp:anchor>
        </w:drawing>
      </w:r>
    </w:p>
    <w:p>
      <w:pPr>
        <w:rPr>
          <w:rFonts w:hint="eastAsia" w:ascii="仿宋_GB2312" w:hAnsi="仿宋_GB2312" w:eastAsia="仿宋_GB2312" w:cs="仿宋_GB2312"/>
          <w:highlight w:val="none"/>
        </w:rPr>
      </w:pPr>
    </w:p>
    <w:p>
      <w:pPr>
        <w:tabs>
          <w:tab w:val="left" w:pos="5196"/>
        </w:tabs>
        <w:jc w:val="left"/>
        <w:rPr>
          <w:rFonts w:hint="eastAsia" w:ascii="仿宋_GB2312" w:hAnsi="仿宋_GB2312" w:eastAsia="仿宋_GB2312" w:cs="仿宋_GB2312"/>
          <w:sz w:val="36"/>
          <w:szCs w:val="36"/>
          <w:highlight w:val="none"/>
          <w:lang w:eastAsia="zh-CN"/>
        </w:rPr>
      </w:pPr>
      <w:r>
        <w:rPr>
          <w:rFonts w:hint="eastAsia" w:ascii="仿宋_GB2312" w:hAnsi="仿宋_GB2312" w:eastAsia="仿宋_GB2312" w:cs="仿宋_GB2312"/>
          <w:sz w:val="36"/>
          <w:szCs w:val="36"/>
          <w:highlight w:val="none"/>
          <w:lang w:eastAsia="zh-CN"/>
        </w:rPr>
        <w:tab/>
      </w:r>
    </w:p>
    <w:p>
      <w:pPr>
        <w:jc w:val="center"/>
        <w:rPr>
          <w:rFonts w:hint="eastAsia" w:ascii="仿宋_GB2312" w:hAnsi="仿宋_GB2312" w:eastAsia="仿宋_GB2312" w:cs="仿宋_GB2312"/>
          <w:sz w:val="32"/>
          <w:szCs w:val="32"/>
          <w:highlight w:val="none"/>
        </w:rPr>
        <w:sectPr>
          <w:footerReference r:id="rId3" w:type="default"/>
          <w:pgSz w:w="11906" w:h="16838"/>
          <w:pgMar w:top="1440" w:right="1800" w:bottom="1440" w:left="1800" w:header="851" w:footer="992" w:gutter="0"/>
          <w:pgNumType w:fmt="numberInDash"/>
          <w:cols w:space="0" w:num="1"/>
          <w:rtlGutter w:val="0"/>
          <w:docGrid w:type="lines" w:linePitch="387" w:charSpace="0"/>
        </w:sectPr>
      </w:pPr>
      <w:r>
        <w:rPr>
          <w:rFonts w:hint="eastAsia" w:ascii="仿宋_GB2312" w:hAnsi="仿宋_GB2312" w:eastAsia="仿宋_GB2312" w:cs="仿宋_GB2312"/>
          <w:highlight w:val="none"/>
          <w:lang w:eastAsia="zh-CN"/>
        </w:rPr>
        <w:drawing>
          <wp:anchor distT="0" distB="0" distL="114300" distR="114300" simplePos="0" relativeHeight="251667456" behindDoc="0" locked="0" layoutInCell="1" allowOverlap="1">
            <wp:simplePos x="0" y="0"/>
            <wp:positionH relativeFrom="column">
              <wp:posOffset>1929765</wp:posOffset>
            </wp:positionH>
            <wp:positionV relativeFrom="page">
              <wp:posOffset>7380605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4"/>
                    <a:srcRect l="22113" t="29394" r="21666" b="28715"/>
                    <a:stretch>
                      <a:fillRect/>
                    </a:stretch>
                  </pic:blipFill>
                  <pic:spPr>
                    <a:xfrm>
                      <a:off x="0" y="0"/>
                      <a:ext cx="1417320" cy="1410970"/>
                    </a:xfrm>
                    <a:prstGeom prst="rect">
                      <a:avLst/>
                    </a:prstGeom>
                  </pic:spPr>
                </pic:pic>
              </a:graphicData>
            </a:graphic>
          </wp:anchor>
        </w:drawing>
      </w:r>
      <w:r>
        <w:rPr>
          <w:rFonts w:hint="eastAsia" w:ascii="仿宋_GB2312" w:hAnsi="仿宋_GB2312" w:eastAsia="仿宋_GB2312" w:cs="仿宋_GB2312"/>
          <w:sz w:val="21"/>
          <w:highlight w:val="none"/>
        </w:rPr>
        <mc:AlternateContent>
          <mc:Choice Requires="wps">
            <w:drawing>
              <wp:anchor distT="0" distB="0" distL="114300" distR="114300" simplePos="0" relativeHeight="251665408"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5408;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rFonts w:hint="eastAsia" w:ascii="仿宋_GB2312" w:hAnsi="仿宋_GB2312" w:eastAsia="仿宋_GB2312" w:cs="仿宋_GB2312"/>
          <w:sz w:val="21"/>
          <w:highlight w:val="none"/>
        </w:rPr>
        <mc:AlternateContent>
          <mc:Choice Requires="wps">
            <w:drawing>
              <wp:anchor distT="0" distB="0" distL="114300" distR="114300" simplePos="0" relativeHeight="251663360" behindDoc="0" locked="0" layoutInCell="1" allowOverlap="1">
                <wp:simplePos x="0" y="0"/>
                <wp:positionH relativeFrom="column">
                  <wp:posOffset>-1172845</wp:posOffset>
                </wp:positionH>
                <wp:positionV relativeFrom="paragraph">
                  <wp:posOffset>-247650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 xml:space="preserve">阿瓦提县鲁迅高中建设项目勘察（二次）  </w:t>
                            </w:r>
                          </w:p>
                          <w:p>
                            <w:pPr>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（项目编号：SJX-2023-344-02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19.5pt;height:127.2pt;width:600.1pt;z-index:251663360;mso-width-relative:page;mso-height-relative:page;" filled="f" stroked="f" coordsize="21600,21600" o:gfxdata="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&#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4fZmbdAAAADQEAAA8AAAAAAAAAAQAgAAAAIgAA&#10;AGRycy9kb3ducmV2LnhtbFBLAQIUABQAAAAIAIdO4kChs09/PAIAAGcEAAAOAAAAAAAAAAEAIAAA&#10;ACwBAABkcnMvZTJvRG9jLnhtbFBLBQYAAAAABgAGAFkBAADaBQAAAAA=&#10;">
                <v:fill on="f" focussize="0,0"/>
                <v:stroke on="f" weight="0.5pt"/>
                <v:imagedata o:title=""/>
                <o:lock v:ext="edit" aspectratio="f"/>
                <v:textbox>
                  <w:txbxContent>
                    <w:p>
                      <w:pPr>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 xml:space="preserve">阿瓦提县鲁迅高中建设项目勘察（二次）  </w:t>
                      </w:r>
                    </w:p>
                    <w:p>
                      <w:pPr>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（项目编号：SJX-2023-344-02 ）</w:t>
                      </w:r>
                    </w:p>
                  </w:txbxContent>
                </v:textbox>
              </v:shape>
            </w:pict>
          </mc:Fallback>
        </mc:AlternateContent>
      </w:r>
      <w:r>
        <w:rPr>
          <w:rFonts w:hint="eastAsia" w:ascii="仿宋_GB2312" w:hAnsi="仿宋_GB2312" w:eastAsia="仿宋_GB2312" w:cs="仿宋_GB2312"/>
          <w:sz w:val="21"/>
          <w:highlight w:val="none"/>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4384;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pPr>
                        <w:pStyle w:val="2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v:textbox>
              </v:shape>
            </w:pict>
          </mc:Fallback>
        </mc:AlternateContent>
      </w:r>
      <w:r>
        <w:rPr>
          <w:rFonts w:hint="eastAsia" w:ascii="仿宋_GB2312" w:hAnsi="仿宋_GB2312" w:eastAsia="仿宋_GB2312" w:cs="仿宋_GB2312"/>
          <w:sz w:val="21"/>
          <w:highlight w:val="none"/>
        </w:rPr>
        <mc:AlternateContent>
          <mc:Choice Requires="wps">
            <w:drawing>
              <wp:anchor distT="0" distB="0" distL="114300" distR="114300" simplePos="0" relativeHeight="251666432" behindDoc="0" locked="0" layoutInCell="1" allowOverlap="1">
                <wp:simplePos x="0" y="0"/>
                <wp:positionH relativeFrom="column">
                  <wp:posOffset>-86360</wp:posOffset>
                </wp:positionH>
                <wp:positionV relativeFrom="paragraph">
                  <wp:posOffset>4860925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采购人：阿瓦提县教育和科学技术局 （盖章）</w:t>
                            </w:r>
                          </w:p>
                          <w:p>
                            <w:pPr>
                              <w:jc w:val="left"/>
                              <w:rPr>
                                <w:rFonts w:hint="eastAsia" w:ascii="微软雅黑" w:hAnsi="微软雅黑" w:eastAsia="微软雅黑" w:cs="微软雅黑"/>
                                <w:b/>
                                <w:bCs/>
                                <w:color w:val="237085"/>
                                <w:sz w:val="32"/>
                                <w:szCs w:val="32"/>
                                <w:lang w:val="en-US" w:eastAsia="zh-CN"/>
                              </w:rPr>
                            </w:pPr>
                          </w:p>
                          <w:p>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pPr>
                              <w:jc w:val="center"/>
                              <w:rPr>
                                <w:rFonts w:hint="eastAsia" w:ascii="微软雅黑" w:hAnsi="微软雅黑" w:eastAsia="微软雅黑" w:cs="微软雅黑"/>
                                <w:b/>
                                <w:bCs/>
                                <w:color w:val="237085"/>
                                <w:sz w:val="32"/>
                                <w:szCs w:val="32"/>
                                <w:lang w:val="en-US" w:eastAsia="zh-CN"/>
                              </w:rPr>
                            </w:pPr>
                          </w:p>
                          <w:p>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日期：2023年09月26日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382.75pt;height:195.75pt;width:430.25pt;z-index:251666432;mso-width-relative:page;mso-height-relative:page;" filled="f" stroked="f" coordsize="21600,21600" o:gfxdata="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MN2wL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采购人：阿瓦提县教育和科学技术局 （盖章）</w:t>
                      </w:r>
                    </w:p>
                    <w:p>
                      <w:pPr>
                        <w:jc w:val="left"/>
                        <w:rPr>
                          <w:rFonts w:hint="eastAsia" w:ascii="微软雅黑" w:hAnsi="微软雅黑" w:eastAsia="微软雅黑" w:cs="微软雅黑"/>
                          <w:b/>
                          <w:bCs/>
                          <w:color w:val="237085"/>
                          <w:sz w:val="32"/>
                          <w:szCs w:val="32"/>
                          <w:lang w:val="en-US" w:eastAsia="zh-CN"/>
                        </w:rPr>
                      </w:pPr>
                    </w:p>
                    <w:p>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pPr>
                        <w:jc w:val="center"/>
                        <w:rPr>
                          <w:rFonts w:hint="eastAsia" w:ascii="微软雅黑" w:hAnsi="微软雅黑" w:eastAsia="微软雅黑" w:cs="微软雅黑"/>
                          <w:b/>
                          <w:bCs/>
                          <w:color w:val="237085"/>
                          <w:sz w:val="32"/>
                          <w:szCs w:val="32"/>
                          <w:lang w:val="en-US" w:eastAsia="zh-CN"/>
                        </w:rPr>
                      </w:pPr>
                    </w:p>
                    <w:p>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日期：2023年09月26日</w:t>
                      </w:r>
                    </w:p>
                  </w:txbxContent>
                </v:textbox>
              </v:shape>
            </w:pict>
          </mc:Fallback>
        </mc:AlternateContent>
      </w:r>
    </w:p>
    <w:p>
      <w:pPr>
        <w:pStyle w:val="25"/>
        <w:rPr>
          <w:rFonts w:hint="eastAsia" w:ascii="仿宋_GB2312" w:hAnsi="仿宋_GB2312" w:eastAsia="仿宋_GB2312" w:cs="仿宋_GB2312"/>
          <w:highlight w:val="none"/>
        </w:rPr>
      </w:pPr>
    </w:p>
    <w:tbl>
      <w:tblPr>
        <w:tblStyle w:val="26"/>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1417" w:hRule="atLeast"/>
          <w:jc w:val="center"/>
        </w:trPr>
        <w:tc>
          <w:tcPr>
            <w:tcW w:w="9280" w:type="dxa"/>
            <w:tcBorders>
              <w:tl2br w:val="nil"/>
              <w:tr2bl w:val="nil"/>
            </w:tcBorders>
            <w:noWrap w:val="0"/>
            <w:vAlign w:val="top"/>
          </w:tcPr>
          <w:p>
            <w:pPr>
              <w:keepNext w:val="0"/>
              <w:keepLines w:val="0"/>
              <w:suppressLineNumbers w:val="0"/>
              <w:spacing w:before="0" w:beforeAutospacing="0" w:after="0" w:afterAutospacing="0" w:line="360" w:lineRule="auto"/>
              <w:ind w:left="0" w:right="36" w:rightChars="15"/>
              <w:jc w:val="center"/>
              <w:rPr>
                <w:rFonts w:hint="eastAsia" w:ascii="仿宋_GB2312" w:hAnsi="仿宋_GB2312" w:eastAsia="仿宋_GB2312" w:cs="仿宋_GB2312"/>
                <w:b/>
                <w:bCs/>
                <w:sz w:val="32"/>
                <w:szCs w:val="32"/>
                <w:highlight w:val="none"/>
              </w:rPr>
            </w:pPr>
          </w:p>
          <w:p>
            <w:pPr>
              <w:keepNext w:val="0"/>
              <w:keepLines w:val="0"/>
              <w:suppressLineNumbers w:val="0"/>
              <w:spacing w:before="0" w:beforeAutospacing="0" w:after="0" w:afterAutospacing="0" w:line="360" w:lineRule="auto"/>
              <w:ind w:left="0" w:right="36" w:rightChars="15"/>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采购文件确认</w:t>
            </w:r>
            <w:r>
              <w:rPr>
                <w:rFonts w:hint="eastAsia" w:ascii="仿宋_GB2312" w:hAnsi="仿宋_GB2312" w:eastAsia="仿宋_GB2312" w:cs="仿宋_GB2312"/>
                <w:b/>
                <w:bCs/>
                <w:sz w:val="32"/>
                <w:szCs w:val="32"/>
                <w:highlight w:val="none"/>
                <w:lang w:val="en-US" w:eastAsia="zh-CN"/>
              </w:rPr>
              <w:t>表</w:t>
            </w:r>
          </w:p>
          <w:p>
            <w:pPr>
              <w:keepNext w:val="0"/>
              <w:keepLines w:val="0"/>
              <w:suppressLineNumbers w:val="0"/>
              <w:spacing w:before="0" w:beforeAutospacing="0" w:after="0" w:afterAutospacing="0" w:line="360" w:lineRule="auto"/>
              <w:ind w:left="0" w:right="0" w:firstLine="720" w:firstLineChars="300"/>
              <w:jc w:val="both"/>
              <w:rPr>
                <w:rFonts w:hint="eastAsia" w:ascii="仿宋_GB2312" w:hAnsi="仿宋_GB2312" w:eastAsia="仿宋_GB2312" w:cs="仿宋_GB2312"/>
                <w:sz w:val="24"/>
                <w:szCs w:val="24"/>
                <w:highlight w:val="none"/>
                <w:lang w:val="en-US" w:eastAsia="zh-CN"/>
              </w:rPr>
            </w:pPr>
          </w:p>
          <w:p>
            <w:pPr>
              <w:keepNext w:val="0"/>
              <w:keepLines w:val="0"/>
              <w:suppressLineNumbers w:val="0"/>
              <w:spacing w:before="0" w:beforeAutospacing="0" w:after="0" w:afterAutospacing="0" w:line="360" w:lineRule="auto"/>
              <w:ind w:left="0" w:right="0"/>
              <w:jc w:val="both"/>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新疆世纪星工程咨询有限公司：</w:t>
            </w:r>
          </w:p>
          <w:p>
            <w:pPr>
              <w:keepNext w:val="0"/>
              <w:keepLines w:val="0"/>
              <w:suppressLineNumbers w:val="0"/>
              <w:spacing w:before="0" w:beforeAutospacing="0" w:after="0" w:afterAutospacing="0" w:line="360" w:lineRule="auto"/>
              <w:ind w:left="0" w:right="0" w:firstLine="840" w:firstLineChars="300"/>
              <w:jc w:val="both"/>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u w:val="single"/>
                <w:lang w:val="en-US" w:eastAsia="zh-CN"/>
              </w:rPr>
              <w:t>（项目名称：</w:t>
            </w:r>
            <w:r>
              <w:rPr>
                <w:rFonts w:hint="eastAsia" w:ascii="仿宋_GB2312" w:hAnsi="仿宋_GB2312" w:cs="仿宋_GB2312"/>
                <w:sz w:val="28"/>
                <w:szCs w:val="28"/>
                <w:highlight w:val="none"/>
                <w:u w:val="single"/>
                <w:lang w:val="en-US" w:eastAsia="zh-CN"/>
              </w:rPr>
              <w:t>阿瓦提县鲁迅高中建设项目勘察（二次）</w:t>
            </w:r>
            <w:r>
              <w:rPr>
                <w:rFonts w:hint="eastAsia" w:ascii="仿宋_GB2312" w:hAnsi="仿宋_GB2312" w:eastAsia="仿宋_GB2312" w:cs="仿宋_GB2312"/>
                <w:sz w:val="28"/>
                <w:szCs w:val="28"/>
                <w:highlight w:val="none"/>
                <w:u w:val="single"/>
                <w:lang w:val="en-US" w:eastAsia="zh-CN"/>
              </w:rPr>
              <w:t>）（项目编号：</w:t>
            </w:r>
            <w:r>
              <w:rPr>
                <w:rFonts w:hint="eastAsia" w:ascii="仿宋_GB2312" w:hAnsi="仿宋_GB2312" w:cs="仿宋_GB2312"/>
                <w:sz w:val="28"/>
                <w:szCs w:val="28"/>
                <w:highlight w:val="none"/>
                <w:u w:val="single"/>
                <w:lang w:val="en-US" w:eastAsia="zh-CN"/>
              </w:rPr>
              <w:t>SJX-2023-344-02</w:t>
            </w:r>
            <w:r>
              <w:rPr>
                <w:rFonts w:hint="eastAsia" w:ascii="仿宋_GB2312" w:hAnsi="仿宋_GB2312" w:eastAsia="仿宋_GB2312" w:cs="仿宋_GB2312"/>
                <w:sz w:val="28"/>
                <w:szCs w:val="28"/>
                <w:highlight w:val="none"/>
                <w:u w:val="single"/>
                <w:lang w:val="en-US" w:eastAsia="zh-CN"/>
              </w:rPr>
              <w:t>）</w:t>
            </w:r>
            <w:r>
              <w:rPr>
                <w:rFonts w:hint="eastAsia" w:ascii="仿宋_GB2312" w:hAnsi="仿宋_GB2312" w:eastAsia="仿宋_GB2312" w:cs="仿宋_GB2312"/>
                <w:sz w:val="28"/>
                <w:szCs w:val="28"/>
                <w:highlight w:val="none"/>
                <w:lang w:val="en-US" w:eastAsia="zh-CN"/>
              </w:rPr>
              <w:t>招标（采购）文件，经我单位审核符合我单位提出的招标（采购）要求，同意对外发布。</w:t>
            </w:r>
          </w:p>
          <w:p>
            <w:pPr>
              <w:keepNext w:val="0"/>
              <w:keepLines w:val="0"/>
              <w:suppressLineNumbers w:val="0"/>
              <w:spacing w:before="0" w:beforeAutospacing="0" w:after="0" w:afterAutospacing="0" w:line="360" w:lineRule="auto"/>
              <w:ind w:left="0" w:right="0"/>
              <w:jc w:val="both"/>
              <w:rPr>
                <w:rFonts w:hint="eastAsia" w:ascii="仿宋_GB2312" w:hAnsi="仿宋_GB2312" w:eastAsia="仿宋_GB2312" w:cs="仿宋_GB2312"/>
                <w:sz w:val="28"/>
                <w:szCs w:val="28"/>
                <w:highlight w:val="none"/>
              </w:rPr>
            </w:pPr>
          </w:p>
          <w:p>
            <w:pPr>
              <w:keepNext w:val="0"/>
              <w:keepLines w:val="0"/>
              <w:suppressLineNumbers w:val="0"/>
              <w:spacing w:before="0" w:beforeAutospacing="0" w:after="0" w:afterAutospacing="0" w:line="360" w:lineRule="auto"/>
              <w:ind w:left="0" w:right="240"/>
              <w:jc w:val="both"/>
              <w:rPr>
                <w:rFonts w:hint="eastAsia" w:ascii="仿宋_GB2312" w:hAnsi="仿宋_GB2312" w:eastAsia="仿宋_GB2312" w:cs="仿宋_GB2312"/>
                <w:sz w:val="28"/>
                <w:szCs w:val="28"/>
                <w:highlight w:val="none"/>
              </w:rPr>
            </w:pPr>
          </w:p>
          <w:p>
            <w:pPr>
              <w:pStyle w:val="5"/>
              <w:suppressLineNumbers w:val="0"/>
              <w:ind w:left="0" w:right="0"/>
              <w:rPr>
                <w:rFonts w:hint="eastAsia" w:ascii="仿宋_GB2312" w:hAnsi="仿宋_GB2312" w:eastAsia="仿宋_GB2312" w:cs="仿宋_GB2312"/>
                <w:sz w:val="28"/>
                <w:szCs w:val="28"/>
                <w:highlight w:val="none"/>
              </w:rPr>
            </w:pPr>
          </w:p>
          <w:p>
            <w:pPr>
              <w:keepNext w:val="0"/>
              <w:keepLines w:val="0"/>
              <w:suppressLineNumbers w:val="0"/>
              <w:spacing w:before="0" w:beforeAutospacing="0" w:after="0" w:afterAutospacing="0"/>
              <w:ind w:left="0" w:right="0"/>
              <w:rPr>
                <w:rFonts w:hint="eastAsia" w:ascii="仿宋_GB2312" w:hAnsi="仿宋_GB2312" w:eastAsia="仿宋_GB2312" w:cs="仿宋_GB2312"/>
                <w:highlight w:val="none"/>
              </w:rPr>
            </w:pPr>
          </w:p>
          <w:p>
            <w:pPr>
              <w:keepNext w:val="0"/>
              <w:keepLines w:val="0"/>
              <w:suppressLineNumbers w:val="0"/>
              <w:spacing w:before="0" w:beforeAutospacing="0" w:after="0" w:afterAutospacing="0" w:line="360" w:lineRule="auto"/>
              <w:ind w:left="0" w:right="240"/>
              <w:jc w:val="both"/>
              <w:rPr>
                <w:rFonts w:hint="eastAsia" w:ascii="仿宋_GB2312" w:hAnsi="仿宋_GB2312" w:eastAsia="仿宋_GB2312" w:cs="仿宋_GB2312"/>
                <w:sz w:val="28"/>
                <w:szCs w:val="28"/>
                <w:highlight w:val="none"/>
              </w:rPr>
            </w:pPr>
          </w:p>
          <w:p>
            <w:pPr>
              <w:pStyle w:val="5"/>
              <w:suppressLineNumbers w:val="0"/>
              <w:ind w:left="0" w:right="0"/>
              <w:rPr>
                <w:rFonts w:hint="eastAsia" w:ascii="仿宋_GB2312" w:hAnsi="仿宋_GB2312" w:eastAsia="仿宋_GB2312" w:cs="仿宋_GB2312"/>
                <w:sz w:val="28"/>
                <w:szCs w:val="28"/>
                <w:highlight w:val="none"/>
              </w:rPr>
            </w:pPr>
          </w:p>
          <w:p>
            <w:pPr>
              <w:keepNext w:val="0"/>
              <w:keepLines w:val="0"/>
              <w:suppressLineNumbers w:val="0"/>
              <w:spacing w:before="0" w:beforeAutospacing="0" w:after="0" w:afterAutospacing="0"/>
              <w:ind w:left="0" w:right="0"/>
              <w:rPr>
                <w:rFonts w:hint="eastAsia" w:ascii="仿宋_GB2312" w:hAnsi="仿宋_GB2312" w:eastAsia="仿宋_GB2312" w:cs="仿宋_GB2312"/>
                <w:highlight w:val="none"/>
              </w:rPr>
            </w:pPr>
          </w:p>
          <w:p>
            <w:pPr>
              <w:keepNext w:val="0"/>
              <w:keepLines w:val="0"/>
              <w:suppressLineNumbers w:val="0"/>
              <w:spacing w:before="0" w:beforeAutospacing="0" w:after="0" w:afterAutospacing="0" w:line="360" w:lineRule="auto"/>
              <w:ind w:left="0" w:right="840"/>
              <w:jc w:val="both"/>
              <w:rPr>
                <w:rFonts w:hint="eastAsia" w:ascii="仿宋_GB2312" w:hAnsi="仿宋_GB2312" w:eastAsia="仿宋_GB2312" w:cs="仿宋_GB2312"/>
                <w:sz w:val="28"/>
                <w:szCs w:val="28"/>
                <w:highlight w:val="none"/>
                <w:u w:val="single"/>
              </w:rPr>
            </w:pPr>
            <w:r>
              <w:rPr>
                <w:rFonts w:hint="eastAsia" w:ascii="仿宋_GB2312" w:hAnsi="仿宋_GB2312" w:eastAsia="仿宋_GB2312" w:cs="仿宋_GB2312"/>
                <w:sz w:val="28"/>
                <w:szCs w:val="28"/>
                <w:highlight w:val="none"/>
              </w:rPr>
              <w:t xml:space="preserve">  </w:t>
            </w:r>
            <w:r>
              <w:rPr>
                <w:rFonts w:hint="eastAsia" w:ascii="仿宋_GB2312" w:hAnsi="仿宋_GB2312" w:eastAsia="仿宋_GB2312" w:cs="仿宋_GB2312"/>
                <w:sz w:val="28"/>
                <w:szCs w:val="28"/>
                <w:highlight w:val="none"/>
                <w:lang w:val="en-US" w:eastAsia="zh-CN"/>
              </w:rPr>
              <w:t xml:space="preserve">                  采购人：阿瓦提县教育和科学技术局 （盖章）</w:t>
            </w:r>
          </w:p>
          <w:p>
            <w:pPr>
              <w:keepNext w:val="0"/>
              <w:keepLines w:val="0"/>
              <w:suppressLineNumbers w:val="0"/>
              <w:spacing w:before="0" w:beforeAutospacing="0" w:after="0" w:afterAutospacing="0" w:line="360" w:lineRule="auto"/>
              <w:ind w:left="0" w:right="960"/>
              <w:jc w:val="both"/>
              <w:rPr>
                <w:rFonts w:hint="eastAsia" w:ascii="仿宋_GB2312" w:hAnsi="仿宋_GB2312" w:eastAsia="仿宋_GB2312" w:cs="仿宋_GB2312"/>
                <w:b/>
                <w:sz w:val="40"/>
                <w:szCs w:val="32"/>
                <w:highlight w:val="none"/>
              </w:rPr>
            </w:pPr>
            <w:r>
              <w:rPr>
                <w:rFonts w:hint="eastAsia" w:ascii="仿宋_GB2312" w:hAnsi="仿宋_GB2312" w:eastAsia="仿宋_GB2312" w:cs="仿宋_GB2312"/>
                <w:sz w:val="28"/>
                <w:szCs w:val="28"/>
                <w:highlight w:val="none"/>
              </w:rPr>
              <w:t xml:space="preserve">                                   </w:t>
            </w:r>
            <w:r>
              <w:rPr>
                <w:rFonts w:hint="eastAsia" w:ascii="仿宋_GB2312" w:hAnsi="仿宋_GB2312" w:eastAsia="仿宋_GB2312" w:cs="仿宋_GB2312"/>
                <w:sz w:val="28"/>
                <w:szCs w:val="28"/>
                <w:highlight w:val="none"/>
                <w:lang w:val="en-US" w:eastAsia="zh-CN"/>
              </w:rPr>
              <w:t>2023年09月</w:t>
            </w:r>
            <w:r>
              <w:rPr>
                <w:rFonts w:hint="eastAsia" w:ascii="仿宋_GB2312" w:hAnsi="仿宋_GB2312" w:cs="仿宋_GB2312"/>
                <w:sz w:val="28"/>
                <w:szCs w:val="28"/>
                <w:highlight w:val="none"/>
                <w:lang w:val="en-US" w:eastAsia="zh-CN"/>
              </w:rPr>
              <w:t>26</w:t>
            </w:r>
            <w:r>
              <w:rPr>
                <w:rFonts w:hint="eastAsia" w:ascii="仿宋_GB2312" w:hAnsi="仿宋_GB2312" w:eastAsia="仿宋_GB2312" w:cs="仿宋_GB2312"/>
                <w:sz w:val="28"/>
                <w:szCs w:val="28"/>
                <w:highlight w:val="none"/>
                <w:lang w:val="en-US" w:eastAsia="zh-CN"/>
              </w:rPr>
              <w:t>日</w:t>
            </w:r>
          </w:p>
        </w:tc>
      </w:tr>
    </w:tbl>
    <w:p>
      <w:pPr>
        <w:jc w:val="center"/>
        <w:rPr>
          <w:rFonts w:hint="eastAsia" w:ascii="仿宋_GB2312" w:hAnsi="仿宋_GB2312" w:eastAsia="仿宋_GB2312" w:cs="仿宋_GB2312"/>
          <w:sz w:val="32"/>
          <w:szCs w:val="32"/>
          <w:highlight w:val="none"/>
          <w:lang w:val="en-US" w:eastAsia="zh-CN"/>
        </w:rPr>
        <w:sectPr>
          <w:headerReference r:id="rId4" w:type="default"/>
          <w:pgSz w:w="11906" w:h="16838"/>
          <w:pgMar w:top="1440" w:right="1800" w:bottom="1440" w:left="1800" w:header="851" w:footer="992" w:gutter="0"/>
          <w:pgNumType w:fmt="numberInDash"/>
          <w:cols w:space="0" w:num="1"/>
          <w:rtlGutter w:val="0"/>
          <w:docGrid w:type="lines" w:linePitch="387" w:charSpace="0"/>
        </w:sectPr>
      </w:pPr>
    </w:p>
    <w:p>
      <w:pPr>
        <w:jc w:val="center"/>
        <w:rPr>
          <w:rFonts w:hint="eastAsia" w:ascii="仿宋_GB2312" w:hAnsi="仿宋_GB2312" w:eastAsia="仿宋_GB2312" w:cs="仿宋_GB2312"/>
          <w:highlight w:val="none"/>
        </w:rPr>
      </w:pPr>
      <w:r>
        <w:rPr>
          <w:rFonts w:hint="eastAsia" w:ascii="仿宋_GB2312" w:hAnsi="仿宋_GB2312" w:eastAsia="仿宋_GB2312" w:cs="仿宋_GB2312"/>
          <w:sz w:val="32"/>
          <w:szCs w:val="32"/>
          <w:highlight w:val="none"/>
          <w:lang w:val="en-US" w:eastAsia="zh-CN"/>
        </w:rPr>
        <w:t>目 录</w:t>
      </w:r>
    </w:p>
    <w:sdt>
      <w:sdtPr>
        <w:rPr>
          <w:rFonts w:hint="eastAsia" w:ascii="仿宋_GB2312" w:hAnsi="仿宋_GB2312" w:eastAsia="仿宋_GB2312" w:cs="仿宋_GB2312"/>
          <w:kern w:val="2"/>
          <w:sz w:val="21"/>
          <w:szCs w:val="24"/>
          <w:highlight w:val="none"/>
          <w:lang w:val="en-US" w:eastAsia="zh-CN" w:bidi="ar-SA"/>
        </w:rPr>
        <w:id w:val="147458556"/>
        <w15:color w:val="DBDBDB"/>
        <w:docPartObj>
          <w:docPartGallery w:val="Table of Contents"/>
          <w:docPartUnique/>
        </w:docPartObj>
      </w:sdtPr>
      <w:sdtEndPr>
        <w:rPr>
          <w:rFonts w:hint="eastAsia" w:ascii="仿宋_GB2312" w:hAnsi="仿宋_GB2312" w:eastAsia="仿宋_GB2312" w:cs="仿宋_GB2312"/>
          <w:b/>
          <w:kern w:val="2"/>
          <w:sz w:val="21"/>
          <w:szCs w:val="24"/>
          <w:highlight w:val="none"/>
          <w:lang w:val="en-US" w:eastAsia="zh-CN" w:bidi="ar-SA"/>
        </w:rPr>
      </w:sdtEndPr>
      <w:sdtContent>
        <w:p>
          <w:pPr>
            <w:jc w:val="center"/>
            <w:rPr>
              <w:rFonts w:hint="eastAsia" w:ascii="仿宋_GB2312" w:hAnsi="仿宋_GB2312" w:eastAsia="仿宋_GB2312" w:cs="仿宋_GB2312"/>
              <w:b/>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TOC \o "1-2" \h \u </w:instrText>
          </w:r>
          <w:r>
            <w:rPr>
              <w:rFonts w:hint="eastAsia" w:ascii="仿宋_GB2312" w:hAnsi="仿宋_GB2312" w:eastAsia="仿宋_GB2312" w:cs="仿宋_GB2312"/>
              <w:sz w:val="24"/>
              <w:szCs w:val="24"/>
              <w:highlight w:val="none"/>
              <w:lang w:val="en-US" w:eastAsia="zh-CN"/>
            </w:rPr>
            <w:fldChar w:fldCharType="separate"/>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lang w:val="en-US" w:eastAsia="zh-CN"/>
            </w:rPr>
            <w:fldChar w:fldCharType="begin"/>
          </w:r>
          <w:r>
            <w:rPr>
              <w:rFonts w:hint="eastAsia" w:ascii="仿宋_GB2312" w:hAnsi="仿宋_GB2312" w:eastAsia="仿宋_GB2312" w:cs="仿宋_GB2312"/>
              <w:b/>
              <w:sz w:val="24"/>
              <w:szCs w:val="24"/>
              <w:highlight w:val="none"/>
              <w:lang w:val="en-US" w:eastAsia="zh-CN"/>
            </w:rPr>
            <w:instrText xml:space="preserve"> HYPERLINK \l _Toc8277 </w:instrText>
          </w:r>
          <w:r>
            <w:rPr>
              <w:rFonts w:hint="eastAsia" w:ascii="仿宋_GB2312" w:hAnsi="仿宋_GB2312" w:eastAsia="仿宋_GB2312" w:cs="仿宋_GB2312"/>
              <w:b/>
              <w:sz w:val="24"/>
              <w:szCs w:val="24"/>
              <w:highlight w:val="none"/>
              <w:lang w:val="en-US" w:eastAsia="zh-CN"/>
            </w:rPr>
            <w:fldChar w:fldCharType="separate"/>
          </w:r>
          <w:r>
            <w:rPr>
              <w:rFonts w:hint="eastAsia" w:ascii="仿宋_GB2312" w:hAnsi="仿宋_GB2312" w:eastAsia="仿宋_GB2312" w:cs="仿宋_GB2312"/>
              <w:b/>
              <w:sz w:val="24"/>
              <w:szCs w:val="24"/>
              <w:highlight w:val="none"/>
            </w:rPr>
            <w:t xml:space="preserve">第一章 </w:t>
          </w:r>
          <w:r>
            <w:rPr>
              <w:rFonts w:hint="eastAsia" w:ascii="仿宋_GB2312" w:hAnsi="仿宋_GB2312" w:eastAsia="仿宋_GB2312" w:cs="仿宋_GB2312"/>
              <w:b/>
              <w:sz w:val="24"/>
              <w:szCs w:val="24"/>
              <w:highlight w:val="none"/>
              <w:lang w:val="en-US" w:eastAsia="zh-CN"/>
            </w:rPr>
            <w:t>竞争性磋商公告</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_Toc8277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lang w:val="en-US" w:eastAsia="zh-CN"/>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\l _Toc4529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bCs/>
              <w:sz w:val="24"/>
              <w:szCs w:val="24"/>
              <w:highlight w:val="none"/>
            </w:rPr>
            <w:t>一、 项目基本情况</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_Toc4529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\l _Toc22225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bCs/>
              <w:sz w:val="24"/>
              <w:szCs w:val="24"/>
              <w:highlight w:val="none"/>
            </w:rPr>
            <w:t>二、 申请人的资格要求：</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_Toc22225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\l _Toc21064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bCs/>
              <w:sz w:val="24"/>
              <w:szCs w:val="24"/>
              <w:highlight w:val="none"/>
              <w:lang w:val="en-US" w:eastAsia="zh-CN"/>
            </w:rPr>
            <w:t>三、 获取采购文件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_Toc21064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\l _Toc31756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bCs/>
              <w:sz w:val="24"/>
              <w:szCs w:val="24"/>
              <w:highlight w:val="none"/>
              <w:lang w:val="en-US" w:eastAsia="zh-CN"/>
            </w:rPr>
            <w:t>四、 响应文件提交</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_Toc31756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\l _Toc29746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bCs/>
              <w:sz w:val="24"/>
              <w:szCs w:val="24"/>
              <w:highlight w:val="none"/>
            </w:rPr>
            <w:t xml:space="preserve">五、 </w:t>
          </w:r>
          <w:r>
            <w:rPr>
              <w:rFonts w:hint="eastAsia" w:ascii="仿宋_GB2312" w:hAnsi="仿宋_GB2312" w:eastAsia="仿宋_GB2312" w:cs="仿宋_GB2312"/>
              <w:bCs/>
              <w:sz w:val="24"/>
              <w:szCs w:val="24"/>
              <w:highlight w:val="none"/>
              <w:lang w:val="en-US" w:eastAsia="zh-CN"/>
            </w:rPr>
            <w:t>响应文件开启</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_Toc29746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\l _Toc3480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bCs/>
              <w:sz w:val="24"/>
              <w:szCs w:val="24"/>
              <w:highlight w:val="none"/>
              <w:lang w:val="en-US" w:eastAsia="zh-CN"/>
            </w:rPr>
            <w:t>六、 公告期限</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_Toc3480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\l _Toc21840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bCs/>
              <w:sz w:val="24"/>
              <w:szCs w:val="24"/>
              <w:highlight w:val="none"/>
              <w:lang w:val="en-US" w:eastAsia="zh-CN"/>
            </w:rPr>
            <w:t>七、 其他补充事宜</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_Toc21840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\l _Toc13852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bCs/>
              <w:sz w:val="24"/>
              <w:szCs w:val="24"/>
              <w:highlight w:val="none"/>
            </w:rPr>
            <w:t>八、 对本次采购提出询问，请按以下方式联系</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_Toc13852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lang w:val="en-US" w:eastAsia="zh-CN"/>
            </w:rPr>
            <w:fldChar w:fldCharType="begin"/>
          </w:r>
          <w:r>
            <w:rPr>
              <w:rFonts w:hint="eastAsia" w:ascii="仿宋_GB2312" w:hAnsi="仿宋_GB2312" w:eastAsia="仿宋_GB2312" w:cs="仿宋_GB2312"/>
              <w:b/>
              <w:sz w:val="24"/>
              <w:szCs w:val="24"/>
              <w:highlight w:val="none"/>
              <w:lang w:val="en-US" w:eastAsia="zh-CN"/>
            </w:rPr>
            <w:instrText xml:space="preserve"> HYPERLINK \l _Toc20682 </w:instrText>
          </w:r>
          <w:r>
            <w:rPr>
              <w:rFonts w:hint="eastAsia" w:ascii="仿宋_GB2312" w:hAnsi="仿宋_GB2312" w:eastAsia="仿宋_GB2312" w:cs="仿宋_GB2312"/>
              <w:b/>
              <w:sz w:val="24"/>
              <w:szCs w:val="24"/>
              <w:highlight w:val="none"/>
              <w:lang w:val="en-US" w:eastAsia="zh-CN"/>
            </w:rPr>
            <w:fldChar w:fldCharType="separate"/>
          </w:r>
          <w:r>
            <w:rPr>
              <w:rFonts w:hint="eastAsia" w:ascii="仿宋_GB2312" w:hAnsi="仿宋_GB2312" w:eastAsia="仿宋_GB2312" w:cs="仿宋_GB2312"/>
              <w:b/>
              <w:sz w:val="24"/>
              <w:szCs w:val="24"/>
              <w:highlight w:val="none"/>
              <w:lang w:val="en-US" w:eastAsia="zh-CN"/>
            </w:rPr>
            <w:t>第二章 供应商须知前附表</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_Toc20682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4</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lang w:val="en-US" w:eastAsia="zh-CN"/>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lang w:val="en-US" w:eastAsia="zh-CN"/>
            </w:rPr>
            <w:fldChar w:fldCharType="begin"/>
          </w:r>
          <w:r>
            <w:rPr>
              <w:rFonts w:hint="eastAsia" w:ascii="仿宋_GB2312" w:hAnsi="仿宋_GB2312" w:eastAsia="仿宋_GB2312" w:cs="仿宋_GB2312"/>
              <w:b/>
              <w:sz w:val="24"/>
              <w:szCs w:val="24"/>
              <w:highlight w:val="none"/>
              <w:lang w:val="en-US" w:eastAsia="zh-CN"/>
            </w:rPr>
            <w:instrText xml:space="preserve"> HYPERLINK \l _Toc23225 </w:instrText>
          </w:r>
          <w:r>
            <w:rPr>
              <w:rFonts w:hint="eastAsia" w:ascii="仿宋_GB2312" w:hAnsi="仿宋_GB2312" w:eastAsia="仿宋_GB2312" w:cs="仿宋_GB2312"/>
              <w:b/>
              <w:sz w:val="24"/>
              <w:szCs w:val="24"/>
              <w:highlight w:val="none"/>
              <w:lang w:val="en-US" w:eastAsia="zh-CN"/>
            </w:rPr>
            <w:fldChar w:fldCharType="separate"/>
          </w:r>
          <w:r>
            <w:rPr>
              <w:rFonts w:hint="eastAsia" w:ascii="仿宋_GB2312" w:hAnsi="仿宋_GB2312" w:eastAsia="仿宋_GB2312" w:cs="仿宋_GB2312"/>
              <w:b/>
              <w:sz w:val="24"/>
              <w:szCs w:val="24"/>
              <w:highlight w:val="none"/>
              <w:lang w:val="en-US" w:eastAsia="zh-CN"/>
            </w:rPr>
            <w:t>第三章 供应商须知</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_Toc23225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8</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lang w:val="en-US" w:eastAsia="zh-CN"/>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\l _Toc15221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bCs/>
              <w:sz w:val="24"/>
              <w:szCs w:val="24"/>
              <w:highlight w:val="none"/>
            </w:rPr>
            <w:t>一、 说 明</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_Toc15221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8</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\l _Toc14428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bCs/>
              <w:sz w:val="24"/>
              <w:szCs w:val="24"/>
              <w:highlight w:val="none"/>
              <w:lang w:val="en-US" w:eastAsia="zh-CN"/>
            </w:rPr>
            <w:t>二、 采购文件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\l _Toc21574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bCs/>
              <w:sz w:val="24"/>
              <w:szCs w:val="24"/>
              <w:highlight w:val="none"/>
              <w:lang w:val="en-US" w:eastAsia="zh-CN"/>
            </w:rPr>
            <w:t>三、 响应文件的编制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_Toc21574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15</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\l _Toc14556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bCs/>
              <w:sz w:val="24"/>
              <w:szCs w:val="24"/>
              <w:highlight w:val="none"/>
              <w:lang w:val="en-US" w:eastAsia="zh-CN"/>
            </w:rPr>
            <w:t>四、 响应文件的提交</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_Toc14556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18</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\l _Toc20875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bCs/>
              <w:sz w:val="24"/>
              <w:szCs w:val="24"/>
              <w:highlight w:val="none"/>
              <w:lang w:val="en-US" w:eastAsia="zh-CN"/>
            </w:rPr>
            <w:t>五、 开标及评标</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_Toc20875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19</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\l _Toc9690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bCs/>
              <w:sz w:val="24"/>
              <w:szCs w:val="24"/>
              <w:highlight w:val="none"/>
              <w:lang w:val="en-US" w:eastAsia="zh-CN"/>
            </w:rPr>
            <w:t>六、 确定成交</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_Toc9690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lang w:val="en-US" w:eastAsia="zh-CN"/>
            </w:rPr>
            <w:fldChar w:fldCharType="begin"/>
          </w:r>
          <w:r>
            <w:rPr>
              <w:rFonts w:hint="eastAsia" w:ascii="仿宋_GB2312" w:hAnsi="仿宋_GB2312" w:eastAsia="仿宋_GB2312" w:cs="仿宋_GB2312"/>
              <w:b/>
              <w:sz w:val="24"/>
              <w:szCs w:val="24"/>
              <w:highlight w:val="none"/>
              <w:lang w:val="en-US" w:eastAsia="zh-CN"/>
            </w:rPr>
            <w:instrText xml:space="preserve"> HYPERLINK \l _Toc14531 </w:instrText>
          </w:r>
          <w:r>
            <w:rPr>
              <w:rFonts w:hint="eastAsia" w:ascii="仿宋_GB2312" w:hAnsi="仿宋_GB2312" w:eastAsia="仿宋_GB2312" w:cs="仿宋_GB2312"/>
              <w:b/>
              <w:sz w:val="24"/>
              <w:szCs w:val="24"/>
              <w:highlight w:val="none"/>
              <w:lang w:val="en-US" w:eastAsia="zh-CN"/>
            </w:rPr>
            <w:fldChar w:fldCharType="separate"/>
          </w:r>
          <w:r>
            <w:rPr>
              <w:rFonts w:hint="eastAsia" w:ascii="仿宋_GB2312" w:hAnsi="仿宋_GB2312" w:eastAsia="仿宋_GB2312" w:cs="仿宋_GB2312"/>
              <w:b/>
              <w:sz w:val="24"/>
              <w:szCs w:val="24"/>
              <w:highlight w:val="none"/>
              <w:lang w:val="en-US" w:eastAsia="zh-CN"/>
            </w:rPr>
            <w:t>第四章 政府采购合同</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_Toc14531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25</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lang w:val="en-US" w:eastAsia="zh-CN"/>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lang w:val="en-US" w:eastAsia="zh-CN"/>
            </w:rPr>
            <w:fldChar w:fldCharType="begin"/>
          </w:r>
          <w:r>
            <w:rPr>
              <w:rFonts w:hint="eastAsia" w:ascii="仿宋_GB2312" w:hAnsi="仿宋_GB2312" w:eastAsia="仿宋_GB2312" w:cs="仿宋_GB2312"/>
              <w:b/>
              <w:sz w:val="24"/>
              <w:szCs w:val="24"/>
              <w:highlight w:val="none"/>
              <w:lang w:val="en-US" w:eastAsia="zh-CN"/>
            </w:rPr>
            <w:instrText xml:space="preserve"> HYPERLINK \l _Toc20406 </w:instrText>
          </w:r>
          <w:r>
            <w:rPr>
              <w:rFonts w:hint="eastAsia" w:ascii="仿宋_GB2312" w:hAnsi="仿宋_GB2312" w:eastAsia="仿宋_GB2312" w:cs="仿宋_GB2312"/>
              <w:b/>
              <w:sz w:val="24"/>
              <w:szCs w:val="24"/>
              <w:highlight w:val="none"/>
              <w:lang w:val="en-US" w:eastAsia="zh-CN"/>
            </w:rPr>
            <w:fldChar w:fldCharType="separate"/>
          </w:r>
          <w:r>
            <w:rPr>
              <w:rFonts w:hint="eastAsia" w:ascii="仿宋_GB2312" w:hAnsi="仿宋_GB2312" w:eastAsia="仿宋_GB2312" w:cs="仿宋_GB2312"/>
              <w:b/>
              <w:sz w:val="24"/>
              <w:szCs w:val="24"/>
              <w:highlight w:val="none"/>
              <w:lang w:val="en-US" w:eastAsia="zh-CN"/>
            </w:rPr>
            <w:t>第五章 采购需求</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_Toc20406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30</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lang w:val="en-US" w:eastAsia="zh-CN"/>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lang w:val="en-US" w:eastAsia="zh-CN"/>
            </w:rPr>
            <w:fldChar w:fldCharType="begin"/>
          </w:r>
          <w:r>
            <w:rPr>
              <w:rFonts w:hint="eastAsia" w:ascii="仿宋_GB2312" w:hAnsi="仿宋_GB2312" w:eastAsia="仿宋_GB2312" w:cs="仿宋_GB2312"/>
              <w:b/>
              <w:sz w:val="24"/>
              <w:szCs w:val="24"/>
              <w:highlight w:val="none"/>
              <w:lang w:val="en-US" w:eastAsia="zh-CN"/>
            </w:rPr>
            <w:instrText xml:space="preserve"> HYPERLINK \l _Toc24132 </w:instrText>
          </w:r>
          <w:r>
            <w:rPr>
              <w:rFonts w:hint="eastAsia" w:ascii="仿宋_GB2312" w:hAnsi="仿宋_GB2312" w:eastAsia="仿宋_GB2312" w:cs="仿宋_GB2312"/>
              <w:b/>
              <w:sz w:val="24"/>
              <w:szCs w:val="24"/>
              <w:highlight w:val="none"/>
              <w:lang w:val="en-US" w:eastAsia="zh-CN"/>
            </w:rPr>
            <w:fldChar w:fldCharType="separate"/>
          </w:r>
          <w:r>
            <w:rPr>
              <w:rFonts w:hint="eastAsia" w:ascii="仿宋_GB2312" w:hAnsi="仿宋_GB2312" w:eastAsia="仿宋_GB2312" w:cs="仿宋_GB2312"/>
              <w:b/>
              <w:sz w:val="24"/>
              <w:szCs w:val="24"/>
              <w:highlight w:val="none"/>
              <w:lang w:val="en-US" w:eastAsia="zh-CN"/>
            </w:rPr>
            <w:t>第六章 评标程序、评标方法和评标标准</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_Toc24132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35</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lang w:val="en-US" w:eastAsia="zh-CN"/>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\l _Toc12568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bCs/>
              <w:sz w:val="24"/>
              <w:szCs w:val="24"/>
              <w:highlight w:val="none"/>
              <w:lang w:val="en-US" w:eastAsia="zh-CN"/>
            </w:rPr>
            <w:t>1. 评标方法</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_Toc12568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35</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\l _Toc4886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bCs/>
              <w:sz w:val="24"/>
              <w:szCs w:val="24"/>
              <w:highlight w:val="none"/>
              <w:lang w:val="en-US" w:eastAsia="zh-CN"/>
            </w:rPr>
            <w:t>2. 评标原则</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_Toc4886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35</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\l _Toc7134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bCs/>
              <w:sz w:val="24"/>
              <w:szCs w:val="24"/>
              <w:highlight w:val="none"/>
              <w:lang w:val="en-US" w:eastAsia="zh-CN"/>
            </w:rPr>
            <w:t>3. 资格审查</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_Toc7134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35</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\l _Toc31406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sz w:val="24"/>
              <w:szCs w:val="24"/>
              <w:highlight w:val="none"/>
              <w:lang w:val="en-US" w:eastAsia="zh-CN"/>
            </w:rPr>
            <w:t xml:space="preserve">4. </w:t>
          </w:r>
          <w:r>
            <w:rPr>
              <w:rFonts w:hint="eastAsia" w:ascii="仿宋_GB2312" w:hAnsi="仿宋_GB2312" w:eastAsia="仿宋_GB2312" w:cs="仿宋_GB2312"/>
              <w:bCs/>
              <w:sz w:val="24"/>
              <w:szCs w:val="24"/>
              <w:highlight w:val="none"/>
              <w:lang w:val="en-US" w:eastAsia="zh-CN"/>
            </w:rPr>
            <w:t>符合性审查</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_Toc31406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38</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\l _Toc8821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bCs/>
              <w:sz w:val="24"/>
              <w:szCs w:val="24"/>
              <w:highlight w:val="none"/>
              <w:lang w:val="en-US" w:eastAsia="zh-CN"/>
            </w:rPr>
            <w:t>5. 响应文件澄清</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_Toc8821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39</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\l _Toc3947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sz w:val="24"/>
              <w:szCs w:val="24"/>
              <w:highlight w:val="none"/>
              <w:lang w:val="en-US" w:eastAsia="zh-CN"/>
            </w:rPr>
            <w:t xml:space="preserve">6. </w:t>
          </w:r>
          <w:r>
            <w:rPr>
              <w:rFonts w:hint="eastAsia" w:ascii="仿宋_GB2312" w:hAnsi="仿宋_GB2312" w:eastAsia="仿宋_GB2312" w:cs="仿宋_GB2312"/>
              <w:bCs/>
              <w:sz w:val="24"/>
              <w:szCs w:val="24"/>
              <w:highlight w:val="none"/>
              <w:lang w:val="en-US" w:eastAsia="zh-CN"/>
            </w:rPr>
            <w:t>磋商</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\l _Toc18652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bCs/>
              <w:sz w:val="24"/>
              <w:szCs w:val="24"/>
              <w:highlight w:val="none"/>
              <w:lang w:val="en-US" w:eastAsia="zh-CN"/>
            </w:rPr>
            <w:t>7. 最后报价</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_Toc18652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40</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val="en-US" w:eastAsia="zh-CN"/>
            </w:rPr>
            <w:fldChar w:fldCharType="begin"/>
          </w:r>
          <w:r>
            <w:rPr>
              <w:rFonts w:hint="eastAsia" w:ascii="仿宋_GB2312" w:hAnsi="仿宋_GB2312" w:eastAsia="仿宋_GB2312" w:cs="仿宋_GB2312"/>
              <w:sz w:val="24"/>
              <w:szCs w:val="24"/>
              <w:highlight w:val="none"/>
              <w:lang w:val="en-US" w:eastAsia="zh-CN"/>
            </w:rPr>
            <w:instrText xml:space="preserve"> HYPERLINK \l _Toc21501 </w:instrText>
          </w:r>
          <w:r>
            <w:rPr>
              <w:rFonts w:hint="eastAsia" w:ascii="仿宋_GB2312" w:hAnsi="仿宋_GB2312" w:eastAsia="仿宋_GB2312" w:cs="仿宋_GB2312"/>
              <w:sz w:val="24"/>
              <w:szCs w:val="24"/>
              <w:highlight w:val="none"/>
              <w:lang w:val="en-US" w:eastAsia="zh-CN"/>
            </w:rPr>
            <w:fldChar w:fldCharType="separate"/>
          </w:r>
          <w:r>
            <w:rPr>
              <w:rFonts w:hint="eastAsia" w:ascii="仿宋_GB2312" w:hAnsi="仿宋_GB2312" w:eastAsia="仿宋_GB2312" w:cs="仿宋_GB2312"/>
              <w:bCs/>
              <w:sz w:val="24"/>
              <w:szCs w:val="24"/>
              <w:highlight w:val="none"/>
              <w:lang w:val="en-US" w:eastAsia="zh-CN"/>
            </w:rPr>
            <w:t>8. 详细评审</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_Toc21501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40</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sz w:val="24"/>
              <w:szCs w:val="24"/>
              <w:highlight w:val="none"/>
              <w:lang w:val="en-US" w:eastAsia="zh-CN"/>
            </w:rPr>
            <w:fldChar w:fldCharType="begin"/>
          </w:r>
          <w:r>
            <w:rPr>
              <w:rFonts w:hint="eastAsia" w:ascii="仿宋_GB2312" w:hAnsi="仿宋_GB2312" w:eastAsia="仿宋_GB2312" w:cs="仿宋_GB2312"/>
              <w:b/>
              <w:sz w:val="24"/>
              <w:szCs w:val="24"/>
              <w:highlight w:val="none"/>
              <w:lang w:val="en-US" w:eastAsia="zh-CN"/>
            </w:rPr>
            <w:instrText xml:space="preserve"> HYPERLINK \l _Toc8937 </w:instrText>
          </w:r>
          <w:r>
            <w:rPr>
              <w:rFonts w:hint="eastAsia" w:ascii="仿宋_GB2312" w:hAnsi="仿宋_GB2312" w:eastAsia="仿宋_GB2312" w:cs="仿宋_GB2312"/>
              <w:b/>
              <w:sz w:val="24"/>
              <w:szCs w:val="24"/>
              <w:highlight w:val="none"/>
              <w:lang w:val="en-US" w:eastAsia="zh-CN"/>
            </w:rPr>
            <w:fldChar w:fldCharType="separate"/>
          </w:r>
          <w:r>
            <w:rPr>
              <w:rFonts w:hint="eastAsia" w:ascii="仿宋_GB2312" w:hAnsi="仿宋_GB2312" w:eastAsia="仿宋_GB2312" w:cs="仿宋_GB2312"/>
              <w:b/>
              <w:bCs/>
              <w:sz w:val="24"/>
              <w:szCs w:val="24"/>
              <w:highlight w:val="none"/>
              <w:lang w:val="en-US" w:eastAsia="zh-CN"/>
            </w:rPr>
            <w:t>第七章 投标文件格式</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_Toc8937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45</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lang w:val="en-US" w:eastAsia="zh-CN"/>
            </w:rPr>
            <w:fldChar w:fldCharType="end"/>
          </w:r>
        </w:p>
        <w:p>
          <w:pPr>
            <w:jc w:val="both"/>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szCs w:val="24"/>
              <w:highlight w:val="none"/>
              <w:lang w:val="en-US" w:eastAsia="zh-CN"/>
            </w:rPr>
            <w:fldChar w:fldCharType="end"/>
          </w:r>
        </w:p>
      </w:sdtContent>
    </w:sdt>
    <w:p>
      <w:pPr>
        <w:pStyle w:val="3"/>
        <w:numPr>
          <w:ilvl w:val="0"/>
          <w:numId w:val="2"/>
        </w:numPr>
        <w:bidi w:val="0"/>
        <w:jc w:val="center"/>
        <w:rPr>
          <w:rFonts w:hint="eastAsia" w:ascii="仿宋_GB2312" w:hAnsi="仿宋_GB2312" w:eastAsia="仿宋_GB2312" w:cs="仿宋_GB2312"/>
          <w:sz w:val="32"/>
          <w:szCs w:val="32"/>
          <w:highlight w:val="none"/>
        </w:rPr>
        <w:sectPr>
          <w:footerReference r:id="rId5" w:type="default"/>
          <w:pgSz w:w="11906" w:h="16838"/>
          <w:pgMar w:top="1440" w:right="1800" w:bottom="1440" w:left="1800" w:header="851" w:footer="992" w:gutter="0"/>
          <w:pgNumType w:fmt="numberInDash"/>
          <w:cols w:space="0" w:num="1"/>
          <w:rtlGutter w:val="0"/>
          <w:docGrid w:type="lines" w:linePitch="387" w:charSpace="0"/>
        </w:sectPr>
      </w:pPr>
      <w:bookmarkStart w:id="0" w:name="_Toc8277"/>
    </w:p>
    <w:p>
      <w:pPr>
        <w:pStyle w:val="3"/>
        <w:numPr>
          <w:ilvl w:val="0"/>
          <w:numId w:val="2"/>
        </w:numPr>
        <w:bidi w:val="0"/>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竞争性磋商</w:t>
      </w:r>
      <w:r>
        <w:rPr>
          <w:rFonts w:hint="eastAsia" w:ascii="仿宋_GB2312" w:hAnsi="仿宋_GB2312" w:eastAsia="仿宋_GB2312" w:cs="仿宋_GB2312"/>
          <w:sz w:val="32"/>
          <w:szCs w:val="32"/>
          <w:highlight w:val="none"/>
        </w:rPr>
        <w:t>公告</w:t>
      </w:r>
      <w:bookmarkEnd w:id="0"/>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highlight w:val="none"/>
        </w:rPr>
      </w:pPr>
      <w:bookmarkStart w:id="1" w:name="_Toc4529"/>
      <w:r>
        <w:rPr>
          <w:rFonts w:hint="eastAsia" w:ascii="仿宋_GB2312" w:hAnsi="仿宋_GB2312" w:eastAsia="仿宋_GB2312" w:cs="仿宋_GB2312"/>
          <w:b/>
          <w:bCs/>
          <w:sz w:val="24"/>
          <w:szCs w:val="24"/>
          <w:highlight w:val="none"/>
        </w:rPr>
        <w:t>项目基本情况</w:t>
      </w:r>
      <w:bookmarkEnd w:id="1"/>
      <w:r>
        <w:rPr>
          <w:rFonts w:hint="eastAsia" w:ascii="仿宋_GB2312" w:hAnsi="仿宋_GB2312" w:eastAsia="仿宋_GB2312" w:cs="仿宋_GB2312"/>
          <w:b/>
          <w:bCs/>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项目编号：</w:t>
      </w:r>
      <w:r>
        <w:rPr>
          <w:rFonts w:hint="eastAsia" w:ascii="仿宋_GB2312" w:hAnsi="仿宋_GB2312" w:cs="仿宋_GB2312"/>
          <w:sz w:val="24"/>
          <w:szCs w:val="24"/>
          <w:highlight w:val="none"/>
          <w:lang w:eastAsia="zh-CN"/>
        </w:rPr>
        <w:t>SJX-2023-344-02</w:t>
      </w:r>
      <w:r>
        <w:rPr>
          <w:rFonts w:hint="eastAsia" w:ascii="仿宋_GB2312" w:hAnsi="仿宋_GB2312" w:eastAsia="仿宋_GB2312" w:cs="仿宋_GB2312"/>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项目名称：</w:t>
      </w:r>
      <w:r>
        <w:rPr>
          <w:rFonts w:hint="eastAsia" w:ascii="仿宋_GB2312" w:hAnsi="仿宋_GB2312" w:cs="仿宋_GB2312"/>
          <w:sz w:val="24"/>
          <w:szCs w:val="24"/>
          <w:highlight w:val="none"/>
          <w:lang w:eastAsia="zh-CN"/>
        </w:rPr>
        <w:t>阿瓦提县鲁迅高中建设项目勘察（二次）</w:t>
      </w:r>
      <w:r>
        <w:rPr>
          <w:rFonts w:hint="eastAsia" w:ascii="仿宋_GB2312" w:hAnsi="仿宋_GB2312" w:eastAsia="仿宋_GB2312" w:cs="仿宋_GB2312"/>
          <w:sz w:val="24"/>
          <w:szCs w:val="24"/>
          <w:highlight w:val="none"/>
          <w:lang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采购方式：</w:t>
      </w:r>
      <w:r>
        <w:rPr>
          <w:rFonts w:hint="eastAsia" w:ascii="仿宋_GB2312" w:hAnsi="仿宋_GB2312" w:eastAsia="仿宋_GB2312" w:cs="仿宋_GB2312"/>
          <w:sz w:val="24"/>
          <w:szCs w:val="24"/>
          <w:highlight w:val="none"/>
          <w:lang w:val="en-US" w:eastAsia="zh-CN"/>
        </w:rPr>
        <w:t>竞争性磋商</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预算金额（元）：</w:t>
      </w:r>
      <w:r>
        <w:rPr>
          <w:rFonts w:hint="eastAsia" w:ascii="仿宋_GB2312" w:hAnsi="仿宋_GB2312" w:eastAsia="仿宋_GB2312" w:cs="仿宋_GB2312"/>
          <w:sz w:val="24"/>
          <w:szCs w:val="24"/>
          <w:highlight w:val="none"/>
          <w:lang w:val="en-US" w:eastAsia="zh-CN"/>
        </w:rPr>
        <w:t>19万元</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sz w:val="24"/>
          <w:szCs w:val="24"/>
          <w:highlight w:val="none"/>
        </w:rPr>
        <w:t>最高限价（元</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 xml:space="preserve"> 19万元</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采购需求：新建1所普通高中，占地面积约142.01亩，总建筑面积44783平方米，含教学楼、综合楼、报告厅、学生食堂、学生宿舍等</w:t>
      </w:r>
      <w:r>
        <w:rPr>
          <w:rFonts w:hint="eastAsia" w:ascii="仿宋_GB2312" w:hAnsi="仿宋_GB2312" w:eastAsia="仿宋_GB2312" w:cs="仿宋_GB2312"/>
          <w:sz w:val="24"/>
          <w:szCs w:val="24"/>
          <w:highlight w:val="none"/>
          <w:lang w:eastAsia="zh-CN"/>
        </w:rPr>
        <w:t>项目勘察</w:t>
      </w:r>
      <w:r>
        <w:rPr>
          <w:rFonts w:hint="eastAsia" w:ascii="仿宋_GB2312" w:hAnsi="仿宋_GB2312" w:eastAsia="仿宋_GB2312" w:cs="仿宋_GB2312"/>
          <w:sz w:val="24"/>
          <w:szCs w:val="24"/>
          <w:highlight w:val="none"/>
        </w:rPr>
        <w:t>(具体要求详见第</w:t>
      </w:r>
      <w:r>
        <w:rPr>
          <w:rFonts w:hint="eastAsia" w:ascii="仿宋_GB2312" w:hAnsi="仿宋_GB2312" w:cs="仿宋_GB2312"/>
          <w:sz w:val="24"/>
          <w:szCs w:val="24"/>
          <w:highlight w:val="none"/>
          <w:lang w:val="en-US" w:eastAsia="zh-CN"/>
        </w:rPr>
        <w:t>五</w:t>
      </w:r>
      <w:r>
        <w:rPr>
          <w:rFonts w:hint="eastAsia" w:ascii="仿宋_GB2312" w:hAnsi="仿宋_GB2312" w:eastAsia="仿宋_GB2312" w:cs="仿宋_GB2312"/>
          <w:sz w:val="24"/>
          <w:szCs w:val="24"/>
          <w:highlight w:val="none"/>
        </w:rPr>
        <w:t>章 采购需求)</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合同履约期限：</w:t>
      </w:r>
      <w:r>
        <w:rPr>
          <w:rFonts w:hint="eastAsia" w:ascii="仿宋_GB2312" w:hAnsi="仿宋_GB2312" w:cs="仿宋_GB2312"/>
          <w:sz w:val="24"/>
          <w:szCs w:val="24"/>
          <w:highlight w:val="none"/>
          <w:lang w:val="en-US" w:eastAsia="zh-CN"/>
        </w:rPr>
        <w:t>自合同签订后15日历日完成。</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本项目（否）接受联合体投标。</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rPr>
      </w:pPr>
      <w:bookmarkStart w:id="2" w:name="_Toc22225"/>
      <w:r>
        <w:rPr>
          <w:rFonts w:hint="eastAsia" w:ascii="仿宋_GB2312" w:hAnsi="仿宋_GB2312" w:eastAsia="仿宋_GB2312" w:cs="仿宋_GB2312"/>
          <w:b/>
          <w:bCs/>
          <w:sz w:val="24"/>
          <w:szCs w:val="24"/>
          <w:highlight w:val="none"/>
        </w:rPr>
        <w:t>申请人的资格要求：</w:t>
      </w:r>
      <w:bookmarkEnd w:id="2"/>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满足《中华人民共和国政府采购法》第二十二条规定；</w:t>
      </w:r>
    </w:p>
    <w:p>
      <w:pPr>
        <w:pageBreakBefore w:val="0"/>
        <w:widowControl w:val="0"/>
        <w:kinsoku/>
        <w:wordWrap/>
        <w:overflowPunct/>
        <w:topLinePunct w:val="0"/>
        <w:bidi w:val="0"/>
        <w:snapToGrid/>
        <w:spacing w:line="360" w:lineRule="auto"/>
        <w:ind w:left="0" w:leftChars="0" w:firstLine="480" w:firstLineChars="200"/>
        <w:textAlignment w:val="auto"/>
        <w:rPr>
          <w:rFonts w:hint="eastAsia" w:ascii="仿宋_GB2312" w:hAnsi="仿宋_GB2312" w:eastAsia="仿宋_GB2312" w:cs="仿宋_GB2312"/>
          <w:b w:val="0"/>
          <w:bCs w:val="0"/>
          <w:i w:val="0"/>
          <w:iCs w:val="0"/>
          <w:color w:val="auto"/>
          <w:sz w:val="24"/>
          <w:szCs w:val="24"/>
          <w:highlight w:val="none"/>
          <w:lang w:val="en-US" w:eastAsia="zh-CN"/>
        </w:rPr>
      </w:pPr>
      <w:r>
        <w:rPr>
          <w:rFonts w:hint="eastAsia" w:ascii="仿宋_GB2312" w:hAnsi="仿宋_GB2312" w:eastAsia="仿宋_GB2312" w:cs="仿宋_GB2312"/>
          <w:b w:val="0"/>
          <w:bCs w:val="0"/>
          <w:i w:val="0"/>
          <w:iCs w:val="0"/>
          <w:color w:val="auto"/>
          <w:sz w:val="24"/>
          <w:szCs w:val="24"/>
          <w:highlight w:val="none"/>
          <w:u w:val="none"/>
        </w:rPr>
        <w:t>（1）具有独立承担民事责任的能力</w:t>
      </w:r>
      <w:r>
        <w:rPr>
          <w:rFonts w:hint="eastAsia" w:ascii="仿宋_GB2312" w:hAnsi="仿宋_GB2312" w:eastAsia="仿宋_GB2312" w:cs="仿宋_GB2312"/>
          <w:b w:val="0"/>
          <w:bCs w:val="0"/>
          <w:i w:val="0"/>
          <w:iCs w:val="0"/>
          <w:color w:val="auto"/>
          <w:sz w:val="24"/>
          <w:szCs w:val="24"/>
          <w:highlight w:val="none"/>
          <w:lang w:val="en-US" w:eastAsia="zh-CN"/>
        </w:rPr>
        <w:t>；</w:t>
      </w:r>
    </w:p>
    <w:p>
      <w:pPr>
        <w:pageBreakBefore w:val="0"/>
        <w:widowControl w:val="0"/>
        <w:kinsoku/>
        <w:wordWrap/>
        <w:overflowPunct/>
        <w:topLinePunct w:val="0"/>
        <w:bidi w:val="0"/>
        <w:snapToGrid/>
        <w:spacing w:line="360" w:lineRule="auto"/>
        <w:ind w:left="0" w:leftChars="0" w:firstLine="480" w:firstLineChars="200"/>
        <w:textAlignment w:val="auto"/>
        <w:rPr>
          <w:rFonts w:hint="eastAsia" w:ascii="仿宋_GB2312" w:hAnsi="仿宋_GB2312" w:eastAsia="仿宋_GB2312" w:cs="仿宋_GB2312"/>
          <w:b w:val="0"/>
          <w:bCs w:val="0"/>
          <w:i w:val="0"/>
          <w:iCs w:val="0"/>
          <w:color w:val="auto"/>
          <w:sz w:val="24"/>
          <w:szCs w:val="24"/>
          <w:highlight w:val="none"/>
          <w:lang w:val="en-US" w:eastAsia="zh-CN"/>
        </w:rPr>
      </w:pPr>
      <w:r>
        <w:rPr>
          <w:rFonts w:hint="eastAsia" w:ascii="仿宋_GB2312" w:hAnsi="仿宋_GB2312" w:eastAsia="仿宋_GB2312" w:cs="仿宋_GB2312"/>
          <w:b w:val="0"/>
          <w:bCs w:val="0"/>
          <w:i w:val="0"/>
          <w:iCs w:val="0"/>
          <w:color w:val="auto"/>
          <w:sz w:val="24"/>
          <w:szCs w:val="24"/>
          <w:highlight w:val="none"/>
          <w:u w:val="none"/>
        </w:rPr>
        <w:t>（</w:t>
      </w:r>
      <w:r>
        <w:rPr>
          <w:rFonts w:hint="eastAsia" w:ascii="仿宋_GB2312" w:hAnsi="仿宋_GB2312" w:eastAsia="仿宋_GB2312" w:cs="仿宋_GB2312"/>
          <w:b w:val="0"/>
          <w:bCs w:val="0"/>
          <w:i w:val="0"/>
          <w:iCs w:val="0"/>
          <w:color w:val="auto"/>
          <w:sz w:val="24"/>
          <w:szCs w:val="24"/>
          <w:highlight w:val="none"/>
          <w:u w:val="none"/>
          <w:lang w:val="en-US" w:eastAsia="zh-CN"/>
        </w:rPr>
        <w:t>2</w:t>
      </w:r>
      <w:r>
        <w:rPr>
          <w:rFonts w:hint="eastAsia" w:ascii="仿宋_GB2312" w:hAnsi="仿宋_GB2312" w:eastAsia="仿宋_GB2312" w:cs="仿宋_GB2312"/>
          <w:b w:val="0"/>
          <w:bCs w:val="0"/>
          <w:i w:val="0"/>
          <w:iCs w:val="0"/>
          <w:color w:val="auto"/>
          <w:sz w:val="24"/>
          <w:szCs w:val="24"/>
          <w:highlight w:val="none"/>
          <w:u w:val="none"/>
        </w:rPr>
        <w:t>）</w:t>
      </w:r>
      <w:r>
        <w:rPr>
          <w:rFonts w:hint="eastAsia" w:ascii="仿宋_GB2312" w:hAnsi="仿宋_GB2312" w:eastAsia="仿宋_GB2312" w:cs="仿宋_GB2312"/>
          <w:b w:val="0"/>
          <w:bCs w:val="0"/>
          <w:i w:val="0"/>
          <w:iCs w:val="0"/>
          <w:color w:val="auto"/>
          <w:sz w:val="24"/>
          <w:szCs w:val="24"/>
          <w:highlight w:val="none"/>
          <w:lang w:val="en-US" w:eastAsia="zh-CN"/>
        </w:rPr>
        <w:t>具有良好的商业信誉和健全的财务会计制度；</w:t>
      </w:r>
    </w:p>
    <w:p>
      <w:pPr>
        <w:pageBreakBefore w:val="0"/>
        <w:widowControl w:val="0"/>
        <w:kinsoku/>
        <w:wordWrap/>
        <w:overflowPunct/>
        <w:topLinePunct w:val="0"/>
        <w:bidi w:val="0"/>
        <w:snapToGrid/>
        <w:spacing w:line="360" w:lineRule="auto"/>
        <w:ind w:left="0" w:leftChars="0" w:firstLine="480" w:firstLineChars="200"/>
        <w:textAlignment w:val="auto"/>
        <w:rPr>
          <w:rFonts w:hint="eastAsia" w:ascii="仿宋_GB2312" w:hAnsi="仿宋_GB2312" w:eastAsia="仿宋_GB2312" w:cs="仿宋_GB2312"/>
          <w:b w:val="0"/>
          <w:bCs w:val="0"/>
          <w:i w:val="0"/>
          <w:iCs w:val="0"/>
          <w:color w:val="auto"/>
          <w:sz w:val="24"/>
          <w:szCs w:val="24"/>
          <w:highlight w:val="none"/>
          <w:lang w:val="en-US" w:eastAsia="zh-CN"/>
        </w:rPr>
      </w:pPr>
      <w:r>
        <w:rPr>
          <w:rFonts w:hint="eastAsia" w:ascii="仿宋_GB2312" w:hAnsi="仿宋_GB2312" w:eastAsia="仿宋_GB2312" w:cs="仿宋_GB2312"/>
          <w:b w:val="0"/>
          <w:bCs w:val="0"/>
          <w:i w:val="0"/>
          <w:iCs w:val="0"/>
          <w:color w:val="auto"/>
          <w:sz w:val="24"/>
          <w:szCs w:val="24"/>
          <w:highlight w:val="none"/>
          <w:lang w:val="en-US" w:eastAsia="zh-CN"/>
        </w:rPr>
        <w:t>（3）具有履行合同所必需的设备和专业技术能力；</w:t>
      </w:r>
    </w:p>
    <w:p>
      <w:pPr>
        <w:pageBreakBefore w:val="0"/>
        <w:widowControl w:val="0"/>
        <w:kinsoku/>
        <w:wordWrap/>
        <w:overflowPunct/>
        <w:topLinePunct w:val="0"/>
        <w:bidi w:val="0"/>
        <w:snapToGrid/>
        <w:spacing w:line="360" w:lineRule="auto"/>
        <w:ind w:left="0" w:leftChars="0" w:firstLine="480" w:firstLineChars="200"/>
        <w:textAlignment w:val="auto"/>
        <w:rPr>
          <w:rFonts w:hint="eastAsia" w:ascii="仿宋_GB2312" w:hAnsi="仿宋_GB2312" w:eastAsia="仿宋_GB2312" w:cs="仿宋_GB2312"/>
          <w:b w:val="0"/>
          <w:bCs w:val="0"/>
          <w:i w:val="0"/>
          <w:iCs w:val="0"/>
          <w:color w:val="auto"/>
          <w:sz w:val="24"/>
          <w:szCs w:val="24"/>
          <w:highlight w:val="none"/>
          <w:lang w:val="en-US" w:eastAsia="zh-CN"/>
        </w:rPr>
      </w:pPr>
      <w:r>
        <w:rPr>
          <w:rFonts w:hint="eastAsia" w:ascii="仿宋_GB2312" w:hAnsi="仿宋_GB2312" w:eastAsia="仿宋_GB2312" w:cs="仿宋_GB2312"/>
          <w:b w:val="0"/>
          <w:bCs w:val="0"/>
          <w:i w:val="0"/>
          <w:iCs w:val="0"/>
          <w:color w:val="auto"/>
          <w:sz w:val="24"/>
          <w:szCs w:val="24"/>
          <w:highlight w:val="none"/>
          <w:lang w:val="en-US" w:eastAsia="zh-CN"/>
        </w:rPr>
        <w:t>（4）有依法缴纳税收和社会保障资金的良好记录；</w:t>
      </w:r>
    </w:p>
    <w:p>
      <w:pPr>
        <w:pageBreakBefore w:val="0"/>
        <w:widowControl w:val="0"/>
        <w:kinsoku/>
        <w:wordWrap/>
        <w:overflowPunct/>
        <w:topLinePunct w:val="0"/>
        <w:bidi w:val="0"/>
        <w:snapToGrid/>
        <w:spacing w:line="360" w:lineRule="auto"/>
        <w:ind w:left="0" w:leftChars="0" w:firstLine="480" w:firstLineChars="200"/>
        <w:textAlignment w:val="auto"/>
        <w:rPr>
          <w:rFonts w:hint="eastAsia" w:ascii="仿宋_GB2312" w:hAnsi="仿宋_GB2312" w:eastAsia="仿宋_GB2312" w:cs="仿宋_GB2312"/>
          <w:b w:val="0"/>
          <w:bCs w:val="0"/>
          <w:i w:val="0"/>
          <w:iCs w:val="0"/>
          <w:color w:val="auto"/>
          <w:sz w:val="24"/>
          <w:szCs w:val="24"/>
          <w:highlight w:val="none"/>
          <w:lang w:val="en-US" w:eastAsia="zh-CN"/>
        </w:rPr>
      </w:pPr>
      <w:r>
        <w:rPr>
          <w:rFonts w:hint="eastAsia" w:ascii="仿宋_GB2312" w:hAnsi="仿宋_GB2312" w:eastAsia="仿宋_GB2312" w:cs="仿宋_GB2312"/>
          <w:b w:val="0"/>
          <w:bCs w:val="0"/>
          <w:i w:val="0"/>
          <w:iCs w:val="0"/>
          <w:color w:val="auto"/>
          <w:sz w:val="24"/>
          <w:szCs w:val="24"/>
          <w:highlight w:val="none"/>
          <w:lang w:val="en-US" w:eastAsia="zh-CN"/>
        </w:rPr>
        <w:t>（5）参加政府采购活动前三年内，在经营活动中没有重大违法记录；</w:t>
      </w:r>
    </w:p>
    <w:p>
      <w:pPr>
        <w:pageBreakBefore w:val="0"/>
        <w:widowControl w:val="0"/>
        <w:kinsoku/>
        <w:wordWrap/>
        <w:overflowPunct/>
        <w:topLinePunct w:val="0"/>
        <w:bidi w:val="0"/>
        <w:snapToGrid/>
        <w:spacing w:line="360" w:lineRule="auto"/>
        <w:ind w:left="0" w:leftChars="0" w:firstLine="480" w:firstLineChars="200"/>
        <w:textAlignment w:val="auto"/>
        <w:rPr>
          <w:rFonts w:hint="eastAsia" w:ascii="仿宋_GB2312" w:hAnsi="仿宋_GB2312" w:eastAsia="仿宋_GB2312" w:cs="仿宋_GB2312"/>
          <w:b w:val="0"/>
          <w:bCs w:val="0"/>
          <w:i w:val="0"/>
          <w:iCs w:val="0"/>
          <w:color w:val="auto"/>
          <w:sz w:val="24"/>
          <w:szCs w:val="24"/>
          <w:highlight w:val="none"/>
          <w:lang w:val="en-US" w:eastAsia="zh-CN"/>
        </w:rPr>
      </w:pPr>
      <w:r>
        <w:rPr>
          <w:rFonts w:hint="eastAsia" w:ascii="仿宋_GB2312" w:hAnsi="仿宋_GB2312" w:eastAsia="仿宋_GB2312" w:cs="仿宋_GB2312"/>
          <w:b w:val="0"/>
          <w:bCs w:val="0"/>
          <w:i w:val="0"/>
          <w:iCs w:val="0"/>
          <w:color w:val="auto"/>
          <w:sz w:val="24"/>
          <w:szCs w:val="24"/>
          <w:highlight w:val="none"/>
          <w:lang w:val="en-US" w:eastAsia="zh-CN"/>
        </w:rPr>
        <w:t>（6）法律、行政法规规定的其他条件。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2.落实政府采购政策需满足的资格要求：</w:t>
      </w:r>
      <w:r>
        <w:rPr>
          <w:rFonts w:hint="eastAsia" w:ascii="仿宋_GB2312" w:hAnsi="仿宋_GB2312" w:eastAsia="仿宋_GB2312" w:cs="仿宋_GB2312"/>
          <w:b/>
          <w:bCs/>
          <w:color w:val="auto"/>
          <w:sz w:val="24"/>
          <w:szCs w:val="24"/>
          <w:highlight w:val="none"/>
          <w:lang w:val="en-US"/>
        </w:rPr>
        <w:t>本项目专门面向中小企业采购的项目</w:t>
      </w:r>
      <w:r>
        <w:rPr>
          <w:rFonts w:hint="eastAsia" w:ascii="仿宋_GB2312" w:hAnsi="仿宋_GB2312" w:eastAsia="仿宋_GB2312" w:cs="仿宋_GB2312"/>
          <w:b/>
          <w:bCs/>
          <w:color w:val="auto"/>
          <w:sz w:val="24"/>
          <w:szCs w:val="24"/>
          <w:highlight w:val="none"/>
          <w:lang w:val="en-US" w:eastAsia="zh-CN"/>
        </w:rPr>
        <w:t>，中小企业预留份额：100.00%</w:t>
      </w:r>
      <w:r>
        <w:rPr>
          <w:rFonts w:hint="eastAsia" w:ascii="仿宋_GB2312" w:hAnsi="仿宋_GB2312" w:eastAsia="仿宋_GB2312" w:cs="仿宋_GB2312"/>
          <w:b w:val="0"/>
          <w:bCs w:val="0"/>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3.本项目的特定资格要求：</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（1）</w:t>
      </w:r>
      <w:r>
        <w:rPr>
          <w:rFonts w:hint="eastAsia" w:ascii="仿宋_GB2312" w:hAnsi="仿宋_GB2312" w:eastAsia="仿宋_GB2312" w:cs="仿宋_GB2312"/>
          <w:b w:val="0"/>
          <w:bCs w:val="0"/>
          <w:sz w:val="24"/>
          <w:szCs w:val="24"/>
          <w:highlight w:val="none"/>
          <w:lang w:val="en-US" w:eastAsia="zh-CN"/>
        </w:rPr>
        <w:t>投标人须具备有效的资质证书，且具备(满足其中一条要求即可)，</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要求1:【勘察】综合类资质（综合类资质）甲级，</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要求2:【勘察】岩土工程（专业类资质）</w:t>
      </w:r>
      <w:r>
        <w:rPr>
          <w:rFonts w:hint="eastAsia" w:ascii="仿宋_GB2312" w:hAnsi="仿宋_GB2312" w:cs="仿宋_GB2312"/>
          <w:b w:val="0"/>
          <w:bCs w:val="0"/>
          <w:sz w:val="24"/>
          <w:szCs w:val="24"/>
          <w:highlight w:val="none"/>
          <w:lang w:val="en-US" w:eastAsia="zh-CN"/>
        </w:rPr>
        <w:t>乙</w:t>
      </w:r>
      <w:r>
        <w:rPr>
          <w:rFonts w:hint="eastAsia" w:ascii="仿宋_GB2312" w:hAnsi="仿宋_GB2312" w:eastAsia="仿宋_GB2312" w:cs="仿宋_GB2312"/>
          <w:b w:val="0"/>
          <w:bCs w:val="0"/>
          <w:sz w:val="24"/>
          <w:szCs w:val="24"/>
          <w:highlight w:val="none"/>
          <w:lang w:val="en-US" w:eastAsia="zh-CN"/>
        </w:rPr>
        <w:t>级及以上资质，</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kern w:val="2"/>
          <w:sz w:val="24"/>
          <w:szCs w:val="24"/>
          <w:highlight w:val="none"/>
          <w:lang w:val="en-US" w:eastAsia="zh-CN" w:bidi="ar-SA"/>
        </w:rPr>
      </w:pPr>
      <w:r>
        <w:rPr>
          <w:rFonts w:hint="eastAsia" w:ascii="仿宋_GB2312" w:hAnsi="仿宋_GB2312" w:eastAsia="仿宋_GB2312" w:cs="仿宋_GB2312"/>
          <w:b w:val="0"/>
          <w:bCs w:val="0"/>
          <w:sz w:val="24"/>
          <w:szCs w:val="24"/>
          <w:highlight w:val="none"/>
          <w:lang w:val="en-US" w:eastAsia="zh-CN"/>
        </w:rPr>
        <w:t>要求3:【勘察】岩土工程勘察（专业类资质）丙级及以上资质。</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lang w:val="en-US" w:eastAsia="zh-CN"/>
        </w:rPr>
      </w:pPr>
      <w:bookmarkStart w:id="3" w:name="_Toc21064"/>
      <w:r>
        <w:rPr>
          <w:rFonts w:hint="eastAsia" w:ascii="仿宋_GB2312" w:hAnsi="仿宋_GB2312" w:eastAsia="仿宋_GB2312" w:cs="仿宋_GB2312"/>
          <w:b/>
          <w:bCs/>
          <w:sz w:val="24"/>
          <w:szCs w:val="24"/>
          <w:highlight w:val="none"/>
          <w:lang w:val="en-US" w:eastAsia="zh-CN"/>
        </w:rPr>
        <w:t>获取采购文件</w:t>
      </w:r>
      <w:bookmarkEnd w:id="3"/>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时间：2023年0</w:t>
      </w:r>
      <w:r>
        <w:rPr>
          <w:rFonts w:hint="eastAsia" w:ascii="仿宋_GB2312" w:hAnsi="仿宋_GB2312" w:cs="仿宋_GB2312"/>
          <w:b w:val="0"/>
          <w:bCs w:val="0"/>
          <w:sz w:val="24"/>
          <w:szCs w:val="24"/>
          <w:highlight w:val="none"/>
          <w:lang w:val="en-US" w:eastAsia="zh-CN"/>
        </w:rPr>
        <w:t>9</w:t>
      </w:r>
      <w:r>
        <w:rPr>
          <w:rFonts w:hint="eastAsia" w:ascii="仿宋_GB2312" w:hAnsi="仿宋_GB2312" w:eastAsia="仿宋_GB2312" w:cs="仿宋_GB2312"/>
          <w:b w:val="0"/>
          <w:bCs w:val="0"/>
          <w:sz w:val="24"/>
          <w:szCs w:val="24"/>
          <w:highlight w:val="none"/>
          <w:lang w:val="en-US" w:eastAsia="zh-CN"/>
        </w:rPr>
        <w:t>月</w:t>
      </w:r>
      <w:r>
        <w:rPr>
          <w:rFonts w:hint="eastAsia" w:ascii="仿宋_GB2312" w:hAnsi="仿宋_GB2312" w:cs="仿宋_GB2312"/>
          <w:b w:val="0"/>
          <w:bCs w:val="0"/>
          <w:sz w:val="24"/>
          <w:szCs w:val="24"/>
          <w:highlight w:val="none"/>
          <w:lang w:val="en-US" w:eastAsia="zh-CN"/>
        </w:rPr>
        <w:t>28</w:t>
      </w:r>
      <w:r>
        <w:rPr>
          <w:rFonts w:hint="eastAsia" w:ascii="仿宋_GB2312" w:hAnsi="仿宋_GB2312" w:eastAsia="仿宋_GB2312" w:cs="仿宋_GB2312"/>
          <w:b w:val="0"/>
          <w:bCs w:val="0"/>
          <w:sz w:val="24"/>
          <w:szCs w:val="24"/>
          <w:highlight w:val="none"/>
          <w:lang w:val="en-US" w:eastAsia="zh-CN"/>
        </w:rPr>
        <w:t>日至2023年</w:t>
      </w:r>
      <w:r>
        <w:rPr>
          <w:rFonts w:hint="eastAsia" w:ascii="仿宋_GB2312" w:hAnsi="仿宋_GB2312" w:cs="仿宋_GB2312"/>
          <w:b w:val="0"/>
          <w:bCs w:val="0"/>
          <w:sz w:val="24"/>
          <w:szCs w:val="24"/>
          <w:highlight w:val="none"/>
          <w:lang w:val="en-US" w:eastAsia="zh-CN"/>
        </w:rPr>
        <w:t>10</w:t>
      </w:r>
      <w:r>
        <w:rPr>
          <w:rFonts w:hint="eastAsia" w:ascii="仿宋_GB2312" w:hAnsi="仿宋_GB2312" w:eastAsia="仿宋_GB2312" w:cs="仿宋_GB2312"/>
          <w:b w:val="0"/>
          <w:bCs w:val="0"/>
          <w:sz w:val="24"/>
          <w:szCs w:val="24"/>
          <w:highlight w:val="none"/>
          <w:lang w:val="en-US" w:eastAsia="zh-CN"/>
        </w:rPr>
        <w:t>月</w:t>
      </w:r>
      <w:r>
        <w:rPr>
          <w:rFonts w:hint="eastAsia" w:ascii="仿宋_GB2312" w:hAnsi="仿宋_GB2312" w:cs="仿宋_GB2312"/>
          <w:b w:val="0"/>
          <w:bCs w:val="0"/>
          <w:sz w:val="24"/>
          <w:szCs w:val="24"/>
          <w:highlight w:val="none"/>
          <w:lang w:val="en-US" w:eastAsia="zh-CN"/>
        </w:rPr>
        <w:t>11</w:t>
      </w:r>
      <w:r>
        <w:rPr>
          <w:rFonts w:hint="eastAsia" w:ascii="仿宋_GB2312" w:hAnsi="仿宋_GB2312" w:eastAsia="仿宋_GB2312" w:cs="仿宋_GB2312"/>
          <w:b w:val="0"/>
          <w:bCs w:val="0"/>
          <w:sz w:val="24"/>
          <w:szCs w:val="24"/>
          <w:highlight w:val="none"/>
          <w:lang w:val="en-US" w:eastAsia="zh-CN"/>
        </w:rPr>
        <w:t>日，每天上午00:00至12:00，下午12:00至23:59（北京时间，法定节假日除外）</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地点：政采云平台（https://www.zcygov.cn/）</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方式：供应商登录政采云平台https://www.zcygov.cn/在线申请获取采购文件（进入“项目采购”应用，在获取采购文件菜单中选择项目，申请获取采购文件）本次招标不提供纸质版招标文件。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val="0"/>
          <w:bCs w:val="0"/>
          <w:sz w:val="24"/>
          <w:szCs w:val="24"/>
          <w:highlight w:val="none"/>
          <w:lang w:val="en-US" w:eastAsia="zh-CN"/>
        </w:rPr>
        <w:t xml:space="preserve">售价（元）：0元 </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rPr>
      </w:pPr>
      <w:bookmarkStart w:id="4" w:name="_Toc31756"/>
      <w:r>
        <w:rPr>
          <w:rFonts w:hint="eastAsia" w:ascii="仿宋_GB2312" w:hAnsi="仿宋_GB2312" w:eastAsia="仿宋_GB2312" w:cs="仿宋_GB2312"/>
          <w:b/>
          <w:bCs/>
          <w:sz w:val="24"/>
          <w:szCs w:val="24"/>
          <w:highlight w:val="none"/>
          <w:lang w:val="en-US" w:eastAsia="zh-CN"/>
        </w:rPr>
        <w:t>响应文件提交</w:t>
      </w:r>
      <w:bookmarkEnd w:id="4"/>
      <w:r>
        <w:rPr>
          <w:rFonts w:hint="eastAsia" w:ascii="仿宋_GB2312" w:hAnsi="仿宋_GB2312" w:eastAsia="仿宋_GB2312" w:cs="仿宋_GB2312"/>
          <w:b/>
          <w:bCs/>
          <w:sz w:val="24"/>
          <w:szCs w:val="24"/>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截止时间：</w:t>
      </w:r>
      <w:r>
        <w:rPr>
          <w:rFonts w:hint="eastAsia" w:ascii="仿宋_GB2312" w:hAnsi="仿宋_GB2312" w:eastAsia="仿宋_GB2312" w:cs="仿宋_GB2312"/>
          <w:b w:val="0"/>
          <w:bCs w:val="0"/>
          <w:sz w:val="24"/>
          <w:szCs w:val="24"/>
          <w:highlight w:val="none"/>
          <w:lang w:val="en-US" w:eastAsia="zh-CN"/>
        </w:rPr>
        <w:t>2023年</w:t>
      </w:r>
      <w:r>
        <w:rPr>
          <w:rFonts w:hint="eastAsia" w:ascii="仿宋_GB2312" w:hAnsi="仿宋_GB2312" w:cs="仿宋_GB2312"/>
          <w:b w:val="0"/>
          <w:bCs w:val="0"/>
          <w:sz w:val="24"/>
          <w:szCs w:val="24"/>
          <w:highlight w:val="none"/>
          <w:lang w:val="en-US" w:eastAsia="zh-CN"/>
        </w:rPr>
        <w:t>10</w:t>
      </w:r>
      <w:r>
        <w:rPr>
          <w:rFonts w:hint="eastAsia" w:ascii="仿宋_GB2312" w:hAnsi="仿宋_GB2312" w:eastAsia="仿宋_GB2312" w:cs="仿宋_GB2312"/>
          <w:b w:val="0"/>
          <w:bCs w:val="0"/>
          <w:sz w:val="24"/>
          <w:szCs w:val="24"/>
          <w:highlight w:val="none"/>
          <w:lang w:val="en-US" w:eastAsia="zh-CN"/>
        </w:rPr>
        <w:t>月</w:t>
      </w:r>
      <w:r>
        <w:rPr>
          <w:rFonts w:hint="eastAsia" w:ascii="仿宋_GB2312" w:hAnsi="仿宋_GB2312" w:cs="仿宋_GB2312"/>
          <w:b w:val="0"/>
          <w:bCs w:val="0"/>
          <w:sz w:val="24"/>
          <w:szCs w:val="24"/>
          <w:highlight w:val="none"/>
          <w:lang w:val="en-US" w:eastAsia="zh-CN"/>
        </w:rPr>
        <w:t>17</w:t>
      </w:r>
      <w:r>
        <w:rPr>
          <w:rFonts w:hint="eastAsia" w:ascii="仿宋_GB2312" w:hAnsi="仿宋_GB2312" w:eastAsia="仿宋_GB2312" w:cs="仿宋_GB2312"/>
          <w:b w:val="0"/>
          <w:bCs w:val="0"/>
          <w:sz w:val="24"/>
          <w:szCs w:val="24"/>
          <w:highlight w:val="none"/>
          <w:lang w:val="en-US" w:eastAsia="zh-CN"/>
        </w:rPr>
        <w:t>日11:00（北京时间）</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lang w:val="en-US" w:eastAsia="zh-CN"/>
        </w:rPr>
        <w:t>地    点：政采云平台（https://www.zcygov.cn/），本项目采用不见面开标，加密的电子投标文件在投标截止时间前在政采云平台上传。</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rPr>
      </w:pPr>
      <w:bookmarkStart w:id="5" w:name="_Toc29746"/>
      <w:r>
        <w:rPr>
          <w:rFonts w:hint="eastAsia" w:ascii="仿宋_GB2312" w:hAnsi="仿宋_GB2312" w:eastAsia="仿宋_GB2312" w:cs="仿宋_GB2312"/>
          <w:b/>
          <w:bCs/>
          <w:sz w:val="24"/>
          <w:szCs w:val="24"/>
          <w:highlight w:val="none"/>
          <w:lang w:val="en-US" w:eastAsia="zh-CN"/>
        </w:rPr>
        <w:t>响应文件开启</w:t>
      </w:r>
      <w:bookmarkEnd w:id="5"/>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cs="仿宋_GB2312"/>
          <w:b w:val="0"/>
          <w:bCs w:val="0"/>
          <w:sz w:val="24"/>
          <w:szCs w:val="24"/>
          <w:highlight w:val="none"/>
          <w:lang w:val="en-US" w:eastAsia="zh-CN"/>
        </w:rPr>
        <w:t>截止时间：2023年10月17日11:00（北京时间）</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lang w:val="en-US" w:eastAsia="zh-CN"/>
        </w:rPr>
        <w:t>开标地点：政采云平台（https://www.zcygov.cn/）不见面开标系统</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rPr>
      </w:pPr>
      <w:bookmarkStart w:id="6" w:name="_Toc3480"/>
      <w:r>
        <w:rPr>
          <w:rFonts w:hint="eastAsia" w:ascii="仿宋_GB2312" w:hAnsi="仿宋_GB2312" w:eastAsia="仿宋_GB2312" w:cs="仿宋_GB2312"/>
          <w:b/>
          <w:bCs/>
          <w:sz w:val="24"/>
          <w:szCs w:val="24"/>
          <w:highlight w:val="none"/>
          <w:lang w:val="en-US" w:eastAsia="zh-CN"/>
        </w:rPr>
        <w:t>公告期限</w:t>
      </w:r>
      <w:bookmarkEnd w:id="6"/>
      <w:r>
        <w:rPr>
          <w:rFonts w:hint="eastAsia" w:ascii="仿宋_GB2312" w:hAnsi="仿宋_GB2312" w:eastAsia="仿宋_GB2312" w:cs="仿宋_GB2312"/>
          <w:b/>
          <w:bCs/>
          <w:sz w:val="24"/>
          <w:szCs w:val="24"/>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自本公告发布之日起</w:t>
      </w:r>
      <w:r>
        <w:rPr>
          <w:rFonts w:hint="eastAsia" w:ascii="仿宋_GB2312" w:hAnsi="仿宋_GB2312" w:eastAsia="仿宋_GB2312" w:cs="仿宋_GB2312"/>
          <w:b w:val="0"/>
          <w:bCs w:val="0"/>
          <w:sz w:val="24"/>
          <w:szCs w:val="24"/>
          <w:highlight w:val="none"/>
          <w:lang w:val="en-US" w:eastAsia="zh-CN"/>
        </w:rPr>
        <w:t>3</w:t>
      </w:r>
      <w:r>
        <w:rPr>
          <w:rFonts w:hint="eastAsia" w:ascii="仿宋_GB2312" w:hAnsi="仿宋_GB2312" w:eastAsia="仿宋_GB2312" w:cs="仿宋_GB2312"/>
          <w:b w:val="0"/>
          <w:bCs w:val="0"/>
          <w:sz w:val="24"/>
          <w:szCs w:val="24"/>
          <w:highlight w:val="none"/>
        </w:rPr>
        <w:t>个工作日。</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rPr>
      </w:pPr>
      <w:bookmarkStart w:id="7" w:name="_Toc21840"/>
      <w:r>
        <w:rPr>
          <w:rFonts w:hint="eastAsia" w:ascii="仿宋_GB2312" w:hAnsi="仿宋_GB2312" w:eastAsia="仿宋_GB2312" w:cs="仿宋_GB2312"/>
          <w:b/>
          <w:bCs/>
          <w:sz w:val="24"/>
          <w:szCs w:val="24"/>
          <w:highlight w:val="none"/>
          <w:lang w:val="en-US" w:eastAsia="zh-CN"/>
        </w:rPr>
        <w:t>其他补充事宜</w:t>
      </w:r>
      <w:bookmarkEnd w:id="7"/>
      <w:r>
        <w:rPr>
          <w:rFonts w:hint="eastAsia" w:ascii="仿宋_GB2312" w:hAnsi="仿宋_GB2312" w:eastAsia="仿宋_GB2312" w:cs="仿宋_GB2312"/>
          <w:b/>
          <w:bCs/>
          <w:sz w:val="24"/>
          <w:szCs w:val="24"/>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1、关于本项目所有公告</w:t>
      </w:r>
      <w:r>
        <w:rPr>
          <w:rFonts w:hint="eastAsia" w:ascii="仿宋_GB2312" w:hAnsi="仿宋_GB2312" w:cs="仿宋_GB2312"/>
          <w:b w:val="0"/>
          <w:bCs w:val="0"/>
          <w:sz w:val="24"/>
          <w:szCs w:val="24"/>
          <w:highlight w:val="none"/>
          <w:lang w:eastAsia="zh-CN"/>
        </w:rPr>
        <w:t>：</w:t>
      </w:r>
      <w:r>
        <w:rPr>
          <w:rFonts w:hint="eastAsia" w:ascii="仿宋_GB2312" w:hAnsi="仿宋_GB2312" w:eastAsia="仿宋_GB2312" w:cs="仿宋_GB2312"/>
          <w:b w:val="0"/>
          <w:bCs w:val="0"/>
          <w:sz w:val="24"/>
          <w:szCs w:val="24"/>
          <w:highlight w:val="none"/>
          <w:lang w:eastAsia="zh-CN"/>
        </w:rPr>
        <w:t>公示在新疆政府采购网、阿瓦提县人民政府网发布</w:t>
      </w:r>
      <w:r>
        <w:rPr>
          <w:rFonts w:hint="eastAsia" w:ascii="仿宋_GB2312" w:hAnsi="仿宋_GB2312" w:eastAsia="仿宋_GB2312" w:cs="仿宋_GB2312"/>
          <w:b w:val="0"/>
          <w:bCs w:val="0"/>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2、请</w:t>
      </w:r>
      <w:r>
        <w:rPr>
          <w:rFonts w:hint="eastAsia" w:ascii="仿宋_GB2312" w:hAnsi="仿宋_GB2312" w:eastAsia="仿宋_GB2312" w:cs="仿宋_GB2312"/>
          <w:b w:val="0"/>
          <w:bCs w:val="0"/>
          <w:sz w:val="24"/>
          <w:szCs w:val="24"/>
          <w:highlight w:val="none"/>
          <w:lang w:eastAsia="zh-CN"/>
        </w:rPr>
        <w:t>磋商</w:t>
      </w:r>
      <w:r>
        <w:rPr>
          <w:rFonts w:hint="eastAsia" w:ascii="仿宋_GB2312" w:hAnsi="仿宋_GB2312" w:eastAsia="仿宋_GB2312" w:cs="仿宋_GB2312"/>
          <w:b w:val="0"/>
          <w:bCs w:val="0"/>
          <w:sz w:val="24"/>
          <w:szCs w:val="24"/>
          <w:highlight w:val="none"/>
        </w:rPr>
        <w:t>供应商随时关注本项目的澄清、答疑、变更事项。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3、本项目实行电子招投标，供应商须登录政采云平台申请获取招标文件，并通过政采云电子投标客户端制作响应文件，同时自行承担与投标有关的一切费用。</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4、各供应商应在开标前确保成为新疆政府采购网正式注册入库供应商，并完成CA数字证书申领。因未注册入库、未办理CA数字证书等原因造成无法投标或投标失败</w:t>
      </w:r>
      <w:bookmarkStart w:id="119" w:name="_GoBack"/>
      <w:bookmarkEnd w:id="119"/>
      <w:r>
        <w:rPr>
          <w:rFonts w:hint="eastAsia" w:ascii="仿宋_GB2312" w:hAnsi="仿宋_GB2312" w:eastAsia="仿宋_GB2312" w:cs="仿宋_GB2312"/>
          <w:b w:val="0"/>
          <w:bCs w:val="0"/>
          <w:sz w:val="24"/>
          <w:szCs w:val="24"/>
          <w:highlight w:val="none"/>
        </w:rPr>
        <w:t>等后果由供应商自行承担。</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5、有意向参与电子开评标的供应商，可访问新疆数字证书认证中心官方网站（https://www.xjca.com.cn/）或下载“新疆政务通”APP自行进行申领。如需咨询，请联系新疆CA服务热线0991-2819290。</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rPr>
      </w:pPr>
      <w:bookmarkStart w:id="8" w:name="_Toc13852"/>
      <w:r>
        <w:rPr>
          <w:rFonts w:hint="eastAsia" w:ascii="仿宋_GB2312" w:hAnsi="仿宋_GB2312" w:eastAsia="仿宋_GB2312" w:cs="仿宋_GB2312"/>
          <w:b/>
          <w:bCs/>
          <w:sz w:val="24"/>
          <w:szCs w:val="24"/>
          <w:highlight w:val="none"/>
        </w:rPr>
        <w:t>对本次采购提出询问，请按以下方式联系</w:t>
      </w:r>
      <w:bookmarkEnd w:id="8"/>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1.采购人信息</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rPr>
        <w:t>名 称：</w:t>
      </w:r>
      <w:r>
        <w:rPr>
          <w:rFonts w:hint="eastAsia" w:ascii="仿宋_GB2312" w:hAnsi="仿宋_GB2312" w:eastAsia="仿宋_GB2312" w:cs="仿宋_GB2312"/>
          <w:sz w:val="24"/>
          <w:szCs w:val="24"/>
          <w:highlight w:val="none"/>
          <w:vertAlign w:val="baseline"/>
          <w:lang w:val="en-US" w:eastAsia="zh-CN"/>
        </w:rPr>
        <w:t>阿瓦提县教育和科学技术局</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rPr>
        <w:t>地 址：</w:t>
      </w:r>
      <w:r>
        <w:rPr>
          <w:rFonts w:hint="eastAsia" w:ascii="仿宋_GB2312" w:hAnsi="仿宋_GB2312" w:eastAsia="仿宋_GB2312" w:cs="仿宋_GB2312"/>
          <w:sz w:val="24"/>
          <w:szCs w:val="24"/>
          <w:highlight w:val="none"/>
          <w:vertAlign w:val="baseline"/>
          <w:lang w:val="en-US" w:eastAsia="zh-CN"/>
        </w:rPr>
        <w:t>阿瓦提县棉纺路55号</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rPr>
        <w:t>联系方式：</w:t>
      </w:r>
      <w:r>
        <w:rPr>
          <w:rFonts w:hint="eastAsia" w:ascii="仿宋_GB2312" w:hAnsi="仿宋_GB2312" w:eastAsia="仿宋_GB2312" w:cs="仿宋_GB2312"/>
          <w:sz w:val="24"/>
          <w:szCs w:val="24"/>
          <w:highlight w:val="none"/>
          <w:lang w:val="en-US" w:eastAsia="zh-CN"/>
        </w:rPr>
        <w:t>蔡</w:t>
      </w:r>
      <w:r>
        <w:rPr>
          <w:rFonts w:hint="eastAsia" w:ascii="仿宋_GB2312" w:hAnsi="仿宋_GB2312" w:eastAsia="仿宋_GB2312" w:cs="仿宋_GB2312"/>
          <w:sz w:val="24"/>
          <w:szCs w:val="24"/>
          <w:highlight w:val="none"/>
          <w:vertAlign w:val="baseline"/>
          <w:lang w:val="en-US" w:eastAsia="zh-CN"/>
        </w:rPr>
        <w:t>老师 18299587625</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2.采购代理机构信息</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名 称：新疆世纪星工程咨询有限公司</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 址：乌鲁木齐经济技术开发区二期黄山街一品九点阳光德港大厦B座20楼</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lang w:val="en-US"/>
        </w:rPr>
      </w:pPr>
      <w:r>
        <w:rPr>
          <w:rFonts w:hint="eastAsia" w:ascii="仿宋_GB2312" w:hAnsi="仿宋_GB2312" w:eastAsia="仿宋_GB2312" w:cs="仿宋_GB2312"/>
          <w:sz w:val="24"/>
          <w:szCs w:val="24"/>
          <w:highlight w:val="none"/>
        </w:rPr>
        <w:t>联系方式：</w:t>
      </w:r>
      <w:r>
        <w:rPr>
          <w:rFonts w:hint="eastAsia" w:ascii="仿宋_GB2312" w:hAnsi="仿宋_GB2312" w:eastAsia="仿宋_GB2312" w:cs="仿宋_GB2312"/>
          <w:sz w:val="24"/>
          <w:szCs w:val="24"/>
          <w:highlight w:val="none"/>
          <w:vertAlign w:val="baseline"/>
          <w:lang w:val="en-US" w:eastAsia="zh-CN"/>
        </w:rPr>
        <w:t>范胜星15276557688</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3.项目联系方式</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项目联系人：</w:t>
      </w:r>
      <w:r>
        <w:rPr>
          <w:rFonts w:hint="eastAsia" w:ascii="仿宋_GB2312" w:hAnsi="仿宋_GB2312" w:eastAsia="仿宋_GB2312" w:cs="仿宋_GB2312"/>
          <w:sz w:val="24"/>
          <w:szCs w:val="24"/>
          <w:highlight w:val="none"/>
          <w:vertAlign w:val="baseline"/>
          <w:lang w:val="en-US" w:eastAsia="zh-CN"/>
        </w:rPr>
        <w:t>范胜星</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电 话：</w:t>
      </w:r>
      <w:r>
        <w:rPr>
          <w:rFonts w:hint="eastAsia" w:ascii="仿宋_GB2312" w:hAnsi="仿宋_GB2312" w:eastAsia="仿宋_GB2312" w:cs="仿宋_GB2312"/>
          <w:sz w:val="24"/>
          <w:szCs w:val="24"/>
          <w:highlight w:val="none"/>
          <w:lang w:val="en-US" w:eastAsia="zh-CN"/>
        </w:rPr>
        <w:t>15276557688</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rPr>
      </w:pP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pPr>
        <w:pStyle w:val="3"/>
        <w:numPr>
          <w:ilvl w:val="0"/>
          <w:numId w:val="5"/>
        </w:numPr>
        <w:bidi w:val="0"/>
        <w:jc w:val="center"/>
        <w:rPr>
          <w:rFonts w:hint="eastAsia" w:ascii="仿宋_GB2312" w:hAnsi="仿宋_GB2312" w:eastAsia="仿宋_GB2312" w:cs="仿宋_GB2312"/>
          <w:sz w:val="32"/>
          <w:szCs w:val="32"/>
          <w:highlight w:val="none"/>
          <w:lang w:val="en-US" w:eastAsia="zh-CN"/>
        </w:rPr>
      </w:pPr>
      <w:bookmarkStart w:id="9" w:name="_Toc20682"/>
      <w:r>
        <w:rPr>
          <w:rFonts w:hint="eastAsia" w:ascii="仿宋_GB2312" w:hAnsi="仿宋_GB2312" w:eastAsia="仿宋_GB2312" w:cs="仿宋_GB2312"/>
          <w:sz w:val="32"/>
          <w:szCs w:val="32"/>
          <w:highlight w:val="none"/>
          <w:lang w:val="en-US" w:eastAsia="zh-CN"/>
        </w:rPr>
        <w:t>供应商须知前附表</w:t>
      </w:r>
      <w:bookmarkEnd w:id="9"/>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本表是本采购项目的具体资料，是对供应商须知的具体补充和修改，如有矛盾，应以本前附表为准。</w:t>
      </w:r>
    </w:p>
    <w:tbl>
      <w:tblPr>
        <w:tblStyle w:val="27"/>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18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bCs/>
                <w:sz w:val="24"/>
                <w:szCs w:val="24"/>
                <w:highlight w:val="none"/>
                <w:vertAlign w:val="baseline"/>
              </w:rPr>
            </w:pPr>
            <w:r>
              <w:rPr>
                <w:rFonts w:hint="eastAsia" w:ascii="仿宋_GB2312" w:hAnsi="仿宋_GB2312" w:eastAsia="仿宋_GB2312" w:cs="仿宋_GB2312"/>
                <w:b/>
                <w:bCs/>
                <w:sz w:val="24"/>
                <w:szCs w:val="24"/>
                <w:highlight w:val="none"/>
                <w:vertAlign w:val="baseline"/>
                <w:lang w:val="en-US" w:eastAsia="zh-CN"/>
              </w:rPr>
              <w:t>条款号</w:t>
            </w:r>
          </w:p>
        </w:tc>
        <w:tc>
          <w:tcPr>
            <w:tcW w:w="6652"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bCs/>
                <w:sz w:val="24"/>
                <w:szCs w:val="24"/>
                <w:highlight w:val="none"/>
                <w:vertAlign w:val="baseline"/>
              </w:rPr>
            </w:pPr>
            <w:r>
              <w:rPr>
                <w:rFonts w:hint="eastAsia" w:ascii="仿宋_GB2312" w:hAnsi="仿宋_GB2312" w:eastAsia="仿宋_GB2312" w:cs="仿宋_GB2312"/>
                <w:b/>
                <w:bCs/>
                <w:sz w:val="24"/>
                <w:szCs w:val="24"/>
                <w:highlight w:val="none"/>
                <w:vertAlign w:val="baseline"/>
                <w:lang w:val="en-US" w:eastAsia="zh-CN"/>
              </w:rPr>
              <w:t>内容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1.1</w:t>
            </w:r>
          </w:p>
        </w:tc>
        <w:tc>
          <w:tcPr>
            <w:tcW w:w="66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采购人：阿瓦提县教育和科学技术局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rPr>
              <w:t>地 址：</w:t>
            </w:r>
            <w:r>
              <w:rPr>
                <w:rFonts w:hint="eastAsia" w:ascii="仿宋_GB2312" w:hAnsi="仿宋_GB2312" w:eastAsia="仿宋_GB2312" w:cs="仿宋_GB2312"/>
                <w:sz w:val="24"/>
                <w:szCs w:val="24"/>
                <w:highlight w:val="none"/>
                <w:vertAlign w:val="baseline"/>
                <w:lang w:val="en-US" w:eastAsia="zh-CN"/>
              </w:rPr>
              <w:t>阿瓦提县棉纺路55号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rPr>
              <w:t>联系方式：</w:t>
            </w:r>
            <w:r>
              <w:rPr>
                <w:rFonts w:hint="eastAsia" w:ascii="仿宋_GB2312" w:hAnsi="仿宋_GB2312" w:eastAsia="仿宋_GB2312" w:cs="仿宋_GB2312"/>
                <w:sz w:val="24"/>
                <w:szCs w:val="24"/>
                <w:highlight w:val="none"/>
                <w:lang w:val="en-US" w:eastAsia="zh-CN"/>
              </w:rPr>
              <w:t>蔡</w:t>
            </w:r>
            <w:r>
              <w:rPr>
                <w:rFonts w:hint="eastAsia" w:ascii="仿宋_GB2312" w:hAnsi="仿宋_GB2312" w:eastAsia="仿宋_GB2312" w:cs="仿宋_GB2312"/>
                <w:sz w:val="24"/>
                <w:szCs w:val="24"/>
                <w:highlight w:val="none"/>
                <w:vertAlign w:val="baseline"/>
                <w:lang w:val="en-US" w:eastAsia="zh-CN"/>
              </w:rPr>
              <w:t>老师 18299587625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1.2</w:t>
            </w:r>
          </w:p>
        </w:tc>
        <w:tc>
          <w:tcPr>
            <w:tcW w:w="66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vertAlign w:val="baseline"/>
              </w:rPr>
              <w:t>采购代理机构：</w:t>
            </w:r>
            <w:r>
              <w:rPr>
                <w:rFonts w:hint="eastAsia" w:ascii="仿宋_GB2312" w:hAnsi="仿宋_GB2312" w:eastAsia="仿宋_GB2312" w:cs="仿宋_GB2312"/>
                <w:sz w:val="24"/>
                <w:szCs w:val="24"/>
                <w:highlight w:val="none"/>
              </w:rPr>
              <w:t>新疆世纪星工程咨询有限公司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地 址：乌鲁木齐经济技术开发区二期黄山街一品九点阳光德港大厦B座20楼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rPr>
              <w:t>联系方式：</w:t>
            </w:r>
            <w:r>
              <w:rPr>
                <w:rFonts w:hint="eastAsia" w:ascii="仿宋_GB2312" w:hAnsi="仿宋_GB2312" w:eastAsia="仿宋_GB2312" w:cs="仿宋_GB2312"/>
                <w:sz w:val="24"/>
                <w:szCs w:val="24"/>
                <w:highlight w:val="none"/>
                <w:vertAlign w:val="baseline"/>
                <w:lang w:val="en-US" w:eastAsia="zh-CN"/>
              </w:rPr>
              <w:t>范胜星15276557688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1.3.3</w:t>
            </w:r>
          </w:p>
        </w:tc>
        <w:tc>
          <w:tcPr>
            <w:tcW w:w="6652"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合格</w:t>
            </w:r>
            <w:r>
              <w:rPr>
                <w:rFonts w:hint="eastAsia" w:ascii="仿宋_GB2312" w:hAnsi="仿宋_GB2312" w:eastAsia="仿宋_GB2312" w:cs="仿宋_GB2312"/>
                <w:sz w:val="24"/>
                <w:szCs w:val="24"/>
                <w:highlight w:val="none"/>
                <w:vertAlign w:val="baseline"/>
                <w:lang w:val="en-US" w:eastAsia="zh-CN"/>
              </w:rPr>
              <w:t>供应商</w:t>
            </w:r>
            <w:r>
              <w:rPr>
                <w:rFonts w:hint="eastAsia" w:ascii="仿宋_GB2312" w:hAnsi="仿宋_GB2312" w:eastAsia="仿宋_GB2312" w:cs="仿宋_GB2312"/>
                <w:sz w:val="24"/>
                <w:szCs w:val="24"/>
                <w:highlight w:val="none"/>
                <w:vertAlign w:val="baseline"/>
              </w:rPr>
              <w:t>的其他资格要求：</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投标人须具备有效的资质证书，且具备(满足其中一条要求即可)，</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要求1:【勘察】综合类资质（综合类资质）甲级，</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要求2:【勘察】岩土工程（专业类资质）</w:t>
            </w:r>
            <w:r>
              <w:rPr>
                <w:rFonts w:hint="eastAsia" w:ascii="仿宋_GB2312" w:hAnsi="仿宋_GB2312" w:cs="仿宋_GB2312"/>
                <w:b w:val="0"/>
                <w:bCs w:val="0"/>
                <w:sz w:val="24"/>
                <w:szCs w:val="24"/>
                <w:highlight w:val="none"/>
                <w:lang w:val="en-US" w:eastAsia="zh-CN"/>
              </w:rPr>
              <w:t>乙</w:t>
            </w:r>
            <w:r>
              <w:rPr>
                <w:rFonts w:hint="eastAsia" w:ascii="仿宋_GB2312" w:hAnsi="仿宋_GB2312" w:eastAsia="仿宋_GB2312" w:cs="仿宋_GB2312"/>
                <w:b w:val="0"/>
                <w:bCs w:val="0"/>
                <w:sz w:val="24"/>
                <w:szCs w:val="24"/>
                <w:highlight w:val="none"/>
                <w:lang w:val="en-US" w:eastAsia="zh-CN"/>
              </w:rPr>
              <w:t>级及以上资质，</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b w:val="0"/>
                <w:bCs w:val="0"/>
                <w:sz w:val="24"/>
                <w:szCs w:val="24"/>
                <w:highlight w:val="none"/>
                <w:lang w:val="en-US" w:eastAsia="zh-CN"/>
              </w:rPr>
              <w:t>要求3:【勘察】岩土工程勘察（专业类资质）丙级及以上资质。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1.4</w:t>
            </w:r>
          </w:p>
        </w:tc>
        <w:tc>
          <w:tcPr>
            <w:tcW w:w="66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lang w:val="en-US" w:eastAsia="zh-CN"/>
              </w:rPr>
              <w:t>是否允许采购进口产品：否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1.5.1</w:t>
            </w:r>
          </w:p>
        </w:tc>
        <w:tc>
          <w:tcPr>
            <w:tcW w:w="66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所属行业：租赁和商务服务业</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1.5.2</w:t>
            </w:r>
          </w:p>
        </w:tc>
        <w:tc>
          <w:tcPr>
            <w:tcW w:w="66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是否为专门面向中小企业采购：是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 xml:space="preserve">是否为本项目面向中小企业采购预留份额：是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如为是，未达到下面比例的投标将被认定为</w:t>
            </w:r>
            <w:r>
              <w:rPr>
                <w:rFonts w:hint="eastAsia" w:ascii="仿宋_GB2312" w:hAnsi="仿宋_GB2312" w:eastAsia="仿宋_GB2312" w:cs="仿宋_GB2312"/>
                <w:b/>
                <w:bCs/>
                <w:sz w:val="24"/>
                <w:szCs w:val="24"/>
                <w:highlight w:val="none"/>
                <w:vertAlign w:val="baseline"/>
                <w:lang w:val="en-US" w:eastAsia="zh-CN"/>
              </w:rPr>
              <w:t>响应文件无效</w:t>
            </w:r>
            <w:r>
              <w:rPr>
                <w:rFonts w:hint="eastAsia" w:ascii="仿宋_GB2312" w:hAnsi="仿宋_GB2312" w:eastAsia="仿宋_GB2312" w:cs="仿宋_GB2312"/>
                <w:sz w:val="24"/>
                <w:szCs w:val="24"/>
                <w:highlight w:val="none"/>
                <w:vertAlign w:val="baseline"/>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预留份额：100%专门面向中小企业，其中小微企业预留份额：100.00%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1.10</w:t>
            </w:r>
          </w:p>
        </w:tc>
        <w:tc>
          <w:tcPr>
            <w:tcW w:w="66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是否允许联合体参加</w:t>
            </w:r>
            <w:r>
              <w:rPr>
                <w:rFonts w:hint="eastAsia" w:ascii="仿宋_GB2312" w:hAnsi="仿宋_GB2312" w:eastAsia="仿宋_GB2312" w:cs="仿宋_GB2312"/>
                <w:sz w:val="24"/>
                <w:szCs w:val="24"/>
                <w:highlight w:val="none"/>
                <w:vertAlign w:val="baseline"/>
                <w:lang w:eastAsia="zh-CN"/>
              </w:rPr>
              <w:t>磋商</w:t>
            </w:r>
            <w:r>
              <w:rPr>
                <w:rFonts w:hint="eastAsia" w:ascii="仿宋_GB2312" w:hAnsi="仿宋_GB2312" w:eastAsia="仿宋_GB2312" w:cs="仿宋_GB2312"/>
                <w:sz w:val="24"/>
                <w:szCs w:val="24"/>
                <w:highlight w:val="none"/>
                <w:vertAlign w:val="baseline"/>
              </w:rPr>
              <w:t>：否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联合体的其他资格要求：无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2.2</w:t>
            </w:r>
          </w:p>
        </w:tc>
        <w:tc>
          <w:tcPr>
            <w:tcW w:w="66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项目预算金额：19万元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lang w:val="en-US"/>
              </w:rPr>
            </w:pPr>
            <w:r>
              <w:rPr>
                <w:rFonts w:hint="eastAsia" w:ascii="仿宋_GB2312" w:hAnsi="仿宋_GB2312" w:eastAsia="仿宋_GB2312" w:cs="仿宋_GB2312"/>
                <w:sz w:val="24"/>
                <w:szCs w:val="24"/>
                <w:highlight w:val="none"/>
                <w:vertAlign w:val="baseline"/>
              </w:rPr>
              <w:t>最高限价（元）：</w:t>
            </w:r>
            <w:r>
              <w:rPr>
                <w:rFonts w:hint="eastAsia" w:ascii="仿宋_GB2312" w:hAnsi="仿宋_GB2312" w:eastAsia="仿宋_GB2312" w:cs="仿宋_GB2312"/>
                <w:sz w:val="24"/>
                <w:szCs w:val="24"/>
                <w:highlight w:val="none"/>
                <w:vertAlign w:val="baseline"/>
                <w:lang w:val="en-US" w:eastAsia="zh-CN"/>
              </w:rPr>
              <w:t>19万元</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5.4</w:t>
            </w:r>
          </w:p>
        </w:tc>
        <w:tc>
          <w:tcPr>
            <w:tcW w:w="66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 xml:space="preserve">是否组织现场考察或者召开答疑会：否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组织现场考察或者召开答疑会相关要求：/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 xml:space="preserve">5.7 </w:t>
            </w:r>
          </w:p>
        </w:tc>
        <w:tc>
          <w:tcPr>
            <w:tcW w:w="66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 xml:space="preserve">是否需要提供样品：否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提供样品要求包括：（样品的制作标准和要求、接收及退还，样品检测报告，检测机构、检测内容等内容）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 xml:space="preserve">7.1 </w:t>
            </w:r>
          </w:p>
        </w:tc>
        <w:tc>
          <w:tcPr>
            <w:tcW w:w="66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如</w:t>
            </w:r>
            <w:r>
              <w:rPr>
                <w:rFonts w:hint="eastAsia" w:ascii="仿宋_GB2312" w:hAnsi="仿宋_GB2312" w:eastAsia="仿宋_GB2312" w:cs="仿宋_GB2312"/>
                <w:sz w:val="24"/>
                <w:szCs w:val="24"/>
                <w:highlight w:val="none"/>
                <w:vertAlign w:val="baseline"/>
                <w:lang w:val="en-US" w:eastAsia="zh-CN"/>
              </w:rPr>
              <w:t>供应商</w:t>
            </w:r>
            <w:r>
              <w:rPr>
                <w:rFonts w:hint="eastAsia" w:ascii="仿宋_GB2312" w:hAnsi="仿宋_GB2312" w:eastAsia="仿宋_GB2312" w:cs="仿宋_GB2312"/>
                <w:sz w:val="24"/>
                <w:szCs w:val="24"/>
                <w:highlight w:val="none"/>
                <w:vertAlign w:val="baseline"/>
              </w:rPr>
              <w:t>对</w:t>
            </w:r>
            <w:r>
              <w:rPr>
                <w:rFonts w:hint="eastAsia" w:ascii="仿宋_GB2312" w:hAnsi="仿宋_GB2312" w:eastAsia="仿宋_GB2312" w:cs="仿宋_GB2312"/>
                <w:b/>
                <w:bCs/>
                <w:sz w:val="24"/>
                <w:szCs w:val="24"/>
                <w:highlight w:val="none"/>
                <w:vertAlign w:val="baseline"/>
              </w:rPr>
              <w:t>多</w:t>
            </w:r>
            <w:r>
              <w:rPr>
                <w:rFonts w:hint="eastAsia" w:ascii="仿宋_GB2312" w:hAnsi="仿宋_GB2312" w:eastAsia="仿宋_GB2312" w:cs="仿宋_GB2312"/>
                <w:sz w:val="24"/>
                <w:szCs w:val="24"/>
                <w:highlight w:val="none"/>
                <w:vertAlign w:val="baseline"/>
              </w:rPr>
              <w:t>个包进行</w:t>
            </w:r>
            <w:r>
              <w:rPr>
                <w:rFonts w:hint="eastAsia" w:ascii="仿宋_GB2312" w:hAnsi="仿宋_GB2312" w:eastAsia="仿宋_GB2312" w:cs="仿宋_GB2312"/>
                <w:sz w:val="24"/>
                <w:szCs w:val="24"/>
                <w:highlight w:val="none"/>
                <w:vertAlign w:val="baseline"/>
                <w:lang w:val="en-US" w:eastAsia="zh-CN"/>
              </w:rPr>
              <w:t>磋商响应</w:t>
            </w:r>
            <w:r>
              <w:rPr>
                <w:rFonts w:hint="eastAsia" w:ascii="仿宋_GB2312" w:hAnsi="仿宋_GB2312" w:eastAsia="仿宋_GB2312" w:cs="仿宋_GB2312"/>
                <w:sz w:val="24"/>
                <w:szCs w:val="24"/>
                <w:highlight w:val="none"/>
                <w:vertAlign w:val="baseline"/>
              </w:rPr>
              <w:t>，可以</w:t>
            </w:r>
            <w:r>
              <w:rPr>
                <w:rFonts w:hint="eastAsia" w:ascii="仿宋_GB2312" w:hAnsi="仿宋_GB2312" w:eastAsia="仿宋_GB2312" w:cs="仿宋_GB2312"/>
                <w:sz w:val="24"/>
                <w:szCs w:val="24"/>
                <w:highlight w:val="none"/>
                <w:vertAlign w:val="baseline"/>
                <w:lang w:val="en-US" w:eastAsia="zh-CN"/>
              </w:rPr>
              <w:t>成交</w:t>
            </w:r>
            <w:r>
              <w:rPr>
                <w:rFonts w:hint="eastAsia" w:ascii="仿宋_GB2312" w:hAnsi="仿宋_GB2312" w:eastAsia="仿宋_GB2312" w:cs="仿宋_GB2312"/>
                <w:b/>
                <w:bCs/>
                <w:sz w:val="24"/>
                <w:szCs w:val="24"/>
                <w:highlight w:val="none"/>
                <w:u w:val="single"/>
                <w:vertAlign w:val="baseline"/>
              </w:rPr>
              <w:t>多</w:t>
            </w:r>
            <w:r>
              <w:rPr>
                <w:rFonts w:hint="eastAsia" w:ascii="仿宋_GB2312" w:hAnsi="仿宋_GB2312" w:eastAsia="仿宋_GB2312" w:cs="仿宋_GB2312"/>
                <w:sz w:val="24"/>
                <w:szCs w:val="24"/>
                <w:highlight w:val="none"/>
                <w:vertAlign w:val="baseline"/>
              </w:rPr>
              <w:t>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（本项目不适用）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10</w:t>
            </w:r>
          </w:p>
        </w:tc>
        <w:tc>
          <w:tcPr>
            <w:tcW w:w="66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保证金形式：电汇或银行转账或投标保函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保证金数额：</w:t>
            </w:r>
            <w:r>
              <w:rPr>
                <w:rFonts w:hint="eastAsia" w:ascii="仿宋_GB2312" w:hAnsi="仿宋_GB2312" w:eastAsia="仿宋_GB2312" w:cs="仿宋_GB2312"/>
                <w:sz w:val="24"/>
                <w:szCs w:val="24"/>
                <w:highlight w:val="none"/>
                <w:vertAlign w:val="baseline"/>
                <w:lang w:val="en-US" w:eastAsia="zh-CN"/>
              </w:rPr>
              <w:t>3800</w:t>
            </w:r>
            <w:r>
              <w:rPr>
                <w:rFonts w:hint="eastAsia" w:ascii="仿宋_GB2312" w:hAnsi="仿宋_GB2312" w:eastAsia="仿宋_GB2312" w:cs="仿宋_GB2312"/>
                <w:sz w:val="24"/>
                <w:szCs w:val="24"/>
                <w:highlight w:val="none"/>
                <w:vertAlign w:val="baseline"/>
              </w:rPr>
              <w:t xml:space="preserve">元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保证金收款人：新疆世纪星工程咨询有限公司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保证金收款账号：512090100100073085</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保证收款银行及行号: 兴业银行乌鲁木齐分行营业部309881002010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以电汇或银行转账形式缴纳保证金的</w:t>
            </w:r>
            <w:r>
              <w:rPr>
                <w:rFonts w:hint="eastAsia" w:ascii="仿宋_GB2312" w:hAnsi="仿宋_GB2312" w:eastAsia="仿宋_GB2312" w:cs="仿宋_GB2312"/>
                <w:sz w:val="24"/>
                <w:szCs w:val="24"/>
                <w:highlight w:val="none"/>
                <w:vertAlign w:val="baseline"/>
                <w:lang w:eastAsia="zh-CN"/>
              </w:rPr>
              <w:t>供应商</w:t>
            </w:r>
            <w:r>
              <w:rPr>
                <w:rFonts w:hint="eastAsia" w:ascii="仿宋_GB2312" w:hAnsi="仿宋_GB2312" w:eastAsia="仿宋_GB2312" w:cs="仿宋_GB2312"/>
                <w:sz w:val="24"/>
                <w:szCs w:val="24"/>
                <w:highlight w:val="none"/>
                <w:vertAlign w:val="baseline"/>
              </w:rPr>
              <w:t>注意事项：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在汇款附言（或银行摘要）中，标明项目编号、包号（如分包）。每个项目须按照分包分别提交投标保证金。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highlight w:val="none"/>
                <w:vertAlign w:val="baseline"/>
              </w:rPr>
              <w:t>投标保函提交方式：供应商须通过"政采云平台金融服务中心"(https://jinrong.zcygov.cn/)，申请办理投标电子保函，成功出函的等效于缴纳投标保证金。开标时采购人或代理机构通过政采云平台保函系统进行查询，保函信息以查询结果为准，未查询到的电子保函评审时将按无效投标（响应）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b/>
                <w:bCs/>
                <w:sz w:val="24"/>
                <w:szCs w:val="24"/>
                <w:highlight w:val="none"/>
                <w:vertAlign w:val="baseline"/>
              </w:rPr>
              <w:t>投标保证金（投标电子保函）有效期与投标有效期一致。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11.1</w:t>
            </w:r>
          </w:p>
        </w:tc>
        <w:tc>
          <w:tcPr>
            <w:tcW w:w="66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bCs/>
                <w:sz w:val="24"/>
                <w:szCs w:val="24"/>
                <w:highlight w:val="none"/>
                <w:vertAlign w:val="baseline"/>
              </w:rPr>
            </w:pPr>
            <w:r>
              <w:rPr>
                <w:rFonts w:hint="eastAsia" w:ascii="仿宋_GB2312" w:hAnsi="仿宋_GB2312" w:eastAsia="仿宋_GB2312" w:cs="仿宋_GB2312"/>
                <w:b w:val="0"/>
                <w:bCs w:val="0"/>
                <w:sz w:val="24"/>
                <w:szCs w:val="24"/>
                <w:highlight w:val="none"/>
                <w:vertAlign w:val="baseline"/>
                <w:lang w:val="en-US" w:eastAsia="zh-CN"/>
              </w:rPr>
              <w:t>响应文件</w:t>
            </w:r>
            <w:r>
              <w:rPr>
                <w:rFonts w:hint="eastAsia" w:ascii="仿宋_GB2312" w:hAnsi="仿宋_GB2312" w:eastAsia="仿宋_GB2312" w:cs="仿宋_GB2312"/>
                <w:b w:val="0"/>
                <w:bCs w:val="0"/>
                <w:sz w:val="24"/>
                <w:szCs w:val="24"/>
                <w:highlight w:val="none"/>
                <w:vertAlign w:val="baseline"/>
              </w:rPr>
              <w:t>有效期：90 日历日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13.1</w:t>
            </w:r>
          </w:p>
        </w:tc>
        <w:tc>
          <w:tcPr>
            <w:tcW w:w="66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响应截止时间：2023年</w:t>
            </w:r>
            <w:r>
              <w:rPr>
                <w:rFonts w:hint="eastAsia" w:ascii="仿宋_GB2312" w:hAnsi="仿宋_GB2312" w:cs="仿宋_GB2312"/>
                <w:b w:val="0"/>
                <w:bCs w:val="0"/>
                <w:sz w:val="24"/>
                <w:szCs w:val="24"/>
                <w:highlight w:val="none"/>
                <w:vertAlign w:val="baseline"/>
                <w:lang w:val="en-US" w:eastAsia="zh-CN"/>
              </w:rPr>
              <w:t>10</w:t>
            </w:r>
            <w:r>
              <w:rPr>
                <w:rFonts w:hint="eastAsia" w:ascii="仿宋_GB2312" w:hAnsi="仿宋_GB2312" w:eastAsia="仿宋_GB2312" w:cs="仿宋_GB2312"/>
                <w:b w:val="0"/>
                <w:bCs w:val="0"/>
                <w:sz w:val="24"/>
                <w:szCs w:val="24"/>
                <w:highlight w:val="none"/>
                <w:vertAlign w:val="baseline"/>
                <w:lang w:val="en-US" w:eastAsia="zh-CN"/>
              </w:rPr>
              <w:t>月</w:t>
            </w:r>
            <w:r>
              <w:rPr>
                <w:rFonts w:hint="eastAsia" w:ascii="仿宋_GB2312" w:hAnsi="仿宋_GB2312" w:cs="仿宋_GB2312"/>
                <w:b w:val="0"/>
                <w:bCs w:val="0"/>
                <w:sz w:val="24"/>
                <w:szCs w:val="24"/>
                <w:highlight w:val="none"/>
                <w:vertAlign w:val="baseline"/>
                <w:lang w:val="en-US" w:eastAsia="zh-CN"/>
              </w:rPr>
              <w:t>17</w:t>
            </w:r>
            <w:r>
              <w:rPr>
                <w:rFonts w:hint="eastAsia" w:ascii="仿宋_GB2312" w:hAnsi="仿宋_GB2312" w:eastAsia="仿宋_GB2312" w:cs="仿宋_GB2312"/>
                <w:b w:val="0"/>
                <w:bCs w:val="0"/>
                <w:sz w:val="24"/>
                <w:szCs w:val="24"/>
                <w:highlight w:val="none"/>
                <w:vertAlign w:val="baseline"/>
                <w:lang w:val="en-US" w:eastAsia="zh-CN"/>
              </w:rPr>
              <w:t>日 11:00（北京时间）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14.1</w:t>
            </w:r>
          </w:p>
        </w:tc>
        <w:tc>
          <w:tcPr>
            <w:tcW w:w="66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开标时间：同响应截止时间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开标地点：政采云平台（https://www.zcygov.cn/）不见面开标系统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72" w:hRule="atLeast"/>
        </w:trPr>
        <w:tc>
          <w:tcPr>
            <w:tcW w:w="18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18.1</w:t>
            </w:r>
          </w:p>
        </w:tc>
        <w:tc>
          <w:tcPr>
            <w:tcW w:w="66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采购人是否委托评标委员会直接确定中标人：否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22.1</w:t>
            </w:r>
          </w:p>
        </w:tc>
        <w:tc>
          <w:tcPr>
            <w:tcW w:w="66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提交履约保证金的时间：/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履约保证金金额：/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履约保证金形式：/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39" w:hRule="atLeast"/>
        </w:trPr>
        <w:tc>
          <w:tcPr>
            <w:tcW w:w="187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23.1</w:t>
            </w:r>
          </w:p>
        </w:tc>
        <w:tc>
          <w:tcPr>
            <w:tcW w:w="6652"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是否由成交人缴纳招标代理费：是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招标代理费：参照原国家计委计价格【2002】1980 号文的计算方法收取</w:t>
            </w:r>
            <w:r>
              <w:rPr>
                <w:rFonts w:hint="eastAsia" w:ascii="仿宋_GB2312" w:hAnsi="仿宋_GB2312" w:cs="仿宋_GB2312"/>
                <w:b w:val="0"/>
                <w:bCs w:val="0"/>
                <w:sz w:val="24"/>
                <w:szCs w:val="24"/>
                <w:highlight w:val="none"/>
                <w:vertAlign w:val="baseli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 xml:space="preserve">支付形式：支票、电汇等形式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支付时间：领取成交通知书的同时</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适用于本供应商须知的额外增加的变动：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4"/>
                <w:szCs w:val="24"/>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核心产品：/</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4"/>
                <w:szCs w:val="24"/>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评标方法：综合评分法</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4"/>
                <w:szCs w:val="24"/>
                <w:highlight w:val="none"/>
                <w:vertAlign w:val="baseline"/>
                <w:lang w:val="en-US" w:eastAsia="zh-CN"/>
              </w:rPr>
            </w:pPr>
          </w:p>
        </w:tc>
        <w:tc>
          <w:tcPr>
            <w:tcW w:w="6652" w:type="dxa"/>
            <w:tcBorders>
              <w:top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项目属性：服务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适用于本供应商须知的额外增加的变动：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1、关于本项目所有公告、公示在新疆政府采购网、阿瓦提县人民政府网发布。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2、请参加磋商供应商随时关注本项目的澄清、答疑、变更事项。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3、本项目实行电子招投标，供应商须登录政采云平台申请获取招标文件，并通过政采云电子投标客户端制作响应文件，同时自行承担与投标有关的一切费用。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5、有意向参与新疆区域电子开评标的供应商，可访问新疆数字证书认证中心官方网站（https://www.xjca.com.cn/）或下载“新疆政务通”APP自行进行申领。如需咨询，请联系新疆CA服务热线0991-2819290。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5、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6、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7、供应商在开标前须提前配置好电脑浏览器（建议使用360浏览器或谷歌浏览器），开标时请使用制作加密电子响应文件的CA锁进行解密及报价确认。本项目投标文件解密时间定为30分钟，如供应商因自身原因导致在规定的时间无法正常解密，视为开标后撤销其投标文件，投标保证金招标人有权不予退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8、供应商在开标截止时间后，需按新发改医价【2012】832号规定缴纳场地服务费。各地建设工程交易中心向投标企业收取的场地及设施服务费单个招投标项目最高不得超过6000元。投标企业少于6家（含6家）的按每个投标企业每次1000元收取；投标企业超过6家的，按单个招投标项目6000元由投标企业平均分摊。未按要求缴纳场地费的投标文件将被退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9、开评标现场公证费用由中标人承担。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highlight w:val="none"/>
                <w:lang w:val="en-US" w:eastAsia="zh-CN"/>
              </w:rPr>
            </w:pPr>
          </w:p>
        </w:tc>
      </w:tr>
    </w:tbl>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pPr>
        <w:pStyle w:val="3"/>
        <w:numPr>
          <w:ilvl w:val="0"/>
          <w:numId w:val="6"/>
        </w:numPr>
        <w:bidi w:val="0"/>
        <w:jc w:val="center"/>
        <w:rPr>
          <w:rFonts w:hint="eastAsia" w:ascii="仿宋_GB2312" w:hAnsi="仿宋_GB2312" w:eastAsia="仿宋_GB2312" w:cs="仿宋_GB2312"/>
          <w:sz w:val="32"/>
          <w:szCs w:val="32"/>
          <w:highlight w:val="none"/>
          <w:lang w:val="en-US" w:eastAsia="zh-CN"/>
        </w:rPr>
      </w:pPr>
      <w:bookmarkStart w:id="10" w:name="_Toc23225"/>
      <w:r>
        <w:rPr>
          <w:rFonts w:hint="eastAsia" w:ascii="仿宋_GB2312" w:hAnsi="仿宋_GB2312" w:eastAsia="仿宋_GB2312" w:cs="仿宋_GB2312"/>
          <w:sz w:val="32"/>
          <w:szCs w:val="32"/>
          <w:highlight w:val="none"/>
          <w:lang w:val="en-US" w:eastAsia="zh-CN"/>
        </w:rPr>
        <w:t>供应商须知</w:t>
      </w:r>
      <w:bookmarkEnd w:id="10"/>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jc w:val="center"/>
        <w:textAlignment w:val="auto"/>
        <w:outlineLvl w:val="1"/>
        <w:rPr>
          <w:rFonts w:hint="eastAsia" w:ascii="仿宋_GB2312" w:hAnsi="仿宋_GB2312" w:eastAsia="仿宋_GB2312" w:cs="仿宋_GB2312"/>
          <w:b/>
          <w:bCs/>
          <w:sz w:val="24"/>
          <w:szCs w:val="24"/>
          <w:highlight w:val="none"/>
        </w:rPr>
      </w:pPr>
      <w:bookmarkStart w:id="11" w:name="_Toc15221"/>
      <w:r>
        <w:rPr>
          <w:rFonts w:hint="eastAsia" w:ascii="仿宋_GB2312" w:hAnsi="仿宋_GB2312" w:eastAsia="仿宋_GB2312" w:cs="仿宋_GB2312"/>
          <w:b/>
          <w:bCs/>
          <w:sz w:val="24"/>
          <w:szCs w:val="24"/>
          <w:highlight w:val="none"/>
        </w:rPr>
        <w:t>说 明</w:t>
      </w:r>
      <w:bookmarkEnd w:id="11"/>
    </w:p>
    <w:p>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采购人、采购代理机构及供应商</w:t>
      </w:r>
    </w:p>
    <w:p>
      <w:pPr>
        <w:keepNext w:val="0"/>
        <w:keepLines w:val="0"/>
        <w:pageBreakBefore w:val="0"/>
        <w:widowControl w:val="0"/>
        <w:numPr>
          <w:ilvl w:val="1"/>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采购人：是指依法进行政府采购的国家机构、事业单位、团体组织。</w:t>
      </w:r>
    </w:p>
    <w:p>
      <w:pPr>
        <w:keepNext w:val="0"/>
        <w:keepLines w:val="0"/>
        <w:pageBreakBefore w:val="0"/>
        <w:widowControl w:val="0"/>
        <w:numPr>
          <w:ilvl w:val="1"/>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采购代理机构：本次招标的采购代理机构为新疆世纪星工程咨询有限公司。</w:t>
      </w:r>
    </w:p>
    <w:p>
      <w:pPr>
        <w:keepNext w:val="0"/>
        <w:keepLines w:val="0"/>
        <w:pageBreakBefore w:val="0"/>
        <w:widowControl w:val="0"/>
        <w:numPr>
          <w:ilvl w:val="1"/>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供应商：是指向采购人提供货物、工程或者服务的法人、其他组织或者自然人。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供应商须满足以下条件：</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具备《中华人民共和国政府采购法》第二十二条关于供应商条件的规定，遵守国家、本项目采购人本级和上级财政部门政府采购的有关规定。</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以采购文件规定的方式获得了本项目的采购文件。</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符合</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中规定的其他资格要求。</w:t>
      </w:r>
    </w:p>
    <w:p>
      <w:pPr>
        <w:keepNext w:val="0"/>
        <w:keepLines w:val="0"/>
        <w:pageBreakBefore w:val="0"/>
        <w:widowControl w:val="0"/>
        <w:numPr>
          <w:ilvl w:val="1"/>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中未写明允许采购进口产品，如供应商所投产品为进口产品，其响应文件将作为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 xml:space="preserve">被拒绝。 </w:t>
      </w:r>
    </w:p>
    <w:p>
      <w:pPr>
        <w:keepNext w:val="0"/>
        <w:keepLines w:val="0"/>
        <w:pageBreakBefore w:val="0"/>
        <w:widowControl w:val="0"/>
        <w:numPr>
          <w:ilvl w:val="1"/>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中小企业、监狱企业及残疾人福利性单位。</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采购标的对应的中小企业划分标准所属行业见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若</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中写明专门面向中小企业采购的，如供应商所提供的货物为非中小企业制造或提供的服务、工程为非中小企业承接，其响应文件将被认定为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。本项目是否面向中小企业采购预留份额、措施及比例见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，未达到上述比例的响应文件将被认定为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。承接企业如为监狱企业或残疾人福利性单位的，视同为小型、微型企业。</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 供应商提供的货物、工程或者服务符合下列情形的，享受中小企业扶持政策：</w:t>
      </w:r>
    </w:p>
    <w:p>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在货物采购项目中，货物由中小企业制造，即货物由中小企业生产且使用该中小企业商号或者注册商标；</w:t>
      </w:r>
    </w:p>
    <w:p>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在工程采购项目中，工程由中小企业承建，即工程施工单位为中小企业；</w:t>
      </w:r>
    </w:p>
    <w:p>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在货物采购项目中，供应商提供的货物既有中小企业制造货物，也有大型企业制造货物的，不享受中小企业扶持政策。 </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安置的残疾人占本单位在职职工人数的比例不低于25%（含25%），并且安置的残疾人人数不少于10人（含10人）； </w:t>
      </w:r>
    </w:p>
    <w:p>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依法与安置的每位残疾人签订了一年以上（含一年）的劳动合同或服务协议；</w:t>
      </w:r>
    </w:p>
    <w:p>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为安置的每位残疾人按月足额缴纳了基本养老保险、基本医疗保险、失业保险、工伤保险和生育保险等社会保险费；</w:t>
      </w:r>
    </w:p>
    <w:p>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通过银行等金融机构向安置的每位残疾人，按月支付了不低于单位所在区县适用的经省级人民政府批准的月最低工资标准的工资；</w:t>
      </w:r>
    </w:p>
    <w:p>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享受中小企业扶持政策获得政府采购合同的，小微企业不得将合同分包给大中型企业，中型企业不得将合同分包给大型企业。</w:t>
      </w:r>
    </w:p>
    <w:p>
      <w:pPr>
        <w:keepNext w:val="0"/>
        <w:keepLines w:val="0"/>
        <w:pageBreakBefore w:val="0"/>
        <w:widowControl w:val="0"/>
        <w:numPr>
          <w:ilvl w:val="1"/>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政府采购节能产品、环境标志产品</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pPr>
        <w:keepNext w:val="0"/>
        <w:keepLines w:val="0"/>
        <w:pageBreakBefore w:val="0"/>
        <w:widowControl w:val="0"/>
        <w:numPr>
          <w:ilvl w:val="1"/>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支持乡村产业振兴管理</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pPr>
        <w:keepNext w:val="0"/>
        <w:keepLines w:val="0"/>
        <w:pageBreakBefore w:val="0"/>
        <w:widowControl w:val="0"/>
        <w:numPr>
          <w:ilvl w:val="1"/>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 正版软件</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pPr>
        <w:keepNext w:val="0"/>
        <w:keepLines w:val="0"/>
        <w:pageBreakBefore w:val="0"/>
        <w:widowControl w:val="0"/>
        <w:numPr>
          <w:ilvl w:val="1"/>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 信息安全产品</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所投产品属于《关于调整信息安全产品强制性认证实施要求的公告》（2009 年第 33 号）范围的，采购经国家认证的信息安全产品，否则为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。关于信息安全相关规定依据《关于信息安全产品实施政府采购的通知》（财库〔2010〕48 号）。</w:t>
      </w:r>
    </w:p>
    <w:p>
      <w:pPr>
        <w:keepNext w:val="0"/>
        <w:keepLines w:val="0"/>
        <w:pageBreakBefore w:val="0"/>
        <w:widowControl w:val="0"/>
        <w:numPr>
          <w:ilvl w:val="1"/>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中允许联合体投标，对联合体规定如下：</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两个以上供应商可以组成一个联合体，以一个供应商的身份参加采购活动。</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采购人根据采购项目对供应商的特殊要求，联合体中至少应当有一方符合相关规定。</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联合体各方应签订联合体协议，明确约定联合体各方承担的工作和相应的责任，并将联合体连同响应文件一并提交采购人或采购代理机构。</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联合体中有同类资质的供应商按照联合体分工承担相同工作的，按照资质等级较低的供应商确定资质等级。</w:t>
      </w:r>
    </w:p>
    <w:p>
      <w:pPr>
        <w:keepNext w:val="0"/>
        <w:keepLines w:val="0"/>
        <w:pageBreakBefore w:val="0"/>
        <w:widowControl w:val="0"/>
        <w:numPr>
          <w:ilvl w:val="2"/>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对联合体投标的其他资格要求见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w:t>
      </w:r>
    </w:p>
    <w:p>
      <w:pPr>
        <w:keepNext w:val="0"/>
        <w:keepLines w:val="0"/>
        <w:pageBreakBefore w:val="0"/>
        <w:widowControl w:val="0"/>
        <w:numPr>
          <w:ilvl w:val="1"/>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单位负责人为同一人或者存在直接控股、管理关系的不同供应商，其响应文件将被认定为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 xml:space="preserve">。 </w:t>
      </w:r>
    </w:p>
    <w:p>
      <w:pPr>
        <w:keepNext w:val="0"/>
        <w:keepLines w:val="0"/>
        <w:pageBreakBefore w:val="0"/>
        <w:widowControl w:val="0"/>
        <w:numPr>
          <w:ilvl w:val="1"/>
          <w:numId w:val="9"/>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为本项目提供整体设计、规范编制或者项目管理、监理、检测等服务的供应商，其响应文件将被认定为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b w:val="0"/>
          <w:bCs w:val="0"/>
          <w:sz w:val="24"/>
          <w:szCs w:val="24"/>
          <w:highlight w:val="none"/>
          <w:lang w:val="en-US" w:eastAsia="zh-CN"/>
        </w:rPr>
        <w:t>。</w:t>
      </w:r>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 xml:space="preserve">资金来源 </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本项目的采购人已获得足以支付本次采购活动后所签订的合同项下的资金（包括财政性资金和本项目采购中无法与财政性资金分割的非财政性资金）。 </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项目预算金额和最高限价见</w:t>
      </w:r>
      <w:r>
        <w:rPr>
          <w:rFonts w:hint="eastAsia" w:ascii="仿宋_GB2312" w:hAnsi="仿宋_GB2312" w:eastAsia="仿宋_GB2312" w:cs="仿宋_GB2312"/>
          <w:sz w:val="24"/>
          <w:szCs w:val="24"/>
          <w:highlight w:val="none"/>
          <w:u w:val="single"/>
          <w:lang w:val="en-US" w:eastAsia="zh-CN"/>
        </w:rPr>
        <w:t>供应商须知前附表</w:t>
      </w:r>
      <w:r>
        <w:rPr>
          <w:rFonts w:hint="eastAsia" w:ascii="仿宋_GB2312" w:hAnsi="仿宋_GB2312" w:eastAsia="仿宋_GB2312" w:cs="仿宋_GB2312"/>
          <w:sz w:val="24"/>
          <w:szCs w:val="24"/>
          <w:highlight w:val="none"/>
          <w:lang w:val="en-US" w:eastAsia="zh-CN"/>
        </w:rPr>
        <w:t>。</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供应商报价超过采购文件规定的预算金额或者最高限价的，其响应文件将被认定为</w:t>
      </w:r>
      <w:r>
        <w:rPr>
          <w:rFonts w:hint="eastAsia" w:ascii="仿宋_GB2312" w:hAnsi="仿宋_GB2312" w:eastAsia="仿宋_GB2312" w:cs="仿宋_GB2312"/>
          <w:b/>
          <w:bCs/>
          <w:sz w:val="24"/>
          <w:szCs w:val="24"/>
          <w:highlight w:val="none"/>
          <w:lang w:val="en-US" w:eastAsia="zh-CN"/>
        </w:rPr>
        <w:t>无效响应</w:t>
      </w:r>
      <w:r>
        <w:rPr>
          <w:rFonts w:hint="eastAsia" w:ascii="仿宋_GB2312" w:hAnsi="仿宋_GB2312" w:eastAsia="仿宋_GB2312" w:cs="仿宋_GB2312"/>
          <w:sz w:val="24"/>
          <w:szCs w:val="24"/>
          <w:highlight w:val="none"/>
          <w:lang w:val="en-US" w:eastAsia="zh-CN"/>
        </w:rPr>
        <w:t>。</w:t>
      </w:r>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费用</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供应商应自行承担所有与准备和参加采购活动有关的费用，无论结果如何，采购人或采购代理机构在任何情况下均无承担这些费用的义务和责任。</w:t>
      </w:r>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适用法律</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sz w:val="24"/>
          <w:szCs w:val="24"/>
          <w:highlight w:val="none"/>
          <w:lang w:val="en-US" w:eastAsia="zh-CN"/>
        </w:rPr>
      </w:pP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采购文件</w:t>
      </w:r>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采购文件构成</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采购文件包括以下部分：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第一章 竞争性磋商公告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第二章 供应商须知前附表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第三章 供应商须知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第四章 政府采购合同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第五章 采购需求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第六章 评标程序、评标方法和评标标准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第七章 响应文件格式   </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仿宋_GB2312" w:hAnsi="仿宋_GB2312" w:eastAsia="仿宋_GB2312" w:cs="仿宋_GB2312"/>
          <w:b/>
          <w:bCs/>
          <w:sz w:val="24"/>
          <w:szCs w:val="24"/>
          <w:highlight w:val="none"/>
          <w:lang w:val="en-US" w:eastAsia="zh-CN"/>
        </w:rPr>
        <w:t>响应无效。</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采购文件中有不一致的，有澄清的部分以最终的澄清更正内容为准；未澄清的，以供应商须知前附表为准；供应商须知前附表不涉及的内容，以编排在后的最后描述为准。</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现场考察或者答疑会及相关事项见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采购人在踏勘现场中介绍的资料和数据等，只是为了使供应商能够利用采购人现有的资料。采购人对供应商由此而作出的推论、解释和结论概不负责。</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供应商自行承担踏勘现场发生的责任、风险和自身费用。</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原则上采购人、采购代理机构不要求供应商提供样品。除仅凭书面方式不能准确描述采购需求，或者需要对样品进行主观判断以确认是否满足采购需求等特殊情况除外。如需提供样品，对样品相关要求见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，对样品的评审方法及评审标准见采购文件第六章《评标程序、评标方法和评标标准》。</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采购文件规定供应商提交样品的，样品属于响应文件的组成部分。样品的生产、运输、安装、保全等一切费用由供应商自理。</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对采购文件的澄清或修改</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澄清或者修改的内容为采购文件的组成部分，并对所有获取采购文件的供应商具有约束力。澄清或者修改的内容可能影响采购文件编制的，将在投标截止时间至少 5 日前发布；不足 5 日的，将顺延提交响应文件的截止时间和开标时间。</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为了保证对采购文件的澄清和修改满足法律的时限要求，任何要求对采购文件进行澄清的供应商，均应在投标截止期 5 日前，以书面形式将澄清要求通知采购人或采购代理机构。</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如更正公告有重新发布电子采购文件的，供应商应登录电子招投标平台下载最新发布的电子采购文件制作响应文件。</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供应商在规定的时间内未对采购文件提出疑问、质疑或要求澄清的，将视其为无异议。对采购文件中描述有歧义或前后不一致的地方，磋商小组有权进行评判，但对同一条款的评判应适用于每个供应商。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2" w:name="_Toc21574"/>
      <w:r>
        <w:rPr>
          <w:rFonts w:hint="eastAsia" w:ascii="仿宋_GB2312" w:hAnsi="仿宋_GB2312" w:eastAsia="仿宋_GB2312" w:cs="仿宋_GB2312"/>
          <w:b/>
          <w:bCs/>
          <w:sz w:val="24"/>
          <w:szCs w:val="24"/>
          <w:highlight w:val="none"/>
          <w:lang w:val="en-US" w:eastAsia="zh-CN"/>
        </w:rPr>
        <w:t>响应文件的编制</w:t>
      </w:r>
      <w:bookmarkEnd w:id="12"/>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响应范围、响应文件中计量单位的使用及磋商语言</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供应商可对采购文件中一个或几个分包进行响应，除非在</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 xml:space="preserve">中另有规定。 </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供应商应当对所投采购包对应第五章《采购需求》所列的全部内容进行响应，如仅响应采购包中的部分内容，其该包响应文件将被认定为</w:t>
      </w:r>
      <w:r>
        <w:rPr>
          <w:rFonts w:hint="eastAsia" w:ascii="仿宋_GB2312" w:hAnsi="仿宋_GB2312" w:eastAsia="仿宋_GB2312" w:cs="仿宋_GB2312"/>
          <w:b/>
          <w:bCs/>
          <w:sz w:val="24"/>
          <w:szCs w:val="24"/>
          <w:highlight w:val="none"/>
          <w:lang w:val="en-US" w:eastAsia="zh-CN"/>
        </w:rPr>
        <w:t>响应无效</w:t>
      </w:r>
      <w:r>
        <w:rPr>
          <w:rFonts w:hint="eastAsia" w:ascii="仿宋_GB2312" w:hAnsi="仿宋_GB2312" w:eastAsia="仿宋_GB2312" w:cs="仿宋_GB2312"/>
          <w:b w:val="0"/>
          <w:bCs w:val="0"/>
          <w:sz w:val="24"/>
          <w:szCs w:val="24"/>
          <w:highlight w:val="none"/>
          <w:lang w:val="en-US" w:eastAsia="zh-CN"/>
        </w:rPr>
        <w:t>。</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无论采购文件中是否要求，供应商所投货物或服务或工程均应符合国家强制性标准。</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除采购文件有特殊要求外，本项目磋商所使用的计量单位，应采用中华人民共和国法定计量单位。</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响应文件构成</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供应商应当按照采购文件的要求编制响应文件。响应文件应由资格证明文件、报价文件、商务和技术文件四部分构成。响应文件的部分格式要求，见第七章《响应文件格式》。</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第五章《采购需求》及第六章《评标程序、评标方法和评标标准》中涉及的证明文件。</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供应商认为应附的其他材料。</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响应报价</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所有响应均以人民币报价。</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的报价应当包括满足本次采购文件全部采购需求所应提供的全部内容。供应商的响应报价应遵守《中华人民共和国价格法》。同时，根据《中华人民共和国政府采购法》及相关配套法律、法规的规定，为保证公平竞争，如供应商有赠与行为的，将导致其</w:t>
      </w:r>
      <w:r>
        <w:rPr>
          <w:rFonts w:hint="eastAsia" w:ascii="仿宋_GB2312" w:hAnsi="仿宋_GB2312" w:eastAsia="仿宋_GB2312" w:cs="仿宋_GB2312"/>
          <w:b/>
          <w:bCs/>
          <w:sz w:val="24"/>
          <w:szCs w:val="24"/>
          <w:highlight w:val="none"/>
          <w:lang w:val="en-US" w:eastAsia="zh-CN"/>
        </w:rPr>
        <w:t>响应文件被拒绝</w:t>
      </w:r>
      <w:r>
        <w:rPr>
          <w:rFonts w:hint="eastAsia" w:ascii="仿宋_GB2312" w:hAnsi="仿宋_GB2312" w:eastAsia="仿宋_GB2312" w:cs="仿宋_GB2312"/>
          <w:b w:val="0"/>
          <w:bCs w:val="0"/>
          <w:sz w:val="24"/>
          <w:szCs w:val="24"/>
          <w:highlight w:val="none"/>
          <w:lang w:val="en-US" w:eastAsia="zh-CN"/>
        </w:rPr>
        <w:t>。</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供应商所报的各分项响应单价在合同履行过程中是固定不变的，不得以任何理由予以变更。任何包含价格调整要求的响应，将被认定为其</w:t>
      </w:r>
      <w:r>
        <w:rPr>
          <w:rFonts w:hint="eastAsia" w:ascii="仿宋_GB2312" w:hAnsi="仿宋_GB2312" w:eastAsia="仿宋_GB2312" w:cs="仿宋_GB2312"/>
          <w:b/>
          <w:bCs/>
          <w:sz w:val="24"/>
          <w:szCs w:val="24"/>
          <w:highlight w:val="none"/>
          <w:lang w:val="en-US" w:eastAsia="zh-CN"/>
        </w:rPr>
        <w:t>响应文件无效</w:t>
      </w:r>
      <w:r>
        <w:rPr>
          <w:rFonts w:hint="eastAsia" w:ascii="仿宋_GB2312" w:hAnsi="仿宋_GB2312" w:eastAsia="仿宋_GB2312" w:cs="仿宋_GB2312"/>
          <w:b w:val="0"/>
          <w:bCs w:val="0"/>
          <w:sz w:val="24"/>
          <w:szCs w:val="24"/>
          <w:highlight w:val="none"/>
          <w:lang w:val="en-US" w:eastAsia="zh-CN"/>
        </w:rPr>
        <w:t>。</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按照“第五章采购需求”的需求内容、责任范围以及第四章政府采购合同”进行报价。并按“报价一览表”和“分项报价表”规定的格式报出总价和分项价格。响应总价中不得包含采购文件要求以外的内容，否则，在评审时不予核减。</w:t>
      </w:r>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磋商保证金</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供应商应按</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中规定的金额及要求交纳保证金，并作为其响应文件的一部分。</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交纳保证金的形式除</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保证金到账（保函提交）截止时间同响应截止时间。以支票、汇票、本票、网上银行支付等形式提交保证金的，应在响应截止时间前到账。由于到账时间晚于响应截止时间的，或者票据错误、印鉴不清等原因导致不能到账的，其</w:t>
      </w:r>
      <w:r>
        <w:rPr>
          <w:rFonts w:hint="eastAsia" w:ascii="仿宋_GB2312" w:hAnsi="仿宋_GB2312" w:eastAsia="仿宋_GB2312" w:cs="仿宋_GB2312"/>
          <w:b/>
          <w:bCs/>
          <w:i w:val="0"/>
          <w:iCs w:val="0"/>
          <w:sz w:val="24"/>
          <w:szCs w:val="24"/>
          <w:highlight w:val="none"/>
          <w:lang w:val="en-US" w:eastAsia="zh-CN"/>
        </w:rPr>
        <w:t>响应文件无效</w:t>
      </w:r>
      <w:r>
        <w:rPr>
          <w:rFonts w:hint="eastAsia" w:ascii="仿宋_GB2312" w:hAnsi="仿宋_GB2312" w:eastAsia="仿宋_GB2312" w:cs="仿宋_GB2312"/>
          <w:b w:val="0"/>
          <w:bCs w:val="0"/>
          <w:sz w:val="24"/>
          <w:szCs w:val="24"/>
          <w:highlight w:val="none"/>
          <w:lang w:val="en-US" w:eastAsia="zh-CN"/>
        </w:rPr>
        <w:t>。</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如采用金融机构、专业担保机构开具的投标担保函、投标保证保险函等形式提交投标保证金的，投标担保函或投标保证保险函须开具给采购人（保险受益人须为采购人），否则其</w:t>
      </w:r>
      <w:r>
        <w:rPr>
          <w:rFonts w:hint="eastAsia" w:ascii="仿宋_GB2312" w:hAnsi="仿宋_GB2312" w:eastAsia="仿宋_GB2312" w:cs="仿宋_GB2312"/>
          <w:b/>
          <w:bCs/>
          <w:sz w:val="24"/>
          <w:szCs w:val="24"/>
          <w:highlight w:val="none"/>
          <w:lang w:val="en-US" w:eastAsia="zh-CN"/>
        </w:rPr>
        <w:t>响应文件无效</w:t>
      </w:r>
      <w:r>
        <w:rPr>
          <w:rFonts w:hint="eastAsia" w:ascii="仿宋_GB2312" w:hAnsi="仿宋_GB2312" w:eastAsia="仿宋_GB2312" w:cs="仿宋_GB2312"/>
          <w:b w:val="0"/>
          <w:bCs w:val="0"/>
          <w:sz w:val="24"/>
          <w:szCs w:val="24"/>
          <w:highlight w:val="none"/>
          <w:lang w:val="en-US" w:eastAsia="zh-CN"/>
        </w:rPr>
        <w:t>。电子保函与纸质保函具有同样效力。</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保证金（保函）有效期同响应文件有效期。</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联合体磋商的，可以由联合体中的一方或者共同提交保证金，以一方名义提交磋商保证金（保函）的，对联合体各方均具有约束力。</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采购代理机构将及时退还供应商的磋商保证金，采用银行保函、担保机构担保函等形式递交的磋商保证金，经供应商同意后采购人、采购代理机构可以不再退还，但因供应商自身原因导致无法及时退还的除外。</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供应商在响应截止时间前撤回已提交的响应文件的，自收到供应商书面撤回通知之日起 5 个工作日内退还已收取的磋商保证金。 </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成交人的磋商保证金，自采购合同签订之日起 5 个工作日内退还中标人。 </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未成交人的磋商保证金，自成交通知书发出之日起 5 个工作日内退还未成交人。</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终止采购活动的项目已经收取磋商保证金的，自终止采购活动后 5 个工作日内退还已收取的磋商保证金。</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有下列情形之一的，采购人或采购代理机构可以不予退还磋商保证金：</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在响应文件有效期内，供应商撤回响应文件的； </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成交人不按本采购文件的规定与采购人签订合同的； </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成交人不按本采购文件的规定提交履约保证金的； </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成交人不按本采购文件的规定缴纳招标代理服务费的； </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存在的串通投标情形的； </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存在向采购人、代理机构或评标专家行贿事实的； </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法律、法规规定的其它情况。</w:t>
      </w:r>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响应文件有效期</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响应文件应在</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中规定的响应文件有效期内保持有效，响应文件有效期少于采购文件规定期限的，其</w:t>
      </w:r>
      <w:r>
        <w:rPr>
          <w:rFonts w:hint="eastAsia" w:ascii="仿宋_GB2312" w:hAnsi="仿宋_GB2312" w:eastAsia="仿宋_GB2312" w:cs="仿宋_GB2312"/>
          <w:b/>
          <w:bCs/>
          <w:sz w:val="24"/>
          <w:szCs w:val="24"/>
          <w:highlight w:val="none"/>
          <w:lang w:val="en-US" w:eastAsia="zh-CN"/>
        </w:rPr>
        <w:t>响应文件无效</w:t>
      </w:r>
      <w:r>
        <w:rPr>
          <w:rFonts w:hint="eastAsia" w:ascii="仿宋_GB2312" w:hAnsi="仿宋_GB2312" w:eastAsia="仿宋_GB2312" w:cs="仿宋_GB2312"/>
          <w:b w:val="0"/>
          <w:bCs w:val="0"/>
          <w:sz w:val="24"/>
          <w:szCs w:val="24"/>
          <w:highlight w:val="none"/>
          <w:lang w:val="en-US" w:eastAsia="zh-CN"/>
        </w:rPr>
        <w:t>。</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磋商保证金的要求须在延长的有效期内继续有效。供应商也可以拒绝延长响应文件有效期的要求，退还其磋商保证金。上述要求和答复都应以书面形式提交。</w:t>
      </w:r>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响应文件的制作</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请充分考虑设备、网络环境、人员对系统熟悉度等因素，合理安排响应文件制作、提交时间，建议至少提前一天完成制作、提交工作。</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供应商应使用电子招投标平台提供的投标客户端编制、标记、加密响应文件，成功加密后将生成指定格式的电子响应文件和电子备用响应文件</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如有对多个采购包响应的，要对每个采购包独立制作电子响应文件。</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供应商须对采购文件的对应要求给予唯一的实质性响应，否则将视为不响应。</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采购文件中，凡标有“※”的地方均为实质性响应条款，供应商若有一项带“※”的条款未响应或不满足，将按响应无效处理。</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3" w:name="_Toc14556"/>
      <w:r>
        <w:rPr>
          <w:rFonts w:hint="eastAsia" w:ascii="仿宋_GB2312" w:hAnsi="仿宋_GB2312" w:eastAsia="仿宋_GB2312" w:cs="仿宋_GB2312"/>
          <w:b/>
          <w:bCs/>
          <w:sz w:val="24"/>
          <w:szCs w:val="24"/>
          <w:highlight w:val="none"/>
          <w:lang w:val="en-US" w:eastAsia="zh-CN"/>
        </w:rPr>
        <w:t>响应文件的提交</w:t>
      </w:r>
      <w:bookmarkEnd w:id="13"/>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响应文件的提交</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供应商应在</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代理机构对因不可抗力事件造成的响应文件的损坏、丢失的，不承担责任。</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出现下述情形之一，属于未成功提交响应文件，按</w:t>
      </w:r>
      <w:r>
        <w:rPr>
          <w:rFonts w:hint="eastAsia" w:ascii="仿宋_GB2312" w:hAnsi="仿宋_GB2312" w:eastAsia="仿宋_GB2312" w:cs="仿宋_GB2312"/>
          <w:b/>
          <w:bCs/>
          <w:sz w:val="24"/>
          <w:szCs w:val="24"/>
          <w:highlight w:val="none"/>
          <w:lang w:val="en-US" w:eastAsia="zh-CN"/>
        </w:rPr>
        <w:t>响应无效</w:t>
      </w:r>
      <w:r>
        <w:rPr>
          <w:rFonts w:hint="eastAsia" w:ascii="仿宋_GB2312" w:hAnsi="仿宋_GB2312" w:eastAsia="仿宋_GB2312" w:cs="仿宋_GB2312"/>
          <w:b w:val="0"/>
          <w:bCs w:val="0"/>
          <w:sz w:val="24"/>
          <w:szCs w:val="24"/>
          <w:highlight w:val="none"/>
          <w:lang w:val="en-US" w:eastAsia="zh-CN"/>
        </w:rPr>
        <w:t>处理：</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至提交响应文件截止时，响应文件未完整上传的。 </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响应文件未按响应格式中注明需签字盖章的要求进行签名（含电子签名）和加盖电子印章，或签名（含电子签名）或电子印章不完整的。</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响应文件损坏或格式不正确的。</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响应文件的修改、撤回与撤销</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在提交响应文件截止时间后，供应商不得补充、修改和更换响应文件。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4" w:name="_Toc20875"/>
      <w:r>
        <w:rPr>
          <w:rFonts w:hint="eastAsia" w:ascii="仿宋_GB2312" w:hAnsi="仿宋_GB2312" w:eastAsia="仿宋_GB2312" w:cs="仿宋_GB2312"/>
          <w:b/>
          <w:bCs/>
          <w:sz w:val="24"/>
          <w:szCs w:val="24"/>
          <w:highlight w:val="none"/>
          <w:lang w:val="en-US" w:eastAsia="zh-CN"/>
        </w:rPr>
        <w:t>开标及评标</w:t>
      </w:r>
      <w:bookmarkEnd w:id="14"/>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开标</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采购人和采购代理机构将按</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中规定的开标时间和地点组织公开开标并邀请所有供应商代表参加。开标为远程电子开标。</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采用远程电子开标的：</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供应商的法定代表人或其授权代表应当按照本采购文件载明的时间和模式等要求参加开标。在</w:t>
      </w:r>
      <w:r>
        <w:rPr>
          <w:rFonts w:hint="eastAsia" w:ascii="仿宋_GB2312" w:hAnsi="仿宋_GB2312" w:eastAsia="仿宋_GB2312" w:cs="仿宋_GB2312"/>
          <w:b/>
          <w:bCs/>
          <w:sz w:val="24"/>
          <w:szCs w:val="24"/>
          <w:highlight w:val="none"/>
          <w:lang w:val="en-US" w:eastAsia="zh-CN"/>
        </w:rPr>
        <w:t>响应截止时间前30分钟</w:t>
      </w:r>
      <w:r>
        <w:rPr>
          <w:rFonts w:hint="eastAsia" w:ascii="仿宋_GB2312" w:hAnsi="仿宋_GB2312" w:eastAsia="仿宋_GB2312" w:cs="仿宋_GB2312"/>
          <w:b w:val="0"/>
          <w:bCs w:val="0"/>
          <w:sz w:val="24"/>
          <w:szCs w:val="24"/>
          <w:highlight w:val="none"/>
          <w:lang w:val="en-US" w:eastAsia="zh-CN"/>
        </w:rPr>
        <w:t>，应当登录开标大厅进行签到，并且填写授权代表的姓名与手机号码。若因签到时填写的授权代表信息有误而导致的不良后果，由供应商自行承担。</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开标时，供应商应当使用编制本项目（采购包）电子响应文件时加密所用数字证书在开始解密后按照代理机构规定的时间内完成电子投标文件的解密，如遇不可抗力等其他特殊情况，采购代理机构可视情况延长解密时间。供应商未携带数字证书或其他非系统原因导致的在规定时间内未解密响应文件，将作</w:t>
      </w:r>
      <w:r>
        <w:rPr>
          <w:rFonts w:hint="eastAsia" w:ascii="仿宋_GB2312" w:hAnsi="仿宋_GB2312" w:eastAsia="仿宋_GB2312" w:cs="仿宋_GB2312"/>
          <w:b/>
          <w:bCs/>
          <w:sz w:val="24"/>
          <w:szCs w:val="24"/>
          <w:highlight w:val="none"/>
          <w:lang w:val="en-US" w:eastAsia="zh-CN"/>
        </w:rPr>
        <w:t>响应无效</w:t>
      </w:r>
      <w:r>
        <w:rPr>
          <w:rFonts w:hint="eastAsia" w:ascii="仿宋_GB2312" w:hAnsi="仿宋_GB2312" w:eastAsia="仿宋_GB2312" w:cs="仿宋_GB2312"/>
          <w:b w:val="0"/>
          <w:bCs w:val="0"/>
          <w:sz w:val="24"/>
          <w:szCs w:val="24"/>
          <w:highlight w:val="none"/>
          <w:lang w:val="en-US" w:eastAsia="zh-CN"/>
        </w:rPr>
        <w:t>处理。（采用远程电子开标的，各供应商在参加开标以前须自行对使用电脑的网络环境、驱动安装、客户端安装以及数字证书的有效性等进行检测，确保可以正常使用）。</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在电子开标过程中出现因系统原因无法正常解密的，代理机构可根据实际情况开启上传备用电子响应文件通道。系统将对上传的备用电子响应文件的合法性进行验证，若发现提交的备用电子响应文件与加密的电子响应文件版本不一致（即两份文件不是编制响应文件同时生成的），系统将拒绝接收，视为</w:t>
      </w:r>
      <w:r>
        <w:rPr>
          <w:rFonts w:hint="eastAsia" w:ascii="仿宋_GB2312" w:hAnsi="仿宋_GB2312" w:eastAsia="仿宋_GB2312" w:cs="仿宋_GB2312"/>
          <w:b/>
          <w:bCs/>
          <w:sz w:val="24"/>
          <w:szCs w:val="24"/>
          <w:highlight w:val="none"/>
          <w:lang w:val="en-US" w:eastAsia="zh-CN"/>
        </w:rPr>
        <w:t>响应无效</w:t>
      </w:r>
      <w:r>
        <w:rPr>
          <w:rFonts w:hint="eastAsia" w:ascii="仿宋_GB2312" w:hAnsi="仿宋_GB2312" w:eastAsia="仿宋_GB2312" w:cs="仿宋_GB2312"/>
          <w:b w:val="0"/>
          <w:bCs w:val="0"/>
          <w:sz w:val="24"/>
          <w:szCs w:val="24"/>
          <w:highlight w:val="none"/>
          <w:lang w:val="en-US" w:eastAsia="zh-CN"/>
        </w:rPr>
        <w:t>。如供应商无法在代理规定的时间内完成备用电子响应文件的上传，响应文件将被拒绝，作</w:t>
      </w:r>
      <w:r>
        <w:rPr>
          <w:rFonts w:hint="eastAsia" w:ascii="仿宋_GB2312" w:hAnsi="仿宋_GB2312" w:eastAsia="仿宋_GB2312" w:cs="仿宋_GB2312"/>
          <w:b/>
          <w:bCs/>
          <w:sz w:val="24"/>
          <w:szCs w:val="24"/>
          <w:highlight w:val="none"/>
          <w:lang w:val="en-US" w:eastAsia="zh-CN"/>
        </w:rPr>
        <w:t>响应无效</w:t>
      </w:r>
      <w:r>
        <w:rPr>
          <w:rFonts w:hint="eastAsia" w:ascii="仿宋_GB2312" w:hAnsi="仿宋_GB2312" w:eastAsia="仿宋_GB2312" w:cs="仿宋_GB2312"/>
          <w:b w:val="0"/>
          <w:bCs w:val="0"/>
          <w:sz w:val="24"/>
          <w:szCs w:val="24"/>
          <w:highlight w:val="none"/>
          <w:lang w:val="en-US" w:eastAsia="zh-CN"/>
        </w:rPr>
        <w:t>处理。</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供应商代表对开标过程和开标记录有疑义，以及认为采购人、采购代理机构相关工作人员有需要回避的情形的，应当场提出询问或者回避申请。供应商未参加开标的，视同认可开标结果。</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响应截止时间后，供应商不足3家的，不得开标。同时，本次采购活动结束。</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开标时出现下列情况的，视为</w:t>
      </w:r>
      <w:r>
        <w:rPr>
          <w:rFonts w:hint="eastAsia" w:ascii="仿宋_GB2312" w:hAnsi="仿宋_GB2312" w:eastAsia="仿宋_GB2312" w:cs="仿宋_GB2312"/>
          <w:b/>
          <w:bCs/>
          <w:sz w:val="24"/>
          <w:szCs w:val="24"/>
          <w:highlight w:val="none"/>
          <w:lang w:val="en-US" w:eastAsia="zh-CN"/>
        </w:rPr>
        <w:t>响应无效</w:t>
      </w:r>
      <w:r>
        <w:rPr>
          <w:rFonts w:hint="eastAsia" w:ascii="仿宋_GB2312" w:hAnsi="仿宋_GB2312" w:eastAsia="仿宋_GB2312" w:cs="仿宋_GB2312"/>
          <w:b w:val="0"/>
          <w:bCs w:val="0"/>
          <w:sz w:val="24"/>
          <w:szCs w:val="24"/>
          <w:highlight w:val="none"/>
          <w:lang w:val="en-US" w:eastAsia="zh-CN"/>
        </w:rPr>
        <w:t>处理：</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因供应商自身原因，未在规定时间内完成电子响应文件解密的；</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如需使用备用电子响应文件解密时，在规定的解密时间内无法提供备用电子响应文件或提供的备用电子响应文件与加密的电子响应文件版本不一致（即两份文件不是投标客户端编制同时生成的）。 </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采购人或采购代理机构将对开标过程进行记录，由参加开标的各供应商代表和相关工作人员签字确认。</w:t>
      </w:r>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资格审查</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磋商小组依据法律法规和采购文件中规定的内容，对供应商及其投标货物或服务的资格进行审查，未通过资格审查的供应商不进入评标；资格证明文件不按电子招投标平台要求编制导致系统无法检索、读取相关信息时，将被认定为未通过资格审查；通过资格审查的供应商少于三家的（除法律法规规定外），不进行评标。 </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资格审查要求详见第六章《评标程序、评标方法和评标标准》。</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磋商小组</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磋商小组根据政府采购有关规定和本次采购项目的特点进行组建，并负责具体评标事务，独立履行职责。 </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评标程序、评标方法和评标标准</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详见第六章《评标程序、评标方法和评标标准》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_GB2312" w:hAnsi="仿宋_GB2312" w:eastAsia="仿宋_GB2312" w:cs="仿宋_GB2312"/>
          <w:b/>
          <w:bCs/>
          <w:sz w:val="24"/>
          <w:szCs w:val="24"/>
          <w:highlight w:val="none"/>
          <w:lang w:val="en-US" w:eastAsia="zh-CN"/>
        </w:rPr>
      </w:pPr>
      <w:bookmarkStart w:id="15" w:name="_Toc9690"/>
      <w:r>
        <w:rPr>
          <w:rFonts w:hint="eastAsia" w:ascii="仿宋_GB2312" w:hAnsi="仿宋_GB2312" w:eastAsia="仿宋_GB2312" w:cs="仿宋_GB2312"/>
          <w:b/>
          <w:bCs/>
          <w:sz w:val="24"/>
          <w:szCs w:val="24"/>
          <w:highlight w:val="none"/>
          <w:lang w:val="en-US" w:eastAsia="zh-CN"/>
        </w:rPr>
        <w:t>确定成交</w:t>
      </w:r>
      <w:bookmarkEnd w:id="15"/>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确定成交人</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采购人将在评标报告确定的成交候选人名单中按综合得分排名顺序确定成交人。采购人是否委托磋商小组直接确定成交人见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w:t>
      </w:r>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成交公告与成交通知书</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采购人或采购代理机构自中标人确定之日起 2 个工作日内，在磋商公告发布媒体发布成交结果，同时向成交人发出成交通知书，成交公告期限为 1 个工作日。</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成交通知书对采购人和成交供应商均具有法律效力。成交通知书发出后，成交供应商放弃成交项目的，应当依法承担法律责任。</w:t>
      </w:r>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废标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19.1在采购活动中，出现下列情形之一的，应予废标：</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除《政府采购竞争性磋商采购方式暂行办法》第二十一条第三款，《财政部关于政府采购竞争性磋商采购方式管理暂行办法有关问题的补充通知》（财库〔2015〕124号）规定的情形外，在采购过程中符合要求的供应商或者报价未超过采购预算的供应商不足3家的；；</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出现影响采购公正的违法、违规行为的；</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供应商的报价均超过了采购预算，采购人不能支付的；</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因重大变故，采购任务取消的。</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废标后，采购人将废标理由通知所有供应商。</w:t>
      </w:r>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签订合同</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成交人拒绝与采购人签订合同的，采购人可以按照评标报告推荐的成交候选人名单排序，确定下一候选人为成交人，也可以重新开展政府采购活动。</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联合体成交的，联合体各方应当共同与采购人签订合同，就成交项目向采购人承担连带责任。 </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政府采购合同不能转包。如采购人允许采用分包方式履行合同的，成交人可以依法在成交后将成交项目的非主体、非关键性工作采取分包方式履行合同。</w:t>
      </w:r>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履约保证金</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成交人应按照</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规定的金额、形式和时间向采购人缴纳履约保证金。</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经采购人同意，成交人也可以自愿采用其他履约保证金的提供方式。</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如果成交人没有按照上述条款规定缴纳履约保证金，将视为放弃成交资格，成交人的磋商保证金将被没收。在此情况下，采购人可确定下一候选人为成交人，也可以重新开展政府采购活动。</w:t>
      </w:r>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代理服务费</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收费对象、收费标准及缴纳时间见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。由成交人支付的，成交人须一次性向采购代理机构缴纳代理费，响应报价应包含代理费用。</w:t>
      </w:r>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询问与质疑</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询问</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中“采购人、采购代理机构的名称、地址和联系方式”。</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质疑</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供应商应知其权益受到损害之日是指：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（1）对采购文件提出质疑的，为获取采购文件之日或者采购文件获取期限届满之日；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（2）对采购过程提出质疑的，为各采购程序环节结束之日；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（3）对成交结果提出质疑的，为成交结果公告期限届满之日。</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质疑函须使用财政部制定的范本文件。</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供应商为自然人的，应当由本人签字；供应商为法人或者其他组织的，应当由法定代表人、主要负责人，或者其授权代表签字或者盖章，并加盖公章。</w:t>
      </w:r>
    </w:p>
    <w:p>
      <w:pPr>
        <w:keepNext w:val="0"/>
        <w:keepLines w:val="0"/>
        <w:pageBreakBefore w:val="0"/>
        <w:widowControl w:val="0"/>
        <w:numPr>
          <w:ilvl w:val="2"/>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pPr>
        <w:keepNext w:val="0"/>
        <w:keepLines w:val="0"/>
        <w:pageBreakBefore w:val="0"/>
        <w:widowControl w:val="0"/>
        <w:numPr>
          <w:ilvl w:val="0"/>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其他</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本次采购活动中除采购文件规定外还需执行《中华人民共和国政府采购法》、《中华人民共和国政府采购法实施条例》、《政府采购竞争性磋商采购方式管理暂行办法》（财库〔2014〕214号）及本项目本级和上级财政部门政府采购有关规定。</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pPr>
        <w:keepNext w:val="0"/>
        <w:keepLines w:val="0"/>
        <w:pageBreakBefore w:val="0"/>
        <w:widowControl w:val="0"/>
        <w:numPr>
          <w:ilvl w:val="1"/>
          <w:numId w:val="12"/>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适用于本供应商须知的额外增加的变动详见</w:t>
      </w:r>
      <w:r>
        <w:rPr>
          <w:rFonts w:hint="eastAsia" w:ascii="仿宋_GB2312" w:hAnsi="仿宋_GB2312" w:eastAsia="仿宋_GB2312" w:cs="仿宋_GB2312"/>
          <w:b w:val="0"/>
          <w:bCs w:val="0"/>
          <w:sz w:val="24"/>
          <w:szCs w:val="24"/>
          <w:highlight w:val="none"/>
          <w:u w:val="single"/>
          <w:lang w:val="en-US" w:eastAsia="zh-CN"/>
        </w:rPr>
        <w:t>供应商须知前附表</w:t>
      </w:r>
      <w:r>
        <w:rPr>
          <w:rFonts w:hint="eastAsia" w:ascii="仿宋_GB2312" w:hAnsi="仿宋_GB2312" w:eastAsia="仿宋_GB2312" w:cs="仿宋_GB2312"/>
          <w:b w:val="0"/>
          <w:bCs w:val="0"/>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pP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br w:type="page"/>
      </w:r>
    </w:p>
    <w:p>
      <w:pPr>
        <w:pStyle w:val="3"/>
        <w:numPr>
          <w:ilvl w:val="0"/>
          <w:numId w:val="6"/>
        </w:numPr>
        <w:bidi w:val="0"/>
        <w:jc w:val="center"/>
        <w:rPr>
          <w:rFonts w:hint="eastAsia" w:ascii="仿宋_GB2312" w:hAnsi="仿宋_GB2312" w:eastAsia="仿宋_GB2312" w:cs="仿宋_GB2312"/>
          <w:sz w:val="20"/>
          <w:szCs w:val="20"/>
          <w:highlight w:val="none"/>
          <w:lang w:val="en-US" w:eastAsia="zh-CN"/>
        </w:rPr>
      </w:pPr>
      <w:bookmarkStart w:id="16" w:name="_Toc14531"/>
      <w:r>
        <w:rPr>
          <w:rFonts w:hint="eastAsia" w:ascii="仿宋_GB2312" w:hAnsi="仿宋_GB2312" w:eastAsia="仿宋_GB2312" w:cs="仿宋_GB2312"/>
          <w:sz w:val="32"/>
          <w:szCs w:val="32"/>
          <w:highlight w:val="none"/>
          <w:lang w:val="en-US" w:eastAsia="zh-CN"/>
        </w:rPr>
        <w:t>政府采购合同</w:t>
      </w:r>
      <w:bookmarkEnd w:id="16"/>
      <w:r>
        <w:rPr>
          <w:rFonts w:hint="eastAsia" w:ascii="仿宋_GB2312" w:hAnsi="仿宋_GB2312" w:eastAsia="仿宋_GB2312" w:cs="仿宋_GB2312"/>
          <w:sz w:val="20"/>
          <w:szCs w:val="20"/>
          <w:highlight w:val="none"/>
          <w:lang w:val="en-US" w:eastAsia="zh-CN"/>
        </w:rPr>
        <w:t>（本合同仅供参考具体以实际签订为准）</w:t>
      </w:r>
    </w:p>
    <w:p>
      <w:pPr>
        <w:jc w:val="center"/>
        <w:rPr>
          <w:rFonts w:hint="eastAsia" w:ascii="仿宋_GB2312" w:hAnsi="仿宋_GB2312" w:eastAsia="仿宋_GB2312" w:cs="仿宋_GB2312"/>
          <w:b/>
          <w:bCs/>
          <w:sz w:val="24"/>
          <w:szCs w:val="24"/>
          <w:highlight w:val="none"/>
        </w:rPr>
      </w:pPr>
    </w:p>
    <w:p>
      <w:pPr>
        <w:adjustRightInd w:val="0"/>
        <w:snapToGrid w:val="0"/>
        <w:spacing w:before="100" w:beforeAutospacing="1" w:after="100" w:afterAutospacing="1"/>
        <w:jc w:val="center"/>
        <w:rPr>
          <w:rFonts w:hint="eastAsia" w:ascii="仿宋_GB2312" w:hAnsi="仿宋_GB2312" w:eastAsia="仿宋_GB2312" w:cs="仿宋_GB2312"/>
          <w:b/>
          <w:kern w:val="0"/>
          <w:sz w:val="40"/>
          <w:szCs w:val="21"/>
          <w:highlight w:val="none"/>
        </w:rPr>
      </w:pPr>
      <w:r>
        <w:rPr>
          <w:rFonts w:hint="eastAsia" w:ascii="仿宋_GB2312" w:hAnsi="仿宋_GB2312" w:eastAsia="仿宋_GB2312" w:cs="仿宋_GB2312"/>
          <w:b/>
          <w:kern w:val="0"/>
          <w:sz w:val="40"/>
          <w:szCs w:val="21"/>
          <w:highlight w:val="none"/>
        </w:rPr>
        <w:t>建设工程勘察合同</w:t>
      </w:r>
    </w:p>
    <w:p>
      <w:pPr>
        <w:adjustRightInd w:val="0"/>
        <w:snapToGrid w:val="0"/>
        <w:spacing w:before="100" w:beforeAutospacing="1" w:after="100" w:afterAutospacing="1"/>
        <w:jc w:val="center"/>
        <w:rPr>
          <w:rFonts w:hint="eastAsia" w:ascii="仿宋_GB2312" w:hAnsi="仿宋_GB2312" w:eastAsia="仿宋_GB2312" w:cs="仿宋_GB2312"/>
          <w:b/>
          <w:bCs/>
          <w:kern w:val="0"/>
          <w:sz w:val="40"/>
          <w:szCs w:val="21"/>
          <w:highlight w:val="none"/>
        </w:rPr>
      </w:pPr>
      <w:r>
        <w:rPr>
          <w:rFonts w:hint="eastAsia" w:ascii="仿宋_GB2312" w:hAnsi="仿宋_GB2312" w:eastAsia="仿宋_GB2312" w:cs="仿宋_GB2312"/>
          <w:kern w:val="0"/>
          <w:sz w:val="40"/>
          <w:szCs w:val="21"/>
          <w:highlight w:val="none"/>
        </w:rPr>
        <w:t>（示范文本）</w:t>
      </w:r>
    </w:p>
    <w:p>
      <w:pPr>
        <w:spacing w:before="100" w:beforeAutospacing="1" w:after="100" w:afterAutospacing="1" w:line="280" w:lineRule="atLeast"/>
        <w:jc w:val="center"/>
        <w:rPr>
          <w:rFonts w:hint="eastAsia" w:ascii="仿宋_GB2312" w:hAnsi="仿宋_GB2312" w:eastAsia="仿宋_GB2312" w:cs="仿宋_GB2312"/>
          <w:b/>
          <w:bCs/>
          <w:kern w:val="0"/>
          <w:szCs w:val="21"/>
          <w:highlight w:val="none"/>
        </w:rPr>
      </w:pPr>
    </w:p>
    <w:p>
      <w:pPr>
        <w:tabs>
          <w:tab w:val="left" w:pos="1402"/>
        </w:tabs>
        <w:spacing w:before="100" w:beforeAutospacing="1" w:after="100" w:afterAutospacing="1" w:line="280" w:lineRule="atLeast"/>
        <w:ind w:firstLine="480" w:firstLineChars="200"/>
        <w:jc w:val="center"/>
        <w:rPr>
          <w:rFonts w:hint="eastAsia" w:ascii="仿宋_GB2312" w:hAnsi="仿宋_GB2312" w:eastAsia="仿宋_GB2312" w:cs="仿宋_GB2312"/>
          <w:bCs/>
          <w:kern w:val="0"/>
          <w:szCs w:val="21"/>
          <w:highlight w:val="none"/>
        </w:rPr>
      </w:pPr>
    </w:p>
    <w:p>
      <w:pPr>
        <w:tabs>
          <w:tab w:val="left" w:pos="1402"/>
        </w:tabs>
        <w:spacing w:before="100" w:beforeAutospacing="1" w:after="100" w:afterAutospacing="1" w:line="280" w:lineRule="atLeast"/>
        <w:ind w:firstLine="480" w:firstLineChars="200"/>
        <w:jc w:val="center"/>
        <w:rPr>
          <w:rFonts w:hint="eastAsia" w:ascii="仿宋_GB2312" w:hAnsi="仿宋_GB2312" w:eastAsia="仿宋_GB2312" w:cs="仿宋_GB2312"/>
          <w:bCs/>
          <w:kern w:val="0"/>
          <w:szCs w:val="21"/>
          <w:highlight w:val="none"/>
        </w:rPr>
      </w:pPr>
    </w:p>
    <w:p>
      <w:pPr>
        <w:tabs>
          <w:tab w:val="left" w:pos="1402"/>
        </w:tabs>
        <w:spacing w:before="100" w:beforeAutospacing="1" w:after="100" w:afterAutospacing="1" w:line="280" w:lineRule="atLeast"/>
        <w:ind w:firstLine="480" w:firstLineChars="200"/>
        <w:jc w:val="center"/>
        <w:rPr>
          <w:rFonts w:hint="eastAsia" w:ascii="仿宋_GB2312" w:hAnsi="仿宋_GB2312" w:eastAsia="仿宋_GB2312" w:cs="仿宋_GB2312"/>
          <w:bCs/>
          <w:kern w:val="0"/>
          <w:szCs w:val="21"/>
          <w:highlight w:val="none"/>
        </w:rPr>
      </w:pPr>
    </w:p>
    <w:p>
      <w:pPr>
        <w:tabs>
          <w:tab w:val="left" w:pos="1402"/>
        </w:tabs>
        <w:spacing w:before="100" w:beforeAutospacing="1" w:after="100" w:afterAutospacing="1" w:line="280" w:lineRule="atLeast"/>
        <w:ind w:firstLine="480" w:firstLineChars="200"/>
        <w:jc w:val="center"/>
        <w:rPr>
          <w:rFonts w:hint="eastAsia" w:ascii="仿宋_GB2312" w:hAnsi="仿宋_GB2312" w:eastAsia="仿宋_GB2312" w:cs="仿宋_GB2312"/>
          <w:bCs/>
          <w:kern w:val="0"/>
          <w:szCs w:val="21"/>
          <w:highlight w:val="none"/>
        </w:rPr>
      </w:pPr>
    </w:p>
    <w:p>
      <w:pPr>
        <w:tabs>
          <w:tab w:val="left" w:pos="1402"/>
        </w:tabs>
        <w:spacing w:before="100" w:beforeAutospacing="1" w:after="100" w:afterAutospacing="1" w:line="280" w:lineRule="atLeast"/>
        <w:ind w:firstLine="480" w:firstLineChars="200"/>
        <w:jc w:val="center"/>
        <w:rPr>
          <w:rFonts w:hint="eastAsia" w:ascii="仿宋_GB2312" w:hAnsi="仿宋_GB2312" w:eastAsia="仿宋_GB2312" w:cs="仿宋_GB2312"/>
          <w:bCs/>
          <w:kern w:val="0"/>
          <w:szCs w:val="21"/>
          <w:highlight w:val="none"/>
        </w:rPr>
      </w:pPr>
    </w:p>
    <w:p>
      <w:pPr>
        <w:tabs>
          <w:tab w:val="left" w:pos="1402"/>
        </w:tabs>
        <w:spacing w:before="100" w:beforeAutospacing="1" w:after="100" w:afterAutospacing="1" w:line="280" w:lineRule="atLeast"/>
        <w:ind w:firstLine="480" w:firstLineChars="200"/>
        <w:jc w:val="center"/>
        <w:rPr>
          <w:rFonts w:hint="eastAsia" w:ascii="仿宋_GB2312" w:hAnsi="仿宋_GB2312" w:eastAsia="仿宋_GB2312" w:cs="仿宋_GB2312"/>
          <w:bCs/>
          <w:kern w:val="0"/>
          <w:szCs w:val="21"/>
          <w:highlight w:val="none"/>
        </w:rPr>
      </w:pPr>
    </w:p>
    <w:p>
      <w:pPr>
        <w:tabs>
          <w:tab w:val="left" w:pos="1402"/>
        </w:tabs>
        <w:spacing w:before="100" w:beforeAutospacing="1" w:after="100" w:afterAutospacing="1" w:line="280" w:lineRule="atLeast"/>
        <w:ind w:firstLine="480" w:firstLineChars="200"/>
        <w:jc w:val="center"/>
        <w:rPr>
          <w:rFonts w:hint="eastAsia" w:ascii="仿宋_GB2312" w:hAnsi="仿宋_GB2312" w:eastAsia="仿宋_GB2312" w:cs="仿宋_GB2312"/>
          <w:bCs/>
          <w:kern w:val="0"/>
          <w:szCs w:val="21"/>
          <w:highlight w:val="none"/>
        </w:rPr>
      </w:pPr>
    </w:p>
    <w:p>
      <w:pPr>
        <w:tabs>
          <w:tab w:val="left" w:pos="1402"/>
        </w:tabs>
        <w:spacing w:before="100" w:beforeAutospacing="1" w:after="100" w:afterAutospacing="1" w:line="280" w:lineRule="atLeast"/>
        <w:ind w:firstLine="480" w:firstLineChars="200"/>
        <w:jc w:val="center"/>
        <w:rPr>
          <w:rFonts w:hint="eastAsia" w:ascii="仿宋_GB2312" w:hAnsi="仿宋_GB2312" w:eastAsia="仿宋_GB2312" w:cs="仿宋_GB2312"/>
          <w:bCs/>
          <w:kern w:val="0"/>
          <w:szCs w:val="21"/>
          <w:highlight w:val="none"/>
        </w:rPr>
      </w:pPr>
    </w:p>
    <w:p>
      <w:pPr>
        <w:tabs>
          <w:tab w:val="left" w:pos="1402"/>
        </w:tabs>
        <w:spacing w:before="100" w:beforeAutospacing="1" w:after="100" w:afterAutospacing="1" w:line="280" w:lineRule="atLeast"/>
        <w:ind w:firstLine="480" w:firstLineChars="200"/>
        <w:jc w:val="center"/>
        <w:rPr>
          <w:rFonts w:hint="eastAsia" w:ascii="仿宋_GB2312" w:hAnsi="仿宋_GB2312" w:eastAsia="仿宋_GB2312" w:cs="仿宋_GB2312"/>
          <w:bCs/>
          <w:kern w:val="0"/>
          <w:szCs w:val="21"/>
          <w:highlight w:val="none"/>
        </w:rPr>
      </w:pPr>
    </w:p>
    <w:p>
      <w:pPr>
        <w:tabs>
          <w:tab w:val="left" w:pos="1402"/>
        </w:tabs>
        <w:spacing w:before="100" w:beforeAutospacing="1" w:after="100" w:afterAutospacing="1" w:line="280" w:lineRule="atLeast"/>
        <w:ind w:firstLine="480" w:firstLineChars="200"/>
        <w:jc w:val="center"/>
        <w:rPr>
          <w:rFonts w:hint="eastAsia" w:ascii="仿宋_GB2312" w:hAnsi="仿宋_GB2312" w:eastAsia="仿宋_GB2312" w:cs="仿宋_GB2312"/>
          <w:bCs/>
          <w:kern w:val="0"/>
          <w:szCs w:val="21"/>
          <w:highlight w:val="none"/>
        </w:rPr>
      </w:pPr>
    </w:p>
    <w:p>
      <w:pPr>
        <w:tabs>
          <w:tab w:val="left" w:pos="1402"/>
        </w:tabs>
        <w:spacing w:before="100" w:beforeAutospacing="1" w:after="100" w:afterAutospacing="1" w:line="280" w:lineRule="atLeast"/>
        <w:ind w:firstLine="480" w:firstLineChars="200"/>
        <w:rPr>
          <w:rFonts w:hint="eastAsia" w:ascii="仿宋_GB2312" w:hAnsi="仿宋_GB2312" w:eastAsia="仿宋_GB2312" w:cs="仿宋_GB2312"/>
          <w:bCs/>
          <w:kern w:val="0"/>
          <w:szCs w:val="21"/>
          <w:highlight w:val="none"/>
        </w:rPr>
      </w:pPr>
    </w:p>
    <w:tbl>
      <w:tblPr>
        <w:tblStyle w:val="26"/>
        <w:tblpPr w:leftFromText="180" w:rightFromText="180" w:vertAnchor="text" w:horzAnchor="page" w:tblpX="4083" w:tblpY="424"/>
        <w:tblW w:w="4482" w:type="dxa"/>
        <w:tblInd w:w="0" w:type="dxa"/>
        <w:tblLayout w:type="fixed"/>
        <w:tblCellMar>
          <w:top w:w="0" w:type="dxa"/>
          <w:left w:w="108" w:type="dxa"/>
          <w:bottom w:w="0" w:type="dxa"/>
          <w:right w:w="108" w:type="dxa"/>
        </w:tblCellMar>
      </w:tblPr>
      <w:tblGrid>
        <w:gridCol w:w="3505"/>
        <w:gridCol w:w="977"/>
      </w:tblGrid>
      <w:tr>
        <w:tblPrEx>
          <w:tblCellMar>
            <w:top w:w="0" w:type="dxa"/>
            <w:left w:w="108" w:type="dxa"/>
            <w:bottom w:w="0" w:type="dxa"/>
            <w:right w:w="108" w:type="dxa"/>
          </w:tblCellMar>
        </w:tblPrEx>
        <w:trPr>
          <w:trHeight w:val="567" w:hRule="exact"/>
        </w:trPr>
        <w:tc>
          <w:tcPr>
            <w:tcW w:w="3505" w:type="dxa"/>
            <w:vAlign w:val="center"/>
          </w:tcPr>
          <w:p>
            <w:pPr>
              <w:keepNext w:val="0"/>
              <w:keepLines w:val="0"/>
              <w:suppressLineNumbers w:val="0"/>
              <w:adjustRightInd w:val="0"/>
              <w:snapToGrid w:val="0"/>
              <w:spacing w:before="100" w:beforeAutospacing="1" w:after="100" w:afterAutospacing="1" w:line="280" w:lineRule="atLeast"/>
              <w:ind w:left="0" w:right="0"/>
              <w:rPr>
                <w:rFonts w:hint="eastAsia" w:ascii="仿宋_GB2312" w:hAnsi="仿宋_GB2312" w:eastAsia="仿宋_GB2312" w:cs="仿宋_GB2312"/>
                <w:b/>
                <w:spacing w:val="40"/>
                <w:sz w:val="28"/>
                <w:szCs w:val="21"/>
                <w:highlight w:val="none"/>
              </w:rPr>
            </w:pPr>
            <w:r>
              <w:rPr>
                <w:rFonts w:hint="eastAsia" w:ascii="仿宋_GB2312" w:hAnsi="仿宋_GB2312" w:eastAsia="仿宋_GB2312" w:cs="仿宋_GB2312"/>
                <w:b/>
                <w:spacing w:val="40"/>
                <w:sz w:val="28"/>
                <w:szCs w:val="21"/>
                <w:highlight w:val="none"/>
              </w:rPr>
              <w:t>住房和城乡建设部</w:t>
            </w:r>
          </w:p>
        </w:tc>
        <w:tc>
          <w:tcPr>
            <w:tcW w:w="977" w:type="dxa"/>
            <w:vMerge w:val="restart"/>
            <w:vAlign w:val="center"/>
          </w:tcPr>
          <w:p>
            <w:pPr>
              <w:keepNext w:val="0"/>
              <w:keepLines w:val="0"/>
              <w:suppressLineNumbers w:val="0"/>
              <w:spacing w:before="100" w:beforeAutospacing="1" w:after="100" w:afterAutospacing="1" w:line="280" w:lineRule="atLeast"/>
              <w:ind w:left="0" w:right="0"/>
              <w:rPr>
                <w:rFonts w:hint="eastAsia" w:ascii="仿宋_GB2312" w:hAnsi="仿宋_GB2312" w:eastAsia="仿宋_GB2312" w:cs="仿宋_GB2312"/>
                <w:b/>
                <w:sz w:val="28"/>
                <w:szCs w:val="21"/>
                <w:highlight w:val="none"/>
              </w:rPr>
            </w:pPr>
            <w:r>
              <w:rPr>
                <w:rFonts w:hint="eastAsia" w:ascii="仿宋_GB2312" w:hAnsi="仿宋_GB2312" w:eastAsia="仿宋_GB2312" w:cs="仿宋_GB2312"/>
                <w:b/>
                <w:sz w:val="28"/>
                <w:szCs w:val="21"/>
                <w:highlight w:val="none"/>
              </w:rPr>
              <w:t>制定</w:t>
            </w:r>
          </w:p>
        </w:tc>
      </w:tr>
      <w:tr>
        <w:tblPrEx>
          <w:tblCellMar>
            <w:top w:w="0" w:type="dxa"/>
            <w:left w:w="108" w:type="dxa"/>
            <w:bottom w:w="0" w:type="dxa"/>
            <w:right w:w="108" w:type="dxa"/>
          </w:tblCellMar>
        </w:tblPrEx>
        <w:trPr>
          <w:trHeight w:val="567" w:hRule="exact"/>
        </w:trPr>
        <w:tc>
          <w:tcPr>
            <w:tcW w:w="3505" w:type="dxa"/>
            <w:vAlign w:val="center"/>
          </w:tcPr>
          <w:p>
            <w:pPr>
              <w:keepNext w:val="0"/>
              <w:keepLines w:val="0"/>
              <w:suppressLineNumbers w:val="0"/>
              <w:adjustRightInd w:val="0"/>
              <w:snapToGrid w:val="0"/>
              <w:spacing w:before="100" w:beforeAutospacing="1" w:after="100" w:afterAutospacing="1" w:line="280" w:lineRule="atLeast"/>
              <w:ind w:left="0" w:right="0"/>
              <w:rPr>
                <w:rFonts w:hint="eastAsia" w:ascii="仿宋_GB2312" w:hAnsi="仿宋_GB2312" w:eastAsia="仿宋_GB2312" w:cs="仿宋_GB2312"/>
                <w:b/>
                <w:sz w:val="28"/>
                <w:szCs w:val="21"/>
                <w:highlight w:val="none"/>
              </w:rPr>
            </w:pPr>
            <w:r>
              <w:rPr>
                <w:rFonts w:hint="eastAsia" w:ascii="仿宋_GB2312" w:hAnsi="仿宋_GB2312" w:eastAsia="仿宋_GB2312" w:cs="仿宋_GB2312"/>
                <w:b/>
                <w:sz w:val="28"/>
                <w:szCs w:val="21"/>
                <w:highlight w:val="none"/>
              </w:rPr>
              <w:t>国家工商行政管理总局</w:t>
            </w:r>
          </w:p>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1"/>
                <w:highlight w:val="none"/>
              </w:rPr>
            </w:pPr>
          </w:p>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1"/>
                <w:highlight w:val="none"/>
              </w:rPr>
            </w:pPr>
          </w:p>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1"/>
                <w:highlight w:val="none"/>
              </w:rPr>
            </w:pPr>
          </w:p>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1"/>
                <w:highlight w:val="none"/>
              </w:rPr>
            </w:pPr>
          </w:p>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1"/>
                <w:highlight w:val="none"/>
              </w:rPr>
            </w:pPr>
          </w:p>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1"/>
                <w:highlight w:val="none"/>
              </w:rPr>
            </w:pPr>
          </w:p>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1"/>
                <w:highlight w:val="none"/>
              </w:rPr>
            </w:pPr>
          </w:p>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1"/>
                <w:highlight w:val="none"/>
              </w:rPr>
            </w:pPr>
          </w:p>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1"/>
                <w:highlight w:val="none"/>
              </w:rPr>
            </w:pPr>
          </w:p>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1"/>
                <w:highlight w:val="none"/>
              </w:rPr>
            </w:pPr>
          </w:p>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1"/>
                <w:highlight w:val="none"/>
              </w:rPr>
            </w:pPr>
          </w:p>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1"/>
                <w:highlight w:val="none"/>
              </w:rPr>
            </w:pPr>
          </w:p>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1"/>
                <w:highlight w:val="none"/>
              </w:rPr>
            </w:pPr>
          </w:p>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1"/>
                <w:highlight w:val="none"/>
              </w:rPr>
            </w:pPr>
          </w:p>
          <w:p>
            <w:pPr>
              <w:keepNext w:val="0"/>
              <w:keepLines w:val="0"/>
              <w:suppressLineNumbers w:val="0"/>
              <w:spacing w:before="0" w:beforeAutospacing="0" w:after="0" w:afterAutospacing="0"/>
              <w:ind w:left="0" w:right="0"/>
              <w:rPr>
                <w:rFonts w:hint="eastAsia" w:ascii="仿宋_GB2312" w:hAnsi="仿宋_GB2312" w:eastAsia="仿宋_GB2312" w:cs="仿宋_GB2312"/>
                <w:sz w:val="28"/>
                <w:szCs w:val="21"/>
                <w:highlight w:val="none"/>
              </w:rPr>
            </w:pPr>
          </w:p>
        </w:tc>
        <w:tc>
          <w:tcPr>
            <w:tcW w:w="977" w:type="dxa"/>
            <w:vMerge w:val="continue"/>
            <w:vAlign w:val="center"/>
          </w:tcPr>
          <w:p>
            <w:pPr>
              <w:keepNext w:val="0"/>
              <w:keepLines w:val="0"/>
              <w:suppressLineNumbers w:val="0"/>
              <w:spacing w:before="100" w:beforeAutospacing="1" w:after="100" w:afterAutospacing="1" w:line="280" w:lineRule="atLeast"/>
              <w:ind w:left="0" w:right="0"/>
              <w:rPr>
                <w:rFonts w:hint="eastAsia" w:ascii="仿宋_GB2312" w:hAnsi="仿宋_GB2312" w:eastAsia="仿宋_GB2312" w:cs="仿宋_GB2312"/>
                <w:bCs/>
                <w:kern w:val="0"/>
                <w:sz w:val="28"/>
                <w:szCs w:val="21"/>
                <w:highlight w:val="none"/>
              </w:rPr>
            </w:pPr>
          </w:p>
        </w:tc>
      </w:tr>
    </w:tbl>
    <w:p>
      <w:pPr>
        <w:tabs>
          <w:tab w:val="left" w:pos="1402"/>
        </w:tabs>
        <w:spacing w:before="100" w:beforeAutospacing="1" w:after="100" w:afterAutospacing="1" w:line="280" w:lineRule="atLeast"/>
        <w:ind w:firstLine="480" w:firstLineChars="200"/>
        <w:jc w:val="center"/>
        <w:rPr>
          <w:rFonts w:hint="eastAsia" w:ascii="仿宋_GB2312" w:hAnsi="仿宋_GB2312" w:eastAsia="仿宋_GB2312" w:cs="仿宋_GB2312"/>
          <w:bCs/>
          <w:kern w:val="0"/>
          <w:szCs w:val="21"/>
          <w:highlight w:val="none"/>
        </w:rPr>
      </w:pPr>
    </w:p>
    <w:p>
      <w:pPr>
        <w:spacing w:before="100" w:beforeAutospacing="1" w:after="100" w:afterAutospacing="1" w:line="280" w:lineRule="atLeast"/>
        <w:jc w:val="center"/>
        <w:rPr>
          <w:rFonts w:hint="eastAsia" w:ascii="仿宋_GB2312" w:hAnsi="仿宋_GB2312" w:eastAsia="仿宋_GB2312" w:cs="仿宋_GB2312"/>
          <w:bCs/>
          <w:kern w:val="0"/>
          <w:szCs w:val="21"/>
          <w:highlight w:val="none"/>
        </w:rPr>
        <w:sectPr>
          <w:headerReference r:id="rId7" w:type="first"/>
          <w:footerReference r:id="rId10" w:type="first"/>
          <w:headerReference r:id="rId6" w:type="default"/>
          <w:footerReference r:id="rId8" w:type="default"/>
          <w:footerReference r:id="rId9" w:type="even"/>
          <w:pgSz w:w="11906" w:h="16838"/>
          <w:pgMar w:top="1417" w:right="1627" w:bottom="1417" w:left="1599" w:header="851" w:footer="992" w:gutter="0"/>
          <w:pgNumType w:fmt="decimal" w:start="1"/>
          <w:cols w:space="720" w:num="1"/>
          <w:titlePg/>
          <w:docGrid w:type="lines" w:linePitch="312" w:charSpace="0"/>
        </w:sectPr>
      </w:pPr>
    </w:p>
    <w:p>
      <w:pPr>
        <w:tabs>
          <w:tab w:val="left" w:pos="765"/>
        </w:tabs>
        <w:adjustRightInd w:val="0"/>
        <w:snapToGrid w:val="0"/>
        <w:spacing w:line="360" w:lineRule="auto"/>
        <w:ind w:left="482" w:hanging="482" w:hangingChars="150"/>
        <w:jc w:val="center"/>
        <w:rPr>
          <w:rFonts w:hint="eastAsia" w:ascii="仿宋_GB2312" w:hAnsi="仿宋_GB2312" w:eastAsia="仿宋_GB2312" w:cs="仿宋_GB2312"/>
          <w:b/>
          <w:kern w:val="0"/>
          <w:sz w:val="32"/>
          <w:szCs w:val="32"/>
          <w:highlight w:val="none"/>
        </w:rPr>
      </w:pPr>
      <w:bookmarkStart w:id="17" w:name="_Toc457826138"/>
      <w:bookmarkStart w:id="18" w:name="_Toc406150409"/>
      <w:r>
        <w:rPr>
          <w:rFonts w:hint="eastAsia" w:ascii="仿宋_GB2312" w:hAnsi="仿宋_GB2312" w:eastAsia="仿宋_GB2312" w:cs="仿宋_GB2312"/>
          <w:b/>
          <w:kern w:val="0"/>
          <w:sz w:val="32"/>
          <w:szCs w:val="32"/>
          <w:highlight w:val="none"/>
        </w:rPr>
        <w:t>第一部分　合同协议书</w:t>
      </w:r>
      <w:bookmarkEnd w:id="17"/>
      <w:bookmarkEnd w:id="18"/>
    </w:p>
    <w:p>
      <w:pPr>
        <w:adjustRightInd w:val="0"/>
        <w:snapToGrid w:val="0"/>
        <w:spacing w:line="420" w:lineRule="exact"/>
        <w:ind w:firstLine="482" w:firstLineChars="200"/>
        <w:jc w:val="left"/>
        <w:rPr>
          <w:rFonts w:hint="eastAsia" w:ascii="仿宋_GB2312" w:hAnsi="仿宋_GB2312" w:eastAsia="仿宋_GB2312" w:cs="仿宋_GB2312"/>
          <w:b/>
          <w:kern w:val="0"/>
          <w:szCs w:val="21"/>
          <w:highlight w:val="none"/>
          <w:u w:val="single"/>
        </w:rPr>
      </w:pPr>
      <w:r>
        <w:rPr>
          <w:rFonts w:hint="eastAsia" w:ascii="仿宋_GB2312" w:hAnsi="仿宋_GB2312" w:eastAsia="仿宋_GB2312" w:cs="仿宋_GB2312"/>
          <w:b/>
          <w:kern w:val="0"/>
          <w:szCs w:val="21"/>
          <w:highlight w:val="none"/>
        </w:rPr>
        <w:t>发包人（全称）：</w:t>
      </w:r>
      <w:r>
        <w:rPr>
          <w:rFonts w:hint="eastAsia" w:ascii="仿宋_GB2312" w:hAnsi="仿宋_GB2312" w:eastAsia="仿宋_GB2312" w:cs="仿宋_GB2312"/>
          <w:kern w:val="0"/>
          <w:szCs w:val="21"/>
          <w:highlight w:val="none"/>
          <w:u w:val="single"/>
        </w:rPr>
        <w:t xml:space="preserve">                  </w:t>
      </w:r>
      <w:r>
        <w:rPr>
          <w:rFonts w:hint="eastAsia" w:ascii="仿宋_GB2312" w:hAnsi="仿宋_GB2312" w:eastAsia="仿宋_GB2312" w:cs="仿宋_GB2312"/>
          <w:kern w:val="0"/>
          <w:szCs w:val="21"/>
          <w:highlight w:val="none"/>
          <w:u w:val="single"/>
          <w:lang w:val="en-US" w:eastAsia="zh-CN"/>
        </w:rPr>
        <w:t xml:space="preserve">   </w:t>
      </w:r>
      <w:r>
        <w:rPr>
          <w:rFonts w:hint="eastAsia" w:ascii="仿宋_GB2312" w:hAnsi="仿宋_GB2312" w:eastAsia="仿宋_GB2312" w:cs="仿宋_GB2312"/>
          <w:kern w:val="0"/>
          <w:szCs w:val="21"/>
          <w:highlight w:val="none"/>
          <w:u w:val="single"/>
        </w:rPr>
        <w:t xml:space="preserve">      </w:t>
      </w:r>
      <w:r>
        <w:rPr>
          <w:rFonts w:hint="eastAsia" w:ascii="仿宋_GB2312" w:hAnsi="仿宋_GB2312" w:eastAsia="仿宋_GB2312" w:cs="仿宋_GB2312"/>
          <w:b/>
          <w:kern w:val="0"/>
          <w:szCs w:val="21"/>
          <w:highlight w:val="none"/>
          <w:u w:val="single"/>
        </w:rPr>
        <w:t xml:space="preserve">   </w:t>
      </w:r>
    </w:p>
    <w:p>
      <w:pPr>
        <w:adjustRightInd w:val="0"/>
        <w:snapToGrid w:val="0"/>
        <w:spacing w:line="420" w:lineRule="exact"/>
        <w:ind w:firstLine="482" w:firstLineChars="200"/>
        <w:jc w:val="left"/>
        <w:rPr>
          <w:rFonts w:hint="eastAsia" w:ascii="仿宋_GB2312" w:hAnsi="仿宋_GB2312" w:eastAsia="仿宋_GB2312" w:cs="仿宋_GB2312"/>
          <w:b/>
          <w:kern w:val="0"/>
          <w:szCs w:val="21"/>
          <w:highlight w:val="none"/>
          <w:lang w:val="en-US" w:eastAsia="zh-CN"/>
        </w:rPr>
      </w:pPr>
      <w:r>
        <w:rPr>
          <w:rFonts w:hint="eastAsia" w:ascii="仿宋_GB2312" w:hAnsi="仿宋_GB2312" w:eastAsia="仿宋_GB2312" w:cs="仿宋_GB2312"/>
          <w:b/>
          <w:kern w:val="0"/>
          <w:szCs w:val="21"/>
          <w:highlight w:val="none"/>
        </w:rPr>
        <w:t>勘察人（全称）：</w:t>
      </w:r>
      <w:r>
        <w:rPr>
          <w:rFonts w:hint="eastAsia" w:ascii="仿宋_GB2312" w:hAnsi="仿宋_GB2312" w:eastAsia="仿宋_GB2312" w:cs="仿宋_GB2312"/>
          <w:b/>
          <w:kern w:val="0"/>
          <w:szCs w:val="21"/>
          <w:highlight w:val="none"/>
          <w:u w:val="single"/>
          <w:lang w:val="en-US" w:eastAsia="zh-CN"/>
        </w:rPr>
        <w:t xml:space="preserve">                               </w:t>
      </w:r>
    </w:p>
    <w:p>
      <w:pPr>
        <w:adjustRightInd w:val="0"/>
        <w:snapToGrid w:val="0"/>
        <w:spacing w:line="420" w:lineRule="exact"/>
        <w:ind w:firstLine="480" w:firstLineChars="200"/>
        <w:jc w:val="left"/>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根据《中华人民共和国合同法》、《中华人民共和国建筑法》、</w:t>
      </w:r>
      <w:r>
        <w:rPr>
          <w:rFonts w:hint="eastAsia" w:ascii="仿宋_GB2312" w:hAnsi="仿宋_GB2312" w:eastAsia="仿宋_GB2312" w:cs="仿宋_GB2312"/>
          <w:szCs w:val="21"/>
          <w:highlight w:val="none"/>
        </w:rPr>
        <w:t>《中华人民共和国招标投标法》</w:t>
      </w:r>
      <w:r>
        <w:rPr>
          <w:rFonts w:hint="eastAsia" w:ascii="仿宋_GB2312" w:hAnsi="仿宋_GB2312" w:eastAsia="仿宋_GB2312" w:cs="仿宋_GB2312"/>
          <w:kern w:val="0"/>
          <w:szCs w:val="21"/>
          <w:highlight w:val="none"/>
        </w:rPr>
        <w:t>等相关法律法规的规定，遵循平等、自愿、公平和诚实信用的原则，双方就</w:t>
      </w:r>
      <w:r>
        <w:rPr>
          <w:rFonts w:hint="eastAsia" w:ascii="仿宋_GB2312" w:hAnsi="仿宋_GB2312" w:eastAsia="仿宋_GB2312" w:cs="仿宋_GB2312"/>
          <w:kern w:val="0"/>
          <w:szCs w:val="21"/>
          <w:highlight w:val="none"/>
          <w:u w:val="single"/>
          <w:lang w:val="en-US" w:eastAsia="zh-CN"/>
        </w:rPr>
        <w:t xml:space="preserve">                         </w:t>
      </w:r>
      <w:r>
        <w:rPr>
          <w:rFonts w:hint="eastAsia" w:ascii="仿宋_GB2312" w:hAnsi="仿宋_GB2312" w:eastAsia="仿宋_GB2312" w:cs="仿宋_GB2312"/>
          <w:kern w:val="0"/>
          <w:szCs w:val="21"/>
          <w:highlight w:val="none"/>
        </w:rPr>
        <w:t>项目工程勘察有关事项协商一致，达成如下协议。</w:t>
      </w:r>
    </w:p>
    <w:p>
      <w:pPr>
        <w:tabs>
          <w:tab w:val="left" w:pos="54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bookmarkStart w:id="19" w:name="_Toc40441663"/>
      <w:bookmarkStart w:id="20" w:name="_Toc406150410"/>
      <w:bookmarkStart w:id="21" w:name="_Toc457826139"/>
      <w:r>
        <w:rPr>
          <w:rFonts w:hint="eastAsia" w:ascii="仿宋_GB2312" w:hAnsi="仿宋_GB2312" w:eastAsia="仿宋_GB2312" w:cs="仿宋_GB2312"/>
          <w:b/>
          <w:kern w:val="0"/>
          <w:szCs w:val="21"/>
          <w:highlight w:val="none"/>
        </w:rPr>
        <w:t>一、工程概况</w:t>
      </w:r>
      <w:bookmarkEnd w:id="19"/>
      <w:bookmarkEnd w:id="20"/>
      <w:bookmarkEnd w:id="21"/>
    </w:p>
    <w:p>
      <w:pPr>
        <w:adjustRightInd w:val="0"/>
        <w:snapToGrid w:val="0"/>
        <w:spacing w:line="420" w:lineRule="exact"/>
        <w:ind w:firstLine="480" w:firstLineChars="200"/>
        <w:jc w:val="left"/>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1.工程名称：</w:t>
      </w:r>
      <w:r>
        <w:rPr>
          <w:rFonts w:hint="eastAsia" w:ascii="仿宋_GB2312" w:hAnsi="仿宋_GB2312" w:eastAsia="仿宋_GB2312" w:cs="仿宋_GB2312"/>
          <w:kern w:val="0"/>
          <w:szCs w:val="21"/>
          <w:highlight w:val="none"/>
          <w:u w:val="single"/>
        </w:rPr>
        <w:t xml:space="preserve">                   </w:t>
      </w:r>
    </w:p>
    <w:p>
      <w:pPr>
        <w:adjustRightInd w:val="0"/>
        <w:snapToGrid w:val="0"/>
        <w:spacing w:line="420" w:lineRule="exact"/>
        <w:ind w:firstLine="480" w:firstLineChars="200"/>
        <w:jc w:val="left"/>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2.工程地点：</w:t>
      </w:r>
      <w:r>
        <w:rPr>
          <w:rFonts w:hint="eastAsia" w:ascii="仿宋_GB2312" w:hAnsi="仿宋_GB2312" w:eastAsia="仿宋_GB2312" w:cs="仿宋_GB2312"/>
          <w:kern w:val="0"/>
          <w:szCs w:val="21"/>
          <w:highlight w:val="none"/>
          <w:u w:val="single"/>
        </w:rPr>
        <w:t xml:space="preserve">                   </w:t>
      </w:r>
    </w:p>
    <w:p>
      <w:pPr>
        <w:adjustRightInd w:val="0"/>
        <w:snapToGrid w:val="0"/>
        <w:spacing w:line="420" w:lineRule="exact"/>
        <w:ind w:firstLine="200"/>
        <w:jc w:val="left"/>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 xml:space="preserve">  3.工程概况：</w:t>
      </w:r>
      <w:r>
        <w:rPr>
          <w:rFonts w:hint="eastAsia" w:ascii="仿宋_GB2312" w:hAnsi="仿宋_GB2312" w:eastAsia="仿宋_GB2312" w:cs="仿宋_GB2312"/>
          <w:kern w:val="0"/>
          <w:szCs w:val="21"/>
          <w:highlight w:val="none"/>
          <w:u w:val="single"/>
        </w:rPr>
        <w:t xml:space="preserve">                   </w:t>
      </w:r>
    </w:p>
    <w:p>
      <w:pPr>
        <w:tabs>
          <w:tab w:val="left" w:pos="54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bookmarkStart w:id="22" w:name="_Toc40441664"/>
      <w:bookmarkStart w:id="23" w:name="_Toc457826140"/>
      <w:r>
        <w:rPr>
          <w:rFonts w:hint="eastAsia" w:ascii="仿宋_GB2312" w:hAnsi="仿宋_GB2312" w:eastAsia="仿宋_GB2312" w:cs="仿宋_GB2312"/>
          <w:b/>
          <w:kern w:val="0"/>
          <w:szCs w:val="21"/>
          <w:highlight w:val="none"/>
        </w:rPr>
        <w:t>二、勘察范围、技术要求及工作量</w:t>
      </w:r>
      <w:bookmarkEnd w:id="22"/>
      <w:bookmarkEnd w:id="23"/>
    </w:p>
    <w:p>
      <w:pPr>
        <w:adjustRightInd w:val="0"/>
        <w:snapToGrid w:val="0"/>
        <w:spacing w:line="420" w:lineRule="exact"/>
        <w:ind w:firstLine="480" w:firstLineChars="200"/>
        <w:jc w:val="left"/>
        <w:rPr>
          <w:rFonts w:hint="eastAsia" w:ascii="仿宋_GB2312" w:hAnsi="仿宋_GB2312" w:eastAsia="仿宋_GB2312" w:cs="仿宋_GB2312"/>
          <w:kern w:val="0"/>
          <w:szCs w:val="21"/>
          <w:highlight w:val="none"/>
          <w:u w:val="single"/>
        </w:rPr>
      </w:pPr>
      <w:r>
        <w:rPr>
          <w:rFonts w:hint="eastAsia" w:ascii="仿宋_GB2312" w:hAnsi="仿宋_GB2312" w:eastAsia="仿宋_GB2312" w:cs="仿宋_GB2312"/>
          <w:kern w:val="0"/>
          <w:szCs w:val="21"/>
          <w:highlight w:val="none"/>
        </w:rPr>
        <w:t>1.勘察</w:t>
      </w:r>
      <w:r>
        <w:rPr>
          <w:rFonts w:hint="eastAsia" w:ascii="仿宋_GB2312" w:hAnsi="仿宋_GB2312" w:eastAsia="仿宋_GB2312" w:cs="仿宋_GB2312"/>
          <w:kern w:val="0"/>
          <w:szCs w:val="21"/>
          <w:highlight w:val="none"/>
          <w:lang w:val="en-US" w:eastAsia="zh-CN"/>
        </w:rPr>
        <w:t>设计</w:t>
      </w:r>
      <w:r>
        <w:rPr>
          <w:rFonts w:hint="eastAsia" w:ascii="仿宋_GB2312" w:hAnsi="仿宋_GB2312" w:eastAsia="仿宋_GB2312" w:cs="仿宋_GB2312"/>
          <w:kern w:val="0"/>
          <w:szCs w:val="21"/>
          <w:highlight w:val="none"/>
        </w:rPr>
        <w:t>范围：</w:t>
      </w:r>
      <w:r>
        <w:rPr>
          <w:rFonts w:hint="eastAsia" w:ascii="仿宋_GB2312" w:hAnsi="仿宋_GB2312" w:eastAsia="仿宋_GB2312" w:cs="仿宋_GB2312"/>
          <w:kern w:val="0"/>
          <w:szCs w:val="21"/>
          <w:highlight w:val="none"/>
          <w:u w:val="single"/>
          <w:lang w:val="en-US" w:eastAsia="zh-CN"/>
        </w:rPr>
        <w:t xml:space="preserve">                     </w:t>
      </w:r>
      <w:r>
        <w:rPr>
          <w:rFonts w:hint="eastAsia" w:ascii="仿宋_GB2312" w:hAnsi="仿宋_GB2312" w:eastAsia="仿宋_GB2312" w:cs="仿宋_GB2312"/>
          <w:kern w:val="0"/>
          <w:szCs w:val="21"/>
          <w:highlight w:val="none"/>
          <w:u w:val="single"/>
        </w:rPr>
        <w:t>。</w:t>
      </w:r>
    </w:p>
    <w:p>
      <w:pPr>
        <w:adjustRightInd w:val="0"/>
        <w:snapToGrid w:val="0"/>
        <w:spacing w:line="420" w:lineRule="exact"/>
        <w:ind w:firstLine="480" w:firstLineChars="200"/>
        <w:jc w:val="left"/>
        <w:rPr>
          <w:rFonts w:hint="eastAsia" w:ascii="仿宋_GB2312" w:hAnsi="仿宋_GB2312" w:eastAsia="仿宋_GB2312" w:cs="仿宋_GB2312"/>
          <w:kern w:val="0"/>
          <w:szCs w:val="21"/>
          <w:highlight w:val="none"/>
          <w:u w:val="single"/>
        </w:rPr>
      </w:pPr>
      <w:r>
        <w:rPr>
          <w:rFonts w:hint="eastAsia" w:ascii="仿宋_GB2312" w:hAnsi="仿宋_GB2312" w:eastAsia="仿宋_GB2312" w:cs="仿宋_GB2312"/>
          <w:kern w:val="0"/>
          <w:szCs w:val="21"/>
          <w:highlight w:val="none"/>
        </w:rPr>
        <w:t>2.技术要求：</w:t>
      </w:r>
      <w:r>
        <w:rPr>
          <w:rFonts w:hint="eastAsia" w:ascii="仿宋_GB2312" w:hAnsi="仿宋_GB2312" w:eastAsia="仿宋_GB2312" w:cs="仿宋_GB2312"/>
          <w:kern w:val="0"/>
          <w:szCs w:val="21"/>
          <w:highlight w:val="none"/>
          <w:u w:val="single"/>
        </w:rPr>
        <w:t xml:space="preserve"> 《岩土工程勘察规范》（GB50021-2001）（2009年版）及相关的技术规范和标准</w:t>
      </w:r>
    </w:p>
    <w:p>
      <w:pPr>
        <w:adjustRightInd w:val="0"/>
        <w:snapToGrid w:val="0"/>
        <w:spacing w:line="420" w:lineRule="exact"/>
        <w:ind w:firstLine="480" w:firstLineChars="200"/>
        <w:jc w:val="left"/>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3.工作量：</w:t>
      </w:r>
      <w:r>
        <w:rPr>
          <w:rFonts w:hint="eastAsia" w:ascii="仿宋_GB2312" w:hAnsi="仿宋_GB2312" w:eastAsia="仿宋_GB2312" w:cs="仿宋_GB2312"/>
          <w:kern w:val="0"/>
          <w:szCs w:val="21"/>
          <w:highlight w:val="none"/>
          <w:u w:val="single"/>
        </w:rPr>
        <w:t xml:space="preserve">                   </w:t>
      </w:r>
    </w:p>
    <w:p>
      <w:pPr>
        <w:tabs>
          <w:tab w:val="left" w:pos="54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bookmarkStart w:id="24" w:name="_Toc406150412"/>
      <w:bookmarkStart w:id="25" w:name="_Toc40441665"/>
      <w:bookmarkStart w:id="26" w:name="_Toc457826141"/>
      <w:r>
        <w:rPr>
          <w:rFonts w:hint="eastAsia" w:ascii="仿宋_GB2312" w:hAnsi="仿宋_GB2312" w:eastAsia="仿宋_GB2312" w:cs="仿宋_GB2312"/>
          <w:b/>
          <w:kern w:val="0"/>
          <w:szCs w:val="21"/>
          <w:highlight w:val="none"/>
        </w:rPr>
        <w:t>三、合同工期</w:t>
      </w:r>
      <w:bookmarkEnd w:id="24"/>
      <w:bookmarkEnd w:id="25"/>
      <w:bookmarkEnd w:id="26"/>
    </w:p>
    <w:p>
      <w:pPr>
        <w:adjustRightInd w:val="0"/>
        <w:snapToGrid w:val="0"/>
        <w:spacing w:line="420" w:lineRule="exact"/>
        <w:ind w:firstLine="480" w:firstLineChars="200"/>
        <w:jc w:val="left"/>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1.开工日期：________________________________________</w:t>
      </w:r>
    </w:p>
    <w:p>
      <w:pPr>
        <w:adjustRightInd w:val="0"/>
        <w:snapToGrid w:val="0"/>
        <w:spacing w:line="420" w:lineRule="exact"/>
        <w:ind w:firstLine="480" w:firstLineChars="200"/>
        <w:jc w:val="left"/>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2.成果提交日期：____________________________________</w:t>
      </w:r>
    </w:p>
    <w:p>
      <w:pPr>
        <w:adjustRightInd w:val="0"/>
        <w:snapToGrid w:val="0"/>
        <w:spacing w:line="420" w:lineRule="exact"/>
        <w:ind w:firstLine="480" w:firstLineChars="200"/>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3.合同工期（总日历天数）________________________天</w:t>
      </w:r>
    </w:p>
    <w:p>
      <w:pPr>
        <w:tabs>
          <w:tab w:val="left" w:pos="54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bookmarkStart w:id="27" w:name="_Toc40441666"/>
      <w:bookmarkStart w:id="28" w:name="_Toc406150413"/>
      <w:bookmarkStart w:id="29" w:name="_Toc457826142"/>
      <w:r>
        <w:rPr>
          <w:rFonts w:hint="eastAsia" w:ascii="仿宋_GB2312" w:hAnsi="仿宋_GB2312" w:eastAsia="仿宋_GB2312" w:cs="仿宋_GB2312"/>
          <w:b/>
          <w:kern w:val="0"/>
          <w:szCs w:val="21"/>
          <w:highlight w:val="none"/>
        </w:rPr>
        <w:t>四、质量标准</w:t>
      </w:r>
      <w:bookmarkEnd w:id="27"/>
      <w:bookmarkEnd w:id="28"/>
      <w:bookmarkEnd w:id="29"/>
    </w:p>
    <w:p>
      <w:pPr>
        <w:adjustRightInd w:val="0"/>
        <w:snapToGrid w:val="0"/>
        <w:spacing w:line="420" w:lineRule="exact"/>
        <w:ind w:firstLine="480" w:firstLineChars="200"/>
        <w:jc w:val="left"/>
        <w:rPr>
          <w:rFonts w:hint="eastAsia" w:ascii="仿宋_GB2312" w:hAnsi="仿宋_GB2312" w:eastAsia="仿宋_GB2312" w:cs="仿宋_GB2312"/>
          <w:kern w:val="0"/>
          <w:szCs w:val="21"/>
          <w:highlight w:val="none"/>
          <w:u w:val="single"/>
        </w:rPr>
      </w:pPr>
      <w:r>
        <w:rPr>
          <w:rFonts w:hint="eastAsia" w:ascii="仿宋_GB2312" w:hAnsi="仿宋_GB2312" w:eastAsia="仿宋_GB2312" w:cs="仿宋_GB2312"/>
          <w:kern w:val="0"/>
          <w:szCs w:val="21"/>
          <w:highlight w:val="none"/>
        </w:rPr>
        <w:t>质量标准：</w:t>
      </w:r>
      <w:r>
        <w:rPr>
          <w:rFonts w:hint="eastAsia" w:ascii="仿宋_GB2312" w:hAnsi="仿宋_GB2312" w:eastAsia="仿宋_GB2312" w:cs="仿宋_GB2312"/>
          <w:kern w:val="0"/>
          <w:szCs w:val="21"/>
          <w:highlight w:val="none"/>
          <w:u w:val="single"/>
        </w:rPr>
        <w:t xml:space="preserve"> 合格 </w:t>
      </w:r>
    </w:p>
    <w:p>
      <w:pPr>
        <w:tabs>
          <w:tab w:val="left" w:pos="54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bookmarkStart w:id="30" w:name="_Toc40441667"/>
      <w:bookmarkStart w:id="31" w:name="_Toc457826143"/>
      <w:bookmarkStart w:id="32" w:name="_Toc406150414"/>
      <w:r>
        <w:rPr>
          <w:rFonts w:hint="eastAsia" w:ascii="仿宋_GB2312" w:hAnsi="仿宋_GB2312" w:eastAsia="仿宋_GB2312" w:cs="仿宋_GB2312"/>
          <w:b/>
          <w:kern w:val="0"/>
          <w:szCs w:val="21"/>
          <w:highlight w:val="none"/>
        </w:rPr>
        <w:t>五、合同价款</w:t>
      </w:r>
      <w:bookmarkEnd w:id="30"/>
      <w:bookmarkEnd w:id="31"/>
      <w:bookmarkEnd w:id="32"/>
    </w:p>
    <w:p>
      <w:pPr>
        <w:adjustRightInd w:val="0"/>
        <w:snapToGrid w:val="0"/>
        <w:spacing w:line="420" w:lineRule="exact"/>
        <w:ind w:firstLine="480" w:firstLineChars="200"/>
        <w:jc w:val="left"/>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1.合同价款金额：人民币（大写）_________ (¥_________元) （</w:t>
      </w:r>
      <w:r>
        <w:rPr>
          <w:rFonts w:hint="eastAsia" w:ascii="仿宋_GB2312" w:hAnsi="仿宋_GB2312" w:eastAsia="仿宋_GB2312" w:cs="仿宋_GB2312"/>
          <w:szCs w:val="21"/>
          <w:highlight w:val="none"/>
        </w:rPr>
        <w:t>勘察费已实际工作量为准。</w:t>
      </w:r>
      <w:r>
        <w:rPr>
          <w:rFonts w:hint="eastAsia" w:ascii="仿宋_GB2312" w:hAnsi="仿宋_GB2312" w:eastAsia="仿宋_GB2312" w:cs="仿宋_GB2312"/>
          <w:kern w:val="0"/>
          <w:szCs w:val="21"/>
          <w:highlight w:val="none"/>
        </w:rPr>
        <w:t>）</w:t>
      </w:r>
    </w:p>
    <w:p>
      <w:pPr>
        <w:adjustRightInd w:val="0"/>
        <w:snapToGrid w:val="0"/>
        <w:spacing w:line="420" w:lineRule="exact"/>
        <w:ind w:firstLine="480" w:firstLineChars="200"/>
        <w:jc w:val="left"/>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2.合同价款形式：</w:t>
      </w:r>
    </w:p>
    <w:p>
      <w:pPr>
        <w:tabs>
          <w:tab w:val="left" w:pos="54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bookmarkStart w:id="33" w:name="_Toc457826144"/>
      <w:bookmarkStart w:id="34" w:name="_Toc40441668"/>
      <w:bookmarkStart w:id="35" w:name="_Toc406150415"/>
      <w:r>
        <w:rPr>
          <w:rFonts w:hint="eastAsia" w:ascii="仿宋_GB2312" w:hAnsi="仿宋_GB2312" w:eastAsia="仿宋_GB2312" w:cs="仿宋_GB2312"/>
          <w:b/>
          <w:kern w:val="0"/>
          <w:szCs w:val="21"/>
          <w:highlight w:val="none"/>
        </w:rPr>
        <w:t>六、合同文件构成</w:t>
      </w:r>
      <w:bookmarkEnd w:id="33"/>
      <w:bookmarkEnd w:id="34"/>
      <w:bookmarkEnd w:id="35"/>
    </w:p>
    <w:p>
      <w:pPr>
        <w:adjustRightInd w:val="0"/>
        <w:snapToGrid w:val="0"/>
        <w:spacing w:line="420" w:lineRule="exact"/>
        <w:ind w:firstLine="480" w:firstLineChars="200"/>
        <w:jc w:val="left"/>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组成本合同的文件包括：</w:t>
      </w:r>
    </w:p>
    <w:p>
      <w:pPr>
        <w:adjustRightInd w:val="0"/>
        <w:snapToGrid w:val="0"/>
        <w:spacing w:line="420" w:lineRule="exact"/>
        <w:ind w:firstLine="480" w:firstLineChars="200"/>
        <w:jc w:val="left"/>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（1）合同协议书；</w:t>
      </w:r>
    </w:p>
    <w:p>
      <w:pPr>
        <w:adjustRightInd w:val="0"/>
        <w:snapToGrid w:val="0"/>
        <w:spacing w:line="420" w:lineRule="exact"/>
        <w:ind w:firstLine="480" w:firstLineChars="200"/>
        <w:jc w:val="left"/>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（2）专用合同条款及其附件；</w:t>
      </w:r>
    </w:p>
    <w:p>
      <w:pPr>
        <w:adjustRightInd w:val="0"/>
        <w:snapToGrid w:val="0"/>
        <w:spacing w:line="420" w:lineRule="exact"/>
        <w:ind w:firstLine="480" w:firstLineChars="200"/>
        <w:jc w:val="left"/>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（3）通用合同条款；</w:t>
      </w:r>
    </w:p>
    <w:p>
      <w:pPr>
        <w:adjustRightInd w:val="0"/>
        <w:snapToGrid w:val="0"/>
        <w:spacing w:line="420" w:lineRule="exact"/>
        <w:ind w:firstLine="480" w:firstLineChars="200"/>
        <w:jc w:val="left"/>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（4）中标通知书；</w:t>
      </w:r>
    </w:p>
    <w:p>
      <w:pPr>
        <w:adjustRightInd w:val="0"/>
        <w:snapToGrid w:val="0"/>
        <w:spacing w:line="420" w:lineRule="exact"/>
        <w:ind w:firstLine="480" w:firstLineChars="200"/>
        <w:jc w:val="left"/>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（5）投标文件及其附件；</w:t>
      </w:r>
    </w:p>
    <w:p>
      <w:pPr>
        <w:adjustRightInd w:val="0"/>
        <w:snapToGrid w:val="0"/>
        <w:spacing w:line="420" w:lineRule="exact"/>
        <w:ind w:firstLine="480" w:firstLineChars="200"/>
        <w:jc w:val="left"/>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（6）技术标准和要求；</w:t>
      </w:r>
    </w:p>
    <w:p>
      <w:pPr>
        <w:adjustRightInd w:val="0"/>
        <w:snapToGrid w:val="0"/>
        <w:spacing w:line="420" w:lineRule="exact"/>
        <w:ind w:firstLine="480" w:firstLineChars="200"/>
        <w:jc w:val="left"/>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（7）图纸；</w:t>
      </w:r>
    </w:p>
    <w:p>
      <w:pPr>
        <w:adjustRightInd w:val="0"/>
        <w:snapToGrid w:val="0"/>
        <w:spacing w:line="420" w:lineRule="exact"/>
        <w:ind w:firstLine="480" w:firstLineChars="200"/>
        <w:jc w:val="left"/>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（8）其他合同文件。</w:t>
      </w:r>
    </w:p>
    <w:p>
      <w:pPr>
        <w:adjustRightInd w:val="0"/>
        <w:snapToGrid w:val="0"/>
        <w:spacing w:line="420" w:lineRule="exact"/>
        <w:ind w:firstLine="480" w:firstLineChars="200"/>
        <w:jc w:val="left"/>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在合同履行过程中形成的与合同有关的文件构成合同文件组成部分。</w:t>
      </w:r>
    </w:p>
    <w:p>
      <w:pPr>
        <w:tabs>
          <w:tab w:val="left" w:pos="54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bookmarkStart w:id="36" w:name="_Toc457826145"/>
      <w:bookmarkStart w:id="37" w:name="_Toc40441669"/>
      <w:r>
        <w:rPr>
          <w:rFonts w:hint="eastAsia" w:ascii="仿宋_GB2312" w:hAnsi="仿宋_GB2312" w:eastAsia="仿宋_GB2312" w:cs="仿宋_GB2312"/>
          <w:b/>
          <w:kern w:val="0"/>
          <w:szCs w:val="21"/>
          <w:highlight w:val="none"/>
        </w:rPr>
        <w:t>七、承诺</w:t>
      </w:r>
      <w:bookmarkEnd w:id="36"/>
      <w:bookmarkEnd w:id="37"/>
    </w:p>
    <w:p>
      <w:pPr>
        <w:tabs>
          <w:tab w:val="left" w:pos="720"/>
        </w:tabs>
        <w:adjustRightInd w:val="0"/>
        <w:snapToGrid w:val="0"/>
        <w:spacing w:line="420" w:lineRule="exact"/>
        <w:ind w:firstLine="480" w:firstLineChars="200"/>
        <w:jc w:val="left"/>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 xml:space="preserve"> 1.发包人承诺按照法律规定履行项目审批手续，按照合同约定提供工程勘察条件和相关资料，并按照合同约定的期限和方式支付合同价款。</w:t>
      </w:r>
    </w:p>
    <w:p>
      <w:pPr>
        <w:adjustRightInd w:val="0"/>
        <w:snapToGrid w:val="0"/>
        <w:spacing w:line="420" w:lineRule="exact"/>
        <w:ind w:firstLine="480" w:firstLineChars="200"/>
        <w:jc w:val="left"/>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 xml:space="preserve"> 2.勘察人承诺按照法律法规和技术标准规定及合同约定提供勘察技术服务。　</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bookmarkStart w:id="38" w:name="_Toc406150417"/>
      <w:bookmarkStart w:id="39" w:name="_Toc457826146"/>
      <w:bookmarkStart w:id="40" w:name="_Toc40441670"/>
      <w:r>
        <w:rPr>
          <w:rFonts w:hint="eastAsia" w:ascii="仿宋_GB2312" w:hAnsi="仿宋_GB2312" w:eastAsia="仿宋_GB2312" w:cs="仿宋_GB2312"/>
          <w:b/>
          <w:kern w:val="0"/>
          <w:szCs w:val="21"/>
          <w:highlight w:val="none"/>
        </w:rPr>
        <w:t>八、词语定义</w:t>
      </w:r>
      <w:bookmarkEnd w:id="38"/>
      <w:bookmarkEnd w:id="39"/>
      <w:bookmarkEnd w:id="40"/>
    </w:p>
    <w:p>
      <w:pPr>
        <w:tabs>
          <w:tab w:val="left" w:pos="540"/>
          <w:tab w:val="left" w:pos="720"/>
        </w:tabs>
        <w:adjustRightInd w:val="0"/>
        <w:snapToGrid w:val="0"/>
        <w:spacing w:line="420" w:lineRule="exact"/>
        <w:ind w:firstLine="480" w:firstLineChars="200"/>
        <w:jc w:val="left"/>
        <w:rPr>
          <w:rFonts w:hint="eastAsia" w:ascii="仿宋_GB2312" w:hAnsi="仿宋_GB2312" w:eastAsia="仿宋_GB2312" w:cs="仿宋_GB2312"/>
          <w:kern w:val="0"/>
          <w:szCs w:val="21"/>
          <w:highlight w:val="none"/>
        </w:rPr>
      </w:pPr>
      <w:r>
        <w:rPr>
          <w:rFonts w:hint="eastAsia" w:ascii="仿宋_GB2312" w:hAnsi="仿宋_GB2312" w:eastAsia="仿宋_GB2312" w:cs="仿宋_GB2312"/>
          <w:kern w:val="0"/>
          <w:szCs w:val="21"/>
          <w:highlight w:val="none"/>
        </w:rPr>
        <w:t>本合同协议书中词语含义与合同第二部分《通用合同条款》中的词语含义相同。</w:t>
      </w:r>
      <w:bookmarkStart w:id="41" w:name="_Toc351203489"/>
      <w:bookmarkStart w:id="42" w:name="_Toc457826147"/>
      <w:bookmarkStart w:id="43" w:name="_Toc406150418"/>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bookmarkStart w:id="44" w:name="_Toc40441671"/>
      <w:r>
        <w:rPr>
          <w:rFonts w:hint="eastAsia" w:ascii="仿宋_GB2312" w:hAnsi="仿宋_GB2312" w:eastAsia="仿宋_GB2312" w:cs="仿宋_GB2312"/>
          <w:b/>
          <w:kern w:val="0"/>
          <w:szCs w:val="21"/>
          <w:highlight w:val="none"/>
        </w:rPr>
        <w:t>九、签订时间</w:t>
      </w:r>
      <w:bookmarkEnd w:id="41"/>
      <w:bookmarkEnd w:id="42"/>
      <w:bookmarkEnd w:id="43"/>
      <w:bookmarkEnd w:id="44"/>
    </w:p>
    <w:p>
      <w:pPr>
        <w:snapToGrid w:val="0"/>
        <w:spacing w:line="420" w:lineRule="exact"/>
        <w:ind w:firstLine="480" w:firstLineChars="200"/>
        <w:rPr>
          <w:rFonts w:hint="eastAsia" w:ascii="仿宋_GB2312" w:hAnsi="仿宋_GB2312" w:eastAsia="仿宋_GB2312" w:cs="仿宋_GB2312"/>
          <w:bCs/>
          <w:szCs w:val="21"/>
          <w:highlight w:val="none"/>
        </w:rPr>
      </w:pPr>
      <w:r>
        <w:rPr>
          <w:rFonts w:hint="eastAsia" w:ascii="仿宋_GB2312" w:hAnsi="仿宋_GB2312" w:eastAsia="仿宋_GB2312" w:cs="仿宋_GB2312"/>
          <w:bCs/>
          <w:szCs w:val="21"/>
          <w:highlight w:val="none"/>
        </w:rPr>
        <w:t>本合同于年月日签订。</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bookmarkStart w:id="45" w:name="_Toc351203490"/>
      <w:bookmarkStart w:id="46" w:name="_Toc40441672"/>
      <w:bookmarkStart w:id="47" w:name="_Toc457826148"/>
      <w:bookmarkStart w:id="48" w:name="_Toc406150419"/>
      <w:r>
        <w:rPr>
          <w:rFonts w:hint="eastAsia" w:ascii="仿宋_GB2312" w:hAnsi="仿宋_GB2312" w:eastAsia="仿宋_GB2312" w:cs="仿宋_GB2312"/>
          <w:b/>
          <w:kern w:val="0"/>
          <w:szCs w:val="21"/>
          <w:highlight w:val="none"/>
        </w:rPr>
        <w:t>十、签订地点</w:t>
      </w:r>
      <w:bookmarkEnd w:id="45"/>
      <w:bookmarkEnd w:id="46"/>
      <w:bookmarkEnd w:id="47"/>
      <w:bookmarkEnd w:id="48"/>
    </w:p>
    <w:p>
      <w:pPr>
        <w:snapToGrid w:val="0"/>
        <w:spacing w:line="420" w:lineRule="exact"/>
        <w:ind w:firstLine="480" w:firstLineChars="200"/>
        <w:rPr>
          <w:rFonts w:hint="eastAsia" w:ascii="仿宋_GB2312" w:hAnsi="仿宋_GB2312" w:eastAsia="仿宋_GB2312" w:cs="仿宋_GB2312"/>
          <w:bCs/>
          <w:szCs w:val="21"/>
          <w:highlight w:val="none"/>
        </w:rPr>
      </w:pPr>
      <w:r>
        <w:rPr>
          <w:rFonts w:hint="eastAsia" w:ascii="仿宋_GB2312" w:hAnsi="仿宋_GB2312" w:eastAsia="仿宋_GB2312" w:cs="仿宋_GB2312"/>
          <w:bCs/>
          <w:szCs w:val="21"/>
          <w:highlight w:val="none"/>
        </w:rPr>
        <w:t>本合同在签订。</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bookmarkStart w:id="49" w:name="_Toc351203492"/>
      <w:bookmarkStart w:id="50" w:name="_Toc457826149"/>
      <w:bookmarkStart w:id="51" w:name="_Toc40441673"/>
      <w:bookmarkStart w:id="52" w:name="_Toc406150420"/>
      <w:r>
        <w:rPr>
          <w:rFonts w:hint="eastAsia" w:ascii="仿宋_GB2312" w:hAnsi="仿宋_GB2312" w:eastAsia="仿宋_GB2312" w:cs="仿宋_GB2312"/>
          <w:b/>
          <w:kern w:val="0"/>
          <w:szCs w:val="21"/>
          <w:highlight w:val="none"/>
        </w:rPr>
        <w:t>十一、合同生效</w:t>
      </w:r>
      <w:bookmarkEnd w:id="49"/>
      <w:bookmarkEnd w:id="50"/>
      <w:bookmarkEnd w:id="51"/>
      <w:bookmarkEnd w:id="52"/>
    </w:p>
    <w:p>
      <w:pPr>
        <w:adjustRightInd w:val="0"/>
        <w:snapToGrid w:val="0"/>
        <w:spacing w:line="420" w:lineRule="exact"/>
        <w:ind w:firstLine="480" w:firstLineChars="200"/>
        <w:rPr>
          <w:rFonts w:hint="eastAsia" w:ascii="仿宋_GB2312" w:hAnsi="仿宋_GB2312" w:eastAsia="仿宋_GB2312" w:cs="仿宋_GB2312"/>
          <w:bCs/>
          <w:szCs w:val="21"/>
          <w:highlight w:val="none"/>
        </w:rPr>
      </w:pPr>
      <w:r>
        <w:rPr>
          <w:rFonts w:hint="eastAsia" w:ascii="仿宋_GB2312" w:hAnsi="仿宋_GB2312" w:eastAsia="仿宋_GB2312" w:cs="仿宋_GB2312"/>
          <w:bCs/>
          <w:szCs w:val="21"/>
          <w:highlight w:val="none"/>
        </w:rPr>
        <w:t>本合同自生效。</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bookmarkStart w:id="53" w:name="_Toc457826150"/>
      <w:bookmarkStart w:id="54" w:name="_Toc40441674"/>
      <w:r>
        <w:rPr>
          <w:rFonts w:hint="eastAsia" w:ascii="仿宋_GB2312" w:hAnsi="仿宋_GB2312" w:eastAsia="仿宋_GB2312" w:cs="仿宋_GB2312"/>
          <w:b/>
          <w:kern w:val="0"/>
          <w:szCs w:val="21"/>
          <w:highlight w:val="none"/>
        </w:rPr>
        <w:t>十二、合同份数</w:t>
      </w:r>
      <w:bookmarkEnd w:id="53"/>
      <w:bookmarkEnd w:id="54"/>
    </w:p>
    <w:p>
      <w:pPr>
        <w:adjustRightInd w:val="0"/>
        <w:snapToGrid w:val="0"/>
        <w:spacing w:line="420" w:lineRule="exact"/>
        <w:ind w:firstLine="480" w:firstLineChars="200"/>
        <w:rPr>
          <w:rFonts w:hint="eastAsia" w:ascii="仿宋_GB2312" w:hAnsi="仿宋_GB2312" w:eastAsia="仿宋_GB2312" w:cs="仿宋_GB2312"/>
          <w:bCs/>
          <w:szCs w:val="21"/>
          <w:highlight w:val="none"/>
        </w:rPr>
      </w:pPr>
      <w:r>
        <w:rPr>
          <w:rFonts w:hint="eastAsia" w:ascii="仿宋_GB2312" w:hAnsi="仿宋_GB2312" w:eastAsia="仿宋_GB2312" w:cs="仿宋_GB2312"/>
          <w:bCs/>
          <w:szCs w:val="21"/>
          <w:highlight w:val="none"/>
        </w:rPr>
        <w:t>本合同一式份，具有同等法律效力，发包人执份，勘察人执份。</w:t>
      </w:r>
    </w:p>
    <w:p>
      <w:pPr>
        <w:adjustRightInd w:val="0"/>
        <w:snapToGrid w:val="0"/>
        <w:spacing w:line="420" w:lineRule="exact"/>
        <w:ind w:firstLine="480" w:firstLineChars="200"/>
        <w:rPr>
          <w:rFonts w:hint="eastAsia" w:ascii="仿宋_GB2312" w:hAnsi="仿宋_GB2312" w:eastAsia="仿宋_GB2312" w:cs="仿宋_GB2312"/>
          <w:bCs/>
          <w:szCs w:val="21"/>
          <w:highlight w:val="none"/>
        </w:rPr>
      </w:pPr>
    </w:p>
    <w:p>
      <w:pPr>
        <w:adjustRightInd w:val="0"/>
        <w:snapToGrid w:val="0"/>
        <w:spacing w:line="420" w:lineRule="exact"/>
        <w:ind w:firstLine="480" w:firstLineChars="200"/>
        <w:rPr>
          <w:rFonts w:hint="eastAsia" w:ascii="仿宋_GB2312" w:hAnsi="仿宋_GB2312" w:eastAsia="仿宋_GB2312" w:cs="仿宋_GB2312"/>
          <w:bCs/>
          <w:szCs w:val="21"/>
          <w:highlight w:val="none"/>
        </w:rPr>
      </w:pPr>
    </w:p>
    <w:p>
      <w:pPr>
        <w:adjustRightInd w:val="0"/>
        <w:snapToGrid w:val="0"/>
        <w:spacing w:line="420" w:lineRule="exact"/>
        <w:ind w:firstLine="480" w:firstLineChars="200"/>
        <w:rPr>
          <w:rFonts w:hint="eastAsia" w:ascii="仿宋_GB2312" w:hAnsi="仿宋_GB2312" w:eastAsia="仿宋_GB2312" w:cs="仿宋_GB2312"/>
          <w:bCs/>
          <w:szCs w:val="21"/>
          <w:highlight w:val="none"/>
        </w:rPr>
      </w:pPr>
    </w:p>
    <w:p>
      <w:pPr>
        <w:adjustRightInd w:val="0"/>
        <w:snapToGrid w:val="0"/>
        <w:spacing w:line="420" w:lineRule="exact"/>
        <w:ind w:firstLine="480" w:firstLineChars="200"/>
        <w:rPr>
          <w:rFonts w:hint="eastAsia" w:ascii="仿宋_GB2312" w:hAnsi="仿宋_GB2312" w:eastAsia="仿宋_GB2312" w:cs="仿宋_GB2312"/>
          <w:bCs/>
          <w:szCs w:val="21"/>
          <w:highlight w:val="none"/>
        </w:rPr>
      </w:pPr>
    </w:p>
    <w:p>
      <w:pPr>
        <w:adjustRightInd w:val="0"/>
        <w:snapToGrid w:val="0"/>
        <w:spacing w:line="420" w:lineRule="exact"/>
        <w:ind w:firstLine="480" w:firstLineChars="200"/>
        <w:rPr>
          <w:rFonts w:hint="eastAsia" w:ascii="仿宋_GB2312" w:hAnsi="仿宋_GB2312" w:eastAsia="仿宋_GB2312" w:cs="仿宋_GB2312"/>
          <w:bCs/>
          <w:szCs w:val="21"/>
          <w:highlight w:val="none"/>
        </w:rPr>
      </w:pPr>
    </w:p>
    <w:p>
      <w:pPr>
        <w:adjustRightInd w:val="0"/>
        <w:snapToGrid w:val="0"/>
        <w:spacing w:beforeLines="100" w:afterLines="61" w:line="420" w:lineRule="exact"/>
        <w:ind w:firstLine="480" w:firstLineChars="200"/>
        <w:jc w:val="left"/>
        <w:rPr>
          <w:rFonts w:hint="eastAsia" w:ascii="仿宋_GB2312" w:hAnsi="仿宋_GB2312" w:eastAsia="仿宋_GB2312" w:cs="仿宋_GB2312"/>
          <w:bCs/>
          <w:szCs w:val="21"/>
          <w:highlight w:val="none"/>
        </w:rPr>
      </w:pPr>
    </w:p>
    <w:p>
      <w:pPr>
        <w:adjustRightInd w:val="0"/>
        <w:snapToGrid w:val="0"/>
        <w:spacing w:beforeLines="100" w:afterLines="61" w:line="420" w:lineRule="exact"/>
        <w:ind w:firstLine="480" w:firstLineChars="200"/>
        <w:jc w:val="left"/>
        <w:rPr>
          <w:rFonts w:hint="eastAsia" w:ascii="仿宋_GB2312" w:hAnsi="仿宋_GB2312" w:eastAsia="仿宋_GB2312" w:cs="仿宋_GB2312"/>
          <w:bCs/>
          <w:szCs w:val="21"/>
          <w:highlight w:val="none"/>
          <w:u w:val="single"/>
        </w:rPr>
      </w:pPr>
      <w:r>
        <w:rPr>
          <w:rFonts w:hint="eastAsia" w:ascii="仿宋_GB2312" w:hAnsi="仿宋_GB2312" w:eastAsia="仿宋_GB2312" w:cs="仿宋_GB2312"/>
          <w:bCs/>
          <w:szCs w:val="21"/>
          <w:highlight w:val="none"/>
        </w:rPr>
        <w:t>发包人：（印章）                            勘察人：（印章）</w:t>
      </w:r>
    </w:p>
    <w:p>
      <w:pPr>
        <w:adjustRightInd w:val="0"/>
        <w:snapToGrid w:val="0"/>
        <w:spacing w:afterLines="61" w:line="420" w:lineRule="exact"/>
        <w:ind w:firstLine="480" w:firstLineChars="200"/>
        <w:jc w:val="left"/>
        <w:rPr>
          <w:rFonts w:hint="eastAsia" w:ascii="仿宋_GB2312" w:hAnsi="仿宋_GB2312" w:eastAsia="仿宋_GB2312" w:cs="仿宋_GB2312"/>
          <w:bCs/>
          <w:szCs w:val="21"/>
          <w:highlight w:val="none"/>
        </w:rPr>
      </w:pPr>
      <w:r>
        <w:rPr>
          <w:rFonts w:hint="eastAsia" w:ascii="仿宋_GB2312" w:hAnsi="仿宋_GB2312" w:eastAsia="仿宋_GB2312" w:cs="仿宋_GB2312"/>
          <w:bCs/>
          <w:szCs w:val="21"/>
          <w:highlight w:val="none"/>
        </w:rPr>
        <w:t>法定代表人或其委托代理人：                 法定代表人或其委托代理人：</w:t>
      </w:r>
    </w:p>
    <w:p>
      <w:pPr>
        <w:adjustRightInd w:val="0"/>
        <w:snapToGrid w:val="0"/>
        <w:spacing w:afterLines="61" w:line="420" w:lineRule="exact"/>
        <w:ind w:firstLine="480" w:firstLineChars="200"/>
        <w:jc w:val="left"/>
        <w:rPr>
          <w:rFonts w:hint="eastAsia" w:ascii="仿宋_GB2312" w:hAnsi="仿宋_GB2312" w:eastAsia="仿宋_GB2312" w:cs="仿宋_GB2312"/>
          <w:bCs/>
          <w:szCs w:val="21"/>
          <w:highlight w:val="none"/>
        </w:rPr>
      </w:pPr>
      <w:r>
        <w:rPr>
          <w:rFonts w:hint="eastAsia" w:ascii="仿宋_GB2312" w:hAnsi="仿宋_GB2312" w:eastAsia="仿宋_GB2312" w:cs="仿宋_GB2312"/>
          <w:bCs/>
          <w:szCs w:val="21"/>
          <w:highlight w:val="none"/>
        </w:rPr>
        <w:t>（签字）                                   （签字）</w:t>
      </w:r>
    </w:p>
    <w:p>
      <w:pPr>
        <w:adjustRightInd w:val="0"/>
        <w:snapToGrid w:val="0"/>
        <w:spacing w:line="420" w:lineRule="exact"/>
        <w:ind w:firstLine="480" w:firstLineChars="200"/>
        <w:jc w:val="left"/>
        <w:rPr>
          <w:rFonts w:hint="eastAsia" w:ascii="仿宋_GB2312" w:hAnsi="仿宋_GB2312" w:eastAsia="仿宋_GB2312" w:cs="仿宋_GB2312"/>
          <w:bCs/>
          <w:szCs w:val="21"/>
          <w:highlight w:val="none"/>
          <w:u w:val="single"/>
        </w:rPr>
      </w:pPr>
      <w:r>
        <w:rPr>
          <w:rFonts w:hint="eastAsia" w:ascii="仿宋_GB2312" w:hAnsi="仿宋_GB2312" w:eastAsia="仿宋_GB2312" w:cs="仿宋_GB2312"/>
          <w:bCs/>
          <w:szCs w:val="21"/>
          <w:highlight w:val="none"/>
        </w:rPr>
        <w:t>统一社会信用代码：                          统一社会信用代码：</w:t>
      </w:r>
    </w:p>
    <w:p>
      <w:pPr>
        <w:adjustRightInd w:val="0"/>
        <w:snapToGrid w:val="0"/>
        <w:spacing w:line="420" w:lineRule="exact"/>
        <w:ind w:firstLine="480" w:firstLineChars="200"/>
        <w:jc w:val="left"/>
        <w:rPr>
          <w:rFonts w:hint="eastAsia" w:ascii="仿宋_GB2312" w:hAnsi="仿宋_GB2312" w:eastAsia="仿宋_GB2312" w:cs="仿宋_GB2312"/>
          <w:bCs/>
          <w:szCs w:val="21"/>
          <w:highlight w:val="none"/>
          <w:u w:val="single"/>
        </w:rPr>
      </w:pPr>
      <w:r>
        <w:rPr>
          <w:rFonts w:hint="eastAsia" w:ascii="仿宋_GB2312" w:hAnsi="仿宋_GB2312" w:eastAsia="仿宋_GB2312" w:cs="仿宋_GB2312"/>
          <w:bCs/>
          <w:szCs w:val="21"/>
          <w:highlight w:val="none"/>
        </w:rPr>
        <w:t>地址：                                       地址：</w:t>
      </w:r>
    </w:p>
    <w:p>
      <w:pPr>
        <w:adjustRightInd w:val="0"/>
        <w:snapToGrid w:val="0"/>
        <w:spacing w:line="420" w:lineRule="exact"/>
        <w:ind w:firstLine="480" w:firstLineChars="200"/>
        <w:jc w:val="left"/>
        <w:rPr>
          <w:rFonts w:hint="eastAsia" w:ascii="仿宋_GB2312" w:hAnsi="仿宋_GB2312" w:eastAsia="仿宋_GB2312" w:cs="仿宋_GB2312"/>
          <w:bCs/>
          <w:szCs w:val="21"/>
          <w:highlight w:val="none"/>
          <w:u w:val="single"/>
        </w:rPr>
      </w:pPr>
      <w:r>
        <w:rPr>
          <w:rFonts w:hint="eastAsia" w:ascii="仿宋_GB2312" w:hAnsi="仿宋_GB2312" w:eastAsia="仿宋_GB2312" w:cs="仿宋_GB2312"/>
          <w:bCs/>
          <w:szCs w:val="21"/>
          <w:highlight w:val="none"/>
        </w:rPr>
        <w:t>邮政编码：                                   邮政编码：</w:t>
      </w:r>
    </w:p>
    <w:p>
      <w:pPr>
        <w:adjustRightInd w:val="0"/>
        <w:snapToGrid w:val="0"/>
        <w:spacing w:line="420" w:lineRule="exact"/>
        <w:ind w:firstLine="480" w:firstLineChars="200"/>
        <w:jc w:val="left"/>
        <w:rPr>
          <w:rFonts w:hint="eastAsia" w:ascii="仿宋_GB2312" w:hAnsi="仿宋_GB2312" w:eastAsia="仿宋_GB2312" w:cs="仿宋_GB2312"/>
          <w:bCs/>
          <w:szCs w:val="21"/>
          <w:highlight w:val="none"/>
          <w:u w:val="single"/>
        </w:rPr>
      </w:pPr>
      <w:r>
        <w:rPr>
          <w:rFonts w:hint="eastAsia" w:ascii="仿宋_GB2312" w:hAnsi="仿宋_GB2312" w:eastAsia="仿宋_GB2312" w:cs="仿宋_GB2312"/>
          <w:bCs/>
          <w:szCs w:val="21"/>
          <w:highlight w:val="none"/>
        </w:rPr>
        <w:t>电话：                                       电话：</w:t>
      </w:r>
    </w:p>
    <w:p>
      <w:pPr>
        <w:adjustRightInd w:val="0"/>
        <w:snapToGrid w:val="0"/>
        <w:spacing w:line="420" w:lineRule="exact"/>
        <w:ind w:firstLine="480" w:firstLineChars="200"/>
        <w:jc w:val="left"/>
        <w:rPr>
          <w:rFonts w:hint="eastAsia" w:ascii="仿宋_GB2312" w:hAnsi="仿宋_GB2312" w:eastAsia="仿宋_GB2312" w:cs="仿宋_GB2312"/>
          <w:bCs/>
          <w:szCs w:val="21"/>
          <w:highlight w:val="none"/>
          <w:u w:val="single"/>
        </w:rPr>
      </w:pPr>
      <w:r>
        <w:rPr>
          <w:rFonts w:hint="eastAsia" w:ascii="仿宋_GB2312" w:hAnsi="仿宋_GB2312" w:eastAsia="仿宋_GB2312" w:cs="仿宋_GB2312"/>
          <w:bCs/>
          <w:szCs w:val="21"/>
          <w:highlight w:val="none"/>
        </w:rPr>
        <w:t>传真：                                      传真：</w:t>
      </w:r>
    </w:p>
    <w:p>
      <w:pPr>
        <w:adjustRightInd w:val="0"/>
        <w:snapToGrid w:val="0"/>
        <w:spacing w:line="420" w:lineRule="exact"/>
        <w:ind w:firstLine="480" w:firstLineChars="200"/>
        <w:jc w:val="left"/>
        <w:rPr>
          <w:rFonts w:hint="eastAsia" w:ascii="仿宋_GB2312" w:hAnsi="仿宋_GB2312" w:eastAsia="仿宋_GB2312" w:cs="仿宋_GB2312"/>
          <w:bCs/>
          <w:szCs w:val="21"/>
          <w:highlight w:val="none"/>
          <w:u w:val="single"/>
        </w:rPr>
      </w:pPr>
      <w:r>
        <w:rPr>
          <w:rFonts w:hint="eastAsia" w:ascii="仿宋_GB2312" w:hAnsi="仿宋_GB2312" w:eastAsia="仿宋_GB2312" w:cs="仿宋_GB2312"/>
          <w:bCs/>
          <w:szCs w:val="21"/>
          <w:highlight w:val="none"/>
        </w:rPr>
        <w:t>电子邮箱：                                  电子邮箱：</w:t>
      </w:r>
    </w:p>
    <w:p>
      <w:pPr>
        <w:adjustRightInd w:val="0"/>
        <w:snapToGrid w:val="0"/>
        <w:spacing w:line="420" w:lineRule="exact"/>
        <w:ind w:firstLine="480" w:firstLineChars="200"/>
        <w:jc w:val="left"/>
        <w:rPr>
          <w:rFonts w:hint="eastAsia" w:ascii="仿宋_GB2312" w:hAnsi="仿宋_GB2312" w:eastAsia="仿宋_GB2312" w:cs="仿宋_GB2312"/>
          <w:bCs/>
          <w:szCs w:val="21"/>
          <w:highlight w:val="none"/>
        </w:rPr>
      </w:pPr>
      <w:r>
        <w:rPr>
          <w:rFonts w:hint="eastAsia" w:ascii="仿宋_GB2312" w:hAnsi="仿宋_GB2312" w:eastAsia="仿宋_GB2312" w:cs="仿宋_GB2312"/>
          <w:bCs/>
          <w:szCs w:val="21"/>
          <w:highlight w:val="none"/>
        </w:rPr>
        <w:t>开户银行：                                  开户银行：</w:t>
      </w:r>
    </w:p>
    <w:p>
      <w:pPr>
        <w:adjustRightInd w:val="0"/>
        <w:snapToGrid w:val="0"/>
        <w:spacing w:line="420" w:lineRule="exact"/>
        <w:ind w:firstLine="480" w:firstLineChars="200"/>
        <w:jc w:val="left"/>
        <w:rPr>
          <w:rFonts w:hint="eastAsia" w:ascii="仿宋_GB2312" w:hAnsi="仿宋_GB2312" w:eastAsia="仿宋_GB2312" w:cs="仿宋_GB2312"/>
          <w:bCs/>
          <w:szCs w:val="21"/>
          <w:highlight w:val="none"/>
          <w:u w:val="single"/>
        </w:rPr>
      </w:pPr>
      <w:r>
        <w:rPr>
          <w:rFonts w:hint="eastAsia" w:ascii="仿宋_GB2312" w:hAnsi="仿宋_GB2312" w:eastAsia="仿宋_GB2312" w:cs="仿宋_GB2312"/>
          <w:bCs/>
          <w:szCs w:val="21"/>
          <w:highlight w:val="none"/>
        </w:rPr>
        <w:t>账号：                                      账号：</w:t>
      </w:r>
    </w:p>
    <w:p>
      <w:pPr>
        <w:pStyle w:val="40"/>
        <w:tabs>
          <w:tab w:val="left" w:pos="3570"/>
        </w:tabs>
        <w:spacing w:line="440" w:lineRule="exact"/>
        <w:ind w:firstLine="422" w:firstLineChars="200"/>
        <w:rPr>
          <w:rFonts w:hint="eastAsia" w:ascii="仿宋_GB2312" w:hAnsi="仿宋_GB2312" w:eastAsia="仿宋_GB2312" w:cs="仿宋_GB2312"/>
          <w:b/>
          <w:sz w:val="21"/>
          <w:szCs w:val="21"/>
          <w:highlight w:val="none"/>
        </w:rPr>
      </w:pPr>
      <w:r>
        <w:rPr>
          <w:rFonts w:hint="eastAsia" w:ascii="仿宋_GB2312" w:hAnsi="仿宋_GB2312" w:eastAsia="仿宋_GB2312" w:cs="仿宋_GB2312"/>
          <w:b/>
          <w:sz w:val="21"/>
          <w:szCs w:val="21"/>
          <w:highlight w:val="none"/>
        </w:rPr>
        <w:tab/>
      </w:r>
    </w:p>
    <w:p>
      <w:pPr>
        <w:widowControl/>
        <w:jc w:val="left"/>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szCs w:val="21"/>
          <w:highlight w:val="none"/>
        </w:rPr>
        <w:br w:type="page"/>
      </w:r>
    </w:p>
    <w:p>
      <w:pPr>
        <w:pStyle w:val="40"/>
        <w:tabs>
          <w:tab w:val="left" w:pos="3570"/>
        </w:tabs>
        <w:spacing w:line="440" w:lineRule="exact"/>
        <w:ind w:firstLine="0"/>
        <w:jc w:val="center"/>
        <w:rPr>
          <w:rFonts w:hint="eastAsia"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第二部分　通用合同条款</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1. 一般约定</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1.1 词语定义</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通用合同条款、专用合同条款中的下列词语应具有本款所赋予的含义。</w:t>
      </w:r>
    </w:p>
    <w:p>
      <w:pPr>
        <w:adjustRightInd w:val="0"/>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 xml:space="preserve">1.1.1 </w:t>
      </w:r>
      <w:r>
        <w:rPr>
          <w:rFonts w:hint="eastAsia" w:ascii="仿宋_GB2312" w:hAnsi="仿宋_GB2312" w:eastAsia="仿宋_GB2312" w:cs="仿宋_GB2312"/>
          <w:szCs w:val="21"/>
          <w:highlight w:val="none"/>
        </w:rPr>
        <w:t>合同</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1.1.1.1合同文件（或称合同）：指合同协议书、中标通知书、投标承诺书和承诺函、专用合同条款、通用合同条款、发包人要求、勘察费用清单、勘察纲要，以及其他构成合同组成部分的文件。</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1.1.1.2合同协议书：指发包人和勘察人共同签署的合同协议书。</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1.1.1.3中标通知书：指发包人通知勘察人中标的函件。</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1.1.1.4投标承诺书：指由勘察人填写并签署的，名为“投标承诺书”的函件。</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1.1.1.5承诺书：指由勘察人填写并签署的、附在投标承诺书后，名为“承诺书”的函件。</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1.1.1.6发包人要求：指合同文件中名为“发包人要求”的文件。</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1.1.1.7 勘察纲要：指勘察人在投标文件中的勘察纲要。</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1.1.1.8勘察费用清单：指勘察人投标文件中的勘察费用清单。</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1.1.1.9其他合同文件：指经合同双方当事人确认构成合同文件的其他文件。</w:t>
      </w:r>
    </w:p>
    <w:p>
      <w:pPr>
        <w:adjustRightInd w:val="0"/>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 xml:space="preserve">1.1.2 </w:t>
      </w:r>
      <w:r>
        <w:rPr>
          <w:rFonts w:hint="eastAsia" w:ascii="仿宋_GB2312" w:hAnsi="仿宋_GB2312" w:eastAsia="仿宋_GB2312" w:cs="仿宋_GB2312"/>
          <w:szCs w:val="21"/>
          <w:highlight w:val="none"/>
        </w:rPr>
        <w:t>合同当事人和人员</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1.1.2.1 合同当事人：指发包人和（或）勘察人。</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1.1.2.2 发包人：指与勘察人签订合同协议书的当事人，及其合法继承人。</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1.1.2.3 勘察人：指与发包人签订合同协议书的当事人，及其合法继承人。</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1.1.2.4 发包人代表：指由发包人任命，并在授权范围和期限内代表发包人行使权利和履行义务的全权负责人。</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1.1.2.5 项目负责人：指由勘察人任命，代表勘察人行使权利和履行义务的全权负责人。</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1.1.2.6 分包人：指从勘察人处分包合同中某一部分工作，并与其签订分包合同的分包人。</w:t>
      </w:r>
    </w:p>
    <w:p>
      <w:pPr>
        <w:adjustRightInd w:val="0"/>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 xml:space="preserve">1.1.3 </w:t>
      </w:r>
      <w:r>
        <w:rPr>
          <w:rFonts w:hint="eastAsia" w:ascii="仿宋_GB2312" w:hAnsi="仿宋_GB2312" w:eastAsia="仿宋_GB2312" w:cs="仿宋_GB2312"/>
          <w:szCs w:val="21"/>
          <w:highlight w:val="none"/>
        </w:rPr>
        <w:t>工程和勘察</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1.1.3.1 工程：指专用合同条款中指明进行勘察招标的工程。</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1.1.3.2 勘察服务：指勘察人按照合同约定履行的服务，包括制订勘察纲要、进行测绘、勘探、取样和试验等，查明、分析和评估地质特征和工程条件，编制勘察报告和提供发包人委托</w:t>
      </w:r>
    </w:p>
    <w:p>
      <w:pPr>
        <w:adjustRightInd w:val="0"/>
        <w:spacing w:line="440" w:lineRule="exact"/>
        <w:ind w:firstLine="480" w:firstLineChars="200"/>
        <w:rPr>
          <w:rFonts w:hint="eastAsia" w:ascii="仿宋_GB2312" w:hAnsi="仿宋_GB2312" w:eastAsia="仿宋_GB2312" w:cs="仿宋_GB2312"/>
          <w:sz w:val="24"/>
          <w:szCs w:val="24"/>
          <w:highlight w:val="none"/>
        </w:rPr>
      </w:pP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的其他服务。</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1.1.3.3 勘察设备：指为完成合同约定的各项工作所需的设备、器具和其他物品，不包括临时工程和材料。</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1.1.3.4 勘探场地：指用于工程勘探的场所，以及在合同中指定作为勘探场地组成的其他场所。</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1.1.3.5 勘察资料：是发包人按合同约定向勘察人提供的，用于完成勘察服务范围与内容所需要的资料。</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1.1.3.6 勘察文件：指勘察人按合同约定向发包人提交的工程勘察报告、服务大纲、勘察方案、外业指导书、进度计划、图纸、计算书、软件和其他文件等，包括阶段性文件和最终文件，且应当采用合同中双方约定的格式和载体。</w:t>
      </w:r>
    </w:p>
    <w:p>
      <w:pPr>
        <w:adjustRightInd w:val="0"/>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 xml:space="preserve">1.1.4 </w:t>
      </w:r>
      <w:r>
        <w:rPr>
          <w:rFonts w:hint="eastAsia" w:ascii="仿宋_GB2312" w:hAnsi="仿宋_GB2312" w:eastAsia="仿宋_GB2312" w:cs="仿宋_GB2312"/>
          <w:szCs w:val="21"/>
          <w:highlight w:val="none"/>
        </w:rPr>
        <w:t>日期</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1.1.4.1 开始勘察通知：指发包人按第6.1款通知勘察人开始勘察的函件。</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1.1.4.2 开始勘察日期：指发包人按第6.1款发出的开始勘察通知中写明的开始勘察日期。</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1.1.4.3 勘察服务期限：指勘察人在投标承诺书中承诺的完成合同勘察服务所需的期限，包括按第6.2款、第6.3款、第6.5款和第6.7款约定所作的调整。</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1.1.4.4 完成勘察日期：指第1.1.4.3目约定勘察服务期限届满时的日期。</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1.1.4.5 基准日：指投标截止时间前28天的日期。</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1.1.4.6 天：除特别指明外，指日历天。合同中按天计算时间的，开始当天不计入，从次日开始计算。期限最后一天的截止时间为当天24:00。</w:t>
      </w:r>
    </w:p>
    <w:p>
      <w:pPr>
        <w:adjustRightInd w:val="0"/>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 xml:space="preserve">1.1.5 </w:t>
      </w:r>
      <w:r>
        <w:rPr>
          <w:rFonts w:hint="eastAsia" w:ascii="仿宋_GB2312" w:hAnsi="仿宋_GB2312" w:eastAsia="仿宋_GB2312" w:cs="仿宋_GB2312"/>
          <w:szCs w:val="21"/>
          <w:highlight w:val="none"/>
        </w:rPr>
        <w:t>合同价格和费用</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1.1.5.1 签约合同价：指签订合同时合同协议书中写明的勘察费用总金额。</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1.1.5.2 合同价格：指勘察人按合同约定完成了全部勘察工作后，发包人应付给勘察人的金额，包括在履行合同过程中按合同约定进行的变更和调整。</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1.1.5.3 费用：指为履行合同所发生的或将要发生的所有合理开支，包括管理费和应分摊的其他费用，但不包括利润。</w:t>
      </w:r>
    </w:p>
    <w:p>
      <w:pPr>
        <w:adjustRightInd w:val="0"/>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 xml:space="preserve">1.1.6 </w:t>
      </w:r>
      <w:r>
        <w:rPr>
          <w:rFonts w:hint="eastAsia" w:ascii="仿宋_GB2312" w:hAnsi="仿宋_GB2312" w:eastAsia="仿宋_GB2312" w:cs="仿宋_GB2312"/>
          <w:szCs w:val="21"/>
          <w:highlight w:val="none"/>
        </w:rPr>
        <w:t>其他</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1.1.6.1 书面形式：指合同文件、信件和数据电文（包括电报、电传、传真、电子数据交换和电子邮件）等可以有形地表现所载内容的形式。</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1.2 语言文字</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合同使用的语言文字为中文。专用术语使用外文的，应附有中文注释。</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1.3 适用法律</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适用于合同的法律包括中华人民共和国法律、行政法规、部门规章，以及工程所在地的地方法规、自治条例、单行条例和地方政府规章。</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本合同适用的其他规范性文件，可在专用合同条款中约定。</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1.4 合同文件的优先顺序</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组成合同的各项文件应互相解释，互为说明。除专用合同条款另有约定外，解释合同文件的优先顺序如下：</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（1）合同协议书；</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（2）中标通知书；</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（3）投标承诺书及承诺书；</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（4）专用合同条款；</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（5）通用合同条款；</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（6）发包人要求；</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（7）勘察费用清单；</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（8）勘察纲要；</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（9）其他合同文件。</w:t>
      </w:r>
    </w:p>
    <w:p>
      <w:pPr>
        <w:adjustRightInd w:val="0"/>
        <w:spacing w:line="44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1.5 合同协议书</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勘察人按中标通知书规定的时间与发包人签订合同协议书。除法律另有规定或合同另有约定外，发包人和勘察人的法定代表人或其委托代理人在合同协议书上签字并盖单位章后，合同生效。</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1.6 文件的提供和照管</w:t>
      </w:r>
    </w:p>
    <w:p>
      <w:pPr>
        <w:adjustRightInd w:val="0"/>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 xml:space="preserve">1.6.1 </w:t>
      </w:r>
      <w:r>
        <w:rPr>
          <w:rFonts w:hint="eastAsia" w:ascii="仿宋_GB2312" w:hAnsi="仿宋_GB2312" w:eastAsia="仿宋_GB2312" w:cs="仿宋_GB2312"/>
          <w:szCs w:val="21"/>
          <w:highlight w:val="none"/>
        </w:rPr>
        <w:t>勘察文件的提供</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除专用合同条款另有约定外，勘察人应在合理的期限内按照合同约定的数量向发包人提供勘察文件。合同约定勘察文件应经发包人批复的，发包人应当在合同约定的期限内批复或提出修改意见。</w:t>
      </w:r>
    </w:p>
    <w:p>
      <w:pPr>
        <w:adjustRightInd w:val="0"/>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 xml:space="preserve">1.6.2 </w:t>
      </w:r>
      <w:r>
        <w:rPr>
          <w:rFonts w:hint="eastAsia" w:ascii="仿宋_GB2312" w:hAnsi="仿宋_GB2312" w:eastAsia="仿宋_GB2312" w:cs="仿宋_GB2312"/>
          <w:szCs w:val="21"/>
          <w:highlight w:val="none"/>
        </w:rPr>
        <w:t>发包人提供的文件</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按专用合同条款约定由发包人提供的文件，包括基础资料、勘察任务书等，发包人应按约定的数量和期限交给勘察人。由于发包人未按时提供文件造成勘察服务期限延误的，按第6.2款约定执行。</w:t>
      </w:r>
    </w:p>
    <w:p>
      <w:pPr>
        <w:adjustRightInd w:val="0"/>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 xml:space="preserve">1.6.3 </w:t>
      </w:r>
      <w:r>
        <w:rPr>
          <w:rFonts w:hint="eastAsia" w:ascii="仿宋_GB2312" w:hAnsi="仿宋_GB2312" w:eastAsia="仿宋_GB2312" w:cs="仿宋_GB2312"/>
          <w:szCs w:val="21"/>
          <w:highlight w:val="none"/>
        </w:rPr>
        <w:t>文件错误的通知</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任何一方当事人发现文件中存在的明显错误或疏忽，均应及时通知对方当事人，并应立即采取适当的措施防止损失扩大。</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1.7 联络</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1.7.1与合同有关的通知、批准、证明、证书、指示、要求、请求、同意、意见、确定和决定等，均应采用书面形式。</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1.7.2上述通知、批准、证明、证书、指示、要求、请求、同意、意见、确定和决定等来往函件，均应在合同约定的期限内送达指定的地点和指定的接收人，并办理签收手续。</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1.8 转让</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除专用合同条款另有约定外，未经对方当事人同意，一方当事人不得将合同权利全部或部分转让给第三人，也不得全部或部分转移合同义务。</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1.9 严禁贿赂</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合同双方当事人不得以贿赂或变相贿赂的方式，谋取不当利益或损害对方权益。因贿赂造成对方当事人损失的，行为人应当赔偿损失，并承担相应的法律责任。</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1.10 知识产权</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1.10.1除专用合同条款另有约定外，勘察人完成的勘察工作成果，除署名权以外的著作权和其他知识产权均归发包人享有。</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1.10.2 勘察人在从事勘察活动时，不得侵犯他人的知识产权。因侵犯专利权或其他知识产权所引起的责任，由勘察人自行承担。因发包人提供的勘察资料导致侵权的，由发包人承担责任。</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1.10.3 勘察人在投标文件中采用专利技术、专有技术的，相应的使用费视为已包含在投标报价之中。</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1.11 文件及信息的保密</w:t>
      </w:r>
    </w:p>
    <w:p>
      <w:pPr>
        <w:adjustRightInd w:val="0"/>
        <w:spacing w:line="440" w:lineRule="exact"/>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Cs w:val="21"/>
          <w:highlight w:val="none"/>
        </w:rPr>
        <w:t>未经对方同意，任何一方当事人不得将有关文件、技术秘密、需要保密的资料和信息泄露给他人或公开发表与引用。</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1.12 发包人要求</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1.12.1 勘察人应认真阅读、复核发包人要求，发现错误的，应及时书面通知发包人。无论是否存在错误，发包人均有权修改发包人要求，并在修改后3日内通知勘察人。除专用合同条款另有约定外，由此导致勘察人费用增加和(或)周期延误的，发包人应当相应地增加费用和(或)延长周期。</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1.12.2 如果发包人要求违反法律规定，勘察人应在发现后及时书面通知发包人，要求其改正。发包人收到通知书后不予改正或不予答复的，勘察人有权拒绝履行合同义务，直至解除合同；由此引起的勘察人的全部损失由发包人承担。</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2. 发包人义务</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2.1 遵守法律</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发包人在履行合同过程中应遵守法律，并保证勘察人免于承担因发包人违反法律而引起的任何责任。</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2.2 发出开始勘察通知</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发包人应按第6.1款的约定向勘察人发出开始勘察通知。</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2.3 办理证件和批件</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法律规定和（或）合同约定由发包人负责办理的工程建设项目必须履行的各类审批、核准或备案手续，发包人应当按时办理，勘察人应给予必要的协助。</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法律规定和（或）合同约定由勘察人负责办理的勘察所需的证件和批件，发包人应给予必要的协助。</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2.4 支付合同价款</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发包人应按合同约定向勘察人及时支付合同价款。</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2.5 提供勘察资料</w:t>
      </w:r>
    </w:p>
    <w:p>
      <w:pPr>
        <w:adjustRightInd w:val="0"/>
        <w:spacing w:line="440" w:lineRule="exact"/>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Cs w:val="21"/>
          <w:highlight w:val="none"/>
        </w:rPr>
        <w:t>发包人应按第1.6.2项的约定向勘察人提供勘察资料。</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2.6 其他义务</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发包人应履行合同约定的其他义务。</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3. 发包人管理</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3.1 发包人代表</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3.1.1除专用合同条款另有约定外，发包人应在合同签订后14天内，将发包人代表的姓名、职务、联系方式、授权范围和授权期限书面通知勘察人，由发包人代表在其授权范围和授权期限内，代表发包人行使权利、履行义务和处理合同履行中的具体事宜。发包人代表在授权范围内的行为由发包人承担法律责任。</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3.1.2发包人代表违反法律法规、违背职业道德守则或者不按合同约定履行职责及义务，导致合同无法继续正常履行的，勘察人有权通知发包人更换发包人代表。发包人收到通知后7天内，应当核实完毕并将处理结果通知勘察人。</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3.1.3发包人更换发包人代表的，应提前14天将更换人员的姓名、职务、联系方式、授权范围和授权期限书面通知勘察人。</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3.1.4发包人代表可以授权发包人的其他人员负责执行其指派的一项或多项工作。发包人代表应将被授权人员的姓名及其授权范围通知勘察人。被授权人员在授权范围内发出的指示视为已得到发包人代表的同意，与发包人代表发出的指示具有同等效力。</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3.2 监理人</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3.2.1发包人可以根据工程建设需要确定是否委托监理人进行勘察监理。如果委托监理，则监理人享有合同约定的权力，其所发出的任何指示应视为已得到发包人的批准。监理人的监理范围、职责权限和总监理工程师信息，应在专用合同条款中指明。未经发包人批准，监理人无权修改合同。</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3.2.2 合同约定应由勘察人承担的义务和责任，不因监理人对勘察文件的审查或批准，以及为实施监理作出的指示等职务行为而减轻或解除。</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3.3 发包人的指示</w:t>
      </w:r>
    </w:p>
    <w:p>
      <w:pPr>
        <w:adjustRightInd w:val="0"/>
        <w:spacing w:line="440" w:lineRule="exact"/>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Cs w:val="21"/>
          <w:highlight w:val="none"/>
        </w:rPr>
        <w:t>3.3.1 发包人应按合同约定向勘察人发出指示，发包人的指示应盖有发包人单位章，并由发包人代表签字确认。</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3.3.2 勘察人收到发包人作出的指示后应遵照执行。指示构成变更的，应按第11条执行。</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3.3.3 在紧急情况下，发包人代表或其授权人员可以当场签发临时书面指示，勘察人应遵照执行。发包人代表应在临时书面指示发出后24小时内发出书面确认函，逾期未发出书面确认函的，该临时书面指示应被视为发包人的正式指示。</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3.3.4 除专用合同条款另有约定外，勘察人只从发包人代表或按第3.1.4项约定的被授权人员处取得指示。</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3.3.5 由于发包人未能按合同约定发出指示、指示延误或指示错误而导致勘察人费用增加和（或）周期延误的，发包人应承担由此增加的费用和（或）周期延误。</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3.4 决定或答复</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3.4.1 发包人在法律允许的范围内有权对勘察人的勘察工作和/或勘察文件作出处理决定，勘察人应按照发包人的决定执行，涉及勘察服务期限或勘察费用等问题按第11条的约定处理。</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3.4.2 发包人应在专用合同条款约定的时间之内，对勘察人书面提出的事项作出书面答复；逾期没有做出答复的，视为已获得发包人的批准。</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4. 勘察人义务</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4.1 勘察人的一般义务</w:t>
      </w:r>
    </w:p>
    <w:p>
      <w:pPr>
        <w:adjustRightInd w:val="0"/>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 xml:space="preserve">4.1.1 </w:t>
      </w:r>
      <w:r>
        <w:rPr>
          <w:rFonts w:hint="eastAsia" w:ascii="仿宋_GB2312" w:hAnsi="仿宋_GB2312" w:eastAsia="仿宋_GB2312" w:cs="仿宋_GB2312"/>
          <w:szCs w:val="21"/>
          <w:highlight w:val="none"/>
        </w:rPr>
        <w:t>遵守法律</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勘察人在履行合同过程中应遵守法律，并保证发包人免于承担因勘察人违反法律而引起的任何责任。</w:t>
      </w:r>
    </w:p>
    <w:p>
      <w:pPr>
        <w:adjustRightInd w:val="0"/>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 xml:space="preserve">4.1.2 </w:t>
      </w:r>
      <w:r>
        <w:rPr>
          <w:rFonts w:hint="eastAsia" w:ascii="仿宋_GB2312" w:hAnsi="仿宋_GB2312" w:eastAsia="仿宋_GB2312" w:cs="仿宋_GB2312"/>
          <w:szCs w:val="21"/>
          <w:highlight w:val="none"/>
        </w:rPr>
        <w:t>依法纳税</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勘察人应按有关法律规定纳税，应缴纳的税金（含增值税）包括在合同价格之中。</w:t>
      </w:r>
    </w:p>
    <w:p>
      <w:pPr>
        <w:adjustRightInd w:val="0"/>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 xml:space="preserve">4.1.3 </w:t>
      </w:r>
      <w:r>
        <w:rPr>
          <w:rFonts w:hint="eastAsia" w:ascii="仿宋_GB2312" w:hAnsi="仿宋_GB2312" w:eastAsia="仿宋_GB2312" w:cs="仿宋_GB2312"/>
          <w:szCs w:val="21"/>
          <w:highlight w:val="none"/>
        </w:rPr>
        <w:t>完成全部勘察工作</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勘察人应按合同约定以及发包人要求，完成合同约定的全部工作，并对工作中的任何缺陷进行整改、完善和修补，使其满足合同约定的目的。勘察人应按合同约定提供勘察文件，以及为完成勘察服务所需的劳务、材料、勘察设备、实验设施等，并应自行承担勘探场地临时设施的搭设、维护、管理和拆除。</w:t>
      </w:r>
    </w:p>
    <w:p>
      <w:pPr>
        <w:adjustRightInd w:val="0"/>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4.1.4</w:t>
      </w:r>
      <w:r>
        <w:rPr>
          <w:rFonts w:hint="eastAsia" w:ascii="仿宋_GB2312" w:hAnsi="仿宋_GB2312" w:eastAsia="仿宋_GB2312" w:cs="仿宋_GB2312"/>
          <w:szCs w:val="21"/>
          <w:highlight w:val="none"/>
        </w:rPr>
        <w:t>保证勘察作业规范、安全和环保</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勘察人应按法律、规范标准和发包人要求，采取各项有效措施，确保勘察作业操作规范、安全、文明和环保，在风险性较大的环境中作业时应当编制安全防护方案并制定应急预案，防止因勘察作业造成的人身伤害和财产损失。</w:t>
      </w:r>
    </w:p>
    <w:p>
      <w:pPr>
        <w:adjustRightInd w:val="0"/>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 xml:space="preserve">4.1.5 </w:t>
      </w:r>
      <w:r>
        <w:rPr>
          <w:rFonts w:hint="eastAsia" w:ascii="仿宋_GB2312" w:hAnsi="仿宋_GB2312" w:eastAsia="仿宋_GB2312" w:cs="仿宋_GB2312"/>
          <w:szCs w:val="21"/>
          <w:highlight w:val="none"/>
        </w:rPr>
        <w:t>避免勘探对公众与他人的利益造成损害</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勘察人在进行合同约定的各项工作时，不得侵害发包人与他人使用公用道路、水源、市政管网等公共设施的权利，避免对邻近的公共设施产生干扰，保证勘探场地的周边设施、建构筑物、地下管线、架空线和其他物体的安全运行。勘察人占用或使用他人的施工场地，影响他人作业或生活的，应承担相应责任。</w:t>
      </w:r>
    </w:p>
    <w:p>
      <w:pPr>
        <w:adjustRightInd w:val="0"/>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 xml:space="preserve">4.1.6 </w:t>
      </w:r>
      <w:r>
        <w:rPr>
          <w:rFonts w:hint="eastAsia" w:ascii="仿宋_GB2312" w:hAnsi="仿宋_GB2312" w:eastAsia="仿宋_GB2312" w:cs="仿宋_GB2312"/>
          <w:szCs w:val="21"/>
          <w:highlight w:val="none"/>
        </w:rPr>
        <w:t>其他义务</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勘察人应履行合同约定的其他义务。</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4.2 履约保证金</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除专用合同条款另有约定外，履约保证金自合同生效之日起生效，在发包人签收最后一批勘察成果文件之日起28日后失效。如果勘察人不履行合同约定的义务或其履行不符合合同的约定，发包人有权扣划相应金额的履约保证金。</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4.3 分包和不得转包</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4.3.1勘察人不得将其勘察的全部工作转包给第三人。</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4.3.2 勘察人不得将勘察的主体、关键性工作分包给第三人。除专用合同条款另有约定外，未经发包人同意，勘察人也不得将非主体、非关键性工作分包给第三人。</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4.3.3发包人同意勘察人分包工作的，勘察人应向发包人提交1份分包合同副本，并对分包勘察工作质量承担连带责任。除专用合同条款另有约定外，分包人的勘察费用由勘察人与分包人自行支付。</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4.3.4 分包人的资格能力应与其分包工作的标准和规模相适应，包括必要的企业资质、人员、设备和类似业绩等。</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4.4 联合体</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4.4.1 联合体各方应共同与发包人签订合同。联合体各方应为履行合同承担连带责任。</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4.4.2联合体协议经发包人确认后作为合同附件。在履行合同过程中，未经发包人同意，不得修改联合体协议。</w:t>
      </w:r>
    </w:p>
    <w:p>
      <w:pPr>
        <w:adjustRightInd w:val="0"/>
        <w:spacing w:line="440" w:lineRule="exact"/>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Cs w:val="21"/>
          <w:highlight w:val="none"/>
        </w:rPr>
        <w:t>4.4.3联合体牵头人或联合体授权的代表负责与发包人联系，并接受指示，负责组织联合体各成员全面履行合同。</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4.5 项目负责人</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4.5.1勘察人应按合同协议书的约定指派项目负责人，并在约定的期限内到职。勘察人更换项目负责人应事先征得发包人同意，并应在更换14天前将拟更换的项目负责人的姓名和详细资料提交发包人。项目负责人2天内不能履行职责的，应事先征得发包人同意，并委派代表代行其职责。</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4.5.2项目负责人应按合同约定以及发包人要求，负责组织合同工作的实施。在情况紧急且无法与发包人取得联系时，可采取保证工程和人员生命财产安全的紧急措施，并在采取措施后24小时内向发包人提交书面报告。</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4.5.3勘察人为履行合同发出的一切函件均应盖有勘察人单位章，并由勘察人的项目负责人签字确认。</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4.5.4按照专用合同条款约定，项目负责人可以授权其下属人员履行其某项职责，但事先应将这些人员的姓名和授权范围书面通知发包人。</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4.6 勘察人员的管理</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4.6.1勘察人应在接到开始勘察通知之日起7天内，向发包人提交勘察项目机构以及人员安排的报告，其内容应包括项目机构设置、主要勘察人员和作业人员的名单及资格条件。主要勘察人员应相对稳定，更换主要勘察人员的，应取得发包人的同意,并向发包人提交继任人员的资格、管理经验等资料。项目负责人的更换，应按照本章第4.5.1项规定执行。</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4.6.2 除专用合同条款另有约定外，主要勘察人员包括项目负责人、勘探负责人、试验负责人等；作业人员包括勘探描述（记录）员、机长、观测员、试验员等。</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4.6.3勘察人应保证其主要勘察人员（含分包人）在合同期限内的任何时候，都能按时参加发包人组织的工作会议。</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4.6.4 国家规定应当持证上岗的工作人员均应持有相应的资格证明，发包人有权随时检查。发包人认为有必要时，可以进行现场考核。</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4.7 撤换项目负责人和其他人员</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勘察人应对其项目负责人和其他人员进行有效管理。发包人要求撤换不能胜任本职工作、行为不端或玩忽职守的项目负责人和其他人员的，勘察人应予以撤换。</w:t>
      </w:r>
    </w:p>
    <w:p>
      <w:pPr>
        <w:adjustRightInd w:val="0"/>
        <w:spacing w:line="44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4.8 保障人员的合法权益</w:t>
      </w:r>
    </w:p>
    <w:p>
      <w:pPr>
        <w:adjustRightInd w:val="0"/>
        <w:spacing w:line="440" w:lineRule="exact"/>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Cs w:val="21"/>
          <w:highlight w:val="none"/>
        </w:rPr>
        <w:t>4.8.1勘察人应与其雇佣的人员签订劳动合同，并按时发放工资。</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4.8.2勘察人应按劳动法的规定安排工作时间，保证其雇佣人员享有休息和休假的权利。因勘察需要占用休假日或延长工作时间的，应不超过法律规定的限度，并按法律规定给予补休或付酬。</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4.8.3勘察人应为其现场人员提供必要的食宿条件，以及符合环境保护和卫生要求的生活环境，在远离城镇的勘探场地，还应配备必要的伤病防治和急救设施。</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4.8.4勘察人应按国家有关劳动保护的规定，采取有效的防止粉尘、降低噪声、控制有害气体和保障高温、高寒、高空作业安全等劳动保护措施。其雇佣人员在勘探作业中受到伤害的，勘察人应立即采取有效措施进行抢救和治疗。</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4.8.5勘察人应按有关法律规定和合同约定，为其雇佣人员办理保险。</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4.9 合同价款应专款专用</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发包人按合同约定支付给勘察人的各项价款，应专用于合同勘察工作。</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5. 勘察要求</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5.1 一般要求</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5.1.1 发包人应当遵守法律和规范标准，不得以任何理由要求勘察人违反法律和工程质量、安全标准进行勘察服务，降低工程质量。</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5.1.2 勘察人应按照法律规定，以及国家、行业和地方的规范和标准完成勘察工作，并应符合发包人要求。各项规范、标准和发包人要求之间如对同一内容的描述不一致时，应以描述更为严格的内容为准。</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5.1.3除专用合同条款另有约定外，勘察人完成勘察工作所应遵守的法律规定，以及国家、行业和地方的规范和标准，均应视为在基准日适用的版本。基准日之后，前述版本发生重大变化，或者有新的法律，以及国家、行业和地方的规范和标准实施的，勘察人应向发包人提出遵守新规定的建议。发包人应在收到建议后7天内发出是否遵守新规定的指示。发包人指示遵守新规定的，按照第11条约定执行。</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5.2 勘察依据</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除专用合同条款另有约定外，本工程的勘察依据如下：</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（1）适用的法律、行政法规及部门规章；</w:t>
      </w:r>
    </w:p>
    <w:p>
      <w:pPr>
        <w:adjustRightInd w:val="0"/>
        <w:spacing w:line="440" w:lineRule="exact"/>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Cs w:val="21"/>
          <w:highlight w:val="none"/>
        </w:rPr>
        <w:t>（2）与工程有关的规范、标准、规程；</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（3）工程基础资料及其他文件；</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（4）本勘察服务合同及补充合同；</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（5）本工程设计和施工需求；</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（6）合同履行中与勘察服务有关的来往函件；</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（7）其他勘察依据。</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5.3勘察范围</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5.3.1 本合同的勘察范围包括工程范围、阶段范围和工作范围，具体勘察范围应当根据三者之间的关联内容进行确定。</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5.3.2 工程范围指所勘察工程的建设内容，具体范围在专用合同条款中约定。</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5.3.3 阶段范围指工程建设程序中的可行性研究勘察、初步勘察、详细勘察、施工勘察等阶段中的一个或者多个阶段，具体范围在专用合同条款中约定。</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5.3.4 工作范围指工程测量、岩土工程勘察、岩土工程设计（如有）、提供技术交底、施工配合、参加试车（试运行）、竣工验收和发包人委托的其他服务中的一项或者多项工作，具体范围在专用合同条款中约定。</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5.4 勘察作业要求</w:t>
      </w:r>
    </w:p>
    <w:p>
      <w:pPr>
        <w:adjustRightInd w:val="0"/>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 xml:space="preserve">5.4.1 </w:t>
      </w:r>
      <w:r>
        <w:rPr>
          <w:rFonts w:hint="eastAsia" w:ascii="仿宋_GB2312" w:hAnsi="仿宋_GB2312" w:eastAsia="仿宋_GB2312" w:cs="仿宋_GB2312"/>
          <w:szCs w:val="21"/>
          <w:highlight w:val="none"/>
        </w:rPr>
        <w:t>测绘</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除专用合同条款另有约定外，发包人应在开始勘察前7日内，向勘察人提供测量基准点、水准点和书面资料等；勘察人应根据国家测绘基准、测绘系统和工程测量技术规范，按发包人要求的基准点以及合同工程精度要求，进行测绘。</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（2）勘察人测绘之前，应当认真核对测绘数据，保证引用数据和原始数据准确无误。测绘工作应由测量人员如实记录，不得补记、涂改或者损坏。</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（3）工程勘探之前，勘察人应当严格按照勘察方案的孔位坐标，进行测量放线并在实地位置定位，埋设带有编号且不易移动的标志桩进行定位控制。</w:t>
      </w:r>
    </w:p>
    <w:p>
      <w:pPr>
        <w:adjustRightInd w:val="0"/>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 xml:space="preserve">5.4.2 </w:t>
      </w:r>
      <w:r>
        <w:rPr>
          <w:rFonts w:hint="eastAsia" w:ascii="仿宋_GB2312" w:hAnsi="仿宋_GB2312" w:eastAsia="仿宋_GB2312" w:cs="仿宋_GB2312"/>
          <w:szCs w:val="21"/>
          <w:highlight w:val="none"/>
        </w:rPr>
        <w:t>勘探</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（1）勘察人应当根据勘察目的和岩土特性，合理选择钻探、井探、槽探、洞探和地球物理勘探等勘探方法，为完成合同约定的勘察任务创造条件。勘察人对于勘察方法的正确性、适用性和可靠性完全负责。</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勘察人布置勘探工作时，应当充分考虑勘探方法对于自然环境、周边设施、建构筑物、地下管线、架空线和其他物体的影响，采用切实有效的措施进行防范控制，不得造成损坏或中断运行，否则由此导致的费用增加和（或）周期延误由勘察人自行承担。</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（3）勘察人应在标定的孔位处进行勘探，不得随意改动位置。勘探方法、勘探机具、勘探记录、取样编录与描述，孔位标记、孔位封闭等事项，应当严格执行规范标准，按实填写勘探报表和勘探日志。</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勘探工作完成后，勘察人应当按照规范要求及时封孔，并将封孔记录整理存档，勘探场地应当地面平整、清洁卫生，并通知发包人、行政主管部门及使用维护单位进行现场验收。验收通过之后如果发生沉陷，勘察人应当及时进行二次封孔和现场验收。</w:t>
      </w:r>
    </w:p>
    <w:p>
      <w:pPr>
        <w:adjustRightInd w:val="0"/>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 xml:space="preserve">5.4.3 </w:t>
      </w:r>
      <w:r>
        <w:rPr>
          <w:rFonts w:hint="eastAsia" w:ascii="仿宋_GB2312" w:hAnsi="仿宋_GB2312" w:eastAsia="仿宋_GB2312" w:cs="仿宋_GB2312"/>
          <w:szCs w:val="21"/>
          <w:highlight w:val="none"/>
        </w:rPr>
        <w:t>取样</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勘察人应当针对不同的岩土地质，按照勘探取样规范规程中的相关规定，根据地层特征、取样深度、设备条件和试验项目的不同，合理选用取样方法和取样工具进行取样，包括并不限于土样、水样、岩芯等。</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取样后的样品应当根据其类别、性质和特点等进行封装、贮存和运输。样品搬运之前，宜用数码相机进行现场拍照；运输途中应当采用柔软材料充填、尽量避免震动和阳光曝晒；装卸之时尽量轻拿轻放，以免样品损坏。</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（3）取样后的样品应当填写和粘贴标签，标签内容包括并不限于工程名称、孔号、样品编号、取样深度、样品名称、取样日期、取样人姓名、施工机组等。</w:t>
      </w:r>
    </w:p>
    <w:p>
      <w:pPr>
        <w:adjustRightInd w:val="0"/>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 xml:space="preserve">5.4.4 </w:t>
      </w:r>
      <w:r>
        <w:rPr>
          <w:rFonts w:hint="eastAsia" w:ascii="仿宋_GB2312" w:hAnsi="仿宋_GB2312" w:eastAsia="仿宋_GB2312" w:cs="仿宋_GB2312"/>
          <w:szCs w:val="21"/>
          <w:highlight w:val="none"/>
        </w:rPr>
        <w:t>试验</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（1）勘察人应当根据岩土条件、设计要求、勘察经验和测试方法特点，选用合适的原位测试方法和勘察设备进行原位测试。原位测试成果应与室内试验数据进行对比分析，检验其可靠性。</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（2）勘察人的试验室应当通过行业管理部门认可的CMA计量认证，具有相应的资格证书、试验人员和试验条件，否则应当委托第三方试验室进行室内试验。</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勘察人应在试验之前按照要求清点样品数目，认定取样质量及数量是否满足试验需要；勘察设备应当检定合格，性能参数满足试验要求，严格按照规范标准的相应规定进行试验操作；试验之后应在有效期内保留备样，以备复核试验成果之用，并按规范标准规定处理余土和废液，符合环境保护、健康卫生等要求。</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（4）试验报告的格式应当符合CMA计量认证体系要求，加盖CMA章并由试验负责人签字确认；试验负责人应当通过计量认证考核，并由项目负责人授权许可。</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5.5 勘察设备要求</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5.5.1 勘察人应按合同进度计划的要求，及时配置勘察设备进行作业。勘察人更换合同约定的勘察设备的，应报发包人批准。</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5.5.2 勘察人应当按照规范要求，及时维修、保养或更换勘察设备，包括并不限于钻机、触探仪、全站仪、水准仪、探测仪、测井平台、天平、固结仪、振筛机、干燥箱、直剪仪、收缩仪、膨胀仪、渗透仪等，保证勘察设备能够随时进场使用。</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5.5.3 勘察人使用的勘察设备不能满足合同进度计划和（或）质量要求时，发包人有权要求勘察人增加或更换勘察设备，勘察人应及时增加或更换，由此增加的费用和（或）周期延误由勘察人自行承担。</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5.6 临时占地和设施要求</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5.6.1 勘察人应当根据勘察服务方案制订临时占地计划，报请发包人批准。</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5.6.2 位于本工程区域内的临时占地，由发包人协调提供。位于道路、绿化或者其他市政设施内的临时占地，由勘察人向行政管理部门报建申请，按照要求制定占地施工方案，并据此实施。</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5.6.3 临时占地使用完毕后，勘察人应当按照发包人要求或行政管理部门规定恢复临时占地。如果恢复或清理标准不能满足要求的，发包人有权委托他人代为恢复或清理，由此发生的费用从拟支付给勘察人的勘察费用中扣除。</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5.6.4 勘察人应当配备或搭设足够的临时设施，保证勘探工作能够正常开展。临时设施包括并不限于施工围挡、交通疏导设施、安全防范设施、钻机防护设施、安全文明施工设施、办公生活用房、取样存放场所等。</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5.6.5 临时设施应当满足规范标准、发包人要求和行政管理部门的规定等。除专用合同条款另有约定外，临时设施的修建、拆除和恢复费用由勘察人自行承担。</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5.7 安全作业要求</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5.7.1勘察人应按合同约定履行安全职责，执行发包人有关安全工作的指示，并在专用合同条款约定的期限内，按合同约定的安全工作内容，编制安全措施计划报送发包人批准。</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5.7.2勘察人应当严格执行操作规程，采取有效措施保证道路、桥梁、交通安全设施、建构筑物、地下管线、架空线和其他周边设施等安全正常地运行。</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5.7.3勘察人应当按照法律、法规和工程建设强制性标准进行勘察，加强勘察作业安全管理，特别加强易燃、易爆材料、火工器材、有毒与腐蚀性材料和其他危险品的管理。</w:t>
      </w:r>
    </w:p>
    <w:p>
      <w:pPr>
        <w:adjustRightInd w:val="0"/>
        <w:spacing w:line="440" w:lineRule="exact"/>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Cs w:val="21"/>
          <w:highlight w:val="none"/>
        </w:rPr>
        <w:t>5.7.4勘察人应严格按照国家安全标准制定施工安全操作规程，配备必要的安全生产和劳动保护设施，加强对勘察人人员的安全教育，并且发放安全工作手册和劳动保护用具。</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5.7.5勘察人应按发包人的指示制定应对灾害的紧急预案，报送发包人批准。勘察人还应按预案做好安全检查，配置必要的救助物资和器材，切实保护好有关人员的人身和财产安全。</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5.7.6勘察人应对其履行合同所雇佣的全部人员，包括分包人人员的工伤事故承担责任，但由于发包人原因造成勘察人人员工伤事故的，应由发包人承担责任。</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5.7.7由于勘察人原因在施工场地内及其毗邻地带造成的第三者人员伤亡和财产损失，由勘察人负责赔偿。</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5.8 环境保护要求</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5.8.1勘察人在履行合同过程中，应遵守有关环境保护的法律，履行合同约定的环境保护义务，并对违反法律和合同约定义务所造成的环境破坏、人身伤害和财产损失负责。</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5.8.2勘察人应按合同约定的环保工作内容，编制环保措施计划，报送发包人批准。</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5.8.3 勘察人应确保勘探过程中产生的气体排放物、粉尘、噪声、地面排水及排污等，符合法律规定和发包人要求。</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5.9 事故处理要求</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5.9.1 合同履行过程中发生事故的，勘察人应立即通知发包人。</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5.9.2 发包人和勘察人应立即组织人员和设备进行紧急抢救和抢修，减少人员伤亡和财产损失，防止事故扩大，并保护事故现场。需要移动现场物品时，应作出标记和书面记录，妥善保管有关证据。发包人和勘察人应按国家有关规定，及时如实地向有关部门报告事故发生的情况，以及正在采取的紧急措施等。</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5.10 勘察文件要求</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5.10.1 勘察文件的编制应符合法律法规、规范标准的强制性规定和发包人要求，相关勘察依据应完整、准确、可靠，勘察方案论证充分，计算成果规范可靠，并能够实施。</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5.10.2 勘察文件的深度应满足本合同相应勘察阶段的规定要求，满足发包人的下步工作需要，并应符合国家和行业现行规定。</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6. 开始勘察和完成勘察</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6.1 开始勘察</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6.1.1符合专用合同条款约定的开始勘察条件的，发包人应提前7天向勘察人发出开始勘察通知。勘察服务期限自开始勘察通知中载明的开始勘察日期起计算。</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6.1.2除专用合同条款另有约定外，因发包人原因造成合同签订之日起90</w:t>
      </w:r>
      <w:r>
        <w:rPr>
          <w:rFonts w:hint="eastAsia" w:ascii="仿宋_GB2312" w:hAnsi="仿宋_GB2312" w:eastAsia="仿宋_GB2312" w:cs="仿宋_GB2312"/>
          <w:szCs w:val="21"/>
          <w:highlight w:val="none"/>
          <w:lang w:val="en-US" w:eastAsia="zh-CN"/>
        </w:rPr>
        <w:t>工作日</w:t>
      </w:r>
      <w:r>
        <w:rPr>
          <w:rFonts w:hint="eastAsia" w:ascii="仿宋_GB2312" w:hAnsi="仿宋_GB2312" w:eastAsia="仿宋_GB2312" w:cs="仿宋_GB2312"/>
          <w:szCs w:val="21"/>
          <w:highlight w:val="none"/>
        </w:rPr>
        <w:t>内未能发出开始勘察通知的，勘察人有权提出价格调整要求，或者解除合同。发包人应当承担由此增加的费用和（或）周期延误。</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6.2 发包人引起的周期延误</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在履行合同过程中，由于发包人的下列原因造成勘察服务期限延误的，发包人应当延长勘察服务期限并增加勘察费用，具体方法在专用合同条款中约定。</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（1）合同变更；</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（2）未按合同约定期限及时答复勘察事项；</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（3）因发包人原因导致的暂停勘察；</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（4）未按合同约定及时支付勘察费用；</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（5）发包人提供的基准资料错误；</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（6）未及时按照履行合同约定的相关义务；</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（7）未能按照合同约定期限对勘察文件进行审查；</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（8）发包人造成周期延误的其他原因。</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6.3 非人为因素引起的周期延误</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6.3.1由于出现专用合同条款规定的异常恶劣气候条件、不利物质条件等因素导致周期延误的，勘察人有权要求发包人延长周期和（或）增加费用。</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6.3.2勘察人发现地下文物或化石时，应按规定及时报告发包人和文物部门，并采取有效措施进行保护；勘察人有权要求发包人延长周期和（或）增加费用。</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6.4 勘察人引起的周期延误</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由于勘察人原因造成周期延误，勘察人应支付逾期违约金。逾期违约金的计算方法和最高限额在专用合同条款中约定。</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6.5 第三人引起的周期延误</w:t>
      </w:r>
    </w:p>
    <w:p>
      <w:pPr>
        <w:adjustRightInd w:val="0"/>
        <w:spacing w:line="440" w:lineRule="exact"/>
        <w:ind w:firstLine="48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Cs w:val="21"/>
          <w:highlight w:val="none"/>
        </w:rPr>
        <w:t>由于行政管理部门审查或其他第三人原因造成费用增加和（或）周期延误的，由发包人承担。</w:t>
      </w:r>
      <w:r>
        <w:rPr>
          <w:rFonts w:hint="eastAsia" w:ascii="仿宋_GB2312" w:hAnsi="仿宋_GB2312" w:eastAsia="仿宋_GB2312" w:cs="仿宋_GB2312"/>
          <w:sz w:val="28"/>
          <w:szCs w:val="28"/>
          <w:highlight w:val="none"/>
        </w:rPr>
        <w:t>6.6 完成勘察</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6.6.1勘察人完成勘察服务之后，应当根据法律、规范标准、合同约定和发包人要求编制勘察文件。</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6.6.2勘察文件是工程勘察的最终成果和设计施工的重要依据，应当根据本工程的勘察内容和不同阶段的勘察任务、目的和要求等进行编制。勘察文件的内容和深度应当满足对应阶段的设计需求。</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6.6.3除专用合同条款另有约定外，勘察文件包括纸质文件和电子文件两种形式，两者若有不一致时，应以纸质文件为准。纸质文件一式八份，应当加盖单位章和项目负责人签章；电子文件中的文字为WORD格式、图形为CAD格式，并应使用光盘和U盘分别贮存。</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6.7 提前完成勘察</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6.7.1 根据发包人要求或者基于专业能力判断，勘察人认为能够提前完成勘察的，可向发包人递交一份提前完成勘察建议书，包括实施方案、提前时间、勘察费用变动等内容。除专用合同条款另有约定之外，发包人接受建议书的，不因提前完成勘察而减少勘察费用；增加勘察费用的，所增费用由发包人承担。</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6.7.2 发包人要求提前完成勘察但勘察人认为无法实施的，应在收到发包人书面指示后7天内提出异议，说明不能提前完成的理由。发包人应在收到异议后7天内予以答复。任何情况下，发包人不得压缩合理的勘察服务期限。</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6.7.3 由于勘察人提前完成勘察而给发包人带来经济效益的，发包人可以在专用合同条款中约定勘察人因此获得的奖励内容。</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7. 暂停勘察</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7.1 发包人原因暂停勘察</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合同履行中发生下列情形之一的，勘察人可向发包人发出通知，要求发包人采取有效措施予以纠正。发包人收到勘察人通知后的28天内仍不履行合同义务时，勘察人有权暂停勘察并通知发包人；发包人应承担由此导致的费用增加和（或）周期延误。</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（1）发包人违约；</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（2）发包人确定暂停勘察；</w:t>
      </w:r>
    </w:p>
    <w:p>
      <w:pPr>
        <w:adjustRightInd w:val="0"/>
        <w:spacing w:line="440" w:lineRule="exact"/>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Cs w:val="21"/>
          <w:highlight w:val="none"/>
        </w:rPr>
        <w:t>（3）合同约定由发包人承担责任的其他情形。</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7.2 勘察人原因暂停勘察</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合同履行中发生下列情形之一的，发包人可向勘察人发出通知暂停勘察，由此造成费用的增加和（或）周期延误由勘察人承担：</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（1）勘察人违约；</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（2）勘察人擅自暂停勘察；</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（3）合同约定由勘察人承担责任的其他情形。</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7.3 暂停期间的文件照管</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不论由于何种原因引起暂停勘察的，暂停期间勘察人应负责妥善保护已完部分的勘察文件，由此增加的费用由责任方承担。</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8. 勘察文件</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8.1 勘察文件接收</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8.1.1 发包人应当及时接收勘察人提交的勘察文件。如无正当理由拒收的，视为发包人已经接收勘察文件。</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8.1.2 发包人接收勘察文件时，应向勘察人出具文件签收凭证，凭证内容包括文件名称、文件内容、文件形式、份数、提交和接收日期、提交人与接收人的亲笔签名等。</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8.1.3 勘察文件提交的份数、内容、纸幅、装订格式、电子文件等要求，在专用合同条款中约定。</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8.2 发包人审查勘察文件</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8.2.1 发包人接收勘察文件之后，可以自行或者组织专家会进行审查，勘察人应当给予配合。审查标准应当符合法律、规范标准、合同约定和发包人要求等；审查的具体范围、明细内容和费用分担，在专用合同条款中约定。</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8.2.2 除专用合同条款另有约定外，发包人对于勘察文件的审查期限，自文件接收之日起不应超过14天。发包人逾期未做出审查结论且未提出异议的，视为勘察人的勘察文件已经通过发包人审查。</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8.2.3 发包人审查后不同意勘察文件的，应以书面形式通知勘察人，说明审查不通过的理由及其具体内容。勘察人应根据发包人的审查意见修改完善勘察文件，并重新报送发包人审查，审查期限重新起算。</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8.3 审查机构审查勘察文件</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8.3.1 勘察文件需经政府有关部门审查或批准的，发包人应在审查同意后，按照有关主管部门要求，将勘察文件和相关资料报送施工图审查机构进行审查。发包人的审查和施工图审查机构的审查不减免勘察人因为质量问题而应承担的勘察责任。</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8.3.2 对于施工图审查机构的审查意见，如不需要修改发包人要求的，应由勘察人按照审查意见修改完善勘察文件；如需修改发包人要求的，则由发包人重新修改和提出发包人要求，再由勘察人根据新的发包人要求修改完善勘察文件。</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8.3.3 由于自身原因造成勘察文件未通过审查机构审查的，勘察人应当承担违约责任，采取补救措施直至达到合同约定的质量标准，并自行承担由此导致的费用增加和（或）周期延误。</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9. 勘察责任与保险</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9.1 工作质量责任</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9.1.1 勘察工作质量应满足法律规定、规范标准、合同约定和发包人要求等。</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9.1.2 勘察人应做好勘察服务的质量与技术管理工作，建立健全内部质量管理体系和质量责任制度，加强勘察服务全过程的质量控制，建立完整的勘察文件的设计、复核、审核、会签和批准制度，明确各阶段的责任人。</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9.1.3 勘察人应当强化现场作业质量和试验工作管理，保证原始记录和试验数据的可靠性、真实性和完整性，严禁离开现场进行追记、补记和修改记录。</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9.1.4 勘察人应按合同约定对勘察服务进行全过程的质量检查和检验，并作详细记录，编制勘察工作质量报表，报送发包人审查。</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9.1.5 发包人有权对勘察工作质量进行检查和审核。勘察人应为发包人的检查和检验提供方便，包括发包人到勘察场地、试验室或合同约定的其他地方进行察看，查阅、审核勘察的原始记录和其他文件。发包人的检查和审核，不免除勘察人按合同约定应负的责任。</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9.2 勘察文件错误责任</w:t>
      </w:r>
    </w:p>
    <w:p>
      <w:pPr>
        <w:adjustRightInd w:val="0"/>
        <w:spacing w:line="440" w:lineRule="exact"/>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Cs w:val="21"/>
          <w:highlight w:val="none"/>
        </w:rPr>
        <w:t>9.2.1 勘察文件存在错误、遗漏、含混、矛盾、不充分之处或其他缺陷，无论勘察人是否通过了发包人审查或审查机构审查，勘察人均应自费对前述问题带来的缺陷和工程问题进行改正，但因第1.6.2项约定由发包人提供的文件错误导致的除外。</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9.2.2 因勘察人原因造成勘察文件不合格的，发包人有权要求勘察人采取补救措施，直至达到合同要求的质量标准，并按第14.1款的约定承担责任。</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9.2.3 因发包人原因造成勘察文件不合格的，勘察人应当采取补救措施，直至达到合同要求的质量标准，由此造成的勘察费用增加和（或）勘察服务期限延误由发包人承担。</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9.3 勘察责任主体</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9.3.1 勘察人应运用一切合理的专业技术、知识技能和项目经验，按照职业道德准则和行业公认标准尽其全部职责，勤勉、谨慎、公正地履行其在本合同项下的责任和义务。</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9.3.2 勘察责任为勘察单位项目负责人终身责任制。项目负责人应当保证勘察文件符合法律法规和工程建设强制性标准的要求，对因勘察导致的工程质量事故或质量问题承担责任。</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9.3.3 项目负责人应当在办理工程质量监督手续前签署工程质量终身责任承诺书，连同法定代表人出具的授权书，报工程质量监督机构备案。</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9.4 勘察责任保险</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9.4.1 除专用合同条款另有约定外，勘察人应具有发包人认可的、履行本合同所需要的工程勘察责任险，于合同签订后28天内向发包人提交工程勘察责任险的保险单副本或者其他有效证明，并在合同履行期间保持足额、有效。</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9.4.2 工程勘察责任险的保险范围，应当包括由于勘察人的疏忽或过失而造成的工程质量事故损失，以及由于事故引发的第三者人身伤亡、财产损失或费用赔偿等。</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9.4.3 发生工程勘察保险事故后，勘察人应按保险人要求进行报告，并负责办理保险理赔业务；保险金不足以补偿损失的，由勘察人自行补偿。</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10.设计和施工期间配合</w:t>
      </w:r>
    </w:p>
    <w:p>
      <w:pPr>
        <w:tabs>
          <w:tab w:val="left" w:pos="540"/>
          <w:tab w:val="left" w:pos="720"/>
        </w:tabs>
        <w:adjustRightInd w:val="0"/>
        <w:snapToGrid w:val="0"/>
        <w:spacing w:line="420" w:lineRule="exact"/>
        <w:ind w:firstLine="482" w:firstLineChars="200"/>
        <w:jc w:val="left"/>
        <w:outlineLvl w:val="1"/>
        <w:rPr>
          <w:rFonts w:hint="eastAsia" w:ascii="仿宋_GB2312" w:hAnsi="仿宋_GB2312" w:eastAsia="仿宋_GB2312" w:cs="仿宋_GB2312"/>
          <w:b/>
          <w:kern w:val="0"/>
          <w:szCs w:val="21"/>
          <w:highlight w:val="none"/>
        </w:rPr>
      </w:pPr>
      <w:r>
        <w:rPr>
          <w:rFonts w:hint="eastAsia" w:ascii="仿宋_GB2312" w:hAnsi="仿宋_GB2312" w:eastAsia="仿宋_GB2312" w:cs="仿宋_GB2312"/>
          <w:b/>
          <w:kern w:val="0"/>
          <w:szCs w:val="21"/>
          <w:highlight w:val="none"/>
        </w:rPr>
        <w:t>10.1 设计期间配合</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10.1.1 设计配合指勘察人配合设计人，在设计期间对本工程进行的补充勘察或其他配合工作。</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 xml:space="preserve">10.1.2 勘察人应当根据设计工作需要，对勘察报告和资料文件中的不完善或者错误之处，进行验证、补充或者修改；如遇不利的工程地质条件，勘察人应与设计人研讨并提出解决建议。     </w:t>
      </w:r>
    </w:p>
    <w:p>
      <w:pPr>
        <w:adjustRightInd w:val="0"/>
        <w:spacing w:line="440" w:lineRule="exact"/>
        <w:ind w:firstLine="48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Cs w:val="21"/>
          <w:highlight w:val="none"/>
        </w:rPr>
        <w:t xml:space="preserve">  </w:t>
      </w:r>
      <w:r>
        <w:rPr>
          <w:rFonts w:hint="eastAsia" w:ascii="仿宋_GB2312" w:hAnsi="仿宋_GB2312" w:eastAsia="仿宋_GB2312" w:cs="仿宋_GB2312"/>
          <w:b/>
          <w:kern w:val="0"/>
          <w:szCs w:val="21"/>
          <w:highlight w:val="none"/>
        </w:rPr>
        <w:t>10.2施工期间配合</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10.2.1 施工配合指勘察人配合施工承包人，在施工期间对本工程进行的补充勘察或其他配合工作，直至工程通过竣工验收为止。</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10.2.2 除专用合同条款另有约定外，发包人应为勘察人派赴施工现场的工作人员，在施工期间提供办公房间、办公桌椅、互联网接口、冷暖设施、生活设施、进出现场交通服务和其他便利条件。</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10.2.3 勘察人应在本工程的施工期间，积极提供勘察配合服务，进行勘察技术交底，委派专业人员配合施工承包人及时解决与勘察有关的问题，参与基坑基底验收和工程竣工验收等工作。</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10.2.4 发包人应当组织勘察技术交底会，由勘察人向发包人、监理人和施工承包人等进行勘察交底，对本工程的勘察意图、勘察文件和施工要求等进行系统地说明和解释。</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10.2.5 工程施工完毕后，发包人应当组织投产试车（试运行）和工程竣工验收，勘察人参加验收并出具本单位的验收结论。</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 合同变更</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11.1 变更情形</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11.1.1 合同履行中发生下述情形时，合同一方均可向对方提出变更请求，经双方协商一致后进行变更，勘察服务期限和勘察费用的调整方法在专用合同条款中约定。</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（1）勘察范围发生变化；</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（2）除不可抗力外，非勘察人的原因引起的周期延误；</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（3）非勘察人的原因，对工程同一部分重复进行勘察；</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（4）非勘察人的原因，对工程暂停勘察及恢复勘察。</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11.1.2 基准日后，因颁布新的或修订原有法律、法规、规范和标准等引发合同变更情形的，按照上述约定进行调整。</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11.2 合理化建议</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11.2.1 合同履行中，勘察人可对发包人要求提出合理化建议。合理化建议应以书面形式提交发包人，被发包人采纳并构成变更的，执行第11.1款约定。</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11.2.2勘察人提出的合理化建议降低了工程投资、缩短了施工期限或者提高了工程经济效</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益的，发包人应按专用合同条款中的约定给予奖励。</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12. 合同价格与支付</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12.1 合同价格</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12.1.1 本合同的价款确定方式、调整方式和风险范围划分，在专用合同条款中约定。</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12.1.2 勘察费用实行发包人签证制度，即勘察人完成勘察项目后通知发包人进行验收，通过验收后由发包人代表对实施的勘察项目、数量、质量和实施时间签字确认，以此作为计算勘察费用的依据之一。</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12.1.3 除专用合同条款另有约定外，合同价格应当包括收集资料，踏勘现场，制订纲要，进行测绘、勘探、取样、试验、测试、分析、评估、配合审查等，编制勘察文件，设计施工配合，青苗和园林绿化补偿，占地补偿，扰民及民扰，占道施工，安全防护、文明施工、环境保护，农民工工伤保险等全部费用和国家规定的增值税税金。</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12.1.4 发包人要求勘察人进行外出考察、试验检测、专项咨询或专家评审时，相应费用不含在合同价格之中，由发包人另行支付。</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12.2 定金或预付款</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12.2.1定金或预付款应专用于本工程的勘察。定金或预付款的额度、支付方式及抵扣方式在专用合同条款中约定。</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12.2.2 发包人应在收到定金或预付款支付申请后28天内，将定金或预付款支付给勘察人；勘察人应当提供等额的增值税发票。</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12.2.3 勘察服务完成之前，由于不可抗力或其他非勘察人的原因解除合同时，定金不予退还。</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12.3 中期支付</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12.3.1勘察人应按发包人批准或专用合同条款约定的格式及份数，向发包人提交中期支付申请，并附相应的支持性证明文件。</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12.3.2 发包人应在收到中期支付申请后的28天内，将应付款项支付给勘察人；勘察人应当提供等额的增值税发票。发包人未能在前述时间内完成审批或不予答复的，视为发包人同意中期支付申请。发包人不按期支付的，按专用合同条款的约定支付逾期付款违约金。</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12.3.3 中期支付涉及政府投资资金的，按照国库集中支付等国家相关规定和专用合同条款的约定执行。</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12.4 费用结算</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12.4.1合同工作完成后，勘察人可按专用合同条款约定的份数和期限，向发包人提交勘察费用结算申请，并提供相关证明材料。</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12.4.2发包人应在收到费用结算申请后的28天内，将应付款项支付给勘察人；勘察人应当提供等额的增值税发票。发包人未能在前述时间内完成审批或不予答复的，视为发包人同意费用结算申请。发包人不按期支付的，按专用合同条款的约定支付逾期付款违约金。</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12.4.3 发包人对费用结算申请内容有异议的，有权要求勘察人进行修正和提供补充资料，由勘察人重新提交。勘察人对此有异议的，按第15条的约定执行。</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12.4.4 最终结清付款涉及政府投资资金的，按第12.3.3项的约定执行。</w:t>
      </w:r>
    </w:p>
    <w:p>
      <w:pPr>
        <w:adjustRightInd w:val="0"/>
        <w:spacing w:line="440" w:lineRule="exact"/>
        <w:ind w:firstLine="482" w:firstLineChars="200"/>
        <w:rPr>
          <w:rFonts w:hint="eastAsia"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13. 不可抗力</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13.1 不可抗力的确认</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13.1.1不可抗力是指勘察人和发包人在订立合同时不可预见，在履行合同过程中不可避免发生并不能克服的自然灾害和社会性突发事件，如地震、海啸、瘟疫、水灾、骚乱、暴动、战争和专用合同条款约定的其他情形。</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13.1.2不可抗力发生后，发包人和勘察人应及时认真统计所造成的损失，收集不可抗力造成损失的证据。合同双方对是否属于不可抗力或其损失的意见不一致的，由合同双方协商确定。</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13.2 不可抗力的通知</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13.2.1合同一方当事人遇到不可抗力事件，使其履行合同义务受到阻碍时，应立即通知合同另一方当事人，书面说明不可抗力和受阻碍的详细情况，并提供必要的证明。</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13.2.2 如不可抗力持续发生，合同一方当事人应及时向合同另一方当事人提交中间报告，说明不可抗力和履行合同受阻的情况，并于不可抗力事件结束后28天内提交最终报告及有关资料。</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13.3 不可抗力后果及其处理</w:t>
      </w:r>
    </w:p>
    <w:p>
      <w:pPr>
        <w:adjustRightInd w:val="0"/>
        <w:spacing w:line="440" w:lineRule="exact"/>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Cs w:val="21"/>
          <w:highlight w:val="none"/>
        </w:rPr>
        <w:t>13.3.1不可抗力引起的后果及其损失，应由合同当事人依据法律规定各自承担。不可抗力发生前已完成的勘察工作，应当按照合同约定进行支付。</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13.3.2不可抗力发生后，合同当事人应当采取有效措施避免损失进一步扩大，如未采取有效措施致使损失扩大的，应当自行承担扩大部分的损失。</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13.3.3因一方当事人迟延履行合同义务，致使迟延履行期间遭遇不可抗力的，应由该当事人承担全部损失。</w:t>
      </w:r>
    </w:p>
    <w:p>
      <w:pPr>
        <w:adjustRightInd w:val="0"/>
        <w:spacing w:line="440" w:lineRule="exact"/>
        <w:ind w:firstLine="482" w:firstLineChars="200"/>
        <w:rPr>
          <w:rFonts w:hint="eastAsia"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14. 违约</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14.1 勘察人违约</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14.1.1合同履行中发生下列情况之一的，属勘察人违约：</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（1）勘察文件不符合法律以及合同约定；</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（2）勘察人转包、违法分包或者未经发包人同意擅自分包；</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（3）勘察人未按合同计划完成勘察，从而造成工程损失；</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（4）勘察人无法履行或停止履行合同；</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（5）勘察人不履行合同约定的其他义务。</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14.1.2勘察人发生违约情况时，发包人可向勘察人发出整改通知，要求其在限定期限内纠正；逾期仍不纠正的，发包人有权解除合同并向勘察人发出解除合同通知。勘察人应当承担由于违约所造成的费用增加、周期延误和发包人损失等。</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14.2 发包人违约</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14.2.1合同履行中发生下列情况之一的，属发包人违约：</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（1）发包人未按合同约定支付勘察费用；</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（2）发包人原因造成勘察停止；</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（3）发包人无法履行或停止履行合同；</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（4）发包人不履行合同约定的其他义务。</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14.2.2发包人发生违约情况时，勘察人可向发包人发出暂停勘察通知，要求其在限定期限内纠正；逾期仍不纠正的，勘察人有权解除合同并向发包人发出解除合同通知。发包人应当承担由于违约所造成的费用增加、周期延误和勘察人损失等。</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14.3 第三人造成的违约</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在履行合同过程中，一方当事人因第三人的原因造成违约的，应当向对方当事人承担违约责任。一方当事人和第三人之间的纠纷，依照法律规定或者按照约定解决。</w:t>
      </w:r>
    </w:p>
    <w:p>
      <w:pPr>
        <w:adjustRightInd w:val="0"/>
        <w:spacing w:line="440" w:lineRule="exact"/>
        <w:ind w:firstLine="482" w:firstLineChars="200"/>
        <w:rPr>
          <w:rFonts w:hint="eastAsia" w:ascii="仿宋_GB2312" w:hAnsi="仿宋_GB2312" w:eastAsia="仿宋_GB2312" w:cs="仿宋_GB2312"/>
          <w:b/>
          <w:bCs/>
          <w:szCs w:val="21"/>
          <w:highlight w:val="none"/>
        </w:rPr>
      </w:pPr>
      <w:r>
        <w:rPr>
          <w:rFonts w:hint="eastAsia" w:ascii="仿宋_GB2312" w:hAnsi="仿宋_GB2312" w:eastAsia="仿宋_GB2312" w:cs="仿宋_GB2312"/>
          <w:b/>
          <w:bCs/>
          <w:szCs w:val="21"/>
          <w:highlight w:val="none"/>
        </w:rPr>
        <w:t>15. 争议的解决</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发包人和勘察人在履行合同中发生争议的，可以友好协商解决。合同当事人友好协商解决不成的，可在专用合同条款中约定下列一种方式解决：</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（1）向约定的仲裁委员会申请仲裁；</w:t>
      </w:r>
    </w:p>
    <w:p>
      <w:pPr>
        <w:adjustRightInd w:val="0"/>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（2）向有管辖权的人民法院提起诉讼。</w:t>
      </w:r>
    </w:p>
    <w:p>
      <w:pPr>
        <w:widowControl/>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br w:type="page"/>
      </w:r>
    </w:p>
    <w:p>
      <w:pPr>
        <w:pStyle w:val="40"/>
        <w:spacing w:line="276" w:lineRule="auto"/>
        <w:ind w:firstLine="0"/>
        <w:jc w:val="center"/>
        <w:rPr>
          <w:rFonts w:hint="eastAsia"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第三部分　专用合同条款</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发包人委托勘察人承担详细勘察任务。</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根据《中华人民共和国合同法》及国家有关法规规定，结合本工程的具体情况，为明确责任，协作配合确保工程勘察质量，经发包人、勘察人协商一致，签订本合同，共同遵守。</w:t>
      </w:r>
    </w:p>
    <w:p>
      <w:pPr>
        <w:spacing w:line="440" w:lineRule="exact"/>
        <w:ind w:firstLine="482" w:firstLineChars="200"/>
        <w:rPr>
          <w:rFonts w:hint="eastAsia" w:ascii="仿宋_GB2312" w:hAnsi="仿宋_GB2312" w:eastAsia="仿宋_GB2312" w:cs="仿宋_GB2312"/>
          <w:b/>
          <w:szCs w:val="21"/>
          <w:highlight w:val="none"/>
        </w:rPr>
      </w:pPr>
      <w:r>
        <w:rPr>
          <w:rFonts w:hint="eastAsia" w:ascii="仿宋_GB2312" w:hAnsi="仿宋_GB2312" w:eastAsia="仿宋_GB2312" w:cs="仿宋_GB2312"/>
          <w:b/>
          <w:szCs w:val="21"/>
          <w:highlight w:val="none"/>
        </w:rPr>
        <w:t>第一条</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1.1合同文件组成及优先解释顺序</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（1）合同协议书；</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（2）中标通知书；</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（3）投标承诺书及承诺书；</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（4）专用合同条款；</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（5）通用合同条款；</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（6）发包人要求；</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（7）勘察费用清单；</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（8）勘察纲要；</w:t>
      </w:r>
    </w:p>
    <w:p>
      <w:pPr>
        <w:spacing w:line="440" w:lineRule="exact"/>
        <w:ind w:firstLine="480" w:firstLineChars="200"/>
        <w:rPr>
          <w:rFonts w:hint="eastAsia" w:ascii="仿宋_GB2312" w:hAnsi="仿宋_GB2312" w:eastAsia="仿宋_GB2312" w:cs="仿宋_GB2312"/>
          <w:szCs w:val="21"/>
          <w:highlight w:val="none"/>
          <w:u w:val="single"/>
        </w:rPr>
      </w:pPr>
      <w:r>
        <w:rPr>
          <w:rFonts w:hint="eastAsia" w:ascii="仿宋_GB2312" w:hAnsi="仿宋_GB2312" w:eastAsia="仿宋_GB2312" w:cs="仿宋_GB2312"/>
          <w:szCs w:val="21"/>
          <w:highlight w:val="none"/>
        </w:rPr>
        <w:t>1.2工程勘察任务（内容）与技术要求：</w:t>
      </w:r>
      <w:r>
        <w:rPr>
          <w:rFonts w:hint="eastAsia" w:ascii="仿宋_GB2312" w:hAnsi="仿宋_GB2312" w:eastAsia="仿宋_GB2312" w:cs="仿宋_GB2312"/>
          <w:szCs w:val="21"/>
          <w:highlight w:val="none"/>
          <w:u w:val="single"/>
        </w:rPr>
        <w:t>特别要求：符合国家及地区法律及法规等条款</w:t>
      </w:r>
    </w:p>
    <w:p>
      <w:pPr>
        <w:spacing w:line="440" w:lineRule="exact"/>
        <w:ind w:firstLine="480" w:firstLineChars="200"/>
        <w:rPr>
          <w:rFonts w:hint="eastAsia" w:ascii="仿宋_GB2312" w:hAnsi="仿宋_GB2312" w:eastAsia="仿宋_GB2312" w:cs="仿宋_GB2312"/>
          <w:szCs w:val="21"/>
          <w:highlight w:val="none"/>
          <w:u w:val="single"/>
        </w:rPr>
      </w:pPr>
      <w:r>
        <w:rPr>
          <w:rFonts w:hint="eastAsia" w:ascii="仿宋_GB2312" w:hAnsi="仿宋_GB2312" w:eastAsia="仿宋_GB2312" w:cs="仿宋_GB2312"/>
          <w:szCs w:val="21"/>
          <w:highlight w:val="none"/>
        </w:rPr>
        <w:t>使用国外技术标准的名称、提供方、原文版、中译本的份数、时间及费用承担：</w:t>
      </w:r>
      <w:r>
        <w:rPr>
          <w:rFonts w:hint="eastAsia" w:ascii="仿宋_GB2312" w:hAnsi="仿宋_GB2312" w:eastAsia="仿宋_GB2312" w:cs="仿宋_GB2312"/>
          <w:szCs w:val="21"/>
          <w:highlight w:val="none"/>
          <w:u w:val="single"/>
        </w:rPr>
        <w:t>执行通用条款</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1.3承接方式：</w:t>
      </w:r>
      <w:r>
        <w:rPr>
          <w:rFonts w:hint="eastAsia" w:ascii="仿宋_GB2312" w:hAnsi="仿宋_GB2312" w:eastAsia="仿宋_GB2312" w:cs="仿宋_GB2312"/>
          <w:szCs w:val="21"/>
          <w:highlight w:val="none"/>
          <w:u w:val="single"/>
        </w:rPr>
        <w:t>中标</w:t>
      </w:r>
    </w:p>
    <w:p>
      <w:pPr>
        <w:spacing w:line="440" w:lineRule="exact"/>
        <w:ind w:firstLine="480" w:firstLineChars="200"/>
        <w:rPr>
          <w:rFonts w:hint="eastAsia" w:ascii="仿宋_GB2312" w:hAnsi="仿宋_GB2312" w:eastAsia="仿宋_GB2312" w:cs="仿宋_GB2312"/>
          <w:szCs w:val="21"/>
          <w:highlight w:val="none"/>
          <w:u w:val="single"/>
        </w:rPr>
      </w:pPr>
      <w:r>
        <w:rPr>
          <w:rFonts w:hint="eastAsia" w:ascii="仿宋_GB2312" w:hAnsi="仿宋_GB2312" w:eastAsia="仿宋_GB2312" w:cs="仿宋_GB2312"/>
          <w:szCs w:val="21"/>
          <w:highlight w:val="none"/>
        </w:rPr>
        <w:t>1.4预计勘察工作量：</w:t>
      </w:r>
      <w:r>
        <w:rPr>
          <w:rFonts w:hint="eastAsia" w:ascii="仿宋_GB2312" w:hAnsi="仿宋_GB2312" w:eastAsia="仿宋_GB2312" w:cs="仿宋_GB2312"/>
          <w:szCs w:val="21"/>
          <w:highlight w:val="none"/>
          <w:u w:val="single"/>
        </w:rPr>
        <w:t>详见勘察方案</w:t>
      </w:r>
    </w:p>
    <w:p>
      <w:pPr>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szCs w:val="21"/>
          <w:highlight w:val="none"/>
        </w:rPr>
        <w:t xml:space="preserve">第二条 </w:t>
      </w:r>
      <w:r>
        <w:rPr>
          <w:rFonts w:hint="eastAsia" w:ascii="仿宋_GB2312" w:hAnsi="仿宋_GB2312" w:eastAsia="仿宋_GB2312" w:cs="仿宋_GB2312"/>
          <w:szCs w:val="21"/>
          <w:highlight w:val="none"/>
        </w:rPr>
        <w:t>发包人应及时向勘察人提供下列文件资料，并对其准确性、可靠性负责。</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2.1提供工程批准文件（复印件），以及用地（附红线范围）、施工、勘察许可等批件（复印件）。</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2.2提供工程勘察任务委托书、技术要求和工作范围的地形图、建筑总平面布置图。</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2.3提供勘察工作范围内已有的技术资料及工程所需要的坐标与标高资料。</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2.4提供勘察工作范围地下已有埋藏物的资料（如电力、电讯、电缆、各种管道、人防设施、洞室等）及具体位置分布图。</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2.5若发包人不能提供上述资料，由勘察人收集的。</w:t>
      </w:r>
    </w:p>
    <w:p>
      <w:pPr>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szCs w:val="21"/>
          <w:highlight w:val="none"/>
        </w:rPr>
        <w:t xml:space="preserve">第三条 </w:t>
      </w:r>
      <w:r>
        <w:rPr>
          <w:rFonts w:hint="eastAsia" w:ascii="仿宋_GB2312" w:hAnsi="仿宋_GB2312" w:eastAsia="仿宋_GB2312" w:cs="仿宋_GB2312"/>
          <w:szCs w:val="21"/>
          <w:highlight w:val="none"/>
        </w:rPr>
        <w:t>勘察人向发包人提供勘察成果资料并对其质量负责。</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勘察人负责向发包人提交勘察成果资料份及电子文档   份。</w:t>
      </w:r>
    </w:p>
    <w:p>
      <w:pPr>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szCs w:val="21"/>
          <w:highlight w:val="none"/>
        </w:rPr>
        <w:t xml:space="preserve">第四条  </w:t>
      </w:r>
      <w:r>
        <w:rPr>
          <w:rFonts w:hint="eastAsia" w:ascii="仿宋_GB2312" w:hAnsi="仿宋_GB2312" w:eastAsia="仿宋_GB2312" w:cs="仿宋_GB2312"/>
          <w:szCs w:val="21"/>
          <w:highlight w:val="none"/>
        </w:rPr>
        <w:t>开工及提交勘察成果资料的时间和收费标准及付费方式</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4.1开工及提交勘察成果资料的时间</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4.1.1本工程的勘察工作定于  年  月  日开工，年月日前提交勘察成果资料，由于发包人或勘察人的原因未能近期开工或提交成果资料时，按本合同第六条规定办理。</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4.1.2勘察工作有效期限以发包人下达的开工通知书或合同规定的时间为准，如遇特殊情况（设计变更、工作量变化、不可抗力影响以及非勘察人原因造成停、窝工等）时，工期顺延。</w:t>
      </w:r>
    </w:p>
    <w:p>
      <w:pPr>
        <w:spacing w:line="440" w:lineRule="exact"/>
        <w:ind w:firstLine="480" w:firstLineChars="200"/>
        <w:rPr>
          <w:rFonts w:hint="eastAsia" w:ascii="仿宋_GB2312" w:hAnsi="仿宋_GB2312" w:eastAsia="仿宋_GB2312" w:cs="仿宋_GB2312"/>
          <w:szCs w:val="21"/>
          <w:highlight w:val="none"/>
          <w:u w:val="single"/>
        </w:rPr>
      </w:pPr>
      <w:r>
        <w:rPr>
          <w:rFonts w:hint="eastAsia" w:ascii="仿宋_GB2312" w:hAnsi="仿宋_GB2312" w:eastAsia="仿宋_GB2312" w:cs="仿宋_GB2312"/>
          <w:szCs w:val="21"/>
          <w:highlight w:val="none"/>
        </w:rPr>
        <w:t>4.2.本工程勘察费暂定为</w:t>
      </w:r>
      <w:r>
        <w:rPr>
          <w:rFonts w:hint="eastAsia" w:ascii="仿宋_GB2312" w:hAnsi="仿宋_GB2312" w:eastAsia="仿宋_GB2312" w:cs="仿宋_GB2312"/>
          <w:spacing w:val="24"/>
          <w:szCs w:val="21"/>
          <w:highlight w:val="none"/>
        </w:rPr>
        <w:t xml:space="preserve">￥  </w:t>
      </w:r>
      <w:r>
        <w:rPr>
          <w:rFonts w:hint="eastAsia" w:ascii="仿宋_GB2312" w:hAnsi="仿宋_GB2312" w:eastAsia="仿宋_GB2312" w:cs="仿宋_GB2312"/>
          <w:spacing w:val="20"/>
          <w:szCs w:val="21"/>
          <w:highlight w:val="none"/>
        </w:rPr>
        <w:t>元（大写：</w:t>
      </w:r>
      <w:r>
        <w:rPr>
          <w:rFonts w:hint="eastAsia" w:ascii="仿宋_GB2312" w:hAnsi="仿宋_GB2312" w:eastAsia="仿宋_GB2312" w:cs="仿宋_GB2312"/>
          <w:spacing w:val="20"/>
          <w:szCs w:val="21"/>
          <w:highlight w:val="none"/>
          <w:u w:val="single"/>
        </w:rPr>
        <w:t xml:space="preserve">  </w:t>
      </w:r>
      <w:r>
        <w:rPr>
          <w:rFonts w:hint="eastAsia" w:ascii="仿宋_GB2312" w:hAnsi="仿宋_GB2312" w:eastAsia="仿宋_GB2312" w:cs="仿宋_GB2312"/>
          <w:szCs w:val="21"/>
          <w:highlight w:val="none"/>
          <w:u w:val="single"/>
        </w:rPr>
        <w:t>元整</w:t>
      </w:r>
      <w:r>
        <w:rPr>
          <w:rFonts w:hint="eastAsia" w:ascii="仿宋_GB2312" w:hAnsi="仿宋_GB2312" w:eastAsia="仿宋_GB2312" w:cs="仿宋_GB2312"/>
          <w:spacing w:val="20"/>
          <w:szCs w:val="21"/>
          <w:highlight w:val="none"/>
        </w:rPr>
        <w:t>，下称合同价款），</w:t>
      </w:r>
      <w:r>
        <w:rPr>
          <w:rFonts w:hint="eastAsia" w:ascii="仿宋_GB2312" w:hAnsi="仿宋_GB2312" w:eastAsia="仿宋_GB2312" w:cs="仿宋_GB2312"/>
          <w:szCs w:val="21"/>
          <w:highlight w:val="none"/>
        </w:rPr>
        <w:t>勘察费已实际工作量为准。</w:t>
      </w:r>
    </w:p>
    <w:p>
      <w:pPr>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szCs w:val="21"/>
          <w:highlight w:val="none"/>
        </w:rPr>
        <w:t xml:space="preserve">第五条 </w:t>
      </w:r>
      <w:r>
        <w:rPr>
          <w:rFonts w:hint="eastAsia" w:ascii="仿宋_GB2312" w:hAnsi="仿宋_GB2312" w:eastAsia="仿宋_GB2312" w:cs="仿宋_GB2312"/>
          <w:szCs w:val="21"/>
          <w:highlight w:val="none"/>
        </w:rPr>
        <w:t>发包人、勘察人责任</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5.1发包人责任</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5.1.1发包人委托任务时，必须以书面形式向勘察人明确勘察任务及技术要求，并按第二条规定提供文件资料。</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5.1.2在勘察工作范围内没有资料、图纸的地区（段），发包人应负责查清地下埋藏物，若因未提供上述资料、图纸，或提供的资料图纸不可靠、地下埋藏物不清，致使勘察人在勘察工程过程中发生人身伤害或造成经济损失时，由发包人承担民事责任。</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5.1.3发包人应及时为勘察人提供并解决勘察现场的工作条件和出现的问题（如：落实土地征用、青苗树木赔偿、拆除地上地下障碍物、处理施工扰民及影响施工正常进行的有关问题、平整施工现场、修好通行道路、接通电源水源、挖好排水沟渠以及水上作业用船等），并承担其费用。</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5.1.4若勘察现场需要看守，特别是在有毒、有害等危险现场作业时，发包人应现场派人负责安全保卫工作，按国家有关规定，对从事危险作业的现场人员进行保健防护，并承担费用。</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5.1.5工程勘察前，若发包人负责提供材料的，应根据勘察人提出的工程用料计划，按时提供各种材料及其产品合格证明，并承担费用和运到现场，派人与勘察人的人员一起验收。</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5.1.6勘察过程中的任何变更，经办理正式变更手续后，发包人应按实际发生的工作量支付勘察费.</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5.1.7为勘察人的工作人员提供必要的生产、生活条件，费用自理。</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5.1.8由于发包人原因造成勘察人停、窝工，除工期顺延外，发包人应支付停、窝工费（计算方法见6.1）；发包人若要求在合同规定时间内提前完工（或提交勘察成果资料）时，发包人应按每提前一天向勘察人支付</w:t>
      </w:r>
      <w:r>
        <w:rPr>
          <w:rFonts w:hint="eastAsia" w:ascii="仿宋_GB2312" w:hAnsi="仿宋_GB2312" w:eastAsia="仿宋_GB2312" w:cs="仿宋_GB2312"/>
          <w:szCs w:val="21"/>
          <w:highlight w:val="none"/>
          <w:u w:val="single"/>
        </w:rPr>
        <w:t xml:space="preserve">  /  </w:t>
      </w:r>
      <w:r>
        <w:rPr>
          <w:rFonts w:hint="eastAsia" w:ascii="仿宋_GB2312" w:hAnsi="仿宋_GB2312" w:eastAsia="仿宋_GB2312" w:cs="仿宋_GB2312"/>
          <w:szCs w:val="21"/>
          <w:highlight w:val="none"/>
        </w:rPr>
        <w:t>元计算加班费。</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5.1.9发包人应保护勘察人的投标书、勘察方案、报告书、文件、资料图纸、数据、特殊工艺（方法）、专利技术和合理化建议，未经勘察人同意，发包人不得复制、不得泄露、不得擅自修改、传送或向第三人转让或用于本合同外的项目；如发生上述情况，发包人应负法律责任，勘察人有权索赔。</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5.1.10本合同有关条款规定和补充协议中发包人应负的其它责任。</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5.2勘察人责任</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5.2.1勘察人应按国家技术规范、标准、规程和发包人的任务委托书及技术要求进行工程勘察，按本合同规定的时间提交质量合格的勘察成果资料，并对其负责。</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5.2.2由于勘察人提供的勘察成果资料质量不合格，勘察人应负责无偿给予补充完善使其达到质量合格；若勘察人无力补充完善，需另委托其他单位时，勘察人应承担全部勘察费用；或因勘察质量造成重大经济损失或工程事故时，勘察人除应负法律责任和免收直接受损失部分的勘察费外，并要据损失程度向发包人支付赔偿金，赔偿金</w:t>
      </w:r>
      <w:r>
        <w:rPr>
          <w:rFonts w:hint="eastAsia" w:ascii="仿宋_GB2312" w:hAnsi="仿宋_GB2312" w:eastAsia="仿宋_GB2312" w:cs="仿宋_GB2312"/>
          <w:szCs w:val="21"/>
          <w:highlight w:val="none"/>
          <w:u w:val="single"/>
        </w:rPr>
        <w:t>按《建筑法》相应条款执行</w:t>
      </w:r>
      <w:r>
        <w:rPr>
          <w:rFonts w:hint="eastAsia" w:ascii="仿宋_GB2312" w:hAnsi="仿宋_GB2312" w:eastAsia="仿宋_GB2312" w:cs="仿宋_GB2312"/>
          <w:szCs w:val="21"/>
          <w:highlight w:val="none"/>
        </w:rPr>
        <w:t>。</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5.2.3在工程勘察前，提出勘察纲要或勘察组织设计，派人与发包人的人员一起验收发包人提供的材料。</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5.2.4勘察过程中，根据工程的岩土工程条件（或现场地形地貌、地质和水文地质条件）及技术规范要求，向发包人提出增减工作量或修改勘察工作的意见，并办理正式变更手续。</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5.2.5在现场工作的勘察人的人员，应遵守发包人的安全保卫及其它有关的规章制度，承担其有关资料保密义务。</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5.2.6本合同有关条款规定和补充协议中勘察人应负的其它责任。</w:t>
      </w:r>
    </w:p>
    <w:p>
      <w:pPr>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szCs w:val="21"/>
          <w:highlight w:val="none"/>
        </w:rPr>
        <w:t xml:space="preserve">第六条 </w:t>
      </w:r>
      <w:r>
        <w:rPr>
          <w:rFonts w:hint="eastAsia" w:ascii="仿宋_GB2312" w:hAnsi="仿宋_GB2312" w:eastAsia="仿宋_GB2312" w:cs="仿宋_GB2312"/>
          <w:szCs w:val="21"/>
          <w:highlight w:val="none"/>
        </w:rPr>
        <w:t>违约责任</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6.1由于发包人未给勘察人提供必要的工作生活条件而造成停、窝工或来回进出场地，发包人除应付给勘察人停、窝工费（金额按预算的平均工日产值计算），工期按实际工日顺延外，还应付给勘察人来回进出场费和调遣费。</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6.2由于勘察人的原因造成勘察成果资料质量不合格，不能满足技术要求时，其返工勘察费用由勘察人承担。</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6.3合同履行期间，由于工程停建而终止合同或发包人要求解除合同时，勘察人未进行勘察工作的，不退还发包人已付定金；已进行勘察工作的，完成的工作量在50%以内时，发包人应向勘察人支付预算额50%的勘察费计</w:t>
      </w:r>
      <w:r>
        <w:rPr>
          <w:rFonts w:hint="eastAsia" w:ascii="仿宋_GB2312" w:hAnsi="仿宋_GB2312" w:eastAsia="仿宋_GB2312" w:cs="仿宋_GB2312"/>
          <w:szCs w:val="21"/>
          <w:highlight w:val="none"/>
          <w:u w:val="single"/>
        </w:rPr>
        <w:t xml:space="preserve">  /  </w:t>
      </w:r>
      <w:r>
        <w:rPr>
          <w:rFonts w:hint="eastAsia" w:ascii="仿宋_GB2312" w:hAnsi="仿宋_GB2312" w:eastAsia="仿宋_GB2312" w:cs="仿宋_GB2312"/>
          <w:szCs w:val="21"/>
          <w:highlight w:val="none"/>
        </w:rPr>
        <w:t>元；完成的工作量超过50%时，则应向勘察人支付预算额100%的勘察费。</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6.4由于勘察人原因未按合同规定时间（日期）提交勘察成果资料，每超过一日，应减收勘察费千分之一。</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6.5本合同签定后，发包人不履行合同时，无权要求返还定金；勘察人不履行合同时，双倍返还定金。</w:t>
      </w:r>
    </w:p>
    <w:p>
      <w:pPr>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szCs w:val="21"/>
          <w:highlight w:val="none"/>
        </w:rPr>
        <w:t xml:space="preserve">第七条 </w:t>
      </w:r>
      <w:r>
        <w:rPr>
          <w:rFonts w:hint="eastAsia" w:ascii="仿宋_GB2312" w:hAnsi="仿宋_GB2312" w:eastAsia="仿宋_GB2312" w:cs="仿宋_GB2312"/>
          <w:szCs w:val="21"/>
          <w:highlight w:val="none"/>
        </w:rPr>
        <w:t>本合同未尽事宜，经发包人与勘察人协商一致签订补充协议，补充协议与本合同具有同等法律效力。</w:t>
      </w:r>
    </w:p>
    <w:p>
      <w:pPr>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szCs w:val="21"/>
          <w:highlight w:val="none"/>
        </w:rPr>
        <w:t xml:space="preserve">第八条 </w:t>
      </w:r>
      <w:r>
        <w:rPr>
          <w:rFonts w:hint="eastAsia" w:ascii="仿宋_GB2312" w:hAnsi="仿宋_GB2312" w:eastAsia="仿宋_GB2312" w:cs="仿宋_GB2312"/>
          <w:szCs w:val="21"/>
          <w:highlight w:val="none"/>
        </w:rPr>
        <w:t>其它约定事项：</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8.1 勘察人应确保勘察成果满足相关规范及设计要求，并承担勘察过程中现场技术人员及工人的人身安全和意外伤害保险费用。若发生安全事故，勘察人承担全部责任。</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8.2 由于不可抗力因素则工期顺延。</w:t>
      </w:r>
    </w:p>
    <w:p>
      <w:pPr>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szCs w:val="21"/>
          <w:highlight w:val="none"/>
        </w:rPr>
        <w:t xml:space="preserve">第九条 </w:t>
      </w:r>
      <w:r>
        <w:rPr>
          <w:rFonts w:hint="eastAsia" w:ascii="仿宋_GB2312" w:hAnsi="仿宋_GB2312" w:eastAsia="仿宋_GB2312" w:cs="仿宋_GB2312"/>
          <w:szCs w:val="21"/>
          <w:highlight w:val="none"/>
        </w:rPr>
        <w:t>本合同在履行过程中发生的争议，由双方当事人协商解决，协商不成的按下列第二种方式解决：</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9.1 提交合同签订地仲裁委员会仲裁；</w:t>
      </w:r>
    </w:p>
    <w:p>
      <w:pPr>
        <w:spacing w:line="440" w:lineRule="exact"/>
        <w:ind w:firstLine="480"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9.2 依法向工程所在地人民法院起诉。</w:t>
      </w:r>
    </w:p>
    <w:p>
      <w:pPr>
        <w:spacing w:line="440" w:lineRule="exact"/>
        <w:ind w:firstLine="482" w:firstLineChars="200"/>
        <w:rPr>
          <w:rFonts w:hint="eastAsia" w:ascii="仿宋_GB2312" w:hAnsi="仿宋_GB2312" w:eastAsia="仿宋_GB2312" w:cs="仿宋_GB2312"/>
          <w:szCs w:val="21"/>
          <w:highlight w:val="none"/>
        </w:rPr>
      </w:pPr>
      <w:r>
        <w:rPr>
          <w:rFonts w:hint="eastAsia" w:ascii="仿宋_GB2312" w:hAnsi="仿宋_GB2312" w:eastAsia="仿宋_GB2312" w:cs="仿宋_GB2312"/>
          <w:b/>
          <w:szCs w:val="21"/>
          <w:highlight w:val="none"/>
        </w:rPr>
        <w:t xml:space="preserve">第十条 </w:t>
      </w:r>
      <w:r>
        <w:rPr>
          <w:rFonts w:hint="eastAsia" w:ascii="仿宋_GB2312" w:hAnsi="仿宋_GB2312" w:eastAsia="仿宋_GB2312" w:cs="仿宋_GB2312"/>
          <w:szCs w:val="21"/>
          <w:highlight w:val="none"/>
        </w:rPr>
        <w:t>本合同自发包人、勘察人签字盖章后生效；按规定到省级建设行政主管部门规定的审查部门备案；发包人、勘察人认为必要时，到项目所在地工商行政管理部门申请鉴证。发包人，勘察人履行完合同规定的义务后，本合同终止。</w:t>
      </w:r>
    </w:p>
    <w:p>
      <w:pPr>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br w:type="page"/>
      </w:r>
    </w:p>
    <w:p>
      <w:pPr>
        <w:pStyle w:val="3"/>
        <w:numPr>
          <w:ilvl w:val="0"/>
          <w:numId w:val="6"/>
        </w:numPr>
        <w:bidi w:val="0"/>
        <w:jc w:val="center"/>
        <w:rPr>
          <w:rFonts w:hint="eastAsia" w:ascii="仿宋_GB2312" w:hAnsi="仿宋_GB2312" w:eastAsia="仿宋_GB2312" w:cs="仿宋_GB2312"/>
          <w:sz w:val="32"/>
          <w:szCs w:val="32"/>
          <w:highlight w:val="none"/>
          <w:lang w:val="en-US" w:eastAsia="zh-CN"/>
        </w:rPr>
      </w:pPr>
      <w:bookmarkStart w:id="55" w:name="_Toc20406"/>
      <w:r>
        <w:rPr>
          <w:rFonts w:hint="eastAsia" w:ascii="仿宋_GB2312" w:hAnsi="仿宋_GB2312" w:eastAsia="仿宋_GB2312" w:cs="仿宋_GB2312"/>
          <w:sz w:val="32"/>
          <w:szCs w:val="32"/>
          <w:highlight w:val="none"/>
          <w:lang w:val="en-US" w:eastAsia="zh-CN"/>
        </w:rPr>
        <w:t>采购需求</w:t>
      </w:r>
      <w:bookmarkEnd w:id="55"/>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1、项目名称：</w:t>
      </w:r>
      <w:r>
        <w:rPr>
          <w:rFonts w:hint="eastAsia" w:ascii="仿宋_GB2312" w:hAnsi="仿宋_GB2312" w:cs="仿宋_GB2312"/>
          <w:sz w:val="24"/>
          <w:szCs w:val="24"/>
          <w:highlight w:val="none"/>
          <w:lang w:val="en-US" w:eastAsia="zh-CN"/>
        </w:rPr>
        <w:t>阿瓦提县鲁迅高中建设项目勘察（二次）</w:t>
      </w:r>
      <w:r>
        <w:rPr>
          <w:rFonts w:hint="eastAsia" w:ascii="仿宋_GB2312" w:hAnsi="仿宋_GB2312" w:eastAsia="仿宋_GB2312" w:cs="仿宋_GB2312"/>
          <w:sz w:val="24"/>
          <w:szCs w:val="24"/>
          <w:highlight w:val="none"/>
          <w:lang w:val="en-US" w:eastAsia="zh-CN"/>
        </w:rPr>
        <w:t xml:space="preserve">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2、建设地点：阿瓦提县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3、项目单位：阿瓦提县教育和科学技术局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4、招标内容及要求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（1）勘测范围及内容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新建1所普通高中，占地面积约142.01亩，总建筑面积44783平方米，含教学楼、综合楼、报告厅、学生食堂、学生宿舍等</w:t>
      </w:r>
      <w:r>
        <w:rPr>
          <w:rFonts w:hint="eastAsia" w:ascii="仿宋_GB2312" w:hAnsi="仿宋_GB2312" w:eastAsia="仿宋_GB2312" w:cs="仿宋_GB2312"/>
          <w:sz w:val="24"/>
          <w:szCs w:val="24"/>
          <w:highlight w:val="none"/>
          <w:lang w:eastAsia="zh-CN"/>
        </w:rPr>
        <w:t>项目勘察</w:t>
      </w:r>
      <w:r>
        <w:rPr>
          <w:rFonts w:hint="eastAsia" w:ascii="仿宋_GB2312" w:hAnsi="仿宋_GB2312" w:eastAsia="仿宋_GB2312" w:cs="仿宋_GB2312"/>
          <w:sz w:val="24"/>
          <w:szCs w:val="24"/>
          <w:highlight w:val="none"/>
          <w:lang w:val="en-US" w:eastAsia="zh-CN"/>
        </w:rPr>
        <w:t xml:space="preserve">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（2）勘测应符合的规范、规程、标准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2.1 工程勘察应符合国家现行规范、规程、标准的规定，目前适用版本推荐如下，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如有后继变更，则应以最新版本或最新颁发者为准。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2.1.</w:t>
      </w:r>
      <w:r>
        <w:rPr>
          <w:rFonts w:hint="eastAsia" w:ascii="仿宋_GB2312" w:hAnsi="仿宋_GB2312" w:cs="仿宋_GB2312"/>
          <w:sz w:val="24"/>
          <w:szCs w:val="24"/>
          <w:highlight w:val="none"/>
          <w:lang w:val="en-US" w:eastAsia="zh-CN"/>
        </w:rPr>
        <w:t>1</w:t>
      </w:r>
      <w:r>
        <w:rPr>
          <w:rFonts w:hint="eastAsia" w:ascii="仿宋_GB2312" w:hAnsi="仿宋_GB2312" w:eastAsia="仿宋_GB2312" w:cs="仿宋_GB2312"/>
          <w:sz w:val="24"/>
          <w:szCs w:val="24"/>
          <w:highlight w:val="none"/>
          <w:lang w:val="en-US" w:eastAsia="zh-CN"/>
        </w:rPr>
        <w:t xml:space="preserve">《岩土工程勘察规范》（GB50021-2001，2009 年版）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2.1.</w:t>
      </w:r>
      <w:r>
        <w:rPr>
          <w:rFonts w:hint="eastAsia" w:ascii="仿宋_GB2312" w:hAnsi="仿宋_GB2312" w:cs="仿宋_GB2312"/>
          <w:sz w:val="24"/>
          <w:szCs w:val="24"/>
          <w:highlight w:val="none"/>
          <w:lang w:val="en-US" w:eastAsia="zh-CN"/>
        </w:rPr>
        <w:t>2</w:t>
      </w:r>
      <w:r>
        <w:rPr>
          <w:rFonts w:hint="eastAsia" w:ascii="仿宋_GB2312" w:hAnsi="仿宋_GB2312" w:eastAsia="仿宋_GB2312" w:cs="仿宋_GB2312"/>
          <w:sz w:val="24"/>
          <w:szCs w:val="24"/>
          <w:highlight w:val="none"/>
          <w:lang w:val="en-US" w:eastAsia="zh-CN"/>
        </w:rPr>
        <w:t xml:space="preserve">《建筑抗震设计规范》（GB50011-2010，2016 年修订版）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2.1.</w:t>
      </w:r>
      <w:r>
        <w:rPr>
          <w:rFonts w:hint="eastAsia" w:ascii="仿宋_GB2312" w:hAnsi="仿宋_GB2312" w:cs="仿宋_GB2312"/>
          <w:sz w:val="24"/>
          <w:szCs w:val="24"/>
          <w:highlight w:val="none"/>
          <w:lang w:val="en-US" w:eastAsia="zh-CN"/>
        </w:rPr>
        <w:t>3</w:t>
      </w:r>
      <w:r>
        <w:rPr>
          <w:rFonts w:hint="eastAsia" w:ascii="仿宋_GB2312" w:hAnsi="仿宋_GB2312" w:eastAsia="仿宋_GB2312" w:cs="仿宋_GB2312"/>
          <w:sz w:val="24"/>
          <w:szCs w:val="24"/>
          <w:highlight w:val="none"/>
          <w:lang w:val="en-US" w:eastAsia="zh-CN"/>
        </w:rPr>
        <w:t xml:space="preserve">《土工试验方法标准》（GB/T50123-2019）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2.1</w:t>
      </w:r>
      <w:r>
        <w:rPr>
          <w:rFonts w:hint="eastAsia" w:ascii="仿宋_GB2312" w:hAnsi="仿宋_GB2312" w:cs="仿宋_GB2312"/>
          <w:sz w:val="24"/>
          <w:szCs w:val="24"/>
          <w:highlight w:val="none"/>
          <w:lang w:val="en-US" w:eastAsia="zh-CN"/>
        </w:rPr>
        <w:t>.4</w:t>
      </w:r>
      <w:r>
        <w:rPr>
          <w:rFonts w:hint="eastAsia" w:ascii="仿宋_GB2312" w:hAnsi="仿宋_GB2312" w:eastAsia="仿宋_GB2312" w:cs="仿宋_GB2312"/>
          <w:sz w:val="24"/>
          <w:szCs w:val="24"/>
          <w:highlight w:val="none"/>
          <w:lang w:val="en-US" w:eastAsia="zh-CN"/>
        </w:rPr>
        <w:t xml:space="preserve">《建筑地基基础设计规范》（GB50007-2011）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2.1.</w:t>
      </w:r>
      <w:r>
        <w:rPr>
          <w:rFonts w:hint="eastAsia" w:ascii="仿宋_GB2312" w:hAnsi="仿宋_GB2312" w:cs="仿宋_GB2312"/>
          <w:sz w:val="24"/>
          <w:szCs w:val="24"/>
          <w:highlight w:val="none"/>
          <w:lang w:val="en-US" w:eastAsia="zh-CN"/>
        </w:rPr>
        <w:t>5</w:t>
      </w:r>
      <w:r>
        <w:rPr>
          <w:rFonts w:hint="eastAsia" w:ascii="仿宋_GB2312" w:hAnsi="仿宋_GB2312" w:eastAsia="仿宋_GB2312" w:cs="仿宋_GB2312"/>
          <w:sz w:val="24"/>
          <w:szCs w:val="24"/>
          <w:highlight w:val="none"/>
          <w:lang w:val="en-US" w:eastAsia="zh-CN"/>
        </w:rPr>
        <w:t xml:space="preserve">《岩土工程基本术语标准》（GB/T50279-2014）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2.1.</w:t>
      </w:r>
      <w:r>
        <w:rPr>
          <w:rFonts w:hint="eastAsia" w:ascii="仿宋_GB2312" w:hAnsi="仿宋_GB2312" w:cs="仿宋_GB2312"/>
          <w:sz w:val="24"/>
          <w:szCs w:val="24"/>
          <w:highlight w:val="none"/>
          <w:lang w:val="en-US" w:eastAsia="zh-CN"/>
        </w:rPr>
        <w:t>6</w:t>
      </w:r>
      <w:r>
        <w:rPr>
          <w:rFonts w:hint="eastAsia" w:ascii="仿宋_GB2312" w:hAnsi="仿宋_GB2312" w:eastAsia="仿宋_GB2312" w:cs="仿宋_GB2312"/>
          <w:sz w:val="24"/>
          <w:szCs w:val="24"/>
          <w:highlight w:val="none"/>
          <w:lang w:val="en-US" w:eastAsia="zh-CN"/>
        </w:rPr>
        <w:t xml:space="preserve">《土的工程分类标准》（GB/T50145-2007）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2.1.</w:t>
      </w:r>
      <w:r>
        <w:rPr>
          <w:rFonts w:hint="eastAsia" w:ascii="仿宋_GB2312" w:hAnsi="仿宋_GB2312" w:cs="仿宋_GB2312"/>
          <w:sz w:val="24"/>
          <w:szCs w:val="24"/>
          <w:highlight w:val="none"/>
          <w:lang w:val="en-US" w:eastAsia="zh-CN"/>
        </w:rPr>
        <w:t>7</w:t>
      </w:r>
      <w:r>
        <w:rPr>
          <w:rFonts w:hint="eastAsia" w:ascii="仿宋_GB2312" w:hAnsi="仿宋_GB2312" w:eastAsia="仿宋_GB2312" w:cs="仿宋_GB2312"/>
          <w:sz w:val="24"/>
          <w:szCs w:val="24"/>
          <w:highlight w:val="none"/>
          <w:lang w:val="en-US" w:eastAsia="zh-CN"/>
        </w:rPr>
        <w:t xml:space="preserve">《建筑工地地质钻探技术标准》（JGJ87-2012）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2.1.</w:t>
      </w:r>
      <w:r>
        <w:rPr>
          <w:rFonts w:hint="eastAsia" w:ascii="仿宋_GB2312" w:hAnsi="仿宋_GB2312" w:cs="仿宋_GB2312"/>
          <w:sz w:val="24"/>
          <w:szCs w:val="24"/>
          <w:highlight w:val="none"/>
          <w:lang w:val="en-US" w:eastAsia="zh-CN"/>
        </w:rPr>
        <w:t>8</w:t>
      </w:r>
      <w:r>
        <w:rPr>
          <w:rFonts w:hint="eastAsia" w:ascii="仿宋_GB2312" w:hAnsi="仿宋_GB2312" w:eastAsia="仿宋_GB2312" w:cs="仿宋_GB2312"/>
          <w:sz w:val="24"/>
          <w:szCs w:val="24"/>
          <w:highlight w:val="none"/>
          <w:lang w:val="en-US" w:eastAsia="zh-CN"/>
        </w:rPr>
        <w:t xml:space="preserve">《建筑基坑支护技术规程》（JGJ120-2016）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2.1.</w:t>
      </w:r>
      <w:r>
        <w:rPr>
          <w:rFonts w:hint="eastAsia" w:ascii="仿宋_GB2312" w:hAnsi="仿宋_GB2312" w:cs="仿宋_GB2312"/>
          <w:sz w:val="24"/>
          <w:szCs w:val="24"/>
          <w:highlight w:val="none"/>
          <w:lang w:val="en-US" w:eastAsia="zh-CN"/>
        </w:rPr>
        <w:t>9</w:t>
      </w:r>
      <w:r>
        <w:rPr>
          <w:rFonts w:hint="eastAsia" w:ascii="仿宋_GB2312" w:hAnsi="仿宋_GB2312" w:eastAsia="仿宋_GB2312" w:cs="仿宋_GB2312"/>
          <w:sz w:val="24"/>
          <w:szCs w:val="24"/>
          <w:highlight w:val="none"/>
          <w:lang w:val="en-US" w:eastAsia="zh-CN"/>
        </w:rPr>
        <w:t xml:space="preserve">《市政工程勘察规范》（CJJ56-2012）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2.1.1</w:t>
      </w:r>
      <w:r>
        <w:rPr>
          <w:rFonts w:hint="eastAsia" w:ascii="仿宋_GB2312" w:hAnsi="仿宋_GB2312" w:cs="仿宋_GB2312"/>
          <w:sz w:val="24"/>
          <w:szCs w:val="24"/>
          <w:highlight w:val="none"/>
          <w:lang w:val="en-US" w:eastAsia="zh-CN"/>
        </w:rPr>
        <w:t>0</w:t>
      </w:r>
      <w:r>
        <w:rPr>
          <w:rFonts w:hint="eastAsia" w:ascii="仿宋_GB2312" w:hAnsi="仿宋_GB2312" w:eastAsia="仿宋_GB2312" w:cs="仿宋_GB2312"/>
          <w:sz w:val="24"/>
          <w:szCs w:val="24"/>
          <w:highlight w:val="none"/>
          <w:lang w:val="en-US" w:eastAsia="zh-CN"/>
        </w:rPr>
        <w:t xml:space="preserve">《房屋建筑和市政基础设施工程勘察文件编制深度规定》（2020 年版）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2.2.1</w:t>
      </w:r>
      <w:r>
        <w:rPr>
          <w:rFonts w:hint="eastAsia" w:ascii="仿宋_GB2312" w:hAnsi="仿宋_GB2312" w:cs="仿宋_GB2312"/>
          <w:sz w:val="24"/>
          <w:szCs w:val="24"/>
          <w:highlight w:val="none"/>
          <w:lang w:val="en-US" w:eastAsia="zh-CN"/>
        </w:rPr>
        <w:t>1</w:t>
      </w:r>
      <w:r>
        <w:rPr>
          <w:rFonts w:hint="eastAsia" w:ascii="仿宋_GB2312" w:hAnsi="仿宋_GB2312" w:eastAsia="仿宋_GB2312" w:cs="仿宋_GB2312"/>
          <w:sz w:val="24"/>
          <w:szCs w:val="24"/>
          <w:highlight w:val="none"/>
          <w:lang w:val="en-US" w:eastAsia="zh-CN"/>
        </w:rPr>
        <w:t xml:space="preserve">《建筑基坑支护技术规程》（DB11/489-2016）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2.2 上述规范和标准如发生不一致时，则以要求最为严格的规范、规程或标准作为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工作依据。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（3）成果要求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3.1 对建筑物范围内的地质构造、地层结构及其均匀性，以及各岩土层的物理力学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性质和工程特性做出评价。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3.2 有无影响建筑场地稳定性的不良地质作用，场地不良地质作用的成因、分布、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规模、发展趋势，有无暗浜、暗塘、墓穴等，并对其危害程度、建筑场地稳定性做出评价，提出预防措施的建议。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3.3 地下水埋藏情况、类型和水位幅度和规律，以及地下水和土对建筑材料的腐蚀性，设计抗渗水位及抗浮水位，提出施工降水方法的建议和有关技术参数。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3.4 提供抗震设防烈度、分组及有关技术参数，场地土类型和场地类别，并对饱和砂土和粉土进行液化判别，对场地和地基的地震效应、场地地震安全性做出初步评价。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3.5 场地土的标准冻结深度。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3.6 对可供采用的地基基础设计方案进行论证分析，建议适当的基础形式和基础持力层，并提出经济合理的地基和基础设计方案和建议。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3.7 拟采用桩基方案时成桩的可行性分析，施工对周围环境影响分析和评价。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3.8 提供与设计要求相对应的地基承载力特征值及变形计算参数，并对设计与施工 应注意的问题提出建议。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3.9 深基坑开挖的边坡稳定计算、支护设计及施工降水所需的岩土技术参数，论证其对周围已有建筑物和地下设施的影响。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3.10 成果要求：详勘勘察报告 4 份。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4、勘察报告主要内容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4.1 拟建场地的工程地质条件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4.1.1 地质条件背景资料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4.1.2 地形地貌条件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4.1.3 拟建场区地层土质概述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4.2 拟建场地的水文地质条件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4.2.1 地下水类型及地下水位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4.2.2 历年高水位记录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4.2.3 关于确定建筑防渗设计水位和抗浮设计水位的基本依据和建议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4.2.4 地下水和浅层土对混凝土和钢筋的腐蚀性评价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4.2.5 地下水和浅层土的腐蚀性评价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4.3 场地、地基的建筑抗震设计条件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4.3.1 场地土类型与建筑场地类别的判定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4.3.2 抗震设防烈度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4.3.3 地基土层地震液化评价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4.4 地基基础方案分析评价及相关建议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4.5 基坑开挖和支护方案评价与相关建议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4.6 降水对周围环境的影响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4.7 基础设计与施工建议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4.8 其它合理化建议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4.9 附件内容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4.9.1 土的物理学性质综合统计表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4.9.2 各类工程平面图件和地层剖面图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4.9.3 土工试验说明及试验成果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4.9.5 剪切波速测试结果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5、工作周期</w:t>
      </w:r>
      <w:r>
        <w:rPr>
          <w:rFonts w:hint="eastAsia" w:ascii="仿宋_GB2312" w:hAnsi="仿宋_GB2312" w:cs="仿宋_GB2312"/>
          <w:sz w:val="24"/>
          <w:szCs w:val="24"/>
          <w:highlight w:val="none"/>
          <w:lang w:val="en-US" w:eastAsia="zh-CN"/>
        </w:rPr>
        <w:t>及付款方式</w:t>
      </w:r>
      <w:r>
        <w:rPr>
          <w:rFonts w:hint="eastAsia" w:ascii="仿宋_GB2312" w:hAnsi="仿宋_GB2312" w:eastAsia="仿宋_GB2312" w:cs="仿宋_GB2312"/>
          <w:sz w:val="24"/>
          <w:szCs w:val="24"/>
          <w:highlight w:val="none"/>
          <w:lang w:val="en-US" w:eastAsia="zh-CN"/>
        </w:rPr>
        <w:t xml:space="preserve">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本项目承包合同签订后要求： </w:t>
      </w:r>
    </w:p>
    <w:p>
      <w:pPr>
        <w:rPr>
          <w:rFonts w:hint="eastAsia"/>
          <w:highlight w:val="none"/>
          <w:lang w:val="en-US" w:eastAsia="zh-CN"/>
        </w:rPr>
      </w:pPr>
      <w:r>
        <w:rPr>
          <w:rFonts w:hint="eastAsia" w:ascii="仿宋_GB2312" w:hAnsi="仿宋_GB2312" w:eastAsia="仿宋_GB2312" w:cs="仿宋_GB2312"/>
          <w:sz w:val="24"/>
          <w:szCs w:val="24"/>
          <w:highlight w:val="none"/>
          <w:lang w:val="en-US" w:eastAsia="zh-CN"/>
        </w:rPr>
        <w:t>（1）</w:t>
      </w:r>
      <w:r>
        <w:rPr>
          <w:rFonts w:hint="eastAsia" w:ascii="仿宋_GB2312" w:hAnsi="仿宋_GB2312" w:cs="仿宋_GB2312"/>
          <w:sz w:val="24"/>
          <w:szCs w:val="24"/>
          <w:highlight w:val="none"/>
          <w:lang w:val="en-US" w:eastAsia="zh-CN"/>
        </w:rPr>
        <w:t>15日历日</w:t>
      </w:r>
      <w:r>
        <w:rPr>
          <w:rFonts w:hint="eastAsia" w:ascii="仿宋_GB2312" w:hAnsi="仿宋_GB2312" w:eastAsia="仿宋_GB2312" w:cs="仿宋_GB2312"/>
          <w:sz w:val="24"/>
          <w:szCs w:val="24"/>
          <w:highlight w:val="none"/>
          <w:lang w:val="en-US" w:eastAsia="zh-CN"/>
        </w:rPr>
        <w:t xml:space="preserve">内完成详细勘察全部工作； </w:t>
      </w:r>
    </w:p>
    <w:p>
      <w:pPr>
        <w:numPr>
          <w:ilvl w:val="0"/>
          <w:numId w:val="13"/>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后续服务日期：自承包合同签订之日起至竣工验收合格后中止。</w:t>
      </w:r>
    </w:p>
    <w:p>
      <w:pP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付款方式:施工图审查完成，提交勘察成果资料后，支付中标金额50%；项目竣工验收合格后支付中标金额50%。</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6、勘察要求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本项目建设工程所涉及的详细勘察，符合国家地方或行业的相关规范，达到规定的 </w:t>
      </w:r>
    </w:p>
    <w:p>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勘察深度要求及完成施工图设计要求的全部工作内容（勘察人须提供图纸资料）。 </w:t>
      </w:r>
    </w:p>
    <w:p>
      <w:pPr>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br w:type="page"/>
      </w:r>
    </w:p>
    <w:p>
      <w:pPr>
        <w:pStyle w:val="3"/>
        <w:numPr>
          <w:ilvl w:val="0"/>
          <w:numId w:val="6"/>
        </w:numPr>
        <w:bidi w:val="0"/>
        <w:jc w:val="center"/>
        <w:rPr>
          <w:rFonts w:hint="eastAsia" w:ascii="仿宋_GB2312" w:hAnsi="仿宋_GB2312" w:eastAsia="仿宋_GB2312" w:cs="仿宋_GB2312"/>
          <w:sz w:val="32"/>
          <w:szCs w:val="32"/>
          <w:highlight w:val="none"/>
          <w:lang w:val="en-US" w:eastAsia="zh-CN"/>
        </w:rPr>
      </w:pPr>
      <w:bookmarkStart w:id="56" w:name="_Toc24132"/>
      <w:r>
        <w:rPr>
          <w:rFonts w:hint="eastAsia" w:ascii="仿宋_GB2312" w:hAnsi="仿宋_GB2312" w:eastAsia="仿宋_GB2312" w:cs="仿宋_GB2312"/>
          <w:sz w:val="32"/>
          <w:szCs w:val="32"/>
          <w:highlight w:val="none"/>
          <w:lang w:val="en-US" w:eastAsia="zh-CN"/>
        </w:rPr>
        <w:t>评标程序、评标方法和评标标准</w:t>
      </w:r>
      <w:bookmarkEnd w:id="56"/>
    </w:p>
    <w:p>
      <w:pPr>
        <w:keepNext w:val="0"/>
        <w:keepLines w:val="0"/>
        <w:pageBreakBefore w:val="0"/>
        <w:widowControl w:val="0"/>
        <w:numPr>
          <w:ilvl w:val="0"/>
          <w:numId w:val="14"/>
        </w:numPr>
        <w:kinsoku/>
        <w:wordWrap/>
        <w:overflowPunct/>
        <w:topLinePunct w:val="0"/>
        <w:autoSpaceDE/>
        <w:autoSpaceDN/>
        <w:bidi w:val="0"/>
        <w:adjustRightInd/>
        <w:snapToGrid/>
        <w:spacing w:line="500" w:lineRule="exact"/>
        <w:jc w:val="both"/>
        <w:textAlignment w:val="auto"/>
        <w:outlineLvl w:val="1"/>
        <w:rPr>
          <w:rFonts w:hint="eastAsia" w:ascii="仿宋_GB2312" w:hAnsi="仿宋_GB2312" w:eastAsia="仿宋_GB2312" w:cs="仿宋_GB2312"/>
          <w:b/>
          <w:bCs/>
          <w:sz w:val="24"/>
          <w:szCs w:val="24"/>
          <w:highlight w:val="none"/>
          <w:lang w:val="en-US" w:eastAsia="zh-CN"/>
        </w:rPr>
      </w:pPr>
      <w:bookmarkStart w:id="57" w:name="_Toc12568"/>
      <w:r>
        <w:rPr>
          <w:rFonts w:hint="eastAsia" w:ascii="仿宋_GB2312" w:hAnsi="仿宋_GB2312" w:eastAsia="仿宋_GB2312" w:cs="仿宋_GB2312"/>
          <w:b/>
          <w:bCs/>
          <w:sz w:val="24"/>
          <w:szCs w:val="24"/>
          <w:highlight w:val="none"/>
          <w:lang w:val="en-US" w:eastAsia="zh-CN"/>
        </w:rPr>
        <w:t>评标方法</w:t>
      </w:r>
      <w:bookmarkEnd w:id="57"/>
      <w:r>
        <w:rPr>
          <w:rFonts w:hint="eastAsia" w:ascii="仿宋_GB2312" w:hAnsi="仿宋_GB2312" w:eastAsia="仿宋_GB2312" w:cs="仿宋_GB2312"/>
          <w:b/>
          <w:bCs/>
          <w:sz w:val="24"/>
          <w:szCs w:val="24"/>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本次评标采用综合评分法。是指经磋商确定最终采购需求和提交最后报价的供应商后，由磋商小组采用综合评分法对提交最后报价的供应商的响应文件和最后报价进行综合评分。评审得分最高的供应商为成交候选人的评标方法。</w:t>
      </w:r>
    </w:p>
    <w:p>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lang w:val="en-US" w:eastAsia="zh-CN"/>
        </w:rPr>
      </w:pPr>
      <w:bookmarkStart w:id="58" w:name="_Toc4886"/>
      <w:r>
        <w:rPr>
          <w:rFonts w:hint="eastAsia" w:ascii="仿宋_GB2312" w:hAnsi="仿宋_GB2312" w:eastAsia="仿宋_GB2312" w:cs="仿宋_GB2312"/>
          <w:b/>
          <w:bCs/>
          <w:sz w:val="24"/>
          <w:szCs w:val="24"/>
          <w:highlight w:val="none"/>
          <w:lang w:val="en-US" w:eastAsia="zh-CN"/>
        </w:rPr>
        <w:t>评标原则</w:t>
      </w:r>
      <w:bookmarkEnd w:id="58"/>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评标活动遵循公平、公正、科学和择优的原则，以采购文件和响应文件为评标的基本依据，并按照采购文件规定的评标方法和评标标准进行评标。</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具体评标事项由磋商小组负责，并按采购文件的规定办法进行评审。对采购文件中描述有歧义或前后不一致的地方，磋商小组有权按法律法规的规定进行评判，但对同一条款的评判应适用于每个响应供应商。</w:t>
      </w:r>
    </w:p>
    <w:p>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_GB2312" w:hAnsi="仿宋_GB2312" w:eastAsia="仿宋_GB2312" w:cs="仿宋_GB2312"/>
          <w:b/>
          <w:bCs/>
          <w:sz w:val="24"/>
          <w:szCs w:val="24"/>
          <w:highlight w:val="none"/>
          <w:lang w:val="en-US" w:eastAsia="zh-CN"/>
        </w:rPr>
      </w:pPr>
      <w:bookmarkStart w:id="59" w:name="_Toc7134"/>
      <w:r>
        <w:rPr>
          <w:rFonts w:hint="eastAsia" w:ascii="仿宋_GB2312" w:hAnsi="仿宋_GB2312" w:eastAsia="仿宋_GB2312" w:cs="仿宋_GB2312"/>
          <w:b/>
          <w:bCs/>
          <w:sz w:val="24"/>
          <w:szCs w:val="24"/>
          <w:highlight w:val="none"/>
          <w:lang w:val="en-US" w:eastAsia="zh-CN"/>
        </w:rPr>
        <w:t>资格审查</w:t>
      </w:r>
      <w:bookmarkEnd w:id="59"/>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磋商小组依据采购文件，对响应文件中的资格证明文件等进行审查，以确定供应商是否具备磋商资格。资格性审查中凡有其中任意一项未通过的，评审结果为未通过，未通过资格性审查的供应商按无效响应处理，不进入符合性审查。审查内容如下：</w:t>
      </w:r>
    </w:p>
    <w:p>
      <w:pPr>
        <w:rPr>
          <w:rFonts w:hint="eastAsia" w:ascii="仿宋_GB2312" w:hAnsi="仿宋_GB2312" w:eastAsia="仿宋_GB2312" w:cs="仿宋_GB2312"/>
          <w:b/>
          <w:bCs/>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资格审查要求</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536"/>
        <w:gridCol w:w="5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shd w:val="clear" w:color="auto" w:fill="BEBEBE" w:themeFill="background1" w:themeFillShade="BF"/>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序号</w:t>
            </w:r>
          </w:p>
        </w:tc>
        <w:tc>
          <w:tcPr>
            <w:tcW w:w="2536" w:type="dxa"/>
            <w:shd w:val="clear" w:color="auto" w:fill="BEBEBE" w:themeFill="background1" w:themeFillShade="BF"/>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审查因素</w:t>
            </w:r>
          </w:p>
        </w:tc>
        <w:tc>
          <w:tcPr>
            <w:tcW w:w="5228" w:type="dxa"/>
            <w:shd w:val="clear" w:color="auto" w:fill="BEBEBE" w:themeFill="background1" w:themeFillShade="BF"/>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1</w:t>
            </w:r>
          </w:p>
        </w:tc>
        <w:tc>
          <w:tcPr>
            <w:tcW w:w="253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具有独立承担民事责任的能力</w:t>
            </w:r>
          </w:p>
        </w:tc>
        <w:tc>
          <w:tcPr>
            <w:tcW w:w="522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须提供法人或其他组织或自然人的营业执照副本或事业法人登记证或执业许可证或身份证等相关证明复印件（除身份证外其余证件须加盖公章）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2</w:t>
            </w:r>
          </w:p>
        </w:tc>
        <w:tc>
          <w:tcPr>
            <w:tcW w:w="253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具有良好的商业信誉和健全的财务会计制度</w:t>
            </w:r>
          </w:p>
        </w:tc>
        <w:tc>
          <w:tcPr>
            <w:tcW w:w="522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须提供本单位上一年度由会计师事务所出具的财务审计报告（当上一年度审计报告未出来时，可提供前一年度审计报告），审计报告须包括资产负债表、利润表、现金流量表、所有者权益变动（如有）及其附注（复印件并加盖本单位公章）。如供应商无法提供上年度审计报告，则需提供开标日前三个月内银行出具的资信证明原件或复印件加盖公章。如供应商注册成立不足三个月的则提供承诺书（自拟）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3</w:t>
            </w:r>
          </w:p>
        </w:tc>
        <w:tc>
          <w:tcPr>
            <w:tcW w:w="253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具有履行合同所必需的设备和专业技术能力</w:t>
            </w:r>
          </w:p>
        </w:tc>
        <w:tc>
          <w:tcPr>
            <w:tcW w:w="522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须提供具备履行合同所必需的设备和专业技术能力的书面声明原件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4</w:t>
            </w:r>
          </w:p>
        </w:tc>
        <w:tc>
          <w:tcPr>
            <w:tcW w:w="253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22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1.须提供响应文件递交截止日期之前六个月内任何一期的纳税记录或证明文件原件或复印件加盖公章（依法免税的应提供相应文件说明）</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2.须提供响应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5</w:t>
            </w:r>
          </w:p>
        </w:tc>
        <w:tc>
          <w:tcPr>
            <w:tcW w:w="253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22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须提供声明函原件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6</w:t>
            </w:r>
          </w:p>
        </w:tc>
        <w:tc>
          <w:tcPr>
            <w:tcW w:w="253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供应商信用记录</w:t>
            </w:r>
          </w:p>
        </w:tc>
        <w:tc>
          <w:tcPr>
            <w:tcW w:w="522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查询渠道：信用中国网站和中国政府采购网</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查询时间：响应截止时间后至资格审查阶段完成；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的供应商，其投标无效。联合体形式投标的，联合体成员存在不良信用记录，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7</w:t>
            </w:r>
          </w:p>
        </w:tc>
        <w:tc>
          <w:tcPr>
            <w:tcW w:w="253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磋商保证金</w:t>
            </w:r>
          </w:p>
        </w:tc>
        <w:tc>
          <w:tcPr>
            <w:tcW w:w="522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按照采购文件的规定提交磋商保证金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8</w:t>
            </w:r>
          </w:p>
        </w:tc>
        <w:tc>
          <w:tcPr>
            <w:tcW w:w="253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落实政府采购政策</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的资格要求</w:t>
            </w:r>
          </w:p>
        </w:tc>
        <w:tc>
          <w:tcPr>
            <w:tcW w:w="522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sz w:val="21"/>
                <w:szCs w:val="21"/>
                <w:highlight w:val="none"/>
                <w:vertAlign w:val="baseline"/>
                <w:lang w:val="en-US" w:eastAsia="zh-CN"/>
              </w:rPr>
              <w:t>本项目专门面向小微企业，投标人按招标文件要求的格式提供中小企业声明函（</w:t>
            </w:r>
            <w:r>
              <w:rPr>
                <w:rFonts w:hint="eastAsia" w:ascii="仿宋_GB2312" w:hAnsi="仿宋_GB2312" w:cs="仿宋_GB2312"/>
                <w:b w:val="0"/>
                <w:bCs w:val="0"/>
                <w:sz w:val="21"/>
                <w:szCs w:val="21"/>
                <w:highlight w:val="none"/>
                <w:vertAlign w:val="baseline"/>
                <w:lang w:val="en-US" w:eastAsia="zh-CN"/>
              </w:rPr>
              <w:t>服务</w:t>
            </w:r>
            <w:r>
              <w:rPr>
                <w:rFonts w:hint="eastAsia" w:ascii="仿宋_GB2312" w:hAnsi="仿宋_GB2312" w:eastAsia="仿宋_GB2312" w:cs="仿宋_GB2312"/>
                <w:b w:val="0"/>
                <w:bCs w:val="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9</w:t>
            </w:r>
          </w:p>
        </w:tc>
        <w:tc>
          <w:tcPr>
            <w:tcW w:w="253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资质要求</w:t>
            </w:r>
          </w:p>
        </w:tc>
        <w:tc>
          <w:tcPr>
            <w:tcW w:w="5228"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投标人须具备有效的资质证书，且具备(满足其中一条要求即可)，</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要求1:【勘察】综合类资质（综合类资质）甲级，</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要求2:【勘察】岩土工程（专业类资质）乙级及以上资质，</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要求3:【勘察】岩土工程勘察（专业类资质）丙级及以上资质。</w:t>
            </w:r>
          </w:p>
        </w:tc>
      </w:tr>
    </w:tbl>
    <w:p>
      <w:pPr>
        <w:rPr>
          <w:rFonts w:hint="eastAsia" w:ascii="仿宋_GB2312" w:hAnsi="仿宋_GB2312" w:eastAsia="仿宋_GB2312" w:cs="仿宋_GB2312"/>
          <w:b/>
          <w:bCs/>
          <w:highlight w:val="none"/>
          <w:lang w:val="en-US" w:eastAsia="zh-CN"/>
        </w:rPr>
      </w:pPr>
    </w:p>
    <w:p>
      <w:pPr>
        <w:pStyle w:val="24"/>
        <w:keepNext w:val="0"/>
        <w:keepLines w:val="0"/>
        <w:pageBreakBefore w:val="0"/>
        <w:widowControl w:val="0"/>
        <w:numPr>
          <w:ilvl w:val="0"/>
          <w:numId w:val="14"/>
        </w:numPr>
        <w:kinsoku/>
        <w:wordWrap/>
        <w:overflowPunct/>
        <w:topLinePunct w:val="0"/>
        <w:autoSpaceDE w:val="0"/>
        <w:autoSpaceDN w:val="0"/>
        <w:bidi w:val="0"/>
        <w:adjustRightInd/>
        <w:snapToGrid/>
        <w:spacing w:before="0" w:after="0" w:line="500" w:lineRule="exact"/>
        <w:ind w:left="0" w:leftChars="0" w:right="0" w:rightChars="0" w:firstLine="0" w:firstLineChars="0"/>
        <w:jc w:val="left"/>
        <w:textAlignment w:val="auto"/>
        <w:outlineLvl w:val="1"/>
        <w:rPr>
          <w:rFonts w:hint="eastAsia" w:ascii="仿宋_GB2312" w:hAnsi="仿宋_GB2312" w:eastAsia="仿宋_GB2312" w:cs="仿宋_GB2312"/>
          <w:highlight w:val="none"/>
          <w:lang w:val="en-US" w:eastAsia="zh-CN"/>
        </w:rPr>
      </w:pPr>
      <w:bookmarkStart w:id="60" w:name="_Toc31406"/>
      <w:r>
        <w:rPr>
          <w:rFonts w:hint="eastAsia" w:ascii="仿宋_GB2312" w:hAnsi="仿宋_GB2312" w:eastAsia="仿宋_GB2312" w:cs="仿宋_GB2312"/>
          <w:b/>
          <w:bCs/>
          <w:sz w:val="24"/>
          <w:szCs w:val="24"/>
          <w:highlight w:val="none"/>
          <w:lang w:val="en-US" w:eastAsia="zh-CN"/>
        </w:rPr>
        <w:t>符合性审查</w:t>
      </w:r>
      <w:bookmarkEnd w:id="60"/>
    </w:p>
    <w:p>
      <w:pPr>
        <w:keepNext w:val="0"/>
        <w:keepLines w:val="0"/>
        <w:pageBreakBefore w:val="0"/>
        <w:widowControl w:val="0"/>
        <w:numPr>
          <w:ilvl w:val="1"/>
          <w:numId w:val="14"/>
        </w:numPr>
        <w:kinsoku/>
        <w:wordWrap/>
        <w:overflowPunct/>
        <w:topLinePunct w:val="0"/>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磋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不进入详细评审。审查内容如下：</w:t>
      </w:r>
    </w:p>
    <w:p>
      <w:pPr>
        <w:pStyle w:val="24"/>
        <w:jc w:val="center"/>
        <w:rPr>
          <w:rFonts w:hint="eastAsia"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符合性审查要求</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BEBEBE" w:themeFill="background1" w:themeFillShade="BF"/>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序号</w:t>
            </w:r>
          </w:p>
        </w:tc>
        <w:tc>
          <w:tcPr>
            <w:tcW w:w="2132" w:type="dxa"/>
            <w:shd w:val="clear" w:color="auto" w:fill="BEBEBE" w:themeFill="background1" w:themeFillShade="BF"/>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审查因素</w:t>
            </w:r>
          </w:p>
        </w:tc>
        <w:tc>
          <w:tcPr>
            <w:tcW w:w="5573" w:type="dxa"/>
            <w:shd w:val="clear" w:color="auto" w:fill="BEBEBE" w:themeFill="background1" w:themeFillShade="BF"/>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w:t>
            </w:r>
          </w:p>
        </w:tc>
        <w:tc>
          <w:tcPr>
            <w:tcW w:w="213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授权委托书</w:t>
            </w:r>
          </w:p>
        </w:tc>
        <w:tc>
          <w:tcPr>
            <w:tcW w:w="557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w:t>
            </w:r>
          </w:p>
        </w:tc>
        <w:tc>
          <w:tcPr>
            <w:tcW w:w="213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响应完整性</w:t>
            </w:r>
          </w:p>
        </w:tc>
        <w:tc>
          <w:tcPr>
            <w:tcW w:w="557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未将一个采购包中的内容拆开响应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3</w:t>
            </w:r>
          </w:p>
        </w:tc>
        <w:tc>
          <w:tcPr>
            <w:tcW w:w="213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响应报价</w:t>
            </w:r>
          </w:p>
        </w:tc>
        <w:tc>
          <w:tcPr>
            <w:tcW w:w="557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响应报价未超过采购文件中规定的项目/采购包预算金额或者项目/采购包最高限价；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4</w:t>
            </w:r>
          </w:p>
        </w:tc>
        <w:tc>
          <w:tcPr>
            <w:tcW w:w="213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报价唯一性</w:t>
            </w:r>
          </w:p>
        </w:tc>
        <w:tc>
          <w:tcPr>
            <w:tcW w:w="557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响应文件未出现可选择性或可调整的报价（采购文件另有规定的除外）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81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5</w:t>
            </w:r>
          </w:p>
        </w:tc>
        <w:tc>
          <w:tcPr>
            <w:tcW w:w="213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响应有效期</w:t>
            </w:r>
          </w:p>
        </w:tc>
        <w:tc>
          <w:tcPr>
            <w:tcW w:w="557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响应文件中承诺的响应有效期满足采购文件中载明的响应有效期的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6</w:t>
            </w:r>
          </w:p>
        </w:tc>
        <w:tc>
          <w:tcPr>
            <w:tcW w:w="213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签署、盖章</w:t>
            </w:r>
          </w:p>
        </w:tc>
        <w:tc>
          <w:tcPr>
            <w:tcW w:w="557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按照采购文件要求签署、盖章的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7</w:t>
            </w:r>
          </w:p>
        </w:tc>
        <w:tc>
          <w:tcPr>
            <w:tcW w:w="213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采购需求的响应</w:t>
            </w:r>
          </w:p>
        </w:tc>
        <w:tc>
          <w:tcPr>
            <w:tcW w:w="557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响应文件满足采购文件中※号条款要求的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8</w:t>
            </w:r>
          </w:p>
        </w:tc>
        <w:tc>
          <w:tcPr>
            <w:tcW w:w="213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报价合理性</w:t>
            </w:r>
          </w:p>
        </w:tc>
        <w:tc>
          <w:tcPr>
            <w:tcW w:w="557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报价合理，或供应商的报价明显低于其他通过符合性审查供应商的报价，有可能影响产品质量或者不能诚信履约的，能够应磋商小组要求在规定时间内证明其报价合理性的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9</w:t>
            </w:r>
          </w:p>
        </w:tc>
        <w:tc>
          <w:tcPr>
            <w:tcW w:w="213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附加条件</w:t>
            </w:r>
          </w:p>
        </w:tc>
        <w:tc>
          <w:tcPr>
            <w:tcW w:w="557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响应文件未含有采购人不能接受的附加条件的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10</w:t>
            </w:r>
          </w:p>
        </w:tc>
        <w:tc>
          <w:tcPr>
            <w:tcW w:w="213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其他</w:t>
            </w:r>
          </w:p>
        </w:tc>
        <w:tc>
          <w:tcPr>
            <w:tcW w:w="5573"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响应文件中不存在违反国家法律、法规和采购文件规定的其他无效情形</w:t>
            </w:r>
          </w:p>
        </w:tc>
      </w:tr>
    </w:tbl>
    <w:p>
      <w:pPr>
        <w:pStyle w:val="21"/>
        <w:rPr>
          <w:rFonts w:hint="eastAsia" w:ascii="仿宋_GB2312" w:hAnsi="仿宋_GB2312" w:eastAsia="仿宋_GB2312" w:cs="仿宋_GB2312"/>
          <w:highlight w:val="none"/>
          <w:lang w:val="en-US" w:eastAsia="zh-CN"/>
        </w:rPr>
      </w:pPr>
    </w:p>
    <w:p>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仿宋_GB2312" w:hAnsi="仿宋_GB2312" w:eastAsia="仿宋_GB2312" w:cs="仿宋_GB2312"/>
          <w:b/>
          <w:bCs/>
          <w:sz w:val="24"/>
          <w:szCs w:val="24"/>
          <w:highlight w:val="none"/>
          <w:lang w:val="en-US" w:eastAsia="zh-CN"/>
        </w:rPr>
      </w:pPr>
      <w:bookmarkStart w:id="61" w:name="_Toc8821"/>
      <w:r>
        <w:rPr>
          <w:rFonts w:hint="eastAsia" w:ascii="仿宋_GB2312" w:hAnsi="仿宋_GB2312" w:eastAsia="仿宋_GB2312" w:cs="仿宋_GB2312"/>
          <w:b/>
          <w:bCs/>
          <w:sz w:val="24"/>
          <w:szCs w:val="24"/>
          <w:highlight w:val="none"/>
          <w:lang w:val="en-US" w:eastAsia="zh-CN"/>
        </w:rPr>
        <w:t>响应文件澄清</w:t>
      </w:r>
      <w:bookmarkEnd w:id="61"/>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对于响应文件中含义不明确、同类问题表述不一致或者有明显文字和计算错误的内容，磋商小组可在评审过程中发起在线澄清，要求供应商针对价格或内容做出必要的澄清、说明或补正。代理机构可根据开启环节记录的</w:t>
      </w:r>
      <w:r>
        <w:rPr>
          <w:rFonts w:hint="eastAsia" w:ascii="仿宋_GB2312" w:hAnsi="仿宋_GB2312" w:eastAsia="仿宋_GB2312" w:cs="仿宋_GB2312"/>
          <w:b/>
          <w:bCs/>
          <w:sz w:val="24"/>
          <w:szCs w:val="24"/>
          <w:highlight w:val="none"/>
          <w:lang w:val="en-US" w:eastAsia="zh-CN"/>
        </w:rPr>
        <w:t>授权代表人联系方式</w:t>
      </w:r>
      <w:r>
        <w:rPr>
          <w:rFonts w:hint="eastAsia" w:ascii="仿宋_GB2312" w:hAnsi="仿宋_GB2312" w:eastAsia="仿宋_GB2312" w:cs="仿宋_GB2312"/>
          <w:sz w:val="24"/>
          <w:szCs w:val="24"/>
          <w:highlight w:val="none"/>
          <w:lang w:val="en-US" w:eastAsia="zh-CN"/>
        </w:rPr>
        <w:t>发送短信提醒或电话告知。</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供应商需登录电子招投标系统平台项目采购系统的等候大厅，在规定时间内完成澄清（响应），并加盖电子印章。</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若因供应商联系方式错误未接收短信、未接听电话或超时未进行澄清（响应）造成的不利后果由供应商自行承担。供应商的澄清、说明或者补正不得超出响应文件的范围或者改变响应文件的实质性内容。</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磋商小组不接受供应商主动提出的澄清、说明或补正。</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磋商小组对供应商提交的澄清、说明或补正有疑问的，可以要求供应商进一步澄清、说明或补正。</w:t>
      </w:r>
    </w:p>
    <w:p>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b/>
          <w:bCs/>
          <w:sz w:val="24"/>
          <w:szCs w:val="24"/>
          <w:highlight w:val="none"/>
          <w:lang w:val="en-US" w:eastAsia="zh-CN"/>
        </w:rPr>
      </w:pPr>
      <w:bookmarkStart w:id="62" w:name="_Toc799"/>
      <w:r>
        <w:rPr>
          <w:rFonts w:hint="eastAsia" w:ascii="仿宋_GB2312" w:hAnsi="仿宋_GB2312" w:eastAsia="仿宋_GB2312" w:cs="仿宋_GB2312"/>
          <w:b/>
          <w:bCs/>
          <w:sz w:val="24"/>
          <w:szCs w:val="24"/>
          <w:highlight w:val="none"/>
          <w:lang w:val="en-US" w:eastAsia="zh-CN"/>
        </w:rPr>
        <w:t>价格修正</w:t>
      </w:r>
      <w:bookmarkEnd w:id="62"/>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对报价的计算错误按以下原则修正：</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（1）响应文件中报价一览表（报价表）内容与响应文件中相应内容不一致的，以报价一览表（报价表）为准；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（2）大写金额和小写金额不一致的，以大写金额为准；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（3）单价金额小数点或者百分比有明显错位的，以报价一览表的总价为准，并修改单价；</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（4）总价金额与按单价汇总金额不一致的，以单价金额计算结果为准。但是单价金额计算结果超过预算价的，对其按无效响应处理；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（5）若投标客户端上传的电子报价数据与电子响应文件价格不一致的，以电子报价数据为准。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注：同时出现两种以上不一致的，按照前款规定的顺序在系统上进行价格澄清。澄清后的价格加盖电子印章确认后产生约束力，但不得超出响应文件的范围或者改变响应文件的实质性内容，供应商不确认的，其</w:t>
      </w:r>
      <w:r>
        <w:rPr>
          <w:rFonts w:hint="eastAsia" w:ascii="仿宋_GB2312" w:hAnsi="仿宋_GB2312" w:eastAsia="仿宋_GB2312" w:cs="仿宋_GB2312"/>
          <w:b/>
          <w:bCs/>
          <w:sz w:val="24"/>
          <w:szCs w:val="24"/>
          <w:highlight w:val="none"/>
          <w:lang w:val="en-US" w:eastAsia="zh-CN"/>
        </w:rPr>
        <w:t>响应无效</w:t>
      </w:r>
      <w:r>
        <w:rPr>
          <w:rFonts w:hint="eastAsia" w:ascii="仿宋_GB2312" w:hAnsi="仿宋_GB2312" w:eastAsia="仿宋_GB2312" w:cs="仿宋_GB2312"/>
          <w:sz w:val="24"/>
          <w:szCs w:val="24"/>
          <w:highlight w:val="none"/>
          <w:lang w:val="en-US" w:eastAsia="zh-CN"/>
        </w:rPr>
        <w:t>。</w:t>
      </w:r>
    </w:p>
    <w:p>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磋商</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磋商小组所有成员应当集中与单一供应商分别进行磋商，并给予所有参加磋商的供应商平等的磋商机会。</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在磋商过程中，磋商小组可以根据采购文件和磋商情况实质性变动采购需求中的技术、服务要求以及合同草案条款，但不得变动采购文件中的其他内容。实质性变动的内容，须经采购人代表确认。</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对采购文件作出的实质性变动是采购文件的有效组成部分，磋商小组应当及时、同时通知所有参加磋商的供应商。</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应当按照采购文件的变动情况和磋商小组的要求进行最终报价或重新提交响应文件，并由其法定代表人或授权代表签字或者加盖公章。由授权代表签字的，应当附法定代表人授权书。供应商为自然人的，应当由本人签字并附身份证明。</w:t>
      </w:r>
    </w:p>
    <w:p>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仿宋_GB2312" w:hAnsi="仿宋_GB2312" w:eastAsia="仿宋_GB2312" w:cs="仿宋_GB2312"/>
          <w:b/>
          <w:bCs/>
          <w:sz w:val="24"/>
          <w:szCs w:val="24"/>
          <w:highlight w:val="none"/>
          <w:lang w:val="en-US" w:eastAsia="zh-CN"/>
        </w:rPr>
      </w:pPr>
      <w:bookmarkStart w:id="63" w:name="_Toc18652"/>
      <w:r>
        <w:rPr>
          <w:rFonts w:hint="eastAsia" w:ascii="仿宋_GB2312" w:hAnsi="仿宋_GB2312" w:eastAsia="仿宋_GB2312" w:cs="仿宋_GB2312"/>
          <w:b/>
          <w:bCs/>
          <w:sz w:val="24"/>
          <w:szCs w:val="24"/>
          <w:highlight w:val="none"/>
          <w:lang w:val="en-US" w:eastAsia="zh-CN"/>
        </w:rPr>
        <w:t>最后报价</w:t>
      </w:r>
      <w:bookmarkEnd w:id="63"/>
    </w:p>
    <w:p>
      <w:pPr>
        <w:pStyle w:val="24"/>
        <w:keepNext w:val="0"/>
        <w:keepLines w:val="0"/>
        <w:pageBreakBefore w:val="0"/>
        <w:widowControl w:val="0"/>
        <w:numPr>
          <w:ilvl w:val="1"/>
          <w:numId w:val="14"/>
        </w:numPr>
        <w:kinsoku/>
        <w:wordWrap/>
        <w:overflowPunct/>
        <w:topLinePunct w:val="0"/>
        <w:bidi w:val="0"/>
        <w:adjustRightInd/>
        <w:snapToGrid/>
        <w:spacing w:line="500" w:lineRule="exact"/>
        <w:ind w:left="0" w:leftChars="0" w:firstLine="0" w:firstLineChars="0"/>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磋商结束后，磋商小组应当要求所有实质性响应的供应商在规定时间内提交最后报价。最后报价是供应商响应文件的有效组成部分。</w:t>
      </w:r>
    </w:p>
    <w:p>
      <w:pPr>
        <w:pStyle w:val="24"/>
        <w:keepNext w:val="0"/>
        <w:keepLines w:val="0"/>
        <w:pageBreakBefore w:val="0"/>
        <w:widowControl w:val="0"/>
        <w:numPr>
          <w:ilvl w:val="1"/>
          <w:numId w:val="14"/>
        </w:numPr>
        <w:kinsoku/>
        <w:wordWrap/>
        <w:overflowPunct/>
        <w:topLinePunct w:val="0"/>
        <w:bidi w:val="0"/>
        <w:adjustRightInd/>
        <w:snapToGrid/>
        <w:spacing w:line="500" w:lineRule="exact"/>
        <w:ind w:left="0" w:leftChars="0" w:firstLine="0" w:firstLineChars="0"/>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已提交响应文件的供应商，在提交最后报价之前，可以根据磋商情况退出磋商。</w:t>
      </w:r>
    </w:p>
    <w:p>
      <w:pPr>
        <w:pStyle w:val="24"/>
        <w:keepNext w:val="0"/>
        <w:keepLines w:val="0"/>
        <w:pageBreakBefore w:val="0"/>
        <w:widowControl w:val="0"/>
        <w:numPr>
          <w:ilvl w:val="1"/>
          <w:numId w:val="14"/>
        </w:numPr>
        <w:kinsoku/>
        <w:wordWrap/>
        <w:overflowPunct/>
        <w:topLinePunct w:val="0"/>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除法规规定的特殊性情形外，提交最后报价的供应商不得少于3家。</w:t>
      </w:r>
    </w:p>
    <w:p>
      <w:pPr>
        <w:keepNext w:val="0"/>
        <w:keepLines w:val="0"/>
        <w:pageBreakBefore w:val="0"/>
        <w:widowControl w:val="0"/>
        <w:numPr>
          <w:ilvl w:val="0"/>
          <w:numId w:val="14"/>
        </w:numPr>
        <w:kinsoku/>
        <w:wordWrap/>
        <w:overflowPunct/>
        <w:topLinePunct w:val="0"/>
        <w:bidi w:val="0"/>
        <w:adjustRightInd/>
        <w:snapToGrid/>
        <w:spacing w:line="500" w:lineRule="exact"/>
        <w:ind w:left="0" w:leftChars="0" w:firstLine="0" w:firstLineChars="0"/>
        <w:textAlignment w:val="auto"/>
        <w:outlineLvl w:val="1"/>
        <w:rPr>
          <w:rFonts w:hint="eastAsia" w:ascii="仿宋_GB2312" w:hAnsi="仿宋_GB2312" w:eastAsia="仿宋_GB2312" w:cs="仿宋_GB2312"/>
          <w:b/>
          <w:bCs/>
          <w:sz w:val="24"/>
          <w:szCs w:val="24"/>
          <w:highlight w:val="none"/>
          <w:lang w:val="en-US" w:eastAsia="zh-CN"/>
        </w:rPr>
      </w:pPr>
      <w:bookmarkStart w:id="64" w:name="_Toc21501"/>
      <w:r>
        <w:rPr>
          <w:rFonts w:hint="eastAsia" w:ascii="仿宋_GB2312" w:hAnsi="仿宋_GB2312" w:eastAsia="仿宋_GB2312" w:cs="仿宋_GB2312"/>
          <w:b/>
          <w:bCs/>
          <w:sz w:val="24"/>
          <w:szCs w:val="24"/>
          <w:highlight w:val="none"/>
          <w:lang w:val="en-US" w:eastAsia="zh-CN"/>
        </w:rPr>
        <w:t>详细评审</w:t>
      </w:r>
      <w:bookmarkEnd w:id="64"/>
    </w:p>
    <w:p>
      <w:pPr>
        <w:pStyle w:val="24"/>
        <w:keepNext w:val="0"/>
        <w:keepLines w:val="0"/>
        <w:pageBreakBefore w:val="0"/>
        <w:widowControl w:val="0"/>
        <w:numPr>
          <w:ilvl w:val="1"/>
          <w:numId w:val="14"/>
        </w:numPr>
        <w:kinsoku/>
        <w:wordWrap/>
        <w:overflowPunct/>
        <w:topLinePunct w:val="0"/>
        <w:bidi w:val="0"/>
        <w:adjustRightInd/>
        <w:snapToGrid/>
        <w:spacing w:line="500" w:lineRule="exact"/>
        <w:ind w:left="0" w:leftChars="0" w:firstLine="0" w:firstLineChars="0"/>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磋商小组对提交最后报价的供应商的响应文件和最后报价，对其技术部分、商务部分及报价部分作进一步的综合比较和评价。详细评审标准如下：</w:t>
      </w:r>
    </w:p>
    <w:p>
      <w:pPr>
        <w:pStyle w:val="24"/>
        <w:keepNext w:val="0"/>
        <w:keepLines w:val="0"/>
        <w:pageBreakBefore w:val="0"/>
        <w:widowControl w:val="0"/>
        <w:numPr>
          <w:ilvl w:val="0"/>
          <w:numId w:val="0"/>
        </w:numPr>
        <w:kinsoku/>
        <w:wordWrap/>
        <w:overflowPunct/>
        <w:topLinePunct w:val="0"/>
        <w:bidi w:val="0"/>
        <w:adjustRightInd/>
        <w:snapToGrid/>
        <w:spacing w:line="500" w:lineRule="exact"/>
        <w:ind w:leftChars="0" w:right="0" w:rightChars="0"/>
        <w:jc w:val="center"/>
        <w:textAlignment w:val="auto"/>
        <w:rPr>
          <w:rFonts w:hint="eastAsia"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详细评审标准</w:t>
      </w:r>
    </w:p>
    <w:p>
      <w:pPr>
        <w:rPr>
          <w:rFonts w:hint="eastAsia" w:ascii="仿宋_GB2312" w:hAnsi="仿宋_GB2312" w:eastAsia="仿宋_GB2312" w:cs="仿宋_GB2312"/>
          <w:b/>
          <w:bCs/>
          <w:highlight w:val="none"/>
          <w:lang w:val="en-US" w:eastAsia="zh-CN"/>
        </w:rPr>
      </w:pPr>
    </w:p>
    <w:tbl>
      <w:tblPr>
        <w:tblStyle w:val="26"/>
        <w:tblW w:w="5626" w:type="pct"/>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1197"/>
        <w:gridCol w:w="915"/>
        <w:gridCol w:w="6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shd w:val="clear" w:color="auto" w:fill="BEBEBE" w:themeFill="background1" w:themeFillShade="BF"/>
            <w:noWrap w:val="0"/>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评审项目</w:t>
            </w:r>
          </w:p>
        </w:tc>
        <w:tc>
          <w:tcPr>
            <w:tcW w:w="624" w:type="pct"/>
            <w:shd w:val="clear" w:color="auto" w:fill="BEBEBE" w:themeFill="background1" w:themeFillShade="BF"/>
            <w:noWrap w:val="0"/>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评标分项</w:t>
            </w:r>
          </w:p>
        </w:tc>
        <w:tc>
          <w:tcPr>
            <w:tcW w:w="477" w:type="pct"/>
            <w:shd w:val="clear" w:color="auto" w:fill="BEBEBE" w:themeFill="background1" w:themeFillShade="BF"/>
            <w:noWrap w:val="0"/>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分值</w:t>
            </w:r>
          </w:p>
        </w:tc>
        <w:tc>
          <w:tcPr>
            <w:tcW w:w="3197" w:type="pct"/>
            <w:shd w:val="clear" w:color="auto" w:fill="BEBEBE" w:themeFill="background1" w:themeFillShade="BF"/>
            <w:noWrap w:val="0"/>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Merge w:val="restart"/>
            <w:noWrap w:val="0"/>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商务部分（</w:t>
            </w:r>
            <w:r>
              <w:rPr>
                <w:rFonts w:hint="eastAsia" w:ascii="仿宋_GB2312" w:hAnsi="仿宋_GB2312" w:cs="仿宋_GB2312"/>
                <w:b w:val="0"/>
                <w:bCs/>
                <w:color w:val="auto"/>
                <w:sz w:val="24"/>
                <w:szCs w:val="24"/>
                <w:highlight w:val="none"/>
                <w:lang w:val="en-US" w:eastAsia="zh-CN"/>
              </w:rPr>
              <w:t>28</w:t>
            </w:r>
            <w:r>
              <w:rPr>
                <w:rFonts w:hint="eastAsia" w:ascii="仿宋_GB2312" w:hAnsi="仿宋_GB2312" w:eastAsia="仿宋_GB2312" w:cs="仿宋_GB2312"/>
                <w:b w:val="0"/>
                <w:bCs/>
                <w:color w:val="auto"/>
                <w:sz w:val="24"/>
                <w:szCs w:val="24"/>
                <w:highlight w:val="none"/>
              </w:rPr>
              <w:t>分）</w:t>
            </w:r>
          </w:p>
        </w:tc>
        <w:tc>
          <w:tcPr>
            <w:tcW w:w="624" w:type="pct"/>
            <w:noWrap w:val="0"/>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业绩要求</w:t>
            </w:r>
          </w:p>
        </w:tc>
        <w:tc>
          <w:tcPr>
            <w:tcW w:w="477" w:type="pct"/>
            <w:noWrap w:val="0"/>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lang w:val="en-US" w:eastAsia="zh-CN"/>
              </w:rPr>
              <w:t>1</w:t>
            </w:r>
            <w:r>
              <w:rPr>
                <w:rFonts w:hint="eastAsia" w:ascii="仿宋_GB2312" w:hAnsi="仿宋_GB2312" w:cs="仿宋_GB2312"/>
                <w:b w:val="0"/>
                <w:bCs/>
                <w:color w:val="auto"/>
                <w:sz w:val="24"/>
                <w:szCs w:val="24"/>
                <w:highlight w:val="none"/>
                <w:lang w:val="en-US" w:eastAsia="zh-CN"/>
              </w:rPr>
              <w:t>0</w:t>
            </w:r>
            <w:r>
              <w:rPr>
                <w:rFonts w:hint="eastAsia" w:ascii="仿宋_GB2312" w:hAnsi="仿宋_GB2312" w:eastAsia="仿宋_GB2312" w:cs="仿宋_GB2312"/>
                <w:b w:val="0"/>
                <w:bCs/>
                <w:color w:val="auto"/>
                <w:sz w:val="24"/>
                <w:szCs w:val="24"/>
                <w:highlight w:val="none"/>
              </w:rPr>
              <w:t>分</w:t>
            </w:r>
          </w:p>
        </w:tc>
        <w:tc>
          <w:tcPr>
            <w:tcW w:w="319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投标人自 2020年1 月 1 日至投标截止日止（以合同签订合同时间为准）独立承担的类似项目，每提供1份【勘察】有效的业绩资料得 </w:t>
            </w:r>
            <w:r>
              <w:rPr>
                <w:rFonts w:hint="eastAsia" w:ascii="仿宋_GB2312" w:hAnsi="仿宋_GB2312" w:cs="仿宋_GB2312"/>
                <w:b w:val="0"/>
                <w:bCs/>
                <w:color w:val="000000"/>
                <w:kern w:val="0"/>
                <w:sz w:val="24"/>
                <w:szCs w:val="24"/>
                <w:highlight w:val="none"/>
                <w:vertAlign w:val="baseline"/>
                <w:lang w:val="en-US" w:eastAsia="zh-CN" w:bidi="ar"/>
              </w:rPr>
              <w:t>2</w:t>
            </w: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 分，满分 </w:t>
            </w:r>
            <w:r>
              <w:rPr>
                <w:rFonts w:hint="eastAsia" w:ascii="仿宋_GB2312" w:hAnsi="仿宋_GB2312" w:cs="仿宋_GB2312"/>
                <w:b w:val="0"/>
                <w:bCs/>
                <w:color w:val="000000"/>
                <w:kern w:val="0"/>
                <w:sz w:val="24"/>
                <w:szCs w:val="24"/>
                <w:highlight w:val="none"/>
                <w:vertAlign w:val="baseline"/>
                <w:lang w:val="en-US" w:eastAsia="zh-CN" w:bidi="ar"/>
              </w:rPr>
              <w:t>10</w:t>
            </w: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 分。</w:t>
            </w:r>
          </w:p>
          <w:p>
            <w:pPr>
              <w:keepNext w:val="0"/>
              <w:keepLines w:val="0"/>
              <w:suppressLineNumbers w:val="0"/>
              <w:spacing w:before="0" w:beforeAutospacing="0" w:after="0" w:afterAutospacing="0" w:line="240" w:lineRule="auto"/>
              <w:ind w:left="0" w:right="0"/>
              <w:jc w:val="left"/>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注：1.须提供业绩合同关键页（含：首页、服务内容信息页、合同金额页、签字盖章页）。复印件加盖公章，时间以合同签订日期为准。不符合上述要求或未按要求提供有效证明文件的业绩在评审时将不予承认。</w:t>
            </w:r>
          </w:p>
          <w:p>
            <w:pPr>
              <w:keepNext w:val="0"/>
              <w:keepLines w:val="0"/>
              <w:suppressLineNumbers w:val="0"/>
              <w:spacing w:before="0" w:beforeAutospacing="0" w:after="0" w:afterAutospacing="0" w:line="240" w:lineRule="auto"/>
              <w:ind w:left="0" w:right="0"/>
              <w:jc w:val="lef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val="en-US" w:eastAsia="zh-CN"/>
              </w:rPr>
              <w:t>2.投标人提供虚假合同的，按虚假投标处理。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Merge w:val="continue"/>
            <w:noWrap w:val="0"/>
            <w:vAlign w:val="center"/>
          </w:tcPr>
          <w:p>
            <w:pPr>
              <w:keepNext w:val="0"/>
              <w:keepLines w:val="0"/>
              <w:suppressLineNumbers w:val="0"/>
              <w:spacing w:before="0" w:beforeAutospacing="0" w:after="0" w:afterAutospacing="0" w:line="240" w:lineRule="auto"/>
              <w:ind w:left="0" w:right="0"/>
              <w:jc w:val="left"/>
              <w:rPr>
                <w:rFonts w:hint="eastAsia" w:ascii="仿宋_GB2312" w:hAnsi="仿宋_GB2312" w:eastAsia="仿宋_GB2312" w:cs="仿宋_GB2312"/>
                <w:b w:val="0"/>
                <w:bCs/>
                <w:color w:val="auto"/>
                <w:sz w:val="24"/>
                <w:szCs w:val="24"/>
                <w:highlight w:val="none"/>
              </w:rPr>
            </w:pPr>
          </w:p>
        </w:tc>
        <w:tc>
          <w:tcPr>
            <w:tcW w:w="624" w:type="pct"/>
            <w:noWrap w:val="0"/>
            <w:vAlign w:val="center"/>
          </w:tcPr>
          <w:p>
            <w:pPr>
              <w:keepNext w:val="0"/>
              <w:keepLines w:val="0"/>
              <w:suppressLineNumbers w:val="0"/>
              <w:spacing w:before="0" w:beforeAutospacing="0" w:after="0" w:afterAutospacing="0" w:line="240" w:lineRule="auto"/>
              <w:ind w:left="0" w:right="0"/>
              <w:jc w:val="center"/>
              <w:rPr>
                <w:rFonts w:hint="default" w:ascii="仿宋_GB2312" w:hAnsi="仿宋_GB2312" w:eastAsia="仿宋_GB2312" w:cs="仿宋_GB2312"/>
                <w:b w:val="0"/>
                <w:bCs/>
                <w:color w:val="auto"/>
                <w:sz w:val="24"/>
                <w:szCs w:val="24"/>
                <w:highlight w:val="none"/>
                <w:lang w:val="en-US" w:eastAsia="zh-CN"/>
              </w:rPr>
            </w:pPr>
            <w:r>
              <w:rPr>
                <w:rFonts w:hint="eastAsia" w:ascii="仿宋_GB2312" w:hAnsi="仿宋_GB2312" w:cs="仿宋_GB2312"/>
                <w:b w:val="0"/>
                <w:bCs/>
                <w:color w:val="auto"/>
                <w:sz w:val="24"/>
                <w:szCs w:val="24"/>
                <w:highlight w:val="none"/>
                <w:lang w:val="en-US" w:eastAsia="zh-CN"/>
              </w:rPr>
              <w:t>项目负责人</w:t>
            </w:r>
          </w:p>
        </w:tc>
        <w:tc>
          <w:tcPr>
            <w:tcW w:w="477" w:type="pct"/>
            <w:noWrap w:val="0"/>
            <w:vAlign w:val="center"/>
          </w:tcPr>
          <w:p>
            <w:pPr>
              <w:keepNext w:val="0"/>
              <w:keepLines w:val="0"/>
              <w:suppressLineNumbers w:val="0"/>
              <w:spacing w:before="0" w:beforeAutospacing="0" w:after="0" w:afterAutospacing="0" w:line="240" w:lineRule="auto"/>
              <w:ind w:left="0" w:right="0"/>
              <w:jc w:val="center"/>
              <w:rPr>
                <w:rFonts w:hint="default" w:ascii="仿宋_GB2312" w:hAnsi="仿宋_GB2312" w:eastAsia="仿宋_GB2312" w:cs="仿宋_GB2312"/>
                <w:b w:val="0"/>
                <w:bCs/>
                <w:color w:val="auto"/>
                <w:sz w:val="24"/>
                <w:szCs w:val="24"/>
                <w:highlight w:val="none"/>
                <w:lang w:val="en-US" w:eastAsia="zh-CN"/>
              </w:rPr>
            </w:pPr>
            <w:r>
              <w:rPr>
                <w:rFonts w:hint="eastAsia" w:ascii="仿宋_GB2312" w:hAnsi="仿宋_GB2312" w:cs="仿宋_GB2312"/>
                <w:b w:val="0"/>
                <w:bCs/>
                <w:color w:val="auto"/>
                <w:sz w:val="24"/>
                <w:szCs w:val="24"/>
                <w:highlight w:val="none"/>
                <w:lang w:val="en-US" w:eastAsia="zh-CN"/>
              </w:rPr>
              <w:t>10分</w:t>
            </w:r>
          </w:p>
        </w:tc>
        <w:tc>
          <w:tcPr>
            <w:tcW w:w="319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1.项目负责人提供：中级技术职称证书得2分；高级技术职称证书得4分，其他不得分。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2.项目负责人近三年2020年1月1日至投标截止日止（以合同签订合同时间为准）的类似项目，每提供1份【勘察】有效的业绩资料得 2 分，满分 6 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注：1.须提供业绩合同关键页（含：首页、服务内容信息页、合同金额页、签字盖章页、证明材料须反映出项目负责人）。复印件加盖公章，时间以合同签订日期为准。不符合上述要求或未按要求提供有效证明文件的业绩在评审时将不予承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2.投标人提供虚假合同的，按虚假投标处理。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3.提供的项目负责人必须提供近六个月本单位的缴纳社保证明。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701" w:type="pct"/>
            <w:vMerge w:val="continue"/>
            <w:noWrap w:val="0"/>
            <w:vAlign w:val="center"/>
          </w:tcPr>
          <w:p>
            <w:pPr>
              <w:keepNext w:val="0"/>
              <w:keepLines w:val="0"/>
              <w:suppressLineNumbers w:val="0"/>
              <w:spacing w:before="0" w:beforeAutospacing="0" w:after="0" w:afterAutospacing="0" w:line="240" w:lineRule="auto"/>
              <w:ind w:left="0" w:right="0"/>
              <w:jc w:val="left"/>
              <w:rPr>
                <w:rFonts w:hint="eastAsia" w:ascii="仿宋_GB2312" w:hAnsi="仿宋_GB2312" w:eastAsia="仿宋_GB2312" w:cs="仿宋_GB2312"/>
                <w:b w:val="0"/>
                <w:bCs/>
                <w:color w:val="auto"/>
                <w:sz w:val="24"/>
                <w:szCs w:val="24"/>
                <w:highlight w:val="none"/>
              </w:rPr>
            </w:pPr>
          </w:p>
        </w:tc>
        <w:tc>
          <w:tcPr>
            <w:tcW w:w="624" w:type="pct"/>
            <w:noWrap w:val="0"/>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sz w:val="21"/>
                <w:szCs w:val="21"/>
                <w:highlight w:val="none"/>
                <w:vertAlign w:val="baseline"/>
                <w:lang w:val="en-US" w:eastAsia="zh-CN"/>
              </w:rPr>
              <w:t>项目人员配备</w:t>
            </w:r>
          </w:p>
        </w:tc>
        <w:tc>
          <w:tcPr>
            <w:tcW w:w="477" w:type="pct"/>
            <w:noWrap w:val="0"/>
            <w:vAlign w:val="center"/>
          </w:tcPr>
          <w:p>
            <w:pPr>
              <w:keepNext w:val="0"/>
              <w:keepLines w:val="0"/>
              <w:suppressLineNumbers w:val="0"/>
              <w:spacing w:before="0" w:beforeAutospacing="0" w:after="0" w:afterAutospacing="0" w:line="240" w:lineRule="auto"/>
              <w:ind w:left="0" w:right="0"/>
              <w:jc w:val="center"/>
              <w:rPr>
                <w:rFonts w:hint="default" w:ascii="仿宋_GB2312" w:hAnsi="仿宋_GB2312" w:cs="仿宋_GB2312"/>
                <w:b w:val="0"/>
                <w:bCs/>
                <w:color w:val="auto"/>
                <w:sz w:val="24"/>
                <w:szCs w:val="24"/>
                <w:highlight w:val="none"/>
                <w:lang w:val="en-US" w:eastAsia="zh-CN"/>
              </w:rPr>
            </w:pPr>
            <w:r>
              <w:rPr>
                <w:rFonts w:hint="eastAsia" w:ascii="仿宋_GB2312" w:hAnsi="仿宋_GB2312" w:cs="仿宋_GB2312"/>
                <w:b w:val="0"/>
                <w:bCs/>
                <w:color w:val="auto"/>
                <w:sz w:val="24"/>
                <w:szCs w:val="24"/>
                <w:highlight w:val="none"/>
                <w:lang w:val="en-US" w:eastAsia="zh-CN"/>
              </w:rPr>
              <w:t>8分</w:t>
            </w:r>
          </w:p>
        </w:tc>
        <w:tc>
          <w:tcPr>
            <w:tcW w:w="319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项目人员配备的专业工程师：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每提供中级职称一项得1分，满分4分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每提供高级职称一项得2分，满分4分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1.不包含项目负责人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2.提供的项目配备人员必须提供近六个月本单位的缴纳社保证明。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Merge w:val="restart"/>
            <w:noWrap w:val="0"/>
            <w:vAlign w:val="center"/>
          </w:tcPr>
          <w:p>
            <w:pPr>
              <w:keepNext w:val="0"/>
              <w:keepLines w:val="0"/>
              <w:suppressLineNumbers w:val="0"/>
              <w:spacing w:before="0" w:beforeAutospacing="0" w:after="0" w:afterAutospacing="0" w:line="240" w:lineRule="auto"/>
              <w:ind w:left="0" w:right="0"/>
              <w:jc w:val="left"/>
              <w:rPr>
                <w:rFonts w:hint="eastAsia" w:ascii="仿宋_GB2312" w:hAnsi="仿宋_GB2312" w:cs="仿宋_GB2312"/>
                <w:b w:val="0"/>
                <w:bCs/>
                <w:color w:val="auto"/>
                <w:sz w:val="24"/>
                <w:szCs w:val="24"/>
                <w:highlight w:val="none"/>
                <w:lang w:val="en-US" w:eastAsia="zh-CN"/>
              </w:rPr>
            </w:pPr>
          </w:p>
          <w:p>
            <w:pPr>
              <w:keepNext w:val="0"/>
              <w:keepLines w:val="0"/>
              <w:suppressLineNumbers w:val="0"/>
              <w:spacing w:before="0" w:beforeAutospacing="0" w:after="0" w:afterAutospacing="0" w:line="240" w:lineRule="auto"/>
              <w:ind w:left="0" w:right="0"/>
              <w:jc w:val="left"/>
              <w:rPr>
                <w:rFonts w:hint="eastAsia" w:ascii="仿宋_GB2312" w:hAnsi="仿宋_GB2312" w:cs="仿宋_GB2312"/>
                <w:b w:val="0"/>
                <w:bCs/>
                <w:color w:val="auto"/>
                <w:sz w:val="24"/>
                <w:szCs w:val="24"/>
                <w:highlight w:val="none"/>
                <w:lang w:val="en-US" w:eastAsia="zh-CN"/>
              </w:rPr>
            </w:pPr>
          </w:p>
          <w:p>
            <w:pPr>
              <w:keepNext w:val="0"/>
              <w:keepLines w:val="0"/>
              <w:suppressLineNumbers w:val="0"/>
              <w:spacing w:before="0" w:beforeAutospacing="0" w:after="0" w:afterAutospacing="0" w:line="240" w:lineRule="auto"/>
              <w:ind w:left="0" w:right="0"/>
              <w:jc w:val="left"/>
              <w:rPr>
                <w:rFonts w:hint="eastAsia" w:ascii="仿宋_GB2312" w:hAnsi="仿宋_GB2312" w:cs="仿宋_GB2312"/>
                <w:b w:val="0"/>
                <w:bCs/>
                <w:color w:val="auto"/>
                <w:sz w:val="24"/>
                <w:szCs w:val="24"/>
                <w:highlight w:val="none"/>
                <w:lang w:val="en-US" w:eastAsia="zh-CN"/>
              </w:rPr>
            </w:pPr>
          </w:p>
          <w:p>
            <w:pPr>
              <w:keepNext w:val="0"/>
              <w:keepLines w:val="0"/>
              <w:suppressLineNumbers w:val="0"/>
              <w:spacing w:before="0" w:beforeAutospacing="0" w:after="0" w:afterAutospacing="0" w:line="240" w:lineRule="auto"/>
              <w:ind w:left="0" w:right="0"/>
              <w:jc w:val="left"/>
              <w:rPr>
                <w:rFonts w:hint="eastAsia" w:ascii="仿宋_GB2312" w:hAnsi="仿宋_GB2312" w:cs="仿宋_GB2312"/>
                <w:b w:val="0"/>
                <w:bCs/>
                <w:color w:val="auto"/>
                <w:sz w:val="24"/>
                <w:szCs w:val="24"/>
                <w:highlight w:val="none"/>
                <w:lang w:val="en-US" w:eastAsia="zh-CN"/>
              </w:rPr>
            </w:pPr>
          </w:p>
          <w:p>
            <w:pPr>
              <w:keepNext w:val="0"/>
              <w:keepLines w:val="0"/>
              <w:suppressLineNumbers w:val="0"/>
              <w:spacing w:before="0" w:beforeAutospacing="0" w:after="0" w:afterAutospacing="0" w:line="240" w:lineRule="auto"/>
              <w:ind w:left="0" w:right="0"/>
              <w:jc w:val="left"/>
              <w:rPr>
                <w:rFonts w:hint="eastAsia" w:ascii="仿宋_GB2312" w:hAnsi="仿宋_GB2312" w:cs="仿宋_GB2312"/>
                <w:b w:val="0"/>
                <w:bCs/>
                <w:color w:val="auto"/>
                <w:sz w:val="24"/>
                <w:szCs w:val="24"/>
                <w:highlight w:val="none"/>
                <w:lang w:val="en-US" w:eastAsia="zh-CN"/>
              </w:rPr>
            </w:pPr>
          </w:p>
          <w:p>
            <w:pPr>
              <w:keepNext w:val="0"/>
              <w:keepLines w:val="0"/>
              <w:suppressLineNumbers w:val="0"/>
              <w:spacing w:before="0" w:beforeAutospacing="0" w:after="0" w:afterAutospacing="0" w:line="240" w:lineRule="auto"/>
              <w:ind w:left="0" w:right="0"/>
              <w:jc w:val="left"/>
              <w:rPr>
                <w:rFonts w:hint="eastAsia" w:ascii="仿宋_GB2312" w:hAnsi="仿宋_GB2312" w:cs="仿宋_GB2312"/>
                <w:b w:val="0"/>
                <w:bCs/>
                <w:color w:val="auto"/>
                <w:sz w:val="24"/>
                <w:szCs w:val="24"/>
                <w:highlight w:val="none"/>
                <w:lang w:val="en-US" w:eastAsia="zh-CN"/>
              </w:rPr>
            </w:pPr>
          </w:p>
          <w:p>
            <w:pPr>
              <w:keepNext w:val="0"/>
              <w:keepLines w:val="0"/>
              <w:suppressLineNumbers w:val="0"/>
              <w:spacing w:before="0" w:beforeAutospacing="0" w:after="0" w:afterAutospacing="0" w:line="240" w:lineRule="auto"/>
              <w:ind w:left="0" w:right="0"/>
              <w:jc w:val="left"/>
              <w:rPr>
                <w:rFonts w:hint="eastAsia" w:ascii="仿宋_GB2312" w:hAnsi="仿宋_GB2312" w:cs="仿宋_GB2312"/>
                <w:b w:val="0"/>
                <w:bCs/>
                <w:color w:val="auto"/>
                <w:sz w:val="24"/>
                <w:szCs w:val="24"/>
                <w:highlight w:val="none"/>
                <w:lang w:val="en-US" w:eastAsia="zh-CN"/>
              </w:rPr>
            </w:pPr>
          </w:p>
          <w:p>
            <w:pPr>
              <w:keepNext w:val="0"/>
              <w:keepLines w:val="0"/>
              <w:suppressLineNumbers w:val="0"/>
              <w:spacing w:before="0" w:beforeAutospacing="0" w:after="0" w:afterAutospacing="0" w:line="240" w:lineRule="auto"/>
              <w:ind w:left="0" w:right="0"/>
              <w:jc w:val="left"/>
              <w:rPr>
                <w:rFonts w:hint="eastAsia" w:ascii="仿宋_GB2312" w:hAnsi="仿宋_GB2312" w:cs="仿宋_GB2312"/>
                <w:b w:val="0"/>
                <w:bCs/>
                <w:color w:val="auto"/>
                <w:sz w:val="24"/>
                <w:szCs w:val="24"/>
                <w:highlight w:val="none"/>
                <w:lang w:val="en-US" w:eastAsia="zh-CN"/>
              </w:rPr>
            </w:pPr>
          </w:p>
          <w:p>
            <w:pPr>
              <w:keepNext w:val="0"/>
              <w:keepLines w:val="0"/>
              <w:suppressLineNumbers w:val="0"/>
              <w:spacing w:before="0" w:beforeAutospacing="0" w:after="0" w:afterAutospacing="0" w:line="240" w:lineRule="auto"/>
              <w:ind w:left="0" w:right="0"/>
              <w:jc w:val="left"/>
              <w:rPr>
                <w:rFonts w:hint="eastAsia" w:ascii="仿宋_GB2312" w:hAnsi="仿宋_GB2312" w:cs="仿宋_GB2312"/>
                <w:b w:val="0"/>
                <w:bCs/>
                <w:color w:val="auto"/>
                <w:sz w:val="24"/>
                <w:szCs w:val="24"/>
                <w:highlight w:val="none"/>
                <w:lang w:val="en-US" w:eastAsia="zh-CN"/>
              </w:rPr>
            </w:pPr>
          </w:p>
          <w:p>
            <w:pPr>
              <w:keepNext w:val="0"/>
              <w:keepLines w:val="0"/>
              <w:suppressLineNumbers w:val="0"/>
              <w:spacing w:before="0" w:beforeAutospacing="0" w:after="0" w:afterAutospacing="0" w:line="240" w:lineRule="auto"/>
              <w:ind w:left="0" w:right="0"/>
              <w:jc w:val="left"/>
              <w:rPr>
                <w:rFonts w:hint="eastAsia" w:ascii="仿宋_GB2312" w:hAnsi="仿宋_GB2312" w:cs="仿宋_GB2312"/>
                <w:b w:val="0"/>
                <w:bCs/>
                <w:color w:val="auto"/>
                <w:sz w:val="24"/>
                <w:szCs w:val="24"/>
                <w:highlight w:val="none"/>
                <w:lang w:val="en-US" w:eastAsia="zh-CN"/>
              </w:rPr>
            </w:pPr>
          </w:p>
          <w:p>
            <w:pPr>
              <w:pStyle w:val="2"/>
              <w:keepNext w:val="0"/>
              <w:keepLines w:val="0"/>
              <w:suppressLineNumbers w:val="0"/>
              <w:spacing w:beforeAutospacing="0" w:afterAutospacing="0"/>
              <w:rPr>
                <w:rFonts w:hint="eastAsia" w:ascii="仿宋_GB2312" w:hAnsi="仿宋_GB2312" w:cs="仿宋_GB2312"/>
                <w:b w:val="0"/>
                <w:bCs/>
                <w:color w:val="auto"/>
                <w:sz w:val="24"/>
                <w:szCs w:val="24"/>
                <w:highlight w:val="none"/>
                <w:lang w:val="en-US" w:eastAsia="zh-CN"/>
              </w:rPr>
            </w:pPr>
          </w:p>
          <w:p>
            <w:pPr>
              <w:keepNext w:val="0"/>
              <w:keepLines w:val="0"/>
              <w:suppressLineNumbers w:val="0"/>
              <w:spacing w:before="0" w:beforeAutospacing="0" w:after="0" w:afterAutospacing="0"/>
              <w:ind w:left="0" w:right="0"/>
              <w:rPr>
                <w:rFonts w:hint="eastAsia"/>
                <w:highlight w:val="none"/>
                <w:lang w:val="en-US" w:eastAsia="zh-CN"/>
              </w:rPr>
            </w:pPr>
          </w:p>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cs="仿宋_GB2312"/>
                <w:b w:val="0"/>
                <w:bCs/>
                <w:color w:val="auto"/>
                <w:sz w:val="24"/>
                <w:szCs w:val="24"/>
                <w:highlight w:val="none"/>
                <w:lang w:val="en-US" w:eastAsia="zh-CN"/>
              </w:rPr>
              <w:t>技术部分（42分）</w:t>
            </w:r>
          </w:p>
        </w:tc>
        <w:tc>
          <w:tcPr>
            <w:tcW w:w="624" w:type="pct"/>
            <w:noWrap w:val="0"/>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sz w:val="21"/>
                <w:szCs w:val="21"/>
                <w:highlight w:val="none"/>
                <w:vertAlign w:val="baseline"/>
                <w:lang w:val="en-US" w:eastAsia="zh-CN"/>
              </w:rPr>
            </w:pPr>
          </w:p>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对项目的理解</w:t>
            </w:r>
          </w:p>
          <w:p>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sz w:val="21"/>
                <w:szCs w:val="21"/>
                <w:highlight w:val="none"/>
                <w:vertAlign w:val="baseline"/>
                <w:lang w:val="en-US" w:eastAsia="zh-CN"/>
              </w:rPr>
            </w:pPr>
          </w:p>
        </w:tc>
        <w:tc>
          <w:tcPr>
            <w:tcW w:w="477" w:type="pct"/>
            <w:noWrap w:val="0"/>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cs="仿宋_GB2312"/>
                <w:b w:val="0"/>
                <w:bCs/>
                <w:color w:val="auto"/>
                <w:sz w:val="24"/>
                <w:szCs w:val="24"/>
                <w:highlight w:val="none"/>
                <w:lang w:val="en-US" w:eastAsia="zh-CN"/>
              </w:rPr>
            </w:pPr>
          </w:p>
          <w:p>
            <w:pPr>
              <w:keepNext w:val="0"/>
              <w:keepLines w:val="0"/>
              <w:suppressLineNumbers w:val="0"/>
              <w:spacing w:before="0" w:beforeAutospacing="0" w:after="0" w:afterAutospacing="0" w:line="240" w:lineRule="auto"/>
              <w:ind w:left="0" w:right="0"/>
              <w:jc w:val="center"/>
              <w:rPr>
                <w:rFonts w:hint="default" w:ascii="仿宋_GB2312" w:hAnsi="仿宋_GB2312" w:cs="仿宋_GB2312"/>
                <w:b w:val="0"/>
                <w:bCs/>
                <w:color w:val="auto"/>
                <w:sz w:val="24"/>
                <w:szCs w:val="24"/>
                <w:highlight w:val="none"/>
                <w:lang w:val="en-US" w:eastAsia="zh-CN"/>
              </w:rPr>
            </w:pPr>
            <w:r>
              <w:rPr>
                <w:rFonts w:hint="eastAsia" w:ascii="仿宋_GB2312" w:hAnsi="仿宋_GB2312" w:cs="仿宋_GB2312"/>
                <w:b w:val="0"/>
                <w:bCs/>
                <w:color w:val="auto"/>
                <w:sz w:val="24"/>
                <w:szCs w:val="24"/>
                <w:highlight w:val="none"/>
                <w:lang w:val="en-US" w:eastAsia="zh-CN"/>
              </w:rPr>
              <w:t>10分</w:t>
            </w:r>
          </w:p>
        </w:tc>
        <w:tc>
          <w:tcPr>
            <w:tcW w:w="319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熟悉程度高，理解清晰、分析透 彻得 </w:t>
            </w:r>
            <w:r>
              <w:rPr>
                <w:rFonts w:hint="eastAsia" w:ascii="仿宋_GB2312" w:hAnsi="仿宋_GB2312" w:cs="仿宋_GB2312"/>
                <w:b w:val="0"/>
                <w:bCs/>
                <w:color w:val="000000"/>
                <w:kern w:val="0"/>
                <w:sz w:val="24"/>
                <w:szCs w:val="24"/>
                <w:highlight w:val="none"/>
                <w:vertAlign w:val="baseline"/>
                <w:lang w:val="en-US" w:eastAsia="zh-CN" w:bidi="ar"/>
              </w:rPr>
              <w:t>10</w:t>
            </w:r>
            <w:r>
              <w:rPr>
                <w:rFonts w:hint="eastAsia" w:ascii="仿宋_GB2312" w:hAnsi="仿宋_GB2312" w:eastAsia="仿宋_GB2312" w:cs="仿宋_GB2312"/>
                <w:b w:val="0"/>
                <w:bCs/>
                <w:color w:val="000000"/>
                <w:kern w:val="0"/>
                <w:sz w:val="24"/>
                <w:szCs w:val="24"/>
                <w:highlight w:val="none"/>
                <w:vertAlign w:val="baseline"/>
                <w:lang w:val="en-US" w:eastAsia="zh-CN" w:bidi="ar"/>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熟悉程度高较高，理解、分析较好得 </w:t>
            </w:r>
            <w:r>
              <w:rPr>
                <w:rFonts w:hint="eastAsia" w:ascii="仿宋_GB2312" w:hAnsi="仿宋_GB2312" w:cs="仿宋_GB2312"/>
                <w:b w:val="0"/>
                <w:bCs/>
                <w:color w:val="000000"/>
                <w:kern w:val="0"/>
                <w:sz w:val="24"/>
                <w:szCs w:val="24"/>
                <w:highlight w:val="none"/>
                <w:vertAlign w:val="baseline"/>
                <w:lang w:val="en-US" w:eastAsia="zh-CN" w:bidi="ar"/>
              </w:rPr>
              <w:t>7</w:t>
            </w:r>
            <w:r>
              <w:rPr>
                <w:rFonts w:hint="eastAsia" w:ascii="仿宋_GB2312" w:hAnsi="仿宋_GB2312" w:eastAsia="仿宋_GB2312" w:cs="仿宋_GB2312"/>
                <w:b w:val="0"/>
                <w:bCs/>
                <w:color w:val="000000"/>
                <w:kern w:val="0"/>
                <w:sz w:val="24"/>
                <w:szCs w:val="24"/>
                <w:highlight w:val="none"/>
                <w:vertAlign w:val="baseline"/>
                <w:lang w:val="en-US" w:eastAsia="zh-CN" w:bidi="ar"/>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熟悉程度和理解、分析均一般得 </w:t>
            </w:r>
            <w:r>
              <w:rPr>
                <w:rFonts w:hint="eastAsia" w:ascii="仿宋_GB2312" w:hAnsi="仿宋_GB2312" w:cs="仿宋_GB2312"/>
                <w:b w:val="0"/>
                <w:bCs/>
                <w:color w:val="000000"/>
                <w:kern w:val="0"/>
                <w:sz w:val="24"/>
                <w:szCs w:val="24"/>
                <w:highlight w:val="none"/>
                <w:vertAlign w:val="baseline"/>
                <w:lang w:val="en-US" w:eastAsia="zh-CN" w:bidi="ar"/>
              </w:rPr>
              <w:t>4</w:t>
            </w: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分。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熟悉程度和理解、分析差得 </w:t>
            </w:r>
            <w:r>
              <w:rPr>
                <w:rFonts w:hint="eastAsia" w:ascii="仿宋_GB2312" w:hAnsi="仿宋_GB2312" w:cs="仿宋_GB2312"/>
                <w:b w:val="0"/>
                <w:bCs/>
                <w:color w:val="000000"/>
                <w:kern w:val="0"/>
                <w:sz w:val="24"/>
                <w:szCs w:val="24"/>
                <w:highlight w:val="none"/>
                <w:vertAlign w:val="baseline"/>
                <w:lang w:val="en-US" w:eastAsia="zh-CN" w:bidi="ar"/>
              </w:rPr>
              <w:t>2</w:t>
            </w: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分。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不提供不得分。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Merge w:val="continue"/>
            <w:noWrap w:val="0"/>
            <w:vAlign w:val="center"/>
          </w:tcPr>
          <w:p>
            <w:pPr>
              <w:keepNext w:val="0"/>
              <w:keepLines w:val="0"/>
              <w:suppressLineNumbers w:val="0"/>
              <w:spacing w:before="0" w:beforeAutospacing="0" w:after="0" w:afterAutospacing="0" w:line="240" w:lineRule="auto"/>
              <w:ind w:left="0" w:right="0"/>
              <w:jc w:val="left"/>
              <w:rPr>
                <w:rFonts w:hint="eastAsia" w:ascii="仿宋_GB2312" w:hAnsi="仿宋_GB2312" w:eastAsia="仿宋_GB2312" w:cs="仿宋_GB2312"/>
                <w:b w:val="0"/>
                <w:bCs/>
                <w:color w:val="auto"/>
                <w:sz w:val="24"/>
                <w:szCs w:val="24"/>
                <w:highlight w:val="none"/>
              </w:rPr>
            </w:pPr>
          </w:p>
        </w:tc>
        <w:tc>
          <w:tcPr>
            <w:tcW w:w="624" w:type="pct"/>
            <w:noWrap w:val="0"/>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cs="仿宋_GB2312"/>
                <w:b w:val="0"/>
                <w:bCs/>
                <w:color w:val="auto"/>
                <w:sz w:val="24"/>
                <w:szCs w:val="24"/>
                <w:highlight w:val="none"/>
                <w:lang w:val="en-US" w:eastAsia="zh-CN"/>
              </w:rPr>
            </w:pPr>
            <w:r>
              <w:rPr>
                <w:rFonts w:hint="eastAsia" w:ascii="仿宋_GB2312" w:hAnsi="仿宋_GB2312" w:cs="仿宋_GB2312"/>
                <w:b w:val="0"/>
                <w:bCs/>
                <w:color w:val="auto"/>
                <w:sz w:val="24"/>
                <w:szCs w:val="24"/>
                <w:highlight w:val="none"/>
                <w:lang w:val="en-US" w:eastAsia="zh-CN"/>
              </w:rPr>
              <w:t>勘察方案</w:t>
            </w:r>
          </w:p>
          <w:p>
            <w:pPr>
              <w:keepNext w:val="0"/>
              <w:keepLines w:val="0"/>
              <w:suppressLineNumbers w:val="0"/>
              <w:spacing w:before="0" w:beforeAutospacing="0" w:after="0" w:afterAutospacing="0" w:line="240" w:lineRule="auto"/>
              <w:ind w:left="0" w:right="0"/>
              <w:jc w:val="center"/>
              <w:rPr>
                <w:rFonts w:hint="eastAsia" w:ascii="仿宋_GB2312" w:hAnsi="仿宋_GB2312" w:cs="仿宋_GB2312"/>
                <w:b w:val="0"/>
                <w:bCs/>
                <w:color w:val="auto"/>
                <w:sz w:val="24"/>
                <w:szCs w:val="24"/>
                <w:highlight w:val="none"/>
                <w:lang w:val="en-US" w:eastAsia="zh-CN"/>
              </w:rPr>
            </w:pPr>
          </w:p>
        </w:tc>
        <w:tc>
          <w:tcPr>
            <w:tcW w:w="477" w:type="pct"/>
            <w:noWrap w:val="0"/>
            <w:vAlign w:val="center"/>
          </w:tcPr>
          <w:p>
            <w:pPr>
              <w:keepNext w:val="0"/>
              <w:keepLines w:val="0"/>
              <w:suppressLineNumbers w:val="0"/>
              <w:spacing w:before="0" w:beforeAutospacing="0" w:after="0" w:afterAutospacing="0" w:line="240" w:lineRule="auto"/>
              <w:ind w:left="0" w:right="0"/>
              <w:jc w:val="center"/>
              <w:rPr>
                <w:rFonts w:hint="default" w:ascii="仿宋_GB2312" w:hAnsi="仿宋_GB2312" w:cs="仿宋_GB2312"/>
                <w:b w:val="0"/>
                <w:bCs/>
                <w:color w:val="auto"/>
                <w:sz w:val="24"/>
                <w:szCs w:val="24"/>
                <w:highlight w:val="none"/>
                <w:lang w:val="en-US" w:eastAsia="zh-CN"/>
              </w:rPr>
            </w:pPr>
            <w:r>
              <w:rPr>
                <w:rFonts w:hint="eastAsia" w:ascii="仿宋_GB2312" w:hAnsi="仿宋_GB2312" w:cs="仿宋_GB2312"/>
                <w:b w:val="0"/>
                <w:bCs/>
                <w:color w:val="auto"/>
                <w:sz w:val="24"/>
                <w:szCs w:val="24"/>
                <w:highlight w:val="none"/>
                <w:lang w:val="en-US" w:eastAsia="zh-CN"/>
              </w:rPr>
              <w:t>10分</w:t>
            </w:r>
          </w:p>
        </w:tc>
        <w:tc>
          <w:tcPr>
            <w:tcW w:w="319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勘察方案最大限度满足采购文 件要求、内容完整、针对性强的， 能完全满足采购人需求的，得 </w:t>
            </w:r>
            <w:r>
              <w:rPr>
                <w:rFonts w:hint="eastAsia" w:ascii="仿宋_GB2312" w:hAnsi="仿宋_GB2312" w:cs="仿宋_GB2312"/>
                <w:b w:val="0"/>
                <w:bCs/>
                <w:color w:val="000000"/>
                <w:kern w:val="0"/>
                <w:sz w:val="24"/>
                <w:szCs w:val="24"/>
                <w:highlight w:val="none"/>
                <w:vertAlign w:val="baseline"/>
                <w:lang w:val="en-US" w:eastAsia="zh-CN" w:bidi="ar"/>
              </w:rPr>
              <w:t>1</w:t>
            </w: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0 分；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勘察方案内容完整合理、满足采购文件要求、具有针对性，但部分重点内容不够详尽，得 </w:t>
            </w:r>
            <w:r>
              <w:rPr>
                <w:rFonts w:hint="eastAsia" w:ascii="仿宋_GB2312" w:hAnsi="仿宋_GB2312" w:cs="仿宋_GB2312"/>
                <w:b w:val="0"/>
                <w:bCs/>
                <w:color w:val="000000"/>
                <w:kern w:val="0"/>
                <w:sz w:val="24"/>
                <w:szCs w:val="24"/>
                <w:highlight w:val="none"/>
                <w:vertAlign w:val="baseline"/>
                <w:lang w:val="en-US" w:eastAsia="zh-CN" w:bidi="ar"/>
              </w:rPr>
              <w:t>7</w:t>
            </w: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 分；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勘察方案基本满足采购文件要求、方案内容基本完整、缺少针对性得 </w:t>
            </w:r>
            <w:r>
              <w:rPr>
                <w:rFonts w:hint="eastAsia" w:ascii="仿宋_GB2312" w:hAnsi="仿宋_GB2312" w:cs="仿宋_GB2312"/>
                <w:b w:val="0"/>
                <w:bCs/>
                <w:color w:val="000000"/>
                <w:kern w:val="0"/>
                <w:sz w:val="24"/>
                <w:szCs w:val="24"/>
                <w:highlight w:val="none"/>
                <w:vertAlign w:val="baseline"/>
                <w:lang w:val="en-US" w:eastAsia="zh-CN" w:bidi="ar"/>
              </w:rPr>
              <w:t>4</w:t>
            </w: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 分；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勘察方案基本满足采购文件要求，但重点内容有 1 项缺失或存在缺陷，得 </w:t>
            </w:r>
            <w:r>
              <w:rPr>
                <w:rFonts w:hint="eastAsia" w:ascii="仿宋_GB2312" w:hAnsi="仿宋_GB2312" w:cs="仿宋_GB2312"/>
                <w:b w:val="0"/>
                <w:bCs/>
                <w:color w:val="000000"/>
                <w:kern w:val="0"/>
                <w:sz w:val="24"/>
                <w:szCs w:val="24"/>
                <w:highlight w:val="none"/>
                <w:vertAlign w:val="baseline"/>
                <w:lang w:val="en-US" w:eastAsia="zh-CN" w:bidi="ar"/>
              </w:rPr>
              <w:t>2</w:t>
            </w: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 分；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勘察方案基本满足采购文件要求，但重点内容有 2 项（含）以 上缺失或存在缺陷，得 </w:t>
            </w:r>
            <w:r>
              <w:rPr>
                <w:rFonts w:hint="eastAsia" w:ascii="仿宋_GB2312" w:hAnsi="仿宋_GB2312" w:cs="仿宋_GB2312"/>
                <w:b w:val="0"/>
                <w:bCs/>
                <w:color w:val="000000"/>
                <w:kern w:val="0"/>
                <w:sz w:val="24"/>
                <w:szCs w:val="24"/>
                <w:highlight w:val="none"/>
                <w:vertAlign w:val="baseline"/>
                <w:lang w:val="en-US" w:eastAsia="zh-CN" w:bidi="ar"/>
              </w:rPr>
              <w:t>1</w:t>
            </w: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 分。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勘察方案无法满足采购文件要求，得 0 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Merge w:val="continue"/>
            <w:noWrap w:val="0"/>
            <w:vAlign w:val="center"/>
          </w:tcPr>
          <w:p>
            <w:pPr>
              <w:keepNext w:val="0"/>
              <w:keepLines w:val="0"/>
              <w:suppressLineNumbers w:val="0"/>
              <w:spacing w:before="0" w:beforeAutospacing="0" w:after="0" w:afterAutospacing="0" w:line="240" w:lineRule="auto"/>
              <w:ind w:left="0" w:right="0"/>
              <w:jc w:val="left"/>
              <w:rPr>
                <w:rFonts w:hint="eastAsia" w:ascii="仿宋_GB2312" w:hAnsi="仿宋_GB2312" w:eastAsia="仿宋_GB2312" w:cs="仿宋_GB2312"/>
                <w:b w:val="0"/>
                <w:bCs/>
                <w:color w:val="auto"/>
                <w:sz w:val="24"/>
                <w:szCs w:val="24"/>
                <w:highlight w:val="none"/>
              </w:rPr>
            </w:pPr>
          </w:p>
        </w:tc>
        <w:tc>
          <w:tcPr>
            <w:tcW w:w="624" w:type="pct"/>
            <w:noWrap w:val="0"/>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cs="仿宋_GB2312"/>
                <w:b w:val="0"/>
                <w:bCs/>
                <w:color w:val="auto"/>
                <w:sz w:val="24"/>
                <w:szCs w:val="24"/>
                <w:highlight w:val="none"/>
                <w:lang w:val="en-US" w:eastAsia="zh-CN"/>
              </w:rPr>
            </w:pPr>
            <w:r>
              <w:rPr>
                <w:rFonts w:hint="eastAsia" w:ascii="仿宋_GB2312" w:hAnsi="仿宋_GB2312" w:cs="仿宋_GB2312"/>
                <w:b w:val="0"/>
                <w:bCs/>
                <w:color w:val="auto"/>
                <w:sz w:val="24"/>
                <w:szCs w:val="24"/>
                <w:highlight w:val="none"/>
                <w:lang w:val="en-US" w:eastAsia="zh-CN"/>
              </w:rPr>
              <w:t xml:space="preserve">质量保证措施及安全保证措施 </w:t>
            </w:r>
          </w:p>
        </w:tc>
        <w:tc>
          <w:tcPr>
            <w:tcW w:w="477" w:type="pct"/>
            <w:noWrap w:val="0"/>
            <w:vAlign w:val="center"/>
          </w:tcPr>
          <w:p>
            <w:pPr>
              <w:keepNext w:val="0"/>
              <w:keepLines w:val="0"/>
              <w:suppressLineNumbers w:val="0"/>
              <w:spacing w:before="0" w:beforeAutospacing="0" w:after="0" w:afterAutospacing="0" w:line="240" w:lineRule="auto"/>
              <w:ind w:left="0" w:right="0"/>
              <w:jc w:val="center"/>
              <w:rPr>
                <w:rFonts w:hint="default" w:ascii="仿宋_GB2312" w:hAnsi="仿宋_GB2312" w:cs="仿宋_GB2312"/>
                <w:b w:val="0"/>
                <w:bCs/>
                <w:color w:val="auto"/>
                <w:sz w:val="24"/>
                <w:szCs w:val="24"/>
                <w:highlight w:val="none"/>
                <w:lang w:val="en-US" w:eastAsia="zh-CN"/>
              </w:rPr>
            </w:pPr>
            <w:r>
              <w:rPr>
                <w:rFonts w:hint="eastAsia" w:ascii="仿宋_GB2312" w:hAnsi="仿宋_GB2312" w:cs="仿宋_GB2312"/>
                <w:b w:val="0"/>
                <w:bCs/>
                <w:color w:val="auto"/>
                <w:sz w:val="24"/>
                <w:szCs w:val="24"/>
                <w:highlight w:val="none"/>
                <w:lang w:val="en-US" w:eastAsia="zh-CN"/>
              </w:rPr>
              <w:t>5分</w:t>
            </w:r>
          </w:p>
        </w:tc>
        <w:tc>
          <w:tcPr>
            <w:tcW w:w="319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措施完整、合理、可行、针对性强得 5分；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措施较完整、合理、有相应的针对性得 3分；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措施欠完整、欠合理得 1 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不提供不得分。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Merge w:val="continue"/>
            <w:noWrap w:val="0"/>
            <w:vAlign w:val="center"/>
          </w:tcPr>
          <w:p>
            <w:pPr>
              <w:keepNext w:val="0"/>
              <w:keepLines w:val="0"/>
              <w:suppressLineNumbers w:val="0"/>
              <w:spacing w:before="0" w:beforeAutospacing="0" w:after="0" w:afterAutospacing="0" w:line="240" w:lineRule="auto"/>
              <w:ind w:left="0" w:right="0"/>
              <w:jc w:val="left"/>
              <w:rPr>
                <w:rFonts w:hint="eastAsia" w:ascii="仿宋_GB2312" w:hAnsi="仿宋_GB2312" w:eastAsia="仿宋_GB2312" w:cs="仿宋_GB2312"/>
                <w:b w:val="0"/>
                <w:bCs/>
                <w:color w:val="auto"/>
                <w:sz w:val="24"/>
                <w:szCs w:val="24"/>
                <w:highlight w:val="none"/>
              </w:rPr>
            </w:pPr>
          </w:p>
        </w:tc>
        <w:tc>
          <w:tcPr>
            <w:tcW w:w="624" w:type="pct"/>
            <w:noWrap w:val="0"/>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cs="仿宋_GB2312"/>
                <w:b w:val="0"/>
                <w:bCs/>
                <w:color w:val="auto"/>
                <w:sz w:val="24"/>
                <w:szCs w:val="24"/>
                <w:highlight w:val="none"/>
                <w:lang w:val="en-US" w:eastAsia="zh-CN"/>
              </w:rPr>
            </w:pPr>
            <w:r>
              <w:rPr>
                <w:rFonts w:hint="eastAsia" w:ascii="仿宋_GB2312" w:hAnsi="仿宋_GB2312" w:cs="仿宋_GB2312"/>
                <w:b w:val="0"/>
                <w:bCs/>
                <w:color w:val="auto"/>
                <w:sz w:val="24"/>
                <w:szCs w:val="24"/>
                <w:highlight w:val="none"/>
                <w:lang w:val="en-US" w:eastAsia="zh-CN"/>
              </w:rPr>
              <w:t xml:space="preserve">进度保证措施 </w:t>
            </w:r>
          </w:p>
        </w:tc>
        <w:tc>
          <w:tcPr>
            <w:tcW w:w="477" w:type="pct"/>
            <w:noWrap w:val="0"/>
            <w:vAlign w:val="center"/>
          </w:tcPr>
          <w:p>
            <w:pPr>
              <w:keepNext w:val="0"/>
              <w:keepLines w:val="0"/>
              <w:suppressLineNumbers w:val="0"/>
              <w:spacing w:before="0" w:beforeAutospacing="0" w:after="0" w:afterAutospacing="0" w:line="240" w:lineRule="auto"/>
              <w:ind w:left="0" w:right="0"/>
              <w:jc w:val="center"/>
              <w:rPr>
                <w:rFonts w:hint="default" w:ascii="仿宋_GB2312" w:hAnsi="仿宋_GB2312" w:cs="仿宋_GB2312"/>
                <w:b w:val="0"/>
                <w:bCs/>
                <w:color w:val="auto"/>
                <w:sz w:val="24"/>
                <w:szCs w:val="24"/>
                <w:highlight w:val="none"/>
                <w:lang w:val="en-US" w:eastAsia="zh-CN"/>
              </w:rPr>
            </w:pPr>
            <w:r>
              <w:rPr>
                <w:rFonts w:hint="eastAsia" w:ascii="仿宋_GB2312" w:hAnsi="仿宋_GB2312" w:cs="仿宋_GB2312"/>
                <w:b w:val="0"/>
                <w:bCs/>
                <w:color w:val="auto"/>
                <w:sz w:val="24"/>
                <w:szCs w:val="24"/>
                <w:highlight w:val="none"/>
                <w:lang w:val="en-US" w:eastAsia="zh-CN"/>
              </w:rPr>
              <w:t>5分</w:t>
            </w:r>
          </w:p>
        </w:tc>
        <w:tc>
          <w:tcPr>
            <w:tcW w:w="319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措施完整、合理、可行、针对性强得 5 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措施较完整、合理、有相应的针对性得 3 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措施欠完整、欠合理得 1 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不提供不得分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Merge w:val="continue"/>
            <w:noWrap w:val="0"/>
            <w:vAlign w:val="center"/>
          </w:tcPr>
          <w:p>
            <w:pPr>
              <w:keepNext w:val="0"/>
              <w:keepLines w:val="0"/>
              <w:suppressLineNumbers w:val="0"/>
              <w:spacing w:before="0" w:beforeAutospacing="0" w:after="0" w:afterAutospacing="0" w:line="240" w:lineRule="auto"/>
              <w:ind w:left="0" w:right="0"/>
              <w:jc w:val="left"/>
              <w:rPr>
                <w:rFonts w:hint="eastAsia" w:ascii="仿宋_GB2312" w:hAnsi="仿宋_GB2312" w:eastAsia="仿宋_GB2312" w:cs="仿宋_GB2312"/>
                <w:b w:val="0"/>
                <w:bCs/>
                <w:color w:val="auto"/>
                <w:sz w:val="24"/>
                <w:szCs w:val="24"/>
                <w:highlight w:val="none"/>
              </w:rPr>
            </w:pPr>
          </w:p>
        </w:tc>
        <w:tc>
          <w:tcPr>
            <w:tcW w:w="624" w:type="pct"/>
            <w:noWrap w:val="0"/>
            <w:vAlign w:val="center"/>
          </w:tcPr>
          <w:p>
            <w:pPr>
              <w:keepNext w:val="0"/>
              <w:keepLines w:val="0"/>
              <w:suppressLineNumbers w:val="0"/>
              <w:spacing w:before="0" w:beforeAutospacing="0" w:after="0" w:afterAutospacing="0" w:line="240" w:lineRule="auto"/>
              <w:ind w:left="0" w:right="0"/>
              <w:jc w:val="center"/>
              <w:rPr>
                <w:rFonts w:hint="eastAsia" w:ascii="仿宋_GB2312" w:hAnsi="仿宋_GB2312" w:cs="仿宋_GB2312"/>
                <w:b w:val="0"/>
                <w:bCs/>
                <w:color w:val="auto"/>
                <w:sz w:val="24"/>
                <w:szCs w:val="24"/>
                <w:highlight w:val="none"/>
                <w:lang w:val="en-US" w:eastAsia="zh-CN"/>
              </w:rPr>
            </w:pPr>
            <w:r>
              <w:rPr>
                <w:rFonts w:hint="eastAsia" w:ascii="仿宋_GB2312" w:hAnsi="仿宋_GB2312" w:cs="仿宋_GB2312"/>
                <w:b w:val="0"/>
                <w:bCs/>
                <w:color w:val="auto"/>
                <w:sz w:val="24"/>
                <w:szCs w:val="24"/>
                <w:highlight w:val="none"/>
                <w:lang w:val="en-US" w:eastAsia="zh-CN"/>
              </w:rPr>
              <w:t>技术设备力量</w:t>
            </w:r>
          </w:p>
        </w:tc>
        <w:tc>
          <w:tcPr>
            <w:tcW w:w="477" w:type="pct"/>
            <w:noWrap w:val="0"/>
            <w:vAlign w:val="center"/>
          </w:tcPr>
          <w:p>
            <w:pPr>
              <w:keepNext w:val="0"/>
              <w:keepLines w:val="0"/>
              <w:suppressLineNumbers w:val="0"/>
              <w:spacing w:before="0" w:beforeAutospacing="0" w:after="0" w:afterAutospacing="0" w:line="240" w:lineRule="auto"/>
              <w:ind w:left="0" w:right="0"/>
              <w:jc w:val="center"/>
              <w:rPr>
                <w:rFonts w:hint="default" w:ascii="仿宋_GB2312" w:hAnsi="仿宋_GB2312" w:cs="仿宋_GB2312"/>
                <w:b w:val="0"/>
                <w:bCs/>
                <w:color w:val="auto"/>
                <w:sz w:val="24"/>
                <w:szCs w:val="24"/>
                <w:highlight w:val="none"/>
                <w:lang w:val="en-US" w:eastAsia="zh-CN"/>
              </w:rPr>
            </w:pPr>
            <w:r>
              <w:rPr>
                <w:rFonts w:hint="eastAsia" w:ascii="仿宋_GB2312" w:hAnsi="仿宋_GB2312" w:cs="仿宋_GB2312"/>
                <w:b w:val="0"/>
                <w:bCs/>
                <w:color w:val="auto"/>
                <w:sz w:val="24"/>
                <w:szCs w:val="24"/>
                <w:highlight w:val="none"/>
                <w:lang w:val="en-US" w:eastAsia="zh-CN"/>
              </w:rPr>
              <w:t>10分</w:t>
            </w:r>
          </w:p>
        </w:tc>
        <w:tc>
          <w:tcPr>
            <w:tcW w:w="319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勘察设备齐全丰富，实验设备齐全先进得10分。         勘察设备齐全，实验设备齐全得7分。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勘察设备齐全，实验设备基本满足得5分。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勘察设备齐全，实验设备缺失得</w:t>
            </w:r>
            <w:r>
              <w:rPr>
                <w:rFonts w:hint="eastAsia" w:ascii="仿宋_GB2312" w:hAnsi="仿宋_GB2312" w:cs="仿宋_GB2312"/>
                <w:b w:val="0"/>
                <w:bCs/>
                <w:color w:val="000000"/>
                <w:kern w:val="0"/>
                <w:sz w:val="24"/>
                <w:szCs w:val="24"/>
                <w:highlight w:val="none"/>
                <w:vertAlign w:val="baseline"/>
                <w:lang w:val="en-US" w:eastAsia="zh-CN" w:bidi="ar"/>
              </w:rPr>
              <w:t>1</w:t>
            </w: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分。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勘察设备缺失，实验设备缺失</w:t>
            </w:r>
            <w:r>
              <w:rPr>
                <w:rFonts w:hint="eastAsia" w:ascii="仿宋_GB2312" w:hAnsi="仿宋_GB2312" w:cs="仿宋_GB2312"/>
                <w:b w:val="0"/>
                <w:bCs/>
                <w:color w:val="000000"/>
                <w:kern w:val="0"/>
                <w:sz w:val="24"/>
                <w:szCs w:val="24"/>
                <w:highlight w:val="none"/>
                <w:vertAlign w:val="baseline"/>
                <w:lang w:val="en-US" w:eastAsia="zh-CN" w:bidi="ar"/>
              </w:rPr>
              <w:t>或</w:t>
            </w: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不提供设备得0分。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（注:需具有满足本项目勘察的勘察设备，实验设备，自有或有相关单位合作证明材料）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Merge w:val="continue"/>
            <w:noWrap w:val="0"/>
            <w:vAlign w:val="center"/>
          </w:tcPr>
          <w:p>
            <w:pPr>
              <w:keepNext w:val="0"/>
              <w:keepLines w:val="0"/>
              <w:suppressLineNumbers w:val="0"/>
              <w:spacing w:before="0" w:beforeAutospacing="0" w:after="0" w:afterAutospacing="0" w:line="240" w:lineRule="auto"/>
              <w:ind w:left="0" w:right="0"/>
              <w:jc w:val="left"/>
              <w:rPr>
                <w:rFonts w:hint="eastAsia" w:ascii="仿宋_GB2312" w:hAnsi="仿宋_GB2312" w:eastAsia="仿宋_GB2312" w:cs="仿宋_GB2312"/>
                <w:b w:val="0"/>
                <w:bCs/>
                <w:color w:val="auto"/>
                <w:sz w:val="24"/>
                <w:szCs w:val="24"/>
                <w:highlight w:val="none"/>
              </w:rPr>
            </w:pPr>
          </w:p>
        </w:tc>
        <w:tc>
          <w:tcPr>
            <w:tcW w:w="624"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cs="仿宋_GB2312"/>
                <w:b w:val="0"/>
                <w:bCs/>
                <w:color w:val="auto"/>
                <w:sz w:val="24"/>
                <w:szCs w:val="24"/>
                <w:highlight w:val="none"/>
                <w:lang w:val="en-US" w:eastAsia="zh-CN"/>
              </w:rPr>
              <w:t>成果文件</w:t>
            </w:r>
          </w:p>
        </w:tc>
        <w:tc>
          <w:tcPr>
            <w:tcW w:w="477"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仿宋_GB2312" w:hAnsi="仿宋_GB2312" w:eastAsia="仿宋_GB2312" w:cs="仿宋_GB2312"/>
                <w:b w:val="0"/>
                <w:bCs/>
                <w:color w:val="auto"/>
                <w:kern w:val="2"/>
                <w:sz w:val="24"/>
                <w:szCs w:val="24"/>
                <w:highlight w:val="none"/>
                <w:lang w:val="en-US" w:eastAsia="zh-CN" w:bidi="ar-SA"/>
              </w:rPr>
            </w:pPr>
            <w:r>
              <w:rPr>
                <w:rFonts w:hint="eastAsia" w:ascii="仿宋_GB2312" w:hAnsi="仿宋_GB2312" w:cs="仿宋_GB2312"/>
                <w:b w:val="0"/>
                <w:bCs/>
                <w:color w:val="auto"/>
                <w:sz w:val="24"/>
                <w:szCs w:val="24"/>
                <w:highlight w:val="none"/>
                <w:lang w:val="en-US" w:eastAsia="zh-CN"/>
              </w:rPr>
              <w:t>2分</w:t>
            </w:r>
          </w:p>
        </w:tc>
        <w:tc>
          <w:tcPr>
            <w:tcW w:w="319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内容完整、符合规范要求，满足勘察要求和工程需要得2分；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内容较完整、较符合规范要求，较满足勘察要求和工程需要得 1 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textAlignment w:val="auto"/>
              <w:rPr>
                <w:rFonts w:hint="eastAsia" w:ascii="仿宋_GB2312" w:hAnsi="仿宋_GB2312" w:eastAsia="仿宋_GB2312" w:cs="仿宋_GB2312"/>
                <w:b w:val="0"/>
                <w:bCs/>
                <w:color w:val="000000"/>
                <w:kern w:val="0"/>
                <w:sz w:val="24"/>
                <w:szCs w:val="24"/>
                <w:highlight w:val="none"/>
                <w:vertAlign w:val="baseline"/>
                <w:lang w:val="en-US" w:eastAsia="zh-CN" w:bidi="ar"/>
              </w:rPr>
            </w:pPr>
            <w:r>
              <w:rPr>
                <w:rFonts w:hint="eastAsia" w:ascii="仿宋_GB2312" w:hAnsi="仿宋_GB2312" w:eastAsia="仿宋_GB2312" w:cs="仿宋_GB2312"/>
                <w:b w:val="0"/>
                <w:bCs/>
                <w:color w:val="000000"/>
                <w:kern w:val="0"/>
                <w:sz w:val="24"/>
                <w:szCs w:val="24"/>
                <w:highlight w:val="none"/>
                <w:vertAlign w:val="baseline"/>
                <w:lang w:val="en-US" w:eastAsia="zh-CN" w:bidi="ar"/>
              </w:rPr>
              <w:t xml:space="preserve">内容不完整、不符合规范要求，无法满足勘察要求和工程需要或未提供得得 0 分； </w:t>
            </w:r>
          </w:p>
        </w:tc>
      </w:tr>
    </w:tbl>
    <w:p>
      <w:pPr>
        <w:spacing w:line="360" w:lineRule="auto"/>
        <w:jc w:val="both"/>
        <w:rPr>
          <w:rFonts w:hint="eastAsia" w:ascii="仿宋_GB2312" w:hAnsi="仿宋_GB2312" w:eastAsia="仿宋_GB2312" w:cs="仿宋_GB2312"/>
          <w:b/>
          <w:color w:val="auto"/>
          <w:spacing w:val="-2"/>
          <w:sz w:val="24"/>
          <w:highlight w:val="none"/>
        </w:rPr>
      </w:pPr>
      <w:r>
        <w:rPr>
          <w:rFonts w:hint="eastAsia" w:ascii="仿宋_GB2312" w:hAnsi="仿宋_GB2312" w:eastAsia="仿宋_GB2312" w:cs="仿宋_GB2312"/>
          <w:b/>
          <w:color w:val="auto"/>
          <w:spacing w:val="-2"/>
          <w:sz w:val="24"/>
          <w:szCs w:val="24"/>
          <w:highlight w:val="none"/>
        </w:rPr>
        <w:t>报价部分</w:t>
      </w:r>
      <w:r>
        <w:rPr>
          <w:rFonts w:hint="eastAsia" w:ascii="仿宋_GB2312" w:hAnsi="仿宋_GB2312" w:eastAsia="仿宋_GB2312" w:cs="仿宋_GB2312"/>
          <w:b/>
          <w:color w:val="auto"/>
          <w:spacing w:val="-2"/>
          <w:sz w:val="22"/>
          <w:szCs w:val="22"/>
          <w:highlight w:val="none"/>
        </w:rPr>
        <w:t>（占总分值的</w:t>
      </w:r>
      <w:r>
        <w:rPr>
          <w:rFonts w:hint="eastAsia" w:ascii="仿宋_GB2312" w:hAnsi="仿宋_GB2312" w:cs="仿宋_GB2312"/>
          <w:b/>
          <w:color w:val="auto"/>
          <w:spacing w:val="-2"/>
          <w:sz w:val="22"/>
          <w:szCs w:val="22"/>
          <w:highlight w:val="none"/>
          <w:lang w:val="en-US" w:eastAsia="zh-CN"/>
        </w:rPr>
        <w:t>30</w:t>
      </w:r>
      <w:r>
        <w:rPr>
          <w:rFonts w:hint="eastAsia" w:ascii="仿宋_GB2312" w:hAnsi="仿宋_GB2312" w:eastAsia="仿宋_GB2312" w:cs="仿宋_GB2312"/>
          <w:b/>
          <w:color w:val="auto"/>
          <w:spacing w:val="-2"/>
          <w:sz w:val="22"/>
          <w:szCs w:val="22"/>
          <w:highlight w:val="none"/>
        </w:rPr>
        <w:t>%）</w:t>
      </w:r>
    </w:p>
    <w:tbl>
      <w:tblPr>
        <w:tblStyle w:val="26"/>
        <w:tblW w:w="9303" w:type="dxa"/>
        <w:tblInd w:w="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635"/>
        <w:gridCol w:w="850"/>
        <w:gridCol w:w="5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820" w:type="dxa"/>
            <w:shd w:val="clear" w:color="auto" w:fill="BEBEBE" w:themeFill="background1" w:themeFillShade="BF"/>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序号</w:t>
            </w:r>
          </w:p>
        </w:tc>
        <w:tc>
          <w:tcPr>
            <w:tcW w:w="1635" w:type="dxa"/>
            <w:shd w:val="clear" w:color="auto" w:fill="BEBEBE" w:themeFill="background1" w:themeFillShade="BF"/>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评审项目</w:t>
            </w:r>
          </w:p>
        </w:tc>
        <w:tc>
          <w:tcPr>
            <w:tcW w:w="850" w:type="dxa"/>
            <w:shd w:val="clear" w:color="auto" w:fill="BEBEBE" w:themeFill="background1" w:themeFillShade="BF"/>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分值</w:t>
            </w:r>
          </w:p>
        </w:tc>
        <w:tc>
          <w:tcPr>
            <w:tcW w:w="5998" w:type="dxa"/>
            <w:shd w:val="clear" w:color="auto" w:fill="BEBEBE" w:themeFill="background1" w:themeFillShade="BF"/>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2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p>
        </w:tc>
        <w:tc>
          <w:tcPr>
            <w:tcW w:w="1635" w:type="dxa"/>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报价分</w:t>
            </w:r>
          </w:p>
        </w:tc>
        <w:tc>
          <w:tcPr>
            <w:tcW w:w="850" w:type="dxa"/>
            <w:noWrap w:val="0"/>
            <w:vAlign w:val="center"/>
          </w:tcPr>
          <w:p>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lang w:val="en-US" w:eastAsia="zh-CN"/>
              </w:rPr>
              <w:t>30</w:t>
            </w:r>
            <w:r>
              <w:rPr>
                <w:rFonts w:hint="eastAsia" w:ascii="仿宋_GB2312" w:hAnsi="仿宋_GB2312" w:eastAsia="仿宋_GB2312" w:cs="仿宋_GB2312"/>
                <w:color w:val="auto"/>
                <w:sz w:val="22"/>
                <w:szCs w:val="22"/>
                <w:highlight w:val="none"/>
              </w:rPr>
              <w:t>分</w:t>
            </w:r>
          </w:p>
        </w:tc>
        <w:tc>
          <w:tcPr>
            <w:tcW w:w="5998" w:type="dxa"/>
            <w:noWrap w:val="0"/>
            <w:vAlign w:val="center"/>
          </w:tcPr>
          <w:p>
            <w:pPr>
              <w:keepNext w:val="0"/>
              <w:keepLines w:val="0"/>
              <w:suppressLineNumbers w:val="0"/>
              <w:spacing w:before="0" w:beforeAutospacing="0" w:after="0" w:afterAutospacing="0" w:line="360" w:lineRule="auto"/>
              <w:ind w:left="0" w:right="0"/>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满足</w:t>
            </w:r>
            <w:r>
              <w:rPr>
                <w:rFonts w:hint="eastAsia" w:ascii="仿宋_GB2312" w:hAnsi="仿宋_GB2312" w:eastAsia="仿宋_GB2312" w:cs="仿宋_GB2312"/>
                <w:color w:val="auto"/>
                <w:sz w:val="22"/>
                <w:szCs w:val="22"/>
                <w:highlight w:val="none"/>
                <w:lang w:eastAsia="zh-CN"/>
              </w:rPr>
              <w:t>磋商文件</w:t>
            </w:r>
            <w:r>
              <w:rPr>
                <w:rFonts w:hint="eastAsia" w:ascii="仿宋_GB2312" w:hAnsi="仿宋_GB2312" w:eastAsia="仿宋_GB2312" w:cs="仿宋_GB2312"/>
                <w:color w:val="auto"/>
                <w:sz w:val="22"/>
                <w:szCs w:val="22"/>
                <w:highlight w:val="none"/>
              </w:rPr>
              <w:t>要求且最后报价最低的供应商的价格为磋商基准价，其价格分为满分。</w:t>
            </w:r>
          </w:p>
          <w:p>
            <w:pPr>
              <w:keepNext w:val="0"/>
              <w:keepLines w:val="0"/>
              <w:suppressLineNumbers w:val="0"/>
              <w:spacing w:before="0" w:beforeAutospacing="0" w:after="0" w:afterAutospacing="0" w:line="360" w:lineRule="auto"/>
              <w:ind w:left="0" w:right="0"/>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其他供应商的价格分统一按照下列公式计算：磋商报价得分=(磋商基准价/最后磋商报价)×价格分权重×100；</w:t>
            </w:r>
          </w:p>
          <w:p>
            <w:pPr>
              <w:keepNext w:val="0"/>
              <w:keepLines w:val="0"/>
              <w:suppressLineNumbers w:val="0"/>
              <w:spacing w:before="0" w:beforeAutospacing="0" w:after="0" w:afterAutospacing="0" w:line="360" w:lineRule="auto"/>
              <w:ind w:left="0" w:right="0"/>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项目评审过程中，不得去掉最后报价中的最高报价和最低报价。因落实政府采购政策进行价格调整的，以调整后的价格计算磋商基准价和最后报价。</w:t>
            </w:r>
          </w:p>
        </w:tc>
      </w:tr>
    </w:tbl>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评审标准中应考虑下列因素：</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仿宋_GB2312" w:hAnsi="仿宋_GB2312" w:eastAsia="仿宋_GB2312" w:cs="仿宋_GB2312"/>
          <w:sz w:val="24"/>
          <w:szCs w:val="24"/>
          <w:highlight w:val="none"/>
          <w:u w:val="single"/>
          <w:lang w:val="en-US" w:eastAsia="zh-CN"/>
        </w:rPr>
        <w:t xml:space="preserve"> 10 % </w:t>
      </w:r>
      <w:r>
        <w:rPr>
          <w:rFonts w:hint="eastAsia" w:ascii="仿宋_GB2312" w:hAnsi="仿宋_GB2312" w:eastAsia="仿宋_GB2312" w:cs="仿宋_GB2312"/>
          <w:sz w:val="24"/>
          <w:szCs w:val="24"/>
          <w:highlight w:val="none"/>
          <w:lang w:val="en-US" w:eastAsia="zh-CN"/>
        </w:rPr>
        <w:t>后参与评审。对于同时属于小微企业、监狱企业或残疾人福利性单位的，不重复进行最后报价扣除。</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联合协议中约定，小型、微型企业和监狱企业的协议合同金额占到联合体协议合同总金额30%以上的，可给予联合体</w:t>
      </w:r>
      <w:r>
        <w:rPr>
          <w:rFonts w:hint="eastAsia" w:ascii="仿宋_GB2312" w:hAnsi="仿宋_GB2312" w:eastAsia="仿宋_GB2312" w:cs="仿宋_GB2312"/>
          <w:sz w:val="24"/>
          <w:szCs w:val="24"/>
          <w:highlight w:val="none"/>
          <w:u w:val="single"/>
          <w:lang w:val="en-US" w:eastAsia="zh-CN"/>
        </w:rPr>
        <w:t xml:space="preserve"> 4 % </w:t>
      </w:r>
      <w:r>
        <w:rPr>
          <w:rFonts w:hint="eastAsia" w:ascii="仿宋_GB2312" w:hAnsi="仿宋_GB2312" w:eastAsia="仿宋_GB2312" w:cs="仿宋_GB2312"/>
          <w:sz w:val="24"/>
          <w:szCs w:val="24"/>
          <w:highlight w:val="none"/>
          <w:lang w:val="en-US" w:eastAsia="zh-CN"/>
        </w:rPr>
        <w:t>的最后报价扣除。联合体各方均为小型、微型企业和监狱企业的，联合体视同为小型、微型企业和监狱企业。</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供应商所投产品如被列入财政部与国家主管部门颁发的节能产品目录或环境标志产品目录，应提供相关证明，在评标时予以优先采购，具体优惠措施为：</w:t>
      </w:r>
      <w:r>
        <w:rPr>
          <w:rFonts w:hint="eastAsia" w:ascii="仿宋_GB2312" w:hAnsi="仿宋_GB2312" w:eastAsia="仿宋_GB2312" w:cs="仿宋_GB2312"/>
          <w:sz w:val="24"/>
          <w:szCs w:val="24"/>
          <w:highlight w:val="none"/>
          <w:u w:val="single"/>
          <w:lang w:val="en-US" w:eastAsia="zh-CN"/>
        </w:rPr>
        <w:t>综合得分相同时排名优先。</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供应商所投产品列入无线局域网产品清单，应提供相关证明，在评标时予以优先采购，具体优惠措施为：</w:t>
      </w:r>
      <w:r>
        <w:rPr>
          <w:rFonts w:hint="eastAsia" w:ascii="仿宋_GB2312" w:hAnsi="仿宋_GB2312" w:eastAsia="仿宋_GB2312" w:cs="仿宋_GB2312"/>
          <w:sz w:val="24"/>
          <w:szCs w:val="24"/>
          <w:highlight w:val="none"/>
          <w:u w:val="single"/>
          <w:lang w:val="en-US" w:eastAsia="zh-CN"/>
        </w:rPr>
        <w:t>综合得分相同时排名优先。</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如采购人所采购产品为政府强制采购的节能产品，供应商所投产品的品牌及型号必须为清单中有效期内产品并提供证明文件，否则其响应将作为无效响应被拒绝。</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根据《关于运用政府采购政策支持脱贫攻坚的通知》（财库〔2019〕27号）的规定，采购人采购农副产品的，对产地在国家级贫困地区的农副产品的优先采购措施：</w:t>
      </w:r>
      <w:r>
        <w:rPr>
          <w:rFonts w:hint="eastAsia" w:ascii="仿宋_GB2312" w:hAnsi="仿宋_GB2312" w:eastAsia="仿宋_GB2312" w:cs="仿宋_GB2312"/>
          <w:sz w:val="24"/>
          <w:szCs w:val="24"/>
          <w:highlight w:val="none"/>
          <w:u w:val="single"/>
          <w:lang w:val="en-US" w:eastAsia="zh-CN"/>
        </w:rPr>
        <w:t>综合得分相同时排名优先。</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同品牌同型号处理办法：</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如采用最低评标办法，则：提供相同品牌相同型号产品的不同供应商以其中通过资格审查、符合性审查且最后报价最低的参加评标；报价相同的，由磋商小组采取随机抽取方式确定，其他同品牌同型号供应商不作为成交候选人。</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如采用综合评标法，则：提供相同品牌相同型号产品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如一个分包内包含多种产品的，采购人或采购代理机构将在</w:t>
      </w:r>
      <w:r>
        <w:rPr>
          <w:rFonts w:hint="eastAsia" w:ascii="仿宋_GB2312" w:hAnsi="仿宋_GB2312" w:eastAsia="仿宋_GB2312" w:cs="仿宋_GB2312"/>
          <w:sz w:val="24"/>
          <w:szCs w:val="24"/>
          <w:highlight w:val="none"/>
          <w:u w:val="single"/>
          <w:lang w:val="en-US" w:eastAsia="zh-CN"/>
        </w:rPr>
        <w:t>供应商须知前附表</w:t>
      </w:r>
      <w:r>
        <w:rPr>
          <w:rFonts w:hint="eastAsia" w:ascii="仿宋_GB2312" w:hAnsi="仿宋_GB2312" w:eastAsia="仿宋_GB2312" w:cs="仿宋_GB2312"/>
          <w:sz w:val="24"/>
          <w:szCs w:val="24"/>
          <w:highlight w:val="none"/>
          <w:lang w:val="en-US" w:eastAsia="zh-CN"/>
        </w:rPr>
        <w:t xml:space="preserve">中载明核心产品，多家供应商提供的所有核心产品品牌型号均相同的，按第六章评标程序、评标方法和评标标准第9.3条规定处理。 </w:t>
      </w:r>
    </w:p>
    <w:p>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确定中标候选人名单</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采用综合评分法时，评标结果按评审后得分由高到低顺序排列。评审得分最高的供应商为排名第一的成交候选人。综合评审得分相同的,最后报价最低优先，如最后报价相同则技术部分得分最高优先，最后报价相同且技术部分得分也相同的，由磋商小组现场采取随机抽取方式确定。</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采用最低评标价法时，评标结果按最后报价由低到高顺序排列。响应文件满足采购文件全部实质性要求且最后报价最低的供应商为排名第一的成交候选人。最后报价相同的磋商小组随机抽取的方式确定排名。</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磋商小组要对评分汇总情况进行复核，特别是对排名第一的、报价最低的、响应文件被认定为无效的情形进行重点复核。</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磋商小组将根据各供应商的评标排序，依次推荐本项目（各采购包）的成交候选人，起草并签署评标报告。本项目（各采购包）磋商小组共（各）推荐三名成交候选人。</w:t>
      </w:r>
    </w:p>
    <w:p>
      <w:pPr>
        <w:rPr>
          <w:rFonts w:hint="eastAsia" w:ascii="仿宋_GB2312" w:hAnsi="仿宋_GB2312" w:eastAsia="仿宋_GB2312" w:cs="仿宋_GB2312"/>
          <w:sz w:val="24"/>
          <w:szCs w:val="24"/>
          <w:highlight w:val="none"/>
          <w:lang w:val="en-US" w:eastAsia="zh-CN"/>
        </w:rPr>
      </w:pPr>
    </w:p>
    <w:p>
      <w:pPr>
        <w:pStyle w:val="24"/>
        <w:rPr>
          <w:rFonts w:hint="eastAsia" w:ascii="仿宋_GB2312" w:hAnsi="仿宋_GB2312" w:eastAsia="仿宋_GB2312" w:cs="仿宋_GB2312"/>
          <w:sz w:val="24"/>
          <w:szCs w:val="24"/>
          <w:highlight w:val="none"/>
          <w:lang w:val="en-US" w:eastAsia="zh-CN"/>
        </w:rPr>
      </w:pPr>
    </w:p>
    <w:p>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pPr>
        <w:pStyle w:val="24"/>
        <w:numPr>
          <w:ilvl w:val="0"/>
          <w:numId w:val="6"/>
        </w:numPr>
        <w:bidi w:val="0"/>
        <w:jc w:val="center"/>
        <w:outlineLvl w:val="0"/>
        <w:rPr>
          <w:rFonts w:hint="eastAsia" w:ascii="仿宋_GB2312" w:hAnsi="仿宋_GB2312" w:eastAsia="仿宋_GB2312" w:cs="仿宋_GB2312"/>
          <w:b/>
          <w:bCs/>
          <w:sz w:val="32"/>
          <w:szCs w:val="32"/>
          <w:highlight w:val="none"/>
          <w:lang w:val="en-US" w:eastAsia="zh-CN"/>
        </w:rPr>
      </w:pPr>
      <w:bookmarkStart w:id="65" w:name="_Toc8937"/>
      <w:r>
        <w:rPr>
          <w:rFonts w:hint="eastAsia" w:ascii="仿宋_GB2312" w:hAnsi="仿宋_GB2312" w:eastAsia="仿宋_GB2312" w:cs="仿宋_GB2312"/>
          <w:b/>
          <w:bCs/>
          <w:sz w:val="32"/>
          <w:szCs w:val="32"/>
          <w:highlight w:val="none"/>
          <w:lang w:val="en-US" w:eastAsia="zh-CN"/>
        </w:rPr>
        <w:t>投标文件格式</w:t>
      </w:r>
      <w:bookmarkEnd w:id="65"/>
    </w:p>
    <w:p>
      <w:pPr>
        <w:pStyle w:val="24"/>
        <w:rPr>
          <w:rFonts w:hint="eastAsia" w:ascii="仿宋_GB2312" w:hAnsi="仿宋_GB2312" w:eastAsia="仿宋_GB2312" w:cs="仿宋_GB2312"/>
          <w:highlight w:val="none"/>
          <w:lang w:val="en-US" w:eastAsia="zh-CN"/>
        </w:rPr>
      </w:pPr>
    </w:p>
    <w:p>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供应商编制文件须知</w:t>
      </w:r>
    </w:p>
    <w:p>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1.为保证评标工作的顺利进行，各供应商需参照如下的格式，认真进行投标文件的编写工作。需建立详细的目录。</w:t>
      </w:r>
    </w:p>
    <w:p>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2.各供应商提交文件中涉及商业机密的，应明确标明，采购人及最终用户将给予保密处理，否则视为公开资料。</w:t>
      </w:r>
    </w:p>
    <w:p>
      <w:pPr>
        <w:pStyle w:val="24"/>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全部声明和问题的回答及所附材料必须是真实的、准确的和完整的。</w:t>
      </w:r>
    </w:p>
    <w:p>
      <w:pPr>
        <w:rPr>
          <w:rFonts w:hint="eastAsia" w:ascii="仿宋_GB2312" w:hAnsi="仿宋_GB2312" w:eastAsia="仿宋_GB2312" w:cs="仿宋_GB2312"/>
          <w:highlight w:val="none"/>
          <w:lang w:val="en-US" w:eastAsia="zh-CN"/>
        </w:rPr>
      </w:pPr>
    </w:p>
    <w:p>
      <w:pPr>
        <w:pStyle w:val="24"/>
        <w:rPr>
          <w:rFonts w:hint="eastAsia" w:ascii="仿宋_GB2312" w:hAnsi="仿宋_GB2312" w:eastAsia="仿宋_GB2312" w:cs="仿宋_GB2312"/>
          <w:highlight w:val="none"/>
          <w:lang w:val="en-US" w:eastAsia="zh-CN"/>
        </w:rPr>
      </w:pPr>
    </w:p>
    <w:p>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pPr>
        <w:keepNext w:val="0"/>
        <w:keepLines w:val="0"/>
        <w:widowControl/>
        <w:suppressLineNumbers w:val="0"/>
        <w:jc w:val="left"/>
        <w:outlineLvl w:val="1"/>
        <w:rPr>
          <w:rFonts w:hint="eastAsia" w:ascii="仿宋_GB2312" w:hAnsi="仿宋_GB2312" w:eastAsia="仿宋_GB2312" w:cs="仿宋_GB2312"/>
          <w:b/>
          <w:bCs/>
          <w:color w:val="000000"/>
          <w:kern w:val="0"/>
          <w:sz w:val="24"/>
          <w:szCs w:val="24"/>
          <w:highlight w:val="none"/>
          <w:lang w:val="en-US" w:eastAsia="zh-CN" w:bidi="ar"/>
        </w:rPr>
      </w:pPr>
      <w:bookmarkStart w:id="66" w:name="_Toc24875"/>
      <w:r>
        <w:rPr>
          <w:rFonts w:hint="eastAsia" w:ascii="仿宋_GB2312" w:hAnsi="仿宋_GB2312" w:eastAsia="仿宋_GB2312" w:cs="仿宋_GB2312"/>
          <w:b/>
          <w:bCs/>
          <w:color w:val="000000"/>
          <w:kern w:val="0"/>
          <w:sz w:val="24"/>
          <w:szCs w:val="24"/>
          <w:highlight w:val="none"/>
          <w:lang w:val="en-US" w:eastAsia="zh-CN" w:bidi="ar"/>
        </w:rPr>
        <w:t>投标文件封面（参考格式）</w:t>
      </w:r>
      <w:bookmarkEnd w:id="66"/>
    </w:p>
    <w:p>
      <w:pPr>
        <w:keepNext w:val="0"/>
        <w:keepLines w:val="0"/>
        <w:widowControl/>
        <w:suppressLineNumbers w:val="0"/>
        <w:jc w:val="left"/>
        <w:rPr>
          <w:rFonts w:hint="eastAsia" w:ascii="仿宋_GB2312" w:hAnsi="仿宋_GB2312" w:eastAsia="仿宋_GB2312" w:cs="仿宋_GB2312"/>
          <w:b/>
          <w:bCs/>
          <w:color w:val="000000"/>
          <w:kern w:val="0"/>
          <w:sz w:val="84"/>
          <w:szCs w:val="84"/>
          <w:highlight w:val="none"/>
          <w:lang w:val="en-US" w:eastAsia="zh-CN" w:bidi="ar"/>
        </w:rPr>
      </w:pPr>
    </w:p>
    <w:p>
      <w:pPr>
        <w:pStyle w:val="25"/>
        <w:rPr>
          <w:rFonts w:hint="eastAsia" w:ascii="仿宋_GB2312" w:hAnsi="仿宋_GB2312" w:eastAsia="仿宋_GB2312" w:cs="仿宋_GB2312"/>
          <w:highlight w:val="none"/>
          <w:lang w:val="en-US" w:eastAsia="zh-CN"/>
        </w:rPr>
      </w:pPr>
    </w:p>
    <w:p>
      <w:pPr>
        <w:keepNext w:val="0"/>
        <w:keepLines w:val="0"/>
        <w:widowControl/>
        <w:suppressLineNumbers w:val="0"/>
        <w:jc w:val="center"/>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84"/>
          <w:szCs w:val="84"/>
          <w:highlight w:val="none"/>
          <w:lang w:val="en-US" w:eastAsia="zh-CN" w:bidi="ar"/>
        </w:rPr>
        <w:t>投标文件</w:t>
      </w:r>
    </w:p>
    <w:p>
      <w:pPr>
        <w:keepNext w:val="0"/>
        <w:keepLines w:val="0"/>
        <w:widowControl/>
        <w:suppressLineNumbers w:val="0"/>
        <w:jc w:val="left"/>
        <w:rPr>
          <w:rFonts w:hint="eastAsia" w:ascii="仿宋_GB2312" w:hAnsi="仿宋_GB2312" w:eastAsia="仿宋_GB2312" w:cs="仿宋_GB2312"/>
          <w:b/>
          <w:bCs/>
          <w:color w:val="000000"/>
          <w:kern w:val="0"/>
          <w:sz w:val="52"/>
          <w:szCs w:val="52"/>
          <w:highlight w:val="none"/>
          <w:lang w:val="en-US" w:eastAsia="zh-CN" w:bidi="ar"/>
        </w:rPr>
      </w:pPr>
    </w:p>
    <w:p>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52"/>
          <w:szCs w:val="52"/>
          <w:highlight w:val="none"/>
          <w:lang w:val="en-US" w:eastAsia="zh-CN" w:bidi="ar"/>
        </w:rPr>
        <w:t xml:space="preserve"> </w:t>
      </w:r>
    </w:p>
    <w:p>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项目名称: </w:t>
      </w:r>
    </w:p>
    <w:p>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 xml:space="preserve">项目编号： </w:t>
      </w:r>
    </w:p>
    <w:p>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供应商名称（盖公章）：</w:t>
      </w:r>
    </w:p>
    <w:p>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法定代表人或其授权代表签字（或签章）：</w:t>
      </w:r>
    </w:p>
    <w:p>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日期：</w:t>
      </w:r>
    </w:p>
    <w:p>
      <w:pPr>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br w:type="page"/>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1   满足《中华人民共和国政府采购法》第二十二条规定及法律法规的其他规定 </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附件 1-1 法人或者其他组织的营业执照等证明文件或自然人的身份证明复印件;</w:t>
      </w: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2</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eastAsia="zh-CN" w:bidi="ar"/>
        </w:rPr>
        <w:t>供应商</w:t>
      </w:r>
      <w:r>
        <w:rPr>
          <w:rFonts w:hint="eastAsia" w:ascii="仿宋_GB2312" w:hAnsi="仿宋_GB2312" w:eastAsia="仿宋_GB2312" w:cs="仿宋_GB2312"/>
          <w:color w:val="000000"/>
          <w:kern w:val="0"/>
          <w:sz w:val="24"/>
          <w:highlight w:val="none"/>
          <w:u w:val="none"/>
          <w:lang w:bidi="ar"/>
        </w:rPr>
        <w:t>具有良好的商业信誉和健全的财务会计制度的证明文件</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67" w:name="_Toc29059"/>
      <w:r>
        <w:rPr>
          <w:rFonts w:hint="eastAsia" w:ascii="仿宋_GB2312" w:hAnsi="仿宋_GB2312" w:eastAsia="仿宋_GB2312" w:cs="仿宋_GB2312"/>
          <w:color w:val="000000"/>
          <w:kern w:val="0"/>
          <w:sz w:val="24"/>
          <w:highlight w:val="none"/>
          <w:u w:val="none"/>
          <w:lang w:bidi="ar"/>
        </w:rPr>
        <w:t>1、复印件并加盖本单位公章</w:t>
      </w:r>
      <w:bookmarkEnd w:id="67"/>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2、若提供的是复印件，采购人、采购代理机构保留审核原件的权利。</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3</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eastAsia="zh-CN" w:bidi="ar"/>
        </w:rPr>
        <w:t>供应商</w:t>
      </w:r>
      <w:r>
        <w:rPr>
          <w:rFonts w:hint="eastAsia" w:ascii="仿宋_GB2312" w:hAnsi="仿宋_GB2312" w:eastAsia="仿宋_GB2312" w:cs="仿宋_GB2312"/>
          <w:color w:val="000000"/>
          <w:kern w:val="0"/>
          <w:sz w:val="24"/>
          <w:highlight w:val="none"/>
          <w:u w:val="none"/>
          <w:lang w:bidi="ar"/>
        </w:rPr>
        <w:t>缴纳税收的证明</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68" w:name="_Toc7925"/>
      <w:r>
        <w:rPr>
          <w:rFonts w:hint="eastAsia" w:ascii="仿宋_GB2312" w:hAnsi="仿宋_GB2312" w:eastAsia="仿宋_GB2312" w:cs="仿宋_GB2312"/>
          <w:color w:val="000000"/>
          <w:kern w:val="0"/>
          <w:sz w:val="24"/>
          <w:highlight w:val="none"/>
          <w:u w:val="none"/>
          <w:lang w:bidi="ar"/>
        </w:rPr>
        <w:t>1、复印件并加盖本单位公章</w:t>
      </w:r>
      <w:bookmarkEnd w:id="68"/>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2、若提供的是复印件，采购人、采购代理机构保留审核原件的权利。</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69" w:name="_Toc27172"/>
      <w:r>
        <w:rPr>
          <w:rFonts w:hint="eastAsia" w:ascii="仿宋_GB2312" w:hAnsi="仿宋_GB2312" w:eastAsia="仿宋_GB2312" w:cs="仿宋_GB2312"/>
          <w:color w:val="000000"/>
          <w:kern w:val="0"/>
          <w:sz w:val="24"/>
          <w:highlight w:val="none"/>
          <w:u w:val="none"/>
          <w:lang w:bidi="ar"/>
        </w:rPr>
        <w:br w:type="page"/>
      </w:r>
      <w:bookmarkEnd w:id="69"/>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4</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eastAsia="zh-CN" w:bidi="ar"/>
        </w:rPr>
        <w:t>供应商</w:t>
      </w:r>
      <w:r>
        <w:rPr>
          <w:rFonts w:hint="eastAsia" w:ascii="仿宋_GB2312" w:hAnsi="仿宋_GB2312" w:eastAsia="仿宋_GB2312" w:cs="仿宋_GB2312"/>
          <w:color w:val="000000"/>
          <w:kern w:val="0"/>
          <w:sz w:val="24"/>
          <w:highlight w:val="none"/>
          <w:u w:val="none"/>
          <w:lang w:bidi="ar"/>
        </w:rPr>
        <w:t>为职工缴纳社会保险的证明</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70" w:name="_Toc14978"/>
      <w:r>
        <w:rPr>
          <w:rFonts w:hint="eastAsia" w:ascii="仿宋_GB2312" w:hAnsi="仿宋_GB2312" w:eastAsia="仿宋_GB2312" w:cs="仿宋_GB2312"/>
          <w:color w:val="000000"/>
          <w:kern w:val="0"/>
          <w:sz w:val="24"/>
          <w:highlight w:val="none"/>
          <w:u w:val="none"/>
          <w:lang w:bidi="ar"/>
        </w:rPr>
        <w:t>1、复印件并加盖本单位公章</w:t>
      </w:r>
      <w:bookmarkEnd w:id="70"/>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2、若提供的是复印件，采购人、采购代理机构保留审核原件的权利。</w:t>
      </w:r>
    </w:p>
    <w:p>
      <w:pPr>
        <w:rPr>
          <w:rFonts w:hint="eastAsia" w:ascii="仿宋_GB2312" w:hAnsi="仿宋_GB2312" w:eastAsia="仿宋_GB2312" w:cs="仿宋_GB2312"/>
          <w:color w:val="000000"/>
          <w:kern w:val="0"/>
          <w:sz w:val="24"/>
          <w:highlight w:val="none"/>
          <w:u w:val="none"/>
          <w:lang w:bidi="ar"/>
        </w:rPr>
      </w:pPr>
    </w:p>
    <w:p>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5</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eastAsia="zh-CN" w:bidi="ar"/>
        </w:rPr>
        <w:t>供应商</w:t>
      </w:r>
      <w:r>
        <w:rPr>
          <w:rFonts w:hint="eastAsia" w:ascii="仿宋_GB2312" w:hAnsi="仿宋_GB2312" w:eastAsia="仿宋_GB2312" w:cs="仿宋_GB2312"/>
          <w:color w:val="000000"/>
          <w:kern w:val="0"/>
          <w:sz w:val="24"/>
          <w:highlight w:val="none"/>
          <w:u w:val="none"/>
          <w:lang w:bidi="ar"/>
        </w:rPr>
        <w:t>资格声明书</w:t>
      </w:r>
    </w:p>
    <w:p>
      <w:pPr>
        <w:rPr>
          <w:rFonts w:hint="eastAsia" w:ascii="仿宋_GB2312" w:hAnsi="仿宋_GB2312" w:eastAsia="仿宋_GB2312" w:cs="仿宋_GB2312"/>
          <w:color w:val="000000"/>
          <w:kern w:val="0"/>
          <w:sz w:val="24"/>
          <w:highlight w:val="none"/>
          <w:u w:val="none"/>
          <w:lang w:bidi="ar"/>
        </w:rPr>
      </w:pPr>
    </w:p>
    <w:p>
      <w:pPr>
        <w:keepNext w:val="0"/>
        <w:keepLines w:val="0"/>
        <w:widowControl/>
        <w:suppressLineNumbers w:val="0"/>
        <w:jc w:val="center"/>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color w:val="000000"/>
          <w:kern w:val="0"/>
          <w:sz w:val="32"/>
          <w:szCs w:val="32"/>
          <w:highlight w:val="none"/>
          <w:lang w:val="en-US" w:eastAsia="zh-CN" w:bidi="ar"/>
        </w:rPr>
        <w:t>供应商资格声明书</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在参与本次项目采购活动中，我单位承诺：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（一）具有良好的商业信誉和健全的财务会计制度；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（二）具有履行合同所必需的设备和专业技术能力；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（三）有依法缴纳税收和社会保障资金的良好记录；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（七）与我单位存在“单位负责人为同一人或者存在直接控股、管理关系”的其他法人单位信息如下（如有，不论其是否参加同一合同项下的政府采购活动均须填写）：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color w:val="000000"/>
                <w:kern w:val="0"/>
                <w:sz w:val="24"/>
                <w:szCs w:val="24"/>
                <w:highlight w:val="none"/>
                <w:vertAlign w:val="baseline"/>
                <w:lang w:val="en-US" w:eastAsia="zh-CN" w:bidi="ar"/>
              </w:rPr>
            </w:pPr>
            <w:r>
              <w:rPr>
                <w:rFonts w:hint="eastAsia" w:ascii="仿宋_GB2312" w:hAnsi="仿宋_GB2312" w:eastAsia="仿宋_GB2312" w:cs="仿宋_GB2312"/>
                <w:color w:val="000000"/>
                <w:kern w:val="0"/>
                <w:sz w:val="24"/>
                <w:szCs w:val="24"/>
                <w:highlight w:val="none"/>
                <w:vertAlign w:val="baseline"/>
                <w:lang w:val="en-US" w:eastAsia="zh-CN" w:bidi="ar"/>
              </w:rPr>
              <w:t>序号</w:t>
            </w:r>
          </w:p>
        </w:tc>
        <w:tc>
          <w:tcPr>
            <w:tcW w:w="3798" w:type="dxa"/>
            <w:vAlign w:val="center"/>
          </w:tcPr>
          <w:p>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color w:val="000000"/>
                <w:kern w:val="0"/>
                <w:sz w:val="24"/>
                <w:szCs w:val="24"/>
                <w:highlight w:val="none"/>
                <w:vertAlign w:val="baseline"/>
                <w:lang w:val="en-US" w:eastAsia="zh-CN" w:bidi="ar"/>
              </w:rPr>
            </w:pPr>
            <w:r>
              <w:rPr>
                <w:rFonts w:hint="eastAsia" w:ascii="仿宋_GB2312" w:hAnsi="仿宋_GB2312" w:eastAsia="仿宋_GB2312" w:cs="仿宋_GB2312"/>
                <w:color w:val="000000"/>
                <w:kern w:val="0"/>
                <w:sz w:val="24"/>
                <w:szCs w:val="24"/>
                <w:highlight w:val="none"/>
                <w:vertAlign w:val="baseline"/>
                <w:lang w:val="en-US" w:eastAsia="zh-CN" w:bidi="ar"/>
              </w:rPr>
              <w:t>单位名称</w:t>
            </w:r>
          </w:p>
        </w:tc>
        <w:tc>
          <w:tcPr>
            <w:tcW w:w="3406" w:type="dxa"/>
            <w:vAlign w:val="center"/>
          </w:tcPr>
          <w:p>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color w:val="000000"/>
                <w:kern w:val="0"/>
                <w:sz w:val="24"/>
                <w:szCs w:val="24"/>
                <w:highlight w:val="none"/>
                <w:vertAlign w:val="baseline"/>
                <w:lang w:val="en-US" w:eastAsia="zh-CN" w:bidi="ar"/>
              </w:rPr>
            </w:pPr>
            <w:r>
              <w:rPr>
                <w:rFonts w:hint="eastAsia" w:ascii="仿宋_GB2312" w:hAnsi="仿宋_GB2312" w:eastAsia="仿宋_GB2312" w:cs="仿宋_GB2312"/>
                <w:color w:val="000000"/>
                <w:kern w:val="0"/>
                <w:sz w:val="24"/>
                <w:szCs w:val="24"/>
                <w:highlight w:val="none"/>
                <w:vertAlign w:val="baseline"/>
                <w:lang w:val="en-US" w:eastAsia="zh-CN" w:bidi="ar"/>
              </w:rPr>
              <w:t>相互关系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color w:val="000000"/>
                <w:kern w:val="0"/>
                <w:sz w:val="24"/>
                <w:szCs w:val="24"/>
                <w:highlight w:val="none"/>
                <w:vertAlign w:val="baseline"/>
                <w:lang w:val="en-US" w:eastAsia="zh-CN" w:bidi="ar"/>
              </w:rPr>
            </w:pPr>
            <w:r>
              <w:rPr>
                <w:rFonts w:hint="eastAsia" w:ascii="仿宋_GB2312" w:hAnsi="仿宋_GB2312" w:eastAsia="仿宋_GB2312" w:cs="仿宋_GB2312"/>
                <w:color w:val="000000"/>
                <w:kern w:val="0"/>
                <w:sz w:val="24"/>
                <w:szCs w:val="24"/>
                <w:highlight w:val="none"/>
                <w:vertAlign w:val="baseline"/>
                <w:lang w:val="en-US" w:eastAsia="zh-CN" w:bidi="ar"/>
              </w:rPr>
              <w:t>1</w:t>
            </w:r>
          </w:p>
        </w:tc>
        <w:tc>
          <w:tcPr>
            <w:tcW w:w="3798" w:type="dxa"/>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kern w:val="0"/>
                <w:sz w:val="24"/>
                <w:szCs w:val="24"/>
                <w:highlight w:val="none"/>
                <w:vertAlign w:val="baseline"/>
                <w:lang w:val="en-US" w:eastAsia="zh-CN" w:bidi="ar"/>
              </w:rPr>
            </w:pPr>
          </w:p>
        </w:tc>
        <w:tc>
          <w:tcPr>
            <w:tcW w:w="3406" w:type="dxa"/>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color w:val="000000"/>
                <w:kern w:val="0"/>
                <w:sz w:val="24"/>
                <w:szCs w:val="24"/>
                <w:highlight w:val="none"/>
                <w:vertAlign w:val="baseline"/>
                <w:lang w:val="en-US" w:eastAsia="zh-CN" w:bidi="ar"/>
              </w:rPr>
            </w:pPr>
            <w:r>
              <w:rPr>
                <w:rFonts w:hint="eastAsia" w:ascii="仿宋_GB2312" w:hAnsi="仿宋_GB2312" w:eastAsia="仿宋_GB2312" w:cs="仿宋_GB2312"/>
                <w:color w:val="000000"/>
                <w:kern w:val="0"/>
                <w:sz w:val="24"/>
                <w:szCs w:val="24"/>
                <w:highlight w:val="none"/>
                <w:vertAlign w:val="baseline"/>
                <w:lang w:val="en-US" w:eastAsia="zh-CN" w:bidi="ar"/>
              </w:rPr>
              <w:t>2</w:t>
            </w:r>
          </w:p>
        </w:tc>
        <w:tc>
          <w:tcPr>
            <w:tcW w:w="3798" w:type="dxa"/>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kern w:val="0"/>
                <w:sz w:val="24"/>
                <w:szCs w:val="24"/>
                <w:highlight w:val="none"/>
                <w:vertAlign w:val="baseline"/>
                <w:lang w:val="en-US" w:eastAsia="zh-CN" w:bidi="ar"/>
              </w:rPr>
            </w:pPr>
          </w:p>
        </w:tc>
        <w:tc>
          <w:tcPr>
            <w:tcW w:w="3406" w:type="dxa"/>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color w:val="000000"/>
                <w:kern w:val="0"/>
                <w:sz w:val="24"/>
                <w:szCs w:val="24"/>
                <w:highlight w:val="none"/>
                <w:vertAlign w:val="baseline"/>
                <w:lang w:val="en-US" w:eastAsia="zh-CN" w:bidi="ar"/>
              </w:rPr>
            </w:pPr>
            <w:r>
              <w:rPr>
                <w:rFonts w:hint="eastAsia" w:ascii="仿宋_GB2312" w:hAnsi="仿宋_GB2312" w:eastAsia="仿宋_GB2312" w:cs="仿宋_GB2312"/>
                <w:color w:val="000000"/>
                <w:kern w:val="0"/>
                <w:sz w:val="24"/>
                <w:szCs w:val="24"/>
                <w:highlight w:val="none"/>
                <w:vertAlign w:val="baseline"/>
                <w:lang w:val="en-US" w:eastAsia="zh-CN" w:bidi="ar"/>
              </w:rPr>
              <w:t>...</w:t>
            </w:r>
          </w:p>
        </w:tc>
        <w:tc>
          <w:tcPr>
            <w:tcW w:w="3798" w:type="dxa"/>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kern w:val="0"/>
                <w:sz w:val="24"/>
                <w:szCs w:val="24"/>
                <w:highlight w:val="none"/>
                <w:vertAlign w:val="baseline"/>
                <w:lang w:val="en-US" w:eastAsia="zh-CN" w:bidi="ar"/>
              </w:rPr>
            </w:pPr>
          </w:p>
        </w:tc>
        <w:tc>
          <w:tcPr>
            <w:tcW w:w="3406" w:type="dxa"/>
          </w:tcPr>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color w:val="000000"/>
                <w:kern w:val="0"/>
                <w:sz w:val="24"/>
                <w:szCs w:val="24"/>
                <w:highlight w:val="none"/>
                <w:vertAlign w:val="baseline"/>
                <w:lang w:val="en-US" w:eastAsia="zh-CN" w:bidi="ar"/>
              </w:rPr>
            </w:pPr>
          </w:p>
        </w:tc>
      </w:tr>
    </w:tbl>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上述声明真实有效，否则我方负全部责任。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供应商名称：  </w:t>
      </w:r>
      <w:r>
        <w:rPr>
          <w:rFonts w:hint="eastAsia" w:ascii="仿宋_GB2312" w:hAnsi="仿宋_GB2312" w:eastAsia="仿宋_GB2312" w:cs="仿宋_GB2312"/>
          <w:i w:val="0"/>
          <w:iCs w:val="0"/>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（加盖公章）</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法定代表人或其授权代理人：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ab/>
      </w:r>
      <w:r>
        <w:rPr>
          <w:rFonts w:hint="eastAsia" w:ascii="仿宋_GB2312" w:hAnsi="仿宋_GB2312" w:eastAsia="仿宋_GB2312" w:cs="仿宋_GB2312"/>
          <w:color w:val="000000"/>
          <w:kern w:val="0"/>
          <w:sz w:val="24"/>
          <w:szCs w:val="24"/>
          <w:highlight w:val="none"/>
          <w:u w:val="single"/>
          <w:lang w:val="en-US" w:eastAsia="zh-CN" w:bidi="ar"/>
        </w:rPr>
        <w:t>（签字或签章）</w:t>
      </w:r>
      <w:r>
        <w:rPr>
          <w:rFonts w:hint="eastAsia" w:ascii="仿宋_GB2312" w:hAnsi="仿宋_GB2312" w:eastAsia="仿宋_GB2312" w:cs="仿宋_GB2312"/>
          <w:color w:val="000000"/>
          <w:kern w:val="0"/>
          <w:sz w:val="24"/>
          <w:szCs w:val="24"/>
          <w:highlight w:val="none"/>
          <w:lang w:val="en-US" w:eastAsia="zh-CN" w:bidi="ar"/>
        </w:rPr>
        <w:tab/>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说明：供应商承诺不实的，依据《政府采购法》第七十七条“提供虚假材料谋取中标、成交的”有关规定予以处理。</w:t>
      </w:r>
    </w:p>
    <w:p>
      <w:pPr>
        <w:rPr>
          <w:rFonts w:hint="eastAsia" w:ascii="仿宋_GB2312" w:hAnsi="仿宋_GB2312" w:eastAsia="仿宋_GB2312" w:cs="仿宋_GB2312"/>
          <w:color w:val="000000"/>
          <w:kern w:val="0"/>
          <w:sz w:val="24"/>
          <w:szCs w:val="24"/>
          <w:highlight w:val="none"/>
          <w:lang w:val="en-US" w:eastAsia="zh-CN" w:bidi="ar"/>
        </w:rPr>
      </w:pPr>
    </w:p>
    <w:p>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71" w:name="_Toc21978"/>
      <w:r>
        <w:rPr>
          <w:rFonts w:hint="eastAsia" w:ascii="仿宋_GB2312" w:hAnsi="仿宋_GB2312" w:eastAsia="仿宋_GB2312" w:cs="仿宋_GB2312"/>
          <w:color w:val="000000"/>
          <w:kern w:val="0"/>
          <w:sz w:val="24"/>
          <w:szCs w:val="24"/>
          <w:highlight w:val="none"/>
          <w:lang w:val="en-US" w:eastAsia="zh-CN" w:bidi="ar"/>
        </w:rPr>
        <w:t>2 落实政府采购政策需满足的资格要求（如有）</w:t>
      </w:r>
      <w:bookmarkEnd w:id="71"/>
      <w:r>
        <w:rPr>
          <w:rFonts w:hint="eastAsia" w:ascii="仿宋_GB2312" w:hAnsi="仿宋_GB2312" w:eastAsia="仿宋_GB2312" w:cs="仿宋_GB2312"/>
          <w:color w:val="000000"/>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2-1 中小企业声明函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（1）如本项目（包）不专门面向中小企业预留采购份额，资格证明文件部分无需提供《中小企业声明函》。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（2）如本项目（包）专门面向中小/小微企业采购，须提供《中小企业声明函》，申明函格式不得修改，否则不得享受相关中小企业扶持政策。供应商根据项目属性选择申明函格式。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如本项目（包）预留部分采购项目预算专门面向中小企业采购，要求供应商以联合体形式参加采购活动，且联合体中中小企业承担的部分达到一定比例的，须提供《联合协议》；要求获得采购合同的供应商将采购项目中的一定比例分包给一家或者多家中小企业的，须提供《拟分包情况说明及分包意向协议》。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（4）其他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1）中小企业参加政府采购活动，应当出具此格式文件。《中小企业声明函》由参加政府采购活动的供应商出具。联合体投标的，《中小企业声明函》由牵头人出具。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对于联合体中由中小企业承担的部分，或者分包给中小企业的部分，必须全部由中小企业制造、承建或者承接。供应商应当在声明函“项目名称”部分标明联合体中中小企业承担的具体内容或者中小企业的具体分包内容。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3）对于多标的的采购项目，供应商应充分、准确地了解所投产品制造企业信息。对相关情况了解不清楚的，不建议填报本声明函。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p>
    <w:p>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中小企业声明函（服务）</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本公司（联合体）郑重声明，根据《政府采购促进中小企业发展管理办法》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（财库﹝2020﹞46号）的规定，本公司（联合体）参加</w:t>
      </w:r>
      <w:r>
        <w:rPr>
          <w:rFonts w:hint="eastAsia" w:ascii="仿宋_GB2312" w:hAnsi="仿宋_GB2312" w:eastAsia="仿宋_GB2312" w:cs="仿宋_GB2312"/>
          <w:i/>
          <w:iCs/>
          <w:color w:val="000000"/>
          <w:kern w:val="0"/>
          <w:sz w:val="24"/>
          <w:szCs w:val="24"/>
          <w:highlight w:val="none"/>
          <w:u w:val="single"/>
          <w:lang w:val="en-US" w:eastAsia="zh-CN" w:bidi="ar"/>
        </w:rPr>
        <w:t>（单位名称）</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i/>
          <w:iCs/>
          <w:color w:val="000000"/>
          <w:kern w:val="0"/>
          <w:sz w:val="24"/>
          <w:szCs w:val="24"/>
          <w:highlight w:val="none"/>
          <w:u w:val="single"/>
          <w:lang w:val="en-US" w:eastAsia="zh-CN" w:bidi="ar"/>
        </w:rPr>
        <w:t>（项目名称）</w:t>
      </w:r>
      <w:r>
        <w:rPr>
          <w:rFonts w:hint="eastAsia" w:ascii="仿宋_GB2312" w:hAnsi="仿宋_GB2312" w:eastAsia="仿宋_GB2312" w:cs="仿宋_GB2312"/>
          <w:color w:val="000000"/>
          <w:kern w:val="0"/>
          <w:sz w:val="24"/>
          <w:szCs w:val="24"/>
          <w:highlight w:val="none"/>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 </w:t>
      </w:r>
      <w:r>
        <w:rPr>
          <w:rFonts w:hint="eastAsia" w:ascii="仿宋_GB2312" w:hAnsi="仿宋_GB2312" w:eastAsia="仿宋_GB2312" w:cs="仿宋_GB2312"/>
          <w:i/>
          <w:iCs/>
          <w:color w:val="000000"/>
          <w:kern w:val="0"/>
          <w:sz w:val="24"/>
          <w:szCs w:val="24"/>
          <w:highlight w:val="none"/>
          <w:u w:val="single"/>
          <w:lang w:val="en-US" w:eastAsia="zh-CN" w:bidi="ar"/>
        </w:rPr>
        <w:t>（标的名称）</w:t>
      </w:r>
      <w:r>
        <w:rPr>
          <w:rFonts w:hint="eastAsia" w:ascii="仿宋_GB2312" w:hAnsi="仿宋_GB2312" w:eastAsia="仿宋_GB2312" w:cs="仿宋_GB2312"/>
          <w:color w:val="000000"/>
          <w:kern w:val="0"/>
          <w:sz w:val="24"/>
          <w:szCs w:val="24"/>
          <w:highlight w:val="none"/>
          <w:lang w:val="en-US" w:eastAsia="zh-CN" w:bidi="ar"/>
        </w:rPr>
        <w:t>，属于</w:t>
      </w:r>
      <w:r>
        <w:rPr>
          <w:rFonts w:hint="eastAsia" w:ascii="仿宋_GB2312" w:hAnsi="仿宋_GB2312" w:eastAsia="仿宋_GB2312" w:cs="仿宋_GB2312"/>
          <w:i/>
          <w:iCs/>
          <w:color w:val="000000"/>
          <w:kern w:val="0"/>
          <w:sz w:val="24"/>
          <w:szCs w:val="24"/>
          <w:highlight w:val="none"/>
          <w:u w:val="single"/>
          <w:lang w:val="en-US" w:eastAsia="zh-CN" w:bidi="ar"/>
        </w:rPr>
        <w:t>（采购文件中明确的所属行业）</w:t>
      </w:r>
      <w:r>
        <w:rPr>
          <w:rFonts w:hint="eastAsia" w:ascii="仿宋_GB2312" w:hAnsi="仿宋_GB2312" w:eastAsia="仿宋_GB2312" w:cs="仿宋_GB2312"/>
          <w:color w:val="000000"/>
          <w:kern w:val="0"/>
          <w:sz w:val="24"/>
          <w:szCs w:val="24"/>
          <w:highlight w:val="none"/>
          <w:lang w:val="en-US" w:eastAsia="zh-CN" w:bidi="ar"/>
        </w:rPr>
        <w:t xml:space="preserve">；承建（承接）企业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为</w:t>
      </w:r>
      <w:r>
        <w:rPr>
          <w:rFonts w:hint="eastAsia" w:ascii="仿宋_GB2312" w:hAnsi="仿宋_GB2312" w:eastAsia="仿宋_GB2312" w:cs="仿宋_GB2312"/>
          <w:i/>
          <w:iCs/>
          <w:color w:val="000000"/>
          <w:kern w:val="0"/>
          <w:sz w:val="24"/>
          <w:szCs w:val="24"/>
          <w:highlight w:val="none"/>
          <w:u w:val="single"/>
          <w:lang w:val="en-US" w:eastAsia="zh-CN" w:bidi="ar"/>
        </w:rPr>
        <w:t>（企业名称）</w:t>
      </w:r>
      <w:r>
        <w:rPr>
          <w:rFonts w:hint="eastAsia" w:ascii="仿宋_GB2312" w:hAnsi="仿宋_GB2312" w:eastAsia="仿宋_GB2312" w:cs="仿宋_GB2312"/>
          <w:color w:val="000000"/>
          <w:kern w:val="0"/>
          <w:sz w:val="24"/>
          <w:szCs w:val="24"/>
          <w:highlight w:val="none"/>
          <w:lang w:val="en-US" w:eastAsia="zh-CN" w:bidi="ar"/>
        </w:rPr>
        <w:t>，从业人员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人，营业收入为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万元，资产总额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为万元，属于</w:t>
      </w:r>
      <w:r>
        <w:rPr>
          <w:rFonts w:hint="eastAsia" w:ascii="仿宋_GB2312" w:hAnsi="仿宋_GB2312" w:eastAsia="仿宋_GB2312" w:cs="仿宋_GB2312"/>
          <w:i/>
          <w:iCs/>
          <w:color w:val="000000"/>
          <w:kern w:val="0"/>
          <w:sz w:val="24"/>
          <w:szCs w:val="24"/>
          <w:highlight w:val="none"/>
          <w:u w:val="single"/>
          <w:lang w:val="en-US" w:eastAsia="zh-CN" w:bidi="ar"/>
        </w:rPr>
        <w:t>（中型企业、小型企业、微型企业）</w:t>
      </w:r>
      <w:r>
        <w:rPr>
          <w:rFonts w:hint="eastAsia" w:ascii="仿宋_GB2312" w:hAnsi="仿宋_GB2312" w:eastAsia="仿宋_GB2312" w:cs="仿宋_GB2312"/>
          <w:color w:val="000000"/>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 </w:t>
      </w:r>
      <w:r>
        <w:rPr>
          <w:rFonts w:hint="eastAsia" w:ascii="仿宋_GB2312" w:hAnsi="仿宋_GB2312" w:eastAsia="仿宋_GB2312" w:cs="仿宋_GB2312"/>
          <w:i/>
          <w:iCs/>
          <w:color w:val="000000"/>
          <w:kern w:val="0"/>
          <w:sz w:val="24"/>
          <w:szCs w:val="24"/>
          <w:highlight w:val="none"/>
          <w:u w:val="single"/>
          <w:lang w:val="en-US" w:eastAsia="zh-CN" w:bidi="ar"/>
        </w:rPr>
        <w:t>（标的名称）</w:t>
      </w:r>
      <w:r>
        <w:rPr>
          <w:rFonts w:hint="eastAsia" w:ascii="仿宋_GB2312" w:hAnsi="仿宋_GB2312" w:eastAsia="仿宋_GB2312" w:cs="仿宋_GB2312"/>
          <w:color w:val="000000"/>
          <w:kern w:val="0"/>
          <w:sz w:val="24"/>
          <w:szCs w:val="24"/>
          <w:highlight w:val="none"/>
          <w:lang w:val="en-US" w:eastAsia="zh-CN" w:bidi="ar"/>
        </w:rPr>
        <w:t>，属于</w:t>
      </w:r>
      <w:r>
        <w:rPr>
          <w:rFonts w:hint="eastAsia" w:ascii="仿宋_GB2312" w:hAnsi="仿宋_GB2312" w:eastAsia="仿宋_GB2312" w:cs="仿宋_GB2312"/>
          <w:i/>
          <w:iCs/>
          <w:color w:val="000000"/>
          <w:kern w:val="0"/>
          <w:sz w:val="24"/>
          <w:szCs w:val="24"/>
          <w:highlight w:val="none"/>
          <w:u w:val="single"/>
          <w:lang w:val="en-US" w:eastAsia="zh-CN" w:bidi="ar"/>
        </w:rPr>
        <w:t>（采购文件中明确的所属行业）</w:t>
      </w:r>
      <w:r>
        <w:rPr>
          <w:rFonts w:hint="eastAsia" w:ascii="仿宋_GB2312" w:hAnsi="仿宋_GB2312" w:eastAsia="仿宋_GB2312" w:cs="仿宋_GB2312"/>
          <w:color w:val="000000"/>
          <w:kern w:val="0"/>
          <w:sz w:val="24"/>
          <w:szCs w:val="24"/>
          <w:highlight w:val="none"/>
          <w:lang w:val="en-US" w:eastAsia="zh-CN" w:bidi="ar"/>
        </w:rPr>
        <w:t>；承建（承接）企业</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为</w:t>
      </w:r>
      <w:r>
        <w:rPr>
          <w:rFonts w:hint="eastAsia" w:ascii="仿宋_GB2312" w:hAnsi="仿宋_GB2312" w:eastAsia="仿宋_GB2312" w:cs="仿宋_GB2312"/>
          <w:i/>
          <w:iCs/>
          <w:color w:val="000000"/>
          <w:kern w:val="0"/>
          <w:sz w:val="24"/>
          <w:szCs w:val="24"/>
          <w:highlight w:val="none"/>
          <w:u w:val="single"/>
          <w:lang w:val="en-US" w:eastAsia="zh-CN" w:bidi="ar"/>
        </w:rPr>
        <w:t>（企业名称）</w:t>
      </w:r>
      <w:r>
        <w:rPr>
          <w:rFonts w:hint="eastAsia" w:ascii="仿宋_GB2312" w:hAnsi="仿宋_GB2312" w:eastAsia="仿宋_GB2312" w:cs="仿宋_GB2312"/>
          <w:color w:val="000000"/>
          <w:kern w:val="0"/>
          <w:sz w:val="24"/>
          <w:szCs w:val="24"/>
          <w:highlight w:val="none"/>
          <w:lang w:val="en-US" w:eastAsia="zh-CN" w:bidi="ar"/>
        </w:rPr>
        <w:t>，从业人员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人，营业收入为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万元，资产总额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为万元，属于</w:t>
      </w:r>
      <w:r>
        <w:rPr>
          <w:rFonts w:hint="eastAsia" w:ascii="仿宋_GB2312" w:hAnsi="仿宋_GB2312" w:eastAsia="仿宋_GB2312" w:cs="仿宋_GB2312"/>
          <w:i/>
          <w:iCs/>
          <w:color w:val="000000"/>
          <w:kern w:val="0"/>
          <w:sz w:val="24"/>
          <w:szCs w:val="24"/>
          <w:highlight w:val="none"/>
          <w:u w:val="single"/>
          <w:lang w:val="en-US" w:eastAsia="zh-CN" w:bidi="ar"/>
        </w:rPr>
        <w:t>（中型企业、小型企业、微型企业）</w:t>
      </w:r>
      <w:r>
        <w:rPr>
          <w:rFonts w:hint="eastAsia" w:ascii="仿宋_GB2312" w:hAnsi="仿宋_GB2312" w:eastAsia="仿宋_GB2312" w:cs="仿宋_GB2312"/>
          <w:color w:val="000000"/>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以上企业，不属于大企业的分支机构，不存在控股股东为大企业的情形，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也不存在与大企业的负责人为同一人的情形。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本企业对上述声明内容的真实性负责。如有虚假，将依法承担相应责任。</w:t>
      </w:r>
    </w:p>
    <w:p>
      <w:pPr>
        <w:pStyle w:val="2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p>
    <w:p>
      <w:pPr>
        <w:pStyle w:val="2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企业名称（盖章）：</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pPr>
        <w:pStyle w:val="23"/>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rPr>
        <w:t>日期：</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pPr>
        <w:rPr>
          <w:rFonts w:hint="eastAsia" w:ascii="仿宋_GB2312" w:hAnsi="仿宋_GB2312" w:eastAsia="仿宋_GB2312" w:cs="仿宋_GB2312"/>
          <w:b w:val="0"/>
          <w:bCs w:val="0"/>
          <w:color w:val="000000"/>
          <w:kern w:val="0"/>
          <w:sz w:val="21"/>
          <w:szCs w:val="21"/>
          <w:highlight w:val="none"/>
          <w:lang w:val="en-US" w:eastAsia="zh-CN" w:bidi="ar"/>
        </w:rPr>
      </w:pPr>
    </w:p>
    <w:p>
      <w:pPr>
        <w:rPr>
          <w:rFonts w:hint="eastAsia" w:ascii="仿宋_GB2312" w:hAnsi="仿宋_GB2312" w:eastAsia="仿宋_GB2312" w:cs="仿宋_GB2312"/>
          <w:b w:val="0"/>
          <w:bCs w:val="0"/>
          <w:color w:val="000000"/>
          <w:kern w:val="0"/>
          <w:sz w:val="21"/>
          <w:szCs w:val="21"/>
          <w:highlight w:val="none"/>
          <w:lang w:val="en-US" w:eastAsia="zh-CN" w:bidi="ar"/>
        </w:rPr>
      </w:pPr>
    </w:p>
    <w:p>
      <w:pPr>
        <w:rPr>
          <w:rFonts w:hint="eastAsia" w:ascii="仿宋_GB2312" w:hAnsi="仿宋_GB2312" w:eastAsia="仿宋_GB2312" w:cs="仿宋_GB2312"/>
          <w:b w:val="0"/>
          <w:bCs w:val="0"/>
          <w:color w:val="000000"/>
          <w:kern w:val="0"/>
          <w:sz w:val="21"/>
          <w:szCs w:val="21"/>
          <w:highlight w:val="none"/>
          <w:lang w:val="en-US" w:eastAsia="zh-CN" w:bidi="ar"/>
        </w:rPr>
      </w:pPr>
    </w:p>
    <w:p>
      <w:pPr>
        <w:rPr>
          <w:rFonts w:hint="eastAsia" w:ascii="仿宋_GB2312" w:hAnsi="仿宋_GB2312" w:eastAsia="仿宋_GB2312" w:cs="仿宋_GB2312"/>
          <w:b w:val="0"/>
          <w:bCs w:val="0"/>
          <w:color w:val="000000"/>
          <w:kern w:val="0"/>
          <w:sz w:val="21"/>
          <w:szCs w:val="21"/>
          <w:highlight w:val="none"/>
          <w:lang w:val="en-US" w:eastAsia="zh-CN" w:bidi="ar"/>
        </w:rPr>
      </w:pPr>
    </w:p>
    <w:p>
      <w:pPr>
        <w:rPr>
          <w:rFonts w:hint="eastAsia" w:ascii="仿宋_GB2312" w:hAnsi="仿宋_GB2312" w:eastAsia="仿宋_GB2312" w:cs="仿宋_GB2312"/>
          <w:b w:val="0"/>
          <w:bCs w:val="0"/>
          <w:color w:val="000000"/>
          <w:kern w:val="0"/>
          <w:sz w:val="21"/>
          <w:szCs w:val="21"/>
          <w:highlight w:val="none"/>
          <w:lang w:val="en-US" w:eastAsia="zh-CN" w:bidi="ar"/>
        </w:rPr>
      </w:pPr>
    </w:p>
    <w:p>
      <w:pPr>
        <w:rPr>
          <w:rFonts w:hint="eastAsia" w:ascii="仿宋_GB2312" w:hAnsi="仿宋_GB2312" w:eastAsia="仿宋_GB2312" w:cs="仿宋_GB2312"/>
          <w:b w:val="0"/>
          <w:bCs w:val="0"/>
          <w:color w:val="000000"/>
          <w:kern w:val="0"/>
          <w:sz w:val="21"/>
          <w:szCs w:val="21"/>
          <w:highlight w:val="none"/>
          <w:lang w:val="en-US" w:eastAsia="zh-CN" w:bidi="ar"/>
        </w:rPr>
      </w:pPr>
    </w:p>
    <w:p>
      <w:pPr>
        <w:rPr>
          <w:rFonts w:hint="eastAsia" w:ascii="仿宋_GB2312" w:hAnsi="仿宋_GB2312" w:eastAsia="仿宋_GB2312" w:cs="仿宋_GB2312"/>
          <w:b w:val="0"/>
          <w:bCs w:val="0"/>
          <w:color w:val="000000"/>
          <w:kern w:val="0"/>
          <w:sz w:val="21"/>
          <w:szCs w:val="21"/>
          <w:highlight w:val="none"/>
          <w:lang w:val="en-US" w:eastAsia="zh-CN" w:bidi="ar"/>
        </w:rPr>
      </w:pPr>
    </w:p>
    <w:p>
      <w:pPr>
        <w:rPr>
          <w:rFonts w:hint="eastAsia" w:ascii="仿宋_GB2312" w:hAnsi="仿宋_GB2312" w:eastAsia="仿宋_GB2312" w:cs="仿宋_GB2312"/>
          <w:b w:val="0"/>
          <w:bCs w:val="0"/>
          <w:color w:val="000000"/>
          <w:kern w:val="0"/>
          <w:sz w:val="21"/>
          <w:szCs w:val="21"/>
          <w:highlight w:val="none"/>
          <w:lang w:val="en-US" w:eastAsia="zh-CN" w:bidi="ar"/>
        </w:rPr>
      </w:pPr>
      <w:r>
        <w:rPr>
          <w:rFonts w:hint="eastAsia" w:ascii="仿宋_GB2312" w:hAnsi="仿宋_GB2312" w:eastAsia="仿宋_GB2312" w:cs="仿宋_GB2312"/>
          <w:b w:val="0"/>
          <w:bCs w:val="0"/>
          <w:color w:val="000000"/>
          <w:kern w:val="0"/>
          <w:sz w:val="21"/>
          <w:szCs w:val="21"/>
          <w:highlight w:val="none"/>
          <w:lang w:val="en-US" w:eastAsia="zh-CN" w:bidi="ar"/>
        </w:rPr>
        <w:t>从业人员、营业收入、资产总额填报上一年度数据，无上一年度数据的新成立企业可不填报。</w:t>
      </w:r>
    </w:p>
    <w:p>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残疾人福利性单位声明函格式</w:t>
      </w:r>
    </w:p>
    <w:p>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000000"/>
          <w:kern w:val="0"/>
          <w:sz w:val="24"/>
          <w:szCs w:val="24"/>
          <w:highlight w:val="none"/>
          <w:lang w:val="en-US" w:eastAsia="zh-CN" w:bidi="ar"/>
        </w:rPr>
        <w:t>（请进行勾选）</w:t>
      </w:r>
      <w:r>
        <w:rPr>
          <w:rFonts w:hint="eastAsia" w:ascii="仿宋_GB2312" w:hAnsi="仿宋_GB2312" w:eastAsia="仿宋_GB2312" w:cs="仿宋_GB2312"/>
          <w:color w:val="000000"/>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□不属于符合条件的残疾人福利性单位。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□属于符合条件的残疾人福利性单位，</w:t>
      </w:r>
      <w:r>
        <w:rPr>
          <w:rFonts w:hint="eastAsia" w:ascii="仿宋_GB2312" w:hAnsi="仿宋_GB2312" w:eastAsia="仿宋_GB2312" w:cs="仿宋_GB2312"/>
          <w:color w:val="000000"/>
          <w:kern w:val="0"/>
          <w:sz w:val="24"/>
          <w:szCs w:val="24"/>
          <w:highlight w:val="none"/>
          <w:lang w:val="en-US" w:eastAsia="zh-CN" w:bidi="ar"/>
        </w:rPr>
        <w:t>且本单位参加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单位的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本单位对上述声明的真实性负责。如有虚假，将依法承担相应责任。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单位名称（盖章）：</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日期：</w:t>
      </w:r>
    </w:p>
    <w:p>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2-2 其它落实政府采购政策的资格要求（如有）</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  本项目的特定资格要求 </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  投标保证金凭证/交款单据电子件</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5  投标书 </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投标书</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我方参加你方就</w:t>
      </w:r>
      <w:r>
        <w:rPr>
          <w:rFonts w:hint="eastAsia" w:ascii="仿宋_GB2312" w:hAnsi="仿宋_GB2312" w:eastAsia="仿宋_GB2312" w:cs="仿宋_GB2312"/>
          <w:color w:val="000000"/>
          <w:kern w:val="0"/>
          <w:sz w:val="24"/>
          <w:szCs w:val="24"/>
          <w:highlight w:val="none"/>
          <w:u w:val="single"/>
          <w:lang w:val="en-US" w:eastAsia="zh-CN" w:bidi="ar"/>
        </w:rPr>
        <w:t>（项目名称，项目编号/包号）</w:t>
      </w:r>
      <w:r>
        <w:rPr>
          <w:rFonts w:hint="eastAsia" w:ascii="仿宋_GB2312" w:hAnsi="仿宋_GB2312" w:eastAsia="仿宋_GB2312" w:cs="仿宋_GB2312"/>
          <w:color w:val="000000"/>
          <w:kern w:val="0"/>
          <w:sz w:val="24"/>
          <w:szCs w:val="24"/>
          <w:highlight w:val="none"/>
          <w:lang w:val="en-US" w:eastAsia="zh-CN" w:bidi="ar"/>
        </w:rPr>
        <w:t xml:space="preserve">组织的采购活动，并对此项目进行投标响应。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72" w:name="_Toc31541"/>
      <w:r>
        <w:rPr>
          <w:rFonts w:hint="eastAsia" w:ascii="仿宋_GB2312" w:hAnsi="仿宋_GB2312" w:eastAsia="仿宋_GB2312" w:cs="仿宋_GB2312"/>
          <w:color w:val="000000"/>
          <w:kern w:val="0"/>
          <w:sz w:val="24"/>
          <w:szCs w:val="24"/>
          <w:highlight w:val="none"/>
          <w:lang w:val="en-US" w:eastAsia="zh-CN" w:bidi="ar"/>
        </w:rPr>
        <w:t>1. 我方已详细审查全部采购文件，自愿参与投标响应并承诺如下：</w:t>
      </w:r>
      <w:bookmarkEnd w:id="72"/>
      <w:r>
        <w:rPr>
          <w:rFonts w:hint="eastAsia" w:ascii="仿宋_GB2312" w:hAnsi="仿宋_GB2312" w:eastAsia="仿宋_GB2312" w:cs="仿宋_GB2312"/>
          <w:color w:val="000000"/>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（1）本响应有效期为自提交响应文件的截止之日起</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个日历日。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（2）除合同条款及采购需求偏离表列出的偏离外，我方响应采购文件的全部要求。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（3）我方已提供的全部文件资料是真实、准确的，并对此承担一切法律后果。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（4）如我方成交，我方将在法律规定的期限内与你方签订合同，按照采购文件要求提交履约保证金，并在合同约定的期限内完成合同规定的全部义务。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73" w:name="_Toc30568"/>
      <w:r>
        <w:rPr>
          <w:rFonts w:hint="eastAsia" w:ascii="仿宋_GB2312" w:hAnsi="仿宋_GB2312" w:eastAsia="仿宋_GB2312" w:cs="仿宋_GB2312"/>
          <w:color w:val="000000"/>
          <w:kern w:val="0"/>
          <w:sz w:val="24"/>
          <w:szCs w:val="24"/>
          <w:highlight w:val="none"/>
          <w:lang w:val="en-US" w:eastAsia="zh-CN" w:bidi="ar"/>
        </w:rPr>
        <w:t>2. 其他补充条款（如有）：</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bookmarkEnd w:id="73"/>
      <w:r>
        <w:rPr>
          <w:rFonts w:hint="eastAsia" w:ascii="仿宋_GB2312" w:hAnsi="仿宋_GB2312" w:eastAsia="仿宋_GB2312" w:cs="仿宋_GB2312"/>
          <w:color w:val="000000"/>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与本投标有关的一切正式往来信函请寄：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传真</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电话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电子函件</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供应商名称（加盖公章） </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74" w:name="_Toc26890"/>
      <w:r>
        <w:rPr>
          <w:rFonts w:hint="eastAsia" w:ascii="仿宋_GB2312" w:hAnsi="仿宋_GB2312" w:eastAsia="仿宋_GB2312" w:cs="仿宋_GB2312"/>
          <w:color w:val="000000"/>
          <w:kern w:val="0"/>
          <w:sz w:val="24"/>
          <w:szCs w:val="24"/>
          <w:highlight w:val="none"/>
          <w:lang w:val="en-US" w:eastAsia="zh-CN" w:bidi="ar"/>
        </w:rPr>
        <w:t>6  授权委托书</w:t>
      </w:r>
      <w:bookmarkEnd w:id="74"/>
      <w:r>
        <w:rPr>
          <w:rFonts w:hint="eastAsia" w:ascii="仿宋_GB2312" w:hAnsi="仿宋_GB2312" w:eastAsia="仿宋_GB2312" w:cs="仿宋_GB2312"/>
          <w:color w:val="000000"/>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000000"/>
          <w:kern w:val="0"/>
          <w:sz w:val="32"/>
          <w:szCs w:val="32"/>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授权委托书</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（姓名）系</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（供应商名称）的法定代表人（单位负责人），现委托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（姓名）为我方代理人。代理人根据授权，以我方名义签署、澄清确认、递交、撤回、修改</w:t>
      </w:r>
      <w:r>
        <w:rPr>
          <w:rFonts w:hint="eastAsia" w:ascii="仿宋_GB2312" w:hAnsi="仿宋_GB2312" w:eastAsia="仿宋_GB2312" w:cs="仿宋_GB2312"/>
          <w:color w:val="000000"/>
          <w:kern w:val="0"/>
          <w:sz w:val="24"/>
          <w:szCs w:val="24"/>
          <w:highlight w:val="none"/>
          <w:u w:val="single"/>
          <w:lang w:val="en-US" w:eastAsia="zh-CN" w:bidi="ar"/>
        </w:rPr>
        <w:t xml:space="preserve">           （项目名称）</w:t>
      </w:r>
      <w:r>
        <w:rPr>
          <w:rFonts w:hint="eastAsia" w:ascii="仿宋_GB2312" w:hAnsi="仿宋_GB2312" w:eastAsia="仿宋_GB2312" w:cs="仿宋_GB2312"/>
          <w:color w:val="000000"/>
          <w:kern w:val="0"/>
          <w:sz w:val="24"/>
          <w:szCs w:val="24"/>
          <w:highlight w:val="none"/>
          <w:lang w:val="en-US" w:eastAsia="zh-CN" w:bidi="ar"/>
        </w:rPr>
        <w:t xml:space="preserve">响应文件和处理有关事宜，其法律后果由我方承担。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委托期限：自本授权委托书签署之日起至响应有效期届满之日止。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代理人无转委托权。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供应商名称（加盖公章）：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法定代表人（单位负责人）（签字、签章或印鉴）：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委托代理人（签字/签章）：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说明：1.若供应商为事业单位或其他组织或分支机构（仅当招标文件注明允许分支机构投标的），则法定代表人（单位负责人）处的签署人可为单位负责人。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75" w:name="_Toc24165"/>
      <w:r>
        <w:rPr>
          <w:rFonts w:hint="eastAsia" w:ascii="仿宋_GB2312" w:hAnsi="仿宋_GB2312" w:eastAsia="仿宋_GB2312" w:cs="仿宋_GB2312"/>
          <w:color w:val="000000"/>
          <w:kern w:val="0"/>
          <w:sz w:val="24"/>
          <w:szCs w:val="24"/>
          <w:highlight w:val="none"/>
          <w:lang w:val="en-US" w:eastAsia="zh-CN" w:bidi="ar"/>
        </w:rPr>
        <w:t>3.供应商为自然人的情形，可不提供本《授权委托书》。</w:t>
      </w:r>
      <w:bookmarkEnd w:id="75"/>
    </w:p>
    <w:p>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附：法定代表人（单位负责人）身份证明</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兹证明，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姓名：</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性别：</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年龄：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职务：</w:t>
      </w:r>
      <w:r>
        <w:rPr>
          <w:rFonts w:hint="eastAsia" w:ascii="仿宋_GB2312" w:hAnsi="仿宋_GB2312" w:eastAsia="仿宋_GB2312" w:cs="仿宋_GB2312"/>
          <w:color w:val="000000"/>
          <w:kern w:val="0"/>
          <w:sz w:val="24"/>
          <w:szCs w:val="24"/>
          <w:highlight w:val="none"/>
          <w:u w:val="singl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系</w:t>
      </w:r>
      <w:r>
        <w:rPr>
          <w:rFonts w:hint="eastAsia" w:ascii="仿宋_GB2312" w:hAnsi="仿宋_GB2312" w:eastAsia="仿宋_GB2312" w:cs="仿宋_GB2312"/>
          <w:color w:val="000000"/>
          <w:kern w:val="0"/>
          <w:sz w:val="24"/>
          <w:szCs w:val="24"/>
          <w:highlight w:val="none"/>
          <w:u w:val="single"/>
          <w:lang w:val="en-US" w:eastAsia="zh-CN" w:bidi="ar"/>
        </w:rPr>
        <w:t xml:space="preserve">       （供应商名称）</w:t>
      </w:r>
      <w:r>
        <w:rPr>
          <w:rFonts w:hint="eastAsia" w:ascii="仿宋_GB2312" w:hAnsi="仿宋_GB2312" w:eastAsia="仿宋_GB2312" w:cs="仿宋_GB2312"/>
          <w:color w:val="000000"/>
          <w:kern w:val="0"/>
          <w:sz w:val="24"/>
          <w:szCs w:val="24"/>
          <w:highlight w:val="none"/>
          <w:lang w:val="en-US" w:eastAsia="zh-CN" w:bidi="ar"/>
        </w:rPr>
        <w:t xml:space="preserve">的法定代表人（单位负责人）。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附：法定代表人（单位负责人）有效期内的身份证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4261" w:type="dxa"/>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供应商名称（加盖公章）：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法定代表人（单位负责人）（签字、签章或印鉴）：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pPr>
        <w:outlineLvl w:val="1"/>
        <w:rPr>
          <w:rFonts w:hint="eastAsia" w:ascii="仿宋_GB2312" w:hAnsi="仿宋_GB2312" w:eastAsia="仿宋_GB2312" w:cs="仿宋_GB2312"/>
          <w:sz w:val="24"/>
          <w:szCs w:val="24"/>
          <w:highlight w:val="none"/>
          <w:lang w:val="en-US" w:eastAsia="zh-CN"/>
        </w:rPr>
      </w:pPr>
      <w:bookmarkStart w:id="76" w:name="_Toc26817"/>
      <w:r>
        <w:rPr>
          <w:rFonts w:hint="eastAsia" w:ascii="仿宋_GB2312" w:hAnsi="仿宋_GB2312" w:eastAsia="仿宋_GB2312" w:cs="仿宋_GB2312"/>
          <w:sz w:val="24"/>
          <w:szCs w:val="24"/>
          <w:highlight w:val="none"/>
          <w:lang w:val="en-US" w:eastAsia="zh-CN"/>
        </w:rPr>
        <w:t>7  报价一览表</w:t>
      </w:r>
      <w:bookmarkEnd w:id="76"/>
    </w:p>
    <w:p>
      <w:pPr>
        <w:rPr>
          <w:rFonts w:hint="eastAsia" w:ascii="仿宋_GB2312" w:hAnsi="仿宋_GB2312" w:eastAsia="仿宋_GB2312" w:cs="仿宋_GB2312"/>
          <w:highlight w:val="none"/>
          <w:lang w:val="en-US" w:eastAsia="zh-CN"/>
        </w:rPr>
      </w:pPr>
    </w:p>
    <w:p>
      <w:pPr>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b/>
          <w:bCs/>
          <w:sz w:val="32"/>
          <w:szCs w:val="32"/>
          <w:highlight w:val="none"/>
          <w:lang w:val="en-US" w:eastAsia="zh-CN"/>
        </w:rPr>
        <w:t>首次报价表</w:t>
      </w:r>
    </w:p>
    <w:p>
      <w:pPr>
        <w:adjustRightInd w:val="0"/>
        <w:snapToGrid w:val="0"/>
        <w:spacing w:line="360" w:lineRule="auto"/>
        <w:ind w:right="120" w:rightChars="50"/>
        <w:jc w:val="left"/>
        <w:rPr>
          <w:rFonts w:hint="eastAsia" w:ascii="仿宋_GB2312" w:hAnsi="仿宋_GB2312" w:eastAsia="仿宋_GB2312" w:cs="仿宋_GB2312"/>
          <w:b/>
          <w:bCs/>
          <w:color w:val="auto"/>
          <w:szCs w:val="21"/>
          <w:highlight w:val="none"/>
        </w:rPr>
      </w:pPr>
    </w:p>
    <w:p>
      <w:pPr>
        <w:adjustRightInd w:val="0"/>
        <w:snapToGrid w:val="0"/>
        <w:spacing w:line="360" w:lineRule="auto"/>
        <w:ind w:right="120" w:rightChars="50"/>
        <w:jc w:val="left"/>
        <w:rPr>
          <w:rFonts w:hint="eastAsia" w:ascii="仿宋_GB2312" w:hAnsi="仿宋_GB2312" w:eastAsia="仿宋_GB2312" w:cs="仿宋_GB2312"/>
          <w:b/>
          <w:bCs/>
          <w:color w:val="auto"/>
          <w:szCs w:val="21"/>
          <w:highlight w:val="none"/>
        </w:rPr>
      </w:pPr>
      <w:r>
        <w:rPr>
          <w:rFonts w:hint="eastAsia" w:ascii="仿宋_GB2312" w:hAnsi="仿宋_GB2312" w:eastAsia="仿宋_GB2312" w:cs="仿宋_GB2312"/>
          <w:b/>
          <w:bCs/>
          <w:color w:val="auto"/>
          <w:szCs w:val="21"/>
          <w:highlight w:val="none"/>
        </w:rPr>
        <w:t>项目名称：                 项目编号：            报价单位：</w:t>
      </w:r>
      <w:r>
        <w:rPr>
          <w:rFonts w:hint="eastAsia" w:ascii="仿宋_GB2312" w:hAnsi="仿宋_GB2312" w:eastAsia="仿宋_GB2312" w:cs="仿宋_GB2312"/>
          <w:b/>
          <w:bCs/>
          <w:color w:val="auto"/>
          <w:szCs w:val="21"/>
          <w:highlight w:val="none"/>
          <w:lang w:val="en-US" w:eastAsia="zh-CN"/>
        </w:rPr>
        <w:t>元</w:t>
      </w:r>
    </w:p>
    <w:tbl>
      <w:tblPr>
        <w:tblStyle w:val="26"/>
        <w:tblW w:w="9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0"/>
        <w:gridCol w:w="6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130" w:type="dxa"/>
            <w:noWrap w:val="0"/>
            <w:vAlign w:val="center"/>
          </w:tcPr>
          <w:p>
            <w:pPr>
              <w:keepNext w:val="0"/>
              <w:keepLines w:val="0"/>
              <w:widowControl/>
              <w:suppressLineNumbers w:val="0"/>
              <w:spacing w:before="0" w:beforeAutospacing="0" w:after="0" w:afterAutospacing="0" w:line="440" w:lineRule="exact"/>
              <w:ind w:left="0" w:right="0"/>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服务内容</w:t>
            </w:r>
          </w:p>
        </w:tc>
        <w:tc>
          <w:tcPr>
            <w:tcW w:w="6295" w:type="dxa"/>
            <w:noWrap w:val="0"/>
            <w:vAlign w:val="center"/>
          </w:tcPr>
          <w:p>
            <w:pPr>
              <w:keepNext w:val="0"/>
              <w:keepLines w:val="0"/>
              <w:widowControl/>
              <w:suppressLineNumbers w:val="0"/>
              <w:spacing w:before="0" w:beforeAutospacing="0" w:after="0" w:afterAutospacing="0" w:line="440" w:lineRule="exact"/>
              <w:ind w:left="0" w:right="0"/>
              <w:jc w:val="center"/>
              <w:rPr>
                <w:rFonts w:hint="eastAsia" w:ascii="仿宋_GB2312" w:hAnsi="仿宋_GB2312" w:eastAsia="仿宋_GB2312" w:cs="仿宋_GB2312"/>
                <w:b/>
                <w:bCs/>
                <w:color w:val="auto"/>
                <w:kern w:val="0"/>
                <w:sz w:val="24"/>
                <w:szCs w:val="24"/>
                <w:highlight w:val="none"/>
                <w:lang w:eastAsia="zh-CN"/>
              </w:rPr>
            </w:pPr>
            <w:r>
              <w:rPr>
                <w:rFonts w:hint="eastAsia" w:ascii="仿宋_GB2312" w:hAnsi="仿宋_GB2312" w:eastAsia="仿宋_GB2312" w:cs="仿宋_GB2312"/>
                <w:b/>
                <w:bCs/>
                <w:color w:val="auto"/>
                <w:kern w:val="0"/>
                <w:sz w:val="24"/>
                <w:szCs w:val="24"/>
                <w:highlight w:val="none"/>
                <w:lang w:eastAsia="zh-CN"/>
              </w:rPr>
              <w:t>响应</w:t>
            </w:r>
            <w:r>
              <w:rPr>
                <w:rFonts w:hint="eastAsia" w:ascii="仿宋_GB2312" w:hAnsi="仿宋_GB2312" w:eastAsia="仿宋_GB2312" w:cs="仿宋_GB2312"/>
                <w:b/>
                <w:bCs/>
                <w:color w:val="auto"/>
                <w:kern w:val="0"/>
                <w:sz w:val="24"/>
                <w:szCs w:val="24"/>
                <w:highlight w:val="none"/>
              </w:rPr>
              <w:t>报价</w:t>
            </w:r>
            <w:r>
              <w:rPr>
                <w:rFonts w:hint="eastAsia" w:ascii="仿宋_GB2312" w:hAnsi="仿宋_GB2312" w:eastAsia="仿宋_GB2312" w:cs="仿宋_GB2312"/>
                <w:b/>
                <w:bCs/>
                <w:color w:val="auto"/>
                <w:kern w:val="0"/>
                <w:sz w:val="24"/>
                <w:szCs w:val="24"/>
                <w:highlight w:val="none"/>
                <w:lang w:eastAsia="zh-CN"/>
              </w:rPr>
              <w:t>（</w:t>
            </w:r>
            <w:r>
              <w:rPr>
                <w:rFonts w:hint="eastAsia" w:ascii="仿宋_GB2312" w:hAnsi="仿宋_GB2312" w:eastAsia="仿宋_GB2312" w:cs="仿宋_GB2312"/>
                <w:b/>
                <w:bCs/>
                <w:color w:val="auto"/>
                <w:kern w:val="0"/>
                <w:sz w:val="24"/>
                <w:szCs w:val="24"/>
                <w:highlight w:val="none"/>
                <w:lang w:val="en-US" w:eastAsia="zh-CN"/>
              </w:rPr>
              <w:t>元</w:t>
            </w:r>
            <w:r>
              <w:rPr>
                <w:rFonts w:hint="eastAsia" w:ascii="仿宋_GB2312" w:hAnsi="仿宋_GB2312" w:eastAsia="仿宋_GB2312" w:cs="仿宋_GB2312"/>
                <w:b/>
                <w:bCs/>
                <w:color w:val="auto"/>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3130" w:type="dxa"/>
            <w:noWrap w:val="0"/>
            <w:vAlign w:val="center"/>
          </w:tcPr>
          <w:p>
            <w:pPr>
              <w:keepNext w:val="0"/>
              <w:keepLines w:val="0"/>
              <w:widowControl/>
              <w:suppressLineNumbers w:val="0"/>
              <w:spacing w:before="0" w:beforeAutospacing="0" w:after="0" w:afterAutospacing="0" w:line="440" w:lineRule="exact"/>
              <w:ind w:left="0" w:right="0"/>
              <w:jc w:val="center"/>
              <w:rPr>
                <w:rFonts w:hint="eastAsia" w:ascii="仿宋_GB2312" w:hAnsi="仿宋_GB2312" w:eastAsia="仿宋_GB2312" w:cs="仿宋_GB2312"/>
                <w:color w:val="auto"/>
                <w:kern w:val="0"/>
                <w:sz w:val="24"/>
                <w:szCs w:val="24"/>
                <w:highlight w:val="none"/>
                <w:lang w:eastAsia="zh-CN"/>
              </w:rPr>
            </w:pPr>
          </w:p>
        </w:tc>
        <w:tc>
          <w:tcPr>
            <w:tcW w:w="6295" w:type="dxa"/>
            <w:noWrap w:val="0"/>
            <w:vAlign w:val="center"/>
          </w:tcPr>
          <w:p>
            <w:pPr>
              <w:keepNext w:val="0"/>
              <w:keepLines w:val="0"/>
              <w:widowControl/>
              <w:suppressLineNumbers w:val="0"/>
              <w:spacing w:before="0" w:beforeAutospacing="0" w:after="0" w:afterAutospacing="0" w:line="440" w:lineRule="exact"/>
              <w:ind w:left="0" w:right="0"/>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小写：</w:t>
            </w:r>
          </w:p>
          <w:p>
            <w:pPr>
              <w:pStyle w:val="13"/>
              <w:keepNext w:val="0"/>
              <w:keepLines w:val="0"/>
              <w:suppressLineNumbers w:val="0"/>
              <w:spacing w:beforeAutospacing="0" w:after="0" w:afterAutospacing="0"/>
              <w:ind w:left="0" w:right="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b w:val="0"/>
                <w:bCs w:val="0"/>
                <w:color w:val="auto"/>
                <w:kern w:val="0"/>
                <w:sz w:val="24"/>
                <w:szCs w:val="24"/>
                <w:highlight w:val="none"/>
                <w:lang w:eastAsia="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130" w:type="dxa"/>
            <w:noWrap w:val="0"/>
            <w:vAlign w:val="center"/>
          </w:tcPr>
          <w:p>
            <w:pPr>
              <w:keepNext w:val="0"/>
              <w:keepLines w:val="0"/>
              <w:widowControl/>
              <w:suppressLineNumbers w:val="0"/>
              <w:spacing w:before="0" w:beforeAutospacing="0" w:after="0" w:afterAutospacing="0" w:line="440" w:lineRule="exact"/>
              <w:ind w:left="0" w:right="0"/>
              <w:jc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服务期</w:t>
            </w:r>
            <w:r>
              <w:rPr>
                <w:rFonts w:hint="eastAsia" w:ascii="仿宋_GB2312" w:hAnsi="仿宋_GB2312" w:eastAsia="仿宋_GB2312" w:cs="仿宋_GB2312"/>
                <w:color w:val="auto"/>
                <w:kern w:val="0"/>
                <w:sz w:val="24"/>
                <w:szCs w:val="24"/>
                <w:highlight w:val="none"/>
              </w:rPr>
              <w:t>：</w:t>
            </w:r>
          </w:p>
        </w:tc>
        <w:tc>
          <w:tcPr>
            <w:tcW w:w="6295" w:type="dxa"/>
            <w:noWrap w:val="0"/>
            <w:vAlign w:val="center"/>
          </w:tcPr>
          <w:p>
            <w:pPr>
              <w:keepNext w:val="0"/>
              <w:keepLines w:val="0"/>
              <w:suppressLineNumbers w:val="0"/>
              <w:spacing w:before="0" w:beforeAutospacing="0" w:after="0" w:afterAutospacing="0" w:line="440" w:lineRule="exact"/>
              <w:ind w:left="0" w:right="0"/>
              <w:jc w:val="left"/>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 xml:space="preserve"> </w:t>
            </w:r>
          </w:p>
        </w:tc>
      </w:tr>
    </w:tbl>
    <w:p>
      <w:pPr>
        <w:pStyle w:val="39"/>
        <w:spacing w:line="440" w:lineRule="exac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注：1、响应报价总价已包括与本次所报服务相关的所有税费以及供应商为完成本项目所发生的一切费用。</w:t>
      </w:r>
    </w:p>
    <w:p>
      <w:pPr>
        <w:pStyle w:val="39"/>
        <w:spacing w:line="440" w:lineRule="exact"/>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2、除供应商提供的已包含在报价内的与项目采购相关的其他增值服务之外，若供应商在响应文件中主动提出向采购人给予赠品、回扣或者与采购无关的其他商品、服务的，其响应文件在评审过程中按无效处理。</w:t>
      </w:r>
    </w:p>
    <w:p>
      <w:pPr>
        <w:widowControl w:val="0"/>
        <w:spacing w:line="360" w:lineRule="auto"/>
        <w:ind w:firstLine="210" w:firstLineChars="100"/>
        <w:jc w:val="both"/>
        <w:rPr>
          <w:rFonts w:hint="eastAsia" w:ascii="仿宋_GB2312" w:hAnsi="仿宋_GB2312" w:eastAsia="仿宋_GB2312" w:cs="仿宋_GB2312"/>
          <w:kern w:val="2"/>
          <w:sz w:val="21"/>
          <w:szCs w:val="24"/>
          <w:highlight w:val="none"/>
          <w:lang w:val="en-US" w:eastAsia="zh-CN" w:bidi="zh-CN"/>
        </w:rPr>
      </w:pPr>
    </w:p>
    <w:p>
      <w:pPr>
        <w:widowControl w:val="0"/>
        <w:spacing w:line="360" w:lineRule="auto"/>
        <w:ind w:firstLine="240" w:firstLineChars="100"/>
        <w:jc w:val="both"/>
        <w:rPr>
          <w:rFonts w:hint="eastAsia" w:ascii="仿宋_GB2312" w:hAnsi="仿宋_GB2312" w:eastAsia="仿宋_GB2312" w:cs="仿宋_GB2312"/>
          <w:kern w:val="2"/>
          <w:sz w:val="24"/>
          <w:szCs w:val="24"/>
          <w:highlight w:val="none"/>
          <w:u w:val="single"/>
          <w:lang w:val="en-US" w:eastAsia="zh-CN" w:bidi="zh-CN"/>
        </w:rPr>
      </w:pPr>
      <w:r>
        <w:rPr>
          <w:rFonts w:hint="eastAsia" w:ascii="仿宋_GB2312" w:hAnsi="仿宋_GB2312" w:eastAsia="仿宋_GB2312" w:cs="仿宋_GB2312"/>
          <w:kern w:val="2"/>
          <w:sz w:val="24"/>
          <w:szCs w:val="24"/>
          <w:highlight w:val="none"/>
          <w:lang w:val="en-US" w:eastAsia="zh-CN" w:bidi="zh-CN"/>
        </w:rPr>
        <w:t xml:space="preserve">供应商名称（加盖公章）： </w:t>
      </w:r>
      <w:r>
        <w:rPr>
          <w:rFonts w:hint="eastAsia" w:ascii="仿宋_GB2312" w:hAnsi="仿宋_GB2312" w:eastAsia="仿宋_GB2312" w:cs="仿宋_GB2312"/>
          <w:kern w:val="2"/>
          <w:sz w:val="24"/>
          <w:szCs w:val="24"/>
          <w:highlight w:val="none"/>
          <w:u w:val="single"/>
          <w:lang w:val="en-US" w:eastAsia="zh-CN" w:bidi="zh-CN"/>
        </w:rPr>
        <w:t xml:space="preserve">                </w:t>
      </w:r>
    </w:p>
    <w:p>
      <w:pPr>
        <w:widowControl w:val="0"/>
        <w:spacing w:line="360" w:lineRule="auto"/>
        <w:ind w:firstLine="240" w:firstLineChars="100"/>
        <w:jc w:val="both"/>
        <w:rPr>
          <w:rFonts w:hint="eastAsia" w:ascii="仿宋_GB2312" w:hAnsi="仿宋_GB2312" w:eastAsia="仿宋_GB2312" w:cs="仿宋_GB2312"/>
          <w:kern w:val="2"/>
          <w:sz w:val="24"/>
          <w:szCs w:val="24"/>
          <w:highlight w:val="none"/>
          <w:lang w:val="en-US" w:eastAsia="zh-CN" w:bidi="zh-CN"/>
        </w:rPr>
      </w:pPr>
      <w:r>
        <w:rPr>
          <w:rFonts w:hint="eastAsia" w:ascii="仿宋_GB2312" w:hAnsi="仿宋_GB2312" w:eastAsia="仿宋_GB2312" w:cs="仿宋_GB2312"/>
          <w:kern w:val="2"/>
          <w:sz w:val="24"/>
          <w:szCs w:val="24"/>
          <w:highlight w:val="none"/>
          <w:lang w:val="en-US" w:eastAsia="zh-CN" w:bidi="zh-CN"/>
        </w:rPr>
        <w:t>日期：</w:t>
      </w:r>
      <w:r>
        <w:rPr>
          <w:rFonts w:hint="eastAsia" w:ascii="仿宋_GB2312" w:hAnsi="仿宋_GB2312" w:eastAsia="仿宋_GB2312" w:cs="仿宋_GB2312"/>
          <w:kern w:val="2"/>
          <w:sz w:val="24"/>
          <w:szCs w:val="24"/>
          <w:highlight w:val="none"/>
          <w:u w:val="single"/>
          <w:lang w:val="en-US" w:eastAsia="zh-CN" w:bidi="zh-CN"/>
        </w:rPr>
        <w:t xml:space="preserve">     年    月    日</w:t>
      </w:r>
    </w:p>
    <w:p>
      <w:pPr>
        <w:pStyle w:val="21"/>
        <w:rPr>
          <w:rFonts w:hint="eastAsia" w:ascii="仿宋_GB2312" w:hAnsi="仿宋_GB2312" w:eastAsia="仿宋_GB2312" w:cs="仿宋_GB2312"/>
          <w:highlight w:val="none"/>
          <w:lang w:val="en-US" w:eastAsia="zh-CN"/>
        </w:rPr>
      </w:pPr>
    </w:p>
    <w:p>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pPr>
        <w:pStyle w:val="21"/>
        <w:ind w:left="0" w:leftChars="0" w:firstLine="0" w:firstLineChars="0"/>
        <w:jc w:val="left"/>
        <w:outlineLvl w:val="1"/>
        <w:rPr>
          <w:rFonts w:hint="eastAsia" w:ascii="仿宋_GB2312" w:hAnsi="仿宋_GB2312" w:eastAsia="仿宋_GB2312" w:cs="仿宋_GB2312"/>
          <w:sz w:val="24"/>
          <w:szCs w:val="24"/>
          <w:highlight w:val="none"/>
          <w:lang w:val="en-US" w:eastAsia="zh-CN"/>
        </w:rPr>
      </w:pPr>
      <w:bookmarkStart w:id="77" w:name="_Toc27376"/>
      <w:r>
        <w:rPr>
          <w:rFonts w:hint="eastAsia" w:ascii="仿宋_GB2312" w:hAnsi="仿宋_GB2312" w:eastAsia="仿宋_GB2312" w:cs="仿宋_GB2312"/>
          <w:sz w:val="24"/>
          <w:szCs w:val="24"/>
          <w:highlight w:val="none"/>
          <w:lang w:val="en-US" w:eastAsia="zh-CN"/>
        </w:rPr>
        <w:t>8  商务条款偏离表</w:t>
      </w:r>
      <w:bookmarkEnd w:id="77"/>
    </w:p>
    <w:p>
      <w:pPr>
        <w:pStyle w:val="21"/>
        <w:ind w:left="0" w:leftChars="0" w:firstLine="0" w:firstLineChars="0"/>
        <w:jc w:val="center"/>
        <w:rPr>
          <w:rFonts w:hint="eastAsia" w:ascii="仿宋_GB2312" w:hAnsi="仿宋_GB2312" w:eastAsia="仿宋_GB2312" w:cs="仿宋_GB2312"/>
          <w:sz w:val="32"/>
          <w:szCs w:val="32"/>
          <w:highlight w:val="none"/>
          <w:lang w:val="en-US" w:eastAsia="zh-CN"/>
        </w:rPr>
      </w:pPr>
    </w:p>
    <w:p>
      <w:pPr>
        <w:pStyle w:val="21"/>
        <w:ind w:left="0" w:leftChars="0" w:firstLine="0" w:firstLineChars="0"/>
        <w:jc w:val="center"/>
        <w:rPr>
          <w:rFonts w:hint="eastAsia" w:ascii="仿宋_GB2312" w:hAnsi="仿宋_GB2312" w:eastAsia="仿宋_GB2312" w:cs="仿宋_GB2312"/>
          <w:b/>
          <w:bCs/>
          <w:i w:val="0"/>
          <w:iCs w:val="0"/>
          <w:sz w:val="32"/>
          <w:szCs w:val="32"/>
          <w:highlight w:val="none"/>
          <w:lang w:val="en-US" w:eastAsia="zh-CN"/>
        </w:rPr>
      </w:pPr>
      <w:r>
        <w:rPr>
          <w:rFonts w:hint="eastAsia" w:ascii="仿宋_GB2312" w:hAnsi="仿宋_GB2312" w:eastAsia="仿宋_GB2312" w:cs="仿宋_GB2312"/>
          <w:b/>
          <w:bCs/>
          <w:i w:val="0"/>
          <w:iCs w:val="0"/>
          <w:sz w:val="32"/>
          <w:szCs w:val="32"/>
          <w:highlight w:val="none"/>
          <w:lang w:val="en-US" w:eastAsia="zh-CN"/>
        </w:rPr>
        <w:t>商务条款偏离表</w:t>
      </w:r>
    </w:p>
    <w:p>
      <w:pPr>
        <w:rPr>
          <w:rFonts w:hint="eastAsia" w:ascii="仿宋_GB2312" w:hAnsi="仿宋_GB2312" w:eastAsia="仿宋_GB2312" w:cs="仿宋_GB2312"/>
          <w:highlight w:val="none"/>
          <w:lang w:val="en-US" w:eastAsia="zh-CN"/>
        </w:rPr>
      </w:pPr>
    </w:p>
    <w:p>
      <w:pPr>
        <w:pStyle w:val="21"/>
        <w:ind w:left="0" w:leftChars="0" w:firstLine="0" w:firstLineChars="0"/>
        <w:jc w:val="left"/>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对本项目商务条款的偏离情况（请进行勾选）：</w:t>
            </w:r>
          </w:p>
          <w:p>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r>
              <w:rPr>
                <w:rFonts w:hint="eastAsia" w:ascii="仿宋_GB2312" w:hAnsi="仿宋_GB2312" w:eastAsia="仿宋_GB2312" w:cs="仿宋_GB2312"/>
                <w:b/>
                <w:bCs/>
                <w:sz w:val="21"/>
                <w:szCs w:val="21"/>
                <w:highlight w:val="none"/>
                <w:vertAlign w:val="baseline"/>
                <w:lang w:val="en-US" w:eastAsia="zh-CN"/>
              </w:rPr>
              <w:t>无偏离</w:t>
            </w:r>
            <w:r>
              <w:rPr>
                <w:rFonts w:hint="eastAsia" w:ascii="仿宋_GB2312" w:hAnsi="仿宋_GB2312" w:eastAsia="仿宋_GB2312" w:cs="仿宋_GB2312"/>
                <w:sz w:val="21"/>
                <w:szCs w:val="21"/>
                <w:highlight w:val="none"/>
                <w:vertAlign w:val="baseline"/>
                <w:lang w:val="en-US" w:eastAsia="zh-CN"/>
              </w:rPr>
              <w:t>（如无偏离，仅勾选无偏离即可）</w:t>
            </w:r>
          </w:p>
          <w:p>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r>
              <w:rPr>
                <w:rFonts w:hint="eastAsia" w:ascii="仿宋_GB2312" w:hAnsi="仿宋_GB2312" w:eastAsia="仿宋_GB2312" w:cs="仿宋_GB2312"/>
                <w:b/>
                <w:bCs/>
                <w:sz w:val="21"/>
                <w:szCs w:val="21"/>
                <w:highlight w:val="none"/>
                <w:vertAlign w:val="baseline"/>
                <w:lang w:val="en-US" w:eastAsia="zh-CN"/>
              </w:rPr>
              <w:t>有偏离</w:t>
            </w:r>
            <w:r>
              <w:rPr>
                <w:rFonts w:hint="eastAsia" w:ascii="仿宋_GB2312" w:hAnsi="仿宋_GB2312" w:eastAsia="仿宋_GB2312" w:cs="仿宋_GB2312"/>
                <w:sz w:val="21"/>
                <w:szCs w:val="21"/>
                <w:highlight w:val="none"/>
                <w:vertAlign w:val="baseline"/>
                <w:lang w:val="en-US" w:eastAsia="zh-CN"/>
              </w:rPr>
              <w:t>（如有偏离，则应在本表中对偏离项逐一列明）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421"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采购文件</w:t>
            </w:r>
          </w:p>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条目号</w:t>
            </w:r>
          </w:p>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（页码）</w:t>
            </w:r>
          </w:p>
        </w:tc>
        <w:tc>
          <w:tcPr>
            <w:tcW w:w="1901"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采购文件要求</w:t>
            </w:r>
          </w:p>
        </w:tc>
        <w:tc>
          <w:tcPr>
            <w:tcW w:w="1753"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响应文件内容</w:t>
            </w:r>
          </w:p>
        </w:tc>
        <w:tc>
          <w:tcPr>
            <w:tcW w:w="1561"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偏离情况</w:t>
            </w:r>
          </w:p>
        </w:tc>
        <w:tc>
          <w:tcPr>
            <w:tcW w:w="1052"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421"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901"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753"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561"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052"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421"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901"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753"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561"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052"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421"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901"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753"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561"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052"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421"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901"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753"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561"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052"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421"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901"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753"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561"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c>
          <w:tcPr>
            <w:tcW w:w="1052" w:type="dxa"/>
          </w:tcPr>
          <w:p>
            <w:pPr>
              <w:keepNext w:val="0"/>
              <w:keepLines w:val="0"/>
              <w:suppressLineNumbers w:val="0"/>
              <w:spacing w:before="0" w:beforeAutospacing="0" w:after="0" w:afterAutospacing="0"/>
              <w:ind w:left="0" w:right="0"/>
              <w:rPr>
                <w:rFonts w:hint="eastAsia" w:ascii="仿宋_GB2312" w:hAnsi="仿宋_GB2312" w:eastAsia="仿宋_GB2312" w:cs="仿宋_GB2312"/>
                <w:sz w:val="21"/>
                <w:szCs w:val="21"/>
                <w:highlight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对商务条款中的所有要求，除本表所列明的所有偏离外，均视作供应商已对之理解和响应。</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sz w:val="24"/>
          <w:szCs w:val="24"/>
          <w:highlight w:val="none"/>
          <w:lang w:val="en-US" w:eastAsia="zh-CN"/>
        </w:rPr>
      </w:pPr>
      <w:bookmarkStart w:id="78" w:name="_Toc30559"/>
      <w:r>
        <w:rPr>
          <w:rFonts w:hint="eastAsia" w:ascii="仿宋_GB2312" w:hAnsi="仿宋_GB2312" w:eastAsia="仿宋_GB2312" w:cs="仿宋_GB2312"/>
          <w:sz w:val="24"/>
          <w:szCs w:val="24"/>
          <w:highlight w:val="none"/>
          <w:lang w:val="en-US" w:eastAsia="zh-CN"/>
        </w:rPr>
        <w:t>2. “偏离情况”列应据实填写“正偏离”或“负偏离”。</w:t>
      </w:r>
      <w:bookmarkEnd w:id="78"/>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供应商名称（加盖公章）：</w:t>
      </w:r>
      <w:r>
        <w:rPr>
          <w:rFonts w:hint="eastAsia" w:ascii="仿宋_GB2312" w:hAnsi="仿宋_GB2312" w:eastAsia="仿宋_GB2312" w:cs="仿宋_GB2312"/>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年     月     日</w:t>
      </w:r>
    </w:p>
    <w:p>
      <w:pPr>
        <w:pStyle w:val="25"/>
        <w:rPr>
          <w:rFonts w:hint="eastAsia" w:ascii="仿宋_GB2312" w:hAnsi="仿宋_GB2312" w:eastAsia="仿宋_GB2312" w:cs="仿宋_GB2312"/>
          <w:sz w:val="24"/>
          <w:szCs w:val="24"/>
          <w:highlight w:val="none"/>
          <w:lang w:val="en-US" w:eastAsia="zh-CN"/>
        </w:rPr>
      </w:pPr>
    </w:p>
    <w:p>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pPr>
        <w:pStyle w:val="21"/>
        <w:ind w:left="0" w:leftChars="0" w:firstLine="0" w:firstLineChars="0"/>
        <w:outlineLvl w:val="1"/>
        <w:rPr>
          <w:rFonts w:hint="eastAsia" w:ascii="仿宋_GB2312" w:hAnsi="仿宋_GB2312" w:eastAsia="仿宋_GB2312" w:cs="仿宋_GB2312"/>
          <w:sz w:val="24"/>
          <w:szCs w:val="24"/>
          <w:highlight w:val="none"/>
          <w:lang w:val="en-US" w:eastAsia="zh-CN"/>
        </w:rPr>
      </w:pPr>
      <w:bookmarkStart w:id="79" w:name="_Toc12415"/>
      <w:r>
        <w:rPr>
          <w:rFonts w:hint="eastAsia" w:ascii="仿宋_GB2312" w:hAnsi="仿宋_GB2312" w:eastAsia="仿宋_GB2312" w:cs="仿宋_GB2312"/>
          <w:sz w:val="24"/>
          <w:szCs w:val="24"/>
          <w:highlight w:val="none"/>
          <w:lang w:val="en-US" w:eastAsia="zh-CN"/>
        </w:rPr>
        <w:t>9  技术要求偏离表</w:t>
      </w:r>
      <w:bookmarkEnd w:id="79"/>
    </w:p>
    <w:p>
      <w:pPr>
        <w:pStyle w:val="21"/>
        <w:ind w:left="0" w:leftChars="0" w:firstLine="0" w:firstLineChars="0"/>
        <w:rPr>
          <w:rFonts w:hint="eastAsia" w:ascii="仿宋_GB2312" w:hAnsi="仿宋_GB2312" w:eastAsia="仿宋_GB2312" w:cs="仿宋_GB2312"/>
          <w:sz w:val="24"/>
          <w:szCs w:val="24"/>
          <w:highlight w:val="none"/>
          <w:lang w:val="en-US" w:eastAsia="zh-CN"/>
        </w:rPr>
      </w:pPr>
    </w:p>
    <w:p>
      <w:pPr>
        <w:pStyle w:val="21"/>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技术要求偏离表</w:t>
      </w:r>
    </w:p>
    <w:p>
      <w:pPr>
        <w:pStyle w:val="21"/>
        <w:ind w:left="0" w:leftChars="0" w:firstLine="0" w:firstLineChars="0"/>
        <w:rPr>
          <w:rFonts w:hint="eastAsia" w:ascii="仿宋_GB2312" w:hAnsi="仿宋_GB2312" w:eastAsia="仿宋_GB2312" w:cs="仿宋_GB2312"/>
          <w:sz w:val="24"/>
          <w:szCs w:val="24"/>
          <w:highlight w:val="none"/>
          <w:lang w:val="en-US" w:eastAsia="zh-CN"/>
        </w:rPr>
      </w:pPr>
    </w:p>
    <w:p>
      <w:pPr>
        <w:pStyle w:val="21"/>
        <w:ind w:left="0" w:leftChars="0" w:firstLine="0" w:firstLineChars="0"/>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项目编号：</w:t>
      </w:r>
      <w:r>
        <w:rPr>
          <w:rFonts w:hint="eastAsia" w:ascii="仿宋_GB2312" w:hAnsi="仿宋_GB2312" w:eastAsia="仿宋_GB2312" w:cs="仿宋_GB2312"/>
          <w:sz w:val="21"/>
          <w:szCs w:val="21"/>
          <w:highlight w:val="none"/>
          <w:u w:val="single"/>
          <w:lang w:val="en-US" w:eastAsia="zh-CN"/>
        </w:rPr>
        <w:t xml:space="preserve">                       </w:t>
      </w:r>
      <w:r>
        <w:rPr>
          <w:rFonts w:hint="eastAsia" w:ascii="仿宋_GB2312" w:hAnsi="仿宋_GB2312" w:eastAsia="仿宋_GB2312" w:cs="仿宋_GB2312"/>
          <w:sz w:val="21"/>
          <w:szCs w:val="21"/>
          <w:highlight w:val="none"/>
          <w:lang w:val="en-US" w:eastAsia="zh-CN"/>
        </w:rPr>
        <w:t xml:space="preserve"> 项目名称：</w:t>
      </w:r>
      <w:r>
        <w:rPr>
          <w:rFonts w:hint="eastAsia" w:ascii="仿宋_GB2312" w:hAnsi="仿宋_GB2312" w:eastAsia="仿宋_GB2312" w:cs="仿宋_GB2312"/>
          <w:sz w:val="21"/>
          <w:szCs w:val="21"/>
          <w:highlight w:val="none"/>
          <w:u w:val="single"/>
          <w:lang w:val="en-US" w:eastAsia="zh-CN"/>
        </w:rPr>
        <w:t xml:space="preserve">                </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42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采购文件条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目号(页码)</w:t>
            </w:r>
          </w:p>
        </w:tc>
        <w:tc>
          <w:tcPr>
            <w:tcW w:w="180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采购文件要求</w:t>
            </w:r>
          </w:p>
        </w:tc>
        <w:tc>
          <w:tcPr>
            <w:tcW w:w="167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响应文件内容</w:t>
            </w:r>
          </w:p>
        </w:tc>
        <w:tc>
          <w:tcPr>
            <w:tcW w:w="14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偏离情况</w:t>
            </w:r>
          </w:p>
        </w:tc>
        <w:tc>
          <w:tcPr>
            <w:tcW w:w="142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42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805"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672"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c>
          <w:tcPr>
            <w:tcW w:w="1421"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textAlignment w:val="auto"/>
              <w:rPr>
                <w:rFonts w:hint="eastAsia" w:ascii="仿宋_GB2312" w:hAnsi="仿宋_GB2312" w:eastAsia="仿宋_GB2312" w:cs="仿宋_GB2312"/>
                <w:sz w:val="21"/>
                <w:szCs w:val="21"/>
                <w:highlight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对采购文件中的所有商务、技术要求，除本表所列明的所有偏离情况外，均视作供应商已对之理解和响应。此表中若无任何文字说明，内容为空白，响应无效。</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2.“偏离情况”列应据实填写“正偏离”、“负偏离”或“无偏离”。</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供应商名称（加盖公章）： </w:t>
      </w:r>
      <w:r>
        <w:rPr>
          <w:rFonts w:hint="eastAsia" w:ascii="仿宋_GB2312" w:hAnsi="仿宋_GB2312" w:eastAsia="仿宋_GB2312" w:cs="仿宋_GB2312"/>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年     月     日</w:t>
      </w:r>
    </w:p>
    <w:p>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pPr>
        <w:widowControl w:val="0"/>
        <w:spacing w:line="360" w:lineRule="auto"/>
        <w:ind w:left="0" w:leftChars="0" w:firstLine="0" w:firstLineChars="0"/>
        <w:jc w:val="both"/>
        <w:rPr>
          <w:rFonts w:hint="eastAsia" w:ascii="仿宋_GB2312" w:hAnsi="仿宋_GB2312" w:eastAsia="仿宋_GB2312" w:cs="仿宋_GB2312"/>
          <w:kern w:val="2"/>
          <w:sz w:val="24"/>
          <w:szCs w:val="24"/>
          <w:highlight w:val="none"/>
          <w:lang w:val="en-US" w:eastAsia="zh-CN" w:bidi="zh-CN"/>
        </w:rPr>
      </w:pPr>
      <w:r>
        <w:rPr>
          <w:rFonts w:hint="eastAsia" w:ascii="仿宋_GB2312" w:hAnsi="仿宋_GB2312" w:eastAsia="仿宋_GB2312" w:cs="仿宋_GB2312"/>
          <w:kern w:val="2"/>
          <w:sz w:val="24"/>
          <w:szCs w:val="24"/>
          <w:highlight w:val="none"/>
          <w:lang w:val="en-US" w:eastAsia="zh-CN" w:bidi="zh-CN"/>
        </w:rPr>
        <w:t>10   采购文件要求提供或供应商认为应附的其他材料</w:t>
      </w:r>
    </w:p>
    <w:p>
      <w:pPr>
        <w:pStyle w:val="21"/>
        <w:rPr>
          <w:rFonts w:hint="eastAsia" w:ascii="仿宋_GB2312" w:hAnsi="仿宋_GB2312" w:eastAsia="仿宋_GB2312" w:cs="仿宋_GB2312"/>
          <w:highlight w:val="none"/>
          <w:lang w:val="en-US" w:eastAsia="zh-CN"/>
        </w:rPr>
      </w:pPr>
    </w:p>
    <w:p>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pPr>
        <w:keepNext/>
        <w:keepLines/>
        <w:widowControl w:val="0"/>
        <w:spacing w:before="0" w:after="260" w:line="240" w:lineRule="atLeast"/>
        <w:jc w:val="both"/>
        <w:outlineLvl w:val="1"/>
        <w:rPr>
          <w:rFonts w:hint="eastAsia" w:ascii="仿宋_GB2312" w:hAnsi="仿宋_GB2312" w:eastAsia="仿宋_GB2312" w:cs="仿宋_GB2312"/>
          <w:b w:val="0"/>
          <w:bCs/>
          <w:kern w:val="2"/>
          <w:sz w:val="24"/>
          <w:szCs w:val="32"/>
          <w:highlight w:val="none"/>
          <w:lang w:val="en-US" w:eastAsia="zh-CN" w:bidi="ar-SA"/>
        </w:rPr>
      </w:pPr>
      <w:bookmarkStart w:id="80" w:name="_Toc216582819"/>
      <w:bookmarkStart w:id="81" w:name="_Ref467988543"/>
      <w:bookmarkStart w:id="82" w:name="_Toc520356224"/>
      <w:bookmarkStart w:id="83" w:name="_Toc480942355"/>
      <w:bookmarkStart w:id="84" w:name="_Toc21379"/>
      <w:bookmarkStart w:id="85" w:name="_Toc21320"/>
      <w:bookmarkStart w:id="86" w:name="_Toc20238"/>
      <w:bookmarkStart w:id="87" w:name="_Toc4183"/>
      <w:bookmarkStart w:id="88" w:name="_Toc9592"/>
      <w:bookmarkStart w:id="89" w:name="_Toc507399535"/>
      <w:bookmarkStart w:id="90" w:name="_Toc17143"/>
      <w:bookmarkStart w:id="91" w:name="_Toc15963"/>
      <w:bookmarkStart w:id="92" w:name="_Toc3420"/>
      <w:bookmarkStart w:id="93" w:name="_Toc8281"/>
      <w:r>
        <w:rPr>
          <w:rFonts w:hint="eastAsia" w:ascii="仿宋_GB2312" w:hAnsi="仿宋_GB2312" w:eastAsia="仿宋_GB2312" w:cs="仿宋_GB2312"/>
          <w:b/>
          <w:bCs/>
          <w:kern w:val="2"/>
          <w:sz w:val="24"/>
          <w:szCs w:val="32"/>
          <w:highlight w:val="none"/>
          <w:lang w:val="en-US" w:eastAsia="zh-CN" w:bidi="ar-SA"/>
        </w:rPr>
        <w:t xml:space="preserve">11   </w:t>
      </w:r>
      <w:bookmarkEnd w:id="80"/>
      <w:bookmarkEnd w:id="81"/>
      <w:bookmarkEnd w:id="82"/>
      <w:bookmarkEnd w:id="83"/>
      <w:bookmarkStart w:id="94" w:name="_Hlt520274407"/>
      <w:bookmarkEnd w:id="94"/>
      <w:bookmarkStart w:id="95" w:name="_Hlt520274911"/>
      <w:bookmarkEnd w:id="95"/>
      <w:bookmarkStart w:id="96" w:name="_Hlt520274393"/>
      <w:bookmarkEnd w:id="96"/>
      <w:bookmarkStart w:id="97" w:name="_Hlt520274065"/>
      <w:bookmarkEnd w:id="97"/>
      <w:bookmarkStart w:id="98" w:name="_Hlt520343000"/>
      <w:bookmarkEnd w:id="98"/>
      <w:bookmarkStart w:id="99" w:name="_Hlt520343392"/>
      <w:bookmarkEnd w:id="99"/>
      <w:bookmarkStart w:id="100" w:name="_Hlt520350957"/>
      <w:bookmarkEnd w:id="100"/>
      <w:bookmarkStart w:id="101" w:name="_Hlt520350918"/>
      <w:bookmarkEnd w:id="101"/>
      <w:bookmarkStart w:id="102" w:name="_Hlt520273973"/>
      <w:bookmarkEnd w:id="102"/>
      <w:bookmarkStart w:id="103" w:name="_Hlt520273711"/>
      <w:bookmarkEnd w:id="103"/>
      <w:bookmarkStart w:id="104" w:name="_Hlt520271212"/>
      <w:bookmarkEnd w:id="104"/>
      <w:bookmarkStart w:id="105" w:name="_Toc216582821"/>
      <w:bookmarkStart w:id="106" w:name="_Toc216513801"/>
      <w:r>
        <w:rPr>
          <w:rFonts w:hint="eastAsia" w:ascii="仿宋_GB2312" w:hAnsi="仿宋_GB2312" w:eastAsia="仿宋_GB2312" w:cs="仿宋_GB2312"/>
          <w:b/>
          <w:bCs/>
          <w:kern w:val="2"/>
          <w:sz w:val="24"/>
          <w:szCs w:val="32"/>
          <w:highlight w:val="none"/>
          <w:lang w:val="en-US" w:eastAsia="zh-CN" w:bidi="ar-SA"/>
        </w:rPr>
        <w:t>中标服务费承诺书</w:t>
      </w:r>
      <w:bookmarkEnd w:id="84"/>
      <w:bookmarkEnd w:id="85"/>
      <w:bookmarkEnd w:id="86"/>
      <w:bookmarkEnd w:id="87"/>
      <w:bookmarkEnd w:id="88"/>
      <w:bookmarkEnd w:id="89"/>
      <w:bookmarkEnd w:id="90"/>
      <w:bookmarkEnd w:id="91"/>
    </w:p>
    <w:p>
      <w:pPr>
        <w:spacing w:line="240" w:lineRule="atLeast"/>
        <w:ind w:left="1157" w:leftChars="257" w:hanging="540"/>
        <w:rPr>
          <w:rFonts w:hint="eastAsia" w:ascii="仿宋_GB2312" w:hAnsi="仿宋_GB2312" w:eastAsia="仿宋_GB2312" w:cs="仿宋_GB2312"/>
          <w:b/>
          <w:sz w:val="24"/>
          <w:highlight w:val="none"/>
        </w:rPr>
      </w:pPr>
    </w:p>
    <w:p>
      <w:pPr>
        <w:spacing w:line="240" w:lineRule="atLeast"/>
        <w:ind w:left="1157" w:leftChars="257" w:hanging="540"/>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中标服务费承诺书</w:t>
      </w:r>
    </w:p>
    <w:p>
      <w:pPr>
        <w:spacing w:line="440" w:lineRule="exact"/>
        <w:ind w:left="1080" w:hanging="1080"/>
        <w:rPr>
          <w:rFonts w:hint="eastAsia" w:ascii="仿宋_GB2312" w:hAnsi="仿宋_GB2312" w:eastAsia="仿宋_GB2312" w:cs="仿宋_GB2312"/>
          <w:sz w:val="24"/>
          <w:highlight w:val="none"/>
        </w:rPr>
      </w:pPr>
    </w:p>
    <w:p>
      <w:pPr>
        <w:spacing w:line="360" w:lineRule="auto"/>
        <w:ind w:left="1080" w:hanging="1080"/>
        <w:rPr>
          <w:rFonts w:hint="eastAsia" w:ascii="仿宋_GB2312" w:hAnsi="仿宋_GB2312" w:eastAsia="仿宋_GB2312" w:cs="仿宋_GB2312"/>
          <w:sz w:val="24"/>
          <w:highlight w:val="none"/>
          <w:u w:val="single"/>
          <w:lang w:val="en-US" w:eastAsia="zh-CN"/>
        </w:rPr>
      </w:pPr>
      <w:r>
        <w:rPr>
          <w:rFonts w:hint="eastAsia" w:ascii="仿宋_GB2312" w:hAnsi="仿宋_GB2312" w:eastAsia="仿宋_GB2312" w:cs="仿宋_GB2312"/>
          <w:sz w:val="24"/>
          <w:highlight w:val="none"/>
        </w:rPr>
        <w:t>致：</w:t>
      </w:r>
      <w:r>
        <w:rPr>
          <w:rFonts w:hint="eastAsia" w:ascii="仿宋_GB2312" w:hAnsi="仿宋_GB2312" w:eastAsia="仿宋_GB2312" w:cs="仿宋_GB2312"/>
          <w:sz w:val="24"/>
          <w:highlight w:val="none"/>
          <w:lang w:val="en-US" w:eastAsia="zh-CN"/>
        </w:rPr>
        <w:t>新疆世纪星工程咨询有限公司</w:t>
      </w:r>
    </w:p>
    <w:p>
      <w:pPr>
        <w:spacing w:line="360" w:lineRule="auto"/>
        <w:ind w:left="1157" w:leftChars="257" w:hanging="540"/>
        <w:rPr>
          <w:rFonts w:hint="eastAsia" w:ascii="仿宋_GB2312" w:hAnsi="仿宋_GB2312" w:eastAsia="仿宋_GB2312" w:cs="仿宋_GB2312"/>
          <w:sz w:val="24"/>
          <w:highlight w:val="none"/>
        </w:rPr>
      </w:pPr>
    </w:p>
    <w:p>
      <w:pPr>
        <w:spacing w:line="360" w:lineRule="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 xml:space="preserve"> 我们在贵公司组织的</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lang w:val="en-US" w:eastAsia="zh-CN"/>
        </w:rPr>
        <w:t>项目名称、项目编号</w:t>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项目招标中若获得中标资格，我们保证在领取中标通知书的同时按</w:t>
      </w:r>
      <w:r>
        <w:rPr>
          <w:rFonts w:hint="eastAsia" w:ascii="仿宋_GB2312" w:hAnsi="仿宋_GB2312" w:eastAsia="仿宋_GB2312" w:cs="仿宋_GB2312"/>
          <w:sz w:val="24"/>
          <w:highlight w:val="none"/>
          <w:lang w:val="en-US" w:eastAsia="zh-CN"/>
        </w:rPr>
        <w:t>采购文件</w:t>
      </w:r>
      <w:r>
        <w:rPr>
          <w:rFonts w:hint="eastAsia" w:ascii="仿宋_GB2312" w:hAnsi="仿宋_GB2312" w:eastAsia="仿宋_GB2312" w:cs="仿宋_GB2312"/>
          <w:sz w:val="24"/>
          <w:highlight w:val="none"/>
        </w:rPr>
        <w:t>的规定，以支票、电汇等形式，向贵公司一次性支付应由我们交纳的中标服务费用。</w:t>
      </w:r>
    </w:p>
    <w:p>
      <w:pPr>
        <w:spacing w:line="360" w:lineRule="auto"/>
        <w:ind w:left="1157" w:leftChars="257" w:hanging="54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特此承诺！</w:t>
      </w:r>
    </w:p>
    <w:p>
      <w:pPr>
        <w:spacing w:line="440" w:lineRule="exact"/>
        <w:ind w:left="1157" w:leftChars="257" w:hanging="540"/>
        <w:rPr>
          <w:rFonts w:hint="eastAsia" w:ascii="仿宋_GB2312" w:hAnsi="仿宋_GB2312" w:eastAsia="仿宋_GB2312" w:cs="仿宋_GB2312"/>
          <w:sz w:val="24"/>
          <w:highlight w:val="none"/>
        </w:rPr>
      </w:pPr>
    </w:p>
    <w:p>
      <w:pPr>
        <w:spacing w:line="440" w:lineRule="exact"/>
        <w:ind w:left="1157" w:leftChars="257" w:hanging="540"/>
        <w:rPr>
          <w:rFonts w:hint="eastAsia" w:ascii="仿宋_GB2312" w:hAnsi="仿宋_GB2312" w:eastAsia="仿宋_GB2312" w:cs="仿宋_GB2312"/>
          <w:sz w:val="24"/>
          <w:highlight w:val="none"/>
        </w:rPr>
      </w:pPr>
    </w:p>
    <w:p>
      <w:pPr>
        <w:spacing w:line="440" w:lineRule="exact"/>
        <w:ind w:left="1157" w:leftChars="257" w:hanging="540"/>
        <w:rPr>
          <w:rFonts w:hint="eastAsia" w:ascii="仿宋_GB2312" w:hAnsi="仿宋_GB2312" w:eastAsia="仿宋_GB2312" w:cs="仿宋_GB2312"/>
          <w:sz w:val="24"/>
          <w:highlight w:val="none"/>
        </w:rPr>
      </w:pPr>
    </w:p>
    <w:p>
      <w:pPr>
        <w:spacing w:line="440" w:lineRule="exact"/>
        <w:ind w:left="1157" w:leftChars="257" w:hanging="540"/>
        <w:rPr>
          <w:rFonts w:hint="eastAsia" w:ascii="仿宋_GB2312" w:hAnsi="仿宋_GB2312" w:eastAsia="仿宋_GB2312" w:cs="仿宋_GB2312"/>
          <w:sz w:val="24"/>
          <w:highlight w:val="none"/>
        </w:rPr>
      </w:pPr>
    </w:p>
    <w:p>
      <w:pPr>
        <w:spacing w:line="440" w:lineRule="exact"/>
        <w:ind w:left="1080" w:hanging="1080"/>
        <w:rPr>
          <w:rFonts w:hint="eastAsia" w:ascii="仿宋_GB2312" w:hAnsi="仿宋_GB2312" w:eastAsia="仿宋_GB2312" w:cs="仿宋_GB2312"/>
          <w:sz w:val="24"/>
          <w:highlight w:val="none"/>
        </w:rPr>
      </w:pPr>
    </w:p>
    <w:p>
      <w:pPr>
        <w:spacing w:line="440" w:lineRule="exact"/>
        <w:ind w:left="1495" w:leftChars="273" w:hanging="840" w:hangingChars="35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承诺方法定名称：</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pPr>
        <w:spacing w:line="440" w:lineRule="exact"/>
        <w:ind w:left="1697"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地址：</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pPr>
        <w:spacing w:line="440" w:lineRule="exact"/>
        <w:ind w:left="1697"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电话：</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传真：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pPr>
        <w:spacing w:line="440" w:lineRule="exact"/>
        <w:ind w:left="1697"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电传：</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邮编：</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pPr>
        <w:spacing w:line="440" w:lineRule="exact"/>
        <w:ind w:left="1697"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承诺方授权代表签字：</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（承诺方盖章）</w:t>
      </w:r>
    </w:p>
    <w:p>
      <w:pPr>
        <w:spacing w:line="440" w:lineRule="exact"/>
        <w:ind w:left="1697" w:leftChars="257" w:hanging="108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承诺日期：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bookmarkEnd w:id="105"/>
      <w:bookmarkEnd w:id="106"/>
    </w:p>
    <w:p>
      <w:pPr>
        <w:rPr>
          <w:rFonts w:hint="eastAsia" w:ascii="仿宋_GB2312" w:hAnsi="仿宋_GB2312" w:eastAsia="仿宋_GB2312" w:cs="仿宋_GB2312"/>
          <w:b w:val="0"/>
          <w:bCs w:val="0"/>
          <w:kern w:val="2"/>
          <w:sz w:val="24"/>
          <w:szCs w:val="24"/>
          <w:highlight w:val="none"/>
          <w:lang w:val="en-US" w:eastAsia="zh-CN" w:bidi="zh-CN"/>
        </w:rPr>
      </w:pPr>
      <w:r>
        <w:rPr>
          <w:rFonts w:hint="eastAsia" w:ascii="仿宋_GB2312" w:hAnsi="仿宋_GB2312" w:eastAsia="仿宋_GB2312" w:cs="仿宋_GB2312"/>
          <w:b w:val="0"/>
          <w:bCs w:val="0"/>
          <w:kern w:val="2"/>
          <w:sz w:val="24"/>
          <w:szCs w:val="24"/>
          <w:highlight w:val="none"/>
          <w:lang w:val="en-US" w:eastAsia="zh-CN" w:bidi="zh-CN"/>
        </w:rPr>
        <w:br w:type="page"/>
      </w:r>
    </w:p>
    <w:p>
      <w:pPr>
        <w:widowControl w:val="0"/>
        <w:spacing w:before="1"/>
        <w:jc w:val="both"/>
        <w:outlineLvl w:val="1"/>
        <w:rPr>
          <w:rFonts w:hint="eastAsia" w:ascii="仿宋_GB2312" w:hAnsi="仿宋_GB2312" w:eastAsia="仿宋_GB2312" w:cs="仿宋_GB2312"/>
          <w:b w:val="0"/>
          <w:bCs w:val="0"/>
          <w:kern w:val="2"/>
          <w:sz w:val="24"/>
          <w:szCs w:val="24"/>
          <w:highlight w:val="none"/>
          <w:lang w:val="zh-CN" w:eastAsia="zh-CN" w:bidi="zh-CN"/>
        </w:rPr>
      </w:pPr>
      <w:bookmarkStart w:id="107" w:name="_Toc571"/>
      <w:bookmarkStart w:id="108" w:name="_Toc8649"/>
      <w:bookmarkStart w:id="109" w:name="_Toc20782"/>
      <w:bookmarkStart w:id="110" w:name="_Toc15106"/>
      <w:bookmarkStart w:id="111" w:name="_Toc24678"/>
      <w:r>
        <w:rPr>
          <w:rFonts w:hint="eastAsia" w:ascii="仿宋_GB2312" w:hAnsi="仿宋_GB2312" w:eastAsia="仿宋_GB2312" w:cs="仿宋_GB2312"/>
          <w:b w:val="0"/>
          <w:bCs w:val="0"/>
          <w:kern w:val="2"/>
          <w:sz w:val="24"/>
          <w:szCs w:val="24"/>
          <w:highlight w:val="none"/>
          <w:lang w:val="en-US" w:eastAsia="zh-CN" w:bidi="zh-CN"/>
        </w:rPr>
        <w:t xml:space="preserve">12   </w:t>
      </w:r>
      <w:r>
        <w:rPr>
          <w:rFonts w:hint="eastAsia" w:ascii="仿宋_GB2312" w:hAnsi="仿宋_GB2312" w:eastAsia="仿宋_GB2312" w:cs="仿宋_GB2312"/>
          <w:b w:val="0"/>
          <w:bCs w:val="0"/>
          <w:kern w:val="2"/>
          <w:sz w:val="24"/>
          <w:szCs w:val="24"/>
          <w:highlight w:val="none"/>
          <w:lang w:val="zh-CN" w:eastAsia="zh-CN" w:bidi="zh-CN"/>
        </w:rPr>
        <w:t>保证金信息表</w:t>
      </w:r>
      <w:bookmarkEnd w:id="92"/>
      <w:bookmarkEnd w:id="93"/>
      <w:r>
        <w:rPr>
          <w:rFonts w:hint="eastAsia" w:ascii="仿宋_GB2312" w:hAnsi="仿宋_GB2312" w:eastAsia="仿宋_GB2312" w:cs="仿宋_GB2312"/>
          <w:b w:val="0"/>
          <w:bCs w:val="0"/>
          <w:kern w:val="2"/>
          <w:sz w:val="24"/>
          <w:szCs w:val="24"/>
          <w:highlight w:val="none"/>
          <w:lang w:val="zh-CN" w:eastAsia="zh-CN" w:bidi="zh-CN"/>
        </w:rPr>
        <w:t>（</w:t>
      </w:r>
      <w:r>
        <w:rPr>
          <w:rFonts w:hint="eastAsia" w:ascii="仿宋_GB2312" w:hAnsi="仿宋_GB2312" w:eastAsia="仿宋_GB2312" w:cs="仿宋_GB2312"/>
          <w:b w:val="0"/>
          <w:bCs w:val="0"/>
          <w:kern w:val="2"/>
          <w:sz w:val="24"/>
          <w:szCs w:val="24"/>
          <w:highlight w:val="none"/>
          <w:lang w:val="en-US" w:eastAsia="zh-CN" w:bidi="zh-CN"/>
        </w:rPr>
        <w:t>保函方式提交的无需提供</w:t>
      </w:r>
      <w:r>
        <w:rPr>
          <w:rFonts w:hint="eastAsia" w:ascii="仿宋_GB2312" w:hAnsi="仿宋_GB2312" w:eastAsia="仿宋_GB2312" w:cs="仿宋_GB2312"/>
          <w:b w:val="0"/>
          <w:bCs w:val="0"/>
          <w:kern w:val="2"/>
          <w:sz w:val="24"/>
          <w:szCs w:val="24"/>
          <w:highlight w:val="none"/>
          <w:lang w:val="zh-CN" w:eastAsia="zh-CN" w:bidi="zh-CN"/>
        </w:rPr>
        <w:t>）</w:t>
      </w:r>
      <w:bookmarkEnd w:id="107"/>
      <w:bookmarkEnd w:id="108"/>
      <w:bookmarkEnd w:id="109"/>
      <w:bookmarkEnd w:id="110"/>
      <w:bookmarkEnd w:id="111"/>
    </w:p>
    <w:p>
      <w:pPr>
        <w:widowControl w:val="0"/>
        <w:snapToGrid w:val="0"/>
        <w:spacing w:line="440" w:lineRule="exact"/>
        <w:jc w:val="center"/>
        <w:outlineLvl w:val="9"/>
        <w:rPr>
          <w:rFonts w:hint="eastAsia" w:ascii="仿宋_GB2312" w:hAnsi="仿宋_GB2312" w:eastAsia="仿宋_GB2312" w:cs="仿宋_GB2312"/>
          <w:b/>
          <w:kern w:val="2"/>
          <w:sz w:val="32"/>
          <w:szCs w:val="32"/>
          <w:highlight w:val="none"/>
          <w:lang w:val="en-US" w:eastAsia="zh-CN" w:bidi="ar-SA"/>
        </w:rPr>
      </w:pPr>
    </w:p>
    <w:p>
      <w:pPr>
        <w:widowControl w:val="0"/>
        <w:snapToGrid w:val="0"/>
        <w:spacing w:line="440" w:lineRule="exact"/>
        <w:jc w:val="center"/>
        <w:outlineLvl w:val="0"/>
        <w:rPr>
          <w:rFonts w:hint="eastAsia" w:ascii="仿宋_GB2312" w:hAnsi="仿宋_GB2312" w:eastAsia="仿宋_GB2312" w:cs="仿宋_GB2312"/>
          <w:b/>
          <w:kern w:val="2"/>
          <w:sz w:val="32"/>
          <w:szCs w:val="32"/>
          <w:highlight w:val="none"/>
          <w:lang w:val="en-US" w:eastAsia="zh-CN" w:bidi="ar-SA"/>
        </w:rPr>
      </w:pPr>
      <w:bookmarkStart w:id="112" w:name="_Toc28181"/>
      <w:bookmarkStart w:id="113" w:name="_Toc14307"/>
      <w:bookmarkStart w:id="114" w:name="_Toc31463"/>
      <w:bookmarkStart w:id="115" w:name="_Toc26104"/>
      <w:bookmarkStart w:id="116" w:name="_Toc25967"/>
      <w:bookmarkStart w:id="117" w:name="_Toc16938"/>
      <w:bookmarkStart w:id="118" w:name="_Toc27316"/>
      <w:r>
        <w:rPr>
          <w:rFonts w:hint="eastAsia" w:ascii="仿宋_GB2312" w:hAnsi="仿宋_GB2312" w:eastAsia="仿宋_GB2312" w:cs="仿宋_GB2312"/>
          <w:b/>
          <w:kern w:val="2"/>
          <w:sz w:val="24"/>
          <w:szCs w:val="24"/>
          <w:highlight w:val="none"/>
          <w:lang w:val="en-US" w:eastAsia="zh-CN" w:bidi="ar-SA"/>
        </w:rPr>
        <w:t>退还保证金申请函</w:t>
      </w:r>
      <w:bookmarkEnd w:id="112"/>
      <w:bookmarkEnd w:id="113"/>
      <w:bookmarkEnd w:id="114"/>
      <w:bookmarkEnd w:id="115"/>
      <w:bookmarkEnd w:id="116"/>
      <w:bookmarkEnd w:id="117"/>
      <w:bookmarkEnd w:id="118"/>
    </w:p>
    <w:p>
      <w:pPr>
        <w:spacing w:line="360" w:lineRule="auto"/>
        <w:rPr>
          <w:rFonts w:hint="eastAsia" w:ascii="仿宋_GB2312" w:hAnsi="仿宋_GB2312" w:eastAsia="仿宋_GB2312" w:cs="仿宋_GB2312"/>
          <w:color w:val="000000"/>
          <w:sz w:val="21"/>
          <w:szCs w:val="21"/>
          <w:highlight w:val="none"/>
          <w:u w:val="single"/>
          <w:lang w:eastAsia="zh-CN"/>
        </w:rPr>
      </w:pPr>
      <w:r>
        <w:rPr>
          <w:rFonts w:hint="eastAsia" w:ascii="仿宋_GB2312" w:hAnsi="仿宋_GB2312" w:eastAsia="仿宋_GB2312" w:cs="仿宋_GB2312"/>
          <w:color w:val="000000"/>
          <w:sz w:val="21"/>
          <w:szCs w:val="21"/>
          <w:highlight w:val="none"/>
        </w:rPr>
        <w:t>致：</w:t>
      </w:r>
      <w:r>
        <w:rPr>
          <w:rFonts w:hint="eastAsia" w:ascii="仿宋_GB2312" w:hAnsi="仿宋_GB2312" w:eastAsia="仿宋_GB2312" w:cs="仿宋_GB2312"/>
          <w:color w:val="000000"/>
          <w:sz w:val="21"/>
          <w:szCs w:val="21"/>
          <w:highlight w:val="none"/>
          <w:u w:val="single"/>
          <w:lang w:eastAsia="zh-CN"/>
        </w:rPr>
        <w:t>新疆世纪星工程咨询有限公司</w:t>
      </w:r>
    </w:p>
    <w:p>
      <w:pPr>
        <w:spacing w:line="360" w:lineRule="auto"/>
        <w:ind w:firstLine="420" w:firstLineChars="200"/>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u w:val="single"/>
        </w:rPr>
        <w:t>（</w:t>
      </w:r>
      <w:r>
        <w:rPr>
          <w:rFonts w:hint="eastAsia" w:ascii="仿宋_GB2312" w:hAnsi="仿宋_GB2312" w:eastAsia="仿宋_GB2312" w:cs="仿宋_GB2312"/>
          <w:color w:val="000000"/>
          <w:sz w:val="21"/>
          <w:szCs w:val="21"/>
          <w:highlight w:val="none"/>
          <w:u w:val="single"/>
          <w:lang w:val="en-US" w:eastAsia="zh-CN"/>
        </w:rPr>
        <w:t>供应商</w:t>
      </w:r>
      <w:r>
        <w:rPr>
          <w:rFonts w:hint="eastAsia" w:ascii="仿宋_GB2312" w:hAnsi="仿宋_GB2312" w:eastAsia="仿宋_GB2312" w:cs="仿宋_GB2312"/>
          <w:color w:val="000000"/>
          <w:sz w:val="21"/>
          <w:szCs w:val="21"/>
          <w:highlight w:val="none"/>
          <w:u w:val="single"/>
        </w:rPr>
        <w:t xml:space="preserve">全称) </w:t>
      </w:r>
      <w:r>
        <w:rPr>
          <w:rFonts w:hint="eastAsia" w:ascii="仿宋_GB2312" w:hAnsi="仿宋_GB2312" w:eastAsia="仿宋_GB2312" w:cs="仿宋_GB2312"/>
          <w:color w:val="000000"/>
          <w:sz w:val="21"/>
          <w:szCs w:val="21"/>
          <w:highlight w:val="none"/>
        </w:rPr>
        <w:t>参加贵方组织的，</w:t>
      </w:r>
      <w:r>
        <w:rPr>
          <w:rFonts w:hint="eastAsia" w:ascii="仿宋_GB2312" w:hAnsi="仿宋_GB2312" w:eastAsia="仿宋_GB2312" w:cs="仿宋_GB2312"/>
          <w:b w:val="0"/>
          <w:bCs w:val="0"/>
          <w:sz w:val="21"/>
          <w:szCs w:val="21"/>
          <w:highlight w:val="none"/>
          <w:u w:val="single"/>
          <w:lang w:val="en-US" w:eastAsia="zh-CN"/>
        </w:rPr>
        <w:t>（项目名称）（项目编号）</w:t>
      </w:r>
      <w:r>
        <w:rPr>
          <w:rFonts w:hint="eastAsia" w:ascii="仿宋_GB2312" w:hAnsi="仿宋_GB2312" w:eastAsia="仿宋_GB2312" w:cs="仿宋_GB2312"/>
          <w:color w:val="000000"/>
          <w:sz w:val="21"/>
          <w:szCs w:val="21"/>
          <w:highlight w:val="none"/>
        </w:rPr>
        <w:t>的</w:t>
      </w:r>
      <w:r>
        <w:rPr>
          <w:rFonts w:hint="eastAsia" w:ascii="仿宋_GB2312" w:hAnsi="仿宋_GB2312" w:eastAsia="仿宋_GB2312" w:cs="仿宋_GB2312"/>
          <w:color w:val="000000"/>
          <w:sz w:val="21"/>
          <w:szCs w:val="21"/>
          <w:highlight w:val="none"/>
          <w:lang w:val="en-US" w:eastAsia="zh-CN"/>
        </w:rPr>
        <w:t>招标</w:t>
      </w:r>
      <w:r>
        <w:rPr>
          <w:rFonts w:hint="eastAsia" w:ascii="仿宋_GB2312" w:hAnsi="仿宋_GB2312" w:eastAsia="仿宋_GB2312" w:cs="仿宋_GB2312"/>
          <w:color w:val="000000"/>
          <w:sz w:val="21"/>
          <w:szCs w:val="21"/>
          <w:highlight w:val="none"/>
        </w:rPr>
        <w:t>采购活动。按</w:t>
      </w:r>
      <w:r>
        <w:rPr>
          <w:rFonts w:hint="eastAsia" w:ascii="仿宋_GB2312" w:hAnsi="仿宋_GB2312" w:eastAsia="仿宋_GB2312" w:cs="仿宋_GB2312"/>
          <w:color w:val="000000"/>
          <w:sz w:val="21"/>
          <w:szCs w:val="21"/>
          <w:highlight w:val="none"/>
          <w:lang w:val="en-US" w:eastAsia="zh-CN"/>
        </w:rPr>
        <w:t>采购文件</w:t>
      </w:r>
      <w:r>
        <w:rPr>
          <w:rFonts w:hint="eastAsia" w:ascii="仿宋_GB2312" w:hAnsi="仿宋_GB2312" w:eastAsia="仿宋_GB2312" w:cs="仿宋_GB2312"/>
          <w:color w:val="000000"/>
          <w:sz w:val="21"/>
          <w:szCs w:val="21"/>
          <w:highlight w:val="none"/>
        </w:rPr>
        <w:t>的规定，已通过</w:t>
      </w:r>
      <w:r>
        <w:rPr>
          <w:rFonts w:hint="eastAsia" w:ascii="仿宋_GB2312" w:hAnsi="仿宋_GB2312" w:eastAsia="仿宋_GB2312" w:cs="仿宋_GB2312"/>
          <w:color w:val="000000"/>
          <w:sz w:val="21"/>
          <w:szCs w:val="21"/>
          <w:highlight w:val="none"/>
          <w:u w:val="single"/>
        </w:rPr>
        <w:t>银行转帐/银行汇款</w:t>
      </w:r>
      <w:r>
        <w:rPr>
          <w:rFonts w:hint="eastAsia" w:ascii="仿宋_GB2312" w:hAnsi="仿宋_GB2312" w:eastAsia="仿宋_GB2312" w:cs="仿宋_GB2312"/>
          <w:color w:val="000000"/>
          <w:sz w:val="21"/>
          <w:szCs w:val="21"/>
          <w:highlight w:val="none"/>
        </w:rPr>
        <w:t>形式缴纳人民币</w:t>
      </w:r>
      <w:r>
        <w:rPr>
          <w:rFonts w:hint="eastAsia" w:ascii="仿宋_GB2312" w:hAnsi="仿宋_GB2312" w:eastAsia="仿宋_GB2312" w:cs="仿宋_GB2312"/>
          <w:color w:val="000000"/>
          <w:sz w:val="21"/>
          <w:szCs w:val="21"/>
          <w:highlight w:val="none"/>
          <w:u w:val="single"/>
        </w:rPr>
        <w:t xml:space="preserve">（大写）  　　  </w:t>
      </w:r>
      <w:r>
        <w:rPr>
          <w:rFonts w:hint="eastAsia" w:ascii="仿宋_GB2312" w:hAnsi="仿宋_GB2312" w:eastAsia="仿宋_GB2312" w:cs="仿宋_GB2312"/>
          <w:color w:val="000000"/>
          <w:sz w:val="21"/>
          <w:szCs w:val="21"/>
          <w:highlight w:val="none"/>
        </w:rPr>
        <w:t>元的保证金。</w:t>
      </w:r>
    </w:p>
    <w:p>
      <w:pPr>
        <w:autoSpaceDE w:val="0"/>
        <w:autoSpaceDN w:val="0"/>
        <w:spacing w:line="360" w:lineRule="auto"/>
        <w:ind w:firstLine="420" w:firstLineChars="200"/>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退还保证金时请按以下内容划入我方帐户。若因内容不全、错误、字迹潦草模糊导致该项目保证金未能及时退还或退还过程中发生错误，我方将承担全部责任和损失。</w:t>
      </w:r>
    </w:p>
    <w:p>
      <w:pPr>
        <w:spacing w:line="360" w:lineRule="auto"/>
        <w:ind w:firstLine="420" w:firstLineChars="200"/>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供应商</w:t>
      </w:r>
      <w:r>
        <w:rPr>
          <w:rFonts w:hint="eastAsia" w:ascii="仿宋_GB2312" w:hAnsi="仿宋_GB2312" w:eastAsia="仿宋_GB2312" w:cs="仿宋_GB2312"/>
          <w:color w:val="000000"/>
          <w:sz w:val="21"/>
          <w:szCs w:val="21"/>
          <w:highlight w:val="none"/>
        </w:rPr>
        <w:t>名称：</w:t>
      </w:r>
      <w:r>
        <w:rPr>
          <w:rFonts w:hint="eastAsia" w:ascii="仿宋_GB2312" w:hAnsi="仿宋_GB2312" w:eastAsia="仿宋_GB2312" w:cs="仿宋_GB2312"/>
          <w:i/>
          <w:iCs/>
          <w:color w:val="000000"/>
          <w:sz w:val="21"/>
          <w:szCs w:val="21"/>
          <w:highlight w:val="none"/>
          <w:u w:val="single"/>
        </w:rPr>
        <w:t xml:space="preserve">                                 </w:t>
      </w:r>
      <w:r>
        <w:rPr>
          <w:rFonts w:hint="eastAsia" w:ascii="仿宋_GB2312" w:hAnsi="仿宋_GB2312" w:eastAsia="仿宋_GB2312" w:cs="仿宋_GB2312"/>
          <w:color w:val="000000"/>
          <w:sz w:val="21"/>
          <w:szCs w:val="21"/>
          <w:highlight w:val="none"/>
        </w:rPr>
        <w:t xml:space="preserve"> </w:t>
      </w:r>
    </w:p>
    <w:p>
      <w:pPr>
        <w:spacing w:line="360" w:lineRule="auto"/>
        <w:ind w:firstLine="420" w:firstLineChars="200"/>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供应商</w:t>
      </w:r>
      <w:r>
        <w:rPr>
          <w:rFonts w:hint="eastAsia" w:ascii="仿宋_GB2312" w:hAnsi="仿宋_GB2312" w:eastAsia="仿宋_GB2312" w:cs="仿宋_GB2312"/>
          <w:color w:val="000000"/>
          <w:sz w:val="21"/>
          <w:szCs w:val="21"/>
          <w:highlight w:val="none"/>
        </w:rPr>
        <w:t>开户银行：</w:t>
      </w:r>
      <w:r>
        <w:rPr>
          <w:rFonts w:hint="eastAsia" w:ascii="仿宋_GB2312" w:hAnsi="仿宋_GB2312" w:eastAsia="仿宋_GB2312" w:cs="仿宋_GB2312"/>
          <w:color w:val="000000"/>
          <w:sz w:val="21"/>
          <w:szCs w:val="21"/>
          <w:highlight w:val="none"/>
          <w:u w:val="single"/>
        </w:rPr>
        <w:t xml:space="preserve">                             </w:t>
      </w:r>
    </w:p>
    <w:p>
      <w:pPr>
        <w:spacing w:line="360" w:lineRule="auto"/>
        <w:ind w:firstLine="420" w:firstLineChars="200"/>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lang w:val="en-US" w:eastAsia="zh-CN"/>
        </w:rPr>
        <w:t>供应商</w:t>
      </w:r>
      <w:r>
        <w:rPr>
          <w:rFonts w:hint="eastAsia" w:ascii="仿宋_GB2312" w:hAnsi="仿宋_GB2312" w:eastAsia="仿宋_GB2312" w:cs="仿宋_GB2312"/>
          <w:color w:val="000000"/>
          <w:sz w:val="21"/>
          <w:szCs w:val="21"/>
          <w:highlight w:val="none"/>
        </w:rPr>
        <w:t>开户银行行号：</w:t>
      </w:r>
      <w:r>
        <w:rPr>
          <w:rFonts w:hint="eastAsia" w:ascii="仿宋_GB2312" w:hAnsi="仿宋_GB2312" w:eastAsia="仿宋_GB2312" w:cs="仿宋_GB2312"/>
          <w:color w:val="000000"/>
          <w:sz w:val="21"/>
          <w:szCs w:val="21"/>
          <w:highlight w:val="none"/>
          <w:u w:val="single"/>
        </w:rPr>
        <w:t xml:space="preserve">                         </w:t>
      </w:r>
    </w:p>
    <w:p>
      <w:pPr>
        <w:spacing w:line="360" w:lineRule="auto"/>
        <w:ind w:firstLine="420" w:firstLineChars="200"/>
        <w:rPr>
          <w:rFonts w:hint="eastAsia" w:ascii="仿宋_GB2312" w:hAnsi="仿宋_GB2312" w:eastAsia="仿宋_GB2312" w:cs="仿宋_GB2312"/>
          <w:color w:val="000000"/>
          <w:sz w:val="21"/>
          <w:szCs w:val="21"/>
          <w:highlight w:val="none"/>
          <w:u w:val="single"/>
        </w:rPr>
      </w:pPr>
      <w:r>
        <w:rPr>
          <w:rFonts w:hint="eastAsia" w:ascii="仿宋_GB2312" w:hAnsi="仿宋_GB2312" w:eastAsia="仿宋_GB2312" w:cs="仿宋_GB2312"/>
          <w:color w:val="000000"/>
          <w:sz w:val="21"/>
          <w:szCs w:val="21"/>
          <w:highlight w:val="none"/>
          <w:lang w:val="en-US" w:eastAsia="zh-CN"/>
        </w:rPr>
        <w:t>供应商</w:t>
      </w:r>
      <w:r>
        <w:rPr>
          <w:rFonts w:hint="eastAsia" w:ascii="仿宋_GB2312" w:hAnsi="仿宋_GB2312" w:eastAsia="仿宋_GB2312" w:cs="仿宋_GB2312"/>
          <w:color w:val="000000"/>
          <w:sz w:val="21"/>
          <w:szCs w:val="21"/>
          <w:highlight w:val="none"/>
        </w:rPr>
        <w:t>银行帐号：</w:t>
      </w:r>
      <w:r>
        <w:rPr>
          <w:rFonts w:hint="eastAsia" w:ascii="仿宋_GB2312" w:hAnsi="仿宋_GB2312" w:eastAsia="仿宋_GB2312" w:cs="仿宋_GB2312"/>
          <w:color w:val="000000"/>
          <w:sz w:val="21"/>
          <w:szCs w:val="21"/>
          <w:highlight w:val="none"/>
          <w:u w:val="single"/>
        </w:rPr>
        <w:t xml:space="preserve">                             </w:t>
      </w:r>
    </w:p>
    <w:p>
      <w:pPr>
        <w:adjustRightInd w:val="0"/>
        <w:snapToGrid w:val="0"/>
        <w:spacing w:line="360" w:lineRule="auto"/>
        <w:rPr>
          <w:rFonts w:hint="eastAsia" w:ascii="仿宋_GB2312" w:hAnsi="仿宋_GB2312" w:eastAsia="仿宋_GB2312" w:cs="仿宋_GB2312"/>
          <w:color w:val="000000"/>
          <w:sz w:val="21"/>
          <w:szCs w:val="21"/>
          <w:highlight w:val="none"/>
        </w:rPr>
      </w:pPr>
    </w:p>
    <w:p>
      <w:pPr>
        <w:adjustRightInd w:val="0"/>
        <w:snapToGrid w:val="0"/>
        <w:spacing w:line="360" w:lineRule="auto"/>
        <w:rPr>
          <w:rFonts w:hint="eastAsia" w:ascii="仿宋_GB2312" w:hAnsi="仿宋_GB2312" w:eastAsia="仿宋_GB2312" w:cs="仿宋_GB2312"/>
          <w:color w:val="000000"/>
          <w:sz w:val="21"/>
          <w:szCs w:val="21"/>
          <w:highlight w:val="none"/>
          <w:u w:val="single"/>
        </w:rPr>
      </w:pPr>
      <w:r>
        <w:rPr>
          <w:rFonts w:hint="eastAsia" w:ascii="仿宋_GB2312" w:hAnsi="仿宋_GB2312" w:eastAsia="仿宋_GB2312" w:cs="仿宋_GB2312"/>
          <w:color w:val="000000"/>
          <w:sz w:val="21"/>
          <w:szCs w:val="21"/>
          <w:highlight w:val="none"/>
          <w:lang w:val="en-US" w:eastAsia="zh-CN"/>
        </w:rPr>
        <w:t>供应商</w:t>
      </w:r>
      <w:r>
        <w:rPr>
          <w:rFonts w:hint="eastAsia" w:ascii="仿宋_GB2312" w:hAnsi="仿宋_GB2312" w:eastAsia="仿宋_GB2312" w:cs="仿宋_GB2312"/>
          <w:color w:val="000000"/>
          <w:sz w:val="21"/>
          <w:szCs w:val="21"/>
          <w:highlight w:val="none"/>
        </w:rPr>
        <w:t>法定代表人（或法定代表人授权代表）签字：</w:t>
      </w:r>
    </w:p>
    <w:p>
      <w:pPr>
        <w:adjustRightInd w:val="0"/>
        <w:snapToGrid w:val="0"/>
        <w:spacing w:line="360" w:lineRule="auto"/>
        <w:rPr>
          <w:rFonts w:hint="eastAsia" w:ascii="仿宋_GB2312" w:hAnsi="仿宋_GB2312" w:eastAsia="仿宋_GB2312" w:cs="仿宋_GB2312"/>
          <w:color w:val="000000"/>
          <w:sz w:val="21"/>
          <w:szCs w:val="21"/>
          <w:highlight w:val="none"/>
          <w:u w:val="single"/>
        </w:rPr>
      </w:pPr>
      <w:r>
        <w:rPr>
          <w:rFonts w:hint="eastAsia" w:ascii="仿宋_GB2312" w:hAnsi="仿宋_GB2312" w:eastAsia="仿宋_GB2312" w:cs="仿宋_GB2312"/>
          <w:color w:val="000000"/>
          <w:sz w:val="21"/>
          <w:szCs w:val="21"/>
          <w:highlight w:val="none"/>
          <w:lang w:val="en-US" w:eastAsia="zh-CN"/>
        </w:rPr>
        <w:t>供应商</w:t>
      </w:r>
      <w:r>
        <w:rPr>
          <w:rFonts w:hint="eastAsia" w:ascii="仿宋_GB2312" w:hAnsi="仿宋_GB2312" w:eastAsia="仿宋_GB2312" w:cs="仿宋_GB2312"/>
          <w:color w:val="000000"/>
          <w:sz w:val="21"/>
          <w:szCs w:val="21"/>
          <w:highlight w:val="none"/>
        </w:rPr>
        <w:t>名称（加盖公章）：</w:t>
      </w:r>
    </w:p>
    <w:p>
      <w:pPr>
        <w:adjustRightInd w:val="0"/>
        <w:snapToGrid w:val="0"/>
        <w:spacing w:line="360" w:lineRule="auto"/>
        <w:rPr>
          <w:rFonts w:hint="eastAsia" w:ascii="仿宋_GB2312" w:hAnsi="仿宋_GB2312" w:eastAsia="仿宋_GB2312" w:cs="仿宋_GB2312"/>
          <w:color w:val="000000"/>
          <w:sz w:val="21"/>
          <w:szCs w:val="21"/>
          <w:highlight w:val="none"/>
          <w:u w:val="single"/>
        </w:rPr>
      </w:pPr>
      <w:r>
        <w:rPr>
          <w:rFonts w:hint="eastAsia" w:ascii="仿宋_GB2312" w:hAnsi="仿宋_GB2312" w:eastAsia="仿宋_GB2312" w:cs="仿宋_GB2312"/>
          <w:color w:val="000000"/>
          <w:sz w:val="21"/>
          <w:szCs w:val="21"/>
          <w:highlight w:val="none"/>
        </w:rPr>
        <w:t>日期：   年   月   日</w:t>
      </w:r>
    </w:p>
    <w:p>
      <w:pPr>
        <w:widowControl w:val="0"/>
        <w:snapToGrid w:val="0"/>
        <w:spacing w:line="440" w:lineRule="exact"/>
        <w:jc w:val="both"/>
        <w:rPr>
          <w:rFonts w:hint="eastAsia" w:ascii="仿宋_GB2312" w:hAnsi="仿宋_GB2312" w:eastAsia="仿宋_GB2312" w:cs="仿宋_GB2312"/>
          <w:bCs/>
          <w:kern w:val="2"/>
          <w:sz w:val="21"/>
          <w:szCs w:val="21"/>
          <w:highlight w:val="none"/>
          <w:lang w:val="en-US" w:eastAsia="zh-CN" w:bidi="ar-SA"/>
        </w:rPr>
      </w:pPr>
    </w:p>
    <w:p>
      <w:pPr>
        <w:widowControl w:val="0"/>
        <w:snapToGrid w:val="0"/>
        <w:spacing w:line="440" w:lineRule="exact"/>
        <w:jc w:val="both"/>
        <w:rPr>
          <w:rFonts w:hint="eastAsia" w:ascii="仿宋_GB2312" w:hAnsi="仿宋_GB2312" w:eastAsia="仿宋_GB2312" w:cs="仿宋_GB2312"/>
          <w:b/>
          <w:kern w:val="2"/>
          <w:sz w:val="21"/>
          <w:szCs w:val="21"/>
          <w:highlight w:val="none"/>
          <w:lang w:val="en-US" w:eastAsia="zh-CN" w:bidi="ar-SA"/>
        </w:rPr>
      </w:pPr>
      <w:r>
        <w:rPr>
          <w:rFonts w:hint="eastAsia" w:ascii="仿宋_GB2312" w:hAnsi="仿宋_GB2312" w:eastAsia="仿宋_GB2312" w:cs="仿宋_GB2312"/>
          <w:b/>
          <w:kern w:val="2"/>
          <w:sz w:val="21"/>
          <w:szCs w:val="21"/>
          <w:highlight w:val="none"/>
          <w:lang w:val="en-US" w:eastAsia="zh-CN" w:bidi="ar-SA"/>
        </w:rPr>
        <w:t>注：为方便代理机构后续退款事宜，请供应商认真填写此函信息，并后附转帐或汇款的银行凭证复印件。</w:t>
      </w:r>
    </w:p>
    <w:tbl>
      <w:tblPr>
        <w:tblStyle w:val="26"/>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（粘贴转帐或汇款的银行凭证复印件）</w:t>
            </w:r>
          </w:p>
        </w:tc>
      </w:tr>
    </w:tbl>
    <w:p>
      <w:pPr>
        <w:keepNext w:val="0"/>
        <w:keepLines w:val="0"/>
        <w:pageBreakBefore w:val="0"/>
        <w:widowControl w:val="0"/>
        <w:tabs>
          <w:tab w:val="left" w:pos="1560"/>
          <w:tab w:val="left" w:pos="2040"/>
        </w:tabs>
        <w:kinsoku/>
        <w:wordWrap/>
        <w:overflowPunct/>
        <w:topLinePunct w:val="0"/>
        <w:autoSpaceDE w:val="0"/>
        <w:autoSpaceDN w:val="0"/>
        <w:bidi w:val="0"/>
        <w:adjustRightInd w:val="0"/>
        <w:snapToGrid w:val="0"/>
        <w:spacing w:before="0" w:line="360" w:lineRule="auto"/>
        <w:jc w:val="both"/>
        <w:textAlignment w:val="auto"/>
        <w:rPr>
          <w:rFonts w:hint="eastAsia" w:ascii="仿宋_GB2312" w:hAnsi="仿宋_GB2312" w:eastAsia="仿宋_GB2312" w:cs="仿宋_GB2312"/>
          <w:kern w:val="2"/>
          <w:sz w:val="21"/>
          <w:szCs w:val="21"/>
          <w:highlight w:val="none"/>
          <w:lang w:val="en-US" w:eastAsia="zh-CN" w:bidi="zh-CN"/>
        </w:rPr>
      </w:pPr>
    </w:p>
    <w:sectPr>
      <w:footerReference r:id="rId11" w:type="default"/>
      <w:pgSz w:w="11906" w:h="16838"/>
      <w:pgMar w:top="1440" w:right="1800" w:bottom="1440" w:left="1800" w:header="851" w:footer="992" w:gutter="0"/>
      <w:pgNumType w:fmt="decimal" w:start="1"/>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3575B28F-1DA6-480F-93A6-766F4A429770}"/>
  </w:font>
  <w:font w:name="微软雅黑">
    <w:panose1 w:val="020B0503020204020204"/>
    <w:charset w:val="86"/>
    <w:family w:val="auto"/>
    <w:pitch w:val="default"/>
    <w:sig w:usb0="80000287" w:usb1="2ACF3C50" w:usb2="00000016" w:usb3="00000000" w:csb0="0004001F" w:csb1="00000000"/>
    <w:embedRegular r:id="rId2" w:fontKey="{1A5F92EB-C4E0-4BEB-9C7B-AF02BA9D7D99}"/>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Angsana New">
    <w:altName w:val="Times New Roman"/>
    <w:panose1 w:val="02020603050405020304"/>
    <w:charset w:val="00"/>
    <w:family w:val="roman"/>
    <w:pitch w:val="default"/>
    <w:sig w:usb0="00000000" w:usb1="00000000" w:usb2="00000000" w:usb3="00000000" w:csb0="00010001" w:csb1="00000000"/>
  </w:font>
  <w:font w:name="楷体_GB2312">
    <w:altName w:val="楷体"/>
    <w:panose1 w:val="02010609030101010101"/>
    <w:charset w:val="86"/>
    <w:family w:val="modern"/>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embedRegular r:id="rId3" w:fontKey="{DB721BD6-E973-4C5D-A813-D1CBBEFF41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41"/>
      </w:rPr>
    </w:pPr>
    <w:r>
      <w:fldChar w:fldCharType="begin"/>
    </w:r>
    <w:r>
      <w:rPr>
        <w:rStyle w:val="41"/>
      </w:rPr>
      <w:instrText xml:space="preserve">PAGE  </w:instrText>
    </w:r>
    <w:r>
      <w:fldChar w:fldCharType="separate"/>
    </w:r>
    <w:r>
      <w:rPr>
        <w:rStyle w:val="41"/>
      </w:rPr>
      <w:t>8</w:t>
    </w:r>
    <w:r>
      <w:fldChar w:fldCharType="end"/>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6078"/>
        <w:tab w:val="clear" w:pos="4153"/>
        <w:tab w:val="clear" w:pos="8306"/>
      </w:tabs>
      <w:rPr>
        <w:rFonts w:hint="eastAsia" w:eastAsiaTheme="minorEastAsia"/>
        <w:lang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- 1 -</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- 1 -</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bidi w:val="0"/>
      <w:ind w:firstLine="840" w:firstLineChars="300"/>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61312" behindDoc="1" locked="0" layoutInCell="1" allowOverlap="1">
          <wp:simplePos x="0" y="0"/>
          <wp:positionH relativeFrom="column">
            <wp:posOffset>14605</wp:posOffset>
          </wp:positionH>
          <wp:positionV relativeFrom="paragraph">
            <wp:posOffset>-6985</wp:posOffset>
          </wp:positionV>
          <wp:extent cx="427355" cy="413385"/>
          <wp:effectExtent l="0" t="0" r="48895" b="438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lang w:val="en-US" w:eastAsia="zh-CN"/>
      </w:rPr>
      <w:t>新疆世纪星工程咨询有限公司</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21"/>
        <w:szCs w:val="21"/>
        <w:lang w:val="en-US" w:eastAsia="zh-CN"/>
      </w:rPr>
      <w:t>新疆乌鲁木齐市黄山街德港大厦20层</w:t>
    </w:r>
  </w:p>
  <w:p>
    <w:pPr>
      <w:pStyle w:val="19"/>
      <w:pBdr>
        <w:bottom w:val="single" w:color="auto" w:sz="4" w:space="1"/>
      </w:pBdr>
      <w:bidi w:val="0"/>
      <w:ind w:firstLine="910" w:firstLineChars="700"/>
      <w:rPr>
        <w:rFonts w:hint="eastAsia" w:ascii="仿宋_GB2312" w:hAnsi="仿宋_GB2312" w:eastAsia="仿宋_GB2312" w:cs="仿宋_GB2312"/>
        <w:sz w:val="15"/>
        <w:szCs w:val="15"/>
        <w:lang w:val="en-US" w:eastAsia="zh-CN"/>
      </w:rPr>
    </w:pPr>
    <w:r>
      <w:rPr>
        <w:rFonts w:hint="eastAsia" w:ascii="Microsoft JhengHei UI" w:hAnsi="Microsoft JhengHei UI" w:eastAsia="Microsoft JhengHei UI" w:cs="Microsoft JhengHei UI"/>
        <w:sz w:val="13"/>
        <w:szCs w:val="13"/>
        <w:lang w:val="en-US" w:eastAsia="zh-CN"/>
      </w:rPr>
      <w:t>Xinjiang Century Star Engineering Consulting Co., Ltd.</w:t>
    </w:r>
    <w:r>
      <w:rPr>
        <w:rFonts w:hint="eastAsia" w:ascii="仿宋_GB2312" w:hAnsi="仿宋_GB2312" w:eastAsia="仿宋_GB2312" w:cs="仿宋_GB2312"/>
        <w:sz w:val="13"/>
        <w:szCs w:val="13"/>
        <w:lang w:val="en-US" w:eastAsia="zh-CN"/>
      </w:rPr>
      <w:t xml:space="preserve">          </w:t>
    </w:r>
    <w:r>
      <w:rPr>
        <w:rFonts w:hint="eastAsia" w:ascii="仿宋_GB2312" w:hAnsi="仿宋_GB2312" w:eastAsia="仿宋_GB2312" w:cs="仿宋_GB2312"/>
        <w:sz w:val="16"/>
        <w:szCs w:val="16"/>
        <w:lang w:val="en-US" w:eastAsia="zh-CN"/>
      </w:rPr>
      <w:t>TEL：0991-3678303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82F1D4"/>
    <w:multiLevelType w:val="singleLevel"/>
    <w:tmpl w:val="BC82F1D4"/>
    <w:lvl w:ilvl="0" w:tentative="0">
      <w:start w:val="1"/>
      <w:numFmt w:val="chineseCounting"/>
      <w:suff w:val="space"/>
      <w:lvlText w:val="第%1章"/>
      <w:lvlJc w:val="left"/>
      <w:rPr>
        <w:rFonts w:hint="eastAsia"/>
      </w:rPr>
    </w:lvl>
  </w:abstractNum>
  <w:abstractNum w:abstractNumId="1">
    <w:nsid w:val="CB60E306"/>
    <w:multiLevelType w:val="singleLevel"/>
    <w:tmpl w:val="CB60E306"/>
    <w:lvl w:ilvl="0" w:tentative="0">
      <w:start w:val="1"/>
      <w:numFmt w:val="decimal"/>
      <w:suff w:val="nothing"/>
      <w:lvlText w:val="（%1）"/>
      <w:lvlJc w:val="left"/>
    </w:lvl>
  </w:abstractNum>
  <w:abstractNum w:abstractNumId="2">
    <w:nsid w:val="00000001"/>
    <w:multiLevelType w:val="multilevel"/>
    <w:tmpl w:val="00000001"/>
    <w:lvl w:ilvl="0" w:tentative="0">
      <w:start w:val="1"/>
      <w:numFmt w:val="bullet"/>
      <w:pStyle w:val="38"/>
      <w:lvlText w:val="-"/>
      <w:lvlJc w:val="left"/>
      <w:pPr>
        <w:tabs>
          <w:tab w:val="left" w:pos="785"/>
        </w:tabs>
        <w:ind w:left="420" w:firstLine="5"/>
      </w:pPr>
      <w:rPr>
        <w:rFonts w:hint="eastAsia" w:ascii="宋体" w:hAnsi="Wingdings" w:eastAsia="宋体"/>
      </w:rPr>
    </w:lvl>
    <w:lvl w:ilvl="1" w:tentative="0">
      <w:start w:val="1"/>
      <w:numFmt w:val="bullet"/>
      <w:lvlText w:val=""/>
      <w:lvlJc w:val="left"/>
      <w:pPr>
        <w:tabs>
          <w:tab w:val="left" w:pos="3360"/>
        </w:tabs>
        <w:ind w:left="3360" w:hanging="420"/>
      </w:pPr>
      <w:rPr>
        <w:rFonts w:hint="default" w:ascii="Wingdings" w:hAnsi="Wingdings"/>
      </w:rPr>
    </w:lvl>
    <w:lvl w:ilvl="2" w:tentative="0">
      <w:start w:val="1"/>
      <w:numFmt w:val="bullet"/>
      <w:lvlText w:val=""/>
      <w:lvlJc w:val="left"/>
      <w:pPr>
        <w:tabs>
          <w:tab w:val="left" w:pos="3780"/>
        </w:tabs>
        <w:ind w:left="3780" w:hanging="420"/>
      </w:pPr>
      <w:rPr>
        <w:rFonts w:hint="default" w:ascii="Wingdings" w:hAnsi="Wingdings"/>
      </w:rPr>
    </w:lvl>
    <w:lvl w:ilvl="3" w:tentative="0">
      <w:start w:val="1"/>
      <w:numFmt w:val="bullet"/>
      <w:lvlText w:val=""/>
      <w:lvlJc w:val="left"/>
      <w:pPr>
        <w:tabs>
          <w:tab w:val="left" w:pos="4200"/>
        </w:tabs>
        <w:ind w:left="4200" w:hanging="420"/>
      </w:pPr>
      <w:rPr>
        <w:rFonts w:hint="default" w:ascii="Wingdings" w:hAnsi="Wingdings"/>
      </w:rPr>
    </w:lvl>
    <w:lvl w:ilvl="4" w:tentative="0">
      <w:start w:val="1"/>
      <w:numFmt w:val="bullet"/>
      <w:lvlText w:val=""/>
      <w:lvlJc w:val="left"/>
      <w:pPr>
        <w:tabs>
          <w:tab w:val="left" w:pos="4620"/>
        </w:tabs>
        <w:ind w:left="4620" w:hanging="420"/>
      </w:pPr>
      <w:rPr>
        <w:rFonts w:hint="default" w:ascii="Wingdings" w:hAnsi="Wingdings"/>
      </w:rPr>
    </w:lvl>
    <w:lvl w:ilvl="5" w:tentative="0">
      <w:start w:val="1"/>
      <w:numFmt w:val="bullet"/>
      <w:lvlText w:val=""/>
      <w:lvlJc w:val="left"/>
      <w:pPr>
        <w:tabs>
          <w:tab w:val="left" w:pos="5040"/>
        </w:tabs>
        <w:ind w:left="5040" w:hanging="420"/>
      </w:pPr>
      <w:rPr>
        <w:rFonts w:hint="default" w:ascii="Wingdings" w:hAnsi="Wingdings"/>
      </w:rPr>
    </w:lvl>
    <w:lvl w:ilvl="6" w:tentative="0">
      <w:start w:val="1"/>
      <w:numFmt w:val="bullet"/>
      <w:lvlText w:val=""/>
      <w:lvlJc w:val="left"/>
      <w:pPr>
        <w:tabs>
          <w:tab w:val="left" w:pos="5460"/>
        </w:tabs>
        <w:ind w:left="5460" w:hanging="420"/>
      </w:pPr>
      <w:rPr>
        <w:rFonts w:hint="default" w:ascii="Wingdings" w:hAnsi="Wingdings"/>
      </w:rPr>
    </w:lvl>
    <w:lvl w:ilvl="7" w:tentative="0">
      <w:start w:val="1"/>
      <w:numFmt w:val="bullet"/>
      <w:lvlText w:val=""/>
      <w:lvlJc w:val="left"/>
      <w:pPr>
        <w:tabs>
          <w:tab w:val="left" w:pos="5880"/>
        </w:tabs>
        <w:ind w:left="5880" w:hanging="420"/>
      </w:pPr>
      <w:rPr>
        <w:rFonts w:hint="default" w:ascii="Wingdings" w:hAnsi="Wingdings"/>
      </w:rPr>
    </w:lvl>
    <w:lvl w:ilvl="8" w:tentative="0">
      <w:start w:val="1"/>
      <w:numFmt w:val="bullet"/>
      <w:lvlText w:val=""/>
      <w:lvlJc w:val="left"/>
      <w:pPr>
        <w:tabs>
          <w:tab w:val="left" w:pos="6300"/>
        </w:tabs>
        <w:ind w:left="6300" w:hanging="420"/>
      </w:pPr>
      <w:rPr>
        <w:rFonts w:hint="default" w:ascii="Wingdings" w:hAnsi="Wingdings"/>
      </w:rPr>
    </w:lvl>
  </w:abstractNum>
  <w:abstractNum w:abstractNumId="3">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38F42D85"/>
    <w:multiLevelType w:val="singleLevel"/>
    <w:tmpl w:val="38F42D85"/>
    <w:lvl w:ilvl="0" w:tentative="0">
      <w:start w:val="1"/>
      <w:numFmt w:val="decimal"/>
      <w:lvlText w:val="%1."/>
      <w:lvlJc w:val="left"/>
      <w:pPr>
        <w:tabs>
          <w:tab w:val="left" w:pos="312"/>
        </w:tabs>
      </w:pPr>
    </w:lvl>
  </w:abstractNum>
  <w:abstractNum w:abstractNumId="7">
    <w:nsid w:val="54B0E084"/>
    <w:multiLevelType w:val="singleLevel"/>
    <w:tmpl w:val="54B0E084"/>
    <w:lvl w:ilvl="0" w:tentative="0">
      <w:start w:val="2"/>
      <w:numFmt w:val="chineseCounting"/>
      <w:suff w:val="space"/>
      <w:lvlText w:val="第%1章"/>
      <w:lvlJc w:val="left"/>
      <w:rPr>
        <w:rFonts w:hint="eastAsia"/>
      </w:rPr>
    </w:lvl>
  </w:abstractNum>
  <w:abstractNum w:abstractNumId="8">
    <w:nsid w:val="5F6CBD6F"/>
    <w:multiLevelType w:val="singleLevel"/>
    <w:tmpl w:val="5F6CBD6F"/>
    <w:lvl w:ilvl="0" w:tentative="0">
      <w:start w:val="2"/>
      <w:numFmt w:val="decimal"/>
      <w:suff w:val="nothing"/>
      <w:lvlText w:val="（%1）"/>
      <w:lvlJc w:val="left"/>
    </w:lvl>
  </w:abstractNum>
  <w:abstractNum w:abstractNumId="9">
    <w:nsid w:val="63862E25"/>
    <w:multiLevelType w:val="singleLevel"/>
    <w:tmpl w:val="63862E25"/>
    <w:lvl w:ilvl="0" w:tentative="0">
      <w:start w:val="1"/>
      <w:numFmt w:val="decimal"/>
      <w:suff w:val="space"/>
      <w:lvlText w:val="（%1）"/>
      <w:lvlJc w:val="left"/>
    </w:lvl>
  </w:abstractNum>
  <w:abstractNum w:abstractNumId="10">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1">
    <w:nsid w:val="73E6972B"/>
    <w:multiLevelType w:val="singleLevel"/>
    <w:tmpl w:val="73E6972B"/>
    <w:lvl w:ilvl="0" w:tentative="0">
      <w:start w:val="1"/>
      <w:numFmt w:val="chineseCounting"/>
      <w:suff w:val="space"/>
      <w:lvlText w:val="%1、"/>
      <w:lvlJc w:val="left"/>
      <w:rPr>
        <w:rFonts w:hint="eastAsia"/>
      </w:rPr>
    </w:lvl>
  </w:abstractNum>
  <w:abstractNum w:abstractNumId="12">
    <w:nsid w:val="7633D9B6"/>
    <w:multiLevelType w:val="singleLevel"/>
    <w:tmpl w:val="7633D9B6"/>
    <w:lvl w:ilvl="0" w:tentative="0">
      <w:start w:val="3"/>
      <w:numFmt w:val="chineseCounting"/>
      <w:suff w:val="space"/>
      <w:lvlText w:val="第%1章"/>
      <w:lvlJc w:val="left"/>
      <w:rPr>
        <w:rFonts w:hint="eastAsia"/>
        <w:sz w:val="36"/>
        <w:szCs w:val="36"/>
      </w:rPr>
    </w:lvl>
  </w:abstractNum>
  <w:abstractNum w:abstractNumId="13">
    <w:nsid w:val="78F60E4F"/>
    <w:multiLevelType w:val="singleLevel"/>
    <w:tmpl w:val="78F60E4F"/>
    <w:lvl w:ilvl="0" w:tentative="0">
      <w:start w:val="1"/>
      <w:numFmt w:val="chineseCounting"/>
      <w:suff w:val="nothing"/>
      <w:lvlText w:val="%1、"/>
      <w:lvlJc w:val="left"/>
      <w:rPr>
        <w:rFonts w:hint="eastAsia"/>
      </w:rPr>
    </w:lvl>
  </w:abstractNum>
  <w:num w:numId="1">
    <w:abstractNumId w:val="2"/>
  </w:num>
  <w:num w:numId="2">
    <w:abstractNumId w:val="0"/>
  </w:num>
  <w:num w:numId="3">
    <w:abstractNumId w:val="11"/>
  </w:num>
  <w:num w:numId="4">
    <w:abstractNumId w:val="6"/>
  </w:num>
  <w:num w:numId="5">
    <w:abstractNumId w:val="7"/>
  </w:num>
  <w:num w:numId="6">
    <w:abstractNumId w:val="12"/>
  </w:num>
  <w:num w:numId="7">
    <w:abstractNumId w:val="13"/>
  </w:num>
  <w:num w:numId="8">
    <w:abstractNumId w:val="10"/>
  </w:num>
  <w:num w:numId="9">
    <w:abstractNumId w:val="5"/>
  </w:num>
  <w:num w:numId="10">
    <w:abstractNumId w:val="1"/>
  </w:num>
  <w:num w:numId="11">
    <w:abstractNumId w:val="9"/>
  </w:num>
  <w:num w:numId="12">
    <w:abstractNumId w:val="3"/>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5MjM0NTBmZDYwNGM2MDVlYjY5ZWY2YmE4MzYzMmUifQ=="/>
  </w:docVars>
  <w:rsids>
    <w:rsidRoot w:val="1AA24D9F"/>
    <w:rsid w:val="022E4B5C"/>
    <w:rsid w:val="02353A89"/>
    <w:rsid w:val="02D46846"/>
    <w:rsid w:val="04071455"/>
    <w:rsid w:val="05DB4A21"/>
    <w:rsid w:val="061B1E9A"/>
    <w:rsid w:val="06C4362D"/>
    <w:rsid w:val="06EC0CB6"/>
    <w:rsid w:val="07011CC2"/>
    <w:rsid w:val="07644792"/>
    <w:rsid w:val="07BE71A8"/>
    <w:rsid w:val="07F92E63"/>
    <w:rsid w:val="0822060B"/>
    <w:rsid w:val="08E17110"/>
    <w:rsid w:val="091125D6"/>
    <w:rsid w:val="09284798"/>
    <w:rsid w:val="0969226A"/>
    <w:rsid w:val="099153F6"/>
    <w:rsid w:val="09BC4A90"/>
    <w:rsid w:val="0C521516"/>
    <w:rsid w:val="0C6E02C3"/>
    <w:rsid w:val="0D211D62"/>
    <w:rsid w:val="0D646FD0"/>
    <w:rsid w:val="0D6A1561"/>
    <w:rsid w:val="0D8A6C86"/>
    <w:rsid w:val="0D9F625A"/>
    <w:rsid w:val="0E0407B3"/>
    <w:rsid w:val="0F2B6FD9"/>
    <w:rsid w:val="0F6459AD"/>
    <w:rsid w:val="10240C99"/>
    <w:rsid w:val="11286567"/>
    <w:rsid w:val="112C447C"/>
    <w:rsid w:val="1294398E"/>
    <w:rsid w:val="1324792E"/>
    <w:rsid w:val="1393060F"/>
    <w:rsid w:val="14FB29E8"/>
    <w:rsid w:val="15632263"/>
    <w:rsid w:val="15802E15"/>
    <w:rsid w:val="1585667E"/>
    <w:rsid w:val="16175528"/>
    <w:rsid w:val="16D06AED"/>
    <w:rsid w:val="16DB6B3E"/>
    <w:rsid w:val="170B3BD8"/>
    <w:rsid w:val="17363E85"/>
    <w:rsid w:val="183C240D"/>
    <w:rsid w:val="18EE62E8"/>
    <w:rsid w:val="19F31E08"/>
    <w:rsid w:val="1A664DC8"/>
    <w:rsid w:val="1A7D3DC7"/>
    <w:rsid w:val="1A824F3A"/>
    <w:rsid w:val="1A8607B2"/>
    <w:rsid w:val="1A8A6457"/>
    <w:rsid w:val="1AA24D9F"/>
    <w:rsid w:val="1AA9696A"/>
    <w:rsid w:val="1B723BA2"/>
    <w:rsid w:val="1D737A6F"/>
    <w:rsid w:val="1DCB5CE7"/>
    <w:rsid w:val="1FB05EDF"/>
    <w:rsid w:val="22491B20"/>
    <w:rsid w:val="22FD7853"/>
    <w:rsid w:val="23CF5A1D"/>
    <w:rsid w:val="24535227"/>
    <w:rsid w:val="259F7F32"/>
    <w:rsid w:val="26DB60FD"/>
    <w:rsid w:val="28665E9B"/>
    <w:rsid w:val="28DA2E89"/>
    <w:rsid w:val="29700849"/>
    <w:rsid w:val="2A4254F9"/>
    <w:rsid w:val="2B065713"/>
    <w:rsid w:val="2D1F32F4"/>
    <w:rsid w:val="2DD624DB"/>
    <w:rsid w:val="323B4D81"/>
    <w:rsid w:val="32DA370D"/>
    <w:rsid w:val="343A2504"/>
    <w:rsid w:val="34B70380"/>
    <w:rsid w:val="35B26224"/>
    <w:rsid w:val="35E13004"/>
    <w:rsid w:val="365C69BF"/>
    <w:rsid w:val="366D4898"/>
    <w:rsid w:val="36C31C10"/>
    <w:rsid w:val="382B1FBF"/>
    <w:rsid w:val="3AD43138"/>
    <w:rsid w:val="3AE174A3"/>
    <w:rsid w:val="3B810614"/>
    <w:rsid w:val="3BC74A4B"/>
    <w:rsid w:val="3BEF17D9"/>
    <w:rsid w:val="3C6109FB"/>
    <w:rsid w:val="3D1B32A0"/>
    <w:rsid w:val="3F172BE7"/>
    <w:rsid w:val="3F3314F0"/>
    <w:rsid w:val="40BE2AD0"/>
    <w:rsid w:val="40F956A6"/>
    <w:rsid w:val="421F113C"/>
    <w:rsid w:val="42AC04F6"/>
    <w:rsid w:val="42B71375"/>
    <w:rsid w:val="43446334"/>
    <w:rsid w:val="441B0361"/>
    <w:rsid w:val="448C5F4F"/>
    <w:rsid w:val="44A84E71"/>
    <w:rsid w:val="477DCE1E"/>
    <w:rsid w:val="48D6451F"/>
    <w:rsid w:val="49107A31"/>
    <w:rsid w:val="4C2061DD"/>
    <w:rsid w:val="4C8A1E18"/>
    <w:rsid w:val="4D106251"/>
    <w:rsid w:val="4D61085B"/>
    <w:rsid w:val="4D677E3B"/>
    <w:rsid w:val="4DF0398D"/>
    <w:rsid w:val="4E9C3B15"/>
    <w:rsid w:val="4EC72940"/>
    <w:rsid w:val="4F1418FD"/>
    <w:rsid w:val="51A52CE0"/>
    <w:rsid w:val="5253098E"/>
    <w:rsid w:val="525C3CE7"/>
    <w:rsid w:val="53471661"/>
    <w:rsid w:val="536A4041"/>
    <w:rsid w:val="54330A77"/>
    <w:rsid w:val="55DB36F0"/>
    <w:rsid w:val="56557314"/>
    <w:rsid w:val="56892A35"/>
    <w:rsid w:val="56A43BFE"/>
    <w:rsid w:val="56E60023"/>
    <w:rsid w:val="570D1A54"/>
    <w:rsid w:val="573E1E21"/>
    <w:rsid w:val="5778236A"/>
    <w:rsid w:val="58C61EBA"/>
    <w:rsid w:val="592A2449"/>
    <w:rsid w:val="593D0B75"/>
    <w:rsid w:val="59B241EC"/>
    <w:rsid w:val="5A571512"/>
    <w:rsid w:val="5B44356A"/>
    <w:rsid w:val="5B487E91"/>
    <w:rsid w:val="5C553C81"/>
    <w:rsid w:val="5CF9550F"/>
    <w:rsid w:val="5D6B74D4"/>
    <w:rsid w:val="5E4C10B3"/>
    <w:rsid w:val="5E781EA8"/>
    <w:rsid w:val="5E955F07"/>
    <w:rsid w:val="5EA84152"/>
    <w:rsid w:val="5EFEBDE8"/>
    <w:rsid w:val="6085265B"/>
    <w:rsid w:val="60FD0443"/>
    <w:rsid w:val="6155202D"/>
    <w:rsid w:val="622C151D"/>
    <w:rsid w:val="62361710"/>
    <w:rsid w:val="625B691D"/>
    <w:rsid w:val="626D784A"/>
    <w:rsid w:val="637F17CB"/>
    <w:rsid w:val="642B176B"/>
    <w:rsid w:val="64FD3107"/>
    <w:rsid w:val="66E52403"/>
    <w:rsid w:val="67E61C31"/>
    <w:rsid w:val="689C658E"/>
    <w:rsid w:val="68CA2609"/>
    <w:rsid w:val="68CC1AED"/>
    <w:rsid w:val="692A0243"/>
    <w:rsid w:val="69BB0F42"/>
    <w:rsid w:val="6A637494"/>
    <w:rsid w:val="6AD23432"/>
    <w:rsid w:val="6B1308BC"/>
    <w:rsid w:val="6B443679"/>
    <w:rsid w:val="6BB81877"/>
    <w:rsid w:val="6BCF62E6"/>
    <w:rsid w:val="6C8639E2"/>
    <w:rsid w:val="6CD3A16D"/>
    <w:rsid w:val="6D535020"/>
    <w:rsid w:val="6DD14312"/>
    <w:rsid w:val="6E5F49A6"/>
    <w:rsid w:val="6F23376B"/>
    <w:rsid w:val="6FBE656C"/>
    <w:rsid w:val="6FE0165C"/>
    <w:rsid w:val="6FF637CB"/>
    <w:rsid w:val="6FFF37D2"/>
    <w:rsid w:val="70127B77"/>
    <w:rsid w:val="70DE2EF1"/>
    <w:rsid w:val="71520337"/>
    <w:rsid w:val="71AA1F21"/>
    <w:rsid w:val="7221658E"/>
    <w:rsid w:val="73BF43B6"/>
    <w:rsid w:val="75203B28"/>
    <w:rsid w:val="754E0E15"/>
    <w:rsid w:val="76057F95"/>
    <w:rsid w:val="761C0D8E"/>
    <w:rsid w:val="767B4F55"/>
    <w:rsid w:val="769413F2"/>
    <w:rsid w:val="780D6D66"/>
    <w:rsid w:val="79D815F5"/>
    <w:rsid w:val="7B436597"/>
    <w:rsid w:val="7B677D27"/>
    <w:rsid w:val="7BB75966"/>
    <w:rsid w:val="7C5F4108"/>
    <w:rsid w:val="7CCF6CE0"/>
    <w:rsid w:val="7F79C282"/>
    <w:rsid w:val="7F7B6CAE"/>
    <w:rsid w:val="7FB126CD"/>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仿宋_GB2312" w:cs="Times New Roman"/>
      <w:kern w:val="2"/>
      <w:sz w:val="24"/>
      <w:szCs w:val="24"/>
      <w:lang w:val="en-US" w:eastAsia="zh-CN" w:bidi="ar-SA"/>
    </w:rPr>
  </w:style>
  <w:style w:type="paragraph" w:styleId="3">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4">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5">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6">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7">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8">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9">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10">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1">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28">
    <w:name w:val="Default Paragraph Font"/>
    <w:qFormat/>
    <w:uiPriority w:val="0"/>
    <w:rPr>
      <w:rFonts w:eastAsia="微软雅黑" w:asciiTheme="minorAscii" w:hAnsiTheme="minorAscii"/>
    </w:rPr>
  </w:style>
  <w:style w:type="table" w:default="1" w:styleId="2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qFormat/>
    <w:uiPriority w:val="1"/>
    <w:pPr>
      <w:widowControl w:val="0"/>
      <w:autoSpaceDE w:val="0"/>
      <w:autoSpaceDN w:val="0"/>
      <w:spacing w:before="0" w:after="0" w:line="240" w:lineRule="auto"/>
      <w:ind w:left="0" w:right="0"/>
      <w:jc w:val="left"/>
    </w:pPr>
    <w:rPr>
      <w:rFonts w:ascii="楷体" w:hAnsi="楷体" w:eastAsia="楷体" w:cs="楷体"/>
      <w:sz w:val="24"/>
      <w:szCs w:val="24"/>
      <w:lang w:val="zh-CN" w:eastAsia="zh-CN" w:bidi="zh-CN"/>
    </w:rPr>
  </w:style>
  <w:style w:type="paragraph" w:styleId="12">
    <w:name w:val="Normal Indent"/>
    <w:basedOn w:val="1"/>
    <w:qFormat/>
    <w:uiPriority w:val="0"/>
    <w:pPr>
      <w:adjustRightInd w:val="0"/>
      <w:spacing w:line="360" w:lineRule="atLeast"/>
      <w:ind w:firstLine="420"/>
      <w:textAlignment w:val="baseline"/>
    </w:pPr>
  </w:style>
  <w:style w:type="paragraph" w:styleId="13">
    <w:name w:val="toa heading"/>
    <w:basedOn w:val="1"/>
    <w:next w:val="1"/>
    <w:qFormat/>
    <w:uiPriority w:val="99"/>
    <w:pPr>
      <w:spacing w:before="120"/>
    </w:pPr>
    <w:rPr>
      <w:rFonts w:ascii="Arial" w:hAnsi="Arial" w:eastAsia="仿宋"/>
      <w:sz w:val="24"/>
    </w:rPr>
  </w:style>
  <w:style w:type="paragraph" w:styleId="14">
    <w:name w:val="Body Text Indent"/>
    <w:basedOn w:val="1"/>
    <w:next w:val="15"/>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5">
    <w:name w:val="envelope return"/>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6">
    <w:name w:val="Plain Text"/>
    <w:basedOn w:val="1"/>
    <w:qFormat/>
    <w:uiPriority w:val="0"/>
    <w:rPr>
      <w:sz w:val="24"/>
      <w:szCs w:val="20"/>
    </w:rPr>
  </w:style>
  <w:style w:type="paragraph" w:styleId="17">
    <w:name w:val="toc 8"/>
    <w:next w:val="1"/>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8">
    <w:name w:val="footer"/>
    <w:basedOn w:val="1"/>
    <w:qFormat/>
    <w:uiPriority w:val="99"/>
    <w:pPr>
      <w:widowControl w:val="0"/>
      <w:tabs>
        <w:tab w:val="center" w:pos="4153"/>
        <w:tab w:val="right" w:pos="8306"/>
      </w:tabs>
      <w:autoSpaceDE w:val="0"/>
      <w:autoSpaceDN w:val="0"/>
      <w:snapToGrid w:val="0"/>
      <w:spacing w:before="0" w:after="0" w:line="240" w:lineRule="auto"/>
      <w:ind w:left="0" w:right="0"/>
      <w:jc w:val="left"/>
    </w:pPr>
    <w:rPr>
      <w:rFonts w:ascii="楷体" w:hAnsi="楷体" w:eastAsia="楷体" w:cs="楷体"/>
      <w:sz w:val="18"/>
      <w:szCs w:val="18"/>
      <w:lang w:val="zh-CN" w:eastAsia="zh-CN" w:bidi="zh-CN"/>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Arial" w:hAnsi="Arial" w:eastAsia="仿宋_GB2312"/>
      <w:sz w:val="18"/>
    </w:rPr>
  </w:style>
  <w:style w:type="paragraph" w:styleId="20">
    <w:name w:val="toc 1"/>
    <w:basedOn w:val="1"/>
    <w:next w:val="1"/>
    <w:qFormat/>
    <w:uiPriority w:val="0"/>
    <w:rPr>
      <w:rFonts w:ascii="Calibri" w:hAnsi="Calibri" w:eastAsia="宋体" w:cs="Angsana New"/>
      <w:lang w:bidi="th-TH"/>
    </w:rPr>
  </w:style>
  <w:style w:type="paragraph" w:styleId="21">
    <w:name w:val="toc 6"/>
    <w:next w:val="1"/>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22">
    <w:name w:val="Body Text Indent 3"/>
    <w:basedOn w:val="1"/>
    <w:unhideWhenUsed/>
    <w:qFormat/>
    <w:uiPriority w:val="0"/>
    <w:pPr>
      <w:spacing w:after="120"/>
      <w:ind w:left="420" w:leftChars="200"/>
    </w:pPr>
    <w:rPr>
      <w:rFonts w:ascii="Calibri" w:hAnsi="Calibri" w:eastAsia="宋体" w:cs="Times New Roman"/>
      <w:kern w:val="0"/>
      <w:sz w:val="16"/>
      <w:szCs w:val="16"/>
    </w:rPr>
  </w:style>
  <w:style w:type="paragraph" w:styleId="23">
    <w:name w:val="Normal (Web)"/>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4">
    <w:name w:val="Body Text First Indent"/>
    <w:basedOn w:val="2"/>
    <w:next w:val="21"/>
    <w:qFormat/>
    <w:uiPriority w:val="99"/>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25">
    <w:name w:val="Body Text First Indent 2"/>
    <w:basedOn w:val="14"/>
    <w:next w:val="24"/>
    <w:unhideWhenUsed/>
    <w:qFormat/>
    <w:uiPriority w:val="99"/>
    <w:pPr>
      <w:widowControl w:val="0"/>
      <w:spacing w:after="120" w:line="360" w:lineRule="auto"/>
      <w:ind w:left="420" w:leftChars="200" w:firstLine="420" w:firstLineChars="200"/>
      <w:jc w:val="both"/>
    </w:pPr>
    <w:rPr>
      <w:rFonts w:ascii="Times New Roman" w:hAnsi="Times New Roman" w:eastAsia="仿宋_GB2312" w:cstheme="minorBidi"/>
      <w:kern w:val="0"/>
      <w:sz w:val="24"/>
      <w:szCs w:val="24"/>
      <w:lang w:val="en-US" w:eastAsia="zh-CN" w:bidi="ar-SA"/>
    </w:rPr>
  </w:style>
  <w:style w:type="table" w:styleId="27">
    <w:name w:val="Table Grid"/>
    <w:basedOn w:val="26"/>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0"/>
    <w:rPr>
      <w:b/>
    </w:rPr>
  </w:style>
  <w:style w:type="paragraph" w:customStyle="1" w:styleId="30">
    <w:name w:val="Default"/>
    <w:next w:val="31"/>
    <w:qFormat/>
    <w:uiPriority w:val="0"/>
    <w:pPr>
      <w:widowControl w:val="0"/>
      <w:tabs>
        <w:tab w:val="left" w:pos="924"/>
      </w:tabs>
      <w:autoSpaceDE w:val="0"/>
      <w:autoSpaceDN w:val="0"/>
      <w:adjustRightInd w:val="0"/>
    </w:pPr>
    <w:rPr>
      <w:rFonts w:ascii="Arial" w:hAnsi="Arial" w:eastAsia="宋体" w:cs="Arial"/>
      <w:color w:val="000000"/>
      <w:sz w:val="24"/>
      <w:szCs w:val="24"/>
      <w:lang w:val="en-US" w:eastAsia="zh-CN" w:bidi="ar-SA"/>
    </w:rPr>
  </w:style>
  <w:style w:type="paragraph" w:customStyle="1" w:styleId="31">
    <w:name w:val="明显引用1"/>
    <w:basedOn w:val="1"/>
    <w:next w:val="1"/>
    <w:qFormat/>
    <w:uiPriority w:val="0"/>
    <w:pPr>
      <w:wordWrap w:val="0"/>
      <w:spacing w:before="360" w:after="360"/>
      <w:ind w:left="950" w:right="950"/>
      <w:jc w:val="center"/>
    </w:pPr>
    <w:rPr>
      <w:rFonts w:ascii="Times New Roman" w:hAnsi="Times New Roman" w:eastAsia="宋体" w:cs="Times New Roman"/>
      <w:i/>
      <w:sz w:val="21"/>
    </w:rPr>
  </w:style>
  <w:style w:type="paragraph" w:customStyle="1" w:styleId="32">
    <w:name w:val="WPSOffice手动目录 1"/>
    <w:qFormat/>
    <w:uiPriority w:val="0"/>
    <w:pPr>
      <w:ind w:leftChars="0"/>
    </w:pPr>
    <w:rPr>
      <w:rFonts w:ascii="Times New Roman" w:hAnsi="Times New Roman" w:eastAsia="宋体" w:cs="Times New Roman"/>
      <w:sz w:val="20"/>
      <w:szCs w:val="20"/>
    </w:rPr>
  </w:style>
  <w:style w:type="paragraph" w:customStyle="1" w:styleId="33">
    <w:name w:val="WPSOffice手动目录 2"/>
    <w:qFormat/>
    <w:uiPriority w:val="0"/>
    <w:pPr>
      <w:ind w:leftChars="200"/>
    </w:pPr>
    <w:rPr>
      <w:rFonts w:ascii="Times New Roman" w:hAnsi="Times New Roman" w:eastAsia="宋体" w:cs="Times New Roman"/>
      <w:sz w:val="20"/>
      <w:szCs w:val="20"/>
    </w:rPr>
  </w:style>
  <w:style w:type="paragraph" w:customStyle="1" w:styleId="34">
    <w:name w:val="Table Paragraph"/>
    <w:basedOn w:val="1"/>
    <w:qFormat/>
    <w:uiPriority w:val="1"/>
    <w:rPr>
      <w:rFonts w:ascii="宋体" w:hAnsi="宋体" w:cs="宋体"/>
      <w:lang w:val="zh-CN" w:bidi="zh-CN"/>
    </w:rPr>
  </w:style>
  <w:style w:type="paragraph" w:styleId="35">
    <w:name w:val="List Paragraph"/>
    <w:basedOn w:val="1"/>
    <w:qFormat/>
    <w:uiPriority w:val="34"/>
    <w:pPr>
      <w:ind w:firstLine="420" w:firstLineChars="200"/>
    </w:pPr>
    <w:rPr>
      <w:rFonts w:ascii="Calibri" w:hAnsi="Calibri"/>
    </w:rPr>
  </w:style>
  <w:style w:type="paragraph" w:customStyle="1" w:styleId="36">
    <w:name w:val="U_正文2"/>
    <w:basedOn w:val="1"/>
    <w:qFormat/>
    <w:uiPriority w:val="0"/>
    <w:pPr>
      <w:spacing w:beforeLines="10" w:afterLines="10" w:line="300" w:lineRule="auto"/>
    </w:pPr>
    <w:rPr>
      <w:sz w:val="24"/>
      <w:szCs w:val="20"/>
    </w:rPr>
  </w:style>
  <w:style w:type="paragraph" w:customStyle="1" w:styleId="37">
    <w:name w:val="U_正文"/>
    <w:basedOn w:val="1"/>
    <w:qFormat/>
    <w:uiPriority w:val="0"/>
    <w:pPr>
      <w:spacing w:beforeLines="20" w:afterLines="20" w:line="300" w:lineRule="auto"/>
      <w:ind w:firstLine="200" w:firstLineChars="200"/>
    </w:pPr>
    <w:rPr>
      <w:sz w:val="24"/>
      <w:szCs w:val="20"/>
    </w:rPr>
  </w:style>
  <w:style w:type="paragraph" w:customStyle="1" w:styleId="38">
    <w:name w:val="U_编号2"/>
    <w:basedOn w:val="1"/>
    <w:qFormat/>
    <w:uiPriority w:val="0"/>
    <w:pPr>
      <w:numPr>
        <w:ilvl w:val="0"/>
        <w:numId w:val="1"/>
      </w:numPr>
      <w:spacing w:beforeLines="10" w:afterLines="10" w:line="300" w:lineRule="auto"/>
    </w:pPr>
    <w:rPr>
      <w:sz w:val="24"/>
      <w:szCs w:val="20"/>
    </w:rPr>
  </w:style>
  <w:style w:type="paragraph" w:customStyle="1" w:styleId="39">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40">
    <w:name w:val="正文文本缩进1"/>
    <w:basedOn w:val="1"/>
    <w:qFormat/>
    <w:uiPriority w:val="0"/>
    <w:pPr>
      <w:ind w:firstLine="630"/>
    </w:pPr>
    <w:rPr>
      <w:rFonts w:ascii="Times New Roman" w:hAnsi="Times New Roman" w:eastAsia="楷体_GB2312"/>
      <w:kern w:val="0"/>
      <w:sz w:val="30"/>
      <w:szCs w:val="20"/>
    </w:rPr>
  </w:style>
  <w:style w:type="character" w:customStyle="1" w:styleId="41">
    <w:name w:val="页码1"/>
    <w:qFormat/>
    <w:uiPriority w:val="0"/>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97</Pages>
  <Words>46416</Words>
  <Characters>48911</Characters>
  <Lines>1</Lines>
  <Paragraphs>1</Paragraphs>
  <TotalTime>22</TotalTime>
  <ScaleCrop>false</ScaleCrop>
  <LinksUpToDate>false</LinksUpToDate>
  <CharactersWithSpaces>51231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lihang</dc:creator>
  <cp:lastModifiedBy>范胜星</cp:lastModifiedBy>
  <cp:lastPrinted>2023-06-27T08:41:00Z</cp:lastPrinted>
  <dcterms:modified xsi:type="dcterms:W3CDTF">2023-09-27T05:23:05Z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7864CF11849F44C98496F9A77918DEE3_13</vt:lpwstr>
  </property>
</Properties>
</file>