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cs="仿宋"/>
        </w:rPr>
      </w:pPr>
    </w:p>
    <w:p>
      <w:pPr>
        <w:jc w:val="center"/>
        <w:rPr>
          <w:rFonts w:ascii="仿宋" w:hAnsi="仿宋" w:eastAsia="仿宋" w:cs="仿宋"/>
          <w:b/>
          <w:bCs/>
          <w:sz w:val="56"/>
          <w:szCs w:val="72"/>
        </w:rPr>
      </w:pPr>
    </w:p>
    <w:p>
      <w:pPr>
        <w:jc w:val="center"/>
        <w:rPr>
          <w:rFonts w:ascii="仿宋" w:hAnsi="仿宋" w:eastAsia="仿宋" w:cs="仿宋"/>
          <w:b/>
          <w:bCs/>
          <w:sz w:val="56"/>
          <w:szCs w:val="72"/>
        </w:rPr>
      </w:pPr>
    </w:p>
    <w:p>
      <w:pPr>
        <w:jc w:val="center"/>
        <w:rPr>
          <w:rFonts w:ascii="仿宋" w:hAnsi="仿宋" w:eastAsia="仿宋" w:cs="仿宋"/>
          <w:b/>
          <w:bCs/>
          <w:sz w:val="72"/>
          <w:szCs w:val="72"/>
        </w:rPr>
      </w:pPr>
      <w:r>
        <w:rPr>
          <w:rFonts w:hint="eastAsia" w:ascii="仿宋" w:hAnsi="仿宋" w:eastAsia="仿宋" w:cs="仿宋"/>
          <w:b/>
          <w:bCs/>
          <w:sz w:val="56"/>
          <w:szCs w:val="72"/>
        </w:rPr>
        <w:t>磋商文件</w:t>
      </w:r>
    </w:p>
    <w:p>
      <w:pPr>
        <w:jc w:val="center"/>
        <w:rPr>
          <w:rFonts w:ascii="仿宋" w:hAnsi="仿宋" w:eastAsia="仿宋" w:cs="仿宋"/>
          <w:b/>
          <w:bCs/>
          <w:color w:val="0000FF"/>
          <w:sz w:val="24"/>
          <w:szCs w:val="24"/>
        </w:rPr>
      </w:pPr>
      <w:r>
        <w:rPr>
          <w:rFonts w:hint="eastAsia" w:ascii="仿宋" w:hAnsi="仿宋" w:eastAsia="仿宋" w:cs="仿宋"/>
          <w:b/>
          <w:bCs/>
          <w:color w:val="0000FF"/>
          <w:sz w:val="24"/>
          <w:szCs w:val="24"/>
        </w:rPr>
        <w:t>(项目编码：XJDH-YKD2023-</w:t>
      </w:r>
      <w:r>
        <w:rPr>
          <w:rFonts w:hint="eastAsia" w:ascii="仿宋" w:hAnsi="仿宋" w:eastAsia="仿宋" w:cs="仿宋"/>
          <w:b/>
          <w:bCs/>
          <w:color w:val="0000FF"/>
          <w:sz w:val="24"/>
          <w:szCs w:val="24"/>
          <w:lang w:val="en-US" w:eastAsia="zh-CN"/>
        </w:rPr>
        <w:t>094</w:t>
      </w:r>
      <w:r>
        <w:rPr>
          <w:rFonts w:hint="eastAsia" w:ascii="仿宋" w:hAnsi="仿宋" w:eastAsia="仿宋" w:cs="仿宋"/>
          <w:b/>
          <w:bCs/>
          <w:color w:val="0000FF"/>
          <w:sz w:val="24"/>
          <w:szCs w:val="24"/>
        </w:rPr>
        <w:t>)</w:t>
      </w:r>
    </w:p>
    <w:p>
      <w:pPr>
        <w:rPr>
          <w:rFonts w:ascii="仿宋" w:hAnsi="仿宋" w:eastAsia="仿宋" w:cs="仿宋"/>
          <w:b/>
          <w:bCs/>
        </w:rPr>
      </w:pPr>
    </w:p>
    <w:p>
      <w:pPr>
        <w:rPr>
          <w:rFonts w:ascii="仿宋" w:hAnsi="仿宋" w:eastAsia="仿宋" w:cs="仿宋"/>
          <w:b/>
          <w:bCs/>
        </w:rPr>
      </w:pPr>
    </w:p>
    <w:p>
      <w:pPr>
        <w:pStyle w:val="5"/>
        <w:ind w:left="0" w:firstLine="0"/>
        <w:rPr>
          <w:rFonts w:ascii="仿宋" w:hAnsi="仿宋" w:eastAsia="仿宋" w:cs="仿宋"/>
        </w:rPr>
      </w:pPr>
    </w:p>
    <w:p>
      <w:pPr>
        <w:rPr>
          <w:rFonts w:ascii="仿宋" w:hAnsi="仿宋" w:eastAsia="仿宋" w:cs="仿宋"/>
          <w:b/>
          <w:bCs/>
        </w:rPr>
      </w:pPr>
    </w:p>
    <w:p>
      <w:pPr>
        <w:rPr>
          <w:rFonts w:ascii="仿宋" w:hAnsi="仿宋" w:eastAsia="仿宋" w:cs="仿宋"/>
          <w:b/>
          <w:bCs/>
        </w:rPr>
      </w:pPr>
    </w:p>
    <w:p>
      <w:pPr>
        <w:spacing w:line="360" w:lineRule="auto"/>
        <w:ind w:left="2101" w:leftChars="334" w:hanging="1400" w:hangingChars="500"/>
        <w:rPr>
          <w:rFonts w:ascii="仿宋" w:hAnsi="仿宋" w:eastAsia="仿宋" w:cs="仿宋"/>
          <w:b/>
          <w:bCs/>
          <w:sz w:val="28"/>
          <w:szCs w:val="28"/>
        </w:rPr>
      </w:pPr>
      <w:r>
        <w:rPr>
          <w:rFonts w:hint="eastAsia" w:ascii="仿宋" w:hAnsi="仿宋" w:eastAsia="仿宋" w:cs="仿宋"/>
          <w:b/>
          <w:bCs/>
          <w:sz w:val="28"/>
          <w:szCs w:val="28"/>
        </w:rPr>
        <w:t>项目名称：新疆医科大学第五附属医院网络机房系统运维项目</w:t>
      </w:r>
    </w:p>
    <w:p>
      <w:pPr>
        <w:spacing w:line="360" w:lineRule="auto"/>
        <w:ind w:left="2101" w:leftChars="334" w:hanging="1400" w:hangingChars="500"/>
        <w:rPr>
          <w:rFonts w:ascii="仿宋" w:hAnsi="仿宋" w:eastAsia="仿宋" w:cs="仿宋"/>
          <w:b/>
          <w:bCs/>
          <w:sz w:val="28"/>
          <w:szCs w:val="28"/>
        </w:rPr>
      </w:pPr>
      <w:r>
        <w:rPr>
          <w:rFonts w:hint="eastAsia" w:ascii="仿宋" w:hAnsi="仿宋" w:eastAsia="仿宋" w:cs="仿宋"/>
          <w:b/>
          <w:bCs/>
          <w:sz w:val="28"/>
          <w:szCs w:val="28"/>
        </w:rPr>
        <w:t>采购单位（盖章）：新疆医科大学第五附属</w: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联 系 人: 刘懿萱</w:t>
      </w:r>
    </w:p>
    <w:p>
      <w:pPr>
        <w:spacing w:line="360" w:lineRule="auto"/>
        <w:ind w:firstLine="700" w:firstLineChars="250"/>
        <w:rPr>
          <w:rFonts w:ascii="仿宋" w:hAnsi="仿宋" w:eastAsia="仿宋" w:cs="仿宋"/>
          <w:b/>
          <w:bCs/>
          <w:spacing w:val="-12"/>
          <w:sz w:val="28"/>
          <w:szCs w:val="28"/>
        </w:rPr>
      </w:pPr>
      <w:r>
        <w:rPr>
          <w:rFonts w:hint="eastAsia" w:ascii="仿宋" w:hAnsi="仿宋" w:eastAsia="仿宋" w:cs="仿宋"/>
          <w:b/>
          <w:bCs/>
          <w:sz w:val="28"/>
          <w:szCs w:val="28"/>
        </w:rPr>
        <w:t>电    话：0991-7598403</w: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详细地址：乌鲁木齐市新市区河南西路118号</w:t>
      </w:r>
    </w:p>
    <w:p>
      <w:pPr>
        <w:spacing w:line="360" w:lineRule="auto"/>
        <w:ind w:firstLine="747" w:firstLineChars="356"/>
        <w:rPr>
          <w:rFonts w:ascii="仿宋" w:hAnsi="仿宋" w:eastAsia="仿宋" w:cs="仿宋"/>
          <w:b/>
          <w:bCs/>
          <w:sz w:val="24"/>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100965</wp:posOffset>
                </wp:positionV>
                <wp:extent cx="5000625" cy="0"/>
                <wp:effectExtent l="0" t="0" r="0" b="0"/>
                <wp:wrapNone/>
                <wp:docPr id="4" name="直线 2"/>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12700" cap="rnd">
                          <a:solidFill>
                            <a:srgbClr val="000000"/>
                          </a:solidFill>
                          <a:prstDash val="sysDot"/>
                          <a:round/>
                        </a:ln>
                        <a:effectLst/>
                      </wps:spPr>
                      <wps:bodyPr/>
                    </wps:wsp>
                  </a:graphicData>
                </a:graphic>
              </wp:anchor>
            </w:drawing>
          </mc:Choice>
          <mc:Fallback>
            <w:pict>
              <v:line id="直线 2" o:spid="_x0000_s1026" o:spt="20" style="position:absolute;left:0pt;margin-left:36.75pt;margin-top:7.95pt;height:0pt;width:393.75pt;z-index:251661312;mso-width-relative:page;mso-height-relative:page;" filled="f" stroked="t" coordsize="21600,21600" o:gfxdata="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feC9kAAAAIAQAADwAAAAAAAAABACAAAAAiAAAAZHJzL2Rvd25yZXYueG1sUEsBAhQAFAAA&#10;AAgAh07iQKP4cuDuAQAA1AMAAA4AAAAAAAAAAQAgAAAAKAEAAGRycy9lMm9Eb2MueG1sUEsFBgAA&#10;AAAGAAYAWQEAAIgFAAAAAA==&#10;">
                <v:fill on="f" focussize="0,0"/>
                <v:stroke weight="1pt" color="#000000" joinstyle="round" dashstyle="1 1" endcap="round"/>
                <v:imagedata o:title=""/>
                <o:lock v:ext="edit" aspectratio="f"/>
              </v:line>
            </w:pict>
          </mc:Fallback>
        </mc:AlternateConten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代理机构（盖章）：新疆德鸿项目管理咨询有限公司</w: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 xml:space="preserve">法定代表人（盖章）： </w: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联系人：李娟娟、吴楚</w:t>
      </w:r>
    </w:p>
    <w:p>
      <w:pPr>
        <w:spacing w:line="360" w:lineRule="auto"/>
        <w:ind w:firstLine="700" w:firstLineChars="250"/>
        <w:rPr>
          <w:rFonts w:ascii="仿宋" w:hAnsi="仿宋" w:eastAsia="仿宋" w:cs="仿宋"/>
          <w:b/>
          <w:bCs/>
          <w:sz w:val="28"/>
          <w:szCs w:val="28"/>
        </w:rPr>
      </w:pPr>
      <w:r>
        <w:rPr>
          <w:rFonts w:hint="eastAsia" w:ascii="仿宋" w:hAnsi="仿宋" w:eastAsia="仿宋" w:cs="仿宋"/>
          <w:b/>
          <w:bCs/>
          <w:sz w:val="28"/>
          <w:szCs w:val="28"/>
        </w:rPr>
        <w:t>电  话：0991-4833203</w:t>
      </w:r>
    </w:p>
    <w:p>
      <w:pPr>
        <w:spacing w:line="360" w:lineRule="auto"/>
        <w:ind w:left="2078" w:leftChars="334" w:hanging="1377" w:hangingChars="492"/>
        <w:rPr>
          <w:rFonts w:ascii="仿宋" w:hAnsi="仿宋" w:eastAsia="仿宋" w:cs="仿宋"/>
          <w:b/>
          <w:bCs/>
          <w:sz w:val="28"/>
          <w:szCs w:val="28"/>
        </w:rPr>
      </w:pPr>
      <w:r>
        <w:rPr>
          <w:rFonts w:hint="eastAsia" w:ascii="仿宋" w:hAnsi="仿宋" w:eastAsia="仿宋" w:cs="仿宋"/>
          <w:b/>
          <w:bCs/>
          <w:sz w:val="28"/>
          <w:szCs w:val="28"/>
        </w:rPr>
        <w:t>详细地址：乌鲁木齐市友好北路706号昊泰明慧园B座18楼1803室</w:t>
      </w:r>
    </w:p>
    <w:p>
      <w:pPr>
        <w:jc w:val="center"/>
        <w:rPr>
          <w:rFonts w:ascii="仿宋" w:hAnsi="仿宋" w:eastAsia="仿宋" w:cs="仿宋"/>
          <w:b/>
          <w:sz w:val="24"/>
        </w:rPr>
      </w:pPr>
    </w:p>
    <w:p>
      <w:pPr>
        <w:ind w:firstLine="3960" w:firstLineChars="900"/>
        <w:rPr>
          <w:rFonts w:ascii="仿宋" w:hAnsi="仿宋" w:eastAsia="仿宋" w:cs="仿宋"/>
          <w:sz w:val="44"/>
        </w:rPr>
      </w:pPr>
    </w:p>
    <w:p>
      <w:pPr>
        <w:ind w:firstLine="3960" w:firstLineChars="900"/>
        <w:rPr>
          <w:rFonts w:ascii="仿宋" w:hAnsi="仿宋" w:eastAsia="仿宋" w:cs="仿宋"/>
          <w:sz w:val="44"/>
        </w:rPr>
      </w:pPr>
    </w:p>
    <w:p>
      <w:pPr>
        <w:tabs>
          <w:tab w:val="left" w:pos="2700"/>
        </w:tabs>
        <w:spacing w:before="624" w:beforeLines="200" w:line="360" w:lineRule="auto"/>
        <w:ind w:firstLine="723"/>
        <w:jc w:val="center"/>
        <w:rPr>
          <w:rFonts w:ascii="仿宋" w:hAnsi="仿宋" w:eastAsia="仿宋" w:cs="仿宋"/>
          <w:sz w:val="44"/>
          <w:szCs w:val="44"/>
        </w:rPr>
        <w:sectPr>
          <w:headerReference r:id="rId3" w:type="first"/>
          <w:footerReference r:id="rId4" w:type="default"/>
          <w:pgSz w:w="11906" w:h="16838"/>
          <w:pgMar w:top="1247" w:right="1134" w:bottom="1247" w:left="1134" w:header="851" w:footer="851" w:gutter="0"/>
          <w:cols w:space="720" w:num="1"/>
          <w:docGrid w:type="linesAndChars" w:linePitch="312" w:charSpace="0"/>
        </w:sectPr>
      </w:pPr>
    </w:p>
    <w:p>
      <w:pPr>
        <w:tabs>
          <w:tab w:val="left" w:pos="2700"/>
        </w:tabs>
        <w:spacing w:line="360" w:lineRule="auto"/>
        <w:ind w:firstLine="3520" w:firstLineChars="800"/>
        <w:rPr>
          <w:rFonts w:ascii="仿宋" w:hAnsi="仿宋" w:eastAsia="仿宋" w:cs="仿宋"/>
          <w:sz w:val="44"/>
          <w:szCs w:val="44"/>
        </w:rPr>
      </w:pPr>
      <w:r>
        <w:rPr>
          <w:rFonts w:hint="eastAsia" w:ascii="仿宋" w:hAnsi="仿宋" w:eastAsia="仿宋" w:cs="仿宋"/>
          <w:sz w:val="44"/>
          <w:szCs w:val="44"/>
        </w:rPr>
        <w:t>目    录</w:t>
      </w:r>
    </w:p>
    <w:p>
      <w:pPr>
        <w:pStyle w:val="31"/>
        <w:tabs>
          <w:tab w:val="right" w:leader="dot" w:pos="8296"/>
        </w:tabs>
        <w:spacing w:before="0" w:after="0"/>
        <w:ind w:firstLine="0" w:firstLineChars="0"/>
        <w:rPr>
          <w:rFonts w:ascii="仿宋" w:hAnsi="仿宋" w:eastAsia="仿宋" w:cs="仿宋"/>
          <w:b w:val="0"/>
          <w:bCs w:val="0"/>
          <w:cap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TOC \o "1-2" \h \z \u</w:instrText>
      </w:r>
      <w:r>
        <w:rPr>
          <w:rFonts w:hint="eastAsia" w:ascii="仿宋" w:hAnsi="仿宋" w:eastAsia="仿宋" w:cs="仿宋"/>
          <w:b w:val="0"/>
          <w:bCs w:val="0"/>
          <w:sz w:val="24"/>
          <w:szCs w:val="24"/>
        </w:rPr>
        <w:fldChar w:fldCharType="separate"/>
      </w:r>
      <w:r>
        <w:fldChar w:fldCharType="begin"/>
      </w:r>
      <w:r>
        <w:instrText xml:space="preserve"> HYPERLINK \l "_Toc65158524" </w:instrText>
      </w:r>
      <w:r>
        <w:fldChar w:fldCharType="separate"/>
      </w:r>
      <w:r>
        <w:rPr>
          <w:rStyle w:val="50"/>
          <w:rFonts w:hint="eastAsia" w:ascii="仿宋" w:hAnsi="仿宋" w:eastAsia="仿宋" w:cs="仿宋"/>
          <w:b w:val="0"/>
          <w:bCs w:val="0"/>
          <w:color w:val="auto"/>
          <w:sz w:val="24"/>
          <w:szCs w:val="24"/>
        </w:rPr>
        <w:t>第一章、磋商公告</w:t>
      </w:r>
      <w:r>
        <w:rPr>
          <w:rFonts w:hint="eastAsia" w:ascii="仿宋" w:hAnsi="仿宋" w:eastAsia="仿宋" w:cs="仿宋"/>
          <w:b w:val="0"/>
          <w:bCs w:val="0"/>
          <w:sz w:val="24"/>
          <w:szCs w:val="24"/>
        </w:rPr>
        <w:tab/>
      </w:r>
      <w:r>
        <w:rPr>
          <w:rFonts w:hint="eastAsia" w:ascii="仿宋" w:hAnsi="仿宋" w:eastAsia="仿宋" w:cs="仿宋"/>
          <w:b w:val="0"/>
          <w:bCs w:val="0"/>
          <w:sz w:val="24"/>
          <w:szCs w:val="24"/>
        </w:rPr>
        <w:t>2</w:t>
      </w:r>
      <w:r>
        <w:rPr>
          <w:rFonts w:hint="eastAsia" w:ascii="仿宋" w:hAnsi="仿宋" w:eastAsia="仿宋" w:cs="仿宋"/>
          <w:b w:val="0"/>
          <w:bCs w:val="0"/>
          <w:sz w:val="24"/>
          <w:szCs w:val="24"/>
        </w:rPr>
        <w:fldChar w:fldCharType="end"/>
      </w:r>
    </w:p>
    <w:p>
      <w:pPr>
        <w:pStyle w:val="31"/>
        <w:tabs>
          <w:tab w:val="right" w:leader="dot" w:pos="8296"/>
        </w:tabs>
        <w:spacing w:before="0" w:after="0"/>
        <w:ind w:firstLine="0" w:firstLineChars="0"/>
        <w:rPr>
          <w:rFonts w:ascii="仿宋" w:hAnsi="仿宋" w:eastAsia="仿宋" w:cs="仿宋"/>
          <w:b w:val="0"/>
          <w:bCs w:val="0"/>
          <w:caps w:val="0"/>
          <w:sz w:val="24"/>
          <w:szCs w:val="24"/>
        </w:rPr>
      </w:pPr>
      <w:r>
        <w:fldChar w:fldCharType="begin"/>
      </w:r>
      <w:r>
        <w:instrText xml:space="preserve"> HYPERLINK \l "_Toc65158525" </w:instrText>
      </w:r>
      <w:r>
        <w:fldChar w:fldCharType="separate"/>
      </w:r>
      <w:r>
        <w:rPr>
          <w:rStyle w:val="50"/>
          <w:rFonts w:hint="eastAsia" w:ascii="仿宋" w:hAnsi="仿宋" w:eastAsia="仿宋" w:cs="仿宋"/>
          <w:b w:val="0"/>
          <w:bCs w:val="0"/>
          <w:color w:val="auto"/>
          <w:sz w:val="24"/>
          <w:szCs w:val="24"/>
        </w:rPr>
        <w:t>第二章、响应须知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"_Toc65158526" </w:instrText>
      </w:r>
      <w:r>
        <w:fldChar w:fldCharType="separate"/>
      </w:r>
      <w:r>
        <w:rPr>
          <w:rStyle w:val="50"/>
          <w:rFonts w:hint="eastAsia" w:ascii="仿宋" w:hAnsi="仿宋" w:eastAsia="仿宋" w:cs="仿宋"/>
          <w:color w:val="auto"/>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t>4</w:t>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"_Toc65158527" </w:instrText>
      </w:r>
      <w:r>
        <w:fldChar w:fldCharType="separate"/>
      </w:r>
      <w:r>
        <w:rPr>
          <w:rStyle w:val="50"/>
          <w:rFonts w:hint="eastAsia" w:ascii="仿宋" w:hAnsi="仿宋" w:eastAsia="仿宋" w:cs="仿宋"/>
          <w:color w:val="auto"/>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_Toc65158527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"_Toc65158528" </w:instrText>
      </w:r>
      <w:r>
        <w:fldChar w:fldCharType="separate"/>
      </w:r>
      <w:r>
        <w:rPr>
          <w:rStyle w:val="50"/>
          <w:rFonts w:hint="eastAsia" w:ascii="仿宋" w:hAnsi="仿宋" w:eastAsia="仿宋" w:cs="仿宋"/>
          <w:color w:val="auto"/>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_Toc65158528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"_Toc65158529" </w:instrText>
      </w:r>
      <w:r>
        <w:fldChar w:fldCharType="separate"/>
      </w:r>
      <w:r>
        <w:rPr>
          <w:rStyle w:val="50"/>
          <w:rFonts w:hint="eastAsia" w:ascii="仿宋" w:hAnsi="仿宋" w:eastAsia="仿宋" w:cs="仿宋"/>
          <w:color w:val="auto"/>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_Toc65158529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"_Toc65158530" </w:instrText>
      </w:r>
      <w:r>
        <w:fldChar w:fldCharType="separate"/>
      </w:r>
      <w:r>
        <w:rPr>
          <w:rStyle w:val="50"/>
          <w:rFonts w:hint="eastAsia" w:ascii="仿宋" w:hAnsi="仿宋" w:eastAsia="仿宋" w:cs="仿宋"/>
          <w:color w:val="auto"/>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_Toc65158530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"_Toc65158531" </w:instrText>
      </w:r>
      <w:r>
        <w:fldChar w:fldCharType="separate"/>
      </w:r>
      <w:r>
        <w:rPr>
          <w:rStyle w:val="50"/>
          <w:rFonts w:hint="eastAsia" w:ascii="仿宋" w:hAnsi="仿宋" w:eastAsia="仿宋" w:cs="仿宋"/>
          <w:color w:val="auto"/>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_Toc65158531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"_Toc65158532" </w:instrText>
      </w:r>
      <w:r>
        <w:fldChar w:fldCharType="separate"/>
      </w:r>
      <w:r>
        <w:rPr>
          <w:rStyle w:val="50"/>
          <w:rFonts w:hint="eastAsia" w:ascii="仿宋" w:hAnsi="仿宋" w:eastAsia="仿宋" w:cs="仿宋"/>
          <w:color w:val="auto"/>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_Toc65158532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"_Toc65158533" </w:instrText>
      </w:r>
      <w:r>
        <w:fldChar w:fldCharType="separate"/>
      </w:r>
      <w:r>
        <w:rPr>
          <w:rStyle w:val="50"/>
          <w:rFonts w:hint="eastAsia" w:ascii="仿宋" w:hAnsi="仿宋" w:eastAsia="仿宋" w:cs="仿宋"/>
          <w:color w:val="auto"/>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4</w:t>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"_Toc65158534" </w:instrText>
      </w:r>
      <w:r>
        <w:fldChar w:fldCharType="separate"/>
      </w:r>
      <w:r>
        <w:rPr>
          <w:rStyle w:val="50"/>
          <w:rFonts w:hint="eastAsia" w:ascii="仿宋" w:hAnsi="仿宋" w:eastAsia="仿宋" w:cs="仿宋"/>
          <w:color w:val="auto"/>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_Toc65158534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tabs>
          <w:tab w:val="right" w:leader="dot" w:pos="8296"/>
        </w:tabs>
        <w:spacing w:line="360" w:lineRule="auto"/>
        <w:ind w:left="0" w:leftChars="0"/>
        <w:rPr>
          <w:rFonts w:ascii="仿宋" w:hAnsi="仿宋" w:eastAsia="仿宋" w:cs="仿宋"/>
          <w:sz w:val="24"/>
          <w:szCs w:val="24"/>
        </w:rPr>
      </w:pPr>
      <w:r>
        <w:fldChar w:fldCharType="begin"/>
      </w:r>
      <w:r>
        <w:instrText xml:space="preserve"> HYPERLINK \l "_Toc65158535" </w:instrText>
      </w:r>
      <w:r>
        <w:fldChar w:fldCharType="separate"/>
      </w:r>
      <w:r>
        <w:rPr>
          <w:rStyle w:val="50"/>
          <w:rFonts w:hint="eastAsia" w:ascii="仿宋" w:hAnsi="仿宋" w:eastAsia="仿宋" w:cs="仿宋"/>
          <w:color w:val="auto"/>
          <w:sz w:val="24"/>
          <w:szCs w:val="24"/>
        </w:rPr>
        <w:t>九、买方授标时更改采购服务数量的权利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_Toc65158535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1"/>
        <w:tabs>
          <w:tab w:val="right" w:leader="dot" w:pos="8296"/>
        </w:tabs>
        <w:spacing w:before="0" w:after="0"/>
        <w:ind w:firstLine="0" w:firstLineChars="0"/>
        <w:rPr>
          <w:rFonts w:ascii="仿宋" w:hAnsi="仿宋" w:eastAsia="仿宋" w:cs="仿宋"/>
          <w:b w:val="0"/>
          <w:bCs w:val="0"/>
          <w:caps w:val="0"/>
          <w:sz w:val="24"/>
          <w:szCs w:val="24"/>
        </w:rPr>
      </w:pPr>
      <w:r>
        <w:fldChar w:fldCharType="begin"/>
      </w:r>
      <w:r>
        <w:instrText xml:space="preserve"> HYPERLINK \l "_Toc65158537" </w:instrText>
      </w:r>
      <w:r>
        <w:fldChar w:fldCharType="separate"/>
      </w:r>
      <w:r>
        <w:rPr>
          <w:rStyle w:val="50"/>
          <w:rFonts w:hint="eastAsia" w:ascii="仿宋" w:hAnsi="仿宋" w:eastAsia="仿宋" w:cs="仿宋"/>
          <w:b w:val="0"/>
          <w:bCs w:val="0"/>
          <w:color w:val="auto"/>
          <w:sz w:val="24"/>
          <w:szCs w:val="24"/>
        </w:rPr>
        <w:t>第三章、运维设备及要求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_Toc65158537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23</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31"/>
        <w:tabs>
          <w:tab w:val="right" w:leader="dot" w:pos="8296"/>
        </w:tabs>
        <w:spacing w:before="0" w:after="0"/>
        <w:ind w:firstLine="0" w:firstLineChars="0"/>
        <w:rPr>
          <w:rFonts w:ascii="仿宋" w:hAnsi="仿宋" w:eastAsia="仿宋" w:cs="仿宋"/>
          <w:b w:val="0"/>
          <w:bCs w:val="0"/>
          <w:caps w:val="0"/>
          <w:sz w:val="24"/>
          <w:szCs w:val="24"/>
        </w:rPr>
      </w:pPr>
      <w:r>
        <w:fldChar w:fldCharType="begin"/>
      </w:r>
      <w:r>
        <w:instrText xml:space="preserve"> HYPERLINK \l "_Toc65158538" </w:instrText>
      </w:r>
      <w:r>
        <w:fldChar w:fldCharType="separate"/>
      </w:r>
      <w:r>
        <w:rPr>
          <w:rStyle w:val="50"/>
          <w:rFonts w:hint="eastAsia" w:ascii="仿宋" w:hAnsi="仿宋" w:eastAsia="仿宋" w:cs="仿宋"/>
          <w:b w:val="0"/>
          <w:bCs w:val="0"/>
          <w:color w:val="auto"/>
          <w:sz w:val="24"/>
          <w:szCs w:val="24"/>
        </w:rPr>
        <w:t>第四章、合同</w:t>
      </w:r>
      <w:r>
        <w:rPr>
          <w:rFonts w:hint="eastAsia" w:ascii="仿宋" w:hAnsi="仿宋" w:eastAsia="仿宋" w:cs="仿宋"/>
          <w:b w:val="0"/>
          <w:bCs w:val="0"/>
          <w:sz w:val="24"/>
          <w:szCs w:val="24"/>
        </w:rPr>
        <w:tab/>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6</w:t>
      </w:r>
    </w:p>
    <w:p>
      <w:pPr>
        <w:pStyle w:val="31"/>
        <w:tabs>
          <w:tab w:val="right" w:leader="dot" w:pos="8296"/>
        </w:tabs>
        <w:spacing w:before="0" w:after="0"/>
        <w:ind w:firstLine="0" w:firstLineChars="0"/>
        <w:rPr>
          <w:rFonts w:ascii="仿宋" w:hAnsi="仿宋" w:eastAsia="仿宋" w:cs="仿宋"/>
          <w:b w:val="0"/>
          <w:bCs w:val="0"/>
          <w:caps w:val="0"/>
          <w:sz w:val="24"/>
          <w:szCs w:val="24"/>
        </w:rPr>
      </w:pPr>
      <w:r>
        <w:fldChar w:fldCharType="begin"/>
      </w:r>
      <w:r>
        <w:instrText xml:space="preserve"> HYPERLINK \l "_Toc65158539" </w:instrText>
      </w:r>
      <w:r>
        <w:fldChar w:fldCharType="separate"/>
      </w:r>
      <w:r>
        <w:rPr>
          <w:rStyle w:val="50"/>
          <w:rFonts w:hint="eastAsia" w:ascii="仿宋" w:hAnsi="仿宋" w:eastAsia="仿宋" w:cs="仿宋"/>
          <w:b w:val="0"/>
          <w:bCs w:val="0"/>
          <w:color w:val="auto"/>
          <w:sz w:val="24"/>
          <w:szCs w:val="24"/>
        </w:rPr>
        <w:t>第五章、响应文件格式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7</w:t>
      </w:r>
    </w:p>
    <w:p>
      <w:pPr>
        <w:pStyle w:val="19"/>
        <w:spacing w:line="360" w:lineRule="auto"/>
        <w:rPr>
          <w:rFonts w:ascii="仿宋" w:hAnsi="仿宋" w:eastAsia="仿宋" w:cs="仿宋"/>
          <w:b/>
          <w:sz w:val="36"/>
        </w:rPr>
      </w:pPr>
      <w:r>
        <w:rPr>
          <w:rFonts w:hint="eastAsia" w:ascii="仿宋" w:hAnsi="仿宋" w:eastAsia="仿宋" w:cs="仿宋"/>
        </w:rPr>
        <w:fldChar w:fldCharType="end"/>
      </w:r>
    </w:p>
    <w:p>
      <w:pPr>
        <w:pStyle w:val="40"/>
        <w:spacing w:line="360" w:lineRule="auto"/>
        <w:rPr>
          <w:rFonts w:ascii="仿宋" w:hAnsi="仿宋" w:eastAsia="仿宋" w:cs="仿宋"/>
          <w:b w:val="0"/>
          <w:sz w:val="36"/>
        </w:rPr>
        <w:sectPr>
          <w:headerReference r:id="rId6" w:type="first"/>
          <w:headerReference r:id="rId5" w:type="default"/>
          <w:pgSz w:w="11906" w:h="16838"/>
          <w:pgMar w:top="1440" w:right="1800" w:bottom="1440" w:left="1800" w:header="851" w:footer="992" w:gutter="0"/>
          <w:pgNumType w:start="1"/>
          <w:cols w:space="720" w:num="1"/>
          <w:titlePg/>
          <w:docGrid w:type="lines" w:linePitch="312" w:charSpace="0"/>
        </w:sectPr>
      </w:pPr>
    </w:p>
    <w:p>
      <w:pPr>
        <w:pStyle w:val="3"/>
        <w:jc w:val="center"/>
        <w:rPr>
          <w:rFonts w:cs="仿宋"/>
          <w:color w:val="auto"/>
        </w:rPr>
      </w:pPr>
      <w:bookmarkStart w:id="0" w:name="_Toc55990499"/>
      <w:bookmarkStart w:id="1" w:name="_Toc65158524"/>
      <w:bookmarkStart w:id="2" w:name="_Toc56170377"/>
      <w:bookmarkStart w:id="3" w:name="_Toc55990498"/>
      <w:r>
        <w:rPr>
          <w:rFonts w:hint="eastAsia" w:cs="仿宋"/>
          <w:color w:val="auto"/>
        </w:rPr>
        <w:t>第一章、磋商公告</w:t>
      </w:r>
      <w:bookmarkEnd w:id="0"/>
      <w:bookmarkEnd w:id="1"/>
      <w:bookmarkEnd w:id="2"/>
    </w:p>
    <w:bookmarkEnd w:id="3"/>
    <w:p>
      <w:pPr>
        <w:widowControl/>
        <w:numPr>
          <w:ilvl w:val="0"/>
          <w:numId w:val="1"/>
        </w:numPr>
        <w:spacing w:line="360" w:lineRule="exact"/>
        <w:jc w:val="left"/>
        <w:rPr>
          <w:rFonts w:hint="default" w:ascii="仿宋" w:hAnsi="仿宋" w:eastAsia="仿宋" w:cs="宋体"/>
          <w:kern w:val="0"/>
          <w:sz w:val="24"/>
          <w:szCs w:val="24"/>
          <w:lang w:val="en-US"/>
        </w:rPr>
      </w:pPr>
      <w:bookmarkStart w:id="4" w:name="_Toc55990500"/>
      <w:bookmarkStart w:id="5" w:name="_Toc65158525"/>
      <w:bookmarkStart w:id="6" w:name="_Toc56170378"/>
      <w:bookmarkStart w:id="7" w:name="_Toc5896489"/>
      <w:bookmarkStart w:id="8" w:name="_Toc399523005"/>
      <w:r>
        <w:rPr>
          <w:rFonts w:hint="eastAsia" w:ascii="仿宋" w:hAnsi="仿宋" w:eastAsia="仿宋" w:cs="宋体"/>
          <w:b/>
          <w:bCs/>
          <w:kern w:val="0"/>
          <w:sz w:val="24"/>
          <w:szCs w:val="24"/>
        </w:rPr>
        <w:t>项目编号：</w:t>
      </w:r>
      <w:r>
        <w:rPr>
          <w:rFonts w:ascii="仿宋" w:hAnsi="仿宋" w:eastAsia="仿宋" w:cs="宋体"/>
          <w:color w:val="0000FF"/>
          <w:kern w:val="0"/>
          <w:sz w:val="24"/>
          <w:szCs w:val="24"/>
        </w:rPr>
        <w:t>XJDH-YKD202</w:t>
      </w:r>
      <w:r>
        <w:rPr>
          <w:rFonts w:hint="eastAsia" w:ascii="仿宋" w:hAnsi="仿宋" w:eastAsia="仿宋" w:cs="宋体"/>
          <w:color w:val="0000FF"/>
          <w:kern w:val="0"/>
          <w:sz w:val="24"/>
          <w:szCs w:val="24"/>
        </w:rPr>
        <w:t>3-</w:t>
      </w:r>
      <w:r>
        <w:rPr>
          <w:rFonts w:hint="eastAsia" w:ascii="仿宋" w:hAnsi="仿宋" w:eastAsia="仿宋" w:cs="宋体"/>
          <w:color w:val="0000FF"/>
          <w:kern w:val="0"/>
          <w:sz w:val="24"/>
          <w:szCs w:val="24"/>
          <w:lang w:val="en-US" w:eastAsia="zh-CN"/>
        </w:rPr>
        <w:t>094</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二、采购组织类型：/</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三、项目概况</w:t>
      </w:r>
    </w:p>
    <w:tbl>
      <w:tblPr>
        <w:tblStyle w:val="43"/>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6"/>
        <w:gridCol w:w="3183"/>
        <w:gridCol w:w="1650"/>
        <w:gridCol w:w="235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atLeast"/>
          <w:jc w:val="center"/>
        </w:trPr>
        <w:tc>
          <w:tcPr>
            <w:tcW w:w="7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1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1650"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 xml:space="preserve"> )</w:t>
            </w:r>
          </w:p>
        </w:tc>
        <w:tc>
          <w:tcPr>
            <w:tcW w:w="2350"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148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7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183" w:type="dxa"/>
            <w:tcMar>
              <w:top w:w="75" w:type="dxa"/>
              <w:left w:w="150" w:type="dxa"/>
              <w:bottom w:w="75" w:type="dxa"/>
              <w:right w:w="150" w:type="dxa"/>
            </w:tcMar>
            <w:vAlign w:val="center"/>
          </w:tcPr>
          <w:p>
            <w:pPr>
              <w:widowControl/>
              <w:spacing w:line="360" w:lineRule="exact"/>
              <w:jc w:val="center"/>
              <w:rPr>
                <w:rFonts w:hint="eastAsia"/>
                <w:lang w:eastAsia="zh-CN"/>
              </w:rPr>
            </w:pPr>
            <w:r>
              <w:rPr>
                <w:rFonts w:hint="eastAsia" w:ascii="仿宋" w:hAnsi="仿宋" w:eastAsia="仿宋" w:cs="宋体"/>
                <w:kern w:val="0"/>
                <w:sz w:val="24"/>
                <w:szCs w:val="24"/>
                <w:lang w:val="en-US" w:eastAsia="zh-CN"/>
              </w:rPr>
              <w:t>新疆医科大学第五附属医院网络机房系统运维项目</w:t>
            </w:r>
          </w:p>
        </w:tc>
        <w:tc>
          <w:tcPr>
            <w:tcW w:w="1650" w:type="dxa"/>
            <w:tcMar>
              <w:top w:w="75" w:type="dxa"/>
              <w:left w:w="150" w:type="dxa"/>
              <w:bottom w:w="75" w:type="dxa"/>
              <w:right w:w="150" w:type="dxa"/>
            </w:tcMar>
            <w:vAlign w:val="center"/>
          </w:tcPr>
          <w:p>
            <w:pPr>
              <w:widowControl/>
              <w:spacing w:line="360" w:lineRule="exact"/>
              <w:jc w:val="center"/>
            </w:pPr>
            <w:r>
              <w:rPr>
                <w:rFonts w:hint="eastAsia" w:ascii="仿宋" w:hAnsi="仿宋" w:eastAsia="仿宋" w:cs="宋体"/>
                <w:kern w:val="0"/>
                <w:sz w:val="24"/>
                <w:szCs w:val="24"/>
              </w:rPr>
              <w:t>465660.00</w:t>
            </w:r>
          </w:p>
        </w:tc>
        <w:tc>
          <w:tcPr>
            <w:tcW w:w="2350"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c>
          <w:tcPr>
            <w:tcW w:w="1488" w:type="dxa"/>
            <w:tcMar>
              <w:top w:w="75" w:type="dxa"/>
              <w:left w:w="150" w:type="dxa"/>
              <w:bottom w:w="75" w:type="dxa"/>
              <w:right w:w="150" w:type="dxa"/>
            </w:tcMar>
            <w:vAlign w:val="center"/>
          </w:tcPr>
          <w:p>
            <w:pPr>
              <w:rPr>
                <w:rFonts w:ascii="仿宋" w:hAnsi="仿宋" w:eastAsia="仿宋" w:cs="宋体"/>
                <w:kern w:val="0"/>
                <w:sz w:val="24"/>
                <w:szCs w:val="24"/>
              </w:rPr>
            </w:pP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1）符合政府采购法第二十二条的规定；</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2）供应商须具有效的“一证一码”或“三证合一”的营业执照；</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具有良好的财务状况</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提供近三年2020-2022年任意</w:t>
      </w:r>
      <w:r>
        <w:rPr>
          <w:rFonts w:hint="eastAsia" w:ascii="仿宋" w:hAnsi="仿宋" w:eastAsia="仿宋" w:cs="宋体"/>
          <w:kern w:val="0"/>
          <w:sz w:val="24"/>
          <w:szCs w:val="24"/>
          <w:lang w:val="en-US" w:eastAsia="zh-CN"/>
        </w:rPr>
        <w:t>一</w:t>
      </w:r>
      <w:r>
        <w:rPr>
          <w:rFonts w:hint="eastAsia" w:ascii="仿宋" w:hAnsi="仿宋" w:eastAsia="仿宋" w:cs="宋体"/>
          <w:kern w:val="0"/>
          <w:sz w:val="24"/>
          <w:szCs w:val="24"/>
        </w:rPr>
        <w:t>年经第三方审计出具的审计报告</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须包含资产负债表、现金流量表、利润表等</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或</w:t>
      </w:r>
      <w:r>
        <w:rPr>
          <w:rFonts w:hint="eastAsia" w:ascii="仿宋" w:hAnsi="仿宋" w:eastAsia="仿宋" w:cs="宋体"/>
          <w:kern w:val="0"/>
          <w:sz w:val="24"/>
          <w:szCs w:val="24"/>
        </w:rPr>
        <w:t>提供成立至今的财务报表和近一个月的银行资信证明并加盖公章；</w:t>
      </w:r>
    </w:p>
    <w:p>
      <w:pPr>
        <w:widowControl/>
        <w:spacing w:line="360" w:lineRule="exact"/>
        <w:jc w:val="left"/>
        <w:rPr>
          <w:rFonts w:hint="eastAsia" w:ascii="仿宋" w:hAnsi="仿宋" w:eastAsia="仿宋" w:cs="仿宋"/>
          <w:sz w:val="24"/>
        </w:rPr>
      </w:pP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w:t>
      </w:r>
      <w:r>
        <w:rPr>
          <w:rFonts w:hint="eastAsia" w:ascii="仿宋" w:hAnsi="仿宋" w:eastAsia="仿宋" w:cs="仿宋"/>
          <w:sz w:val="24"/>
        </w:rPr>
        <w:t>参加采购活动前三年内，在经营活动中没有重大违法记录，提供“信用中国”网站（www.creditchina.gov.cn）中国政府采购网（www.ccgp.gov.cn）无违法违规行为的查询纪录；</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）供应商具有履行合同所必需的设备和专业技术能力；</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）本项目专门面向小微企业预留金额/中小企业预留金额。</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五、磋商文件的报名/发售时间、地址、售价</w:t>
      </w:r>
    </w:p>
    <w:p>
      <w:pPr>
        <w:widowControl/>
        <w:spacing w:line="360" w:lineRule="exact"/>
        <w:jc w:val="left"/>
        <w:rPr>
          <w:rFonts w:hint="default" w:ascii="仿宋" w:hAnsi="仿宋" w:eastAsia="仿宋" w:cs="宋体"/>
          <w:color w:val="FF0000"/>
          <w:kern w:val="0"/>
          <w:sz w:val="24"/>
          <w:szCs w:val="24"/>
          <w:lang w:val="en-US" w:eastAsia="zh-CN"/>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2023-</w:t>
      </w:r>
      <w:r>
        <w:rPr>
          <w:rFonts w:hint="eastAsia" w:ascii="仿宋" w:hAnsi="仿宋" w:eastAsia="仿宋" w:cs="宋体"/>
          <w:color w:val="FF0000"/>
          <w:kern w:val="0"/>
          <w:sz w:val="24"/>
          <w:szCs w:val="24"/>
          <w:lang w:val="en-US" w:eastAsia="zh-CN"/>
        </w:rPr>
        <w:t xml:space="preserve"> 05 </w:t>
      </w:r>
      <w:r>
        <w:rPr>
          <w:rFonts w:hint="eastAsia" w:ascii="仿宋" w:hAnsi="仿宋" w:eastAsia="仿宋" w:cs="宋体"/>
          <w:color w:val="FF0000"/>
          <w:kern w:val="0"/>
          <w:sz w:val="24"/>
          <w:szCs w:val="24"/>
        </w:rPr>
        <w:t>-</w:t>
      </w:r>
      <w:r>
        <w:rPr>
          <w:rFonts w:hint="eastAsia" w:ascii="仿宋" w:hAnsi="仿宋" w:eastAsia="仿宋" w:cs="宋体"/>
          <w:color w:val="FF0000"/>
          <w:kern w:val="0"/>
          <w:sz w:val="24"/>
          <w:szCs w:val="24"/>
          <w:lang w:val="en-US" w:eastAsia="zh-CN"/>
        </w:rPr>
        <w:t xml:space="preserve"> 17     </w:t>
      </w:r>
      <w:r>
        <w:rPr>
          <w:rFonts w:hint="eastAsia" w:ascii="仿宋" w:hAnsi="仿宋" w:eastAsia="仿宋" w:cs="宋体"/>
          <w:color w:val="FF0000"/>
          <w:kern w:val="0"/>
          <w:sz w:val="24"/>
          <w:szCs w:val="24"/>
        </w:rPr>
        <w:t>至 2023-</w:t>
      </w:r>
      <w:r>
        <w:rPr>
          <w:rFonts w:hint="eastAsia" w:ascii="仿宋" w:hAnsi="仿宋" w:eastAsia="仿宋" w:cs="宋体"/>
          <w:color w:val="FF0000"/>
          <w:kern w:val="0"/>
          <w:sz w:val="24"/>
          <w:szCs w:val="24"/>
          <w:lang w:val="en-US" w:eastAsia="zh-CN"/>
        </w:rPr>
        <w:t xml:space="preserve"> 05</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 xml:space="preserve"> 23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eastAsia="宋体" w:cs="宋体"/>
          <w:kern w:val="0"/>
          <w:sz w:val="24"/>
          <w:szCs w:val="24"/>
        </w:rPr>
        <w:t> </w:t>
      </w:r>
    </w:p>
    <w:p>
      <w:pPr>
        <w:widowControl/>
        <w:numPr>
          <w:ilvl w:val="0"/>
          <w:numId w:val="2"/>
        </w:numPr>
        <w:spacing w:line="360" w:lineRule="exact"/>
        <w:jc w:val="left"/>
        <w:rPr>
          <w:rFonts w:ascii="宋体" w:hAnsi="宋体" w:cs="宋体"/>
          <w:kern w:val="0"/>
          <w:sz w:val="24"/>
          <w:szCs w:val="24"/>
        </w:rPr>
      </w:pPr>
      <w:r>
        <w:rPr>
          <w:rFonts w:hint="eastAsia" w:ascii="仿宋" w:hAnsi="仿宋" w:eastAsia="仿宋" w:cs="宋体"/>
          <w:b/>
          <w:bCs/>
          <w:kern w:val="0"/>
          <w:sz w:val="24"/>
          <w:szCs w:val="24"/>
        </w:rPr>
        <w:t>报名（发售／获取）地址：</w:t>
      </w:r>
      <w:r>
        <w:rPr>
          <w:rFonts w:hint="eastAsia" w:ascii="仿宋" w:hAnsi="仿宋" w:eastAsia="仿宋" w:cs="宋体"/>
          <w:b w:val="0"/>
          <w:bCs w:val="0"/>
          <w:kern w:val="0"/>
          <w:sz w:val="24"/>
          <w:szCs w:val="24"/>
        </w:rPr>
        <w:t>政采云平台（www.zcygov.cn） 获取</w:t>
      </w:r>
      <w:r>
        <w:rPr>
          <w:rFonts w:hint="eastAsia" w:ascii="宋体" w:hAnsi="宋体" w:cs="宋体"/>
          <w:kern w:val="0"/>
          <w:sz w:val="24"/>
          <w:szCs w:val="24"/>
        </w:rPr>
        <w:t> </w:t>
      </w:r>
    </w:p>
    <w:p>
      <w:pPr>
        <w:widowControl/>
        <w:numPr>
          <w:ilvl w:val="0"/>
          <w:numId w:val="2"/>
        </w:numPr>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标书售价(元)：</w:t>
      </w:r>
      <w:r>
        <w:rPr>
          <w:rFonts w:hint="eastAsia" w:ascii="仿宋" w:hAnsi="仿宋" w:eastAsia="仿宋" w:cs="宋体"/>
          <w:kern w:val="0"/>
          <w:sz w:val="24"/>
          <w:szCs w:val="24"/>
        </w:rPr>
        <w:t>0</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4．获取方式：</w:t>
      </w:r>
      <w:r>
        <w:rPr>
          <w:rFonts w:hint="eastAsia" w:ascii="仿宋" w:hAnsi="仿宋" w:eastAsia="仿宋" w:cs="宋体"/>
          <w:kern w:val="0"/>
          <w:sz w:val="24"/>
          <w:szCs w:val="24"/>
        </w:rPr>
        <w:t>供应商登陆政采云系统平台（https://www.zcygov.cn/）进入“项目采购”栏目，在获取采购文件菜单中选择所要获取采购文件的项目，申请获取采购文件。</w:t>
      </w:r>
    </w:p>
    <w:p>
      <w:pPr>
        <w:widowControl/>
        <w:spacing w:line="360" w:lineRule="exact"/>
        <w:jc w:val="left"/>
        <w:rPr>
          <w:rFonts w:ascii="仿宋" w:hAnsi="仿宋" w:eastAsia="仿宋" w:cs="宋体"/>
          <w:color w:val="FF0000"/>
          <w:kern w:val="0"/>
          <w:sz w:val="24"/>
          <w:szCs w:val="24"/>
        </w:rPr>
      </w:pPr>
      <w:r>
        <w:rPr>
          <w:rFonts w:hint="eastAsia" w:ascii="仿宋" w:hAnsi="仿宋" w:eastAsia="仿宋" w:cs="宋体"/>
          <w:b/>
          <w:bCs/>
          <w:kern w:val="0"/>
          <w:sz w:val="24"/>
          <w:szCs w:val="24"/>
        </w:rPr>
        <w:t>六、响应文件截止时间：</w:t>
      </w:r>
      <w:r>
        <w:rPr>
          <w:rFonts w:hint="eastAsia" w:ascii="仿宋" w:hAnsi="仿宋" w:eastAsia="仿宋" w:cs="宋体"/>
          <w:color w:val="FF0000"/>
          <w:kern w:val="0"/>
          <w:sz w:val="24"/>
          <w:szCs w:val="24"/>
        </w:rPr>
        <w:t>2023-</w:t>
      </w:r>
      <w:r>
        <w:rPr>
          <w:rFonts w:hint="eastAsia" w:ascii="仿宋" w:hAnsi="仿宋" w:eastAsia="仿宋" w:cs="宋体"/>
          <w:color w:val="FF0000"/>
          <w:kern w:val="0"/>
          <w:sz w:val="24"/>
          <w:szCs w:val="24"/>
          <w:lang w:val="en-US" w:eastAsia="zh-CN"/>
        </w:rPr>
        <w:t xml:space="preserve"> 05</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 xml:space="preserve"> 29    </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10</w:t>
      </w:r>
      <w:r>
        <w:rPr>
          <w:rFonts w:hint="eastAsia" w:ascii="仿宋" w:hAnsi="仿宋" w:eastAsia="仿宋" w:cs="宋体"/>
          <w:color w:val="FF0000"/>
          <w:kern w:val="0"/>
          <w:sz w:val="24"/>
          <w:szCs w:val="24"/>
        </w:rPr>
        <w:t>:</w:t>
      </w:r>
      <w:r>
        <w:rPr>
          <w:rFonts w:hint="eastAsia" w:ascii="仿宋" w:hAnsi="仿宋" w:eastAsia="仿宋" w:cs="宋体"/>
          <w:color w:val="FF0000"/>
          <w:kern w:val="0"/>
          <w:sz w:val="24"/>
          <w:szCs w:val="24"/>
          <w:lang w:val="en-US" w:eastAsia="zh-CN"/>
        </w:rPr>
        <w:t>3</w:t>
      </w:r>
      <w:r>
        <w:rPr>
          <w:rFonts w:hint="eastAsia" w:ascii="仿宋" w:hAnsi="仿宋" w:eastAsia="仿宋" w:cs="宋体"/>
          <w:color w:val="FF0000"/>
          <w:kern w:val="0"/>
          <w:sz w:val="24"/>
          <w:szCs w:val="24"/>
        </w:rPr>
        <w:t>0:00</w:t>
      </w:r>
      <w:r>
        <w:rPr>
          <w:rFonts w:hint="eastAsia" w:ascii="宋体" w:hAnsi="宋体" w:eastAsia="宋体" w:cs="宋体"/>
          <w:color w:val="FF0000"/>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七、响应文件递交地址：</w:t>
      </w:r>
      <w:r>
        <w:rPr>
          <w:rFonts w:hint="eastAsia" w:ascii="仿宋" w:hAnsi="仿宋" w:eastAsia="仿宋" w:cs="宋体"/>
          <w:b w:val="0"/>
          <w:bCs w:val="0"/>
          <w:kern w:val="0"/>
          <w:sz w:val="24"/>
          <w:szCs w:val="24"/>
        </w:rPr>
        <w:t xml:space="preserve">新疆政府采购网政采云平台（www.zcygov.cn） </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八、保证金：</w:t>
      </w:r>
    </w:p>
    <w:tbl>
      <w:tblPr>
        <w:tblStyle w:val="43"/>
        <w:tblpPr w:leftFromText="180" w:rightFromText="180" w:vertAnchor="text" w:horzAnchor="page" w:tblpX="1101" w:tblpY="267"/>
        <w:tblOverlap w:val="never"/>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8"/>
        <w:gridCol w:w="2946"/>
        <w:gridCol w:w="1614"/>
        <w:gridCol w:w="1476"/>
        <w:gridCol w:w="1534"/>
        <w:gridCol w:w="98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trPr>
        <w:tc>
          <w:tcPr>
            <w:tcW w:w="67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29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标项名称</w:t>
            </w:r>
          </w:p>
        </w:tc>
        <w:tc>
          <w:tcPr>
            <w:tcW w:w="161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47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5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98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92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3" w:hRule="atLeast"/>
        </w:trPr>
        <w:tc>
          <w:tcPr>
            <w:tcW w:w="67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2946" w:type="dxa"/>
            <w:tcMar>
              <w:top w:w="75" w:type="dxa"/>
              <w:left w:w="150" w:type="dxa"/>
              <w:bottom w:w="75" w:type="dxa"/>
              <w:right w:w="150" w:type="dxa"/>
            </w:tcMar>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新疆医科大学第五附属医院网络机房系统运维项目</w:t>
            </w:r>
          </w:p>
        </w:tc>
        <w:tc>
          <w:tcPr>
            <w:tcW w:w="161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45</w:t>
            </w:r>
            <w:r>
              <w:rPr>
                <w:rFonts w:hint="eastAsia" w:ascii="仿宋" w:hAnsi="仿宋" w:eastAsia="仿宋" w:cs="宋体"/>
                <w:kern w:val="0"/>
                <w:sz w:val="24"/>
                <w:szCs w:val="24"/>
              </w:rPr>
              <w:t>00.00</w:t>
            </w:r>
          </w:p>
        </w:tc>
        <w:tc>
          <w:tcPr>
            <w:tcW w:w="147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5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98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92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九、其他事项：</w:t>
      </w:r>
    </w:p>
    <w:p>
      <w:pPr>
        <w:widowControl/>
        <w:spacing w:line="360" w:lineRule="exac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1、本项目实行网上投标，采用电子投标文件；</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4、供应商应当在磋商截止时间前,将生成的“电子加密响应文件”上传递交至“政府采购云平台”,磋商截止时间以后上传递交的响应文件将被“政府采购云平台”拒收。</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 xml:space="preserve">6、供应商登录政采云平台，在磋商时间后30分钟内用“项目采购-开标评标”功能进行解密响应文件。若供应商在规定时间内（未按时解密的，视为无效磋商。解密与加密响应文件须使用同一个CA。   </w:t>
      </w:r>
    </w:p>
    <w:p>
      <w:pPr>
        <w:ind w:firstLine="480" w:firstLineChars="200"/>
      </w:pPr>
      <w:r>
        <w:rPr>
          <w:rFonts w:hint="eastAsia" w:ascii="仿宋" w:hAnsi="仿宋" w:eastAsia="仿宋" w:cs="宋体"/>
          <w:color w:val="FF0000"/>
          <w:kern w:val="0"/>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十、联系方式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hint="eastAsia" w:ascii="仿宋" w:hAnsi="仿宋" w:eastAsia="仿宋" w:cs="宋体"/>
          <w:kern w:val="0"/>
          <w:sz w:val="24"/>
          <w:szCs w:val="24"/>
          <w:lang w:eastAsia="zh-CN"/>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w:t>
      </w:r>
      <w:r>
        <w:rPr>
          <w:rFonts w:hint="eastAsia" w:ascii="仿宋" w:hAnsi="仿宋" w:eastAsia="仿宋" w:cs="宋体"/>
          <w:kern w:val="0"/>
          <w:sz w:val="24"/>
          <w:szCs w:val="24"/>
          <w:lang w:val="en-US" w:eastAsia="zh-CN"/>
        </w:rPr>
        <w:t>第五附属医院</w:t>
      </w:r>
    </w:p>
    <w:p>
      <w:pPr>
        <w:widowControl/>
        <w:spacing w:line="360" w:lineRule="exact"/>
        <w:jc w:val="left"/>
        <w:rPr>
          <w:rFonts w:hint="eastAsia" w:ascii="仿宋" w:hAnsi="仿宋" w:eastAsia="仿宋" w:cs="宋体"/>
          <w:kern w:val="0"/>
          <w:sz w:val="24"/>
          <w:szCs w:val="24"/>
          <w:lang w:eastAsia="zh-CN"/>
        </w:rPr>
      </w:pPr>
      <w:r>
        <w:rPr>
          <w:rFonts w:hint="eastAsia" w:ascii="仿宋" w:hAnsi="仿宋" w:eastAsia="仿宋" w:cs="宋体"/>
          <w:b/>
          <w:bCs/>
          <w:kern w:val="0"/>
          <w:sz w:val="24"/>
          <w:szCs w:val="24"/>
        </w:rPr>
        <w:t>联系人：</w:t>
      </w:r>
      <w:r>
        <w:rPr>
          <w:rFonts w:hint="eastAsia" w:ascii="仿宋" w:hAnsi="仿宋" w:eastAsia="仿宋" w:cs="宋体"/>
          <w:bCs/>
          <w:kern w:val="0"/>
          <w:sz w:val="24"/>
          <w:szCs w:val="24"/>
          <w:lang w:val="en-US" w:eastAsia="zh-CN"/>
        </w:rPr>
        <w:t>刘懿萱</w:t>
      </w:r>
    </w:p>
    <w:p>
      <w:pPr>
        <w:widowControl/>
        <w:spacing w:line="360" w:lineRule="exact"/>
        <w:jc w:val="left"/>
        <w:rPr>
          <w:rFonts w:hint="default" w:ascii="仿宋" w:hAnsi="仿宋" w:eastAsia="仿宋" w:cs="宋体"/>
          <w:bCs/>
          <w:kern w:val="0"/>
          <w:sz w:val="24"/>
          <w:szCs w:val="24"/>
          <w:lang w:val="en-US" w:eastAsia="zh-CN"/>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w:t>
      </w:r>
      <w:r>
        <w:rPr>
          <w:rFonts w:hint="eastAsia" w:ascii="仿宋" w:hAnsi="仿宋" w:eastAsia="仿宋" w:cs="宋体"/>
          <w:kern w:val="0"/>
          <w:sz w:val="24"/>
          <w:szCs w:val="24"/>
          <w:lang w:val="en-US" w:eastAsia="zh-CN"/>
        </w:rPr>
        <w:t>7598403</w:t>
      </w:r>
    </w:p>
    <w:p>
      <w:pPr>
        <w:pStyle w:val="3"/>
        <w:spacing w:line="300" w:lineRule="exact"/>
        <w:jc w:val="center"/>
        <w:rPr>
          <w:rFonts w:hint="eastAsia" w:cs="仿宋"/>
          <w:color w:val="auto"/>
          <w:sz w:val="28"/>
          <w:szCs w:val="28"/>
        </w:rPr>
      </w:pPr>
    </w:p>
    <w:p>
      <w:pPr>
        <w:pStyle w:val="3"/>
        <w:spacing w:line="300" w:lineRule="exact"/>
        <w:jc w:val="center"/>
        <w:rPr>
          <w:rFonts w:hint="eastAsia" w:cs="仿宋"/>
          <w:color w:val="auto"/>
          <w:sz w:val="28"/>
          <w:szCs w:val="28"/>
        </w:rPr>
      </w:pPr>
    </w:p>
    <w:p>
      <w:pPr>
        <w:pStyle w:val="3"/>
        <w:spacing w:line="300" w:lineRule="exact"/>
        <w:jc w:val="center"/>
        <w:rPr>
          <w:rFonts w:hint="eastAsia" w:cs="仿宋"/>
          <w:color w:val="auto"/>
          <w:sz w:val="28"/>
          <w:szCs w:val="28"/>
        </w:rPr>
      </w:pPr>
    </w:p>
    <w:p>
      <w:pPr>
        <w:pStyle w:val="3"/>
        <w:spacing w:line="300" w:lineRule="exact"/>
        <w:jc w:val="center"/>
        <w:rPr>
          <w:rFonts w:hint="eastAsia" w:cs="仿宋"/>
          <w:color w:val="auto"/>
          <w:sz w:val="28"/>
          <w:szCs w:val="28"/>
        </w:rPr>
      </w:pPr>
    </w:p>
    <w:p>
      <w:pPr>
        <w:pStyle w:val="3"/>
        <w:spacing w:line="300" w:lineRule="exact"/>
        <w:jc w:val="center"/>
        <w:rPr>
          <w:rFonts w:cs="仿宋"/>
          <w:color w:val="auto"/>
          <w:sz w:val="28"/>
          <w:szCs w:val="28"/>
        </w:rPr>
      </w:pPr>
      <w:r>
        <w:rPr>
          <w:rFonts w:hint="eastAsia" w:cs="仿宋"/>
          <w:color w:val="auto"/>
          <w:sz w:val="28"/>
          <w:szCs w:val="28"/>
        </w:rPr>
        <w:t>第二章、</w:t>
      </w:r>
      <w:bookmarkEnd w:id="4"/>
      <w:bookmarkEnd w:id="5"/>
      <w:bookmarkEnd w:id="6"/>
      <w:bookmarkEnd w:id="7"/>
      <w:r>
        <w:rPr>
          <w:rFonts w:hint="eastAsia" w:cs="仿宋"/>
          <w:color w:val="auto"/>
          <w:sz w:val="28"/>
          <w:szCs w:val="28"/>
        </w:rPr>
        <w:t>响应须知</w:t>
      </w:r>
    </w:p>
    <w:p>
      <w:pPr>
        <w:pStyle w:val="4"/>
        <w:spacing w:line="300" w:lineRule="exact"/>
        <w:jc w:val="center"/>
        <w:rPr>
          <w:rFonts w:cs="仿宋"/>
          <w:color w:val="auto"/>
          <w:szCs w:val="28"/>
        </w:rPr>
      </w:pPr>
      <w:bookmarkStart w:id="9" w:name="_Toc65158526"/>
      <w:bookmarkStart w:id="10" w:name="_Toc56170379"/>
      <w:r>
        <w:rPr>
          <w:rFonts w:hint="eastAsia" w:cs="仿宋"/>
          <w:color w:val="auto"/>
          <w:szCs w:val="28"/>
        </w:rPr>
        <w:t>供应商须知前附表</w:t>
      </w:r>
      <w:bookmarkEnd w:id="9"/>
      <w:bookmarkEnd w:id="10"/>
    </w:p>
    <w:tbl>
      <w:tblPr>
        <w:tblStyle w:val="43"/>
        <w:tblpPr w:leftFromText="180" w:rightFromText="180" w:vertAnchor="text" w:horzAnchor="page" w:tblpX="817" w:tblpY="325"/>
        <w:tblOverlap w:val="never"/>
        <w:tblW w:w="102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9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atLeast"/>
          <w:tblHeader/>
        </w:trPr>
        <w:tc>
          <w:tcPr>
            <w:tcW w:w="729" w:type="dxa"/>
            <w:vAlign w:val="center"/>
          </w:tcPr>
          <w:p>
            <w:pPr>
              <w:pStyle w:val="184"/>
              <w:snapToGrid w:val="0"/>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序号</w:t>
            </w:r>
          </w:p>
        </w:tc>
        <w:tc>
          <w:tcPr>
            <w:tcW w:w="9560" w:type="dxa"/>
            <w:vAlign w:val="center"/>
          </w:tcPr>
          <w:p>
            <w:pPr>
              <w:pStyle w:val="184"/>
              <w:snapToGrid w:val="0"/>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1</w:t>
            </w:r>
          </w:p>
        </w:tc>
        <w:tc>
          <w:tcPr>
            <w:tcW w:w="9560" w:type="dxa"/>
            <w:tcBorders>
              <w:bottom w:val="single" w:color="auto" w:sz="4" w:space="0"/>
            </w:tcBorders>
            <w:vAlign w:val="center"/>
          </w:tcPr>
          <w:p>
            <w:pPr>
              <w:pStyle w:val="184"/>
              <w:spacing w:line="240" w:lineRule="auto"/>
              <w:ind w:firstLine="0" w:firstLineChars="0"/>
              <w:jc w:val="left"/>
              <w:rPr>
                <w:rFonts w:ascii="仿宋" w:hAnsi="仿宋" w:eastAsia="仿宋" w:cs="仿宋"/>
                <w:kern w:val="0"/>
                <w:sz w:val="24"/>
                <w:szCs w:val="24"/>
              </w:rPr>
            </w:pPr>
            <w:r>
              <w:rPr>
                <w:rFonts w:hint="eastAsia" w:ascii="仿宋" w:hAnsi="仿宋" w:eastAsia="仿宋" w:cs="仿宋"/>
                <w:sz w:val="24"/>
                <w:szCs w:val="24"/>
              </w:rPr>
              <w:t>项目名称：</w:t>
            </w:r>
            <w:r>
              <w:rPr>
                <w:rFonts w:hint="eastAsia" w:ascii="仿宋" w:hAnsi="仿宋" w:eastAsia="仿宋" w:cs="仿宋"/>
                <w:kern w:val="0"/>
                <w:sz w:val="24"/>
                <w:szCs w:val="24"/>
              </w:rPr>
              <w:t>新疆医科大学第五附属医院网络机房系统运维项目</w:t>
            </w:r>
          </w:p>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color w:val="0000FF"/>
                <w:kern w:val="0"/>
                <w:sz w:val="24"/>
                <w:szCs w:val="24"/>
              </w:rPr>
              <w:t>XJDH-YKD2023-</w:t>
            </w:r>
            <w:r>
              <w:rPr>
                <w:rFonts w:hint="eastAsia" w:ascii="仿宋" w:hAnsi="仿宋" w:eastAsia="仿宋" w:cs="仿宋"/>
                <w:color w:val="0000FF"/>
                <w:kern w:val="0"/>
                <w:sz w:val="24"/>
                <w:szCs w:val="24"/>
                <w:lang w:val="en-US" w:eastAsia="zh-CN"/>
              </w:rPr>
              <w:t>094</w:t>
            </w:r>
            <w:r>
              <w:rPr>
                <w:rFonts w:hint="eastAsia" w:ascii="仿宋" w:hAnsi="仿宋" w:eastAsia="仿宋" w:cs="仿宋"/>
                <w:color w:val="0000FF"/>
                <w:kern w:val="0"/>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2</w:t>
            </w:r>
          </w:p>
        </w:tc>
        <w:tc>
          <w:tcPr>
            <w:tcW w:w="9560" w:type="dxa"/>
            <w:vAlign w:val="center"/>
          </w:tcPr>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项目预算金额：</w:t>
            </w:r>
            <w:r>
              <w:rPr>
                <w:rFonts w:hint="eastAsia" w:ascii="仿宋" w:hAnsi="仿宋" w:eastAsia="仿宋" w:cs="仿宋"/>
                <w:kern w:val="0"/>
                <w:sz w:val="24"/>
                <w:szCs w:val="24"/>
              </w:rPr>
              <w:t>465660.00</w:t>
            </w:r>
            <w:r>
              <w:rPr>
                <w:rFonts w:hint="eastAsia" w:ascii="仿宋" w:hAnsi="仿宋" w:eastAsia="仿宋" w:cs="仿宋"/>
                <w:sz w:val="24"/>
                <w:szCs w:val="24"/>
              </w:rPr>
              <w:t>元（超出采购预算的报价做废标处理）</w:t>
            </w:r>
          </w:p>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采购范围：</w:t>
            </w:r>
            <w:r>
              <w:rPr>
                <w:rFonts w:hint="eastAsia" w:ascii="仿宋" w:hAnsi="仿宋" w:eastAsia="仿宋" w:cs="仿宋"/>
                <w:kern w:val="0"/>
                <w:sz w:val="24"/>
                <w:szCs w:val="24"/>
              </w:rPr>
              <w:t>新疆医科大学第五附属医院网络机房系统运维项目中所包含的全部工作内容。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3</w:t>
            </w:r>
          </w:p>
        </w:tc>
        <w:tc>
          <w:tcPr>
            <w:tcW w:w="9560" w:type="dxa"/>
            <w:vAlign w:val="center"/>
          </w:tcPr>
          <w:p>
            <w:pPr>
              <w:pStyle w:val="184"/>
              <w:spacing w:line="240" w:lineRule="auto"/>
              <w:ind w:firstLine="0" w:firstLineChars="0"/>
              <w:jc w:val="left"/>
              <w:rPr>
                <w:rFonts w:ascii="仿宋" w:hAnsi="仿宋" w:eastAsia="仿宋" w:cs="仿宋"/>
                <w:bCs/>
                <w:kern w:val="0"/>
                <w:sz w:val="24"/>
                <w:szCs w:val="24"/>
              </w:rPr>
            </w:pPr>
            <w:r>
              <w:rPr>
                <w:rFonts w:hint="eastAsia" w:ascii="仿宋" w:hAnsi="仿宋" w:eastAsia="仿宋" w:cs="仿宋"/>
                <w:sz w:val="24"/>
                <w:szCs w:val="24"/>
              </w:rPr>
              <w:t>采购单位：</w:t>
            </w:r>
            <w:r>
              <w:rPr>
                <w:rFonts w:hint="eastAsia" w:ascii="仿宋" w:hAnsi="仿宋" w:eastAsia="仿宋" w:cs="仿宋"/>
                <w:kern w:val="0"/>
                <w:sz w:val="24"/>
                <w:szCs w:val="24"/>
              </w:rPr>
              <w:t>新疆医科大学第五附属医院</w:t>
            </w:r>
          </w:p>
          <w:p>
            <w:pPr>
              <w:pStyle w:val="184"/>
              <w:spacing w:line="24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联系人：</w:t>
            </w:r>
            <w:r>
              <w:rPr>
                <w:rFonts w:hint="eastAsia" w:ascii="仿宋" w:hAnsi="仿宋" w:eastAsia="仿宋" w:cs="仿宋"/>
                <w:bCs/>
                <w:kern w:val="0"/>
                <w:sz w:val="24"/>
                <w:szCs w:val="24"/>
              </w:rPr>
              <w:t>刘懿萱</w:t>
            </w:r>
          </w:p>
          <w:p>
            <w:pPr>
              <w:pStyle w:val="184"/>
              <w:spacing w:line="24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联系电话：0991-7598403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2"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4</w:t>
            </w:r>
          </w:p>
        </w:tc>
        <w:tc>
          <w:tcPr>
            <w:tcW w:w="9560" w:type="dxa"/>
            <w:vAlign w:val="center"/>
          </w:tcPr>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采购代理机构：新疆德鸿项目管理咨询有限公司</w:t>
            </w:r>
          </w:p>
          <w:p>
            <w:pPr>
              <w:jc w:val="left"/>
              <w:rPr>
                <w:rFonts w:ascii="仿宋" w:hAnsi="仿宋" w:eastAsia="仿宋" w:cs="仿宋"/>
                <w:sz w:val="24"/>
                <w:szCs w:val="24"/>
              </w:rPr>
            </w:pPr>
            <w:r>
              <w:rPr>
                <w:rFonts w:hint="eastAsia" w:ascii="仿宋" w:hAnsi="仿宋" w:eastAsia="仿宋" w:cs="仿宋"/>
                <w:sz w:val="24"/>
                <w:szCs w:val="24"/>
              </w:rPr>
              <w:t>项目联系人：李娟娟、吴楚</w:t>
            </w:r>
          </w:p>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电话：0991-4833203</w:t>
            </w:r>
          </w:p>
          <w:p>
            <w:pPr>
              <w:pStyle w:val="184"/>
              <w:spacing w:line="240" w:lineRule="auto"/>
              <w:ind w:firstLine="0" w:firstLineChars="0"/>
              <w:jc w:val="left"/>
              <w:rPr>
                <w:rFonts w:ascii="仿宋" w:hAnsi="仿宋" w:eastAsia="仿宋" w:cs="仿宋"/>
                <w:kern w:val="0"/>
                <w:sz w:val="24"/>
                <w:szCs w:val="24"/>
              </w:rPr>
            </w:pPr>
            <w:r>
              <w:rPr>
                <w:rFonts w:hint="eastAsia" w:ascii="仿宋" w:hAnsi="仿宋" w:eastAsia="仿宋" w:cs="仿宋"/>
                <w:sz w:val="24"/>
                <w:szCs w:val="24"/>
              </w:rPr>
              <w:t>地址：乌鲁木齐市友好北路706号昊泰明慧园B座18楼1803室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4"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5</w:t>
            </w:r>
          </w:p>
        </w:tc>
        <w:tc>
          <w:tcPr>
            <w:tcW w:w="9560" w:type="dxa"/>
            <w:vAlign w:val="center"/>
          </w:tcPr>
          <w:p>
            <w:pPr>
              <w:jc w:val="left"/>
              <w:rPr>
                <w:rFonts w:ascii="仿宋" w:hAnsi="仿宋" w:eastAsia="仿宋" w:cs="仿宋"/>
                <w:sz w:val="24"/>
              </w:rPr>
            </w:pPr>
            <w:r>
              <w:rPr>
                <w:rFonts w:hint="eastAsia" w:ascii="仿宋" w:hAnsi="仿宋" w:eastAsia="仿宋" w:cs="仿宋"/>
                <w:sz w:val="24"/>
              </w:rPr>
              <w:t>保证金金额：4500.00元</w:t>
            </w:r>
          </w:p>
          <w:p>
            <w:pPr>
              <w:jc w:val="left"/>
              <w:rPr>
                <w:rFonts w:ascii="仿宋" w:hAnsi="仿宋" w:eastAsia="仿宋" w:cs="仿宋"/>
                <w:sz w:val="24"/>
              </w:rPr>
            </w:pPr>
            <w:r>
              <w:rPr>
                <w:rFonts w:hint="eastAsia" w:ascii="仿宋" w:hAnsi="仿宋" w:eastAsia="仿宋" w:cs="仿宋"/>
                <w:sz w:val="24"/>
              </w:rPr>
              <w:t>(保证金的形式：转账或电汇、开户行：中国工商银行乌鲁木齐红山路支行、户名：新疆德鸿项目管理咨询有限公司、账号：3002016509024927967、行号：102881001659、递交时间：响应文件递交截止时间前</w:t>
            </w:r>
            <w:r>
              <w:rPr>
                <w:rFonts w:hint="eastAsia" w:ascii="仿宋" w:hAnsi="仿宋" w:eastAsia="仿宋" w:cs="仿宋"/>
                <w:color w:val="FF0000"/>
                <w:sz w:val="24"/>
              </w:rPr>
              <w:t>【2023年</w:t>
            </w:r>
            <w:r>
              <w:rPr>
                <w:rFonts w:hint="eastAsia" w:ascii="仿宋" w:hAnsi="仿宋" w:eastAsia="仿宋" w:cs="仿宋"/>
                <w:color w:val="FF0000"/>
                <w:sz w:val="24"/>
                <w:lang w:val="en-US" w:eastAsia="zh-CN"/>
              </w:rPr>
              <w:t>05</w:t>
            </w:r>
            <w:r>
              <w:rPr>
                <w:rFonts w:hint="eastAsia" w:ascii="仿宋" w:hAnsi="仿宋" w:eastAsia="仿宋" w:cs="仿宋"/>
                <w:color w:val="FF0000"/>
                <w:sz w:val="24"/>
              </w:rPr>
              <w:t xml:space="preserve"> 月</w:t>
            </w:r>
            <w:r>
              <w:rPr>
                <w:rFonts w:hint="eastAsia" w:ascii="仿宋" w:hAnsi="仿宋" w:eastAsia="仿宋" w:cs="仿宋"/>
                <w:color w:val="FF0000"/>
                <w:sz w:val="24"/>
                <w:lang w:val="en-US" w:eastAsia="zh-CN"/>
              </w:rPr>
              <w:t>29</w:t>
            </w:r>
            <w:r>
              <w:rPr>
                <w:rFonts w:hint="eastAsia" w:ascii="仿宋" w:hAnsi="仿宋" w:eastAsia="仿宋" w:cs="仿宋"/>
                <w:color w:val="FF0000"/>
                <w:sz w:val="24"/>
              </w:rPr>
              <w:t xml:space="preserve"> 日1</w:t>
            </w:r>
            <w:r>
              <w:rPr>
                <w:rFonts w:hint="eastAsia" w:ascii="仿宋" w:hAnsi="仿宋" w:eastAsia="仿宋" w:cs="仿宋"/>
                <w:color w:val="FF0000"/>
                <w:sz w:val="24"/>
                <w:lang w:val="en-US" w:eastAsia="zh-CN"/>
              </w:rPr>
              <w:t>0</w:t>
            </w:r>
            <w:r>
              <w:rPr>
                <w:rFonts w:hint="eastAsia" w:ascii="仿宋" w:hAnsi="仿宋" w:eastAsia="仿宋" w:cs="仿宋"/>
                <w:color w:val="FF0000"/>
                <w:sz w:val="24"/>
              </w:rPr>
              <w:t>:</w:t>
            </w:r>
            <w:r>
              <w:rPr>
                <w:rFonts w:hint="eastAsia" w:ascii="仿宋" w:hAnsi="仿宋" w:eastAsia="仿宋" w:cs="仿宋"/>
                <w:color w:val="FF0000"/>
                <w:sz w:val="24"/>
                <w:lang w:val="en-US" w:eastAsia="zh-CN"/>
              </w:rPr>
              <w:t>3</w:t>
            </w:r>
            <w:r>
              <w:rPr>
                <w:rFonts w:hint="eastAsia" w:ascii="仿宋" w:hAnsi="仿宋" w:eastAsia="仿宋" w:cs="仿宋"/>
                <w:color w:val="FF0000"/>
                <w:sz w:val="24"/>
              </w:rPr>
              <w:t>0（北京时间）之前】</w:t>
            </w:r>
            <w:r>
              <w:rPr>
                <w:rFonts w:hint="eastAsia" w:ascii="仿宋" w:hAnsi="仿宋" w:eastAsia="仿宋" w:cs="仿宋"/>
                <w:sz w:val="24"/>
              </w:rPr>
              <w:t>、递交方式：基本账户转出，须注明所投项目及标段、提交保证金应充分考虑相关时间。</w:t>
            </w:r>
          </w:p>
          <w:p>
            <w:pPr>
              <w:pStyle w:val="2"/>
              <w:rPr>
                <w:rFonts w:ascii="仿宋" w:hAnsi="仿宋" w:eastAsia="仿宋" w:cs="仿宋"/>
              </w:rPr>
            </w:pPr>
            <w:r>
              <w:rPr>
                <w:rFonts w:hint="eastAsia" w:ascii="仿宋" w:hAnsi="仿宋" w:eastAsia="仿宋" w:cs="仿宋"/>
                <w:b/>
                <w:bCs/>
                <w:u w:val="single"/>
                <w:shd w:val="clear" w:color="FFFFFF" w:fill="D9D9D9"/>
              </w:rPr>
              <w:t>供应商账户信息（word版）及保证金汇款凭证（扫描件）发送至下列电子邮箱（注明单位名称、项目名称、标段）、邮箱：396916938@qq.com（招标代理），如未按要求发至邮箱导致无法退还保证金，责任由供应商自行承担。</w:t>
            </w:r>
          </w:p>
          <w:p>
            <w:pPr>
              <w:jc w:val="left"/>
              <w:rPr>
                <w:rFonts w:ascii="仿宋" w:hAnsi="仿宋" w:eastAsia="仿宋" w:cs="仿宋"/>
                <w:sz w:val="24"/>
              </w:rPr>
            </w:pPr>
            <w:r>
              <w:rPr>
                <w:rFonts w:hint="eastAsia" w:ascii="仿宋" w:hAnsi="仿宋" w:eastAsia="仿宋" w:cs="仿宋"/>
                <w:sz w:val="24"/>
              </w:rPr>
              <w:t>注：保证金到账时间以新疆德鸿项目管理咨询有限公司账户实际到账时间为准，如未在磋商文件规定的时间内到账，视为响应文件递交无效，自行承担责任。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6</w:t>
            </w:r>
          </w:p>
        </w:tc>
        <w:tc>
          <w:tcPr>
            <w:tcW w:w="9560" w:type="dxa"/>
            <w:vAlign w:val="center"/>
          </w:tcPr>
          <w:p>
            <w:pPr>
              <w:pStyle w:val="81"/>
              <w:snapToGrid w:val="0"/>
              <w:rPr>
                <w:rFonts w:ascii="仿宋" w:hAnsi="仿宋" w:eastAsia="仿宋" w:cs="仿宋"/>
                <w:color w:val="auto"/>
                <w:szCs w:val="24"/>
              </w:rPr>
            </w:pPr>
            <w:r>
              <w:rPr>
                <w:rFonts w:hint="eastAsia" w:ascii="仿宋" w:hAnsi="仿宋" w:eastAsia="仿宋" w:cs="仿宋"/>
                <w:color w:val="auto"/>
                <w:szCs w:val="24"/>
              </w:rPr>
              <w:t>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1）符合政府采购法第二十二条的规定；</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2）供应商须具有效的“一证一码”或“三证合一”的营业执照；</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具有良好的财务状况</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提供近三年2020-2022年任意</w:t>
            </w:r>
            <w:r>
              <w:rPr>
                <w:rFonts w:hint="eastAsia" w:ascii="仿宋" w:hAnsi="仿宋" w:eastAsia="仿宋" w:cs="宋体"/>
                <w:kern w:val="0"/>
                <w:sz w:val="24"/>
                <w:szCs w:val="24"/>
                <w:lang w:val="en-US" w:eastAsia="zh-CN"/>
              </w:rPr>
              <w:t>一</w:t>
            </w:r>
            <w:r>
              <w:rPr>
                <w:rFonts w:hint="eastAsia" w:ascii="仿宋" w:hAnsi="仿宋" w:eastAsia="仿宋" w:cs="宋体"/>
                <w:kern w:val="0"/>
                <w:sz w:val="24"/>
                <w:szCs w:val="24"/>
              </w:rPr>
              <w:t>年经第三方审计出具的审计报告</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须包含资产负债表、现金流量表、利润表等</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或</w:t>
            </w:r>
            <w:r>
              <w:rPr>
                <w:rFonts w:hint="eastAsia" w:ascii="仿宋" w:hAnsi="仿宋" w:eastAsia="仿宋" w:cs="宋体"/>
                <w:kern w:val="0"/>
                <w:sz w:val="24"/>
                <w:szCs w:val="24"/>
              </w:rPr>
              <w:t>提供成立至今的财务报表和近一个月的银行资信证明并加盖公章；</w:t>
            </w:r>
          </w:p>
          <w:p>
            <w:pPr>
              <w:widowControl/>
              <w:spacing w:line="360" w:lineRule="exact"/>
              <w:jc w:val="left"/>
              <w:rPr>
                <w:rFonts w:hint="eastAsia" w:ascii="仿宋" w:hAnsi="仿宋" w:eastAsia="仿宋" w:cs="仿宋"/>
                <w:sz w:val="24"/>
              </w:rPr>
            </w:pP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w:t>
            </w:r>
            <w:r>
              <w:rPr>
                <w:rFonts w:hint="eastAsia" w:ascii="仿宋" w:hAnsi="仿宋" w:eastAsia="仿宋" w:cs="仿宋"/>
                <w:sz w:val="24"/>
              </w:rPr>
              <w:t>参加采购活动前三年内，在经营活动中没有重大违法记录，提供“信用中国”网站（www.creditchina.gov.cn）中国政府采购网（www.ccgp.gov.cn）无违法违规行为的查询纪录；</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）供应商具有履行合同所必需的设备和专业技术能力；</w:t>
            </w:r>
          </w:p>
          <w:p>
            <w:pPr>
              <w:widowControl/>
              <w:spacing w:line="360" w:lineRule="exact"/>
              <w:jc w:val="left"/>
              <w:rPr>
                <w:rFonts w:ascii="仿宋" w:hAnsi="仿宋" w:eastAsia="仿宋" w:cs="仿宋"/>
                <w:szCs w:val="24"/>
              </w:rPr>
            </w:pP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）本项目专门面向小微企业预留金额/中小企业预留金额。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7</w:t>
            </w:r>
          </w:p>
        </w:tc>
        <w:tc>
          <w:tcPr>
            <w:tcW w:w="9560" w:type="dxa"/>
            <w:vAlign w:val="center"/>
          </w:tcPr>
          <w:p>
            <w:pPr>
              <w:pStyle w:val="184"/>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cs="仿宋"/>
                <w:sz w:val="24"/>
                <w:szCs w:val="24"/>
              </w:rPr>
            </w:pPr>
            <w:r>
              <w:rPr>
                <w:rFonts w:hint="eastAsia" w:ascii="仿宋" w:hAnsi="仿宋" w:eastAsia="仿宋" w:cs="仿宋"/>
                <w:sz w:val="24"/>
                <w:szCs w:val="24"/>
              </w:rPr>
              <w:t>8</w:t>
            </w:r>
          </w:p>
        </w:tc>
        <w:tc>
          <w:tcPr>
            <w:tcW w:w="9560" w:type="dxa"/>
            <w:vAlign w:val="center"/>
          </w:tcPr>
          <w:p>
            <w:pPr>
              <w:jc w:val="left"/>
              <w:rPr>
                <w:rFonts w:ascii="仿宋" w:hAnsi="仿宋" w:eastAsia="仿宋" w:cs="仿宋"/>
              </w:rPr>
            </w:pPr>
            <w:r>
              <w:rPr>
                <w:rFonts w:hint="eastAsia" w:ascii="仿宋" w:hAnsi="仿宋" w:eastAsia="仿宋" w:cs="仿宋"/>
                <w:sz w:val="24"/>
                <w:szCs w:val="24"/>
              </w:rPr>
              <w:t>磋商报价：供应商应在报价一览表中标明其提供的所有服务及相关工作范围内所有费用的总价。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9560" w:type="dxa"/>
            <w:vAlign w:val="center"/>
          </w:tcPr>
          <w:p>
            <w:pPr>
              <w:jc w:val="left"/>
              <w:rPr>
                <w:rFonts w:ascii="仿宋" w:hAnsi="仿宋" w:eastAsia="仿宋" w:cs="仿宋"/>
                <w:sz w:val="24"/>
                <w:szCs w:val="24"/>
              </w:rPr>
            </w:pPr>
            <w:r>
              <w:rPr>
                <w:rFonts w:hint="eastAsia" w:ascii="仿宋" w:hAnsi="仿宋" w:eastAsia="仿宋" w:cs="仿宋"/>
                <w:sz w:val="24"/>
                <w:szCs w:val="24"/>
              </w:rPr>
              <w:t>磋商截止时间：</w:t>
            </w:r>
            <w:r>
              <w:rPr>
                <w:rFonts w:hint="eastAsia" w:ascii="仿宋" w:hAnsi="仿宋" w:eastAsia="仿宋" w:cs="仿宋"/>
                <w:color w:val="FF0000"/>
                <w:sz w:val="24"/>
                <w:szCs w:val="24"/>
              </w:rPr>
              <w:t xml:space="preserve">2023年 </w:t>
            </w:r>
            <w:r>
              <w:rPr>
                <w:rFonts w:hint="eastAsia" w:ascii="仿宋" w:hAnsi="仿宋" w:eastAsia="仿宋" w:cs="仿宋"/>
                <w:color w:val="FF0000"/>
                <w:sz w:val="24"/>
                <w:szCs w:val="24"/>
                <w:lang w:val="en-US" w:eastAsia="zh-CN"/>
              </w:rPr>
              <w:t xml:space="preserve">05 </w:t>
            </w:r>
            <w:r>
              <w:rPr>
                <w:rFonts w:hint="eastAsia" w:ascii="仿宋" w:hAnsi="仿宋" w:eastAsia="仿宋" w:cs="仿宋"/>
                <w:color w:val="FF0000"/>
                <w:sz w:val="24"/>
                <w:szCs w:val="24"/>
              </w:rPr>
              <w:t xml:space="preserve">月 </w:t>
            </w:r>
            <w:r>
              <w:rPr>
                <w:rFonts w:hint="eastAsia" w:ascii="仿宋" w:hAnsi="仿宋" w:eastAsia="仿宋" w:cs="仿宋"/>
                <w:color w:val="FF0000"/>
                <w:sz w:val="24"/>
                <w:szCs w:val="24"/>
                <w:lang w:val="en-US" w:eastAsia="zh-CN"/>
              </w:rPr>
              <w:t>29</w:t>
            </w:r>
            <w:r>
              <w:rPr>
                <w:rFonts w:hint="eastAsia" w:ascii="仿宋" w:hAnsi="仿宋" w:eastAsia="仿宋" w:cs="仿宋"/>
                <w:color w:val="FF0000"/>
                <w:sz w:val="24"/>
                <w:szCs w:val="24"/>
              </w:rPr>
              <w:t>日1</w:t>
            </w:r>
            <w:r>
              <w:rPr>
                <w:rFonts w:hint="eastAsia" w:ascii="仿宋" w:hAnsi="仿宋" w:eastAsia="仿宋" w:cs="仿宋"/>
                <w:color w:val="FF0000"/>
                <w:sz w:val="24"/>
                <w:szCs w:val="24"/>
                <w:lang w:val="en-US" w:eastAsia="zh-CN"/>
              </w:rPr>
              <w:t>0</w:t>
            </w:r>
            <w:r>
              <w:rPr>
                <w:rFonts w:hint="eastAsia" w:ascii="仿宋" w:hAnsi="仿宋" w:eastAsia="仿宋" w:cs="仿宋"/>
                <w:color w:val="FF0000"/>
                <w:sz w:val="24"/>
                <w:szCs w:val="24"/>
              </w:rPr>
              <w:t>时</w:t>
            </w:r>
            <w:r>
              <w:rPr>
                <w:rFonts w:hint="eastAsia" w:ascii="仿宋" w:hAnsi="仿宋" w:eastAsia="仿宋" w:cs="仿宋"/>
                <w:color w:val="FF0000"/>
                <w:sz w:val="24"/>
                <w:szCs w:val="24"/>
                <w:lang w:val="en-US" w:eastAsia="zh-CN"/>
              </w:rPr>
              <w:t>30</w:t>
            </w:r>
            <w:r>
              <w:rPr>
                <w:rFonts w:hint="eastAsia" w:ascii="仿宋" w:hAnsi="仿宋" w:eastAsia="仿宋" w:cs="仿宋"/>
                <w:color w:val="FF0000"/>
                <w:sz w:val="24"/>
                <w:szCs w:val="24"/>
              </w:rPr>
              <w:t xml:space="preserve"> 分（</w:t>
            </w:r>
            <w:r>
              <w:rPr>
                <w:rFonts w:hint="eastAsia" w:ascii="仿宋" w:hAnsi="仿宋" w:eastAsia="仿宋" w:cs="仿宋"/>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9560" w:type="dxa"/>
            <w:vAlign w:val="center"/>
          </w:tcPr>
          <w:p>
            <w:pPr>
              <w:spacing w:line="340" w:lineRule="exact"/>
              <w:jc w:val="left"/>
              <w:rPr>
                <w:rFonts w:ascii="仿宋" w:hAnsi="仿宋" w:eastAsia="仿宋" w:cs="仿宋"/>
                <w:sz w:val="24"/>
                <w:szCs w:val="24"/>
              </w:rPr>
            </w:pPr>
            <w:r>
              <w:rPr>
                <w:rFonts w:hint="eastAsia" w:ascii="仿宋" w:hAnsi="仿宋" w:eastAsia="仿宋" w:cs="仿宋"/>
                <w:sz w:val="24"/>
                <w:szCs w:val="24"/>
              </w:rPr>
              <w:t>响应文件的数目：电子响应文件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9560" w:type="dxa"/>
            <w:vAlign w:val="center"/>
          </w:tcPr>
          <w:p>
            <w:pPr>
              <w:jc w:val="left"/>
              <w:rPr>
                <w:rFonts w:ascii="仿宋" w:hAnsi="仿宋" w:eastAsia="仿宋" w:cs="仿宋"/>
                <w:sz w:val="24"/>
                <w:szCs w:val="24"/>
              </w:rPr>
            </w:pPr>
            <w:r>
              <w:rPr>
                <w:rFonts w:hint="eastAsia" w:ascii="仿宋" w:hAnsi="仿宋" w:eastAsia="仿宋" w:cs="仿宋"/>
                <w:sz w:val="24"/>
                <w:szCs w:val="24"/>
              </w:rPr>
              <w:t xml:space="preserve">响应文件递交至：新疆政府采购网政采云平台（www.zcygov.cn）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9560" w:type="dxa"/>
            <w:vAlign w:val="center"/>
          </w:tcPr>
          <w:p>
            <w:pPr>
              <w:jc w:val="left"/>
              <w:rPr>
                <w:rFonts w:ascii="仿宋" w:hAnsi="仿宋" w:eastAsia="仿宋" w:cs="仿宋"/>
                <w:sz w:val="24"/>
                <w:szCs w:val="24"/>
              </w:rPr>
            </w:pPr>
            <w:r>
              <w:rPr>
                <w:rFonts w:hint="eastAsia" w:ascii="仿宋" w:hAnsi="仿宋" w:eastAsia="仿宋" w:cs="仿宋"/>
                <w:sz w:val="24"/>
                <w:szCs w:val="24"/>
              </w:rPr>
              <w:t>磋商截止时间：</w:t>
            </w:r>
            <w:r>
              <w:rPr>
                <w:rFonts w:hint="eastAsia" w:ascii="仿宋" w:hAnsi="仿宋" w:eastAsia="仿宋" w:cs="仿宋"/>
                <w:color w:val="FF0000"/>
                <w:sz w:val="24"/>
                <w:szCs w:val="24"/>
              </w:rPr>
              <w:t xml:space="preserve">2023年 </w:t>
            </w:r>
            <w:r>
              <w:rPr>
                <w:rFonts w:hint="eastAsia" w:ascii="仿宋" w:hAnsi="仿宋" w:eastAsia="仿宋" w:cs="仿宋"/>
                <w:color w:val="FF0000"/>
                <w:sz w:val="24"/>
                <w:szCs w:val="24"/>
                <w:lang w:val="en-US" w:eastAsia="zh-CN"/>
              </w:rPr>
              <w:t xml:space="preserve">05 </w:t>
            </w:r>
            <w:r>
              <w:rPr>
                <w:rFonts w:hint="eastAsia" w:ascii="仿宋" w:hAnsi="仿宋" w:eastAsia="仿宋" w:cs="仿宋"/>
                <w:color w:val="FF0000"/>
                <w:sz w:val="24"/>
                <w:szCs w:val="24"/>
              </w:rPr>
              <w:t xml:space="preserve">月 </w:t>
            </w:r>
            <w:r>
              <w:rPr>
                <w:rFonts w:hint="eastAsia" w:ascii="仿宋" w:hAnsi="仿宋" w:eastAsia="仿宋" w:cs="仿宋"/>
                <w:color w:val="FF0000"/>
                <w:sz w:val="24"/>
                <w:szCs w:val="24"/>
                <w:lang w:val="en-US" w:eastAsia="zh-CN"/>
              </w:rPr>
              <w:t>29</w:t>
            </w:r>
            <w:r>
              <w:rPr>
                <w:rFonts w:hint="eastAsia" w:ascii="仿宋" w:hAnsi="仿宋" w:eastAsia="仿宋" w:cs="仿宋"/>
                <w:color w:val="FF0000"/>
                <w:sz w:val="24"/>
                <w:szCs w:val="24"/>
              </w:rPr>
              <w:t>日1</w:t>
            </w:r>
            <w:r>
              <w:rPr>
                <w:rFonts w:hint="eastAsia" w:ascii="仿宋" w:hAnsi="仿宋" w:eastAsia="仿宋" w:cs="仿宋"/>
                <w:color w:val="FF0000"/>
                <w:sz w:val="24"/>
                <w:szCs w:val="24"/>
                <w:lang w:val="en-US" w:eastAsia="zh-CN"/>
              </w:rPr>
              <w:t>0</w:t>
            </w:r>
            <w:r>
              <w:rPr>
                <w:rFonts w:hint="eastAsia" w:ascii="仿宋" w:hAnsi="仿宋" w:eastAsia="仿宋" w:cs="仿宋"/>
                <w:color w:val="FF0000"/>
                <w:sz w:val="24"/>
                <w:szCs w:val="24"/>
              </w:rPr>
              <w:t>时</w:t>
            </w:r>
            <w:r>
              <w:rPr>
                <w:rFonts w:hint="eastAsia" w:ascii="仿宋" w:hAnsi="仿宋" w:eastAsia="仿宋" w:cs="仿宋"/>
                <w:color w:val="FF0000"/>
                <w:sz w:val="24"/>
                <w:szCs w:val="24"/>
                <w:lang w:val="en-US" w:eastAsia="zh-CN"/>
              </w:rPr>
              <w:t>30</w:t>
            </w:r>
            <w:r>
              <w:rPr>
                <w:rFonts w:hint="eastAsia" w:ascii="仿宋" w:hAnsi="仿宋" w:eastAsia="仿宋" w:cs="仿宋"/>
                <w:color w:val="FF0000"/>
                <w:sz w:val="24"/>
                <w:szCs w:val="24"/>
              </w:rPr>
              <w:t xml:space="preserve"> 分（</w:t>
            </w:r>
            <w:r>
              <w:rPr>
                <w:rFonts w:hint="eastAsia" w:ascii="仿宋" w:hAnsi="仿宋" w:eastAsia="仿宋" w:cs="仿宋"/>
                <w:sz w:val="24"/>
                <w:szCs w:val="24"/>
              </w:rPr>
              <w:t>北京时间），逾期送达的响应文件将被拒收。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9560" w:type="dxa"/>
            <w:vAlign w:val="center"/>
          </w:tcPr>
          <w:p>
            <w:pPr>
              <w:tabs>
                <w:tab w:val="left" w:pos="1185"/>
              </w:tabs>
              <w:rPr>
                <w:rFonts w:ascii="仿宋" w:hAnsi="仿宋" w:eastAsia="仿宋" w:cs="仿宋"/>
                <w:sz w:val="24"/>
                <w:szCs w:val="24"/>
              </w:rPr>
            </w:pPr>
            <w:r>
              <w:rPr>
                <w:rFonts w:hint="eastAsia" w:ascii="仿宋" w:hAnsi="仿宋" w:eastAsia="仿宋" w:cs="仿宋"/>
                <w:sz w:val="24"/>
                <w:szCs w:val="24"/>
              </w:rPr>
              <w:t xml:space="preserve">磋商地点：新疆政府采购网政采云平台（www.zcygov.cn）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9560" w:type="dxa"/>
            <w:vAlign w:val="center"/>
          </w:tcPr>
          <w:p>
            <w:pPr>
              <w:jc w:val="left"/>
              <w:rPr>
                <w:rFonts w:ascii="仿宋" w:hAnsi="仿宋" w:eastAsia="仿宋" w:cs="仿宋"/>
                <w:sz w:val="24"/>
                <w:szCs w:val="24"/>
              </w:rPr>
            </w:pPr>
            <w:r>
              <w:rPr>
                <w:rFonts w:hint="eastAsia" w:ascii="仿宋" w:hAnsi="仿宋" w:eastAsia="仿宋" w:cs="仿宋"/>
                <w:sz w:val="24"/>
                <w:szCs w:val="24"/>
              </w:rPr>
              <w:t>数量调整：/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9560" w:type="dxa"/>
            <w:vAlign w:val="center"/>
          </w:tcPr>
          <w:p>
            <w:pPr>
              <w:tabs>
                <w:tab w:val="left" w:pos="1185"/>
              </w:tabs>
              <w:spacing w:line="460" w:lineRule="exact"/>
              <w:rPr>
                <w:rFonts w:hint="eastAsia" w:ascii="仿宋" w:hAnsi="仿宋" w:eastAsia="仿宋" w:cs="仿宋"/>
                <w:color w:val="FF0000"/>
                <w:sz w:val="24"/>
                <w:lang w:val="en-US" w:eastAsia="zh-CN"/>
              </w:rPr>
            </w:pPr>
            <w:r>
              <w:rPr>
                <w:rFonts w:hint="eastAsia" w:ascii="仿宋" w:hAnsi="仿宋" w:eastAsia="仿宋" w:cs="仿宋"/>
                <w:sz w:val="24"/>
                <w:highlight w:val="yellow"/>
              </w:rPr>
              <w:t>服务期：</w:t>
            </w:r>
            <w:r>
              <w:rPr>
                <w:rFonts w:hint="eastAsia" w:ascii="仿宋" w:hAnsi="仿宋" w:eastAsia="仿宋" w:cs="仿宋"/>
                <w:color w:val="FF0000"/>
                <w:sz w:val="24"/>
              </w:rPr>
              <w:t xml:space="preserve"> </w:t>
            </w:r>
            <w:r>
              <w:rPr>
                <w:rFonts w:hint="eastAsia" w:ascii="仿宋" w:hAnsi="仿宋" w:eastAsia="仿宋" w:cs="仿宋"/>
                <w:color w:val="FF0000"/>
                <w:sz w:val="24"/>
                <w:lang w:val="en-US" w:eastAsia="zh-CN"/>
              </w:rPr>
              <w:t>两年（合同一年一签）</w:t>
            </w:r>
          </w:p>
          <w:p>
            <w:pPr>
              <w:tabs>
                <w:tab w:val="left" w:pos="1185"/>
              </w:tabs>
              <w:spacing w:line="460" w:lineRule="exact"/>
              <w:rPr>
                <w:rFonts w:ascii="仿宋" w:hAnsi="仿宋" w:eastAsia="仿宋" w:cs="仿宋"/>
                <w:color w:val="FF0000"/>
                <w:sz w:val="24"/>
              </w:rPr>
            </w:pPr>
            <w:r>
              <w:rPr>
                <w:rFonts w:hint="eastAsia" w:ascii="仿宋" w:hAnsi="仿宋" w:eastAsia="仿宋" w:cs="仿宋"/>
                <w:sz w:val="24"/>
              </w:rPr>
              <w:t>服务地点：</w:t>
            </w:r>
            <w:r>
              <w:rPr>
                <w:rFonts w:hint="eastAsia" w:ascii="仿宋" w:hAnsi="仿宋" w:eastAsia="仿宋" w:cs="仿宋"/>
                <w:kern w:val="0"/>
                <w:sz w:val="24"/>
                <w:szCs w:val="24"/>
              </w:rPr>
              <w:t>新疆医科大学第五附属医院</w:t>
            </w:r>
            <w:r>
              <w:rPr>
                <w:rFonts w:hint="eastAsia" w:ascii="仿宋" w:hAnsi="仿宋" w:eastAsia="仿宋" w:cs="仿宋"/>
                <w:sz w:val="24"/>
              </w:rPr>
              <w:t>院内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trPr>
        <w:tc>
          <w:tcPr>
            <w:tcW w:w="729"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9560" w:type="dxa"/>
            <w:vAlign w:val="center"/>
          </w:tcPr>
          <w:p>
            <w:pPr>
              <w:snapToGrid w:val="0"/>
              <w:jc w:val="left"/>
              <w:rPr>
                <w:rFonts w:hint="default" w:ascii="仿宋" w:hAnsi="仿宋" w:eastAsia="仿宋" w:cs="仿宋"/>
                <w:sz w:val="24"/>
                <w:szCs w:val="24"/>
                <w:lang w:val="en-US" w:eastAsia="zh-CN"/>
              </w:rPr>
            </w:pPr>
            <w:r>
              <w:rPr>
                <w:rFonts w:hint="eastAsia" w:ascii="仿宋" w:hAnsi="仿宋" w:eastAsia="仿宋" w:cs="仿宋"/>
                <w:color w:val="0000FF"/>
                <w:sz w:val="24"/>
                <w:szCs w:val="24"/>
              </w:rPr>
              <w:t>付款方式</w:t>
            </w:r>
            <w:r>
              <w:rPr>
                <w:rFonts w:hint="eastAsia" w:ascii="仿宋" w:hAnsi="仿宋" w:eastAsia="仿宋" w:cs="仿宋"/>
                <w:color w:val="0000FF"/>
                <w:sz w:val="24"/>
              </w:rPr>
              <w:t>：</w:t>
            </w:r>
            <w:r>
              <w:rPr>
                <w:rFonts w:hint="eastAsia" w:ascii="仿宋" w:hAnsi="仿宋" w:eastAsia="仿宋" w:cs="仿宋"/>
                <w:color w:val="0000FF"/>
                <w:sz w:val="24"/>
                <w:lang w:val="en-US" w:eastAsia="zh-CN"/>
              </w:rPr>
              <w:t>合同签订后按每三个月一次进行 ，付款依据三个月一次的运维服务工作评价结果而定。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6"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17</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响应文件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18</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本项目为专门面向中小企业（含中型、小型、微型企业）采购项目。</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促进中小企业发展政策：根据《政府采购促进中小企业发展管理办法》规定，本项目供应商为小型或微型企业且报价产品为小型或微型企业生产的，将对该报价产品的评审报价给予6%-10%的扣除。供应商和制造商应出具竞争性采购文件要求的《中小企业声明函》，否则磋商时不予认可。供应商和制造商应对提交的中小企业声明函的真实性负责，提交的中小企业声明函不真实的，应承担相应的法律责任。</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highlight w:val="yellow"/>
              </w:rPr>
              <w:t>本项目为专门面向中小企业（含中型、小型、微型企业）采购项目，根据《政府采购促进中小企业发展管理办法》（财库[2020]46号）的规定，不再执行价格评审优惠的扶持政策。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19</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20</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21</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highlight w:val="yellow"/>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22</w:t>
            </w:r>
          </w:p>
        </w:tc>
        <w:tc>
          <w:tcPr>
            <w:tcW w:w="9560" w:type="dxa"/>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注：供应商认为磋商文件、采购过程、中标或者成交结果使自己的权益受到损害的，可以在知道或者应知其权益受到损害之日起7个工作日内，以书面形式向采购单位、采购代理机构提出质疑。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23</w:t>
            </w:r>
          </w:p>
        </w:tc>
        <w:tc>
          <w:tcPr>
            <w:tcW w:w="9560" w:type="dxa"/>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1. 本项目代理服务费收取标准参照原国家发展计划委员会文件（计价格[2002]1980号文）、（发改办价格[2003]857号文件）及财库[2018]2号文件所规定标准下浮40%，由中标人向采购代理机构支付。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5"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24</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响应文件的上传和递交：</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1）电子加密响应文件</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①响应文件制作完成并生成加密标书，在响应文件递交截止时间前，供应商需将加密的响应文件上传至政采云平台。</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②供应商未能在投标截止时间前成功上传电子加密响应文件的投标无效。</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③供应商成功上传电子加密响应文件后，可自行打印响应文件接收回执。</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2）备份响应文件</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①供应商在投标截止时间前将加密的响应文件上传至政府采购云平台， 还可以在投标截止时间前以电子邮件方式提供备份响应文件 1 份（接收人邮箱：396916938@qq.com，接收人：吴楚，电话：13659921314）， “备份响应文件”由供应商自愿提供，采购文件不作强制性要求；如不提供或未按要求提供的，无备份响应文件而失去投标资格。</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②备份响应文件提供要求：供应商可以将备份响应文件打包压缩并加密，压缩包命名为“XX 单位备份响应文件”，加密密码由供应商自行保管；送达时间以采购代理机构实际接收时间为准。“备份响应文件”</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逾期或未按要求提供的视为未提供，建议供应商提前 1 日办理邮件提供事宜。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5" w:hRule="atLeast"/>
        </w:trPr>
        <w:tc>
          <w:tcPr>
            <w:tcW w:w="729" w:type="dxa"/>
            <w:vAlign w:val="center"/>
          </w:tcPr>
          <w:p>
            <w:pPr>
              <w:spacing w:line="360" w:lineRule="auto"/>
              <w:ind w:firstLine="120" w:firstLineChars="50"/>
              <w:jc w:val="center"/>
              <w:rPr>
                <w:rFonts w:ascii="仿宋" w:hAnsi="仿宋" w:eastAsia="仿宋" w:cs="仿宋"/>
                <w:sz w:val="24"/>
                <w:szCs w:val="24"/>
              </w:rPr>
            </w:pPr>
            <w:r>
              <w:rPr>
                <w:rFonts w:hint="eastAsia" w:ascii="仿宋" w:hAnsi="仿宋" w:eastAsia="仿宋" w:cs="仿宋"/>
                <w:sz w:val="24"/>
                <w:szCs w:val="24"/>
              </w:rPr>
              <w:t>25</w:t>
            </w:r>
          </w:p>
        </w:tc>
        <w:tc>
          <w:tcPr>
            <w:tcW w:w="9560" w:type="dxa"/>
            <w:vAlign w:val="center"/>
          </w:tcPr>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响应文件的解密：</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①不见面开标默认解密时长： 30 分钟 供应商应在解密指令发出后采购（答疑）文件规定时间内完成解密。供应商未按规定完成解密，视为放弃投标。</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20、注意事项</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1）本项目为电子招投标项目，供应商需要使用 CA 加密设备，凡参加本项目供应商可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自主通过新疆 CA 申领渠道“新疆政务通”申请政采云平台可使用的 CA 设备。如有操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作性问题可与政采云在线客服进行咨询，咨询电话：400-881-7190。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2）本项目实行网上投标，采用电子投标文件，若供应商参与投标，自行承担投标一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切费用。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3）各供应商应在开标前应确保成为新疆政府采购网正式注册入库供应商，并完成 CA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数字证书申领。因未注册入库、未办理 CA 数字证书等原因造成无法投标或投标失败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等后果由供应商自行承担。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4）供应商将政采云电子交易客户端下载、安装完成后，可通过账号密码或 CA 登录客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户端进行投标文件制作。在使用政采云投标客户端时，建议使用 WIN7 及以上操作系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统。客户端请至新疆政府采购网（www.ccgp-xinjiang.gov.cn）下载专区查看，如有 </w:t>
            </w:r>
          </w:p>
          <w:p>
            <w:pPr>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问题可拨打政采云客户服务热线 400-881-7190 进行咨询。 </w:t>
            </w:r>
          </w:p>
        </w:tc>
      </w:tr>
    </w:tbl>
    <w:p>
      <w:pPr>
        <w:rPr>
          <w:rFonts w:cs="仿宋"/>
          <w:b/>
        </w:rPr>
      </w:pPr>
      <w:bookmarkStart w:id="11" w:name="_Toc56170380"/>
      <w:bookmarkStart w:id="12" w:name="_Toc65158527"/>
    </w:p>
    <w:p>
      <w:pPr>
        <w:widowControl/>
        <w:jc w:val="left"/>
        <w:rPr>
          <w:rFonts w:ascii="仿宋" w:hAnsi="仿宋" w:eastAsia="仿宋" w:cs="仿宋"/>
          <w:b/>
          <w:kern w:val="0"/>
          <w:sz w:val="28"/>
          <w:szCs w:val="24"/>
        </w:rPr>
      </w:pPr>
      <w:r>
        <w:rPr>
          <w:rFonts w:cs="仿宋"/>
          <w:b/>
        </w:rPr>
        <w:br w:type="page"/>
      </w:r>
    </w:p>
    <w:p>
      <w:pPr>
        <w:pStyle w:val="4"/>
        <w:jc w:val="center"/>
        <w:rPr>
          <w:rFonts w:cs="仿宋"/>
          <w:b/>
          <w:color w:val="auto"/>
        </w:rPr>
      </w:pPr>
      <w:r>
        <w:rPr>
          <w:rFonts w:hint="eastAsia" w:cs="仿宋"/>
          <w:b/>
          <w:color w:val="auto"/>
        </w:rPr>
        <w:t>一、总 则</w:t>
      </w:r>
      <w:bookmarkEnd w:id="11"/>
      <w:bookmarkEnd w:id="12"/>
    </w:p>
    <w:p>
      <w:pPr>
        <w:pStyle w:val="81"/>
        <w:spacing w:line="360" w:lineRule="auto"/>
        <w:ind w:firstLine="562"/>
        <w:jc w:val="both"/>
        <w:rPr>
          <w:rFonts w:ascii="仿宋" w:hAnsi="仿宋" w:eastAsia="仿宋" w:cs="仿宋"/>
          <w:color w:val="auto"/>
          <w:szCs w:val="24"/>
        </w:rPr>
      </w:pPr>
      <w:r>
        <w:rPr>
          <w:rFonts w:hint="eastAsia" w:ascii="仿宋" w:hAnsi="仿宋" w:eastAsia="仿宋" w:cs="仿宋"/>
          <w:color w:val="auto"/>
          <w:szCs w:val="24"/>
        </w:rPr>
        <w:t>1. 合格的供应商</w:t>
      </w:r>
    </w:p>
    <w:p>
      <w:pPr>
        <w:pStyle w:val="81"/>
        <w:spacing w:line="360" w:lineRule="auto"/>
        <w:ind w:firstLine="562"/>
        <w:jc w:val="both"/>
        <w:rPr>
          <w:rFonts w:ascii="仿宋" w:hAnsi="仿宋" w:eastAsia="仿宋" w:cs="仿宋"/>
          <w:color w:val="auto"/>
          <w:szCs w:val="24"/>
        </w:rPr>
      </w:pPr>
      <w:r>
        <w:rPr>
          <w:rFonts w:hint="eastAsia" w:ascii="仿宋" w:hAnsi="仿宋" w:eastAsia="仿宋" w:cs="仿宋"/>
          <w:color w:val="auto"/>
          <w:szCs w:val="24"/>
        </w:rPr>
        <w:t>1.1 凡符合《中华人民共和国政府采购法》第二十二条款规定的、有能力提供磋商文件中规定的要求提供服务，且具有独立承担民事等法律责任的法人或其它经济组织；</w:t>
      </w:r>
    </w:p>
    <w:p>
      <w:pPr>
        <w:pStyle w:val="81"/>
        <w:spacing w:line="360" w:lineRule="auto"/>
        <w:ind w:firstLine="562"/>
        <w:jc w:val="both"/>
        <w:rPr>
          <w:rFonts w:ascii="仿宋" w:hAnsi="仿宋" w:eastAsia="仿宋" w:cs="仿宋"/>
          <w:color w:val="auto"/>
          <w:szCs w:val="24"/>
        </w:rPr>
      </w:pPr>
      <w:r>
        <w:rPr>
          <w:rFonts w:hint="eastAsia" w:ascii="仿宋" w:hAnsi="仿宋" w:eastAsia="仿宋" w:cs="仿宋"/>
          <w:color w:val="auto"/>
          <w:szCs w:val="24"/>
        </w:rPr>
        <w:t>1.2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81"/>
        <w:spacing w:line="360" w:lineRule="auto"/>
        <w:ind w:firstLine="562"/>
        <w:jc w:val="both"/>
        <w:rPr>
          <w:rFonts w:ascii="仿宋" w:hAnsi="仿宋" w:eastAsia="仿宋" w:cs="仿宋"/>
          <w:color w:val="auto"/>
          <w:szCs w:val="24"/>
        </w:rPr>
      </w:pPr>
      <w:r>
        <w:rPr>
          <w:rFonts w:hint="eastAsia" w:ascii="仿宋" w:hAnsi="仿宋" w:eastAsia="仿宋" w:cs="仿宋"/>
          <w:color w:val="auto"/>
          <w:szCs w:val="24"/>
        </w:rPr>
        <w:t>1.3 本项目不接受联合体。</w:t>
      </w:r>
    </w:p>
    <w:p>
      <w:pPr>
        <w:pStyle w:val="81"/>
        <w:spacing w:line="360" w:lineRule="auto"/>
        <w:ind w:firstLine="562"/>
        <w:jc w:val="both"/>
        <w:rPr>
          <w:rFonts w:ascii="仿宋" w:hAnsi="仿宋" w:eastAsia="仿宋" w:cs="仿宋"/>
          <w:color w:val="auto"/>
          <w:szCs w:val="24"/>
        </w:rPr>
      </w:pPr>
      <w:r>
        <w:rPr>
          <w:rFonts w:hint="eastAsia" w:ascii="仿宋" w:hAnsi="仿宋" w:eastAsia="仿宋" w:cs="仿宋"/>
          <w:color w:val="auto"/>
          <w:szCs w:val="24"/>
        </w:rPr>
        <w:t>1.4 不符合1.1、1.2、1.3条款规定的供应商，其磋商将被拒绝。</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2. 定义</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2.1“采购代理机构”系指新疆德鸿项目管理咨询有限公司</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2.2“供应商”系指向采购代理机构提交响应文件的供应商。</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2.3“服务”系指按磋商文件要求提供的服务。</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2.4“卖方”系指提供合同服务的经济实体。本次磋商指有关成交供应商。</w:t>
      </w:r>
    </w:p>
    <w:p>
      <w:pPr>
        <w:pStyle w:val="81"/>
        <w:spacing w:line="360" w:lineRule="auto"/>
        <w:ind w:firstLine="561"/>
        <w:jc w:val="both"/>
        <w:rPr>
          <w:rFonts w:ascii="仿宋" w:hAnsi="仿宋" w:eastAsia="仿宋" w:cs="仿宋"/>
          <w:color w:val="auto"/>
          <w:szCs w:val="24"/>
        </w:rPr>
      </w:pPr>
      <w:r>
        <w:rPr>
          <w:rFonts w:hint="eastAsia" w:ascii="仿宋" w:hAnsi="仿宋" w:eastAsia="仿宋" w:cs="仿宋"/>
          <w:color w:val="auto"/>
          <w:szCs w:val="24"/>
        </w:rPr>
        <w:t>2.5“买方”系指购买服务的单位，即为本次磋商的采购单位。</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 其他要求</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3.1 供应商应自行承担所有与本次磋商磋商有关的费用，而不论磋商的结果如何。</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3.2 政府采购政策支持</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3.2.2 同一项目中部分产品属于优先采购政策的，评审时只对该部分产品的报价实行价格优惠。</w:t>
      </w:r>
    </w:p>
    <w:p>
      <w:pPr>
        <w:pStyle w:val="81"/>
        <w:spacing w:line="360" w:lineRule="auto"/>
        <w:ind w:firstLine="561"/>
        <w:rPr>
          <w:rFonts w:ascii="仿宋" w:hAnsi="仿宋" w:eastAsia="仿宋" w:cs="仿宋"/>
          <w:color w:val="auto"/>
          <w:szCs w:val="24"/>
        </w:rPr>
      </w:pPr>
      <w:r>
        <w:rPr>
          <w:rFonts w:hint="eastAsia" w:ascii="仿宋" w:hAnsi="仿宋" w:eastAsia="仿宋" w:cs="仿宋"/>
          <w:color w:val="auto"/>
          <w:szCs w:val="24"/>
        </w:rPr>
        <w:t>3.2.3 为推进政府采购诚信体系建设，供应商在签署相关承诺，提供相关信息前，应认真阅读财政部门相关政策规定。</w:t>
      </w:r>
      <w:bookmarkStart w:id="13" w:name="_Toc65158528"/>
      <w:bookmarkStart w:id="14" w:name="_Toc56170381"/>
    </w:p>
    <w:p>
      <w:pPr>
        <w:pStyle w:val="4"/>
        <w:jc w:val="center"/>
        <w:rPr>
          <w:rFonts w:cs="仿宋"/>
          <w:b/>
          <w:color w:val="auto"/>
        </w:rPr>
      </w:pPr>
      <w:r>
        <w:rPr>
          <w:rFonts w:hint="eastAsia" w:cs="仿宋"/>
          <w:b/>
          <w:color w:val="auto"/>
        </w:rPr>
        <w:t>二、磋商文件</w:t>
      </w:r>
      <w:bookmarkEnd w:id="13"/>
      <w:bookmarkEnd w:id="14"/>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 磋商文件</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 磋商文件用以阐明所需服务、磋商磋商程序和合同条款。包括：</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4.1.1 磋商公告</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4.1.2 磋商须知</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4.1.3 磋商内容及技术要求</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4.1.4 合同</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4.1.5 响应文件格式</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4.2  供应商应认真阅读磋商文件中所有的事项、格式、条款和规范等要求。如果没有按照磋商文件要求提交全部资料或者响应文件没有对磋商文件做出实质性响应，其磋商将被拒绝。</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5. 磋商文件的澄清和修改</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5.1 采购单位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4"/>
        <w:spacing w:line="360" w:lineRule="auto"/>
        <w:rPr>
          <w:rFonts w:cs="仿宋"/>
          <w:b/>
          <w:color w:val="auto"/>
        </w:rPr>
      </w:pPr>
      <w:bookmarkStart w:id="15" w:name="_Toc65158529"/>
      <w:bookmarkStart w:id="16" w:name="_Toc56170382"/>
      <w:r>
        <w:rPr>
          <w:rFonts w:hint="eastAsia" w:cs="仿宋"/>
          <w:b/>
          <w:color w:val="auto"/>
        </w:rPr>
        <w:t>三、响应文件的编制</w:t>
      </w:r>
      <w:bookmarkEnd w:id="15"/>
      <w:bookmarkEnd w:id="16"/>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6. 响应文件的编写</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6.1 供应商应仔细阅读磋商文件，了解磋商文件的要求，并在充分理解磋商文件提出的货物技术规范、服务和商务条款后的基础上制作响应文件。</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7. 响应文件的语言及计量单位</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7.2 响应文件中所使用的计量单位除磋商文件中有特殊规定外，一律使用法定计量单位。</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8. 响应文件构成</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8.1 供应商编写的响应文件应按下列顺序及内容提供：</w:t>
      </w:r>
    </w:p>
    <w:p>
      <w:pPr>
        <w:spacing w:line="460" w:lineRule="atLeast"/>
        <w:ind w:firstLine="420" w:firstLineChars="200"/>
        <w:rPr>
          <w:rFonts w:ascii="仿宋" w:hAnsi="仿宋" w:eastAsia="仿宋" w:cs="仿宋"/>
          <w:b/>
          <w:bCs/>
          <w:sz w:val="24"/>
          <w:szCs w:val="24"/>
          <w:shd w:val="clear" w:color="FFFFFF" w:fill="D9D9D9"/>
        </w:rPr>
      </w:pPr>
      <w:r>
        <w:rPr>
          <w:rFonts w:hint="eastAsia" w:ascii="仿宋" w:hAnsi="仿宋" w:eastAsia="仿宋" w:cs="仿宋"/>
          <w:szCs w:val="24"/>
        </w:rPr>
        <w:t>8.1.1</w:t>
      </w:r>
      <w:r>
        <w:rPr>
          <w:rFonts w:hint="eastAsia" w:ascii="仿宋" w:hAnsi="仿宋" w:eastAsia="仿宋" w:cs="仿宋"/>
          <w:sz w:val="24"/>
          <w:szCs w:val="24"/>
        </w:rPr>
        <w:t>资格审查文件</w:t>
      </w:r>
      <w:r>
        <w:rPr>
          <w:rFonts w:hint="eastAsia" w:ascii="仿宋" w:hAnsi="仿宋" w:eastAsia="仿宋" w:cs="仿宋"/>
          <w:b/>
          <w:bCs/>
          <w:sz w:val="24"/>
          <w:szCs w:val="24"/>
          <w:shd w:val="clear" w:color="FFFFFF" w:fill="D9D9D9"/>
        </w:rPr>
        <w:t>（后续供应商在线制作响应文件时需对资格审查项进行逐一关联响应）</w:t>
      </w:r>
    </w:p>
    <w:p>
      <w:pPr>
        <w:spacing w:line="460" w:lineRule="exact"/>
        <w:ind w:firstLine="424" w:firstLineChars="177"/>
        <w:rPr>
          <w:rFonts w:ascii="仿宋" w:hAnsi="仿宋" w:eastAsia="仿宋" w:cs="仿宋"/>
          <w:sz w:val="24"/>
        </w:rPr>
      </w:pPr>
      <w:r>
        <w:rPr>
          <w:rFonts w:hint="eastAsia" w:ascii="仿宋" w:hAnsi="仿宋" w:eastAsia="仿宋" w:cs="仿宋"/>
          <w:sz w:val="24"/>
        </w:rPr>
        <w:t>1）供应商须具有效的“一证一码”或“三证合一”的营业执照；</w:t>
      </w:r>
    </w:p>
    <w:p>
      <w:pPr>
        <w:spacing w:line="460" w:lineRule="exact"/>
        <w:ind w:firstLine="424" w:firstLineChars="177"/>
        <w:rPr>
          <w:rFonts w:ascii="仿宋" w:hAnsi="仿宋" w:eastAsia="仿宋" w:cs="仿宋"/>
          <w:sz w:val="24"/>
        </w:rPr>
      </w:pPr>
      <w:r>
        <w:rPr>
          <w:rFonts w:hint="eastAsia" w:ascii="仿宋" w:hAnsi="仿宋" w:eastAsia="仿宋" w:cs="仿宋"/>
          <w:sz w:val="24"/>
        </w:rPr>
        <w:t>2）供应商具有良好的财务状况，提供近三年2020-2022年任意一年经第三方审计出具的审计报告（须包含资产负债表、现金流量表、利润表等）或提供成立至今的财务报表和近一个月的银行资信证明并加盖公章；</w:t>
      </w:r>
    </w:p>
    <w:p>
      <w:pPr>
        <w:spacing w:line="460" w:lineRule="exact"/>
        <w:ind w:firstLine="424" w:firstLineChars="177"/>
        <w:rPr>
          <w:rFonts w:ascii="仿宋" w:hAnsi="仿宋" w:eastAsia="仿宋" w:cs="仿宋"/>
          <w:sz w:val="24"/>
        </w:rPr>
      </w:pPr>
      <w:r>
        <w:rPr>
          <w:rFonts w:hint="eastAsia" w:ascii="仿宋" w:hAnsi="仿宋" w:eastAsia="仿宋" w:cs="仿宋"/>
          <w:sz w:val="24"/>
        </w:rPr>
        <w:t>3）参加采购活动前三年内，在经营活动中没有重大违法记录，提供“信用中国”网站（www.creditchina.gov.cn）中国政府采购网（www.ccgp.gov.cn）无违法违规行为的查询纪录；</w:t>
      </w:r>
    </w:p>
    <w:p>
      <w:pPr>
        <w:spacing w:line="460" w:lineRule="exact"/>
        <w:ind w:firstLine="424" w:firstLineChars="177"/>
        <w:rPr>
          <w:rFonts w:ascii="仿宋" w:hAnsi="仿宋" w:eastAsia="仿宋" w:cs="仿宋"/>
          <w:sz w:val="24"/>
        </w:rPr>
      </w:pPr>
      <w:r>
        <w:rPr>
          <w:rFonts w:hint="eastAsia" w:ascii="仿宋" w:hAnsi="仿宋" w:eastAsia="仿宋" w:cs="仿宋"/>
          <w:sz w:val="24"/>
        </w:rPr>
        <w:t>4）</w:t>
      </w:r>
      <w:r>
        <w:rPr>
          <w:rFonts w:hint="eastAsia" w:ascii="仿宋" w:hAnsi="仿宋" w:eastAsia="仿宋" w:cs="宋体"/>
          <w:kern w:val="0"/>
          <w:sz w:val="24"/>
          <w:szCs w:val="24"/>
        </w:rPr>
        <w:t>供应商具有履行合同所必需的设备和专业技术能力</w:t>
      </w:r>
      <w:r>
        <w:rPr>
          <w:rFonts w:hint="eastAsia" w:ascii="仿宋" w:hAnsi="仿宋" w:eastAsia="仿宋" w:cs="仿宋"/>
          <w:sz w:val="24"/>
        </w:rPr>
        <w:t>（承诺书）；</w:t>
      </w:r>
    </w:p>
    <w:p>
      <w:pPr>
        <w:spacing w:line="460" w:lineRule="exact"/>
        <w:ind w:firstLine="424" w:firstLineChars="177"/>
        <w:rPr>
          <w:rFonts w:ascii="仿宋" w:hAnsi="仿宋" w:eastAsia="仿宋" w:cs="仿宋"/>
          <w:sz w:val="24"/>
        </w:rPr>
      </w:pPr>
      <w:r>
        <w:rPr>
          <w:rFonts w:hint="eastAsia" w:ascii="仿宋" w:hAnsi="仿宋" w:eastAsia="仿宋" w:cs="仿宋"/>
          <w:sz w:val="24"/>
        </w:rPr>
        <w:t>5）</w:t>
      </w:r>
      <w:r>
        <w:rPr>
          <w:rFonts w:hint="eastAsia" w:ascii="仿宋" w:hAnsi="仿宋" w:eastAsia="仿宋" w:cs="宋体"/>
          <w:kern w:val="0"/>
          <w:sz w:val="24"/>
          <w:szCs w:val="24"/>
        </w:rPr>
        <w:t>本项目专门面向小微企业预留金额/中小企业预留金额</w:t>
      </w:r>
      <w:r>
        <w:rPr>
          <w:rFonts w:hint="eastAsia" w:ascii="仿宋" w:hAnsi="仿宋" w:eastAsia="仿宋" w:cs="仿宋"/>
          <w:sz w:val="24"/>
        </w:rPr>
        <w:t>（企业类型声明函）。</w:t>
      </w:r>
    </w:p>
    <w:p>
      <w:pPr>
        <w:spacing w:line="460" w:lineRule="exact"/>
        <w:ind w:firstLine="424" w:firstLineChars="177"/>
        <w:rPr>
          <w:rFonts w:ascii="仿宋" w:hAnsi="仿宋" w:eastAsia="仿宋" w:cs="仿宋"/>
          <w:sz w:val="24"/>
        </w:rPr>
      </w:pPr>
      <w:r>
        <w:rPr>
          <w:rFonts w:hint="eastAsia" w:ascii="仿宋" w:hAnsi="仿宋" w:eastAsia="仿宋" w:cs="仿宋"/>
          <w:sz w:val="24"/>
        </w:rPr>
        <w:t>8.1.2 商务及技术文件</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响应函</w:t>
      </w:r>
    </w:p>
    <w:p>
      <w:pPr>
        <w:spacing w:line="460" w:lineRule="exact"/>
        <w:ind w:firstLine="424" w:firstLineChars="177"/>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法定代表人授权委托书</w:t>
      </w:r>
    </w:p>
    <w:p>
      <w:pPr>
        <w:spacing w:line="460" w:lineRule="exact"/>
        <w:ind w:firstLine="424" w:firstLineChars="177"/>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报价一览表</w:t>
      </w:r>
    </w:p>
    <w:p>
      <w:pPr>
        <w:spacing w:line="460" w:lineRule="exact"/>
        <w:ind w:firstLine="424" w:firstLineChars="177"/>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分项报价表</w:t>
      </w:r>
    </w:p>
    <w:p>
      <w:pPr>
        <w:spacing w:line="460" w:lineRule="exact"/>
        <w:ind w:firstLine="424" w:firstLineChars="177"/>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w:t>
      </w:r>
      <w:r>
        <w:rPr>
          <w:rFonts w:hint="eastAsia" w:ascii="仿宋" w:hAnsi="仿宋" w:eastAsia="仿宋" w:cs="仿宋"/>
          <w:sz w:val="24"/>
        </w:rPr>
        <w:t>关于资格的声明函</w:t>
      </w:r>
    </w:p>
    <w:p>
      <w:pPr>
        <w:spacing w:line="460" w:lineRule="exact"/>
        <w:ind w:firstLine="424" w:firstLineChars="177"/>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CN"/>
        </w:rPr>
        <w:t>）</w:t>
      </w:r>
      <w:r>
        <w:rPr>
          <w:rFonts w:hint="eastAsia" w:ascii="仿宋" w:hAnsi="仿宋" w:eastAsia="仿宋" w:cs="仿宋"/>
          <w:sz w:val="24"/>
        </w:rPr>
        <w:t>企业简介</w:t>
      </w:r>
    </w:p>
    <w:p>
      <w:pPr>
        <w:spacing w:line="460" w:lineRule="exact"/>
        <w:ind w:firstLine="424" w:firstLineChars="177"/>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CN"/>
        </w:rPr>
        <w:t>）</w:t>
      </w:r>
      <w:r>
        <w:rPr>
          <w:rFonts w:hint="eastAsia" w:ascii="仿宋" w:hAnsi="仿宋" w:eastAsia="仿宋" w:cs="仿宋"/>
          <w:sz w:val="24"/>
        </w:rPr>
        <w:t>企业资信</w:t>
      </w:r>
    </w:p>
    <w:p>
      <w:pPr>
        <w:spacing w:line="460" w:lineRule="exact"/>
        <w:ind w:firstLine="424" w:firstLineChars="17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eastAsia="zh-CN"/>
        </w:rPr>
        <w:t>）</w:t>
      </w:r>
      <w:r>
        <w:rPr>
          <w:rFonts w:hint="eastAsia" w:ascii="仿宋" w:hAnsi="仿宋" w:eastAsia="仿宋" w:cs="仿宋"/>
          <w:sz w:val="24"/>
        </w:rPr>
        <w:t>运维实施方案与计划</w:t>
      </w:r>
    </w:p>
    <w:p>
      <w:pPr>
        <w:spacing w:line="460" w:lineRule="exact"/>
        <w:ind w:firstLine="424" w:firstLineChars="177"/>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CN"/>
        </w:rPr>
        <w:t>）</w:t>
      </w:r>
      <w:r>
        <w:rPr>
          <w:rFonts w:hint="eastAsia" w:ascii="仿宋" w:hAnsi="仿宋" w:eastAsia="仿宋"/>
          <w:bCs/>
          <w:sz w:val="24"/>
          <w:szCs w:val="24"/>
        </w:rPr>
        <w:t>人员配置</w:t>
      </w:r>
    </w:p>
    <w:p>
      <w:pPr>
        <w:numPr>
          <w:ilvl w:val="0"/>
          <w:numId w:val="0"/>
        </w:numPr>
        <w:spacing w:line="460" w:lineRule="exact"/>
        <w:ind w:left="0" w:leftChars="0" w:firstLine="420" w:firstLineChars="175"/>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应急预案及保障</w:t>
      </w:r>
    </w:p>
    <w:p>
      <w:pPr>
        <w:numPr>
          <w:ilvl w:val="0"/>
          <w:numId w:val="0"/>
        </w:numPr>
        <w:spacing w:line="460" w:lineRule="exact"/>
        <w:ind w:left="0" w:leftChars="0" w:firstLine="420" w:firstLineChars="175"/>
        <w:rPr>
          <w:rFonts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培训服务</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技术参数、功能偏离表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商务条款偏离表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近三年（2020年1月1日-至今）的类似业绩表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供应商反商业贿赂承诺书</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企业类型声明函</w:t>
      </w:r>
    </w:p>
    <w:p>
      <w:pPr>
        <w:spacing w:line="460" w:lineRule="exact"/>
        <w:ind w:firstLine="424" w:firstLineChars="177"/>
        <w:rPr>
          <w:rFonts w:ascii="仿宋" w:hAnsi="仿宋" w:eastAsia="仿宋" w:cs="仿宋"/>
          <w:sz w:val="32"/>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rPr>
        <w:t>其它资料</w:t>
      </w:r>
    </w:p>
    <w:p>
      <w:pPr>
        <w:pStyle w:val="81"/>
        <w:tabs>
          <w:tab w:val="left" w:pos="6059"/>
        </w:tabs>
        <w:spacing w:line="360" w:lineRule="auto"/>
        <w:ind w:firstLine="240" w:firstLineChars="100"/>
        <w:jc w:val="both"/>
        <w:rPr>
          <w:rFonts w:ascii="仿宋" w:hAnsi="仿宋" w:eastAsia="仿宋" w:cs="仿宋"/>
          <w:color w:val="auto"/>
          <w:szCs w:val="24"/>
        </w:rPr>
      </w:pPr>
      <w:r>
        <w:rPr>
          <w:rFonts w:hint="eastAsia" w:ascii="仿宋" w:hAnsi="仿宋" w:eastAsia="仿宋" w:cs="仿宋"/>
          <w:color w:val="auto"/>
          <w:szCs w:val="24"/>
        </w:rPr>
        <w:t>8.1.3 响应文件</w:t>
      </w:r>
    </w:p>
    <w:p>
      <w:pPr>
        <w:pStyle w:val="81"/>
        <w:snapToGrid w:val="0"/>
        <w:spacing w:line="360" w:lineRule="auto"/>
        <w:ind w:firstLine="480" w:firstLineChars="200"/>
        <w:rPr>
          <w:rFonts w:ascii="仿宋" w:hAnsi="仿宋" w:eastAsia="仿宋" w:cs="仿宋"/>
          <w:color w:val="auto"/>
          <w:szCs w:val="24"/>
        </w:rPr>
      </w:pPr>
      <w:r>
        <w:rPr>
          <w:rFonts w:hint="eastAsia" w:ascii="仿宋" w:hAnsi="仿宋" w:eastAsia="仿宋" w:cs="仿宋"/>
          <w:color w:val="auto"/>
          <w:szCs w:val="24"/>
        </w:rPr>
        <w:t>（1） 技术规格偏离表（供应商须对第三章所有技术参数条款逐条列明是否响应，如有偏离，须一一列明）</w:t>
      </w:r>
    </w:p>
    <w:p>
      <w:pPr>
        <w:pStyle w:val="81"/>
        <w:snapToGrid w:val="0"/>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 供应商认为有必要提供的声明及完整文件或支持资料。</w:t>
      </w:r>
    </w:p>
    <w:p>
      <w:pPr>
        <w:pStyle w:val="81"/>
        <w:snapToGrid w:val="0"/>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8.2 第8.1.1条中第（1）-（</w:t>
      </w:r>
      <w:r>
        <w:rPr>
          <w:rFonts w:hint="eastAsia" w:ascii="仿宋" w:hAnsi="仿宋" w:eastAsia="仿宋" w:cs="仿宋"/>
          <w:bCs/>
          <w:szCs w:val="24"/>
        </w:rPr>
        <w:t>5）</w:t>
      </w:r>
      <w:r>
        <w:rPr>
          <w:rFonts w:hint="eastAsia" w:ascii="仿宋" w:hAnsi="仿宋" w:eastAsia="仿宋" w:cs="仿宋"/>
          <w:bCs/>
          <w:color w:val="auto"/>
          <w:szCs w:val="24"/>
        </w:rPr>
        <w:t>项、第8.1.2条中第</w:t>
      </w:r>
      <w:r>
        <w:rPr>
          <w:rFonts w:hint="eastAsia" w:ascii="仿宋" w:hAnsi="仿宋" w:eastAsia="仿宋" w:cs="仿宋"/>
          <w:bCs/>
          <w:color w:val="0000FF"/>
          <w:szCs w:val="24"/>
        </w:rPr>
        <w:t>（1）-（1</w:t>
      </w:r>
      <w:r>
        <w:rPr>
          <w:rFonts w:hint="eastAsia" w:ascii="仿宋" w:hAnsi="仿宋" w:eastAsia="仿宋" w:cs="仿宋"/>
          <w:bCs/>
          <w:color w:val="0000FF"/>
          <w:szCs w:val="24"/>
          <w:lang w:val="en-US" w:eastAsia="zh-CN"/>
        </w:rPr>
        <w:t>7</w:t>
      </w:r>
      <w:r>
        <w:rPr>
          <w:rFonts w:hint="eastAsia" w:ascii="仿宋" w:hAnsi="仿宋" w:eastAsia="仿宋" w:cs="仿宋"/>
          <w:bCs/>
          <w:color w:val="0000FF"/>
          <w:szCs w:val="24"/>
        </w:rPr>
        <w:t>）</w:t>
      </w:r>
      <w:r>
        <w:rPr>
          <w:rFonts w:hint="eastAsia" w:ascii="仿宋" w:hAnsi="仿宋" w:eastAsia="仿宋" w:cs="仿宋"/>
          <w:bCs/>
          <w:color w:val="auto"/>
          <w:szCs w:val="24"/>
        </w:rPr>
        <w:t>项为必备项，供应商在响应文件中必须提供有关材料，如果缺项，或不符合要求，将导致磋商无效。</w:t>
      </w:r>
    </w:p>
    <w:p>
      <w:pPr>
        <w:pStyle w:val="81"/>
        <w:snapToGrid w:val="0"/>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8.3 供应商在磋商中违反国家有关法律法规的强制性规定的，其磋商按未满足磋商文件实质性要求处理。</w:t>
      </w:r>
    </w:p>
    <w:p>
      <w:pPr>
        <w:pStyle w:val="81"/>
        <w:snapToGrid w:val="0"/>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9. 响应文件格式</w:t>
      </w:r>
    </w:p>
    <w:p>
      <w:pPr>
        <w:pStyle w:val="81"/>
        <w:snapToGrid w:val="0"/>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9.1 供应商应按磋商文件提供的格式完整地填写所提供的货物、服务、数量及价格。</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10. 磋商报价</w:t>
      </w:r>
    </w:p>
    <w:p>
      <w:pPr>
        <w:pStyle w:val="81"/>
        <w:spacing w:line="360" w:lineRule="auto"/>
        <w:ind w:firstLine="560"/>
        <w:jc w:val="both"/>
        <w:rPr>
          <w:rFonts w:ascii="仿宋" w:hAnsi="仿宋" w:eastAsia="仿宋" w:cs="仿宋"/>
          <w:bCs/>
          <w:color w:val="auto"/>
          <w:szCs w:val="24"/>
        </w:rPr>
      </w:pPr>
      <w:r>
        <w:rPr>
          <w:rFonts w:hint="eastAsia" w:ascii="仿宋" w:hAnsi="仿宋" w:eastAsia="仿宋" w:cs="仿宋"/>
          <w:bCs/>
          <w:color w:val="auto"/>
          <w:szCs w:val="24"/>
        </w:rPr>
        <w:t>10.1 供应商应按磋商文件所附的《磋商一览表》和《投标产品名称、数量、规格及报价明细表》中的项目，标明拟提供货物和服务的单价和总价。如单价和总价不符，以单价累计为准。</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10.2 本标只接受一个报价，不接受备选方案，但不拒绝优惠声明，优惠声明需在《磋商一览表》备注中填写。</w:t>
      </w:r>
    </w:p>
    <w:p>
      <w:pPr>
        <w:pStyle w:val="81"/>
        <w:spacing w:line="360" w:lineRule="auto"/>
        <w:ind w:firstLine="562"/>
        <w:rPr>
          <w:rFonts w:ascii="仿宋" w:hAnsi="仿宋" w:eastAsia="仿宋" w:cs="仿宋"/>
          <w:bCs/>
          <w:color w:val="auto"/>
          <w:szCs w:val="24"/>
        </w:rPr>
      </w:pPr>
      <w:r>
        <w:rPr>
          <w:rFonts w:hint="eastAsia" w:ascii="仿宋" w:hAnsi="仿宋" w:eastAsia="仿宋" w:cs="仿宋"/>
          <w:bCs/>
          <w:color w:val="auto"/>
          <w:szCs w:val="24"/>
        </w:rPr>
        <w:t>10.3 供应商应按磋商文件的要求对有关服务的全部内容进行报价。</w:t>
      </w:r>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10.4  本项目的磋商报价实行两次及以上报价。供应商在进行第二次及以上次数报价时，报价应用大写书写，写明名称，并由响应被授权人签字或盖章。</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10.5本次项目采用不见面开标方式，在规定的响应文件递交截止时间（磋商时间）和供应商须知前附表规定的地点开标。供应商的法定代表人或其委托代理人无需到达开标现场，仅需在任意地点通过政采云不见面开标系统，使用 CA 密钥完成远程解密、提疑澄清、开标唱标、结果公布等交互环节。</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10.6开标前供应商完成设备测试，保证摄像头及麦克风正常使用。自磋商时间起至磋商结束，供应商须登录新疆政府采购平台并保持网络畅通，随时答复专家评审小组的疑问。若供应商未在规定时间内答复的，由此产生的后果将由供应商自行承担。</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10.7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10.8响应文件的解密：供应商登录政采云平台，在开标时间后 30 分钟内用“项目采购-开标评标”功能进行解密响应文件。若供应商在规定时间内未按时解密的，视为无效投标。解密与加密响应文件须使用同一个CA。</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首轮报价确认：供应商应在开启签字时段后进行 CA 签字确认，如对报价记录表有异议，先点击“报价异议”，选择“有异议”并填写异议说明后，再点击“报价确认”对报价记录表进行签章。签章完成后，等待评审小组对报价进行评审。</w:t>
      </w:r>
    </w:p>
    <w:p>
      <w:pPr>
        <w:pStyle w:val="81"/>
        <w:spacing w:line="360" w:lineRule="auto"/>
        <w:ind w:firstLine="567"/>
        <w:jc w:val="both"/>
        <w:rPr>
          <w:rFonts w:ascii="仿宋" w:hAnsi="仿宋" w:eastAsia="仿宋" w:cs="仿宋"/>
          <w:bCs/>
          <w:color w:val="auto"/>
          <w:szCs w:val="24"/>
        </w:rPr>
      </w:pPr>
      <w:r>
        <w:rPr>
          <w:rFonts w:hint="eastAsia" w:ascii="仿宋" w:hAnsi="仿宋" w:eastAsia="仿宋" w:cs="仿宋"/>
          <w:bCs/>
          <w:color w:val="auto"/>
          <w:szCs w:val="24"/>
        </w:rPr>
        <w:t>二轮及以上报价：供应商进行二轮及以上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 CA 签章。</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11. 磋商货币</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11.1 本次磋商货币为人民币。</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12. 证明供应商合格和资格的文件</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12.1 按照第8条规定，供应商应提交证明其有资格参加磋商和一旦其磋商被接受则有能力履行合同的文件，并作为其响应文件的一部分。</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12.2 供应商应填写并提交磋商文件所要求的资格证明类文件。</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13. 证明服务的合格性和符合磋商文件规定的文件</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13.1 按照第8条规定，供应商应提交磋商文件要求的服务的合格性及符合磋商文件规定的证明文件及承诺。</w:t>
      </w:r>
    </w:p>
    <w:p>
      <w:pPr>
        <w:pStyle w:val="81"/>
        <w:spacing w:line="360" w:lineRule="auto"/>
        <w:ind w:firstLine="560"/>
        <w:rPr>
          <w:rFonts w:ascii="仿宋" w:hAnsi="仿宋" w:eastAsia="仿宋" w:cs="仿宋"/>
          <w:color w:val="auto"/>
          <w:szCs w:val="24"/>
        </w:rPr>
      </w:pPr>
      <w:r>
        <w:rPr>
          <w:rFonts w:hint="eastAsia" w:ascii="仿宋" w:hAnsi="仿宋" w:eastAsia="仿宋" w:cs="仿宋"/>
          <w:color w:val="auto"/>
          <w:szCs w:val="24"/>
        </w:rPr>
        <w:t>13.2 供应商应逐条阅读磋商文件要求的技术规格及商务条款要求，指出自己提供的服务是否对磋商文件做出响应，并将不能响应之处在响应文件所附的“技术偏离表”和“商务（合同条款）偏离表”中一一列出。</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14. 响应文件的有效期</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14.1 响应文件从实际磋商之日起</w:t>
      </w:r>
      <w:r>
        <w:rPr>
          <w:rFonts w:hint="eastAsia" w:ascii="仿宋" w:hAnsi="仿宋" w:eastAsia="仿宋" w:cs="仿宋"/>
          <w:color w:val="auto"/>
          <w:szCs w:val="24"/>
          <w:u w:val="single"/>
        </w:rPr>
        <w:t xml:space="preserve"> 90 </w:t>
      </w:r>
      <w:r>
        <w:rPr>
          <w:rFonts w:hint="eastAsia" w:ascii="仿宋" w:hAnsi="仿宋" w:eastAsia="仿宋" w:cs="仿宋"/>
          <w:color w:val="auto"/>
          <w:szCs w:val="24"/>
        </w:rPr>
        <w:t>天内有效。</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14.2 在特殊情况下，在原磋商有效期届满之前，采购代理机构可与采购单位协商延长响应文件的有效期，并经磋商方确认。</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15. 响应文件的书写要求、签署及份数。</w:t>
      </w:r>
    </w:p>
    <w:p>
      <w:pPr>
        <w:pStyle w:val="81"/>
        <w:spacing w:line="360" w:lineRule="auto"/>
        <w:ind w:firstLine="560"/>
        <w:jc w:val="both"/>
        <w:rPr>
          <w:rFonts w:ascii="仿宋" w:hAnsi="仿宋" w:eastAsia="仿宋" w:cs="仿宋"/>
          <w:color w:val="auto"/>
          <w:szCs w:val="24"/>
        </w:rPr>
      </w:pPr>
      <w:r>
        <w:rPr>
          <w:rFonts w:hint="eastAsia" w:ascii="仿宋" w:hAnsi="仿宋" w:eastAsia="仿宋" w:cs="仿宋"/>
          <w:color w:val="auto"/>
          <w:szCs w:val="24"/>
        </w:rPr>
        <w:t>15.1 响应文件正本须用不褪色的墨水笔书写或打印。</w:t>
      </w:r>
    </w:p>
    <w:p>
      <w:pPr>
        <w:spacing w:line="360" w:lineRule="auto"/>
        <w:ind w:firstLine="560"/>
        <w:rPr>
          <w:rFonts w:ascii="仿宋" w:hAnsi="仿宋" w:eastAsia="仿宋" w:cs="仿宋"/>
          <w:sz w:val="24"/>
          <w:szCs w:val="24"/>
        </w:rPr>
      </w:pPr>
      <w:r>
        <w:rPr>
          <w:rFonts w:hint="eastAsia" w:ascii="仿宋" w:hAnsi="仿宋" w:eastAsia="仿宋" w:cs="仿宋"/>
          <w:sz w:val="24"/>
          <w:szCs w:val="24"/>
        </w:rPr>
        <w:t>15.2 响应文件的书写应清楚工整，修改处应由供应商授权代表签字或盖章。</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15.3 未实质性响应磋商文件、或者关键字迹潦草、关键内容表达不清、或者未按要求填写或可能导致非唯一理解的磋商文件将不能通过符合性检查，按重大偏离处理。</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15.4 响应文件应由企业法人或法人授权代表在所有规定签章处逐一签署及加盖单位的公章。</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15.5 响应文件的份数：详见《供应商须知前附表》。供应商应在响应文件封面左上角注明“正本”字样，一旦正本和副本不符，以正本为准，参考资料不限量。</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15.6 供应商可根据磋商内容的具体需要自行编制其它文件一式1份纳入响应文件中。</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15.7 响应文件的装订必须采用胶粘本，不允许任何活页形式装订（非胶粘方式装订的响应文件一律视同活页装订），活页方式装订视为磋商无效。（中标/成交供应商按此要求进行装订响应文件）</w:t>
      </w:r>
    </w:p>
    <w:p>
      <w:pPr>
        <w:pStyle w:val="81"/>
        <w:spacing w:line="360" w:lineRule="auto"/>
        <w:ind w:firstLine="560"/>
        <w:rPr>
          <w:rFonts w:ascii="仿宋" w:hAnsi="仿宋" w:eastAsia="仿宋" w:cs="仿宋"/>
          <w:color w:val="auto"/>
          <w:szCs w:val="24"/>
        </w:rPr>
      </w:pPr>
      <w:r>
        <w:rPr>
          <w:rFonts w:hint="eastAsia" w:ascii="仿宋" w:hAnsi="仿宋" w:eastAsia="仿宋" w:cs="仿宋"/>
          <w:color w:val="auto"/>
          <w:szCs w:val="24"/>
        </w:rPr>
        <w:t>16. 磋商保证金</w:t>
      </w:r>
    </w:p>
    <w:p>
      <w:pPr>
        <w:pStyle w:val="81"/>
        <w:spacing w:line="360" w:lineRule="auto"/>
        <w:ind w:firstLine="560"/>
        <w:rPr>
          <w:rFonts w:ascii="仿宋" w:hAnsi="仿宋" w:eastAsia="仿宋" w:cs="仿宋"/>
          <w:bCs/>
          <w:color w:val="auto"/>
          <w:szCs w:val="24"/>
        </w:rPr>
      </w:pPr>
      <w:bookmarkStart w:id="17" w:name="_Toc65158530"/>
      <w:bookmarkStart w:id="18" w:name="_Toc56170383"/>
      <w:r>
        <w:rPr>
          <w:rFonts w:hint="eastAsia" w:ascii="仿宋" w:hAnsi="仿宋" w:eastAsia="仿宋" w:cs="仿宋"/>
          <w:bCs/>
          <w:color w:val="auto"/>
          <w:szCs w:val="24"/>
        </w:rPr>
        <w:t>16.1磋商保证金金额见磋商须知前附表。</w:t>
      </w:r>
    </w:p>
    <w:p>
      <w:pPr>
        <w:pStyle w:val="81"/>
        <w:spacing w:line="360" w:lineRule="auto"/>
        <w:ind w:firstLine="560"/>
        <w:rPr>
          <w:rFonts w:ascii="仿宋" w:hAnsi="仿宋" w:eastAsia="仿宋" w:cs="仿宋"/>
          <w:bCs/>
          <w:color w:val="auto"/>
          <w:szCs w:val="24"/>
        </w:rPr>
      </w:pPr>
      <w:r>
        <w:rPr>
          <w:rFonts w:hint="eastAsia" w:ascii="仿宋" w:hAnsi="仿宋" w:eastAsia="仿宋" w:cs="仿宋"/>
          <w:bCs/>
          <w:color w:val="auto"/>
          <w:szCs w:val="24"/>
        </w:rPr>
        <w:t>16.2 磋商保证金用于保护本次招标免受供应商的违规、违约行为而引起的风险。</w:t>
      </w:r>
    </w:p>
    <w:p>
      <w:pPr>
        <w:pStyle w:val="81"/>
        <w:spacing w:line="360" w:lineRule="auto"/>
        <w:ind w:firstLine="560"/>
        <w:rPr>
          <w:rFonts w:ascii="仿宋" w:hAnsi="仿宋" w:eastAsia="仿宋" w:cs="仿宋"/>
          <w:bCs/>
          <w:color w:val="auto"/>
          <w:szCs w:val="24"/>
        </w:rPr>
      </w:pPr>
      <w:r>
        <w:rPr>
          <w:rFonts w:hint="eastAsia" w:ascii="仿宋" w:hAnsi="仿宋" w:eastAsia="仿宋" w:cs="仿宋"/>
          <w:bCs/>
          <w:color w:val="auto"/>
          <w:szCs w:val="24"/>
        </w:rPr>
        <w:t>16.3 磋商保证金应用人民币，由供应商按第二章《响应须知》中明确的银行、账号，按16.1条要求的数额办理，并在响应文件中放保证金汇款凭证。</w:t>
      </w:r>
    </w:p>
    <w:p>
      <w:pPr>
        <w:pStyle w:val="81"/>
        <w:spacing w:line="360" w:lineRule="auto"/>
        <w:ind w:firstLine="560"/>
        <w:rPr>
          <w:rFonts w:ascii="仿宋" w:hAnsi="仿宋" w:eastAsia="仿宋" w:cs="仿宋"/>
          <w:bCs/>
          <w:color w:val="auto"/>
          <w:szCs w:val="24"/>
        </w:rPr>
      </w:pPr>
      <w:r>
        <w:rPr>
          <w:rFonts w:hint="eastAsia" w:ascii="仿宋" w:hAnsi="仿宋" w:eastAsia="仿宋" w:cs="仿宋"/>
          <w:bCs/>
          <w:color w:val="auto"/>
          <w:szCs w:val="24"/>
        </w:rPr>
        <w:t>16.4 磋商保证金的退还</w:t>
      </w:r>
    </w:p>
    <w:p>
      <w:pPr>
        <w:pStyle w:val="81"/>
        <w:spacing w:line="360" w:lineRule="auto"/>
        <w:ind w:firstLine="560"/>
        <w:rPr>
          <w:rFonts w:ascii="仿宋" w:hAnsi="仿宋" w:eastAsia="仿宋" w:cs="仿宋"/>
          <w:bCs/>
          <w:color w:val="auto"/>
          <w:szCs w:val="24"/>
        </w:rPr>
      </w:pPr>
      <w:r>
        <w:rPr>
          <w:rFonts w:hint="eastAsia" w:ascii="仿宋" w:hAnsi="仿宋" w:eastAsia="仿宋" w:cs="仿宋"/>
          <w:bCs/>
          <w:color w:val="auto"/>
          <w:szCs w:val="24"/>
        </w:rPr>
        <w:t>在该项目磋商公示期满后，五个工作日内退还原账户。</w:t>
      </w:r>
    </w:p>
    <w:p>
      <w:pPr>
        <w:pStyle w:val="81"/>
        <w:spacing w:line="360" w:lineRule="auto"/>
        <w:ind w:firstLine="560"/>
        <w:rPr>
          <w:rFonts w:ascii="仿宋" w:hAnsi="仿宋" w:eastAsia="仿宋" w:cs="仿宋"/>
          <w:bCs/>
          <w:color w:val="auto"/>
          <w:szCs w:val="24"/>
        </w:rPr>
      </w:pPr>
      <w:r>
        <w:rPr>
          <w:rFonts w:hint="eastAsia" w:ascii="仿宋" w:hAnsi="仿宋" w:eastAsia="仿宋" w:cs="仿宋"/>
          <w:bCs/>
          <w:color w:val="auto"/>
          <w:szCs w:val="24"/>
        </w:rPr>
        <w:t>16.5 发生以下情况磋商保证金可能被没收：</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16.5.1 如果供应商在磋商有效期内撤销响应文件；</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16.5.2 如果供应商串通磋商的；</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16.5.3 如果成交供应商未能做到：</w:t>
      </w:r>
    </w:p>
    <w:p>
      <w:pPr>
        <w:pStyle w:val="184"/>
        <w:spacing w:line="360" w:lineRule="auto"/>
        <w:ind w:firstLine="480"/>
        <w:rPr>
          <w:rFonts w:ascii="仿宋" w:hAnsi="仿宋" w:eastAsia="仿宋" w:cs="仿宋"/>
          <w:bCs/>
          <w:sz w:val="24"/>
          <w:szCs w:val="24"/>
        </w:rPr>
      </w:pPr>
      <w:r>
        <w:rPr>
          <w:rFonts w:hint="eastAsia" w:ascii="仿宋" w:hAnsi="仿宋" w:eastAsia="仿宋" w:cs="仿宋"/>
          <w:bCs/>
          <w:sz w:val="24"/>
          <w:szCs w:val="24"/>
        </w:rPr>
        <w:t>a. 按29条规定签定合同；</w:t>
      </w:r>
    </w:p>
    <w:p>
      <w:pPr>
        <w:pStyle w:val="184"/>
        <w:spacing w:line="360" w:lineRule="auto"/>
        <w:ind w:firstLine="480"/>
        <w:rPr>
          <w:rFonts w:ascii="仿宋" w:hAnsi="仿宋" w:eastAsia="仿宋" w:cs="仿宋"/>
          <w:bCs/>
          <w:sz w:val="24"/>
          <w:szCs w:val="24"/>
        </w:rPr>
      </w:pPr>
      <w:r>
        <w:rPr>
          <w:rFonts w:hint="eastAsia" w:ascii="仿宋" w:hAnsi="仿宋" w:eastAsia="仿宋" w:cs="仿宋"/>
          <w:bCs/>
          <w:sz w:val="24"/>
          <w:szCs w:val="24"/>
        </w:rPr>
        <w:t>b. 第32条有关缴纳成交服务费的规定；</w:t>
      </w:r>
    </w:p>
    <w:p>
      <w:pPr>
        <w:pStyle w:val="184"/>
        <w:spacing w:line="360" w:lineRule="auto"/>
        <w:ind w:firstLine="480"/>
        <w:rPr>
          <w:rFonts w:ascii="仿宋" w:hAnsi="仿宋" w:eastAsia="仿宋" w:cs="仿宋"/>
          <w:bCs/>
          <w:sz w:val="24"/>
          <w:szCs w:val="24"/>
        </w:rPr>
      </w:pPr>
      <w:r>
        <w:rPr>
          <w:rFonts w:hint="eastAsia" w:ascii="仿宋" w:hAnsi="仿宋" w:eastAsia="仿宋" w:cs="仿宋"/>
          <w:bCs/>
          <w:sz w:val="24"/>
          <w:szCs w:val="24"/>
        </w:rPr>
        <w:t>c. 按磋商文件要求提交合同履约保证金的。</w:t>
      </w:r>
    </w:p>
    <w:p>
      <w:pPr>
        <w:pStyle w:val="4"/>
        <w:spacing w:line="360" w:lineRule="auto"/>
        <w:rPr>
          <w:rFonts w:cs="仿宋"/>
          <w:b/>
          <w:color w:val="auto"/>
        </w:rPr>
      </w:pPr>
      <w:r>
        <w:rPr>
          <w:rFonts w:hint="eastAsia" w:cs="仿宋"/>
          <w:b/>
          <w:color w:val="auto"/>
        </w:rPr>
        <w:t>四、响应文件的递交</w:t>
      </w:r>
      <w:bookmarkEnd w:id="17"/>
      <w:bookmarkEnd w:id="18"/>
    </w:p>
    <w:p>
      <w:pPr>
        <w:pStyle w:val="81"/>
        <w:spacing w:line="360" w:lineRule="auto"/>
        <w:ind w:firstLine="562"/>
        <w:jc w:val="both"/>
        <w:rPr>
          <w:rFonts w:ascii="仿宋" w:hAnsi="仿宋" w:eastAsia="仿宋" w:cs="仿宋"/>
          <w:bCs/>
          <w:color w:val="auto"/>
          <w:szCs w:val="24"/>
        </w:rPr>
      </w:pPr>
      <w:r>
        <w:rPr>
          <w:rFonts w:hint="eastAsia" w:ascii="仿宋" w:hAnsi="仿宋" w:eastAsia="仿宋" w:cs="仿宋"/>
          <w:bCs/>
          <w:color w:val="auto"/>
          <w:szCs w:val="24"/>
        </w:rPr>
        <w:t>17.1 响应文件采用电子文档。响应文件中应按照磋商文件的格式中规定签字、盖章的地方必须按其规定签字、盖章。</w:t>
      </w:r>
    </w:p>
    <w:p>
      <w:pPr>
        <w:pStyle w:val="81"/>
        <w:spacing w:line="360" w:lineRule="auto"/>
        <w:ind w:firstLine="562"/>
        <w:jc w:val="both"/>
        <w:rPr>
          <w:rFonts w:ascii="仿宋" w:hAnsi="仿宋" w:eastAsia="仿宋" w:cs="仿宋"/>
          <w:bCs/>
          <w:color w:val="auto"/>
          <w:szCs w:val="24"/>
        </w:rPr>
      </w:pPr>
      <w:r>
        <w:rPr>
          <w:rFonts w:hint="eastAsia" w:ascii="仿宋" w:hAnsi="仿宋" w:eastAsia="仿宋" w:cs="仿宋"/>
          <w:bCs/>
          <w:color w:val="auto"/>
          <w:szCs w:val="24"/>
        </w:rPr>
        <w:t>17.2 若供应商对响应文件做必要修改或澄清，则应在修改或澄清处加盖供应商公章或由法定代表人或法定代表人授权代表签字确认。</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17.3 供应商响应文件封面上应写明：</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1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⑴</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采购单位：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2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⑵</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3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⑶</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项目编号：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4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⑷</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供应商名称：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5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⑸</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法定代表人：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6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⑹</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联系人：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7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⑺</w:t>
      </w:r>
      <w:r>
        <w:rPr>
          <w:rFonts w:hint="eastAsia" w:ascii="仿宋" w:hAnsi="仿宋" w:eastAsia="仿宋" w:cs="仿宋"/>
          <w:bCs/>
          <w:color w:val="auto"/>
          <w:szCs w:val="24"/>
        </w:rPr>
        <w:fldChar w:fldCharType="end"/>
      </w:r>
      <w:r>
        <w:rPr>
          <w:rFonts w:hint="eastAsia" w:ascii="仿宋" w:hAnsi="仿宋" w:eastAsia="仿宋" w:cs="仿宋"/>
          <w:bCs/>
          <w:color w:val="auto"/>
          <w:szCs w:val="24"/>
        </w:rPr>
        <w:t>联系电话：</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17.4 未按本须知要求标记和递交的响应文件，采购代理机构不对其后果负责。</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color w:val="auto"/>
          <w:szCs w:val="24"/>
        </w:rPr>
        <w:t xml:space="preserve">18. </w:t>
      </w:r>
      <w:r>
        <w:rPr>
          <w:rFonts w:hint="eastAsia" w:ascii="仿宋" w:hAnsi="仿宋" w:eastAsia="仿宋" w:cs="仿宋"/>
          <w:bCs/>
          <w:color w:val="auto"/>
          <w:szCs w:val="24"/>
        </w:rPr>
        <w:t>响应文件递交的截止日期</w:t>
      </w:r>
    </w:p>
    <w:p>
      <w:pPr>
        <w:pStyle w:val="81"/>
        <w:spacing w:line="360" w:lineRule="auto"/>
        <w:ind w:firstLine="480" w:firstLineChars="200"/>
        <w:jc w:val="both"/>
        <w:rPr>
          <w:rFonts w:ascii="仿宋" w:hAnsi="仿宋" w:eastAsia="仿宋" w:cs="仿宋"/>
          <w:bCs/>
          <w:color w:val="auto"/>
          <w:szCs w:val="24"/>
          <w:u w:val="single"/>
        </w:rPr>
      </w:pPr>
      <w:r>
        <w:rPr>
          <w:rFonts w:hint="eastAsia" w:ascii="仿宋" w:hAnsi="仿宋" w:eastAsia="仿宋" w:cs="仿宋"/>
          <w:bCs/>
          <w:color w:val="auto"/>
          <w:szCs w:val="24"/>
        </w:rPr>
        <w:t>18.1 供应商必须在《磋商须知前附表》中规定的时间之前将响应文件送达到规定的地点。</w:t>
      </w:r>
    </w:p>
    <w:p>
      <w:pPr>
        <w:pStyle w:val="81"/>
        <w:spacing w:line="360" w:lineRule="auto"/>
        <w:ind w:firstLine="560"/>
        <w:jc w:val="both"/>
        <w:rPr>
          <w:rFonts w:ascii="仿宋" w:hAnsi="仿宋" w:eastAsia="仿宋" w:cs="仿宋"/>
          <w:bCs/>
          <w:color w:val="auto"/>
          <w:szCs w:val="24"/>
        </w:rPr>
      </w:pPr>
      <w:r>
        <w:rPr>
          <w:rFonts w:hint="eastAsia" w:ascii="仿宋" w:hAnsi="仿宋" w:eastAsia="仿宋" w:cs="仿宋"/>
          <w:bCs/>
          <w:color w:val="auto"/>
          <w:szCs w:val="24"/>
        </w:rPr>
        <w:t>18.2 超过磋商文件规定的磋商截止时间送达的响应文件将不予接受。</w:t>
      </w:r>
    </w:p>
    <w:p>
      <w:pPr>
        <w:pStyle w:val="81"/>
        <w:spacing w:line="360" w:lineRule="auto"/>
        <w:ind w:firstLine="480" w:firstLineChars="200"/>
        <w:jc w:val="both"/>
        <w:rPr>
          <w:rFonts w:ascii="仿宋" w:hAnsi="仿宋" w:eastAsia="仿宋" w:cs="仿宋"/>
          <w:bCs/>
          <w:color w:val="auto"/>
          <w:szCs w:val="24"/>
        </w:rPr>
      </w:pPr>
      <w:r>
        <w:rPr>
          <w:rFonts w:hint="eastAsia" w:ascii="仿宋" w:hAnsi="仿宋" w:eastAsia="仿宋" w:cs="仿宋"/>
          <w:bCs/>
          <w:color w:val="auto"/>
          <w:szCs w:val="24"/>
        </w:rPr>
        <w:t>响应文件递交截止时间以平台显示的时间为准，逾期系统将自动关闭，未完成上传的响应文件视为逾期送达，将被拒绝。</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bCs/>
          <w:color w:val="auto"/>
          <w:szCs w:val="24"/>
        </w:rPr>
        <w:t>供应商成功上传电子加密响应文件后，可自行打印响应文件接收回执。</w:t>
      </w:r>
    </w:p>
    <w:p>
      <w:pPr>
        <w:pStyle w:val="81"/>
        <w:spacing w:line="360" w:lineRule="auto"/>
        <w:ind w:firstLine="560"/>
        <w:jc w:val="both"/>
        <w:rPr>
          <w:rFonts w:ascii="仿宋" w:hAnsi="仿宋" w:eastAsia="仿宋" w:cs="仿宋"/>
          <w:bCs/>
          <w:color w:val="auto"/>
          <w:szCs w:val="24"/>
        </w:rPr>
      </w:pPr>
      <w:r>
        <w:rPr>
          <w:rFonts w:hint="eastAsia" w:ascii="仿宋" w:hAnsi="仿宋" w:eastAsia="仿宋" w:cs="仿宋"/>
          <w:color w:val="auto"/>
          <w:szCs w:val="24"/>
        </w:rPr>
        <w:t xml:space="preserve">19. </w:t>
      </w:r>
      <w:r>
        <w:rPr>
          <w:rFonts w:hint="eastAsia" w:ascii="仿宋" w:hAnsi="仿宋" w:eastAsia="仿宋" w:cs="仿宋"/>
          <w:bCs/>
          <w:color w:val="auto"/>
          <w:szCs w:val="24"/>
        </w:rPr>
        <w:t>响应文件的修改、撤回和撤销</w:t>
      </w:r>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19.1 供应商在响应文件递交截止时间前，可以对其所递交的响应文件进行修改并重新上传，但以响应文件递交截止时间前最后一次上传的响应文件为有效响应文件。</w:t>
      </w:r>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19.2 拒绝接收在规定的响应文件接收截止时间后递交的任何响应文件。</w:t>
      </w:r>
    </w:p>
    <w:p>
      <w:pPr>
        <w:pStyle w:val="189"/>
        <w:spacing w:before="156" w:line="360" w:lineRule="auto"/>
        <w:ind w:firstLine="560"/>
        <w:rPr>
          <w:rFonts w:ascii="仿宋" w:hAnsi="仿宋" w:eastAsia="仿宋" w:cs="仿宋"/>
          <w:bCs/>
          <w:color w:val="auto"/>
          <w:sz w:val="24"/>
          <w:szCs w:val="24"/>
        </w:rPr>
      </w:pPr>
      <w:r>
        <w:rPr>
          <w:rFonts w:hint="eastAsia" w:ascii="仿宋" w:hAnsi="仿宋" w:eastAsia="仿宋" w:cs="仿宋"/>
          <w:bCs/>
          <w:color w:val="auto"/>
          <w:sz w:val="24"/>
          <w:szCs w:val="24"/>
        </w:rPr>
        <w:t>19.3 在响应文件递交截止时间后，供应商不得要求修改或撤回其响应文件。</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bCs/>
          <w:color w:val="auto"/>
          <w:sz w:val="24"/>
          <w:szCs w:val="24"/>
        </w:rPr>
        <w:t>19.4 供应商不得在磋商后至响应有效期期满前撤销响应文件。否则采购单位将没收其保证金。</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20. 有下列情形之一的，视为供应商串通磋商，其磋商无效：</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⑴ 不同供应商的响应文件由同一单位或者个人编制;</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⑵ 不同供应商委托同一单位或者个人办理磋商事宜;</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⑶ 不同供应商的响应文件载明的项目管理成员或者联系人员为同一人;</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⑷ 不同供应商的响应文件异常一致或者磋商报价呈规律性差异;</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⑸ 不同供应商的响应文件相互混装;</w:t>
      </w:r>
    </w:p>
    <w:p>
      <w:pPr>
        <w:pStyle w:val="189"/>
        <w:spacing w:line="360" w:lineRule="auto"/>
        <w:ind w:firstLine="560"/>
        <w:jc w:val="both"/>
        <w:rPr>
          <w:rFonts w:ascii="仿宋" w:hAnsi="仿宋" w:eastAsia="仿宋" w:cs="仿宋"/>
          <w:color w:val="auto"/>
          <w:sz w:val="24"/>
          <w:szCs w:val="24"/>
        </w:rPr>
      </w:pPr>
      <w:r>
        <w:rPr>
          <w:rFonts w:hint="eastAsia" w:ascii="仿宋" w:hAnsi="仿宋" w:eastAsia="仿宋" w:cs="仿宋"/>
          <w:color w:val="auto"/>
          <w:sz w:val="24"/>
          <w:szCs w:val="24"/>
        </w:rPr>
        <w:t>⑹ 不同供应商的磋商保证金从同一单位或者个人的账户转出。</w:t>
      </w:r>
    </w:p>
    <w:p>
      <w:pPr>
        <w:pStyle w:val="4"/>
        <w:spacing w:line="360" w:lineRule="auto"/>
        <w:rPr>
          <w:rFonts w:cs="仿宋"/>
          <w:b/>
          <w:color w:val="auto"/>
        </w:rPr>
      </w:pPr>
      <w:bookmarkStart w:id="19" w:name="_Toc56170384"/>
      <w:bookmarkStart w:id="20" w:name="_Toc65158531"/>
      <w:r>
        <w:rPr>
          <w:rFonts w:hint="eastAsia" w:cs="仿宋"/>
          <w:b/>
          <w:color w:val="auto"/>
        </w:rPr>
        <w:t>五、磋商</w:t>
      </w:r>
      <w:bookmarkEnd w:id="19"/>
      <w:bookmarkEnd w:id="20"/>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 磋商依据</w:t>
      </w:r>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21.1 磋商的依据为磋商文件（包括采购单位的磋商文件和供应商的响应文件）。</w:t>
      </w:r>
    </w:p>
    <w:p>
      <w:pPr>
        <w:pStyle w:val="4"/>
        <w:spacing w:line="360" w:lineRule="auto"/>
        <w:rPr>
          <w:rFonts w:cs="仿宋"/>
          <w:b/>
          <w:color w:val="auto"/>
        </w:rPr>
      </w:pPr>
      <w:bookmarkStart w:id="21" w:name="_Toc56170385"/>
      <w:bookmarkStart w:id="22" w:name="_Toc65158532"/>
      <w:r>
        <w:rPr>
          <w:rFonts w:hint="eastAsia" w:cs="仿宋"/>
          <w:b/>
          <w:color w:val="auto"/>
        </w:rPr>
        <w:t>六、资格审查</w:t>
      </w:r>
      <w:bookmarkEnd w:id="21"/>
      <w:bookmarkEnd w:id="22"/>
    </w:p>
    <w:p>
      <w:pPr>
        <w:pStyle w:val="81"/>
        <w:spacing w:line="360" w:lineRule="auto"/>
        <w:ind w:firstLine="561"/>
        <w:rPr>
          <w:rFonts w:ascii="仿宋" w:hAnsi="仿宋" w:eastAsia="仿宋" w:cs="仿宋"/>
          <w:bCs/>
          <w:color w:val="auto"/>
          <w:szCs w:val="24"/>
        </w:rPr>
      </w:pPr>
      <w:r>
        <w:rPr>
          <w:rFonts w:hint="eastAsia" w:ascii="仿宋" w:hAnsi="仿宋" w:eastAsia="仿宋" w:cs="仿宋"/>
          <w:bCs/>
          <w:color w:val="auto"/>
          <w:szCs w:val="24"/>
        </w:rPr>
        <w:t>22. 资格审查</w:t>
      </w:r>
    </w:p>
    <w:p>
      <w:pPr>
        <w:pStyle w:val="81"/>
        <w:spacing w:line="360" w:lineRule="auto"/>
        <w:ind w:firstLine="561"/>
        <w:rPr>
          <w:rFonts w:ascii="仿宋" w:hAnsi="仿宋" w:eastAsia="仿宋" w:cs="仿宋"/>
          <w:bCs/>
          <w:color w:val="auto"/>
          <w:szCs w:val="24"/>
        </w:rPr>
      </w:pPr>
      <w:r>
        <w:rPr>
          <w:rFonts w:hint="eastAsia" w:ascii="仿宋" w:hAnsi="仿宋" w:eastAsia="仿宋" w:cs="仿宋"/>
          <w:bCs/>
          <w:color w:val="auto"/>
          <w:szCs w:val="24"/>
        </w:rPr>
        <w:t>22.1 采购人按照本章第8.1.1条中规定的内容对各供应商的响应文件进行资格审查。资格审查不合格的，其磋商无效。</w:t>
      </w:r>
    </w:p>
    <w:p>
      <w:pPr>
        <w:pStyle w:val="81"/>
        <w:spacing w:line="360" w:lineRule="auto"/>
        <w:ind w:firstLine="561"/>
        <w:rPr>
          <w:rFonts w:ascii="仿宋" w:hAnsi="仿宋" w:eastAsia="仿宋" w:cs="仿宋"/>
          <w:bCs/>
          <w:color w:val="auto"/>
          <w:szCs w:val="24"/>
        </w:rPr>
      </w:pPr>
      <w:r>
        <w:rPr>
          <w:rFonts w:hint="eastAsia" w:ascii="仿宋" w:hAnsi="仿宋" w:eastAsia="仿宋" w:cs="仿宋"/>
          <w:bCs/>
          <w:color w:val="auto"/>
          <w:szCs w:val="24"/>
        </w:rPr>
        <w:t>22.2 合格供应商不足三家的，不进行磋商。</w:t>
      </w:r>
    </w:p>
    <w:p>
      <w:pPr>
        <w:pStyle w:val="4"/>
        <w:spacing w:line="360" w:lineRule="auto"/>
        <w:rPr>
          <w:rFonts w:cs="仿宋"/>
          <w:b/>
          <w:color w:val="auto"/>
        </w:rPr>
      </w:pPr>
      <w:bookmarkStart w:id="23" w:name="_Toc65158533"/>
      <w:bookmarkStart w:id="24" w:name="_Toc56170386"/>
      <w:r>
        <w:rPr>
          <w:rFonts w:hint="eastAsia" w:cs="仿宋"/>
          <w:b/>
          <w:color w:val="auto"/>
        </w:rPr>
        <w:t>七、磋商和定标</w:t>
      </w:r>
      <w:bookmarkEnd w:id="23"/>
      <w:bookmarkEnd w:id="24"/>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 磋商原则</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23.1 本项目的磋商遵循公平、公正、科学、择优的原则。</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23.3 不徇私情，不明招暗定。</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23.4 资格审查合格的供应商，均有同等机会参加竞争。</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23.5 磋商委员会不得私自泄露磋商内容，不得进行旨在影响磋商结果公正、公平的任何活动。</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24. 磋商方法</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24.1 评审小组有关技术、经济等方面的专家和采购单位熟悉相关业务的代表人员组成，成员为三人以上的单数，其中技术、经济等方面的成员人数不少于成员总数的三分之二。</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按前款规定，评审小组的成员，由政采云专家库中抽取和新疆医科大学校内的专家共同组成。对于技术复杂、专业性要求较高或者国家有特殊要求的采购项目，采取随机抽取方式抽取的专家不能满足磋商工作需要时，将采取直接确定的方式选定评审小组的人选。</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24.2 磋商的依据为磋商文件和响应文件。根据相关法律法规的规定，磋商委员会不以任何外部证据作为其磋商的依据或标准。</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24.3 磋商过程将严格保密。磋商后直到授予成交供应商合同止，凡是属于审查、澄清、评价和比较的有关磋商资料以及授标建议等均不得向供应商或其他无关的人员透露。</w:t>
      </w:r>
    </w:p>
    <w:p>
      <w:pPr>
        <w:pStyle w:val="81"/>
        <w:spacing w:line="360" w:lineRule="auto"/>
        <w:ind w:firstLine="560"/>
        <w:jc w:val="both"/>
        <w:rPr>
          <w:rFonts w:hint="eastAsia" w:ascii="仿宋" w:hAnsi="仿宋" w:eastAsia="仿宋" w:cs="仿宋"/>
          <w:bCs/>
          <w:color w:val="auto"/>
          <w:szCs w:val="24"/>
        </w:rPr>
      </w:pPr>
      <w:r>
        <w:rPr>
          <w:rFonts w:hint="eastAsia" w:ascii="仿宋" w:hAnsi="仿宋" w:eastAsia="仿宋" w:cs="仿宋"/>
          <w:bCs/>
          <w:color w:val="auto"/>
          <w:szCs w:val="24"/>
        </w:rPr>
        <w:t>24.4 在磋商的整个过程中，供应商所进行的旨在影响磋商结果的活动，可能导致其磋商被拒绝，或者被取消成交资格。</w:t>
      </w:r>
    </w:p>
    <w:p>
      <w:pPr>
        <w:pStyle w:val="81"/>
        <w:spacing w:line="360" w:lineRule="auto"/>
        <w:ind w:firstLine="562"/>
        <w:jc w:val="both"/>
        <w:rPr>
          <w:rFonts w:hint="eastAsia" w:ascii="仿宋" w:hAnsi="仿宋" w:eastAsia="仿宋" w:cs="仿宋"/>
          <w:bCs/>
          <w:color w:val="auto"/>
          <w:szCs w:val="24"/>
        </w:rPr>
      </w:pPr>
      <w:r>
        <w:rPr>
          <w:rFonts w:hint="eastAsia" w:ascii="仿宋" w:hAnsi="仿宋" w:eastAsia="仿宋" w:cs="仿宋"/>
          <w:bCs/>
          <w:color w:val="auto"/>
          <w:szCs w:val="24"/>
        </w:rPr>
        <w:t>24.5 本次磋商采用综合评分法进行磋商。磋商分资格审查、符合性审查和详细评审三个阶段。</w:t>
      </w:r>
    </w:p>
    <w:p>
      <w:pPr>
        <w:pStyle w:val="81"/>
        <w:spacing w:line="360" w:lineRule="auto"/>
        <w:ind w:firstLine="562"/>
        <w:jc w:val="both"/>
        <w:rPr>
          <w:rFonts w:hint="eastAsia" w:ascii="仿宋" w:hAnsi="仿宋" w:eastAsia="仿宋" w:cs="仿宋"/>
          <w:bCs/>
          <w:color w:val="auto"/>
          <w:szCs w:val="24"/>
        </w:rPr>
      </w:pPr>
      <w:r>
        <w:rPr>
          <w:rFonts w:hint="eastAsia" w:ascii="仿宋" w:hAnsi="仿宋" w:eastAsia="仿宋" w:cs="仿宋"/>
          <w:bCs/>
          <w:color w:val="auto"/>
          <w:szCs w:val="24"/>
        </w:rPr>
        <w:t>24.5.1 只有通过资格审查及符合性审查的响应文件才可进入详细评审阶段。</w:t>
      </w:r>
    </w:p>
    <w:p>
      <w:pPr>
        <w:pStyle w:val="81"/>
        <w:spacing w:line="360" w:lineRule="auto"/>
        <w:ind w:firstLine="562"/>
        <w:jc w:val="both"/>
        <w:rPr>
          <w:rFonts w:hint="eastAsia" w:ascii="仿宋" w:hAnsi="仿宋" w:eastAsia="仿宋" w:cs="仿宋"/>
          <w:bCs/>
          <w:color w:val="auto"/>
          <w:szCs w:val="24"/>
        </w:rPr>
      </w:pPr>
      <w:r>
        <w:rPr>
          <w:rFonts w:hint="eastAsia" w:ascii="仿宋" w:hAnsi="仿宋" w:eastAsia="仿宋" w:cs="仿宋"/>
          <w:bCs/>
          <w:color w:val="auto"/>
          <w:szCs w:val="24"/>
        </w:rPr>
        <w:t>24.5.2 详细评审分为商务及技术评审（含磋商报价得分计算）。</w:t>
      </w:r>
    </w:p>
    <w:p>
      <w:pPr>
        <w:spacing w:line="460" w:lineRule="exact"/>
        <w:ind w:firstLine="480" w:firstLineChars="200"/>
        <w:rPr>
          <w:rFonts w:hint="eastAsia" w:ascii="仿宋" w:hAnsi="仿宋" w:eastAsia="仿宋" w:cs="仿宋"/>
          <w:bCs/>
          <w:sz w:val="24"/>
        </w:rPr>
      </w:pPr>
      <w:r>
        <w:rPr>
          <w:rFonts w:hint="eastAsia" w:ascii="仿宋" w:hAnsi="仿宋" w:eastAsia="仿宋" w:cs="仿宋"/>
          <w:bCs/>
          <w:color w:val="000000"/>
          <w:sz w:val="24"/>
          <w:szCs w:val="24"/>
        </w:rPr>
        <w:t>24.6  响应文件的资格审查和符合性审查</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24.6.1对供应商上传的响应文件按《响应文件资格审查标准》进行审查。</w:t>
      </w:r>
    </w:p>
    <w:p>
      <w:pPr>
        <w:pStyle w:val="81"/>
        <w:spacing w:line="360" w:lineRule="auto"/>
        <w:ind w:firstLine="561"/>
        <w:jc w:val="center"/>
        <w:rPr>
          <w:rFonts w:hint="eastAsia" w:ascii="仿宋" w:hAnsi="仿宋" w:eastAsia="仿宋" w:cs="仿宋"/>
          <w:color w:val="auto"/>
          <w:szCs w:val="24"/>
        </w:rPr>
      </w:pPr>
      <w:r>
        <w:rPr>
          <w:rFonts w:hint="eastAsia" w:ascii="仿宋" w:hAnsi="仿宋" w:eastAsia="仿宋" w:cs="仿宋"/>
          <w:color w:val="auto"/>
          <w:szCs w:val="24"/>
        </w:rPr>
        <w:t>资格审查表</w:t>
      </w:r>
    </w:p>
    <w:tbl>
      <w:tblPr>
        <w:tblStyle w:val="43"/>
        <w:tblW w:w="9400" w:type="dxa"/>
        <w:tblInd w:w="0" w:type="dxa"/>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标  准</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kern w:val="0"/>
                <w:sz w:val="24"/>
                <w:szCs w:val="24"/>
              </w:rPr>
              <w:t>供应商须具有效的“一证一码”或“三证合一”的营业执照；</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kern w:val="0"/>
                <w:sz w:val="24"/>
                <w:szCs w:val="24"/>
              </w:rPr>
            </w:pPr>
            <w:r>
              <w:rPr>
                <w:rFonts w:hint="eastAsia" w:ascii="仿宋" w:hAnsi="仿宋" w:eastAsia="仿宋" w:cs="仿宋"/>
                <w:kern w:val="0"/>
                <w:sz w:val="24"/>
                <w:szCs w:val="24"/>
              </w:rPr>
              <w:t>供应商具有良好的财务状况，提供近三年2020-2022年任意一年经第三方审计出具的审计报告（须包含资产负债表、现金流量表、利润表等）或提供成立至今的财务报表和近一个月的银行资信证明并加盖公章；</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kern w:val="0"/>
                <w:sz w:val="24"/>
                <w:szCs w:val="24"/>
              </w:rPr>
            </w:pPr>
            <w:r>
              <w:rPr>
                <w:rFonts w:hint="eastAsia" w:ascii="仿宋" w:hAnsi="仿宋" w:eastAsia="仿宋" w:cs="仿宋"/>
                <w:kern w:val="0"/>
                <w:sz w:val="24"/>
                <w:szCs w:val="24"/>
                <w:lang w:eastAsia="zh-CN"/>
              </w:rPr>
              <w:t>参</w:t>
            </w:r>
            <w:r>
              <w:rPr>
                <w:rFonts w:hint="eastAsia" w:ascii="仿宋" w:hAnsi="仿宋" w:eastAsia="仿宋" w:cs="仿宋"/>
                <w:kern w:val="0"/>
                <w:sz w:val="24"/>
                <w:szCs w:val="24"/>
              </w:rPr>
              <w:t>加采购活动前三年内，在经营活动中没有重大违法记录，提供“信用中国”网站（www.creditchina.gov.cn）中国政府采购网（www.ccgp.gov.cn）无违法违规行为的查询纪录；</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kern w:val="0"/>
                <w:sz w:val="24"/>
                <w:szCs w:val="24"/>
              </w:rPr>
            </w:pPr>
            <w:r>
              <w:rPr>
                <w:rFonts w:hint="eastAsia" w:ascii="仿宋" w:hAnsi="仿宋" w:eastAsia="仿宋" w:cs="仿宋"/>
                <w:kern w:val="0"/>
                <w:sz w:val="24"/>
                <w:szCs w:val="24"/>
              </w:rPr>
              <w:t>供应商具有履行合同所必需的设备和专业技术能力；</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kern w:val="0"/>
                <w:sz w:val="24"/>
                <w:szCs w:val="24"/>
              </w:rPr>
            </w:pPr>
            <w:r>
              <w:rPr>
                <w:rFonts w:hint="eastAsia" w:ascii="仿宋" w:hAnsi="仿宋" w:eastAsia="仿宋" w:cs="宋体"/>
                <w:kern w:val="0"/>
                <w:sz w:val="24"/>
                <w:szCs w:val="24"/>
              </w:rPr>
              <w:t>本项目专门面向小微企业预留金额/中小企业预留金额。</w:t>
            </w:r>
          </w:p>
        </w:tc>
      </w:tr>
      <w:tr>
        <w:tblPrEx>
          <w:tblCellMar>
            <w:top w:w="0" w:type="dxa"/>
            <w:left w:w="0" w:type="dxa"/>
            <w:bottom w:w="0" w:type="dxa"/>
            <w:right w:w="0" w:type="dxa"/>
          </w:tblCellMar>
        </w:tblPrEx>
        <w:trPr>
          <w:trHeight w:val="1295" w:hRule="atLeast"/>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备注：如供应商提供的响应文件中资格审查有一项未通过上述审查标准，磋商小组将认定整个响应文件不响应竞争性磋商文件而予以废标，并且不允许供应商参与符合性审查表及通过修改或撤销其不符合要求的差异或保留，使之成为具有响应性的竞标。</w:t>
            </w:r>
          </w:p>
        </w:tc>
      </w:tr>
    </w:tbl>
    <w:p>
      <w:pPr>
        <w:pStyle w:val="81"/>
        <w:spacing w:line="360" w:lineRule="auto"/>
        <w:ind w:firstLine="561"/>
        <w:rPr>
          <w:rFonts w:hint="eastAsia" w:ascii="仿宋" w:hAnsi="仿宋" w:eastAsia="仿宋" w:cs="仿宋"/>
          <w:color w:val="auto"/>
          <w:szCs w:val="24"/>
        </w:rPr>
      </w:pPr>
      <w:r>
        <w:rPr>
          <w:rFonts w:hint="eastAsia" w:ascii="仿宋" w:hAnsi="仿宋" w:eastAsia="仿宋" w:cs="仿宋"/>
          <w:color w:val="auto"/>
          <w:szCs w:val="24"/>
        </w:rPr>
        <w:t>22.2 合格供应商不足三家的，不进行磋商。</w:t>
      </w:r>
    </w:p>
    <w:p>
      <w:pPr>
        <w:pStyle w:val="81"/>
        <w:spacing w:line="360" w:lineRule="auto"/>
        <w:ind w:firstLine="560"/>
        <w:jc w:val="both"/>
        <w:rPr>
          <w:rFonts w:hint="eastAsia" w:ascii="仿宋" w:hAnsi="仿宋" w:eastAsia="仿宋" w:cs="仿宋"/>
          <w:color w:val="auto"/>
          <w:szCs w:val="24"/>
        </w:rPr>
      </w:pPr>
      <w:r>
        <w:rPr>
          <w:rFonts w:hint="eastAsia" w:ascii="仿宋" w:hAnsi="仿宋" w:eastAsia="仿宋" w:cs="仿宋"/>
          <w:color w:val="auto"/>
          <w:szCs w:val="24"/>
        </w:rPr>
        <w:t>24.6</w:t>
      </w:r>
      <w:r>
        <w:rPr>
          <w:rFonts w:hint="eastAsia" w:ascii="仿宋" w:hAnsi="仿宋" w:eastAsia="仿宋" w:cs="仿宋"/>
          <w:color w:val="auto"/>
          <w:szCs w:val="24"/>
          <w:lang w:val="en-US" w:eastAsia="zh-CN"/>
        </w:rPr>
        <w:t>.2</w:t>
      </w:r>
      <w:r>
        <w:rPr>
          <w:rFonts w:hint="eastAsia" w:ascii="仿宋" w:hAnsi="仿宋" w:eastAsia="仿宋" w:cs="仿宋"/>
          <w:color w:val="auto"/>
          <w:szCs w:val="24"/>
        </w:rPr>
        <w:t xml:space="preserve"> 符合性审查</w:t>
      </w:r>
    </w:p>
    <w:p>
      <w:pPr>
        <w:pStyle w:val="81"/>
        <w:spacing w:line="360" w:lineRule="auto"/>
        <w:ind w:firstLine="560"/>
        <w:jc w:val="both"/>
        <w:rPr>
          <w:rFonts w:hint="eastAsia" w:ascii="仿宋" w:hAnsi="仿宋" w:eastAsia="仿宋" w:cs="仿宋"/>
          <w:color w:val="auto"/>
          <w:szCs w:val="24"/>
        </w:rPr>
      </w:pPr>
      <w:r>
        <w:rPr>
          <w:rFonts w:hint="eastAsia" w:ascii="仿宋" w:hAnsi="仿宋" w:eastAsia="仿宋" w:cs="仿宋"/>
          <w:color w:val="auto"/>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tbl>
      <w:tblPr>
        <w:tblStyle w:val="43"/>
        <w:tblW w:w="9400" w:type="dxa"/>
        <w:tblInd w:w="0" w:type="dxa"/>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标  准</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响应文件未按磋商文件规定由供应商法定代表人或其授权代理人签字、盖章的；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供应商是否交纳保证金；</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供应商的报价未超过采购预算；</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未按磋商文件规定的格式填写，内容不全或关键字迹模糊、无法辨认的；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响应文件载明的采购项目完成期限超过磋商文件规定期限的；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6</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响应文件明显不符合磋商文件规定的技术规格、技术标准以及商务条款要求的；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7</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以行贿手段谋取中标或者以其他弄虚作假方式申请投标的；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8</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不满足磋商文件实质性要求的其他情形；</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9</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hint="eastAsia" w:ascii="仿宋" w:hAnsi="仿宋" w:eastAsia="仿宋" w:cs="仿宋"/>
                <w:sz w:val="24"/>
              </w:rPr>
            </w:pPr>
            <w:r>
              <w:rPr>
                <w:rFonts w:hint="eastAsia" w:ascii="仿宋" w:hAnsi="仿宋" w:eastAsia="仿宋" w:cs="仿宋"/>
                <w:sz w:val="24"/>
              </w:rPr>
              <w:t>响应文件附有采购人不能接受的条件的；</w:t>
            </w:r>
          </w:p>
        </w:tc>
      </w:tr>
      <w:tr>
        <w:tblPrEx>
          <w:tblCellMar>
            <w:top w:w="0" w:type="dxa"/>
            <w:left w:w="0" w:type="dxa"/>
            <w:bottom w:w="0" w:type="dxa"/>
            <w:right w:w="0" w:type="dxa"/>
          </w:tblCellMar>
        </w:tblPrEx>
        <w:trPr>
          <w:trHeight w:val="940" w:hRule="atLeast"/>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备注：如果响应文件中有一项未通过上述审查标准，磋商小组将认定整个响应文件不响应磋商文件而予以废标，并且不允许供应商通过修改或撤销其不符合要求的差异或保留，使之成为具有响应性的响应。</w:t>
            </w:r>
          </w:p>
        </w:tc>
      </w:tr>
    </w:tbl>
    <w:p>
      <w:pPr>
        <w:pStyle w:val="184"/>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24.7 磋商委员会将对其进行算术性修正。算术性修正是指对响应文件报价出现前后不一致的进行校核，并对其算术上和运算上的差错给予修正。修正的原则如下：</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24.7.1 响应文件中磋商一览表内容与响应文件中相应内容不一致的，以磋商一览表为准；</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24.7.2 响应文件的大写金额和小写金额不一致的，以大写金额为准；</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24.7.3 单价金额小数点或者百分比有明显错位的，以磋商一览表的总价为准，并修改单价；</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24.7.4 总价金额与按单价汇总金额不一致的，以单价金额计算结果为准。</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24.7.5 同时出现两种以上不一致的，按照上述规定的顺序修正。修正后的报价须供应商确认，如果供应商拒绝确认，其磋商无效。</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24.7.6 对不同文字文本磋商文件的解释发生异议的，以中文文本为准。</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24.7.7 磋商委员会将拒绝被定为实质上非响应性的磋商，供应商不能通过修正或撤销不符之处而使其磋商成为响应性磋商。</w:t>
      </w:r>
    </w:p>
    <w:p>
      <w:pPr>
        <w:pStyle w:val="39"/>
        <w:spacing w:before="0" w:beforeAutospacing="0" w:after="0" w:afterAutospacing="0" w:line="360" w:lineRule="auto"/>
        <w:ind w:firstLine="480" w:firstLineChars="200"/>
        <w:rPr>
          <w:rFonts w:hint="eastAsia" w:ascii="仿宋" w:hAnsi="仿宋" w:eastAsia="仿宋" w:cs="仿宋"/>
          <w:bCs/>
          <w:szCs w:val="24"/>
        </w:rPr>
      </w:pPr>
      <w:r>
        <w:rPr>
          <w:rFonts w:hint="eastAsia" w:ascii="仿宋" w:hAnsi="仿宋" w:eastAsia="仿宋" w:cs="仿宋"/>
          <w:bCs/>
          <w:szCs w:val="24"/>
        </w:rPr>
        <w:t>24.7.8 磋商委员会将允许磋商中有微小的不正规、不一致或不规则，而该微小之处不构成重大偏离。</w:t>
      </w:r>
    </w:p>
    <w:p>
      <w:pPr>
        <w:pStyle w:val="224"/>
        <w:spacing w:line="360" w:lineRule="auto"/>
        <w:ind w:firstLine="480"/>
        <w:jc w:val="both"/>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24.8 详细评审</w:t>
      </w:r>
    </w:p>
    <w:p>
      <w:pPr>
        <w:pStyle w:val="224"/>
        <w:spacing w:line="360" w:lineRule="auto"/>
        <w:ind w:firstLine="480"/>
        <w:jc w:val="both"/>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24.8.1 磋商委员会对符合性审查合格的响应文件进行商务及技术评审，综合比较与评价。以响应文件能最大限度地满足磋商文件中规定的各项评价标准为依据，独立地对各响应文件进行评审和打分。</w:t>
      </w:r>
    </w:p>
    <w:p>
      <w:pPr>
        <w:pStyle w:val="224"/>
        <w:spacing w:line="360" w:lineRule="auto"/>
        <w:ind w:firstLine="480"/>
        <w:jc w:val="left"/>
        <w:rPr>
          <w:rFonts w:hint="eastAsia" w:ascii="仿宋" w:hAnsi="仿宋" w:eastAsia="仿宋" w:cs="仿宋"/>
          <w:b w:val="0"/>
          <w:bCs/>
          <w:sz w:val="24"/>
          <w:szCs w:val="24"/>
        </w:rPr>
      </w:pPr>
      <w:r>
        <w:rPr>
          <w:rFonts w:hint="eastAsia" w:ascii="仿宋" w:hAnsi="仿宋" w:eastAsia="仿宋" w:cs="仿宋"/>
          <w:b w:val="0"/>
          <w:bCs/>
          <w:sz w:val="24"/>
          <w:szCs w:val="24"/>
        </w:rPr>
        <w:t>24.8.2  成交原则：本次磋商采取综合评分法。</w:t>
      </w:r>
    </w:p>
    <w:p>
      <w:pPr>
        <w:spacing w:line="460" w:lineRule="exact"/>
        <w:ind w:firstLine="480" w:firstLineChars="200"/>
        <w:rPr>
          <w:rFonts w:hint="eastAsia" w:ascii="仿宋" w:hAnsi="仿宋" w:eastAsia="仿宋" w:cs="仿宋"/>
          <w:bCs/>
          <w:sz w:val="24"/>
        </w:rPr>
      </w:pPr>
      <w:r>
        <w:rPr>
          <w:rFonts w:hint="eastAsia" w:ascii="仿宋" w:hAnsi="仿宋" w:eastAsia="仿宋" w:cs="仿宋"/>
          <w:bCs/>
          <w:sz w:val="24"/>
        </w:rPr>
        <w:t>综合评分法衡量响应文件在是否最大限度地满足磋商文件实质性要求前提下，按照磋商文件中规定的各项因素进行综合评审后，依据得分高低，依次确定得分最高的供应商为成交候选人。</w:t>
      </w:r>
    </w:p>
    <w:p>
      <w:pPr>
        <w:jc w:val="center"/>
        <w:rPr>
          <w:rFonts w:ascii="仿宋" w:hAnsi="仿宋" w:eastAsia="仿宋" w:cs="仿宋"/>
          <w:b/>
          <w:sz w:val="24"/>
          <w:szCs w:val="24"/>
        </w:rPr>
      </w:pPr>
      <w:r>
        <w:rPr>
          <w:rFonts w:hint="eastAsia" w:ascii="仿宋" w:hAnsi="仿宋" w:eastAsia="仿宋" w:cs="仿宋"/>
          <w:b/>
          <w:sz w:val="24"/>
          <w:szCs w:val="24"/>
        </w:rPr>
        <w:t>评标办法及标准</w:t>
      </w:r>
    </w:p>
    <w:tbl>
      <w:tblPr>
        <w:tblStyle w:val="44"/>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76"/>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Mar>
              <w:left w:w="28" w:type="dxa"/>
              <w:right w:w="28" w:type="dxa"/>
            </w:tcMar>
            <w:vAlign w:val="center"/>
          </w:tcPr>
          <w:p>
            <w:pPr>
              <w:jc w:val="center"/>
              <w:rPr>
                <w:rFonts w:ascii="仿宋" w:hAnsi="仿宋" w:eastAsia="仿宋"/>
                <w:bCs/>
                <w:sz w:val="24"/>
                <w:szCs w:val="24"/>
              </w:rPr>
            </w:pPr>
            <w:r>
              <w:rPr>
                <w:rFonts w:hint="eastAsia" w:ascii="仿宋" w:hAnsi="仿宋" w:eastAsia="仿宋"/>
                <w:bCs/>
                <w:sz w:val="24"/>
                <w:szCs w:val="24"/>
              </w:rPr>
              <w:t>序号</w:t>
            </w:r>
          </w:p>
        </w:tc>
        <w:tc>
          <w:tcPr>
            <w:tcW w:w="1276" w:type="dxa"/>
            <w:vAlign w:val="center"/>
          </w:tcPr>
          <w:p>
            <w:pPr>
              <w:jc w:val="center"/>
              <w:rPr>
                <w:rFonts w:ascii="仿宋" w:hAnsi="仿宋" w:eastAsia="仿宋"/>
                <w:bCs/>
                <w:sz w:val="24"/>
                <w:szCs w:val="24"/>
              </w:rPr>
            </w:pPr>
            <w:r>
              <w:rPr>
                <w:rFonts w:hint="eastAsia" w:ascii="仿宋" w:hAnsi="仿宋" w:eastAsia="仿宋"/>
                <w:bCs/>
                <w:sz w:val="24"/>
                <w:szCs w:val="24"/>
              </w:rPr>
              <w:t>评分项</w:t>
            </w:r>
          </w:p>
        </w:tc>
        <w:tc>
          <w:tcPr>
            <w:tcW w:w="7052" w:type="dxa"/>
            <w:vAlign w:val="center"/>
          </w:tcPr>
          <w:p>
            <w:pPr>
              <w:jc w:val="center"/>
              <w:rPr>
                <w:rFonts w:ascii="仿宋" w:hAnsi="仿宋" w:eastAsia="仿宋"/>
                <w:bCs/>
                <w:sz w:val="24"/>
                <w:szCs w:val="24"/>
              </w:rPr>
            </w:pPr>
            <w:r>
              <w:rPr>
                <w:rFonts w:hint="eastAsia" w:ascii="仿宋" w:hAnsi="仿宋" w:eastAsia="仿宋"/>
                <w:bCs/>
                <w:sz w:val="24"/>
                <w:szCs w:val="24"/>
              </w:rPr>
              <w:t>评分具体因素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3" w:type="dxa"/>
            <w:gridSpan w:val="3"/>
            <w:vAlign w:val="center"/>
          </w:tcPr>
          <w:p>
            <w:pPr>
              <w:rPr>
                <w:rFonts w:ascii="仿宋" w:hAnsi="仿宋" w:eastAsia="仿宋"/>
                <w:bCs/>
                <w:sz w:val="24"/>
                <w:szCs w:val="24"/>
              </w:rPr>
            </w:pPr>
            <w:r>
              <w:rPr>
                <w:rFonts w:hint="eastAsia" w:ascii="仿宋" w:hAnsi="仿宋" w:eastAsia="仿宋"/>
                <w:bCs/>
                <w:sz w:val="24"/>
                <w:szCs w:val="24"/>
              </w:rPr>
              <w:t>A</w:t>
            </w:r>
            <w:r>
              <w:rPr>
                <w:rFonts w:ascii="仿宋" w:hAnsi="仿宋" w:eastAsia="仿宋"/>
                <w:bCs/>
                <w:sz w:val="24"/>
                <w:szCs w:val="24"/>
              </w:rPr>
              <w:t>：</w:t>
            </w:r>
            <w:r>
              <w:rPr>
                <w:rFonts w:hint="eastAsia" w:ascii="仿宋" w:hAnsi="仿宋" w:eastAsia="仿宋"/>
                <w:bCs/>
                <w:sz w:val="24"/>
                <w:szCs w:val="24"/>
              </w:rPr>
              <w:t>商务部分评分</w:t>
            </w:r>
            <w:r>
              <w:rPr>
                <w:rFonts w:ascii="仿宋" w:hAnsi="仿宋" w:eastAsia="仿宋"/>
                <w:bCs/>
                <w:sz w:val="24"/>
                <w:szCs w:val="24"/>
              </w:rPr>
              <w:t>20</w:t>
            </w:r>
            <w:r>
              <w:rPr>
                <w:rFonts w:hint="eastAsia" w:ascii="仿宋" w:hAnsi="仿宋" w:eastAsia="仿宋"/>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42"/>
              <w:ind w:firstLine="0" w:firstLineChars="0"/>
              <w:jc w:val="center"/>
              <w:rPr>
                <w:rFonts w:hint="eastAsia" w:ascii="仿宋" w:hAnsi="仿宋" w:eastAsia="仿宋"/>
                <w:sz w:val="24"/>
                <w:lang w:eastAsia="zh-CN"/>
              </w:rPr>
            </w:pPr>
            <w:r>
              <w:rPr>
                <w:rFonts w:hint="eastAsia" w:ascii="仿宋" w:hAnsi="仿宋" w:eastAsia="仿宋"/>
                <w:sz w:val="24"/>
                <w:lang w:eastAsia="zh-CN"/>
              </w:rPr>
              <w:t>1</w:t>
            </w:r>
          </w:p>
        </w:tc>
        <w:tc>
          <w:tcPr>
            <w:tcW w:w="1276" w:type="dxa"/>
            <w:vAlign w:val="center"/>
          </w:tcPr>
          <w:p>
            <w:pPr>
              <w:spacing w:line="280" w:lineRule="exact"/>
              <w:jc w:val="center"/>
              <w:rPr>
                <w:rFonts w:ascii="仿宋" w:hAnsi="仿宋" w:eastAsia="仿宋"/>
                <w:bCs/>
                <w:sz w:val="24"/>
                <w:szCs w:val="24"/>
              </w:rPr>
            </w:pPr>
            <w:r>
              <w:rPr>
                <w:rFonts w:hint="eastAsia" w:ascii="仿宋" w:hAnsi="仿宋" w:eastAsia="仿宋"/>
                <w:bCs/>
                <w:sz w:val="24"/>
                <w:szCs w:val="24"/>
              </w:rPr>
              <w:t>企业资信</w:t>
            </w:r>
          </w:p>
          <w:p>
            <w:pPr>
              <w:spacing w:line="280" w:lineRule="exact"/>
              <w:jc w:val="center"/>
              <w:rPr>
                <w:rFonts w:ascii="仿宋" w:hAnsi="仿宋" w:eastAsia="仿宋"/>
                <w:bCs/>
                <w:sz w:val="24"/>
                <w:szCs w:val="24"/>
              </w:rPr>
            </w:pPr>
            <w:r>
              <w:rPr>
                <w:rFonts w:hint="eastAsia" w:ascii="仿宋" w:hAnsi="仿宋" w:eastAsia="仿宋"/>
                <w:bCs/>
                <w:sz w:val="24"/>
                <w:szCs w:val="24"/>
              </w:rPr>
              <w:t>(</w:t>
            </w:r>
            <w:r>
              <w:rPr>
                <w:rFonts w:hint="eastAsia" w:ascii="仿宋" w:hAnsi="仿宋" w:eastAsia="仿宋"/>
                <w:bCs/>
                <w:sz w:val="24"/>
                <w:szCs w:val="24"/>
                <w:lang w:val="en-US" w:eastAsia="zh-CN"/>
              </w:rPr>
              <w:t>3</w:t>
            </w:r>
            <w:r>
              <w:rPr>
                <w:rFonts w:hint="eastAsia" w:ascii="仿宋" w:hAnsi="仿宋" w:eastAsia="仿宋"/>
                <w:bCs/>
                <w:sz w:val="24"/>
                <w:szCs w:val="24"/>
              </w:rPr>
              <w:t>)</w:t>
            </w:r>
          </w:p>
        </w:tc>
        <w:tc>
          <w:tcPr>
            <w:tcW w:w="7052" w:type="dxa"/>
            <w:vAlign w:val="center"/>
          </w:tcPr>
          <w:p>
            <w:pPr>
              <w:spacing w:line="280" w:lineRule="exact"/>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有合法的服务机构，并提供有效证明（如：企业注册地址的房产证或租赁合同复印件），提供得</w:t>
            </w:r>
            <w:r>
              <w:rPr>
                <w:rFonts w:hint="eastAsia" w:ascii="仿宋" w:hAnsi="仿宋" w:eastAsia="仿宋"/>
                <w:sz w:val="24"/>
                <w:szCs w:val="24"/>
                <w:lang w:val="en-US" w:eastAsia="zh-CN"/>
              </w:rPr>
              <w:t>2</w:t>
            </w:r>
            <w:r>
              <w:rPr>
                <w:rFonts w:hint="eastAsia" w:ascii="仿宋" w:hAnsi="仿宋" w:eastAsia="仿宋"/>
                <w:sz w:val="24"/>
                <w:szCs w:val="24"/>
              </w:rPr>
              <w:t>分，不提供不得分。</w:t>
            </w:r>
          </w:p>
          <w:p>
            <w:pPr>
              <w:spacing w:line="280" w:lineRule="exac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提供国家信息技术服务标准符合性证书（ITSS）得1分，不提供不得分。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95" w:type="dxa"/>
            <w:vAlign w:val="center"/>
          </w:tcPr>
          <w:p>
            <w:pPr>
              <w:pStyle w:val="42"/>
              <w:ind w:firstLine="0" w:firstLineChars="0"/>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276" w:type="dxa"/>
            <w:vAlign w:val="center"/>
          </w:tcPr>
          <w:p>
            <w:pPr>
              <w:spacing w:line="280" w:lineRule="exact"/>
              <w:jc w:val="center"/>
              <w:rPr>
                <w:rFonts w:ascii="仿宋" w:hAnsi="仿宋" w:eastAsia="仿宋"/>
                <w:bCs/>
                <w:sz w:val="24"/>
                <w:szCs w:val="24"/>
              </w:rPr>
            </w:pPr>
            <w:r>
              <w:rPr>
                <w:rFonts w:hint="eastAsia" w:ascii="仿宋" w:hAnsi="仿宋" w:eastAsia="仿宋"/>
                <w:bCs/>
                <w:sz w:val="24"/>
                <w:szCs w:val="24"/>
              </w:rPr>
              <w:t>类似业绩</w:t>
            </w:r>
          </w:p>
          <w:p>
            <w:pPr>
              <w:spacing w:line="280" w:lineRule="exact"/>
              <w:jc w:val="center"/>
              <w:rPr>
                <w:rFonts w:ascii="仿宋" w:hAnsi="仿宋" w:eastAsia="仿宋"/>
                <w:bCs/>
                <w:sz w:val="24"/>
                <w:szCs w:val="24"/>
              </w:rPr>
            </w:pPr>
            <w:r>
              <w:rPr>
                <w:rFonts w:hint="eastAsia" w:ascii="仿宋" w:hAnsi="仿宋" w:eastAsia="仿宋"/>
                <w:bCs/>
                <w:sz w:val="24"/>
                <w:szCs w:val="24"/>
              </w:rPr>
              <w:t>（</w:t>
            </w:r>
            <w:r>
              <w:rPr>
                <w:rFonts w:hint="eastAsia" w:ascii="仿宋" w:hAnsi="仿宋" w:eastAsia="仿宋"/>
                <w:bCs/>
                <w:sz w:val="24"/>
                <w:szCs w:val="24"/>
                <w:lang w:val="en-US" w:eastAsia="zh-CN"/>
              </w:rPr>
              <w:t>15</w:t>
            </w:r>
            <w:r>
              <w:rPr>
                <w:rFonts w:hint="eastAsia" w:ascii="仿宋" w:hAnsi="仿宋" w:eastAsia="仿宋"/>
                <w:bCs/>
                <w:sz w:val="24"/>
                <w:szCs w:val="24"/>
              </w:rPr>
              <w:t>）</w:t>
            </w:r>
          </w:p>
        </w:tc>
        <w:tc>
          <w:tcPr>
            <w:tcW w:w="7052" w:type="dxa"/>
            <w:vAlign w:val="center"/>
          </w:tcPr>
          <w:p>
            <w:pPr>
              <w:spacing w:line="280" w:lineRule="exact"/>
              <w:rPr>
                <w:rFonts w:ascii="仿宋" w:hAnsi="仿宋" w:eastAsia="仿宋"/>
                <w:sz w:val="24"/>
                <w:szCs w:val="24"/>
              </w:rPr>
            </w:pPr>
            <w:r>
              <w:rPr>
                <w:rFonts w:hint="eastAsia" w:ascii="仿宋" w:hAnsi="仿宋" w:eastAsia="仿宋"/>
                <w:sz w:val="24"/>
                <w:szCs w:val="24"/>
              </w:rPr>
              <w:t>类似业绩年限：2020年1月1日-至今，供应商提供类似业绩（需提供合同或中标通知书复印件并加盖公章），每提供一个有效业绩得</w:t>
            </w:r>
            <w:r>
              <w:rPr>
                <w:rFonts w:hint="eastAsia" w:ascii="仿宋" w:hAnsi="仿宋" w:eastAsia="仿宋"/>
                <w:sz w:val="24"/>
                <w:szCs w:val="24"/>
                <w:lang w:val="en-US" w:eastAsia="zh-CN"/>
              </w:rPr>
              <w:t>3</w:t>
            </w:r>
            <w:r>
              <w:rPr>
                <w:rFonts w:hint="eastAsia" w:ascii="仿宋" w:hAnsi="仿宋" w:eastAsia="仿宋"/>
                <w:sz w:val="24"/>
                <w:szCs w:val="24"/>
              </w:rPr>
              <w:t>分 ，满分</w:t>
            </w:r>
            <w:r>
              <w:rPr>
                <w:rFonts w:hint="eastAsia" w:ascii="仿宋" w:hAnsi="仿宋" w:eastAsia="仿宋"/>
                <w:sz w:val="24"/>
                <w:szCs w:val="24"/>
                <w:lang w:val="en-US" w:eastAsia="zh-CN"/>
              </w:rPr>
              <w:t>15</w:t>
            </w:r>
            <w:r>
              <w:rPr>
                <w:rFonts w:hint="eastAsia" w:ascii="仿宋" w:hAnsi="仿宋" w:eastAsia="仿宋"/>
                <w:sz w:val="24"/>
                <w:szCs w:val="24"/>
              </w:rPr>
              <w:t>分。（不提供类似业绩或类似业绩不符合要求不得分）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3" w:type="dxa"/>
            <w:gridSpan w:val="3"/>
            <w:vAlign w:val="center"/>
          </w:tcPr>
          <w:p>
            <w:pPr>
              <w:rPr>
                <w:rFonts w:ascii="仿宋" w:hAnsi="仿宋" w:eastAsia="仿宋"/>
                <w:bCs/>
                <w:sz w:val="24"/>
                <w:szCs w:val="24"/>
              </w:rPr>
            </w:pPr>
            <w:r>
              <w:rPr>
                <w:rFonts w:ascii="仿宋" w:hAnsi="仿宋" w:eastAsia="仿宋"/>
                <w:bCs/>
                <w:sz w:val="24"/>
                <w:szCs w:val="24"/>
              </w:rPr>
              <w:t>B</w:t>
            </w:r>
            <w:r>
              <w:rPr>
                <w:rFonts w:hint="eastAsia" w:ascii="仿宋" w:hAnsi="仿宋" w:eastAsia="仿宋"/>
                <w:bCs/>
                <w:sz w:val="24"/>
                <w:szCs w:val="24"/>
              </w:rPr>
              <w:t>：技术部分评分50分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42"/>
              <w:ind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276" w:type="dxa"/>
            <w:tcBorders>
              <w:bottom w:val="single" w:color="auto" w:sz="4" w:space="0"/>
            </w:tcBorders>
            <w:vAlign w:val="center"/>
          </w:tcPr>
          <w:p>
            <w:pPr>
              <w:spacing w:line="280" w:lineRule="exact"/>
              <w:jc w:val="center"/>
              <w:rPr>
                <w:rFonts w:ascii="仿宋" w:hAnsi="仿宋" w:eastAsia="仿宋"/>
                <w:bCs/>
                <w:sz w:val="24"/>
                <w:szCs w:val="24"/>
              </w:rPr>
            </w:pPr>
            <w:r>
              <w:rPr>
                <w:rFonts w:hint="eastAsia" w:ascii="仿宋" w:hAnsi="仿宋" w:eastAsia="仿宋"/>
                <w:bCs/>
                <w:sz w:val="24"/>
                <w:szCs w:val="24"/>
              </w:rPr>
              <w:t>运维实施方案与计划（</w:t>
            </w:r>
            <w:r>
              <w:rPr>
                <w:rFonts w:ascii="仿宋" w:hAnsi="仿宋" w:eastAsia="仿宋"/>
                <w:bCs/>
                <w:sz w:val="24"/>
                <w:szCs w:val="24"/>
              </w:rPr>
              <w:t>2</w:t>
            </w:r>
            <w:r>
              <w:rPr>
                <w:rFonts w:hint="eastAsia" w:ascii="仿宋" w:hAnsi="仿宋" w:eastAsia="仿宋"/>
                <w:bCs/>
                <w:sz w:val="24"/>
                <w:szCs w:val="24"/>
              </w:rPr>
              <w:t>0分）</w:t>
            </w:r>
          </w:p>
        </w:tc>
        <w:tc>
          <w:tcPr>
            <w:tcW w:w="7052" w:type="dxa"/>
            <w:tcBorders>
              <w:top w:val="nil"/>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根据供应商针对本项目所提供的运维实施方案、包含（但不仅限于）：项目推进计划、对项目的理解、运维实施计划、运维人员安全保障措施、运维保密、运维方案中对正常办公的影响程度及保障措施实施方案及计划等，方案完整且各部分完全可行得2</w:t>
            </w:r>
            <w:r>
              <w:rPr>
                <w:rFonts w:ascii="仿宋" w:hAnsi="仿宋" w:eastAsia="仿宋"/>
                <w:sz w:val="24"/>
                <w:szCs w:val="24"/>
              </w:rPr>
              <w:t>0</w:t>
            </w:r>
            <w:r>
              <w:rPr>
                <w:rFonts w:hint="eastAsia" w:ascii="仿宋" w:hAnsi="仿宋" w:eastAsia="仿宋"/>
                <w:sz w:val="24"/>
                <w:szCs w:val="24"/>
              </w:rPr>
              <w:t>分；方案不完整、部分可行得</w:t>
            </w:r>
            <w:r>
              <w:rPr>
                <w:rFonts w:hint="eastAsia" w:ascii="仿宋" w:hAnsi="仿宋" w:eastAsia="仿宋"/>
                <w:sz w:val="24"/>
                <w:szCs w:val="24"/>
                <w:lang w:val="en-US" w:eastAsia="zh-CN"/>
              </w:rPr>
              <w:t>10</w:t>
            </w:r>
            <w:r>
              <w:rPr>
                <w:rFonts w:hint="eastAsia" w:ascii="仿宋" w:hAnsi="仿宋" w:eastAsia="仿宋"/>
                <w:sz w:val="24"/>
                <w:szCs w:val="24"/>
              </w:rPr>
              <w:t>分；方案潦草、与项目实际不符，不可行得0分。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42"/>
              <w:ind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1276" w:type="dxa"/>
            <w:tcBorders>
              <w:bottom w:val="single" w:color="auto" w:sz="4" w:space="0"/>
            </w:tcBorders>
            <w:vAlign w:val="center"/>
          </w:tcPr>
          <w:p>
            <w:pPr>
              <w:spacing w:line="280" w:lineRule="exact"/>
              <w:jc w:val="center"/>
              <w:rPr>
                <w:rFonts w:ascii="仿宋" w:hAnsi="仿宋" w:eastAsia="仿宋"/>
                <w:bCs/>
                <w:sz w:val="24"/>
                <w:szCs w:val="24"/>
              </w:rPr>
            </w:pPr>
            <w:r>
              <w:rPr>
                <w:rFonts w:hint="eastAsia" w:ascii="仿宋" w:hAnsi="仿宋" w:eastAsia="仿宋"/>
                <w:bCs/>
                <w:sz w:val="24"/>
                <w:szCs w:val="24"/>
              </w:rPr>
              <w:t>人员配置（10分）</w:t>
            </w:r>
          </w:p>
        </w:tc>
        <w:tc>
          <w:tcPr>
            <w:tcW w:w="7052" w:type="dxa"/>
            <w:tcBorders>
              <w:top w:val="nil"/>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供应商提供专业售后维护人员不少于2人，提供2人得基础分4分，每增加1人加2分，本项满分10分，不足2人不得分。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pPr>
              <w:pStyle w:val="42"/>
              <w:ind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276" w:type="dxa"/>
            <w:vMerge w:val="restart"/>
            <w:vAlign w:val="center"/>
          </w:tcPr>
          <w:p>
            <w:pPr>
              <w:autoSpaceDE w:val="0"/>
              <w:autoSpaceDN w:val="0"/>
              <w:spacing w:line="300" w:lineRule="exact"/>
              <w:jc w:val="center"/>
              <w:rPr>
                <w:rFonts w:ascii="仿宋" w:hAnsi="仿宋" w:eastAsia="仿宋" w:cs="仿宋"/>
                <w:sz w:val="24"/>
                <w:szCs w:val="24"/>
              </w:rPr>
            </w:pPr>
            <w:r>
              <w:rPr>
                <w:rFonts w:hint="eastAsia" w:ascii="仿宋" w:hAnsi="仿宋" w:eastAsia="仿宋" w:cs="仿宋"/>
                <w:bCs/>
                <w:kern w:val="0"/>
                <w:sz w:val="24"/>
                <w:szCs w:val="24"/>
              </w:rPr>
              <w:t>应急预案及保障</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7052" w:type="dxa"/>
            <w:vAlign w:val="center"/>
          </w:tcPr>
          <w:p>
            <w:pPr>
              <w:rPr>
                <w:rFonts w:ascii="仿宋" w:hAnsi="仿宋" w:eastAsia="仿宋" w:cs="仿宋"/>
                <w:sz w:val="24"/>
                <w:szCs w:val="24"/>
              </w:rPr>
            </w:pPr>
            <w:r>
              <w:rPr>
                <w:rFonts w:hint="eastAsia" w:ascii="仿宋" w:hAnsi="仿宋" w:eastAsia="仿宋" w:cs="仿宋"/>
                <w:sz w:val="24"/>
                <w:szCs w:val="24"/>
              </w:rPr>
              <w:t>运维服务方应结合实际情况制定相应的应急预案，针对服务内容分类结合网络、服务器、存储、数据库、网络安全、机房环境、链路等因素，制定至少三种以上应急预案，并形成相关文档及手册。依照应急预案每年需配合用户方完成相应应急演练，并形成文档留存。</w:t>
            </w:r>
          </w:p>
          <w:p>
            <w:pPr>
              <w:rPr>
                <w:rFonts w:ascii="仿宋" w:hAnsi="仿宋" w:eastAsia="仿宋" w:cs="仿宋"/>
                <w:sz w:val="24"/>
              </w:rPr>
            </w:pPr>
            <w:r>
              <w:rPr>
                <w:rFonts w:hint="eastAsia" w:ascii="仿宋" w:hAnsi="仿宋" w:eastAsia="仿宋" w:cs="仿宋"/>
                <w:sz w:val="24"/>
                <w:szCs w:val="24"/>
              </w:rPr>
              <w:t>应急预案内容具体，方案科学可行，得6分；应急预案缺乏针对性或可行性有欠缺，得3分；应急预案有缺失，影响项目实施，得1分。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42"/>
              <w:ind w:firstLine="0" w:firstLineChars="0"/>
              <w:jc w:val="center"/>
              <w:rPr>
                <w:rFonts w:ascii="仿宋" w:hAnsi="仿宋" w:eastAsia="仿宋"/>
                <w:sz w:val="24"/>
              </w:rPr>
            </w:pPr>
          </w:p>
        </w:tc>
        <w:tc>
          <w:tcPr>
            <w:tcW w:w="1276" w:type="dxa"/>
            <w:vMerge w:val="continue"/>
            <w:vAlign w:val="center"/>
          </w:tcPr>
          <w:p>
            <w:pPr>
              <w:autoSpaceDE w:val="0"/>
              <w:autoSpaceDN w:val="0"/>
              <w:spacing w:line="300" w:lineRule="exact"/>
              <w:jc w:val="center"/>
              <w:rPr>
                <w:rFonts w:ascii="仿宋" w:hAnsi="仿宋" w:eastAsia="仿宋" w:cs="仿宋"/>
                <w:bCs/>
                <w:kern w:val="0"/>
                <w:sz w:val="24"/>
                <w:szCs w:val="24"/>
              </w:rPr>
            </w:pPr>
          </w:p>
        </w:tc>
        <w:tc>
          <w:tcPr>
            <w:tcW w:w="7052" w:type="dxa"/>
            <w:vAlign w:val="center"/>
          </w:tcPr>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根据供应商在接到采购人应急故障的通知后须在指定时间内到达现场解决故障：</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1）符合磋商文件一级故障处理要求且承诺应急处理保障时间（15分响应，2小时处理完成），得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2）符合磋商文件二级故障处理要求且承诺应急处理保障时间（30分响应，4小时处理完成），得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3）符合磋商文件三级故障处理要求且承诺应急处理保障时间（60分响应，36小时处理完成），得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4）符合磋商文件其他故障处理要求且承诺应急处理保障时间（60分响应，48小时处理完成），得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rPr>
                <w:rFonts w:ascii="仿宋" w:hAnsi="仿宋" w:eastAsia="仿宋" w:cs="仿宋"/>
                <w:sz w:val="24"/>
                <w:szCs w:val="24"/>
              </w:rPr>
            </w:pPr>
            <w:r>
              <w:rPr>
                <w:rFonts w:hint="eastAsia" w:ascii="仿宋" w:hAnsi="仿宋" w:eastAsia="仿宋" w:cs="仿宋"/>
                <w:sz w:val="24"/>
              </w:rPr>
              <w:t>提供承诺书，承诺书不满足上述时间不得分，本项满分</w:t>
            </w:r>
            <w:r>
              <w:rPr>
                <w:rFonts w:hint="eastAsia" w:ascii="仿宋" w:hAnsi="仿宋" w:eastAsia="仿宋" w:cs="仿宋"/>
                <w:sz w:val="24"/>
                <w:lang w:val="en-US" w:eastAsia="zh-CN"/>
              </w:rPr>
              <w:t>6</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42"/>
              <w:ind w:firstLine="0" w:firstLineChars="0"/>
              <w:jc w:val="center"/>
              <w:rPr>
                <w:rFonts w:hint="eastAsia" w:ascii="仿宋" w:hAnsi="仿宋" w:eastAsia="仿宋"/>
                <w:sz w:val="24"/>
                <w:lang w:eastAsia="zh-CN"/>
              </w:rPr>
            </w:pPr>
            <w:r>
              <w:rPr>
                <w:rFonts w:hint="eastAsia" w:ascii="仿宋" w:hAnsi="仿宋" w:eastAsia="仿宋"/>
                <w:sz w:val="24"/>
                <w:lang w:val="en-US" w:eastAsia="zh-CN"/>
              </w:rPr>
              <w:t>6</w:t>
            </w:r>
          </w:p>
        </w:tc>
        <w:tc>
          <w:tcPr>
            <w:tcW w:w="1276" w:type="dxa"/>
            <w:vAlign w:val="center"/>
          </w:tcPr>
          <w:p>
            <w:pPr>
              <w:autoSpaceDE w:val="0"/>
              <w:autoSpaceDN w:val="0"/>
              <w:spacing w:line="300" w:lineRule="exact"/>
              <w:jc w:val="center"/>
              <w:rPr>
                <w:rFonts w:ascii="仿宋" w:hAnsi="仿宋" w:eastAsia="仿宋" w:cs="仿宋"/>
                <w:bCs/>
                <w:kern w:val="0"/>
                <w:sz w:val="24"/>
                <w:szCs w:val="24"/>
              </w:rPr>
            </w:pPr>
            <w:r>
              <w:rPr>
                <w:rFonts w:hint="eastAsia" w:ascii="仿宋" w:hAnsi="仿宋" w:eastAsia="仿宋" w:cs="仿宋"/>
                <w:bCs/>
                <w:kern w:val="0"/>
                <w:sz w:val="24"/>
                <w:szCs w:val="24"/>
              </w:rPr>
              <w:t>培训服务（</w:t>
            </w:r>
            <w:r>
              <w:rPr>
                <w:rFonts w:hint="eastAsia" w:ascii="仿宋" w:hAnsi="仿宋" w:eastAsia="仿宋" w:cs="仿宋"/>
                <w:sz w:val="24"/>
                <w:szCs w:val="24"/>
              </w:rPr>
              <w:t>10分</w:t>
            </w:r>
            <w:r>
              <w:rPr>
                <w:rFonts w:hint="eastAsia" w:ascii="仿宋" w:hAnsi="仿宋" w:eastAsia="仿宋" w:cs="仿宋"/>
                <w:bCs/>
                <w:kern w:val="0"/>
                <w:sz w:val="24"/>
                <w:szCs w:val="24"/>
              </w:rPr>
              <w:t>）</w:t>
            </w:r>
          </w:p>
        </w:tc>
        <w:tc>
          <w:tcPr>
            <w:tcW w:w="7052" w:type="dxa"/>
            <w:vAlign w:val="center"/>
          </w:tcPr>
          <w:p>
            <w:pPr>
              <w:rPr>
                <w:rFonts w:ascii="仿宋" w:hAnsi="仿宋" w:eastAsia="仿宋" w:cs="仿宋"/>
                <w:sz w:val="24"/>
                <w:szCs w:val="24"/>
              </w:rPr>
            </w:pPr>
            <w:r>
              <w:rPr>
                <w:rFonts w:hint="eastAsia" w:ascii="仿宋" w:hAnsi="仿宋" w:eastAsia="仿宋" w:cs="仿宋"/>
                <w:sz w:val="24"/>
                <w:szCs w:val="24"/>
              </w:rPr>
              <w:t>1.现场培训</w:t>
            </w:r>
          </w:p>
          <w:p>
            <w:pPr>
              <w:rPr>
                <w:rFonts w:ascii="仿宋" w:hAnsi="仿宋" w:eastAsia="仿宋" w:cs="仿宋"/>
                <w:sz w:val="24"/>
                <w:szCs w:val="24"/>
              </w:rPr>
            </w:pPr>
            <w:r>
              <w:rPr>
                <w:rFonts w:hint="eastAsia" w:ascii="仿宋" w:hAnsi="仿宋" w:eastAsia="仿宋" w:cs="仿宋"/>
                <w:sz w:val="24"/>
                <w:szCs w:val="24"/>
              </w:rPr>
              <w:t>运维服务方根据用户方需求，定期为用户方提供定制化的现场培训服务，培训内容包括：网络技术、网络信息安全技术、服务器及存储技术、数据库技术、虚拟化技术等与本项目维保相关的内容。根据用户方需求，运维服务方派专职讲师现场授课。每提供一项培训内容得1分，不提供不得分，满分5分。</w:t>
            </w:r>
          </w:p>
          <w:p>
            <w:pPr>
              <w:rPr>
                <w:rFonts w:ascii="仿宋" w:hAnsi="仿宋" w:eastAsia="仿宋" w:cs="仿宋"/>
                <w:sz w:val="24"/>
                <w:szCs w:val="24"/>
              </w:rPr>
            </w:pPr>
            <w:r>
              <w:rPr>
                <w:rFonts w:hint="eastAsia" w:ascii="仿宋" w:hAnsi="仿宋" w:eastAsia="仿宋" w:cs="仿宋"/>
                <w:sz w:val="24"/>
                <w:szCs w:val="24"/>
              </w:rPr>
              <w:t>2.工程师专业培训</w:t>
            </w:r>
          </w:p>
          <w:p>
            <w:pPr>
              <w:rPr>
                <w:rFonts w:ascii="仿宋" w:hAnsi="仿宋" w:eastAsia="仿宋" w:cs="仿宋"/>
                <w:sz w:val="24"/>
                <w:szCs w:val="24"/>
              </w:rPr>
            </w:pPr>
            <w:r>
              <w:rPr>
                <w:rFonts w:hint="eastAsia" w:ascii="仿宋" w:hAnsi="仿宋" w:eastAsia="仿宋" w:cs="仿宋"/>
                <w:sz w:val="24"/>
                <w:szCs w:val="24"/>
              </w:rPr>
              <w:t>为鼓励用户方工程师提升专业技术能力，凡是在合同期内通过华为中级网络工程师HCISP）认证、数据库OCP/OCM认证的工程师，由运维服务方报销所有报名、培训、考试相关的费用，承诺此项得5分，不提供不得分。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95" w:type="dxa"/>
            <w:vAlign w:val="center"/>
          </w:tcPr>
          <w:p>
            <w:pPr>
              <w:pStyle w:val="42"/>
              <w:spacing w:line="240" w:lineRule="auto"/>
              <w:ind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1276" w:type="dxa"/>
            <w:tcBorders>
              <w:bottom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合计</w:t>
            </w:r>
          </w:p>
        </w:tc>
        <w:tc>
          <w:tcPr>
            <w:tcW w:w="7052" w:type="dxa"/>
            <w:tcBorders>
              <w:bottom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70分</w:t>
            </w:r>
          </w:p>
        </w:tc>
      </w:tr>
    </w:tbl>
    <w:p>
      <w:pPr>
        <w:jc w:val="left"/>
        <w:rPr>
          <w:rFonts w:ascii="仿宋" w:hAnsi="仿宋" w:eastAsia="仿宋" w:cs="仿宋"/>
          <w:sz w:val="24"/>
        </w:rPr>
      </w:pPr>
      <w:r>
        <w:rPr>
          <w:rFonts w:hint="eastAsia" w:ascii="仿宋" w:hAnsi="仿宋" w:eastAsia="仿宋" w:cs="仿宋"/>
          <w:sz w:val="24"/>
        </w:rPr>
        <w:t>说明：评分分值计算等于所有专家评分后的算术平均值，保留小数点后两位，小数点后三位“四舍五入”。</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24.8.2.1  对于商务部分（磋商报价）的评分，按以下方法进行：价格得分的评分方法：采用低价优先法计算，即满足磋商文件要求且响应价格最低的报价为磋商基准价，其价格得分为满分。其他供应商的价格得分统一按照下列公式计算：价格得分=（磋商基准价/响应报价）×30%×100，如此类推，算出所有投标供应商的价格得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磋商价格=供应商的磋商报价（经算数性修正的）-政府采购政策优惠价格扣除。</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本项目将对小型和微型企业产品的价格给予6%-10%的扣除，用扣除后的价格参与评审打分。</w:t>
      </w:r>
    </w:p>
    <w:p>
      <w:pPr>
        <w:adjustRightInd w:val="0"/>
        <w:snapToGrid w:val="0"/>
        <w:spacing w:line="360" w:lineRule="auto"/>
        <w:ind w:firstLine="480" w:firstLineChars="200"/>
        <w:rPr>
          <w:rFonts w:ascii="仿宋" w:hAnsi="仿宋" w:eastAsia="仿宋" w:cs="仿宋"/>
          <w:sz w:val="24"/>
          <w:szCs w:val="24"/>
          <w:shd w:val="pct10" w:color="auto" w:fill="FFFFFF"/>
        </w:rPr>
      </w:pPr>
      <w:r>
        <w:rPr>
          <w:rFonts w:hint="eastAsia" w:ascii="仿宋" w:hAnsi="仿宋" w:eastAsia="仿宋" w:cs="仿宋"/>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扣除百分比）+供应商报价中不属于小型和微型企业产品的价格部分；否则，其磋商价=磋商报价。</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24.8.2.2  在价格评审中，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涉及政府采购政策优惠的，按磋商须知前附表规定调整供应商的技术、价格得分或总得分。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涉及多处获得政府采购政策优惠的，涉及调整得分的，按规定调整得分；涉及调整价格的，按规定调整价格。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价格项加分：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1、（节能清单部分产品的价格/磋商报价）×3%×价格项满分值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2、（环境清单部分产品的价格/磋商报价）×3%×价格项满分值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技术项加分：</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1、（节能清单部分产品的价格/磋商报价）×3%×技术项满分值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2、（环境清单部分产品的价格/磋商报价）×3%×技术项满分值</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注：1、供应商须提供23期《节能产品政府采购清单》关于磋商产品当前页的打印件；</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2、供应商提供21期《环境标志产品政府采购清单》关于磋商产品当前页的打印件；</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24.8.2.4属于中小企业评审优惠内容及价格扣除幅度：</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（一）中小企业（含中型、小型、微型企业）应当同时符合以下条件：</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①符合中小企业划分标准（按《关于印发中小企业划型标准规定的通知》（工信部联企业〔2011〕300号）执行）；</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③小型、微型企业提供中型企业制造的货物的，视同为中型企业。</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（二）价格扣除办法：</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（三）小型和微型企业适用价格扣除办法时应提供的相关资料：</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、《中小企业声明函》。</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②、供应商应提供所磋商产品生产厂家的属地主管部门出具的证明函；</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③、供应商应同时提供以上二个材料，否则将不给予价格扣除。</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④、供应商需在磋商文件报价部分中“磋商分项报价表”中逐项注明所投产品的生产厂家具体名称并备注是否属于小型、微型企业。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若所磋商产品为进口产品的，不适用《政府采购促进中小企业发展暂行办法》。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24.8.5  最低报价不作为磋商的唯一依据。采购单位不承诺将合同授予报价最低的供应商。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24.8.6  经磋商委员会评议，认为磋商报价过高、均超出采购单位预算或最高限价的项目，可以不确立成交供应商，重新组织磋商。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 磋商文件的澄清</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25.1 磋商委员会在磋商过程中有权随时请供应商就响应文件中含混之处加以澄清或答疑。</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25.2  供应商对要求澄清的问题应以书面形式明确答复，并应有法人授权代表的签署。</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25.3  供应商的澄清文件是响应文件的组成部分，并取代响应文件中被澄清的部分。</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25.4  响应文件的澄清不得改变磋商的实质内容。</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26．成交供应商的确定</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26.1  磋商委员会按照磋商文件的磋商办法负责向采购单位推荐一家或一至三家供应商为成交候选人。</w:t>
      </w:r>
    </w:p>
    <w:p>
      <w:pPr>
        <w:autoSpaceDE w:val="0"/>
        <w:autoSpaceDN w:val="0"/>
        <w:adjustRightIn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26.2  成交供应商拒绝与采购单位签订合同的，采购单位可以按照评审报告推荐的成交供应商名单排序，确定下一候选人为成交供应商，也可以重新开展政府采购活动。</w:t>
      </w:r>
    </w:p>
    <w:p>
      <w:pPr>
        <w:pStyle w:val="81"/>
        <w:spacing w:line="360" w:lineRule="auto"/>
        <w:ind w:firstLine="480" w:firstLineChars="200"/>
        <w:jc w:val="both"/>
        <w:rPr>
          <w:rFonts w:ascii="仿宋" w:hAnsi="仿宋" w:eastAsia="仿宋" w:cs="仿宋"/>
          <w:color w:val="auto"/>
          <w:kern w:val="2"/>
          <w:szCs w:val="24"/>
        </w:rPr>
      </w:pPr>
      <w:r>
        <w:rPr>
          <w:rFonts w:hint="eastAsia" w:ascii="仿宋" w:hAnsi="仿宋" w:eastAsia="仿宋" w:cs="仿宋"/>
          <w:color w:val="auto"/>
          <w:kern w:val="2"/>
          <w:szCs w:val="24"/>
        </w:rPr>
        <w:t>27. 成交通知</w:t>
      </w:r>
    </w:p>
    <w:p>
      <w:pPr>
        <w:pStyle w:val="81"/>
        <w:spacing w:line="360" w:lineRule="auto"/>
        <w:ind w:firstLine="480" w:firstLineChars="200"/>
        <w:jc w:val="both"/>
        <w:rPr>
          <w:rFonts w:ascii="仿宋" w:hAnsi="仿宋" w:eastAsia="仿宋" w:cs="仿宋"/>
          <w:color w:val="auto"/>
          <w:kern w:val="2"/>
          <w:szCs w:val="24"/>
        </w:rPr>
      </w:pPr>
      <w:r>
        <w:rPr>
          <w:rFonts w:hint="eastAsia" w:ascii="仿宋" w:hAnsi="仿宋" w:eastAsia="仿宋" w:cs="仿宋"/>
          <w:color w:val="auto"/>
          <w:kern w:val="2"/>
          <w:szCs w:val="24"/>
        </w:rPr>
        <w:t>27.1 采购代理机构将在成交结果公示发布的同时，以书面形式向成交供应商发出《成交通知书》。</w:t>
      </w:r>
    </w:p>
    <w:p>
      <w:pPr>
        <w:pStyle w:val="81"/>
        <w:spacing w:line="360" w:lineRule="auto"/>
        <w:ind w:firstLine="480" w:firstLineChars="200"/>
        <w:jc w:val="both"/>
        <w:rPr>
          <w:rFonts w:ascii="仿宋" w:hAnsi="仿宋" w:eastAsia="仿宋" w:cs="仿宋"/>
          <w:color w:val="auto"/>
          <w:kern w:val="2"/>
          <w:szCs w:val="24"/>
        </w:rPr>
      </w:pPr>
      <w:r>
        <w:rPr>
          <w:rFonts w:hint="eastAsia" w:ascii="仿宋" w:hAnsi="仿宋" w:eastAsia="仿宋" w:cs="仿宋"/>
          <w:color w:val="auto"/>
          <w:kern w:val="2"/>
          <w:szCs w:val="24"/>
        </w:rPr>
        <w:t xml:space="preserve">27.2 </w:t>
      </w:r>
      <w:r>
        <w:rPr>
          <w:rFonts w:hint="eastAsia" w:ascii="仿宋" w:hAnsi="仿宋" w:eastAsia="仿宋" w:cs="仿宋"/>
          <w:color w:val="auto"/>
          <w:szCs w:val="24"/>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cs="仿宋"/>
          <w:color w:val="auto"/>
          <w:szCs w:val="24"/>
          <w:shd w:val="clear" w:color="auto" w:fill="FFFFFF"/>
        </w:rPr>
        <w:t>不予以退还，但对其承担保密责任。</w:t>
      </w:r>
    </w:p>
    <w:p>
      <w:pPr>
        <w:pStyle w:val="81"/>
        <w:spacing w:line="360" w:lineRule="auto"/>
        <w:ind w:firstLine="480" w:firstLineChars="200"/>
        <w:jc w:val="both"/>
        <w:rPr>
          <w:rFonts w:ascii="仿宋" w:hAnsi="仿宋" w:eastAsia="仿宋" w:cs="仿宋"/>
          <w:color w:val="auto"/>
          <w:kern w:val="2"/>
          <w:szCs w:val="24"/>
        </w:rPr>
      </w:pPr>
      <w:r>
        <w:rPr>
          <w:rFonts w:hint="eastAsia" w:ascii="仿宋" w:hAnsi="仿宋" w:eastAsia="仿宋" w:cs="仿宋"/>
          <w:color w:val="auto"/>
          <w:kern w:val="2"/>
          <w:szCs w:val="24"/>
        </w:rPr>
        <w:t>28. 拒绝某些或所有磋商的权力。</w:t>
      </w:r>
    </w:p>
    <w:p>
      <w:pPr>
        <w:pStyle w:val="81"/>
        <w:spacing w:line="360" w:lineRule="auto"/>
        <w:ind w:firstLine="480" w:firstLineChars="200"/>
        <w:jc w:val="both"/>
        <w:rPr>
          <w:rFonts w:ascii="仿宋" w:hAnsi="仿宋" w:eastAsia="仿宋" w:cs="仿宋"/>
          <w:color w:val="auto"/>
          <w:kern w:val="2"/>
          <w:szCs w:val="24"/>
        </w:rPr>
      </w:pPr>
      <w:r>
        <w:rPr>
          <w:rFonts w:hint="eastAsia" w:ascii="仿宋" w:hAnsi="仿宋" w:eastAsia="仿宋" w:cs="仿宋"/>
          <w:color w:val="auto"/>
          <w:kern w:val="2"/>
          <w:szCs w:val="24"/>
        </w:rPr>
        <w:t>28.1 采购单位或采购代理机构有权在《成交通知书》发放之前的任何时候拒绝任何有不正当行为或扰乱正常磋商工作的供应商，由此对相关供应商造成的损失不负责任。</w:t>
      </w:r>
    </w:p>
    <w:p>
      <w:pPr>
        <w:pStyle w:val="4"/>
        <w:tabs>
          <w:tab w:val="center" w:pos="4970"/>
        </w:tabs>
        <w:spacing w:line="240" w:lineRule="auto"/>
        <w:rPr>
          <w:rFonts w:cs="仿宋"/>
          <w:b/>
          <w:color w:val="auto"/>
        </w:rPr>
      </w:pPr>
      <w:bookmarkStart w:id="25" w:name="_Toc65158534"/>
      <w:bookmarkStart w:id="26" w:name="_Toc56170387"/>
      <w:r>
        <w:rPr>
          <w:rFonts w:hint="eastAsia" w:cs="仿宋"/>
          <w:b/>
          <w:color w:val="auto"/>
        </w:rPr>
        <w:t>八、授予合同</w:t>
      </w:r>
      <w:bookmarkEnd w:id="25"/>
      <w:bookmarkEnd w:id="26"/>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kern w:val="2"/>
          <w:szCs w:val="24"/>
        </w:rPr>
        <w:t xml:space="preserve">29. </w:t>
      </w:r>
      <w:r>
        <w:rPr>
          <w:rFonts w:hint="eastAsia" w:ascii="仿宋" w:hAnsi="仿宋" w:eastAsia="仿宋" w:cs="仿宋"/>
          <w:color w:val="auto"/>
          <w:szCs w:val="24"/>
        </w:rPr>
        <w:t>签订合同</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29.1 成交供应商收到《成交通知书》后，须按有关规定与磋商方签定经济合同。合同的签订一般在《成交通知书》发出后30天内进行，但采购单位事先约定的情况除外。</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29.2 合同签订后，卖方应按合同的规定履行合同，未按规定履约的，采购单位有权取消合同，并且不退还成交供应商的磋商保证金。</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29.3 成交合同不得转让或分包。如需对合同的非主体部分进行转让或分包，供应商必须在磋商文件中予以说明，并需经采购单位同意。否则，采购单位有权取消成交供应商的资格。</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29.4 如成交供应商未按有关规定与采购单位签订合同或提交合同履约保证金的，采购单位可以选择其他成交候选人为成交供应商，并组织成交供应商和采购单位签订经济合同。</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29.5 合同履约保证金的形式为银行保函，另有约定的，按照约定条件执行。</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30. 合同的组成</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30.1 下列文件均为经济合同不可分割的组成部分：</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30.1.1 磋商文件及其附件、补遗文件；</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 xml:space="preserve">30.1.2 成交供应商的响应文件及其他附件； </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30.1.3 经确认的答疑记录；</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30.1.4 成交通知书。</w:t>
      </w:r>
    </w:p>
    <w:p>
      <w:pPr>
        <w:pStyle w:val="4"/>
        <w:tabs>
          <w:tab w:val="center" w:pos="4970"/>
        </w:tabs>
        <w:spacing w:line="240" w:lineRule="auto"/>
        <w:rPr>
          <w:rFonts w:cs="仿宋"/>
          <w:b/>
          <w:color w:val="auto"/>
        </w:rPr>
      </w:pPr>
      <w:bookmarkStart w:id="27" w:name="_Toc65158535"/>
      <w:bookmarkStart w:id="28" w:name="_Toc56170388"/>
      <w:r>
        <w:rPr>
          <w:rFonts w:hint="eastAsia" w:cs="仿宋"/>
          <w:b/>
          <w:color w:val="auto"/>
        </w:rPr>
        <w:t>九、买方授标时更改采购服务数量的权利</w:t>
      </w:r>
      <w:bookmarkEnd w:id="27"/>
      <w:bookmarkEnd w:id="28"/>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31. 采购单位在采购合同履行期间，有权按“磋商须知前附表”第14项约定的内容对本次磋商中规定的服务予以局部增加或减少，但不得对单价或其它实质性内容做任何改变，对增减的数量按同类型成交价结算。</w:t>
      </w:r>
    </w:p>
    <w:p>
      <w:pPr>
        <w:pStyle w:val="4"/>
        <w:spacing w:line="240" w:lineRule="auto"/>
        <w:rPr>
          <w:rFonts w:cs="仿宋"/>
          <w:b/>
          <w:color w:val="auto"/>
        </w:rPr>
      </w:pPr>
      <w:bookmarkStart w:id="29" w:name="_Toc56170389"/>
      <w:bookmarkStart w:id="30" w:name="_Toc65158536"/>
      <w:r>
        <w:rPr>
          <w:rFonts w:hint="eastAsia" w:cs="仿宋"/>
          <w:b/>
          <w:color w:val="auto"/>
        </w:rPr>
        <w:t>十、其他事项</w:t>
      </w:r>
      <w:bookmarkEnd w:id="29"/>
      <w:bookmarkEnd w:id="30"/>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32.  代理服务费</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32.1 成交供应商应按本磋商文件的规定，在《成交通知书》核发时至核发后3天内，向采购代理机构支付代理服务费。其计算标准和方法见供应商须知前附表。</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33. 本磋商文件是根据《中华人民共和国政府采购法》及其实施条例（658号令）及《政府采购货物和服务招标投标管理办法》（87号令）规定编制的，解释权属新疆德鸿项目管理咨询有限公司。</w:t>
      </w:r>
    </w:p>
    <w:p>
      <w:pPr>
        <w:pStyle w:val="81"/>
        <w:spacing w:line="360" w:lineRule="auto"/>
        <w:ind w:firstLine="480" w:firstLineChars="200"/>
        <w:jc w:val="both"/>
        <w:rPr>
          <w:rFonts w:ascii="仿宋" w:hAnsi="仿宋" w:eastAsia="仿宋" w:cs="仿宋"/>
          <w:color w:val="auto"/>
          <w:szCs w:val="24"/>
        </w:rPr>
      </w:pPr>
      <w:r>
        <w:rPr>
          <w:rFonts w:hint="eastAsia" w:ascii="仿宋" w:hAnsi="仿宋" w:eastAsia="仿宋" w:cs="仿宋"/>
          <w:color w:val="auto"/>
          <w:szCs w:val="24"/>
        </w:rPr>
        <w:t>34. 为了做好磋商工作，供应商应组织有关商务和技术人员，认真解答或澄清磋商委员会在磋商过程中提出的有关商务和技术问题。</w:t>
      </w:r>
      <w:bookmarkEnd w:id="8"/>
      <w:bookmarkStart w:id="31" w:name="_Toc56170390"/>
      <w:bookmarkStart w:id="32" w:name="_Toc55990501"/>
      <w:bookmarkStart w:id="33" w:name="_Toc65158537"/>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bookmarkEnd w:id="31"/>
    <w:bookmarkEnd w:id="32"/>
    <w:bookmarkEnd w:id="33"/>
    <w:p>
      <w:pPr>
        <w:pStyle w:val="3"/>
        <w:numPr>
          <w:ilvl w:val="0"/>
          <w:numId w:val="3"/>
        </w:numPr>
        <w:jc w:val="center"/>
        <w:rPr>
          <w:rFonts w:cs="仿宋"/>
          <w:color w:val="auto"/>
        </w:rPr>
      </w:pPr>
      <w:r>
        <w:rPr>
          <w:rFonts w:hint="eastAsia" w:cs="仿宋"/>
          <w:color w:val="auto"/>
        </w:rPr>
        <w:t>运维设备名称及要求</w:t>
      </w:r>
    </w:p>
    <w:p>
      <w:pPr>
        <w:spacing w:line="440" w:lineRule="exact"/>
        <w:ind w:firstLine="480" w:firstLineChars="200"/>
        <w:outlineLvl w:val="1"/>
        <w:rPr>
          <w:rFonts w:ascii="仿宋" w:hAnsi="仿宋" w:eastAsia="仿宋" w:cs="仿宋"/>
          <w:b/>
          <w:bCs/>
          <w:sz w:val="24"/>
          <w:szCs w:val="24"/>
        </w:rPr>
      </w:pPr>
      <w:bookmarkStart w:id="34" w:name="_Toc56170391"/>
      <w:bookmarkStart w:id="35" w:name="_Toc65158538"/>
      <w:bookmarkStart w:id="36" w:name="_Toc55990502"/>
      <w:r>
        <w:rPr>
          <w:rFonts w:hint="eastAsia" w:ascii="仿宋" w:hAnsi="仿宋" w:eastAsia="仿宋" w:cs="仿宋"/>
          <w:b/>
          <w:bCs/>
          <w:sz w:val="24"/>
          <w:szCs w:val="24"/>
        </w:rPr>
        <w:t>一、基本背景</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近年来，随着智慧医院建设的持续推进，信息系统对医院的重要性逐渐彰显，系统数据量爆炸式增长，各系统之间的关联性增强，使数据安全、数据共享以及性能优化等问题凸现出来。医院前一期的信息化运维服务项目将于今年4月底到期，根据本院现有信息化建设状况和信息化运维服务的实际需要，扩充运维服务内容，规范运维服务流程，使本院的业务基于一个高可靠性、高可用性、高性能，支持业务连续性的基础IT支撑平台上，从而进一步改善医疗体验及患者就诊体验，全面提升信息系统风险防控和应对能力。为保障信息系统正常运行，需要全面的技术维护服务。根据我院实际应用来看，信息系统服务可分为基础架构和业务系统应用两个部分。业务系统基本由本院人员和相关软件公司维护。基础架构所涉及的包括机房动力环境系统、服务器存储系统、后台数据库系统、网络及安全系统、桌面运维等系统运维服务，这一部分是业务系统运行的基础，需要信息化运维服务商提供全面的运行维护技术服务。对医院现有的信息系统资源进行维护、监控和管理，及时掌握信息系统资源现状和配置信息，反映信息系统资源的可用性情况和健康状况，创建一个可知可控的IT环境，从而保证医院的各类业务应用系统的可靠、高效、持续、安全运行。根据日常维护的数据和记录进行收集、整理、汇总 ，提供医院信息系统的整体建设规划和建议，更好的为医院的信息化发展提供有力的保障。</w:t>
      </w:r>
    </w:p>
    <w:p>
      <w:pPr>
        <w:spacing w:line="440" w:lineRule="exact"/>
        <w:ind w:firstLine="480" w:firstLineChars="200"/>
        <w:outlineLvl w:val="1"/>
        <w:rPr>
          <w:rFonts w:ascii="仿宋" w:hAnsi="仿宋" w:eastAsia="仿宋" w:cs="仿宋"/>
          <w:b/>
          <w:bCs/>
          <w:sz w:val="24"/>
          <w:szCs w:val="24"/>
        </w:rPr>
      </w:pPr>
      <w:r>
        <w:rPr>
          <w:rFonts w:hint="eastAsia" w:ascii="仿宋" w:hAnsi="仿宋" w:eastAsia="仿宋" w:cs="仿宋"/>
          <w:b/>
          <w:bCs/>
          <w:sz w:val="24"/>
          <w:szCs w:val="24"/>
        </w:rPr>
        <w:t>二、运维内容及预算</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（一）主要内容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当前，</w:t>
      </w:r>
      <w:r>
        <w:rPr>
          <w:rFonts w:hint="eastAsia" w:ascii="仿宋" w:hAnsi="仿宋" w:eastAsia="仿宋" w:cs="仿宋"/>
          <w:color w:val="0000FF"/>
          <w:sz w:val="24"/>
          <w:szCs w:val="24"/>
        </w:rPr>
        <w:t>我院各信息系统共72个，数据库59个，服务器及虚拟机207台，网络及安全设备1537台，存储设备11台，机房动环设备15台，全院电脑及移动设备1357台（详见附件八）。运维公司在服务期内需提供专业第三方软件</w:t>
      </w:r>
      <w:r>
        <w:rPr>
          <w:rFonts w:hint="eastAsia" w:ascii="仿宋" w:hAnsi="仿宋" w:eastAsia="仿宋" w:cs="仿宋"/>
          <w:color w:val="FF0000"/>
          <w:sz w:val="24"/>
          <w:szCs w:val="24"/>
        </w:rPr>
        <w:t>终端安全管理系统</w:t>
      </w:r>
      <w:r>
        <w:rPr>
          <w:rFonts w:hint="eastAsia" w:ascii="仿宋" w:hAnsi="仿宋" w:eastAsia="仿宋" w:cs="仿宋"/>
          <w:color w:val="0000FF"/>
          <w:sz w:val="24"/>
          <w:szCs w:val="24"/>
        </w:rPr>
        <w:t>和</w:t>
      </w:r>
      <w:r>
        <w:rPr>
          <w:rFonts w:hint="eastAsia" w:ascii="仿宋" w:hAnsi="仿宋" w:eastAsia="仿宋" w:cs="仿宋"/>
          <w:color w:val="FF0000"/>
          <w:sz w:val="24"/>
          <w:szCs w:val="24"/>
        </w:rPr>
        <w:t>IT智能运维监控软件</w:t>
      </w:r>
      <w:r>
        <w:rPr>
          <w:rFonts w:hint="eastAsia" w:ascii="仿宋" w:hAnsi="仿宋" w:eastAsia="仿宋" w:cs="仿宋"/>
          <w:color w:val="0000FF"/>
          <w:sz w:val="24"/>
          <w:szCs w:val="24"/>
        </w:rPr>
        <w:t>，进行信息化手段事前监控，及时发现问题，解决问题。第三方专业软件由甲方选型，服务期结束后归甲方所有。运维内容包括：</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 网络运维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 服务器、存储及虚拟化运维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 数据库运维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 桌面运维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 数据安全运维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 xml:space="preserve"> </w:t>
      </w:r>
      <w:r>
        <w:rPr>
          <w:rFonts w:hint="eastAsia" w:ascii="仿宋" w:hAnsi="仿宋" w:eastAsia="仿宋" w:cs="仿宋"/>
          <w:sz w:val="24"/>
          <w:szCs w:val="24"/>
        </w:rPr>
        <w:t>机房动力环境运维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 xml:space="preserve"> </w:t>
      </w:r>
      <w:r>
        <w:rPr>
          <w:rFonts w:hint="eastAsia" w:ascii="仿宋" w:hAnsi="仿宋" w:eastAsia="仿宋" w:cs="仿宋"/>
          <w:sz w:val="24"/>
          <w:szCs w:val="24"/>
        </w:rPr>
        <w:t>信息点部署服务</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具体运维内容要求详见附件。</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（二）第三方软件</w:t>
      </w:r>
      <w:r>
        <w:rPr>
          <w:rFonts w:ascii="仿宋" w:hAnsi="仿宋" w:eastAsia="仿宋" w:cs="仿宋"/>
          <w:sz w:val="24"/>
          <w:szCs w:val="24"/>
        </w:rPr>
        <w:t>具体要求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1、终端安全管理系统</w:t>
      </w:r>
    </w:p>
    <w:tbl>
      <w:tblPr>
        <w:tblStyle w:val="43"/>
        <w:tblW w:w="8866" w:type="dxa"/>
        <w:jc w:val="center"/>
        <w:tblLayout w:type="autofit"/>
        <w:tblCellMar>
          <w:top w:w="0" w:type="dxa"/>
          <w:left w:w="108" w:type="dxa"/>
          <w:bottom w:w="0" w:type="dxa"/>
          <w:right w:w="108" w:type="dxa"/>
        </w:tblCellMar>
      </w:tblPr>
      <w:tblGrid>
        <w:gridCol w:w="576"/>
        <w:gridCol w:w="1843"/>
        <w:gridCol w:w="6447"/>
      </w:tblGrid>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指标项</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技术要求</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终端安全管理系统</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系统具备日志审计、移动存储管理、外设管理、补丁管理、运维管理、水印管</w:t>
            </w:r>
            <w:r>
              <w:rPr>
                <w:rFonts w:hint="eastAsia" w:ascii="仿宋" w:hAnsi="仿宋" w:eastAsia="仿宋" w:cs="宋体"/>
                <w:kern w:val="0"/>
                <w:sz w:val="24"/>
                <w:szCs w:val="24"/>
                <w:lang w:bidi="ar"/>
              </w:rPr>
              <w:t>理等核心管理功能；提供1</w:t>
            </w:r>
            <w:r>
              <w:rPr>
                <w:rFonts w:ascii="仿宋" w:hAnsi="仿宋" w:eastAsia="仿宋" w:cs="宋体"/>
                <w:kern w:val="0"/>
                <w:sz w:val="24"/>
                <w:szCs w:val="24"/>
                <w:lang w:bidi="ar"/>
              </w:rPr>
              <w:t>5</w:t>
            </w:r>
            <w:r>
              <w:rPr>
                <w:rFonts w:hint="eastAsia" w:ascii="仿宋" w:hAnsi="仿宋" w:eastAsia="仿宋" w:cs="宋体"/>
                <w:kern w:val="0"/>
                <w:sz w:val="24"/>
                <w:szCs w:val="24"/>
                <w:lang w:bidi="ar"/>
              </w:rPr>
              <w:t>00个终端管理授权</w:t>
            </w:r>
            <w:r>
              <w:rPr>
                <w:rFonts w:hint="eastAsia" w:ascii="仿宋" w:hAnsi="仿宋" w:eastAsia="仿宋" w:cs="宋体"/>
                <w:color w:val="000000"/>
                <w:kern w:val="0"/>
                <w:sz w:val="24"/>
                <w:szCs w:val="24"/>
                <w:lang w:bidi="ar"/>
              </w:rPr>
              <w:t>。</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▲系统构架</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为了能够体现更好的远程运维需求，系统设计为C/S构架，管理员需通过EXE控制台程序对于终端进行管理。（须提供截图证明）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系统信息</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管理端可以查看客户端的系统信息、IP地址、MAC地址、客户端版本号、CPU/内存/硬盘温度。</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▲远程屏幕协助</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管理员可以快速接管（在1秒钟内接管终端电脑屏幕）远程监看或者（控制效果流畅 ）客户端的计算机。当对终端计算机进行远程控制时，客户互传终端计算机中的文件，针对终端为双屏的电脑，管理员可以点击主/副屏切换进行控制，客户端本地也可以邀请管理员远程操作自己的电脑。</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水印管理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支持屏幕水印，全屏展示机器名、IP、MAC、日期；支持文档水印，文档页面上显示机器名、IP、MAC、日期，可以针对水印的稀疏进行设置；支持打印水印功能，可以在打印出来的纸张上显示机器MAC、日期以及自定义文本内容；可设置水印文字的字体、文字大小、文字倾斜角度、例外打印机名称，并且可设置单行水印的水平垂直坐标及水印平铺的水平垂直间隔。</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▲桌面助手</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桌面IP展示</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支持桌面展示机器名称、IP、MAC、日期、工作组以及自定义内容。显示的文字字体、大小、颜色均可设置，管理员可以通过九宫格的方式设置显示位置。</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多屏墙</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管理员可以实时查看多个计算机的电脑屏幕，最大支持64屏同时监看；可灵活设置监控屏数和自动循环播放的时间。（须提供截图证明）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▲系统盘自动还原</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对于终端计算机提供系统盘还原功能，每次计算机重启，对于系统盘的写入信息，全部丢弃，系统盘恢复原状。（须提供截图证明）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U盘管理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设置禁止使用U盘，可以为U盘设置只读，只写权限。U盘插入报警。对于鼠标键盘等USB非存储设备不禁用。支持制作注册U盘，制作后的例外U盘，可以在单位内部按权使用。客户端本地也可向管理员申请例外U盘，管理人员可以收到申请消息，并进行审批。</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硬件资产管理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者可以查询硬件资产统计报表，自动收集硬件资产的变更情况。包括CPU、内存、硬盘、打印设备、串口设备等。可以对于硬件资产信息进行自定义操作，包括设置维保日期，责任人，机器品牌，配备时间，配备方式。</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▲截屏工具</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桌面助手中有截图按钮，点击调出截图功能，用户可以选择相关矩形区域进行截图，双击非选中区域，可以将选中区域截图成JPG图片。</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▲内网聊天</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桌面助手中有 内网聊天按钮，用户点击调出聊天功能，用户可以选择内网中其他用户进行聊天，同时可以发送给其他用户。</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软件资产管理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管理者可以查询软件统计报表，自动收集软件的变更情况。可以统计安全软件名称、安装日期、版本号、发布者。</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杀毒软件检测</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管理员可以按计算机模式查看所有客户端的杀毒软件状况，包括是否安装杀毒软件、杀毒软件状态、杀毒软件版本号等。</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Windows服务</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查看客户端的windows服务状况，可以设置WINDOWS服务端状态，如禁用、启用服务等。可以禁止、禁用、启用服务。</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windows补丁管理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可以搜集当前终端计算机的系统漏洞，以折线图的形式展现最近7天全网终端的漏洞数和趋势；以这线图的形式展示最近7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自动同步时间</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客户端自动同步服务器时间。（须提供截图证明）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即时通讯管理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可以详细记录QQ、MSN、SKYPE、微信聊天内容和外发文件。</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文件外发记录/控制</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客户端会自动记录用户文档外发行为。包括QQ外发、USB外发、浏览器外发等，同时可以记录外发的源文件。禁止用户通过浏览器外发文件。禁止QQ外发文件。禁止阿里旺旺外发文件。禁止微信电脑版外发文件。禁止MSN外发文件。禁止U盘外发文件。禁止拷贝文件到USB设备。禁止拷贝文件到共享目录。禁止拷贝文件到网络硬盘。禁止从USB拷贝文件到本地计算机。禁止从共享目录拷贝文件到本地计算机。从网络硬盘拷贝文件到本地计算机。限制USB设备拷贝文件的大小。</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▲系统提供大屏幕展示功能</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以WEB形式展现，支持4K电视机屏幕完美呈现，可以在同一个屏幕上动态展示以下数据：分别以饼状图展示操作系统分布情况、计算机品牌分布情况、杀毒软件分布情况；以仪表盘的形式服务器的CPU、内存使用状态;以跑马灯的形式展示全网终端的健康度；大屏幕可以展示终端计算机维保在1至3年，3至5年，5至10年，10年以上的各个阶段的计算机数量。（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▲软件中心</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管理员可以将单位需要的软件安装包上传到服务器上，可以设置软件的名称、分类、版本号和备注，软件中心以WEB形式展示，用户可以按照分类选择自己需要的软件进行下载安装。（须提供截图证明）</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文件操作记录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客户端会自动记录用户文档的操作路径、所在磁盘和所使用的文档编辑程序等，包括创建、访问、复制、剪切、重命名、删除、外发等动作</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文件操作报表</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系统生成文件操作统计报表。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管理员管理功能配置</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可以设置多个管理员账号，针对不同账号，分配不同可管理的部门和拥有的权限</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远程执行命令</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管理员可以对远程计算机执行命令。</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远程电源管理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对远程计算机执行开机、关机、重启、注销等操作</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文件分发</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管理员可以对远程计算机进行文件传送。可以自定义文件分发位置。支持多人传送。以任务的形式提交到服务器，对于在线的计算机立刻分发，对于不在线的计算机，开机后自动执行分发任务。</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软件安装</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屏幕保护</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可以远程批量统一分发客户端桌面屏保；管理员可以在系统中上传制作好的屏幕保护文件，以及无操作多长时间后启动屏保。</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桌面背景</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可以远程批量统一分发客户端桌面背景。</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网址访问黑名单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可以禁止访问添加在黑名单中的网址。</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网址访问白名单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仅允许人员访问白名单网址库中的网址。</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网址访问记录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自动记录客户端访问的网站地址，同时管理人员可以方便的打开记录网址。可以记录网址访问路径、标题、访问时间、使用的浏览器名信息。</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网址访问统计</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可以形成多种类型的网址访问统计报表。包括访问网址最多的前20名的计算机、访问最多的网址的前20名。形成饼状图、柱状图和列表。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违规网址访问报警</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当客户端访问违规网址时，管理机会即时提示报警。报警方式包括软件报警和邮件报警。</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网络使用控制</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管理员可以设置指定的计算机禁止访问外网。内网访问不受控制。</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实时网络状态</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可以查看每台计算机的网络状态，包括使用协议、本地地址、远程地址、本地端口、远程端口、当前状态、占用进程、进程ID等信息。</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程序访问控制</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管理者可以设置员工禁止访问的程序。可以根据动态链接库名称对于程序使用进行控制。也可以根据程序的MD5进行控制。</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程序MD5搜集</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客户端开机可以自动搜集网络内部程序的MD5值，上传到服务器，形成MD5库。</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程序访问审计</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记录客户端程序使用日志。包括程序运行路径、开始时间、结束时间、产品名称、公司名称等信息。</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程序违规访问报警</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对违规程序使用行为进行自动报警。</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程序日志统计</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可以形成多种类型的程序统计报表。包括访使用程序最多的前20名的计算机、使用次数最多的程序前20名，使用时间最多的程序前20名。形成饼状图、柱状图和列表。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正在运行进程</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可以查看客户端正在运行的程序。且管理员后台可直接结束进程</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邮件客户端发送记录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详细记录FOXMAIL、OUTLOOK等邮件客户端发送邮件的信息。包括发送时间，主题、收件人、内容、附件。</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禁用光驱</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禁止客户端使用光驱。</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禁用外设</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禁止终端计算机使用软驱，光驱，红外，蓝牙，MODEM，声卡，COM口，禁用图形图像设备，禁用便携式设备，禁用无线网卡。</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打印操作记录打印操作记录</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记录终端计算机的打印信息，包括：打印时间，打印页数，打印文件按名，使用的打印机以及打印的内容形成图片保存到服务器上。</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开机启动项</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查看并管理开机启动项。</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50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授权</w:t>
            </w:r>
          </w:p>
        </w:tc>
        <w:tc>
          <w:tcPr>
            <w:tcW w:w="6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提供原厂授权和三年售后服务承诺函。</w:t>
            </w:r>
          </w:p>
        </w:tc>
      </w:tr>
    </w:tbl>
    <w:p>
      <w:pPr>
        <w:rPr>
          <w:rFonts w:ascii="仿宋" w:hAnsi="仿宋" w:eastAsia="仿宋"/>
          <w:sz w:val="24"/>
          <w:szCs w:val="24"/>
        </w:rPr>
      </w:pPr>
    </w:p>
    <w:p>
      <w:pPr>
        <w:keepNext/>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、IT智能运维监控软件</w:t>
      </w:r>
    </w:p>
    <w:tbl>
      <w:tblPr>
        <w:tblStyle w:val="43"/>
        <w:tblW w:w="8866" w:type="dxa"/>
        <w:jc w:val="center"/>
        <w:tblLayout w:type="autofit"/>
        <w:tblCellMar>
          <w:top w:w="0" w:type="dxa"/>
          <w:left w:w="108" w:type="dxa"/>
          <w:bottom w:w="0" w:type="dxa"/>
          <w:right w:w="108" w:type="dxa"/>
        </w:tblCellMar>
      </w:tblPr>
      <w:tblGrid>
        <w:gridCol w:w="574"/>
        <w:gridCol w:w="1536"/>
        <w:gridCol w:w="6756"/>
      </w:tblGrid>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指标项</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技术要求</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总体要求</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产品架构支持中台+微应用架构，支持运维运营化管理， 支持扩展为整个多产品的支持服务平台；</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支持多租户模式， 不同管理部门、管理组织可以各自独立的安装使用各自的管理产品（微应用产品），按照租户权限共享中台数据以及处理服务；</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本次采购需要支持网络设备+服务器+数据库+中间件+宿主机共计</w:t>
            </w:r>
            <w:r>
              <w:rPr>
                <w:rFonts w:ascii="仿宋" w:hAnsi="仿宋" w:eastAsia="仿宋" w:cs="宋体"/>
                <w:color w:val="000000"/>
                <w:sz w:val="24"/>
                <w:szCs w:val="24"/>
              </w:rPr>
              <w:t>180</w:t>
            </w:r>
            <w:r>
              <w:rPr>
                <w:rFonts w:hint="eastAsia" w:ascii="仿宋" w:hAnsi="仿宋" w:eastAsia="仿宋" w:cs="宋体"/>
                <w:color w:val="000000"/>
                <w:sz w:val="24"/>
                <w:szCs w:val="24"/>
              </w:rPr>
              <w:t>0节点，虚拟机管理250台、存储设备11台、</w:t>
            </w:r>
            <w:r>
              <w:rPr>
                <w:rFonts w:ascii="仿宋" w:hAnsi="仿宋" w:eastAsia="仿宋" w:cs="宋体"/>
                <w:color w:val="000000"/>
                <w:sz w:val="24"/>
                <w:szCs w:val="24"/>
              </w:rPr>
              <w:t>机房动环</w:t>
            </w:r>
            <w:r>
              <w:rPr>
                <w:rFonts w:hint="eastAsia" w:ascii="仿宋" w:hAnsi="仿宋" w:eastAsia="仿宋" w:cs="宋体"/>
                <w:color w:val="000000"/>
                <w:sz w:val="24"/>
                <w:szCs w:val="24"/>
              </w:rPr>
              <w:t>15节点。</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支持服务要求</w:t>
            </w:r>
          </w:p>
        </w:tc>
        <w:tc>
          <w:tcPr>
            <w:tcW w:w="6841"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系统在每个菜单界面提供help功能，通过help功能用户不但可以了解产品的使用方法，在服务期可以不断了解各种经典实用用例，告诉用户如何用好产品功能带来实际管理效益。</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w:t>
            </w:r>
          </w:p>
        </w:tc>
        <w:tc>
          <w:tcPr>
            <w:tcW w:w="1449"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在线服务要求</w:t>
            </w:r>
          </w:p>
        </w:tc>
        <w:tc>
          <w:tcPr>
            <w:tcW w:w="684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平台能够连通厂商的云端社区，由原厂技术团队以及各行业专家用户，提供在线问答、在线培训、技巧经验、问题求助等知识服务与互助服务。</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在线扩展要求</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系统能够连通厂商产品论坛，该论坛能够汇总众多产品用户， 讨论实战经验、学习运维知识、解决监控管理相关问题；</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平台提供云端应用商店服务，汇聚不同的独立微应用。用户下载后，可以在 产品平台加载使用，满足线下的个性化、碎片化的工作诉求。</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三员分立</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根据安全原则，系统用户权限定义原生支持三员分立；</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支持按照设备类型、型号、管理域等各类属性规则，划分用户管理权限。</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6</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云账号</w:t>
            </w:r>
          </w:p>
        </w:tc>
        <w:tc>
          <w:tcPr>
            <w:tcW w:w="6841" w:type="dxa"/>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系统线上平台和线下平台账号同步，支持通过手机扫码开通线上平台账号。</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统一CMDB</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内置丰富的配置模型，至少包含私有云、基础资源、网络、服务器、应用、数据库、Web服务、负载均衡、业务、操作系统、动环监控、云资源、智能机柜、消息队列等类型模型；</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▲可自定义不同业务资源主题，覆盖全运维领域，包括监控、</w:t>
            </w:r>
            <w:r>
              <w:rPr>
                <w:rFonts w:eastAsia="仿宋" w:cs="Calibri"/>
                <w:color w:val="000000"/>
                <w:sz w:val="24"/>
                <w:szCs w:val="24"/>
              </w:rPr>
              <w:t> </w:t>
            </w:r>
            <w:r>
              <w:rPr>
                <w:rFonts w:hint="eastAsia" w:ascii="仿宋" w:hAnsi="仿宋" w:eastAsia="仿宋" w:cs="宋体"/>
                <w:color w:val="000000"/>
                <w:sz w:val="24"/>
                <w:szCs w:val="24"/>
              </w:rPr>
              <w:t>IoT、自动化、资产、视频、DevOps，不同业务主题可通过各自视图查看模型（要求提供功能截图，并加盖原厂鲜章）；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支持模型多级继承关系，父模型增加属性，子模型自动继承属性；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提供动态分组管理，可根据属性条件将实例进行动态分组，可实时对分组进行保存，查询、编辑等；提供资源CI的动态分组能力，通过预先配置的属性分组，实现新增对象自动被分配给某个具体角色组；</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自动发现能力，在只提供网段信息、凭证信息的情况下，实现对网段内资源的自动扫描，可自动发现网络设备等。提供网络链路发现，可发现网络设备与服务器之间的链路情况和网络设备与网络设备之间的链路情况；</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▲提供配置项（CI项）的变更历史查询，可查看原配置项变更到新值的全历史记录，包括变化时间、变更人属性值。（要求提供功能截图，并加盖原厂鲜章）；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配置类型CIT拓扑关系可视化，直观展现CIT之间的关联关系，CIT项拓扑可选依赖关系、组合关系、运行关系、连接关系等可视化视图，并自动维护关系。（要求提供CIT拓扑及关系视图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配置项CI拓扑关系可视化，直观展现配置项(CI)之间的关联关系，CI项拓扑可选依赖关系、组合关系、运行管理、连接关系等可视化视图，并自动维护关系。（要求提供拓扑及关系视图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模型之间具有自动授权关系，一个对象授权之后，另一个具有自动授权关系对象无需设置权限即可访问实例</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运维场景自动化管理工具</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编排语句采取拖拽式、自然语言语句编排；</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编排语句支持直接对接运维监控产品强大的数据采集能力， 无需复杂设置；</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支持数据管理分组、按分组统一处理；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运维场景自动化管理工具支持对运维“监管控”领域的运维业务，封装为以自然语言呈现的业务语句，通过运维业务语句的动态扩展，来满足不断增长的运维业务需求。厂商云端服务能够持续推出各类运维业务语句，如数据处理类、自动化操作类等业务语句，用户可以根据业务需要动态加载语句，支撑运维业务的扩展。；</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系统提供断点测试功能，测试编排语句合理性；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多种种触发执行场景的能力，包括周期执行、告警驱动、手工执行、指标驱动执行。通过指标驱动执行，可以将场景实现的统计指标作为指标，应用到告警、历史记录、自定义首页部分。要求提供功能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系统提供测试日志功能，能够查询每条语句执行后的错误信息；</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运维场景自动化管理工具支持场景模板的在线加载与应用，用户加载模板后，仅需将模板中涉及的对象进行本地实例关联，即可快速复用或借鉴模板的业务场景，实现运维专家经验的快速复用和落地。</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告警管理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提供各类型告警统一处理，更好地统筹分析发现问题、定位问题， 智能化、场景化处理， 避免不同系统各自孤立处理运维问题；</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提供运维场景自动化管理工具的联动功能，可以触发运维场景自动化管理工具执行新的场景逻辑；</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▲提供告警信息所属的事件标签分类，并标识出告警持续时间显示，对手工撤销告警的操作，要求标注和展示手工撤销理由、撤销人信息。（要求提供功能截图，并加盖原厂鲜章）；</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支持屏幕颜色告警、告警邮件提醒、和短信猫告警、企业微信、钉钉机器人、数据库输出。</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报表管理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支持多个不同指标在同一时间轴中进行对比分析；</w:t>
            </w:r>
          </w:p>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支持历史记录任意时段拖拽查看，对于超过3个月的历史数据，支持原始采集颗粒度（5分钟)的对比分析。</w:t>
            </w:r>
          </w:p>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报表格式输出支持PDF、HTML、WORD方式；</w:t>
            </w:r>
          </w:p>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支持用户个性化报表开发，提供方便的报表模板加载功能。</w:t>
            </w:r>
          </w:p>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支持自定义报表，以报表模板为基础，可根据模板，进行内容和报表推送方式的定制。</w:t>
            </w:r>
          </w:p>
          <w:p>
            <w:pPr>
              <w:widowControl/>
              <w:textAlignment w:val="center"/>
              <w:rPr>
                <w:rFonts w:ascii="仿宋" w:hAnsi="仿宋" w:eastAsia="仿宋" w:cs="宋体"/>
                <w:color w:val="000000"/>
                <w:sz w:val="24"/>
                <w:szCs w:val="24"/>
              </w:rPr>
            </w:pPr>
            <w:r>
              <w:rPr>
                <w:rFonts w:hint="eastAsia" w:ascii="仿宋" w:hAnsi="仿宋" w:eastAsia="仿宋" w:cs="宋体"/>
                <w:color w:val="000000"/>
                <w:sz w:val="24"/>
                <w:szCs w:val="24"/>
              </w:rPr>
              <w:t>对资源各类关键的表格化数据进行实时快照记录，并提供手动对比功能，为动态数据提供有效的分析方法；</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主机管理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系统应支持对于Windows、HP unix、Aix、Solaris、linux（redhat、CentOS、Suse（oracle）、Redflag）类型操作系统的管理，支持对于CPU、内存、进程、日志、网络流量、磁盘性能的监控；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支持国产麒麟操作系统管理，支持对于CPU、内存、进程、网络流量、磁盘性能的监控；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支持HP、Dell、IBM的windows服务器及 IBM AIX小机的硬件状态的监控，监控内容包括温度、风扇、磁盘、CPU、内存、电源等重要主机硬件的状态监控；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提供操作系统的CPU、内存、流量、存储进行涨势分析，主动识别涨势过快的设备；</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支持以图形化方式显示主机的常用管理参数；</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主机设备添加支持EXCEL格式导入系统；</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可对统计范围内的主机进行详细的实时分析数据，根据使用率自动按照TOP 20排名；</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提供最近一个月操作系统总体负载使用的TOP20的排名；</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支持系统拓扑图，一张图可以展现所有主机承载的数据库、中间件和标准应用之间的实时状态监控，为主机监控提供全景视图；</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支持IPMI方式监控主流国产服务器厂商的硬件，监控内容包括温度、电源、风扇、电压等硬件状态；</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提供主机可用率、主机性能报表、系统告警统计报表等多套基于采集和管理数据生成的客观统计报表。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数据库管理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支持ODBC和JDBC取数方式取数，对SQLServer、Oracle、Sybase、Mysql、Informix、DB2、神通、瀚高等数据库的各项运行参数进行监控；</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支持国产达梦数据库的管理，提供数据库运行视图；</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数据库添加支持EXCEL格式导入系统；</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支持对于各个数据库实时运行状态的实时统计，包含数据库会话数、死锁数实时排行，支持对表空间大小和会话数、缓存信息、锁信息进行重点监管；</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支持对于数据库log日志文件监控，支持常见错误日志的实时监控；</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支持Oracle Rac 的管理，支持集群分成操作系统、clusterware、实例方式展现，支持动态数据对比，检测各个承载主机的性能表现。</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中间件管理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中间件管理必须支持对 WEBLogic、Tuxedo、WebSphere、EAServer、Cognos、MQ、Apache、Tomcat、Jboss、IIS、TongWeb、中创、TAS 等中间件实时监控；</w:t>
            </w:r>
          </w:p>
          <w:p>
            <w:pPr>
              <w:widowControl/>
              <w:jc w:val="left"/>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支持图形化方式显示应用的承载主机状态和应用的基本性能信息，同时展示相关的运维负责人和联系方式。</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标准应用管理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支持FTP、SFTP、HTTP、HTTPS、POP3、SMTP、DHCP、JVM、Exchange的监控。</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支持图形化方式显示应用的承载主机状态和应用的基本性能信息，展示相关的运维负责人和联系方式。</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网络管理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系统能支持各大设备厂商的各型号设备，支持多厂商设备组成的混合网络自动发现；</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能提供设备的真实面板,提供端口关闭与启用操作，可以更改VLAN ID；</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拓扑图的生成必须支持网络设备的SNMP V1、V2、V3这三个版本的混和生成，并能对SNMP V3设备进行管理；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系统必须能解决广域网环境中NAT方式部署下的采集问题，必须支持由分布式采集器为起点的拓扑发现算法；</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支持拓扑添加功能，在保留原有拓扑图的基础上，搜索新的网络设备并自动添加到网络拓扑上；</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要求在拓扑图上快速定位IP地址的接入端口，包括服务器IP和PC机IP，并且通过图标进行显示；</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要求拓扑图上的设备和线路支持按照性能参数的不同区间以红、黄、绿颜色进行显示，性能负载可自定义；</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支持不同采集域的设备在一张图上进行展现，且通过图标跳转到任意拓扑图；</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支持拓扑图自动布局，网络设备可实现星型排布、圆型排布、从上到下树形排布、从左到右树形排布多种自动排布方式；</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在拓扑图上可直接显示线路错包数、丢包数、帧长度，实时流量；</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拓扑图设备间的连线除直线形式外，还可支持以折线、合并线等线型，并可将网络拓扑按照线路图、地域分布图、逻辑关系图等方式呈现；</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拓扑图线路支持带有流动效果方式展现，支持定义虚实线、粗细、速度等线形设置；</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支持在拓扑图上直接调用webssh工具，访问设备和主机。允许保存上一次登陆使用账号密码；</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支持网络设备的ARP表、MAC表、路由表等定期全文记录，以及差异全文自动比对，并标识差异项；</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提供任意IP类型对象的监控，支持ping状态、TCP端口状态、URL跳转方式实现该对象的基础管理；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提供IP节点的监控清单并实时展示该IP的ICMP可达状态；</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提供Syslog、trap关键字接收以及告警通知能力；</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提供IP子网的自动发现，并可按照当前网络接入情况进行自动分配；</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支持查询接入IP的历史变更情况查询；</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支持异常接入终端的告警通知，可以针对未规划设备、未分配IP、未在指定位置接入等多种异常进行自动检测；</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支持网络拓扑中快速定位PC，并以下标方式显示其使用人信息；</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提供网络设备可用率、线路连通率、网络设备负载分析报表、线路负载分析报表、网络告警统计报表等多套基于采集和管理数据生成的客观统计报表。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虚拟化管理（vsphere）</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支持虚拟机中心、文件夹、数据中心、集群、宿主机、资源池、vApp的全面管理，包括实时性能和逻辑关系；</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实现宿主机配置、状态、性能信息的一体化管理；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实现虚拟机配置、状态、性能信息的一体化管理；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要求以图形化方式展现虚拟化拓扑，显示宿主机、虚拟机、虚拟网络、数据存储关系，动态显示管理对象负载、告警；</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支持对可分配资源如CPU、内存、存储空间进行容量管理；</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要求能对现有容量情况做一个清晰的分析和基于现状未来可用期限的预测</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能从从未运行虚拟机、虚拟机快照、计划下线到期、空闲虚拟机4个角度计算可回收的资源；</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支持对虚拟机CPU、内存、虚拟机磁盘、网络的性能进行分析，并可基于现有数据识别运行和配置的合理性，并给出解决建议；</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提供虚拟化告警统计报表、宿主机运行率报表、容量分析报表。</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存储管理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存储设备硬件管理，以统一的视图展现被管的各个硬件子项的运行详情，清晰展现各个管理设备的各类型管理状态，并以颜色显著标示出现问题的硬件类型；涉及到磁盘阵列的电源、电池、风扇、温度、磁盘、控制器等各个关键硬件信息；</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存储空间使用全局视角，当前所有磁盘阵列设备已经使用空间的统计；当前哪个设备已配置的数据池，有足够的空间可以分给给业务主机使用，列出Pool已使用的排行；当前哪个磁盘阵列还有未分配给主机的lun信息，便于解决lun的浪费问题；</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支持存储设备性能管理，提供LUN读IOPS TOP排行；提供LUN写IOPS TOP排行；提供LUN 总 IOPS TOP 排行；提供LUN的总传输字节数TOP 排行； 提供按照传输流量的存储线路排行；</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支持对SAN网络中磁盘阵列、光纤交换机、主机、线路的监管，支持多厂商存储设备的SAN网络异构管理。支持通过SNMP或SIM-S协议采集磁盘阵列相关指标。</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业务管理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提供自动、手动创建业务架构图功能，通过物理架构、逻辑架构、物理与逻辑结合架构方式真实反映出业务系统整体架构图；</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必须提供简单便捷的构图工具，可以自由替换图标和移动图标位置，构建符合用户特色的业务视图；</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综合评价业务健康，支持将各个管理对象的指标作为评价基础；可以根据各个管理对象对于业务的影响，设置权重；支持评价基础指标作为预警阈值，在界面中以不同颜色图标显示，以示对业务的影响；支持业务健康度的实时动态更新；支持业务健康度低分原因的及时显示；</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提供业务视角管理基础设施，系统可支持多种布局方式，将基础设置提升到业务视角，便于业务部门和网络部分的沟通和监控统一界面；便于第一时间实现业务故障的定位；</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支持从外部数据库、日志等多种方式获取业务数据，从业务组成和业务数据等多个维度对业务运行情况进行综合分析；</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支持用户特殊设备现场快速配置，要求配置对象能自动实现指标的实时查看、历史记录查看，并可是指阈值进行告警；</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支持对网络设备、虚拟设备实现邻居在业务视图上进行主动发现，实现快速构建一个业务视图的能力。</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巡检管理</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提供按照业务和自定义范围定义一次巡检任务，每个巡检任务可以按照一次多次、一周多次等方式周期性执行；</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支持符合企业巡检要求的报告定制；</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支持巡检过程可视化，实时查看每一个对象的巡检结果；</w:t>
            </w:r>
          </w:p>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支持巡检结果的分析，按照每个任务的巡检正常率、重要指标正常率等方式统计。</w:t>
            </w:r>
          </w:p>
        </w:tc>
      </w:tr>
      <w:tr>
        <w:tblPrEx>
          <w:tblCellMar>
            <w:top w:w="0" w:type="dxa"/>
            <w:left w:w="108" w:type="dxa"/>
            <w:bottom w:w="0" w:type="dxa"/>
            <w:right w:w="108" w:type="dxa"/>
          </w:tblCellMar>
        </w:tblPrEx>
        <w:trP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售后服务</w:t>
            </w:r>
          </w:p>
        </w:tc>
        <w:tc>
          <w:tcPr>
            <w:tcW w:w="6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szCs w:val="24"/>
              </w:rPr>
            </w:pPr>
            <w:r>
              <w:rPr>
                <w:rFonts w:hint="eastAsia" w:ascii="仿宋" w:hAnsi="仿宋" w:eastAsia="仿宋" w:cs="宋体"/>
                <w:color w:val="000000"/>
                <w:sz w:val="24"/>
                <w:szCs w:val="24"/>
              </w:rPr>
              <w:t>提供</w:t>
            </w:r>
            <w:r>
              <w:rPr>
                <w:rFonts w:ascii="仿宋" w:hAnsi="仿宋" w:eastAsia="仿宋" w:cs="宋体"/>
                <w:color w:val="000000"/>
                <w:sz w:val="24"/>
                <w:szCs w:val="24"/>
              </w:rPr>
              <w:t>三年</w:t>
            </w:r>
            <w:r>
              <w:rPr>
                <w:rFonts w:hint="eastAsia" w:ascii="仿宋" w:hAnsi="仿宋" w:eastAsia="仿宋" w:cs="宋体"/>
                <w:color w:val="000000"/>
                <w:sz w:val="24"/>
                <w:szCs w:val="24"/>
              </w:rPr>
              <w:t>原厂商本地化服务，提供原厂商售后服务承诺函，提供7*24小时的项目专项电话技术支持。</w:t>
            </w:r>
          </w:p>
        </w:tc>
      </w:tr>
    </w:tbl>
    <w:p/>
    <w:p>
      <w:pPr>
        <w:spacing w:line="440" w:lineRule="exact"/>
        <w:ind w:firstLine="480" w:firstLineChars="200"/>
        <w:jc w:val="left"/>
        <w:rPr>
          <w:rFonts w:ascii="仿宋" w:hAnsi="仿宋" w:eastAsia="仿宋" w:cs="仿宋"/>
          <w:sz w:val="24"/>
          <w:szCs w:val="24"/>
          <w:highlight w:val="yellow"/>
        </w:rPr>
      </w:pPr>
      <w:r>
        <w:rPr>
          <w:rFonts w:hint="eastAsia" w:ascii="仿宋" w:hAnsi="仿宋" w:eastAsia="仿宋" w:cs="仿宋"/>
          <w:sz w:val="24"/>
          <w:szCs w:val="24"/>
          <w:highlight w:val="yellow"/>
        </w:rPr>
        <w:t>（三）运维预算</w:t>
      </w:r>
    </w:p>
    <w:p>
      <w:pPr>
        <w:spacing w:line="440" w:lineRule="exact"/>
        <w:ind w:firstLine="480" w:firstLineChars="200"/>
        <w:jc w:val="left"/>
        <w:rPr>
          <w:rFonts w:ascii="仿宋" w:hAnsi="仿宋" w:eastAsia="仿宋" w:cs="仿宋"/>
          <w:sz w:val="24"/>
          <w:szCs w:val="24"/>
          <w:highlight w:val="yellow"/>
        </w:rPr>
      </w:pPr>
      <w:r>
        <w:rPr>
          <w:rFonts w:hint="eastAsia" w:ascii="仿宋" w:hAnsi="仿宋" w:eastAsia="仿宋" w:cs="仿宋"/>
          <w:sz w:val="24"/>
          <w:szCs w:val="24"/>
          <w:highlight w:val="yellow"/>
        </w:rPr>
        <w:t>本年度为保障整体运维效果，确保网络安全，合并为网络机房及系统运维服务项目，招标控制价以原中标价格核定，合计46.5万元。</w:t>
      </w:r>
    </w:p>
    <w:p>
      <w:pPr>
        <w:spacing w:line="440" w:lineRule="exact"/>
        <w:ind w:firstLine="480" w:firstLineChars="200"/>
        <w:outlineLvl w:val="1"/>
        <w:rPr>
          <w:rFonts w:ascii="仿宋" w:hAnsi="仿宋" w:eastAsia="仿宋" w:cs="仿宋"/>
          <w:b/>
          <w:bCs/>
          <w:sz w:val="24"/>
          <w:szCs w:val="24"/>
        </w:rPr>
      </w:pPr>
      <w:r>
        <w:rPr>
          <w:rFonts w:hint="eastAsia" w:ascii="仿宋" w:hAnsi="仿宋" w:eastAsia="仿宋" w:cs="仿宋"/>
          <w:b/>
          <w:bCs/>
          <w:sz w:val="24"/>
          <w:szCs w:val="24"/>
        </w:rPr>
        <w:t>三、运维服务人员要求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1.驻场人员要求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highlight w:val="yellow"/>
        </w:rPr>
        <w:t>运维服务方需提供驻场技术工程师2人，工作时间按医院工作时间而定，具体要求及工作职能：</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具有H3C、华为、锐捷等厂家的路由交换技术认证证书之一，5年以上网络运工作经验，具备良好的技术能力和责任心。工作服务内容有：负责互联网信息系统的升级部署、备份恢复、日常巡检、性能优化、配置操作、网络质量及网络设备的监控、编写网络运维手册,制定设备操作规范和应急手册等运维服务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能够从事信息安全服务、运维、管理工作。对网络信息安全有较为完整的认识，掌握电脑安全防护、网站安全、电子邮件安全、Internet网络安全部署、操作系统安全配置、恶意代码防护、常用软件安全设置、防火墙的应用等技能。能完善和优化单位信息安全制度和流程。信息安全工作符合特定的规范要求，能够对系统中安全措施的实施进行了跟踪和验证，能够建立起立体式、纵深的安全防护系统，部署安全监控机制，对未知的安全威胁能够进行预警和追踪。能够针对安全策略、操作规程、规章制度和安全措施做到程序化、周期化的评估、改善和提升，能够组织建立本单位的信息安全体系。在技术能力上，对本单位的系统中安全措施能够总体上把关，掌握防护系统的脆弱性分析方法，能够提出安全防护系统的改进建议。</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具有服务器、存储工程师认证，或具有虚拟化工程师认证，或具RedHat\suse等linux文字版\图形版本的安装及其维护、UnixAIX等Unix操作系统的认证工程师，有5年以上项目实施工作经验，熟悉Windows 2003 2008 NT 2000等windows服务器操作系统的维护、RedHat\suse等linux文字版\图形版本的安装及其维护、Unix AIX等Unix操作系统的安装实施及其纠错等等能力、熟悉配置SAN NAS等存储网络及其磁带机的安装配置及维护并具有一定数据恢复能力。能对网络服务核心架构进行设计，实施及其维护包括动态负载均衡，存储分配，云部署等的工作。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具有OCP或OCM证书且有3三年以上数据库维护工作经验,精通Oracle数据库相关知识，对Oracle DBA工作有深刻理解,熟悉Oracle数据库的备份与恢复,熟练进行Oracle数据库的管理、规划、性能优化、数据库应急处理，并及时做出优化和解决方案，具备独立分析、解决大型数据库相关复杂问题的能力（数据库包括Oracle、SQL server、mySQL等）。</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由驻场团队人员专职担任，具备良好的技术能力和责任心。运维服务方应为技术工配备相应的维护工具（如：网络链路检测（包含铜缆和光缆））设备、每天对主要机房进行巡检，检查空调、配电、UPS系统、环境监测系统、视频监控系统、软、硬件系统状态，并按月、季、年向用户提交系统运行报告，根据运行情况提出合理化建议，根据中心管理部门要求随时对机房环境异常情况以及设备及软件系统异常情况进行检测和分析。</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2.二线专家团队要求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由运维服务方本公司员工组成，成员5人以上的专家团队。其职责在于解决重大非日常故障的排除工作。为用户方及投标方驻场团队提供24小时×365天的不间断技术服务。</w:t>
      </w:r>
    </w:p>
    <w:p>
      <w:pPr>
        <w:spacing w:line="440" w:lineRule="exact"/>
        <w:ind w:firstLine="480" w:firstLineChars="200"/>
        <w:outlineLvl w:val="1"/>
        <w:rPr>
          <w:rFonts w:ascii="仿宋" w:hAnsi="仿宋" w:eastAsia="仿宋" w:cs="仿宋"/>
          <w:b/>
          <w:bCs/>
          <w:sz w:val="24"/>
          <w:szCs w:val="24"/>
        </w:rPr>
      </w:pPr>
      <w:r>
        <w:rPr>
          <w:rFonts w:hint="eastAsia" w:ascii="仿宋" w:hAnsi="仿宋" w:eastAsia="仿宋" w:cs="仿宋"/>
          <w:b/>
          <w:bCs/>
          <w:sz w:val="24"/>
          <w:szCs w:val="24"/>
        </w:rPr>
        <w:t>四、运维服务档案建立</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需按时提供《整体运维方案》、《风险评估报告》、《发展规划方案》、《常见故障处理手册》、《运维报告》、《巡检报告》、《安全报告》、《特殊时间节点报告》、《故障报告》、《故障处理报告》、《事故报告》、《技术支持记录表》、《客户满意度调查表》等文档，并协助用户方建立运维档案库。</w:t>
      </w:r>
    </w:p>
    <w:p>
      <w:pPr>
        <w:spacing w:line="440" w:lineRule="exact"/>
        <w:ind w:firstLine="480" w:firstLineChars="200"/>
        <w:outlineLvl w:val="1"/>
        <w:rPr>
          <w:rFonts w:ascii="仿宋" w:hAnsi="仿宋" w:eastAsia="仿宋" w:cs="仿宋"/>
          <w:b/>
          <w:bCs/>
          <w:sz w:val="24"/>
          <w:szCs w:val="24"/>
        </w:rPr>
      </w:pPr>
      <w:r>
        <w:rPr>
          <w:rFonts w:hint="eastAsia" w:ascii="仿宋" w:hAnsi="仿宋" w:eastAsia="仿宋" w:cs="仿宋"/>
          <w:b/>
          <w:bCs/>
          <w:sz w:val="24"/>
          <w:szCs w:val="24"/>
        </w:rPr>
        <w:t>五、故障及响应</w:t>
      </w:r>
    </w:p>
    <w:p>
      <w:pPr>
        <w:spacing w:line="440" w:lineRule="exact"/>
        <w:ind w:firstLine="480" w:firstLineChars="200"/>
        <w:rPr>
          <w:rFonts w:ascii="仿宋" w:hAnsi="仿宋" w:eastAsia="仿宋" w:cs="仿宋"/>
          <w:sz w:val="24"/>
          <w:szCs w:val="24"/>
        </w:rPr>
      </w:pPr>
      <w:bookmarkStart w:id="37" w:name="_Toc81906955"/>
      <w:r>
        <w:rPr>
          <w:rFonts w:hint="eastAsia" w:ascii="仿宋" w:hAnsi="仿宋" w:eastAsia="仿宋" w:cs="仿宋"/>
          <w:sz w:val="24"/>
          <w:szCs w:val="24"/>
        </w:rPr>
        <w:t>1.故障处理服务需求说明</w:t>
      </w:r>
      <w:bookmarkEnd w:id="37"/>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运维服务方对用户方所有相关业务系统的故障分级分类响应,以确保用户方系统在发生故障后的迅速恢复能力。</w:t>
      </w:r>
    </w:p>
    <w:p>
      <w:pPr>
        <w:spacing w:line="440" w:lineRule="exact"/>
        <w:ind w:firstLine="480" w:firstLineChars="200"/>
        <w:rPr>
          <w:rFonts w:ascii="仿宋" w:hAnsi="仿宋" w:eastAsia="仿宋" w:cs="仿宋"/>
          <w:sz w:val="24"/>
          <w:szCs w:val="24"/>
        </w:rPr>
      </w:pPr>
      <w:bookmarkStart w:id="38" w:name="_Toc81906956"/>
      <w:r>
        <w:rPr>
          <w:rFonts w:hint="eastAsia" w:ascii="仿宋" w:hAnsi="仿宋" w:eastAsia="仿宋" w:cs="仿宋"/>
          <w:sz w:val="24"/>
          <w:szCs w:val="24"/>
        </w:rPr>
        <w:t>2.故障级别定义及处理时间要求</w:t>
      </w:r>
      <w:bookmarkEnd w:id="38"/>
    </w:p>
    <w:tbl>
      <w:tblPr>
        <w:tblStyle w:val="43"/>
        <w:tblW w:w="5000" w:type="pct"/>
        <w:tblInd w:w="0" w:type="dxa"/>
        <w:tblLayout w:type="fixed"/>
        <w:tblCellMar>
          <w:top w:w="0" w:type="dxa"/>
          <w:left w:w="108" w:type="dxa"/>
          <w:bottom w:w="0" w:type="dxa"/>
          <w:right w:w="108" w:type="dxa"/>
        </w:tblCellMar>
      </w:tblPr>
      <w:tblGrid>
        <w:gridCol w:w="736"/>
        <w:gridCol w:w="6271"/>
        <w:gridCol w:w="980"/>
        <w:gridCol w:w="1016"/>
      </w:tblGrid>
      <w:tr>
        <w:tblPrEx>
          <w:tblCellMar>
            <w:top w:w="0" w:type="dxa"/>
            <w:left w:w="108" w:type="dxa"/>
            <w:bottom w:w="0" w:type="dxa"/>
            <w:right w:w="108" w:type="dxa"/>
          </w:tblCellMar>
        </w:tblPrEx>
        <w:trPr>
          <w:trHeight w:val="288" w:hRule="atLeast"/>
        </w:trPr>
        <w:tc>
          <w:tcPr>
            <w:tcW w:w="408"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故障分级</w:t>
            </w:r>
          </w:p>
        </w:tc>
        <w:tc>
          <w:tcPr>
            <w:tcW w:w="3482" w:type="pct"/>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定义</w:t>
            </w:r>
          </w:p>
        </w:tc>
        <w:tc>
          <w:tcPr>
            <w:tcW w:w="544" w:type="pct"/>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故障处理响应（分钟）</w:t>
            </w:r>
          </w:p>
        </w:tc>
        <w:tc>
          <w:tcPr>
            <w:tcW w:w="564" w:type="pct"/>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处理完成时限（小时）</w:t>
            </w:r>
          </w:p>
        </w:tc>
      </w:tr>
      <w:tr>
        <w:tblPrEx>
          <w:tblCellMar>
            <w:top w:w="0" w:type="dxa"/>
            <w:left w:w="108" w:type="dxa"/>
            <w:bottom w:w="0" w:type="dxa"/>
            <w:right w:w="108" w:type="dxa"/>
          </w:tblCellMar>
        </w:tblPrEx>
        <w:trPr>
          <w:trHeight w:val="288" w:hRule="atLeast"/>
        </w:trPr>
        <w:tc>
          <w:tcPr>
            <w:tcW w:w="408" w:type="pc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一级故障</w:t>
            </w:r>
          </w:p>
        </w:tc>
        <w:tc>
          <w:tcPr>
            <w:tcW w:w="3482" w:type="pct"/>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最紧急，指工作时间内全区服务中断、业务停止、数据丢失的故障为一级故障。要求15分钟内响应，专家团队0.5小时内到场，2小时恢复业务，12小时解决故障。</w:t>
            </w:r>
          </w:p>
        </w:tc>
        <w:tc>
          <w:tcPr>
            <w:tcW w:w="54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15</w:t>
            </w:r>
          </w:p>
        </w:tc>
        <w:tc>
          <w:tcPr>
            <w:tcW w:w="56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2</w:t>
            </w:r>
          </w:p>
        </w:tc>
      </w:tr>
      <w:tr>
        <w:tblPrEx>
          <w:tblCellMar>
            <w:top w:w="0" w:type="dxa"/>
            <w:left w:w="108" w:type="dxa"/>
            <w:bottom w:w="0" w:type="dxa"/>
            <w:right w:w="108" w:type="dxa"/>
          </w:tblCellMar>
        </w:tblPrEx>
        <w:trPr>
          <w:trHeight w:val="288" w:hRule="atLeast"/>
        </w:trPr>
        <w:tc>
          <w:tcPr>
            <w:tcW w:w="408" w:type="pc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二级故障</w:t>
            </w:r>
          </w:p>
        </w:tc>
        <w:tc>
          <w:tcPr>
            <w:tcW w:w="3482" w:type="pct"/>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紧急，指工作时间内全区业务未完全中断，但业务功能或服务能力部分丧失，系统响应大幅下降，具有潜在系统瘫痪或服务中断的危险的故障，或在非工作时间内全区服务中断、业务停止、数据丢失的故障为二级故障。要求30分钟内响应，专家团队2小时内到场，4小时内恢复业务，24小时内解决故障。</w:t>
            </w:r>
          </w:p>
        </w:tc>
        <w:tc>
          <w:tcPr>
            <w:tcW w:w="54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30</w:t>
            </w:r>
          </w:p>
        </w:tc>
        <w:tc>
          <w:tcPr>
            <w:tcW w:w="56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4</w:t>
            </w:r>
          </w:p>
        </w:tc>
      </w:tr>
      <w:tr>
        <w:tblPrEx>
          <w:tblCellMar>
            <w:top w:w="0" w:type="dxa"/>
            <w:left w:w="108" w:type="dxa"/>
            <w:bottom w:w="0" w:type="dxa"/>
            <w:right w:w="108" w:type="dxa"/>
          </w:tblCellMar>
        </w:tblPrEx>
        <w:trPr>
          <w:trHeight w:val="288" w:hRule="atLeast"/>
        </w:trPr>
        <w:tc>
          <w:tcPr>
            <w:tcW w:w="408" w:type="pc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三级故障</w:t>
            </w:r>
          </w:p>
        </w:tc>
        <w:tc>
          <w:tcPr>
            <w:tcW w:w="3482" w:type="pct"/>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较为紧急，指在工作时间内业务未丧失，业务性能部分下降（性能降低小于40%），或非关键业务系统的故障为三级故障，要求60分钟内响应，36小时内解决问题。</w:t>
            </w:r>
          </w:p>
        </w:tc>
        <w:tc>
          <w:tcPr>
            <w:tcW w:w="54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60</w:t>
            </w:r>
          </w:p>
        </w:tc>
        <w:tc>
          <w:tcPr>
            <w:tcW w:w="56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36</w:t>
            </w:r>
          </w:p>
        </w:tc>
      </w:tr>
      <w:tr>
        <w:tblPrEx>
          <w:tblCellMar>
            <w:top w:w="0" w:type="dxa"/>
            <w:left w:w="108" w:type="dxa"/>
            <w:bottom w:w="0" w:type="dxa"/>
            <w:right w:w="108" w:type="dxa"/>
          </w:tblCellMar>
        </w:tblPrEx>
        <w:trPr>
          <w:trHeight w:val="288" w:hRule="atLeast"/>
        </w:trPr>
        <w:tc>
          <w:tcPr>
            <w:tcW w:w="408" w:type="pc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其他故障</w:t>
            </w:r>
          </w:p>
        </w:tc>
        <w:tc>
          <w:tcPr>
            <w:tcW w:w="3482" w:type="pct"/>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sz w:val="24"/>
                <w:szCs w:val="24"/>
              </w:rPr>
            </w:pPr>
            <w:r>
              <w:rPr>
                <w:rFonts w:hint="eastAsia" w:ascii="仿宋" w:hAnsi="仿宋" w:eastAsia="仿宋" w:cs="仿宋"/>
                <w:sz w:val="24"/>
                <w:szCs w:val="24"/>
              </w:rPr>
              <w:t>一般，指除一、二、三级故障外，业务功能未丧失，或业务性能轻微下降（性能降低小于20%），关键业务不受影响的故障为三级故障。要求90分钟内响应，72小时内解决故障。</w:t>
            </w:r>
          </w:p>
        </w:tc>
        <w:tc>
          <w:tcPr>
            <w:tcW w:w="54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60</w:t>
            </w:r>
          </w:p>
        </w:tc>
        <w:tc>
          <w:tcPr>
            <w:tcW w:w="564" w:type="pct"/>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z w:val="24"/>
                <w:szCs w:val="24"/>
              </w:rPr>
            </w:pPr>
            <w:r>
              <w:rPr>
                <w:rFonts w:hint="eastAsia" w:ascii="仿宋" w:hAnsi="仿宋" w:eastAsia="仿宋" w:cs="仿宋"/>
                <w:sz w:val="24"/>
                <w:szCs w:val="24"/>
              </w:rPr>
              <w:t>48</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（1）故障分级</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故障处理基本要求：故障处理时，优先考虑系统恢复以保证业务正常运行，然后再彻底解决故障，并提交故障处理报告。</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（2）一般性故障处理服务</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般性故障是指故障定义中三级故障和其他故障。运维服务方须迅速提供故障处理服务，安排驻场人员分析故障原因，制定故障解决方案，并最终排除故障。对于故障处理，须遵循记录、分析、处理、解决的闭环处理方法，以找到故障根源、避免或预防二次故障为最终解决的标准。</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1）运维服务方驻场人员需了解用户方系统运行情况，核实故障现象，并根据故障现象进行故障分析、测试、诊断，并制定故障解决技术方案。技术方案经用户方维护主管部门批准后方可实施。</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2）在处理故障时，不能影响到业务，并有用户方维护人员在场协同处理，当在必须进行影响到业务的操作时，须经用户方维护主管部门批准方可实施。</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3）在处理故障时，要认真填写《故障报告》及《故障处理报告》，并在故障处理完毕后提交用户方维护主管部门存档。</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4）故障处理服务响应时间需按处理时间要求执行。</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（3）紧急故障排除服务</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紧急故障指故障定义中的一级、二级故障。紧急故障排除服务是为了快速地解决二级（含）以上故障发生而提供的服务。</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1）发生二级（含）以上故障（紧急故障）时，运维服务方驻场人员应立即展开应急处理，并上报运维服务方二线专家团队及用户方维护主管部门。</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2）应组织协调相关资源在规定时间恢复业务。</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3）故障处理完毕以后，运维服务方工程师应在现场进行一段时间的观察，运行稳定后，项目负责人应在当天向用户方维护主管部门汇报故障处理基本情况并提交《故障报告》及《故障处理报告》存档。</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故障处理完毕以后，应认真查找一级故障（紧急故障）原因，制定防范措施。项目负责人在故障处理完毕后3个工作日内向用户方维护主管部门和维护单位书面提交《事故报告》并当面汇报，提供故障的发生原因、处理过程、解决结果和防范措施。</w:t>
      </w:r>
    </w:p>
    <w:p>
      <w:pPr>
        <w:keepNext/>
        <w:spacing w:line="440" w:lineRule="exact"/>
        <w:ind w:firstLine="480" w:firstLineChars="200"/>
        <w:outlineLvl w:val="1"/>
        <w:rPr>
          <w:rFonts w:ascii="仿宋" w:hAnsi="仿宋" w:eastAsia="仿宋" w:cs="仿宋"/>
          <w:b/>
          <w:bCs/>
          <w:sz w:val="24"/>
          <w:szCs w:val="24"/>
        </w:rPr>
      </w:pPr>
      <w:bookmarkStart w:id="39" w:name="_Toc81906957"/>
      <w:r>
        <w:rPr>
          <w:rFonts w:hint="eastAsia" w:ascii="仿宋" w:hAnsi="仿宋" w:eastAsia="仿宋" w:cs="仿宋"/>
          <w:b/>
          <w:bCs/>
          <w:sz w:val="24"/>
          <w:szCs w:val="24"/>
        </w:rPr>
        <w:t>六、培训</w:t>
      </w:r>
      <w:bookmarkEnd w:id="39"/>
    </w:p>
    <w:p>
      <w:pPr>
        <w:spacing w:line="440" w:lineRule="exact"/>
        <w:ind w:firstLine="480" w:firstLineChars="200"/>
        <w:rPr>
          <w:rFonts w:ascii="仿宋" w:hAnsi="仿宋" w:eastAsia="仿宋" w:cs="仿宋"/>
          <w:sz w:val="24"/>
          <w:szCs w:val="24"/>
        </w:rPr>
      </w:pPr>
      <w:bookmarkStart w:id="40" w:name="_Toc81906958"/>
      <w:r>
        <w:rPr>
          <w:rFonts w:hint="eastAsia" w:ascii="仿宋" w:hAnsi="仿宋" w:eastAsia="仿宋" w:cs="仿宋"/>
          <w:sz w:val="24"/>
          <w:szCs w:val="24"/>
        </w:rPr>
        <w:t>1.现场培训</w:t>
      </w:r>
      <w:bookmarkEnd w:id="40"/>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运维服务方根据用户方需求，定期为用户方提供定制化的现场培训服务，培训内容包括网络技术、网络信息安全技术、服务器及存储技术、数据库技术、虚拟化技术等与本项目维保相关的内容。根据用户方需求，运维服务方派专职讲师现场授课。</w:t>
      </w:r>
    </w:p>
    <w:p>
      <w:pPr>
        <w:spacing w:line="440" w:lineRule="exact"/>
        <w:ind w:firstLine="480" w:firstLineChars="200"/>
        <w:rPr>
          <w:rFonts w:ascii="仿宋" w:hAnsi="仿宋" w:eastAsia="仿宋" w:cs="仿宋"/>
          <w:sz w:val="24"/>
          <w:szCs w:val="24"/>
        </w:rPr>
      </w:pPr>
      <w:bookmarkStart w:id="41" w:name="_Toc81906959"/>
      <w:r>
        <w:rPr>
          <w:rFonts w:hint="eastAsia" w:ascii="仿宋" w:hAnsi="仿宋" w:eastAsia="仿宋" w:cs="仿宋"/>
          <w:sz w:val="24"/>
          <w:szCs w:val="24"/>
        </w:rPr>
        <w:t>2.工程师专业培训</w:t>
      </w:r>
      <w:bookmarkEnd w:id="41"/>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为鼓励用户方工程师提升专业技术能力，凡是在合同期内通过华为中级网络工程师HCISP）认证、数据库OCP/OCM认证的工程师，由运维服务方报销所有报名、培训、考试相关的费用。</w:t>
      </w:r>
    </w:p>
    <w:p>
      <w:pPr>
        <w:keepNext/>
        <w:spacing w:line="440" w:lineRule="exact"/>
        <w:ind w:firstLine="480" w:firstLineChars="200"/>
        <w:outlineLvl w:val="1"/>
        <w:rPr>
          <w:rFonts w:ascii="仿宋" w:hAnsi="仿宋" w:eastAsia="仿宋" w:cs="仿宋"/>
          <w:b/>
          <w:bCs/>
          <w:sz w:val="24"/>
          <w:szCs w:val="24"/>
        </w:rPr>
      </w:pPr>
      <w:bookmarkStart w:id="42" w:name="_Toc81906960"/>
      <w:bookmarkStart w:id="43" w:name="_Toc23169691"/>
      <w:r>
        <w:rPr>
          <w:rFonts w:hint="eastAsia" w:ascii="仿宋" w:hAnsi="仿宋" w:eastAsia="仿宋" w:cs="仿宋"/>
          <w:b/>
          <w:bCs/>
          <w:sz w:val="24"/>
          <w:szCs w:val="24"/>
        </w:rPr>
        <w:t>七、重要时刻增派专人驻场服务</w:t>
      </w:r>
      <w:bookmarkEnd w:id="42"/>
      <w:bookmarkEnd w:id="43"/>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在重要关键时刻，运维服务方根据要求提供不限服务次数、不限服务时间、不限驻场工程师数量的现场驻场保障服务支持。关键业务时点：（包含但不限于）法定假日、重大节日、系统升级、系统迁移、系统改建、设备更新、年终核算、系统推广运行等关键时点、全国大型系统测试、系统上线切换、灾备系统测试演练或实际切换操作等情况下对系统和业务高效稳定运行要求高的重要时点。网络重大割接或其它任何对业务运营产生重大影响的时刻，运维服务方提供重要时刻的专人现场支持。</w:t>
      </w:r>
    </w:p>
    <w:p>
      <w:pPr>
        <w:keepNext/>
        <w:spacing w:line="440" w:lineRule="exact"/>
        <w:ind w:firstLine="480" w:firstLineChars="200"/>
        <w:outlineLvl w:val="1"/>
        <w:rPr>
          <w:rFonts w:ascii="仿宋" w:hAnsi="仿宋" w:eastAsia="仿宋" w:cs="仿宋"/>
          <w:b/>
          <w:bCs/>
          <w:sz w:val="24"/>
          <w:szCs w:val="24"/>
        </w:rPr>
      </w:pPr>
      <w:bookmarkStart w:id="44" w:name="_Toc81906961"/>
      <w:r>
        <w:rPr>
          <w:rFonts w:hint="eastAsia" w:ascii="仿宋" w:hAnsi="仿宋" w:eastAsia="仿宋" w:cs="仿宋"/>
          <w:b/>
          <w:bCs/>
          <w:sz w:val="24"/>
          <w:szCs w:val="24"/>
        </w:rPr>
        <w:t>八、应急演练</w:t>
      </w:r>
      <w:bookmarkEnd w:id="44"/>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运维服务方应结合实际情况制定相应的应急预案，针对服务内容分类结合网络、服务器、存储、数据库、网络安全、机房环境、链路等因素，制定至少三种以上应急预案，并形成相关文档及手册。依照应急预案每年需配合用户方完成相应应急演练，并形成文档留存。</w:t>
      </w:r>
    </w:p>
    <w:p>
      <w:pPr>
        <w:keepNext/>
        <w:spacing w:line="440" w:lineRule="exact"/>
        <w:ind w:firstLine="480" w:firstLineChars="200"/>
        <w:outlineLvl w:val="1"/>
        <w:rPr>
          <w:rFonts w:ascii="仿宋" w:hAnsi="仿宋" w:eastAsia="仿宋" w:cs="仿宋"/>
          <w:b/>
          <w:bCs/>
          <w:sz w:val="24"/>
          <w:szCs w:val="24"/>
        </w:rPr>
      </w:pPr>
      <w:bookmarkStart w:id="45" w:name="_Toc81906962"/>
      <w:r>
        <w:rPr>
          <w:rFonts w:hint="eastAsia" w:ascii="仿宋" w:hAnsi="仿宋" w:eastAsia="仿宋" w:cs="仿宋"/>
          <w:b/>
          <w:bCs/>
          <w:sz w:val="24"/>
          <w:szCs w:val="24"/>
        </w:rPr>
        <w:t>九、服务质量考核及责任追究</w:t>
      </w:r>
      <w:bookmarkEnd w:id="45"/>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用户方每月对运维服务方进行考核，填写满意度调查；每半年对服务项目进行验收同时形成相关文档留存。对于考核内容不合格项目，用户方与运维服务方协商解决并保留进一步处理的权利。</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1.在合同规定的时间内，对于考核不合格或不满意的投标方驻场人员，用户方有权要求投标方更换人员。</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2.在合同规定的时间内，运维服务方不能按期提供有效服务，用户方有权选择第三方服务，运维服务方应支付第三方为此提供服务的费用。</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3.对运维服务方在服务期间造成用户方设备损坏的，则运维服务方应在3个工作日内无条件的修复由运维服务方造成的设备损坏，经双方确认无法修复，运维服务方应为用户方更换同型号或更高配置的设备。</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4.运维服务方在合同期内因提供服务不当而造成关键信息系统停机时间连续超过4小时以上事故超过2次（含2次），用户方可以无条件终止合同，并拒绝支付合同款。</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5.如运维服务方不能按照服务质量要求及时提供有效服务、巡检不认真没有及时发现存在的隐患造成系统、数据库故障等，</w:t>
      </w:r>
      <w:r>
        <w:rPr>
          <w:rFonts w:hint="eastAsia" w:ascii="仿宋" w:hAnsi="仿宋" w:eastAsia="仿宋" w:cs="仿宋"/>
          <w:color w:val="FF0000"/>
          <w:sz w:val="24"/>
          <w:szCs w:val="24"/>
        </w:rPr>
        <w:t>按照规定每次扣除相应服务费用总额的10%</w:t>
      </w:r>
      <w:r>
        <w:rPr>
          <w:rFonts w:hint="eastAsia" w:ascii="仿宋" w:hAnsi="仿宋" w:eastAsia="仿宋" w:cs="仿宋"/>
          <w:sz w:val="24"/>
          <w:szCs w:val="24"/>
        </w:rPr>
        <w:t>。若造成损失，用户方保留索赔权利。</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6.在故障不能明确的情况下，用户方有权提出技术支持请求，运维服务方必须按照故障等级，安排相关专业技术人员采取现场或远程方式参与故障诊断。如运维服务方未及时参与会诊，按照规定扣除服务费用总额的1%，逐次递增0.1%；如经确认，故障确属运维服务方维保范围，而运维服务方未能及时应用户方要求参加会诊，所造成的损失，用户方保留索赔权利。</w:t>
      </w:r>
    </w:p>
    <w:p>
      <w:pPr>
        <w:pStyle w:val="186"/>
        <w:tabs>
          <w:tab w:val="left" w:pos="0"/>
        </w:tabs>
        <w:spacing w:line="440" w:lineRule="exact"/>
        <w:ind w:firstLine="480"/>
        <w:rPr>
          <w:rFonts w:ascii="仿宋" w:hAnsi="仿宋" w:eastAsia="仿宋" w:cs="仿宋"/>
          <w:sz w:val="24"/>
          <w:szCs w:val="24"/>
        </w:rPr>
      </w:pPr>
      <w:r>
        <w:rPr>
          <w:rFonts w:hint="eastAsia" w:ascii="仿宋" w:hAnsi="仿宋" w:eastAsia="仿宋" w:cs="仿宋"/>
          <w:sz w:val="24"/>
          <w:szCs w:val="24"/>
        </w:rPr>
        <w:t>7.为保证用户方系统稳定运行，避免因系统故障造成的损失，运维服务方应提供服务索赔的承诺。</w:t>
      </w:r>
    </w:p>
    <w:p>
      <w:pPr>
        <w:widowControl/>
        <w:jc w:val="left"/>
        <w:rPr>
          <w:rFonts w:ascii="仿宋" w:hAnsi="仿宋" w:eastAsia="仿宋" w:cs="仿宋"/>
          <w:b/>
          <w:bCs/>
          <w:sz w:val="24"/>
          <w:szCs w:val="24"/>
        </w:rPr>
      </w:pPr>
      <w:r>
        <w:rPr>
          <w:rFonts w:ascii="仿宋" w:hAnsi="仿宋" w:eastAsia="仿宋" w:cs="仿宋"/>
          <w:b/>
          <w:bCs/>
          <w:sz w:val="24"/>
          <w:szCs w:val="24"/>
        </w:rPr>
        <w:br w:type="page"/>
      </w: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附件一 网络运维服务内容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一、故障诊断及故障排除技术支持服务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在收到故障通知后，驻场工程师进行现场故障诊断及现场故障排除，直至故障确定或故障排除。出具故障报告，内容包括故障现象、故障原因、故障解决方法、故障处理建议等。需要更换配件或整机的情况，保修期内的设备协助联系厂家报修并跟踪厂家维修流程，直至故障排除；保修期以外的设备，配件由用户方另行采购，到位后再更换故障件，直至故障排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二、定期巡检服务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将为用户方提供每月一次巡检服务，获得设备运行的最新资料，在院方同意后及时升级设备及系统的微码、补丁、特征库，同时第一时间发现存在的隐患，保障设备稳定运行。并有针对性地提出预警及解决建议，能够提早预防，最大限度降低运营风险。巡检为每季度提交设备巡检报告。</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三、网络优化服务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网络优化服务主要内容是针对用户方网络，对其基础架构、网络性能、高实时性业务部署以及网络安全各方面进行评估、优化设计以及改进。此服务是建立在对用户方IP网络、业务构成进行充分调研评估的基础上，根据甲方计算机网络容量和流量的要求，结合用户方需求，对用户方网络以及业务部署进行优化设计和实施，以提高网络可管理性、可维护性、安全性以及业务部署能力。网络优化服务以保证不少于4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用户方网络正处于不断建设，不断发展的时期，包含广域网建设、局域网建设、网络安全建设等，在建设前期，方案是否可行，能否符合用户方的技术目标，是否存在潜在的技术隐患以及如何预防。网络方案验收服务在网络的规划设计阶段提供的一项专业服务解决方案。该服务通过对网络方案进行技术分析、仿真测试等，验证网络方案在技术方面的可行性、能否符合技术目标、是否存在潜在的技术隐患以及如何预防等。可以通过此项服务充分预防设备投资风险及网络运行风险，确保网络投资的有效与增值。网络方案验证服务步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1.验证规划设计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在提出网络方案验证需求后，运维服务方网络专家根据提供的网络规划方案中的内容，与用户方共同制定详细的网络验证方案，其中包括但不限于以下内容：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1）网络验证目标和验收标准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2）所要进行验证的内容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3）网络设备、仪器和所需的其他资源</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4）验证项目的时间计划</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所有确定的内容均直接体现在运维服务方网络专家拟定的《网络方案验证测试报告》中，并由用户方签字确认，作为此项服务的验收标准。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2.仿真与测试</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网络专家根据方案需求按比例搭建仿真网络环境，搭建所需设备由用户方提供，运维服务方并根据《网络方案验证测试报告》中所列测试项对网络性能和技术指标进行测试，其中包括但不限于以下测试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1）验证规划方案的正确性和可行性</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2）测试网络的冗余及可靠性</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3）测试网络的整体性能及网络瓶颈点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4）测试网络其他技术目标</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3.验证结果分析</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在仿真网络环境测试完成后，运维服务方网络专家根据测试数据对网络方案进行整体分析，并将最终分析结果形成《网络方案验证分析报告》。该报告包括但不限于以下项目的分析结果：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1）验证该设计方案是否符合技术目标</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2）证明该设计方案是否为最优设计方案</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3）验证网络协议选择及设备选型是否正确</w:t>
      </w:r>
    </w:p>
    <w:p>
      <w:pPr>
        <w:spacing w:line="440" w:lineRule="exact"/>
        <w:ind w:firstLine="480" w:firstLineChars="200"/>
        <w:jc w:val="left"/>
        <w:rPr>
          <w:rFonts w:ascii="仿宋" w:hAnsi="仿宋" w:eastAsia="仿宋" w:cs="仿宋"/>
          <w:b/>
          <w:sz w:val="24"/>
          <w:szCs w:val="24"/>
        </w:rPr>
      </w:pPr>
      <w:r>
        <w:rPr>
          <w:rFonts w:hint="eastAsia" w:ascii="仿宋" w:hAnsi="仿宋" w:eastAsia="仿宋" w:cs="仿宋"/>
          <w:sz w:val="24"/>
          <w:szCs w:val="24"/>
        </w:rPr>
        <w:t>《网络方案验证分析报告》是此项服务最终输出结果，由用户方与运维服务方共同签字确认。</w:t>
      </w:r>
    </w:p>
    <w:p>
      <w:pPr>
        <w:spacing w:line="440" w:lineRule="exact"/>
        <w:ind w:firstLine="480" w:firstLineChars="200"/>
        <w:jc w:val="left"/>
        <w:rPr>
          <w:rFonts w:ascii="仿宋" w:hAnsi="仿宋" w:eastAsia="仿宋" w:cs="仿宋"/>
          <w:b/>
          <w:sz w:val="24"/>
          <w:szCs w:val="24"/>
        </w:rPr>
      </w:pP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附件二 服务器、存储及虚拟化运维服务内容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一、工程师驻场服务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提供工程师现场驻场服务，随时解决用户方网络中出现的各类问题；驻场工程师熟悉用户方服务器、存储及虚拟化情况,应具备服务器、存储及虚拟化工程师认证，有3年以上工作经验。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二、定期巡检服务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定期巡检为每周一次，对机房内的服务器和存储系统进行检查，分为硬件巡检和应用系统巡检。</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1.硬件巡检</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硬件巡检包括对服务器、存储系统的指示灯状态、部件工作状况、网络线路连接等情况进行常规巡检，主要检查是否有部件出现故障或可能出现故障，并对设备进行故障前检查。对故障前和故障的设备配件进行及时更换。更换配件如需停止运行相关设备需与用户方负责人沟通设备停机时间。设备需在用户方要求的时间内完成故障配件的更换并保障用户方相关系统的正常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在巡检过程中如设备配件出现故障运维服务方会对故障配件做如下处理：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质保内设备：如设备配件发生故障该设备在厂商质保期内运维服务方会与原厂商售后服务机构联系配合原厂商售后服务人员对设备做相关检测并与用户方协调设备是否需要停机及停机时间以配合原厂商售后服务人员更换相关故障配件，保障设备的正常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质保外设备：设备已达到原厂商质保年限，运维服务方工程师在巡检过程中如果发现设备配件发生故障运维服务方工程师将启用备品备件机制通过运维服务方的备品备件库对故障配件进行更换，费用由运维服务方承担。更换配件时运维服务方需与用户方负责人沟通配件更换时间及设备停机时间，以保障用户方业务的正常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2.应用系统巡检</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应用系统巡检包括对服务器、存储系统的操作系统状况、CPU运行状态、内存占用情况、硬盘空间等，主要检查操作系统及存储系统的工作情况，排除已出现的系统故障或系统应用隐患，及时升级系统、打补丁、更新病毒库。如服务器操作系统出现故障运维服务方负责人有义务协助用户方对服务器操作系统进行重新安装（在重新安装操作系统前协助用户方对该服务器上的数据进行备份，运维服务方安装操作系统时需在用户方要求的时间内安装相关服务器的操作系统）</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3.工作流程</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每周在提供服务前，提前与用户方进行确认，经用户方同意进入用户方的机房提供巡检服务，对设备的运行状态及故障指示进行做健康检查，为巡检结果出具巡检报告，并以巡检报告为用户方对运维服务方工作的验收依据。</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三、设备维护服务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设备维护服务是每月1次巡检，对机柜线路的整理、设备标签检查更换、设备定期除尘、机房设备安装建议等服务。对进入用户方机房的新设备新线缆提供安装建议，为设备的安装、调试，线缆的铺设、连接提供便利。对巡检时发现的故障，或突发故障进行排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四、备品备件服务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出现突发性的故障，会影响到用户的系统应用，因此需要在短时间内排除故障，恢复系统应用，而一些突发性故障很难短时间内进行排除，因此出现难以恢复的故障时，可利用备品备件服务进行恢复，运维服务方应在4小时内采用本地备件将故障恢复。</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运维服务方会在本地建立备品备件库，存放常用的服务器及存储配件，在相应设备出现故障后可及时更换。具体的备品备件清单如下：</w:t>
      </w:r>
    </w:p>
    <w:tbl>
      <w:tblPr>
        <w:tblStyle w:val="43"/>
        <w:tblW w:w="8577" w:type="dxa"/>
        <w:jc w:val="center"/>
        <w:tblLayout w:type="fixed"/>
        <w:tblCellMar>
          <w:top w:w="0" w:type="dxa"/>
          <w:left w:w="108" w:type="dxa"/>
          <w:bottom w:w="0" w:type="dxa"/>
          <w:right w:w="108" w:type="dxa"/>
        </w:tblCellMar>
      </w:tblPr>
      <w:tblGrid>
        <w:gridCol w:w="895"/>
        <w:gridCol w:w="1779"/>
        <w:gridCol w:w="3559"/>
        <w:gridCol w:w="1172"/>
        <w:gridCol w:w="1172"/>
      </w:tblGrid>
      <w:tr>
        <w:tblPrEx>
          <w:tblCellMar>
            <w:top w:w="0" w:type="dxa"/>
            <w:left w:w="108" w:type="dxa"/>
            <w:bottom w:w="0" w:type="dxa"/>
            <w:right w:w="108" w:type="dxa"/>
          </w:tblCellMar>
        </w:tblPrEx>
        <w:trPr>
          <w:trHeight w:val="440" w:hRule="atLeast"/>
          <w:tblHeader/>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tcMar>
              <w:left w:w="28" w:type="dxa"/>
              <w:right w:w="28" w:type="dxa"/>
            </w:tcMar>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sz w:val="22"/>
              </w:rPr>
              <w:t>品牌</w:t>
            </w:r>
          </w:p>
        </w:tc>
        <w:tc>
          <w:tcPr>
            <w:tcW w:w="3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型号</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b/>
                <w:color w:val="000000"/>
                <w:kern w:val="0"/>
                <w:sz w:val="22"/>
                <w:lang w:bidi="ar"/>
              </w:rPr>
            </w:pPr>
            <w:r>
              <w:rPr>
                <w:rFonts w:hint="eastAsia" w:ascii="仿宋" w:hAnsi="仿宋" w:eastAsia="仿宋" w:cs="仿宋"/>
                <w:b/>
                <w:color w:val="000000"/>
                <w:kern w:val="0"/>
                <w:sz w:val="22"/>
                <w:lang w:bidi="ar"/>
              </w:rPr>
              <w:t>配件</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left w:w="28" w:type="dxa"/>
              <w:right w:w="28" w:type="dxa"/>
            </w:tcMar>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数量</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宝德</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PR2012P3</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3</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宝德</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PR2012P3</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6</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3</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2288HV5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16</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4</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2288HV5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16</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5</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联想</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SR860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6</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联想</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SR860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4</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7</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H3C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R4900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4</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8</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sz w:val="22"/>
              </w:rPr>
              <w:t>H3C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sz w:val="22"/>
              </w:rPr>
              <w:t>R4900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4</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9</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IBM</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P730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10</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IBM</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P730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11</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IBM</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P740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12</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IBM</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P740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13</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VNX5400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14</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sz w:val="22"/>
              </w:rPr>
            </w:pPr>
            <w:r>
              <w:rPr>
                <w:rFonts w:hint="eastAsia" w:ascii="仿宋" w:hAnsi="仿宋" w:eastAsia="仿宋" w:cs="仿宋"/>
                <w:color w:val="000000"/>
                <w:sz w:val="22"/>
              </w:rPr>
              <w:t>VNX5400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15</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VNX5400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4</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16</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VNX5600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17</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VNX5600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bookmarkStart w:id="46" w:name="_Hlk81924395"/>
            <w:r>
              <w:rPr>
                <w:rFonts w:hint="eastAsia" w:ascii="仿宋" w:hAnsi="仿宋" w:eastAsia="仿宋" w:cs="仿宋"/>
                <w:color w:val="000000"/>
                <w:sz w:val="22"/>
              </w:rPr>
              <w:t>18</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EMC</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VNX5600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4</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19</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20</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21</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22</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5130F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23</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5130F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24</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5130F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25</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26</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27</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5110</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28</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3</w:t>
            </w:r>
          </w:p>
        </w:tc>
      </w:tr>
      <w:tr>
        <w:tblPrEx>
          <w:tblCellMar>
            <w:top w:w="0" w:type="dxa"/>
            <w:left w:w="108" w:type="dxa"/>
            <w:bottom w:w="0" w:type="dxa"/>
            <w:right w:w="108" w:type="dxa"/>
          </w:tblCellMar>
        </w:tblPrEx>
        <w:trPr>
          <w:trHeight w:val="440"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29</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风扇</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3</w:t>
            </w:r>
          </w:p>
        </w:tc>
      </w:tr>
      <w:tr>
        <w:tblPrEx>
          <w:tblCellMar>
            <w:top w:w="0" w:type="dxa"/>
            <w:left w:w="108" w:type="dxa"/>
            <w:bottom w:w="0" w:type="dxa"/>
            <w:right w:w="108" w:type="dxa"/>
          </w:tblCellMar>
        </w:tblPrEx>
        <w:trPr>
          <w:trHeight w:val="449" w:hRule="atLeast"/>
          <w:jc w:val="center"/>
        </w:trPr>
        <w:tc>
          <w:tcPr>
            <w:tcW w:w="8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30</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OceanStor 5310F V5</w:t>
            </w:r>
          </w:p>
        </w:tc>
        <w:tc>
          <w:tcPr>
            <w:tcW w:w="117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硬盘</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6</w:t>
            </w:r>
          </w:p>
        </w:tc>
      </w:tr>
      <w:bookmarkEnd w:id="46"/>
    </w:tbl>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五、专业培训服务</w:t>
      </w:r>
    </w:p>
    <w:p>
      <w:pPr>
        <w:rPr>
          <w:rFonts w:ascii="仿宋" w:hAnsi="仿宋" w:eastAsia="仿宋" w:cs="仿宋"/>
          <w:sz w:val="24"/>
          <w:szCs w:val="24"/>
        </w:rPr>
      </w:pPr>
      <w:r>
        <w:rPr>
          <w:rFonts w:hint="eastAsia" w:ascii="仿宋" w:hAnsi="仿宋" w:eastAsia="仿宋" w:cs="仿宋"/>
          <w:sz w:val="24"/>
          <w:szCs w:val="24"/>
        </w:rPr>
        <w:t>运维服务方为用户方提供培训服务，培训服务主要为了提升用户方单位技术人员技术水平。</w:t>
      </w:r>
    </w:p>
    <w:p>
      <w:pPr>
        <w:spacing w:line="440" w:lineRule="exact"/>
        <w:ind w:firstLine="480" w:firstLineChars="200"/>
        <w:jc w:val="left"/>
        <w:rPr>
          <w:rFonts w:ascii="仿宋" w:hAnsi="仿宋" w:eastAsia="仿宋" w:cs="仿宋"/>
          <w:b/>
          <w:sz w:val="24"/>
          <w:szCs w:val="24"/>
        </w:rPr>
      </w:pPr>
    </w:p>
    <w:p>
      <w:pPr>
        <w:keepNext/>
        <w:spacing w:line="440" w:lineRule="exact"/>
        <w:outlineLvl w:val="1"/>
        <w:rPr>
          <w:rFonts w:ascii="仿宋" w:hAnsi="仿宋" w:eastAsia="仿宋" w:cs="仿宋"/>
          <w:b/>
          <w:sz w:val="24"/>
          <w:szCs w:val="24"/>
        </w:rPr>
      </w:pPr>
      <w:r>
        <w:rPr>
          <w:rFonts w:hint="eastAsia" w:ascii="仿宋" w:hAnsi="仿宋" w:eastAsia="仿宋" w:cs="仿宋"/>
          <w:b/>
          <w:bCs/>
          <w:sz w:val="24"/>
          <w:szCs w:val="24"/>
        </w:rPr>
        <w:t xml:space="preserve">附件三 </w:t>
      </w:r>
      <w:r>
        <w:rPr>
          <w:rFonts w:hint="eastAsia" w:ascii="仿宋" w:hAnsi="仿宋" w:eastAsia="仿宋" w:cs="仿宋"/>
          <w:b/>
          <w:sz w:val="24"/>
          <w:szCs w:val="24"/>
        </w:rPr>
        <w:t>数据库运维服务内容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一、系统优化服务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随着应用系统投入使用时间的加长，系统由于数据量的增加或用户方数量的增加或应用的修改等各种原因导致的性能下降。性能降低后导致应用响应慢、统计或报表计算时间加长和难于维护等不良影响，严重影响生产效率。运维服务方须利用各种工具手段跟踪系统现状，分析应用类型和用户方行为、评价参数设置、数据分布、硬件和系统资源的使用情况等，并提出相关调整建议，必要时可以随时在规定的时间内派技术专家到达用户方现场，处理用户方系统性能问题，确保用户方系统的高效运转。主要内容:与用户方共同制定性能调整范围文档；性能检查初始化参数调整；补丁或版本的改变；查找占用资源严重的SQL语句并提供优化建议；查找锁竞争并确保数据库运行效率；查找占用资源严重的进程；找出主要的性能瓶颈并及时解决；运维服务方工程师须提供性能调整报告，包括相关发现及/或对结果的分析等内容。对于系统优化中发现的问题将持续跟踪并最终解决。</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单维度优化服务后，同时确保系统硬件资源充足，软件配置合理的情况下，用户方感知系统运行缓慢或当系统出现性能问题时，根据用户方的需要，以优化用户方体验为目的，在预定时间内对系统、数据库群集运行效率进行分析和调优，发现、定位和及时解决用户方体验不佳的可能问题点，全面提升业务系统用户方体验。综合调优服务主要内容：（服务内容包括但不限于容）：各功能模块性能问题收集记录，并进行性能情况验证采集；对各项需要优化的操作从业务层，应用层，系统层进行逐层优化分析；操作实现业务逻辑分析；操作实现技术手段分析；应用程序数据访问特点分析；应用技术框架分析；操作实现底层代码分析；对后台系统环境进行优化分析；对各业务场景各操作涉及SQL语句进行优化分析；对涉及各数据模型进行优化分析；数据库表数据分布分析；数据空间数据存储方式分析；系统数据增长、数据访问特点、空间需求分析与评估；应用布署方式分析优化；系统软件配置参数分析优化；系统软件版本及补充分析优化；根据优化分析情况，制定优化方案；跟进并执行优化测试；进行优化验证；制定正式生产环境优化布署方案；执行正式生产环境优化实施；正式生产环境优化效果验证提交成果；为最终用户方提供了本工作单元的内容并由获用户方认可；投标方应将根据用户方要求指定运维服务方工程师在双方约定时间内提供不间断的性能调优服务，每次优化须达到用户方提出的量化目标。</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二、紧急救援服务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1.在出现影响生产的严重故障时，二线专家团队成员能在30分钟之内响应，提出合理的处置建议，并在要求时间到达现场，快速进行系统恢复。系统恢复后分析故障原因，并提交报告。</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出现数据库损坏或数据丢失时，在没有备份的情况下或备份不完整不可用情况下能够使用特殊的数据恢复软件来最大限度地恢复数据。运维服务方所使用的特殊数据恢复软件必须取得软件著作权并在业界有成功的应用案例。</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3.在出现复杂、重大、疑难故障时，运维服务方能够组织经验和技术能够胜任的二线专家团队进行故障会诊，提出故障处理方案。</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三、关键业务时点驻场提供保障服务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1.对系统进行全面深度的健康检查，及时定位系统的安全隐患，并针对可能出现的故障隐患提出相应的修复方案和应急措施。</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积极主动检查、监控系统的运行状态，及时发现问题、提前预防问题，对于可能影响系统的重大性能问题，及时沟通、主动推动问题的落实和处理，在部分问题原因不完全确定，没有解决方案时，主动提供有效的临时规避方案，使系统能够稳定地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3.进行系统检查和风险管理，分系统进行架构、健康状态、安全状态、日志状态、备份等检查。</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4.梳理业务系统存在的各种风险，划分风险等级，并针对存在的风险制订解决方案。</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5.进行系统风险评估，基于对系统的日常监控及以往相关故障的原因分析，梳理目前系统中存在的风险。</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6.根据系统运行情况进行系统支撑能力评估，按系统分别梳理清单列表和配置情况，对资源使用和能力进行评估。</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7.根据专家深度健康检查结果和系统风险评估制定系统隐患修复方案，与用户方相关负责人讨论确定实施计划，并完成实施或制定应急预案。</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8.对于已发现的需要从应用开发方面解决的软硬件架构问题，积极配合开发商制定修复计划或应急方案，确保在保障前排除隐患。</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9.根据系统运行情况制订完善的应急流程、方案，并配合完成保障前重要系统的应急演练。</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10.保障期间针对系统相关的各个关键环节制定全面的监控和性能数据统计方案，不断收集和分析监控和性能数据变化趋势，及时发现数据库相关的性能隐患，确保保障期间的性能稳定。</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11.保障期间持续跟踪、分析数据库相关系统的负载峰值，落实优化调整措施，提高系统性能、确保系统的稳定运行。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12.保障结束后3个工作日内，需主管部门和维护单位书面提交详细的《运行情况报告》，报告中包括但不限于业务承载情况、主要性能指标、数据库运行情况分析等。</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四、工程割接配合工作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对于重大的工程割接，为确保工程割接的顺利进行，运维服务方需组织技术专家配合工程的各项工作，主要包括并不限于以下工作：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1.组织技术专家参与整体方案讨论，并制订专门保障措施或方案。</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2.工程割接前的各项准备工作，包括技术支持、系统环境准备、系统环境调整、SQL脚本审核、导入导出相关数据以及系统调优等。</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3.配合相关厂商进行系统总体联调功能测试、压力测试。</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4.进行测试环境搭建、数据准备、跟踪监控、结果分析、测试后环境清理。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5.组织或配合进行系统应急演练测试和网络、主机、数据库、中间件、应用程序系统故障切换测试。</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6.在系统正式割接前的数据模拟割接中负责环境搭建、跟进处理模拟割接过程中发现的问题，并提出解决方案，并按要求改进实施。</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7.割接期间安排工程师到现场全程跟进工程割接上线全过程，从环境的检查、安装、调试、部署、调优全程技术支持，随时应对突发事件发生,直至系统成功上线。</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8.工程割接完成后，适时总结，提供分析报告。</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9.割接完成后，配合用户方进行系统升级完成后的测试、提交系统割接实施报告和性能测试报告等。</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五、应用版本上线配合服务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随着业务需求的日趋复杂，为避免版本上线对现网系统造成稳定性以及性能的影响，运维服务方须组织技术专家做好版本上线保障工作，包括：</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为减少版本上线后出现的性能问题，争取在上线前尽可能地发现新版本中潜在的风险，并解决这些潜在性能瓶颈，进一步提升上线版本的质量，运维服务方需从当前的数据结构及数据量情况出发，对开发商工程师提供的上线相关表结构、SQL语句信息进行评估。</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2.针对库表结构而言，从新增库表可能的数据量和未来维护效率、当前已存在的索引、索引冗余等多方面考虑其合理性。</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3.SQL语句的评审则主要是通过查看在测试环境中的执行计划，考察其是否有精简的可能性，是否合理使用现有索引，是否需要重构查询结构、改变访问顺序、添加适当提示等。尽可能减少SQL执行中的物理读、cpu time等。针对优化空间较小的SQL，及时与开发工程师联系，协商能否对应用层做一定修改。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4.运维服务方需组织工程师对版本上线的整个过程进行监控，从性能测试中及时发现上线后可能出现的性能瓶颈，并做出针对性的优化调整。</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上线后，对系统进行强化的实时监控，及时发现新版本对系统的影响，配合处理版本上线后的性能等问题。</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六、数据库监控服务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数据库监控服务，需要对数据库进行每日巡检，包括所有各类数据库。数据库日巡检内容如下表：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172"/>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核查所有实例运行</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核查LISTENER正常运行</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3</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核查可以成功连接数据库</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4</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核查可以成功备份数据库</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5</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核查存储资源有充足的可用空间</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6</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查看日志文件中出现的任何错误</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7</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查看SQL*Net日志中的错误信息</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8</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检查数据库进程数量</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9</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检查会话(Session)锁状态</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10</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检查不可用索引(UnusableIndex)</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11</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管理FlashbackRecovery区(10g、11g)</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12</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查看CPU、内存、网络、磁盘的争用情况</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13</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检查定义在DBMS_JOBS/DBMS_SCHEDULER的JOB状态</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14</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识别空间受限对象(Space-BoundObjects)</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1" w:type="pct"/>
            <w:noWrap/>
            <w:vAlign w:val="center"/>
          </w:tcPr>
          <w:p>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15</w:t>
            </w:r>
          </w:p>
        </w:tc>
        <w:tc>
          <w:tcPr>
            <w:tcW w:w="3982"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检查分析性能数据Workload profile\Database Hit Ratios（数据库命中率）\TOP SQLs</w:t>
            </w:r>
          </w:p>
        </w:tc>
        <w:tc>
          <w:tcPr>
            <w:tcW w:w="736" w:type="pct"/>
            <w:noWrap/>
            <w:vAlign w:val="center"/>
          </w:tcPr>
          <w:p>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每日巡检</w:t>
            </w:r>
          </w:p>
        </w:tc>
      </w:tr>
    </w:tbl>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七、咨询和技术支援服务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1.咨询和培训服务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用户方IT系统演进的规划，按用户方要求，不定期在数据库云化、整合、分布式数据库、Weblogic中间件等方面，提供电话、web、现场会议等手段的技术咨询；运维服务方在服务期限内必须提供至少5天的培训服务，每次参加培训的人数由用户方确定。每年提供1-2名相关专业认证的培训。</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2.技术支援服务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利用各种工具进行数据库性能监控，并通过各种手段不定期根据系统运行情况开展有效的优化。</w:t>
      </w:r>
    </w:p>
    <w:p>
      <w:pPr>
        <w:ind w:firstLine="480" w:firstLineChars="200"/>
        <w:jc w:val="left"/>
        <w:rPr>
          <w:rFonts w:ascii="仿宋" w:hAnsi="仿宋" w:eastAsia="仿宋" w:cs="仿宋"/>
          <w:sz w:val="24"/>
          <w:szCs w:val="24"/>
        </w:rPr>
      </w:pP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附件四 桌面运维服务内容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对医院全部的内外网计算机的桌面操作系统运行维护，内容包括桌面终端操作系统的问题处理、重新安装，日常应用软件、业务系统应用软件的安装维护。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一、台式机、笔记本、一体机、查询机等终端维护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院内电脑软硬件的日常维护、定期巡检、配件更换或增加、升级改造、故障诊断、故障排除、操作系统及应用软件升级，安装，以确保院内计算机系统正常使用（在维修维护过程中，乙方工程师有责任确保文件不丢失。系统无法修复需重装时，必须询问需保留的文件内容并进行备份。）。</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2.设备故障鉴定、设备及配件提供更换建议、故障配件更换，定期清洁及预防性维护。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乙方需对甲方新设备检测、现场安装调试；设备接入、设备迁移所需前端跳线、弱电井、小机房交换机到办公PC两端的网络跳线乙方需提前准备；设备使用地点变更，按照甲方要求负责设备拆卸、搬迁，新使用地点设备安装、调试、网络接入。</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4.各种办公软件(OFFICE、WPS等)的安装、升级、参数配置，安装杀毒</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软件，定期进行杀毒，性能调试、故障排除等;</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5.局域网连接，网络调整、共享资料等建立台账、并按季度巡检全院终端，提交巡检报告。</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6.关键业务时间节点、重大系统割接、迁移以及上线配合服务须提供保障服务。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二、医院配置的扫描仪、刷卡器、PDA等设备</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1.协助解决安装、调试扫描仪、刷卡器、PDA等外设。</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2.软硬件的日常维护、定期巡检、配件更换或增加、升级改造。确保设备的正常运行。</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3.定期进行性能调试、故障排除等;建立台账，定期更新维护台账。</w:t>
      </w:r>
    </w:p>
    <w:p>
      <w:pPr>
        <w:jc w:val="left"/>
        <w:rPr>
          <w:rFonts w:ascii="仿宋" w:hAnsi="仿宋" w:eastAsia="仿宋" w:cs="仿宋"/>
          <w:sz w:val="24"/>
          <w:szCs w:val="24"/>
        </w:rPr>
      </w:pPr>
    </w:p>
    <w:p>
      <w:pPr>
        <w:ind w:firstLine="480" w:firstLineChars="200"/>
        <w:jc w:val="left"/>
        <w:rPr>
          <w:rFonts w:ascii="仿宋" w:hAnsi="仿宋" w:eastAsia="仿宋" w:cs="仿宋"/>
          <w:sz w:val="24"/>
          <w:szCs w:val="24"/>
        </w:rPr>
      </w:pP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附件五 数据安全运维服务内容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一、数据安全服务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1.定期硬盘及存储介质底层检测，每季度不少于1次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2.硬盘健康状况检测报告</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3.告知用户数据安全风险，提供解决方案及建议</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4.重要数据及数据库进行定期备份安全测试，保证备份数据有效性</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二、紧急救援服务</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维保内设备如遇任何数据安全故障，在备份不可用情况下提供上门数据恢复服务，最短时间内免费进行数据恢复工作，最大限度地恢复数据。须具备以下数据灾难应急救援能力：</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1.具有专业数据恢复人员,取得数据恢复工程师认证证书</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2.在乌鲁木齐本地具备数据恢复所需条件，包括：独立的数据恢复工作间、数据恢复硬件设备、数据恢复软件</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3.具有独立完成的磁盘整列和虚拟化环境下数据恢复相关案例。</w:t>
      </w:r>
    </w:p>
    <w:p>
      <w:pPr>
        <w:ind w:firstLine="640" w:firstLineChars="200"/>
        <w:jc w:val="left"/>
        <w:rPr>
          <w:rFonts w:ascii="仿宋" w:hAnsi="仿宋" w:eastAsia="仿宋" w:cs="仿宋"/>
          <w:sz w:val="32"/>
          <w:szCs w:val="32"/>
        </w:rPr>
      </w:pP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附件六 机房动力环境运维服务内容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采用全包价的承包方式，维修保养费用包括：机房设备日常维护所需所有耗材、上下水管线、空调室外机清洗、更换原厂滤网、制冷剂、保险丝（管）等耗材，机房设备的维护、维修产生的材料费、故障维修所需的备件费、维修备件的运输费、搬运费、工程师及原厂工程技术人员的差旅费、维修费等全部费用。</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机房动力环境运维服务内容包括每月一次现场巡检，以及机房设备日常运行维护，具体内容如下：</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一、机房空调系统</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1.控制系统的维护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从空调系统的显示屏上检查空调系统的各项功能及参数；</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如有报警的情况要检查报警记录，并分析报警原因；</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检查温度、湿度传感器的工作状态；</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2.压缩机的巡回检查及维护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检查压缩机工作状态，检查高、低压保护开关、干燥过滤器等其他附件。</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3.冷凝器的巡回检查及维护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检查冷凝器的固定情况，冷凝器的固定件是否有松动的迹象，以免对冷媒管线及室外机造成损坏。检查冷媒管线有无破损的情况，检查冷媒管线的保温状况。检查风扇的运行状况：主要检查风扇的轴承、底座、电机等的工作情况，在风扇运行时是否有异常震动，风扇的扇在转动时是否在同一个平面上。检查冷凝器下面是否有杂物影响风道的畅通，从而影响冷凝器的冷凝效果；检查冷凝器的翅片有无破损的状况。检查冷凝器工作时的电流，从工作电流进一步判断风扇的工作情况。检查调速开关，检查在规定的压力范围内，调速开关能否正常控制风扇的启动和停止。</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4.蒸发器、膨胀阀的巡回检查及维护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蒸发器、膨胀阀的维护主要是检查蒸发器盘管是否清洁，是否有结霜的现象出现，以及蒸发器排水托盘排水是否畅通。</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5.加湿系统的巡检及维护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（1）观察水槽内是否有沉淀物质。</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（2）检查上水和排水电磁阀的工作情况。</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（3）检查加湿水槽排水管道是否畅通。</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（4）检查漏水探测器。</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 空气循环系统的巡回检查及维护</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（1）检查空调过滤器是否干净。</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（2）检查风机的运行状况：检查风机各部件的紧固情况及平衡，检查轴承、皮带、共振等情况，皮带调整的松紧程度是否合适。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（3）测量电机运转电流，看是否在规定的范围内，根据测得的参数判断电机是否是正常运转。</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（4）检查隔风栅。 </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（5）检查计算机及其它需要制冷的设备进风侧的风压。</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二、机房UPS供电系统</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1.UPS除尘处理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半年内对每台UPS进行一次除尘处理，详细检修实施步骤：中心机房有两台UPS，在除尘时可停掉其中一台，负载由另一台承担（需要评估负载承担风险），其他机房的单UPS只能停机处理。停机后打开UPS顶盖和UPS前挡板，用专用毛刷将电路板和重要部件的灰尘进行清扫，再用小风量专用小型吸尘器将浮尘吸净，对所有接线端子进行全面检查，检查有无发热现象，并做紧丝处理，以保证UPS所有接线完好，无松动。清扫和检修完毕后，开启UPS，检查UPS运行状态以及供电是否正常恢复。</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按以上方法将所有机房的UPS清理干净并检修，需要专业工程师参加。</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2.UPS风机检查</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风扇在UPS各部件中占有非常重要的地位，一旦风扇出了故障，则整台机器将因过温而停止工作。因此，每次对UPS维护时将对风扇进行细致检查，一旦有风扇运行不正常或发出异常杂音，要及时更换。</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3.UPS状态信息参数查询</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每次UPS维护时，先对UPS参数及信息进行查询，重要查询历史事件记录，看是否有告警代码，事件发生的日期与时间，查明原因并及时解决。如果是某控制部分参数或元器件有问题造成参数变化的告警，要更换此电路板，以确保UPS的安全工作。如果是市电或其他原因造成的告警且不影响UPS的正常使用的，要以书面形式加以说明。需更改参数的及时更改，以避免不必要的告警打扰。</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4.UPS逆变器电容维护保养</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对逆变器电容进行全面保养。每季度对逆变器电容进行一次放电激活，每台UPS将放电20分钟。每一年对逆变器电容做深度放电一次，已达到全面激活逆变器电容的目的，每台UPS放电40分钟。</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5.备用易损件</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为了能做到突发事件的应急处理，要求在机房存放2套UPS主机的易损件（同型号旁路保险丝和逆变器电容直流保险丝）。并培训用户一旦出现应急情况应如何进行更换此配件和应注意事项。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三、机房动力环境监控系统</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1.软件部分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（1）检查服务器操作系统是否正常工作；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（2）检查服务器内硬件资源使用情况；</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（3）检查软件是否正常使用；</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（4）检查监控界面数据是否显示正常；</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（5）检查监控界面内的报警数据、历史数据、系统日志等信息，对相关设备的故障及报警等信息及时处理；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（6）检查监控界面系统各项设置是否正常；</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（7）通过修改报警阀值测试报警，查看短信、电话语音报警是否工作正常；报警接收人是否能正常接收报警信息；</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（8）检查数据采集程序（监控状态）是否工作正常；串口程序、短信程序、电话语音程序、网络采集程序工作是否正常；</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2.硬件部分</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（1）查看服务器硬件运行状态；</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（2）查看数据采集板卡工作状态；</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（3）查看前端温湿度、漏水等传感器是否正常工作；</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（4）查看前端硬件通讯线是否有损坏或者松动的情况；</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（5）测试前端部件灵敏度和精准度；</w:t>
      </w:r>
    </w:p>
    <w:p>
      <w:pPr>
        <w:jc w:val="left"/>
        <w:rPr>
          <w:rFonts w:ascii="仿宋" w:hAnsi="仿宋" w:eastAsia="仿宋" w:cs="仿宋"/>
          <w:sz w:val="24"/>
          <w:szCs w:val="24"/>
        </w:rPr>
      </w:pPr>
    </w:p>
    <w:p>
      <w:pPr>
        <w:keepNext/>
        <w:spacing w:line="440" w:lineRule="exact"/>
        <w:outlineLvl w:val="1"/>
        <w:rPr>
          <w:rFonts w:ascii="仿宋" w:hAnsi="仿宋" w:eastAsia="仿宋" w:cs="仿宋"/>
          <w:b/>
          <w:bCs/>
          <w:sz w:val="24"/>
          <w:szCs w:val="24"/>
        </w:rPr>
      </w:pPr>
      <w:r>
        <w:rPr>
          <w:rFonts w:hint="eastAsia" w:ascii="仿宋" w:hAnsi="仿宋" w:eastAsia="仿宋" w:cs="仿宋"/>
          <w:b/>
          <w:bCs/>
          <w:sz w:val="24"/>
          <w:szCs w:val="24"/>
        </w:rPr>
        <w:t>附件七 信息点部署服务内容</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根据医院网络信息点部署实际需要，在运维服务期内，本项目包含每年100个六类网络信息点的零散布线服务，超出100个信息点费用如下：单点5个以下100元/个，5个以上按照工时计算500元</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布线标准严格按照国家相关标准和规范，包含材料和人工。运维服务方在收到通知后，最晚第二天进场开工，完工后由用户方组织验收，以实际满足使用为准。</w:t>
      </w:r>
    </w:p>
    <w:p>
      <w:pPr>
        <w:spacing w:line="440" w:lineRule="exact"/>
        <w:jc w:val="left"/>
        <w:rPr>
          <w:rFonts w:ascii="仿宋" w:hAnsi="仿宋" w:eastAsia="仿宋" w:cs="仿宋"/>
          <w:b/>
          <w:sz w:val="32"/>
          <w:szCs w:val="32"/>
        </w:rPr>
      </w:pPr>
    </w:p>
    <w:p>
      <w:pPr>
        <w:keepNext/>
        <w:spacing w:line="440" w:lineRule="exact"/>
        <w:outlineLvl w:val="1"/>
        <w:rPr>
          <w:rFonts w:ascii="仿宋" w:hAnsi="仿宋" w:eastAsia="仿宋" w:cs="仿宋"/>
          <w:b/>
          <w:sz w:val="24"/>
          <w:szCs w:val="24"/>
        </w:rPr>
      </w:pPr>
      <w:r>
        <w:rPr>
          <w:rFonts w:hint="eastAsia" w:ascii="仿宋" w:hAnsi="仿宋" w:eastAsia="仿宋" w:cs="仿宋"/>
          <w:b/>
          <w:bCs/>
          <w:sz w:val="24"/>
          <w:szCs w:val="24"/>
        </w:rPr>
        <w:t xml:space="preserve">附件八 </w:t>
      </w:r>
      <w:r>
        <w:rPr>
          <w:rFonts w:hint="eastAsia" w:ascii="仿宋" w:hAnsi="仿宋" w:eastAsia="仿宋" w:cs="仿宋"/>
          <w:b/>
          <w:sz w:val="24"/>
          <w:szCs w:val="24"/>
        </w:rPr>
        <w:t>网络安全设备、服务器、存储、数据库、虚拟机、动环设备清单</w:t>
      </w:r>
    </w:p>
    <w:p>
      <w:pPr>
        <w:spacing w:line="440" w:lineRule="exact"/>
        <w:jc w:val="left"/>
      </w:pPr>
      <w:r>
        <w:rPr>
          <w:rFonts w:hint="eastAsia" w:ascii="仿宋" w:hAnsi="仿宋" w:eastAsia="仿宋" w:cs="仿宋"/>
          <w:sz w:val="24"/>
          <w:szCs w:val="24"/>
        </w:rPr>
        <w:t>一、网络及安全设备清单</w:t>
      </w:r>
    </w:p>
    <w:tbl>
      <w:tblPr>
        <w:tblStyle w:val="43"/>
        <w:tblW w:w="8926" w:type="dxa"/>
        <w:jc w:val="center"/>
        <w:tblLayout w:type="autofit"/>
        <w:tblCellMar>
          <w:top w:w="0" w:type="dxa"/>
          <w:left w:w="108" w:type="dxa"/>
          <w:bottom w:w="0" w:type="dxa"/>
          <w:right w:w="108" w:type="dxa"/>
        </w:tblCellMar>
      </w:tblPr>
      <w:tblGrid>
        <w:gridCol w:w="704"/>
        <w:gridCol w:w="1134"/>
        <w:gridCol w:w="2977"/>
        <w:gridCol w:w="3260"/>
        <w:gridCol w:w="851"/>
      </w:tblGrid>
      <w:tr>
        <w:tblPrEx>
          <w:tblCellMar>
            <w:top w:w="0" w:type="dxa"/>
            <w:left w:w="108" w:type="dxa"/>
            <w:bottom w:w="0" w:type="dxa"/>
            <w:right w:w="108" w:type="dxa"/>
          </w:tblCellMar>
        </w:tblPrEx>
        <w:trPr>
          <w:trHeight w:val="28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kern w:val="0"/>
                <w:sz w:val="22"/>
              </w:rPr>
            </w:pPr>
            <w:r>
              <w:rPr>
                <w:rFonts w:hint="eastAsia" w:ascii="仿宋" w:hAnsi="仿宋" w:eastAsia="仿宋" w:cs="仿宋"/>
                <w:b/>
                <w:bCs/>
                <w:color w:val="000000"/>
                <w:kern w:val="0"/>
                <w:sz w:val="22"/>
              </w:rPr>
              <w:t>设备类型</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kern w:val="0"/>
                <w:sz w:val="22"/>
              </w:rPr>
            </w:pPr>
            <w:r>
              <w:rPr>
                <w:rFonts w:hint="eastAsia" w:ascii="仿宋" w:hAnsi="仿宋" w:eastAsia="仿宋" w:cs="仿宋"/>
                <w:b/>
                <w:bCs/>
                <w:color w:val="000000"/>
                <w:kern w:val="0"/>
                <w:sz w:val="22"/>
              </w:rPr>
              <w:t>设备名称</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kern w:val="0"/>
                <w:sz w:val="22"/>
              </w:rPr>
            </w:pPr>
            <w:r>
              <w:rPr>
                <w:rFonts w:hint="eastAsia" w:ascii="仿宋" w:hAnsi="仿宋" w:eastAsia="仿宋" w:cs="仿宋"/>
                <w:b/>
                <w:bCs/>
                <w:color w:val="000000"/>
                <w:kern w:val="0"/>
                <w:sz w:val="22"/>
              </w:rPr>
              <w:t>设备品牌/型号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kern w:val="0"/>
                <w:sz w:val="22"/>
              </w:rPr>
            </w:pPr>
            <w:r>
              <w:rPr>
                <w:rFonts w:hint="eastAsia" w:ascii="仿宋" w:hAnsi="仿宋" w:eastAsia="仿宋" w:cs="仿宋"/>
                <w:b/>
                <w:bCs/>
                <w:color w:val="000000"/>
                <w:kern w:val="0"/>
                <w:sz w:val="22"/>
              </w:rPr>
              <w:t>数量</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c>
          <w:tcPr>
            <w:tcW w:w="1134"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网络设备</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核心交换机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华为CloudEngine S12700e-8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光纤汇聚交换机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CE6881-48S6CQ</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汇聚交换机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S6735-S48X6C</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S5731-S48T4X</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76</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迪普LSW3600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H3C S5500V2-24P-SI</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S5720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光纤接入交换机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华为S6735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FC光纤交换机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博科 Brocade 6510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FC光纤交换机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OceanStor SNS3664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FC光纤交换机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思科 Cisco 9148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12</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无线汇聚交换机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S6720-30C-EI-24S-AC</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13</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无线汇聚交换机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S6720-54C-EI-48S-AC</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14</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无线控制器（AC）</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华为AC6805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15</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无线认证</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华为Agile Controller-Campus</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16</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tcPr>
          <w:p>
            <w:pPr>
              <w:widowControl/>
              <w:spacing w:line="300" w:lineRule="auto"/>
              <w:jc w:val="center"/>
              <w:textAlignment w:val="center"/>
              <w:rPr>
                <w:rFonts w:ascii="仿宋" w:hAnsi="仿宋" w:eastAsia="仿宋" w:cs="仿宋"/>
                <w:color w:val="000000"/>
                <w:sz w:val="22"/>
              </w:rPr>
            </w:pPr>
            <w:r>
              <w:rPr>
                <w:rFonts w:hint="eastAsia" w:ascii="仿宋" w:hAnsi="仿宋" w:eastAsia="仿宋" w:cs="仿宋"/>
                <w:color w:val="000000"/>
                <w:sz w:val="22"/>
              </w:rPr>
              <w:t>无线POE接入交换机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S5720-28X-PWR-LI-AC</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17</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无线POE接入交换机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S5720-12TP-PWR-LI-AC</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15</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18</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无线中心AP</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AD9431DN-24X</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53</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无线远端单元</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R251D-E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1148</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20</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无线放装AP</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AirEngine5760-10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59</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21</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无线面板AP</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sz w:val="22"/>
              </w:rPr>
              <w:t>AP2051DN-E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22</w:t>
            </w:r>
          </w:p>
        </w:tc>
        <w:tc>
          <w:tcPr>
            <w:tcW w:w="1134"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锐捷无线AC</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锐捷 RG-WS6812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23</w:t>
            </w: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冠新区域平台</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sz w:val="22"/>
              </w:rPr>
            </w:pPr>
            <w:r>
              <w:rPr>
                <w:rFonts w:hint="eastAsia" w:ascii="仿宋" w:hAnsi="仿宋" w:eastAsia="仿宋" w:cs="仿宋"/>
                <w:color w:val="000000"/>
                <w:sz w:val="22"/>
              </w:rPr>
              <w:t>华为 AR2200 Series</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安全设备</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防火墙</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USG6620E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防火墙</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USG6630E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防火墙</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USG6585E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WEB应用防火墙</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WAF 5260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28</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数据库审计</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安恒 DAS-DBAuditor</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日志审计</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HiSec LogAuditor 1520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28</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漏洞扫描</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VSCVN 1000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eSight网管</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2288X V5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30</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上网行为审计</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HUAWEI ASG5520E</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CA安全认证网关</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SSL-E-2040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态势感知</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H22X-05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网御星云</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网御星云SJJ1541-230H</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网闸</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天行网安TG9259-G</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堡垒机</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华为 UMA1520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28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rPr>
            </w:pPr>
          </w:p>
        </w:tc>
        <w:tc>
          <w:tcPr>
            <w:tcW w:w="623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color w:val="000000"/>
                <w:kern w:val="0"/>
                <w:sz w:val="22"/>
              </w:rPr>
            </w:pPr>
            <w:r>
              <w:rPr>
                <w:rFonts w:hint="eastAsia" w:ascii="仿宋" w:hAnsi="仿宋" w:eastAsia="仿宋" w:cs="仿宋"/>
                <w:b/>
                <w:color w:val="000000"/>
                <w:kern w:val="0"/>
                <w:sz w:val="22"/>
              </w:rPr>
              <w:t>合计</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color w:val="000000"/>
                <w:kern w:val="0"/>
                <w:sz w:val="22"/>
              </w:rPr>
            </w:pPr>
            <w:r>
              <w:rPr>
                <w:rFonts w:hint="eastAsia" w:ascii="仿宋" w:hAnsi="仿宋" w:eastAsia="仿宋" w:cs="仿宋"/>
                <w:b/>
                <w:color w:val="000000"/>
                <w:kern w:val="0"/>
                <w:sz w:val="22"/>
              </w:rPr>
              <w:t>1537</w:t>
            </w:r>
          </w:p>
        </w:tc>
      </w:tr>
    </w:tbl>
    <w:p>
      <w:pPr>
        <w:jc w:val="left"/>
        <w:rPr>
          <w:rFonts w:ascii="仿宋" w:hAnsi="仿宋" w:eastAsia="仿宋" w:cs="仿宋"/>
          <w:sz w:val="24"/>
          <w:szCs w:val="24"/>
        </w:rPr>
      </w:pPr>
    </w:p>
    <w:p>
      <w:pPr>
        <w:jc w:val="left"/>
        <w:rPr>
          <w:rFonts w:ascii="仿宋" w:hAnsi="仿宋" w:eastAsia="仿宋" w:cs="仿宋"/>
          <w:sz w:val="24"/>
          <w:szCs w:val="24"/>
        </w:rPr>
      </w:pPr>
      <w:r>
        <w:rPr>
          <w:rFonts w:hint="eastAsia" w:ascii="仿宋" w:hAnsi="仿宋" w:eastAsia="仿宋" w:cs="仿宋"/>
          <w:sz w:val="24"/>
          <w:szCs w:val="24"/>
        </w:rPr>
        <w:t>二、服务器清单</w:t>
      </w:r>
    </w:p>
    <w:tbl>
      <w:tblPr>
        <w:tblStyle w:val="43"/>
        <w:tblpPr w:leftFromText="180" w:rightFromText="180" w:vertAnchor="text" w:tblpXSpec="center" w:tblpY="1"/>
        <w:tblOverlap w:val="never"/>
        <w:tblW w:w="8647" w:type="dxa"/>
        <w:jc w:val="center"/>
        <w:tblLayout w:type="fixed"/>
        <w:tblCellMar>
          <w:top w:w="0" w:type="dxa"/>
          <w:left w:w="108" w:type="dxa"/>
          <w:bottom w:w="0" w:type="dxa"/>
          <w:right w:w="108" w:type="dxa"/>
        </w:tblCellMar>
      </w:tblPr>
      <w:tblGrid>
        <w:gridCol w:w="1701"/>
        <w:gridCol w:w="2977"/>
        <w:gridCol w:w="2835"/>
        <w:gridCol w:w="1134"/>
      </w:tblGrid>
      <w:tr>
        <w:tblPrEx>
          <w:tblCellMar>
            <w:top w:w="0" w:type="dxa"/>
            <w:left w:w="108" w:type="dxa"/>
            <w:bottom w:w="0" w:type="dxa"/>
            <w:right w:w="108" w:type="dxa"/>
          </w:tblCellMar>
        </w:tblPrEx>
        <w:trPr>
          <w:trHeight w:val="454" w:hRule="exact"/>
          <w:tblHeader/>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left w:w="28" w:type="dxa"/>
              <w:right w:w="28" w:type="dxa"/>
            </w:tcMar>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设备名称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型号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left w:w="28" w:type="dxa"/>
              <w:right w:w="28" w:type="dxa"/>
            </w:tcMar>
            <w:vAlign w:val="center"/>
          </w:tcPr>
          <w:p>
            <w:pPr>
              <w:widowControl/>
              <w:spacing w:line="360" w:lineRule="auto"/>
              <w:jc w:val="center"/>
              <w:textAlignment w:val="center"/>
              <w:rPr>
                <w:rFonts w:ascii="仿宋" w:hAnsi="仿宋" w:eastAsia="仿宋" w:cs="仿宋"/>
                <w:b/>
                <w:color w:val="000000"/>
                <w:sz w:val="22"/>
              </w:rPr>
            </w:pPr>
            <w:r>
              <w:rPr>
                <w:rFonts w:hint="eastAsia" w:ascii="仿宋" w:hAnsi="仿宋" w:eastAsia="仿宋" w:cs="仿宋"/>
                <w:b/>
                <w:color w:val="000000"/>
                <w:kern w:val="0"/>
                <w:sz w:val="22"/>
                <w:lang w:bidi="ar"/>
              </w:rPr>
              <w:t>数量</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卫星时钟服务器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BJHRKC HR-906A</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心电软件服务器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Thinksystem SR590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电子票据CA服务器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CA认证网关</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KOAL E2040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PACS报表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sz w:val="22"/>
              </w:rPr>
              <w:t>IBM 3650M4</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外网虚拟机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宝德 PR2012P3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3</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内网虚拟机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华为 2288HV5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8</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8</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集成平台服务器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华为2288HV5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4</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9</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数据中心服务器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华为2288HV5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电子病历服务器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华为2288HV5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HIS数据库小型机(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IBM P740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HIS数据库服务器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联想 SR860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PACS数据库服务器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华为 2288H  V5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PACS数据库小型机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IBM P730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PACS自助打印服务器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DELL PowerEdge R730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自助机掌医服务器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H3C UniServer R4900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自助机M</w:t>
            </w:r>
            <w:r>
              <w:rPr>
                <w:rFonts w:hint="eastAsia" w:ascii="仿宋" w:hAnsi="仿宋" w:eastAsia="仿宋" w:cs="仿宋"/>
                <w:color w:val="000000"/>
                <w:sz w:val="22"/>
                <w:lang w:bidi="ar"/>
              </w:rPr>
              <w:t>IS服务器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H</w:t>
            </w:r>
            <w:r>
              <w:rPr>
                <w:rFonts w:hint="eastAsia" w:ascii="仿宋" w:hAnsi="仿宋" w:eastAsia="仿宋" w:cs="仿宋"/>
                <w:color w:val="000000"/>
                <w:sz w:val="22"/>
                <w:lang w:bidi="ar"/>
              </w:rPr>
              <w:t>3C</w:t>
            </w:r>
            <w:r>
              <w:rPr>
                <w:rFonts w:hint="eastAsia" w:ascii="仿宋" w:hAnsi="仿宋" w:eastAsia="仿宋" w:cs="仿宋"/>
                <w:color w:val="000000"/>
                <w:kern w:val="0"/>
                <w:sz w:val="22"/>
                <w:lang w:bidi="ar"/>
              </w:rPr>
              <w:t xml:space="preserve"> UniServer R4900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18</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药库冷链系统服务器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IBM System X 3250 M6</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19</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公安面部识别服务器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联想 ThinkServer RD450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22"/>
              </w:rPr>
            </w:pPr>
            <w:r>
              <w:rPr>
                <w:rFonts w:hint="eastAsia" w:ascii="仿宋" w:hAnsi="仿宋" w:eastAsia="仿宋" w:cs="仿宋"/>
                <w:sz w:val="22"/>
              </w:rPr>
              <w:t>SPD数据库服务器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H3C UniServer R4900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SPD前置机</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 xml:space="preserve">H3C UniServer </w:t>
            </w:r>
            <w:r>
              <w:rPr>
                <w:rFonts w:hint="eastAsia" w:ascii="仿宋" w:hAnsi="仿宋" w:eastAsia="仿宋" w:cs="仿宋"/>
              </w:rPr>
              <w:t xml:space="preserve"> </w:t>
            </w:r>
            <w:r>
              <w:rPr>
                <w:rFonts w:hint="eastAsia" w:ascii="仿宋" w:hAnsi="仿宋" w:eastAsia="仿宋" w:cs="仿宋"/>
                <w:color w:val="000000"/>
                <w:kern w:val="0"/>
                <w:sz w:val="22"/>
                <w:lang w:bidi="ar"/>
              </w:rPr>
              <w:t>R2700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SPD数据库备份服务器</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H3C UniServer R4900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新特</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联想 ThinkServer TS250</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HIS DG</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浪潮 inspur N series</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PACS DG</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浪潮 inspur N series</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EMR DG</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H3C UniServer R4900 G3</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27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2"/>
              </w:rPr>
            </w:pPr>
            <w:r>
              <w:rPr>
                <w:rFonts w:hint="eastAsia" w:ascii="仿宋" w:hAnsi="仿宋" w:eastAsia="仿宋" w:cs="仿宋"/>
                <w:sz w:val="22"/>
              </w:rPr>
              <w:t>LIS DG</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IBM System X3650 M5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1</w:t>
            </w: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color w:val="000000"/>
                <w:kern w:val="0"/>
                <w:sz w:val="22"/>
                <w:lang w:bidi="ar"/>
              </w:rPr>
            </w:pPr>
          </w:p>
        </w:tc>
        <w:tc>
          <w:tcPr>
            <w:tcW w:w="58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b/>
                <w:color w:val="000000"/>
                <w:kern w:val="0"/>
                <w:sz w:val="22"/>
                <w:lang w:bidi="ar"/>
              </w:rPr>
            </w:pPr>
            <w:r>
              <w:rPr>
                <w:rFonts w:hint="eastAsia" w:ascii="仿宋" w:hAnsi="仿宋" w:eastAsia="仿宋" w:cs="仿宋"/>
                <w:b/>
                <w:color w:val="000000"/>
                <w:kern w:val="0"/>
                <w:sz w:val="22"/>
                <w:lang w:bidi="ar"/>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b/>
                <w:color w:val="000000"/>
                <w:kern w:val="0"/>
                <w:sz w:val="22"/>
                <w:lang w:bidi="ar"/>
              </w:rPr>
            </w:pPr>
            <w:r>
              <w:rPr>
                <w:rFonts w:hint="eastAsia" w:ascii="仿宋" w:hAnsi="仿宋" w:eastAsia="仿宋" w:cs="仿宋"/>
                <w:b/>
                <w:color w:val="000000"/>
                <w:kern w:val="0"/>
                <w:sz w:val="22"/>
                <w:lang w:bidi="ar"/>
              </w:rPr>
              <w:t>44</w:t>
            </w:r>
          </w:p>
        </w:tc>
      </w:tr>
    </w:tbl>
    <w:p>
      <w:pPr>
        <w:jc w:val="left"/>
        <w:rPr>
          <w:rFonts w:ascii="仿宋" w:hAnsi="仿宋" w:eastAsia="仿宋" w:cs="仿宋"/>
          <w:sz w:val="24"/>
          <w:szCs w:val="24"/>
        </w:rPr>
      </w:pPr>
    </w:p>
    <w:p>
      <w:pPr>
        <w:jc w:val="left"/>
        <w:rPr>
          <w:rFonts w:ascii="仿宋" w:hAnsi="仿宋" w:eastAsia="仿宋" w:cs="仿宋"/>
          <w:sz w:val="24"/>
          <w:szCs w:val="24"/>
        </w:rPr>
      </w:pPr>
      <w:r>
        <w:rPr>
          <w:rFonts w:hint="eastAsia" w:ascii="仿宋" w:hAnsi="仿宋" w:eastAsia="仿宋" w:cs="仿宋"/>
          <w:sz w:val="24"/>
          <w:szCs w:val="24"/>
        </w:rPr>
        <w:t>三、存储清单</w:t>
      </w:r>
    </w:p>
    <w:tbl>
      <w:tblPr>
        <w:tblStyle w:val="43"/>
        <w:tblW w:w="4998" w:type="pct"/>
        <w:tblInd w:w="0" w:type="dxa"/>
        <w:tblLayout w:type="autofit"/>
        <w:tblCellMar>
          <w:top w:w="0" w:type="dxa"/>
          <w:left w:w="108" w:type="dxa"/>
          <w:bottom w:w="0" w:type="dxa"/>
          <w:right w:w="108" w:type="dxa"/>
        </w:tblCellMar>
      </w:tblPr>
      <w:tblGrid>
        <w:gridCol w:w="1400"/>
        <w:gridCol w:w="4117"/>
        <w:gridCol w:w="3482"/>
      </w:tblGrid>
      <w:tr>
        <w:tblPrEx>
          <w:tblCellMar>
            <w:top w:w="0" w:type="dxa"/>
            <w:left w:w="108" w:type="dxa"/>
            <w:bottom w:w="0" w:type="dxa"/>
            <w:right w:w="108" w:type="dxa"/>
          </w:tblCellMar>
        </w:tblPrEx>
        <w:trPr>
          <w:trHeight w:val="402" w:hRule="atLeast"/>
        </w:trPr>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序号</w:t>
            </w:r>
          </w:p>
        </w:tc>
        <w:tc>
          <w:tcPr>
            <w:tcW w:w="228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kern w:val="0"/>
                <w:sz w:val="22"/>
              </w:rPr>
            </w:pPr>
            <w:r>
              <w:rPr>
                <w:rFonts w:hint="eastAsia" w:ascii="仿宋" w:hAnsi="仿宋" w:eastAsia="仿宋" w:cs="仿宋"/>
                <w:b/>
                <w:bCs/>
                <w:kern w:val="0"/>
                <w:sz w:val="22"/>
              </w:rPr>
              <w:t>品牌型号</w:t>
            </w:r>
          </w:p>
        </w:tc>
        <w:tc>
          <w:tcPr>
            <w:tcW w:w="1934" w:type="pct"/>
            <w:tcBorders>
              <w:top w:val="single" w:color="auto" w:sz="4" w:space="0"/>
              <w:left w:val="nil"/>
              <w:bottom w:val="single" w:color="auto" w:sz="4" w:space="0"/>
              <w:right w:val="single" w:color="auto" w:sz="4" w:space="0"/>
            </w:tcBorders>
          </w:tcPr>
          <w:p>
            <w:pPr>
              <w:widowControl/>
              <w:jc w:val="center"/>
              <w:rPr>
                <w:rFonts w:ascii="仿宋" w:hAnsi="仿宋" w:eastAsia="仿宋" w:cs="仿宋"/>
                <w:b/>
                <w:bCs/>
                <w:kern w:val="0"/>
                <w:sz w:val="22"/>
              </w:rPr>
            </w:pPr>
            <w:r>
              <w:rPr>
                <w:rFonts w:hint="eastAsia" w:ascii="仿宋" w:hAnsi="仿宋" w:eastAsia="仿宋" w:cs="仿宋"/>
                <w:b/>
                <w:bCs/>
                <w:kern w:val="0"/>
                <w:sz w:val="22"/>
              </w:rPr>
              <w:t>数量</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1</w:t>
            </w:r>
          </w:p>
        </w:tc>
        <w:tc>
          <w:tcPr>
            <w:tcW w:w="2287"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EMC VNX5400</w:t>
            </w:r>
          </w:p>
        </w:tc>
        <w:tc>
          <w:tcPr>
            <w:tcW w:w="1934" w:type="pct"/>
            <w:tcBorders>
              <w:left w:val="single" w:color="auto" w:sz="4" w:space="0"/>
              <w:bottom w:val="single" w:color="auto" w:sz="4" w:space="0"/>
              <w:right w:val="single" w:color="auto" w:sz="4" w:space="0"/>
            </w:tcBorders>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2</w:t>
            </w:r>
          </w:p>
        </w:tc>
        <w:tc>
          <w:tcPr>
            <w:tcW w:w="2287"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EMC VNX5600</w:t>
            </w:r>
          </w:p>
        </w:tc>
        <w:tc>
          <w:tcPr>
            <w:tcW w:w="1934" w:type="pct"/>
            <w:tcBorders>
              <w:left w:val="single" w:color="auto" w:sz="4" w:space="0"/>
              <w:bottom w:val="single" w:color="auto" w:sz="4" w:space="0"/>
              <w:right w:val="single" w:color="auto" w:sz="4" w:space="0"/>
            </w:tcBorders>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3</w:t>
            </w:r>
          </w:p>
        </w:tc>
        <w:tc>
          <w:tcPr>
            <w:tcW w:w="22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华为 OceanStor 5310</w:t>
            </w:r>
          </w:p>
        </w:tc>
        <w:tc>
          <w:tcPr>
            <w:tcW w:w="1934" w:type="pct"/>
            <w:tcBorders>
              <w:top w:val="nil"/>
              <w:left w:val="nil"/>
              <w:bottom w:val="single" w:color="auto" w:sz="4" w:space="0"/>
              <w:right w:val="single" w:color="auto" w:sz="4" w:space="0"/>
            </w:tcBorders>
          </w:tcPr>
          <w:p>
            <w:pPr>
              <w:widowControl/>
              <w:jc w:val="center"/>
              <w:rPr>
                <w:rFonts w:ascii="仿宋" w:hAnsi="仿宋" w:eastAsia="仿宋" w:cs="仿宋"/>
                <w:kern w:val="0"/>
                <w:sz w:val="22"/>
              </w:rPr>
            </w:pPr>
            <w:r>
              <w:rPr>
                <w:rFonts w:hint="eastAsia" w:ascii="仿宋" w:hAnsi="仿宋" w:eastAsia="仿宋" w:cs="仿宋"/>
                <w:kern w:val="0"/>
                <w:sz w:val="22"/>
              </w:rPr>
              <w:t>1</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4</w:t>
            </w:r>
          </w:p>
        </w:tc>
        <w:tc>
          <w:tcPr>
            <w:tcW w:w="22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华为 OceanStor 5110</w:t>
            </w:r>
          </w:p>
        </w:tc>
        <w:tc>
          <w:tcPr>
            <w:tcW w:w="1934" w:type="pct"/>
            <w:tcBorders>
              <w:top w:val="nil"/>
              <w:left w:val="nil"/>
              <w:bottom w:val="single" w:color="auto" w:sz="4" w:space="0"/>
              <w:right w:val="single" w:color="auto" w:sz="4" w:space="0"/>
            </w:tcBorders>
          </w:tcPr>
          <w:p>
            <w:pPr>
              <w:widowControl/>
              <w:jc w:val="center"/>
              <w:rPr>
                <w:rFonts w:ascii="仿宋" w:hAnsi="仿宋" w:eastAsia="仿宋" w:cs="仿宋"/>
                <w:kern w:val="0"/>
                <w:sz w:val="22"/>
              </w:rPr>
            </w:pPr>
            <w:r>
              <w:rPr>
                <w:rFonts w:hint="eastAsia" w:ascii="仿宋" w:hAnsi="仿宋" w:eastAsia="仿宋" w:cs="仿宋"/>
                <w:kern w:val="0"/>
                <w:sz w:val="22"/>
              </w:rPr>
              <w:t>1</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5</w:t>
            </w:r>
          </w:p>
        </w:tc>
        <w:tc>
          <w:tcPr>
            <w:tcW w:w="22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联想 DE4000H</w:t>
            </w:r>
          </w:p>
        </w:tc>
        <w:tc>
          <w:tcPr>
            <w:tcW w:w="1934" w:type="pct"/>
            <w:tcBorders>
              <w:top w:val="nil"/>
              <w:left w:val="nil"/>
              <w:bottom w:val="single" w:color="auto" w:sz="4" w:space="0"/>
              <w:right w:val="single" w:color="auto" w:sz="4" w:space="0"/>
            </w:tcBorders>
          </w:tcPr>
          <w:p>
            <w:pPr>
              <w:widowControl/>
              <w:jc w:val="center"/>
              <w:rPr>
                <w:rFonts w:ascii="仿宋" w:hAnsi="仿宋" w:eastAsia="仿宋" w:cs="仿宋"/>
                <w:kern w:val="0"/>
                <w:sz w:val="22"/>
              </w:rPr>
            </w:pPr>
            <w:r>
              <w:rPr>
                <w:rFonts w:hint="eastAsia" w:ascii="仿宋" w:hAnsi="仿宋" w:eastAsia="仿宋" w:cs="仿宋"/>
                <w:kern w:val="0"/>
                <w:sz w:val="22"/>
              </w:rPr>
              <w:t>1</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6</w:t>
            </w:r>
          </w:p>
        </w:tc>
        <w:tc>
          <w:tcPr>
            <w:tcW w:w="22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华为 OceanStor 5130F V5</w:t>
            </w:r>
          </w:p>
        </w:tc>
        <w:tc>
          <w:tcPr>
            <w:tcW w:w="1934" w:type="pct"/>
            <w:tcBorders>
              <w:top w:val="nil"/>
              <w:left w:val="nil"/>
              <w:bottom w:val="single" w:color="auto" w:sz="4" w:space="0"/>
              <w:right w:val="single" w:color="auto" w:sz="4" w:space="0"/>
            </w:tcBorders>
          </w:tcPr>
          <w:p>
            <w:pPr>
              <w:widowControl/>
              <w:jc w:val="center"/>
              <w:rPr>
                <w:rFonts w:ascii="仿宋" w:hAnsi="仿宋" w:eastAsia="仿宋" w:cs="仿宋"/>
                <w:kern w:val="0"/>
                <w:sz w:val="22"/>
              </w:rPr>
            </w:pPr>
            <w:r>
              <w:rPr>
                <w:rFonts w:hint="eastAsia" w:ascii="仿宋" w:hAnsi="仿宋" w:eastAsia="仿宋" w:cs="仿宋"/>
                <w:kern w:val="0"/>
                <w:sz w:val="22"/>
              </w:rPr>
              <w:t>2</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7</w:t>
            </w:r>
          </w:p>
        </w:tc>
        <w:tc>
          <w:tcPr>
            <w:tcW w:w="22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华为 OceanStor 5310F V5</w:t>
            </w:r>
          </w:p>
        </w:tc>
        <w:tc>
          <w:tcPr>
            <w:tcW w:w="1934" w:type="pct"/>
            <w:tcBorders>
              <w:top w:val="nil"/>
              <w:left w:val="nil"/>
              <w:bottom w:val="single" w:color="auto" w:sz="4" w:space="0"/>
              <w:right w:val="single" w:color="auto" w:sz="4" w:space="0"/>
            </w:tcBorders>
          </w:tcPr>
          <w:p>
            <w:pPr>
              <w:widowControl/>
              <w:jc w:val="center"/>
              <w:rPr>
                <w:rFonts w:ascii="仿宋" w:hAnsi="仿宋" w:eastAsia="仿宋" w:cs="仿宋"/>
                <w:kern w:val="0"/>
                <w:sz w:val="22"/>
              </w:rPr>
            </w:pPr>
            <w:r>
              <w:rPr>
                <w:rFonts w:hint="eastAsia" w:ascii="仿宋" w:hAnsi="仿宋" w:eastAsia="仿宋" w:cs="仿宋"/>
                <w:kern w:val="0"/>
                <w:sz w:val="22"/>
              </w:rPr>
              <w:t>2</w:t>
            </w:r>
          </w:p>
        </w:tc>
      </w:tr>
      <w:tr>
        <w:tblPrEx>
          <w:tblCellMar>
            <w:top w:w="0" w:type="dxa"/>
            <w:left w:w="108" w:type="dxa"/>
            <w:bottom w:w="0" w:type="dxa"/>
            <w:right w:w="108" w:type="dxa"/>
          </w:tblCellMar>
        </w:tblPrEx>
        <w:trPr>
          <w:trHeight w:val="36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8</w:t>
            </w:r>
          </w:p>
        </w:tc>
        <w:tc>
          <w:tcPr>
            <w:tcW w:w="2287"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仿宋"/>
                <w:kern w:val="0"/>
                <w:sz w:val="22"/>
              </w:rPr>
            </w:pPr>
            <w:r>
              <w:rPr>
                <w:rFonts w:hint="eastAsia" w:ascii="仿宋" w:hAnsi="仿宋" w:eastAsia="仿宋" w:cs="仿宋"/>
                <w:kern w:val="0"/>
                <w:sz w:val="22"/>
              </w:rPr>
              <w:t>腾凌 T2000E</w:t>
            </w:r>
          </w:p>
        </w:tc>
        <w:tc>
          <w:tcPr>
            <w:tcW w:w="1934" w:type="pct"/>
            <w:tcBorders>
              <w:top w:val="nil"/>
              <w:left w:val="nil"/>
              <w:bottom w:val="single" w:color="auto" w:sz="4" w:space="0"/>
              <w:right w:val="single" w:color="auto" w:sz="4" w:space="0"/>
            </w:tcBorders>
            <w:shd w:val="clear" w:color="000000" w:fill="FFFFFF"/>
          </w:tcPr>
          <w:p>
            <w:pPr>
              <w:widowControl/>
              <w:jc w:val="center"/>
              <w:rPr>
                <w:rFonts w:ascii="仿宋" w:hAnsi="仿宋" w:eastAsia="仿宋" w:cs="仿宋"/>
                <w:kern w:val="0"/>
                <w:sz w:val="22"/>
              </w:rPr>
            </w:pPr>
            <w:r>
              <w:rPr>
                <w:rFonts w:hint="eastAsia" w:ascii="仿宋" w:hAnsi="仿宋" w:eastAsia="仿宋" w:cs="仿宋"/>
                <w:kern w:val="0"/>
                <w:sz w:val="22"/>
              </w:rPr>
              <w:t>1</w:t>
            </w:r>
          </w:p>
        </w:tc>
      </w:tr>
      <w:tr>
        <w:tblPrEx>
          <w:tblCellMar>
            <w:top w:w="0" w:type="dxa"/>
            <w:left w:w="108" w:type="dxa"/>
            <w:bottom w:w="0" w:type="dxa"/>
            <w:right w:w="108" w:type="dxa"/>
          </w:tblCellMar>
        </w:tblPrEx>
        <w:trPr>
          <w:trHeight w:val="360" w:hRule="atLeast"/>
        </w:trPr>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2"/>
              </w:rPr>
            </w:pPr>
          </w:p>
        </w:tc>
        <w:tc>
          <w:tcPr>
            <w:tcW w:w="228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 w:hAnsi="仿宋" w:eastAsia="仿宋" w:cs="仿宋"/>
                <w:b/>
                <w:kern w:val="0"/>
                <w:sz w:val="22"/>
              </w:rPr>
            </w:pPr>
            <w:r>
              <w:rPr>
                <w:rFonts w:hint="eastAsia" w:ascii="仿宋" w:hAnsi="仿宋" w:eastAsia="仿宋" w:cs="仿宋"/>
                <w:b/>
                <w:kern w:val="0"/>
                <w:sz w:val="22"/>
              </w:rPr>
              <w:t>合计</w:t>
            </w:r>
          </w:p>
        </w:tc>
        <w:tc>
          <w:tcPr>
            <w:tcW w:w="1934" w:type="pct"/>
            <w:tcBorders>
              <w:top w:val="single" w:color="auto" w:sz="4" w:space="0"/>
              <w:left w:val="nil"/>
              <w:bottom w:val="single" w:color="auto" w:sz="4" w:space="0"/>
              <w:right w:val="single" w:color="auto" w:sz="4" w:space="0"/>
            </w:tcBorders>
            <w:shd w:val="clear" w:color="000000" w:fill="FFFFFF"/>
          </w:tcPr>
          <w:p>
            <w:pPr>
              <w:widowControl/>
              <w:jc w:val="center"/>
              <w:rPr>
                <w:rFonts w:ascii="仿宋" w:hAnsi="仿宋" w:eastAsia="仿宋" w:cs="仿宋"/>
                <w:b/>
                <w:kern w:val="0"/>
                <w:sz w:val="22"/>
              </w:rPr>
            </w:pPr>
            <w:r>
              <w:rPr>
                <w:rFonts w:hint="eastAsia" w:ascii="仿宋" w:hAnsi="仿宋" w:eastAsia="仿宋" w:cs="仿宋"/>
                <w:b/>
                <w:kern w:val="0"/>
                <w:sz w:val="22"/>
              </w:rPr>
              <w:t>11</w:t>
            </w:r>
          </w:p>
        </w:tc>
      </w:tr>
    </w:tbl>
    <w:p>
      <w:pPr>
        <w:jc w:val="left"/>
        <w:rPr>
          <w:rFonts w:ascii="仿宋" w:hAnsi="仿宋" w:eastAsia="仿宋" w:cs="仿宋"/>
          <w:sz w:val="22"/>
        </w:rPr>
      </w:pPr>
    </w:p>
    <w:p>
      <w:pPr>
        <w:jc w:val="left"/>
        <w:rPr>
          <w:rFonts w:ascii="仿宋" w:hAnsi="仿宋" w:eastAsia="仿宋" w:cs="仿宋"/>
          <w:sz w:val="24"/>
          <w:szCs w:val="24"/>
        </w:rPr>
      </w:pPr>
      <w:r>
        <w:rPr>
          <w:rFonts w:hint="eastAsia" w:ascii="仿宋" w:hAnsi="仿宋" w:eastAsia="仿宋" w:cs="仿宋"/>
          <w:sz w:val="24"/>
          <w:szCs w:val="24"/>
        </w:rPr>
        <w:t>四、数据库清单</w:t>
      </w:r>
    </w:p>
    <w:tbl>
      <w:tblPr>
        <w:tblStyle w:val="43"/>
        <w:tblW w:w="4997" w:type="pct"/>
        <w:tblInd w:w="0" w:type="dxa"/>
        <w:tblLayout w:type="autofit"/>
        <w:tblCellMar>
          <w:top w:w="0" w:type="dxa"/>
          <w:left w:w="108" w:type="dxa"/>
          <w:bottom w:w="0" w:type="dxa"/>
          <w:right w:w="108" w:type="dxa"/>
        </w:tblCellMar>
      </w:tblPr>
      <w:tblGrid>
        <w:gridCol w:w="559"/>
        <w:gridCol w:w="2229"/>
        <w:gridCol w:w="1672"/>
        <w:gridCol w:w="3385"/>
        <w:gridCol w:w="1158"/>
      </w:tblGrid>
      <w:tr>
        <w:tblPrEx>
          <w:tblCellMar>
            <w:top w:w="0" w:type="dxa"/>
            <w:left w:w="108" w:type="dxa"/>
            <w:bottom w:w="0" w:type="dxa"/>
            <w:right w:w="108" w:type="dxa"/>
          </w:tblCellMar>
        </w:tblPrEx>
        <w:trPr>
          <w:trHeight w:val="285" w:hRule="atLeast"/>
        </w:trPr>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序号</w:t>
            </w:r>
          </w:p>
        </w:tc>
        <w:tc>
          <w:tcPr>
            <w:tcW w:w="13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名称</w:t>
            </w:r>
          </w:p>
        </w:tc>
        <w:tc>
          <w:tcPr>
            <w:tcW w:w="82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类型</w:t>
            </w:r>
          </w:p>
        </w:tc>
        <w:tc>
          <w:tcPr>
            <w:tcW w:w="143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版本</w:t>
            </w:r>
          </w:p>
        </w:tc>
        <w:tc>
          <w:tcPr>
            <w:tcW w:w="9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数据库大小</w:t>
            </w:r>
          </w:p>
        </w:tc>
      </w:tr>
      <w:tr>
        <w:tblPrEx>
          <w:tblCellMar>
            <w:top w:w="0" w:type="dxa"/>
            <w:left w:w="108" w:type="dxa"/>
            <w:bottom w:w="0" w:type="dxa"/>
            <w:right w:w="108" w:type="dxa"/>
          </w:tblCellMar>
        </w:tblPrEx>
        <w:trPr>
          <w:trHeight w:val="326"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HIS系统数据库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19.3.0.0.0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747.34GB</w:t>
            </w:r>
          </w:p>
        </w:tc>
      </w:tr>
      <w:tr>
        <w:tblPrEx>
          <w:tblCellMar>
            <w:top w:w="0" w:type="dxa"/>
            <w:left w:w="108" w:type="dxa"/>
            <w:bottom w:w="0" w:type="dxa"/>
            <w:right w:w="108" w:type="dxa"/>
          </w:tblCellMar>
        </w:tblPrEx>
        <w:trPr>
          <w:trHeight w:val="443"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网站</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Ver 14.14 Distrib 5.5.40, for Win32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165MB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HQMS医疗质量上报系统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151MB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4</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CHPS前置机</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4.29GB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5</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心衰中心</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Ver 14.14 Distrib 5.7.24, for Win64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778MB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6</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掌医前置机</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 Ver 14.14 Distrib 5.7.28, for Win64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9.23GB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7</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体检微信公众号</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1.64GB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8</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新特</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Release 11.2.0.4.0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8.59GB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9</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人力资源系统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1.93GB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10</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国家单病种前置机</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MongoDB</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3.0.6</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3.3.GB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11</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体检数据平台前置机</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11.2.0.1.0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5.6GB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12</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药剂科交流平台服务器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2013</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63.5MB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13</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财务前置服务器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11.2GB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14</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美康业务应用服务器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16.4GB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15</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消毒供应系统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57.1MB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16</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门户集成</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Release 11.2.0.1.0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3.79GB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17</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HIS和EMR应用测试库</w:t>
            </w:r>
          </w:p>
        </w:tc>
        <w:tc>
          <w:tcPr>
            <w:tcW w:w="823"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19.0.0.0.0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1.1T</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18</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血透系统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Ver 14.14 Distrib 5.7.30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37.5GB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19</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病案系统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Release 10.2.0.3.0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3.16GB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20</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临床知识库数据库服务器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Release 19.0.0.0.0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4.17GB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21</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病案数字化服务器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2.48GB</w:t>
            </w:r>
          </w:p>
        </w:tc>
      </w:tr>
      <w:tr>
        <w:tblPrEx>
          <w:tblCellMar>
            <w:top w:w="0" w:type="dxa"/>
            <w:left w:w="108" w:type="dxa"/>
            <w:bottom w:w="0" w:type="dxa"/>
            <w:right w:w="108" w:type="dxa"/>
          </w:tblCellMar>
        </w:tblPrEx>
        <w:trPr>
          <w:trHeight w:val="280"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22</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数据中心</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19.3.0.0.0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145.06GB</w:t>
            </w:r>
          </w:p>
        </w:tc>
      </w:tr>
      <w:tr>
        <w:tblPrEx>
          <w:tblCellMar>
            <w:top w:w="0" w:type="dxa"/>
            <w:left w:w="108" w:type="dxa"/>
            <w:bottom w:w="0" w:type="dxa"/>
            <w:right w:w="108" w:type="dxa"/>
          </w:tblCellMar>
        </w:tblPrEx>
        <w:trPr>
          <w:trHeight w:val="306"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23</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电子病历系统数据库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19.3.0.0.0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207.4GB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24</w:t>
            </w:r>
          </w:p>
        </w:tc>
        <w:tc>
          <w:tcPr>
            <w:tcW w:w="133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电子病历镜像库</w:t>
            </w:r>
          </w:p>
        </w:tc>
        <w:tc>
          <w:tcPr>
            <w:tcW w:w="823"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19.0.0.0.0</w:t>
            </w:r>
          </w:p>
        </w:tc>
        <w:tc>
          <w:tcPr>
            <w:tcW w:w="96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150GB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25</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LIS数据库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11.2.0.4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164GB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26</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LIS镜像库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11.2.0.4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151GB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27</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LIS接口与报告管理服务器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11.2.0.1.0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36.5GB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28</w:t>
            </w:r>
          </w:p>
        </w:tc>
        <w:tc>
          <w:tcPr>
            <w:tcW w:w="133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HIS镜像库</w:t>
            </w:r>
          </w:p>
        </w:tc>
        <w:tc>
          <w:tcPr>
            <w:tcW w:w="823"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19.0.0.0.0</w:t>
            </w:r>
          </w:p>
        </w:tc>
        <w:tc>
          <w:tcPr>
            <w:tcW w:w="96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736GB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29</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单病种数据库服务器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Ver 15.1 Distrib 10.3.13-MariaDB</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207MB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30</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追溯系统设备监控</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244MB</w:t>
            </w:r>
          </w:p>
        </w:tc>
      </w:tr>
      <w:tr>
        <w:tblPrEx>
          <w:tblCellMar>
            <w:top w:w="0" w:type="dxa"/>
            <w:left w:w="108" w:type="dxa"/>
            <w:bottom w:w="0" w:type="dxa"/>
            <w:right w:w="108" w:type="dxa"/>
          </w:tblCellMar>
        </w:tblPrEx>
        <w:trPr>
          <w:trHeight w:val="570"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31</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PACS系统数据库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19.3.0.0.0</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667.59GB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32</w:t>
            </w:r>
          </w:p>
        </w:tc>
        <w:tc>
          <w:tcPr>
            <w:tcW w:w="133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PACS镜像库</w:t>
            </w:r>
          </w:p>
        </w:tc>
        <w:tc>
          <w:tcPr>
            <w:tcW w:w="823"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w:t>
            </w:r>
          </w:p>
        </w:tc>
        <w:tc>
          <w:tcPr>
            <w:tcW w:w="1439"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19.0.0.0.0</w:t>
            </w:r>
          </w:p>
        </w:tc>
        <w:tc>
          <w:tcPr>
            <w:tcW w:w="961" w:type="pct"/>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177GB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33</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临时服务器（院感）</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ORACLE/SQL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Release 11.2.0.1.0/2008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111GB/118GB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34</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绩效软件服务器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2014</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19.4G</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35</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产科数字化平台服务器</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2008 R2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6.74GB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36</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居民电子健</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MYSQL</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14.14 Distrib 5.5.28, for Win64 (x86)</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109MB</w:t>
            </w:r>
          </w:p>
        </w:tc>
      </w:tr>
      <w:tr>
        <w:tblPrEx>
          <w:tblCellMar>
            <w:top w:w="0" w:type="dxa"/>
            <w:left w:w="108" w:type="dxa"/>
            <w:bottom w:w="0" w:type="dxa"/>
            <w:right w:w="108" w:type="dxa"/>
          </w:tblCellMar>
        </w:tblPrEx>
        <w:trPr>
          <w:trHeight w:val="285" w:hRule="atLeast"/>
        </w:trPr>
        <w:tc>
          <w:tcPr>
            <w:tcW w:w="44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Cs/>
                <w:kern w:val="0"/>
                <w:szCs w:val="21"/>
              </w:rPr>
            </w:pPr>
            <w:r>
              <w:rPr>
                <w:rFonts w:hint="eastAsia" w:ascii="仿宋" w:hAnsi="仿宋" w:eastAsia="仿宋" w:cs="仿宋"/>
                <w:bCs/>
                <w:kern w:val="0"/>
                <w:szCs w:val="21"/>
              </w:rPr>
              <w:t>37</w:t>
            </w:r>
          </w:p>
        </w:tc>
        <w:tc>
          <w:tcPr>
            <w:tcW w:w="133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财务数据库</w:t>
            </w:r>
          </w:p>
        </w:tc>
        <w:tc>
          <w:tcPr>
            <w:tcW w:w="823"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SQL Server</w:t>
            </w:r>
          </w:p>
        </w:tc>
        <w:tc>
          <w:tcPr>
            <w:tcW w:w="1439"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2012</w:t>
            </w:r>
          </w:p>
        </w:tc>
        <w:tc>
          <w:tcPr>
            <w:tcW w:w="961" w:type="pct"/>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66.3GB</w:t>
            </w:r>
          </w:p>
        </w:tc>
      </w:tr>
    </w:tbl>
    <w:p>
      <w:pPr>
        <w:pStyle w:val="27"/>
        <w:spacing w:line="460" w:lineRule="exact"/>
        <w:ind w:left="0" w:leftChars="0" w:firstLine="723"/>
        <w:jc w:val="center"/>
        <w:rPr>
          <w:rFonts w:ascii="仿宋" w:hAnsi="仿宋" w:eastAsia="仿宋" w:cs="仿宋"/>
          <w:b/>
          <w:sz w:val="36"/>
          <w:szCs w:val="36"/>
        </w:rPr>
      </w:pPr>
    </w:p>
    <w:p>
      <w:pPr>
        <w:pStyle w:val="27"/>
        <w:spacing w:line="460" w:lineRule="exact"/>
        <w:ind w:left="0" w:leftChars="0" w:firstLine="723"/>
        <w:jc w:val="center"/>
        <w:rPr>
          <w:rFonts w:ascii="仿宋" w:hAnsi="仿宋" w:eastAsia="仿宋" w:cs="仿宋"/>
          <w:b/>
          <w:sz w:val="36"/>
          <w:szCs w:val="36"/>
        </w:rPr>
      </w:pPr>
    </w:p>
    <w:p>
      <w:pPr>
        <w:rPr>
          <w:rFonts w:ascii="仿宋" w:hAnsi="仿宋" w:eastAsia="仿宋" w:cs="仿宋"/>
        </w:rPr>
      </w:pPr>
      <w:r>
        <w:rPr>
          <w:rFonts w:hint="eastAsia" w:ascii="仿宋" w:hAnsi="仿宋" w:eastAsia="仿宋" w:cs="仿宋"/>
        </w:rPr>
        <w:br w:type="page"/>
      </w:r>
    </w:p>
    <w:p>
      <w:pPr>
        <w:pStyle w:val="3"/>
        <w:numPr>
          <w:ilvl w:val="0"/>
          <w:numId w:val="3"/>
        </w:numPr>
        <w:jc w:val="center"/>
        <w:rPr>
          <w:rFonts w:cs="仿宋"/>
          <w:color w:val="auto"/>
        </w:rPr>
      </w:pPr>
      <w:r>
        <w:rPr>
          <w:rFonts w:hint="eastAsia" w:cs="仿宋"/>
          <w:color w:val="auto"/>
        </w:rPr>
        <w:t>合同</w:t>
      </w:r>
      <w:bookmarkEnd w:id="34"/>
      <w:bookmarkEnd w:id="35"/>
      <w:bookmarkEnd w:id="36"/>
    </w:p>
    <w:p/>
    <w:p>
      <w:pPr>
        <w:pStyle w:val="39"/>
        <w:spacing w:before="0" w:beforeAutospacing="0" w:after="0" w:afterAutospacing="0" w:line="360" w:lineRule="auto"/>
        <w:jc w:val="center"/>
        <w:rPr>
          <w:rFonts w:ascii="仿宋" w:hAnsi="仿宋" w:eastAsia="仿宋" w:cs="仿宋"/>
          <w:b/>
          <w:bCs/>
          <w:color w:val="FF0000"/>
          <w:sz w:val="28"/>
          <w:szCs w:val="28"/>
        </w:rPr>
      </w:pPr>
      <w:r>
        <w:rPr>
          <w:rFonts w:hint="eastAsia" w:ascii="仿宋" w:hAnsi="仿宋" w:eastAsia="仿宋" w:cs="仿宋"/>
          <w:b/>
          <w:bCs/>
          <w:color w:val="000000" w:themeColor="text1"/>
          <w:sz w:val="28"/>
          <w:szCs w:val="28"/>
          <w14:textFill>
            <w14:solidFill>
              <w14:schemeClr w14:val="tx1"/>
            </w14:solidFill>
          </w14:textFill>
        </w:rPr>
        <w:t>(此合同样本仅供参考,合同具体细则以成交双方协定为准)</w:t>
      </w:r>
      <w:bookmarkStart w:id="47" w:name="_Toc22847"/>
    </w:p>
    <w:bookmarkEnd w:id="47"/>
    <w:p>
      <w:pPr>
        <w:rPr>
          <w:rFonts w:ascii="仿宋" w:hAnsi="仿宋" w:eastAsia="仿宋" w:cs="仿宋"/>
        </w:rPr>
      </w:pPr>
      <w:bookmarkStart w:id="48" w:name="_Toc65158539"/>
      <w:bookmarkStart w:id="49" w:name="_Toc56170392"/>
      <w:r>
        <w:rPr>
          <w:rFonts w:hint="eastAsia" w:ascii="仿宋" w:hAnsi="仿宋" w:eastAsia="仿宋" w:cs="仿宋"/>
        </w:rPr>
        <w:br w:type="page"/>
      </w:r>
    </w:p>
    <w:p>
      <w:pPr>
        <w:pStyle w:val="3"/>
        <w:jc w:val="center"/>
        <w:rPr>
          <w:rFonts w:cs="仿宋"/>
          <w:color w:val="auto"/>
        </w:rPr>
      </w:pPr>
      <w:r>
        <w:rPr>
          <w:rFonts w:hint="eastAsia" w:cs="仿宋"/>
          <w:color w:val="auto"/>
        </w:rPr>
        <w:t>第五章、响应文件格式</w:t>
      </w:r>
      <w:bookmarkEnd w:id="48"/>
      <w:bookmarkEnd w:id="49"/>
    </w:p>
    <w:p>
      <w:pPr>
        <w:rPr>
          <w:rFonts w:ascii="仿宋" w:hAnsi="仿宋" w:eastAsia="仿宋" w:cs="仿宋"/>
        </w:rPr>
      </w:pPr>
    </w:p>
    <w:p>
      <w:pPr>
        <w:pStyle w:val="19"/>
        <w:rPr>
          <w:rFonts w:ascii="仿宋" w:hAnsi="仿宋" w:eastAsia="仿宋" w:cs="仿宋"/>
        </w:rPr>
      </w:pPr>
    </w:p>
    <w:p>
      <w:pPr>
        <w:spacing w:line="460" w:lineRule="exact"/>
        <w:jc w:val="center"/>
        <w:rPr>
          <w:rFonts w:ascii="仿宋" w:hAnsi="仿宋" w:eastAsia="仿宋" w:cs="仿宋"/>
          <w:b/>
          <w:sz w:val="32"/>
        </w:rPr>
      </w:pPr>
      <w:r>
        <w:rPr>
          <w:rFonts w:hint="eastAsia" w:ascii="仿宋" w:hAnsi="仿宋" w:eastAsia="仿宋" w:cs="仿宋"/>
          <w:b/>
          <w:sz w:val="32"/>
        </w:rPr>
        <w:t>响应文件编制顺序</w:t>
      </w:r>
    </w:p>
    <w:p>
      <w:pPr>
        <w:spacing w:line="360" w:lineRule="auto"/>
        <w:jc w:val="right"/>
        <w:rPr>
          <w:rFonts w:ascii="仿宋" w:hAnsi="仿宋" w:eastAsia="仿宋" w:cs="仿宋"/>
          <w:sz w:val="32"/>
          <w:szCs w:val="32"/>
        </w:rPr>
      </w:pPr>
    </w:p>
    <w:p>
      <w:pPr>
        <w:spacing w:line="360" w:lineRule="auto"/>
        <w:jc w:val="right"/>
        <w:rPr>
          <w:rFonts w:ascii="仿宋" w:hAnsi="仿宋" w:eastAsia="仿宋" w:cs="仿宋"/>
          <w:sz w:val="32"/>
          <w:szCs w:val="32"/>
        </w:rPr>
      </w:pPr>
      <w:r>
        <w:rPr>
          <w:rFonts w:hint="eastAsia" w:ascii="仿宋" w:hAnsi="仿宋" w:eastAsia="仿宋" w:cs="仿宋"/>
          <w:sz w:val="32"/>
          <w:szCs w:val="32"/>
        </w:rPr>
        <w:t>正本</w:t>
      </w:r>
    </w:p>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r>
        <w:rPr>
          <w:rFonts w:hint="eastAsia" w:ascii="仿宋" w:hAnsi="仿宋" w:eastAsia="仿宋" w:cs="仿宋"/>
          <w:sz w:val="32"/>
          <w:szCs w:val="32"/>
        </w:rPr>
        <w:t>响应文件</w:t>
      </w:r>
    </w:p>
    <w:p>
      <w:pPr>
        <w:spacing w:line="360" w:lineRule="auto"/>
        <w:rPr>
          <w:rFonts w:ascii="仿宋" w:hAnsi="仿宋" w:eastAsia="仿宋" w:cs="仿宋"/>
          <w:sz w:val="28"/>
          <w:szCs w:val="28"/>
        </w:rPr>
      </w:pPr>
    </w:p>
    <w:p>
      <w:pPr>
        <w:pStyle w:val="19"/>
        <w:spacing w:line="360" w:lineRule="auto"/>
        <w:rPr>
          <w:rFonts w:ascii="仿宋" w:hAnsi="仿宋" w:eastAsia="仿宋" w:cs="仿宋"/>
        </w:rPr>
      </w:pP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采购单位：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项目名称：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项目编号：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供应商名称：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法定代表人：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联系人：                      </w:t>
      </w:r>
    </w:p>
    <w:p>
      <w:pPr>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联系电话：                    </w:t>
      </w:r>
    </w:p>
    <w:p>
      <w:pPr>
        <w:spacing w:line="360" w:lineRule="auto"/>
        <w:ind w:firstLine="640"/>
        <w:rPr>
          <w:rFonts w:ascii="仿宋" w:hAnsi="仿宋" w:eastAsia="仿宋" w:cs="仿宋"/>
          <w:sz w:val="28"/>
          <w:szCs w:val="28"/>
        </w:rPr>
      </w:pPr>
    </w:p>
    <w:p>
      <w:pPr>
        <w:spacing w:line="360" w:lineRule="auto"/>
        <w:ind w:firstLine="720"/>
        <w:jc w:val="center"/>
        <w:rPr>
          <w:rFonts w:ascii="仿宋" w:hAnsi="仿宋" w:eastAsia="仿宋" w:cs="仿宋"/>
          <w:sz w:val="24"/>
        </w:rPr>
      </w:pPr>
      <w:r>
        <w:rPr>
          <w:rFonts w:hint="eastAsia" w:ascii="仿宋" w:hAnsi="仿宋" w:eastAsia="仿宋" w:cs="仿宋"/>
          <w:sz w:val="28"/>
          <w:szCs w:val="28"/>
        </w:rPr>
        <w:t>年      月      日</w:t>
      </w:r>
    </w:p>
    <w:p>
      <w:pPr>
        <w:spacing w:line="460" w:lineRule="exact"/>
        <w:jc w:val="center"/>
        <w:outlineLvl w:val="1"/>
        <w:rPr>
          <w:rFonts w:ascii="仿宋" w:hAnsi="仿宋" w:eastAsia="仿宋" w:cs="仿宋"/>
          <w:b/>
          <w:sz w:val="32"/>
        </w:rPr>
      </w:pPr>
      <w:r>
        <w:rPr>
          <w:rFonts w:hint="eastAsia" w:ascii="仿宋" w:hAnsi="仿宋" w:eastAsia="仿宋" w:cs="仿宋"/>
          <w:sz w:val="24"/>
        </w:rPr>
        <w:br w:type="page"/>
      </w:r>
      <w:r>
        <w:rPr>
          <w:rFonts w:hint="eastAsia" w:ascii="仿宋" w:hAnsi="仿宋" w:eastAsia="仿宋" w:cs="仿宋"/>
          <w:sz w:val="28"/>
          <w:szCs w:val="28"/>
        </w:rPr>
        <w:t>一、</w:t>
      </w:r>
      <w:r>
        <w:rPr>
          <w:rFonts w:hint="eastAsia" w:ascii="仿宋" w:hAnsi="仿宋" w:eastAsia="仿宋" w:cs="仿宋"/>
          <w:b/>
          <w:sz w:val="32"/>
        </w:rPr>
        <w:t>响应文件编制顺序</w:t>
      </w:r>
    </w:p>
    <w:p>
      <w:pPr>
        <w:pStyle w:val="19"/>
        <w:rPr>
          <w:rFonts w:ascii="仿宋" w:hAnsi="仿宋" w:eastAsia="仿宋" w:cs="仿宋"/>
        </w:rPr>
      </w:pPr>
    </w:p>
    <w:p>
      <w:pPr>
        <w:spacing w:line="460" w:lineRule="exact"/>
        <w:rPr>
          <w:rFonts w:ascii="仿宋" w:hAnsi="仿宋" w:eastAsia="仿宋" w:cs="仿宋"/>
          <w:sz w:val="24"/>
        </w:rPr>
      </w:pPr>
      <w:r>
        <w:rPr>
          <w:rFonts w:hint="eastAsia" w:ascii="仿宋" w:hAnsi="仿宋" w:eastAsia="仿宋" w:cs="仿宋"/>
          <w:sz w:val="24"/>
        </w:rPr>
        <w:t>供应商应按下列顺序排列和装订投标文件：</w:t>
      </w:r>
    </w:p>
    <w:p>
      <w:pPr>
        <w:spacing w:line="460" w:lineRule="exact"/>
        <w:ind w:firstLine="424" w:firstLineChars="177"/>
        <w:rPr>
          <w:rFonts w:ascii="仿宋" w:hAnsi="仿宋" w:eastAsia="仿宋" w:cs="仿宋"/>
          <w:sz w:val="24"/>
        </w:rPr>
      </w:pPr>
      <w:r>
        <w:rPr>
          <w:rFonts w:hint="eastAsia" w:ascii="仿宋" w:hAnsi="仿宋" w:eastAsia="仿宋" w:cs="仿宋"/>
          <w:sz w:val="24"/>
        </w:rPr>
        <w:t>1、响应函</w:t>
      </w:r>
    </w:p>
    <w:p>
      <w:pPr>
        <w:spacing w:line="460" w:lineRule="exact"/>
        <w:ind w:firstLine="424" w:firstLineChars="177"/>
        <w:rPr>
          <w:rFonts w:ascii="仿宋" w:hAnsi="仿宋" w:eastAsia="仿宋" w:cs="仿宋"/>
          <w:sz w:val="24"/>
        </w:rPr>
      </w:pPr>
      <w:r>
        <w:rPr>
          <w:rFonts w:hint="eastAsia" w:ascii="仿宋" w:hAnsi="仿宋" w:eastAsia="仿宋" w:cs="仿宋"/>
          <w:sz w:val="24"/>
        </w:rPr>
        <w:t>2、法定代表人授权委托书</w:t>
      </w:r>
    </w:p>
    <w:p>
      <w:pPr>
        <w:spacing w:line="460" w:lineRule="exact"/>
        <w:ind w:firstLine="424" w:firstLineChars="177"/>
        <w:rPr>
          <w:rFonts w:ascii="仿宋" w:hAnsi="仿宋" w:eastAsia="仿宋" w:cs="仿宋"/>
          <w:sz w:val="24"/>
        </w:rPr>
      </w:pPr>
      <w:r>
        <w:rPr>
          <w:rFonts w:hint="eastAsia" w:ascii="仿宋" w:hAnsi="仿宋" w:eastAsia="仿宋" w:cs="仿宋"/>
          <w:sz w:val="24"/>
        </w:rPr>
        <w:t>3、报价一览表</w:t>
      </w:r>
    </w:p>
    <w:p>
      <w:pPr>
        <w:spacing w:line="460" w:lineRule="exact"/>
        <w:ind w:firstLine="424" w:firstLineChars="177"/>
        <w:rPr>
          <w:rFonts w:ascii="仿宋" w:hAnsi="仿宋" w:eastAsia="仿宋" w:cs="仿宋"/>
          <w:sz w:val="24"/>
        </w:rPr>
      </w:pPr>
      <w:r>
        <w:rPr>
          <w:rFonts w:hint="eastAsia" w:ascii="仿宋" w:hAnsi="仿宋" w:eastAsia="仿宋" w:cs="仿宋"/>
          <w:sz w:val="24"/>
        </w:rPr>
        <w:t>4、分项报价表</w:t>
      </w:r>
    </w:p>
    <w:p>
      <w:pPr>
        <w:spacing w:line="460" w:lineRule="exact"/>
        <w:ind w:firstLine="424" w:firstLineChars="177"/>
        <w:rPr>
          <w:rFonts w:ascii="仿宋" w:hAnsi="仿宋" w:eastAsia="仿宋" w:cs="仿宋"/>
          <w:sz w:val="24"/>
        </w:rPr>
      </w:pPr>
      <w:r>
        <w:rPr>
          <w:rFonts w:hint="eastAsia" w:ascii="仿宋" w:hAnsi="仿宋" w:eastAsia="仿宋" w:cs="仿宋"/>
          <w:sz w:val="24"/>
        </w:rPr>
        <w:t>5、关于资格的声明函</w:t>
      </w:r>
    </w:p>
    <w:p>
      <w:pPr>
        <w:spacing w:line="460" w:lineRule="exact"/>
        <w:ind w:firstLine="424" w:firstLineChars="177"/>
        <w:rPr>
          <w:rFonts w:ascii="仿宋" w:hAnsi="仿宋" w:eastAsia="仿宋" w:cs="仿宋"/>
          <w:sz w:val="24"/>
        </w:rPr>
      </w:pPr>
      <w:r>
        <w:rPr>
          <w:rFonts w:hint="eastAsia" w:ascii="仿宋" w:hAnsi="仿宋" w:eastAsia="仿宋" w:cs="仿宋"/>
          <w:sz w:val="24"/>
        </w:rPr>
        <w:t>6、企业简介</w:t>
      </w:r>
    </w:p>
    <w:p>
      <w:pPr>
        <w:spacing w:line="460" w:lineRule="exact"/>
        <w:ind w:firstLine="424" w:firstLineChars="177"/>
        <w:rPr>
          <w:rFonts w:ascii="仿宋" w:hAnsi="仿宋" w:eastAsia="仿宋" w:cs="仿宋"/>
          <w:sz w:val="24"/>
        </w:rPr>
      </w:pPr>
      <w:r>
        <w:rPr>
          <w:rFonts w:hint="eastAsia" w:ascii="仿宋" w:hAnsi="仿宋" w:eastAsia="仿宋" w:cs="仿宋"/>
          <w:sz w:val="24"/>
        </w:rPr>
        <w:t>7、企业资信</w:t>
      </w:r>
    </w:p>
    <w:p>
      <w:pPr>
        <w:spacing w:line="460" w:lineRule="exact"/>
        <w:ind w:firstLine="424" w:firstLineChars="177"/>
        <w:rPr>
          <w:rFonts w:ascii="仿宋" w:hAnsi="仿宋" w:eastAsia="仿宋" w:cs="仿宋"/>
          <w:sz w:val="24"/>
        </w:rPr>
      </w:pPr>
      <w:r>
        <w:rPr>
          <w:rFonts w:hint="eastAsia" w:ascii="仿宋" w:hAnsi="仿宋" w:eastAsia="仿宋" w:cs="仿宋"/>
          <w:sz w:val="24"/>
        </w:rPr>
        <w:t>8、运维实施方案与计划</w:t>
      </w:r>
    </w:p>
    <w:p>
      <w:pPr>
        <w:spacing w:line="460" w:lineRule="exact"/>
        <w:ind w:firstLine="424" w:firstLineChars="177"/>
        <w:rPr>
          <w:rFonts w:ascii="仿宋" w:hAnsi="仿宋" w:eastAsia="仿宋" w:cs="仿宋"/>
          <w:sz w:val="24"/>
        </w:rPr>
      </w:pPr>
      <w:r>
        <w:rPr>
          <w:rFonts w:hint="eastAsia" w:ascii="仿宋" w:hAnsi="仿宋" w:eastAsia="仿宋" w:cs="仿宋"/>
          <w:sz w:val="24"/>
        </w:rPr>
        <w:t>9、</w:t>
      </w:r>
      <w:r>
        <w:rPr>
          <w:rFonts w:hint="eastAsia" w:ascii="仿宋" w:hAnsi="仿宋" w:eastAsia="仿宋"/>
          <w:bCs/>
          <w:sz w:val="24"/>
          <w:szCs w:val="24"/>
        </w:rPr>
        <w:t>人员配置</w:t>
      </w:r>
    </w:p>
    <w:p>
      <w:pPr>
        <w:numPr>
          <w:numId w:val="0"/>
        </w:numPr>
        <w:spacing w:line="460" w:lineRule="exact"/>
        <w:ind w:left="0" w:leftChars="0" w:firstLine="420" w:firstLineChars="175"/>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应急预案及保障</w:t>
      </w:r>
    </w:p>
    <w:p>
      <w:pPr>
        <w:numPr>
          <w:numId w:val="0"/>
        </w:numPr>
        <w:spacing w:line="460" w:lineRule="exact"/>
        <w:ind w:left="0" w:leftChars="0" w:firstLine="420" w:firstLineChars="175"/>
        <w:rPr>
          <w:rFonts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培训服务</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、技术参数、功能偏离表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、商务条款偏离表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、近三年（2020年1月1日-至今）的类似业绩表</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、供应商反商业贿赂承诺书</w:t>
      </w:r>
    </w:p>
    <w:p>
      <w:pPr>
        <w:spacing w:line="460" w:lineRule="exact"/>
        <w:ind w:firstLine="424" w:firstLineChars="177"/>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、企业类型声明函</w:t>
      </w:r>
    </w:p>
    <w:p>
      <w:pPr>
        <w:spacing w:line="460" w:lineRule="exact"/>
        <w:ind w:firstLine="424" w:firstLineChars="177"/>
        <w:rPr>
          <w:rFonts w:ascii="仿宋" w:hAnsi="仿宋" w:eastAsia="仿宋" w:cs="仿宋"/>
          <w:sz w:val="32"/>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、其它资料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注：供应商需将响应文件按上述顺序装订成册并编制目录及页码。</w:t>
      </w:r>
    </w:p>
    <w:p>
      <w:pPr>
        <w:spacing w:line="460" w:lineRule="exact"/>
        <w:rPr>
          <w:rFonts w:ascii="仿宋" w:hAnsi="仿宋" w:eastAsia="仿宋" w:cs="仿宋"/>
          <w:sz w:val="32"/>
        </w:rPr>
      </w:pPr>
    </w:p>
    <w:p>
      <w:pPr>
        <w:pStyle w:val="19"/>
        <w:rPr>
          <w:rFonts w:ascii="仿宋" w:hAnsi="仿宋" w:eastAsia="仿宋" w:cs="仿宋"/>
          <w:sz w:val="32"/>
        </w:rPr>
      </w:pPr>
    </w:p>
    <w:p>
      <w:pPr>
        <w:pStyle w:val="19"/>
        <w:rPr>
          <w:rFonts w:ascii="仿宋" w:hAnsi="仿宋" w:eastAsia="仿宋" w:cs="仿宋"/>
          <w:sz w:val="32"/>
        </w:rPr>
      </w:pPr>
    </w:p>
    <w:p>
      <w:pPr>
        <w:spacing w:line="460" w:lineRule="exact"/>
        <w:rPr>
          <w:rFonts w:ascii="仿宋" w:hAnsi="仿宋" w:eastAsia="仿宋" w:cs="仿宋"/>
          <w:sz w:val="32"/>
        </w:rPr>
      </w:pPr>
    </w:p>
    <w:p>
      <w:pPr>
        <w:spacing w:line="460" w:lineRule="exact"/>
        <w:rPr>
          <w:rFonts w:ascii="仿宋" w:hAnsi="仿宋" w:eastAsia="仿宋" w:cs="仿宋"/>
          <w:sz w:val="32"/>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spacing w:line="460" w:lineRule="exact"/>
        <w:jc w:val="center"/>
        <w:outlineLvl w:val="1"/>
        <w:rPr>
          <w:rFonts w:ascii="仿宋" w:hAnsi="仿宋" w:eastAsia="仿宋" w:cs="仿宋"/>
          <w:sz w:val="28"/>
          <w:szCs w:val="28"/>
        </w:rPr>
      </w:pPr>
      <w:r>
        <w:rPr>
          <w:rFonts w:hint="eastAsia" w:ascii="仿宋" w:hAnsi="仿宋" w:eastAsia="仿宋" w:cs="仿宋"/>
          <w:sz w:val="28"/>
          <w:szCs w:val="28"/>
        </w:rPr>
        <w:t>二、其它有关附件格式范本</w:t>
      </w:r>
    </w:p>
    <w:p>
      <w:pPr>
        <w:spacing w:line="460" w:lineRule="exact"/>
        <w:jc w:val="center"/>
        <w:outlineLvl w:val="2"/>
        <w:rPr>
          <w:rFonts w:ascii="仿宋" w:hAnsi="仿宋" w:eastAsia="仿宋" w:cs="仿宋"/>
          <w:b/>
          <w:sz w:val="30"/>
        </w:rPr>
      </w:pPr>
      <w:r>
        <w:rPr>
          <w:rFonts w:hint="eastAsia" w:ascii="仿宋" w:hAnsi="仿宋" w:eastAsia="仿宋" w:cs="仿宋"/>
          <w:b/>
          <w:sz w:val="30"/>
        </w:rPr>
        <w:t>（一）响应函</w:t>
      </w:r>
    </w:p>
    <w:p>
      <w:pPr>
        <w:spacing w:line="460" w:lineRule="exact"/>
        <w:rPr>
          <w:rFonts w:ascii="仿宋" w:hAnsi="仿宋" w:eastAsia="仿宋" w:cs="仿宋"/>
          <w:sz w:val="24"/>
        </w:rPr>
      </w:pPr>
      <w:r>
        <w:rPr>
          <w:rFonts w:hint="eastAsia" w:ascii="仿宋" w:hAnsi="仿宋" w:eastAsia="仿宋" w:cs="仿宋"/>
          <w:sz w:val="24"/>
        </w:rPr>
        <w:t>致新疆医科大学第五附属医院：</w:t>
      </w:r>
    </w:p>
    <w:p>
      <w:pPr>
        <w:spacing w:line="460" w:lineRule="exact"/>
        <w:ind w:firstLine="555"/>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（项目名称）    </w:t>
      </w:r>
      <w:r>
        <w:rPr>
          <w:rFonts w:hint="eastAsia" w:ascii="仿宋" w:hAnsi="仿宋" w:eastAsia="仿宋" w:cs="仿宋"/>
          <w:sz w:val="24"/>
        </w:rPr>
        <w:t>项目采购的投标邀请，签字代表</w:t>
      </w:r>
      <w:r>
        <w:rPr>
          <w:rFonts w:hint="eastAsia" w:ascii="仿宋" w:hAnsi="仿宋" w:eastAsia="仿宋" w:cs="仿宋"/>
          <w:sz w:val="24"/>
          <w:u w:val="single"/>
        </w:rPr>
        <w:t>（姓名、职务）</w:t>
      </w:r>
      <w:r>
        <w:rPr>
          <w:rFonts w:hint="eastAsia" w:ascii="仿宋" w:hAnsi="仿宋" w:eastAsia="仿宋" w:cs="仿宋"/>
          <w:sz w:val="24"/>
        </w:rPr>
        <w:t>经正式授权并代表供应商</w:t>
      </w:r>
      <w:r>
        <w:rPr>
          <w:rFonts w:hint="eastAsia" w:ascii="仿宋" w:hAnsi="仿宋" w:eastAsia="仿宋" w:cs="仿宋"/>
          <w:sz w:val="24"/>
          <w:u w:val="single"/>
        </w:rPr>
        <w:t>（供应商名称、地址）</w:t>
      </w:r>
      <w:r>
        <w:rPr>
          <w:rFonts w:hint="eastAsia" w:ascii="仿宋" w:hAnsi="仿宋" w:eastAsia="仿宋" w:cs="仿宋"/>
          <w:sz w:val="24"/>
        </w:rPr>
        <w:t>提交下述文件电子文件一份。</w:t>
      </w:r>
    </w:p>
    <w:p>
      <w:pPr>
        <w:numPr>
          <w:ilvl w:val="0"/>
          <w:numId w:val="4"/>
        </w:numPr>
        <w:tabs>
          <w:tab w:val="left" w:pos="1246"/>
          <w:tab w:val="clear" w:pos="1245"/>
        </w:tabs>
        <w:spacing w:line="460" w:lineRule="exact"/>
        <w:ind w:left="630" w:leftChars="300" w:firstLine="0"/>
        <w:rPr>
          <w:rFonts w:ascii="仿宋" w:hAnsi="仿宋" w:eastAsia="仿宋" w:cs="仿宋"/>
          <w:sz w:val="24"/>
        </w:rPr>
      </w:pPr>
      <w:r>
        <w:rPr>
          <w:rFonts w:hint="eastAsia" w:ascii="仿宋" w:hAnsi="仿宋" w:eastAsia="仿宋" w:cs="仿宋"/>
          <w:sz w:val="24"/>
        </w:rPr>
        <w:t>报价一览表</w:t>
      </w:r>
    </w:p>
    <w:p>
      <w:pPr>
        <w:numPr>
          <w:ilvl w:val="0"/>
          <w:numId w:val="4"/>
        </w:numPr>
        <w:spacing w:line="460" w:lineRule="exact"/>
        <w:ind w:left="630" w:leftChars="300"/>
        <w:rPr>
          <w:rFonts w:ascii="仿宋" w:hAnsi="仿宋" w:eastAsia="仿宋" w:cs="仿宋"/>
          <w:sz w:val="24"/>
        </w:rPr>
      </w:pPr>
      <w:r>
        <w:rPr>
          <w:rFonts w:hint="eastAsia" w:ascii="仿宋" w:hAnsi="仿宋" w:eastAsia="仿宋" w:cs="仿宋"/>
          <w:sz w:val="24"/>
        </w:rPr>
        <w:t>分项报价表</w:t>
      </w:r>
    </w:p>
    <w:p>
      <w:pPr>
        <w:numPr>
          <w:ilvl w:val="0"/>
          <w:numId w:val="4"/>
        </w:numPr>
        <w:spacing w:line="460" w:lineRule="exact"/>
        <w:ind w:left="630" w:leftChars="300"/>
        <w:rPr>
          <w:rFonts w:ascii="仿宋" w:hAnsi="仿宋" w:eastAsia="仿宋" w:cs="仿宋"/>
          <w:sz w:val="24"/>
        </w:rPr>
      </w:pPr>
      <w:r>
        <w:rPr>
          <w:rFonts w:hint="eastAsia" w:ascii="仿宋" w:hAnsi="仿宋" w:eastAsia="仿宋" w:cs="仿宋"/>
          <w:sz w:val="24"/>
        </w:rPr>
        <w:t>规格、技术参数、功能偏离表</w:t>
      </w:r>
    </w:p>
    <w:p>
      <w:pPr>
        <w:numPr>
          <w:ilvl w:val="0"/>
          <w:numId w:val="4"/>
        </w:numPr>
        <w:spacing w:line="460" w:lineRule="exact"/>
        <w:ind w:left="630" w:leftChars="300"/>
        <w:rPr>
          <w:rFonts w:ascii="仿宋" w:hAnsi="仿宋" w:eastAsia="仿宋" w:cs="仿宋"/>
          <w:sz w:val="24"/>
        </w:rPr>
      </w:pPr>
      <w:r>
        <w:rPr>
          <w:rFonts w:hint="eastAsia" w:ascii="仿宋" w:hAnsi="仿宋" w:eastAsia="仿宋" w:cs="仿宋"/>
          <w:sz w:val="24"/>
        </w:rPr>
        <w:t>商务条款偏离表</w:t>
      </w:r>
    </w:p>
    <w:p>
      <w:pPr>
        <w:numPr>
          <w:ilvl w:val="0"/>
          <w:numId w:val="4"/>
        </w:numPr>
        <w:spacing w:line="460" w:lineRule="exact"/>
        <w:ind w:left="630" w:leftChars="300"/>
        <w:rPr>
          <w:rFonts w:ascii="仿宋" w:hAnsi="仿宋" w:eastAsia="仿宋" w:cs="仿宋"/>
          <w:sz w:val="24"/>
        </w:rPr>
      </w:pPr>
      <w:r>
        <w:rPr>
          <w:rFonts w:hint="eastAsia" w:ascii="仿宋" w:hAnsi="仿宋" w:eastAsia="仿宋" w:cs="仿宋"/>
          <w:sz w:val="24"/>
        </w:rPr>
        <w:t>按磋商文件供应商须知、技术规格要求及其他要求提供有关文件</w:t>
      </w:r>
    </w:p>
    <w:p>
      <w:pPr>
        <w:numPr>
          <w:ilvl w:val="0"/>
          <w:numId w:val="4"/>
        </w:numPr>
        <w:spacing w:line="460" w:lineRule="exact"/>
        <w:ind w:left="630" w:leftChars="300"/>
        <w:rPr>
          <w:rFonts w:ascii="仿宋" w:hAnsi="仿宋" w:eastAsia="仿宋" w:cs="仿宋"/>
          <w:sz w:val="24"/>
        </w:rPr>
      </w:pPr>
      <w:r>
        <w:rPr>
          <w:rFonts w:hint="eastAsia" w:ascii="仿宋" w:hAnsi="仿宋" w:eastAsia="仿宋" w:cs="仿宋"/>
          <w:sz w:val="24"/>
        </w:rPr>
        <w:t>资格证明文件</w:t>
      </w:r>
    </w:p>
    <w:p>
      <w:pPr>
        <w:spacing w:line="460" w:lineRule="exact"/>
        <w:ind w:firstLine="555"/>
        <w:rPr>
          <w:rFonts w:ascii="仿宋" w:hAnsi="仿宋" w:eastAsia="仿宋" w:cs="仿宋"/>
          <w:sz w:val="24"/>
        </w:rPr>
      </w:pPr>
      <w:r>
        <w:rPr>
          <w:rFonts w:hint="eastAsia" w:ascii="仿宋" w:hAnsi="仿宋" w:eastAsia="仿宋" w:cs="仿宋"/>
          <w:sz w:val="24"/>
        </w:rPr>
        <w:t>据此函，签字代表宣布并同意如下：</w:t>
      </w:r>
    </w:p>
    <w:p>
      <w:pPr>
        <w:spacing w:line="460" w:lineRule="exact"/>
        <w:ind w:firstLine="555"/>
        <w:rPr>
          <w:rFonts w:ascii="仿宋" w:hAnsi="仿宋" w:eastAsia="仿宋" w:cs="仿宋"/>
          <w:sz w:val="24"/>
        </w:rPr>
      </w:pPr>
      <w:r>
        <w:rPr>
          <w:rFonts w:hint="eastAsia" w:ascii="仿宋" w:hAnsi="仿宋" w:eastAsia="仿宋" w:cs="仿宋"/>
          <w:sz w:val="24"/>
        </w:rPr>
        <w:t>1、所附报价表中规定的应提交和交付的货物和服务响应总价为</w:t>
      </w:r>
      <w:r>
        <w:rPr>
          <w:rFonts w:hint="eastAsia" w:ascii="仿宋" w:hAnsi="仿宋" w:eastAsia="仿宋" w:cs="仿宋"/>
          <w:sz w:val="24"/>
          <w:u w:val="single"/>
        </w:rPr>
        <w:t xml:space="preserve">              （注明币种，并用文字和数字表示的响应总价</w:t>
      </w:r>
      <w:r>
        <w:rPr>
          <w:rFonts w:hint="eastAsia" w:ascii="仿宋" w:hAnsi="仿宋" w:eastAsia="仿宋" w:cs="仿宋"/>
          <w:sz w:val="24"/>
        </w:rPr>
        <w:t>）。</w:t>
      </w:r>
    </w:p>
    <w:p>
      <w:pPr>
        <w:spacing w:line="460" w:lineRule="exact"/>
        <w:ind w:firstLine="555"/>
        <w:rPr>
          <w:rFonts w:ascii="仿宋" w:hAnsi="仿宋" w:eastAsia="仿宋" w:cs="仿宋"/>
          <w:sz w:val="24"/>
        </w:rPr>
      </w:pPr>
      <w:r>
        <w:rPr>
          <w:rFonts w:hint="eastAsia" w:ascii="仿宋" w:hAnsi="仿宋" w:eastAsia="仿宋" w:cs="仿宋"/>
          <w:sz w:val="24"/>
        </w:rPr>
        <w:t>2、投标方将按磋商文件的规定履行合同责任和义务；</w:t>
      </w:r>
    </w:p>
    <w:p>
      <w:pPr>
        <w:spacing w:line="460" w:lineRule="exact"/>
        <w:ind w:firstLine="555"/>
        <w:rPr>
          <w:rFonts w:ascii="仿宋" w:hAnsi="仿宋" w:eastAsia="仿宋" w:cs="仿宋"/>
          <w:sz w:val="24"/>
        </w:rPr>
      </w:pPr>
      <w:r>
        <w:rPr>
          <w:rFonts w:hint="eastAsia" w:ascii="仿宋" w:hAnsi="仿宋" w:eastAsia="仿宋" w:cs="仿宋"/>
          <w:sz w:val="24"/>
        </w:rPr>
        <w:t>3、投标方已详细阅读并理解了磋商文件的全部，包括修改文件（如有的话）。我们完全理解并同意放弃对这方面有不明及误解的权利。</w:t>
      </w:r>
    </w:p>
    <w:p>
      <w:pPr>
        <w:spacing w:line="460" w:lineRule="exact"/>
        <w:ind w:firstLine="555"/>
        <w:rPr>
          <w:rFonts w:ascii="仿宋" w:hAnsi="仿宋" w:eastAsia="仿宋" w:cs="仿宋"/>
          <w:sz w:val="24"/>
        </w:rPr>
      </w:pPr>
      <w:r>
        <w:rPr>
          <w:rFonts w:hint="eastAsia" w:ascii="仿宋" w:hAnsi="仿宋" w:eastAsia="仿宋" w:cs="仿宋"/>
          <w:sz w:val="24"/>
        </w:rPr>
        <w:t>4、本响应有效期自开标之日起</w:t>
      </w:r>
      <w:r>
        <w:rPr>
          <w:rFonts w:hint="eastAsia" w:ascii="仿宋" w:hAnsi="仿宋" w:eastAsia="仿宋" w:cs="仿宋"/>
          <w:sz w:val="24"/>
          <w:u w:val="single"/>
        </w:rPr>
        <w:t>　　　</w:t>
      </w:r>
      <w:r>
        <w:rPr>
          <w:rFonts w:hint="eastAsia" w:ascii="仿宋" w:hAnsi="仿宋" w:eastAsia="仿宋" w:cs="仿宋"/>
          <w:sz w:val="24"/>
        </w:rPr>
        <w:t>个日历日。</w:t>
      </w:r>
    </w:p>
    <w:p>
      <w:pPr>
        <w:spacing w:line="460" w:lineRule="exact"/>
        <w:ind w:firstLine="555"/>
        <w:rPr>
          <w:rFonts w:ascii="仿宋" w:hAnsi="仿宋" w:eastAsia="仿宋" w:cs="仿宋"/>
          <w:sz w:val="24"/>
        </w:rPr>
      </w:pPr>
      <w:r>
        <w:rPr>
          <w:rFonts w:hint="eastAsia" w:ascii="仿宋" w:hAnsi="仿宋" w:eastAsia="仿宋" w:cs="仿宋"/>
          <w:sz w:val="24"/>
        </w:rPr>
        <w:t>5、在规定的磋商时间后，如果在响应有效期内撤回投标，同意保证金将被贵方没收。</w:t>
      </w:r>
    </w:p>
    <w:p>
      <w:pPr>
        <w:spacing w:line="460" w:lineRule="exact"/>
        <w:ind w:firstLine="555"/>
        <w:rPr>
          <w:rFonts w:ascii="仿宋" w:hAnsi="仿宋" w:eastAsia="仿宋" w:cs="仿宋"/>
          <w:sz w:val="24"/>
        </w:rPr>
      </w:pPr>
      <w:r>
        <w:rPr>
          <w:rFonts w:hint="eastAsia" w:ascii="仿宋" w:hAnsi="仿宋" w:eastAsia="仿宋" w:cs="仿宋"/>
          <w:sz w:val="24"/>
        </w:rPr>
        <w:t>6、供应商同意提供按照贵方可能要求的与其响应有关的一切数据或资料，完全理解贵方不一定接受最低价的响应或收到的任何响应的约定。</w:t>
      </w:r>
    </w:p>
    <w:p>
      <w:pPr>
        <w:spacing w:line="460" w:lineRule="exact"/>
        <w:ind w:firstLine="570"/>
        <w:rPr>
          <w:rFonts w:ascii="仿宋" w:hAnsi="仿宋" w:eastAsia="仿宋" w:cs="仿宋"/>
          <w:sz w:val="24"/>
        </w:rPr>
      </w:pPr>
      <w:r>
        <w:rPr>
          <w:rFonts w:hint="eastAsia" w:ascii="仿宋" w:hAnsi="仿宋" w:eastAsia="仿宋" w:cs="仿宋"/>
          <w:sz w:val="24"/>
        </w:rPr>
        <w:t>7、与本响应有关的一切正式往来信函请寄：</w:t>
      </w:r>
    </w:p>
    <w:p>
      <w:pPr>
        <w:spacing w:line="460" w:lineRule="exact"/>
        <w:ind w:firstLine="756" w:firstLineChars="315"/>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w:t>
      </w:r>
      <w:r>
        <w:rPr>
          <w:rFonts w:hint="eastAsia" w:ascii="仿宋" w:hAnsi="仿宋" w:eastAsia="仿宋" w:cs="仿宋"/>
          <w:sz w:val="24"/>
        </w:rPr>
        <w:t>邮编：</w:t>
      </w:r>
      <w:r>
        <w:rPr>
          <w:rFonts w:hint="eastAsia" w:ascii="仿宋" w:hAnsi="仿宋" w:eastAsia="仿宋" w:cs="仿宋"/>
          <w:sz w:val="24"/>
          <w:u w:val="single"/>
        </w:rPr>
        <w:t>　　　　   　　　　　</w:t>
      </w:r>
    </w:p>
    <w:p>
      <w:pPr>
        <w:spacing w:line="460" w:lineRule="exact"/>
        <w:rPr>
          <w:rFonts w:ascii="仿宋" w:hAnsi="仿宋" w:eastAsia="仿宋" w:cs="仿宋"/>
          <w:sz w:val="24"/>
        </w:rPr>
      </w:pPr>
      <w:r>
        <w:rPr>
          <w:rFonts w:hint="eastAsia" w:ascii="仿宋" w:hAnsi="仿宋" w:eastAsia="仿宋" w:cs="仿宋"/>
          <w:sz w:val="24"/>
        </w:rPr>
        <w:t>　　　电　　　　　 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w:t>
      </w:r>
    </w:p>
    <w:p>
      <w:pPr>
        <w:spacing w:line="460" w:lineRule="exact"/>
        <w:rPr>
          <w:rFonts w:ascii="仿宋" w:hAnsi="仿宋" w:eastAsia="仿宋" w:cs="仿宋"/>
          <w:sz w:val="24"/>
        </w:rPr>
      </w:pPr>
      <w:r>
        <w:rPr>
          <w:rFonts w:hint="eastAsia" w:ascii="仿宋" w:hAnsi="仿宋" w:eastAsia="仿宋" w:cs="仿宋"/>
          <w:sz w:val="24"/>
        </w:rPr>
        <w:t>　　供应商代表签字：</w:t>
      </w:r>
      <w:r>
        <w:rPr>
          <w:rFonts w:hint="eastAsia" w:ascii="仿宋" w:hAnsi="仿宋" w:eastAsia="仿宋" w:cs="仿宋"/>
          <w:sz w:val="24"/>
          <w:u w:val="single"/>
        </w:rPr>
        <w:t>　　　　　　　　　　　　　</w:t>
      </w:r>
    </w:p>
    <w:p>
      <w:pPr>
        <w:spacing w:line="460" w:lineRule="exact"/>
        <w:rPr>
          <w:rFonts w:ascii="仿宋" w:hAnsi="仿宋" w:eastAsia="仿宋" w:cs="仿宋"/>
          <w:sz w:val="24"/>
        </w:rPr>
      </w:pPr>
      <w:r>
        <w:rPr>
          <w:rFonts w:hint="eastAsia" w:ascii="仿宋" w:hAnsi="仿宋" w:eastAsia="仿宋" w:cs="仿宋"/>
          <w:sz w:val="24"/>
        </w:rPr>
        <w:t>　　供应商 名 称：</w:t>
      </w:r>
      <w:r>
        <w:rPr>
          <w:rFonts w:hint="eastAsia" w:ascii="仿宋" w:hAnsi="仿宋" w:eastAsia="仿宋" w:cs="仿宋"/>
          <w:sz w:val="24"/>
          <w:u w:val="single"/>
        </w:rPr>
        <w:t>　      　　　　　　　　　</w:t>
      </w:r>
    </w:p>
    <w:p>
      <w:pPr>
        <w:spacing w:line="460" w:lineRule="exact"/>
        <w:ind w:firstLine="720"/>
        <w:rPr>
          <w:rFonts w:ascii="仿宋" w:hAnsi="仿宋" w:eastAsia="仿宋" w:cs="仿宋"/>
          <w:sz w:val="24"/>
          <w:u w:val="single"/>
        </w:rPr>
      </w:pPr>
      <w:r>
        <w:rPr>
          <w:rFonts w:hint="eastAsia" w:ascii="仿宋" w:hAnsi="仿宋" w:eastAsia="仿宋" w:cs="仿宋"/>
          <w:sz w:val="24"/>
        </w:rPr>
        <w:t>公          章：</w:t>
      </w:r>
      <w:r>
        <w:rPr>
          <w:rFonts w:hint="eastAsia" w:ascii="仿宋" w:hAnsi="仿宋" w:eastAsia="仿宋" w:cs="仿宋"/>
          <w:sz w:val="24"/>
          <w:u w:val="single"/>
        </w:rPr>
        <w:t>　　　　　　　　　　　　　</w:t>
      </w:r>
    </w:p>
    <w:p>
      <w:pPr>
        <w:spacing w:line="460" w:lineRule="exact"/>
        <w:rPr>
          <w:rFonts w:ascii="仿宋" w:hAnsi="仿宋" w:eastAsia="仿宋" w:cs="仿宋"/>
          <w:sz w:val="24"/>
        </w:rPr>
      </w:pPr>
      <w:r>
        <w:rPr>
          <w:rFonts w:hint="eastAsia" w:ascii="仿宋" w:hAnsi="仿宋" w:eastAsia="仿宋" w:cs="仿宋"/>
          <w:sz w:val="24"/>
        </w:rPr>
        <w:t>　　　　　　　　　　　　</w:t>
      </w:r>
    </w:p>
    <w:p>
      <w:pPr>
        <w:spacing w:line="460" w:lineRule="exact"/>
        <w:rPr>
          <w:rFonts w:ascii="仿宋" w:hAnsi="仿宋" w:eastAsia="仿宋" w:cs="仿宋"/>
          <w:sz w:val="24"/>
        </w:rPr>
      </w:pPr>
      <w:r>
        <w:rPr>
          <w:rFonts w:hint="eastAsia" w:ascii="仿宋" w:hAnsi="仿宋" w:eastAsia="仿宋" w:cs="仿宋"/>
          <w:sz w:val="24"/>
        </w:rPr>
        <w:t>　　　　　　　　　　　</w:t>
      </w:r>
    </w:p>
    <w:p>
      <w:pPr>
        <w:pStyle w:val="2"/>
        <w:rPr>
          <w:rFonts w:ascii="仿宋" w:hAnsi="仿宋" w:eastAsia="仿宋" w:cs="仿宋"/>
        </w:rPr>
      </w:pPr>
    </w:p>
    <w:p>
      <w:pPr>
        <w:spacing w:line="460" w:lineRule="exact"/>
        <w:jc w:val="center"/>
        <w:outlineLvl w:val="2"/>
        <w:rPr>
          <w:rFonts w:ascii="仿宋" w:hAnsi="仿宋" w:eastAsia="仿宋" w:cs="仿宋"/>
          <w:b/>
          <w:sz w:val="30"/>
        </w:rPr>
      </w:pPr>
      <w:r>
        <w:rPr>
          <w:rFonts w:hint="eastAsia" w:ascii="仿宋" w:hAnsi="仿宋" w:eastAsia="仿宋" w:cs="仿宋"/>
          <w:b/>
          <w:sz w:val="30"/>
        </w:rPr>
        <w:t>（二）法人代表授权书格式</w:t>
      </w:r>
    </w:p>
    <w:p>
      <w:pPr>
        <w:pStyle w:val="19"/>
        <w:rPr>
          <w:rFonts w:ascii="仿宋" w:hAnsi="仿宋" w:eastAsia="仿宋" w:cs="仿宋"/>
        </w:rPr>
      </w:pPr>
    </w:p>
    <w:p>
      <w:pPr>
        <w:pStyle w:val="20"/>
        <w:spacing w:line="460" w:lineRule="exact"/>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（地区的名称）</w:t>
      </w:r>
      <w:r>
        <w:rPr>
          <w:rFonts w:hint="eastAsia" w:ascii="仿宋" w:hAnsi="仿宋" w:eastAsia="仿宋" w:cs="仿宋"/>
        </w:rPr>
        <w:t>的</w:t>
      </w:r>
      <w:r>
        <w:rPr>
          <w:rFonts w:hint="eastAsia" w:ascii="仿宋" w:hAnsi="仿宋" w:eastAsia="仿宋" w:cs="仿宋"/>
          <w:u w:val="single"/>
        </w:rPr>
        <w:t>（公司名称）</w:t>
      </w:r>
      <w:r>
        <w:rPr>
          <w:rFonts w:hint="eastAsia" w:ascii="仿宋" w:hAnsi="仿宋" w:eastAsia="仿宋" w:cs="仿宋"/>
        </w:rPr>
        <w:t>，在下面签字的法人代表</w:t>
      </w:r>
      <w:r>
        <w:rPr>
          <w:rFonts w:hint="eastAsia" w:ascii="仿宋" w:hAnsi="仿宋" w:eastAsia="仿宋" w:cs="仿宋"/>
          <w:u w:val="single"/>
        </w:rPr>
        <w:t>（姓名、职务）</w:t>
      </w:r>
      <w:r>
        <w:rPr>
          <w:rFonts w:hint="eastAsia" w:ascii="仿宋" w:hAnsi="仿宋" w:eastAsia="仿宋" w:cs="仿宋"/>
        </w:rPr>
        <w:t>，代表本公司授权在下面签字的</w:t>
      </w:r>
      <w:r>
        <w:rPr>
          <w:rFonts w:hint="eastAsia" w:ascii="仿宋" w:hAnsi="仿宋" w:eastAsia="仿宋" w:cs="仿宋"/>
          <w:u w:val="single"/>
        </w:rPr>
        <w:t>（被授权人的姓名、职务）</w:t>
      </w:r>
      <w:r>
        <w:rPr>
          <w:rFonts w:hint="eastAsia" w:ascii="仿宋" w:hAnsi="仿宋" w:eastAsia="仿宋" w:cs="仿宋"/>
        </w:rPr>
        <w:t>为本公司的合法代理人，就</w:t>
      </w:r>
      <w:r>
        <w:rPr>
          <w:rFonts w:hint="eastAsia" w:ascii="仿宋" w:hAnsi="仿宋" w:eastAsia="仿宋" w:cs="仿宋"/>
          <w:u w:val="single"/>
        </w:rPr>
        <w:t>　（项目名称）　</w:t>
      </w:r>
      <w:r>
        <w:rPr>
          <w:rFonts w:hint="eastAsia" w:ascii="仿宋" w:hAnsi="仿宋" w:eastAsia="仿宋" w:cs="仿宋"/>
        </w:rPr>
        <w:t>的响应，以本公司的名义处理一切与之有关的事务。</w:t>
      </w:r>
    </w:p>
    <w:p>
      <w:pPr>
        <w:spacing w:line="460" w:lineRule="exact"/>
        <w:ind w:firstLine="482"/>
        <w:rPr>
          <w:rFonts w:ascii="仿宋" w:hAnsi="仿宋" w:eastAsia="仿宋" w:cs="仿宋"/>
          <w:sz w:val="24"/>
        </w:rPr>
      </w:pPr>
      <w:r>
        <w:rPr>
          <w:rFonts w:hint="eastAsia" w:ascii="仿宋" w:hAnsi="仿宋" w:eastAsia="仿宋" w:cs="仿宋"/>
          <w:sz w:val="24"/>
        </w:rPr>
        <w:t>本授权书于20</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日签字生效，特此声明。</w:t>
      </w:r>
    </w:p>
    <w:p>
      <w:pPr>
        <w:spacing w:line="460" w:lineRule="exact"/>
        <w:ind w:firstLine="482"/>
        <w:rPr>
          <w:rFonts w:ascii="仿宋" w:hAnsi="仿宋" w:eastAsia="仿宋" w:cs="仿宋"/>
          <w:b/>
          <w:bCs/>
          <w:sz w:val="24"/>
        </w:rPr>
      </w:pPr>
      <w:r>
        <w:rPr>
          <w:rFonts w:hint="eastAsia" w:ascii="仿宋" w:hAnsi="仿宋" w:eastAsia="仿宋" w:cs="仿宋"/>
          <w:b/>
          <w:bCs/>
          <w:sz w:val="24"/>
        </w:rPr>
        <w:t>附法定代表人及委托人身份证复印件(正反面);</w:t>
      </w:r>
    </w:p>
    <w:p>
      <w:pPr>
        <w:spacing w:line="460" w:lineRule="exact"/>
        <w:ind w:firstLine="482"/>
        <w:rPr>
          <w:rFonts w:ascii="仿宋" w:hAnsi="仿宋" w:eastAsia="仿宋" w:cs="仿宋"/>
          <w:sz w:val="24"/>
        </w:rPr>
      </w:pPr>
    </w:p>
    <w:p>
      <w:pPr>
        <w:spacing w:line="460" w:lineRule="exact"/>
        <w:ind w:firstLine="482"/>
        <w:rPr>
          <w:rFonts w:ascii="仿宋" w:hAnsi="仿宋" w:eastAsia="仿宋" w:cs="仿宋"/>
          <w:sz w:val="24"/>
        </w:rPr>
      </w:pPr>
      <w:r>
        <w:rPr>
          <w:rFonts w:hint="eastAsia" w:ascii="仿宋" w:hAnsi="仿宋" w:eastAsia="仿宋" w:cs="仿宋"/>
          <w:sz w:val="24"/>
        </w:rPr>
        <w:t>法人代表签字</w:t>
      </w:r>
      <w:r>
        <w:rPr>
          <w:rFonts w:hint="eastAsia" w:ascii="仿宋" w:hAnsi="仿宋" w:eastAsia="仿宋" w:cs="仿宋"/>
          <w:sz w:val="24"/>
          <w:u w:val="single"/>
        </w:rPr>
        <w:t>　　　　　　　　　　　　　　　　　</w:t>
      </w:r>
    </w:p>
    <w:p>
      <w:pPr>
        <w:spacing w:line="460" w:lineRule="exact"/>
        <w:ind w:firstLine="482"/>
        <w:rPr>
          <w:rFonts w:ascii="仿宋" w:hAnsi="仿宋" w:eastAsia="仿宋" w:cs="仿宋"/>
          <w:sz w:val="24"/>
        </w:rPr>
      </w:pPr>
      <w:r>
        <w:rPr>
          <w:rFonts w:hint="eastAsia" w:ascii="仿宋" w:hAnsi="仿宋" w:eastAsia="仿宋" w:cs="仿宋"/>
          <w:sz w:val="24"/>
        </w:rPr>
        <w:t>被授权人签字</w:t>
      </w:r>
      <w:r>
        <w:rPr>
          <w:rFonts w:hint="eastAsia" w:ascii="仿宋" w:hAnsi="仿宋" w:eastAsia="仿宋" w:cs="仿宋"/>
          <w:sz w:val="24"/>
          <w:u w:val="single"/>
        </w:rPr>
        <w:t>　　　　　　　　　　　　　　　　　</w:t>
      </w:r>
    </w:p>
    <w:p>
      <w:pPr>
        <w:spacing w:line="460" w:lineRule="exact"/>
        <w:ind w:firstLine="482"/>
        <w:rPr>
          <w:rFonts w:ascii="仿宋" w:hAnsi="仿宋" w:eastAsia="仿宋" w:cs="仿宋"/>
          <w:sz w:val="24"/>
        </w:rPr>
      </w:pPr>
      <w:r>
        <w:rPr>
          <w:rFonts w:hint="eastAsia" w:ascii="仿宋" w:hAnsi="仿宋" w:eastAsia="仿宋" w:cs="仿宋"/>
          <w:sz w:val="24"/>
        </w:rPr>
        <w:t>公      章：</w:t>
      </w:r>
    </w:p>
    <w:p>
      <w:pPr>
        <w:spacing w:line="460" w:lineRule="exact"/>
        <w:ind w:firstLine="482"/>
        <w:rPr>
          <w:rFonts w:ascii="仿宋" w:hAnsi="仿宋" w:eastAsia="仿宋" w:cs="仿宋"/>
          <w:sz w:val="24"/>
        </w:rPr>
      </w:pPr>
    </w:p>
    <w:p>
      <w:pPr>
        <w:spacing w:line="460" w:lineRule="exact"/>
        <w:ind w:firstLine="480"/>
        <w:rPr>
          <w:rFonts w:ascii="仿宋" w:hAnsi="仿宋" w:eastAsia="仿宋" w:cs="仿宋"/>
          <w:sz w:val="24"/>
          <w:u w:val="single"/>
        </w:rPr>
      </w:pPr>
      <w:r>
        <w:rPr>
          <w:rFonts w:hint="eastAsia" w:ascii="仿宋" w:hAnsi="仿宋" w:eastAsia="仿宋" w:cs="仿宋"/>
          <w:sz w:val="24"/>
        </w:rPr>
        <w:t>　　　　　　　　　　　　　　　　　　　　授权日期：20</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spacing w:line="460" w:lineRule="exact"/>
        <w:rPr>
          <w:rFonts w:ascii="仿宋" w:hAnsi="仿宋" w:eastAsia="仿宋" w:cs="仿宋"/>
          <w:sz w:val="24"/>
        </w:rPr>
      </w:pPr>
    </w:p>
    <w:p>
      <w:pPr>
        <w:spacing w:line="460" w:lineRule="exact"/>
        <w:ind w:firstLine="480" w:firstLineChars="200"/>
        <w:rPr>
          <w:rFonts w:ascii="仿宋" w:hAnsi="仿宋" w:eastAsia="仿宋" w:cs="仿宋"/>
          <w:b/>
          <w:sz w:val="24"/>
        </w:rPr>
      </w:pPr>
      <w:r>
        <w:rPr>
          <w:rFonts w:hint="eastAsia" w:ascii="仿宋" w:hAnsi="仿宋" w:eastAsia="仿宋" w:cs="仿宋"/>
          <w:b/>
          <w:sz w:val="24"/>
        </w:rPr>
        <w:t>注：法人代表本人作为公司代理人前来参加响应标的供应商，需提供法人证明书文件。</w:t>
      </w:r>
    </w:p>
    <w:p>
      <w:pPr>
        <w:tabs>
          <w:tab w:val="left" w:pos="9135"/>
        </w:tabs>
        <w:jc w:val="center"/>
        <w:rPr>
          <w:rFonts w:ascii="仿宋" w:hAnsi="仿宋" w:eastAsia="仿宋" w:cs="仿宋"/>
        </w:rPr>
      </w:pPr>
    </w:p>
    <w:p>
      <w:pPr>
        <w:tabs>
          <w:tab w:val="left" w:pos="9135"/>
        </w:tabs>
        <w:jc w:val="center"/>
        <w:rPr>
          <w:rFonts w:ascii="仿宋" w:hAnsi="仿宋" w:eastAsia="仿宋" w:cs="仿宋"/>
        </w:rPr>
      </w:pPr>
    </w:p>
    <w:p>
      <w:pPr>
        <w:spacing w:line="460" w:lineRule="exact"/>
        <w:jc w:val="center"/>
        <w:outlineLvl w:val="2"/>
        <w:rPr>
          <w:rFonts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（三）报价一览表</w:t>
      </w:r>
    </w:p>
    <w:p>
      <w:pPr>
        <w:pStyle w:val="189"/>
        <w:ind w:left="180" w:leftChars="14" w:hanging="151" w:hangingChars="63"/>
        <w:jc w:val="both"/>
        <w:rPr>
          <w:rFonts w:ascii="仿宋" w:hAnsi="仿宋" w:eastAsia="仿宋" w:cs="仿宋"/>
          <w:color w:val="auto"/>
          <w:sz w:val="24"/>
          <w:szCs w:val="24"/>
        </w:rPr>
      </w:pPr>
      <w:r>
        <w:rPr>
          <w:rFonts w:hint="eastAsia" w:ascii="仿宋" w:hAnsi="仿宋" w:eastAsia="仿宋" w:cs="仿宋"/>
          <w:color w:val="auto"/>
          <w:sz w:val="24"/>
          <w:szCs w:val="24"/>
        </w:rPr>
        <w:t>供应商名称：                      项目名称：</w:t>
      </w:r>
    </w:p>
    <w:p>
      <w:pPr>
        <w:pStyle w:val="189"/>
        <w:ind w:left="180" w:leftChars="14" w:hanging="151" w:hangingChars="63"/>
        <w:jc w:val="both"/>
        <w:rPr>
          <w:rFonts w:ascii="仿宋" w:hAnsi="仿宋" w:eastAsia="仿宋" w:cs="仿宋"/>
          <w:color w:val="auto"/>
          <w:sz w:val="24"/>
          <w:szCs w:val="24"/>
        </w:rPr>
      </w:pPr>
      <w:r>
        <w:rPr>
          <w:rFonts w:hint="eastAsia" w:ascii="仿宋" w:hAnsi="仿宋" w:eastAsia="仿宋" w:cs="仿宋"/>
          <w:color w:val="auto"/>
          <w:sz w:val="24"/>
          <w:szCs w:val="24"/>
        </w:rPr>
        <w:t xml:space="preserve">项目编号： </w:t>
      </w:r>
    </w:p>
    <w:tbl>
      <w:tblPr>
        <w:tblStyle w:val="43"/>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130"/>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17"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2130" w:type="dxa"/>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6552"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0" w:type="auto"/>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2130" w:type="dxa"/>
            <w:vAlign w:val="center"/>
          </w:tcPr>
          <w:p>
            <w:pPr>
              <w:jc w:val="center"/>
              <w:rPr>
                <w:rFonts w:ascii="仿宋" w:hAnsi="仿宋" w:eastAsia="仿宋" w:cs="仿宋"/>
                <w:sz w:val="24"/>
                <w:szCs w:val="24"/>
              </w:rPr>
            </w:pPr>
            <w:r>
              <w:rPr>
                <w:rFonts w:hint="eastAsia" w:ascii="仿宋" w:hAnsi="仿宋" w:eastAsia="仿宋" w:cs="仿宋"/>
                <w:sz w:val="24"/>
                <w:szCs w:val="24"/>
              </w:rPr>
              <w:t>响应总报价</w:t>
            </w:r>
          </w:p>
        </w:tc>
        <w:tc>
          <w:tcPr>
            <w:tcW w:w="6552"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大写：</w:t>
            </w:r>
          </w:p>
          <w:p>
            <w:pPr>
              <w:spacing w:line="360" w:lineRule="auto"/>
              <w:jc w:val="left"/>
              <w:rPr>
                <w:rFonts w:ascii="仿宋" w:hAnsi="仿宋" w:eastAsia="仿宋" w:cs="仿宋"/>
                <w:sz w:val="24"/>
                <w:szCs w:val="24"/>
              </w:rPr>
            </w:pPr>
            <w:r>
              <w:rPr>
                <w:rFonts w:hint="eastAsia" w:ascii="仿宋" w:hAnsi="仿宋" w:eastAsia="仿宋" w:cs="仿宋"/>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0" w:type="auto"/>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2130" w:type="dxa"/>
            <w:vAlign w:val="center"/>
          </w:tcPr>
          <w:p>
            <w:pPr>
              <w:jc w:val="center"/>
              <w:rPr>
                <w:rFonts w:ascii="仿宋" w:hAnsi="仿宋" w:eastAsia="仿宋" w:cs="仿宋"/>
                <w:sz w:val="24"/>
                <w:szCs w:val="24"/>
              </w:rPr>
            </w:pPr>
            <w:r>
              <w:rPr>
                <w:rFonts w:hint="eastAsia" w:ascii="仿宋" w:hAnsi="仿宋" w:eastAsia="仿宋" w:cs="仿宋"/>
                <w:sz w:val="24"/>
                <w:szCs w:val="24"/>
              </w:rPr>
              <w:t>服务期</w:t>
            </w:r>
          </w:p>
        </w:tc>
        <w:tc>
          <w:tcPr>
            <w:tcW w:w="6552" w:type="dxa"/>
            <w:vAlign w:val="center"/>
          </w:tcPr>
          <w:p>
            <w:pPr>
              <w:spacing w:line="360" w:lineRule="auto"/>
              <w:jc w:val="left"/>
              <w:rPr>
                <w:rFonts w:ascii="仿宋" w:hAnsi="仿宋" w:eastAsia="仿宋" w:cs="仿宋"/>
                <w:sz w:val="24"/>
                <w:szCs w:val="24"/>
              </w:rPr>
            </w:pPr>
          </w:p>
        </w:tc>
      </w:tr>
    </w:tbl>
    <w:p>
      <w:pPr>
        <w:pStyle w:val="19"/>
        <w:spacing w:line="360" w:lineRule="exact"/>
        <w:ind w:left="340" w:right="5103" w:firstLine="210"/>
        <w:rPr>
          <w:rFonts w:ascii="仿宋" w:hAnsi="仿宋" w:eastAsia="仿宋" w:cs="仿宋"/>
        </w:rPr>
      </w:pPr>
      <w:r>
        <w:rPr>
          <w:rFonts w:hint="eastAsia" w:ascii="仿宋" w:hAnsi="仿宋" w:eastAsia="仿宋" w:cs="仿宋"/>
        </w:rPr>
        <w:t>供应商（盖章）：</w:t>
      </w:r>
    </w:p>
    <w:p>
      <w:pPr>
        <w:pStyle w:val="19"/>
        <w:spacing w:line="360" w:lineRule="exact"/>
        <w:ind w:left="340" w:right="4394" w:firstLine="210"/>
        <w:rPr>
          <w:rFonts w:ascii="仿宋" w:hAnsi="仿宋" w:eastAsia="仿宋" w:cs="仿宋"/>
        </w:rPr>
      </w:pPr>
      <w:r>
        <w:rPr>
          <w:rFonts w:hint="eastAsia" w:ascii="仿宋" w:hAnsi="仿宋" w:eastAsia="仿宋" w:cs="仿宋"/>
        </w:rPr>
        <w:t xml:space="preserve">法定代表人（盖章）： </w:t>
      </w:r>
    </w:p>
    <w:p>
      <w:pPr>
        <w:pStyle w:val="19"/>
        <w:spacing w:line="360" w:lineRule="exact"/>
        <w:ind w:left="340" w:right="4820" w:firstLine="210"/>
        <w:rPr>
          <w:rFonts w:ascii="仿宋" w:hAnsi="仿宋" w:eastAsia="仿宋" w:cs="仿宋"/>
        </w:rPr>
      </w:pPr>
      <w:r>
        <w:rPr>
          <w:rFonts w:hint="eastAsia" w:ascii="仿宋" w:hAnsi="仿宋" w:eastAsia="仿宋" w:cs="仿宋"/>
        </w:rPr>
        <w:t>或法人授权代表（签字）：</w:t>
      </w:r>
    </w:p>
    <w:p>
      <w:pPr>
        <w:pStyle w:val="19"/>
        <w:spacing w:line="360" w:lineRule="exact"/>
        <w:ind w:left="340" w:right="6983" w:firstLine="210"/>
        <w:rPr>
          <w:rFonts w:ascii="仿宋" w:hAnsi="仿宋" w:eastAsia="仿宋" w:cs="仿宋"/>
        </w:rPr>
      </w:pPr>
      <w:r>
        <w:rPr>
          <w:rFonts w:hint="eastAsia" w:ascii="仿宋" w:hAnsi="仿宋" w:eastAsia="仿宋" w:cs="仿宋"/>
        </w:rPr>
        <w:t>日期：</w:t>
      </w:r>
    </w:p>
    <w:p>
      <w:pPr>
        <w:adjustRightInd w:val="0"/>
        <w:spacing w:line="400" w:lineRule="exact"/>
        <w:ind w:firstLine="480" w:firstLineChars="200"/>
        <w:jc w:val="left"/>
        <w:rPr>
          <w:rFonts w:ascii="仿宋" w:hAnsi="仿宋" w:eastAsia="仿宋" w:cs="仿宋"/>
          <w:sz w:val="24"/>
        </w:rPr>
      </w:pPr>
    </w:p>
    <w:p>
      <w:pPr>
        <w:jc w:val="left"/>
        <w:rPr>
          <w:rFonts w:ascii="仿宋" w:hAnsi="仿宋" w:eastAsia="仿宋" w:cs="仿宋"/>
          <w:b/>
          <w:sz w:val="24"/>
        </w:rPr>
      </w:pPr>
      <w:r>
        <w:rPr>
          <w:rFonts w:hint="eastAsia" w:ascii="仿宋" w:hAnsi="仿宋" w:eastAsia="仿宋" w:cs="仿宋"/>
          <w:b/>
          <w:sz w:val="28"/>
        </w:rPr>
        <w:t>注:</w:t>
      </w:r>
      <w:r>
        <w:rPr>
          <w:rFonts w:hint="eastAsia" w:ascii="仿宋" w:hAnsi="仿宋" w:eastAsia="仿宋" w:cs="仿宋"/>
          <w:b/>
          <w:sz w:val="24"/>
        </w:rPr>
        <w:t>此表投标文件中应有一份，并单独制作一份装在密封信封中。</w:t>
      </w:r>
    </w:p>
    <w:p>
      <w:pPr>
        <w:spacing w:line="360" w:lineRule="exact"/>
        <w:ind w:firstLine="2720" w:firstLineChars="850"/>
        <w:rPr>
          <w:rFonts w:ascii="仿宋" w:hAnsi="仿宋" w:eastAsia="仿宋" w:cs="仿宋"/>
          <w:b/>
          <w:sz w:val="32"/>
        </w:rPr>
      </w:pPr>
    </w:p>
    <w:p>
      <w:pPr>
        <w:spacing w:line="360" w:lineRule="exact"/>
        <w:ind w:firstLine="2720" w:firstLineChars="850"/>
        <w:rPr>
          <w:rFonts w:ascii="仿宋" w:hAnsi="仿宋" w:eastAsia="仿宋" w:cs="仿宋"/>
          <w:b/>
          <w:sz w:val="32"/>
        </w:rPr>
      </w:pPr>
    </w:p>
    <w:p>
      <w:pPr>
        <w:spacing w:line="460" w:lineRule="exact"/>
        <w:jc w:val="center"/>
        <w:outlineLvl w:val="2"/>
        <w:rPr>
          <w:rFonts w:ascii="仿宋" w:hAnsi="仿宋" w:eastAsia="仿宋" w:cs="仿宋"/>
          <w:b/>
          <w:sz w:val="30"/>
        </w:rPr>
      </w:pPr>
      <w:r>
        <w:rPr>
          <w:rFonts w:hint="eastAsia" w:ascii="仿宋" w:hAnsi="仿宋" w:eastAsia="仿宋" w:cs="仿宋"/>
          <w:b/>
          <w:sz w:val="32"/>
        </w:rPr>
        <w:br w:type="page"/>
      </w:r>
      <w:r>
        <w:rPr>
          <w:rFonts w:hint="eastAsia" w:ascii="仿宋" w:hAnsi="仿宋" w:eastAsia="仿宋" w:cs="仿宋"/>
          <w:b/>
          <w:sz w:val="30"/>
        </w:rPr>
        <w:t>（四）分项报价表</w:t>
      </w:r>
    </w:p>
    <w:p>
      <w:pPr>
        <w:pStyle w:val="189"/>
        <w:ind w:left="201" w:leftChars="96"/>
        <w:jc w:val="both"/>
        <w:rPr>
          <w:rFonts w:ascii="仿宋" w:hAnsi="仿宋" w:eastAsia="仿宋" w:cs="仿宋"/>
          <w:color w:val="auto"/>
          <w:sz w:val="24"/>
          <w:szCs w:val="24"/>
        </w:rPr>
      </w:pPr>
      <w:r>
        <w:rPr>
          <w:rFonts w:hint="eastAsia" w:ascii="仿宋" w:hAnsi="仿宋" w:eastAsia="仿宋" w:cs="仿宋"/>
          <w:color w:val="auto"/>
          <w:sz w:val="24"/>
          <w:szCs w:val="24"/>
        </w:rPr>
        <w:t xml:space="preserve">供应商名称：                      </w:t>
      </w:r>
    </w:p>
    <w:p>
      <w:pPr>
        <w:pStyle w:val="189"/>
        <w:ind w:left="201" w:leftChars="96"/>
        <w:jc w:val="both"/>
        <w:rPr>
          <w:rFonts w:ascii="仿宋" w:hAnsi="仿宋" w:eastAsia="仿宋" w:cs="仿宋"/>
          <w:color w:val="auto"/>
          <w:sz w:val="24"/>
          <w:szCs w:val="24"/>
        </w:rPr>
      </w:pPr>
      <w:r>
        <w:rPr>
          <w:rFonts w:hint="eastAsia" w:ascii="仿宋" w:hAnsi="仿宋" w:eastAsia="仿宋" w:cs="仿宋"/>
          <w:color w:val="auto"/>
          <w:sz w:val="24"/>
          <w:szCs w:val="24"/>
        </w:rPr>
        <w:t>项目名称：                                项目编号：</w:t>
      </w:r>
    </w:p>
    <w:tbl>
      <w:tblPr>
        <w:tblStyle w:val="43"/>
        <w:tblpPr w:leftFromText="180" w:rightFromText="180" w:vertAnchor="text" w:horzAnchor="page" w:tblpX="1405" w:tblpY="341"/>
        <w:tblOverlap w:val="never"/>
        <w:tblW w:w="8936" w:type="dxa"/>
        <w:tblInd w:w="0" w:type="dxa"/>
        <w:tblLayout w:type="fixed"/>
        <w:tblCellMar>
          <w:top w:w="0" w:type="dxa"/>
          <w:left w:w="108" w:type="dxa"/>
          <w:bottom w:w="0" w:type="dxa"/>
          <w:right w:w="108" w:type="dxa"/>
        </w:tblCellMar>
      </w:tblPr>
      <w:tblGrid>
        <w:gridCol w:w="821"/>
        <w:gridCol w:w="1404"/>
        <w:gridCol w:w="929"/>
        <w:gridCol w:w="930"/>
        <w:gridCol w:w="1000"/>
        <w:gridCol w:w="858"/>
        <w:gridCol w:w="1009"/>
        <w:gridCol w:w="993"/>
        <w:gridCol w:w="992"/>
      </w:tblGrid>
      <w:tr>
        <w:tblPrEx>
          <w:tblCellMar>
            <w:top w:w="0" w:type="dxa"/>
            <w:left w:w="108" w:type="dxa"/>
            <w:bottom w:w="0" w:type="dxa"/>
            <w:right w:w="108" w:type="dxa"/>
          </w:tblCellMar>
        </w:tblPrEx>
        <w:trPr>
          <w:trHeight w:val="1212" w:hRule="atLeast"/>
        </w:trPr>
        <w:tc>
          <w:tcPr>
            <w:tcW w:w="821" w:type="dxa"/>
            <w:tcBorders>
              <w:top w:val="single" w:color="auto" w:sz="4" w:space="0"/>
              <w:left w:val="single" w:color="auto" w:sz="4" w:space="0"/>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类别</w:t>
            </w:r>
          </w:p>
        </w:tc>
        <w:tc>
          <w:tcPr>
            <w:tcW w:w="1404" w:type="dxa"/>
            <w:tcBorders>
              <w:top w:val="single" w:color="auto" w:sz="4" w:space="0"/>
              <w:left w:val="nil"/>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名称</w:t>
            </w:r>
          </w:p>
        </w:tc>
        <w:tc>
          <w:tcPr>
            <w:tcW w:w="929" w:type="dxa"/>
            <w:tcBorders>
              <w:top w:val="single" w:color="auto" w:sz="4" w:space="0"/>
              <w:left w:val="nil"/>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30" w:type="dxa"/>
            <w:tcBorders>
              <w:top w:val="single" w:color="auto" w:sz="4" w:space="0"/>
              <w:left w:val="nil"/>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000" w:type="dxa"/>
            <w:tcBorders>
              <w:top w:val="single" w:color="auto" w:sz="4" w:space="0"/>
              <w:left w:val="nil"/>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规格</w:t>
            </w:r>
          </w:p>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型号</w:t>
            </w:r>
          </w:p>
        </w:tc>
        <w:tc>
          <w:tcPr>
            <w:tcW w:w="858" w:type="dxa"/>
            <w:tcBorders>
              <w:top w:val="single" w:color="auto" w:sz="4" w:space="0"/>
              <w:left w:val="nil"/>
              <w:right w:val="single" w:color="auto" w:sz="4" w:space="0"/>
            </w:tcBorders>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品牌</w:t>
            </w:r>
          </w:p>
        </w:tc>
        <w:tc>
          <w:tcPr>
            <w:tcW w:w="1009" w:type="dxa"/>
            <w:tcBorders>
              <w:top w:val="single" w:color="auto" w:sz="4" w:space="0"/>
              <w:left w:val="nil"/>
              <w:right w:val="single" w:color="auto" w:sz="4" w:space="0"/>
            </w:tcBorders>
            <w:noWrap/>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单价</w:t>
            </w:r>
          </w:p>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（元）</w:t>
            </w:r>
          </w:p>
        </w:tc>
        <w:tc>
          <w:tcPr>
            <w:tcW w:w="993" w:type="dxa"/>
            <w:tcBorders>
              <w:top w:val="single" w:color="auto" w:sz="4" w:space="0"/>
              <w:left w:val="nil"/>
              <w:right w:val="single" w:color="auto" w:sz="4" w:space="0"/>
            </w:tcBorders>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992" w:type="dxa"/>
            <w:tcBorders>
              <w:top w:val="single" w:color="auto" w:sz="4" w:space="0"/>
              <w:left w:val="nil"/>
              <w:right w:val="single" w:color="auto" w:sz="4" w:space="0"/>
            </w:tcBorders>
            <w:vAlign w:val="center"/>
          </w:tcPr>
          <w:p>
            <w:pPr>
              <w:widowControl/>
              <w:spacing w:before="156" w:beforeLines="50"/>
              <w:jc w:val="center"/>
              <w:rPr>
                <w:rFonts w:ascii="仿宋" w:hAnsi="仿宋" w:eastAsia="仿宋" w:cs="仿宋"/>
                <w:bCs/>
                <w:kern w:val="0"/>
                <w:sz w:val="24"/>
                <w:szCs w:val="24"/>
              </w:rPr>
            </w:pPr>
            <w:r>
              <w:rPr>
                <w:rFonts w:hint="eastAsia" w:ascii="仿宋" w:hAnsi="仿宋" w:eastAsia="仿宋" w:cs="仿宋"/>
                <w:bCs/>
                <w:kern w:val="0"/>
                <w:sz w:val="24"/>
                <w:szCs w:val="24"/>
              </w:rPr>
              <w:t>备注</w:t>
            </w:r>
          </w:p>
        </w:tc>
      </w:tr>
      <w:tr>
        <w:tblPrEx>
          <w:tblCellMar>
            <w:top w:w="0" w:type="dxa"/>
            <w:left w:w="108" w:type="dxa"/>
            <w:bottom w:w="0" w:type="dxa"/>
            <w:right w:w="108" w:type="dxa"/>
          </w:tblCellMar>
        </w:tblPrEx>
        <w:trPr>
          <w:trHeight w:val="478" w:hRule="atLeast"/>
        </w:trPr>
        <w:tc>
          <w:tcPr>
            <w:tcW w:w="821"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04"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2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3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100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仿宋" w:hAnsi="仿宋" w:eastAsia="仿宋" w:cs="仿宋"/>
                <w:kern w:val="0"/>
                <w:sz w:val="24"/>
                <w:szCs w:val="24"/>
              </w:rPr>
            </w:pPr>
          </w:p>
        </w:tc>
      </w:tr>
      <w:tr>
        <w:tblPrEx>
          <w:tblCellMar>
            <w:top w:w="0" w:type="dxa"/>
            <w:left w:w="108" w:type="dxa"/>
            <w:bottom w:w="0" w:type="dxa"/>
            <w:right w:w="108" w:type="dxa"/>
          </w:tblCellMar>
        </w:tblPrEx>
        <w:trPr>
          <w:trHeight w:val="478" w:hRule="atLeast"/>
        </w:trPr>
        <w:tc>
          <w:tcPr>
            <w:tcW w:w="821"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404"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sz w:val="24"/>
                <w:szCs w:val="24"/>
              </w:rPr>
            </w:pPr>
          </w:p>
        </w:tc>
        <w:tc>
          <w:tcPr>
            <w:tcW w:w="92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3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100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仿宋" w:hAnsi="仿宋" w:eastAsia="仿宋" w:cs="仿宋"/>
                <w:kern w:val="0"/>
                <w:sz w:val="24"/>
                <w:szCs w:val="24"/>
              </w:rPr>
            </w:pPr>
          </w:p>
        </w:tc>
      </w:tr>
      <w:tr>
        <w:tblPrEx>
          <w:tblCellMar>
            <w:top w:w="0" w:type="dxa"/>
            <w:left w:w="108" w:type="dxa"/>
            <w:bottom w:w="0" w:type="dxa"/>
            <w:right w:w="108" w:type="dxa"/>
          </w:tblCellMar>
        </w:tblPrEx>
        <w:trPr>
          <w:trHeight w:val="478" w:hRule="atLeast"/>
        </w:trPr>
        <w:tc>
          <w:tcPr>
            <w:tcW w:w="821"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404"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2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3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1009"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jc w:val="center"/>
              <w:rPr>
                <w:rFonts w:ascii="仿宋" w:hAnsi="仿宋" w:eastAsia="仿宋" w:cs="仿宋"/>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仿宋" w:hAnsi="仿宋" w:eastAsia="仿宋" w:cs="仿宋"/>
                <w:kern w:val="0"/>
                <w:sz w:val="24"/>
                <w:szCs w:val="24"/>
              </w:rPr>
            </w:pPr>
          </w:p>
        </w:tc>
      </w:tr>
      <w:tr>
        <w:tblPrEx>
          <w:tblCellMar>
            <w:top w:w="0" w:type="dxa"/>
            <w:left w:w="108" w:type="dxa"/>
            <w:bottom w:w="0" w:type="dxa"/>
            <w:right w:w="108" w:type="dxa"/>
          </w:tblCellMar>
        </w:tblPrEx>
        <w:trPr>
          <w:trHeight w:val="478" w:hRule="atLeast"/>
        </w:trPr>
        <w:tc>
          <w:tcPr>
            <w:tcW w:w="821" w:type="dxa"/>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5121" w:type="dxa"/>
            <w:gridSpan w:val="5"/>
            <w:tcBorders>
              <w:top w:val="single" w:color="auto" w:sz="4" w:space="0"/>
              <w:left w:val="single" w:color="auto" w:sz="4" w:space="0"/>
              <w:bottom w:val="single" w:color="auto" w:sz="4" w:space="0"/>
              <w:right w:val="single" w:color="auto" w:sz="4" w:space="0"/>
            </w:tcBorders>
            <w:noWrap/>
            <w:vAlign w:val="center"/>
          </w:tcPr>
          <w:p>
            <w:pPr>
              <w:widowControl/>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合计（元）</w:t>
            </w:r>
          </w:p>
        </w:tc>
        <w:tc>
          <w:tcPr>
            <w:tcW w:w="2994" w:type="dxa"/>
            <w:gridSpan w:val="3"/>
            <w:tcBorders>
              <w:top w:val="single" w:color="auto" w:sz="4" w:space="0"/>
              <w:left w:val="single" w:color="auto" w:sz="4" w:space="0"/>
              <w:bottom w:val="single" w:color="auto" w:sz="4" w:space="0"/>
              <w:right w:val="single" w:color="auto" w:sz="4" w:space="0"/>
            </w:tcBorders>
            <w:noWrap/>
            <w:vAlign w:val="center"/>
          </w:tcPr>
          <w:p>
            <w:pPr>
              <w:spacing w:before="156" w:beforeLines="50"/>
              <w:jc w:val="center"/>
              <w:rPr>
                <w:rFonts w:ascii="仿宋" w:hAnsi="仿宋" w:eastAsia="仿宋" w:cs="仿宋"/>
                <w:kern w:val="0"/>
                <w:sz w:val="24"/>
                <w:szCs w:val="24"/>
              </w:rPr>
            </w:pPr>
          </w:p>
        </w:tc>
      </w:tr>
    </w:tbl>
    <w:p>
      <w:pPr>
        <w:pStyle w:val="189"/>
        <w:jc w:val="both"/>
        <w:rPr>
          <w:rFonts w:ascii="仿宋" w:hAnsi="仿宋" w:eastAsia="仿宋" w:cs="仿宋"/>
          <w:color w:val="auto"/>
          <w:sz w:val="24"/>
          <w:szCs w:val="24"/>
        </w:rPr>
      </w:pPr>
    </w:p>
    <w:p>
      <w:pPr>
        <w:pStyle w:val="189"/>
        <w:ind w:left="201" w:leftChars="96"/>
        <w:jc w:val="both"/>
        <w:rPr>
          <w:rFonts w:ascii="仿宋" w:hAnsi="仿宋" w:eastAsia="仿宋" w:cs="仿宋"/>
          <w:color w:val="4F81BD" w:themeColor="accent1"/>
          <w:sz w:val="24"/>
          <w:szCs w:val="24"/>
          <w14:textFill>
            <w14:gradFill>
              <w14:gsLst>
                <w14:gs w14:pos="0">
                  <w14:srgbClr w14:val="7B32B2"/>
                </w14:gs>
                <w14:gs w14:pos="100000">
                  <w14:srgbClr w14:val="401A5D"/>
                </w14:gs>
              </w14:gsLst>
              <w14:lin w14:ang="0" w14:scaled="0"/>
            </w14:gradFill>
          </w14:textFill>
        </w:rPr>
      </w:pPr>
    </w:p>
    <w:p>
      <w:pPr>
        <w:ind w:firstLine="240" w:firstLineChars="100"/>
        <w:rPr>
          <w:rFonts w:ascii="仿宋" w:hAnsi="仿宋" w:eastAsia="仿宋" w:cs="仿宋"/>
          <w:color w:val="4F81BD" w:themeColor="accent1"/>
          <w:sz w:val="24"/>
          <w14:textFill>
            <w14:gradFill>
              <w14:gsLst>
                <w14:gs w14:pos="0">
                  <w14:srgbClr w14:val="7B32B2"/>
                </w14:gs>
                <w14:gs w14:pos="100000">
                  <w14:srgbClr w14:val="401A5D"/>
                </w14:gs>
              </w14:gsLst>
              <w14:lin w14:ang="0" w14:scaled="0"/>
            </w14:gradFill>
          </w14:textFill>
        </w:rPr>
      </w:pPr>
      <w:r>
        <w:rPr>
          <w:rFonts w:hint="eastAsia" w:ascii="仿宋" w:hAnsi="仿宋" w:eastAsia="仿宋" w:cs="仿宋"/>
          <w:color w:val="4F81BD" w:themeColor="accent1"/>
          <w:sz w:val="24"/>
          <w14:textFill>
            <w14:gradFill>
              <w14:gsLst>
                <w14:gs w14:pos="0">
                  <w14:srgbClr w14:val="7B32B2"/>
                </w14:gs>
                <w14:gs w14:pos="100000">
                  <w14:srgbClr w14:val="401A5D"/>
                </w14:gs>
              </w14:gsLst>
              <w14:lin w14:ang="0" w14:scaled="0"/>
            </w14:gradFill>
          </w14:textFill>
        </w:rPr>
        <w:t>注：此表需详列技术参数中所包含的所有内容。</w:t>
      </w:r>
    </w:p>
    <w:p>
      <w:pPr>
        <w:pStyle w:val="19"/>
        <w:spacing w:line="400" w:lineRule="exact"/>
        <w:ind w:left="340" w:right="5103" w:firstLine="210"/>
        <w:rPr>
          <w:rFonts w:ascii="仿宋" w:hAnsi="仿宋" w:eastAsia="仿宋" w:cs="仿宋"/>
        </w:rPr>
      </w:pPr>
      <w:r>
        <w:rPr>
          <w:rFonts w:hint="eastAsia" w:ascii="仿宋" w:hAnsi="仿宋" w:eastAsia="仿宋" w:cs="仿宋"/>
        </w:rPr>
        <w:t>供应商（盖章）：</w:t>
      </w:r>
    </w:p>
    <w:p>
      <w:pPr>
        <w:pStyle w:val="19"/>
        <w:spacing w:line="400" w:lineRule="exact"/>
        <w:ind w:left="340" w:right="4394" w:firstLine="210"/>
        <w:rPr>
          <w:rFonts w:ascii="仿宋" w:hAnsi="仿宋" w:eastAsia="仿宋" w:cs="仿宋"/>
        </w:rPr>
      </w:pPr>
      <w:r>
        <w:rPr>
          <w:rFonts w:hint="eastAsia" w:ascii="仿宋" w:hAnsi="仿宋" w:eastAsia="仿宋" w:cs="仿宋"/>
        </w:rPr>
        <w:t xml:space="preserve">法定代表人（盖章）： </w:t>
      </w:r>
    </w:p>
    <w:p>
      <w:pPr>
        <w:pStyle w:val="19"/>
        <w:spacing w:line="400" w:lineRule="exact"/>
        <w:ind w:left="340" w:right="4820" w:firstLine="210"/>
        <w:rPr>
          <w:rFonts w:ascii="仿宋" w:hAnsi="仿宋" w:eastAsia="仿宋" w:cs="仿宋"/>
        </w:rPr>
      </w:pPr>
      <w:r>
        <w:rPr>
          <w:rFonts w:hint="eastAsia" w:ascii="仿宋" w:hAnsi="仿宋" w:eastAsia="仿宋" w:cs="仿宋"/>
        </w:rPr>
        <w:t>或法人授权代表（签字）：</w:t>
      </w:r>
    </w:p>
    <w:p>
      <w:pPr>
        <w:pStyle w:val="19"/>
        <w:spacing w:line="400" w:lineRule="exact"/>
        <w:ind w:left="340" w:right="6983" w:firstLine="210"/>
        <w:rPr>
          <w:rFonts w:ascii="仿宋" w:hAnsi="仿宋" w:eastAsia="仿宋" w:cs="仿宋"/>
        </w:rPr>
      </w:pPr>
      <w:r>
        <w:rPr>
          <w:rFonts w:hint="eastAsia" w:ascii="仿宋" w:hAnsi="仿宋" w:eastAsia="仿宋" w:cs="仿宋"/>
        </w:rPr>
        <w:t>日期：</w:t>
      </w:r>
    </w:p>
    <w:p>
      <w:pPr>
        <w:widowControl/>
        <w:jc w:val="left"/>
        <w:rPr>
          <w:rFonts w:ascii="仿宋" w:hAnsi="仿宋" w:eastAsia="仿宋" w:cs="仿宋"/>
          <w:b/>
          <w:sz w:val="32"/>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spacing w:line="460" w:lineRule="exact"/>
        <w:jc w:val="center"/>
        <w:outlineLvl w:val="2"/>
        <w:rPr>
          <w:rFonts w:ascii="仿宋" w:hAnsi="仿宋" w:eastAsia="仿宋" w:cs="仿宋"/>
          <w:b/>
          <w:sz w:val="30"/>
        </w:rPr>
      </w:pPr>
      <w:r>
        <w:rPr>
          <w:rFonts w:hint="eastAsia" w:ascii="仿宋" w:hAnsi="仿宋" w:eastAsia="仿宋" w:cs="仿宋"/>
          <w:b/>
          <w:sz w:val="30"/>
        </w:rPr>
        <w:t>（五）关于资格的声明函</w:t>
      </w:r>
    </w:p>
    <w:p>
      <w:pPr>
        <w:spacing w:line="360" w:lineRule="exact"/>
        <w:ind w:firstLine="2720" w:firstLineChars="850"/>
        <w:rPr>
          <w:rFonts w:ascii="仿宋" w:hAnsi="仿宋" w:eastAsia="仿宋" w:cs="仿宋"/>
          <w:b/>
          <w:sz w:val="32"/>
        </w:rPr>
      </w:pPr>
    </w:p>
    <w:p>
      <w:pPr>
        <w:pStyle w:val="20"/>
        <w:rPr>
          <w:rFonts w:ascii="仿宋" w:hAnsi="仿宋" w:eastAsia="仿宋" w:cs="仿宋"/>
        </w:rPr>
      </w:pPr>
      <w:r>
        <w:rPr>
          <w:rFonts w:hint="eastAsia" w:ascii="仿宋" w:hAnsi="仿宋" w:eastAsia="仿宋" w:cs="仿宋"/>
        </w:rPr>
        <w:t>致</w:t>
      </w:r>
      <w:r>
        <w:rPr>
          <w:rFonts w:hint="eastAsia" w:ascii="仿宋" w:hAnsi="仿宋" w:eastAsia="仿宋" w:cs="仿宋"/>
          <w:color w:val="000000"/>
          <w:u w:val="single"/>
        </w:rPr>
        <w:t xml:space="preserve">          （采购单位）</w:t>
      </w:r>
      <w:r>
        <w:rPr>
          <w:rFonts w:hint="eastAsia" w:ascii="仿宋" w:hAnsi="仿宋" w:eastAsia="仿宋" w:cs="仿宋"/>
        </w:rPr>
        <w:t>：</w:t>
      </w:r>
    </w:p>
    <w:p>
      <w:pPr>
        <w:pStyle w:val="20"/>
        <w:rPr>
          <w:rFonts w:ascii="仿宋" w:hAnsi="仿宋" w:eastAsia="仿宋" w:cs="仿宋"/>
        </w:rPr>
      </w:pPr>
      <w:r>
        <w:rPr>
          <w:rFonts w:hint="eastAsia" w:ascii="仿宋" w:hAnsi="仿宋" w:eastAsia="仿宋" w:cs="仿宋"/>
        </w:rPr>
        <w:t>关于贵方20</w:t>
      </w:r>
      <w:r>
        <w:rPr>
          <w:rFonts w:hint="eastAsia" w:ascii="仿宋" w:hAnsi="仿宋" w:eastAsia="仿宋" w:cs="仿宋"/>
          <w:u w:val="single"/>
        </w:rPr>
        <w:t>　　</w:t>
      </w:r>
      <w:r>
        <w:rPr>
          <w:rFonts w:hint="eastAsia" w:ascii="仿宋" w:hAnsi="仿宋" w:eastAsia="仿宋" w:cs="仿宋"/>
        </w:rPr>
        <w:t>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日第（磋商文件编号）磋商公告关于</w:t>
      </w:r>
      <w:r>
        <w:rPr>
          <w:rFonts w:hint="eastAsia" w:ascii="仿宋" w:hAnsi="仿宋" w:eastAsia="仿宋" w:cs="仿宋"/>
          <w:u w:val="single"/>
        </w:rPr>
        <w:t>“　　　　　　　　”</w:t>
      </w:r>
      <w:r>
        <w:rPr>
          <w:rFonts w:hint="eastAsia" w:ascii="仿宋" w:hAnsi="仿宋" w:eastAsia="仿宋" w:cs="仿宋"/>
        </w:rPr>
        <w:t>的项目，本签字人愿意参加响应，并有能力提供</w:t>
      </w:r>
      <w:r>
        <w:rPr>
          <w:rFonts w:hint="eastAsia" w:ascii="仿宋" w:hAnsi="仿宋" w:eastAsia="仿宋" w:cs="仿宋"/>
          <w:u w:val="single"/>
        </w:rPr>
        <w:t xml:space="preserve">  （项目名称） </w:t>
      </w:r>
      <w:r>
        <w:rPr>
          <w:rFonts w:hint="eastAsia" w:ascii="仿宋" w:hAnsi="仿宋" w:eastAsia="仿宋" w:cs="仿宋"/>
        </w:rPr>
        <w:t>项目中的（</w:t>
      </w:r>
      <w:r>
        <w:rPr>
          <w:rFonts w:hint="eastAsia" w:ascii="仿宋" w:hAnsi="仿宋" w:eastAsia="仿宋" w:cs="仿宋"/>
          <w:u w:val="single"/>
        </w:rPr>
        <w:t>项目编号）</w:t>
      </w:r>
      <w:r>
        <w:rPr>
          <w:rFonts w:hint="eastAsia" w:ascii="仿宋" w:hAnsi="仿宋" w:eastAsia="仿宋" w:cs="仿宋"/>
        </w:rPr>
        <w:t>货物及相关服务，并保证所提交的所有响应文件和说明是真实和准确的。</w:t>
      </w:r>
    </w:p>
    <w:p>
      <w:pPr>
        <w:pStyle w:val="19"/>
        <w:spacing w:line="360" w:lineRule="exact"/>
        <w:ind w:left="340" w:right="5103" w:firstLine="210"/>
        <w:rPr>
          <w:rFonts w:ascii="仿宋" w:hAnsi="仿宋" w:eastAsia="仿宋" w:cs="仿宋"/>
        </w:rPr>
      </w:pPr>
      <w:r>
        <w:rPr>
          <w:rFonts w:hint="eastAsia" w:ascii="仿宋" w:hAnsi="仿宋" w:eastAsia="仿宋" w:cs="仿宋"/>
        </w:rPr>
        <w:t>供应商（盖章）：</w:t>
      </w:r>
    </w:p>
    <w:p>
      <w:pPr>
        <w:pStyle w:val="19"/>
        <w:spacing w:line="360" w:lineRule="exact"/>
        <w:ind w:left="340" w:right="4394" w:firstLine="210"/>
        <w:rPr>
          <w:rFonts w:ascii="仿宋" w:hAnsi="仿宋" w:eastAsia="仿宋" w:cs="仿宋"/>
        </w:rPr>
      </w:pPr>
      <w:r>
        <w:rPr>
          <w:rFonts w:hint="eastAsia" w:ascii="仿宋" w:hAnsi="仿宋" w:eastAsia="仿宋" w:cs="仿宋"/>
        </w:rPr>
        <w:t xml:space="preserve">法定代表人（盖章）： </w:t>
      </w:r>
    </w:p>
    <w:p>
      <w:pPr>
        <w:pStyle w:val="19"/>
        <w:spacing w:line="360" w:lineRule="exact"/>
        <w:ind w:left="340" w:right="4820" w:firstLine="210"/>
        <w:rPr>
          <w:rFonts w:ascii="仿宋" w:hAnsi="仿宋" w:eastAsia="仿宋" w:cs="仿宋"/>
        </w:rPr>
      </w:pPr>
      <w:r>
        <w:rPr>
          <w:rFonts w:hint="eastAsia" w:ascii="仿宋" w:hAnsi="仿宋" w:eastAsia="仿宋" w:cs="仿宋"/>
        </w:rPr>
        <w:t>或法人授权代表（签字）：</w:t>
      </w:r>
    </w:p>
    <w:p>
      <w:pPr>
        <w:pStyle w:val="20"/>
        <w:rPr>
          <w:rFonts w:ascii="仿宋" w:hAnsi="仿宋" w:eastAsia="仿宋" w:cs="仿宋"/>
        </w:rPr>
      </w:pPr>
      <w:r>
        <w:rPr>
          <w:rFonts w:hint="eastAsia" w:ascii="仿宋" w:hAnsi="仿宋" w:eastAsia="仿宋" w:cs="仿宋"/>
        </w:rPr>
        <w:t>地址：　　　　　　　　　　　　　　　　　　　            　　　　　　　　　　　　　</w:t>
      </w:r>
    </w:p>
    <w:p>
      <w:pPr>
        <w:pStyle w:val="20"/>
        <w:rPr>
          <w:rFonts w:ascii="仿宋" w:hAnsi="仿宋" w:eastAsia="仿宋" w:cs="仿宋"/>
        </w:rPr>
      </w:pPr>
      <w:r>
        <w:rPr>
          <w:rFonts w:hint="eastAsia" w:ascii="仿宋" w:hAnsi="仿宋" w:eastAsia="仿宋" w:cs="仿宋"/>
        </w:rPr>
        <w:t>电话：　　　　　　　　</w:t>
      </w:r>
    </w:p>
    <w:p>
      <w:pPr>
        <w:pStyle w:val="24"/>
        <w:spacing w:line="360" w:lineRule="auto"/>
        <w:jc w:val="center"/>
        <w:rPr>
          <w:rFonts w:ascii="仿宋" w:hAnsi="仿宋" w:eastAsia="仿宋" w:cs="仿宋"/>
          <w:sz w:val="24"/>
        </w:rPr>
      </w:pPr>
      <w:r>
        <w:rPr>
          <w:rFonts w:hint="eastAsia" w:ascii="仿宋" w:hAnsi="仿宋" w:eastAsia="仿宋" w:cs="仿宋"/>
          <w:b/>
          <w:sz w:val="30"/>
        </w:rPr>
        <w:t>　　　　　　　　　　　　　　　　　　</w:t>
      </w:r>
      <w:r>
        <w:rPr>
          <w:rFonts w:hint="eastAsia" w:ascii="仿宋" w:hAnsi="仿宋" w:eastAsia="仿宋" w:cs="仿宋"/>
          <w:sz w:val="30"/>
        </w:rPr>
        <w:t>日期：</w:t>
      </w:r>
      <w:r>
        <w:rPr>
          <w:rFonts w:hint="eastAsia" w:ascii="仿宋" w:hAnsi="仿宋" w:eastAsia="仿宋" w:cs="仿宋"/>
          <w:sz w:val="24"/>
        </w:rPr>
        <w:t>20</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pStyle w:val="24"/>
        <w:spacing w:line="360" w:lineRule="auto"/>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pStyle w:val="24"/>
        <w:spacing w:line="360" w:lineRule="exact"/>
        <w:jc w:val="center"/>
        <w:rPr>
          <w:rFonts w:ascii="仿宋" w:hAnsi="仿宋" w:eastAsia="仿宋" w:cs="仿宋"/>
          <w:sz w:val="24"/>
        </w:rPr>
      </w:pPr>
    </w:p>
    <w:p>
      <w:pPr>
        <w:spacing w:line="460" w:lineRule="exact"/>
        <w:jc w:val="center"/>
        <w:outlineLvl w:val="2"/>
        <w:rPr>
          <w:rFonts w:ascii="仿宋" w:hAnsi="仿宋" w:eastAsia="仿宋" w:cs="仿宋"/>
          <w:b/>
          <w:sz w:val="30"/>
        </w:rPr>
      </w:pPr>
      <w:r>
        <w:rPr>
          <w:rFonts w:hint="eastAsia" w:ascii="仿宋" w:hAnsi="仿宋" w:eastAsia="仿宋" w:cs="仿宋"/>
          <w:sz w:val="24"/>
        </w:rPr>
        <w:br w:type="page"/>
      </w:r>
      <w:r>
        <w:rPr>
          <w:rFonts w:hint="eastAsia" w:ascii="仿宋" w:hAnsi="仿宋" w:eastAsia="仿宋" w:cs="仿宋"/>
          <w:b/>
          <w:sz w:val="30"/>
        </w:rPr>
        <w:t>（六）企业简介</w:t>
      </w:r>
    </w:p>
    <w:tbl>
      <w:tblPr>
        <w:tblStyle w:val="43"/>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8"/>
              <w:ind w:right="128"/>
              <w:jc w:val="right"/>
              <w:rPr>
                <w:rFonts w:ascii="仿宋" w:hAnsi="仿宋" w:eastAsia="仿宋" w:cs="仿宋"/>
                <w:sz w:val="24"/>
              </w:rPr>
            </w:pPr>
            <w:r>
              <w:rPr>
                <w:rFonts w:hint="eastAsia" w:ascii="仿宋" w:hAnsi="仿宋" w:eastAsia="仿宋" w:cs="仿宋"/>
                <w:sz w:val="24"/>
              </w:rPr>
              <w:t>单位名称</w:t>
            </w:r>
          </w:p>
        </w:tc>
        <w:tc>
          <w:tcPr>
            <w:tcW w:w="8127" w:type="dxa"/>
            <w:gridSpan w:val="9"/>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6"/>
              <w:ind w:right="128"/>
              <w:jc w:val="right"/>
              <w:rPr>
                <w:rFonts w:ascii="仿宋" w:hAnsi="仿宋" w:eastAsia="仿宋" w:cs="仿宋"/>
                <w:sz w:val="24"/>
              </w:rPr>
            </w:pPr>
            <w:r>
              <w:rPr>
                <w:rFonts w:hint="eastAsia" w:ascii="仿宋" w:hAnsi="仿宋" w:eastAsia="仿宋" w:cs="仿宋"/>
                <w:sz w:val="24"/>
              </w:rPr>
              <w:t>单位地址</w:t>
            </w:r>
          </w:p>
        </w:tc>
        <w:tc>
          <w:tcPr>
            <w:tcW w:w="8127" w:type="dxa"/>
            <w:gridSpan w:val="9"/>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cs="仿宋"/>
                <w:sz w:val="24"/>
              </w:rPr>
            </w:pPr>
            <w:r>
              <w:rPr>
                <w:rFonts w:hint="eastAsia" w:ascii="仿宋" w:hAnsi="仿宋" w:eastAsia="仿宋" w:cs="仿宋"/>
                <w:sz w:val="24"/>
              </w:rPr>
              <w:t>主管部门</w:t>
            </w:r>
          </w:p>
        </w:tc>
        <w:tc>
          <w:tcPr>
            <w:tcW w:w="8127" w:type="dxa"/>
            <w:gridSpan w:val="9"/>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cs="仿宋"/>
                <w:sz w:val="24"/>
              </w:rPr>
            </w:pPr>
            <w:r>
              <w:rPr>
                <w:rFonts w:hint="eastAsia" w:ascii="仿宋" w:hAnsi="仿宋" w:eastAsia="仿宋" w:cs="仿宋"/>
                <w:sz w:val="24"/>
              </w:rPr>
              <w:t>成立时间</w:t>
            </w:r>
          </w:p>
        </w:tc>
        <w:tc>
          <w:tcPr>
            <w:tcW w:w="2495" w:type="dxa"/>
            <w:gridSpan w:val="2"/>
          </w:tcPr>
          <w:p>
            <w:pPr>
              <w:pStyle w:val="234"/>
              <w:rPr>
                <w:rFonts w:ascii="仿宋" w:hAnsi="仿宋" w:eastAsia="仿宋" w:cs="仿宋"/>
                <w:sz w:val="20"/>
              </w:rPr>
            </w:pPr>
          </w:p>
        </w:tc>
        <w:tc>
          <w:tcPr>
            <w:tcW w:w="2495" w:type="dxa"/>
            <w:gridSpan w:val="4"/>
          </w:tcPr>
          <w:p>
            <w:pPr>
              <w:pStyle w:val="234"/>
              <w:spacing w:before="146"/>
              <w:ind w:left="186"/>
              <w:rPr>
                <w:rFonts w:ascii="仿宋" w:hAnsi="仿宋" w:eastAsia="仿宋" w:cs="仿宋"/>
                <w:sz w:val="24"/>
              </w:rPr>
            </w:pPr>
            <w:r>
              <w:rPr>
                <w:rFonts w:hint="eastAsia" w:ascii="仿宋" w:hAnsi="仿宋" w:eastAsia="仿宋" w:cs="仿宋"/>
                <w:sz w:val="24"/>
              </w:rPr>
              <w:t>注册资金（万元）</w:t>
            </w:r>
          </w:p>
        </w:tc>
        <w:tc>
          <w:tcPr>
            <w:tcW w:w="3137" w:type="dxa"/>
            <w:gridSpan w:val="3"/>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9"/>
              <w:ind w:right="128"/>
              <w:jc w:val="right"/>
              <w:rPr>
                <w:rFonts w:ascii="仿宋" w:hAnsi="仿宋" w:eastAsia="仿宋" w:cs="仿宋"/>
                <w:sz w:val="24"/>
              </w:rPr>
            </w:pPr>
            <w:r>
              <w:rPr>
                <w:rFonts w:hint="eastAsia" w:ascii="仿宋" w:hAnsi="仿宋" w:eastAsia="仿宋" w:cs="仿宋"/>
                <w:sz w:val="24"/>
              </w:rPr>
              <w:t>单位性质</w:t>
            </w:r>
          </w:p>
        </w:tc>
        <w:tc>
          <w:tcPr>
            <w:tcW w:w="8127" w:type="dxa"/>
            <w:gridSpan w:val="9"/>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234"/>
              <w:spacing w:before="151" w:line="242" w:lineRule="auto"/>
              <w:ind w:left="261" w:right="128" w:hanging="120"/>
              <w:rPr>
                <w:rFonts w:ascii="仿宋" w:hAnsi="仿宋" w:eastAsia="仿宋" w:cs="仿宋"/>
                <w:sz w:val="24"/>
              </w:rPr>
            </w:pPr>
            <w:r>
              <w:rPr>
                <w:rFonts w:hint="eastAsia" w:ascii="仿宋" w:hAnsi="仿宋" w:eastAsia="仿宋" w:cs="仿宋"/>
                <w:sz w:val="24"/>
              </w:rPr>
              <w:t>投标期间联系人</w:t>
            </w:r>
          </w:p>
        </w:tc>
        <w:tc>
          <w:tcPr>
            <w:tcW w:w="1572" w:type="dxa"/>
          </w:tcPr>
          <w:p>
            <w:pPr>
              <w:pStyle w:val="234"/>
              <w:rPr>
                <w:rFonts w:ascii="仿宋" w:hAnsi="仿宋" w:eastAsia="仿宋" w:cs="仿宋"/>
                <w:sz w:val="20"/>
              </w:rPr>
            </w:pPr>
          </w:p>
        </w:tc>
        <w:tc>
          <w:tcPr>
            <w:tcW w:w="1460" w:type="dxa"/>
            <w:gridSpan w:val="2"/>
          </w:tcPr>
          <w:p>
            <w:pPr>
              <w:pStyle w:val="234"/>
              <w:spacing w:before="8"/>
              <w:rPr>
                <w:rFonts w:ascii="仿宋" w:hAnsi="仿宋" w:eastAsia="仿宋" w:cs="仿宋"/>
                <w:b/>
                <w:sz w:val="20"/>
              </w:rPr>
            </w:pPr>
          </w:p>
          <w:p>
            <w:pPr>
              <w:pStyle w:val="234"/>
              <w:ind w:left="370"/>
              <w:rPr>
                <w:rFonts w:ascii="仿宋" w:hAnsi="仿宋" w:eastAsia="仿宋" w:cs="仿宋"/>
                <w:sz w:val="24"/>
              </w:rPr>
            </w:pPr>
            <w:r>
              <w:rPr>
                <w:rFonts w:hint="eastAsia" w:ascii="仿宋" w:hAnsi="仿宋" w:eastAsia="仿宋" w:cs="仿宋"/>
                <w:sz w:val="24"/>
              </w:rPr>
              <w:t>电 话</w:t>
            </w:r>
          </w:p>
        </w:tc>
        <w:tc>
          <w:tcPr>
            <w:tcW w:w="1461" w:type="dxa"/>
            <w:gridSpan w:val="2"/>
          </w:tcPr>
          <w:p>
            <w:pPr>
              <w:pStyle w:val="234"/>
              <w:rPr>
                <w:rFonts w:ascii="仿宋" w:hAnsi="仿宋" w:eastAsia="仿宋" w:cs="仿宋"/>
                <w:sz w:val="20"/>
              </w:rPr>
            </w:pPr>
          </w:p>
        </w:tc>
        <w:tc>
          <w:tcPr>
            <w:tcW w:w="1498" w:type="dxa"/>
            <w:gridSpan w:val="3"/>
          </w:tcPr>
          <w:p>
            <w:pPr>
              <w:pStyle w:val="234"/>
              <w:spacing w:before="8"/>
              <w:rPr>
                <w:rFonts w:ascii="仿宋" w:hAnsi="仿宋" w:eastAsia="仿宋" w:cs="仿宋"/>
                <w:b/>
                <w:sz w:val="20"/>
              </w:rPr>
            </w:pPr>
          </w:p>
          <w:p>
            <w:pPr>
              <w:pStyle w:val="234"/>
              <w:ind w:left="387"/>
              <w:rPr>
                <w:rFonts w:ascii="仿宋" w:hAnsi="仿宋" w:eastAsia="仿宋" w:cs="仿宋"/>
                <w:sz w:val="24"/>
              </w:rPr>
            </w:pPr>
            <w:r>
              <w:rPr>
                <w:rFonts w:hint="eastAsia" w:ascii="仿宋" w:hAnsi="仿宋" w:eastAsia="仿宋" w:cs="仿宋"/>
                <w:sz w:val="24"/>
              </w:rPr>
              <w:t>传 真</w:t>
            </w:r>
          </w:p>
        </w:tc>
        <w:tc>
          <w:tcPr>
            <w:tcW w:w="2137" w:type="dxa"/>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234"/>
              <w:rPr>
                <w:rFonts w:ascii="仿宋" w:hAnsi="仿宋" w:eastAsia="仿宋" w:cs="仿宋"/>
                <w:b/>
                <w:sz w:val="24"/>
              </w:rPr>
            </w:pPr>
          </w:p>
          <w:p>
            <w:pPr>
              <w:pStyle w:val="234"/>
              <w:rPr>
                <w:rFonts w:ascii="仿宋" w:hAnsi="仿宋" w:eastAsia="仿宋" w:cs="仿宋"/>
                <w:b/>
                <w:sz w:val="24"/>
              </w:rPr>
            </w:pPr>
          </w:p>
          <w:p>
            <w:pPr>
              <w:pStyle w:val="234"/>
              <w:spacing w:before="12"/>
              <w:rPr>
                <w:rFonts w:ascii="仿宋" w:hAnsi="仿宋" w:eastAsia="仿宋" w:cs="仿宋"/>
                <w:b/>
                <w:sz w:val="24"/>
              </w:rPr>
            </w:pPr>
          </w:p>
          <w:p>
            <w:pPr>
              <w:pStyle w:val="234"/>
              <w:spacing w:line="480" w:lineRule="auto"/>
              <w:ind w:left="501" w:right="488"/>
              <w:jc w:val="both"/>
              <w:rPr>
                <w:rFonts w:ascii="仿宋" w:hAnsi="仿宋" w:eastAsia="仿宋" w:cs="仿宋"/>
                <w:sz w:val="24"/>
              </w:rPr>
            </w:pPr>
            <w:r>
              <w:rPr>
                <w:rFonts w:hint="eastAsia" w:ascii="仿宋" w:hAnsi="仿宋" w:eastAsia="仿宋" w:cs="仿宋"/>
                <w:sz w:val="24"/>
              </w:rPr>
              <w:t>职工概况</w:t>
            </w:r>
          </w:p>
        </w:tc>
        <w:tc>
          <w:tcPr>
            <w:tcW w:w="1572" w:type="dxa"/>
          </w:tcPr>
          <w:p>
            <w:pPr>
              <w:pStyle w:val="234"/>
              <w:spacing w:before="145"/>
              <w:ind w:left="220" w:right="214"/>
              <w:jc w:val="center"/>
              <w:rPr>
                <w:rFonts w:ascii="仿宋" w:hAnsi="仿宋" w:eastAsia="仿宋" w:cs="仿宋"/>
                <w:sz w:val="24"/>
              </w:rPr>
            </w:pPr>
            <w:r>
              <w:rPr>
                <w:rFonts w:hint="eastAsia" w:ascii="仿宋" w:hAnsi="仿宋" w:eastAsia="仿宋" w:cs="仿宋"/>
                <w:sz w:val="24"/>
              </w:rPr>
              <w:t>职工总数</w:t>
            </w:r>
          </w:p>
        </w:tc>
        <w:tc>
          <w:tcPr>
            <w:tcW w:w="1460" w:type="dxa"/>
            <w:gridSpan w:val="2"/>
          </w:tcPr>
          <w:p>
            <w:pPr>
              <w:pStyle w:val="234"/>
              <w:rPr>
                <w:rFonts w:ascii="仿宋" w:hAnsi="仿宋" w:eastAsia="仿宋" w:cs="仿宋"/>
                <w:sz w:val="20"/>
              </w:rPr>
            </w:pPr>
          </w:p>
        </w:tc>
        <w:tc>
          <w:tcPr>
            <w:tcW w:w="2358" w:type="dxa"/>
            <w:gridSpan w:val="4"/>
          </w:tcPr>
          <w:p>
            <w:pPr>
              <w:pStyle w:val="234"/>
              <w:spacing w:before="145"/>
              <w:ind w:left="122"/>
              <w:rPr>
                <w:rFonts w:ascii="仿宋" w:hAnsi="仿宋" w:eastAsia="仿宋" w:cs="仿宋"/>
                <w:sz w:val="24"/>
              </w:rPr>
            </w:pPr>
            <w:r>
              <w:rPr>
                <w:rFonts w:hint="eastAsia" w:ascii="仿宋" w:hAnsi="仿宋" w:eastAsia="仿宋" w:cs="仿宋"/>
                <w:sz w:val="24"/>
              </w:rPr>
              <w:t>其中：技术人员数</w:t>
            </w:r>
          </w:p>
        </w:tc>
        <w:tc>
          <w:tcPr>
            <w:tcW w:w="2738" w:type="dxa"/>
            <w:gridSpan w:val="2"/>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cs="仿宋"/>
                <w:sz w:val="2"/>
                <w:szCs w:val="2"/>
              </w:rPr>
            </w:pPr>
          </w:p>
        </w:tc>
        <w:tc>
          <w:tcPr>
            <w:tcW w:w="8127" w:type="dxa"/>
            <w:gridSpan w:val="9"/>
          </w:tcPr>
          <w:p>
            <w:pPr>
              <w:pStyle w:val="234"/>
              <w:spacing w:before="147"/>
              <w:ind w:left="2515" w:right="2507"/>
              <w:jc w:val="center"/>
              <w:rPr>
                <w:rFonts w:ascii="仿宋" w:hAnsi="仿宋" w:eastAsia="仿宋" w:cs="仿宋"/>
                <w:sz w:val="24"/>
              </w:rPr>
            </w:pPr>
            <w:r>
              <w:rPr>
                <w:rFonts w:hint="eastAsia" w:ascii="仿宋" w:hAnsi="仿宋" w:eastAsia="仿宋" w:cs="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cs="仿宋"/>
                <w:sz w:val="2"/>
                <w:szCs w:val="2"/>
              </w:rPr>
            </w:pPr>
          </w:p>
        </w:tc>
        <w:tc>
          <w:tcPr>
            <w:tcW w:w="1572" w:type="dxa"/>
          </w:tcPr>
          <w:p>
            <w:pPr>
              <w:pStyle w:val="234"/>
              <w:spacing w:before="148"/>
              <w:ind w:left="220" w:right="214"/>
              <w:jc w:val="center"/>
              <w:rPr>
                <w:rFonts w:ascii="仿宋" w:hAnsi="仿宋" w:eastAsia="仿宋" w:cs="仿宋"/>
                <w:sz w:val="24"/>
              </w:rPr>
            </w:pPr>
            <w:r>
              <w:rPr>
                <w:rFonts w:hint="eastAsia" w:ascii="仿宋" w:hAnsi="仿宋" w:eastAsia="仿宋" w:cs="仿宋"/>
                <w:sz w:val="24"/>
              </w:rPr>
              <w:t>姓 名</w:t>
            </w:r>
          </w:p>
        </w:tc>
        <w:tc>
          <w:tcPr>
            <w:tcW w:w="2172" w:type="dxa"/>
            <w:gridSpan w:val="3"/>
          </w:tcPr>
          <w:p>
            <w:pPr>
              <w:pStyle w:val="234"/>
              <w:spacing w:before="148"/>
              <w:ind w:left="456"/>
              <w:rPr>
                <w:rFonts w:ascii="仿宋" w:hAnsi="仿宋" w:eastAsia="仿宋" w:cs="仿宋"/>
                <w:sz w:val="24"/>
              </w:rPr>
            </w:pPr>
            <w:r>
              <w:rPr>
                <w:rFonts w:hint="eastAsia" w:ascii="仿宋" w:hAnsi="仿宋" w:eastAsia="仿宋" w:cs="仿宋"/>
                <w:sz w:val="24"/>
              </w:rPr>
              <w:t>职务/职称</w:t>
            </w:r>
          </w:p>
        </w:tc>
        <w:tc>
          <w:tcPr>
            <w:tcW w:w="1646" w:type="dxa"/>
            <w:gridSpan w:val="3"/>
          </w:tcPr>
          <w:p>
            <w:pPr>
              <w:pStyle w:val="234"/>
              <w:spacing w:before="148"/>
              <w:ind w:left="454"/>
              <w:rPr>
                <w:rFonts w:ascii="仿宋" w:hAnsi="仿宋" w:eastAsia="仿宋" w:cs="仿宋"/>
                <w:sz w:val="24"/>
              </w:rPr>
            </w:pPr>
            <w:r>
              <w:rPr>
                <w:rFonts w:hint="eastAsia" w:ascii="仿宋" w:hAnsi="仿宋" w:eastAsia="仿宋" w:cs="仿宋"/>
                <w:sz w:val="24"/>
              </w:rPr>
              <w:t>年 龄</w:t>
            </w:r>
          </w:p>
        </w:tc>
        <w:tc>
          <w:tcPr>
            <w:tcW w:w="2738" w:type="dxa"/>
            <w:gridSpan w:val="2"/>
          </w:tcPr>
          <w:p>
            <w:pPr>
              <w:pStyle w:val="234"/>
              <w:tabs>
                <w:tab w:val="left" w:pos="487"/>
              </w:tabs>
              <w:spacing w:before="148"/>
              <w:ind w:left="7"/>
              <w:jc w:val="center"/>
              <w:rPr>
                <w:rFonts w:ascii="仿宋" w:hAnsi="仿宋" w:eastAsia="仿宋" w:cs="仿宋"/>
                <w:sz w:val="24"/>
              </w:rPr>
            </w:pPr>
            <w:r>
              <w:rPr>
                <w:rFonts w:hint="eastAsia" w:ascii="仿宋" w:hAnsi="仿宋" w:eastAsia="仿宋" w:cs="仿宋"/>
                <w:sz w:val="24"/>
              </w:rPr>
              <w:t>专</w:t>
            </w:r>
            <w:r>
              <w:rPr>
                <w:rFonts w:hint="eastAsia" w:ascii="仿宋" w:hAnsi="仿宋" w:eastAsia="仿宋" w:cs="仿宋"/>
                <w:sz w:val="24"/>
              </w:rPr>
              <w:tab/>
            </w:r>
            <w:r>
              <w:rPr>
                <w:rFonts w:hint="eastAsia" w:ascii="仿宋" w:hAnsi="仿宋" w:eastAsia="仿宋" w:cs="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cs="仿宋"/>
                <w:sz w:val="2"/>
                <w:szCs w:val="2"/>
              </w:rPr>
            </w:pPr>
          </w:p>
        </w:tc>
        <w:tc>
          <w:tcPr>
            <w:tcW w:w="1572" w:type="dxa"/>
          </w:tcPr>
          <w:p>
            <w:pPr>
              <w:pStyle w:val="234"/>
              <w:rPr>
                <w:rFonts w:ascii="仿宋" w:hAnsi="仿宋" w:eastAsia="仿宋" w:cs="仿宋"/>
                <w:sz w:val="20"/>
              </w:rPr>
            </w:pPr>
          </w:p>
        </w:tc>
        <w:tc>
          <w:tcPr>
            <w:tcW w:w="2172" w:type="dxa"/>
            <w:gridSpan w:val="3"/>
          </w:tcPr>
          <w:p>
            <w:pPr>
              <w:pStyle w:val="234"/>
              <w:rPr>
                <w:rFonts w:ascii="仿宋" w:hAnsi="仿宋" w:eastAsia="仿宋" w:cs="仿宋"/>
                <w:sz w:val="20"/>
              </w:rPr>
            </w:pPr>
          </w:p>
        </w:tc>
        <w:tc>
          <w:tcPr>
            <w:tcW w:w="1646" w:type="dxa"/>
            <w:gridSpan w:val="3"/>
          </w:tcPr>
          <w:p>
            <w:pPr>
              <w:pStyle w:val="234"/>
              <w:rPr>
                <w:rFonts w:ascii="仿宋" w:hAnsi="仿宋" w:eastAsia="仿宋" w:cs="仿宋"/>
                <w:sz w:val="20"/>
              </w:rPr>
            </w:pPr>
          </w:p>
        </w:tc>
        <w:tc>
          <w:tcPr>
            <w:tcW w:w="2738" w:type="dxa"/>
            <w:gridSpan w:val="2"/>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cs="仿宋"/>
                <w:sz w:val="2"/>
                <w:szCs w:val="2"/>
              </w:rPr>
            </w:pPr>
          </w:p>
        </w:tc>
        <w:tc>
          <w:tcPr>
            <w:tcW w:w="1572" w:type="dxa"/>
          </w:tcPr>
          <w:p>
            <w:pPr>
              <w:pStyle w:val="234"/>
              <w:rPr>
                <w:rFonts w:ascii="仿宋" w:hAnsi="仿宋" w:eastAsia="仿宋" w:cs="仿宋"/>
                <w:sz w:val="20"/>
              </w:rPr>
            </w:pPr>
          </w:p>
        </w:tc>
        <w:tc>
          <w:tcPr>
            <w:tcW w:w="2172" w:type="dxa"/>
            <w:gridSpan w:val="3"/>
          </w:tcPr>
          <w:p>
            <w:pPr>
              <w:pStyle w:val="234"/>
              <w:rPr>
                <w:rFonts w:ascii="仿宋" w:hAnsi="仿宋" w:eastAsia="仿宋" w:cs="仿宋"/>
                <w:sz w:val="20"/>
              </w:rPr>
            </w:pPr>
          </w:p>
        </w:tc>
        <w:tc>
          <w:tcPr>
            <w:tcW w:w="1646" w:type="dxa"/>
            <w:gridSpan w:val="3"/>
          </w:tcPr>
          <w:p>
            <w:pPr>
              <w:pStyle w:val="234"/>
              <w:rPr>
                <w:rFonts w:ascii="仿宋" w:hAnsi="仿宋" w:eastAsia="仿宋" w:cs="仿宋"/>
                <w:sz w:val="20"/>
              </w:rPr>
            </w:pPr>
          </w:p>
        </w:tc>
        <w:tc>
          <w:tcPr>
            <w:tcW w:w="2738" w:type="dxa"/>
            <w:gridSpan w:val="2"/>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cs="仿宋"/>
                <w:sz w:val="2"/>
                <w:szCs w:val="2"/>
              </w:rPr>
            </w:pPr>
          </w:p>
        </w:tc>
        <w:tc>
          <w:tcPr>
            <w:tcW w:w="1572" w:type="dxa"/>
          </w:tcPr>
          <w:p>
            <w:pPr>
              <w:pStyle w:val="234"/>
              <w:rPr>
                <w:rFonts w:ascii="仿宋" w:hAnsi="仿宋" w:eastAsia="仿宋" w:cs="仿宋"/>
                <w:sz w:val="20"/>
              </w:rPr>
            </w:pPr>
          </w:p>
        </w:tc>
        <w:tc>
          <w:tcPr>
            <w:tcW w:w="2172" w:type="dxa"/>
            <w:gridSpan w:val="3"/>
          </w:tcPr>
          <w:p>
            <w:pPr>
              <w:pStyle w:val="234"/>
              <w:rPr>
                <w:rFonts w:ascii="仿宋" w:hAnsi="仿宋" w:eastAsia="仿宋" w:cs="仿宋"/>
                <w:sz w:val="20"/>
              </w:rPr>
            </w:pPr>
          </w:p>
        </w:tc>
        <w:tc>
          <w:tcPr>
            <w:tcW w:w="1646" w:type="dxa"/>
            <w:gridSpan w:val="3"/>
          </w:tcPr>
          <w:p>
            <w:pPr>
              <w:pStyle w:val="234"/>
              <w:rPr>
                <w:rFonts w:ascii="仿宋" w:hAnsi="仿宋" w:eastAsia="仿宋" w:cs="仿宋"/>
                <w:sz w:val="20"/>
              </w:rPr>
            </w:pPr>
          </w:p>
        </w:tc>
        <w:tc>
          <w:tcPr>
            <w:tcW w:w="2738" w:type="dxa"/>
            <w:gridSpan w:val="2"/>
          </w:tcPr>
          <w:p>
            <w:pPr>
              <w:pStyle w:val="234"/>
              <w:rPr>
                <w:rFonts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234"/>
              <w:rPr>
                <w:rFonts w:ascii="仿宋" w:hAnsi="仿宋" w:eastAsia="仿宋" w:cs="仿宋"/>
                <w:b/>
                <w:sz w:val="24"/>
              </w:rPr>
            </w:pPr>
          </w:p>
          <w:p>
            <w:pPr>
              <w:pStyle w:val="234"/>
              <w:spacing w:before="7"/>
              <w:rPr>
                <w:rFonts w:ascii="仿宋" w:hAnsi="仿宋" w:eastAsia="仿宋" w:cs="仿宋"/>
                <w:b/>
                <w:sz w:val="23"/>
              </w:rPr>
            </w:pPr>
          </w:p>
          <w:p>
            <w:pPr>
              <w:pStyle w:val="234"/>
              <w:ind w:left="501" w:right="488"/>
              <w:jc w:val="both"/>
              <w:rPr>
                <w:rFonts w:ascii="仿宋" w:hAnsi="仿宋" w:eastAsia="仿宋" w:cs="仿宋"/>
                <w:sz w:val="24"/>
              </w:rPr>
            </w:pPr>
            <w:r>
              <w:rPr>
                <w:rFonts w:hint="eastAsia" w:ascii="仿宋" w:hAnsi="仿宋" w:eastAsia="仿宋" w:cs="仿宋"/>
                <w:sz w:val="24"/>
              </w:rPr>
              <w:t>单位概况</w:t>
            </w:r>
          </w:p>
        </w:tc>
        <w:tc>
          <w:tcPr>
            <w:tcW w:w="8127" w:type="dxa"/>
            <w:gridSpan w:val="9"/>
          </w:tcPr>
          <w:p>
            <w:pPr>
              <w:pStyle w:val="234"/>
              <w:rPr>
                <w:rFonts w:ascii="仿宋" w:hAnsi="仿宋" w:eastAsia="仿宋" w:cs="仿宋"/>
                <w:sz w:val="20"/>
              </w:rPr>
            </w:pPr>
          </w:p>
        </w:tc>
      </w:tr>
    </w:tbl>
    <w:p>
      <w:pPr>
        <w:spacing w:line="340" w:lineRule="exact"/>
        <w:ind w:firstLine="120" w:firstLineChars="50"/>
        <w:rPr>
          <w:rFonts w:ascii="仿宋" w:hAnsi="仿宋" w:eastAsia="仿宋" w:cs="仿宋"/>
          <w:sz w:val="24"/>
          <w:szCs w:val="24"/>
        </w:rPr>
      </w:pPr>
      <w:r>
        <w:rPr>
          <w:rFonts w:hint="eastAsia" w:ascii="仿宋" w:hAnsi="仿宋" w:eastAsia="仿宋" w:cs="仿宋"/>
          <w:sz w:val="24"/>
          <w:szCs w:val="24"/>
        </w:rPr>
        <w:t>附营业执照、</w:t>
      </w:r>
      <w:r>
        <w:rPr>
          <w:rFonts w:hint="eastAsia" w:ascii="仿宋" w:hAnsi="仿宋" w:eastAsia="仿宋" w:cs="仿宋"/>
          <w:sz w:val="24"/>
          <w:szCs w:val="24"/>
          <w:lang w:val="en-US" w:eastAsia="zh-CN"/>
        </w:rPr>
        <w:t>财务状况、</w:t>
      </w:r>
      <w:r>
        <w:rPr>
          <w:rFonts w:hint="eastAsia" w:ascii="仿宋" w:hAnsi="仿宋" w:eastAsia="仿宋" w:cs="仿宋"/>
          <w:sz w:val="24"/>
          <w:szCs w:val="24"/>
        </w:rPr>
        <w:t>“信用中国"网站 (www.creditchina.gov.cn)、中国政府采购网(www.ccgp.gov.cn)等渠道查询后，列入失信被执行人、重大税收违法案件当事人名单、政府采购严重违法失信行为记录名单的截图；</w:t>
      </w:r>
    </w:p>
    <w:p>
      <w:pPr>
        <w:widowControl/>
        <w:jc w:val="left"/>
        <w:rPr>
          <w:rFonts w:ascii="仿宋" w:hAnsi="仿宋" w:eastAsia="仿宋" w:cs="仿宋"/>
          <w:b/>
          <w:color w:val="0000FF"/>
          <w:sz w:val="30"/>
        </w:rPr>
      </w:pPr>
      <w:r>
        <w:rPr>
          <w:rFonts w:ascii="仿宋" w:hAnsi="仿宋" w:eastAsia="仿宋" w:cs="仿宋"/>
          <w:b/>
          <w:color w:val="0000FF"/>
          <w:sz w:val="30"/>
        </w:rPr>
        <w:br w:type="page"/>
      </w:r>
    </w:p>
    <w:p>
      <w:pPr>
        <w:numPr>
          <w:ilvl w:val="0"/>
          <w:numId w:val="5"/>
        </w:numPr>
        <w:spacing w:line="340" w:lineRule="exact"/>
        <w:ind w:firstLine="600" w:firstLineChars="200"/>
        <w:jc w:val="center"/>
        <w:rPr>
          <w:rFonts w:hint="eastAsia" w:ascii="仿宋" w:hAnsi="仿宋" w:eastAsia="仿宋" w:cs="仿宋"/>
          <w:b/>
          <w:color w:val="auto"/>
          <w:sz w:val="30"/>
        </w:rPr>
      </w:pPr>
      <w:r>
        <w:rPr>
          <w:rFonts w:hint="eastAsia" w:ascii="仿宋" w:hAnsi="仿宋" w:eastAsia="仿宋" w:cs="仿宋"/>
          <w:b/>
          <w:color w:val="auto"/>
          <w:sz w:val="30"/>
        </w:rPr>
        <w:t>企业资信</w:t>
      </w:r>
    </w:p>
    <w:p>
      <w:pPr>
        <w:spacing w:line="280" w:lineRule="exact"/>
        <w:rPr>
          <w:rFonts w:ascii="仿宋" w:hAnsi="仿宋" w:eastAsia="仿宋"/>
          <w:color w:val="auto"/>
          <w:sz w:val="24"/>
          <w:szCs w:val="24"/>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有合法的服务机构，并提供有效证明（如：企业注册地址的房产证或租赁合同复印件）。</w:t>
      </w:r>
    </w:p>
    <w:p>
      <w:pPr>
        <w:spacing w:line="340" w:lineRule="exact"/>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提供国家信息技术服务标准符合性证书（ITSS）。</w:t>
      </w:r>
    </w:p>
    <w:p>
      <w:pPr>
        <w:spacing w:line="340" w:lineRule="exact"/>
        <w:jc w:val="left"/>
        <w:rPr>
          <w:rFonts w:ascii="仿宋" w:hAnsi="仿宋" w:eastAsia="仿宋" w:cs="仿宋"/>
          <w:color w:val="auto"/>
        </w:rPr>
      </w:pPr>
      <w:r>
        <w:rPr>
          <w:rFonts w:hint="eastAsia" w:ascii="仿宋" w:hAnsi="仿宋" w:eastAsia="仿宋" w:cs="仿宋"/>
          <w:color w:val="auto"/>
          <w:sz w:val="24"/>
          <w:szCs w:val="24"/>
        </w:rPr>
        <w:t>格式自拟</w:t>
      </w:r>
    </w:p>
    <w:p>
      <w:pPr>
        <w:pStyle w:val="19"/>
        <w:rPr>
          <w:rFonts w:ascii="仿宋" w:hAnsi="仿宋" w:eastAsia="仿宋" w:cs="仿宋"/>
          <w:color w:val="auto"/>
        </w:rPr>
      </w:pPr>
    </w:p>
    <w:p>
      <w:pPr>
        <w:spacing w:line="340" w:lineRule="exact"/>
        <w:jc w:val="center"/>
        <w:outlineLvl w:val="2"/>
        <w:rPr>
          <w:rFonts w:ascii="仿宋" w:hAnsi="仿宋" w:eastAsia="仿宋" w:cs="仿宋"/>
          <w:b/>
          <w:color w:val="auto"/>
          <w:sz w:val="30"/>
        </w:rPr>
      </w:pPr>
      <w:r>
        <w:rPr>
          <w:rFonts w:hint="eastAsia" w:ascii="仿宋" w:hAnsi="仿宋" w:eastAsia="仿宋" w:cs="仿宋"/>
          <w:b/>
          <w:color w:val="auto"/>
          <w:sz w:val="30"/>
        </w:rPr>
        <w:t>（八）运维实施方案与计划</w:t>
      </w:r>
    </w:p>
    <w:p>
      <w:pPr>
        <w:spacing w:line="340" w:lineRule="exact"/>
        <w:ind w:firstLine="480" w:firstLineChars="200"/>
        <w:jc w:val="left"/>
        <w:rPr>
          <w:rFonts w:hint="eastAsia" w:ascii="仿宋" w:hAnsi="仿宋" w:eastAsia="仿宋"/>
          <w:color w:val="auto"/>
          <w:sz w:val="24"/>
          <w:szCs w:val="24"/>
        </w:rPr>
      </w:pPr>
      <w:r>
        <w:rPr>
          <w:rFonts w:hint="eastAsia" w:ascii="仿宋" w:hAnsi="仿宋" w:eastAsia="仿宋"/>
          <w:color w:val="auto"/>
          <w:sz w:val="24"/>
          <w:szCs w:val="24"/>
        </w:rPr>
        <w:t>根据供应商针对本项目所提供的运维实施方案、包含（但不仅限于）：项目推进计划、对项目的理解、运维实施计划、运维人员安全保障措施、运维保密、运维方案中对正常办公的影响程度及保障措施实施方案及计划等。</w:t>
      </w:r>
    </w:p>
    <w:p>
      <w:pPr>
        <w:spacing w:line="3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格式自拟</w:t>
      </w:r>
    </w:p>
    <w:p>
      <w:pPr>
        <w:pStyle w:val="24"/>
        <w:spacing w:line="360" w:lineRule="auto"/>
        <w:rPr>
          <w:rFonts w:ascii="仿宋" w:hAnsi="仿宋" w:eastAsia="仿宋" w:cs="仿宋"/>
          <w:b/>
          <w:color w:val="auto"/>
          <w:sz w:val="30"/>
        </w:rPr>
      </w:pPr>
    </w:p>
    <w:p>
      <w:pPr>
        <w:spacing w:line="340" w:lineRule="exact"/>
        <w:jc w:val="center"/>
        <w:outlineLvl w:val="2"/>
        <w:rPr>
          <w:rFonts w:ascii="仿宋" w:hAnsi="仿宋" w:eastAsia="仿宋" w:cs="仿宋"/>
          <w:b/>
          <w:color w:val="auto"/>
          <w:sz w:val="30"/>
        </w:rPr>
      </w:pPr>
      <w:r>
        <w:rPr>
          <w:rFonts w:hint="eastAsia" w:ascii="仿宋" w:hAnsi="仿宋" w:eastAsia="仿宋" w:cs="仿宋"/>
          <w:b/>
          <w:color w:val="auto"/>
          <w:sz w:val="30"/>
        </w:rPr>
        <w:t>（九）人员配置</w:t>
      </w:r>
    </w:p>
    <w:p>
      <w:pPr>
        <w:spacing w:line="280" w:lineRule="exact"/>
        <w:rPr>
          <w:rFonts w:hint="eastAsia" w:ascii="仿宋" w:hAnsi="仿宋" w:eastAsia="仿宋"/>
          <w:color w:val="auto"/>
          <w:sz w:val="24"/>
          <w:szCs w:val="24"/>
          <w:lang w:eastAsia="zh-CN"/>
        </w:rPr>
      </w:pPr>
      <w:r>
        <w:rPr>
          <w:rFonts w:hint="eastAsia" w:ascii="仿宋" w:hAnsi="仿宋" w:eastAsia="仿宋"/>
          <w:color w:val="auto"/>
          <w:sz w:val="24"/>
          <w:szCs w:val="24"/>
        </w:rPr>
        <w:t>供应商提供专业售后维护人员不少于2人，提供2人得基础分4分，每增加1人加2分，本项满分10分，不足2人不得分。</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人员需提供身份证</w:t>
      </w:r>
      <w:r>
        <w:rPr>
          <w:rFonts w:hint="eastAsia" w:ascii="仿宋" w:hAnsi="仿宋" w:eastAsia="仿宋"/>
          <w:color w:val="auto"/>
          <w:sz w:val="24"/>
          <w:szCs w:val="24"/>
          <w:lang w:eastAsia="zh-CN"/>
        </w:rPr>
        <w:t>）</w:t>
      </w:r>
    </w:p>
    <w:p>
      <w:pPr>
        <w:pStyle w:val="13"/>
        <w:spacing w:before="156" w:after="156"/>
        <w:jc w:val="left"/>
        <w:rPr>
          <w:rFonts w:ascii="仿宋" w:hAnsi="仿宋" w:eastAsia="仿宋" w:cs="仿宋"/>
          <w:color w:val="auto"/>
          <w:szCs w:val="24"/>
        </w:rPr>
      </w:pPr>
      <w:r>
        <w:rPr>
          <w:rFonts w:hint="eastAsia" w:ascii="仿宋" w:hAnsi="仿宋" w:eastAsia="仿宋" w:cs="仿宋"/>
          <w:color w:val="auto"/>
          <w:szCs w:val="24"/>
        </w:rPr>
        <w:t>格式自拟</w:t>
      </w:r>
    </w:p>
    <w:p>
      <w:pPr>
        <w:pStyle w:val="13"/>
        <w:spacing w:before="156" w:after="156"/>
        <w:ind w:firstLine="0"/>
        <w:rPr>
          <w:rFonts w:ascii="仿宋" w:hAnsi="仿宋" w:eastAsia="仿宋" w:cs="仿宋"/>
          <w:color w:val="auto"/>
        </w:rPr>
      </w:pPr>
    </w:p>
    <w:p>
      <w:pPr>
        <w:spacing w:line="340" w:lineRule="exact"/>
        <w:jc w:val="center"/>
        <w:outlineLvl w:val="2"/>
        <w:rPr>
          <w:rFonts w:ascii="仿宋" w:hAnsi="仿宋" w:eastAsia="仿宋" w:cs="仿宋"/>
          <w:b/>
          <w:color w:val="auto"/>
          <w:sz w:val="30"/>
        </w:rPr>
      </w:pPr>
      <w:r>
        <w:rPr>
          <w:rFonts w:hint="eastAsia" w:ascii="仿宋" w:hAnsi="仿宋" w:eastAsia="仿宋" w:cs="仿宋"/>
          <w:b/>
          <w:color w:val="auto"/>
          <w:sz w:val="30"/>
        </w:rPr>
        <w:t>（十</w:t>
      </w:r>
      <w:r>
        <w:rPr>
          <w:rFonts w:ascii="仿宋" w:hAnsi="仿宋" w:eastAsia="仿宋" w:cs="仿宋"/>
          <w:b/>
          <w:color w:val="auto"/>
          <w:sz w:val="30"/>
        </w:rPr>
        <w:t>）</w:t>
      </w:r>
      <w:r>
        <w:rPr>
          <w:rFonts w:hint="eastAsia" w:ascii="仿宋" w:hAnsi="仿宋" w:eastAsia="仿宋" w:cs="仿宋"/>
          <w:b/>
          <w:color w:val="auto"/>
          <w:sz w:val="30"/>
        </w:rPr>
        <w:t>应急预案及保障</w:t>
      </w:r>
    </w:p>
    <w:p>
      <w:pPr>
        <w:rPr>
          <w:rFonts w:ascii="仿宋" w:hAnsi="仿宋" w:eastAsia="仿宋" w:cs="仿宋"/>
          <w:sz w:val="24"/>
          <w:szCs w:val="24"/>
        </w:rPr>
      </w:pPr>
      <w:r>
        <w:rPr>
          <w:rFonts w:hint="eastAsia" w:ascii="仿宋" w:hAnsi="仿宋" w:eastAsia="仿宋" w:cs="仿宋"/>
          <w:color w:val="auto"/>
          <w:sz w:val="24"/>
          <w:szCs w:val="24"/>
          <w:lang w:val="en-US" w:eastAsia="zh-CN"/>
        </w:rPr>
        <w:t xml:space="preserve">   1、</w:t>
      </w:r>
      <w:r>
        <w:rPr>
          <w:rFonts w:hint="eastAsia" w:ascii="仿宋" w:hAnsi="仿宋" w:eastAsia="仿宋" w:cs="仿宋"/>
          <w:color w:val="auto"/>
          <w:sz w:val="24"/>
          <w:szCs w:val="24"/>
        </w:rPr>
        <w:t>运维服务方应结合实际情况制定相应的应急预案，针对服务内容分类结合网络、服务器、存储、数据库、网络安全、机房环境、链路等因素，</w:t>
      </w:r>
      <w:r>
        <w:rPr>
          <w:rFonts w:hint="eastAsia" w:ascii="仿宋" w:hAnsi="仿宋" w:eastAsia="仿宋" w:cs="仿宋"/>
          <w:sz w:val="24"/>
          <w:szCs w:val="24"/>
        </w:rPr>
        <w:t>制定至少三种以上应急预案，并形成相关文档及手册。依照应急预案每年需配合用户方完成相应应急演练，并形成文档留存。</w:t>
      </w:r>
    </w:p>
    <w:p>
      <w:pPr>
        <w:spacing w:line="3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应急预案内容具体，方案科学可行，得6分；应急预案缺乏针对性或可行性有欠缺，得3分；应急预案有缺失，影响项目实施，得1分。</w:t>
      </w:r>
    </w:p>
    <w:p>
      <w:pPr>
        <w:pStyle w:val="42"/>
        <w:spacing w:line="240" w:lineRule="auto"/>
        <w:ind w:firstLine="480" w:firstLineChars="200"/>
        <w:rPr>
          <w:rFonts w:ascii="仿宋" w:hAnsi="仿宋" w:eastAsia="仿宋" w:cs="仿宋"/>
          <w:kern w:val="2"/>
          <w:sz w:val="24"/>
        </w:rPr>
      </w:pPr>
      <w:r>
        <w:rPr>
          <w:rFonts w:hint="eastAsia" w:ascii="仿宋" w:hAnsi="仿宋" w:eastAsia="仿宋" w:cs="仿宋"/>
          <w:kern w:val="2"/>
          <w:sz w:val="24"/>
          <w:lang w:val="en-US" w:eastAsia="zh-CN"/>
        </w:rPr>
        <w:t>2、</w:t>
      </w:r>
      <w:r>
        <w:rPr>
          <w:rFonts w:hint="eastAsia" w:ascii="仿宋" w:hAnsi="仿宋" w:eastAsia="仿宋" w:cs="仿宋"/>
          <w:kern w:val="2"/>
          <w:sz w:val="24"/>
        </w:rPr>
        <w:t>根据供应商在接到采购人应急故障的通知后须在指定时间内到达现场解决故障：</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1）符合磋商文件一级故障处理要求且承诺应急处理保障时间（15分响应，2小时处理完成），得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2）符合磋商文件二级故障处理要求且承诺应急处理保障时间（30分响应，4小时处理完成），得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3）符合磋商文件三级故障处理要求且承诺应急处理保障时间（60分响应，36小时处理完成），得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42"/>
        <w:spacing w:line="240" w:lineRule="auto"/>
        <w:ind w:firstLine="0" w:firstLineChars="0"/>
        <w:rPr>
          <w:rFonts w:ascii="仿宋" w:hAnsi="仿宋" w:eastAsia="仿宋" w:cs="仿宋"/>
          <w:kern w:val="2"/>
          <w:sz w:val="24"/>
        </w:rPr>
      </w:pPr>
      <w:r>
        <w:rPr>
          <w:rFonts w:hint="eastAsia" w:ascii="仿宋" w:hAnsi="仿宋" w:eastAsia="仿宋" w:cs="仿宋"/>
          <w:kern w:val="2"/>
          <w:sz w:val="24"/>
        </w:rPr>
        <w:t>4）符合磋商文件其他故障处理要求且承诺应急处理保障时间（60分响应，48小时处理完成），得</w:t>
      </w:r>
      <w:r>
        <w:rPr>
          <w:rFonts w:hint="eastAsia" w:ascii="仿宋" w:hAnsi="仿宋" w:eastAsia="仿宋" w:cs="仿宋"/>
          <w:kern w:val="2"/>
          <w:sz w:val="24"/>
          <w:lang w:val="en-US" w:eastAsia="zh-CN"/>
        </w:rPr>
        <w:t>1.5</w:t>
      </w:r>
      <w:r>
        <w:rPr>
          <w:rFonts w:hint="eastAsia" w:ascii="仿宋" w:hAnsi="仿宋" w:eastAsia="仿宋" w:cs="仿宋"/>
          <w:kern w:val="2"/>
          <w:sz w:val="24"/>
        </w:rPr>
        <w:t>分；</w:t>
      </w:r>
    </w:p>
    <w:p>
      <w:pPr>
        <w:pStyle w:val="2"/>
        <w:rPr>
          <w:rFonts w:hint="eastAsia"/>
        </w:rPr>
      </w:pPr>
      <w:r>
        <w:rPr>
          <w:rFonts w:hint="eastAsia" w:ascii="仿宋" w:hAnsi="仿宋" w:eastAsia="仿宋" w:cs="仿宋"/>
          <w:sz w:val="24"/>
        </w:rPr>
        <w:t>提供承诺书，承诺书不满足上述时间不得分，本项满分</w:t>
      </w:r>
      <w:r>
        <w:rPr>
          <w:rFonts w:hint="eastAsia" w:ascii="仿宋" w:hAnsi="仿宋" w:eastAsia="仿宋" w:cs="仿宋"/>
          <w:sz w:val="24"/>
          <w:lang w:val="en-US" w:eastAsia="zh-CN"/>
        </w:rPr>
        <w:t>6</w:t>
      </w:r>
      <w:r>
        <w:rPr>
          <w:rFonts w:hint="eastAsia" w:ascii="仿宋" w:hAnsi="仿宋" w:eastAsia="仿宋" w:cs="仿宋"/>
          <w:sz w:val="24"/>
        </w:rPr>
        <w:t>分。</w:t>
      </w:r>
    </w:p>
    <w:p>
      <w:pPr>
        <w:spacing w:line="340" w:lineRule="exact"/>
        <w:ind w:firstLine="480" w:firstLineChars="200"/>
        <w:jc w:val="left"/>
        <w:rPr>
          <w:rFonts w:ascii="仿宋" w:hAnsi="仿宋" w:eastAsia="仿宋" w:cs="仿宋"/>
          <w:color w:val="0000FF"/>
          <w:sz w:val="24"/>
          <w:szCs w:val="24"/>
        </w:rPr>
      </w:pPr>
      <w:r>
        <w:rPr>
          <w:rFonts w:hint="eastAsia" w:ascii="仿宋" w:hAnsi="仿宋" w:eastAsia="仿宋" w:cs="仿宋"/>
          <w:color w:val="0000FF"/>
          <w:sz w:val="24"/>
          <w:szCs w:val="24"/>
        </w:rPr>
        <w:t>格式自拟</w:t>
      </w:r>
    </w:p>
    <w:p>
      <w:pPr>
        <w:rPr>
          <w:rFonts w:ascii="仿宋" w:hAnsi="仿宋" w:eastAsia="仿宋" w:cs="仿宋"/>
          <w:color w:val="0000FF"/>
        </w:rPr>
      </w:pPr>
    </w:p>
    <w:p>
      <w:pPr>
        <w:rPr>
          <w:rFonts w:ascii="仿宋" w:hAnsi="仿宋" w:eastAsia="仿宋" w:cs="仿宋"/>
          <w:b/>
          <w:color w:val="0000FF"/>
          <w:sz w:val="30"/>
        </w:rPr>
      </w:pPr>
      <w:r>
        <w:rPr>
          <w:rFonts w:hint="eastAsia" w:ascii="仿宋" w:hAnsi="仿宋" w:eastAsia="仿宋" w:cs="仿宋"/>
          <w:b/>
          <w:color w:val="0000FF"/>
          <w:sz w:val="30"/>
        </w:rPr>
        <w:br w:type="page"/>
      </w:r>
    </w:p>
    <w:p>
      <w:pPr>
        <w:spacing w:line="340" w:lineRule="exact"/>
        <w:jc w:val="center"/>
        <w:outlineLvl w:val="2"/>
        <w:rPr>
          <w:rFonts w:ascii="仿宋" w:hAnsi="仿宋" w:eastAsia="仿宋" w:cs="仿宋"/>
          <w:b/>
          <w:color w:val="auto"/>
          <w:sz w:val="30"/>
        </w:rPr>
      </w:pPr>
      <w:r>
        <w:rPr>
          <w:rFonts w:hint="eastAsia" w:ascii="仿宋" w:hAnsi="仿宋" w:eastAsia="仿宋" w:cs="仿宋"/>
          <w:b/>
          <w:color w:val="auto"/>
          <w:sz w:val="30"/>
        </w:rPr>
        <w:t>（十一）培训服务</w:t>
      </w:r>
    </w:p>
    <w:p>
      <w:pPr>
        <w:rPr>
          <w:rFonts w:ascii="仿宋" w:hAnsi="仿宋" w:eastAsia="仿宋" w:cs="仿宋"/>
          <w:sz w:val="24"/>
          <w:szCs w:val="24"/>
        </w:rPr>
      </w:pPr>
      <w:r>
        <w:rPr>
          <w:rFonts w:hint="eastAsia" w:ascii="仿宋" w:hAnsi="仿宋" w:eastAsia="仿宋" w:cs="仿宋"/>
          <w:sz w:val="24"/>
          <w:szCs w:val="24"/>
        </w:rPr>
        <w:t>1.现场培训</w:t>
      </w:r>
    </w:p>
    <w:p>
      <w:pPr>
        <w:rPr>
          <w:rFonts w:ascii="仿宋" w:hAnsi="仿宋" w:eastAsia="仿宋" w:cs="仿宋"/>
          <w:sz w:val="24"/>
          <w:szCs w:val="24"/>
        </w:rPr>
      </w:pPr>
      <w:r>
        <w:rPr>
          <w:rFonts w:hint="eastAsia" w:ascii="仿宋" w:hAnsi="仿宋" w:eastAsia="仿宋" w:cs="仿宋"/>
          <w:sz w:val="24"/>
          <w:szCs w:val="24"/>
        </w:rPr>
        <w:t>运维服务方根据用户方需求，定期为用户方提供定制化的现场培训服务，培训内容包括：网络技术、网络信息安全技术、服务器及存储技术、数据库技术、虚拟化技术等与本项目维保相关的内容。根据用户方需求，运维服务方派专职讲师现场授课。每提供一项培训内容得1分，不提供不得分，满分5分。</w:t>
      </w:r>
    </w:p>
    <w:p>
      <w:pPr>
        <w:rPr>
          <w:rFonts w:ascii="仿宋" w:hAnsi="仿宋" w:eastAsia="仿宋" w:cs="仿宋"/>
          <w:sz w:val="24"/>
          <w:szCs w:val="24"/>
        </w:rPr>
      </w:pPr>
      <w:r>
        <w:rPr>
          <w:rFonts w:hint="eastAsia" w:ascii="仿宋" w:hAnsi="仿宋" w:eastAsia="仿宋" w:cs="仿宋"/>
          <w:sz w:val="24"/>
          <w:szCs w:val="24"/>
        </w:rPr>
        <w:t>2.工程师专业培训</w:t>
      </w:r>
    </w:p>
    <w:p>
      <w:pPr>
        <w:spacing w:line="340" w:lineRule="exact"/>
        <w:jc w:val="left"/>
        <w:rPr>
          <w:rFonts w:hint="eastAsia" w:ascii="仿宋" w:hAnsi="仿宋" w:eastAsia="仿宋" w:cs="仿宋"/>
          <w:sz w:val="24"/>
          <w:szCs w:val="24"/>
        </w:rPr>
      </w:pPr>
      <w:r>
        <w:rPr>
          <w:rFonts w:hint="eastAsia" w:ascii="仿宋" w:hAnsi="仿宋" w:eastAsia="仿宋" w:cs="仿宋"/>
          <w:sz w:val="24"/>
          <w:szCs w:val="24"/>
        </w:rPr>
        <w:t>为鼓励用户方工程师提升专业技术能力，凡是在合同期内通过华为中级网络工程师HCISP）认证、数据库OCP/OCM认证的工程师，由运维服务方报销所有报名、培训、考试相关的费用，承诺此项得5分，不提供不得分。</w:t>
      </w:r>
    </w:p>
    <w:p>
      <w:pPr>
        <w:spacing w:line="340" w:lineRule="exact"/>
        <w:jc w:val="left"/>
        <w:rPr>
          <w:rFonts w:ascii="仿宋" w:hAnsi="仿宋" w:eastAsia="仿宋" w:cs="仿宋"/>
          <w:sz w:val="24"/>
          <w:szCs w:val="24"/>
        </w:rPr>
      </w:pPr>
      <w:r>
        <w:rPr>
          <w:rFonts w:hint="eastAsia" w:ascii="仿宋" w:hAnsi="仿宋" w:eastAsia="仿宋" w:cs="仿宋"/>
          <w:sz w:val="24"/>
          <w:szCs w:val="24"/>
        </w:rPr>
        <w:t>格式自拟</w:t>
      </w:r>
    </w:p>
    <w:p>
      <w:pPr>
        <w:rPr>
          <w:rFonts w:ascii="仿宋" w:hAnsi="仿宋" w:eastAsia="仿宋" w:cs="仿宋"/>
        </w:rPr>
      </w:pPr>
      <w:r>
        <w:rPr>
          <w:rFonts w:ascii="仿宋" w:hAnsi="仿宋" w:eastAsia="仿宋" w:cs="仿宋"/>
        </w:rPr>
        <w:br w:type="page"/>
      </w:r>
    </w:p>
    <w:p>
      <w:pPr>
        <w:widowControl/>
        <w:numPr>
          <w:ilvl w:val="0"/>
          <w:numId w:val="6"/>
        </w:numPr>
        <w:spacing w:line="460" w:lineRule="exact"/>
        <w:jc w:val="center"/>
        <w:outlineLvl w:val="2"/>
        <w:rPr>
          <w:rFonts w:hint="eastAsia" w:ascii="仿宋" w:hAnsi="仿宋" w:eastAsia="仿宋" w:cs="仿宋"/>
          <w:b/>
          <w:sz w:val="30"/>
        </w:rPr>
      </w:pPr>
      <w:r>
        <w:rPr>
          <w:rFonts w:hint="eastAsia" w:ascii="仿宋" w:hAnsi="仿宋" w:eastAsia="仿宋" w:cs="仿宋"/>
          <w:b/>
          <w:sz w:val="30"/>
        </w:rPr>
        <w:t>技术参数、功能偏离表</w:t>
      </w:r>
    </w:p>
    <w:p/>
    <w:p>
      <w:pPr>
        <w:rPr>
          <w:rFonts w:ascii="仿宋" w:hAnsi="仿宋" w:eastAsia="仿宋" w:cs="仿宋"/>
          <w:sz w:val="24"/>
          <w:u w:val="single"/>
        </w:rPr>
      </w:pPr>
      <w:r>
        <w:rPr>
          <w:rFonts w:hint="eastAsia" w:ascii="仿宋" w:hAnsi="仿宋" w:eastAsia="仿宋" w:cs="仿宋"/>
          <w:sz w:val="24"/>
        </w:rPr>
        <w:t>供应商名称（公章）：</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w:t>
      </w:r>
    </w:p>
    <w:p>
      <w:pPr>
        <w:rPr>
          <w:rFonts w:ascii="仿宋" w:hAnsi="仿宋" w:eastAsia="仿宋" w:cs="仿宋"/>
          <w:sz w:val="24"/>
          <w:u w:val="singl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620" w:type="dxa"/>
            <w:vAlign w:val="center"/>
          </w:tcPr>
          <w:p>
            <w:pPr>
              <w:jc w:val="center"/>
              <w:rPr>
                <w:rFonts w:ascii="仿宋" w:hAnsi="仿宋" w:eastAsia="仿宋" w:cs="仿宋"/>
                <w:sz w:val="24"/>
              </w:rPr>
            </w:pPr>
            <w:r>
              <w:rPr>
                <w:rFonts w:hint="eastAsia" w:ascii="仿宋" w:hAnsi="仿宋" w:eastAsia="仿宋" w:cs="仿宋"/>
                <w:sz w:val="24"/>
              </w:rPr>
              <w:t>磋商文件规格条目号</w:t>
            </w:r>
          </w:p>
        </w:tc>
        <w:tc>
          <w:tcPr>
            <w:tcW w:w="1913" w:type="dxa"/>
            <w:vAlign w:val="center"/>
          </w:tcPr>
          <w:p>
            <w:pPr>
              <w:jc w:val="center"/>
              <w:rPr>
                <w:rFonts w:ascii="仿宋" w:hAnsi="仿宋" w:eastAsia="仿宋" w:cs="仿宋"/>
                <w:sz w:val="24"/>
              </w:rPr>
            </w:pPr>
            <w:r>
              <w:rPr>
                <w:rFonts w:hint="eastAsia" w:ascii="仿宋" w:hAnsi="仿宋" w:eastAsia="仿宋" w:cs="仿宋"/>
                <w:sz w:val="24"/>
              </w:rPr>
              <w:t>磋商文件的技术要求及规格</w:t>
            </w:r>
          </w:p>
        </w:tc>
        <w:tc>
          <w:tcPr>
            <w:tcW w:w="2227" w:type="dxa"/>
            <w:vAlign w:val="center"/>
          </w:tcPr>
          <w:p>
            <w:pPr>
              <w:jc w:val="center"/>
              <w:rPr>
                <w:rFonts w:ascii="仿宋" w:hAnsi="仿宋" w:eastAsia="仿宋" w:cs="仿宋"/>
                <w:sz w:val="24"/>
              </w:rPr>
            </w:pPr>
            <w:r>
              <w:rPr>
                <w:rFonts w:hint="eastAsia" w:ascii="仿宋" w:hAnsi="仿宋" w:eastAsia="仿宋" w:cs="仿宋"/>
                <w:sz w:val="24"/>
              </w:rPr>
              <w:t>响应文件的技术要求及规格</w:t>
            </w:r>
          </w:p>
        </w:tc>
        <w:tc>
          <w:tcPr>
            <w:tcW w:w="1600" w:type="dxa"/>
            <w:vAlign w:val="center"/>
          </w:tcPr>
          <w:p>
            <w:pPr>
              <w:jc w:val="center"/>
              <w:rPr>
                <w:rFonts w:ascii="仿宋" w:hAnsi="仿宋" w:eastAsia="仿宋" w:cs="仿宋"/>
                <w:sz w:val="24"/>
              </w:rPr>
            </w:pPr>
            <w:r>
              <w:rPr>
                <w:rFonts w:hint="eastAsia" w:ascii="仿宋" w:hAnsi="仿宋" w:eastAsia="仿宋" w:cs="仿宋"/>
                <w:sz w:val="24"/>
              </w:rPr>
              <w:t>偏离</w:t>
            </w:r>
          </w:p>
        </w:tc>
        <w:tc>
          <w:tcPr>
            <w:tcW w:w="1134" w:type="dxa"/>
            <w:vAlign w:val="center"/>
          </w:tcPr>
          <w:p>
            <w:pPr>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1</w:t>
            </w:r>
          </w:p>
        </w:tc>
        <w:tc>
          <w:tcPr>
            <w:tcW w:w="1620" w:type="dxa"/>
          </w:tcPr>
          <w:p>
            <w:pPr>
              <w:rPr>
                <w:rFonts w:ascii="仿宋" w:hAnsi="仿宋" w:eastAsia="仿宋" w:cs="仿宋"/>
                <w:sz w:val="24"/>
              </w:rPr>
            </w:pPr>
          </w:p>
        </w:tc>
        <w:tc>
          <w:tcPr>
            <w:tcW w:w="1913" w:type="dxa"/>
          </w:tcPr>
          <w:p>
            <w:pPr>
              <w:rPr>
                <w:rFonts w:ascii="仿宋" w:hAnsi="仿宋" w:eastAsia="仿宋" w:cs="仿宋"/>
                <w:sz w:val="24"/>
              </w:rPr>
            </w:pPr>
          </w:p>
        </w:tc>
        <w:tc>
          <w:tcPr>
            <w:tcW w:w="2227" w:type="dxa"/>
          </w:tcPr>
          <w:p>
            <w:pPr>
              <w:rPr>
                <w:rFonts w:ascii="仿宋" w:hAnsi="仿宋" w:eastAsia="仿宋" w:cs="仿宋"/>
                <w:sz w:val="24"/>
              </w:rPr>
            </w:pPr>
          </w:p>
        </w:tc>
        <w:tc>
          <w:tcPr>
            <w:tcW w:w="1600" w:type="dxa"/>
          </w:tcPr>
          <w:p>
            <w:pPr>
              <w:rPr>
                <w:rFonts w:ascii="仿宋" w:hAnsi="仿宋" w:eastAsia="仿宋" w:cs="仿宋"/>
                <w:sz w:val="24"/>
              </w:rPr>
            </w:pPr>
          </w:p>
        </w:tc>
        <w:tc>
          <w:tcPr>
            <w:tcW w:w="113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2</w:t>
            </w:r>
          </w:p>
        </w:tc>
        <w:tc>
          <w:tcPr>
            <w:tcW w:w="1620" w:type="dxa"/>
          </w:tcPr>
          <w:p>
            <w:pPr>
              <w:rPr>
                <w:rFonts w:ascii="仿宋" w:hAnsi="仿宋" w:eastAsia="仿宋" w:cs="仿宋"/>
                <w:sz w:val="24"/>
              </w:rPr>
            </w:pPr>
          </w:p>
        </w:tc>
        <w:tc>
          <w:tcPr>
            <w:tcW w:w="1913" w:type="dxa"/>
          </w:tcPr>
          <w:p>
            <w:pPr>
              <w:rPr>
                <w:rFonts w:ascii="仿宋" w:hAnsi="仿宋" w:eastAsia="仿宋" w:cs="仿宋"/>
                <w:sz w:val="24"/>
              </w:rPr>
            </w:pPr>
          </w:p>
        </w:tc>
        <w:tc>
          <w:tcPr>
            <w:tcW w:w="2227" w:type="dxa"/>
          </w:tcPr>
          <w:p>
            <w:pPr>
              <w:rPr>
                <w:rFonts w:ascii="仿宋" w:hAnsi="仿宋" w:eastAsia="仿宋" w:cs="仿宋"/>
                <w:sz w:val="24"/>
              </w:rPr>
            </w:pPr>
          </w:p>
        </w:tc>
        <w:tc>
          <w:tcPr>
            <w:tcW w:w="1600" w:type="dxa"/>
          </w:tcPr>
          <w:p>
            <w:pPr>
              <w:rPr>
                <w:rFonts w:ascii="仿宋" w:hAnsi="仿宋" w:eastAsia="仿宋" w:cs="仿宋"/>
                <w:sz w:val="24"/>
              </w:rPr>
            </w:pPr>
          </w:p>
        </w:tc>
        <w:tc>
          <w:tcPr>
            <w:tcW w:w="113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3</w:t>
            </w:r>
          </w:p>
        </w:tc>
        <w:tc>
          <w:tcPr>
            <w:tcW w:w="1620" w:type="dxa"/>
          </w:tcPr>
          <w:p>
            <w:pPr>
              <w:rPr>
                <w:rFonts w:ascii="仿宋" w:hAnsi="仿宋" w:eastAsia="仿宋" w:cs="仿宋"/>
                <w:sz w:val="24"/>
              </w:rPr>
            </w:pPr>
          </w:p>
        </w:tc>
        <w:tc>
          <w:tcPr>
            <w:tcW w:w="1913" w:type="dxa"/>
          </w:tcPr>
          <w:p>
            <w:pPr>
              <w:rPr>
                <w:rFonts w:ascii="仿宋" w:hAnsi="仿宋" w:eastAsia="仿宋" w:cs="仿宋"/>
                <w:sz w:val="24"/>
              </w:rPr>
            </w:pPr>
          </w:p>
        </w:tc>
        <w:tc>
          <w:tcPr>
            <w:tcW w:w="2227" w:type="dxa"/>
          </w:tcPr>
          <w:p>
            <w:pPr>
              <w:rPr>
                <w:rFonts w:ascii="仿宋" w:hAnsi="仿宋" w:eastAsia="仿宋" w:cs="仿宋"/>
                <w:sz w:val="24"/>
              </w:rPr>
            </w:pPr>
          </w:p>
        </w:tc>
        <w:tc>
          <w:tcPr>
            <w:tcW w:w="1600" w:type="dxa"/>
          </w:tcPr>
          <w:p>
            <w:pPr>
              <w:rPr>
                <w:rFonts w:ascii="仿宋" w:hAnsi="仿宋" w:eastAsia="仿宋" w:cs="仿宋"/>
                <w:sz w:val="24"/>
              </w:rPr>
            </w:pPr>
          </w:p>
        </w:tc>
        <w:tc>
          <w:tcPr>
            <w:tcW w:w="113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w:t>
            </w:r>
          </w:p>
        </w:tc>
        <w:tc>
          <w:tcPr>
            <w:tcW w:w="1620" w:type="dxa"/>
          </w:tcPr>
          <w:p>
            <w:pPr>
              <w:rPr>
                <w:rFonts w:ascii="仿宋" w:hAnsi="仿宋" w:eastAsia="仿宋" w:cs="仿宋"/>
                <w:sz w:val="24"/>
              </w:rPr>
            </w:pPr>
          </w:p>
        </w:tc>
        <w:tc>
          <w:tcPr>
            <w:tcW w:w="1913" w:type="dxa"/>
          </w:tcPr>
          <w:p>
            <w:pPr>
              <w:rPr>
                <w:rFonts w:ascii="仿宋" w:hAnsi="仿宋" w:eastAsia="仿宋" w:cs="仿宋"/>
                <w:sz w:val="24"/>
              </w:rPr>
            </w:pPr>
          </w:p>
        </w:tc>
        <w:tc>
          <w:tcPr>
            <w:tcW w:w="2227" w:type="dxa"/>
          </w:tcPr>
          <w:p>
            <w:pPr>
              <w:rPr>
                <w:rFonts w:ascii="仿宋" w:hAnsi="仿宋" w:eastAsia="仿宋" w:cs="仿宋"/>
                <w:sz w:val="24"/>
              </w:rPr>
            </w:pPr>
          </w:p>
        </w:tc>
        <w:tc>
          <w:tcPr>
            <w:tcW w:w="1600" w:type="dxa"/>
          </w:tcPr>
          <w:p>
            <w:pPr>
              <w:rPr>
                <w:rFonts w:ascii="仿宋" w:hAnsi="仿宋" w:eastAsia="仿宋" w:cs="仿宋"/>
                <w:sz w:val="24"/>
              </w:rPr>
            </w:pPr>
          </w:p>
        </w:tc>
        <w:tc>
          <w:tcPr>
            <w:tcW w:w="1134" w:type="dxa"/>
          </w:tcPr>
          <w:p>
            <w:pPr>
              <w:rPr>
                <w:rFonts w:ascii="仿宋" w:hAnsi="仿宋" w:eastAsia="仿宋" w:cs="仿宋"/>
                <w:sz w:val="24"/>
              </w:rPr>
            </w:pPr>
          </w:p>
        </w:tc>
      </w:tr>
    </w:tbl>
    <w:p>
      <w:pPr>
        <w:rPr>
          <w:rFonts w:ascii="仿宋" w:hAnsi="仿宋" w:eastAsia="仿宋" w:cs="仿宋"/>
          <w:sz w:val="24"/>
        </w:rPr>
      </w:pPr>
      <w:r>
        <w:rPr>
          <w:rFonts w:hint="eastAsia" w:ascii="仿宋" w:hAnsi="仿宋" w:eastAsia="仿宋" w:cs="仿宋"/>
          <w:sz w:val="24"/>
        </w:rPr>
        <w:t>注：与磋商文件要求逐条对应填写。</w:t>
      </w:r>
    </w:p>
    <w:p>
      <w:pPr>
        <w:pStyle w:val="19"/>
        <w:spacing w:line="360" w:lineRule="exact"/>
        <w:ind w:left="340" w:right="5103" w:firstLine="210"/>
        <w:rPr>
          <w:rFonts w:ascii="仿宋" w:hAnsi="仿宋" w:eastAsia="仿宋" w:cs="仿宋"/>
        </w:rPr>
      </w:pPr>
      <w:r>
        <w:rPr>
          <w:rFonts w:hint="eastAsia" w:ascii="仿宋" w:hAnsi="仿宋" w:eastAsia="仿宋" w:cs="仿宋"/>
        </w:rPr>
        <w:t>供应商（盖章）：</w:t>
      </w:r>
    </w:p>
    <w:p>
      <w:pPr>
        <w:pStyle w:val="19"/>
        <w:spacing w:line="360" w:lineRule="exact"/>
        <w:ind w:left="340" w:right="4394" w:firstLine="210"/>
        <w:rPr>
          <w:rFonts w:ascii="仿宋" w:hAnsi="仿宋" w:eastAsia="仿宋" w:cs="仿宋"/>
        </w:rPr>
      </w:pPr>
      <w:r>
        <w:rPr>
          <w:rFonts w:hint="eastAsia" w:ascii="仿宋" w:hAnsi="仿宋" w:eastAsia="仿宋" w:cs="仿宋"/>
        </w:rPr>
        <w:t xml:space="preserve">法定代表人（盖章）： </w:t>
      </w:r>
    </w:p>
    <w:p>
      <w:pPr>
        <w:pStyle w:val="19"/>
        <w:spacing w:line="360" w:lineRule="exact"/>
        <w:ind w:left="340" w:right="4820" w:firstLine="210"/>
        <w:rPr>
          <w:rFonts w:ascii="仿宋" w:hAnsi="仿宋" w:eastAsia="仿宋" w:cs="仿宋"/>
        </w:rPr>
      </w:pPr>
      <w:r>
        <w:rPr>
          <w:rFonts w:hint="eastAsia" w:ascii="仿宋" w:hAnsi="仿宋" w:eastAsia="仿宋" w:cs="仿宋"/>
        </w:rPr>
        <w:t>或法人授权代表（签字）：</w:t>
      </w:r>
    </w:p>
    <w:p>
      <w:pPr>
        <w:pStyle w:val="19"/>
        <w:spacing w:line="360" w:lineRule="exact"/>
        <w:ind w:left="340" w:right="6983" w:firstLine="210"/>
        <w:rPr>
          <w:rFonts w:ascii="仿宋" w:hAnsi="仿宋" w:eastAsia="仿宋" w:cs="仿宋"/>
        </w:rPr>
      </w:pPr>
      <w:r>
        <w:rPr>
          <w:rFonts w:hint="eastAsia" w:ascii="仿宋" w:hAnsi="仿宋" w:eastAsia="仿宋" w:cs="仿宋"/>
        </w:rPr>
        <w:t>日期：</w:t>
      </w:r>
    </w:p>
    <w:p>
      <w:pPr>
        <w:pStyle w:val="19"/>
        <w:rPr>
          <w:rFonts w:ascii="仿宋" w:hAnsi="仿宋" w:eastAsia="仿宋" w:cs="仿宋"/>
        </w:rPr>
      </w:pPr>
    </w:p>
    <w:p>
      <w:pPr>
        <w:widowControl/>
        <w:jc w:val="left"/>
        <w:rPr>
          <w:rFonts w:ascii="仿宋" w:hAnsi="仿宋" w:eastAsia="仿宋" w:cs="仿宋"/>
          <w:b/>
          <w:color w:val="0000FF"/>
          <w:sz w:val="30"/>
        </w:rPr>
      </w:pPr>
    </w:p>
    <w:p>
      <w:pPr>
        <w:widowControl/>
        <w:numPr>
          <w:ilvl w:val="0"/>
          <w:numId w:val="6"/>
        </w:numPr>
        <w:spacing w:line="460" w:lineRule="exact"/>
        <w:ind w:left="0" w:leftChars="0" w:firstLine="0" w:firstLineChars="0"/>
        <w:jc w:val="center"/>
        <w:outlineLvl w:val="2"/>
        <w:rPr>
          <w:rFonts w:hint="eastAsia" w:ascii="仿宋" w:hAnsi="仿宋" w:eastAsia="仿宋" w:cs="仿宋"/>
          <w:b/>
          <w:sz w:val="30"/>
        </w:rPr>
      </w:pPr>
      <w:r>
        <w:rPr>
          <w:rFonts w:hint="eastAsia" w:ascii="仿宋" w:hAnsi="仿宋" w:eastAsia="仿宋" w:cs="仿宋"/>
          <w:b/>
          <w:sz w:val="30"/>
        </w:rPr>
        <w:t>商务条款偏离表</w:t>
      </w:r>
    </w:p>
    <w:p/>
    <w:p>
      <w:pPr>
        <w:rPr>
          <w:rFonts w:ascii="仿宋" w:hAnsi="仿宋" w:eastAsia="仿宋" w:cs="仿宋"/>
          <w:sz w:val="24"/>
          <w:u w:val="single"/>
        </w:rPr>
      </w:pPr>
      <w:r>
        <w:rPr>
          <w:rFonts w:hint="eastAsia" w:ascii="仿宋" w:hAnsi="仿宋" w:eastAsia="仿宋" w:cs="仿宋"/>
          <w:sz w:val="24"/>
        </w:rPr>
        <w:t>供应商名称（公章）：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w:t>
      </w:r>
    </w:p>
    <w:tbl>
      <w:tblPr>
        <w:tblStyle w:val="4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575" w:type="dxa"/>
            <w:vAlign w:val="center"/>
          </w:tcPr>
          <w:p>
            <w:pPr>
              <w:jc w:val="center"/>
              <w:rPr>
                <w:rFonts w:ascii="仿宋" w:hAnsi="仿宋" w:eastAsia="仿宋" w:cs="仿宋"/>
                <w:sz w:val="24"/>
              </w:rPr>
            </w:pPr>
            <w:r>
              <w:rPr>
                <w:rFonts w:hint="eastAsia" w:ascii="仿宋" w:hAnsi="仿宋" w:eastAsia="仿宋" w:cs="仿宋"/>
                <w:sz w:val="24"/>
              </w:rPr>
              <w:t>磋商文件</w:t>
            </w:r>
          </w:p>
          <w:p>
            <w:pPr>
              <w:jc w:val="center"/>
              <w:rPr>
                <w:rFonts w:ascii="仿宋" w:hAnsi="仿宋" w:eastAsia="仿宋" w:cs="仿宋"/>
                <w:sz w:val="24"/>
              </w:rPr>
            </w:pPr>
            <w:r>
              <w:rPr>
                <w:rFonts w:hint="eastAsia" w:ascii="仿宋" w:hAnsi="仿宋" w:eastAsia="仿宋" w:cs="仿宋"/>
                <w:sz w:val="24"/>
              </w:rPr>
              <w:t>条目号</w:t>
            </w:r>
          </w:p>
        </w:tc>
        <w:tc>
          <w:tcPr>
            <w:tcW w:w="2415" w:type="dxa"/>
            <w:vAlign w:val="center"/>
          </w:tcPr>
          <w:p>
            <w:pPr>
              <w:jc w:val="center"/>
              <w:rPr>
                <w:rFonts w:ascii="仿宋" w:hAnsi="仿宋" w:eastAsia="仿宋" w:cs="仿宋"/>
                <w:sz w:val="24"/>
              </w:rPr>
            </w:pPr>
            <w:r>
              <w:rPr>
                <w:rFonts w:hint="eastAsia" w:ascii="仿宋" w:hAnsi="仿宋" w:eastAsia="仿宋" w:cs="仿宋"/>
                <w:sz w:val="24"/>
              </w:rPr>
              <w:t>磋商文件的商务条款</w:t>
            </w:r>
          </w:p>
        </w:tc>
        <w:tc>
          <w:tcPr>
            <w:tcW w:w="2835" w:type="dxa"/>
            <w:vAlign w:val="center"/>
          </w:tcPr>
          <w:p>
            <w:pPr>
              <w:jc w:val="center"/>
              <w:rPr>
                <w:rFonts w:ascii="仿宋" w:hAnsi="仿宋" w:eastAsia="仿宋" w:cs="仿宋"/>
                <w:sz w:val="24"/>
              </w:rPr>
            </w:pPr>
            <w:r>
              <w:rPr>
                <w:rFonts w:hint="eastAsia" w:ascii="仿宋" w:hAnsi="仿宋" w:eastAsia="仿宋" w:cs="仿宋"/>
                <w:sz w:val="24"/>
              </w:rPr>
              <w:t>投标文件的商务条款</w:t>
            </w:r>
          </w:p>
        </w:tc>
        <w:tc>
          <w:tcPr>
            <w:tcW w:w="1984" w:type="dxa"/>
            <w:vAlign w:val="center"/>
          </w:tcPr>
          <w:p>
            <w:pPr>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cs="仿宋"/>
                <w:sz w:val="24"/>
              </w:rPr>
            </w:pPr>
            <w:r>
              <w:rPr>
                <w:rFonts w:hint="eastAsia" w:ascii="仿宋" w:hAnsi="仿宋" w:eastAsia="仿宋" w:cs="仿宋"/>
                <w:sz w:val="24"/>
              </w:rPr>
              <w:t>1</w:t>
            </w:r>
          </w:p>
        </w:tc>
        <w:tc>
          <w:tcPr>
            <w:tcW w:w="1575" w:type="dxa"/>
          </w:tcPr>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cs="仿宋"/>
                <w:sz w:val="24"/>
              </w:rPr>
            </w:pPr>
            <w:r>
              <w:rPr>
                <w:rFonts w:hint="eastAsia" w:ascii="仿宋" w:hAnsi="仿宋" w:eastAsia="仿宋" w:cs="仿宋"/>
                <w:sz w:val="24"/>
              </w:rPr>
              <w:t>2</w:t>
            </w:r>
          </w:p>
        </w:tc>
        <w:tc>
          <w:tcPr>
            <w:tcW w:w="1575" w:type="dxa"/>
          </w:tcPr>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cs="仿宋"/>
                <w:sz w:val="24"/>
              </w:rPr>
            </w:pPr>
            <w:r>
              <w:rPr>
                <w:rFonts w:hint="eastAsia" w:ascii="仿宋" w:hAnsi="仿宋" w:eastAsia="仿宋" w:cs="仿宋"/>
                <w:sz w:val="24"/>
              </w:rPr>
              <w:t>3</w:t>
            </w:r>
          </w:p>
        </w:tc>
        <w:tc>
          <w:tcPr>
            <w:tcW w:w="1575" w:type="dxa"/>
          </w:tcPr>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cs="仿宋"/>
                <w:sz w:val="24"/>
              </w:rPr>
            </w:pPr>
            <w:r>
              <w:rPr>
                <w:rFonts w:hint="eastAsia" w:ascii="仿宋" w:hAnsi="仿宋" w:eastAsia="仿宋" w:cs="仿宋"/>
                <w:sz w:val="24"/>
              </w:rPr>
              <w:t>…</w:t>
            </w:r>
          </w:p>
        </w:tc>
        <w:tc>
          <w:tcPr>
            <w:tcW w:w="1575" w:type="dxa"/>
          </w:tcPr>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bl>
    <w:p>
      <w:pPr>
        <w:rPr>
          <w:rFonts w:ascii="仿宋" w:hAnsi="仿宋" w:eastAsia="仿宋" w:cs="仿宋"/>
          <w:sz w:val="24"/>
        </w:rPr>
      </w:pPr>
      <w:r>
        <w:rPr>
          <w:rFonts w:hint="eastAsia" w:ascii="仿宋" w:hAnsi="仿宋" w:eastAsia="仿宋" w:cs="仿宋"/>
          <w:sz w:val="24"/>
        </w:rPr>
        <w:t>　注：与磋商文件要求逐条对应填写。</w:t>
      </w:r>
    </w:p>
    <w:p>
      <w:pPr>
        <w:pStyle w:val="19"/>
        <w:spacing w:line="360" w:lineRule="exact"/>
        <w:ind w:left="340" w:right="5103" w:firstLine="210"/>
        <w:rPr>
          <w:rFonts w:ascii="仿宋" w:hAnsi="仿宋" w:eastAsia="仿宋" w:cs="仿宋"/>
        </w:rPr>
      </w:pPr>
      <w:r>
        <w:rPr>
          <w:rFonts w:hint="eastAsia" w:ascii="仿宋" w:hAnsi="仿宋" w:eastAsia="仿宋" w:cs="仿宋"/>
        </w:rPr>
        <w:t>供应商（盖章）：</w:t>
      </w:r>
    </w:p>
    <w:p>
      <w:pPr>
        <w:pStyle w:val="19"/>
        <w:spacing w:line="360" w:lineRule="exact"/>
        <w:ind w:left="340" w:right="4394" w:firstLine="210"/>
        <w:rPr>
          <w:rFonts w:ascii="仿宋" w:hAnsi="仿宋" w:eastAsia="仿宋" w:cs="仿宋"/>
        </w:rPr>
      </w:pPr>
      <w:r>
        <w:rPr>
          <w:rFonts w:hint="eastAsia" w:ascii="仿宋" w:hAnsi="仿宋" w:eastAsia="仿宋" w:cs="仿宋"/>
        </w:rPr>
        <w:t xml:space="preserve">法定代表人（盖章）： </w:t>
      </w:r>
    </w:p>
    <w:p>
      <w:pPr>
        <w:pStyle w:val="19"/>
        <w:spacing w:line="360" w:lineRule="exact"/>
        <w:ind w:left="340" w:right="4820" w:firstLine="210"/>
        <w:rPr>
          <w:rFonts w:ascii="仿宋" w:hAnsi="仿宋" w:eastAsia="仿宋" w:cs="仿宋"/>
        </w:rPr>
      </w:pPr>
      <w:r>
        <w:rPr>
          <w:rFonts w:hint="eastAsia" w:ascii="仿宋" w:hAnsi="仿宋" w:eastAsia="仿宋" w:cs="仿宋"/>
        </w:rPr>
        <w:t>或法人授权代表（签字）：</w:t>
      </w:r>
    </w:p>
    <w:p>
      <w:pPr>
        <w:pStyle w:val="19"/>
        <w:spacing w:line="360" w:lineRule="exact"/>
        <w:ind w:left="340" w:right="6983" w:firstLine="210"/>
        <w:rPr>
          <w:rFonts w:ascii="仿宋" w:hAnsi="仿宋" w:eastAsia="仿宋" w:cs="仿宋"/>
        </w:rPr>
      </w:pPr>
      <w:r>
        <w:rPr>
          <w:rFonts w:hint="eastAsia" w:ascii="仿宋" w:hAnsi="仿宋" w:eastAsia="仿宋" w:cs="仿宋"/>
        </w:rPr>
        <w:t>日期：</w:t>
      </w:r>
    </w:p>
    <w:p>
      <w:pPr>
        <w:jc w:val="center"/>
        <w:rPr>
          <w:rFonts w:ascii="仿宋" w:hAnsi="仿宋" w:eastAsia="仿宋" w:cs="仿宋"/>
          <w:sz w:val="24"/>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pStyle w:val="19"/>
        <w:rPr>
          <w:rFonts w:ascii="仿宋" w:hAnsi="仿宋" w:eastAsia="仿宋" w:cs="仿宋"/>
        </w:rPr>
      </w:pPr>
    </w:p>
    <w:p>
      <w:pPr>
        <w:widowControl/>
        <w:numPr>
          <w:ilvl w:val="0"/>
          <w:numId w:val="6"/>
        </w:numPr>
        <w:spacing w:line="460" w:lineRule="exact"/>
        <w:ind w:left="0" w:leftChars="0" w:firstLine="0" w:firstLineChars="0"/>
        <w:jc w:val="center"/>
        <w:outlineLvl w:val="2"/>
        <w:rPr>
          <w:rFonts w:hint="eastAsia" w:ascii="仿宋" w:hAnsi="仿宋" w:eastAsia="仿宋" w:cs="仿宋"/>
          <w:b/>
          <w:sz w:val="30"/>
        </w:rPr>
      </w:pPr>
      <w:r>
        <w:rPr>
          <w:rFonts w:hint="eastAsia" w:ascii="仿宋" w:hAnsi="仿宋" w:eastAsia="仿宋" w:cs="仿宋"/>
          <w:b/>
          <w:sz w:val="30"/>
        </w:rPr>
        <w:t>近三年（2020年1月1日-至今）的类似业绩表</w:t>
      </w:r>
    </w:p>
    <w:p/>
    <w:p>
      <w:pPr>
        <w:ind w:firstLine="240" w:firstLineChars="100"/>
        <w:rPr>
          <w:rFonts w:ascii="仿宋" w:hAnsi="仿宋" w:eastAsia="仿宋" w:cs="仿宋"/>
          <w:sz w:val="24"/>
          <w:u w:val="single"/>
        </w:rPr>
      </w:pPr>
      <w:r>
        <w:rPr>
          <w:rFonts w:hint="eastAsia" w:ascii="仿宋" w:hAnsi="仿宋" w:eastAsia="仿宋" w:cs="仿宋"/>
          <w:sz w:val="24"/>
        </w:rPr>
        <w:t>供应商名称（公章）：</w:t>
      </w:r>
      <w:r>
        <w:rPr>
          <w:rFonts w:hint="eastAsia" w:ascii="仿宋" w:hAnsi="仿宋" w:eastAsia="仿宋" w:cs="仿宋"/>
          <w:sz w:val="24"/>
          <w:u w:val="single"/>
        </w:rPr>
        <w:t xml:space="preserve">         　　　　　  </w:t>
      </w:r>
    </w:p>
    <w:p>
      <w:pPr>
        <w:ind w:firstLine="240" w:firstLineChars="100"/>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142"/>
        <w:gridCol w:w="1994"/>
        <w:gridCol w:w="139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64" w:type="dxa"/>
          </w:tcPr>
          <w:p>
            <w:pPr>
              <w:pStyle w:val="81"/>
              <w:jc w:val="center"/>
              <w:rPr>
                <w:rFonts w:ascii="仿宋" w:hAnsi="仿宋" w:eastAsia="仿宋" w:cs="仿宋"/>
                <w:color w:val="auto"/>
                <w:sz w:val="28"/>
              </w:rPr>
            </w:pPr>
            <w:r>
              <w:rPr>
                <w:rFonts w:hint="eastAsia" w:ascii="仿宋" w:hAnsi="仿宋" w:eastAsia="仿宋" w:cs="仿宋"/>
                <w:color w:val="auto"/>
                <w:sz w:val="28"/>
              </w:rPr>
              <w:t>序号</w:t>
            </w:r>
          </w:p>
        </w:tc>
        <w:tc>
          <w:tcPr>
            <w:tcW w:w="3142" w:type="dxa"/>
          </w:tcPr>
          <w:p>
            <w:pPr>
              <w:pStyle w:val="81"/>
              <w:ind w:right="-107" w:rightChars="-51"/>
              <w:jc w:val="center"/>
              <w:rPr>
                <w:rFonts w:ascii="仿宋" w:hAnsi="仿宋" w:eastAsia="仿宋" w:cs="仿宋"/>
                <w:color w:val="auto"/>
                <w:sz w:val="28"/>
              </w:rPr>
            </w:pPr>
            <w:r>
              <w:rPr>
                <w:rFonts w:hint="eastAsia" w:ascii="仿宋" w:hAnsi="仿宋" w:eastAsia="仿宋" w:cs="仿宋"/>
                <w:color w:val="auto"/>
                <w:sz w:val="28"/>
              </w:rPr>
              <w:t>项目名称</w:t>
            </w:r>
          </w:p>
        </w:tc>
        <w:tc>
          <w:tcPr>
            <w:tcW w:w="1994" w:type="dxa"/>
          </w:tcPr>
          <w:p>
            <w:pPr>
              <w:pStyle w:val="81"/>
              <w:jc w:val="center"/>
              <w:rPr>
                <w:rFonts w:ascii="仿宋" w:hAnsi="仿宋" w:eastAsia="仿宋" w:cs="仿宋"/>
                <w:color w:val="auto"/>
                <w:sz w:val="28"/>
              </w:rPr>
            </w:pPr>
            <w:r>
              <w:rPr>
                <w:rFonts w:hint="eastAsia" w:ascii="仿宋" w:hAnsi="仿宋" w:eastAsia="仿宋" w:cs="仿宋"/>
                <w:color w:val="auto"/>
                <w:sz w:val="28"/>
              </w:rPr>
              <w:t>项目内容</w:t>
            </w:r>
          </w:p>
        </w:tc>
        <w:tc>
          <w:tcPr>
            <w:tcW w:w="1396" w:type="dxa"/>
          </w:tcPr>
          <w:p>
            <w:pPr>
              <w:pStyle w:val="81"/>
              <w:jc w:val="center"/>
              <w:rPr>
                <w:rFonts w:ascii="仿宋" w:hAnsi="仿宋" w:eastAsia="仿宋" w:cs="仿宋"/>
                <w:color w:val="auto"/>
                <w:sz w:val="28"/>
              </w:rPr>
            </w:pPr>
            <w:r>
              <w:rPr>
                <w:rFonts w:hint="eastAsia" w:ascii="仿宋" w:hAnsi="仿宋" w:eastAsia="仿宋" w:cs="仿宋"/>
                <w:color w:val="auto"/>
                <w:sz w:val="28"/>
              </w:rPr>
              <w:t>金额</w:t>
            </w:r>
          </w:p>
        </w:tc>
        <w:tc>
          <w:tcPr>
            <w:tcW w:w="1544" w:type="dxa"/>
          </w:tcPr>
          <w:p>
            <w:pPr>
              <w:pStyle w:val="81"/>
              <w:rPr>
                <w:rFonts w:ascii="仿宋" w:hAnsi="仿宋" w:eastAsia="仿宋" w:cs="仿宋"/>
                <w:color w:val="auto"/>
                <w:sz w:val="28"/>
              </w:rPr>
            </w:pPr>
            <w:r>
              <w:rPr>
                <w:rFonts w:hint="eastAsia" w:ascii="仿宋" w:hAnsi="仿宋" w:eastAsia="仿宋" w:cs="仿宋"/>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cs="仿宋"/>
                <w:sz w:val="24"/>
              </w:rPr>
            </w:pPr>
          </w:p>
        </w:tc>
        <w:tc>
          <w:tcPr>
            <w:tcW w:w="3142" w:type="dxa"/>
          </w:tcPr>
          <w:p>
            <w:pPr>
              <w:rPr>
                <w:rFonts w:ascii="仿宋" w:hAnsi="仿宋" w:eastAsia="仿宋" w:cs="仿宋"/>
                <w:sz w:val="24"/>
              </w:rPr>
            </w:pPr>
          </w:p>
        </w:tc>
        <w:tc>
          <w:tcPr>
            <w:tcW w:w="1994" w:type="dxa"/>
          </w:tcPr>
          <w:p>
            <w:pPr>
              <w:rPr>
                <w:rFonts w:ascii="仿宋" w:hAnsi="仿宋" w:eastAsia="仿宋" w:cs="仿宋"/>
                <w:sz w:val="24"/>
              </w:rPr>
            </w:pPr>
          </w:p>
        </w:tc>
        <w:tc>
          <w:tcPr>
            <w:tcW w:w="1396" w:type="dxa"/>
          </w:tcPr>
          <w:p>
            <w:pPr>
              <w:rPr>
                <w:rFonts w:ascii="仿宋" w:hAnsi="仿宋" w:eastAsia="仿宋" w:cs="仿宋"/>
                <w:sz w:val="24"/>
              </w:rPr>
            </w:pPr>
          </w:p>
        </w:tc>
        <w:tc>
          <w:tcPr>
            <w:tcW w:w="154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cs="仿宋"/>
                <w:sz w:val="24"/>
              </w:rPr>
            </w:pPr>
          </w:p>
        </w:tc>
        <w:tc>
          <w:tcPr>
            <w:tcW w:w="3142" w:type="dxa"/>
          </w:tcPr>
          <w:p>
            <w:pPr>
              <w:rPr>
                <w:rFonts w:ascii="仿宋" w:hAnsi="仿宋" w:eastAsia="仿宋" w:cs="仿宋"/>
                <w:sz w:val="24"/>
              </w:rPr>
            </w:pPr>
          </w:p>
        </w:tc>
        <w:tc>
          <w:tcPr>
            <w:tcW w:w="1994" w:type="dxa"/>
          </w:tcPr>
          <w:p>
            <w:pPr>
              <w:rPr>
                <w:rFonts w:ascii="仿宋" w:hAnsi="仿宋" w:eastAsia="仿宋" w:cs="仿宋"/>
                <w:sz w:val="24"/>
              </w:rPr>
            </w:pPr>
          </w:p>
        </w:tc>
        <w:tc>
          <w:tcPr>
            <w:tcW w:w="1396" w:type="dxa"/>
          </w:tcPr>
          <w:p>
            <w:pPr>
              <w:rPr>
                <w:rFonts w:ascii="仿宋" w:hAnsi="仿宋" w:eastAsia="仿宋" w:cs="仿宋"/>
                <w:sz w:val="24"/>
              </w:rPr>
            </w:pPr>
          </w:p>
        </w:tc>
        <w:tc>
          <w:tcPr>
            <w:tcW w:w="154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tcPr>
          <w:p>
            <w:pPr>
              <w:rPr>
                <w:rFonts w:ascii="仿宋" w:hAnsi="仿宋" w:eastAsia="仿宋" w:cs="仿宋"/>
                <w:sz w:val="24"/>
              </w:rPr>
            </w:pPr>
          </w:p>
        </w:tc>
        <w:tc>
          <w:tcPr>
            <w:tcW w:w="3142" w:type="dxa"/>
          </w:tcPr>
          <w:p>
            <w:pPr>
              <w:rPr>
                <w:rFonts w:ascii="仿宋" w:hAnsi="仿宋" w:eastAsia="仿宋" w:cs="仿宋"/>
                <w:sz w:val="24"/>
              </w:rPr>
            </w:pPr>
          </w:p>
        </w:tc>
        <w:tc>
          <w:tcPr>
            <w:tcW w:w="1994" w:type="dxa"/>
          </w:tcPr>
          <w:p>
            <w:pPr>
              <w:rPr>
                <w:rFonts w:ascii="仿宋" w:hAnsi="仿宋" w:eastAsia="仿宋" w:cs="仿宋"/>
                <w:sz w:val="24"/>
              </w:rPr>
            </w:pPr>
          </w:p>
        </w:tc>
        <w:tc>
          <w:tcPr>
            <w:tcW w:w="1396" w:type="dxa"/>
          </w:tcPr>
          <w:p>
            <w:pPr>
              <w:rPr>
                <w:rFonts w:ascii="仿宋" w:hAnsi="仿宋" w:eastAsia="仿宋" w:cs="仿宋"/>
                <w:sz w:val="24"/>
              </w:rPr>
            </w:pPr>
          </w:p>
        </w:tc>
        <w:tc>
          <w:tcPr>
            <w:tcW w:w="1544" w:type="dxa"/>
          </w:tcPr>
          <w:p>
            <w:pPr>
              <w:rPr>
                <w:rFonts w:ascii="仿宋" w:hAnsi="仿宋" w:eastAsia="仿宋" w:cs="仿宋"/>
                <w:sz w:val="24"/>
              </w:rPr>
            </w:pPr>
          </w:p>
        </w:tc>
      </w:tr>
    </w:tbl>
    <w:p>
      <w:pPr>
        <w:widowControl/>
        <w:spacing w:line="460" w:lineRule="exact"/>
        <w:ind w:firstLine="237" w:firstLineChars="99"/>
        <w:rPr>
          <w:rFonts w:ascii="仿宋" w:hAnsi="仿宋" w:eastAsia="仿宋" w:cs="仿宋"/>
          <w:b/>
          <w:sz w:val="30"/>
        </w:rPr>
      </w:pPr>
      <w:r>
        <w:rPr>
          <w:rFonts w:hint="eastAsia" w:ascii="仿宋" w:hAnsi="仿宋" w:eastAsia="仿宋" w:cs="仿宋"/>
          <w:sz w:val="24"/>
        </w:rPr>
        <w:t>附：</w:t>
      </w:r>
      <w:r>
        <w:rPr>
          <w:rFonts w:hint="eastAsia" w:ascii="仿宋" w:hAnsi="仿宋" w:eastAsia="仿宋"/>
          <w:sz w:val="24"/>
          <w:szCs w:val="24"/>
        </w:rPr>
        <w:t>需提供合同或中标通知书复印件并加盖公章</w:t>
      </w:r>
      <w:r>
        <w:rPr>
          <w:rFonts w:hint="eastAsia" w:ascii="仿宋" w:hAnsi="仿宋" w:eastAsia="仿宋" w:cs="仿宋"/>
          <w:b/>
          <w:sz w:val="24"/>
        </w:rPr>
        <w:t>。</w:t>
      </w:r>
    </w:p>
    <w:p>
      <w:pPr>
        <w:widowControl/>
        <w:spacing w:line="460" w:lineRule="exact"/>
        <w:rPr>
          <w:rFonts w:ascii="仿宋" w:hAnsi="仿宋" w:eastAsia="仿宋" w:cs="仿宋"/>
          <w:b/>
          <w:sz w:val="30"/>
        </w:rPr>
      </w:pPr>
    </w:p>
    <w:p>
      <w:pPr>
        <w:pStyle w:val="19"/>
        <w:rPr>
          <w:rFonts w:ascii="仿宋" w:hAnsi="仿宋" w:eastAsia="仿宋" w:cs="仿宋"/>
        </w:rPr>
      </w:pPr>
    </w:p>
    <w:p>
      <w:pPr>
        <w:pStyle w:val="19"/>
        <w:rPr>
          <w:rFonts w:ascii="仿宋" w:hAnsi="仿宋" w:eastAsia="仿宋" w:cs="仿宋"/>
        </w:rPr>
      </w:pPr>
    </w:p>
    <w:p>
      <w:pPr>
        <w:widowControl/>
        <w:jc w:val="left"/>
        <w:rPr>
          <w:rFonts w:ascii="仿宋" w:hAnsi="仿宋" w:eastAsia="仿宋" w:cs="仿宋"/>
          <w:b/>
          <w:sz w:val="30"/>
        </w:rPr>
      </w:pPr>
      <w:r>
        <w:rPr>
          <w:rFonts w:ascii="仿宋" w:hAnsi="仿宋" w:eastAsia="仿宋" w:cs="仿宋"/>
          <w:b/>
          <w:sz w:val="30"/>
        </w:rPr>
        <w:br w:type="page"/>
      </w:r>
    </w:p>
    <w:p>
      <w:pPr>
        <w:widowControl/>
        <w:spacing w:line="460" w:lineRule="exact"/>
        <w:jc w:val="center"/>
        <w:outlineLvl w:val="2"/>
        <w:rPr>
          <w:rFonts w:ascii="仿宋" w:hAnsi="仿宋" w:eastAsia="仿宋" w:cs="仿宋"/>
          <w:b/>
          <w:sz w:val="30"/>
        </w:rPr>
      </w:pPr>
      <w:r>
        <w:rPr>
          <w:rFonts w:hint="eastAsia" w:ascii="仿宋" w:hAnsi="仿宋" w:eastAsia="仿宋" w:cs="仿宋"/>
          <w:b/>
          <w:sz w:val="30"/>
        </w:rPr>
        <w:t>（十</w:t>
      </w:r>
      <w:r>
        <w:rPr>
          <w:rFonts w:hint="eastAsia" w:ascii="仿宋" w:hAnsi="仿宋" w:eastAsia="仿宋" w:cs="仿宋"/>
          <w:b/>
          <w:sz w:val="30"/>
          <w:lang w:val="en-US" w:eastAsia="zh-CN"/>
        </w:rPr>
        <w:t>五</w:t>
      </w:r>
      <w:r>
        <w:rPr>
          <w:rFonts w:hint="eastAsia" w:ascii="仿宋" w:hAnsi="仿宋" w:eastAsia="仿宋" w:cs="仿宋"/>
          <w:b/>
          <w:sz w:val="30"/>
        </w:rPr>
        <w:t>）供应商反商业贿赂承诺书</w:t>
      </w:r>
    </w:p>
    <w:p>
      <w:pPr>
        <w:pStyle w:val="19"/>
        <w:rPr>
          <w:rFonts w:ascii="仿宋" w:hAnsi="仿宋" w:eastAsia="仿宋" w:cs="仿宋"/>
        </w:rPr>
      </w:pPr>
    </w:p>
    <w:p>
      <w:pPr>
        <w:widowControl/>
        <w:spacing w:line="460" w:lineRule="exact"/>
        <w:jc w:val="left"/>
        <w:rPr>
          <w:rFonts w:hint="eastAsia" w:ascii="仿宋" w:hAnsi="仿宋" w:eastAsia="仿宋" w:cs="仿宋"/>
          <w:sz w:val="24"/>
        </w:rPr>
      </w:pPr>
      <w:r>
        <w:rPr>
          <w:rFonts w:hint="eastAsia" w:ascii="仿宋" w:hAnsi="仿宋" w:eastAsia="仿宋" w:cs="仿宋"/>
          <w:b/>
          <w:bCs/>
          <w:sz w:val="24"/>
          <w:szCs w:val="24"/>
        </w:rPr>
        <w:t> </w:t>
      </w:r>
      <w:r>
        <w:rPr>
          <w:rFonts w:hint="eastAsia" w:ascii="仿宋" w:hAnsi="仿宋" w:eastAsia="仿宋" w:cs="仿宋"/>
          <w:sz w:val="24"/>
          <w:szCs w:val="24"/>
        </w:rPr>
        <w:t> </w:t>
      </w:r>
      <w:r>
        <w:rPr>
          <w:rFonts w:hint="eastAsia" w:ascii="仿宋" w:hAnsi="仿宋" w:eastAsia="仿宋" w:cs="仿宋"/>
          <w:sz w:val="24"/>
        </w:rPr>
        <w:t> 我公司承诺在</w:t>
      </w:r>
      <w:r>
        <w:rPr>
          <w:rFonts w:hint="eastAsia" w:ascii="仿宋" w:hAnsi="仿宋" w:eastAsia="仿宋" w:cs="仿宋"/>
          <w:sz w:val="24"/>
          <w:u w:val="single"/>
        </w:rPr>
        <w:t>（项目编号、项目名称）</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line="460" w:lineRule="exact"/>
        <w:jc w:val="left"/>
        <w:rPr>
          <w:rFonts w:ascii="仿宋" w:hAnsi="仿宋" w:eastAsia="仿宋" w:cs="仿宋"/>
          <w:sz w:val="24"/>
        </w:rPr>
      </w:pPr>
      <w:r>
        <w:rPr>
          <w:rFonts w:hint="eastAsia" w:ascii="仿宋" w:hAnsi="仿宋" w:eastAsia="仿宋" w:cs="仿宋"/>
          <w:sz w:val="24"/>
        </w:rPr>
        <w:t xml:space="preserve">投标单位（供应商）承诺书 </w:t>
      </w:r>
      <w:bookmarkStart w:id="54" w:name="_GoBack"/>
      <w:bookmarkEnd w:id="54"/>
    </w:p>
    <w:p>
      <w:pPr>
        <w:widowControl/>
        <w:spacing w:line="460" w:lineRule="exact"/>
        <w:jc w:val="left"/>
        <w:rPr>
          <w:rFonts w:ascii="仿宋" w:hAnsi="仿宋" w:eastAsia="仿宋" w:cs="仿宋"/>
          <w:sz w:val="24"/>
        </w:rPr>
      </w:pPr>
      <w:r>
        <w:rPr>
          <w:rFonts w:hint="eastAsia" w:ascii="仿宋" w:hAnsi="仿宋" w:eastAsia="仿宋" w:cs="仿宋"/>
          <w:sz w:val="24"/>
        </w:rPr>
        <w:t>我公司承诺在参加本次投标前三年内，无以下行为：</w:t>
      </w:r>
    </w:p>
    <w:p>
      <w:pPr>
        <w:widowControl/>
        <w:spacing w:line="460" w:lineRule="exact"/>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rPr>
        <w:tab/>
      </w:r>
      <w:r>
        <w:rPr>
          <w:rFonts w:hint="eastAsia" w:ascii="仿宋" w:hAnsi="仿宋" w:eastAsia="仿宋" w:cs="仿宋"/>
          <w:sz w:val="24"/>
        </w:rPr>
        <w:t>重大违法行为；</w:t>
      </w:r>
    </w:p>
    <w:p>
      <w:pPr>
        <w:widowControl/>
        <w:spacing w:line="460" w:lineRule="exact"/>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商业贿赂行为；</w:t>
      </w:r>
    </w:p>
    <w:p>
      <w:pPr>
        <w:widowControl/>
        <w:spacing w:line="460" w:lineRule="exact"/>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政府采购法《第七十七条》，列入不良行为记录名单的各种行为；</w:t>
      </w: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 xml:space="preserve">如有上述行为，我公司及项目参与人员自愿放弃本次项目的投标、报价资格，若为预中标、成交人，也自愿放弃中标、成交资格。 </w:t>
      </w:r>
    </w:p>
    <w:p>
      <w:pPr>
        <w:widowControl/>
        <w:spacing w:line="460" w:lineRule="exact"/>
        <w:jc w:val="left"/>
        <w:rPr>
          <w:rFonts w:ascii="仿宋" w:hAnsi="仿宋" w:eastAsia="仿宋" w:cs="仿宋"/>
          <w:sz w:val="24"/>
        </w:rPr>
      </w:pPr>
      <w:r>
        <w:rPr>
          <w:rFonts w:hint="eastAsia" w:ascii="仿宋" w:hAnsi="仿宋" w:eastAsia="仿宋" w:cs="仿宋"/>
          <w:sz w:val="24"/>
        </w:rPr>
        <w:t>公司法人代表人签字：</w:t>
      </w:r>
    </w:p>
    <w:p>
      <w:pPr>
        <w:widowControl/>
        <w:spacing w:line="460" w:lineRule="exact"/>
        <w:jc w:val="left"/>
        <w:rPr>
          <w:rFonts w:ascii="仿宋" w:hAnsi="仿宋" w:eastAsia="仿宋" w:cs="仿宋"/>
          <w:sz w:val="24"/>
        </w:rPr>
      </w:pPr>
      <w:r>
        <w:rPr>
          <w:rFonts w:hint="eastAsia" w:ascii="仿宋" w:hAnsi="仿宋" w:eastAsia="仿宋" w:cs="仿宋"/>
          <w:sz w:val="24"/>
        </w:rPr>
        <w:t>公司授权委托人签字：</w:t>
      </w:r>
    </w:p>
    <w:p>
      <w:pPr>
        <w:widowControl/>
        <w:spacing w:line="460" w:lineRule="exact"/>
        <w:ind w:firstLine="897"/>
        <w:jc w:val="left"/>
        <w:rPr>
          <w:rFonts w:ascii="仿宋" w:hAnsi="仿宋" w:eastAsia="仿宋" w:cs="仿宋"/>
          <w:sz w:val="24"/>
        </w:rPr>
      </w:pPr>
      <w:r>
        <w:rPr>
          <w:rFonts w:hint="eastAsia" w:ascii="仿宋" w:hAnsi="仿宋" w:eastAsia="仿宋" w:cs="仿宋"/>
          <w:sz w:val="24"/>
        </w:rPr>
        <w:t xml:space="preserve">                                                     日期：</w:t>
      </w:r>
    </w:p>
    <w:p>
      <w:pPr>
        <w:widowControl/>
        <w:spacing w:line="460" w:lineRule="exact"/>
        <w:jc w:val="center"/>
        <w:outlineLvl w:val="2"/>
        <w:rPr>
          <w:rFonts w:ascii="仿宋" w:hAnsi="仿宋" w:eastAsia="仿宋" w:cs="仿宋"/>
          <w:b/>
          <w:sz w:val="30"/>
        </w:rPr>
      </w:pPr>
      <w:r>
        <w:rPr>
          <w:rFonts w:hint="eastAsia" w:ascii="仿宋" w:hAnsi="仿宋" w:eastAsia="仿宋" w:cs="仿宋"/>
          <w:b/>
          <w:sz w:val="30"/>
        </w:rPr>
        <w:br w:type="page"/>
      </w:r>
      <w:r>
        <w:rPr>
          <w:rFonts w:hint="eastAsia" w:ascii="仿宋" w:hAnsi="仿宋" w:eastAsia="仿宋" w:cs="仿宋"/>
          <w:b/>
          <w:sz w:val="30"/>
        </w:rPr>
        <w:t>（十</w:t>
      </w:r>
      <w:r>
        <w:rPr>
          <w:rFonts w:hint="eastAsia" w:ascii="仿宋" w:hAnsi="仿宋" w:eastAsia="仿宋" w:cs="仿宋"/>
          <w:b/>
          <w:sz w:val="30"/>
          <w:lang w:val="en-US" w:eastAsia="zh-CN"/>
        </w:rPr>
        <w:t>六</w:t>
      </w:r>
      <w:r>
        <w:rPr>
          <w:rFonts w:hint="eastAsia" w:ascii="仿宋" w:hAnsi="仿宋" w:eastAsia="仿宋" w:cs="仿宋"/>
          <w:b/>
          <w:sz w:val="30"/>
        </w:rPr>
        <w:t>）企业类型声明函（服务）</w:t>
      </w:r>
    </w:p>
    <w:p>
      <w:pPr>
        <w:pStyle w:val="19"/>
        <w:rPr>
          <w:rFonts w:ascii="仿宋" w:hAnsi="仿宋" w:eastAsia="仿宋" w:cs="仿宋"/>
        </w:rPr>
      </w:pPr>
    </w:p>
    <w:p>
      <w:pPr>
        <w:widowControl/>
        <w:spacing w:line="460" w:lineRule="exact"/>
        <w:ind w:firstLine="720" w:firstLineChars="3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60" w:lineRule="exact"/>
        <w:jc w:val="left"/>
        <w:rPr>
          <w:rFonts w:ascii="仿宋" w:hAnsi="仿宋" w:eastAsia="仿宋" w:cs="仿宋"/>
          <w:sz w:val="24"/>
        </w:rPr>
      </w:pPr>
      <w:r>
        <w:rPr>
          <w:rFonts w:hint="eastAsia" w:ascii="仿宋" w:hAnsi="仿宋" w:eastAsia="仿宋" w:cs="仿宋"/>
          <w:sz w:val="24"/>
        </w:rPr>
        <w:t>1.（标的名称），属于（采购文件中明确的所属行业）；承建（承接）企业为（企业名称），从业人员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cs="仿宋"/>
          <w:sz w:val="24"/>
        </w:rPr>
      </w:pPr>
      <w:r>
        <w:rPr>
          <w:rFonts w:hint="eastAsia" w:ascii="仿宋" w:hAnsi="仿宋" w:eastAsia="仿宋" w:cs="仿宋"/>
          <w:sz w:val="24"/>
        </w:rPr>
        <w:t>2. （标的名称），属于（采购文件中明确的所属行业）；承建（承接）企业为（企业名称），从业人员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cs="仿宋"/>
          <w:sz w:val="24"/>
        </w:rPr>
      </w:pPr>
      <w:r>
        <w:rPr>
          <w:rFonts w:hint="eastAsia" w:ascii="仿宋" w:hAnsi="仿宋" w:eastAsia="仿宋" w:cs="仿宋"/>
          <w:sz w:val="24"/>
        </w:rPr>
        <w:t>……</w:t>
      </w:r>
    </w:p>
    <w:p>
      <w:pPr>
        <w:widowControl/>
        <w:spacing w:line="460" w:lineRule="exact"/>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460" w:lineRule="exact"/>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460" w:lineRule="exact"/>
        <w:jc w:val="left"/>
        <w:rPr>
          <w:rFonts w:ascii="仿宋" w:hAnsi="仿宋" w:eastAsia="仿宋" w:cs="仿宋"/>
          <w:sz w:val="24"/>
        </w:rPr>
      </w:pPr>
      <w:r>
        <w:rPr>
          <w:rFonts w:hint="eastAsia" w:ascii="仿宋" w:hAnsi="仿宋" w:eastAsia="仿宋" w:cs="仿宋"/>
          <w:sz w:val="24"/>
        </w:rPr>
        <w:t xml:space="preserve">                    </w:t>
      </w:r>
    </w:p>
    <w:p>
      <w:pPr>
        <w:widowControl/>
        <w:spacing w:line="460" w:lineRule="exact"/>
        <w:jc w:val="left"/>
        <w:rPr>
          <w:rFonts w:ascii="仿宋" w:hAnsi="仿宋" w:eastAsia="仿宋" w:cs="仿宋"/>
          <w:sz w:val="24"/>
        </w:rPr>
      </w:pPr>
      <w:r>
        <w:rPr>
          <w:rFonts w:hint="eastAsia" w:ascii="仿宋" w:hAnsi="仿宋" w:eastAsia="仿宋" w:cs="仿宋"/>
          <w:sz w:val="24"/>
        </w:rPr>
        <w:t xml:space="preserve">                       企业名称（盖章）：</w:t>
      </w:r>
    </w:p>
    <w:p>
      <w:pPr>
        <w:widowControl/>
        <w:spacing w:line="460" w:lineRule="exact"/>
        <w:jc w:val="left"/>
        <w:rPr>
          <w:rFonts w:ascii="仿宋" w:hAnsi="仿宋" w:eastAsia="仿宋" w:cs="仿宋"/>
          <w:sz w:val="24"/>
        </w:rPr>
      </w:pPr>
      <w:r>
        <w:rPr>
          <w:rFonts w:hint="eastAsia" w:ascii="仿宋" w:hAnsi="仿宋" w:eastAsia="仿宋" w:cs="仿宋"/>
          <w:sz w:val="24"/>
        </w:rPr>
        <w:t xml:space="preserve">                      日期：</w:t>
      </w:r>
    </w:p>
    <w:p>
      <w:pPr>
        <w:pStyle w:val="19"/>
        <w:rPr>
          <w:rFonts w:ascii="仿宋" w:hAnsi="仿宋" w:eastAsia="仿宋" w:cs="仿宋"/>
        </w:rPr>
      </w:pPr>
    </w:p>
    <w:p>
      <w:pPr>
        <w:widowControl/>
        <w:spacing w:line="460" w:lineRule="exact"/>
        <w:jc w:val="center"/>
        <w:rPr>
          <w:rFonts w:ascii="仿宋" w:hAnsi="仿宋" w:eastAsia="仿宋" w:cs="仿宋"/>
          <w:b/>
          <w:sz w:val="30"/>
          <w:szCs w:val="22"/>
        </w:rPr>
      </w:pPr>
      <w:r>
        <w:rPr>
          <w:rFonts w:hint="eastAsia" w:ascii="仿宋" w:hAnsi="仿宋" w:eastAsia="仿宋" w:cs="仿宋"/>
          <w:b/>
          <w:sz w:val="30"/>
          <w:szCs w:val="22"/>
        </w:rPr>
        <w:t>　</w:t>
      </w:r>
      <w:bookmarkStart w:id="50" w:name="OLE_LINK13"/>
      <w:bookmarkStart w:id="51" w:name="_Toc495931445"/>
      <w:bookmarkStart w:id="52" w:name="OLE_LINK14"/>
      <w:bookmarkStart w:id="53" w:name="_Toc20683"/>
    </w:p>
    <w:p>
      <w:pPr>
        <w:widowControl/>
        <w:jc w:val="left"/>
        <w:rPr>
          <w:rFonts w:ascii="仿宋" w:hAnsi="仿宋" w:eastAsia="仿宋" w:cs="仿宋"/>
          <w:b/>
          <w:sz w:val="30"/>
          <w:szCs w:val="22"/>
        </w:rPr>
      </w:pPr>
      <w:r>
        <w:rPr>
          <w:rFonts w:ascii="仿宋" w:hAnsi="仿宋" w:eastAsia="仿宋" w:cs="仿宋"/>
          <w:b/>
          <w:sz w:val="30"/>
          <w:szCs w:val="22"/>
        </w:rPr>
        <w:br w:type="page"/>
      </w:r>
    </w:p>
    <w:p>
      <w:pPr>
        <w:widowControl/>
        <w:spacing w:line="460" w:lineRule="exact"/>
        <w:jc w:val="center"/>
        <w:outlineLvl w:val="2"/>
        <w:rPr>
          <w:rFonts w:ascii="仿宋" w:hAnsi="仿宋" w:eastAsia="仿宋" w:cs="仿宋"/>
          <w:b/>
          <w:sz w:val="30"/>
        </w:rPr>
      </w:pPr>
      <w:r>
        <w:rPr>
          <w:rFonts w:hint="eastAsia" w:ascii="仿宋" w:hAnsi="仿宋" w:eastAsia="仿宋" w:cs="仿宋"/>
          <w:b/>
          <w:sz w:val="30"/>
        </w:rPr>
        <w:t>（十</w:t>
      </w:r>
      <w:r>
        <w:rPr>
          <w:rFonts w:hint="eastAsia" w:ascii="仿宋" w:hAnsi="仿宋" w:eastAsia="仿宋" w:cs="仿宋"/>
          <w:b/>
          <w:sz w:val="30"/>
          <w:lang w:val="en-US" w:eastAsia="zh-CN"/>
        </w:rPr>
        <w:t>七</w:t>
      </w:r>
      <w:r>
        <w:rPr>
          <w:rFonts w:hint="eastAsia" w:ascii="仿宋" w:hAnsi="仿宋" w:eastAsia="仿宋" w:cs="仿宋"/>
          <w:b/>
          <w:sz w:val="30"/>
        </w:rPr>
        <w:t>）、</w:t>
      </w:r>
      <w:bookmarkEnd w:id="50"/>
      <w:bookmarkEnd w:id="51"/>
      <w:bookmarkEnd w:id="52"/>
      <w:bookmarkEnd w:id="53"/>
      <w:r>
        <w:rPr>
          <w:rFonts w:hint="eastAsia" w:ascii="仿宋" w:hAnsi="仿宋" w:eastAsia="仿宋" w:cs="仿宋"/>
          <w:b/>
          <w:sz w:val="30"/>
        </w:rPr>
        <w:t>其它资料</w:t>
      </w:r>
    </w:p>
    <w:p>
      <w:pPr>
        <w:spacing w:line="360" w:lineRule="exact"/>
        <w:rPr>
          <w:rFonts w:ascii="仿宋" w:hAnsi="仿宋" w:eastAsia="仿宋" w:cs="仿宋"/>
          <w:sz w:val="36"/>
        </w:rPr>
      </w:pPr>
    </w:p>
    <w:p>
      <w:pPr>
        <w:pStyle w:val="42"/>
        <w:ind w:firstLine="0" w:firstLineChars="0"/>
      </w:pPr>
    </w:p>
    <w:p>
      <w:pPr>
        <w:rPr>
          <w:rFonts w:ascii="仿宋" w:hAnsi="仿宋" w:eastAsia="仿宋" w:cs="仿宋"/>
          <w:kern w:val="0"/>
          <w:sz w:val="24"/>
        </w:rPr>
      </w:pPr>
      <w:r>
        <w:rPr>
          <w:rFonts w:hint="eastAsia" w:ascii="仿宋" w:hAnsi="仿宋" w:eastAsia="仿宋" w:cs="仿宋"/>
          <w:kern w:val="0"/>
          <w:sz w:val="24"/>
        </w:rPr>
        <w:t>1、保证金汇款凭证</w:t>
      </w:r>
    </w:p>
    <w:p>
      <w:pPr>
        <w:rPr>
          <w:rFonts w:ascii="仿宋" w:hAnsi="仿宋" w:eastAsia="仿宋" w:cs="仿宋"/>
          <w:kern w:val="0"/>
          <w:sz w:val="24"/>
        </w:rPr>
      </w:pPr>
      <w:r>
        <w:rPr>
          <w:rFonts w:hint="eastAsia" w:ascii="仿宋" w:hAnsi="仿宋" w:eastAsia="仿宋" w:cs="仿宋"/>
          <w:kern w:val="0"/>
          <w:sz w:val="24"/>
        </w:rPr>
        <w:t>2、供应商认为应提交的其他材料，可在此附件中提交。</w:t>
      </w:r>
    </w:p>
    <w:p>
      <w:pPr>
        <w:widowControl/>
        <w:jc w:val="left"/>
        <w:rPr>
          <w:rFonts w:ascii="仿宋" w:hAnsi="仿宋" w:eastAsia="仿宋" w:cs="仿宋"/>
          <w:b/>
          <w:sz w:val="28"/>
          <w:szCs w:val="28"/>
        </w:rPr>
      </w:pPr>
    </w:p>
    <w:p>
      <w:pPr>
        <w:widowControl/>
        <w:jc w:val="left"/>
        <w:rPr>
          <w:rFonts w:ascii="仿宋" w:hAnsi="仿宋" w:eastAsia="仿宋" w:cs="仿宋"/>
          <w:b/>
          <w:sz w:val="30"/>
        </w:rPr>
      </w:pPr>
      <w:r>
        <w:rPr>
          <w:rFonts w:ascii="仿宋" w:hAnsi="仿宋" w:eastAsia="仿宋" w:cs="仿宋"/>
          <w:b/>
          <w:sz w:val="30"/>
        </w:rPr>
        <w:br w:type="page"/>
      </w:r>
    </w:p>
    <w:p>
      <w:pPr>
        <w:spacing w:line="460" w:lineRule="exact"/>
        <w:rPr>
          <w:rFonts w:ascii="仿宋" w:hAnsi="仿宋" w:eastAsia="仿宋" w:cs="仿宋"/>
          <w:b/>
          <w:sz w:val="30"/>
        </w:rPr>
      </w:pPr>
      <w:r>
        <w:rPr>
          <w:rFonts w:hint="eastAsia" w:ascii="仿宋" w:hAnsi="仿宋" w:eastAsia="仿宋" w:cs="仿宋"/>
          <w:b/>
          <w:sz w:val="30"/>
        </w:rPr>
        <w:t>附件一：</w:t>
      </w:r>
    </w:p>
    <w:p>
      <w:pPr>
        <w:spacing w:line="460" w:lineRule="exact"/>
        <w:jc w:val="center"/>
        <w:rPr>
          <w:rFonts w:ascii="仿宋" w:hAnsi="仿宋" w:eastAsia="仿宋" w:cs="仿宋"/>
          <w:b/>
          <w:sz w:val="30"/>
        </w:rPr>
      </w:pPr>
      <w:r>
        <w:rPr>
          <w:rFonts w:hint="eastAsia" w:ascii="仿宋" w:hAnsi="仿宋" w:eastAsia="仿宋" w:cs="仿宋"/>
          <w:b/>
          <w:sz w:val="30"/>
        </w:rPr>
        <w:t>质疑函</w:t>
      </w:r>
    </w:p>
    <w:p>
      <w:pPr>
        <w:spacing w:line="460" w:lineRule="exact"/>
        <w:jc w:val="center"/>
        <w:rPr>
          <w:rFonts w:ascii="仿宋" w:hAnsi="仿宋" w:eastAsia="仿宋" w:cs="仿宋"/>
          <w:b/>
          <w:bCs/>
          <w:sz w:val="36"/>
          <w:szCs w:val="36"/>
        </w:rPr>
      </w:pPr>
    </w:p>
    <w:p>
      <w:pPr>
        <w:spacing w:line="460" w:lineRule="exact"/>
        <w:jc w:val="center"/>
        <w:rPr>
          <w:rFonts w:ascii="仿宋" w:hAnsi="仿宋" w:eastAsia="仿宋" w:cs="仿宋"/>
          <w:b/>
          <w:sz w:val="30"/>
        </w:rPr>
      </w:pPr>
      <w:r>
        <w:rPr>
          <w:rFonts w:hint="eastAsia" w:ascii="仿宋" w:hAnsi="仿宋" w:eastAsia="仿宋" w:cs="仿宋"/>
          <w:b/>
          <w:sz w:val="30"/>
        </w:rPr>
        <w:t>质   疑  函</w:t>
      </w:r>
    </w:p>
    <w:p>
      <w:pPr>
        <w:snapToGrid w:val="0"/>
        <w:spacing w:line="460" w:lineRule="exact"/>
        <w:rPr>
          <w:rFonts w:ascii="仿宋" w:hAnsi="仿宋" w:eastAsia="仿宋" w:cs="仿宋"/>
          <w:sz w:val="28"/>
          <w:szCs w:val="28"/>
        </w:rPr>
      </w:pPr>
    </w:p>
    <w:p>
      <w:pPr>
        <w:snapToGrid w:val="0"/>
        <w:spacing w:line="460" w:lineRule="exact"/>
        <w:ind w:firstLine="240" w:firstLineChars="100"/>
        <w:rPr>
          <w:rFonts w:ascii="仿宋" w:hAnsi="仿宋" w:eastAsia="仿宋" w:cs="仿宋"/>
          <w:sz w:val="24"/>
        </w:rPr>
      </w:pPr>
      <w:r>
        <w:rPr>
          <w:rFonts w:hint="eastAsia" w:ascii="仿宋" w:hAnsi="仿宋" w:eastAsia="仿宋" w:cs="仿宋"/>
          <w:sz w:val="24"/>
        </w:rPr>
        <w:t>：</w:t>
      </w:r>
    </w:p>
    <w:p>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依据政府采购相关法规，我公司对</w:t>
      </w:r>
      <w:r>
        <w:rPr>
          <w:rFonts w:hint="eastAsia" w:ascii="仿宋" w:hAnsi="仿宋" w:eastAsia="仿宋" w:cs="仿宋"/>
          <w:sz w:val="24"/>
          <w:u w:val="single"/>
        </w:rPr>
        <w:t xml:space="preserve">           　　　　　　　</w:t>
      </w:r>
      <w:r>
        <w:rPr>
          <w:rFonts w:hint="eastAsia" w:ascii="仿宋" w:hAnsi="仿宋" w:eastAsia="仿宋" w:cs="仿宋"/>
          <w:sz w:val="24"/>
        </w:rPr>
        <w:t>项目的（项目编号：         ）招标活动存在疑问，特提出质疑（详见下表）。</w:t>
      </w:r>
    </w:p>
    <w:p>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cs="仿宋"/>
          <w:sz w:val="32"/>
          <w:szCs w:val="32"/>
        </w:rPr>
      </w:pPr>
    </w:p>
    <w:p>
      <w:pPr>
        <w:spacing w:line="460" w:lineRule="exact"/>
        <w:rPr>
          <w:rFonts w:ascii="仿宋" w:hAnsi="仿宋" w:eastAsia="仿宋" w:cs="仿宋"/>
          <w:sz w:val="24"/>
        </w:rPr>
      </w:pPr>
      <w:r>
        <w:rPr>
          <w:rFonts w:hint="eastAsia" w:ascii="仿宋" w:hAnsi="仿宋" w:eastAsia="仿宋" w:cs="仿宋"/>
          <w:sz w:val="24"/>
        </w:rPr>
        <w:t>法定代表人（签字并盖名章）：</w:t>
      </w:r>
    </w:p>
    <w:p>
      <w:pPr>
        <w:spacing w:line="460" w:lineRule="exact"/>
        <w:rPr>
          <w:rFonts w:ascii="仿宋" w:hAnsi="仿宋" w:eastAsia="仿宋" w:cs="仿宋"/>
          <w:sz w:val="24"/>
        </w:rPr>
      </w:pPr>
      <w:r>
        <w:rPr>
          <w:rFonts w:hint="eastAsia" w:ascii="仿宋" w:hAnsi="仿宋" w:eastAsia="仿宋" w:cs="仿宋"/>
          <w:sz w:val="24"/>
        </w:rPr>
        <w:t>身份证号码：</w:t>
      </w:r>
    </w:p>
    <w:p>
      <w:pPr>
        <w:snapToGrid w:val="0"/>
        <w:spacing w:line="460" w:lineRule="exact"/>
        <w:rPr>
          <w:rFonts w:ascii="仿宋" w:hAnsi="仿宋" w:eastAsia="仿宋" w:cs="仿宋"/>
          <w:sz w:val="24"/>
        </w:rPr>
      </w:pPr>
      <w:r>
        <w:rPr>
          <w:rFonts w:hint="eastAsia" w:ascii="仿宋" w:hAnsi="仿宋" w:eastAsia="仿宋" w:cs="仿宋"/>
          <w:sz w:val="24"/>
        </w:rPr>
        <w:t>固话：     　　　 传真： 　　　    手机：　</w:t>
      </w:r>
    </w:p>
    <w:p>
      <w:pPr>
        <w:snapToGrid w:val="0"/>
        <w:spacing w:line="460" w:lineRule="exact"/>
        <w:rPr>
          <w:rFonts w:ascii="仿宋" w:hAnsi="仿宋" w:eastAsia="仿宋" w:cs="仿宋"/>
          <w:sz w:val="32"/>
          <w:szCs w:val="32"/>
        </w:rPr>
      </w:pPr>
    </w:p>
    <w:p>
      <w:pPr>
        <w:snapToGrid w:val="0"/>
        <w:spacing w:line="460" w:lineRule="exact"/>
        <w:rPr>
          <w:rFonts w:ascii="仿宋" w:hAnsi="仿宋" w:eastAsia="仿宋" w:cs="仿宋"/>
          <w:sz w:val="24"/>
        </w:rPr>
      </w:pPr>
      <w:r>
        <w:rPr>
          <w:rFonts w:hint="eastAsia" w:ascii="仿宋" w:hAnsi="仿宋" w:eastAsia="仿宋" w:cs="仿宋"/>
          <w:sz w:val="24"/>
        </w:rPr>
        <w:t>本项目授权委托人（签字并盖名章）：</w:t>
      </w:r>
    </w:p>
    <w:p>
      <w:pPr>
        <w:spacing w:line="460" w:lineRule="exact"/>
        <w:rPr>
          <w:rFonts w:ascii="仿宋" w:hAnsi="仿宋" w:eastAsia="仿宋" w:cs="仿宋"/>
          <w:sz w:val="24"/>
        </w:rPr>
      </w:pPr>
      <w:r>
        <w:rPr>
          <w:rFonts w:hint="eastAsia" w:ascii="仿宋" w:hAnsi="仿宋" w:eastAsia="仿宋" w:cs="仿宋"/>
          <w:sz w:val="24"/>
        </w:rPr>
        <w:t>身份证号码：</w:t>
      </w:r>
    </w:p>
    <w:p>
      <w:pPr>
        <w:snapToGrid w:val="0"/>
        <w:spacing w:line="460" w:lineRule="exact"/>
        <w:rPr>
          <w:rFonts w:ascii="仿宋" w:hAnsi="仿宋" w:eastAsia="仿宋" w:cs="仿宋"/>
          <w:sz w:val="24"/>
        </w:rPr>
      </w:pPr>
      <w:r>
        <w:rPr>
          <w:rFonts w:hint="eastAsia" w:ascii="仿宋" w:hAnsi="仿宋" w:eastAsia="仿宋" w:cs="仿宋"/>
          <w:sz w:val="24"/>
        </w:rPr>
        <w:t>固话：   　　     传真：   　　　　 手机：</w:t>
      </w:r>
    </w:p>
    <w:p>
      <w:pPr>
        <w:spacing w:line="460" w:lineRule="exact"/>
        <w:rPr>
          <w:rFonts w:ascii="仿宋" w:hAnsi="仿宋" w:eastAsia="仿宋" w:cs="仿宋"/>
          <w:sz w:val="24"/>
        </w:rPr>
      </w:pPr>
      <w:r>
        <w:rPr>
          <w:rFonts w:hint="eastAsia" w:ascii="仿宋" w:hAnsi="仿宋" w:eastAsia="仿宋" w:cs="仿宋"/>
          <w:sz w:val="24"/>
        </w:rPr>
        <w:t>公司地址：              邮编：</w:t>
      </w:r>
    </w:p>
    <w:p>
      <w:pPr>
        <w:snapToGrid w:val="0"/>
        <w:spacing w:line="460" w:lineRule="exact"/>
        <w:rPr>
          <w:rFonts w:ascii="仿宋" w:hAnsi="仿宋" w:eastAsia="仿宋" w:cs="仿宋"/>
          <w:sz w:val="24"/>
        </w:rPr>
      </w:pPr>
      <w:r>
        <w:rPr>
          <w:rFonts w:hint="eastAsia" w:ascii="仿宋" w:hAnsi="仿宋" w:eastAsia="仿宋" w:cs="仿宋"/>
          <w:sz w:val="24"/>
        </w:rPr>
        <w:t>（如法人为质疑人则不需要填此项）</w:t>
      </w:r>
    </w:p>
    <w:p>
      <w:pPr>
        <w:snapToGrid w:val="0"/>
        <w:spacing w:line="460" w:lineRule="exact"/>
        <w:rPr>
          <w:rFonts w:ascii="仿宋" w:hAnsi="仿宋" w:eastAsia="仿宋" w:cs="仿宋"/>
          <w:sz w:val="24"/>
        </w:rPr>
      </w:pPr>
    </w:p>
    <w:p>
      <w:pPr>
        <w:spacing w:line="460" w:lineRule="exact"/>
        <w:ind w:firstLine="3000" w:firstLineChars="1250"/>
        <w:rPr>
          <w:rFonts w:ascii="仿宋" w:hAnsi="仿宋" w:eastAsia="仿宋" w:cs="仿宋"/>
          <w:sz w:val="24"/>
        </w:rPr>
      </w:pPr>
      <w:r>
        <w:rPr>
          <w:rFonts w:hint="eastAsia" w:ascii="仿宋" w:hAnsi="仿宋" w:eastAsia="仿宋" w:cs="仿宋"/>
          <w:sz w:val="24"/>
        </w:rPr>
        <w:t>质疑人（公章）：</w:t>
      </w:r>
    </w:p>
    <w:p>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ind w:firstLine="3060" w:firstLineChars="850"/>
        <w:rPr>
          <w:rFonts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质   疑  内  容</w:t>
      </w:r>
    </w:p>
    <w:p>
      <w:pPr>
        <w:spacing w:line="200" w:lineRule="exact"/>
        <w:rPr>
          <w:rFonts w:ascii="仿宋" w:hAnsi="仿宋" w:eastAsia="仿宋" w:cs="仿宋"/>
          <w:sz w:val="24"/>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rPr>
            </w:pPr>
            <w:r>
              <w:rPr>
                <w:rFonts w:hint="eastAsia" w:ascii="仿宋" w:hAnsi="仿宋" w:eastAsia="仿宋" w:cs="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cs="仿宋"/>
                <w:sz w:val="24"/>
              </w:rPr>
            </w:pPr>
            <w:r>
              <w:rPr>
                <w:rFonts w:hint="eastAsia" w:ascii="仿宋" w:hAnsi="仿宋" w:eastAsia="仿宋" w:cs="仿宋"/>
                <w:sz w:val="24"/>
              </w:rPr>
              <w:t>一、质疑事项1：</w:t>
            </w:r>
          </w:p>
          <w:p>
            <w:pPr>
              <w:snapToGrid w:val="0"/>
              <w:spacing w:line="300" w:lineRule="auto"/>
              <w:ind w:firstLine="480" w:firstLineChars="200"/>
              <w:jc w:val="left"/>
              <w:rPr>
                <w:rFonts w:ascii="仿宋" w:hAnsi="仿宋" w:eastAsia="仿宋" w:cs="仿宋"/>
                <w:sz w:val="24"/>
              </w:rPr>
            </w:pPr>
            <w:r>
              <w:rPr>
                <w:rFonts w:hint="eastAsia" w:ascii="仿宋" w:hAnsi="仿宋" w:eastAsia="仿宋" w:cs="仿宋"/>
                <w:sz w:val="24"/>
              </w:rPr>
              <w:t>主要内容：</w:t>
            </w:r>
          </w:p>
          <w:p>
            <w:pPr>
              <w:snapToGrid w:val="0"/>
              <w:spacing w:line="300" w:lineRule="auto"/>
              <w:ind w:firstLine="480" w:firstLineChars="200"/>
              <w:jc w:val="left"/>
              <w:rPr>
                <w:rFonts w:ascii="仿宋" w:hAnsi="仿宋" w:eastAsia="仿宋" w:cs="仿宋"/>
                <w:sz w:val="24"/>
              </w:rPr>
            </w:pPr>
            <w:r>
              <w:rPr>
                <w:rFonts w:hint="eastAsia" w:ascii="仿宋" w:hAnsi="仿宋" w:eastAsia="仿宋" w:cs="仿宋"/>
                <w:sz w:val="24"/>
              </w:rPr>
              <w:t>事实依据：</w:t>
            </w:r>
          </w:p>
          <w:p>
            <w:pPr>
              <w:snapToGrid w:val="0"/>
              <w:spacing w:line="300" w:lineRule="auto"/>
              <w:ind w:firstLine="480" w:firstLineChars="200"/>
              <w:jc w:val="left"/>
              <w:rPr>
                <w:rFonts w:ascii="仿宋" w:hAnsi="仿宋" w:eastAsia="仿宋" w:cs="仿宋"/>
                <w:sz w:val="24"/>
              </w:rPr>
            </w:pPr>
            <w:r>
              <w:rPr>
                <w:rFonts w:hint="eastAsia" w:ascii="仿宋" w:hAnsi="仿宋" w:eastAsia="仿宋" w:cs="仿宋"/>
                <w:sz w:val="24"/>
              </w:rPr>
              <w:t>适应法规条款：</w:t>
            </w:r>
          </w:p>
          <w:p>
            <w:pPr>
              <w:snapToGrid w:val="0"/>
              <w:spacing w:line="300" w:lineRule="auto"/>
              <w:ind w:firstLine="518" w:firstLineChars="216"/>
              <w:jc w:val="left"/>
              <w:rPr>
                <w:rFonts w:ascii="仿宋" w:hAnsi="仿宋" w:eastAsia="仿宋" w:cs="仿宋"/>
                <w:sz w:val="24"/>
              </w:rPr>
            </w:pPr>
            <w:r>
              <w:rPr>
                <w:rFonts w:hint="eastAsia" w:ascii="仿宋" w:hAnsi="仿宋" w:eastAsia="仿宋" w:cs="仿宋"/>
                <w:sz w:val="24"/>
              </w:rPr>
              <w:t>佐证材料：</w:t>
            </w:r>
          </w:p>
          <w:p>
            <w:pPr>
              <w:snapToGrid w:val="0"/>
              <w:spacing w:line="300" w:lineRule="auto"/>
              <w:ind w:firstLine="518" w:firstLineChars="216"/>
              <w:jc w:val="left"/>
              <w:rPr>
                <w:rFonts w:ascii="仿宋" w:hAnsi="仿宋" w:eastAsia="仿宋" w:cs="仿宋"/>
                <w:sz w:val="24"/>
              </w:rPr>
            </w:pPr>
          </w:p>
          <w:p>
            <w:pPr>
              <w:snapToGrid w:val="0"/>
              <w:spacing w:line="300" w:lineRule="auto"/>
              <w:jc w:val="left"/>
              <w:rPr>
                <w:rFonts w:ascii="仿宋" w:hAnsi="仿宋" w:eastAsia="仿宋" w:cs="仿宋"/>
                <w:sz w:val="24"/>
              </w:rPr>
            </w:pPr>
            <w:r>
              <w:rPr>
                <w:rFonts w:hint="eastAsia" w:ascii="仿宋" w:hAnsi="仿宋" w:eastAsia="仿宋" w:cs="仿宋"/>
                <w:sz w:val="24"/>
              </w:rPr>
              <w:t>二、质疑事项2：</w:t>
            </w:r>
          </w:p>
          <w:p>
            <w:pPr>
              <w:snapToGrid w:val="0"/>
              <w:spacing w:line="300" w:lineRule="auto"/>
              <w:ind w:firstLine="480" w:firstLineChars="200"/>
              <w:jc w:val="left"/>
              <w:rPr>
                <w:rFonts w:ascii="仿宋" w:hAnsi="仿宋" w:eastAsia="仿宋" w:cs="仿宋"/>
                <w:sz w:val="24"/>
              </w:rPr>
            </w:pPr>
            <w:r>
              <w:rPr>
                <w:rFonts w:hint="eastAsia" w:ascii="仿宋" w:hAnsi="仿宋" w:eastAsia="仿宋" w:cs="仿宋"/>
                <w:sz w:val="24"/>
              </w:rPr>
              <w:t>主要内容：</w:t>
            </w:r>
          </w:p>
          <w:p>
            <w:pPr>
              <w:snapToGrid w:val="0"/>
              <w:spacing w:line="300" w:lineRule="auto"/>
              <w:ind w:firstLine="518" w:firstLineChars="216"/>
              <w:jc w:val="left"/>
              <w:rPr>
                <w:rFonts w:ascii="仿宋" w:hAnsi="仿宋" w:eastAsia="仿宋" w:cs="仿宋"/>
                <w:sz w:val="24"/>
              </w:rPr>
            </w:pPr>
            <w:r>
              <w:rPr>
                <w:rFonts w:hint="eastAsia" w:ascii="仿宋" w:hAnsi="仿宋" w:eastAsia="仿宋" w:cs="仿宋"/>
                <w:sz w:val="24"/>
              </w:rPr>
              <w:t>事实依据：</w:t>
            </w:r>
          </w:p>
          <w:p>
            <w:pPr>
              <w:snapToGrid w:val="0"/>
              <w:spacing w:line="300" w:lineRule="auto"/>
              <w:ind w:firstLine="480" w:firstLineChars="200"/>
              <w:jc w:val="left"/>
              <w:rPr>
                <w:rFonts w:ascii="仿宋" w:hAnsi="仿宋" w:eastAsia="仿宋" w:cs="仿宋"/>
                <w:sz w:val="24"/>
              </w:rPr>
            </w:pPr>
            <w:r>
              <w:rPr>
                <w:rFonts w:hint="eastAsia" w:ascii="仿宋" w:hAnsi="仿宋" w:eastAsia="仿宋" w:cs="仿宋"/>
                <w:sz w:val="24"/>
              </w:rPr>
              <w:t>适应法规条款：</w:t>
            </w:r>
          </w:p>
          <w:p>
            <w:pPr>
              <w:snapToGrid w:val="0"/>
              <w:spacing w:line="300" w:lineRule="auto"/>
              <w:ind w:firstLine="518" w:firstLineChars="216"/>
              <w:jc w:val="left"/>
              <w:rPr>
                <w:rFonts w:ascii="仿宋" w:hAnsi="仿宋" w:eastAsia="仿宋" w:cs="仿宋"/>
                <w:sz w:val="24"/>
              </w:rPr>
            </w:pPr>
            <w:r>
              <w:rPr>
                <w:rFonts w:hint="eastAsia" w:ascii="仿宋" w:hAnsi="仿宋" w:eastAsia="仿宋" w:cs="仿宋"/>
                <w:sz w:val="24"/>
              </w:rPr>
              <w:t>佐证材料：</w:t>
            </w:r>
          </w:p>
          <w:p>
            <w:pPr>
              <w:jc w:val="left"/>
              <w:rPr>
                <w:rFonts w:ascii="仿宋" w:hAnsi="仿宋" w:eastAsia="仿宋" w:cs="仿宋"/>
                <w:sz w:val="24"/>
              </w:rPr>
            </w:pPr>
            <w:r>
              <w:rPr>
                <w:rFonts w:hint="eastAsia" w:ascii="仿宋" w:hAnsi="仿宋" w:eastAsia="仿宋" w:cs="仿宋"/>
                <w:sz w:val="24"/>
              </w:rPr>
              <w:t>三、同上</w:t>
            </w:r>
          </w:p>
          <w:p>
            <w:pPr>
              <w:rPr>
                <w:rFonts w:ascii="仿宋" w:hAnsi="仿宋" w:eastAsia="仿宋" w:cs="仿宋"/>
                <w:sz w:val="24"/>
              </w:rPr>
            </w:pPr>
          </w:p>
        </w:tc>
      </w:tr>
    </w:tbl>
    <w:p>
      <w:pPr>
        <w:spacing w:line="360" w:lineRule="exact"/>
        <w:ind w:left="1240" w:hanging="1234" w:hangingChars="441"/>
        <w:rPr>
          <w:rFonts w:ascii="仿宋" w:hAnsi="仿宋" w:eastAsia="仿宋" w:cs="仿宋"/>
          <w:b/>
          <w:sz w:val="28"/>
          <w:szCs w:val="28"/>
        </w:rPr>
      </w:pPr>
      <w:r>
        <w:rPr>
          <w:rFonts w:hint="eastAsia" w:ascii="仿宋" w:hAnsi="仿宋" w:eastAsia="仿宋" w:cs="仿宋"/>
          <w:b/>
          <w:sz w:val="28"/>
          <w:szCs w:val="28"/>
        </w:rPr>
        <w:t>备注：</w:t>
      </w:r>
    </w:p>
    <w:p>
      <w:pPr>
        <w:spacing w:line="360" w:lineRule="exact"/>
        <w:ind w:firstLine="480" w:firstLineChars="200"/>
        <w:jc w:val="left"/>
        <w:rPr>
          <w:rFonts w:ascii="仿宋" w:hAnsi="仿宋" w:eastAsia="仿宋" w:cs="仿宋"/>
          <w:sz w:val="24"/>
        </w:rPr>
      </w:pPr>
      <w:r>
        <w:rPr>
          <w:rFonts w:hint="eastAsia" w:ascii="仿宋" w:hAnsi="仿宋" w:eastAsia="仿宋" w:cs="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cs="仿宋"/>
          <w:sz w:val="24"/>
        </w:rPr>
      </w:pPr>
      <w:r>
        <w:rPr>
          <w:rFonts w:hint="eastAsia" w:ascii="仿宋" w:hAnsi="仿宋" w:eastAsia="仿宋" w:cs="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cs="仿宋"/>
          <w:sz w:val="24"/>
        </w:rPr>
      </w:pPr>
      <w:r>
        <w:rPr>
          <w:rFonts w:hint="eastAsia" w:ascii="仿宋" w:hAnsi="仿宋" w:eastAsia="仿宋" w:cs="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4、与质疑事项有关的材料应与质疑函合并装订。</w:t>
      </w:r>
    </w:p>
    <w:p>
      <w:pPr>
        <w:tabs>
          <w:tab w:val="left" w:pos="3590"/>
        </w:tabs>
        <w:autoSpaceDE w:val="0"/>
        <w:autoSpaceDN w:val="0"/>
        <w:adjustRightInd w:val="0"/>
        <w:spacing w:line="560" w:lineRule="exact"/>
        <w:rPr>
          <w:rFonts w:ascii="仿宋" w:hAnsi="仿宋" w:eastAsia="仿宋" w:cs="仿宋"/>
        </w:rPr>
      </w:pPr>
    </w:p>
    <w:p>
      <w:pPr>
        <w:spacing w:line="360" w:lineRule="auto"/>
        <w:ind w:firstLine="560"/>
        <w:rPr>
          <w:rFonts w:ascii="仿宋" w:hAnsi="仿宋" w:eastAsia="仿宋" w:cs="仿宋"/>
        </w:rPr>
      </w:pPr>
    </w:p>
    <w:sectPr>
      <w:footerReference r:id="rId9" w:type="first"/>
      <w:headerReference r:id="rId7" w:type="default"/>
      <w:footerReference r:id="rId8" w:type="default"/>
      <w:pgSz w:w="11906" w:h="16838"/>
      <w:pgMar w:top="1134" w:right="1985" w:bottom="1134" w:left="113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Arial Narrow">
    <w:altName w:val="Arial"/>
    <w:panose1 w:val="020B0606020202030204"/>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00"/>
    <w:family w:val="roman"/>
    <w:pitch w:val="default"/>
    <w:sig w:usb0="00000000" w:usb1="00000000" w:usb2="00000010"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w:t>
    </w:r>
    <w:r>
      <w:rPr>
        <w:lang w:val="zh-CN"/>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29"/>
                          </w:pPr>
                          <w:r>
                            <w:fldChar w:fldCharType="begin"/>
                          </w:r>
                          <w:r>
                            <w:instrText xml:space="preserve"> PAGE  \* MERGEFORMAT </w:instrText>
                          </w:r>
                          <w:r>
                            <w:fldChar w:fldCharType="separate"/>
                          </w:r>
                          <w:r>
                            <w:t>23</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MvdZ8/gEAAA4EAAAOAAAAAAAAAAEAIAAAAB8BAABkcnMvZTJvRG9jLnht&#10;bFBLBQYAAAAABgAGAFkBAACP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94"/>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OUVMFvcBAAARBAAADgAAAAAAAAABACAAAAAeAQAAZHJzL2Uyb0RvYy54bWxQSwUGAAAA&#10;AAYABgBZAQAAhw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87"/>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0"/>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aj0wkCAAASBAAADgAAAGRycy9lMm9Eb2MueG1srVNLbtswEN0X6B0I&#10;7mvZLlo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Fnw15xZYejBT79/nf7cnv7+&#10;ZG+iPK3zOWXdOMoL3TvoaGkSVe+uQX73zMJVLexOXSJCWytR0nizWJndK+1xfATZth+hpD5iHyAB&#10;dRWaqB2pwQidnuZ4fhrVBSZjy8V8sZhSSFJsvMQeIh/LHfrwXoFh0Sg40tsneHG49qFPHVNiNwsb&#10;3TTkF3lj/3MQZu9RaYGG6kgmzt8zCd22o9ro3EJ5JFoI/XLR1yKjBvzBWUuLVXBL/4iz5oMlYeIO&#10;jgaOxnY0hJVUWPDAWW9ehX5X9w71ribcUfpLEm+jE627GQbJaVWSMMNax128f09Zd195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8aaj0wkCAAASBAAADgAAAAAAAAABACAAAAAeAQAAZHJz&#10;L2Uyb0RvYy54bWxQSwUGAAAAAAYABgBZAQAAmQ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仿宋_GB2312" w:eastAsia="仿宋_GB2312"/>
        <w:b/>
        <w:i/>
        <w:sz w:val="18"/>
        <w:szCs w:val="18"/>
      </w:rPr>
      <w:t>新疆医科大学附属医院掌医服务平台采购项目                          编号：1941xzjck002</w:t>
    </w:r>
  </w:p>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383C0"/>
    <w:multiLevelType w:val="singleLevel"/>
    <w:tmpl w:val="935383C0"/>
    <w:lvl w:ilvl="0" w:tentative="0">
      <w:start w:val="3"/>
      <w:numFmt w:val="chineseCounting"/>
      <w:suff w:val="nothing"/>
      <w:lvlText w:val="第%1章、"/>
      <w:lvlJc w:val="left"/>
      <w:rPr>
        <w:rFonts w:hint="eastAsia"/>
      </w:rPr>
    </w:lvl>
  </w:abstractNum>
  <w:abstractNum w:abstractNumId="1">
    <w:nsid w:val="A82800FD"/>
    <w:multiLevelType w:val="singleLevel"/>
    <w:tmpl w:val="A82800FD"/>
    <w:lvl w:ilvl="0" w:tentative="0">
      <w:start w:val="1"/>
      <w:numFmt w:val="chineseCounting"/>
      <w:suff w:val="nothing"/>
      <w:lvlText w:val="%1、"/>
      <w:lvlJc w:val="left"/>
      <w:rPr>
        <w:rFonts w:hint="eastAsia"/>
      </w:rPr>
    </w:lvl>
  </w:abstractNum>
  <w:abstractNum w:abstractNumId="2">
    <w:nsid w:val="DE8A9D3E"/>
    <w:multiLevelType w:val="singleLevel"/>
    <w:tmpl w:val="DE8A9D3E"/>
    <w:lvl w:ilvl="0" w:tentative="0">
      <w:start w:val="2"/>
      <w:numFmt w:val="decimal"/>
      <w:suff w:val="nothing"/>
      <w:lvlText w:val="%1．"/>
      <w:lvlJc w:val="left"/>
    </w:lvl>
  </w:abstractNum>
  <w:abstractNum w:abstractNumId="3">
    <w:nsid w:val="15342DDD"/>
    <w:multiLevelType w:val="singleLevel"/>
    <w:tmpl w:val="15342DDD"/>
    <w:lvl w:ilvl="0" w:tentative="0">
      <w:start w:val="12"/>
      <w:numFmt w:val="chineseCounting"/>
      <w:suff w:val="nothing"/>
      <w:lvlText w:val="（%1）"/>
      <w:lvlJc w:val="left"/>
      <w:rPr>
        <w:rFonts w:hint="eastAsia"/>
      </w:rPr>
    </w:lvl>
  </w:abstractNum>
  <w:abstractNum w:abstractNumId="4">
    <w:nsid w:val="6A760B42"/>
    <w:multiLevelType w:val="singleLevel"/>
    <w:tmpl w:val="6A760B42"/>
    <w:lvl w:ilvl="0" w:tentative="0">
      <w:start w:val="1"/>
      <w:numFmt w:val="decimal"/>
      <w:lvlText w:val="（%1）"/>
      <w:lvlJc w:val="left"/>
      <w:pPr>
        <w:tabs>
          <w:tab w:val="left" w:pos="1245"/>
        </w:tabs>
        <w:ind w:left="1245" w:hanging="690"/>
      </w:pPr>
      <w:rPr>
        <w:rFonts w:hint="eastAsia"/>
      </w:rPr>
    </w:lvl>
  </w:abstractNum>
  <w:abstractNum w:abstractNumId="5">
    <w:nsid w:val="74C257B8"/>
    <w:multiLevelType w:val="singleLevel"/>
    <w:tmpl w:val="74C257B8"/>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jAzMGIzNmEyZmYxMjg5MDQzODljNDAyMzA3ZTIifQ=="/>
  </w:docVars>
  <w:rsids>
    <w:rsidRoot w:val="00016682"/>
    <w:rsid w:val="0000089D"/>
    <w:rsid w:val="000018B1"/>
    <w:rsid w:val="00001E1B"/>
    <w:rsid w:val="00001EF8"/>
    <w:rsid w:val="000044EA"/>
    <w:rsid w:val="00006D22"/>
    <w:rsid w:val="000070E0"/>
    <w:rsid w:val="00007617"/>
    <w:rsid w:val="000077C4"/>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403C1"/>
    <w:rsid w:val="00040590"/>
    <w:rsid w:val="00041BB6"/>
    <w:rsid w:val="00042542"/>
    <w:rsid w:val="0004286D"/>
    <w:rsid w:val="00042FDA"/>
    <w:rsid w:val="00044053"/>
    <w:rsid w:val="00044A80"/>
    <w:rsid w:val="00044B56"/>
    <w:rsid w:val="00044E79"/>
    <w:rsid w:val="00045882"/>
    <w:rsid w:val="00046546"/>
    <w:rsid w:val="0005010F"/>
    <w:rsid w:val="00050DE1"/>
    <w:rsid w:val="00050EEF"/>
    <w:rsid w:val="00051699"/>
    <w:rsid w:val="00052746"/>
    <w:rsid w:val="00052D2C"/>
    <w:rsid w:val="00053704"/>
    <w:rsid w:val="000554A6"/>
    <w:rsid w:val="000569AB"/>
    <w:rsid w:val="00056F5A"/>
    <w:rsid w:val="000608F0"/>
    <w:rsid w:val="00060E53"/>
    <w:rsid w:val="00062D50"/>
    <w:rsid w:val="00062F38"/>
    <w:rsid w:val="000651C8"/>
    <w:rsid w:val="00065504"/>
    <w:rsid w:val="00066730"/>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445C"/>
    <w:rsid w:val="00094A7F"/>
    <w:rsid w:val="00095386"/>
    <w:rsid w:val="00095CB1"/>
    <w:rsid w:val="00096006"/>
    <w:rsid w:val="0009662B"/>
    <w:rsid w:val="0009668C"/>
    <w:rsid w:val="00097394"/>
    <w:rsid w:val="000A0F14"/>
    <w:rsid w:val="000A1450"/>
    <w:rsid w:val="000A215E"/>
    <w:rsid w:val="000A30C0"/>
    <w:rsid w:val="000A3525"/>
    <w:rsid w:val="000A3BE3"/>
    <w:rsid w:val="000A5587"/>
    <w:rsid w:val="000A6D20"/>
    <w:rsid w:val="000B0DF4"/>
    <w:rsid w:val="000B18B1"/>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B"/>
    <w:rsid w:val="000D07E6"/>
    <w:rsid w:val="000D0B74"/>
    <w:rsid w:val="000D0EAD"/>
    <w:rsid w:val="000D2024"/>
    <w:rsid w:val="000D37A7"/>
    <w:rsid w:val="000D40DD"/>
    <w:rsid w:val="000D468C"/>
    <w:rsid w:val="000D4C06"/>
    <w:rsid w:val="000D4C24"/>
    <w:rsid w:val="000D5C50"/>
    <w:rsid w:val="000D6192"/>
    <w:rsid w:val="000D67FC"/>
    <w:rsid w:val="000D7766"/>
    <w:rsid w:val="000D7FC6"/>
    <w:rsid w:val="000E07A1"/>
    <w:rsid w:val="000E0B76"/>
    <w:rsid w:val="000E0BEC"/>
    <w:rsid w:val="000E1C97"/>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32B"/>
    <w:rsid w:val="000F3BB1"/>
    <w:rsid w:val="000F40DF"/>
    <w:rsid w:val="000F48AD"/>
    <w:rsid w:val="000F4B83"/>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F"/>
    <w:rsid w:val="00110475"/>
    <w:rsid w:val="00110BD1"/>
    <w:rsid w:val="00111942"/>
    <w:rsid w:val="0011208C"/>
    <w:rsid w:val="00113EB0"/>
    <w:rsid w:val="00114C14"/>
    <w:rsid w:val="001155A4"/>
    <w:rsid w:val="00115631"/>
    <w:rsid w:val="00115BC4"/>
    <w:rsid w:val="0011696A"/>
    <w:rsid w:val="00116BA2"/>
    <w:rsid w:val="001178C7"/>
    <w:rsid w:val="00120881"/>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4D6"/>
    <w:rsid w:val="001635E2"/>
    <w:rsid w:val="001646B1"/>
    <w:rsid w:val="001648DD"/>
    <w:rsid w:val="00165FC9"/>
    <w:rsid w:val="00166089"/>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6E"/>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13"/>
    <w:rsid w:val="001A1094"/>
    <w:rsid w:val="001A28CC"/>
    <w:rsid w:val="001A5580"/>
    <w:rsid w:val="001A5C24"/>
    <w:rsid w:val="001A6766"/>
    <w:rsid w:val="001A6C77"/>
    <w:rsid w:val="001B117A"/>
    <w:rsid w:val="001B28D2"/>
    <w:rsid w:val="001B31AC"/>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548"/>
    <w:rsid w:val="001C7B21"/>
    <w:rsid w:val="001D041C"/>
    <w:rsid w:val="001D2D6A"/>
    <w:rsid w:val="001D393D"/>
    <w:rsid w:val="001D3C15"/>
    <w:rsid w:val="001D417F"/>
    <w:rsid w:val="001D53D5"/>
    <w:rsid w:val="001D615C"/>
    <w:rsid w:val="001D652C"/>
    <w:rsid w:val="001D669F"/>
    <w:rsid w:val="001D787C"/>
    <w:rsid w:val="001E0039"/>
    <w:rsid w:val="001E1638"/>
    <w:rsid w:val="001E1991"/>
    <w:rsid w:val="001E26F2"/>
    <w:rsid w:val="001E309B"/>
    <w:rsid w:val="001E30E7"/>
    <w:rsid w:val="001E5C61"/>
    <w:rsid w:val="001E63B7"/>
    <w:rsid w:val="001E6923"/>
    <w:rsid w:val="001E6A04"/>
    <w:rsid w:val="001E6DA6"/>
    <w:rsid w:val="001E6FAF"/>
    <w:rsid w:val="001E7C74"/>
    <w:rsid w:val="001F1857"/>
    <w:rsid w:val="001F1ADA"/>
    <w:rsid w:val="001F2568"/>
    <w:rsid w:val="001F2D38"/>
    <w:rsid w:val="001F3749"/>
    <w:rsid w:val="001F45BC"/>
    <w:rsid w:val="001F5456"/>
    <w:rsid w:val="001F6243"/>
    <w:rsid w:val="001F6DC5"/>
    <w:rsid w:val="001F730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F86"/>
    <w:rsid w:val="00242597"/>
    <w:rsid w:val="002426E5"/>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017E"/>
    <w:rsid w:val="00291C50"/>
    <w:rsid w:val="0029375F"/>
    <w:rsid w:val="00293938"/>
    <w:rsid w:val="002939F8"/>
    <w:rsid w:val="00294B29"/>
    <w:rsid w:val="00294DEA"/>
    <w:rsid w:val="002959B5"/>
    <w:rsid w:val="0029665E"/>
    <w:rsid w:val="002974AA"/>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C0D77"/>
    <w:rsid w:val="002C18F8"/>
    <w:rsid w:val="002C22A4"/>
    <w:rsid w:val="002C2E25"/>
    <w:rsid w:val="002C49FD"/>
    <w:rsid w:val="002C4D8E"/>
    <w:rsid w:val="002C571A"/>
    <w:rsid w:val="002C592D"/>
    <w:rsid w:val="002C5A1F"/>
    <w:rsid w:val="002C7035"/>
    <w:rsid w:val="002C7B9A"/>
    <w:rsid w:val="002D07FF"/>
    <w:rsid w:val="002D0D10"/>
    <w:rsid w:val="002D20CE"/>
    <w:rsid w:val="002D239F"/>
    <w:rsid w:val="002D2D63"/>
    <w:rsid w:val="002D3783"/>
    <w:rsid w:val="002D3E5B"/>
    <w:rsid w:val="002D41A9"/>
    <w:rsid w:val="002D5493"/>
    <w:rsid w:val="002D59D9"/>
    <w:rsid w:val="002D5EBF"/>
    <w:rsid w:val="002D657C"/>
    <w:rsid w:val="002D67F0"/>
    <w:rsid w:val="002D6A78"/>
    <w:rsid w:val="002E1522"/>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5879"/>
    <w:rsid w:val="002F58B7"/>
    <w:rsid w:val="002F5DA4"/>
    <w:rsid w:val="002F5E5E"/>
    <w:rsid w:val="002F5E88"/>
    <w:rsid w:val="002F65E4"/>
    <w:rsid w:val="002F6C49"/>
    <w:rsid w:val="002F74AC"/>
    <w:rsid w:val="0030056B"/>
    <w:rsid w:val="00301617"/>
    <w:rsid w:val="00301920"/>
    <w:rsid w:val="00302C14"/>
    <w:rsid w:val="003037AA"/>
    <w:rsid w:val="00303F73"/>
    <w:rsid w:val="0030410C"/>
    <w:rsid w:val="003053F0"/>
    <w:rsid w:val="00305D05"/>
    <w:rsid w:val="00306777"/>
    <w:rsid w:val="003071C8"/>
    <w:rsid w:val="003073C8"/>
    <w:rsid w:val="003076BE"/>
    <w:rsid w:val="00307D38"/>
    <w:rsid w:val="00310937"/>
    <w:rsid w:val="00311226"/>
    <w:rsid w:val="00312635"/>
    <w:rsid w:val="00312801"/>
    <w:rsid w:val="00313C4A"/>
    <w:rsid w:val="0031445A"/>
    <w:rsid w:val="003144F7"/>
    <w:rsid w:val="003147BB"/>
    <w:rsid w:val="003147DB"/>
    <w:rsid w:val="00314F22"/>
    <w:rsid w:val="003163C5"/>
    <w:rsid w:val="00316850"/>
    <w:rsid w:val="00316E03"/>
    <w:rsid w:val="0032050E"/>
    <w:rsid w:val="003205F0"/>
    <w:rsid w:val="00320BEA"/>
    <w:rsid w:val="00321811"/>
    <w:rsid w:val="00322970"/>
    <w:rsid w:val="00322AF2"/>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5DC1"/>
    <w:rsid w:val="003564A5"/>
    <w:rsid w:val="003565CC"/>
    <w:rsid w:val="003566D4"/>
    <w:rsid w:val="003569CC"/>
    <w:rsid w:val="00357860"/>
    <w:rsid w:val="00361212"/>
    <w:rsid w:val="0036181C"/>
    <w:rsid w:val="003623F5"/>
    <w:rsid w:val="00363ED9"/>
    <w:rsid w:val="003640C2"/>
    <w:rsid w:val="00364427"/>
    <w:rsid w:val="003644DD"/>
    <w:rsid w:val="00364505"/>
    <w:rsid w:val="00365171"/>
    <w:rsid w:val="0036547A"/>
    <w:rsid w:val="00365508"/>
    <w:rsid w:val="00366C85"/>
    <w:rsid w:val="003701E3"/>
    <w:rsid w:val="00371B86"/>
    <w:rsid w:val="00372C39"/>
    <w:rsid w:val="00373772"/>
    <w:rsid w:val="00373F8A"/>
    <w:rsid w:val="003747B6"/>
    <w:rsid w:val="00374972"/>
    <w:rsid w:val="00374E17"/>
    <w:rsid w:val="00374E4C"/>
    <w:rsid w:val="003757A0"/>
    <w:rsid w:val="00375DF4"/>
    <w:rsid w:val="0037627C"/>
    <w:rsid w:val="00377AC2"/>
    <w:rsid w:val="00383F3B"/>
    <w:rsid w:val="00384A71"/>
    <w:rsid w:val="00384AA6"/>
    <w:rsid w:val="003859E5"/>
    <w:rsid w:val="00386776"/>
    <w:rsid w:val="00387970"/>
    <w:rsid w:val="003907D0"/>
    <w:rsid w:val="0039106E"/>
    <w:rsid w:val="003923C0"/>
    <w:rsid w:val="00393B2D"/>
    <w:rsid w:val="00395B76"/>
    <w:rsid w:val="00395BEC"/>
    <w:rsid w:val="00395E9A"/>
    <w:rsid w:val="0039655C"/>
    <w:rsid w:val="0039695C"/>
    <w:rsid w:val="00397172"/>
    <w:rsid w:val="00397917"/>
    <w:rsid w:val="00397ADA"/>
    <w:rsid w:val="003A166D"/>
    <w:rsid w:val="003A27D0"/>
    <w:rsid w:val="003A2806"/>
    <w:rsid w:val="003A2BF6"/>
    <w:rsid w:val="003A2FA7"/>
    <w:rsid w:val="003A353A"/>
    <w:rsid w:val="003A38F4"/>
    <w:rsid w:val="003A3A27"/>
    <w:rsid w:val="003A3B78"/>
    <w:rsid w:val="003A3C7E"/>
    <w:rsid w:val="003A3EEB"/>
    <w:rsid w:val="003A4F95"/>
    <w:rsid w:val="003A6762"/>
    <w:rsid w:val="003A69EA"/>
    <w:rsid w:val="003A7A6D"/>
    <w:rsid w:val="003B0017"/>
    <w:rsid w:val="003B117F"/>
    <w:rsid w:val="003B1D24"/>
    <w:rsid w:val="003B1E30"/>
    <w:rsid w:val="003B279A"/>
    <w:rsid w:val="003B39BB"/>
    <w:rsid w:val="003B3D77"/>
    <w:rsid w:val="003B4AD4"/>
    <w:rsid w:val="003B5352"/>
    <w:rsid w:val="003B58E2"/>
    <w:rsid w:val="003B5C33"/>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212D"/>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9D6"/>
    <w:rsid w:val="003F6AEF"/>
    <w:rsid w:val="003F70D3"/>
    <w:rsid w:val="003F74CF"/>
    <w:rsid w:val="003F7886"/>
    <w:rsid w:val="003F788B"/>
    <w:rsid w:val="00402011"/>
    <w:rsid w:val="004026A4"/>
    <w:rsid w:val="00402A70"/>
    <w:rsid w:val="00402CDB"/>
    <w:rsid w:val="00403B4D"/>
    <w:rsid w:val="00403F2C"/>
    <w:rsid w:val="00404E21"/>
    <w:rsid w:val="0040672D"/>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F7C"/>
    <w:rsid w:val="00427C71"/>
    <w:rsid w:val="00430B54"/>
    <w:rsid w:val="00430D80"/>
    <w:rsid w:val="0043153A"/>
    <w:rsid w:val="00431D33"/>
    <w:rsid w:val="00432873"/>
    <w:rsid w:val="00432D97"/>
    <w:rsid w:val="0043341F"/>
    <w:rsid w:val="00433F82"/>
    <w:rsid w:val="00434018"/>
    <w:rsid w:val="004343BA"/>
    <w:rsid w:val="00435085"/>
    <w:rsid w:val="004354A1"/>
    <w:rsid w:val="00435C2F"/>
    <w:rsid w:val="00437103"/>
    <w:rsid w:val="0043724D"/>
    <w:rsid w:val="00440616"/>
    <w:rsid w:val="004415FD"/>
    <w:rsid w:val="004417B1"/>
    <w:rsid w:val="004436F2"/>
    <w:rsid w:val="004455E9"/>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409A"/>
    <w:rsid w:val="00484D7E"/>
    <w:rsid w:val="00486614"/>
    <w:rsid w:val="004866D1"/>
    <w:rsid w:val="00486CEE"/>
    <w:rsid w:val="004871EE"/>
    <w:rsid w:val="004872BC"/>
    <w:rsid w:val="0048756A"/>
    <w:rsid w:val="004878A6"/>
    <w:rsid w:val="004921E5"/>
    <w:rsid w:val="00492777"/>
    <w:rsid w:val="00492BC8"/>
    <w:rsid w:val="0049428E"/>
    <w:rsid w:val="004955AC"/>
    <w:rsid w:val="0049586A"/>
    <w:rsid w:val="00495883"/>
    <w:rsid w:val="004968A3"/>
    <w:rsid w:val="00496B1D"/>
    <w:rsid w:val="00497024"/>
    <w:rsid w:val="004A07CD"/>
    <w:rsid w:val="004A0D91"/>
    <w:rsid w:val="004A1D64"/>
    <w:rsid w:val="004A2BF0"/>
    <w:rsid w:val="004A3105"/>
    <w:rsid w:val="004A3245"/>
    <w:rsid w:val="004A5B5E"/>
    <w:rsid w:val="004A5DAC"/>
    <w:rsid w:val="004A5FAD"/>
    <w:rsid w:val="004A75C4"/>
    <w:rsid w:val="004A7A94"/>
    <w:rsid w:val="004B1058"/>
    <w:rsid w:val="004B1234"/>
    <w:rsid w:val="004B1FC1"/>
    <w:rsid w:val="004B3347"/>
    <w:rsid w:val="004B567C"/>
    <w:rsid w:val="004B705C"/>
    <w:rsid w:val="004C2068"/>
    <w:rsid w:val="004C2572"/>
    <w:rsid w:val="004C26F9"/>
    <w:rsid w:val="004C30F9"/>
    <w:rsid w:val="004C3795"/>
    <w:rsid w:val="004C3C4D"/>
    <w:rsid w:val="004C4342"/>
    <w:rsid w:val="004C47A9"/>
    <w:rsid w:val="004C4CCD"/>
    <w:rsid w:val="004C556F"/>
    <w:rsid w:val="004C5BB1"/>
    <w:rsid w:val="004C5DB0"/>
    <w:rsid w:val="004C6E5F"/>
    <w:rsid w:val="004C79FC"/>
    <w:rsid w:val="004D0460"/>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294F"/>
    <w:rsid w:val="00582C62"/>
    <w:rsid w:val="005830D4"/>
    <w:rsid w:val="00583396"/>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D6B"/>
    <w:rsid w:val="005B2DAA"/>
    <w:rsid w:val="005B3CB8"/>
    <w:rsid w:val="005B4517"/>
    <w:rsid w:val="005B50EC"/>
    <w:rsid w:val="005B515B"/>
    <w:rsid w:val="005B7655"/>
    <w:rsid w:val="005C03F6"/>
    <w:rsid w:val="005C062F"/>
    <w:rsid w:val="005C12A9"/>
    <w:rsid w:val="005C1599"/>
    <w:rsid w:val="005C1876"/>
    <w:rsid w:val="005C2BB0"/>
    <w:rsid w:val="005C5B8D"/>
    <w:rsid w:val="005C712A"/>
    <w:rsid w:val="005C75AB"/>
    <w:rsid w:val="005D0336"/>
    <w:rsid w:val="005D0B82"/>
    <w:rsid w:val="005D0EC2"/>
    <w:rsid w:val="005D24ED"/>
    <w:rsid w:val="005D25C3"/>
    <w:rsid w:val="005D2D1A"/>
    <w:rsid w:val="005D51DB"/>
    <w:rsid w:val="005D544A"/>
    <w:rsid w:val="005D5BC4"/>
    <w:rsid w:val="005D6517"/>
    <w:rsid w:val="005D71F6"/>
    <w:rsid w:val="005E31C5"/>
    <w:rsid w:val="005E344C"/>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21A5"/>
    <w:rsid w:val="00602402"/>
    <w:rsid w:val="0060296E"/>
    <w:rsid w:val="00603102"/>
    <w:rsid w:val="0060512D"/>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4C11"/>
    <w:rsid w:val="00635502"/>
    <w:rsid w:val="00635B0F"/>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3317"/>
    <w:rsid w:val="006741AA"/>
    <w:rsid w:val="006744BB"/>
    <w:rsid w:val="00677D07"/>
    <w:rsid w:val="00680D72"/>
    <w:rsid w:val="006812F5"/>
    <w:rsid w:val="00681D6B"/>
    <w:rsid w:val="00682048"/>
    <w:rsid w:val="00682BF3"/>
    <w:rsid w:val="00683C97"/>
    <w:rsid w:val="00683DF2"/>
    <w:rsid w:val="006841E6"/>
    <w:rsid w:val="006846A5"/>
    <w:rsid w:val="00685011"/>
    <w:rsid w:val="00685137"/>
    <w:rsid w:val="00685763"/>
    <w:rsid w:val="006857F3"/>
    <w:rsid w:val="0068703C"/>
    <w:rsid w:val="006876B8"/>
    <w:rsid w:val="006876F4"/>
    <w:rsid w:val="00687E2A"/>
    <w:rsid w:val="00690F21"/>
    <w:rsid w:val="006910A0"/>
    <w:rsid w:val="006922D2"/>
    <w:rsid w:val="006938C7"/>
    <w:rsid w:val="00694590"/>
    <w:rsid w:val="006952C2"/>
    <w:rsid w:val="0069551D"/>
    <w:rsid w:val="00696824"/>
    <w:rsid w:val="00696B83"/>
    <w:rsid w:val="00697229"/>
    <w:rsid w:val="0069739B"/>
    <w:rsid w:val="00697A7F"/>
    <w:rsid w:val="00697FA6"/>
    <w:rsid w:val="006A090E"/>
    <w:rsid w:val="006A09CE"/>
    <w:rsid w:val="006A0B5D"/>
    <w:rsid w:val="006A1C22"/>
    <w:rsid w:val="006A2B02"/>
    <w:rsid w:val="006A322A"/>
    <w:rsid w:val="006A4504"/>
    <w:rsid w:val="006A5F81"/>
    <w:rsid w:val="006A6149"/>
    <w:rsid w:val="006A647A"/>
    <w:rsid w:val="006B085C"/>
    <w:rsid w:val="006B0999"/>
    <w:rsid w:val="006B10AB"/>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B53"/>
    <w:rsid w:val="006D1BAB"/>
    <w:rsid w:val="006D29AC"/>
    <w:rsid w:val="006D3A6A"/>
    <w:rsid w:val="006D3AB5"/>
    <w:rsid w:val="006D4174"/>
    <w:rsid w:val="006D466A"/>
    <w:rsid w:val="006D6BEB"/>
    <w:rsid w:val="006D6C54"/>
    <w:rsid w:val="006D6CFA"/>
    <w:rsid w:val="006E10E1"/>
    <w:rsid w:val="006E175F"/>
    <w:rsid w:val="006E1F04"/>
    <w:rsid w:val="006E2241"/>
    <w:rsid w:val="006E28A6"/>
    <w:rsid w:val="006E29B5"/>
    <w:rsid w:val="006E2DB5"/>
    <w:rsid w:val="006E3068"/>
    <w:rsid w:val="006E3C29"/>
    <w:rsid w:val="006E3E25"/>
    <w:rsid w:val="006E4387"/>
    <w:rsid w:val="006E4EC1"/>
    <w:rsid w:val="006E60E7"/>
    <w:rsid w:val="006E7185"/>
    <w:rsid w:val="006F0AB9"/>
    <w:rsid w:val="006F2724"/>
    <w:rsid w:val="006F3250"/>
    <w:rsid w:val="006F35E7"/>
    <w:rsid w:val="006F404E"/>
    <w:rsid w:val="006F61D9"/>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709"/>
    <w:rsid w:val="007342A5"/>
    <w:rsid w:val="007351CA"/>
    <w:rsid w:val="0073529F"/>
    <w:rsid w:val="007372C4"/>
    <w:rsid w:val="00740727"/>
    <w:rsid w:val="00740ADA"/>
    <w:rsid w:val="00740E04"/>
    <w:rsid w:val="00741452"/>
    <w:rsid w:val="0074156C"/>
    <w:rsid w:val="00741F39"/>
    <w:rsid w:val="0074211A"/>
    <w:rsid w:val="0074218C"/>
    <w:rsid w:val="0074276F"/>
    <w:rsid w:val="00743714"/>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A8E"/>
    <w:rsid w:val="00765764"/>
    <w:rsid w:val="00766020"/>
    <w:rsid w:val="0076648D"/>
    <w:rsid w:val="007667A5"/>
    <w:rsid w:val="0076756A"/>
    <w:rsid w:val="0076795D"/>
    <w:rsid w:val="0077044E"/>
    <w:rsid w:val="007707AE"/>
    <w:rsid w:val="00771F1A"/>
    <w:rsid w:val="00774440"/>
    <w:rsid w:val="007744AE"/>
    <w:rsid w:val="00774924"/>
    <w:rsid w:val="007751AE"/>
    <w:rsid w:val="007760D3"/>
    <w:rsid w:val="0077612F"/>
    <w:rsid w:val="007769A5"/>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97CD6"/>
    <w:rsid w:val="007A0585"/>
    <w:rsid w:val="007A096C"/>
    <w:rsid w:val="007A14CB"/>
    <w:rsid w:val="007A32BE"/>
    <w:rsid w:val="007A3724"/>
    <w:rsid w:val="007A45D7"/>
    <w:rsid w:val="007A4B04"/>
    <w:rsid w:val="007A4FF3"/>
    <w:rsid w:val="007A511E"/>
    <w:rsid w:val="007A638B"/>
    <w:rsid w:val="007A63A1"/>
    <w:rsid w:val="007A675B"/>
    <w:rsid w:val="007A68C6"/>
    <w:rsid w:val="007A6BF2"/>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D04C0"/>
    <w:rsid w:val="007D0C60"/>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B5E"/>
    <w:rsid w:val="00811F4C"/>
    <w:rsid w:val="00812A5C"/>
    <w:rsid w:val="00812CDE"/>
    <w:rsid w:val="00813CB9"/>
    <w:rsid w:val="00814210"/>
    <w:rsid w:val="008167AC"/>
    <w:rsid w:val="00817518"/>
    <w:rsid w:val="00820A2E"/>
    <w:rsid w:val="00820B5D"/>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05B"/>
    <w:rsid w:val="00851629"/>
    <w:rsid w:val="00851B55"/>
    <w:rsid w:val="00851CF8"/>
    <w:rsid w:val="00852883"/>
    <w:rsid w:val="00853447"/>
    <w:rsid w:val="008537D7"/>
    <w:rsid w:val="008541A0"/>
    <w:rsid w:val="00854C31"/>
    <w:rsid w:val="00854CA6"/>
    <w:rsid w:val="00854D26"/>
    <w:rsid w:val="00855DA7"/>
    <w:rsid w:val="00857C67"/>
    <w:rsid w:val="00860222"/>
    <w:rsid w:val="0086318A"/>
    <w:rsid w:val="008636BA"/>
    <w:rsid w:val="00863A38"/>
    <w:rsid w:val="00864024"/>
    <w:rsid w:val="0086431D"/>
    <w:rsid w:val="0086459D"/>
    <w:rsid w:val="008647D9"/>
    <w:rsid w:val="00866CA3"/>
    <w:rsid w:val="008674AE"/>
    <w:rsid w:val="0086790B"/>
    <w:rsid w:val="00867CFC"/>
    <w:rsid w:val="0087034F"/>
    <w:rsid w:val="008704E1"/>
    <w:rsid w:val="00870640"/>
    <w:rsid w:val="00872323"/>
    <w:rsid w:val="008728D4"/>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905AC"/>
    <w:rsid w:val="00890686"/>
    <w:rsid w:val="00890F21"/>
    <w:rsid w:val="00891790"/>
    <w:rsid w:val="008920DC"/>
    <w:rsid w:val="00892429"/>
    <w:rsid w:val="00892544"/>
    <w:rsid w:val="00892D20"/>
    <w:rsid w:val="00893BAF"/>
    <w:rsid w:val="00894282"/>
    <w:rsid w:val="0089589B"/>
    <w:rsid w:val="00895E5A"/>
    <w:rsid w:val="00896545"/>
    <w:rsid w:val="008A00DE"/>
    <w:rsid w:val="008A0256"/>
    <w:rsid w:val="008A0933"/>
    <w:rsid w:val="008A0AC4"/>
    <w:rsid w:val="008A1207"/>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94"/>
    <w:rsid w:val="008E58C3"/>
    <w:rsid w:val="008E5A59"/>
    <w:rsid w:val="008E5A79"/>
    <w:rsid w:val="008E6552"/>
    <w:rsid w:val="008E6F28"/>
    <w:rsid w:val="008E78E5"/>
    <w:rsid w:val="008E7F1D"/>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4396"/>
    <w:rsid w:val="00904754"/>
    <w:rsid w:val="0090479D"/>
    <w:rsid w:val="00905D9F"/>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877"/>
    <w:rsid w:val="0091657E"/>
    <w:rsid w:val="00916E98"/>
    <w:rsid w:val="009172DD"/>
    <w:rsid w:val="00920547"/>
    <w:rsid w:val="009207A2"/>
    <w:rsid w:val="009210AC"/>
    <w:rsid w:val="00922B41"/>
    <w:rsid w:val="00922DB9"/>
    <w:rsid w:val="00923EC2"/>
    <w:rsid w:val="009240F1"/>
    <w:rsid w:val="009242E5"/>
    <w:rsid w:val="00926801"/>
    <w:rsid w:val="0092706C"/>
    <w:rsid w:val="00927BB3"/>
    <w:rsid w:val="00927CE2"/>
    <w:rsid w:val="00927F76"/>
    <w:rsid w:val="00931925"/>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919"/>
    <w:rsid w:val="00957C81"/>
    <w:rsid w:val="00957CF0"/>
    <w:rsid w:val="009603B8"/>
    <w:rsid w:val="00961593"/>
    <w:rsid w:val="0096392C"/>
    <w:rsid w:val="00963B63"/>
    <w:rsid w:val="00964ECA"/>
    <w:rsid w:val="00965F37"/>
    <w:rsid w:val="009667F0"/>
    <w:rsid w:val="0096737D"/>
    <w:rsid w:val="009711AF"/>
    <w:rsid w:val="00972279"/>
    <w:rsid w:val="0097294B"/>
    <w:rsid w:val="00972C6B"/>
    <w:rsid w:val="00973E24"/>
    <w:rsid w:val="009752CA"/>
    <w:rsid w:val="00975B70"/>
    <w:rsid w:val="00976D07"/>
    <w:rsid w:val="0097755C"/>
    <w:rsid w:val="00977B29"/>
    <w:rsid w:val="00980443"/>
    <w:rsid w:val="00980A2E"/>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2781"/>
    <w:rsid w:val="00994295"/>
    <w:rsid w:val="00994BDE"/>
    <w:rsid w:val="00994C0E"/>
    <w:rsid w:val="009958A4"/>
    <w:rsid w:val="009969DA"/>
    <w:rsid w:val="009972C9"/>
    <w:rsid w:val="009A0BC8"/>
    <w:rsid w:val="009A0D46"/>
    <w:rsid w:val="009A107B"/>
    <w:rsid w:val="009A1828"/>
    <w:rsid w:val="009A24B7"/>
    <w:rsid w:val="009A35E9"/>
    <w:rsid w:val="009A3734"/>
    <w:rsid w:val="009A637D"/>
    <w:rsid w:val="009B0030"/>
    <w:rsid w:val="009B013E"/>
    <w:rsid w:val="009B18B5"/>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1D7E"/>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52D"/>
    <w:rsid w:val="009F2B02"/>
    <w:rsid w:val="009F2CEC"/>
    <w:rsid w:val="009F3D5D"/>
    <w:rsid w:val="009F418B"/>
    <w:rsid w:val="009F4CBB"/>
    <w:rsid w:val="009F4DE3"/>
    <w:rsid w:val="009F4FED"/>
    <w:rsid w:val="009F526E"/>
    <w:rsid w:val="009F533F"/>
    <w:rsid w:val="009F5384"/>
    <w:rsid w:val="009F579F"/>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1050A"/>
    <w:rsid w:val="00A108DF"/>
    <w:rsid w:val="00A11709"/>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6099"/>
    <w:rsid w:val="00A2691C"/>
    <w:rsid w:val="00A27EE1"/>
    <w:rsid w:val="00A30B01"/>
    <w:rsid w:val="00A31144"/>
    <w:rsid w:val="00A32335"/>
    <w:rsid w:val="00A32751"/>
    <w:rsid w:val="00A32A28"/>
    <w:rsid w:val="00A33A5E"/>
    <w:rsid w:val="00A33ADB"/>
    <w:rsid w:val="00A33D68"/>
    <w:rsid w:val="00A33FE1"/>
    <w:rsid w:val="00A3486E"/>
    <w:rsid w:val="00A34B63"/>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EFC"/>
    <w:rsid w:val="00A6338E"/>
    <w:rsid w:val="00A63536"/>
    <w:rsid w:val="00A6453D"/>
    <w:rsid w:val="00A65A8C"/>
    <w:rsid w:val="00A66752"/>
    <w:rsid w:val="00A67772"/>
    <w:rsid w:val="00A70634"/>
    <w:rsid w:val="00A70E89"/>
    <w:rsid w:val="00A724AA"/>
    <w:rsid w:val="00A72A01"/>
    <w:rsid w:val="00A72BF4"/>
    <w:rsid w:val="00A73A9D"/>
    <w:rsid w:val="00A743FC"/>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67A6"/>
    <w:rsid w:val="00AB7011"/>
    <w:rsid w:val="00AC03FE"/>
    <w:rsid w:val="00AC0C83"/>
    <w:rsid w:val="00AC0F83"/>
    <w:rsid w:val="00AC1961"/>
    <w:rsid w:val="00AC1F58"/>
    <w:rsid w:val="00AC1F7F"/>
    <w:rsid w:val="00AC2F50"/>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349B"/>
    <w:rsid w:val="00AE5526"/>
    <w:rsid w:val="00AE627F"/>
    <w:rsid w:val="00AE654E"/>
    <w:rsid w:val="00AE7093"/>
    <w:rsid w:val="00AE7D33"/>
    <w:rsid w:val="00AE7F6E"/>
    <w:rsid w:val="00AF0002"/>
    <w:rsid w:val="00AF0380"/>
    <w:rsid w:val="00AF0931"/>
    <w:rsid w:val="00AF175A"/>
    <w:rsid w:val="00AF34C2"/>
    <w:rsid w:val="00AF57AB"/>
    <w:rsid w:val="00AF6DA0"/>
    <w:rsid w:val="00AF7348"/>
    <w:rsid w:val="00AF7C45"/>
    <w:rsid w:val="00AF7D2C"/>
    <w:rsid w:val="00B00962"/>
    <w:rsid w:val="00B00F74"/>
    <w:rsid w:val="00B0161A"/>
    <w:rsid w:val="00B01CCD"/>
    <w:rsid w:val="00B02C24"/>
    <w:rsid w:val="00B03308"/>
    <w:rsid w:val="00B03350"/>
    <w:rsid w:val="00B04850"/>
    <w:rsid w:val="00B04B67"/>
    <w:rsid w:val="00B0523B"/>
    <w:rsid w:val="00B056E5"/>
    <w:rsid w:val="00B05CAB"/>
    <w:rsid w:val="00B06B79"/>
    <w:rsid w:val="00B072CB"/>
    <w:rsid w:val="00B10076"/>
    <w:rsid w:val="00B10ABF"/>
    <w:rsid w:val="00B1166A"/>
    <w:rsid w:val="00B11FAA"/>
    <w:rsid w:val="00B12608"/>
    <w:rsid w:val="00B13D58"/>
    <w:rsid w:val="00B14116"/>
    <w:rsid w:val="00B149D8"/>
    <w:rsid w:val="00B14CE8"/>
    <w:rsid w:val="00B15136"/>
    <w:rsid w:val="00B15DD7"/>
    <w:rsid w:val="00B15FE7"/>
    <w:rsid w:val="00B172F3"/>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765"/>
    <w:rsid w:val="00B3587E"/>
    <w:rsid w:val="00B358BD"/>
    <w:rsid w:val="00B35F5A"/>
    <w:rsid w:val="00B3672E"/>
    <w:rsid w:val="00B379B9"/>
    <w:rsid w:val="00B37D1F"/>
    <w:rsid w:val="00B40EAF"/>
    <w:rsid w:val="00B4260A"/>
    <w:rsid w:val="00B43FFA"/>
    <w:rsid w:val="00B440DD"/>
    <w:rsid w:val="00B45CEF"/>
    <w:rsid w:val="00B46370"/>
    <w:rsid w:val="00B4742C"/>
    <w:rsid w:val="00B47EBD"/>
    <w:rsid w:val="00B50B32"/>
    <w:rsid w:val="00B51536"/>
    <w:rsid w:val="00B5323C"/>
    <w:rsid w:val="00B54670"/>
    <w:rsid w:val="00B54761"/>
    <w:rsid w:val="00B556D1"/>
    <w:rsid w:val="00B55936"/>
    <w:rsid w:val="00B55D66"/>
    <w:rsid w:val="00B56431"/>
    <w:rsid w:val="00B56FED"/>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4E37"/>
    <w:rsid w:val="00B9531C"/>
    <w:rsid w:val="00B95523"/>
    <w:rsid w:val="00B96361"/>
    <w:rsid w:val="00B96CFD"/>
    <w:rsid w:val="00BA1449"/>
    <w:rsid w:val="00BA2054"/>
    <w:rsid w:val="00BA2E36"/>
    <w:rsid w:val="00BA3686"/>
    <w:rsid w:val="00BA3746"/>
    <w:rsid w:val="00BA7204"/>
    <w:rsid w:val="00BB0BC4"/>
    <w:rsid w:val="00BB15BE"/>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4C7B"/>
    <w:rsid w:val="00BD59F8"/>
    <w:rsid w:val="00BD610F"/>
    <w:rsid w:val="00BD65F7"/>
    <w:rsid w:val="00BD793E"/>
    <w:rsid w:val="00BD7D91"/>
    <w:rsid w:val="00BE100A"/>
    <w:rsid w:val="00BE19F4"/>
    <w:rsid w:val="00BE2C64"/>
    <w:rsid w:val="00BE40F7"/>
    <w:rsid w:val="00BE450C"/>
    <w:rsid w:val="00BE5521"/>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54D1"/>
    <w:rsid w:val="00C05F6D"/>
    <w:rsid w:val="00C062B8"/>
    <w:rsid w:val="00C06B09"/>
    <w:rsid w:val="00C06BC6"/>
    <w:rsid w:val="00C070DB"/>
    <w:rsid w:val="00C0768A"/>
    <w:rsid w:val="00C1079A"/>
    <w:rsid w:val="00C119C9"/>
    <w:rsid w:val="00C13025"/>
    <w:rsid w:val="00C13B5A"/>
    <w:rsid w:val="00C13D1A"/>
    <w:rsid w:val="00C15600"/>
    <w:rsid w:val="00C162EA"/>
    <w:rsid w:val="00C16C3A"/>
    <w:rsid w:val="00C174E7"/>
    <w:rsid w:val="00C216DD"/>
    <w:rsid w:val="00C217CA"/>
    <w:rsid w:val="00C219E7"/>
    <w:rsid w:val="00C2240A"/>
    <w:rsid w:val="00C2246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221B"/>
    <w:rsid w:val="00C93E3E"/>
    <w:rsid w:val="00C94B74"/>
    <w:rsid w:val="00C94DDE"/>
    <w:rsid w:val="00C9680F"/>
    <w:rsid w:val="00C97A16"/>
    <w:rsid w:val="00C97D7E"/>
    <w:rsid w:val="00CA0363"/>
    <w:rsid w:val="00CA0674"/>
    <w:rsid w:val="00CA134C"/>
    <w:rsid w:val="00CA315A"/>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3282"/>
    <w:rsid w:val="00CD439C"/>
    <w:rsid w:val="00CD4C12"/>
    <w:rsid w:val="00CD636E"/>
    <w:rsid w:val="00CD6742"/>
    <w:rsid w:val="00CE0162"/>
    <w:rsid w:val="00CE0F6B"/>
    <w:rsid w:val="00CE1C01"/>
    <w:rsid w:val="00CE263C"/>
    <w:rsid w:val="00CE29C3"/>
    <w:rsid w:val="00CE30F0"/>
    <w:rsid w:val="00CE3A2B"/>
    <w:rsid w:val="00CE48BA"/>
    <w:rsid w:val="00CE560E"/>
    <w:rsid w:val="00CE57C6"/>
    <w:rsid w:val="00CE73CA"/>
    <w:rsid w:val="00CF09FA"/>
    <w:rsid w:val="00CF0DB5"/>
    <w:rsid w:val="00CF13A7"/>
    <w:rsid w:val="00CF16FC"/>
    <w:rsid w:val="00CF1CA6"/>
    <w:rsid w:val="00CF2F03"/>
    <w:rsid w:val="00CF3EDF"/>
    <w:rsid w:val="00CF47E5"/>
    <w:rsid w:val="00CF620D"/>
    <w:rsid w:val="00CF66BC"/>
    <w:rsid w:val="00CF6E67"/>
    <w:rsid w:val="00CF7922"/>
    <w:rsid w:val="00D00913"/>
    <w:rsid w:val="00D03985"/>
    <w:rsid w:val="00D039E6"/>
    <w:rsid w:val="00D03BF5"/>
    <w:rsid w:val="00D0477E"/>
    <w:rsid w:val="00D049F4"/>
    <w:rsid w:val="00D06157"/>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374"/>
    <w:rsid w:val="00D56A8A"/>
    <w:rsid w:val="00D56E14"/>
    <w:rsid w:val="00D57B1B"/>
    <w:rsid w:val="00D57B85"/>
    <w:rsid w:val="00D57F17"/>
    <w:rsid w:val="00D611AC"/>
    <w:rsid w:val="00D61806"/>
    <w:rsid w:val="00D61E8B"/>
    <w:rsid w:val="00D623CB"/>
    <w:rsid w:val="00D62AFA"/>
    <w:rsid w:val="00D63ADC"/>
    <w:rsid w:val="00D64265"/>
    <w:rsid w:val="00D65770"/>
    <w:rsid w:val="00D66089"/>
    <w:rsid w:val="00D6714B"/>
    <w:rsid w:val="00D70428"/>
    <w:rsid w:val="00D70D9B"/>
    <w:rsid w:val="00D712E0"/>
    <w:rsid w:val="00D7155E"/>
    <w:rsid w:val="00D71A92"/>
    <w:rsid w:val="00D743E6"/>
    <w:rsid w:val="00D744EB"/>
    <w:rsid w:val="00D74B3B"/>
    <w:rsid w:val="00D753A4"/>
    <w:rsid w:val="00D75BBF"/>
    <w:rsid w:val="00D763E8"/>
    <w:rsid w:val="00D76B5D"/>
    <w:rsid w:val="00D773E3"/>
    <w:rsid w:val="00D77D18"/>
    <w:rsid w:val="00D800CB"/>
    <w:rsid w:val="00D8041E"/>
    <w:rsid w:val="00D80F58"/>
    <w:rsid w:val="00D824A7"/>
    <w:rsid w:val="00D834D6"/>
    <w:rsid w:val="00D83A42"/>
    <w:rsid w:val="00D83B54"/>
    <w:rsid w:val="00D84363"/>
    <w:rsid w:val="00D856C0"/>
    <w:rsid w:val="00D85B2E"/>
    <w:rsid w:val="00D85E89"/>
    <w:rsid w:val="00D865CD"/>
    <w:rsid w:val="00D8690D"/>
    <w:rsid w:val="00D9210A"/>
    <w:rsid w:val="00D939A2"/>
    <w:rsid w:val="00D93F27"/>
    <w:rsid w:val="00D94B2F"/>
    <w:rsid w:val="00D95493"/>
    <w:rsid w:val="00D9739E"/>
    <w:rsid w:val="00DA0D85"/>
    <w:rsid w:val="00DA14BD"/>
    <w:rsid w:val="00DA17F0"/>
    <w:rsid w:val="00DA242F"/>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175A"/>
    <w:rsid w:val="00DC263B"/>
    <w:rsid w:val="00DC33E7"/>
    <w:rsid w:val="00DC5D55"/>
    <w:rsid w:val="00DC63CC"/>
    <w:rsid w:val="00DC6E79"/>
    <w:rsid w:val="00DC6EFF"/>
    <w:rsid w:val="00DD14C4"/>
    <w:rsid w:val="00DD26EF"/>
    <w:rsid w:val="00DD3416"/>
    <w:rsid w:val="00DD4F7C"/>
    <w:rsid w:val="00DD70F0"/>
    <w:rsid w:val="00DD71F5"/>
    <w:rsid w:val="00DD7528"/>
    <w:rsid w:val="00DD79D3"/>
    <w:rsid w:val="00DE1A9C"/>
    <w:rsid w:val="00DE219D"/>
    <w:rsid w:val="00DE28E8"/>
    <w:rsid w:val="00DE406E"/>
    <w:rsid w:val="00DE4B71"/>
    <w:rsid w:val="00DE4EB3"/>
    <w:rsid w:val="00DE663E"/>
    <w:rsid w:val="00DE6BD5"/>
    <w:rsid w:val="00DE70CF"/>
    <w:rsid w:val="00DE7DCC"/>
    <w:rsid w:val="00DF05BB"/>
    <w:rsid w:val="00DF0715"/>
    <w:rsid w:val="00DF0D94"/>
    <w:rsid w:val="00DF1082"/>
    <w:rsid w:val="00DF20A2"/>
    <w:rsid w:val="00DF22C5"/>
    <w:rsid w:val="00DF2397"/>
    <w:rsid w:val="00DF33FC"/>
    <w:rsid w:val="00DF4255"/>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07F51"/>
    <w:rsid w:val="00E102DF"/>
    <w:rsid w:val="00E10643"/>
    <w:rsid w:val="00E1120F"/>
    <w:rsid w:val="00E1231F"/>
    <w:rsid w:val="00E12675"/>
    <w:rsid w:val="00E12F2D"/>
    <w:rsid w:val="00E1414D"/>
    <w:rsid w:val="00E14F2D"/>
    <w:rsid w:val="00E16398"/>
    <w:rsid w:val="00E1695C"/>
    <w:rsid w:val="00E16C7B"/>
    <w:rsid w:val="00E17199"/>
    <w:rsid w:val="00E17510"/>
    <w:rsid w:val="00E20372"/>
    <w:rsid w:val="00E205CC"/>
    <w:rsid w:val="00E20D30"/>
    <w:rsid w:val="00E22766"/>
    <w:rsid w:val="00E23371"/>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512A"/>
    <w:rsid w:val="00E554AC"/>
    <w:rsid w:val="00E56326"/>
    <w:rsid w:val="00E57369"/>
    <w:rsid w:val="00E57F57"/>
    <w:rsid w:val="00E6027E"/>
    <w:rsid w:val="00E60C52"/>
    <w:rsid w:val="00E61789"/>
    <w:rsid w:val="00E628E3"/>
    <w:rsid w:val="00E64180"/>
    <w:rsid w:val="00E64ABA"/>
    <w:rsid w:val="00E66D40"/>
    <w:rsid w:val="00E673E4"/>
    <w:rsid w:val="00E6742D"/>
    <w:rsid w:val="00E67BEF"/>
    <w:rsid w:val="00E70272"/>
    <w:rsid w:val="00E70385"/>
    <w:rsid w:val="00E72673"/>
    <w:rsid w:val="00E72C64"/>
    <w:rsid w:val="00E72DEE"/>
    <w:rsid w:val="00E73245"/>
    <w:rsid w:val="00E73FFC"/>
    <w:rsid w:val="00E74F9F"/>
    <w:rsid w:val="00E751BF"/>
    <w:rsid w:val="00E758F5"/>
    <w:rsid w:val="00E76090"/>
    <w:rsid w:val="00E773A5"/>
    <w:rsid w:val="00E774C3"/>
    <w:rsid w:val="00E804F0"/>
    <w:rsid w:val="00E8073B"/>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2B23"/>
    <w:rsid w:val="00EA33B4"/>
    <w:rsid w:val="00EA3C7D"/>
    <w:rsid w:val="00EA4691"/>
    <w:rsid w:val="00EA4B40"/>
    <w:rsid w:val="00EA4E1C"/>
    <w:rsid w:val="00EA5FAC"/>
    <w:rsid w:val="00EA63F5"/>
    <w:rsid w:val="00EA7DC3"/>
    <w:rsid w:val="00EB072C"/>
    <w:rsid w:val="00EB1E32"/>
    <w:rsid w:val="00EB2E41"/>
    <w:rsid w:val="00EB398F"/>
    <w:rsid w:val="00EB424B"/>
    <w:rsid w:val="00EB4F6B"/>
    <w:rsid w:val="00EB52CF"/>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72AA"/>
    <w:rsid w:val="00EF7766"/>
    <w:rsid w:val="00F00265"/>
    <w:rsid w:val="00F009D6"/>
    <w:rsid w:val="00F010C5"/>
    <w:rsid w:val="00F01C2F"/>
    <w:rsid w:val="00F02C7E"/>
    <w:rsid w:val="00F02DA1"/>
    <w:rsid w:val="00F03391"/>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34FB"/>
    <w:rsid w:val="00F2396A"/>
    <w:rsid w:val="00F23B0E"/>
    <w:rsid w:val="00F24462"/>
    <w:rsid w:val="00F27406"/>
    <w:rsid w:val="00F2780A"/>
    <w:rsid w:val="00F30969"/>
    <w:rsid w:val="00F3137A"/>
    <w:rsid w:val="00F318F3"/>
    <w:rsid w:val="00F31D9E"/>
    <w:rsid w:val="00F32AB4"/>
    <w:rsid w:val="00F33D38"/>
    <w:rsid w:val="00F3493D"/>
    <w:rsid w:val="00F3617F"/>
    <w:rsid w:val="00F3693C"/>
    <w:rsid w:val="00F3756B"/>
    <w:rsid w:val="00F378FC"/>
    <w:rsid w:val="00F37FFA"/>
    <w:rsid w:val="00F408B5"/>
    <w:rsid w:val="00F4235F"/>
    <w:rsid w:val="00F449D7"/>
    <w:rsid w:val="00F44E17"/>
    <w:rsid w:val="00F45EF9"/>
    <w:rsid w:val="00F460D5"/>
    <w:rsid w:val="00F4742D"/>
    <w:rsid w:val="00F47480"/>
    <w:rsid w:val="00F478BC"/>
    <w:rsid w:val="00F505F0"/>
    <w:rsid w:val="00F516F5"/>
    <w:rsid w:val="00F52CF8"/>
    <w:rsid w:val="00F53538"/>
    <w:rsid w:val="00F53A89"/>
    <w:rsid w:val="00F54C7E"/>
    <w:rsid w:val="00F55164"/>
    <w:rsid w:val="00F55F1E"/>
    <w:rsid w:val="00F5651F"/>
    <w:rsid w:val="00F56F71"/>
    <w:rsid w:val="00F57E2E"/>
    <w:rsid w:val="00F60E4F"/>
    <w:rsid w:val="00F61576"/>
    <w:rsid w:val="00F61B38"/>
    <w:rsid w:val="00F62083"/>
    <w:rsid w:val="00F62B9B"/>
    <w:rsid w:val="00F6366B"/>
    <w:rsid w:val="00F636EC"/>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D35"/>
    <w:rsid w:val="00F94D87"/>
    <w:rsid w:val="00F94FCC"/>
    <w:rsid w:val="00F95254"/>
    <w:rsid w:val="00F95F7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349"/>
    <w:rsid w:val="00FF44DD"/>
    <w:rsid w:val="00FF4592"/>
    <w:rsid w:val="00FF4FB1"/>
    <w:rsid w:val="00FF5BFD"/>
    <w:rsid w:val="00FF7168"/>
    <w:rsid w:val="00FF793C"/>
    <w:rsid w:val="00FF7A12"/>
    <w:rsid w:val="00FF7A1D"/>
    <w:rsid w:val="00FF7B0C"/>
    <w:rsid w:val="01077AA0"/>
    <w:rsid w:val="010B0123"/>
    <w:rsid w:val="012316B8"/>
    <w:rsid w:val="0126502E"/>
    <w:rsid w:val="012811BC"/>
    <w:rsid w:val="01281A7B"/>
    <w:rsid w:val="013B56B7"/>
    <w:rsid w:val="013C10AD"/>
    <w:rsid w:val="01402280"/>
    <w:rsid w:val="015466D7"/>
    <w:rsid w:val="015B5DE1"/>
    <w:rsid w:val="015E2AD8"/>
    <w:rsid w:val="016265C7"/>
    <w:rsid w:val="01662DBA"/>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208A2"/>
    <w:rsid w:val="01E40568"/>
    <w:rsid w:val="01F74DC9"/>
    <w:rsid w:val="01F80322"/>
    <w:rsid w:val="01F93873"/>
    <w:rsid w:val="01FC7EE5"/>
    <w:rsid w:val="020A6EE5"/>
    <w:rsid w:val="021F25F3"/>
    <w:rsid w:val="0229186A"/>
    <w:rsid w:val="022B5863"/>
    <w:rsid w:val="022F14D1"/>
    <w:rsid w:val="023129E2"/>
    <w:rsid w:val="02344E5C"/>
    <w:rsid w:val="023A0C6F"/>
    <w:rsid w:val="023F2107"/>
    <w:rsid w:val="023F2212"/>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EB1B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55FC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5FE0771"/>
    <w:rsid w:val="06065FA5"/>
    <w:rsid w:val="060B2A87"/>
    <w:rsid w:val="06257253"/>
    <w:rsid w:val="06271758"/>
    <w:rsid w:val="0629220D"/>
    <w:rsid w:val="062F6898"/>
    <w:rsid w:val="063067AA"/>
    <w:rsid w:val="06464DBE"/>
    <w:rsid w:val="06525D35"/>
    <w:rsid w:val="065C7C72"/>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71D0C"/>
    <w:rsid w:val="0BCC6F17"/>
    <w:rsid w:val="0BCD5951"/>
    <w:rsid w:val="0BE7164F"/>
    <w:rsid w:val="0BFA3121"/>
    <w:rsid w:val="0C002EAB"/>
    <w:rsid w:val="0C0E5B2F"/>
    <w:rsid w:val="0C1C7533"/>
    <w:rsid w:val="0C2A7491"/>
    <w:rsid w:val="0C336463"/>
    <w:rsid w:val="0C3A1BCE"/>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4775C"/>
    <w:rsid w:val="0E771F60"/>
    <w:rsid w:val="0E7C42E4"/>
    <w:rsid w:val="0E8B7E6D"/>
    <w:rsid w:val="0E8C4A31"/>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07AB2"/>
    <w:rsid w:val="0F323138"/>
    <w:rsid w:val="0F3529F5"/>
    <w:rsid w:val="0F3A05B3"/>
    <w:rsid w:val="0F3A17DD"/>
    <w:rsid w:val="0F3B76AF"/>
    <w:rsid w:val="0F496E98"/>
    <w:rsid w:val="0F645327"/>
    <w:rsid w:val="0F6C7E91"/>
    <w:rsid w:val="0F6D450D"/>
    <w:rsid w:val="0F7652A1"/>
    <w:rsid w:val="0F771038"/>
    <w:rsid w:val="0F7A4F60"/>
    <w:rsid w:val="0F7A736C"/>
    <w:rsid w:val="0F8F6F29"/>
    <w:rsid w:val="0F936969"/>
    <w:rsid w:val="0FB01BD1"/>
    <w:rsid w:val="0FB84F3C"/>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3F3DD3"/>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33A65"/>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6262E"/>
    <w:rsid w:val="13F740E5"/>
    <w:rsid w:val="14044331"/>
    <w:rsid w:val="14050C74"/>
    <w:rsid w:val="140905E5"/>
    <w:rsid w:val="14295C37"/>
    <w:rsid w:val="14381BB6"/>
    <w:rsid w:val="14413E82"/>
    <w:rsid w:val="14435CD5"/>
    <w:rsid w:val="144B30FE"/>
    <w:rsid w:val="14524150"/>
    <w:rsid w:val="14527DDE"/>
    <w:rsid w:val="145479B1"/>
    <w:rsid w:val="14565130"/>
    <w:rsid w:val="14586039"/>
    <w:rsid w:val="145973C3"/>
    <w:rsid w:val="14803710"/>
    <w:rsid w:val="14857ACA"/>
    <w:rsid w:val="14917924"/>
    <w:rsid w:val="1497086B"/>
    <w:rsid w:val="14A55B98"/>
    <w:rsid w:val="14A67B8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03B25"/>
    <w:rsid w:val="15FB17AF"/>
    <w:rsid w:val="15FB31E6"/>
    <w:rsid w:val="1608050A"/>
    <w:rsid w:val="160C4524"/>
    <w:rsid w:val="160E340B"/>
    <w:rsid w:val="161936E6"/>
    <w:rsid w:val="161F0731"/>
    <w:rsid w:val="16256FF6"/>
    <w:rsid w:val="162D4383"/>
    <w:rsid w:val="16313309"/>
    <w:rsid w:val="16316FCB"/>
    <w:rsid w:val="16391879"/>
    <w:rsid w:val="163F6330"/>
    <w:rsid w:val="164A2D93"/>
    <w:rsid w:val="16573112"/>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097"/>
    <w:rsid w:val="19030DA6"/>
    <w:rsid w:val="19167E56"/>
    <w:rsid w:val="19173E2A"/>
    <w:rsid w:val="19197D47"/>
    <w:rsid w:val="191F3DA3"/>
    <w:rsid w:val="191F4FB5"/>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51B76"/>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925EE"/>
    <w:rsid w:val="1B5A3C53"/>
    <w:rsid w:val="1B8C11E6"/>
    <w:rsid w:val="1B907589"/>
    <w:rsid w:val="1BA06E54"/>
    <w:rsid w:val="1BA431E8"/>
    <w:rsid w:val="1BA80348"/>
    <w:rsid w:val="1BC9471A"/>
    <w:rsid w:val="1BD310EA"/>
    <w:rsid w:val="1BDC487B"/>
    <w:rsid w:val="1BDE1354"/>
    <w:rsid w:val="1BE838F4"/>
    <w:rsid w:val="1BE84088"/>
    <w:rsid w:val="1BEC0D85"/>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7F1C71"/>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1989"/>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961C0"/>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D25C6"/>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60998"/>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8422EB"/>
    <w:rsid w:val="25953CD0"/>
    <w:rsid w:val="259746E1"/>
    <w:rsid w:val="25A0704D"/>
    <w:rsid w:val="25AE1D52"/>
    <w:rsid w:val="25AE2A28"/>
    <w:rsid w:val="25B75395"/>
    <w:rsid w:val="25BA32D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C43634"/>
    <w:rsid w:val="26E45C7C"/>
    <w:rsid w:val="26E6188B"/>
    <w:rsid w:val="26EE36BE"/>
    <w:rsid w:val="270A6AD0"/>
    <w:rsid w:val="270D4E67"/>
    <w:rsid w:val="272A6E66"/>
    <w:rsid w:val="272E675F"/>
    <w:rsid w:val="273077C5"/>
    <w:rsid w:val="27375777"/>
    <w:rsid w:val="273F0DD4"/>
    <w:rsid w:val="273F4198"/>
    <w:rsid w:val="27685E42"/>
    <w:rsid w:val="27704AE5"/>
    <w:rsid w:val="27737877"/>
    <w:rsid w:val="277D23A4"/>
    <w:rsid w:val="2784633E"/>
    <w:rsid w:val="27872846"/>
    <w:rsid w:val="27884118"/>
    <w:rsid w:val="27887A4A"/>
    <w:rsid w:val="279F7826"/>
    <w:rsid w:val="27AE14F2"/>
    <w:rsid w:val="27BB6906"/>
    <w:rsid w:val="27D752C7"/>
    <w:rsid w:val="27DC5227"/>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935E7"/>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3217F"/>
    <w:rsid w:val="2F0A769D"/>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0F4073"/>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80AA9"/>
    <w:rsid w:val="330C2BFC"/>
    <w:rsid w:val="330D5B5D"/>
    <w:rsid w:val="331036F0"/>
    <w:rsid w:val="331B7B50"/>
    <w:rsid w:val="33211714"/>
    <w:rsid w:val="33253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47880"/>
    <w:rsid w:val="345523B9"/>
    <w:rsid w:val="345839F8"/>
    <w:rsid w:val="345E1B27"/>
    <w:rsid w:val="34865E61"/>
    <w:rsid w:val="348E74EB"/>
    <w:rsid w:val="34966935"/>
    <w:rsid w:val="349B3828"/>
    <w:rsid w:val="349F422E"/>
    <w:rsid w:val="34B23F94"/>
    <w:rsid w:val="34B76239"/>
    <w:rsid w:val="34BC27C2"/>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15E89"/>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172321"/>
    <w:rsid w:val="37204FD3"/>
    <w:rsid w:val="37242982"/>
    <w:rsid w:val="37242C42"/>
    <w:rsid w:val="37313D38"/>
    <w:rsid w:val="37361181"/>
    <w:rsid w:val="37412149"/>
    <w:rsid w:val="3749267A"/>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2E0A16"/>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E72900"/>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9C3F8B"/>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A0975"/>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4F4042"/>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6E3CF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3A3E7F"/>
    <w:rsid w:val="4040373F"/>
    <w:rsid w:val="40445A60"/>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AE26AB"/>
    <w:rsid w:val="41C61144"/>
    <w:rsid w:val="41CB4FB0"/>
    <w:rsid w:val="41E66DDF"/>
    <w:rsid w:val="41F70567"/>
    <w:rsid w:val="41F85FB9"/>
    <w:rsid w:val="41FF5464"/>
    <w:rsid w:val="420F2E14"/>
    <w:rsid w:val="421F772C"/>
    <w:rsid w:val="422D35FB"/>
    <w:rsid w:val="42324470"/>
    <w:rsid w:val="42341E29"/>
    <w:rsid w:val="42433670"/>
    <w:rsid w:val="42481A69"/>
    <w:rsid w:val="424B2290"/>
    <w:rsid w:val="42581BD3"/>
    <w:rsid w:val="425863B4"/>
    <w:rsid w:val="426815E6"/>
    <w:rsid w:val="426A7B32"/>
    <w:rsid w:val="42790B3D"/>
    <w:rsid w:val="427E261B"/>
    <w:rsid w:val="42830D81"/>
    <w:rsid w:val="42887B27"/>
    <w:rsid w:val="428955FB"/>
    <w:rsid w:val="42915E1C"/>
    <w:rsid w:val="429321AA"/>
    <w:rsid w:val="42957AC8"/>
    <w:rsid w:val="429E1614"/>
    <w:rsid w:val="42A12B89"/>
    <w:rsid w:val="42A530BB"/>
    <w:rsid w:val="42B02AF4"/>
    <w:rsid w:val="42B2562E"/>
    <w:rsid w:val="42BA243D"/>
    <w:rsid w:val="42BD31FC"/>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8027653"/>
    <w:rsid w:val="48075081"/>
    <w:rsid w:val="48083ABC"/>
    <w:rsid w:val="481147D2"/>
    <w:rsid w:val="4823110A"/>
    <w:rsid w:val="4826567F"/>
    <w:rsid w:val="48320CAB"/>
    <w:rsid w:val="483E6F58"/>
    <w:rsid w:val="485C4320"/>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7216F5"/>
    <w:rsid w:val="499E4818"/>
    <w:rsid w:val="49B1337A"/>
    <w:rsid w:val="49B41FA7"/>
    <w:rsid w:val="49C55E3A"/>
    <w:rsid w:val="49CE4F98"/>
    <w:rsid w:val="49D539A2"/>
    <w:rsid w:val="49DA2620"/>
    <w:rsid w:val="49EC7814"/>
    <w:rsid w:val="49EF0470"/>
    <w:rsid w:val="4A043DA0"/>
    <w:rsid w:val="4A0D4F3E"/>
    <w:rsid w:val="4A1257B9"/>
    <w:rsid w:val="4A2A26CA"/>
    <w:rsid w:val="4A2F1E07"/>
    <w:rsid w:val="4A3228AF"/>
    <w:rsid w:val="4A365533"/>
    <w:rsid w:val="4A4921AC"/>
    <w:rsid w:val="4A585E23"/>
    <w:rsid w:val="4A5C3523"/>
    <w:rsid w:val="4A782769"/>
    <w:rsid w:val="4A8C1329"/>
    <w:rsid w:val="4A8D6EED"/>
    <w:rsid w:val="4A9B1257"/>
    <w:rsid w:val="4AA452D2"/>
    <w:rsid w:val="4AB60E3B"/>
    <w:rsid w:val="4ACE1AC5"/>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8B15F1"/>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6A5A"/>
    <w:rsid w:val="4C1A70D7"/>
    <w:rsid w:val="4C271FAD"/>
    <w:rsid w:val="4C2926F0"/>
    <w:rsid w:val="4C2A728D"/>
    <w:rsid w:val="4C2B4F9C"/>
    <w:rsid w:val="4C37513B"/>
    <w:rsid w:val="4C3A00FD"/>
    <w:rsid w:val="4C412B53"/>
    <w:rsid w:val="4C444722"/>
    <w:rsid w:val="4C5A49D1"/>
    <w:rsid w:val="4C5D672F"/>
    <w:rsid w:val="4C6276D3"/>
    <w:rsid w:val="4C687C6C"/>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81D25"/>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A422B1"/>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572A27"/>
    <w:rsid w:val="53607642"/>
    <w:rsid w:val="53621C0E"/>
    <w:rsid w:val="5369618C"/>
    <w:rsid w:val="536B733C"/>
    <w:rsid w:val="536C6057"/>
    <w:rsid w:val="536E2E04"/>
    <w:rsid w:val="53884E57"/>
    <w:rsid w:val="538E3225"/>
    <w:rsid w:val="53955078"/>
    <w:rsid w:val="53A60B30"/>
    <w:rsid w:val="53A9344C"/>
    <w:rsid w:val="53A96C07"/>
    <w:rsid w:val="53AD28A1"/>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8A1118"/>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B3C4F"/>
    <w:rsid w:val="58A04E07"/>
    <w:rsid w:val="58A21AC6"/>
    <w:rsid w:val="58A85E0D"/>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8FF2EF0"/>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11BDF"/>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B2608"/>
    <w:rsid w:val="5ACD0F31"/>
    <w:rsid w:val="5AD63BCD"/>
    <w:rsid w:val="5AD7017E"/>
    <w:rsid w:val="5AE04D1D"/>
    <w:rsid w:val="5AED7A37"/>
    <w:rsid w:val="5AEE4CD3"/>
    <w:rsid w:val="5AF77FC2"/>
    <w:rsid w:val="5B09529C"/>
    <w:rsid w:val="5B0F6DAA"/>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8404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9C1317"/>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B4C52"/>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A5359"/>
    <w:rsid w:val="64ED5CC6"/>
    <w:rsid w:val="65042301"/>
    <w:rsid w:val="650D2940"/>
    <w:rsid w:val="6514799B"/>
    <w:rsid w:val="653262A9"/>
    <w:rsid w:val="653A754C"/>
    <w:rsid w:val="654872C6"/>
    <w:rsid w:val="657D0DD9"/>
    <w:rsid w:val="65971329"/>
    <w:rsid w:val="659C1505"/>
    <w:rsid w:val="659D12DC"/>
    <w:rsid w:val="65A06E4D"/>
    <w:rsid w:val="65B40EF4"/>
    <w:rsid w:val="65CA2C47"/>
    <w:rsid w:val="65CA2E0F"/>
    <w:rsid w:val="65D35ECC"/>
    <w:rsid w:val="65DE081A"/>
    <w:rsid w:val="65F007B0"/>
    <w:rsid w:val="66226FCB"/>
    <w:rsid w:val="66276E6D"/>
    <w:rsid w:val="66297834"/>
    <w:rsid w:val="662D140A"/>
    <w:rsid w:val="66316CF1"/>
    <w:rsid w:val="66326142"/>
    <w:rsid w:val="66497A10"/>
    <w:rsid w:val="66516931"/>
    <w:rsid w:val="665B6D6D"/>
    <w:rsid w:val="665D41B1"/>
    <w:rsid w:val="667B481B"/>
    <w:rsid w:val="667E55C6"/>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87BDD"/>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0B403E"/>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A76032"/>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E6CD8"/>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DE7B06"/>
    <w:rsid w:val="6EEB12C8"/>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15212"/>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6E1479"/>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741A4"/>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B701A"/>
    <w:rsid w:val="764D775D"/>
    <w:rsid w:val="765579C5"/>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484F04"/>
    <w:rsid w:val="774C0A76"/>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2584A"/>
    <w:rsid w:val="799C11C8"/>
    <w:rsid w:val="79A00054"/>
    <w:rsid w:val="79A5117D"/>
    <w:rsid w:val="79AA5D09"/>
    <w:rsid w:val="79B51060"/>
    <w:rsid w:val="79BF3A74"/>
    <w:rsid w:val="79D2716F"/>
    <w:rsid w:val="79D335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60B9E"/>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58"/>
    <w:qFormat/>
    <w:uiPriority w:val="0"/>
    <w:pPr>
      <w:spacing w:line="360" w:lineRule="auto"/>
      <w:outlineLvl w:val="0"/>
    </w:pPr>
    <w:rPr>
      <w:rFonts w:ascii="仿宋" w:hAnsi="仿宋" w:eastAsia="仿宋"/>
      <w:color w:val="000000"/>
      <w:sz w:val="36"/>
    </w:rPr>
  </w:style>
  <w:style w:type="paragraph" w:styleId="4">
    <w:name w:val="heading 2"/>
    <w:basedOn w:val="1"/>
    <w:next w:val="1"/>
    <w:link w:val="59"/>
    <w:qFormat/>
    <w:uiPriority w:val="0"/>
    <w:pPr>
      <w:spacing w:line="520" w:lineRule="exact"/>
      <w:outlineLvl w:val="1"/>
    </w:pPr>
    <w:rPr>
      <w:rFonts w:ascii="仿宋" w:hAnsi="仿宋" w:eastAsia="仿宋"/>
      <w:color w:val="000000"/>
      <w:kern w:val="0"/>
      <w:sz w:val="28"/>
      <w:szCs w:val="24"/>
    </w:rPr>
  </w:style>
  <w:style w:type="paragraph" w:styleId="5">
    <w:name w:val="heading 3"/>
    <w:basedOn w:val="1"/>
    <w:next w:val="1"/>
    <w:link w:val="60"/>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6">
    <w:name w:val="heading 4"/>
    <w:basedOn w:val="1"/>
    <w:next w:val="1"/>
    <w:link w:val="61"/>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7">
    <w:name w:val="heading 5"/>
    <w:basedOn w:val="1"/>
    <w:next w:val="1"/>
    <w:link w:val="62"/>
    <w:qFormat/>
    <w:uiPriority w:val="0"/>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8">
    <w:name w:val="heading 6"/>
    <w:basedOn w:val="1"/>
    <w:next w:val="1"/>
    <w:link w:val="63"/>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9">
    <w:name w:val="heading 7"/>
    <w:basedOn w:val="1"/>
    <w:next w:val="1"/>
    <w:link w:val="64"/>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0">
    <w:name w:val="heading 8"/>
    <w:basedOn w:val="1"/>
    <w:next w:val="1"/>
    <w:link w:val="65"/>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1">
    <w:name w:val="heading 9"/>
    <w:basedOn w:val="1"/>
    <w:next w:val="1"/>
    <w:link w:val="66"/>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toc 7"/>
    <w:basedOn w:val="1"/>
    <w:next w:val="1"/>
    <w:qFormat/>
    <w:uiPriority w:val="0"/>
    <w:pPr>
      <w:ind w:left="1260"/>
      <w:jc w:val="left"/>
    </w:pPr>
    <w:rPr>
      <w:sz w:val="18"/>
    </w:rPr>
  </w:style>
  <w:style w:type="paragraph" w:styleId="13">
    <w:name w:val="Normal Indent"/>
    <w:basedOn w:val="1"/>
    <w:link w:val="67"/>
    <w:qFormat/>
    <w:uiPriority w:val="99"/>
    <w:pPr>
      <w:ind w:firstLine="420"/>
    </w:pPr>
    <w:rPr>
      <w:sz w:val="24"/>
    </w:rPr>
  </w:style>
  <w:style w:type="paragraph" w:styleId="14">
    <w:name w:val="List Bullet"/>
    <w:basedOn w:val="1"/>
    <w:link w:val="68"/>
    <w:qFormat/>
    <w:uiPriority w:val="0"/>
    <w:pPr>
      <w:tabs>
        <w:tab w:val="left" w:pos="360"/>
      </w:tabs>
      <w:ind w:left="360" w:hanging="360"/>
    </w:pPr>
    <w:rPr>
      <w:kern w:val="0"/>
      <w:sz w:val="20"/>
    </w:rPr>
  </w:style>
  <w:style w:type="paragraph" w:styleId="15">
    <w:name w:val="Document Map"/>
    <w:basedOn w:val="1"/>
    <w:link w:val="69"/>
    <w:semiHidden/>
    <w:qFormat/>
    <w:uiPriority w:val="99"/>
    <w:pPr>
      <w:shd w:val="clear" w:color="auto" w:fill="000080"/>
      <w:spacing w:line="360" w:lineRule="auto"/>
      <w:ind w:firstLine="200" w:firstLineChars="200"/>
    </w:pPr>
    <w:rPr>
      <w:sz w:val="24"/>
      <w:szCs w:val="24"/>
    </w:rPr>
  </w:style>
  <w:style w:type="paragraph" w:styleId="16">
    <w:name w:val="toa heading"/>
    <w:basedOn w:val="1"/>
    <w:next w:val="1"/>
    <w:qFormat/>
    <w:uiPriority w:val="99"/>
    <w:pPr>
      <w:spacing w:before="120"/>
    </w:pPr>
    <w:rPr>
      <w:rFonts w:ascii="Arial" w:hAnsi="Arial"/>
      <w:sz w:val="24"/>
      <w:szCs w:val="21"/>
    </w:rPr>
  </w:style>
  <w:style w:type="paragraph" w:styleId="17">
    <w:name w:val="annotation text"/>
    <w:basedOn w:val="1"/>
    <w:link w:val="70"/>
    <w:qFormat/>
    <w:uiPriority w:val="99"/>
    <w:pPr>
      <w:jc w:val="left"/>
    </w:pPr>
    <w:rPr>
      <w:szCs w:val="24"/>
    </w:rPr>
  </w:style>
  <w:style w:type="paragraph" w:styleId="18">
    <w:name w:val="Body Text 3"/>
    <w:basedOn w:val="1"/>
    <w:qFormat/>
    <w:uiPriority w:val="0"/>
    <w:pPr>
      <w:spacing w:after="120" w:line="360" w:lineRule="auto"/>
      <w:ind w:firstLine="200" w:firstLineChars="200"/>
    </w:pPr>
    <w:rPr>
      <w:sz w:val="16"/>
      <w:szCs w:val="16"/>
    </w:rPr>
  </w:style>
  <w:style w:type="paragraph" w:styleId="19">
    <w:name w:val="Body Text"/>
    <w:basedOn w:val="1"/>
    <w:link w:val="56"/>
    <w:qFormat/>
    <w:uiPriority w:val="0"/>
    <w:rPr>
      <w:sz w:val="24"/>
      <w:szCs w:val="24"/>
    </w:rPr>
  </w:style>
  <w:style w:type="paragraph" w:styleId="20">
    <w:name w:val="Body Text Indent"/>
    <w:basedOn w:val="1"/>
    <w:link w:val="71"/>
    <w:qFormat/>
    <w:uiPriority w:val="99"/>
    <w:pPr>
      <w:spacing w:line="360" w:lineRule="auto"/>
      <w:ind w:firstLine="480" w:firstLineChars="200"/>
    </w:pPr>
    <w:rPr>
      <w:rFonts w:ascii="宋体" w:hAnsi="宋体"/>
      <w:sz w:val="24"/>
      <w:szCs w:val="24"/>
    </w:rPr>
  </w:style>
  <w:style w:type="paragraph" w:styleId="21">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2">
    <w:name w:val="toc 5"/>
    <w:basedOn w:val="1"/>
    <w:next w:val="1"/>
    <w:qFormat/>
    <w:uiPriority w:val="0"/>
    <w:pPr>
      <w:ind w:left="840"/>
      <w:jc w:val="left"/>
    </w:pPr>
    <w:rPr>
      <w:sz w:val="18"/>
    </w:rPr>
  </w:style>
  <w:style w:type="paragraph" w:styleId="23">
    <w:name w:val="toc 3"/>
    <w:basedOn w:val="1"/>
    <w:next w:val="1"/>
    <w:qFormat/>
    <w:uiPriority w:val="0"/>
    <w:pPr>
      <w:ind w:left="420" w:leftChars="200"/>
      <w:jc w:val="left"/>
    </w:pPr>
    <w:rPr>
      <w:rFonts w:ascii="Arial" w:hAnsi="Arial"/>
    </w:rPr>
  </w:style>
  <w:style w:type="paragraph" w:styleId="24">
    <w:name w:val="Plain Text"/>
    <w:basedOn w:val="1"/>
    <w:link w:val="72"/>
    <w:qFormat/>
    <w:uiPriority w:val="0"/>
    <w:rPr>
      <w:rFonts w:ascii="宋体" w:hAnsi="Courier New"/>
      <w:sz w:val="11"/>
    </w:rPr>
  </w:style>
  <w:style w:type="paragraph" w:styleId="25">
    <w:name w:val="toc 8"/>
    <w:basedOn w:val="1"/>
    <w:next w:val="1"/>
    <w:qFormat/>
    <w:uiPriority w:val="0"/>
    <w:pPr>
      <w:ind w:left="1470"/>
      <w:jc w:val="left"/>
    </w:pPr>
    <w:rPr>
      <w:sz w:val="18"/>
    </w:rPr>
  </w:style>
  <w:style w:type="paragraph" w:styleId="26">
    <w:name w:val="Date"/>
    <w:basedOn w:val="1"/>
    <w:next w:val="1"/>
    <w:link w:val="73"/>
    <w:qFormat/>
    <w:uiPriority w:val="0"/>
    <w:pPr>
      <w:ind w:left="100" w:leftChars="2500"/>
    </w:pPr>
    <w:rPr>
      <w:rFonts w:ascii="仿宋_GB2312" w:eastAsia="仿宋_GB2312"/>
      <w:color w:val="000000"/>
      <w:kern w:val="0"/>
      <w:sz w:val="28"/>
    </w:rPr>
  </w:style>
  <w:style w:type="paragraph" w:styleId="27">
    <w:name w:val="Body Text Indent 2"/>
    <w:basedOn w:val="1"/>
    <w:link w:val="74"/>
    <w:qFormat/>
    <w:uiPriority w:val="0"/>
    <w:pPr>
      <w:spacing w:line="360" w:lineRule="auto"/>
      <w:ind w:left="840" w:leftChars="400" w:firstLine="480" w:firstLineChars="200"/>
    </w:pPr>
    <w:rPr>
      <w:sz w:val="24"/>
    </w:rPr>
  </w:style>
  <w:style w:type="paragraph" w:styleId="28">
    <w:name w:val="Balloon Text"/>
    <w:basedOn w:val="1"/>
    <w:link w:val="75"/>
    <w:semiHidden/>
    <w:qFormat/>
    <w:uiPriority w:val="99"/>
    <w:pPr>
      <w:spacing w:line="360" w:lineRule="auto"/>
      <w:ind w:firstLine="200" w:firstLineChars="200"/>
    </w:pPr>
    <w:rPr>
      <w:sz w:val="18"/>
      <w:szCs w:val="18"/>
    </w:rPr>
  </w:style>
  <w:style w:type="paragraph" w:styleId="29">
    <w:name w:val="footer"/>
    <w:basedOn w:val="1"/>
    <w:link w:val="76"/>
    <w:qFormat/>
    <w:uiPriority w:val="99"/>
    <w:pPr>
      <w:tabs>
        <w:tab w:val="center" w:pos="4153"/>
        <w:tab w:val="right" w:pos="8306"/>
      </w:tabs>
      <w:snapToGrid w:val="0"/>
      <w:jc w:val="left"/>
    </w:pPr>
    <w:rPr>
      <w:sz w:val="18"/>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after="120" w:line="360" w:lineRule="auto"/>
      <w:ind w:firstLine="200" w:firstLineChars="200"/>
      <w:jc w:val="left"/>
    </w:pPr>
    <w:rPr>
      <w:b/>
      <w:bCs/>
      <w:caps/>
      <w:sz w:val="20"/>
    </w:rPr>
  </w:style>
  <w:style w:type="paragraph" w:styleId="32">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3">
    <w:name w:val="footnote text"/>
    <w:basedOn w:val="1"/>
    <w:unhideWhenUsed/>
    <w:qFormat/>
    <w:uiPriority w:val="99"/>
    <w:pPr>
      <w:snapToGrid w:val="0"/>
      <w:jc w:val="left"/>
    </w:pPr>
    <w:rPr>
      <w:sz w:val="18"/>
      <w:szCs w:val="18"/>
    </w:rPr>
  </w:style>
  <w:style w:type="paragraph" w:styleId="34">
    <w:name w:val="toc 6"/>
    <w:basedOn w:val="1"/>
    <w:next w:val="1"/>
    <w:qFormat/>
    <w:uiPriority w:val="0"/>
    <w:pPr>
      <w:ind w:left="1050"/>
      <w:jc w:val="left"/>
    </w:pPr>
    <w:rPr>
      <w:sz w:val="18"/>
    </w:rPr>
  </w:style>
  <w:style w:type="paragraph" w:styleId="35">
    <w:name w:val="Body Text Indent 3"/>
    <w:basedOn w:val="1"/>
    <w:qFormat/>
    <w:uiPriority w:val="0"/>
    <w:pPr>
      <w:ind w:firstLine="480" w:firstLineChars="200"/>
    </w:pPr>
    <w:rPr>
      <w:sz w:val="24"/>
    </w:rPr>
  </w:style>
  <w:style w:type="paragraph" w:styleId="36">
    <w:name w:val="toc 2"/>
    <w:basedOn w:val="1"/>
    <w:next w:val="1"/>
    <w:qFormat/>
    <w:uiPriority w:val="39"/>
    <w:pPr>
      <w:ind w:left="100" w:leftChars="100"/>
      <w:jc w:val="left"/>
    </w:pPr>
    <w:rPr>
      <w:rFonts w:ascii="Arial" w:hAnsi="Arial"/>
    </w:rPr>
  </w:style>
  <w:style w:type="paragraph" w:styleId="37">
    <w:name w:val="toc 9"/>
    <w:basedOn w:val="1"/>
    <w:next w:val="1"/>
    <w:qFormat/>
    <w:uiPriority w:val="0"/>
    <w:pPr>
      <w:ind w:left="1680"/>
      <w:jc w:val="left"/>
    </w:pPr>
    <w:rPr>
      <w:sz w:val="18"/>
    </w:rPr>
  </w:style>
  <w:style w:type="paragraph" w:styleId="38">
    <w:name w:val="Body Text 2"/>
    <w:basedOn w:val="1"/>
    <w:qFormat/>
    <w:uiPriority w:val="0"/>
    <w:pPr>
      <w:spacing w:line="360" w:lineRule="atLeast"/>
      <w:jc w:val="center"/>
    </w:pPr>
    <w:rPr>
      <w:rFonts w:ascii="仿宋_GB2312" w:hAnsi="Dotum" w:eastAsia="仿宋_GB2312"/>
      <w:sz w:val="28"/>
    </w:rPr>
  </w:style>
  <w:style w:type="paragraph" w:styleId="39">
    <w:name w:val="Normal (Web)"/>
    <w:basedOn w:val="1"/>
    <w:link w:val="78"/>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57"/>
    <w:qFormat/>
    <w:uiPriority w:val="99"/>
    <w:pPr>
      <w:spacing w:before="240" w:after="60"/>
      <w:ind w:left="425" w:hanging="425"/>
      <w:jc w:val="center"/>
      <w:outlineLvl w:val="0"/>
    </w:pPr>
    <w:rPr>
      <w:rFonts w:ascii="Arial" w:hAnsi="Arial" w:cs="Arial"/>
      <w:b/>
      <w:bCs/>
      <w:sz w:val="32"/>
      <w:szCs w:val="32"/>
    </w:rPr>
  </w:style>
  <w:style w:type="paragraph" w:styleId="41">
    <w:name w:val="annotation subject"/>
    <w:basedOn w:val="17"/>
    <w:next w:val="17"/>
    <w:link w:val="79"/>
    <w:qFormat/>
    <w:uiPriority w:val="0"/>
    <w:rPr>
      <w:b/>
      <w:bCs/>
    </w:rPr>
  </w:style>
  <w:style w:type="paragraph" w:styleId="42">
    <w:name w:val="Body Text First Indent 2"/>
    <w:basedOn w:val="20"/>
    <w:next w:val="1"/>
    <w:qFormat/>
    <w:uiPriority w:val="0"/>
    <w:pPr>
      <w:overflowPunct w:val="0"/>
      <w:adjustRightInd w:val="0"/>
      <w:spacing w:line="500" w:lineRule="exact"/>
      <w:ind w:firstLine="420"/>
      <w:textAlignment w:val="baseline"/>
    </w:pPr>
    <w:rPr>
      <w:rFonts w:ascii="Times New Roman" w:hAnsi="Times New Roman" w:eastAsia="仿宋_GB2312"/>
      <w:kern w:val="28"/>
      <w:sz w:val="28"/>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2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footnote reference"/>
    <w:basedOn w:val="45"/>
    <w:unhideWhenUsed/>
    <w:qFormat/>
    <w:uiPriority w:val="99"/>
    <w:rPr>
      <w:vertAlign w:val="superscript"/>
    </w:rPr>
  </w:style>
  <w:style w:type="character" w:styleId="53">
    <w:name w:val="HTML Sample"/>
    <w:qFormat/>
    <w:uiPriority w:val="0"/>
    <w:rPr>
      <w:rFonts w:ascii="Courier New" w:hAnsi="Courier New"/>
    </w:rPr>
  </w:style>
  <w:style w:type="paragraph" w:customStyle="1" w:styleId="54">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55">
    <w:name w:val="Default"/>
    <w:basedOn w:val="40"/>
    <w:next w:val="3"/>
    <w:qFormat/>
    <w:uiPriority w:val="0"/>
    <w:pPr>
      <w:autoSpaceDE w:val="0"/>
      <w:autoSpaceDN w:val="0"/>
      <w:adjustRightInd w:val="0"/>
    </w:pPr>
    <w:rPr>
      <w:rFonts w:ascii="宋体" w:hAnsi="Calibri" w:cs="宋体"/>
      <w:color w:val="000000"/>
      <w:sz w:val="24"/>
      <w:szCs w:val="24"/>
    </w:rPr>
  </w:style>
  <w:style w:type="character" w:customStyle="1" w:styleId="56">
    <w:name w:val="正文文本 字符1"/>
    <w:link w:val="19"/>
    <w:qFormat/>
    <w:uiPriority w:val="0"/>
    <w:rPr>
      <w:rFonts w:eastAsia="宋体"/>
      <w:kern w:val="2"/>
      <w:sz w:val="24"/>
      <w:szCs w:val="24"/>
      <w:lang w:val="en-US" w:eastAsia="zh-CN" w:bidi="ar-SA"/>
    </w:rPr>
  </w:style>
  <w:style w:type="character" w:customStyle="1" w:styleId="57">
    <w:name w:val="标题 字符"/>
    <w:link w:val="40"/>
    <w:qFormat/>
    <w:uiPriority w:val="99"/>
    <w:rPr>
      <w:rFonts w:ascii="Arial" w:hAnsi="Arial" w:eastAsia="宋体" w:cs="Arial"/>
      <w:b/>
      <w:bCs/>
      <w:kern w:val="2"/>
      <w:sz w:val="32"/>
      <w:szCs w:val="32"/>
      <w:lang w:val="en-US" w:eastAsia="zh-CN" w:bidi="ar-SA"/>
    </w:rPr>
  </w:style>
  <w:style w:type="character" w:customStyle="1" w:styleId="58">
    <w:name w:val="标题 1 字符"/>
    <w:link w:val="3"/>
    <w:qFormat/>
    <w:uiPriority w:val="0"/>
    <w:rPr>
      <w:rFonts w:ascii="仿宋" w:hAnsi="仿宋" w:eastAsia="仿宋" w:cs="Arial"/>
      <w:b/>
      <w:color w:val="000000"/>
      <w:kern w:val="2"/>
      <w:sz w:val="36"/>
      <w:szCs w:val="32"/>
    </w:rPr>
  </w:style>
  <w:style w:type="character" w:customStyle="1" w:styleId="59">
    <w:name w:val="标题 2 字符"/>
    <w:link w:val="4"/>
    <w:qFormat/>
    <w:uiPriority w:val="0"/>
    <w:rPr>
      <w:rFonts w:ascii="仿宋" w:hAnsi="仿宋" w:eastAsia="仿宋" w:cs="宋体"/>
      <w:color w:val="000000"/>
      <w:sz w:val="28"/>
      <w:szCs w:val="24"/>
    </w:rPr>
  </w:style>
  <w:style w:type="character" w:customStyle="1" w:styleId="60">
    <w:name w:val="标题 3 字符"/>
    <w:link w:val="5"/>
    <w:qFormat/>
    <w:uiPriority w:val="0"/>
    <w:rPr>
      <w:rFonts w:eastAsia="黑体"/>
      <w:b/>
      <w:sz w:val="24"/>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9"/>
    <w:rPr>
      <w:rFonts w:ascii="Arial" w:hAnsi="Arial" w:eastAsia="黑体"/>
      <w:b/>
      <w:sz w:val="24"/>
    </w:rPr>
  </w:style>
  <w:style w:type="character" w:customStyle="1" w:styleId="64">
    <w:name w:val="标题 7 字符"/>
    <w:link w:val="9"/>
    <w:qFormat/>
    <w:uiPriority w:val="9"/>
    <w:rPr>
      <w:b/>
      <w:sz w:val="24"/>
    </w:rPr>
  </w:style>
  <w:style w:type="character" w:customStyle="1" w:styleId="65">
    <w:name w:val="标题 8 字符"/>
    <w:link w:val="10"/>
    <w:qFormat/>
    <w:uiPriority w:val="9"/>
    <w:rPr>
      <w:rFonts w:ascii="Arial" w:hAnsi="Arial" w:eastAsia="黑体"/>
      <w:sz w:val="24"/>
    </w:rPr>
  </w:style>
  <w:style w:type="character" w:customStyle="1" w:styleId="66">
    <w:name w:val="标题 9 字符"/>
    <w:link w:val="11"/>
    <w:qFormat/>
    <w:uiPriority w:val="9"/>
    <w:rPr>
      <w:rFonts w:ascii="Arial" w:hAnsi="Arial" w:eastAsia="黑体"/>
      <w:sz w:val="24"/>
    </w:rPr>
  </w:style>
  <w:style w:type="character" w:customStyle="1" w:styleId="67">
    <w:name w:val="正文缩进 字符"/>
    <w:link w:val="13"/>
    <w:qFormat/>
    <w:uiPriority w:val="0"/>
    <w:rPr>
      <w:kern w:val="2"/>
      <w:sz w:val="24"/>
    </w:rPr>
  </w:style>
  <w:style w:type="character" w:customStyle="1" w:styleId="68">
    <w:name w:val="列表项目符号 字符"/>
    <w:link w:val="14"/>
    <w:qFormat/>
    <w:uiPriority w:val="0"/>
  </w:style>
  <w:style w:type="character" w:customStyle="1" w:styleId="69">
    <w:name w:val="文档结构图 字符"/>
    <w:link w:val="15"/>
    <w:semiHidden/>
    <w:qFormat/>
    <w:uiPriority w:val="99"/>
    <w:rPr>
      <w:kern w:val="2"/>
      <w:sz w:val="24"/>
      <w:szCs w:val="24"/>
      <w:shd w:val="clear" w:color="auto" w:fill="000080"/>
    </w:rPr>
  </w:style>
  <w:style w:type="character" w:customStyle="1" w:styleId="70">
    <w:name w:val="批注文字 字符"/>
    <w:link w:val="17"/>
    <w:qFormat/>
    <w:uiPriority w:val="99"/>
    <w:rPr>
      <w:kern w:val="2"/>
      <w:sz w:val="21"/>
      <w:szCs w:val="24"/>
    </w:rPr>
  </w:style>
  <w:style w:type="character" w:customStyle="1" w:styleId="71">
    <w:name w:val="正文文本缩进 字符"/>
    <w:link w:val="20"/>
    <w:qFormat/>
    <w:uiPriority w:val="99"/>
    <w:rPr>
      <w:rFonts w:ascii="宋体" w:hAnsi="宋体" w:eastAsia="宋体"/>
      <w:kern w:val="2"/>
      <w:sz w:val="24"/>
      <w:szCs w:val="24"/>
      <w:lang w:val="en-US" w:eastAsia="zh-CN" w:bidi="ar-SA"/>
    </w:rPr>
  </w:style>
  <w:style w:type="character" w:customStyle="1" w:styleId="72">
    <w:name w:val="纯文本 字符"/>
    <w:link w:val="24"/>
    <w:qFormat/>
    <w:uiPriority w:val="0"/>
    <w:rPr>
      <w:rFonts w:ascii="宋体" w:hAnsi="Courier New" w:eastAsia="宋体"/>
      <w:kern w:val="2"/>
      <w:sz w:val="11"/>
      <w:lang w:val="en-US" w:eastAsia="zh-CN" w:bidi="ar-SA"/>
    </w:rPr>
  </w:style>
  <w:style w:type="character" w:customStyle="1" w:styleId="73">
    <w:name w:val="日期 字符"/>
    <w:link w:val="26"/>
    <w:qFormat/>
    <w:uiPriority w:val="0"/>
    <w:rPr>
      <w:rFonts w:ascii="仿宋_GB2312" w:eastAsia="仿宋_GB2312"/>
      <w:color w:val="000000"/>
      <w:sz w:val="28"/>
    </w:rPr>
  </w:style>
  <w:style w:type="character" w:customStyle="1" w:styleId="74">
    <w:name w:val="正文文本缩进 2 字符"/>
    <w:link w:val="27"/>
    <w:qFormat/>
    <w:uiPriority w:val="0"/>
    <w:rPr>
      <w:kern w:val="2"/>
      <w:sz w:val="24"/>
    </w:rPr>
  </w:style>
  <w:style w:type="character" w:customStyle="1" w:styleId="75">
    <w:name w:val="批注框文本 字符"/>
    <w:link w:val="28"/>
    <w:semiHidden/>
    <w:qFormat/>
    <w:uiPriority w:val="99"/>
    <w:rPr>
      <w:kern w:val="2"/>
      <w:sz w:val="18"/>
      <w:szCs w:val="18"/>
    </w:rPr>
  </w:style>
  <w:style w:type="character" w:customStyle="1" w:styleId="76">
    <w:name w:val="页脚 字符"/>
    <w:link w:val="29"/>
    <w:qFormat/>
    <w:uiPriority w:val="99"/>
    <w:rPr>
      <w:rFonts w:eastAsia="宋体"/>
      <w:kern w:val="2"/>
      <w:sz w:val="18"/>
      <w:lang w:val="en-US" w:eastAsia="zh-CN" w:bidi="ar-SA"/>
    </w:rPr>
  </w:style>
  <w:style w:type="character" w:customStyle="1" w:styleId="77">
    <w:name w:val="页眉 字符"/>
    <w:link w:val="30"/>
    <w:qFormat/>
    <w:uiPriority w:val="99"/>
    <w:rPr>
      <w:rFonts w:eastAsia="宋体"/>
      <w:kern w:val="2"/>
      <w:sz w:val="18"/>
      <w:lang w:val="en-US" w:eastAsia="zh-CN" w:bidi="ar-SA"/>
    </w:rPr>
  </w:style>
  <w:style w:type="character" w:customStyle="1" w:styleId="78">
    <w:name w:val="普通(网站) 字符"/>
    <w:link w:val="39"/>
    <w:qFormat/>
    <w:locked/>
    <w:uiPriority w:val="0"/>
    <w:rPr>
      <w:rFonts w:ascii="宋体" w:hAnsi="宋体"/>
      <w:sz w:val="24"/>
    </w:rPr>
  </w:style>
  <w:style w:type="character" w:customStyle="1" w:styleId="79">
    <w:name w:val="批注主题 字符"/>
    <w:link w:val="41"/>
    <w:qFormat/>
    <w:uiPriority w:val="0"/>
    <w:rPr>
      <w:b/>
      <w:bCs/>
      <w:kern w:val="2"/>
      <w:sz w:val="21"/>
      <w:szCs w:val="24"/>
    </w:rPr>
  </w:style>
  <w:style w:type="character" w:customStyle="1" w:styleId="80">
    <w:name w:val="Default Text Char"/>
    <w:link w:val="81"/>
    <w:qFormat/>
    <w:uiPriority w:val="0"/>
    <w:rPr>
      <w:color w:val="000000"/>
      <w:sz w:val="24"/>
      <w:lang w:val="en-US" w:eastAsia="zh-CN" w:bidi="ar-SA"/>
    </w:rPr>
  </w:style>
  <w:style w:type="paragraph" w:customStyle="1" w:styleId="81">
    <w:name w:val="Default Text"/>
    <w:link w:val="80"/>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82">
    <w:name w:val="页码1"/>
    <w:basedOn w:val="45"/>
    <w:qFormat/>
    <w:uiPriority w:val="0"/>
  </w:style>
  <w:style w:type="character" w:customStyle="1" w:styleId="83">
    <w:name w:val="Char Char2"/>
    <w:qFormat/>
    <w:uiPriority w:val="0"/>
    <w:rPr>
      <w:rFonts w:ascii="宋体" w:hAnsi="Courier New" w:eastAsia="宋体"/>
      <w:kern w:val="2"/>
      <w:sz w:val="11"/>
      <w:lang w:val="en-US" w:eastAsia="zh-CN" w:bidi="ar-SA"/>
    </w:rPr>
  </w:style>
  <w:style w:type="character" w:customStyle="1" w:styleId="84">
    <w:name w:val="标1 Char Char"/>
    <w:link w:val="85"/>
    <w:qFormat/>
    <w:uiPriority w:val="0"/>
    <w:rPr>
      <w:rFonts w:ascii="Arial Narrow" w:hAnsi="Arial Narrow" w:eastAsia="仿宋_GB2312"/>
      <w:b/>
      <w:bCs/>
      <w:spacing w:val="20"/>
      <w:kern w:val="2"/>
      <w:sz w:val="24"/>
      <w:szCs w:val="24"/>
    </w:rPr>
  </w:style>
  <w:style w:type="paragraph" w:customStyle="1" w:styleId="85">
    <w:name w:val="标1"/>
    <w:basedOn w:val="1"/>
    <w:link w:val="84"/>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6">
    <w:name w:val="样式 Arial"/>
    <w:qFormat/>
    <w:uiPriority w:val="0"/>
    <w:rPr>
      <w:rFonts w:hint="default" w:ascii="Times New Roman" w:hAnsi="Times New Roman" w:eastAsia="宋体" w:cs="Times New Roman"/>
      <w:sz w:val="21"/>
      <w:szCs w:val="21"/>
    </w:rPr>
  </w:style>
  <w:style w:type="character" w:customStyle="1" w:styleId="87">
    <w:name w:val="7）页眉页脚"/>
    <w:qFormat/>
    <w:uiPriority w:val="0"/>
    <w:rPr>
      <w:rFonts w:ascii="仿宋_GB2312" w:eastAsia="仿宋_GB2312"/>
      <w:b/>
      <w:i/>
      <w:sz w:val="18"/>
      <w:vertAlign w:val="baseline"/>
    </w:rPr>
  </w:style>
  <w:style w:type="character" w:customStyle="1" w:styleId="88">
    <w:name w:val="标题 3 Char Char"/>
    <w:qFormat/>
    <w:uiPriority w:val="0"/>
    <w:rPr>
      <w:rFonts w:ascii="Arial" w:hAnsi="Arial" w:eastAsia="宋体"/>
      <w:b/>
      <w:bCs/>
      <w:kern w:val="2"/>
      <w:sz w:val="24"/>
      <w:szCs w:val="32"/>
      <w:lang w:val="en-US" w:eastAsia="zh-CN" w:bidi="ar-SA"/>
    </w:rPr>
  </w:style>
  <w:style w:type="character" w:customStyle="1" w:styleId="89">
    <w:name w:val="font31"/>
    <w:qFormat/>
    <w:uiPriority w:val="0"/>
    <w:rPr>
      <w:rFonts w:hint="eastAsia" w:ascii="宋体" w:hAnsi="宋体" w:eastAsia="宋体" w:cs="宋体"/>
      <w:color w:val="000000"/>
      <w:sz w:val="20"/>
      <w:szCs w:val="20"/>
    </w:rPr>
  </w:style>
  <w:style w:type="character" w:customStyle="1" w:styleId="90">
    <w:name w:val="标准正文格式 Char"/>
    <w:link w:val="91"/>
    <w:qFormat/>
    <w:locked/>
    <w:uiPriority w:val="0"/>
    <w:rPr>
      <w:rFonts w:ascii="宋体" w:eastAsia="仿宋_GB2312" w:cs="宋体"/>
      <w:color w:val="000000"/>
      <w:kern w:val="2"/>
      <w:sz w:val="24"/>
      <w:szCs w:val="24"/>
    </w:rPr>
  </w:style>
  <w:style w:type="paragraph" w:customStyle="1" w:styleId="91">
    <w:name w:val="标准正文格式"/>
    <w:basedOn w:val="1"/>
    <w:link w:val="90"/>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4"/>
    </w:rPr>
  </w:style>
  <w:style w:type="character" w:customStyle="1" w:styleId="92">
    <w:name w:val="DZBL-正文-2 Char"/>
    <w:link w:val="93"/>
    <w:qFormat/>
    <w:locked/>
    <w:uiPriority w:val="0"/>
    <w:rPr>
      <w:rFonts w:ascii="宋体"/>
      <w:sz w:val="24"/>
      <w:szCs w:val="24"/>
      <w:lang w:val="zh-CN"/>
    </w:rPr>
  </w:style>
  <w:style w:type="paragraph" w:customStyle="1" w:styleId="93">
    <w:name w:val="DZBL-正文-2"/>
    <w:basedOn w:val="1"/>
    <w:link w:val="92"/>
    <w:qFormat/>
    <w:uiPriority w:val="0"/>
    <w:pPr>
      <w:spacing w:line="360" w:lineRule="auto"/>
      <w:ind w:firstLine="425" w:firstLineChars="177"/>
    </w:pPr>
    <w:rPr>
      <w:rFonts w:ascii="宋体"/>
      <w:kern w:val="0"/>
      <w:sz w:val="24"/>
      <w:szCs w:val="24"/>
      <w:lang w:val="zh-CN"/>
    </w:rPr>
  </w:style>
  <w:style w:type="character" w:customStyle="1" w:styleId="94">
    <w:name w:val="标题 3 Char"/>
    <w:qFormat/>
    <w:uiPriority w:val="0"/>
    <w:rPr>
      <w:rFonts w:ascii="Arial" w:hAnsi="Arial" w:eastAsia="宋体"/>
      <w:b/>
      <w:bCs/>
      <w:kern w:val="2"/>
      <w:sz w:val="24"/>
      <w:szCs w:val="32"/>
      <w:lang w:val="en-US" w:eastAsia="zh-CN" w:bidi="ar-SA"/>
    </w:rPr>
  </w:style>
  <w:style w:type="character" w:customStyle="1" w:styleId="95">
    <w:name w:val="apple-style-span"/>
    <w:qFormat/>
    <w:uiPriority w:val="0"/>
  </w:style>
  <w:style w:type="character" w:customStyle="1" w:styleId="96">
    <w:name w:val="标3 Char"/>
    <w:link w:val="97"/>
    <w:qFormat/>
    <w:uiPriority w:val="0"/>
    <w:rPr>
      <w:rFonts w:ascii="Arial Narrow" w:hAnsi="Arial Narrow" w:eastAsia="仿宋_GB2312"/>
      <w:kern w:val="2"/>
      <w:sz w:val="24"/>
      <w:szCs w:val="24"/>
    </w:rPr>
  </w:style>
  <w:style w:type="paragraph" w:customStyle="1" w:styleId="97">
    <w:name w:val="标3"/>
    <w:basedOn w:val="1"/>
    <w:link w:val="96"/>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98">
    <w:name w:val="样式 小四"/>
    <w:qFormat/>
    <w:uiPriority w:val="0"/>
    <w:rPr>
      <w:rFonts w:eastAsia="宋体"/>
      <w:sz w:val="24"/>
    </w:rPr>
  </w:style>
  <w:style w:type="character" w:customStyle="1" w:styleId="99">
    <w:name w:val="apple-converted-space"/>
    <w:qFormat/>
    <w:uiPriority w:val="0"/>
  </w:style>
  <w:style w:type="character" w:customStyle="1" w:styleId="100">
    <w:name w:val="列出段落 字符"/>
    <w:link w:val="101"/>
    <w:qFormat/>
    <w:uiPriority w:val="0"/>
    <w:rPr>
      <w:rFonts w:eastAsia="宋体"/>
      <w:kern w:val="2"/>
      <w:sz w:val="21"/>
      <w:szCs w:val="24"/>
      <w:lang w:val="en-US" w:eastAsia="zh-CN" w:bidi="ar-SA"/>
    </w:rPr>
  </w:style>
  <w:style w:type="paragraph" w:styleId="101">
    <w:name w:val="List Paragraph"/>
    <w:basedOn w:val="1"/>
    <w:link w:val="100"/>
    <w:qFormat/>
    <w:uiPriority w:val="0"/>
    <w:pPr>
      <w:ind w:firstLine="420" w:firstLineChars="200"/>
    </w:pPr>
    <w:rPr>
      <w:szCs w:val="24"/>
    </w:rPr>
  </w:style>
  <w:style w:type="character" w:customStyle="1" w:styleId="102">
    <w:name w:val="标题 2 Char"/>
    <w:qFormat/>
    <w:uiPriority w:val="0"/>
    <w:rPr>
      <w:rFonts w:eastAsia="黑体"/>
      <w:sz w:val="21"/>
      <w:szCs w:val="21"/>
      <w:lang w:val="en-US" w:eastAsia="zh-CN" w:bidi="ar-SA"/>
    </w:rPr>
  </w:style>
  <w:style w:type="character" w:customStyle="1" w:styleId="103">
    <w:name w:val="ui-area-common-c-i-r"/>
    <w:basedOn w:val="45"/>
    <w:qFormat/>
    <w:uiPriority w:val="0"/>
  </w:style>
  <w:style w:type="character" w:customStyle="1" w:styleId="104">
    <w:name w:val="ui-area-common-c-i-r1"/>
    <w:qFormat/>
    <w:uiPriority w:val="0"/>
    <w:rPr>
      <w:color w:val="F30213"/>
    </w:rPr>
  </w:style>
  <w:style w:type="character" w:customStyle="1" w:styleId="105">
    <w:name w:val="isnow"/>
    <w:qFormat/>
    <w:uiPriority w:val="0"/>
    <w:rPr>
      <w:color w:val="FFFFFF"/>
      <w:shd w:val="clear" w:color="auto" w:fill="FF6801"/>
    </w:rPr>
  </w:style>
  <w:style w:type="character" w:customStyle="1" w:styleId="106">
    <w:name w:val="15"/>
    <w:qFormat/>
    <w:uiPriority w:val="0"/>
    <w:rPr>
      <w:rFonts w:hint="default" w:ascii="Times New Roman" w:hAnsi="Times New Roman" w:cs="Times New Roman"/>
      <w:b/>
      <w:bCs/>
    </w:rPr>
  </w:style>
  <w:style w:type="character" w:customStyle="1" w:styleId="107">
    <w:name w:val="font41"/>
    <w:qFormat/>
    <w:uiPriority w:val="0"/>
    <w:rPr>
      <w:rFonts w:hint="eastAsia" w:ascii="微软雅黑" w:hAnsi="微软雅黑" w:eastAsia="微软雅黑" w:cs="微软雅黑"/>
      <w:color w:val="000000"/>
      <w:sz w:val="20"/>
      <w:szCs w:val="20"/>
      <w:u w:val="none"/>
    </w:rPr>
  </w:style>
  <w:style w:type="character" w:customStyle="1" w:styleId="108">
    <w:name w:val="无间隔 Char"/>
    <w:link w:val="109"/>
    <w:qFormat/>
    <w:uiPriority w:val="0"/>
    <w:rPr>
      <w:sz w:val="24"/>
      <w:lang w:val="en-US" w:eastAsia="zh-CN" w:bidi="ar-SA"/>
    </w:rPr>
  </w:style>
  <w:style w:type="paragraph" w:customStyle="1" w:styleId="109">
    <w:name w:val="无间隔1"/>
    <w:link w:val="108"/>
    <w:qFormat/>
    <w:uiPriority w:val="0"/>
    <w:pPr>
      <w:widowControl w:val="0"/>
      <w:spacing w:line="360" w:lineRule="auto"/>
      <w:jc w:val="both"/>
    </w:pPr>
    <w:rPr>
      <w:rFonts w:ascii="Calibri" w:hAnsi="Calibri" w:eastAsia="宋体" w:cs="Times New Roman"/>
      <w:sz w:val="24"/>
      <w:lang w:val="en-US" w:eastAsia="zh-CN" w:bidi="ar-SA"/>
    </w:rPr>
  </w:style>
  <w:style w:type="character" w:customStyle="1" w:styleId="110">
    <w:name w:val="标题 Char"/>
    <w:qFormat/>
    <w:uiPriority w:val="10"/>
    <w:rPr>
      <w:rFonts w:ascii="Arial" w:hAnsi="Arial" w:eastAsia="宋体" w:cs="Arial"/>
      <w:b/>
      <w:bCs/>
      <w:kern w:val="2"/>
      <w:sz w:val="32"/>
      <w:szCs w:val="32"/>
      <w:lang w:val="en-US" w:eastAsia="zh-CN" w:bidi="ar-SA"/>
    </w:rPr>
  </w:style>
  <w:style w:type="character" w:customStyle="1" w:styleId="111">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112">
    <w:name w:val="样式1 Char"/>
    <w:link w:val="113"/>
    <w:qFormat/>
    <w:uiPriority w:val="0"/>
    <w:rPr>
      <w:sz w:val="24"/>
    </w:rPr>
  </w:style>
  <w:style w:type="paragraph" w:customStyle="1" w:styleId="113">
    <w:name w:val="样式1"/>
    <w:basedOn w:val="4"/>
    <w:link w:val="112"/>
    <w:qFormat/>
    <w:uiPriority w:val="0"/>
    <w:pPr>
      <w:tabs>
        <w:tab w:val="left" w:pos="576"/>
        <w:tab w:val="left" w:pos="1296"/>
      </w:tabs>
      <w:spacing w:line="240" w:lineRule="auto"/>
      <w:ind w:left="576" w:hanging="576"/>
    </w:pPr>
    <w:rPr>
      <w:rFonts w:ascii="Calibri" w:hAnsi="Calibri" w:eastAsia="宋体"/>
      <w:color w:val="auto"/>
      <w:sz w:val="24"/>
      <w:szCs w:val="20"/>
    </w:rPr>
  </w:style>
  <w:style w:type="character" w:customStyle="1" w:styleId="114">
    <w:name w:val="页脚字符"/>
    <w:qFormat/>
    <w:uiPriority w:val="0"/>
    <w:rPr>
      <w:rFonts w:eastAsia="宋体"/>
      <w:kern w:val="2"/>
      <w:sz w:val="18"/>
      <w:lang w:val="en-US" w:eastAsia="zh-CN"/>
    </w:rPr>
  </w:style>
  <w:style w:type="character" w:customStyle="1" w:styleId="115">
    <w:name w:val="font01"/>
    <w:qFormat/>
    <w:uiPriority w:val="0"/>
    <w:rPr>
      <w:rFonts w:hint="eastAsia" w:ascii="宋体" w:hAnsi="宋体" w:eastAsia="宋体" w:cs="宋体"/>
      <w:color w:val="000000"/>
      <w:sz w:val="20"/>
      <w:szCs w:val="20"/>
      <w:u w:val="none"/>
    </w:rPr>
  </w:style>
  <w:style w:type="character" w:customStyle="1" w:styleId="116">
    <w:name w:val="font11"/>
    <w:qFormat/>
    <w:uiPriority w:val="0"/>
    <w:rPr>
      <w:rFonts w:hint="default" w:ascii="Wingdings" w:hAnsi="Wingdings" w:cs="Wingdings"/>
      <w:color w:val="000000"/>
      <w:sz w:val="20"/>
      <w:szCs w:val="20"/>
    </w:rPr>
  </w:style>
  <w:style w:type="character" w:customStyle="1" w:styleId="117">
    <w:name w:val="Default Text Char Char"/>
    <w:qFormat/>
    <w:uiPriority w:val="0"/>
    <w:rPr>
      <w:rFonts w:eastAsia="宋体"/>
      <w:color w:val="000000"/>
      <w:sz w:val="24"/>
      <w:lang w:val="en-US" w:eastAsia="zh-CN" w:bidi="ar-SA"/>
    </w:rPr>
  </w:style>
  <w:style w:type="character" w:customStyle="1" w:styleId="118">
    <w:name w:val="标题 1 Char"/>
    <w:qFormat/>
    <w:uiPriority w:val="0"/>
    <w:rPr>
      <w:rFonts w:ascii="黑体" w:eastAsia="黑体"/>
      <w:b/>
      <w:kern w:val="2"/>
      <w:sz w:val="36"/>
      <w:lang w:val="en-US" w:eastAsia="zh-CN" w:bidi="ar-SA"/>
    </w:rPr>
  </w:style>
  <w:style w:type="character" w:customStyle="1" w:styleId="119">
    <w:name w:val="页眉字符"/>
    <w:qFormat/>
    <w:uiPriority w:val="0"/>
    <w:rPr>
      <w:rFonts w:eastAsia="宋体"/>
      <w:kern w:val="2"/>
      <w:sz w:val="18"/>
      <w:lang w:val="en-US" w:eastAsia="zh-CN"/>
    </w:rPr>
  </w:style>
  <w:style w:type="character" w:customStyle="1" w:styleId="120">
    <w:name w:val="H-TextFormat Char"/>
    <w:link w:val="121"/>
    <w:qFormat/>
    <w:locked/>
    <w:uiPriority w:val="0"/>
    <w:rPr>
      <w:rFonts w:ascii="Arial" w:hAnsi="Arial"/>
      <w:color w:val="000000"/>
      <w:sz w:val="22"/>
      <w:szCs w:val="22"/>
      <w:u w:color="000000"/>
      <w:lang w:val="en-US" w:eastAsia="zh-CN" w:bidi="ar-SA"/>
    </w:rPr>
  </w:style>
  <w:style w:type="paragraph" w:customStyle="1" w:styleId="121">
    <w:name w:val="H-TextFormat"/>
    <w:next w:val="1"/>
    <w:link w:val="120"/>
    <w:qFormat/>
    <w:uiPriority w:val="0"/>
    <w:pPr>
      <w:widowControl w:val="0"/>
      <w:autoSpaceDE w:val="0"/>
      <w:autoSpaceDN w:val="0"/>
      <w:adjustRightInd w:val="0"/>
    </w:pPr>
    <w:rPr>
      <w:rFonts w:ascii="Arial" w:hAnsi="Arial" w:eastAsia="宋体" w:cs="Times New Roman"/>
      <w:color w:val="000000"/>
      <w:sz w:val="22"/>
      <w:szCs w:val="22"/>
      <w:u w:color="000000"/>
      <w:lang w:val="en-US" w:eastAsia="zh-CN" w:bidi="ar-SA"/>
    </w:rPr>
  </w:style>
  <w:style w:type="character" w:customStyle="1" w:styleId="122">
    <w:name w:val="正文文本 字符"/>
    <w:qFormat/>
    <w:uiPriority w:val="99"/>
    <w:rPr>
      <w:rFonts w:hint="default" w:ascii="Tahoma" w:hAnsi="Tahoma" w:eastAsia="Tahoma" w:cs="Tahoma"/>
    </w:rPr>
  </w:style>
  <w:style w:type="character" w:customStyle="1" w:styleId="123">
    <w:name w:val="标2 Char"/>
    <w:link w:val="124"/>
    <w:qFormat/>
    <w:uiPriority w:val="0"/>
    <w:rPr>
      <w:rFonts w:ascii="Arial Narrow" w:hAnsi="Arial Narrow" w:eastAsia="仿宋_GB2312"/>
      <w:b/>
      <w:sz w:val="24"/>
      <w:szCs w:val="24"/>
    </w:rPr>
  </w:style>
  <w:style w:type="paragraph" w:customStyle="1" w:styleId="124">
    <w:name w:val="标2"/>
    <w:basedOn w:val="1"/>
    <w:link w:val="123"/>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125">
    <w:name w:val="正文 正文 Char Char"/>
    <w:link w:val="126"/>
    <w:qFormat/>
    <w:locked/>
    <w:uiPriority w:val="0"/>
    <w:rPr>
      <w:sz w:val="24"/>
      <w:szCs w:val="24"/>
      <w:lang w:bidi="ar-SA"/>
    </w:rPr>
  </w:style>
  <w:style w:type="paragraph" w:customStyle="1" w:styleId="126">
    <w:name w:val="正文 正文"/>
    <w:basedOn w:val="1"/>
    <w:link w:val="125"/>
    <w:qFormat/>
    <w:uiPriority w:val="0"/>
    <w:pPr>
      <w:spacing w:beforeLines="50" w:line="360" w:lineRule="auto"/>
      <w:ind w:firstLine="480" w:firstLineChars="200"/>
    </w:pPr>
    <w:rPr>
      <w:kern w:val="0"/>
      <w:sz w:val="24"/>
      <w:szCs w:val="24"/>
    </w:rPr>
  </w:style>
  <w:style w:type="character" w:customStyle="1" w:styleId="127">
    <w:name w:val="search_content1"/>
    <w:qFormat/>
    <w:uiPriority w:val="0"/>
    <w:rPr>
      <w:sz w:val="20"/>
      <w:szCs w:val="20"/>
    </w:rPr>
  </w:style>
  <w:style w:type="paragraph" w:customStyle="1" w:styleId="128">
    <w:name w:val="样式3-24"/>
    <w:basedOn w:val="129"/>
    <w:qFormat/>
    <w:uiPriority w:val="0"/>
    <w:pPr>
      <w:tabs>
        <w:tab w:val="left" w:pos="420"/>
        <w:tab w:val="left" w:pos="600"/>
        <w:tab w:val="left" w:pos="675"/>
        <w:tab w:val="left" w:pos="1695"/>
      </w:tabs>
      <w:ind w:left="1695"/>
    </w:pPr>
  </w:style>
  <w:style w:type="paragraph" w:customStyle="1" w:styleId="129">
    <w:name w:val="样式3-19"/>
    <w:basedOn w:val="130"/>
    <w:qFormat/>
    <w:uiPriority w:val="0"/>
    <w:pPr>
      <w:tabs>
        <w:tab w:val="left" w:pos="420"/>
        <w:tab w:val="left" w:pos="600"/>
        <w:tab w:val="left" w:pos="675"/>
      </w:tabs>
      <w:ind w:left="420" w:hanging="420"/>
    </w:pPr>
  </w:style>
  <w:style w:type="paragraph" w:customStyle="1" w:styleId="130">
    <w:name w:val="样式3-18"/>
    <w:basedOn w:val="131"/>
    <w:qFormat/>
    <w:uiPriority w:val="0"/>
    <w:pPr>
      <w:tabs>
        <w:tab w:val="left" w:pos="600"/>
        <w:tab w:val="left" w:pos="675"/>
      </w:tabs>
      <w:ind w:left="675" w:hanging="360"/>
      <w:jc w:val="left"/>
    </w:pPr>
  </w:style>
  <w:style w:type="paragraph" w:customStyle="1" w:styleId="131">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2">
    <w:name w:val="Char1 Char Char Char"/>
    <w:basedOn w:val="1"/>
    <w:qFormat/>
    <w:uiPriority w:val="0"/>
    <w:rPr>
      <w:szCs w:val="24"/>
    </w:rPr>
  </w:style>
  <w:style w:type="paragraph" w:customStyle="1" w:styleId="133">
    <w:name w:val="dt2"/>
    <w:basedOn w:val="1"/>
    <w:qFormat/>
    <w:uiPriority w:val="0"/>
    <w:pPr>
      <w:jc w:val="left"/>
    </w:pPr>
    <w:rPr>
      <w:kern w:val="0"/>
      <w:szCs w:val="24"/>
    </w:rPr>
  </w:style>
  <w:style w:type="paragraph" w:customStyle="1" w:styleId="134">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35">
    <w:name w:val="表格文字"/>
    <w:basedOn w:val="1"/>
    <w:qFormat/>
    <w:uiPriority w:val="0"/>
    <w:pPr>
      <w:jc w:val="left"/>
    </w:pPr>
    <w:rPr>
      <w:rFonts w:ascii="宋体"/>
      <w:color w:val="000000"/>
      <w:kern w:val="0"/>
    </w:rPr>
  </w:style>
  <w:style w:type="paragraph" w:customStyle="1" w:styleId="136">
    <w:name w:val="Char Char Char Char"/>
    <w:basedOn w:val="1"/>
    <w:qFormat/>
    <w:uiPriority w:val="0"/>
    <w:pPr>
      <w:tabs>
        <w:tab w:val="left" w:pos="360"/>
      </w:tabs>
    </w:pPr>
    <w:rPr>
      <w:sz w:val="24"/>
      <w:szCs w:val="24"/>
    </w:rPr>
  </w:style>
  <w:style w:type="paragraph" w:customStyle="1" w:styleId="137">
    <w:name w:val="列出段落11"/>
    <w:basedOn w:val="1"/>
    <w:qFormat/>
    <w:uiPriority w:val="0"/>
    <w:pPr>
      <w:ind w:firstLine="420" w:firstLineChars="200"/>
    </w:pPr>
    <w:rPr>
      <w:rFonts w:cs="宋体"/>
      <w:szCs w:val="21"/>
    </w:rPr>
  </w:style>
  <w:style w:type="paragraph" w:customStyle="1" w:styleId="138">
    <w:name w:val="标题311"/>
    <w:basedOn w:val="20"/>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39">
    <w:name w:val="标题411"/>
    <w:basedOn w:val="6"/>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color w:val="000000"/>
      <w:kern w:val="28"/>
      <w:sz w:val="24"/>
    </w:rPr>
  </w:style>
  <w:style w:type="paragraph" w:customStyle="1" w:styleId="140">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41">
    <w:name w:val="1.1"/>
    <w:basedOn w:val="1"/>
    <w:qFormat/>
    <w:uiPriority w:val="0"/>
    <w:pPr>
      <w:tabs>
        <w:tab w:val="left" w:pos="1440"/>
      </w:tabs>
      <w:spacing w:line="360" w:lineRule="auto"/>
      <w:ind w:left="737" w:hanging="737"/>
    </w:pPr>
    <w:rPr>
      <w:rFonts w:ascii="Arial" w:hAnsi="Arial"/>
      <w:sz w:val="24"/>
    </w:rPr>
  </w:style>
  <w:style w:type="paragraph" w:customStyle="1" w:styleId="142">
    <w:name w:val="样式16"/>
    <w:basedOn w:val="20"/>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43">
    <w:name w:val="样式3-25"/>
    <w:basedOn w:val="128"/>
    <w:qFormat/>
    <w:uiPriority w:val="0"/>
    <w:pPr>
      <w:tabs>
        <w:tab w:val="left" w:pos="1134"/>
        <w:tab w:val="clear" w:pos="1695"/>
      </w:tabs>
      <w:ind w:left="1134" w:hanging="567"/>
    </w:pPr>
  </w:style>
  <w:style w:type="paragraph" w:customStyle="1" w:styleId="144">
    <w:name w:val="标书原文"/>
    <w:basedOn w:val="1"/>
    <w:qFormat/>
    <w:uiPriority w:val="0"/>
    <w:pPr>
      <w:spacing w:line="360" w:lineRule="auto"/>
      <w:ind w:firstLine="454"/>
    </w:pPr>
    <w:rPr>
      <w:rFonts w:ascii="宋体"/>
      <w:sz w:val="24"/>
    </w:rPr>
  </w:style>
  <w:style w:type="paragraph" w:customStyle="1" w:styleId="145">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46">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7">
    <w:name w:val="dot"/>
    <w:basedOn w:val="1"/>
    <w:qFormat/>
    <w:uiPriority w:val="0"/>
    <w:pPr>
      <w:spacing w:before="60" w:after="60" w:line="400" w:lineRule="atLeast"/>
      <w:ind w:firstLine="510"/>
      <w:outlineLvl w:val="8"/>
    </w:pPr>
    <w:rPr>
      <w:rFonts w:hint="eastAsia" w:ascii="宋体"/>
      <w:b/>
      <w:sz w:val="24"/>
    </w:rPr>
  </w:style>
  <w:style w:type="paragraph" w:customStyle="1" w:styleId="148">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49">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50">
    <w:name w:val="默认段落字体 Para Char Char Char Char"/>
    <w:basedOn w:val="1"/>
    <w:qFormat/>
    <w:uiPriority w:val="0"/>
  </w:style>
  <w:style w:type="paragraph" w:customStyle="1" w:styleId="151">
    <w:name w:val="Char11"/>
    <w:basedOn w:val="1"/>
    <w:qFormat/>
    <w:uiPriority w:val="0"/>
    <w:pPr>
      <w:tabs>
        <w:tab w:val="left" w:pos="360"/>
      </w:tabs>
    </w:pPr>
    <w:rPr>
      <w:sz w:val="24"/>
      <w:szCs w:val="24"/>
    </w:rPr>
  </w:style>
  <w:style w:type="paragraph" w:customStyle="1" w:styleId="152">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53">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4">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55">
    <w:name w:val="4"/>
    <w:basedOn w:val="1"/>
    <w:next w:val="24"/>
    <w:qFormat/>
    <w:uiPriority w:val="0"/>
    <w:rPr>
      <w:rFonts w:ascii="宋体" w:hAnsi="Courier New"/>
    </w:rPr>
  </w:style>
  <w:style w:type="paragraph" w:customStyle="1" w:styleId="156">
    <w:name w:val="ptdl"/>
    <w:basedOn w:val="1"/>
    <w:qFormat/>
    <w:uiPriority w:val="0"/>
    <w:pPr>
      <w:spacing w:after="156"/>
      <w:ind w:firstLine="480"/>
    </w:pPr>
    <w:rPr>
      <w:sz w:val="24"/>
    </w:rPr>
  </w:style>
  <w:style w:type="paragraph" w:customStyle="1" w:styleId="157">
    <w:name w:val="(1)"/>
    <w:basedOn w:val="1"/>
    <w:qFormat/>
    <w:uiPriority w:val="0"/>
    <w:pPr>
      <w:tabs>
        <w:tab w:val="left" w:pos="737"/>
      </w:tabs>
      <w:spacing w:line="360" w:lineRule="auto"/>
      <w:ind w:left="737" w:hanging="737"/>
    </w:pPr>
    <w:rPr>
      <w:rFonts w:ascii="Arial" w:hAnsi="Arial"/>
      <w:sz w:val="24"/>
    </w:rPr>
  </w:style>
  <w:style w:type="paragraph" w:customStyle="1" w:styleId="158">
    <w:name w:val="样式1-6"/>
    <w:basedOn w:val="20"/>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59">
    <w:name w:val="样式3-26"/>
    <w:basedOn w:val="143"/>
    <w:qFormat/>
    <w:uiPriority w:val="0"/>
    <w:pPr>
      <w:tabs>
        <w:tab w:val="left" w:pos="1170"/>
        <w:tab w:val="clear" w:pos="1134"/>
      </w:tabs>
      <w:ind w:left="1170" w:hanging="270"/>
    </w:pPr>
  </w:style>
  <w:style w:type="paragraph" w:customStyle="1" w:styleId="160">
    <w:name w:val="表"/>
    <w:basedOn w:val="20"/>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61">
    <w:name w:val="答复"/>
    <w:basedOn w:val="1"/>
    <w:qFormat/>
    <w:uiPriority w:val="0"/>
    <w:pPr>
      <w:spacing w:before="60" w:after="60" w:line="360" w:lineRule="auto"/>
    </w:pPr>
    <w:rPr>
      <w:b/>
      <w:sz w:val="24"/>
    </w:rPr>
  </w:style>
  <w:style w:type="paragraph" w:customStyle="1" w:styleId="162">
    <w:name w:val="封面"/>
    <w:basedOn w:val="1"/>
    <w:qFormat/>
    <w:uiPriority w:val="0"/>
    <w:pPr>
      <w:spacing w:before="120" w:after="120"/>
      <w:jc w:val="center"/>
    </w:pPr>
    <w:rPr>
      <w:b/>
      <w:kern w:val="0"/>
      <w:sz w:val="52"/>
    </w:rPr>
  </w:style>
  <w:style w:type="paragraph" w:customStyle="1" w:styleId="163">
    <w:name w:val="2"/>
    <w:basedOn w:val="1"/>
    <w:next w:val="24"/>
    <w:qFormat/>
    <w:uiPriority w:val="0"/>
    <w:rPr>
      <w:rFonts w:ascii="宋体" w:hAnsi="Courier New" w:cs="Courier New"/>
      <w:szCs w:val="21"/>
    </w:rPr>
  </w:style>
  <w:style w:type="paragraph" w:customStyle="1" w:styleId="164">
    <w:name w:val="样式3-27"/>
    <w:basedOn w:val="159"/>
    <w:qFormat/>
    <w:uiPriority w:val="0"/>
    <w:pPr>
      <w:tabs>
        <w:tab w:val="left" w:pos="735"/>
        <w:tab w:val="clear" w:pos="1170"/>
      </w:tabs>
      <w:ind w:left="735" w:hanging="255"/>
    </w:pPr>
  </w:style>
  <w:style w:type="paragraph" w:customStyle="1" w:styleId="165">
    <w:name w:val="目录"/>
    <w:basedOn w:val="1"/>
    <w:next w:val="1"/>
    <w:qFormat/>
    <w:uiPriority w:val="0"/>
    <w:pPr>
      <w:spacing w:before="120" w:after="120" w:line="360" w:lineRule="auto"/>
      <w:jc w:val="center"/>
    </w:pPr>
    <w:rPr>
      <w:b/>
      <w:kern w:val="0"/>
      <w:sz w:val="32"/>
    </w:rPr>
  </w:style>
  <w:style w:type="paragraph" w:customStyle="1" w:styleId="166">
    <w:name w:val="答复表样式"/>
    <w:basedOn w:val="1"/>
    <w:qFormat/>
    <w:uiPriority w:val="0"/>
    <w:pPr>
      <w:spacing w:line="240" w:lineRule="atLeast"/>
      <w:jc w:val="center"/>
    </w:pPr>
    <w:rPr>
      <w:b/>
      <w:color w:val="000000"/>
    </w:rPr>
  </w:style>
  <w:style w:type="paragraph" w:customStyle="1" w:styleId="167">
    <w:name w:val="Char1 Char Char Char1"/>
    <w:basedOn w:val="1"/>
    <w:qFormat/>
    <w:uiPriority w:val="0"/>
    <w:rPr>
      <w:kern w:val="0"/>
      <w:sz w:val="24"/>
      <w:szCs w:val="24"/>
    </w:rPr>
  </w:style>
  <w:style w:type="paragraph" w:customStyle="1" w:styleId="168">
    <w:name w:val="标书表样式"/>
    <w:basedOn w:val="1"/>
    <w:qFormat/>
    <w:uiPriority w:val="0"/>
    <w:pPr>
      <w:spacing w:line="240" w:lineRule="atLeast"/>
      <w:jc w:val="center"/>
    </w:pPr>
    <w:rPr>
      <w:rFonts w:ascii="宋体"/>
      <w:color w:val="000000"/>
    </w:rPr>
  </w:style>
  <w:style w:type="paragraph" w:customStyle="1" w:styleId="169">
    <w:name w:val="答复表头"/>
    <w:basedOn w:val="170"/>
    <w:next w:val="1"/>
    <w:qFormat/>
    <w:uiPriority w:val="0"/>
    <w:pPr>
      <w:tabs>
        <w:tab w:val="left" w:pos="480"/>
      </w:tabs>
    </w:pPr>
    <w:rPr>
      <w:b/>
    </w:rPr>
  </w:style>
  <w:style w:type="paragraph" w:customStyle="1" w:styleId="17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71">
    <w:name w:val="3"/>
    <w:basedOn w:val="1"/>
    <w:next w:val="24"/>
    <w:qFormat/>
    <w:uiPriority w:val="0"/>
    <w:rPr>
      <w:rFonts w:ascii="宋体" w:hAnsi="Courier New" w:cs="Courier New"/>
      <w:szCs w:val="21"/>
    </w:rPr>
  </w:style>
  <w:style w:type="paragraph" w:customStyle="1" w:styleId="172">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7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74">
    <w:name w:val="Default Paragraph Char Char Char Char"/>
    <w:basedOn w:val="1"/>
    <w:next w:val="1"/>
    <w:qFormat/>
    <w:uiPriority w:val="0"/>
    <w:pPr>
      <w:widowControl/>
      <w:spacing w:line="360" w:lineRule="auto"/>
      <w:jc w:val="left"/>
    </w:pPr>
  </w:style>
  <w:style w:type="paragraph" w:customStyle="1" w:styleId="175">
    <w:name w:val="p0"/>
    <w:basedOn w:val="1"/>
    <w:qFormat/>
    <w:uiPriority w:val="0"/>
    <w:pPr>
      <w:widowControl/>
    </w:pPr>
    <w:rPr>
      <w:rFonts w:cs="宋体"/>
      <w:kern w:val="0"/>
      <w:szCs w:val="21"/>
    </w:rPr>
  </w:style>
  <w:style w:type="paragraph" w:customStyle="1" w:styleId="176">
    <w:name w:val="封面署名"/>
    <w:basedOn w:val="1"/>
    <w:qFormat/>
    <w:uiPriority w:val="0"/>
    <w:pPr>
      <w:jc w:val="center"/>
    </w:pPr>
    <w:rPr>
      <w:b/>
      <w:kern w:val="0"/>
      <w:sz w:val="28"/>
    </w:rPr>
  </w:style>
  <w:style w:type="paragraph" w:customStyle="1" w:styleId="177">
    <w:name w:val="表头"/>
    <w:basedOn w:val="1"/>
    <w:qFormat/>
    <w:uiPriority w:val="0"/>
    <w:pPr>
      <w:spacing w:after="60"/>
      <w:jc w:val="center"/>
    </w:pPr>
    <w:rPr>
      <w:rFonts w:hint="eastAsia" w:ascii="宋体"/>
    </w:rPr>
  </w:style>
  <w:style w:type="paragraph" w:customStyle="1" w:styleId="178">
    <w:name w:val="_Style 2"/>
    <w:basedOn w:val="1"/>
    <w:qFormat/>
    <w:uiPriority w:val="99"/>
    <w:pPr>
      <w:ind w:firstLine="420" w:firstLineChars="200"/>
    </w:pPr>
    <w:rPr>
      <w:szCs w:val="24"/>
    </w:rPr>
  </w:style>
  <w:style w:type="paragraph" w:customStyle="1" w:styleId="179">
    <w:name w:val="列出段落4"/>
    <w:basedOn w:val="1"/>
    <w:qFormat/>
    <w:uiPriority w:val="34"/>
    <w:pPr>
      <w:ind w:firstLine="420" w:firstLineChars="200"/>
    </w:pPr>
    <w:rPr>
      <w:rFonts w:ascii="Cambria" w:hAnsi="Cambria"/>
      <w:sz w:val="24"/>
      <w:szCs w:val="24"/>
    </w:rPr>
  </w:style>
  <w:style w:type="paragraph" w:customStyle="1" w:styleId="180">
    <w:name w:val="Char Char Char Char Char Char Char Char Char Char"/>
    <w:basedOn w:val="15"/>
    <w:qFormat/>
    <w:uiPriority w:val="0"/>
    <w:pPr>
      <w:shd w:val="clear" w:color="auto" w:fill="auto"/>
      <w:ind w:firstLine="437"/>
      <w:jc w:val="center"/>
    </w:pPr>
    <w:rPr>
      <w:rFonts w:ascii="宋体" w:hAnsi="宋体"/>
      <w:lang w:val="fr-FR"/>
    </w:rPr>
  </w:style>
  <w:style w:type="paragraph" w:customStyle="1" w:styleId="181">
    <w:name w:val="Normal Indent1"/>
    <w:basedOn w:val="1"/>
    <w:qFormat/>
    <w:uiPriority w:val="0"/>
    <w:pPr>
      <w:ind w:firstLine="420" w:firstLineChars="200"/>
    </w:pPr>
    <w:rPr>
      <w:rFonts w:hint="eastAsia"/>
    </w:rPr>
  </w:style>
  <w:style w:type="paragraph" w:customStyle="1" w:styleId="182">
    <w:name w:val="叙述"/>
    <w:basedOn w:val="157"/>
    <w:qFormat/>
    <w:uiPriority w:val="0"/>
    <w:pPr>
      <w:tabs>
        <w:tab w:val="left" w:pos="540"/>
        <w:tab w:val="clear" w:pos="737"/>
      </w:tabs>
      <w:ind w:left="1440" w:leftChars="300" w:hanging="720"/>
    </w:pPr>
  </w:style>
  <w:style w:type="paragraph" w:customStyle="1" w:styleId="183">
    <w:name w:val="1"/>
    <w:basedOn w:val="1"/>
    <w:next w:val="1"/>
    <w:qFormat/>
    <w:uiPriority w:val="0"/>
    <w:rPr>
      <w:szCs w:val="24"/>
    </w:rPr>
  </w:style>
  <w:style w:type="paragraph" w:customStyle="1" w:styleId="18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85">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86">
    <w:name w:val="列出段落1"/>
    <w:basedOn w:val="1"/>
    <w:qFormat/>
    <w:uiPriority w:val="0"/>
    <w:pPr>
      <w:ind w:firstLine="420" w:firstLineChars="200"/>
    </w:pPr>
    <w:rPr>
      <w:szCs w:val="21"/>
    </w:rPr>
  </w:style>
  <w:style w:type="paragraph" w:customStyle="1" w:styleId="187">
    <w:name w:val="_Style 1"/>
    <w:basedOn w:val="1"/>
    <w:qFormat/>
    <w:uiPriority w:val="34"/>
    <w:pPr>
      <w:ind w:firstLine="420" w:firstLineChars="200"/>
    </w:pPr>
    <w:rPr>
      <w:szCs w:val="22"/>
    </w:rPr>
  </w:style>
  <w:style w:type="paragraph" w:customStyle="1" w:styleId="188">
    <w:name w:val="样式 正文缩进正文（首行缩进两字）1 + 首行缩进:  2 字符"/>
    <w:basedOn w:val="13"/>
    <w:qFormat/>
    <w:uiPriority w:val="0"/>
    <w:pPr>
      <w:spacing w:line="300" w:lineRule="auto"/>
      <w:ind w:firstLine="480" w:firstLineChars="200"/>
    </w:pPr>
    <w:rPr>
      <w:rFonts w:cs="宋体"/>
    </w:rPr>
  </w:style>
  <w:style w:type="paragraph" w:customStyle="1" w:styleId="18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90">
    <w:name w:val="标准"/>
    <w:basedOn w:val="1"/>
    <w:qFormat/>
    <w:uiPriority w:val="0"/>
    <w:pPr>
      <w:adjustRightInd w:val="0"/>
      <w:spacing w:line="360" w:lineRule="auto"/>
      <w:textAlignment w:val="baseline"/>
    </w:pPr>
    <w:rPr>
      <w:rFonts w:eastAsia="仿宋体"/>
      <w:kern w:val="0"/>
      <w:sz w:val="28"/>
    </w:rPr>
  </w:style>
  <w:style w:type="paragraph" w:customStyle="1" w:styleId="1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92">
    <w:name w:val="p21"/>
    <w:basedOn w:val="1"/>
    <w:qFormat/>
    <w:uiPriority w:val="0"/>
    <w:pPr>
      <w:widowControl/>
      <w:ind w:firstLine="420"/>
    </w:pPr>
    <w:rPr>
      <w:kern w:val="0"/>
      <w:szCs w:val="21"/>
    </w:rPr>
  </w:style>
  <w:style w:type="paragraph" w:customStyle="1" w:styleId="193">
    <w:name w:val="1.1点"/>
    <w:basedOn w:val="1"/>
    <w:qFormat/>
    <w:uiPriority w:val="0"/>
    <w:pPr>
      <w:spacing w:line="360" w:lineRule="auto"/>
    </w:pPr>
    <w:rPr>
      <w:rFonts w:ascii="Arial" w:hAnsi="Arial"/>
      <w:sz w:val="24"/>
    </w:rPr>
  </w:style>
  <w:style w:type="paragraph" w:customStyle="1" w:styleId="194">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95">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96">
    <w:name w:val="纯文本1"/>
    <w:basedOn w:val="1"/>
    <w:qFormat/>
    <w:uiPriority w:val="0"/>
    <w:pPr>
      <w:autoSpaceDE w:val="0"/>
      <w:autoSpaceDN w:val="0"/>
      <w:adjustRightInd w:val="0"/>
      <w:textAlignment w:val="baseline"/>
    </w:pPr>
    <w:rPr>
      <w:rFonts w:ascii="宋体"/>
      <w:kern w:val="0"/>
      <w:sz w:val="28"/>
    </w:rPr>
  </w:style>
  <w:style w:type="paragraph" w:customStyle="1" w:styleId="197">
    <w:name w:val="列出段落2"/>
    <w:basedOn w:val="1"/>
    <w:qFormat/>
    <w:uiPriority w:val="0"/>
    <w:pPr>
      <w:ind w:firstLine="420" w:firstLineChars="200"/>
    </w:pPr>
    <w:rPr>
      <w:szCs w:val="24"/>
    </w:rPr>
  </w:style>
  <w:style w:type="paragraph" w:customStyle="1" w:styleId="198">
    <w:name w:val="List Paragraph1"/>
    <w:basedOn w:val="1"/>
    <w:qFormat/>
    <w:uiPriority w:val="0"/>
    <w:pPr>
      <w:ind w:firstLine="420" w:firstLineChars="200"/>
    </w:pPr>
    <w:rPr>
      <w:szCs w:val="22"/>
    </w:rPr>
  </w:style>
  <w:style w:type="paragraph" w:customStyle="1" w:styleId="199">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200">
    <w:name w:val="招标标题"/>
    <w:basedOn w:val="1"/>
    <w:next w:val="1"/>
    <w:qFormat/>
    <w:uiPriority w:val="0"/>
    <w:rPr>
      <w:kern w:val="0"/>
      <w:sz w:val="24"/>
    </w:rPr>
  </w:style>
  <w:style w:type="paragraph" w:customStyle="1" w:styleId="201">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202">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203">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204">
    <w:name w:val="Definition Term"/>
    <w:basedOn w:val="1"/>
    <w:next w:val="205"/>
    <w:qFormat/>
    <w:uiPriority w:val="0"/>
    <w:pPr>
      <w:autoSpaceDE w:val="0"/>
      <w:autoSpaceDN w:val="0"/>
      <w:adjustRightInd w:val="0"/>
      <w:jc w:val="left"/>
    </w:pPr>
    <w:rPr>
      <w:kern w:val="0"/>
      <w:sz w:val="24"/>
    </w:rPr>
  </w:style>
  <w:style w:type="paragraph" w:customStyle="1" w:styleId="205">
    <w:name w:val="Definition List"/>
    <w:basedOn w:val="1"/>
    <w:next w:val="204"/>
    <w:qFormat/>
    <w:uiPriority w:val="0"/>
    <w:pPr>
      <w:autoSpaceDE w:val="0"/>
      <w:autoSpaceDN w:val="0"/>
      <w:adjustRightInd w:val="0"/>
      <w:ind w:left="360"/>
      <w:jc w:val="left"/>
    </w:pPr>
    <w:rPr>
      <w:kern w:val="0"/>
      <w:sz w:val="24"/>
    </w:rPr>
  </w:style>
  <w:style w:type="paragraph" w:customStyle="1" w:styleId="206">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207">
    <w:name w:val="正文4编0"/>
    <w:basedOn w:val="1"/>
    <w:qFormat/>
    <w:uiPriority w:val="0"/>
    <w:pPr>
      <w:tabs>
        <w:tab w:val="left" w:pos="567"/>
        <w:tab w:val="left" w:pos="1134"/>
      </w:tabs>
      <w:spacing w:line="560" w:lineRule="exact"/>
      <w:ind w:left="1134" w:hanging="1134"/>
    </w:pPr>
    <w:rPr>
      <w:sz w:val="28"/>
    </w:rPr>
  </w:style>
  <w:style w:type="paragraph" w:customStyle="1" w:styleId="208">
    <w:name w:val="样式 Arial 首行缩进:  2 字符"/>
    <w:basedOn w:val="1"/>
    <w:qFormat/>
    <w:uiPriority w:val="0"/>
    <w:pPr>
      <w:ind w:firstLine="403" w:firstLineChars="200"/>
    </w:pPr>
    <w:rPr>
      <w:rFonts w:cs="华文新魏"/>
      <w:szCs w:val="21"/>
    </w:rPr>
  </w:style>
  <w:style w:type="paragraph" w:customStyle="1" w:styleId="209">
    <w:name w:val="样式6"/>
    <w:basedOn w:val="210"/>
    <w:qFormat/>
    <w:uiPriority w:val="0"/>
    <w:pPr>
      <w:tabs>
        <w:tab w:val="left" w:pos="1134"/>
      </w:tabs>
      <w:ind w:left="1134" w:hanging="567"/>
    </w:pPr>
    <w:rPr>
      <w:rFonts w:ascii="宋体"/>
    </w:rPr>
  </w:style>
  <w:style w:type="paragraph" w:customStyle="1" w:styleId="210">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211">
    <w:name w:val="正文表样式"/>
    <w:basedOn w:val="1"/>
    <w:qFormat/>
    <w:uiPriority w:val="0"/>
    <w:pPr>
      <w:spacing w:line="240" w:lineRule="atLeast"/>
      <w:jc w:val="center"/>
      <w:outlineLvl w:val="8"/>
    </w:pPr>
    <w:rPr>
      <w:rFonts w:ascii="宋体"/>
      <w:b/>
      <w:sz w:val="18"/>
    </w:rPr>
  </w:style>
  <w:style w:type="paragraph" w:customStyle="1" w:styleId="212">
    <w:name w:val="标题11111"/>
    <w:basedOn w:val="3"/>
    <w:qFormat/>
    <w:uiPriority w:val="0"/>
    <w:pPr>
      <w:suppressLineNumbers/>
      <w:tabs>
        <w:tab w:val="left" w:pos="567"/>
        <w:tab w:val="left" w:pos="1260"/>
      </w:tabs>
      <w:suppressAutoHyphens/>
      <w:autoSpaceDE w:val="0"/>
      <w:autoSpaceDN w:val="0"/>
      <w:spacing w:line="522" w:lineRule="exact"/>
      <w:ind w:left="567" w:hanging="567"/>
    </w:pPr>
    <w:rPr>
      <w:rFonts w:ascii="仿宋_GB2312" w:eastAsia="仿宋_GB2312"/>
      <w:kern w:val="28"/>
      <w:sz w:val="24"/>
    </w:rPr>
  </w:style>
  <w:style w:type="paragraph" w:customStyle="1" w:styleId="213">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styleId="214">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215">
    <w:name w:val="列出段落21"/>
    <w:basedOn w:val="1"/>
    <w:qFormat/>
    <w:uiPriority w:val="99"/>
    <w:pPr>
      <w:ind w:firstLine="420" w:firstLineChars="200"/>
    </w:pPr>
    <w:rPr>
      <w:szCs w:val="22"/>
    </w:rPr>
  </w:style>
  <w:style w:type="paragraph" w:customStyle="1" w:styleId="216">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217">
    <w:name w:val="dd"/>
    <w:basedOn w:val="1"/>
    <w:qFormat/>
    <w:uiPriority w:val="0"/>
    <w:pPr>
      <w:jc w:val="left"/>
    </w:pPr>
    <w:rPr>
      <w:kern w:val="0"/>
      <w:szCs w:val="24"/>
    </w:rPr>
  </w:style>
  <w:style w:type="paragraph" w:customStyle="1" w:styleId="218">
    <w:name w:val="样式7"/>
    <w:basedOn w:val="209"/>
    <w:qFormat/>
    <w:uiPriority w:val="0"/>
    <w:pPr>
      <w:tabs>
        <w:tab w:val="left" w:pos="1050"/>
        <w:tab w:val="left" w:pos="1350"/>
        <w:tab w:val="clear" w:pos="1134"/>
      </w:tabs>
      <w:ind w:left="1350" w:hanging="720"/>
    </w:pPr>
  </w:style>
  <w:style w:type="paragraph" w:customStyle="1" w:styleId="2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0">
    <w:name w:val="文（缩进）"/>
    <w:basedOn w:val="24"/>
    <w:qFormat/>
    <w:uiPriority w:val="0"/>
    <w:pPr>
      <w:spacing w:line="400" w:lineRule="exact"/>
      <w:ind w:firstLine="420" w:firstLineChars="200"/>
    </w:pPr>
    <w:rPr>
      <w:rFonts w:ascii="Arial" w:hAnsi="Arial" w:cs="Arial"/>
      <w:snapToGrid w:val="0"/>
      <w:kern w:val="0"/>
      <w:sz w:val="21"/>
      <w:szCs w:val="21"/>
    </w:rPr>
  </w:style>
  <w:style w:type="paragraph" w:customStyle="1" w:styleId="221">
    <w:name w:val="1.1.1"/>
    <w:basedOn w:val="141"/>
    <w:qFormat/>
    <w:uiPriority w:val="0"/>
    <w:pPr>
      <w:tabs>
        <w:tab w:val="clear" w:pos="1440"/>
      </w:tabs>
      <w:ind w:left="0" w:firstLine="0"/>
    </w:pPr>
  </w:style>
  <w:style w:type="paragraph" w:customStyle="1" w:styleId="222">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223">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2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5">
    <w:name w:val="Char1"/>
    <w:basedOn w:val="1"/>
    <w:qFormat/>
    <w:uiPriority w:val="0"/>
    <w:rPr>
      <w:rFonts w:ascii="Tahoma" w:hAnsi="Tahoma"/>
      <w:sz w:val="24"/>
    </w:rPr>
  </w:style>
  <w:style w:type="paragraph" w:customStyle="1" w:styleId="226">
    <w:name w:val="标题211"/>
    <w:basedOn w:val="20"/>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customStyle="1" w:styleId="227">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228">
    <w:name w:val="列出段落3"/>
    <w:basedOn w:val="1"/>
    <w:qFormat/>
    <w:uiPriority w:val="0"/>
    <w:pPr>
      <w:ind w:firstLine="420" w:firstLineChars="200"/>
    </w:pPr>
    <w:rPr>
      <w:szCs w:val="22"/>
    </w:rPr>
  </w:style>
  <w:style w:type="paragraph" w:customStyle="1" w:styleId="229">
    <w:name w:val="4）小标题 加黑 左对齐"/>
    <w:basedOn w:val="1"/>
    <w:next w:val="184"/>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230">
    <w:name w:val="表格"/>
    <w:basedOn w:val="1"/>
    <w:qFormat/>
    <w:uiPriority w:val="0"/>
    <w:pPr>
      <w:tabs>
        <w:tab w:val="left" w:pos="840"/>
      </w:tabs>
      <w:adjustRightInd w:val="0"/>
      <w:spacing w:before="40" w:after="80" w:line="360" w:lineRule="exact"/>
      <w:textAlignment w:val="baseline"/>
    </w:pPr>
    <w:rPr>
      <w:kern w:val="0"/>
    </w:rPr>
  </w:style>
  <w:style w:type="paragraph" w:customStyle="1" w:styleId="231">
    <w:name w:val="List Paragraph_1d2291a9-054b-4e09-b39d-1de9e2ca2541"/>
    <w:basedOn w:val="1"/>
    <w:qFormat/>
    <w:uiPriority w:val="34"/>
    <w:pPr>
      <w:ind w:firstLine="420" w:firstLineChars="200"/>
    </w:pPr>
    <w:rPr>
      <w:rFonts w:ascii="Cambria" w:hAnsi="Cambria" w:cs="宋体"/>
      <w:sz w:val="24"/>
      <w:szCs w:val="24"/>
    </w:rPr>
  </w:style>
  <w:style w:type="character" w:customStyle="1" w:styleId="232">
    <w:name w:val="标题 1 Char1"/>
    <w:qFormat/>
    <w:uiPriority w:val="0"/>
    <w:rPr>
      <w:rFonts w:ascii="Times New Roman" w:hAnsi="Times New Roman" w:eastAsia="宋体" w:cs="Times New Roman"/>
      <w:b/>
      <w:bCs/>
      <w:kern w:val="44"/>
      <w:sz w:val="32"/>
      <w:szCs w:val="44"/>
    </w:rPr>
  </w:style>
  <w:style w:type="paragraph" w:customStyle="1" w:styleId="233">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23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44516</Words>
  <Characters>49132</Characters>
  <Lines>382</Lines>
  <Paragraphs>107</Paragraphs>
  <TotalTime>0</TotalTime>
  <ScaleCrop>false</ScaleCrop>
  <LinksUpToDate>false</LinksUpToDate>
  <CharactersWithSpaces>51292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2022-08-23T15:17:00Z</dcterms:created>
  <dc:creator>W</dc:creator>
  <cp:lastModifiedBy>十三</cp:lastModifiedBy>
  <cp:lastPrinted>2023-05-06T04:34:00Z</cp:lastPrinted>
  <dcterms:modified xsi:type="dcterms:W3CDTF">2023-05-16T09:32:28Z</dcterms:modified>
  <dc:title>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D2187846CAFE470BA8DE76AC6B38BF70</vt:lpwstr>
  </property>
</Properties>
</file>