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hint="eastAsia" w:ascii="华文中宋" w:hAnsi="华文中宋" w:eastAsia="华文中宋" w:cs="Times New Roman"/>
          <w:b/>
          <w:bCs/>
          <w:kern w:val="44"/>
          <w:sz w:val="36"/>
          <w:szCs w:val="36"/>
          <w:lang w:val="en-US" w:eastAsia="zh-CN" w:bidi="ar-SA"/>
        </w:rPr>
      </w:pPr>
      <w:bookmarkStart w:id="0" w:name="_Toc28359011"/>
      <w:bookmarkStart w:id="1" w:name="_Toc35393797"/>
      <w:r>
        <w:rPr>
          <w:rFonts w:hint="eastAsia" w:ascii="华文中宋" w:hAnsi="华文中宋" w:eastAsia="华文中宋" w:cs="Times New Roman"/>
          <w:b/>
          <w:bCs/>
          <w:kern w:val="44"/>
          <w:sz w:val="36"/>
          <w:szCs w:val="36"/>
          <w:lang w:val="en-US" w:eastAsia="zh-CN" w:bidi="ar-SA"/>
        </w:rPr>
        <w:t>阿勒泰地区第一次全国自然灾害综</w:t>
      </w:r>
    </w:p>
    <w:p>
      <w:pPr>
        <w:keepNext/>
        <w:keepLines/>
        <w:widowControl w:val="0"/>
        <w:tabs>
          <w:tab w:val="left" w:pos="0"/>
        </w:tabs>
        <w:autoSpaceDE w:val="0"/>
        <w:autoSpaceDN w:val="0"/>
        <w:adjustRightInd w:val="0"/>
        <w:spacing w:before="0" w:after="0" w:line="360" w:lineRule="auto"/>
        <w:jc w:val="center"/>
        <w:outlineLvl w:val="0"/>
        <w:rPr>
          <w:rFonts w:hint="eastAsia" w:ascii="华文中宋" w:hAnsi="华文中宋" w:eastAsia="华文中宋" w:cs="Times New Roman"/>
          <w:b/>
          <w:bCs/>
          <w:kern w:val="44"/>
          <w:sz w:val="36"/>
          <w:szCs w:val="36"/>
          <w:lang w:val="en-US" w:eastAsia="zh-CN" w:bidi="ar-SA"/>
        </w:rPr>
      </w:pPr>
      <w:r>
        <w:rPr>
          <w:rFonts w:hint="eastAsia" w:ascii="华文中宋" w:hAnsi="华文中宋" w:eastAsia="华文中宋" w:cs="Times New Roman"/>
          <w:b/>
          <w:bCs/>
          <w:kern w:val="44"/>
          <w:sz w:val="36"/>
          <w:szCs w:val="36"/>
          <w:lang w:val="en-US" w:eastAsia="zh-CN" w:bidi="ar-SA"/>
        </w:rPr>
        <w:t>合风险普查购买第三方技术服务</w:t>
      </w:r>
    </w:p>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r>
        <w:rPr>
          <w:rFonts w:hint="eastAsia" w:ascii="华文中宋" w:hAnsi="华文中宋" w:eastAsia="华文中宋" w:cs="Times New Roman"/>
          <w:b/>
          <w:bCs/>
          <w:kern w:val="44"/>
          <w:sz w:val="36"/>
          <w:szCs w:val="36"/>
          <w:lang w:val="en-US" w:eastAsia="zh-CN" w:bidi="ar-SA"/>
        </w:rPr>
        <w:t>竞争性磋商公告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阿勒泰地区第一次全国自然灾害综合风险普查购买第三方技术服务</w:t>
      </w:r>
      <w:r>
        <w:rPr>
          <w:rFonts w:hint="eastAsia" w:ascii="仿宋" w:hAnsi="仿宋" w:eastAsia="仿宋" w:cs="Times New Roman"/>
          <w:sz w:val="28"/>
          <w:szCs w:val="28"/>
        </w:rPr>
        <w:t xml:space="preserve"> 采购项目的潜在供应商应在</w:t>
      </w:r>
      <w:r>
        <w:rPr>
          <w:rFonts w:hint="eastAsia" w:ascii="仿宋" w:hAnsi="仿宋" w:eastAsia="仿宋" w:cs="Times New Roman"/>
          <w:sz w:val="28"/>
          <w:szCs w:val="28"/>
          <w:u w:val="single"/>
          <w:lang w:val="zh-CN"/>
        </w:rPr>
        <w:t>新疆新睿泰咨询有限公司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9</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6</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35393629"/>
      <w:bookmarkStart w:id="3" w:name="_Toc35393798"/>
      <w:bookmarkStart w:id="4" w:name="_Toc28359089"/>
      <w:bookmarkStart w:id="5" w:name="_Toc28359012"/>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default" w:ascii="宋体" w:hAnsi="宋体" w:cs="宋体"/>
          <w:kern w:val="0"/>
          <w:sz w:val="28"/>
          <w:szCs w:val="28"/>
          <w:lang w:val="en-US" w:eastAsia="zh-CN"/>
        </w:rPr>
      </w:pPr>
      <w:r>
        <w:rPr>
          <w:rFonts w:hint="eastAsia" w:ascii="仿宋" w:hAnsi="仿宋" w:eastAsia="仿宋" w:cs="Times New Roman"/>
          <w:sz w:val="28"/>
          <w:szCs w:val="28"/>
        </w:rPr>
        <w:t>项目编号：</w:t>
      </w:r>
      <w:r>
        <w:rPr>
          <w:rFonts w:hint="eastAsia" w:ascii="宋体" w:hAnsi="宋体" w:cs="宋体"/>
          <w:color w:val="auto"/>
          <w:kern w:val="0"/>
          <w:sz w:val="28"/>
          <w:szCs w:val="28"/>
          <w:lang w:val="en-US" w:eastAsia="zh-CN"/>
        </w:rPr>
        <w:t>ZFCGRT2021064-1</w:t>
      </w:r>
    </w:p>
    <w:p>
      <w:pPr>
        <w:ind w:firstLine="560" w:firstLineChars="200"/>
        <w:rPr>
          <w:rFonts w:ascii="仿宋" w:hAnsi="仿宋" w:eastAsia="仿宋" w:cs="Times New Roman"/>
          <w:sz w:val="28"/>
          <w:szCs w:val="28"/>
          <w:u w:val="single"/>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阿勒泰地区第一次全国自然灾害综合风险普查购买第三方技术服务</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采购方式：</w:t>
      </w:r>
      <w:r>
        <w:rPr>
          <w:rFonts w:hint="eastAsia" w:ascii="仿宋" w:hAnsi="仿宋" w:eastAsia="仿宋" w:cs="Times New Roman"/>
          <w:sz w:val="28"/>
          <w:szCs w:val="28"/>
        </w:rPr>
        <w:sym w:font="Wingdings 2" w:char="00A3"/>
      </w:r>
      <w:r>
        <w:rPr>
          <w:rFonts w:hint="eastAsia" w:ascii="仿宋" w:hAnsi="仿宋" w:eastAsia="仿宋" w:cs="Times New Roman"/>
          <w:sz w:val="28"/>
          <w:szCs w:val="28"/>
        </w:rPr>
        <w:t xml:space="preserve">竞争性谈判 </w:t>
      </w:r>
      <w:r>
        <w:rPr>
          <w:rFonts w:hint="eastAsia" w:ascii="仿宋" w:hAnsi="仿宋" w:eastAsia="仿宋" w:cs="Times New Roman"/>
          <w:sz w:val="28"/>
          <w:szCs w:val="28"/>
        </w:rPr>
        <w:sym w:font="Wingdings 2" w:char="0052"/>
      </w:r>
      <w:r>
        <w:rPr>
          <w:rFonts w:hint="eastAsia" w:ascii="仿宋" w:hAnsi="仿宋" w:eastAsia="仿宋" w:cs="Times New Roman"/>
          <w:sz w:val="28"/>
          <w:szCs w:val="28"/>
        </w:rPr>
        <w:t>竞争性磋商 □询价</w:t>
      </w:r>
    </w:p>
    <w:p>
      <w:pPr>
        <w:ind w:firstLine="560" w:firstLineChars="200"/>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color w:val="auto"/>
          <w:sz w:val="28"/>
          <w:szCs w:val="28"/>
          <w:lang w:val="en-US" w:eastAsia="zh-CN"/>
        </w:rPr>
        <w:t>77.13万元</w:t>
      </w:r>
      <w:bookmarkStart w:id="44" w:name="_GoBack"/>
      <w:bookmarkEnd w:id="44"/>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color w:val="auto"/>
          <w:sz w:val="28"/>
          <w:szCs w:val="28"/>
          <w:lang w:val="en-US" w:eastAsia="zh-CN"/>
        </w:rPr>
        <w:t>77.13万元</w:t>
      </w:r>
    </w:p>
    <w:p>
      <w:pPr>
        <w:pStyle w:val="8"/>
        <w:keepNext w:val="0"/>
        <w:keepLines w:val="0"/>
        <w:widowControl/>
        <w:suppressLineNumbers w:val="0"/>
        <w:spacing w:before="75" w:beforeAutospacing="0" w:after="75" w:afterAutospacing="0" w:line="300" w:lineRule="atLeast"/>
        <w:ind w:left="0" w:right="0" w:firstLine="420"/>
        <w:rPr>
          <w:rFonts w:hint="eastAsia" w:ascii="仿宋" w:hAnsi="仿宋" w:eastAsia="仿宋" w:cs="Times New Roman"/>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（一）、编制</w:t>
      </w:r>
      <w:r>
        <w:rPr>
          <w:rFonts w:hint="eastAsia" w:ascii="仿宋" w:hAnsi="仿宋" w:eastAsia="仿宋" w:cs="Times New Roman"/>
          <w:sz w:val="28"/>
          <w:szCs w:val="28"/>
          <w:lang w:val="zh-CN" w:eastAsia="zh-CN"/>
        </w:rPr>
        <w:t>地区级自然灾害综合风险普查工作制度规范、实施方案（细则）</w:t>
      </w:r>
      <w:r>
        <w:rPr>
          <w:rFonts w:hint="eastAsia" w:ascii="仿宋" w:hAnsi="仿宋" w:eastAsia="仿宋" w:cs="Times New Roman"/>
          <w:sz w:val="28"/>
          <w:szCs w:val="28"/>
          <w:lang w:val="en-US" w:eastAsia="zh-CN"/>
        </w:rPr>
        <w:t>；（二）、历史灾害调查、综合减灾资源（能力）调查、承灾体（公共服务设施、危险化学品、非煤矿山）调查数据的汇总、整理、质检审核等；（三）、</w:t>
      </w:r>
      <w:r>
        <w:rPr>
          <w:rFonts w:hint="eastAsia" w:ascii="仿宋" w:hAnsi="仿宋" w:eastAsia="仿宋" w:cs="Times New Roman"/>
          <w:sz w:val="28"/>
          <w:szCs w:val="28"/>
          <w:lang w:val="zh-CN" w:eastAsia="zh-CN"/>
        </w:rPr>
        <w:t>对各县（市）应急系统专项成果的纵向数据核查以及汇交</w:t>
      </w:r>
      <w:r>
        <w:rPr>
          <w:rFonts w:hint="eastAsia" w:ascii="仿宋" w:hAnsi="仿宋" w:eastAsia="仿宋" w:cs="Times New Roman"/>
          <w:sz w:val="28"/>
          <w:szCs w:val="28"/>
          <w:lang w:val="en-US" w:eastAsia="zh-CN"/>
        </w:rPr>
        <w:t>，最终形成地、县两级应急系统自然灾害综合风险普查成果；（四)、组织普查专业培训（培训不少于7次，每次培训人数不少于160人），并参与核查、专家咨询、专家建议、专业评估等相关工作。以上服务要求第三方保质保量完成，服务期限两年（2021-2022年）。（具体内容详见磋商文件）</w:t>
      </w:r>
    </w:p>
    <w:p>
      <w:pPr>
        <w:pStyle w:val="8"/>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Times New Roman"/>
          <w:sz w:val="28"/>
          <w:szCs w:val="28"/>
          <w:lang w:val="en-US" w:eastAsia="zh-CN"/>
        </w:rPr>
        <w:t>磋商</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28359090"/>
      <w:bookmarkStart w:id="7" w:name="_Toc28359013"/>
      <w:bookmarkStart w:id="8" w:name="_Toc35393630"/>
      <w:bookmarkStart w:id="9" w:name="_Toc35393799"/>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u w:val="single"/>
        </w:rPr>
      </w:pPr>
      <w:bookmarkStart w:id="10" w:name="_Toc28359014"/>
      <w:bookmarkStart w:id="11" w:name="_Toc28359091"/>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pStyle w:val="9"/>
        <w:ind w:left="0" w:leftChars="0" w:firstLine="560" w:firstLineChars="200"/>
      </w:pP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具备有效的营业执照且有能力提供本项目服务的供应商；</w:t>
      </w:r>
    </w:p>
    <w:p>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.本项目的特定资格要求：</w:t>
      </w:r>
      <w:bookmarkStart w:id="12" w:name="_Toc35393631"/>
      <w:bookmarkStart w:id="13" w:name="_Toc35393800"/>
      <w:r>
        <w:rPr>
          <w:rFonts w:hint="eastAsia" w:ascii="仿宋" w:hAnsi="仿宋" w:eastAsia="仿宋" w:cs="Times New Roman"/>
          <w:sz w:val="28"/>
          <w:szCs w:val="28"/>
          <w:lang w:val="en-US" w:eastAsia="zh-CN"/>
        </w:rPr>
        <w:t>投标人须具有地理信息数据采集和地理信息数据处理的乙级及以上测绘资质证书；项目负责人具备中级以上（含）职称；具备本项目设计业务所需的技术人员，有完善的质量保证体系和成果管理制度，技术、经营、人事、财务、档案等管理制度健全，并在人员、设备、资金等方面具有承担本项目编制实施方案的能力；</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5、投标企业在“信用中国”（www.creditchina.gov.cn）和中国政府采购网（www.ccgp.gov.cn）网站上未被列入失信被执行人、重大税收违法案件当事人名单以及政府采购严重违法失信行为记录名单。</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6、本招标项目不接受联合体投标。</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31</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ind w:firstLine="560" w:firstLineChars="20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200元</w:t>
      </w:r>
      <w:bookmarkStart w:id="14" w:name="_Toc28359092"/>
      <w:bookmarkStart w:id="15" w:name="_Toc35393801"/>
      <w:bookmarkStart w:id="16" w:name="_Toc35393632"/>
      <w:bookmarkStart w:id="17" w:name="_Toc28359015"/>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9</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6</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8" w:name="_Toc28359093"/>
      <w:bookmarkStart w:id="19" w:name="_Toc35393633"/>
      <w:bookmarkStart w:id="20" w:name="_Toc35393802"/>
      <w:bookmarkStart w:id="21" w:name="_Toc28359016"/>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9</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6</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28359094"/>
      <w:bookmarkStart w:id="23" w:name="_Toc35393803"/>
      <w:bookmarkStart w:id="24" w:name="_Toc28359017"/>
      <w:bookmarkStart w:id="25" w:name="_Toc35393634"/>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804"/>
      <w:bookmarkStart w:id="27" w:name="_Toc35393635"/>
      <w:r>
        <w:rPr>
          <w:rFonts w:hint="eastAsia" w:ascii="黑体" w:hAnsi="黑体" w:eastAsia="黑体" w:cs="宋体"/>
          <w:b w:val="0"/>
          <w:bCs/>
          <w:kern w:val="2"/>
          <w:sz w:val="28"/>
          <w:szCs w:val="28"/>
          <w:lang w:val="en-US" w:eastAsia="zh-CN" w:bidi="ar-SA"/>
        </w:rPr>
        <w:t>其他补充事宜</w:t>
      </w:r>
      <w:bookmarkEnd w:id="26"/>
      <w:bookmarkEnd w:id="27"/>
    </w:p>
    <w:p>
      <w:pPr>
        <w:spacing w:line="360" w:lineRule="auto"/>
        <w:ind w:firstLine="540"/>
        <w:rPr>
          <w:rFonts w:ascii="Times New Roman" w:hAnsi="Times New Roman" w:eastAsia="宋体" w:cs="Times New Roman"/>
          <w:szCs w:val="21"/>
        </w:rPr>
      </w:pPr>
      <w:r>
        <w:rPr>
          <w:rFonts w:hint="eastAsia" w:ascii="仿宋" w:hAnsi="仿宋" w:eastAsia="仿宋" w:cs="宋体"/>
          <w:sz w:val="28"/>
          <w:szCs w:val="28"/>
          <w:lang w:val="en-US" w:eastAsia="zh-CN"/>
        </w:rPr>
        <w:t>须提供的证明材料：①法定代表人授权委托书；②法定代表人或被授权委托人身份证；③营业执照副本；④资质证书；⑤项目负责人相关证件⑥“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8" w:name="_Toc35393636"/>
      <w:bookmarkStart w:id="29" w:name="_Toc28359095"/>
      <w:bookmarkStart w:id="30" w:name="_Toc35393805"/>
      <w:bookmarkStart w:id="31" w:name="_Toc28359018"/>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2" w:name="_Toc35393806"/>
      <w:bookmarkStart w:id="33" w:name="_Toc28359019"/>
      <w:bookmarkStart w:id="34" w:name="_Toc28359096"/>
      <w:bookmarkStart w:id="35" w:name="_Toc35393637"/>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spacing w:line="360" w:lineRule="auto"/>
        <w:ind w:left="1129" w:leftChars="371" w:hanging="350" w:hangingChars="125"/>
        <w:jc w:val="left"/>
        <w:rPr>
          <w:rFonts w:ascii="仿宋" w:hAnsi="仿宋" w:eastAsia="仿宋" w:cs="Times New Roman"/>
          <w:sz w:val="28"/>
          <w:szCs w:val="28"/>
          <w:u w:val="single"/>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伊犁哈萨克自治州阿勒泰地区应急管理局</w:t>
      </w:r>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阿勒泰市</w:t>
      </w:r>
    </w:p>
    <w:p>
      <w:pPr>
        <w:spacing w:line="360" w:lineRule="auto"/>
        <w:ind w:left="1129" w:leftChars="371" w:hanging="350" w:hangingChars="125"/>
        <w:jc w:val="left"/>
        <w:rPr>
          <w:rFonts w:ascii="仿宋" w:hAnsi="仿宋" w:eastAsia="仿宋" w:cs="Times New Roman"/>
          <w:sz w:val="28"/>
          <w:szCs w:val="28"/>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w:t>
      </w:r>
      <w:r>
        <w:rPr>
          <w:rFonts w:hint="eastAsia" w:ascii="仿宋" w:hAnsi="仿宋" w:eastAsia="仿宋" w:cs="Times New Roman"/>
          <w:sz w:val="28"/>
          <w:szCs w:val="28"/>
          <w:u w:val="single"/>
          <w:lang w:val="en-US" w:eastAsia="zh-CN"/>
        </w:rPr>
        <w:t>-</w:t>
      </w:r>
      <w:r>
        <w:rPr>
          <w:rFonts w:hint="eastAsia" w:ascii="仿宋" w:hAnsi="仿宋" w:eastAsia="仿宋" w:cs="Times New Roman"/>
          <w:sz w:val="28"/>
          <w:szCs w:val="28"/>
          <w:u w:val="single"/>
        </w:rPr>
        <w:t>2193171</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6" w:name="_Toc35393638"/>
      <w:bookmarkStart w:id="37" w:name="_Toc28359097"/>
      <w:bookmarkStart w:id="38" w:name="_Toc35393807"/>
      <w:bookmarkStart w:id="39" w:name="_Toc28359020"/>
      <w:r>
        <w:rPr>
          <w:rFonts w:hint="eastAsia" w:ascii="仿宋" w:hAnsi="仿宋" w:eastAsia="仿宋" w:cs="宋体"/>
          <w:b w:val="0"/>
          <w:bCs/>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新疆新睿泰咨询有限公司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0906-2165577</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40" w:name="_Toc35393808"/>
      <w:bookmarkStart w:id="41" w:name="_Toc35393639"/>
      <w:bookmarkStart w:id="42" w:name="_Toc28359098"/>
      <w:bookmarkStart w:id="43" w:name="_Toc28359021"/>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widowControl w:val="0"/>
        <w:spacing w:line="360" w:lineRule="auto"/>
        <w:ind w:firstLine="840" w:firstLineChars="30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王飞</w:t>
      </w:r>
    </w:p>
    <w:p>
      <w:pPr>
        <w:spacing w:line="360" w:lineRule="auto"/>
        <w:ind w:firstLine="840" w:firstLineChars="300"/>
        <w:rPr>
          <w:rFonts w:hint="default"/>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rPr>
        <w:t>1</w:t>
      </w:r>
      <w:r>
        <w:rPr>
          <w:rFonts w:hint="eastAsia" w:ascii="仿宋" w:hAnsi="仿宋" w:eastAsia="仿宋" w:cs="Times New Roman"/>
          <w:sz w:val="28"/>
          <w:szCs w:val="28"/>
          <w:u w:val="single"/>
          <w:lang w:val="en-US" w:eastAsia="zh-CN"/>
        </w:rPr>
        <w:t>8999798079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E4F66"/>
    <w:rsid w:val="043167AE"/>
    <w:rsid w:val="06840360"/>
    <w:rsid w:val="06A76B89"/>
    <w:rsid w:val="077877F6"/>
    <w:rsid w:val="0E55722F"/>
    <w:rsid w:val="0F38054B"/>
    <w:rsid w:val="0F4A2993"/>
    <w:rsid w:val="152E3474"/>
    <w:rsid w:val="15767DA2"/>
    <w:rsid w:val="175827D8"/>
    <w:rsid w:val="17694CA9"/>
    <w:rsid w:val="1A3F370B"/>
    <w:rsid w:val="1ABA3008"/>
    <w:rsid w:val="1C252CF8"/>
    <w:rsid w:val="1D0B3A5A"/>
    <w:rsid w:val="1D3B1970"/>
    <w:rsid w:val="1D880C2E"/>
    <w:rsid w:val="278B5D0A"/>
    <w:rsid w:val="291361C7"/>
    <w:rsid w:val="2BB86872"/>
    <w:rsid w:val="2D27280D"/>
    <w:rsid w:val="30D55069"/>
    <w:rsid w:val="319143A2"/>
    <w:rsid w:val="31E336B7"/>
    <w:rsid w:val="3B8414C4"/>
    <w:rsid w:val="3DF618DE"/>
    <w:rsid w:val="3EF70166"/>
    <w:rsid w:val="3F945CD2"/>
    <w:rsid w:val="40677024"/>
    <w:rsid w:val="44B755B9"/>
    <w:rsid w:val="4569459A"/>
    <w:rsid w:val="4B65269D"/>
    <w:rsid w:val="4B7A0470"/>
    <w:rsid w:val="4D9D048C"/>
    <w:rsid w:val="51615770"/>
    <w:rsid w:val="52AB52B2"/>
    <w:rsid w:val="52D5251C"/>
    <w:rsid w:val="554A503E"/>
    <w:rsid w:val="56326348"/>
    <w:rsid w:val="572517AC"/>
    <w:rsid w:val="592C6EFE"/>
    <w:rsid w:val="5AEC6561"/>
    <w:rsid w:val="5C76256C"/>
    <w:rsid w:val="5D215E40"/>
    <w:rsid w:val="5DAE5371"/>
    <w:rsid w:val="60E92534"/>
    <w:rsid w:val="60FD60B0"/>
    <w:rsid w:val="61CE0E61"/>
    <w:rsid w:val="6241362C"/>
    <w:rsid w:val="629F65C1"/>
    <w:rsid w:val="630B7953"/>
    <w:rsid w:val="6CF9669C"/>
    <w:rsid w:val="6F672D94"/>
    <w:rsid w:val="7010138B"/>
    <w:rsid w:val="7231778F"/>
    <w:rsid w:val="79595E97"/>
    <w:rsid w:val="79A90E55"/>
    <w:rsid w:val="7C905D60"/>
    <w:rsid w:val="7E0764B2"/>
    <w:rsid w:val="7E552FE3"/>
    <w:rsid w:val="7EBA354F"/>
    <w:rsid w:val="7EBB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3">
    <w:name w:val="toa heading"/>
    <w:basedOn w:val="1"/>
    <w:next w:val="1"/>
    <w:qFormat/>
    <w:uiPriority w:val="99"/>
    <w:pPr>
      <w:spacing w:before="120"/>
    </w:pPr>
    <w:rPr>
      <w:rFonts w:ascii="Cambria" w:hAnsi="Cambria"/>
      <w:sz w:val="24"/>
      <w:szCs w:val="24"/>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9">
    <w:name w:val="Body Text First Indent 2"/>
    <w:basedOn w:val="4"/>
    <w:qFormat/>
    <w:uiPriority w:val="0"/>
    <w:pPr>
      <w:spacing w:after="120" w:line="240" w:lineRule="auto"/>
      <w:ind w:left="420" w:leftChars="200" w:firstLine="200" w:firstLineChars="200"/>
      <w:jc w:val="left"/>
    </w:pPr>
    <w:rPr>
      <w:rFonts w:hAnsi="宋体"/>
      <w:szCs w:val="24"/>
    </w:rPr>
  </w:style>
  <w:style w:type="paragraph" w:customStyle="1" w:styleId="12">
    <w:name w:val="_Style 10"/>
    <w:basedOn w:val="1"/>
    <w:next w:val="1"/>
    <w:qFormat/>
    <w:uiPriority w:val="0"/>
    <w:pPr>
      <w:pBdr>
        <w:bottom w:val="single" w:color="auto" w:sz="6" w:space="1"/>
      </w:pBdr>
      <w:jc w:val="center"/>
    </w:pPr>
    <w:rPr>
      <w:rFonts w:ascii="Arial" w:eastAsia="宋体"/>
      <w:vanish/>
      <w:sz w:val="16"/>
    </w:rPr>
  </w:style>
  <w:style w:type="paragraph" w:customStyle="1" w:styleId="13">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我叫不开心</cp:lastModifiedBy>
  <dcterms:modified xsi:type="dcterms:W3CDTF">2021-08-23T14:34:08Z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