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rPr>
      </w:pPr>
    </w:p>
    <w:p>
      <w:pPr>
        <w:pStyle w:val="5"/>
        <w:rPr>
          <w:rFonts w:ascii="微软雅黑" w:hAnsi="微软雅黑" w:eastAsia="微软雅黑" w:cs="微软雅黑"/>
          <w:b/>
          <w:sz w:val="44"/>
          <w:szCs w:val="44"/>
        </w:rPr>
      </w:pPr>
    </w:p>
    <w:p>
      <w:pPr>
        <w:pStyle w:val="2"/>
      </w:pPr>
    </w:p>
    <w:p>
      <w:pPr>
        <w:pStyle w:val="5"/>
        <w:rPr>
          <w:rFonts w:hint="eastAsia" w:ascii="微软雅黑" w:hAnsi="微软雅黑" w:eastAsia="微软雅黑" w:cs="微软雅黑"/>
          <w:sz w:val="44"/>
          <w:szCs w:val="32"/>
          <w:u w:val="none"/>
          <w:lang w:eastAsia="zh-CN"/>
        </w:rPr>
      </w:pPr>
      <w:r>
        <w:rPr>
          <w:rFonts w:hint="eastAsia" w:ascii="微软雅黑" w:hAnsi="微软雅黑" w:eastAsia="微软雅黑" w:cs="微软雅黑"/>
          <w:sz w:val="44"/>
          <w:szCs w:val="32"/>
          <w:u w:val="none"/>
          <w:lang w:eastAsia="zh-CN"/>
        </w:rPr>
        <w:t>喀什古城丝路风情系列活动服务采购项目</w:t>
      </w:r>
    </w:p>
    <w:p>
      <w:pPr>
        <w:spacing w:line="240" w:lineRule="atLeast"/>
        <w:ind w:left="1856" w:leftChars="884" w:firstLine="629" w:firstLineChars="143"/>
        <w:jc w:val="both"/>
        <w:rPr>
          <w:rFonts w:hint="eastAsia" w:ascii="微软雅黑" w:hAnsi="微软雅黑" w:eastAsia="微软雅黑" w:cs="微软雅黑"/>
          <w:b/>
          <w:kern w:val="0"/>
          <w:sz w:val="44"/>
          <w:szCs w:val="32"/>
          <w:u w:val="none"/>
          <w:lang w:val="en-US" w:eastAsia="zh-CN" w:bidi="ar-SA"/>
        </w:rPr>
      </w:pPr>
      <w:r>
        <w:rPr>
          <w:rFonts w:hint="eastAsia" w:ascii="微软雅黑" w:hAnsi="微软雅黑" w:eastAsia="微软雅黑" w:cs="微软雅黑"/>
          <w:b/>
          <w:kern w:val="0"/>
          <w:sz w:val="44"/>
          <w:szCs w:val="32"/>
          <w:u w:val="none"/>
          <w:lang w:val="en-US" w:eastAsia="zh-CN" w:bidi="ar-SA"/>
        </w:rPr>
        <w:t>竞争性磋商文件</w:t>
      </w:r>
    </w:p>
    <w:p>
      <w:pPr>
        <w:spacing w:line="240" w:lineRule="atLeast"/>
        <w:ind w:left="1079" w:leftChars="257" w:hanging="540"/>
        <w:jc w:val="center"/>
        <w:rPr>
          <w:rFonts w:hint="eastAsia" w:ascii="微软雅黑" w:hAnsi="微软雅黑" w:eastAsia="微软雅黑" w:cs="微软雅黑"/>
          <w:b/>
          <w:bCs w:val="0"/>
          <w:sz w:val="32"/>
          <w:szCs w:val="32"/>
        </w:rPr>
      </w:pPr>
    </w:p>
    <w:p>
      <w:pPr>
        <w:pStyle w:val="25"/>
        <w:rPr>
          <w:rFonts w:hint="eastAsia" w:ascii="微软雅黑" w:hAnsi="微软雅黑" w:eastAsia="微软雅黑" w:cs="微软雅黑"/>
          <w:b/>
          <w:bCs w:val="0"/>
          <w:sz w:val="32"/>
          <w:szCs w:val="32"/>
        </w:rPr>
      </w:pPr>
    </w:p>
    <w:p>
      <w:pPr>
        <w:spacing w:line="240" w:lineRule="atLeast"/>
        <w:ind w:left="1079" w:leftChars="257" w:hanging="540"/>
        <w:jc w:val="center"/>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项目编号：</w:t>
      </w:r>
      <w:r>
        <w:rPr>
          <w:rFonts w:hint="eastAsia" w:ascii="微软雅黑" w:hAnsi="微软雅黑" w:eastAsia="微软雅黑" w:cs="微软雅黑"/>
          <w:b/>
          <w:bCs w:val="0"/>
          <w:sz w:val="32"/>
          <w:szCs w:val="32"/>
          <w:lang w:val="en-US" w:eastAsia="zh-CN"/>
        </w:rPr>
        <w:t>YYXD</w:t>
      </w:r>
      <w:r>
        <w:rPr>
          <w:rFonts w:hint="eastAsia" w:ascii="微软雅黑" w:hAnsi="微软雅黑" w:eastAsia="微软雅黑" w:cs="微软雅黑"/>
          <w:b/>
          <w:bCs w:val="0"/>
          <w:sz w:val="32"/>
          <w:szCs w:val="32"/>
        </w:rPr>
        <w:t>（</w:t>
      </w:r>
      <w:r>
        <w:rPr>
          <w:rFonts w:hint="eastAsia" w:ascii="微软雅黑" w:hAnsi="微软雅黑" w:eastAsia="微软雅黑" w:cs="微软雅黑"/>
          <w:b/>
          <w:bCs w:val="0"/>
          <w:sz w:val="32"/>
          <w:szCs w:val="32"/>
          <w:lang w:val="en-US" w:eastAsia="zh-CN"/>
        </w:rPr>
        <w:t>CS</w:t>
      </w:r>
      <w:r>
        <w:rPr>
          <w:rFonts w:hint="eastAsia" w:ascii="微软雅黑" w:hAnsi="微软雅黑" w:eastAsia="微软雅黑" w:cs="微软雅黑"/>
          <w:b/>
          <w:bCs w:val="0"/>
          <w:sz w:val="32"/>
          <w:szCs w:val="32"/>
        </w:rPr>
        <w:t>）2022-0</w:t>
      </w:r>
      <w:r>
        <w:rPr>
          <w:rFonts w:hint="eastAsia" w:ascii="微软雅黑" w:hAnsi="微软雅黑" w:eastAsia="微软雅黑" w:cs="微软雅黑"/>
          <w:b/>
          <w:bCs w:val="0"/>
          <w:sz w:val="32"/>
          <w:szCs w:val="32"/>
          <w:lang w:val="en-US" w:eastAsia="zh-CN"/>
        </w:rPr>
        <w:t>2</w:t>
      </w:r>
      <w:r>
        <w:rPr>
          <w:rFonts w:hint="eastAsia" w:ascii="微软雅黑" w:hAnsi="微软雅黑" w:eastAsia="微软雅黑" w:cs="微软雅黑"/>
          <w:b/>
          <w:bCs w:val="0"/>
          <w:sz w:val="32"/>
          <w:szCs w:val="32"/>
        </w:rPr>
        <w:t>号 </w:t>
      </w:r>
    </w:p>
    <w:p>
      <w:pPr>
        <w:spacing w:line="240" w:lineRule="atLeast"/>
        <w:ind w:left="1079" w:leftChars="257" w:hanging="540"/>
        <w:jc w:val="center"/>
        <w:rPr>
          <w:rFonts w:hint="eastAsia" w:ascii="微软雅黑" w:hAnsi="微软雅黑" w:eastAsia="微软雅黑" w:cs="微软雅黑"/>
          <w:b/>
          <w:sz w:val="32"/>
          <w:szCs w:val="32"/>
        </w:rPr>
      </w:pPr>
    </w:p>
    <w:p>
      <w:pPr>
        <w:pStyle w:val="5"/>
        <w:rPr>
          <w:rFonts w:hint="eastAsia" w:ascii="微软雅黑" w:hAnsi="微软雅黑" w:eastAsia="微软雅黑" w:cs="微软雅黑"/>
        </w:rPr>
      </w:pPr>
    </w:p>
    <w:p>
      <w:pPr>
        <w:spacing w:line="360" w:lineRule="auto"/>
        <w:ind w:firstLine="956"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2"/>
          <w:szCs w:val="32"/>
          <w:lang w:eastAsia="zh-CN"/>
        </w:rPr>
        <w:t>采</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购</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单</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位：喀什古城景区管委会</w:t>
      </w:r>
    </w:p>
    <w:p>
      <w:pPr>
        <w:spacing w:line="360" w:lineRule="auto"/>
        <w:ind w:firstLine="897"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采购代理机构：新疆</w:t>
      </w:r>
      <w:r>
        <w:rPr>
          <w:rFonts w:hint="eastAsia" w:ascii="微软雅黑" w:hAnsi="微软雅黑" w:eastAsia="微软雅黑" w:cs="微软雅黑"/>
          <w:b/>
          <w:bCs/>
          <w:sz w:val="30"/>
          <w:szCs w:val="30"/>
          <w:lang w:eastAsia="zh-CN"/>
        </w:rPr>
        <w:t>永业鑫达招标有限公司</w:t>
      </w:r>
    </w:p>
    <w:p>
      <w:pPr>
        <w:spacing w:line="600" w:lineRule="exact"/>
        <w:ind w:firstLine="897" w:firstLineChars="299"/>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发  出 日 期：</w:t>
      </w:r>
      <w:r>
        <w:rPr>
          <w:rFonts w:hint="eastAsia" w:ascii="微软雅黑" w:hAnsi="微软雅黑" w:eastAsia="微软雅黑" w:cs="微软雅黑"/>
          <w:b/>
          <w:bCs/>
          <w:sz w:val="30"/>
          <w:szCs w:val="30"/>
          <w:u w:val="none"/>
          <w:lang w:val="en-US" w:eastAsia="zh-CN"/>
        </w:rPr>
        <w:t>2022</w:t>
      </w:r>
      <w:r>
        <w:rPr>
          <w:rFonts w:hint="eastAsia" w:ascii="微软雅黑" w:hAnsi="微软雅黑" w:eastAsia="微软雅黑" w:cs="微软雅黑"/>
          <w:b/>
          <w:bCs/>
          <w:sz w:val="30"/>
          <w:szCs w:val="30"/>
          <w:u w:val="none"/>
        </w:rPr>
        <w:t>年</w:t>
      </w:r>
      <w:r>
        <w:rPr>
          <w:rFonts w:hint="eastAsia" w:ascii="微软雅黑" w:hAnsi="微软雅黑" w:eastAsia="微软雅黑" w:cs="微软雅黑"/>
          <w:b/>
          <w:bCs/>
          <w:sz w:val="30"/>
          <w:szCs w:val="30"/>
          <w:u w:val="none"/>
          <w:lang w:val="en-US" w:eastAsia="zh-CN"/>
        </w:rPr>
        <w:t>06</w:t>
      </w:r>
      <w:r>
        <w:rPr>
          <w:rFonts w:hint="eastAsia" w:ascii="微软雅黑" w:hAnsi="微软雅黑" w:eastAsia="微软雅黑" w:cs="微软雅黑"/>
          <w:b/>
          <w:bCs/>
          <w:sz w:val="30"/>
          <w:szCs w:val="30"/>
          <w:u w:val="none"/>
        </w:rPr>
        <w:t xml:space="preserve">月 </w:t>
      </w:r>
    </w:p>
    <w:p>
      <w:pPr>
        <w:outlineLvl w:val="9"/>
        <w:rPr>
          <w:rFonts w:hint="eastAsia" w:ascii="仿宋" w:hAnsi="仿宋" w:eastAsia="仿宋" w:cs="黑体"/>
          <w:b/>
          <w:bCs/>
          <w:sz w:val="30"/>
          <w:szCs w:val="30"/>
        </w:rPr>
      </w:pPr>
    </w:p>
    <w:p>
      <w:pPr>
        <w:pStyle w:val="2"/>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pStyle w:val="2"/>
        <w:outlineLvl w:val="9"/>
        <w:rPr>
          <w:rFonts w:hint="eastAsia" w:ascii="仿宋" w:hAnsi="仿宋" w:eastAsia="仿宋" w:cs="黑体"/>
          <w:b/>
          <w:bCs/>
          <w:sz w:val="30"/>
          <w:szCs w:val="30"/>
        </w:rPr>
      </w:pPr>
    </w:p>
    <w:p>
      <w:pPr>
        <w:outlineLvl w:val="9"/>
      </w:pPr>
    </w:p>
    <w:p>
      <w:pPr>
        <w:keepNext w:val="0"/>
        <w:keepLines w:val="0"/>
        <w:pageBreakBefore w:val="0"/>
        <w:widowControl w:val="0"/>
        <w:kinsoku/>
        <w:wordWrap/>
        <w:overflowPunct/>
        <w:topLinePunct w:val="0"/>
        <w:autoSpaceDE/>
        <w:autoSpaceDN/>
        <w:bidi w:val="0"/>
        <w:adjustRightInd/>
        <w:snapToGrid w:val="0"/>
        <w:spacing w:line="192" w:lineRule="auto"/>
        <w:ind w:left="1079"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sz w:val="24"/>
        </w:rPr>
        <w:fldChar w:fldCharType="begin"/>
      </w:r>
      <w:r>
        <w:rPr>
          <w:rFonts w:hint="eastAsia" w:ascii="微软雅黑" w:hAnsi="微软雅黑" w:eastAsia="微软雅黑" w:cs="微软雅黑"/>
          <w:kern w:val="0"/>
          <w:sz w:val="24"/>
        </w:rPr>
        <w:instrText xml:space="preserve"> TOC \o "1-3" \h \z \u </w:instrText>
      </w:r>
      <w:r>
        <w:rPr>
          <w:rFonts w:hint="eastAsia" w:ascii="微软雅黑" w:hAnsi="微软雅黑" w:eastAsia="微软雅黑" w:cs="微软雅黑"/>
          <w:kern w:val="0"/>
          <w:sz w:val="24"/>
        </w:rPr>
        <w:fldChar w:fldCharType="separate"/>
      </w: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_Toc8810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r>
        <w:tab/>
      </w:r>
      <w:r>
        <w:fldChar w:fldCharType="begin"/>
      </w:r>
      <w:r>
        <w:instrText xml:space="preserve"> PAGEREF _Toc8810 \h </w:instrText>
      </w:r>
      <w:r>
        <w:fldChar w:fldCharType="separate"/>
      </w:r>
      <w:r>
        <w:t>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_Toc28235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一   总 则</w:t>
      </w:r>
      <w:r>
        <w:tab/>
      </w:r>
      <w:r>
        <w:fldChar w:fldCharType="begin"/>
      </w:r>
      <w:r>
        <w:instrText xml:space="preserve"> PAGEREF _Toc28235 \h </w:instrText>
      </w:r>
      <w:r>
        <w:fldChar w:fldCharType="separate"/>
      </w:r>
      <w:r>
        <w:t>4</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_Toc11466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1.采购人、采购代理机构及供应商</w:t>
      </w:r>
      <w:r>
        <w:tab/>
      </w:r>
      <w:r>
        <w:fldChar w:fldCharType="begin"/>
      </w:r>
      <w:r>
        <w:instrText xml:space="preserve"> PAGEREF _Toc11466 \h </w:instrText>
      </w:r>
      <w:r>
        <w:fldChar w:fldCharType="separate"/>
      </w:r>
      <w:r>
        <w:t>4</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_Toc4125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2.资金来源</w:t>
      </w:r>
      <w:r>
        <w:tab/>
      </w:r>
      <w:r>
        <w:fldChar w:fldCharType="begin"/>
      </w:r>
      <w:r>
        <w:instrText xml:space="preserve"> PAGEREF _Toc4125 \h </w:instrText>
      </w:r>
      <w:r>
        <w:fldChar w:fldCharType="separate"/>
      </w:r>
      <w:r>
        <w:t>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_Toc14880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3.磋商费用</w:t>
      </w:r>
      <w:r>
        <w:tab/>
      </w:r>
      <w:r>
        <w:fldChar w:fldCharType="begin"/>
      </w:r>
      <w:r>
        <w:instrText xml:space="preserve"> PAGEREF _Toc14880 \h </w:instrText>
      </w:r>
      <w:r>
        <w:fldChar w:fldCharType="separate"/>
      </w:r>
      <w:r>
        <w:t>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_Toc28372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4.适用法律</w:t>
      </w:r>
      <w:r>
        <w:tab/>
      </w:r>
      <w:r>
        <w:fldChar w:fldCharType="begin"/>
      </w:r>
      <w:r>
        <w:instrText xml:space="preserve"> PAGEREF _Toc28372 \h </w:instrText>
      </w:r>
      <w:r>
        <w:fldChar w:fldCharType="separate"/>
      </w:r>
      <w:r>
        <w:t>5</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textAlignment w:val="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_Toc7331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二   磋商文件</w:t>
      </w:r>
      <w:r>
        <w:tab/>
      </w:r>
      <w:r>
        <w:fldChar w:fldCharType="begin"/>
      </w:r>
      <w:r>
        <w:instrText xml:space="preserve"> PAGEREF _Toc7331 \h </w:instrText>
      </w:r>
      <w:r>
        <w:fldChar w:fldCharType="separate"/>
      </w:r>
      <w:r>
        <w:t>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_Toc14535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5.磋商文件构成</w:t>
      </w:r>
      <w:r>
        <w:tab/>
      </w:r>
      <w:r>
        <w:fldChar w:fldCharType="begin"/>
      </w:r>
      <w:r>
        <w:instrText xml:space="preserve"> PAGEREF _Toc14535 \h </w:instrText>
      </w:r>
      <w:r>
        <w:fldChar w:fldCharType="separate"/>
      </w:r>
      <w:r>
        <w:t>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textAlignment w:val="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_Toc26207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6.磋商文件的澄清与修改</w:t>
      </w:r>
      <w:r>
        <w:tab/>
      </w:r>
      <w:r>
        <w:fldChar w:fldCharType="begin"/>
      </w:r>
      <w:r>
        <w:instrText xml:space="preserve"> PAGEREF _Toc26207 \h </w:instrText>
      </w:r>
      <w:r>
        <w:fldChar w:fldCharType="separate"/>
      </w:r>
      <w:r>
        <w:t>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_Toc19134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7.磋商截止时间的顺延</w:t>
      </w:r>
      <w:r>
        <w:tab/>
      </w:r>
      <w:r>
        <w:fldChar w:fldCharType="begin"/>
      </w:r>
      <w:r>
        <w:instrText xml:space="preserve"> PAGEREF _Toc19134 \h </w:instrText>
      </w:r>
      <w:r>
        <w:fldChar w:fldCharType="separate"/>
      </w:r>
      <w:r>
        <w:t>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_Toc15517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三   响应文件的编制</w:t>
      </w:r>
      <w:r>
        <w:tab/>
      </w:r>
      <w:r>
        <w:fldChar w:fldCharType="begin"/>
      </w:r>
      <w:r>
        <w:instrText xml:space="preserve"> PAGEREF _Toc15517 \h </w:instrText>
      </w:r>
      <w:r>
        <w:fldChar w:fldCharType="separate"/>
      </w:r>
      <w:r>
        <w:t>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pos="3600"/>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_Toc5822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rPr>
        <w:t>磋商范围及响应文件成交准和计量单位的使用</w:t>
      </w:r>
      <w:r>
        <w:tab/>
      </w:r>
      <w:r>
        <w:fldChar w:fldCharType="begin"/>
      </w:r>
      <w:r>
        <w:instrText xml:space="preserve"> PAGEREF _Toc5822 \h </w:instrText>
      </w:r>
      <w:r>
        <w:fldChar w:fldCharType="separate"/>
      </w:r>
      <w:r>
        <w:t>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_Toc4882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9.响应文件构成</w:t>
      </w:r>
      <w:r>
        <w:tab/>
      </w:r>
      <w:r>
        <w:fldChar w:fldCharType="begin"/>
      </w:r>
      <w:r>
        <w:instrText xml:space="preserve"> PAGEREF _Toc4882 \h </w:instrText>
      </w:r>
      <w:r>
        <w:fldChar w:fldCharType="separate"/>
      </w:r>
      <w:r>
        <w:t>7</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pos="3600"/>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_Toc28704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rPr>
        <w:t>证明磋商标的的合格性和符合磋商文件规定的技术文件</w:t>
      </w:r>
      <w:r>
        <w:tab/>
      </w:r>
      <w:r>
        <w:fldChar w:fldCharType="begin"/>
      </w:r>
      <w:r>
        <w:instrText xml:space="preserve"> PAGEREF _Toc28704 \h </w:instrText>
      </w:r>
      <w:r>
        <w:fldChar w:fldCharType="separate"/>
      </w:r>
      <w:r>
        <w:t>7</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_Toc19523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11.磋商报价</w:t>
      </w:r>
      <w:r>
        <w:tab/>
      </w:r>
      <w:r>
        <w:fldChar w:fldCharType="begin"/>
      </w:r>
      <w:r>
        <w:instrText xml:space="preserve"> PAGEREF _Toc19523 \h </w:instrText>
      </w:r>
      <w:r>
        <w:fldChar w:fldCharType="separate"/>
      </w:r>
      <w:r>
        <w:t>7</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_Toc24996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12.磋商保证金</w:t>
      </w:r>
      <w:r>
        <w:tab/>
      </w:r>
      <w:r>
        <w:fldChar w:fldCharType="begin"/>
      </w:r>
      <w:r>
        <w:instrText xml:space="preserve"> PAGEREF _Toc24996 \h </w:instrText>
      </w:r>
      <w:r>
        <w:fldChar w:fldCharType="separate"/>
      </w:r>
      <w:r>
        <w:t>8</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_Toc22807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13.磋商有效期</w:t>
      </w:r>
      <w:r>
        <w:tab/>
      </w:r>
      <w:r>
        <w:fldChar w:fldCharType="begin"/>
      </w:r>
      <w:r>
        <w:instrText xml:space="preserve"> PAGEREF _Toc22807 \h </w:instrText>
      </w:r>
      <w:r>
        <w:fldChar w:fldCharType="separate"/>
      </w:r>
      <w:r>
        <w:t>9</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_Toc27945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14.响应文件的签署及规定</w:t>
      </w:r>
      <w:r>
        <w:tab/>
      </w:r>
      <w:r>
        <w:fldChar w:fldCharType="begin"/>
      </w:r>
      <w:r>
        <w:instrText xml:space="preserve"> PAGEREF _Toc27945 \h </w:instrText>
      </w:r>
      <w:r>
        <w:fldChar w:fldCharType="separate"/>
      </w:r>
      <w:r>
        <w:t>9</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_Toc7711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四   响应文件的递交</w:t>
      </w:r>
      <w:r>
        <w:tab/>
      </w:r>
      <w:r>
        <w:fldChar w:fldCharType="begin"/>
      </w:r>
      <w:r>
        <w:instrText xml:space="preserve"> PAGEREF _Toc7711 \h </w:instrText>
      </w:r>
      <w:r>
        <w:fldChar w:fldCharType="separate"/>
      </w:r>
      <w:r>
        <w:t>9</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_Toc28268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15.响应文件的密封和标记</w:t>
      </w:r>
      <w:r>
        <w:tab/>
      </w:r>
      <w:r>
        <w:fldChar w:fldCharType="begin"/>
      </w:r>
      <w:r>
        <w:instrText xml:space="preserve"> PAGEREF _Toc28268 \h </w:instrText>
      </w:r>
      <w:r>
        <w:fldChar w:fldCharType="separate"/>
      </w:r>
      <w:r>
        <w:t>9</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_Toc5096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16.磋商截止</w:t>
      </w:r>
      <w:r>
        <w:tab/>
      </w:r>
      <w:r>
        <w:fldChar w:fldCharType="begin"/>
      </w:r>
      <w:r>
        <w:instrText xml:space="preserve"> PAGEREF _Toc5096 \h </w:instrText>
      </w:r>
      <w:r>
        <w:fldChar w:fldCharType="separate"/>
      </w:r>
      <w:r>
        <w:t>10</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_Toc24701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17.响应文件的接收、修改与撤回</w:t>
      </w:r>
      <w:r>
        <w:tab/>
      </w:r>
      <w:r>
        <w:fldChar w:fldCharType="begin"/>
      </w:r>
      <w:r>
        <w:instrText xml:space="preserve"> PAGEREF _Toc24701 \h </w:instrText>
      </w:r>
      <w:r>
        <w:fldChar w:fldCharType="separate"/>
      </w:r>
      <w:r>
        <w:t>10</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五   磋商及评审</w:t>
      </w:r>
      <w:r>
        <w:tab/>
      </w:r>
      <w:r>
        <w:fldChar w:fldCharType="begin"/>
      </w:r>
      <w:r>
        <w:instrText xml:space="preserve"> PAGEREF _Toc787 \h </w:instrText>
      </w:r>
      <w:r>
        <w:fldChar w:fldCharType="separate"/>
      </w:r>
      <w:r>
        <w:t>10</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_Toc1026 </w:instrText>
      </w:r>
      <w:r>
        <w:rPr>
          <w:rFonts w:hint="eastAsia" w:ascii="微软雅黑" w:hAnsi="微软雅黑" w:eastAsia="微软雅黑" w:cs="微软雅黑"/>
          <w:kern w:val="0"/>
        </w:rPr>
        <w:fldChar w:fldCharType="separate"/>
      </w:r>
      <w:r>
        <w:rPr>
          <w:rFonts w:ascii="微软雅黑" w:hAnsi="微软雅黑" w:eastAsia="微软雅黑" w:cs="微软雅黑"/>
        </w:rPr>
        <w:t xml:space="preserve">18. </w:t>
      </w:r>
      <w:r>
        <w:rPr>
          <w:rFonts w:hint="eastAsia" w:ascii="微软雅黑" w:hAnsi="微软雅黑" w:eastAsia="微软雅黑" w:cs="微软雅黑"/>
        </w:rPr>
        <w:t>磋商</w:t>
      </w:r>
      <w:r>
        <w:tab/>
      </w:r>
      <w:r>
        <w:fldChar w:fldCharType="begin"/>
      </w:r>
      <w:r>
        <w:instrText xml:space="preserve"> PAGEREF _Toc1026 \h </w:instrText>
      </w:r>
      <w:r>
        <w:fldChar w:fldCharType="separate"/>
      </w:r>
      <w:r>
        <w:t>10</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_Toc526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19.资格审查及组建磋商小组</w:t>
      </w:r>
      <w:r>
        <w:tab/>
      </w:r>
      <w:r>
        <w:fldChar w:fldCharType="begin"/>
      </w:r>
      <w:r>
        <w:instrText xml:space="preserve"> PAGEREF _Toc526 \h </w:instrText>
      </w:r>
      <w:r>
        <w:fldChar w:fldCharType="separate"/>
      </w:r>
      <w:r>
        <w:t>10</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_Toc5261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20.响应文件符合性审查与澄清</w:t>
      </w:r>
      <w:r>
        <w:tab/>
      </w:r>
      <w:r>
        <w:fldChar w:fldCharType="begin"/>
      </w:r>
      <w:r>
        <w:instrText xml:space="preserve"> PAGEREF _Toc5261 \h </w:instrText>
      </w:r>
      <w:r>
        <w:fldChar w:fldCharType="separate"/>
      </w:r>
      <w:r>
        <w:t>12</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_Toc18843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21.磋商偏离</w:t>
      </w:r>
      <w:r>
        <w:tab/>
      </w:r>
      <w:r>
        <w:fldChar w:fldCharType="begin"/>
      </w:r>
      <w:r>
        <w:instrText xml:space="preserve"> PAGEREF _Toc18843 \h </w:instrText>
      </w:r>
      <w:r>
        <w:fldChar w:fldCharType="separate"/>
      </w:r>
      <w:r>
        <w:t>13</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_Toc28034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22.磋商无效</w:t>
      </w:r>
      <w:r>
        <w:tab/>
      </w:r>
      <w:r>
        <w:fldChar w:fldCharType="begin"/>
      </w:r>
      <w:r>
        <w:instrText xml:space="preserve"> PAGEREF _Toc28034 \h </w:instrText>
      </w:r>
      <w:r>
        <w:fldChar w:fldCharType="separate"/>
      </w:r>
      <w:r>
        <w:t>13</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_Toc24201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23.比较与评价</w:t>
      </w:r>
      <w:r>
        <w:tab/>
      </w:r>
      <w:r>
        <w:fldChar w:fldCharType="begin"/>
      </w:r>
      <w:r>
        <w:instrText xml:space="preserve"> PAGEREF _Toc24201 \h </w:instrText>
      </w:r>
      <w:r>
        <w:fldChar w:fldCharType="separate"/>
      </w:r>
      <w:r>
        <w:t>14</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_Toc17259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24.废标</w:t>
      </w:r>
      <w:r>
        <w:tab/>
      </w:r>
      <w:r>
        <w:fldChar w:fldCharType="begin"/>
      </w:r>
      <w:r>
        <w:instrText xml:space="preserve"> PAGEREF _Toc17259 \h </w:instrText>
      </w:r>
      <w:r>
        <w:fldChar w:fldCharType="separate"/>
      </w:r>
      <w:r>
        <w:t>14</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_Toc16978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25.保密原则</w:t>
      </w:r>
      <w:r>
        <w:tab/>
      </w:r>
      <w:r>
        <w:fldChar w:fldCharType="begin"/>
      </w:r>
      <w:r>
        <w:instrText xml:space="preserve"> PAGEREF _Toc16978 \h </w:instrText>
      </w:r>
      <w:r>
        <w:fldChar w:fldCharType="separate"/>
      </w:r>
      <w:r>
        <w:t>14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_Toc31913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六   确定成交</w:t>
      </w:r>
      <w:r>
        <w:tab/>
      </w:r>
      <w:r>
        <w:fldChar w:fldCharType="begin"/>
      </w:r>
      <w:r>
        <w:instrText xml:space="preserve"> PAGEREF _Toc31913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_Toc10610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26.成交候选人的确定原则及标准</w:t>
      </w:r>
      <w:r>
        <w:tab/>
      </w:r>
      <w:r>
        <w:fldChar w:fldCharType="begin"/>
      </w:r>
      <w:r>
        <w:instrText xml:space="preserve"> PAGEREF _Toc10610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_Toc28088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27.确定成交候选人和成交人</w:t>
      </w:r>
      <w:r>
        <w:tab/>
      </w:r>
      <w:r>
        <w:fldChar w:fldCharType="begin"/>
      </w:r>
      <w:r>
        <w:instrText xml:space="preserve"> PAGEREF _Toc28088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_Toc4233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28.采购任务取消</w:t>
      </w:r>
      <w:r>
        <w:tab/>
      </w:r>
      <w:r>
        <w:fldChar w:fldCharType="begin"/>
      </w:r>
      <w:r>
        <w:instrText xml:space="preserve"> PAGEREF _Toc4233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_Toc25567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29.成交通知书和招标结果通知书</w:t>
      </w:r>
      <w:r>
        <w:tab/>
      </w:r>
      <w:r>
        <w:fldChar w:fldCharType="begin"/>
      </w:r>
      <w:r>
        <w:instrText xml:space="preserve"> PAGEREF _Toc25567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_Toc4784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30.签订合同</w:t>
      </w:r>
      <w:r>
        <w:tab/>
      </w:r>
      <w:r>
        <w:fldChar w:fldCharType="begin"/>
      </w:r>
      <w:r>
        <w:instrText xml:space="preserve"> PAGEREF _Toc4784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_Toc14130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31.履约保证金</w:t>
      </w:r>
      <w:r>
        <w:tab/>
      </w:r>
      <w:r>
        <w:fldChar w:fldCharType="begin"/>
      </w:r>
      <w:r>
        <w:instrText xml:space="preserve"> PAGEREF _Toc14130 \h </w:instrText>
      </w:r>
      <w:r>
        <w:fldChar w:fldCharType="separate"/>
      </w:r>
      <w:r>
        <w:t>15</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_Toc29824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32.成交服务费</w:t>
      </w:r>
      <w:r>
        <w:tab/>
      </w:r>
      <w:r>
        <w:fldChar w:fldCharType="begin"/>
      </w:r>
      <w:r>
        <w:instrText xml:space="preserve"> PAGEREF _Toc29824 \h </w:instrText>
      </w:r>
      <w:r>
        <w:fldChar w:fldCharType="separate"/>
      </w:r>
      <w:r>
        <w:t>16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_Toc17159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33.政府采购信用担保</w:t>
      </w:r>
      <w:r>
        <w:tab/>
      </w:r>
      <w:r>
        <w:fldChar w:fldCharType="begin"/>
      </w:r>
      <w:r>
        <w:instrText xml:space="preserve"> PAGEREF _Toc17159 \h </w:instrText>
      </w:r>
      <w:r>
        <w:fldChar w:fldCharType="separate"/>
      </w:r>
      <w:r>
        <w:t>16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_Toc28494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34.廉洁自律规定</w:t>
      </w:r>
      <w:r>
        <w:tab/>
      </w:r>
      <w:r>
        <w:fldChar w:fldCharType="begin"/>
      </w:r>
      <w:r>
        <w:instrText xml:space="preserve"> PAGEREF _Toc28494 \h </w:instrText>
      </w:r>
      <w:r>
        <w:fldChar w:fldCharType="separate"/>
      </w:r>
      <w:r>
        <w:t>16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_Toc24914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35.人员回避</w:t>
      </w:r>
      <w:r>
        <w:tab/>
      </w:r>
      <w:r>
        <w:fldChar w:fldCharType="begin"/>
      </w:r>
      <w:r>
        <w:instrText xml:space="preserve"> PAGEREF _Toc24914 \h </w:instrText>
      </w:r>
      <w:r>
        <w:fldChar w:fldCharType="separate"/>
      </w:r>
      <w:r>
        <w:t>16</w:t>
      </w:r>
      <w:r>
        <w:fldChar w:fldCharType="end"/>
      </w:r>
      <w:r>
        <w:rPr>
          <w:rFonts w:hint="eastAsia" w:ascii="微软雅黑" w:hAnsi="微软雅黑" w:eastAsia="微软雅黑" w:cs="微软雅黑"/>
          <w:kern w:val="0"/>
        </w:rPr>
        <w:fldChar w:fldCharType="end"/>
      </w:r>
    </w:p>
    <w:p>
      <w:pPr>
        <w:pStyle w:val="15"/>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_Toc11114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36.质疑与接收</w:t>
      </w:r>
      <w:r>
        <w:tab/>
      </w:r>
      <w:r>
        <w:fldChar w:fldCharType="begin"/>
      </w:r>
      <w:r>
        <w:instrText xml:space="preserve"> PAGEREF _Toc11114 \h </w:instrText>
      </w:r>
      <w:r>
        <w:fldChar w:fldCharType="separate"/>
      </w:r>
      <w:r>
        <w:t>16</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_Toc7847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_Toc7847 \h </w:instrText>
      </w:r>
      <w:r>
        <w:fldChar w:fldCharType="separate"/>
      </w:r>
      <w:r>
        <w:t>21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_Toc31379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第一部分 磋商开启一览表及资格证明文件</w:t>
      </w:r>
      <w:r>
        <w:tab/>
      </w:r>
      <w:r>
        <w:fldChar w:fldCharType="begin"/>
      </w:r>
      <w:r>
        <w:instrText xml:space="preserve"> PAGEREF _Toc31379 \h </w:instrText>
      </w:r>
      <w:r>
        <w:fldChar w:fldCharType="separate"/>
      </w:r>
      <w:r>
        <w:t>21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_Toc26228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_Toc26228 \h </w:instrText>
      </w:r>
      <w:r>
        <w:fldChar w:fldCharType="separate"/>
      </w:r>
      <w:r>
        <w:t>29</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_Toc11362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 、磋商书</w:t>
      </w:r>
      <w:r>
        <w:tab/>
      </w:r>
      <w:r>
        <w:fldChar w:fldCharType="begin"/>
      </w:r>
      <w:r>
        <w:instrText xml:space="preserve"> PAGEREF _Toc11362 \h </w:instrText>
      </w:r>
      <w:r>
        <w:fldChar w:fldCharType="separate"/>
      </w:r>
      <w:r>
        <w:t>30</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_Toc13219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 、</w:t>
      </w:r>
      <w:r>
        <w:rPr>
          <w:rFonts w:hint="eastAsia" w:ascii="微软雅黑" w:hAnsi="微软雅黑" w:eastAsia="微软雅黑" w:cs="微软雅黑"/>
          <w:bCs/>
          <w:szCs w:val="24"/>
        </w:rPr>
        <w:t>磋商分项报价表</w:t>
      </w:r>
      <w:r>
        <w:tab/>
      </w:r>
      <w:r>
        <w:fldChar w:fldCharType="begin"/>
      </w:r>
      <w:r>
        <w:instrText xml:space="preserve"> PAGEREF _Toc13219 \h </w:instrText>
      </w:r>
      <w:r>
        <w:fldChar w:fldCharType="separate"/>
      </w:r>
      <w:r>
        <w:t>31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_Toc9561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 、</w:t>
      </w:r>
      <w:r>
        <w:rPr>
          <w:rFonts w:hint="eastAsia" w:ascii="微软雅黑" w:hAnsi="微软雅黑" w:eastAsia="微软雅黑" w:cs="微软雅黑"/>
          <w:lang w:eastAsia="zh-CN"/>
        </w:rPr>
        <w:t>服务</w:t>
      </w:r>
      <w:r>
        <w:rPr>
          <w:rFonts w:hint="eastAsia" w:ascii="微软雅黑" w:hAnsi="微软雅黑" w:eastAsia="微软雅黑" w:cs="微软雅黑"/>
          <w:bCs/>
          <w:szCs w:val="24"/>
        </w:rPr>
        <w:t>说明一览表</w:t>
      </w:r>
      <w:r>
        <w:tab/>
      </w:r>
      <w:r>
        <w:fldChar w:fldCharType="begin"/>
      </w:r>
      <w:r>
        <w:instrText xml:space="preserve"> PAGEREF _Toc9561 \h </w:instrText>
      </w:r>
      <w:r>
        <w:fldChar w:fldCharType="separate"/>
      </w:r>
      <w:r>
        <w:t>32</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highlight w:val="none"/>
        </w:rPr>
        <w:t>4 、技术规格偏离表</w:t>
      </w:r>
      <w:r>
        <w:tab/>
      </w:r>
      <w:r>
        <w:fldChar w:fldCharType="begin"/>
      </w:r>
      <w:r>
        <w:instrText xml:space="preserve"> PAGEREF _Toc745 \h </w:instrText>
      </w:r>
      <w:r>
        <w:fldChar w:fldCharType="separate"/>
      </w:r>
      <w:r>
        <w:t>33</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_Toc31412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rPr>
        <w:t>5.商务条款偏离表</w:t>
      </w:r>
      <w:r>
        <w:tab/>
      </w:r>
      <w:r>
        <w:fldChar w:fldCharType="begin"/>
      </w:r>
      <w:r>
        <w:instrText xml:space="preserve"> PAGEREF _Toc31412 \h </w:instrText>
      </w:r>
      <w:r>
        <w:fldChar w:fldCharType="separate"/>
      </w:r>
      <w:r>
        <w:t>34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rPr>
          <w:rFonts w:hint="eastAsia" w:eastAsia="微软雅黑"/>
          <w:lang w:val="en-US" w:eastAsia="zh-CN"/>
        </w:rPr>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_Toc22287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8"/>
        </w:rPr>
        <w:t>6-1中小企业声明函（</w:t>
      </w:r>
      <w:r>
        <w:rPr>
          <w:rFonts w:hint="eastAsia" w:ascii="微软雅黑" w:hAnsi="微软雅黑" w:eastAsia="微软雅黑" w:cs="微软雅黑"/>
          <w:bCs/>
          <w:szCs w:val="28"/>
          <w:lang w:val="en-US" w:eastAsia="zh-CN"/>
        </w:rPr>
        <w:t>服务</w:t>
      </w:r>
      <w:r>
        <w:rPr>
          <w:rFonts w:hint="eastAsia" w:ascii="微软雅黑" w:hAnsi="微软雅黑" w:eastAsia="微软雅黑" w:cs="微软雅黑"/>
          <w:bCs/>
          <w:szCs w:val="28"/>
        </w:rPr>
        <w:t>）</w:t>
      </w:r>
      <w:r>
        <w:tab/>
      </w:r>
      <w:r>
        <w:rPr>
          <w:rFonts w:hint="eastAsia" w:ascii="微软雅黑" w:hAnsi="微软雅黑" w:eastAsia="微软雅黑" w:cs="微软雅黑"/>
          <w:kern w:val="0"/>
        </w:rPr>
        <w:fldChar w:fldCharType="end"/>
      </w:r>
      <w:r>
        <w:rPr>
          <w:rFonts w:hint="eastAsia" w:ascii="微软雅黑" w:hAnsi="微软雅黑" w:eastAsia="微软雅黑" w:cs="微软雅黑"/>
          <w:kern w:val="0"/>
          <w:lang w:val="en-US" w:eastAsia="zh-CN"/>
        </w:rPr>
        <w:t>35</w:t>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_Toc22328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6-2 残疾人福利性单位声明函</w:t>
      </w:r>
      <w:r>
        <w:tab/>
      </w:r>
      <w:r>
        <w:fldChar w:fldCharType="begin"/>
      </w:r>
      <w:r>
        <w:instrText xml:space="preserve"> PAGEREF _Toc22328 \h </w:instrText>
      </w:r>
      <w:r>
        <w:fldChar w:fldCharType="separate"/>
      </w:r>
      <w:r>
        <w:t>36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_Toc13764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7  供应商关联单位的说明</w:t>
      </w:r>
      <w:r>
        <w:tab/>
      </w:r>
      <w:r>
        <w:fldChar w:fldCharType="begin"/>
      </w:r>
      <w:r>
        <w:instrText xml:space="preserve"> PAGEREF _Toc13764 \h </w:instrText>
      </w:r>
      <w:r>
        <w:fldChar w:fldCharType="separate"/>
      </w:r>
      <w:r>
        <w:t>36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_Toc24823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8   供应商可提供有利于投标的其他资格证明材料</w:t>
      </w:r>
      <w:r>
        <w:tab/>
      </w:r>
      <w:r>
        <w:fldChar w:fldCharType="begin"/>
      </w:r>
      <w:r>
        <w:instrText xml:space="preserve"> PAGEREF _Toc24823 \h </w:instrText>
      </w:r>
      <w:r>
        <w:fldChar w:fldCharType="separate"/>
      </w:r>
      <w:r>
        <w:t>37</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_Toc7946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第3章 磋商邀请</w:t>
      </w:r>
      <w:r>
        <w:tab/>
      </w:r>
      <w:r>
        <w:fldChar w:fldCharType="begin"/>
      </w:r>
      <w:r>
        <w:instrText xml:space="preserve"> PAGEREF _Toc7946 \h </w:instrText>
      </w:r>
      <w:r>
        <w:fldChar w:fldCharType="separate"/>
      </w:r>
      <w:r>
        <w:t>40</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_Toc31675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_Toc31675 \h </w:instrText>
      </w:r>
      <w:r>
        <w:fldChar w:fldCharType="separate"/>
      </w:r>
      <w:r>
        <w:t>43</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_Toc4760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 xml:space="preserve">第5章 </w:t>
      </w:r>
      <w:r>
        <w:rPr>
          <w:rFonts w:hint="eastAsia" w:ascii="微软雅黑" w:hAnsi="微软雅黑" w:eastAsia="微软雅黑" w:cs="微软雅黑"/>
          <w:lang w:eastAsia="zh-CN"/>
        </w:rPr>
        <w:t>服务需求</w:t>
      </w:r>
      <w:r>
        <w:tab/>
      </w:r>
      <w:r>
        <w:fldChar w:fldCharType="begin"/>
      </w:r>
      <w:r>
        <w:instrText xml:space="preserve"> PAGEREF _Toc4760 \h </w:instrText>
      </w:r>
      <w:r>
        <w:fldChar w:fldCharType="separate"/>
      </w:r>
      <w:r>
        <w:t>48</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_Toc15762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第6章 评审方法和标准</w:t>
      </w:r>
      <w:r>
        <w:tab/>
      </w:r>
      <w:r>
        <w:fldChar w:fldCharType="begin"/>
      </w:r>
      <w:r>
        <w:instrText xml:space="preserve"> PAGEREF _Toc15762 \h </w:instrText>
      </w:r>
      <w:r>
        <w:fldChar w:fldCharType="separate"/>
      </w:r>
      <w:r>
        <w:t>49</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_Toc16642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第7章  政府采购合同</w:t>
      </w:r>
      <w:r>
        <w:tab/>
      </w:r>
      <w:r>
        <w:fldChar w:fldCharType="begin"/>
      </w:r>
      <w:r>
        <w:instrText xml:space="preserve"> PAGEREF _Toc16642 \h </w:instrText>
      </w:r>
      <w:r>
        <w:fldChar w:fldCharType="separate"/>
      </w:r>
      <w:r>
        <w:t>61</w:t>
      </w:r>
      <w:r>
        <w:fldChar w:fldCharType="end"/>
      </w:r>
      <w:r>
        <w:rPr>
          <w:rFonts w:hint="eastAsia" w:ascii="微软雅黑" w:hAnsi="微软雅黑" w:eastAsia="微软雅黑" w:cs="微软雅黑"/>
          <w:kern w:val="0"/>
        </w:rPr>
        <w:fldChar w:fldCharType="end"/>
      </w: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pStyle w:val="23"/>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keepNext w:val="0"/>
        <w:keepLines w:val="0"/>
        <w:pageBreakBefore w:val="0"/>
        <w:widowControl w:val="0"/>
        <w:tabs>
          <w:tab w:val="left" w:pos="0"/>
        </w:tabs>
        <w:kinsoku/>
        <w:wordWrap/>
        <w:overflowPunct/>
        <w:topLinePunct w:val="0"/>
        <w:autoSpaceDE/>
        <w:autoSpaceDN/>
        <w:bidi w:val="0"/>
        <w:adjustRightInd/>
        <w:snapToGrid w:val="0"/>
        <w:spacing w:line="192" w:lineRule="auto"/>
        <w:textAlignment w:val="baseline"/>
        <w:rPr>
          <w:rFonts w:ascii="微软雅黑" w:hAnsi="微软雅黑" w:eastAsia="微软雅黑" w:cs="微软雅黑"/>
          <w:kern w:val="0"/>
        </w:rPr>
      </w:pPr>
      <w:r>
        <w:rPr>
          <w:rFonts w:hint="eastAsia" w:ascii="微软雅黑" w:hAnsi="微软雅黑" w:eastAsia="微软雅黑" w:cs="微软雅黑"/>
          <w:kern w:val="0"/>
        </w:rPr>
        <w:fldChar w:fldCharType="end"/>
      </w:r>
      <w:bookmarkStart w:id="0" w:name="_Toc10715352"/>
      <w:bookmarkStart w:id="1" w:name="_Toc1462"/>
      <w:bookmarkStart w:id="2" w:name="_Toc518923059"/>
    </w:p>
    <w:p>
      <w:pPr>
        <w:pStyle w:val="2"/>
        <w:rPr>
          <w:rFonts w:ascii="微软雅黑" w:hAnsi="微软雅黑" w:eastAsia="微软雅黑" w:cs="微软雅黑"/>
          <w:szCs w:val="24"/>
        </w:rPr>
      </w:pPr>
    </w:p>
    <w:p>
      <w:pPr>
        <w:pStyle w:val="9"/>
        <w:rPr>
          <w:rFonts w:ascii="微软雅黑" w:hAnsi="微软雅黑" w:eastAsia="微软雅黑" w:cs="微软雅黑"/>
          <w:szCs w:val="24"/>
        </w:rPr>
      </w:pPr>
    </w:p>
    <w:p>
      <w:pPr>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pStyle w:val="25"/>
        <w:rPr>
          <w:rFonts w:ascii="微软雅黑" w:hAnsi="微软雅黑" w:eastAsia="微软雅黑" w:cs="微软雅黑"/>
          <w:szCs w:val="24"/>
        </w:rPr>
      </w:pPr>
    </w:p>
    <w:p>
      <w:pPr>
        <w:rPr>
          <w:rFonts w:ascii="微软雅黑" w:hAnsi="微软雅黑" w:eastAsia="微软雅黑" w:cs="微软雅黑"/>
          <w:kern w:val="0"/>
        </w:rPr>
      </w:pPr>
    </w:p>
    <w:p>
      <w:pPr>
        <w:rPr>
          <w:rFonts w:ascii="微软雅黑" w:hAnsi="微软雅黑" w:eastAsia="微软雅黑" w:cs="微软雅黑"/>
        </w:rPr>
      </w:pPr>
    </w:p>
    <w:p>
      <w:pPr>
        <w:pStyle w:val="3"/>
        <w:tabs>
          <w:tab w:val="left" w:pos="0"/>
        </w:tabs>
        <w:snapToGrid w:val="0"/>
        <w:spacing w:before="0" w:after="0" w:line="360" w:lineRule="auto"/>
        <w:textAlignment w:val="baseline"/>
        <w:rPr>
          <w:rFonts w:ascii="微软雅黑" w:hAnsi="微软雅黑" w:eastAsia="微软雅黑" w:cs="微软雅黑"/>
          <w:sz w:val="24"/>
        </w:rPr>
      </w:pPr>
      <w:bookmarkStart w:id="3" w:name="_Toc8810"/>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bookmarkEnd w:id="0"/>
      <w:bookmarkEnd w:id="1"/>
      <w:bookmarkEnd w:id="2"/>
      <w:bookmarkEnd w:id="3"/>
    </w:p>
    <w:p>
      <w:pPr>
        <w:pStyle w:val="4"/>
        <w:snapToGrid w:val="0"/>
        <w:spacing w:before="0" w:line="240" w:lineRule="atLeast"/>
        <w:ind w:left="1079" w:leftChars="257" w:hanging="540"/>
        <w:textAlignment w:val="baseline"/>
        <w:rPr>
          <w:rFonts w:ascii="微软雅黑" w:hAnsi="微软雅黑" w:eastAsia="微软雅黑" w:cs="微软雅黑"/>
          <w:sz w:val="24"/>
          <w:szCs w:val="24"/>
        </w:rPr>
      </w:pPr>
      <w:bookmarkStart w:id="4" w:name="_Toc216582805"/>
      <w:bookmarkStart w:id="5" w:name="_Toc520356143"/>
      <w:bookmarkStart w:id="6" w:name="_Toc515647757"/>
      <w:bookmarkStart w:id="7" w:name="_Toc28235"/>
      <w:bookmarkStart w:id="8" w:name="_Toc21215"/>
      <w:bookmarkStart w:id="9" w:name="_Toc21015"/>
      <w:r>
        <w:rPr>
          <w:rFonts w:hint="eastAsia" w:ascii="微软雅黑" w:hAnsi="微软雅黑" w:eastAsia="微软雅黑" w:cs="微软雅黑"/>
          <w:sz w:val="24"/>
          <w:szCs w:val="24"/>
        </w:rPr>
        <w:t xml:space="preserve">一   </w:t>
      </w:r>
      <w:bookmarkEnd w:id="4"/>
      <w:bookmarkEnd w:id="5"/>
      <w:bookmarkEnd w:id="6"/>
      <w:r>
        <w:rPr>
          <w:rFonts w:hint="eastAsia" w:ascii="微软雅黑" w:hAnsi="微软雅黑" w:eastAsia="微软雅黑" w:cs="微软雅黑"/>
          <w:sz w:val="24"/>
          <w:szCs w:val="24"/>
        </w:rPr>
        <w:t>总 则</w:t>
      </w:r>
      <w:bookmarkEnd w:id="7"/>
      <w:bookmarkEnd w:id="8"/>
      <w:bookmarkEnd w:id="9"/>
    </w:p>
    <w:p>
      <w:pPr>
        <w:pStyle w:val="5"/>
        <w:snapToGrid w:val="0"/>
        <w:spacing w:before="0" w:after="0" w:line="380" w:lineRule="exact"/>
        <w:textAlignment w:val="baseline"/>
        <w:rPr>
          <w:rFonts w:ascii="微软雅黑" w:hAnsi="微软雅黑" w:eastAsia="微软雅黑" w:cs="微软雅黑"/>
          <w:szCs w:val="24"/>
          <w:u w:color="000000"/>
        </w:rPr>
      </w:pPr>
      <w:bookmarkStart w:id="10" w:name="_Toc515647758"/>
      <w:bookmarkStart w:id="11" w:name="_Toc32189"/>
      <w:bookmarkStart w:id="12" w:name="_Toc32623"/>
      <w:bookmarkStart w:id="13" w:name="_Toc520356144"/>
      <w:bookmarkStart w:id="14" w:name="_Toc27535"/>
      <w:bookmarkStart w:id="15" w:name="_Toc20385"/>
      <w:bookmarkStart w:id="16" w:name="_Toc19826"/>
      <w:bookmarkStart w:id="17" w:name="_Toc11466"/>
      <w:bookmarkStart w:id="18" w:name="_Toc28974"/>
      <w:bookmarkStart w:id="19" w:name="_Toc16079"/>
      <w:bookmarkStart w:id="20" w:name="_Toc11217"/>
      <w:bookmarkStart w:id="21" w:name="_Toc16501"/>
      <w:bookmarkStart w:id="22" w:name="_Toc6040"/>
      <w:r>
        <w:rPr>
          <w:rFonts w:hint="eastAsia" w:ascii="微软雅黑" w:hAnsi="微软雅黑" w:eastAsia="微软雅黑" w:cs="微软雅黑"/>
          <w:szCs w:val="24"/>
          <w:u w:color="000000"/>
        </w:rPr>
        <w:t>1.采购人、采购代理机构及</w:t>
      </w:r>
      <w:bookmarkEnd w:id="10"/>
      <w:bookmarkEnd w:id="11"/>
      <w:bookmarkEnd w:id="12"/>
      <w:bookmarkEnd w:id="13"/>
      <w:r>
        <w:rPr>
          <w:rFonts w:hint="eastAsia" w:ascii="微软雅黑" w:hAnsi="微软雅黑" w:eastAsia="微软雅黑" w:cs="微软雅黑"/>
          <w:szCs w:val="24"/>
          <w:u w:color="000000"/>
        </w:rPr>
        <w:t>供应商</w:t>
      </w:r>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1.1    采购人：是指依法开展政府采购活动的国家机关、事业单位、团体组织。</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   采购代理机构：是指在集中采购机构或从事采购代理业务的社会中介机构。本项目的采购代理机构见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numPr>
          <w:ilvl w:val="1"/>
          <w:numId w:val="2"/>
        </w:numPr>
        <w:snapToGrid w:val="0"/>
        <w:spacing w:line="380" w:lineRule="exact"/>
        <w:ind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供应商：是指向采购人提供货物、工程或者服务的法人、非法人组织或者自然人。</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在中华人民共和国境内注册，能够独立承担民事责任，有生产或供应能力的本国供应商。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以采购代理机构认可的方式获得了本项目的磋商文件。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 xml:space="preserve">中规定的其他要求。  </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1.3.</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 xml:space="preserve">  若</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中写明专门面向中小企业采购的，如供应商为非中小企业，其磋商将被认定为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中允许联合体磋商，对联合体规定如下：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1.4.1   两个以上供应商可以组成一个磋商联合体，以一个供应商的身份磋商。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1.4.3   采购人根据采购项目对供应商的特殊要求，联合体中至少应当有一方符合相关规定。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1.4.8   对联合体磋商的其他资格要求见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单位负责人为同一人或者存在直接控股、管理关系的不同供应商，其相关磋商将被认定为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    为本项目提供过整体设计、规范编制或者项目管理、监理、检测等服务的供应商，不得再参加本项目上述</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以外的其他采购活动。否则其磋商将被认定为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w:t>
      </w:r>
      <w:r>
        <w:rPr>
          <w:rFonts w:hint="eastAsia" w:ascii="微软雅黑" w:hAnsi="微软雅黑" w:eastAsia="微软雅黑" w:cs="微软雅黑"/>
          <w:sz w:val="24"/>
        </w:rPr>
        <w:tab/>
      </w:r>
      <w:r>
        <w:rPr>
          <w:rFonts w:hint="eastAsia" w:ascii="微软雅黑" w:hAnsi="微软雅黑" w:eastAsia="微软雅黑" w:cs="微软雅黑"/>
          <w:sz w:val="24"/>
        </w:rPr>
        <w:t>供应商在磋商过程中不得向采购人提供、给予任何有价值的物品，影响其正常决策行为。一经发现，其将被认定为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23" w:name="_Toc17954"/>
      <w:bookmarkStart w:id="24" w:name="_Toc20993"/>
      <w:bookmarkStart w:id="25" w:name="_Toc5286"/>
      <w:bookmarkStart w:id="26" w:name="_Toc1145"/>
      <w:bookmarkStart w:id="27" w:name="_Toc12082"/>
      <w:bookmarkStart w:id="28" w:name="_Toc515647759"/>
      <w:bookmarkStart w:id="29" w:name="_Toc32017"/>
      <w:bookmarkStart w:id="30" w:name="_Toc21415"/>
      <w:bookmarkStart w:id="31" w:name="_Toc12139"/>
      <w:bookmarkStart w:id="32" w:name="_Toc12994"/>
      <w:bookmarkStart w:id="33" w:name="_Toc4125"/>
      <w:bookmarkStart w:id="34" w:name="_Toc31303"/>
      <w:r>
        <w:rPr>
          <w:rFonts w:hint="eastAsia" w:ascii="微软雅黑" w:hAnsi="微软雅黑" w:eastAsia="微软雅黑" w:cs="微软雅黑"/>
          <w:szCs w:val="24"/>
          <w:u w:color="000000"/>
        </w:rPr>
        <w:t>2.资金来源</w:t>
      </w:r>
      <w:bookmarkEnd w:id="23"/>
      <w:bookmarkEnd w:id="24"/>
      <w:bookmarkEnd w:id="25"/>
      <w:bookmarkEnd w:id="26"/>
      <w:bookmarkEnd w:id="27"/>
      <w:bookmarkEnd w:id="28"/>
      <w:bookmarkEnd w:id="29"/>
      <w:bookmarkEnd w:id="30"/>
      <w:bookmarkEnd w:id="31"/>
      <w:bookmarkEnd w:id="32"/>
      <w:bookmarkEnd w:id="33"/>
      <w:bookmarkEnd w:id="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    项目预算金额和分项或分包最高限价</w:t>
      </w:r>
      <w:r>
        <w:rPr>
          <w:rFonts w:hint="eastAsia" w:ascii="微软雅黑" w:hAnsi="微软雅黑" w:eastAsia="微软雅黑" w:cs="微软雅黑"/>
          <w:sz w:val="24"/>
          <w:u w:val="single" w:color="000000"/>
        </w:rPr>
        <w:t>见供应商须知资料表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    供应商报价超过磋商文件规定的预算金额或者分项、分包最高限价的，其磋商将被认定为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35" w:name="_Toc15936"/>
      <w:bookmarkStart w:id="36" w:name="_Toc3164"/>
      <w:bookmarkStart w:id="37" w:name="_Toc91"/>
      <w:bookmarkStart w:id="38" w:name="_Toc515647760"/>
      <w:bookmarkStart w:id="39" w:name="_Toc520356145"/>
      <w:bookmarkStart w:id="40" w:name="_Toc20526"/>
      <w:bookmarkStart w:id="41" w:name="_Toc14880"/>
      <w:bookmarkStart w:id="42" w:name="_Toc4556"/>
      <w:bookmarkStart w:id="43" w:name="_Toc20149"/>
      <w:bookmarkStart w:id="44" w:name="_Toc15302"/>
      <w:bookmarkStart w:id="45" w:name="_Toc23939"/>
      <w:bookmarkStart w:id="46" w:name="_Toc18168"/>
      <w:bookmarkStart w:id="47" w:name="_Toc6076"/>
      <w:r>
        <w:rPr>
          <w:rFonts w:hint="eastAsia" w:ascii="微软雅黑" w:hAnsi="微软雅黑" w:eastAsia="微软雅黑" w:cs="微软雅黑"/>
          <w:szCs w:val="24"/>
          <w:u w:color="000000"/>
        </w:rPr>
        <w:t>3.磋商费用</w:t>
      </w:r>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不论磋商的结果如何，供应商应承担所有与准备和参加磋商有关的费用。</w:t>
      </w:r>
    </w:p>
    <w:p>
      <w:pPr>
        <w:pStyle w:val="5"/>
        <w:snapToGrid w:val="0"/>
        <w:spacing w:before="0" w:after="0" w:line="380" w:lineRule="exact"/>
        <w:textAlignment w:val="baseline"/>
        <w:rPr>
          <w:rFonts w:ascii="微软雅黑" w:hAnsi="微软雅黑" w:eastAsia="微软雅黑" w:cs="微软雅黑"/>
          <w:szCs w:val="24"/>
          <w:u w:color="000000"/>
        </w:rPr>
      </w:pPr>
      <w:bookmarkStart w:id="48" w:name="_Toc4463"/>
      <w:bookmarkStart w:id="49" w:name="_Toc15428"/>
      <w:bookmarkStart w:id="50" w:name="_Toc515647761"/>
      <w:bookmarkStart w:id="51" w:name="_Toc7327"/>
      <w:bookmarkStart w:id="52" w:name="_Toc23425"/>
      <w:bookmarkStart w:id="53" w:name="_Toc29823"/>
      <w:bookmarkStart w:id="54" w:name="_Toc15164"/>
      <w:bookmarkStart w:id="55" w:name="_Toc26501"/>
      <w:bookmarkStart w:id="56" w:name="_Toc14158"/>
      <w:bookmarkStart w:id="57" w:name="_Toc32069"/>
      <w:bookmarkStart w:id="58" w:name="_Toc6116"/>
      <w:bookmarkStart w:id="59" w:name="_Toc28372"/>
      <w:r>
        <w:rPr>
          <w:rFonts w:hint="eastAsia" w:ascii="微软雅黑" w:hAnsi="微软雅黑" w:eastAsia="微软雅黑" w:cs="微软雅黑"/>
          <w:szCs w:val="24"/>
          <w:u w:color="000000"/>
        </w:rPr>
        <w:t>4.适用法律</w:t>
      </w:r>
      <w:bookmarkEnd w:id="48"/>
      <w:bookmarkEnd w:id="49"/>
      <w:bookmarkEnd w:id="50"/>
      <w:bookmarkEnd w:id="51"/>
      <w:bookmarkEnd w:id="52"/>
      <w:bookmarkEnd w:id="53"/>
      <w:bookmarkEnd w:id="54"/>
      <w:bookmarkEnd w:id="55"/>
      <w:bookmarkEnd w:id="56"/>
      <w:bookmarkEnd w:id="57"/>
      <w:bookmarkEnd w:id="58"/>
      <w:bookmarkEnd w:id="5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ascii="微软雅黑" w:hAnsi="微软雅黑" w:eastAsia="微软雅黑" w:cs="微软雅黑"/>
          <w:sz w:val="24"/>
        </w:rPr>
      </w:pPr>
    </w:p>
    <w:p>
      <w:pPr>
        <w:pStyle w:val="4"/>
        <w:snapToGrid w:val="0"/>
        <w:spacing w:before="0" w:line="380" w:lineRule="exact"/>
        <w:ind w:hanging="540"/>
        <w:textAlignment w:val="baseline"/>
        <w:rPr>
          <w:rFonts w:ascii="微软雅黑" w:hAnsi="微软雅黑" w:eastAsia="微软雅黑" w:cs="微软雅黑"/>
          <w:sz w:val="24"/>
          <w:szCs w:val="24"/>
        </w:rPr>
      </w:pPr>
      <w:bookmarkStart w:id="60" w:name="_Toc21566"/>
      <w:bookmarkStart w:id="61" w:name="_Toc520356146"/>
      <w:bookmarkStart w:id="62" w:name="_Toc216582806"/>
      <w:bookmarkStart w:id="63" w:name="_Toc515647762"/>
      <w:bookmarkStart w:id="64" w:name="_Toc4365"/>
      <w:bookmarkStart w:id="65" w:name="_Toc13692"/>
      <w:bookmarkStart w:id="66" w:name="_Toc7331"/>
      <w:r>
        <w:rPr>
          <w:rFonts w:hint="eastAsia" w:ascii="微软雅黑" w:hAnsi="微软雅黑" w:eastAsia="微软雅黑" w:cs="微软雅黑"/>
          <w:sz w:val="24"/>
          <w:szCs w:val="24"/>
        </w:rPr>
        <w:t xml:space="preserve">二   </w:t>
      </w:r>
      <w:bookmarkEnd w:id="60"/>
      <w:bookmarkEnd w:id="61"/>
      <w:bookmarkEnd w:id="62"/>
      <w:bookmarkEnd w:id="63"/>
      <w:bookmarkEnd w:id="64"/>
      <w:r>
        <w:rPr>
          <w:rFonts w:hint="eastAsia" w:ascii="微软雅黑" w:hAnsi="微软雅黑" w:eastAsia="微软雅黑" w:cs="微软雅黑"/>
          <w:sz w:val="24"/>
          <w:szCs w:val="24"/>
        </w:rPr>
        <w:t>磋商文件</w:t>
      </w:r>
      <w:bookmarkEnd w:id="65"/>
      <w:bookmarkEnd w:id="66"/>
    </w:p>
    <w:p>
      <w:pPr>
        <w:pStyle w:val="5"/>
        <w:snapToGrid w:val="0"/>
        <w:spacing w:before="0" w:after="0" w:line="380" w:lineRule="exact"/>
        <w:textAlignment w:val="baseline"/>
        <w:rPr>
          <w:rFonts w:ascii="微软雅黑" w:hAnsi="微软雅黑" w:eastAsia="微软雅黑" w:cs="微软雅黑"/>
          <w:szCs w:val="24"/>
          <w:u w:color="000000"/>
        </w:rPr>
      </w:pPr>
      <w:bookmarkStart w:id="67" w:name="_Toc520356147"/>
      <w:bookmarkStart w:id="68" w:name="_Toc16521"/>
      <w:bookmarkStart w:id="69" w:name="_Toc16061"/>
      <w:bookmarkStart w:id="70" w:name="_Toc27545"/>
      <w:bookmarkStart w:id="71" w:name="_Toc14409"/>
      <w:bookmarkStart w:id="72" w:name="_Toc25743"/>
      <w:bookmarkStart w:id="73" w:name="_Toc14084"/>
      <w:bookmarkStart w:id="74" w:name="_Toc4773"/>
      <w:bookmarkStart w:id="75" w:name="_Toc14535"/>
      <w:bookmarkStart w:id="76" w:name="_Toc20128"/>
      <w:bookmarkStart w:id="77" w:name="_Toc9520"/>
      <w:bookmarkStart w:id="78" w:name="_Toc4254"/>
      <w:bookmarkStart w:id="79" w:name="_Toc515647763"/>
      <w:r>
        <w:rPr>
          <w:rFonts w:hint="eastAsia" w:ascii="微软雅黑" w:hAnsi="微软雅黑" w:eastAsia="微软雅黑" w:cs="微软雅黑"/>
          <w:szCs w:val="24"/>
          <w:u w:color="000000"/>
        </w:rPr>
        <w:t>5.磋商文件构成</w:t>
      </w:r>
      <w:bookmarkEnd w:id="67"/>
      <w:bookmarkEnd w:id="68"/>
      <w:bookmarkEnd w:id="69"/>
      <w:bookmarkEnd w:id="70"/>
      <w:bookmarkEnd w:id="71"/>
      <w:bookmarkEnd w:id="72"/>
      <w:bookmarkEnd w:id="73"/>
      <w:bookmarkEnd w:id="74"/>
      <w:bookmarkEnd w:id="75"/>
      <w:bookmarkEnd w:id="76"/>
      <w:bookmarkEnd w:id="77"/>
      <w:bookmarkEnd w:id="78"/>
      <w:bookmarkEnd w:id="7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磋商文件分为三册共7章，内容如下：</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第一册</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第1章 供应商须知</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第2章 响应文件格式</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第二册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第3章 磋商邀请</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第4章 供应商须知资料表</w:t>
      </w:r>
    </w:p>
    <w:p>
      <w:pPr>
        <w:snapToGrid w:val="0"/>
        <w:spacing w:line="380" w:lineRule="exac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第5章 </w:t>
      </w:r>
      <w:r>
        <w:rPr>
          <w:rFonts w:hint="eastAsia" w:ascii="微软雅黑" w:hAnsi="微软雅黑" w:eastAsia="微软雅黑" w:cs="微软雅黑"/>
          <w:sz w:val="24"/>
          <w:lang w:eastAsia="zh-CN"/>
        </w:rPr>
        <w:t>服务需求</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第6章 评审方法和标准</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第三册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第7章 政府采购合同格式</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80" w:name="_Toc520356148"/>
      <w:bookmarkStart w:id="81" w:name="_Toc515904805"/>
      <w:bookmarkStart w:id="82" w:name="_Toc19969"/>
      <w:bookmarkStart w:id="83" w:name="_Toc26044"/>
      <w:bookmarkStart w:id="84" w:name="_Toc26207"/>
      <w:bookmarkStart w:id="85" w:name="_Toc5443"/>
      <w:bookmarkStart w:id="86" w:name="_Toc11954"/>
      <w:bookmarkStart w:id="87" w:name="_Toc17695"/>
      <w:bookmarkStart w:id="88" w:name="_Toc9232"/>
      <w:bookmarkStart w:id="89" w:name="_Toc73"/>
      <w:bookmarkStart w:id="90" w:name="_Toc12118"/>
      <w:bookmarkStart w:id="91" w:name="_Toc24794"/>
      <w:bookmarkStart w:id="92" w:name="_Toc6163"/>
      <w:r>
        <w:rPr>
          <w:rFonts w:hint="eastAsia" w:ascii="微软雅黑" w:hAnsi="微软雅黑" w:eastAsia="微软雅黑" w:cs="微软雅黑"/>
          <w:szCs w:val="24"/>
          <w:u w:color="000000"/>
        </w:rPr>
        <w:t>6.磋商文件的澄清</w:t>
      </w:r>
      <w:bookmarkEnd w:id="80"/>
      <w:bookmarkEnd w:id="81"/>
      <w:r>
        <w:rPr>
          <w:rFonts w:hint="eastAsia" w:ascii="微软雅黑" w:hAnsi="微软雅黑" w:eastAsia="微软雅黑" w:cs="微软雅黑"/>
          <w:szCs w:val="24"/>
          <w:u w:color="000000"/>
        </w:rPr>
        <w:t>与修改</w:t>
      </w:r>
      <w:bookmarkEnd w:id="82"/>
      <w:bookmarkEnd w:id="83"/>
      <w:bookmarkEnd w:id="84"/>
      <w:bookmarkEnd w:id="85"/>
      <w:bookmarkEnd w:id="86"/>
      <w:bookmarkEnd w:id="87"/>
      <w:bookmarkEnd w:id="88"/>
      <w:bookmarkEnd w:id="89"/>
      <w:bookmarkEnd w:id="90"/>
      <w:bookmarkEnd w:id="91"/>
      <w:bookmarkEnd w:id="92"/>
    </w:p>
    <w:p>
      <w:pPr>
        <w:pStyle w:val="2"/>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2"/>
        <w:snapToGrid w:val="0"/>
        <w:spacing w:line="380" w:lineRule="exact"/>
        <w:ind w:left="840" w:hanging="840" w:hangingChars="350"/>
        <w:textAlignment w:val="baseline"/>
        <w:rPr>
          <w:rFonts w:ascii="微软雅黑" w:hAnsi="微软雅黑" w:eastAsia="微软雅黑" w:cs="微软雅黑"/>
          <w:szCs w:val="24"/>
        </w:rPr>
      </w:pPr>
      <w:bookmarkStart w:id="93" w:name="_Toc520356149"/>
      <w:bookmarkStart w:id="94" w:name="_Toc515904806"/>
      <w:bookmarkStart w:id="95" w:name="_Ref467378678"/>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2"/>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5"/>
        <w:tabs>
          <w:tab w:val="left" w:pos="900"/>
        </w:tabs>
        <w:snapToGrid w:val="0"/>
        <w:spacing w:before="0" w:after="0" w:line="380" w:lineRule="exact"/>
        <w:textAlignment w:val="baseline"/>
        <w:rPr>
          <w:rFonts w:ascii="微软雅黑" w:hAnsi="微软雅黑" w:eastAsia="微软雅黑" w:cs="微软雅黑"/>
          <w:szCs w:val="24"/>
          <w:u w:color="000000"/>
        </w:rPr>
      </w:pPr>
      <w:bookmarkStart w:id="96" w:name="_Toc18879"/>
      <w:bookmarkStart w:id="97" w:name="_Toc25635"/>
      <w:bookmarkStart w:id="98" w:name="_Toc28181"/>
      <w:bookmarkStart w:id="99" w:name="_Toc16843"/>
      <w:bookmarkStart w:id="100" w:name="_Toc5970"/>
      <w:bookmarkStart w:id="101" w:name="_Toc19134"/>
      <w:bookmarkStart w:id="102" w:name="_Toc16792"/>
      <w:bookmarkStart w:id="103" w:name="_Toc14294"/>
      <w:bookmarkStart w:id="104" w:name="_Toc14569"/>
      <w:bookmarkStart w:id="105" w:name="_Toc12058"/>
      <w:bookmarkStart w:id="106" w:name="_Toc3801"/>
      <w:r>
        <w:rPr>
          <w:rFonts w:hint="eastAsia" w:ascii="微软雅黑" w:hAnsi="微软雅黑" w:eastAsia="微软雅黑" w:cs="微软雅黑"/>
          <w:szCs w:val="24"/>
          <w:u w:color="000000"/>
        </w:rPr>
        <w:t>7</w:t>
      </w:r>
      <w:bookmarkEnd w:id="93"/>
      <w:bookmarkEnd w:id="94"/>
      <w:bookmarkEnd w:id="95"/>
      <w:r>
        <w:rPr>
          <w:rFonts w:hint="eastAsia" w:ascii="微软雅黑" w:hAnsi="微软雅黑" w:eastAsia="微软雅黑" w:cs="微软雅黑"/>
          <w:szCs w:val="24"/>
          <w:u w:color="000000"/>
        </w:rPr>
        <w:t>.磋商截止时间的顺延</w:t>
      </w:r>
      <w:bookmarkEnd w:id="96"/>
      <w:bookmarkEnd w:id="97"/>
      <w:bookmarkEnd w:id="98"/>
      <w:bookmarkEnd w:id="99"/>
      <w:bookmarkEnd w:id="100"/>
      <w:bookmarkEnd w:id="101"/>
      <w:bookmarkEnd w:id="102"/>
      <w:bookmarkEnd w:id="103"/>
      <w:bookmarkEnd w:id="104"/>
      <w:bookmarkEnd w:id="105"/>
      <w:bookmarkEnd w:id="106"/>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为使供应商准备磋商时有足够的时间对磋商文件的澄清或者修改部分进行研究，采购人将依法决定是否顺延磋商截止时间。</w:t>
      </w:r>
    </w:p>
    <w:p>
      <w:pPr>
        <w:pStyle w:val="4"/>
        <w:tabs>
          <w:tab w:val="left" w:pos="900"/>
        </w:tabs>
        <w:snapToGrid w:val="0"/>
        <w:spacing w:before="0" w:line="380" w:lineRule="exact"/>
        <w:ind w:hanging="540"/>
        <w:textAlignment w:val="baseline"/>
        <w:rPr>
          <w:rFonts w:ascii="微软雅黑" w:hAnsi="微软雅黑" w:eastAsia="微软雅黑" w:cs="微软雅黑"/>
          <w:sz w:val="28"/>
        </w:rPr>
      </w:pPr>
      <w:bookmarkStart w:id="107" w:name="_Toc516367020"/>
      <w:bookmarkStart w:id="108" w:name="_Toc16906"/>
      <w:bookmarkStart w:id="109" w:name="_Toc15517"/>
      <w:bookmarkStart w:id="110" w:name="_Toc515647766"/>
      <w:bookmarkStart w:id="111" w:name="_Toc216582807"/>
      <w:bookmarkStart w:id="112" w:name="_Toc18070"/>
      <w:bookmarkStart w:id="113" w:name="_Toc7636"/>
      <w:bookmarkStart w:id="114" w:name="_Toc520356150"/>
      <w:bookmarkStart w:id="115" w:name="_Toc30808"/>
      <w:r>
        <w:rPr>
          <w:rFonts w:hint="eastAsia" w:ascii="微软雅黑" w:hAnsi="微软雅黑" w:eastAsia="微软雅黑" w:cs="微软雅黑"/>
          <w:sz w:val="28"/>
        </w:rPr>
        <w:t xml:space="preserve">三   </w:t>
      </w:r>
      <w:bookmarkEnd w:id="107"/>
      <w:r>
        <w:rPr>
          <w:rFonts w:hint="eastAsia" w:ascii="微软雅黑" w:hAnsi="微软雅黑" w:eastAsia="微软雅黑" w:cs="微软雅黑"/>
          <w:sz w:val="28"/>
        </w:rPr>
        <w:t>响应文件的编制</w:t>
      </w:r>
      <w:bookmarkEnd w:id="108"/>
      <w:bookmarkEnd w:id="109"/>
      <w:bookmarkEnd w:id="110"/>
      <w:bookmarkEnd w:id="111"/>
      <w:bookmarkEnd w:id="112"/>
      <w:bookmarkEnd w:id="113"/>
      <w:bookmarkEnd w:id="114"/>
      <w:bookmarkEnd w:id="115"/>
    </w:p>
    <w:p>
      <w:pPr>
        <w:pStyle w:val="2"/>
        <w:snapToGrid w:val="0"/>
        <w:spacing w:line="380" w:lineRule="exact"/>
        <w:textAlignment w:val="baseline"/>
        <w:rPr>
          <w:rFonts w:ascii="微软雅黑" w:hAnsi="微软雅黑" w:eastAsia="微软雅黑" w:cs="微软雅黑"/>
        </w:rPr>
      </w:pP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16" w:name="_Toc7786"/>
      <w:bookmarkStart w:id="117" w:name="_Toc19003"/>
      <w:bookmarkStart w:id="118" w:name="_Toc520356151"/>
      <w:bookmarkStart w:id="119" w:name="_Toc20168"/>
      <w:bookmarkStart w:id="120" w:name="_Toc5822"/>
      <w:bookmarkStart w:id="121" w:name="_Toc19644"/>
      <w:bookmarkStart w:id="122" w:name="_Toc4525"/>
      <w:bookmarkStart w:id="123" w:name="_Toc3553"/>
      <w:bookmarkStart w:id="124" w:name="_Toc31904"/>
      <w:bookmarkStart w:id="125" w:name="_Toc8762"/>
      <w:bookmarkStart w:id="126" w:name="_Toc21065"/>
      <w:bookmarkStart w:id="127" w:name="_Toc21848"/>
      <w:bookmarkStart w:id="128" w:name="_Toc516367021"/>
      <w:bookmarkStart w:id="129" w:name="_Toc515647767"/>
      <w:bookmarkStart w:id="130" w:name="_Toc14330"/>
      <w:r>
        <w:rPr>
          <w:rFonts w:hint="eastAsia" w:ascii="微软雅黑" w:hAnsi="微软雅黑" w:eastAsia="微软雅黑" w:cs="微软雅黑"/>
          <w:u w:color="000000"/>
        </w:rPr>
        <w:t>8.磋商范围及响应文件成交准和计量单位的使用</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项目有分包的，供应商可对磋商文件其中某一个或几个分包货物进行磋商，除非在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中另有规定。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8.2     供应商应当对所投分包磋商文件中“</w:t>
      </w: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需求”所列的所有内容进行磋商，如仅响应某一包中的部分内容，其该包磋商将被认定为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8.3     无论磋商文件第5章</w:t>
      </w:r>
      <w:r>
        <w:rPr>
          <w:rFonts w:hint="eastAsia" w:ascii="微软雅黑" w:hAnsi="微软雅黑" w:eastAsia="微软雅黑" w:cs="微软雅黑"/>
          <w:sz w:val="24"/>
          <w:lang w:eastAsia="zh-CN"/>
        </w:rPr>
        <w:t>服务需求</w:t>
      </w:r>
      <w:r>
        <w:rPr>
          <w:rFonts w:hint="eastAsia" w:ascii="微软雅黑" w:hAnsi="微软雅黑" w:eastAsia="微软雅黑" w:cs="微软雅黑"/>
          <w:sz w:val="24"/>
        </w:rPr>
        <w:t>中是否要求，供应商所投货物均应符合国家强制性标准。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8.4     除磋商文件中有特殊要求外，响应文件中所使用的计量单位，应采用中华人民共和国法定计量单位。</w:t>
      </w: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31" w:name="_Ref467306676"/>
      <w:bookmarkStart w:id="132" w:name="_Ref467306195"/>
      <w:bookmarkStart w:id="133" w:name="_Toc516367022"/>
      <w:bookmarkStart w:id="134" w:name="_Toc8989"/>
      <w:bookmarkStart w:id="135" w:name="_Toc3006"/>
      <w:bookmarkStart w:id="136" w:name="_Toc4882"/>
      <w:bookmarkStart w:id="137" w:name="_Toc28307"/>
      <w:bookmarkStart w:id="138" w:name="_Toc19752"/>
      <w:bookmarkStart w:id="139" w:name="_Toc2582"/>
      <w:bookmarkStart w:id="140" w:name="_Toc28670"/>
      <w:bookmarkStart w:id="141" w:name="_Toc14931"/>
      <w:bookmarkStart w:id="142" w:name="_Toc515647768"/>
      <w:bookmarkStart w:id="143" w:name="_Toc26502"/>
      <w:bookmarkStart w:id="144" w:name="_Toc13837"/>
      <w:bookmarkStart w:id="145" w:name="_Toc10364"/>
      <w:bookmarkStart w:id="146" w:name="_Toc520356152"/>
      <w:bookmarkStart w:id="147" w:name="_Toc2709"/>
      <w:r>
        <w:rPr>
          <w:rFonts w:hint="eastAsia" w:ascii="微软雅黑" w:hAnsi="微软雅黑" w:eastAsia="微软雅黑" w:cs="微软雅黑"/>
          <w:u w:color="000000"/>
        </w:rPr>
        <w:t>9.</w:t>
      </w:r>
      <w:bookmarkEnd w:id="131"/>
      <w:bookmarkEnd w:id="132"/>
      <w:bookmarkEnd w:id="133"/>
      <w:r>
        <w:rPr>
          <w:rFonts w:hint="eastAsia" w:ascii="微软雅黑" w:hAnsi="微软雅黑" w:eastAsia="微软雅黑" w:cs="微软雅黑"/>
          <w:u w:color="000000"/>
        </w:rPr>
        <w:t>响应文件构成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tabs>
          <w:tab w:val="left" w:pos="900"/>
          <w:tab w:val="left" w:pos="5580"/>
        </w:tabs>
        <w:snapToGrid w:val="0"/>
        <w:spacing w:line="380" w:lineRule="exact"/>
        <w:ind w:left="960" w:hanging="960" w:hangingChars="400"/>
        <w:jc w:val="left"/>
        <w:textAlignment w:val="baseline"/>
        <w:rPr>
          <w:rFonts w:ascii="微软雅黑" w:hAnsi="微软雅黑" w:eastAsia="微软雅黑" w:cs="微软雅黑"/>
          <w:sz w:val="24"/>
          <w:u w:val="single" w:color="000000"/>
        </w:rPr>
      </w:pPr>
      <w:bookmarkStart w:id="148" w:name="_Ref467052588"/>
      <w:r>
        <w:rPr>
          <w:rFonts w:hint="eastAsia" w:ascii="微软雅黑" w:hAnsi="微软雅黑" w:eastAsia="微软雅黑" w:cs="微软雅黑"/>
          <w:sz w:val="24"/>
        </w:rPr>
        <w:t xml:space="preserve">9.1     </w:t>
      </w:r>
      <w:r>
        <w:rPr>
          <w:rFonts w:hint="eastAsia" w:ascii="微软雅黑" w:hAnsi="微软雅黑" w:eastAsia="微软雅黑" w:cs="微软雅黑"/>
          <w:sz w:val="24"/>
          <w:u w:val="single" w:color="000000"/>
        </w:rPr>
        <w:t>供应商应完整地按磋商文件提供的响应文件格式及要求编写响应文件，响应文件应包括“</w:t>
      </w:r>
      <w:r>
        <w:rPr>
          <w:rFonts w:hint="eastAsia" w:ascii="微软雅黑" w:hAnsi="微软雅黑" w:eastAsia="微软雅黑" w:cs="微软雅黑"/>
          <w:sz w:val="24"/>
          <w:u w:val="single" w:color="000000"/>
          <w:lang w:eastAsia="zh-CN"/>
        </w:rPr>
        <w:t>磋商报价表</w:t>
      </w:r>
      <w:r>
        <w:rPr>
          <w:rFonts w:hint="eastAsia" w:ascii="微软雅黑" w:hAnsi="微软雅黑" w:eastAsia="微软雅黑" w:cs="微软雅黑"/>
          <w:sz w:val="24"/>
          <w:u w:val="single" w:color="000000"/>
        </w:rPr>
        <w:t>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9.2    上述文件应按照磋商文件规定的格式填写、签署和盖章。</w:t>
      </w:r>
      <w:bookmarkEnd w:id="148"/>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49" w:name="_Toc28330"/>
      <w:bookmarkStart w:id="150" w:name="_Toc25631"/>
      <w:bookmarkStart w:id="151" w:name="_Toc4291"/>
      <w:bookmarkStart w:id="152" w:name="_Toc520356153"/>
      <w:bookmarkStart w:id="153" w:name="_Toc32014"/>
      <w:bookmarkStart w:id="154" w:name="_Toc10379"/>
      <w:bookmarkStart w:id="155" w:name="_Toc515647769"/>
      <w:bookmarkStart w:id="156" w:name="_Toc4601"/>
      <w:bookmarkStart w:id="157" w:name="_Toc15064"/>
      <w:bookmarkStart w:id="158" w:name="_Toc8626"/>
      <w:bookmarkStart w:id="159" w:name="_Toc5860"/>
      <w:bookmarkStart w:id="160" w:name="_Toc870"/>
      <w:bookmarkStart w:id="161" w:name="_Toc6860"/>
      <w:bookmarkStart w:id="162" w:name="_Toc516367023"/>
      <w:bookmarkStart w:id="163" w:name="_Toc28704"/>
      <w:r>
        <w:rPr>
          <w:rFonts w:hint="eastAsia" w:ascii="微软雅黑" w:hAnsi="微软雅黑" w:eastAsia="微软雅黑" w:cs="微软雅黑"/>
          <w:u w:color="000000"/>
        </w:rPr>
        <w:t>10.</w:t>
      </w:r>
      <w:r>
        <w:rPr>
          <w:rFonts w:hint="eastAsia" w:ascii="微软雅黑" w:hAnsi="微软雅黑" w:eastAsia="微软雅黑" w:cs="微软雅黑"/>
          <w:u w:color="000000"/>
        </w:rPr>
        <w:tab/>
      </w:r>
      <w:r>
        <w:rPr>
          <w:rFonts w:hint="eastAsia" w:ascii="微软雅黑" w:hAnsi="微软雅黑" w:eastAsia="微软雅黑" w:cs="微软雅黑"/>
          <w:u w:color="000000"/>
        </w:rPr>
        <w:t>证明磋商标的的合格性和符合磋商文件规定的技术文件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微软雅黑" w:hAnsi="微软雅黑" w:eastAsia="微软雅黑" w:cs="微软雅黑"/>
          <w:sz w:val="24"/>
          <w:lang w:eastAsia="zh-CN"/>
        </w:rPr>
      </w:pPr>
      <w:bookmarkStart w:id="164"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164"/>
      <w:r>
        <w:rPr>
          <w:rFonts w:hint="eastAsia" w:ascii="微软雅黑" w:hAnsi="微软雅黑" w:eastAsia="微软雅黑" w:cs="微软雅黑"/>
          <w:sz w:val="24"/>
          <w:lang w:eastAsia="zh-CN"/>
        </w:rPr>
        <w:t>。</w:t>
      </w:r>
    </w:p>
    <w:p>
      <w:pPr>
        <w:pStyle w:val="5"/>
        <w:snapToGrid w:val="0"/>
        <w:spacing w:before="0" w:after="0" w:line="380" w:lineRule="exact"/>
        <w:textAlignment w:val="baseline"/>
        <w:rPr>
          <w:rFonts w:ascii="微软雅黑" w:hAnsi="微软雅黑" w:eastAsia="微软雅黑" w:cs="微软雅黑"/>
          <w:u w:color="000000"/>
        </w:rPr>
      </w:pPr>
      <w:bookmarkStart w:id="165" w:name="_Toc23231"/>
      <w:bookmarkStart w:id="166" w:name="_Toc5859"/>
      <w:bookmarkStart w:id="167" w:name="_Toc19523"/>
      <w:bookmarkStart w:id="168" w:name="_Toc15870"/>
      <w:bookmarkStart w:id="169" w:name="_Toc27117"/>
      <w:bookmarkStart w:id="170" w:name="_Toc9025"/>
      <w:bookmarkStart w:id="171" w:name="_Toc7688"/>
      <w:bookmarkStart w:id="172" w:name="_Toc520356155"/>
      <w:bookmarkStart w:id="173" w:name="_Toc515647770"/>
      <w:bookmarkStart w:id="174" w:name="_Toc6864"/>
      <w:bookmarkStart w:id="175" w:name="_Toc2248"/>
      <w:bookmarkStart w:id="176" w:name="_Toc16854"/>
      <w:bookmarkStart w:id="177" w:name="_Toc7506"/>
      <w:bookmarkStart w:id="178" w:name="_Toc5239"/>
      <w:r>
        <w:rPr>
          <w:rFonts w:hint="eastAsia" w:ascii="微软雅黑" w:hAnsi="微软雅黑" w:eastAsia="微软雅黑" w:cs="微软雅黑"/>
          <w:u w:color="000000"/>
        </w:rPr>
        <w:t>11.磋商报价</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所有磋商均以人民币报价。供应商的磋商报价应遵守《中华人民共和国价格法》。同时，根据《中华人民共和国政府采购法》第二条的规定，为保证公平竞争，如有货物主体部分的赠与行为，其磋商将被认定为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rPr>
        <w:t>供应商应在磋商分项报价表上标明</w:t>
      </w:r>
      <w:r>
        <w:rPr>
          <w:rFonts w:hint="eastAsia" w:ascii="微软雅黑" w:hAnsi="微软雅黑" w:eastAsia="微软雅黑" w:cs="微软雅黑"/>
          <w:sz w:val="24"/>
          <w:lang w:eastAsia="zh-CN"/>
        </w:rPr>
        <w:t>分项服务</w:t>
      </w:r>
      <w:r>
        <w:rPr>
          <w:rFonts w:hint="eastAsia" w:ascii="微软雅黑" w:hAnsi="微软雅黑" w:eastAsia="微软雅黑" w:cs="微软雅黑"/>
          <w:sz w:val="24"/>
        </w:rPr>
        <w:t>的单价（如适用）和总价，并由法定代表人或其授权代表签署。</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采购人不接受具有附加条件的报价。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 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11.5</w:t>
      </w:r>
      <w:r>
        <w:rPr>
          <w:rFonts w:hint="eastAsia" w:ascii="微软雅黑" w:hAnsi="微软雅黑" w:eastAsia="微软雅黑" w:cs="微软雅黑"/>
          <w:sz w:val="24"/>
        </w:rPr>
        <w:tab/>
      </w:r>
      <w:r>
        <w:rPr>
          <w:rFonts w:hint="eastAsia" w:ascii="微软雅黑" w:hAnsi="微软雅黑" w:eastAsia="微软雅黑" w:cs="微软雅黑"/>
          <w:b/>
          <w:bCs/>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
        <w:snapToGrid w:val="0"/>
        <w:spacing w:before="0" w:after="0" w:line="380" w:lineRule="exact"/>
        <w:textAlignment w:val="baseline"/>
        <w:rPr>
          <w:rFonts w:ascii="微软雅黑" w:hAnsi="微软雅黑" w:eastAsia="微软雅黑" w:cs="微软雅黑"/>
          <w:u w:color="000000"/>
        </w:rPr>
      </w:pPr>
      <w:bookmarkStart w:id="179" w:name="_Toc11514"/>
      <w:bookmarkStart w:id="180" w:name="_Toc515647771"/>
      <w:bookmarkStart w:id="181" w:name="_Toc31526"/>
      <w:bookmarkStart w:id="182" w:name="_Toc19405"/>
      <w:bookmarkStart w:id="183" w:name="_Toc16693"/>
      <w:bookmarkStart w:id="184" w:name="_Toc8505"/>
      <w:bookmarkStart w:id="185" w:name="_Toc520356156"/>
      <w:bookmarkStart w:id="186" w:name="_Toc1651"/>
      <w:bookmarkStart w:id="187" w:name="_Toc17788"/>
      <w:bookmarkStart w:id="188" w:name="_Toc5302"/>
      <w:bookmarkStart w:id="189" w:name="_Toc20519"/>
      <w:bookmarkStart w:id="190" w:name="_Toc9763"/>
      <w:bookmarkStart w:id="191" w:name="_Toc30640"/>
      <w:bookmarkStart w:id="192" w:name="_Toc24996"/>
      <w:bookmarkStart w:id="193" w:name="_Ref467306513"/>
      <w:r>
        <w:rPr>
          <w:rFonts w:hint="eastAsia" w:ascii="微软雅黑" w:hAnsi="微软雅黑" w:eastAsia="微软雅黑" w:cs="微软雅黑"/>
          <w:u w:color="000000"/>
        </w:rPr>
        <w:t>12.磋商保证金</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napToGrid w:val="0"/>
        <w:spacing w:line="380" w:lineRule="exact"/>
        <w:ind w:left="900" w:hanging="900" w:hangingChars="375"/>
        <w:textAlignment w:val="baseline"/>
        <w:rPr>
          <w:rFonts w:ascii="微软雅黑" w:hAnsi="微软雅黑" w:eastAsia="微软雅黑" w:cs="微软雅黑"/>
          <w:sz w:val="24"/>
        </w:rPr>
      </w:pPr>
      <w:bookmarkStart w:id="194"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供应商应提交</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中规定的磋商保证金</w:t>
      </w:r>
      <w:bookmarkEnd w:id="194"/>
      <w:r>
        <w:rPr>
          <w:rFonts w:hint="eastAsia" w:ascii="微软雅黑" w:hAnsi="微软雅黑" w:eastAsia="微软雅黑" w:cs="微软雅黑"/>
          <w:sz w:val="24"/>
        </w:rPr>
        <w:t>，并作为其磋商的一部分。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供应商存在下列情形的，磋商保证金不予退还：</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（1）在磋商有效期内，撤销磋商的；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（2）成交后不按本须知第30条的规定与采购人签订合同的；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（3）成交后不按本须知第31条的规定提交履约保证金的；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（4）成交后不按本须知第32条的规定缴纳成交代理费的；</w:t>
      </w:r>
    </w:p>
    <w:p>
      <w:pPr>
        <w:pStyle w:val="16"/>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（5）存在其他违法违规行为的。</w:t>
      </w:r>
    </w:p>
    <w:p>
      <w:pPr>
        <w:snapToGrid w:val="0"/>
        <w:spacing w:line="380" w:lineRule="exact"/>
        <w:ind w:left="900" w:hanging="900" w:hangingChars="375"/>
        <w:textAlignment w:val="baseline"/>
        <w:rPr>
          <w:rFonts w:ascii="微软雅黑" w:hAnsi="微软雅黑" w:eastAsia="微软雅黑" w:cs="微软雅黑"/>
          <w:sz w:val="24"/>
        </w:rPr>
      </w:pPr>
      <w:bookmarkStart w:id="195" w:name="_Ref467306336"/>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195"/>
      <w:r>
        <w:rPr>
          <w:rFonts w:hint="eastAsia" w:ascii="微软雅黑" w:hAnsi="微软雅黑" w:eastAsia="微软雅黑" w:cs="微软雅黑"/>
          <w:sz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供应商未按本须知第12.1和12.3条规定提交磋商保证金的，其磋商将被认定为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snapToGrid w:val="0"/>
        <w:spacing w:line="380" w:lineRule="exact"/>
        <w:ind w:left="960" w:hanging="960" w:hangingChars="400"/>
        <w:jc w:val="left"/>
        <w:textAlignment w:val="baseline"/>
        <w:rPr>
          <w:rFonts w:ascii="微软雅黑" w:hAnsi="微软雅黑" w:eastAsia="微软雅黑" w:cs="微软雅黑"/>
          <w:sz w:val="24"/>
        </w:rPr>
      </w:pPr>
      <w:r>
        <w:rPr>
          <w:rFonts w:hint="eastAsia" w:ascii="微软雅黑" w:hAnsi="微软雅黑" w:eastAsia="微软雅黑" w:cs="微软雅黑"/>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磋商保证金的退还</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12.6.3  政府采购磋商担保函不予退回。</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12.7    因供应商自身原因导致无法及时退还的，采购人或采购代理机构将不承担相应责任。</w:t>
      </w:r>
    </w:p>
    <w:p>
      <w:pPr>
        <w:pStyle w:val="5"/>
        <w:snapToGrid w:val="0"/>
        <w:spacing w:before="0" w:after="0" w:line="380" w:lineRule="exact"/>
        <w:textAlignment w:val="baseline"/>
        <w:rPr>
          <w:rFonts w:ascii="微软雅黑" w:hAnsi="微软雅黑" w:eastAsia="微软雅黑" w:cs="微软雅黑"/>
          <w:u w:color="000000"/>
        </w:rPr>
      </w:pPr>
      <w:bookmarkStart w:id="196" w:name="_Toc1400"/>
      <w:bookmarkStart w:id="197" w:name="_Toc20387"/>
      <w:bookmarkStart w:id="198" w:name="_Toc515647772"/>
      <w:bookmarkStart w:id="199" w:name="_Toc3815"/>
      <w:bookmarkStart w:id="200" w:name="_Toc21509"/>
      <w:bookmarkStart w:id="201" w:name="_Toc12769"/>
      <w:bookmarkStart w:id="202" w:name="_Toc22807"/>
      <w:bookmarkStart w:id="203" w:name="_Toc325"/>
      <w:bookmarkStart w:id="204" w:name="_Toc23590"/>
      <w:bookmarkStart w:id="205" w:name="_Toc277"/>
      <w:bookmarkStart w:id="206" w:name="_Toc32569"/>
      <w:bookmarkStart w:id="207" w:name="_Toc29124"/>
      <w:bookmarkStart w:id="208" w:name="_Toc520356157"/>
      <w:bookmarkStart w:id="209" w:name="_Toc8146"/>
      <w:r>
        <w:rPr>
          <w:rFonts w:hint="eastAsia" w:ascii="微软雅黑" w:hAnsi="微软雅黑" w:eastAsia="微软雅黑" w:cs="微软雅黑"/>
          <w:u w:color="000000"/>
        </w:rPr>
        <w:t>13.磋商有效期</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磋商应在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中规定时间内保持有效。磋商有效期不满足要求的磋商，其磋商将被认定为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5"/>
        <w:snapToGrid w:val="0"/>
        <w:spacing w:before="0" w:after="0" w:line="380" w:lineRule="exact"/>
        <w:textAlignment w:val="baseline"/>
        <w:rPr>
          <w:rFonts w:ascii="微软雅黑" w:hAnsi="微软雅黑" w:eastAsia="微软雅黑" w:cs="微软雅黑"/>
          <w:u w:color="000000"/>
        </w:rPr>
      </w:pPr>
      <w:bookmarkStart w:id="210" w:name="_Toc520356158"/>
      <w:bookmarkStart w:id="211" w:name="_Toc26606"/>
      <w:bookmarkStart w:id="212" w:name="_Toc14581"/>
      <w:bookmarkStart w:id="213" w:name="_Toc493"/>
      <w:bookmarkStart w:id="214" w:name="_Toc19311"/>
      <w:bookmarkStart w:id="215" w:name="_Toc4551"/>
      <w:bookmarkStart w:id="216" w:name="_Toc24880"/>
      <w:bookmarkStart w:id="217" w:name="_Toc515647773"/>
      <w:bookmarkStart w:id="218" w:name="_Toc540"/>
      <w:bookmarkStart w:id="219" w:name="_Toc28395"/>
      <w:bookmarkStart w:id="220" w:name="_Toc27945"/>
      <w:bookmarkStart w:id="221" w:name="_Toc29649"/>
      <w:bookmarkStart w:id="222" w:name="_Toc21843"/>
      <w:bookmarkStart w:id="223" w:name="_Toc17074"/>
      <w:r>
        <w:rPr>
          <w:rFonts w:hint="eastAsia" w:ascii="微软雅黑" w:hAnsi="微软雅黑" w:eastAsia="微软雅黑" w:cs="微软雅黑"/>
          <w:u w:color="000000"/>
        </w:rPr>
        <w:t>14.响应文件的签署</w:t>
      </w:r>
      <w:bookmarkEnd w:id="210"/>
      <w:r>
        <w:rPr>
          <w:rFonts w:hint="eastAsia" w:ascii="微软雅黑" w:hAnsi="微软雅黑" w:eastAsia="微软雅黑" w:cs="微软雅黑"/>
          <w:u w:color="000000"/>
        </w:rPr>
        <w:t>及规定</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80" w:lineRule="exact"/>
        <w:ind w:left="900" w:hanging="900" w:hangingChars="375"/>
        <w:rPr>
          <w:rFonts w:ascii="微软雅黑" w:hAnsi="微软雅黑" w:eastAsia="微软雅黑" w:cs="微软雅黑"/>
          <w:sz w:val="24"/>
        </w:rPr>
      </w:pPr>
      <w:bookmarkStart w:id="224" w:name="_Toc515647774"/>
      <w:bookmarkStart w:id="225" w:name="_Toc8711"/>
      <w:bookmarkStart w:id="226" w:name="_Toc520356159"/>
      <w:bookmarkStart w:id="227" w:name="_Toc3461"/>
      <w:bookmarkStart w:id="228" w:name="_Toc16865"/>
      <w:bookmarkStart w:id="229" w:name="_Toc11179"/>
      <w:bookmarkStart w:id="230" w:name="_Toc216582808"/>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sz w:val="24"/>
        </w:rPr>
        <w:t>供应商应按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中的规定，准备和递交响应文件和</w:t>
      </w:r>
      <w:r>
        <w:rPr>
          <w:rFonts w:hint="eastAsia" w:ascii="微软雅黑" w:hAnsi="微软雅黑" w:eastAsia="微软雅黑" w:cs="微软雅黑"/>
          <w:iCs/>
          <w:sz w:val="24"/>
        </w:rPr>
        <w:t>磋商报价表</w:t>
      </w:r>
      <w:r>
        <w:rPr>
          <w:rFonts w:hint="eastAsia" w:ascii="微软雅黑" w:hAnsi="微软雅黑" w:eastAsia="微软雅黑" w:cs="微软雅黑"/>
          <w:sz w:val="24"/>
        </w:rPr>
        <w:t>和电子文档，每份响应文件封皮须清楚地标明“正本”或“副本”。若正本和副本不符，以正本为准。</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14.2</w:t>
      </w:r>
      <w:r>
        <w:rPr>
          <w:rFonts w:hint="eastAsia" w:ascii="微软雅黑" w:hAnsi="微软雅黑" w:eastAsia="微软雅黑" w:cs="微软雅黑"/>
          <w:sz w:val="24"/>
        </w:rPr>
        <w:tab/>
      </w: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14.3    所有响应文件采用不可拆装的胶订方式装订，否则其磋商将被认定为磋商无效。</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14.4</w:t>
      </w:r>
      <w:r>
        <w:rPr>
          <w:rFonts w:hint="eastAsia" w:ascii="微软雅黑" w:hAnsi="微软雅黑" w:eastAsia="微软雅黑" w:cs="微软雅黑"/>
          <w:sz w:val="24"/>
        </w:rPr>
        <w:tab/>
      </w:r>
      <w:r>
        <w:rPr>
          <w:rFonts w:hint="eastAsia" w:ascii="微软雅黑" w:hAnsi="微软雅黑" w:eastAsia="微软雅黑" w:cs="微软雅黑"/>
          <w:sz w:val="24"/>
        </w:rPr>
        <w:t>响应文件因字迹潦草、表达不清或装订不当所引起的后果由供应商负责。</w:t>
      </w:r>
    </w:p>
    <w:p>
      <w:pPr>
        <w:spacing w:line="380" w:lineRule="exact"/>
        <w:ind w:left="900" w:hanging="900" w:hangingChars="375"/>
        <w:jc w:val="center"/>
        <w:outlineLvl w:val="1"/>
        <w:rPr>
          <w:rFonts w:ascii="微软雅黑" w:hAnsi="微软雅黑" w:eastAsia="微软雅黑" w:cs="微软雅黑"/>
          <w:sz w:val="24"/>
        </w:rPr>
      </w:pPr>
      <w:bookmarkStart w:id="231" w:name="_Toc7711"/>
      <w:r>
        <w:rPr>
          <w:rFonts w:hint="eastAsia" w:ascii="微软雅黑" w:hAnsi="微软雅黑" w:eastAsia="微软雅黑" w:cs="微软雅黑"/>
          <w:b/>
          <w:sz w:val="24"/>
        </w:rPr>
        <w:t>四   响应文件的递交</w:t>
      </w:r>
      <w:bookmarkEnd w:id="224"/>
      <w:bookmarkEnd w:id="225"/>
      <w:bookmarkEnd w:id="226"/>
      <w:bookmarkEnd w:id="227"/>
      <w:bookmarkEnd w:id="228"/>
      <w:bookmarkEnd w:id="229"/>
      <w:bookmarkEnd w:id="230"/>
      <w:bookmarkEnd w:id="231"/>
    </w:p>
    <w:p>
      <w:pPr>
        <w:pStyle w:val="5"/>
        <w:snapToGrid w:val="0"/>
        <w:spacing w:before="0" w:after="0" w:line="380" w:lineRule="exact"/>
        <w:textAlignment w:val="baseline"/>
        <w:rPr>
          <w:rFonts w:ascii="微软雅黑" w:hAnsi="微软雅黑" w:eastAsia="微软雅黑" w:cs="微软雅黑"/>
          <w:u w:color="000000"/>
        </w:rPr>
      </w:pPr>
      <w:bookmarkStart w:id="232" w:name="_Toc515647775"/>
      <w:bookmarkStart w:id="233" w:name="_Toc9759"/>
      <w:bookmarkStart w:id="234" w:name="_Toc28268"/>
      <w:bookmarkStart w:id="235" w:name="_Toc6188"/>
      <w:bookmarkStart w:id="236" w:name="_Toc415"/>
      <w:bookmarkStart w:id="237" w:name="_Toc21645"/>
      <w:bookmarkStart w:id="238" w:name="_Toc13617"/>
      <w:bookmarkStart w:id="239" w:name="_Toc30799"/>
      <w:bookmarkStart w:id="240" w:name="_Toc6764"/>
      <w:bookmarkStart w:id="241" w:name="_Toc520356160"/>
      <w:bookmarkStart w:id="242" w:name="_Toc24069"/>
      <w:bookmarkStart w:id="243" w:name="_Toc32337"/>
      <w:bookmarkStart w:id="244" w:name="_Toc22380"/>
      <w:bookmarkStart w:id="245" w:name="_Toc16507"/>
      <w:r>
        <w:rPr>
          <w:rFonts w:hint="eastAsia" w:ascii="微软雅黑" w:hAnsi="微软雅黑" w:eastAsia="微软雅黑" w:cs="微软雅黑"/>
          <w:u w:color="000000"/>
        </w:rPr>
        <w:t>15.响应文件的密封和标记</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15.1   为方便开启及进行资格审查，供应商应将响应文件第一部分和第二部分的内容合并装订成一册，密封提交，并在封皮正面标明“响应文件”字样。</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15.2   所有包装封皮和信封上均应：</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（1）注明招标公告或磋商邀请书中指明的项目名称、项目编号、供应商名称和“在（开标时间）之前不得启封”的字样。</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（2）在封口处加盖供应商单位公章，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15.3   如果供应商未按上述要求标记的，将承担相应的后果。</w:t>
      </w:r>
    </w:p>
    <w:p>
      <w:pPr>
        <w:pStyle w:val="5"/>
        <w:snapToGrid w:val="0"/>
        <w:spacing w:before="0" w:after="0" w:line="380" w:lineRule="exact"/>
        <w:textAlignment w:val="baseline"/>
        <w:rPr>
          <w:rFonts w:ascii="微软雅黑" w:hAnsi="微软雅黑" w:eastAsia="微软雅黑" w:cs="微软雅黑"/>
          <w:u w:color="000000"/>
        </w:rPr>
      </w:pPr>
      <w:bookmarkStart w:id="246" w:name="_Toc3372"/>
      <w:bookmarkStart w:id="247" w:name="_Toc5096"/>
      <w:bookmarkStart w:id="248" w:name="_Toc2068"/>
      <w:bookmarkStart w:id="249" w:name="_Toc31921"/>
      <w:bookmarkStart w:id="250" w:name="_Toc515647776"/>
      <w:bookmarkStart w:id="251" w:name="_Toc24025"/>
      <w:bookmarkStart w:id="252" w:name="_Toc26069"/>
      <w:bookmarkStart w:id="253" w:name="_Toc8557"/>
      <w:bookmarkStart w:id="254" w:name="_Toc18350"/>
      <w:bookmarkStart w:id="255" w:name="_Toc520356161"/>
      <w:bookmarkStart w:id="256" w:name="_Toc9452"/>
      <w:bookmarkStart w:id="257" w:name="_Toc9840"/>
      <w:bookmarkStart w:id="258" w:name="_Toc12751"/>
      <w:bookmarkStart w:id="259" w:name="_Toc7478"/>
      <w:r>
        <w:rPr>
          <w:rFonts w:hint="eastAsia" w:ascii="微软雅黑" w:hAnsi="微软雅黑" w:eastAsia="微软雅黑" w:cs="微软雅黑"/>
          <w:u w:color="000000"/>
        </w:rPr>
        <w:t>16.磋商截止</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供应商应在供应商须知资料表中规定的截止时间前，将响应文件上传到磋商公告中规定的地点。</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16.3</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采购人和采购代理机构将拒绝接收在磋商截止时间后递交的响应文件。</w:t>
      </w:r>
    </w:p>
    <w:p>
      <w:pPr>
        <w:pStyle w:val="5"/>
        <w:snapToGrid w:val="0"/>
        <w:spacing w:before="0" w:after="0" w:line="380" w:lineRule="exact"/>
        <w:textAlignment w:val="baseline"/>
        <w:rPr>
          <w:rFonts w:ascii="微软雅黑" w:hAnsi="微软雅黑" w:eastAsia="微软雅黑" w:cs="微软雅黑"/>
          <w:u w:color="000000"/>
        </w:rPr>
      </w:pPr>
      <w:bookmarkStart w:id="260" w:name="_Toc7274"/>
      <w:bookmarkStart w:id="261" w:name="_Toc22201"/>
      <w:bookmarkStart w:id="262" w:name="_Toc3014"/>
      <w:bookmarkStart w:id="263" w:name="_Toc10299"/>
      <w:bookmarkStart w:id="264" w:name="_Toc520356162"/>
      <w:bookmarkStart w:id="265" w:name="_Toc18537"/>
      <w:bookmarkStart w:id="266" w:name="_Toc24701"/>
      <w:bookmarkStart w:id="267" w:name="_Toc24275"/>
      <w:bookmarkStart w:id="268" w:name="_Toc29943"/>
      <w:bookmarkStart w:id="269" w:name="_Toc515647777"/>
      <w:bookmarkStart w:id="270" w:name="_Toc18594"/>
      <w:bookmarkStart w:id="271" w:name="_Toc23557"/>
      <w:bookmarkStart w:id="272" w:name="_Toc11003"/>
      <w:bookmarkStart w:id="273" w:name="_Toc9478"/>
      <w:r>
        <w:rPr>
          <w:rFonts w:hint="eastAsia" w:ascii="微软雅黑" w:hAnsi="微软雅黑" w:eastAsia="微软雅黑" w:cs="微软雅黑"/>
          <w:u w:color="000000"/>
        </w:rPr>
        <w:t>17.响应文件的接收、修改与撤回</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17.1</w:t>
      </w:r>
      <w:r>
        <w:rPr>
          <w:rFonts w:hint="eastAsia" w:ascii="微软雅黑" w:hAnsi="微软雅黑" w:eastAsia="微软雅黑" w:cs="微软雅黑"/>
          <w:sz w:val="24"/>
        </w:rPr>
        <w:tab/>
      </w:r>
      <w:r>
        <w:rPr>
          <w:rFonts w:hint="eastAsia" w:ascii="微软雅黑" w:hAnsi="微软雅黑" w:eastAsia="微软雅黑" w:cs="微软雅黑"/>
          <w:sz w:val="24"/>
        </w:rPr>
        <w:t>在磋商截止时间后递交的响应文件的，采购人和采购代理机构将拒绝接收。</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rPr>
        <w:t>递交响应文件以后，如果供应商要进行修改或撤回磋商，供应商对响应文件的修改或撤回通知应按本须知规定编制、标记。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采购人和采购代理机构将予以接收，并视为响应文件的组成部分。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173</w:t>
      </w:r>
      <w:r>
        <w:rPr>
          <w:rFonts w:hint="eastAsia" w:ascii="微软雅黑" w:hAnsi="微软雅黑" w:eastAsia="微软雅黑" w:cs="微软雅黑"/>
          <w:sz w:val="24"/>
        </w:rPr>
        <w:tab/>
      </w:r>
      <w:r>
        <w:rPr>
          <w:rFonts w:hint="eastAsia" w:ascii="微软雅黑" w:hAnsi="微软雅黑" w:eastAsia="微软雅黑" w:cs="微软雅黑"/>
          <w:sz w:val="24"/>
        </w:rPr>
        <w:t>在磋商截止期之后，采购人和采购代理机构不接受供应商主动对其响应文件做任何修改。</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采购人和采购代理机构对所接收响应文件概不退回。</w:t>
      </w:r>
    </w:p>
    <w:p>
      <w:pPr>
        <w:pStyle w:val="4"/>
        <w:snapToGrid w:val="0"/>
        <w:spacing w:before="0" w:line="380" w:lineRule="exact"/>
        <w:ind w:hanging="540"/>
        <w:textAlignment w:val="baseline"/>
        <w:rPr>
          <w:rFonts w:ascii="微软雅黑" w:hAnsi="微软雅黑" w:eastAsia="微软雅黑" w:cs="微软雅黑"/>
          <w:sz w:val="24"/>
        </w:rPr>
      </w:pPr>
      <w:bookmarkStart w:id="274" w:name="_Toc28398"/>
      <w:bookmarkStart w:id="275" w:name="_Toc216582809"/>
      <w:bookmarkStart w:id="276" w:name="_Toc520356163"/>
      <w:bookmarkStart w:id="277" w:name="_Toc12436"/>
      <w:bookmarkStart w:id="278" w:name="_Toc27283"/>
      <w:bookmarkStart w:id="279" w:name="_Toc515647778"/>
      <w:bookmarkStart w:id="280" w:name="_Toc16124"/>
      <w:bookmarkStart w:id="281" w:name="_Toc787"/>
      <w:r>
        <w:rPr>
          <w:rFonts w:hint="eastAsia" w:ascii="微软雅黑" w:hAnsi="微软雅黑" w:eastAsia="微软雅黑" w:cs="微软雅黑"/>
          <w:sz w:val="24"/>
        </w:rPr>
        <w:t>五   磋商及评</w:t>
      </w:r>
      <w:bookmarkEnd w:id="274"/>
      <w:bookmarkEnd w:id="275"/>
      <w:bookmarkEnd w:id="276"/>
      <w:bookmarkEnd w:id="277"/>
      <w:bookmarkEnd w:id="278"/>
      <w:bookmarkEnd w:id="279"/>
      <w:bookmarkEnd w:id="280"/>
      <w:r>
        <w:rPr>
          <w:rFonts w:hint="eastAsia" w:ascii="微软雅黑" w:hAnsi="微软雅黑" w:eastAsia="微软雅黑" w:cs="微软雅黑"/>
          <w:sz w:val="24"/>
        </w:rPr>
        <w:t>审</w:t>
      </w:r>
      <w:bookmarkEnd w:id="281"/>
    </w:p>
    <w:p>
      <w:pPr>
        <w:pStyle w:val="5"/>
        <w:numPr>
          <w:ilvl w:val="0"/>
          <w:numId w:val="3"/>
        </w:numPr>
        <w:snapToGrid w:val="0"/>
        <w:spacing w:before="0" w:after="0" w:line="380" w:lineRule="exact"/>
        <w:textAlignment w:val="baseline"/>
        <w:rPr>
          <w:rFonts w:ascii="微软雅黑" w:hAnsi="微软雅黑" w:eastAsia="微软雅黑" w:cs="微软雅黑"/>
          <w:u w:color="000000"/>
        </w:rPr>
      </w:pPr>
      <w:bookmarkStart w:id="282" w:name="_Toc20787"/>
      <w:bookmarkStart w:id="283" w:name="_Toc5344"/>
      <w:bookmarkStart w:id="284" w:name="_Toc1026"/>
      <w:r>
        <w:rPr>
          <w:rFonts w:hint="eastAsia" w:ascii="微软雅黑" w:hAnsi="微软雅黑" w:eastAsia="微软雅黑" w:cs="微软雅黑"/>
          <w:u w:color="000000"/>
        </w:rPr>
        <w:t>磋商</w:t>
      </w:r>
      <w:bookmarkEnd w:id="282"/>
      <w:bookmarkEnd w:id="283"/>
      <w:bookmarkEnd w:id="284"/>
    </w:p>
    <w:p>
      <w:pPr>
        <w:numPr>
          <w:ilvl w:val="1"/>
          <w:numId w:val="3"/>
        </w:num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采购人和采购代理机构将按</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中规定的磋商时间和地点组织</w:t>
      </w:r>
      <w:r>
        <w:rPr>
          <w:rFonts w:hint="eastAsia" w:ascii="微软雅黑" w:hAnsi="微软雅黑" w:eastAsia="微软雅黑" w:cs="微软雅黑"/>
          <w:sz w:val="24"/>
          <w:lang w:eastAsia="zh-CN"/>
        </w:rPr>
        <w:t>竞争性</w:t>
      </w:r>
      <w:r>
        <w:rPr>
          <w:rFonts w:hint="eastAsia" w:ascii="微软雅黑" w:hAnsi="微软雅黑" w:eastAsia="微软雅黑" w:cs="微软雅黑"/>
          <w:sz w:val="24"/>
        </w:rPr>
        <w:t>磋商并邀请所有供应商代表参加。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18.2  磋商时，由采购人代表或监督人检查供应商的资格要求。</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18.3   磋商时，由供应商或其推选的代表检查自己或所代表的响应文件的密封情况。</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18.4   磋商小组进场，对各供应商的资格性和符合性进行审查。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18.5   供应商进场，进行磋商，采购人或采购代理机构将对磋商过程进行记录</w:t>
      </w:r>
      <w:bookmarkStart w:id="285" w:name="_Toc520356165"/>
      <w:r>
        <w:rPr>
          <w:rFonts w:hint="eastAsia" w:ascii="微软雅黑" w:hAnsi="微软雅黑" w:eastAsia="微软雅黑" w:cs="微软雅黑"/>
          <w:sz w:val="24"/>
        </w:rPr>
        <w:t>，由参加磋商的各供应商代表和相关工作人员签字确认，并存档备查。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18.6   采购人或采购代理机构对最终的报价进行宣读。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18.7   供应商退场，磋商小组对供应商的响应文件进行综合评分。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18.8   采购人或采购代理机构对评审结果进行宣布。供应商代表对磋商过程和磋商记录有疑义，以及认为采购人、采购代理机构相关工作人员有需要回避的情形的，应当场提出询问或者回避申请。</w:t>
      </w:r>
    </w:p>
    <w:p>
      <w:pPr>
        <w:pStyle w:val="5"/>
        <w:snapToGrid w:val="0"/>
        <w:spacing w:before="0" w:after="0" w:line="380" w:lineRule="exact"/>
        <w:textAlignment w:val="baseline"/>
        <w:rPr>
          <w:rFonts w:ascii="微软雅黑" w:hAnsi="微软雅黑" w:eastAsia="微软雅黑" w:cs="微软雅黑"/>
          <w:u w:color="000000"/>
        </w:rPr>
      </w:pPr>
      <w:bookmarkStart w:id="286" w:name="_Toc515647780"/>
      <w:bookmarkStart w:id="287" w:name="_Toc21372"/>
      <w:bookmarkStart w:id="288" w:name="_Toc19296"/>
      <w:bookmarkStart w:id="289" w:name="_Toc5428"/>
      <w:bookmarkStart w:id="290" w:name="_Toc5402"/>
      <w:bookmarkStart w:id="291" w:name="_Toc18658"/>
      <w:bookmarkStart w:id="292" w:name="_Toc18057"/>
      <w:bookmarkStart w:id="293" w:name="_Toc5768"/>
      <w:bookmarkStart w:id="294" w:name="_Toc28768"/>
      <w:bookmarkStart w:id="295" w:name="_Toc6401"/>
      <w:bookmarkStart w:id="296" w:name="_Toc14954"/>
      <w:bookmarkStart w:id="297" w:name="_Toc9240"/>
      <w:bookmarkStart w:id="298" w:name="_Toc526"/>
      <w:r>
        <w:rPr>
          <w:rFonts w:hint="eastAsia" w:ascii="微软雅黑" w:hAnsi="微软雅黑" w:eastAsia="微软雅黑" w:cs="微软雅黑"/>
          <w:u w:color="000000"/>
        </w:rPr>
        <w:t>19.</w:t>
      </w:r>
      <w:bookmarkEnd w:id="285"/>
      <w:r>
        <w:rPr>
          <w:rFonts w:hint="eastAsia" w:ascii="微软雅黑" w:hAnsi="微软雅黑" w:eastAsia="微软雅黑" w:cs="微软雅黑"/>
          <w:u w:color="000000"/>
        </w:rPr>
        <w:t>资格审查及组建</w:t>
      </w:r>
      <w:bookmarkEnd w:id="286"/>
      <w:bookmarkEnd w:id="287"/>
      <w:bookmarkEnd w:id="288"/>
      <w:bookmarkEnd w:id="289"/>
      <w:r>
        <w:rPr>
          <w:rFonts w:hint="eastAsia" w:ascii="微软雅黑" w:hAnsi="微软雅黑" w:eastAsia="微软雅黑" w:cs="微软雅黑"/>
          <w:u w:color="000000"/>
        </w:rPr>
        <w:t>磋商小组</w:t>
      </w:r>
      <w:bookmarkEnd w:id="290"/>
      <w:bookmarkEnd w:id="291"/>
      <w:bookmarkEnd w:id="292"/>
      <w:bookmarkEnd w:id="293"/>
      <w:bookmarkEnd w:id="294"/>
      <w:bookmarkEnd w:id="295"/>
      <w:bookmarkEnd w:id="296"/>
      <w:bookmarkEnd w:id="297"/>
      <w:bookmarkEnd w:id="298"/>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ascii="微软雅黑" w:hAnsi="微软雅黑" w:eastAsia="微软雅黑" w:cs="微软雅黑"/>
          <w:b/>
          <w:bCs/>
          <w:sz w:val="24"/>
        </w:rPr>
      </w:pPr>
      <w:r>
        <w:rPr>
          <w:rFonts w:hint="eastAsia" w:ascii="微软雅黑" w:hAnsi="微软雅黑" w:eastAsia="微软雅黑" w:cs="微软雅黑"/>
          <w:sz w:val="24"/>
        </w:rPr>
        <w:t xml:space="preserve">        </w:t>
      </w:r>
      <w:r>
        <w:rPr>
          <w:rFonts w:hint="eastAsia" w:ascii="微软雅黑" w:hAnsi="微软雅黑" w:eastAsia="微软雅黑" w:cs="微软雅黑"/>
          <w:b/>
          <w:bCs/>
          <w:sz w:val="24"/>
        </w:rPr>
        <w:t>如下：合格供应商的其他资格要求（开标时须携带以下资格证明材料）：</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2.提供有效的营业执照；</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3.法人本人投标的提供法人身份证明及身份证，被授权委托人投标提供法人授权委托书及身份证；</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4.投标单位提供本单位依法缴纳近三个月的社保证明（社保证明可含：社保缴费凭证、社保缴费证明、社保缴费汇总单、依法缴纳社保的完税证明）；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5.提供税务部门出具近三个月的完税证明；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6.提供2021年度的财务审计报告（新成立公司需提供银行资信证明）；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7.参加政府采购活动前3年内在经营活动中没有重大违法记录的书面声明；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8.提供针对本次项目的反商业贿赂承诺书。 </w:t>
      </w:r>
    </w:p>
    <w:p>
      <w:pPr>
        <w:widowControl/>
        <w:snapToGrid w:val="0"/>
        <w:spacing w:line="380" w:lineRule="exact"/>
        <w:ind w:firstLine="480" w:firstLineChars="200"/>
        <w:jc w:val="left"/>
        <w:textAlignment w:val="baseline"/>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9.提供缴纳磋商保证金的有效凭证。</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eastAsia="zh-CN"/>
        </w:rPr>
        <w:t>注：</w:t>
      </w:r>
      <w:r>
        <w:rPr>
          <w:rFonts w:hint="eastAsia" w:ascii="微软雅黑" w:hAnsi="微软雅黑" w:eastAsia="微软雅黑" w:cs="微软雅黑"/>
          <w:b/>
          <w:bCs/>
          <w:sz w:val="24"/>
          <w:lang w:val="en-US" w:eastAsia="zh-CN"/>
        </w:rPr>
        <w:t>未通过资格审查的投标人不进入评标；</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提示：上述资质磋商现场能够通过官方网络查证的，均视为合格供应商。在资格审查过程中，潜在投标企业提供的资质材料不全的，可打开投标书正本进行进一步核实，符合条件的均为合格供应商。未通过资格审查的供应商或供应商不足3家的，不得进入评标。</w:t>
      </w:r>
    </w:p>
    <w:p>
      <w:pPr>
        <w:numPr>
          <w:ilvl w:val="0"/>
          <w:numId w:val="0"/>
        </w:numPr>
        <w:snapToGrid w:val="0"/>
        <w:spacing w:line="380" w:lineRule="exact"/>
        <w:ind w:leftChars="-306"/>
        <w:textAlignment w:val="baseline"/>
        <w:rPr>
          <w:rFonts w:ascii="微软雅黑" w:hAnsi="微软雅黑" w:eastAsia="微软雅黑" w:cs="微软雅黑"/>
          <w:sz w:val="24"/>
        </w:rPr>
      </w:pPr>
      <w:r>
        <w:rPr>
          <w:rFonts w:hint="eastAsia" w:ascii="微软雅黑" w:hAnsi="微软雅黑" w:eastAsia="微软雅黑" w:cs="微软雅黑"/>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734" w:hanging="734" w:hangingChars="306"/>
        <w:textAlignment w:val="baseline"/>
        <w:rPr>
          <w:rFonts w:ascii="微软雅黑" w:hAnsi="微软雅黑" w:eastAsia="微软雅黑" w:cs="微软雅黑"/>
          <w:sz w:val="24"/>
        </w:rPr>
      </w:pPr>
      <w:r>
        <w:rPr>
          <w:rFonts w:hint="eastAsia" w:ascii="微软雅黑" w:hAnsi="微软雅黑" w:eastAsia="微软雅黑" w:cs="微软雅黑"/>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ascii="微软雅黑" w:hAnsi="微软雅黑" w:eastAsia="微软雅黑" w:cs="微软雅黑"/>
          <w:sz w:val="24"/>
        </w:rPr>
      </w:pPr>
      <w:r>
        <w:rPr>
          <w:rFonts w:hint="eastAsia" w:ascii="微软雅黑" w:hAnsi="微软雅黑" w:eastAsia="微软雅黑" w:cs="微软雅黑"/>
          <w:sz w:val="24"/>
        </w:rPr>
        <w:t>以联合体形式参加磋商的，联合体任何成员存在以上不良信用记录的，联合体磋商将被认定为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2"/>
        <w:snapToGrid w:val="0"/>
        <w:spacing w:line="380" w:lineRule="exact"/>
        <w:ind w:left="850" w:hanging="849" w:hangingChars="354"/>
        <w:jc w:val="both"/>
        <w:textAlignment w:val="baseline"/>
        <w:rPr>
          <w:rFonts w:ascii="微软雅黑" w:hAnsi="微软雅黑" w:eastAsia="微软雅黑" w:cs="微软雅黑"/>
        </w:rPr>
      </w:pPr>
      <w:r>
        <w:rPr>
          <w:rFonts w:hint="eastAsia" w:ascii="微软雅黑" w:hAnsi="微软雅黑" w:eastAsia="微软雅黑" w:cs="微软雅黑"/>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2"/>
        <w:snapToGrid w:val="0"/>
        <w:spacing w:line="380" w:lineRule="exact"/>
        <w:ind w:firstLine="720" w:firstLineChars="300"/>
        <w:jc w:val="both"/>
        <w:textAlignment w:val="baseline"/>
        <w:rPr>
          <w:rFonts w:ascii="微软雅黑" w:hAnsi="微软雅黑" w:eastAsia="微软雅黑" w:cs="微软雅黑"/>
        </w:rPr>
      </w:pPr>
      <w:r>
        <w:rPr>
          <w:rFonts w:hint="eastAsia" w:ascii="微软雅黑" w:hAnsi="微软雅黑" w:eastAsia="微软雅黑" w:cs="微软雅黑"/>
        </w:rPr>
        <w:t>供应商自行提供的与网站信息不一致的其他证明材料亦不作为资格审查依据。</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19.3   </w:t>
      </w:r>
      <w:r>
        <w:rPr>
          <w:rFonts w:hint="eastAsia" w:ascii="微软雅黑" w:hAnsi="微软雅黑" w:eastAsia="微软雅黑" w:cs="微软雅黑"/>
          <w:b/>
          <w:bCs/>
          <w:sz w:val="24"/>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lang w:eastAsia="zh-CN"/>
        </w:rPr>
        <w:t>随机</w:t>
      </w:r>
      <w:r>
        <w:rPr>
          <w:rFonts w:hint="eastAsia" w:ascii="微软雅黑" w:hAnsi="微软雅黑" w:eastAsia="微软雅黑" w:cs="微软雅黑"/>
          <w:b/>
          <w:bCs/>
          <w:sz w:val="24"/>
        </w:rPr>
        <w:t>抽取</w:t>
      </w:r>
      <w:r>
        <w:rPr>
          <w:rFonts w:hint="eastAsia" w:ascii="微软雅黑" w:hAnsi="微软雅黑" w:eastAsia="微软雅黑" w:cs="微软雅黑"/>
          <w:b/>
          <w:bCs/>
          <w:sz w:val="24"/>
          <w:highlight w:val="yellow"/>
        </w:rPr>
        <w:t>3人</w:t>
      </w:r>
      <w:r>
        <w:rPr>
          <w:rFonts w:hint="eastAsia" w:ascii="微软雅黑" w:hAnsi="微软雅黑" w:eastAsia="微软雅黑" w:cs="微软雅黑"/>
          <w:b/>
          <w:bCs/>
          <w:sz w:val="24"/>
        </w:rPr>
        <w:t>，组成磋商小组，负责评审工作。</w:t>
      </w:r>
      <w:bookmarkStart w:id="299" w:name="_Toc520356166"/>
    </w:p>
    <w:p>
      <w:pPr>
        <w:pStyle w:val="5"/>
        <w:snapToGrid w:val="0"/>
        <w:spacing w:before="0" w:after="0" w:line="380" w:lineRule="exact"/>
        <w:textAlignment w:val="baseline"/>
        <w:rPr>
          <w:rFonts w:ascii="微软雅黑" w:hAnsi="微软雅黑" w:eastAsia="微软雅黑" w:cs="微软雅黑"/>
          <w:b w:val="0"/>
          <w:bCs/>
          <w:u w:color="000000"/>
          <w:bdr w:val="single" w:color="auto" w:sz="4" w:space="0"/>
        </w:rPr>
      </w:pPr>
      <w:bookmarkStart w:id="300" w:name="_Toc19949"/>
      <w:bookmarkStart w:id="301" w:name="_Toc656"/>
      <w:bookmarkStart w:id="302" w:name="_Toc515647781"/>
      <w:bookmarkStart w:id="303" w:name="_Toc27625"/>
      <w:bookmarkStart w:id="304" w:name="_Toc29043"/>
      <w:bookmarkStart w:id="305" w:name="_Toc15335"/>
      <w:bookmarkStart w:id="306" w:name="_Toc7742"/>
      <w:bookmarkStart w:id="307" w:name="_Toc5261"/>
      <w:bookmarkStart w:id="308" w:name="_Toc17520"/>
      <w:bookmarkStart w:id="309" w:name="_Toc28479"/>
      <w:bookmarkStart w:id="310" w:name="_Toc22740"/>
      <w:bookmarkStart w:id="311" w:name="_Toc29938"/>
      <w:bookmarkStart w:id="312" w:name="_Toc17557"/>
      <w:r>
        <w:rPr>
          <w:rFonts w:hint="eastAsia" w:ascii="微软雅黑" w:hAnsi="微软雅黑" w:eastAsia="微软雅黑" w:cs="微软雅黑"/>
          <w:u w:color="000000"/>
        </w:rPr>
        <w:t>20.</w:t>
      </w:r>
      <w:bookmarkEnd w:id="299"/>
      <w:r>
        <w:rPr>
          <w:rFonts w:hint="eastAsia" w:ascii="微软雅黑" w:hAnsi="微软雅黑" w:eastAsia="微软雅黑" w:cs="微软雅黑"/>
          <w:u w:color="000000"/>
        </w:rPr>
        <w:t>响应文件符合性审查与澄清</w:t>
      </w:r>
      <w:bookmarkEnd w:id="300"/>
      <w:bookmarkEnd w:id="301"/>
      <w:bookmarkEnd w:id="302"/>
      <w:bookmarkEnd w:id="303"/>
      <w:bookmarkEnd w:id="304"/>
      <w:bookmarkEnd w:id="305"/>
      <w:bookmarkEnd w:id="306"/>
      <w:bookmarkEnd w:id="307"/>
      <w:bookmarkEnd w:id="308"/>
      <w:bookmarkEnd w:id="309"/>
      <w:bookmarkEnd w:id="310"/>
      <w:bookmarkEnd w:id="311"/>
      <w:bookmarkEnd w:id="312"/>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20.1   符合性审查是指依据磋商文件的规定，从响应文件的有效性和完整性对磋商文件的响应程度进行审查，以确定是否对磋商文件的实质性要求做出响应。</w:t>
      </w:r>
      <w:bookmarkStart w:id="313" w:name="_Hlt522424701"/>
      <w:bookmarkEnd w:id="313"/>
      <w:bookmarkStart w:id="314" w:name="_Toc52035616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w:t>
      </w:r>
      <w:r>
        <w:rPr>
          <w:rFonts w:hint="eastAsia" w:ascii="微软雅黑" w:hAnsi="微软雅黑" w:eastAsia="微软雅黑" w:cs="微软雅黑"/>
          <w:sz w:val="24"/>
        </w:rPr>
        <w:tab/>
      </w:r>
      <w:r>
        <w:rPr>
          <w:rFonts w:hint="eastAsia" w:ascii="微软雅黑" w:hAnsi="微软雅黑" w:eastAsia="微软雅黑" w:cs="微软雅黑"/>
          <w:sz w:val="24"/>
        </w:rPr>
        <w:t>响应文件的澄清</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20.2.2  供应商的的澄清、说明或补正将作为响应文件的一部分。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20.3  响应文件报价出现前后不一致的，按照下列规定修正：</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（一）响应文件中</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（报价表）内容与响应文件中相应内容不一致的，以</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（报价表）为准；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（二）大写金额和小写金额不一致的，以大写金额为准；</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（三）单价金额小数点或者百分比有明显错位的，以</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的总价为准，并修改单价；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（四）总价金额与按单价汇总金额不一致的，以单价金额计算结果为准。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对不同文字文本响应文件的解释发生异议的，以中文文本为准。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pPr>
        <w:snapToGrid w:val="0"/>
        <w:spacing w:line="380" w:lineRule="exact"/>
        <w:ind w:left="900" w:hanging="900" w:hangingChars="375"/>
        <w:textAlignment w:val="baseline"/>
        <w:rPr>
          <w:rFonts w:ascii="微软雅黑" w:hAnsi="微软雅黑" w:eastAsia="微软雅黑" w:cs="微软雅黑"/>
          <w:sz w:val="24"/>
        </w:rPr>
      </w:pPr>
    </w:p>
    <w:p>
      <w:pPr>
        <w:pStyle w:val="5"/>
        <w:snapToGrid w:val="0"/>
        <w:spacing w:before="0" w:after="0" w:line="380" w:lineRule="exact"/>
        <w:textAlignment w:val="baseline"/>
        <w:rPr>
          <w:rFonts w:ascii="微软雅黑" w:hAnsi="微软雅黑" w:eastAsia="微软雅黑" w:cs="微软雅黑"/>
          <w:u w:color="000000"/>
        </w:rPr>
      </w:pPr>
      <w:bookmarkStart w:id="315" w:name="_Toc1939"/>
      <w:bookmarkStart w:id="316" w:name="_Toc30430"/>
      <w:bookmarkStart w:id="317" w:name="_Toc27164"/>
      <w:bookmarkStart w:id="318" w:name="_Toc6695"/>
      <w:bookmarkStart w:id="319" w:name="_Toc9469"/>
      <w:bookmarkStart w:id="320" w:name="_Toc515647782"/>
      <w:bookmarkStart w:id="321" w:name="_Toc6364"/>
      <w:bookmarkStart w:id="322" w:name="_Toc29782"/>
      <w:bookmarkStart w:id="323" w:name="_Toc12340"/>
      <w:bookmarkStart w:id="324" w:name="_Toc18843"/>
      <w:bookmarkStart w:id="325" w:name="_Toc18222"/>
      <w:bookmarkStart w:id="326" w:name="_Toc28934"/>
      <w:bookmarkStart w:id="327" w:name="_Toc14136"/>
      <w:r>
        <w:rPr>
          <w:rFonts w:hint="eastAsia" w:ascii="微软雅黑" w:hAnsi="微软雅黑" w:eastAsia="微软雅黑" w:cs="微软雅黑"/>
          <w:u w:color="000000"/>
        </w:rPr>
        <w:t>21.磋商偏离</w:t>
      </w:r>
      <w:bookmarkEnd w:id="315"/>
      <w:bookmarkEnd w:id="316"/>
      <w:bookmarkEnd w:id="317"/>
      <w:bookmarkEnd w:id="318"/>
      <w:bookmarkEnd w:id="319"/>
      <w:bookmarkEnd w:id="320"/>
      <w:bookmarkEnd w:id="321"/>
      <w:bookmarkEnd w:id="322"/>
      <w:bookmarkEnd w:id="323"/>
      <w:bookmarkEnd w:id="324"/>
      <w:bookmarkEnd w:id="325"/>
      <w:bookmarkEnd w:id="326"/>
      <w:bookmarkEnd w:id="327"/>
    </w:p>
    <w:p>
      <w:pPr>
        <w:snapToGrid w:val="0"/>
        <w:spacing w:line="380" w:lineRule="exact"/>
        <w:ind w:left="641" w:hanging="640" w:hangingChars="26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磋商小组可以接受响应文件中不构成实质性偏离的不正规或不一致。</w:t>
      </w:r>
    </w:p>
    <w:p>
      <w:pPr>
        <w:pStyle w:val="5"/>
        <w:snapToGrid w:val="0"/>
        <w:spacing w:before="0" w:after="0" w:line="380" w:lineRule="exact"/>
        <w:textAlignment w:val="baseline"/>
        <w:rPr>
          <w:rFonts w:ascii="微软雅黑" w:hAnsi="微软雅黑" w:eastAsia="微软雅黑" w:cs="微软雅黑"/>
          <w:u w:color="000000"/>
        </w:rPr>
      </w:pPr>
      <w:bookmarkStart w:id="328" w:name="_Toc515647783"/>
      <w:bookmarkStart w:id="329" w:name="_Toc28034"/>
      <w:bookmarkStart w:id="330" w:name="_Toc31191"/>
      <w:bookmarkStart w:id="331" w:name="_Toc9173"/>
      <w:bookmarkStart w:id="332" w:name="_Toc27546"/>
      <w:bookmarkStart w:id="333" w:name="_Toc30267"/>
      <w:bookmarkStart w:id="334" w:name="_Toc23480"/>
      <w:bookmarkStart w:id="335" w:name="_Toc108"/>
      <w:bookmarkStart w:id="336" w:name="_Toc13775"/>
      <w:bookmarkStart w:id="337" w:name="_Toc6092"/>
      <w:bookmarkStart w:id="338" w:name="_Toc16242"/>
      <w:bookmarkStart w:id="339" w:name="_Toc2275"/>
      <w:bookmarkStart w:id="340" w:name="_Toc4950"/>
      <w:r>
        <w:rPr>
          <w:rFonts w:hint="eastAsia" w:ascii="微软雅黑" w:hAnsi="微软雅黑" w:eastAsia="微软雅黑" w:cs="微软雅黑"/>
          <w:u w:color="000000"/>
        </w:rPr>
        <w:t>22.</w:t>
      </w:r>
      <w:bookmarkEnd w:id="328"/>
      <w:r>
        <w:rPr>
          <w:rFonts w:hint="eastAsia" w:ascii="微软雅黑" w:hAnsi="微软雅黑" w:eastAsia="微软雅黑" w:cs="微软雅黑"/>
          <w:u w:color="000000"/>
        </w:rPr>
        <w:t>磋商无效</w:t>
      </w:r>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。供应商不得通过修正或撤销不符合要求的偏离，从而使其磋商成为实质上响应的磋商。</w:t>
      </w:r>
    </w:p>
    <w:p>
      <w:pPr>
        <w:snapToGrid w:val="0"/>
        <w:spacing w:line="380" w:lineRule="exact"/>
        <w:ind w:left="957" w:leftChars="456"/>
        <w:textAlignment w:val="baseline"/>
        <w:rPr>
          <w:rFonts w:ascii="微软雅黑" w:hAnsi="微软雅黑" w:eastAsia="微软雅黑" w:cs="微软雅黑"/>
          <w:sz w:val="24"/>
        </w:rPr>
      </w:pPr>
      <w:r>
        <w:rPr>
          <w:rFonts w:hint="eastAsia" w:ascii="微软雅黑" w:hAnsi="微软雅黑" w:eastAsia="微软雅黑" w:cs="微软雅黑"/>
          <w:sz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22.2</w:t>
      </w:r>
      <w:r>
        <w:rPr>
          <w:rFonts w:hint="eastAsia" w:ascii="微软雅黑" w:hAnsi="微软雅黑" w:eastAsia="微软雅黑" w:cs="微软雅黑"/>
          <w:sz w:val="24"/>
        </w:rPr>
        <w:tab/>
      </w:r>
      <w:r>
        <w:rPr>
          <w:rFonts w:hint="eastAsia" w:ascii="微软雅黑" w:hAnsi="微软雅黑" w:eastAsia="微软雅黑" w:cs="微软雅黑"/>
          <w:b/>
          <w:bCs/>
          <w:sz w:val="24"/>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（1）未按磋商文件规定的形式和金额提交磋商保证金的；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（2）未按照磋商文件规定要求签署、盖章的；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（3）未满足磋商文件中技术条款的实质性要求；</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（4）与其他供应商串通磋商，或者与招标人串通磋商；</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（5）属于磋商文件规定的其他磋商无效情形；</w:t>
      </w:r>
    </w:p>
    <w:p>
      <w:pPr>
        <w:snapToGrid w:val="0"/>
        <w:spacing w:line="380" w:lineRule="exact"/>
        <w:ind w:left="1257" w:leftChars="370" w:hanging="480" w:hangingChars="2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（7）响应文件含有采购人不能接受的附加条件的；</w:t>
      </w:r>
    </w:p>
    <w:p>
      <w:pPr>
        <w:tabs>
          <w:tab w:val="left" w:pos="0"/>
        </w:tabs>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（8）不符合法规和磋商文件中规定的其他实质性要求的。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（1）供应商直接或者间接从采购人或者采购代理机构处获得其他供应商的相关情况并修改其响应文件或者响应文件；</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（2）供应商按照采购人或者采购代理机构的授意撤换、修改响应文件或者响应文件；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（3）供应商之间协商报价、技术方案等响应文件或者响应文件的实质性内容；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（4）属于同一集团、协会、商会等组织成员的供应商按照该组织要求协同参加政府采购活动；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（5）供应商之间事先约定由某一特定供应商中标、成交；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（6）供应商之间商定部分供应商放弃参加政府采购活动或者放弃中标、成交；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（7）供应商与采购人或者采购代理机构之间、供应商相互之间，为谋求特定供应商中标、成交或者排斥其他供应商的其他串通行为。</w:t>
      </w:r>
    </w:p>
    <w:p>
      <w:pPr>
        <w:pStyle w:val="5"/>
        <w:snapToGrid w:val="0"/>
        <w:spacing w:before="0" w:after="0" w:line="380" w:lineRule="exact"/>
        <w:textAlignment w:val="baseline"/>
        <w:rPr>
          <w:rFonts w:ascii="微软雅黑" w:hAnsi="微软雅黑" w:eastAsia="微软雅黑" w:cs="微软雅黑"/>
          <w:u w:color="000000"/>
        </w:rPr>
      </w:pPr>
      <w:bookmarkStart w:id="341" w:name="_Toc21841"/>
      <w:bookmarkStart w:id="342" w:name="_Toc515647784"/>
      <w:bookmarkStart w:id="343" w:name="_Toc13652"/>
      <w:bookmarkStart w:id="344" w:name="_Toc28827"/>
      <w:bookmarkStart w:id="345" w:name="_Toc22941"/>
      <w:bookmarkStart w:id="346" w:name="_Toc5075"/>
      <w:bookmarkStart w:id="347" w:name="_Toc22903"/>
      <w:bookmarkStart w:id="348" w:name="_Toc31440"/>
      <w:bookmarkStart w:id="349" w:name="_Toc4263"/>
      <w:bookmarkStart w:id="350" w:name="_Toc24201"/>
      <w:bookmarkStart w:id="351" w:name="_Toc30567"/>
      <w:bookmarkStart w:id="352" w:name="_Toc3834"/>
      <w:bookmarkStart w:id="353" w:name="_Toc6450"/>
      <w:r>
        <w:rPr>
          <w:rFonts w:hint="eastAsia" w:ascii="微软雅黑" w:hAnsi="微软雅黑" w:eastAsia="微软雅黑" w:cs="微软雅黑"/>
          <w:u w:color="000000"/>
        </w:rPr>
        <w:t>23.</w:t>
      </w:r>
      <w:bookmarkEnd w:id="314"/>
      <w:r>
        <w:rPr>
          <w:rFonts w:hint="eastAsia" w:ascii="微软雅黑" w:hAnsi="微软雅黑" w:eastAsia="微软雅黑" w:cs="微软雅黑"/>
          <w:u w:color="000000"/>
        </w:rPr>
        <w:t>比较与评价</w:t>
      </w:r>
      <w:bookmarkEnd w:id="341"/>
      <w:bookmarkEnd w:id="342"/>
      <w:bookmarkEnd w:id="343"/>
      <w:bookmarkEnd w:id="344"/>
      <w:bookmarkEnd w:id="345"/>
      <w:bookmarkEnd w:id="346"/>
      <w:bookmarkEnd w:id="347"/>
      <w:bookmarkEnd w:id="348"/>
      <w:bookmarkEnd w:id="349"/>
      <w:bookmarkEnd w:id="350"/>
      <w:bookmarkEnd w:id="351"/>
      <w:bookmarkEnd w:id="352"/>
      <w:bookmarkEnd w:id="35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23.1</w:t>
      </w:r>
      <w:r>
        <w:rPr>
          <w:rFonts w:hint="eastAsia" w:ascii="微软雅黑" w:hAnsi="微软雅黑" w:eastAsia="微软雅黑" w:cs="微软雅黑"/>
          <w:sz w:val="24"/>
        </w:rPr>
        <w:tab/>
      </w:r>
      <w:r>
        <w:rPr>
          <w:rFonts w:hint="eastAsia" w:ascii="微软雅黑" w:hAnsi="微软雅黑" w:eastAsia="微软雅黑" w:cs="微软雅黑"/>
          <w:sz w:val="24"/>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23.2  </w:t>
      </w:r>
      <w:r>
        <w:rPr>
          <w:rFonts w:hint="eastAsia" w:ascii="微软雅黑" w:hAnsi="微软雅黑" w:eastAsia="微软雅黑" w:cs="微软雅黑"/>
          <w:sz w:val="24"/>
        </w:rPr>
        <w:tab/>
      </w:r>
      <w:r>
        <w:rPr>
          <w:rFonts w:hint="eastAsia" w:ascii="微软雅黑" w:hAnsi="微软雅黑" w:eastAsia="微软雅黑" w:cs="微软雅黑"/>
          <w:sz w:val="24"/>
        </w:rPr>
        <w:t>评标严格按照磋商文件的要求和条件进行。根据实际情况，在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中规定采用下列一种评标方法，详细评标标准见磋商文件</w:t>
      </w:r>
      <w:r>
        <w:rPr>
          <w:rFonts w:hint="eastAsia" w:ascii="微软雅黑" w:hAnsi="微软雅黑" w:eastAsia="微软雅黑" w:cs="微软雅黑"/>
          <w:b/>
          <w:sz w:val="24"/>
        </w:rPr>
        <w:t>第六章：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综合评分法，是指响应文件满足磋商文件全部实质性要求，且按照评审因素的量化指标评审得分最高的供应商为成交候选人的评标方法。</w:t>
      </w:r>
    </w:p>
    <w:p>
      <w:pPr>
        <w:pStyle w:val="16"/>
        <w:snapToGrid w:val="0"/>
        <w:spacing w:line="380" w:lineRule="exact"/>
        <w:ind w:left="900" w:hanging="900" w:hangingChars="375"/>
        <w:textAlignment w:val="baseline"/>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23.3   </w:t>
      </w:r>
      <w:r>
        <w:rPr>
          <w:rFonts w:hint="eastAsia" w:ascii="微软雅黑" w:hAnsi="微软雅黑" w:eastAsia="微软雅黑" w:cs="微软雅黑"/>
          <w:b/>
          <w:bCs/>
          <w:sz w:val="24"/>
          <w:szCs w:val="24"/>
        </w:rPr>
        <w:t>根据《政府采购促进中小企业发展管理办法》（财库[2020]46号）、</w:t>
      </w:r>
    </w:p>
    <w:p>
      <w:pPr>
        <w:pStyle w:val="16"/>
        <w:snapToGrid w:val="0"/>
        <w:spacing w:line="380" w:lineRule="exact"/>
        <w:ind w:left="718" w:leftChars="342" w:firstLine="60" w:firstLineChars="25"/>
        <w:textAlignment w:val="baseline"/>
        <w:rPr>
          <w:rFonts w:ascii="微软雅黑" w:hAnsi="微软雅黑" w:eastAsia="微软雅黑" w:cs="微软雅黑"/>
          <w:sz w:val="24"/>
          <w:szCs w:val="24"/>
        </w:rPr>
      </w:pPr>
      <w:r>
        <w:rPr>
          <w:rFonts w:hint="eastAsia" w:ascii="微软雅黑" w:hAnsi="微软雅黑" w:eastAsia="微软雅黑" w:cs="微软雅黑"/>
          <w:b/>
          <w:bCs/>
          <w:sz w:val="24"/>
          <w:szCs w:val="24"/>
        </w:rPr>
        <w:t>《财政部 司法部关于政府采购支持监狱企业发展有关问题的通知》（财库〔2014〕68号）和《三部门联合发布关于促进残疾人就业政府采购政策的通知》（</w:t>
      </w:r>
      <w:bookmarkStart w:id="354" w:name="sendNo"/>
      <w:r>
        <w:rPr>
          <w:rFonts w:hint="eastAsia" w:ascii="微软雅黑" w:hAnsi="微软雅黑" w:eastAsia="微软雅黑" w:cs="微软雅黑"/>
          <w:b/>
          <w:bCs/>
          <w:sz w:val="24"/>
          <w:szCs w:val="24"/>
        </w:rPr>
        <w:t>财库〔</w:t>
      </w:r>
      <w:bookmarkEnd w:id="354"/>
      <w:r>
        <w:rPr>
          <w:rFonts w:hint="eastAsia" w:ascii="微软雅黑" w:hAnsi="微软雅黑" w:eastAsia="微软雅黑" w:cs="微软雅黑"/>
          <w:b/>
          <w:bCs/>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后参与评审。具体办法详见磋商文件第6章。</w:t>
      </w:r>
    </w:p>
    <w:p>
      <w:pPr>
        <w:pStyle w:val="5"/>
        <w:snapToGrid w:val="0"/>
        <w:spacing w:before="0" w:after="0" w:line="380" w:lineRule="exact"/>
        <w:textAlignment w:val="baseline"/>
        <w:rPr>
          <w:rFonts w:ascii="微软雅黑" w:hAnsi="微软雅黑" w:eastAsia="微软雅黑" w:cs="微软雅黑"/>
          <w:u w:color="000000"/>
        </w:rPr>
      </w:pPr>
      <w:bookmarkStart w:id="355" w:name="_Toc520356168"/>
      <w:bookmarkStart w:id="356" w:name="_Toc2218"/>
      <w:bookmarkStart w:id="357" w:name="_Toc17259"/>
      <w:bookmarkStart w:id="358" w:name="_Toc9378"/>
      <w:bookmarkStart w:id="359" w:name="_Toc14935"/>
      <w:bookmarkStart w:id="360" w:name="_Toc20227"/>
      <w:bookmarkStart w:id="361" w:name="_Toc28413"/>
      <w:bookmarkStart w:id="362" w:name="_Toc4586"/>
      <w:bookmarkStart w:id="363" w:name="_Toc515647785"/>
      <w:bookmarkStart w:id="364" w:name="_Toc16201"/>
      <w:bookmarkStart w:id="365" w:name="_Toc18922"/>
      <w:bookmarkStart w:id="366" w:name="_Toc2539"/>
      <w:bookmarkStart w:id="367" w:name="_Toc28843"/>
      <w:bookmarkStart w:id="368" w:name="_Toc6912"/>
      <w:r>
        <w:rPr>
          <w:rFonts w:hint="eastAsia" w:ascii="微软雅黑" w:hAnsi="微软雅黑" w:eastAsia="微软雅黑" w:cs="微软雅黑"/>
          <w:u w:color="000000"/>
        </w:rPr>
        <w:t>24</w:t>
      </w:r>
      <w:bookmarkEnd w:id="355"/>
      <w:r>
        <w:rPr>
          <w:rFonts w:hint="eastAsia" w:ascii="微软雅黑" w:hAnsi="微软雅黑" w:eastAsia="微软雅黑" w:cs="微软雅黑"/>
          <w:u w:color="000000"/>
        </w:rPr>
        <w:t>.废标</w:t>
      </w:r>
      <w:bookmarkEnd w:id="356"/>
      <w:bookmarkEnd w:id="357"/>
      <w:bookmarkEnd w:id="358"/>
      <w:bookmarkEnd w:id="359"/>
      <w:bookmarkEnd w:id="360"/>
      <w:bookmarkEnd w:id="361"/>
      <w:bookmarkEnd w:id="362"/>
      <w:bookmarkEnd w:id="363"/>
      <w:bookmarkEnd w:id="364"/>
      <w:bookmarkEnd w:id="365"/>
      <w:bookmarkEnd w:id="366"/>
      <w:bookmarkEnd w:id="367"/>
      <w:bookmarkEnd w:id="368"/>
    </w:p>
    <w:p>
      <w:pPr>
        <w:snapToGrid w:val="0"/>
        <w:spacing w:line="380" w:lineRule="exact"/>
        <w:ind w:left="239" w:leftChars="114" w:firstLine="660" w:firstLineChars="2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出现下列情形之一，将导致项目废标： </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（1）出现影响采购公正的违法、违规行为的；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（2）供应商的报价均超过了采购预算，采购人不能支付的；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（3）因重大变故，采购任务取消的。   </w:t>
      </w:r>
    </w:p>
    <w:p>
      <w:pPr>
        <w:pStyle w:val="5"/>
        <w:snapToGrid w:val="0"/>
        <w:spacing w:before="0" w:after="0" w:line="380" w:lineRule="exact"/>
        <w:textAlignment w:val="baseline"/>
        <w:rPr>
          <w:rFonts w:ascii="微软雅黑" w:hAnsi="微软雅黑" w:eastAsia="微软雅黑" w:cs="微软雅黑"/>
          <w:u w:color="000000"/>
        </w:rPr>
      </w:pPr>
      <w:bookmarkStart w:id="369" w:name="_Toc11249"/>
      <w:bookmarkStart w:id="370" w:name="_Toc8444"/>
      <w:bookmarkStart w:id="371" w:name="_Toc24972"/>
      <w:bookmarkStart w:id="372" w:name="_Toc8176"/>
      <w:bookmarkStart w:id="373" w:name="_Toc27162"/>
      <w:bookmarkStart w:id="374" w:name="_Toc23141"/>
      <w:bookmarkStart w:id="375" w:name="_Toc15505"/>
      <w:bookmarkStart w:id="376" w:name="_Toc515647786"/>
      <w:bookmarkStart w:id="377" w:name="_Toc4481"/>
      <w:bookmarkStart w:id="378" w:name="_Toc20205"/>
      <w:bookmarkStart w:id="379" w:name="_Toc25920"/>
      <w:bookmarkStart w:id="380" w:name="_Toc16978"/>
      <w:bookmarkStart w:id="381" w:name="_Toc31289"/>
      <w:bookmarkStart w:id="382" w:name="_Toc520356169"/>
      <w:r>
        <w:rPr>
          <w:rFonts w:hint="eastAsia" w:ascii="微软雅黑" w:hAnsi="微软雅黑" w:eastAsia="微软雅黑" w:cs="微软雅黑"/>
          <w:u w:color="000000"/>
        </w:rPr>
        <w:t>25.保密原则</w:t>
      </w:r>
      <w:bookmarkEnd w:id="369"/>
      <w:bookmarkEnd w:id="370"/>
      <w:bookmarkEnd w:id="371"/>
      <w:bookmarkEnd w:id="372"/>
      <w:bookmarkEnd w:id="373"/>
      <w:bookmarkEnd w:id="374"/>
      <w:bookmarkEnd w:id="375"/>
      <w:bookmarkEnd w:id="376"/>
      <w:bookmarkEnd w:id="377"/>
      <w:bookmarkEnd w:id="378"/>
      <w:bookmarkEnd w:id="379"/>
      <w:bookmarkEnd w:id="380"/>
      <w:bookmarkEnd w:id="3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评标将在严格保密的情况下进行。</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p>
      <w:pPr>
        <w:pStyle w:val="4"/>
        <w:snapToGrid w:val="0"/>
        <w:spacing w:before="0" w:line="380" w:lineRule="exact"/>
        <w:ind w:hanging="540"/>
        <w:textAlignment w:val="baseline"/>
        <w:rPr>
          <w:rFonts w:ascii="微软雅黑" w:hAnsi="微软雅黑" w:eastAsia="微软雅黑" w:cs="微软雅黑"/>
          <w:sz w:val="24"/>
        </w:rPr>
      </w:pPr>
      <w:bookmarkStart w:id="383" w:name="_Toc31195"/>
      <w:bookmarkStart w:id="384" w:name="_Toc515647787"/>
      <w:bookmarkStart w:id="385" w:name="_Toc23904"/>
      <w:bookmarkStart w:id="386" w:name="_Toc216582810"/>
      <w:bookmarkStart w:id="387" w:name="_Toc12143"/>
      <w:bookmarkStart w:id="388" w:name="_Toc31913"/>
      <w:bookmarkStart w:id="389" w:name="_Toc27482"/>
      <w:r>
        <w:rPr>
          <w:rFonts w:hint="eastAsia" w:ascii="微软雅黑" w:hAnsi="微软雅黑" w:eastAsia="微软雅黑" w:cs="微软雅黑"/>
          <w:sz w:val="24"/>
        </w:rPr>
        <w:t xml:space="preserve">六   </w:t>
      </w:r>
      <w:bookmarkEnd w:id="382"/>
      <w:r>
        <w:rPr>
          <w:rFonts w:hint="eastAsia" w:ascii="微软雅黑" w:hAnsi="微软雅黑" w:eastAsia="微软雅黑" w:cs="微软雅黑"/>
          <w:sz w:val="24"/>
        </w:rPr>
        <w:t>确定</w:t>
      </w:r>
      <w:bookmarkEnd w:id="383"/>
      <w:bookmarkEnd w:id="384"/>
      <w:bookmarkEnd w:id="385"/>
      <w:bookmarkEnd w:id="386"/>
      <w:bookmarkEnd w:id="387"/>
      <w:r>
        <w:rPr>
          <w:rFonts w:hint="eastAsia" w:ascii="微软雅黑" w:hAnsi="微软雅黑" w:eastAsia="微软雅黑" w:cs="微软雅黑"/>
          <w:sz w:val="24"/>
        </w:rPr>
        <w:t>成交</w:t>
      </w:r>
      <w:bookmarkEnd w:id="388"/>
      <w:bookmarkEnd w:id="389"/>
    </w:p>
    <w:p>
      <w:pPr>
        <w:pStyle w:val="2"/>
        <w:snapToGrid w:val="0"/>
        <w:spacing w:line="380" w:lineRule="exact"/>
        <w:ind w:firstLine="0"/>
        <w:textAlignment w:val="baseline"/>
        <w:rPr>
          <w:rFonts w:ascii="微软雅黑" w:hAnsi="微软雅黑" w:eastAsia="微软雅黑" w:cs="微软雅黑"/>
        </w:rPr>
      </w:pPr>
    </w:p>
    <w:p>
      <w:pPr>
        <w:pStyle w:val="5"/>
        <w:snapToGrid w:val="0"/>
        <w:spacing w:before="0" w:after="0" w:line="380" w:lineRule="exact"/>
        <w:textAlignment w:val="baseline"/>
        <w:rPr>
          <w:rFonts w:ascii="微软雅黑" w:hAnsi="微软雅黑" w:eastAsia="微软雅黑" w:cs="微软雅黑"/>
          <w:u w:color="000000"/>
        </w:rPr>
      </w:pPr>
      <w:bookmarkStart w:id="390" w:name="_Toc19391"/>
      <w:bookmarkStart w:id="391" w:name="_Toc23617"/>
      <w:bookmarkStart w:id="392" w:name="_Ref467307010"/>
      <w:bookmarkStart w:id="393" w:name="_Toc23762"/>
      <w:bookmarkStart w:id="394" w:name="_Toc10610"/>
      <w:bookmarkStart w:id="395" w:name="_Toc8936"/>
      <w:bookmarkStart w:id="396" w:name="_Toc4774"/>
      <w:bookmarkStart w:id="397" w:name="_Toc7632"/>
      <w:bookmarkStart w:id="398" w:name="_Toc515647788"/>
      <w:bookmarkStart w:id="399" w:name="_Toc20286"/>
      <w:bookmarkStart w:id="400" w:name="_Toc29606"/>
      <w:bookmarkStart w:id="401" w:name="_Toc15848"/>
      <w:bookmarkStart w:id="402" w:name="_Toc520356170"/>
      <w:bookmarkStart w:id="403" w:name="_Toc20156"/>
      <w:bookmarkStart w:id="404" w:name="_Toc10858"/>
      <w:r>
        <w:rPr>
          <w:rFonts w:hint="eastAsia" w:ascii="微软雅黑" w:hAnsi="微软雅黑" w:eastAsia="微软雅黑" w:cs="微软雅黑"/>
          <w:u w:color="000000"/>
        </w:rPr>
        <w:t>26.成交候选人的确定原则及标准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line="380" w:lineRule="exact"/>
        <w:ind w:firstLine="480" w:firstLineChars="200"/>
        <w:textAlignment w:val="baseline"/>
        <w:rPr>
          <w:rFonts w:ascii="微软雅黑" w:hAnsi="微软雅黑" w:eastAsia="微软雅黑" w:cs="微软雅黑"/>
          <w:sz w:val="24"/>
        </w:rPr>
      </w:pPr>
      <w:bookmarkStart w:id="405" w:name="_Toc520356171"/>
      <w:bookmarkStart w:id="406" w:name="_Toc515647789"/>
      <w:r>
        <w:rPr>
          <w:rFonts w:hint="eastAsia" w:ascii="微软雅黑" w:hAnsi="微软雅黑" w:eastAsia="微软雅黑" w:cs="微软雅黑"/>
          <w:sz w:val="24"/>
        </w:rPr>
        <w:t>对实质上响应磋商文件的供应商按下列方法进行排序，确定投标候选人：</w:t>
      </w:r>
    </w:p>
    <w:p>
      <w:pPr>
        <w:snapToGrid w:val="0"/>
        <w:spacing w:line="380" w:lineRule="exact"/>
        <w:ind w:left="478" w:leftChars="228"/>
        <w:textAlignment w:val="baseline"/>
        <w:rPr>
          <w:rFonts w:ascii="微软雅黑" w:hAnsi="微软雅黑" w:eastAsia="微软雅黑" w:cs="微软雅黑"/>
          <w:sz w:val="24"/>
        </w:rPr>
      </w:pPr>
      <w:r>
        <w:rPr>
          <w:rFonts w:hint="eastAsia" w:ascii="微软雅黑" w:hAnsi="微软雅黑" w:eastAsia="微软雅黑" w:cs="微软雅黑"/>
          <w:sz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ascii="微软雅黑" w:hAnsi="微软雅黑" w:eastAsia="微软雅黑" w:cs="微软雅黑"/>
          <w:b/>
          <w:bCs/>
          <w:color w:val="auto"/>
          <w:sz w:val="24"/>
          <w:highlight w:val="yellow"/>
        </w:rPr>
      </w:pPr>
      <w:r>
        <w:rPr>
          <w:rFonts w:hint="eastAsia" w:ascii="微软雅黑" w:hAnsi="微软雅黑" w:eastAsia="微软雅黑" w:cs="微软雅黑"/>
          <w:b/>
          <w:bCs/>
          <w:sz w:val="24"/>
          <w:highlight w:val="none"/>
        </w:rPr>
        <w:t>本项目采用综合评分</w:t>
      </w:r>
      <w:r>
        <w:rPr>
          <w:rFonts w:hint="eastAsia" w:ascii="微软雅黑" w:hAnsi="微软雅黑" w:eastAsia="微软雅黑" w:cs="微软雅黑"/>
          <w:b/>
          <w:bCs/>
          <w:color w:val="auto"/>
          <w:sz w:val="24"/>
          <w:highlight w:val="none"/>
        </w:rPr>
        <w:t>法，其中价格占</w:t>
      </w:r>
      <w:r>
        <w:rPr>
          <w:rFonts w:hint="eastAsia" w:ascii="微软雅黑" w:hAnsi="微软雅黑" w:eastAsia="微软雅黑" w:cs="微软雅黑"/>
          <w:b/>
          <w:bCs/>
          <w:color w:val="auto"/>
          <w:sz w:val="24"/>
          <w:highlight w:val="none"/>
          <w:lang w:val="en-US" w:eastAsia="zh-CN"/>
        </w:rPr>
        <w:t>20</w:t>
      </w:r>
      <w:r>
        <w:rPr>
          <w:rFonts w:hint="eastAsia" w:ascii="微软雅黑" w:hAnsi="微软雅黑" w:eastAsia="微软雅黑" w:cs="微软雅黑"/>
          <w:b/>
          <w:bCs/>
          <w:color w:val="auto"/>
          <w:sz w:val="24"/>
          <w:highlight w:val="none"/>
        </w:rPr>
        <w:t>%，技术</w:t>
      </w:r>
      <w:r>
        <w:rPr>
          <w:rFonts w:hint="eastAsia" w:ascii="微软雅黑" w:hAnsi="微软雅黑" w:eastAsia="微软雅黑" w:cs="微软雅黑"/>
          <w:b/>
          <w:bCs/>
          <w:color w:val="auto"/>
          <w:sz w:val="24"/>
          <w:highlight w:val="none"/>
          <w:lang w:eastAsia="zh-CN"/>
        </w:rPr>
        <w:t>商务</w:t>
      </w:r>
      <w:r>
        <w:rPr>
          <w:rFonts w:hint="eastAsia" w:ascii="微软雅黑" w:hAnsi="微软雅黑" w:eastAsia="微软雅黑" w:cs="微软雅黑"/>
          <w:b/>
          <w:bCs/>
          <w:color w:val="auto"/>
          <w:sz w:val="24"/>
          <w:highlight w:val="none"/>
        </w:rPr>
        <w:t>占</w:t>
      </w:r>
      <w:r>
        <w:rPr>
          <w:rFonts w:hint="eastAsia" w:ascii="微软雅黑" w:hAnsi="微软雅黑" w:eastAsia="微软雅黑" w:cs="微软雅黑"/>
          <w:b/>
          <w:bCs/>
          <w:color w:val="auto"/>
          <w:sz w:val="24"/>
          <w:highlight w:val="none"/>
          <w:lang w:val="en-US" w:eastAsia="zh-CN"/>
        </w:rPr>
        <w:t>80</w:t>
      </w:r>
      <w:r>
        <w:rPr>
          <w:rFonts w:hint="eastAsia" w:ascii="微软雅黑" w:hAnsi="微软雅黑" w:eastAsia="微软雅黑" w:cs="微软雅黑"/>
          <w:b/>
          <w:bCs/>
          <w:color w:val="auto"/>
          <w:sz w:val="24"/>
          <w:highlight w:val="none"/>
        </w:rPr>
        <w:t>%。</w:t>
      </w:r>
    </w:p>
    <w:p>
      <w:pPr>
        <w:pStyle w:val="5"/>
        <w:tabs>
          <w:tab w:val="left" w:pos="900"/>
        </w:tabs>
        <w:snapToGrid w:val="0"/>
        <w:spacing w:before="0" w:after="0" w:line="380" w:lineRule="exact"/>
        <w:textAlignment w:val="baseline"/>
        <w:rPr>
          <w:rFonts w:ascii="微软雅黑" w:hAnsi="微软雅黑" w:eastAsia="微软雅黑" w:cs="微软雅黑"/>
          <w:color w:val="auto"/>
          <w:u w:color="000000"/>
        </w:rPr>
      </w:pPr>
      <w:bookmarkStart w:id="407" w:name="_Toc17933"/>
      <w:bookmarkStart w:id="408" w:name="_Toc9653"/>
      <w:bookmarkStart w:id="409" w:name="_Toc23951"/>
      <w:bookmarkStart w:id="410" w:name="_Toc24948"/>
      <w:bookmarkStart w:id="411" w:name="_Toc17164"/>
      <w:bookmarkStart w:id="412" w:name="_Toc1227"/>
      <w:bookmarkStart w:id="413" w:name="_Toc16846"/>
      <w:bookmarkStart w:id="414" w:name="_Toc1644"/>
      <w:bookmarkStart w:id="415" w:name="_Toc5598"/>
      <w:bookmarkStart w:id="416" w:name="_Toc28088"/>
      <w:bookmarkStart w:id="417" w:name="_Toc3720"/>
      <w:bookmarkStart w:id="418" w:name="_Toc14558"/>
      <w:r>
        <w:rPr>
          <w:rFonts w:hint="eastAsia" w:ascii="微软雅黑" w:hAnsi="微软雅黑" w:eastAsia="微软雅黑" w:cs="微软雅黑"/>
          <w:color w:val="auto"/>
          <w:u w:color="000000"/>
        </w:rPr>
        <w:t>27</w:t>
      </w:r>
      <w:bookmarkEnd w:id="405"/>
      <w:r>
        <w:rPr>
          <w:rFonts w:hint="eastAsia" w:ascii="微软雅黑" w:hAnsi="微软雅黑" w:eastAsia="微软雅黑" w:cs="微软雅黑"/>
          <w:color w:val="auto"/>
          <w:u w:color="000000"/>
        </w:rPr>
        <w:t>.确定成交候选人和</w:t>
      </w:r>
      <w:bookmarkEnd w:id="406"/>
      <w:bookmarkEnd w:id="407"/>
      <w:bookmarkEnd w:id="408"/>
      <w:bookmarkEnd w:id="409"/>
      <w:r>
        <w:rPr>
          <w:rFonts w:hint="eastAsia" w:ascii="微软雅黑" w:hAnsi="微软雅黑" w:eastAsia="微软雅黑" w:cs="微软雅黑"/>
          <w:color w:val="auto"/>
          <w:u w:color="000000"/>
        </w:rPr>
        <w:t>成交人</w:t>
      </w:r>
      <w:bookmarkEnd w:id="410"/>
      <w:bookmarkEnd w:id="411"/>
      <w:bookmarkEnd w:id="412"/>
      <w:bookmarkEnd w:id="413"/>
      <w:bookmarkEnd w:id="414"/>
      <w:bookmarkEnd w:id="415"/>
      <w:bookmarkEnd w:id="416"/>
      <w:bookmarkEnd w:id="417"/>
      <w:bookmarkEnd w:id="418"/>
    </w:p>
    <w:p>
      <w:pPr>
        <w:snapToGrid w:val="0"/>
        <w:spacing w:line="380" w:lineRule="exact"/>
        <w:ind w:left="898" w:leftChars="342"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磋商小组将根据评标标准，按</w:t>
      </w:r>
      <w:r>
        <w:rPr>
          <w:rFonts w:hint="eastAsia" w:ascii="微软雅黑" w:hAnsi="微软雅黑" w:eastAsia="微软雅黑" w:cs="微软雅黑"/>
          <w:sz w:val="24"/>
          <w:u w:val="single" w:color="000000"/>
        </w:rPr>
        <w:t>供应商须知资料表中</w:t>
      </w:r>
      <w:r>
        <w:rPr>
          <w:rFonts w:hint="eastAsia" w:ascii="微软雅黑" w:hAnsi="微软雅黑" w:eastAsia="微软雅黑" w:cs="微软雅黑"/>
          <w:sz w:val="24"/>
        </w:rPr>
        <w:t>规定数量推荐成交候选人；或根据采购人的委托，直接确定成交人。</w:t>
      </w: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419" w:name="_Toc520356173"/>
      <w:bookmarkStart w:id="420" w:name="_Ref467306874"/>
      <w:bookmarkStart w:id="421" w:name="_Toc8389"/>
      <w:bookmarkStart w:id="422" w:name="_Toc12652"/>
      <w:bookmarkStart w:id="423" w:name="_Toc7729"/>
      <w:bookmarkStart w:id="424" w:name="_Toc4233"/>
      <w:bookmarkStart w:id="425" w:name="_Toc2091"/>
      <w:bookmarkStart w:id="426" w:name="_Toc249"/>
      <w:bookmarkStart w:id="427" w:name="_Toc515647790"/>
      <w:bookmarkStart w:id="428" w:name="_Toc27133"/>
      <w:bookmarkStart w:id="429" w:name="_Toc20633"/>
      <w:bookmarkStart w:id="430" w:name="_Toc28562"/>
      <w:bookmarkStart w:id="431" w:name="_Toc27036"/>
      <w:bookmarkStart w:id="432" w:name="_Toc24602"/>
      <w:bookmarkStart w:id="433" w:name="_Toc27308"/>
      <w:r>
        <w:rPr>
          <w:rFonts w:hint="eastAsia" w:ascii="微软雅黑" w:hAnsi="微软雅黑" w:eastAsia="微软雅黑" w:cs="微软雅黑"/>
          <w:u w:color="000000"/>
        </w:rPr>
        <w:t>28.</w:t>
      </w:r>
      <w:bookmarkEnd w:id="419"/>
      <w:bookmarkEnd w:id="420"/>
      <w:r>
        <w:rPr>
          <w:rFonts w:hint="eastAsia" w:ascii="微软雅黑" w:hAnsi="微软雅黑" w:eastAsia="微软雅黑" w:cs="微软雅黑"/>
          <w:u w:color="000000"/>
        </w:rPr>
        <w:t>采购任务取消</w:t>
      </w:r>
      <w:bookmarkEnd w:id="421"/>
      <w:bookmarkEnd w:id="422"/>
      <w:bookmarkEnd w:id="423"/>
      <w:bookmarkEnd w:id="424"/>
      <w:bookmarkEnd w:id="425"/>
      <w:bookmarkEnd w:id="426"/>
      <w:bookmarkEnd w:id="427"/>
      <w:bookmarkEnd w:id="428"/>
      <w:bookmarkEnd w:id="429"/>
      <w:bookmarkEnd w:id="430"/>
      <w:bookmarkEnd w:id="431"/>
      <w:bookmarkEnd w:id="432"/>
      <w:bookmarkEnd w:id="43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因重大变故采购任务取消时，采购人有权拒绝任何供应商成交，且对受影响的供应商不承担任何责任。</w:t>
      </w:r>
      <w:bookmarkStart w:id="434" w:name="_Toc520356174"/>
    </w:p>
    <w:p>
      <w:pPr>
        <w:pStyle w:val="5"/>
        <w:snapToGrid w:val="0"/>
        <w:spacing w:before="0" w:after="0" w:line="380" w:lineRule="exact"/>
        <w:textAlignment w:val="baseline"/>
        <w:rPr>
          <w:rFonts w:ascii="微软雅黑" w:hAnsi="微软雅黑" w:eastAsia="微软雅黑" w:cs="微软雅黑"/>
          <w:u w:color="000000"/>
        </w:rPr>
      </w:pPr>
      <w:bookmarkStart w:id="435" w:name="_Toc7938"/>
      <w:bookmarkStart w:id="436" w:name="_Toc6223"/>
      <w:bookmarkStart w:id="437" w:name="_Toc27516"/>
      <w:bookmarkStart w:id="438" w:name="_Toc29249"/>
      <w:bookmarkStart w:id="439" w:name="_Toc26091"/>
      <w:bookmarkStart w:id="440" w:name="_Toc2401"/>
      <w:bookmarkStart w:id="441" w:name="_Toc15270"/>
      <w:bookmarkStart w:id="442" w:name="_Toc25567"/>
      <w:bookmarkStart w:id="443" w:name="_Toc30170"/>
      <w:bookmarkStart w:id="444" w:name="_Toc11134"/>
      <w:bookmarkStart w:id="445" w:name="_Toc515647791"/>
      <w:bookmarkStart w:id="446" w:name="_Toc31099"/>
      <w:bookmarkStart w:id="447" w:name="_Toc20620"/>
      <w:r>
        <w:rPr>
          <w:rFonts w:hint="eastAsia" w:ascii="微软雅黑" w:hAnsi="微软雅黑" w:eastAsia="微软雅黑" w:cs="微软雅黑"/>
          <w:u w:color="000000"/>
        </w:rPr>
        <w:t>29.</w:t>
      </w:r>
      <w:bookmarkEnd w:id="434"/>
      <w:r>
        <w:rPr>
          <w:rFonts w:hint="eastAsia" w:ascii="微软雅黑" w:hAnsi="微软雅黑" w:eastAsia="微软雅黑" w:cs="微软雅黑"/>
          <w:u w:color="000000"/>
        </w:rPr>
        <w:t>成交通知书和招标结果通知书</w:t>
      </w:r>
      <w:bookmarkEnd w:id="435"/>
      <w:bookmarkEnd w:id="436"/>
      <w:bookmarkEnd w:id="437"/>
      <w:bookmarkEnd w:id="438"/>
      <w:bookmarkEnd w:id="439"/>
      <w:bookmarkEnd w:id="440"/>
      <w:bookmarkEnd w:id="441"/>
      <w:bookmarkEnd w:id="442"/>
      <w:bookmarkEnd w:id="443"/>
      <w:bookmarkEnd w:id="444"/>
      <w:bookmarkEnd w:id="445"/>
      <w:bookmarkEnd w:id="446"/>
      <w:bookmarkEnd w:id="4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成交通知书是合同的组成部分。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29.3    招标结果通知书和成交通知书同时发出。招标结果通知书中将告知未通过资格审查的供应商未通过的原因；采用综合评分法评审的，还将告知未成交人本人的评审得分和排序。</w:t>
      </w:r>
    </w:p>
    <w:p>
      <w:pPr>
        <w:pStyle w:val="5"/>
        <w:snapToGrid w:val="0"/>
        <w:spacing w:before="0" w:after="0" w:line="380" w:lineRule="exact"/>
        <w:textAlignment w:val="baseline"/>
        <w:rPr>
          <w:rFonts w:ascii="微软雅黑" w:hAnsi="微软雅黑" w:eastAsia="微软雅黑" w:cs="微软雅黑"/>
        </w:rPr>
      </w:pPr>
      <w:bookmarkStart w:id="448" w:name="_Toc29762"/>
      <w:bookmarkStart w:id="449" w:name="_Toc20587"/>
      <w:bookmarkStart w:id="450" w:name="_Toc22868"/>
      <w:bookmarkStart w:id="451" w:name="_Toc4784"/>
      <w:bookmarkStart w:id="452" w:name="_Toc19431"/>
      <w:bookmarkStart w:id="453" w:name="_Ref467307062"/>
      <w:bookmarkStart w:id="454" w:name="_Toc307"/>
      <w:bookmarkStart w:id="455" w:name="_Toc1076"/>
      <w:bookmarkStart w:id="456" w:name="_Ref467306377"/>
      <w:bookmarkStart w:id="457" w:name="_Toc15063"/>
      <w:bookmarkStart w:id="458" w:name="_Toc11296"/>
      <w:bookmarkStart w:id="459" w:name="_Toc790"/>
      <w:bookmarkStart w:id="460" w:name="_Toc515647792"/>
      <w:bookmarkStart w:id="461" w:name="_Ref467306978"/>
      <w:bookmarkStart w:id="462" w:name="_Ref467307204"/>
      <w:bookmarkStart w:id="463" w:name="_Toc8912"/>
      <w:bookmarkStart w:id="464" w:name="_Toc7779"/>
      <w:bookmarkStart w:id="465" w:name="_Toc520356175"/>
      <w:r>
        <w:rPr>
          <w:rFonts w:hint="eastAsia" w:ascii="微软雅黑" w:hAnsi="微软雅黑" w:eastAsia="微软雅黑" w:cs="微软雅黑"/>
        </w:rPr>
        <w:t>30.签订合同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成交人应当自发出成交通知书之日起30日内，与采购人签订合同。</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466" w:name="_Ref467306425"/>
      <w:bookmarkStart w:id="467" w:name="_Toc520356176"/>
      <w:bookmarkStart w:id="468" w:name="_Ref467307090"/>
      <w:r>
        <w:rPr>
          <w:rFonts w:hint="eastAsia" w:ascii="微软雅黑" w:hAnsi="微软雅黑" w:eastAsia="微软雅黑" w:cs="微软雅黑"/>
          <w:sz w:val="24"/>
        </w:rPr>
        <w:t>磋商文件、成交人的响应文件及其澄清文件等，均为签订合同的依据。</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30.4   当出现法规规定的成交无效或成交结果无效情形时，采购人可与排名下一位的成交候选人另行签订合同，或依法重新开展采购活动。</w:t>
      </w:r>
    </w:p>
    <w:p>
      <w:pPr>
        <w:pStyle w:val="5"/>
        <w:snapToGrid w:val="0"/>
        <w:spacing w:before="0" w:after="0" w:line="380" w:lineRule="exact"/>
        <w:textAlignment w:val="baseline"/>
        <w:rPr>
          <w:rFonts w:ascii="微软雅黑" w:hAnsi="微软雅黑" w:eastAsia="微软雅黑" w:cs="微软雅黑"/>
        </w:rPr>
      </w:pPr>
      <w:bookmarkStart w:id="469" w:name="_Toc15573"/>
      <w:bookmarkStart w:id="470" w:name="_Toc14839"/>
      <w:bookmarkStart w:id="471" w:name="_Toc14130"/>
      <w:bookmarkStart w:id="472" w:name="_Toc26893"/>
      <w:bookmarkStart w:id="473" w:name="_Toc22555"/>
      <w:bookmarkStart w:id="474" w:name="_Toc22126"/>
      <w:bookmarkStart w:id="475" w:name="_Toc10911"/>
      <w:bookmarkStart w:id="476" w:name="_Toc515647793"/>
      <w:bookmarkStart w:id="477" w:name="_Toc14080"/>
      <w:bookmarkStart w:id="478" w:name="_Toc32532"/>
      <w:bookmarkStart w:id="479" w:name="_Toc5437"/>
      <w:bookmarkStart w:id="480" w:name="_Toc24808"/>
      <w:bookmarkStart w:id="481" w:name="_Toc6921"/>
      <w:r>
        <w:rPr>
          <w:rFonts w:hint="eastAsia" w:ascii="微软雅黑" w:hAnsi="微软雅黑" w:eastAsia="微软雅黑" w:cs="微软雅黑"/>
        </w:rPr>
        <w:t>31.履约保证金</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31.1</w:t>
      </w:r>
      <w:r>
        <w:rPr>
          <w:rFonts w:hint="eastAsia" w:ascii="微软雅黑" w:hAnsi="微软雅黑" w:eastAsia="微软雅黑" w:cs="微软雅黑"/>
          <w:sz w:val="24"/>
        </w:rPr>
        <w:tab/>
      </w:r>
      <w:r>
        <w:rPr>
          <w:rFonts w:hint="eastAsia" w:ascii="微软雅黑" w:hAnsi="微软雅黑" w:eastAsia="微软雅黑" w:cs="微软雅黑"/>
          <w:sz w:val="24"/>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31.2</w:t>
      </w:r>
      <w:r>
        <w:rPr>
          <w:rFonts w:hint="eastAsia" w:ascii="微软雅黑" w:hAnsi="微软雅黑" w:eastAsia="微软雅黑" w:cs="微软雅黑"/>
          <w:sz w:val="24"/>
        </w:rPr>
        <w:tab/>
      </w:r>
      <w:r>
        <w:rPr>
          <w:rFonts w:hint="eastAsia" w:ascii="微软雅黑" w:hAnsi="微软雅黑" w:eastAsia="微软雅黑" w:cs="微软雅黑"/>
          <w:sz w:val="24"/>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ascii="微软雅黑" w:hAnsi="微软雅黑" w:eastAsia="微软雅黑" w:cs="微软雅黑"/>
          <w:bCs/>
          <w:sz w:val="24"/>
          <w:u w:val="single" w:color="000000"/>
        </w:rPr>
      </w:pPr>
      <w:bookmarkStart w:id="482" w:name="_Toc14350"/>
      <w:bookmarkStart w:id="483" w:name="_Toc7088"/>
      <w:bookmarkStart w:id="484" w:name="_Toc32107"/>
      <w:bookmarkStart w:id="485" w:name="_Toc5352"/>
      <w:bookmarkStart w:id="486" w:name="_Toc13783"/>
      <w:bookmarkStart w:id="487" w:name="_Toc864"/>
      <w:bookmarkStart w:id="488" w:name="_Toc1888"/>
      <w:r>
        <w:rPr>
          <w:rFonts w:hint="eastAsia" w:ascii="微软雅黑" w:hAnsi="微软雅黑" w:eastAsia="微软雅黑" w:cs="微软雅黑"/>
          <w:sz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rPr>
        <w:t>人为成交人，也可以重新开展采购活动。</w:t>
      </w:r>
      <w:bookmarkEnd w:id="482"/>
      <w:bookmarkEnd w:id="483"/>
      <w:bookmarkEnd w:id="484"/>
      <w:bookmarkEnd w:id="485"/>
      <w:bookmarkEnd w:id="486"/>
      <w:bookmarkEnd w:id="487"/>
      <w:bookmarkEnd w:id="488"/>
    </w:p>
    <w:p>
      <w:pPr>
        <w:pStyle w:val="5"/>
        <w:snapToGrid w:val="0"/>
        <w:spacing w:before="0" w:after="0" w:line="380" w:lineRule="exact"/>
        <w:textAlignment w:val="baseline"/>
        <w:rPr>
          <w:rFonts w:ascii="微软雅黑" w:hAnsi="微软雅黑" w:eastAsia="微软雅黑" w:cs="微软雅黑"/>
        </w:rPr>
      </w:pPr>
      <w:bookmarkStart w:id="489" w:name="_Toc3090"/>
      <w:bookmarkStart w:id="490" w:name="_Toc27934"/>
      <w:bookmarkStart w:id="491" w:name="_Toc23392"/>
      <w:bookmarkStart w:id="492" w:name="_Toc29824"/>
      <w:bookmarkStart w:id="493" w:name="_Toc29652"/>
      <w:bookmarkStart w:id="494" w:name="_Toc29408"/>
      <w:bookmarkStart w:id="495" w:name="_Toc26452"/>
      <w:bookmarkStart w:id="496" w:name="_Toc11939"/>
      <w:bookmarkStart w:id="497" w:name="_Toc31215"/>
      <w:bookmarkStart w:id="498" w:name="_Toc16384"/>
      <w:bookmarkStart w:id="499" w:name="_Toc515647794"/>
      <w:bookmarkStart w:id="500" w:name="_Toc10734"/>
      <w:bookmarkStart w:id="501" w:name="_Toc12971"/>
      <w:r>
        <w:rPr>
          <w:rFonts w:hint="eastAsia" w:ascii="微软雅黑" w:hAnsi="微软雅黑" w:eastAsia="微软雅黑" w:cs="微软雅黑"/>
        </w:rPr>
        <w:t>32.成交服务费</w:t>
      </w:r>
      <w:bookmarkEnd w:id="489"/>
      <w:bookmarkEnd w:id="490"/>
      <w:bookmarkEnd w:id="491"/>
      <w:bookmarkEnd w:id="492"/>
      <w:bookmarkEnd w:id="493"/>
      <w:bookmarkEnd w:id="494"/>
      <w:bookmarkEnd w:id="495"/>
      <w:bookmarkEnd w:id="496"/>
      <w:bookmarkEnd w:id="497"/>
      <w:bookmarkEnd w:id="498"/>
      <w:bookmarkEnd w:id="499"/>
      <w:bookmarkEnd w:id="500"/>
      <w:bookmarkEnd w:id="501"/>
    </w:p>
    <w:p>
      <w:pPr>
        <w:snapToGrid w:val="0"/>
        <w:spacing w:line="380" w:lineRule="exact"/>
        <w:jc w:val="left"/>
        <w:textAlignment w:val="baseline"/>
        <w:rPr>
          <w:rFonts w:ascii="微软雅黑" w:hAnsi="微软雅黑" w:eastAsia="微软雅黑" w:cs="微软雅黑"/>
          <w:bCs/>
          <w:sz w:val="24"/>
        </w:rPr>
      </w:pPr>
      <w:r>
        <w:rPr>
          <w:rFonts w:hint="eastAsia" w:ascii="微软雅黑" w:hAnsi="微软雅黑" w:eastAsia="微软雅黑" w:cs="微软雅黑"/>
          <w:bCs/>
          <w:sz w:val="24"/>
        </w:rPr>
        <w:t xml:space="preserve">   </w:t>
      </w:r>
      <w:bookmarkStart w:id="502" w:name="_Toc2958"/>
      <w:bookmarkStart w:id="503" w:name="_Toc3808"/>
      <w:bookmarkStart w:id="504" w:name="_Toc30095"/>
      <w:bookmarkStart w:id="505" w:name="_Toc30285"/>
      <w:bookmarkStart w:id="506" w:name="_Toc6649"/>
      <w:bookmarkStart w:id="507" w:name="_Toc31147"/>
      <w:bookmarkStart w:id="508" w:name="_Toc23886"/>
      <w:r>
        <w:rPr>
          <w:rFonts w:hint="eastAsia" w:ascii="微软雅黑" w:hAnsi="微软雅黑" w:eastAsia="微软雅黑" w:cs="微软雅黑"/>
          <w:bCs/>
          <w:sz w:val="24"/>
        </w:rPr>
        <w:t xml:space="preserve">   成交人须按照磋商须知资料表规定，向采购代理机构支付成交服务费。</w:t>
      </w:r>
      <w:bookmarkEnd w:id="502"/>
      <w:bookmarkEnd w:id="503"/>
      <w:bookmarkEnd w:id="504"/>
      <w:bookmarkEnd w:id="505"/>
      <w:bookmarkEnd w:id="506"/>
      <w:bookmarkEnd w:id="507"/>
      <w:bookmarkEnd w:id="508"/>
    </w:p>
    <w:p>
      <w:pPr>
        <w:pStyle w:val="5"/>
        <w:snapToGrid w:val="0"/>
        <w:spacing w:before="0" w:after="0" w:line="380" w:lineRule="exact"/>
        <w:textAlignment w:val="baseline"/>
        <w:rPr>
          <w:rFonts w:ascii="微软雅黑" w:hAnsi="微软雅黑" w:eastAsia="微软雅黑" w:cs="微软雅黑"/>
        </w:rPr>
      </w:pPr>
      <w:bookmarkStart w:id="509" w:name="_Toc6923"/>
      <w:bookmarkStart w:id="510" w:name="_Toc24064"/>
      <w:bookmarkStart w:id="511" w:name="_Toc31549"/>
      <w:bookmarkStart w:id="512" w:name="_Toc15699"/>
      <w:bookmarkStart w:id="513" w:name="_Toc32437"/>
      <w:bookmarkStart w:id="514" w:name="_Toc18898"/>
      <w:bookmarkStart w:id="515" w:name="_Toc515647795"/>
      <w:bookmarkStart w:id="516" w:name="_Toc1343"/>
      <w:bookmarkStart w:id="517" w:name="_Toc5403"/>
      <w:bookmarkStart w:id="518" w:name="_Toc17159"/>
      <w:bookmarkStart w:id="519" w:name="_Toc26134"/>
      <w:bookmarkStart w:id="520" w:name="_Toc28128"/>
      <w:bookmarkStart w:id="521" w:name="_Toc7049"/>
      <w:r>
        <w:rPr>
          <w:rFonts w:hint="eastAsia" w:ascii="微软雅黑" w:hAnsi="微软雅黑" w:eastAsia="微软雅黑" w:cs="微软雅黑"/>
        </w:rPr>
        <w:t>33.政府采购信用担保</w:t>
      </w:r>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33.1   本项目是否属于信用担保试点范围见供应商须知资料表。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33.2.1 供应商递交的磋商担保函和履约担保函应符合本磋商文件的规定。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33.2.2 成交人可以采取融资担保的形式为政府采购项目履约进行融资。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33.2.3 合格的政府采购专业信用担保机构名单见供应商须知资料表。</w:t>
      </w:r>
    </w:p>
    <w:p>
      <w:pPr>
        <w:pStyle w:val="5"/>
        <w:snapToGrid w:val="0"/>
        <w:spacing w:before="0" w:after="0" w:line="380" w:lineRule="exact"/>
        <w:textAlignment w:val="baseline"/>
        <w:rPr>
          <w:rFonts w:ascii="微软雅黑" w:hAnsi="微软雅黑" w:eastAsia="微软雅黑" w:cs="微软雅黑"/>
          <w:u w:color="000000"/>
        </w:rPr>
      </w:pPr>
      <w:bookmarkStart w:id="522" w:name="_Toc28494"/>
      <w:bookmarkStart w:id="523" w:name="_Toc16394"/>
      <w:bookmarkStart w:id="524" w:name="_Toc15842"/>
      <w:bookmarkStart w:id="525" w:name="_Toc28874"/>
      <w:bookmarkStart w:id="526" w:name="_Toc27619"/>
      <w:bookmarkStart w:id="527" w:name="_Toc7616"/>
      <w:bookmarkStart w:id="528" w:name="_Toc26887"/>
      <w:bookmarkStart w:id="529" w:name="_Toc9673"/>
      <w:bookmarkStart w:id="530" w:name="_Toc24726"/>
      <w:bookmarkStart w:id="531" w:name="_Toc2133"/>
      <w:bookmarkStart w:id="532" w:name="_Toc515647796"/>
      <w:bookmarkStart w:id="533" w:name="_Toc23999"/>
      <w:bookmarkStart w:id="534" w:name="_Toc9559"/>
      <w:r>
        <w:rPr>
          <w:rFonts w:hint="eastAsia" w:ascii="微软雅黑" w:hAnsi="微软雅黑" w:eastAsia="微软雅黑" w:cs="微软雅黑"/>
          <w:u w:color="000000"/>
        </w:rPr>
        <w:t>34.廉洁自律规定</w:t>
      </w:r>
      <w:bookmarkEnd w:id="522"/>
      <w:bookmarkEnd w:id="523"/>
      <w:bookmarkEnd w:id="524"/>
      <w:bookmarkEnd w:id="525"/>
      <w:bookmarkEnd w:id="526"/>
      <w:bookmarkEnd w:id="527"/>
      <w:bookmarkEnd w:id="528"/>
      <w:bookmarkEnd w:id="529"/>
      <w:bookmarkEnd w:id="530"/>
      <w:bookmarkEnd w:id="531"/>
      <w:bookmarkEnd w:id="532"/>
      <w:bookmarkEnd w:id="533"/>
      <w:bookmarkEnd w:id="5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34.3   为强化采购代理机构内部监督机制，供应商可按</w:t>
      </w:r>
      <w:r>
        <w:rPr>
          <w:rFonts w:hint="eastAsia" w:ascii="微软雅黑" w:hAnsi="微软雅黑" w:eastAsia="微软雅黑" w:cs="微软雅黑"/>
          <w:sz w:val="24"/>
          <w:u w:val="single" w:color="000000"/>
        </w:rPr>
        <w:t>供应商须知资料表中的</w:t>
      </w:r>
      <w:r>
        <w:rPr>
          <w:rFonts w:hint="eastAsia" w:ascii="微软雅黑" w:hAnsi="微软雅黑" w:eastAsia="微软雅黑" w:cs="微软雅黑"/>
          <w:sz w:val="24"/>
        </w:rPr>
        <w:t>监督电话和邮箱，反映采购代理机构的廉洁自律等问题。</w:t>
      </w:r>
    </w:p>
    <w:p>
      <w:pPr>
        <w:pStyle w:val="5"/>
        <w:snapToGrid w:val="0"/>
        <w:spacing w:before="0" w:after="0" w:line="380" w:lineRule="exact"/>
        <w:textAlignment w:val="baseline"/>
        <w:rPr>
          <w:rFonts w:ascii="微软雅黑" w:hAnsi="微软雅黑" w:eastAsia="微软雅黑" w:cs="微软雅黑"/>
          <w:u w:color="000000"/>
        </w:rPr>
      </w:pPr>
      <w:bookmarkStart w:id="535" w:name="_Toc25440"/>
      <w:bookmarkStart w:id="536" w:name="_Toc22851"/>
      <w:bookmarkStart w:id="537" w:name="_Toc515647797"/>
      <w:bookmarkStart w:id="538" w:name="_Toc11586"/>
      <w:bookmarkStart w:id="539" w:name="_Toc24914"/>
      <w:bookmarkStart w:id="540" w:name="_Toc1011"/>
      <w:bookmarkStart w:id="541" w:name="_Toc25480"/>
      <w:bookmarkStart w:id="542" w:name="_Toc15647"/>
      <w:bookmarkStart w:id="543" w:name="_Toc8702"/>
      <w:bookmarkStart w:id="544" w:name="_Toc20804"/>
      <w:bookmarkStart w:id="545" w:name="_Toc17910"/>
      <w:bookmarkStart w:id="546" w:name="_Toc3386"/>
      <w:bookmarkStart w:id="547" w:name="_Toc24873"/>
      <w:r>
        <w:rPr>
          <w:rFonts w:hint="eastAsia" w:ascii="微软雅黑" w:hAnsi="微软雅黑" w:eastAsia="微软雅黑" w:cs="微软雅黑"/>
          <w:u w:color="000000"/>
        </w:rPr>
        <w:t>35.人员回避</w:t>
      </w:r>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供应商认为采购人员及其相关人员有法律法规所列与其他供应商有利害关系的，可以向采购人或采购代理机构书面提出回避申请，并说明理由。</w:t>
      </w:r>
    </w:p>
    <w:p>
      <w:pPr>
        <w:pStyle w:val="5"/>
        <w:snapToGrid w:val="0"/>
        <w:spacing w:before="0" w:after="0" w:line="380" w:lineRule="exact"/>
        <w:textAlignment w:val="baseline"/>
        <w:rPr>
          <w:rFonts w:ascii="微软雅黑" w:hAnsi="微软雅黑" w:eastAsia="微软雅黑" w:cs="微软雅黑"/>
          <w:u w:color="000000"/>
        </w:rPr>
      </w:pPr>
      <w:bookmarkStart w:id="548" w:name="_Toc9031"/>
      <w:bookmarkStart w:id="549" w:name="_Toc15825"/>
      <w:bookmarkStart w:id="550" w:name="_Toc25962"/>
      <w:bookmarkStart w:id="551" w:name="_Toc11114"/>
      <w:bookmarkStart w:id="552" w:name="_Toc1148"/>
      <w:bookmarkStart w:id="553" w:name="_Toc31508"/>
      <w:bookmarkStart w:id="554" w:name="_Toc24595"/>
      <w:bookmarkStart w:id="555" w:name="_Toc23729"/>
      <w:bookmarkStart w:id="556" w:name="_Toc30280"/>
      <w:bookmarkStart w:id="557" w:name="_Toc24801"/>
      <w:bookmarkStart w:id="558" w:name="_Toc14325"/>
      <w:bookmarkStart w:id="559" w:name="_Toc11115"/>
      <w:bookmarkStart w:id="560" w:name="_Toc515647798"/>
      <w:r>
        <w:rPr>
          <w:rFonts w:hint="eastAsia" w:ascii="微软雅黑" w:hAnsi="微软雅黑" w:eastAsia="微软雅黑" w:cs="微软雅黑"/>
          <w:u w:color="000000"/>
        </w:rPr>
        <w:t>36.质疑与接收</w:t>
      </w:r>
      <w:bookmarkEnd w:id="548"/>
      <w:bookmarkEnd w:id="549"/>
      <w:bookmarkEnd w:id="550"/>
      <w:bookmarkEnd w:id="551"/>
      <w:bookmarkEnd w:id="552"/>
      <w:bookmarkEnd w:id="553"/>
      <w:bookmarkEnd w:id="554"/>
      <w:bookmarkEnd w:id="555"/>
      <w:bookmarkEnd w:id="556"/>
      <w:bookmarkEnd w:id="557"/>
      <w:bookmarkEnd w:id="558"/>
      <w:bookmarkEnd w:id="559"/>
      <w:bookmarkEnd w:id="560"/>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ascii="微软雅黑" w:hAnsi="微软雅黑" w:eastAsia="微软雅黑" w:cs="微软雅黑"/>
          <w:sz w:val="24"/>
        </w:rPr>
      </w:pPr>
      <w:r>
        <w:rPr>
          <w:rFonts w:hint="eastAsia" w:ascii="微软雅黑" w:hAnsi="微软雅黑" w:eastAsia="微软雅黑" w:cs="微软雅黑"/>
          <w:sz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36.3  采购代理机构质疑函接收部门、联系电话和通讯地址, 见</w:t>
      </w:r>
      <w:r>
        <w:rPr>
          <w:rFonts w:hint="eastAsia" w:ascii="微软雅黑" w:hAnsi="微软雅黑" w:eastAsia="微软雅黑" w:cs="微软雅黑"/>
          <w:sz w:val="24"/>
          <w:u w:val="single" w:color="000000"/>
        </w:rPr>
        <w:t>供应商须知资料表。</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35.4   质疑的提出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（二）对采购过程提出质疑的，为各采购程序环节结束之日；</w:t>
      </w:r>
    </w:p>
    <w:p>
      <w:pPr>
        <w:snapToGrid w:val="0"/>
        <w:spacing w:line="380" w:lineRule="exact"/>
        <w:ind w:firstLine="720" w:firstLineChars="300"/>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（三）对成交结果提出质疑的，为成交结果公告期限届满之日。</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35.9   提出质疑应当符合下列条件：</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（一）质疑主体应当符合有关规定；</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（二）在质疑法定期限内提出；</w:t>
      </w:r>
    </w:p>
    <w:p>
      <w:pPr>
        <w:snapToGrid w:val="0"/>
        <w:spacing w:line="380" w:lineRule="exact"/>
        <w:ind w:left="1137"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（四）政府采购法律、法规、规章规定的其他条件。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35.12  质疑人提出质疑时应当提交质疑函。质疑函包括下列内容：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（一）提出质疑的质疑人的名称、地址、邮编、联系人及联系电话等；</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（二）质疑项目的名称、编号；</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（三）质疑事项；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（四）事实依据和证明材料；</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（五）法律依据；</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（六）提出质疑的日期。</w:t>
      </w:r>
    </w:p>
    <w:p>
      <w:pPr>
        <w:snapToGrid w:val="0"/>
        <w:spacing w:line="380" w:lineRule="exact"/>
        <w:ind w:left="957" w:leftChars="456"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35.14  质疑的审查和受理</w:t>
      </w:r>
    </w:p>
    <w:p>
      <w:pPr>
        <w:snapToGrid w:val="0"/>
        <w:spacing w:line="380" w:lineRule="exact"/>
        <w:ind w:left="957" w:leftChars="456"/>
        <w:jc w:val="left"/>
        <w:textAlignment w:val="baseline"/>
        <w:rPr>
          <w:rFonts w:ascii="微软雅黑" w:hAnsi="微软雅黑" w:eastAsia="微软雅黑" w:cs="微软雅黑"/>
          <w:sz w:val="24"/>
        </w:rPr>
      </w:pPr>
      <w:r>
        <w:rPr>
          <w:rFonts w:hint="eastAsia" w:ascii="微软雅黑" w:hAnsi="微软雅黑" w:eastAsia="微软雅黑" w:cs="微软雅黑"/>
          <w:sz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35.15  对不符合质疑受理条件的，分别按照下列不同情形予以处理：</w:t>
      </w:r>
    </w:p>
    <w:p>
      <w:pPr>
        <w:snapToGrid w:val="0"/>
        <w:spacing w:line="380" w:lineRule="exact"/>
        <w:ind w:left="1137"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（二）质疑主体不符合有关规定的，告知质疑人不予受理；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（三）超过质疑法定期限提出质疑的，告知质疑人不予受理；</w:t>
      </w:r>
    </w:p>
    <w:p>
      <w:pPr>
        <w:snapToGrid w:val="0"/>
        <w:spacing w:line="380" w:lineRule="exact"/>
        <w:ind w:left="958" w:leftChars="342" w:hanging="240" w:hangingChars="100"/>
        <w:jc w:val="left"/>
        <w:textAlignment w:val="baseline"/>
        <w:rPr>
          <w:rFonts w:ascii="微软雅黑" w:hAnsi="微软雅黑" w:eastAsia="微软雅黑" w:cs="微软雅黑"/>
          <w:sz w:val="24"/>
        </w:rPr>
      </w:pPr>
      <w:r>
        <w:rPr>
          <w:rFonts w:hint="eastAsia" w:ascii="微软雅黑" w:hAnsi="微软雅黑" w:eastAsia="微软雅黑" w:cs="微软雅黑"/>
          <w:sz w:val="24"/>
        </w:rPr>
        <w:t>（四）对不属于可以提出质疑的政府采购事项提出质疑的，告知质疑人不予受理；</w:t>
      </w:r>
    </w:p>
    <w:p>
      <w:pPr>
        <w:snapToGrid w:val="0"/>
        <w:spacing w:line="380" w:lineRule="exact"/>
        <w:ind w:left="718" w:leftChars="342"/>
        <w:jc w:val="left"/>
        <w:textAlignment w:val="baseline"/>
        <w:rPr>
          <w:rFonts w:ascii="微软雅黑" w:hAnsi="微软雅黑" w:eastAsia="微软雅黑" w:cs="微软雅黑"/>
          <w:sz w:val="24"/>
        </w:rPr>
      </w:pPr>
      <w:r>
        <w:rPr>
          <w:rFonts w:hint="eastAsia" w:ascii="微软雅黑" w:hAnsi="微软雅黑" w:eastAsia="微软雅黑" w:cs="微软雅黑"/>
          <w:sz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（六）质疑不符合其他条件的，告知质疑人不予受理。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35.16  质疑的处理和答复</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35.19  对评审过程、成交结果提出质疑的，采购方可以组织原评审委员会协助答复质疑。</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35.20  质疑处理过程中，质疑人书面申请撤回质疑的，将终止质疑处理程序。</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35.23  采购方将在正式受理质疑后7个工作日内作出答复。</w:t>
      </w:r>
    </w:p>
    <w:p>
      <w:pPr>
        <w:pStyle w:val="49"/>
        <w:snapToGrid w:val="0"/>
        <w:spacing w:line="380" w:lineRule="exact"/>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（六）答复质疑的日期。</w:t>
      </w:r>
    </w:p>
    <w:p>
      <w:pPr>
        <w:snapToGrid w:val="0"/>
        <w:spacing w:line="380" w:lineRule="exact"/>
        <w:jc w:val="center"/>
        <w:textAlignment w:val="baseline"/>
        <w:rPr>
          <w:rFonts w:ascii="微软雅黑" w:hAnsi="微软雅黑" w:eastAsia="微软雅黑" w:cs="微软雅黑"/>
          <w:b/>
          <w:bCs/>
          <w:sz w:val="24"/>
        </w:rPr>
      </w:pPr>
    </w:p>
    <w:p>
      <w:pPr>
        <w:snapToGrid w:val="0"/>
        <w:spacing w:line="380" w:lineRule="exact"/>
        <w:textAlignment w:val="baseline"/>
        <w:rPr>
          <w:rFonts w:ascii="微软雅黑" w:hAnsi="微软雅黑" w:eastAsia="微软雅黑" w:cs="微软雅黑"/>
          <w:b/>
          <w:bCs/>
          <w:sz w:val="24"/>
        </w:rPr>
      </w:pPr>
      <w:bookmarkStart w:id="561" w:name="_Toc24577"/>
      <w:bookmarkStart w:id="562" w:name="_Toc14949"/>
      <w:r>
        <w:rPr>
          <w:rFonts w:hint="eastAsia" w:ascii="微软雅黑" w:hAnsi="微软雅黑" w:eastAsia="微软雅黑" w:cs="微软雅黑"/>
          <w:b/>
          <w:bCs/>
          <w:sz w:val="24"/>
        </w:rPr>
        <w:t>质疑函范本</w:t>
      </w:r>
      <w:bookmarkEnd w:id="561"/>
      <w:bookmarkEnd w:id="562"/>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一、质疑供应商基本信息</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质疑供应商：</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授权代表：</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地址： </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二、质疑项目基本情况</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质疑项目的编号：</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包号：</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采购人名称：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采购文件获取日期：</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三、质疑事项具体内容</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质疑事项1：</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事实依据：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法律依据：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质疑事项2</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四、与质疑事项相关的质疑请求</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请求：</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签字(签章)：                   公章：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日期：    </w:t>
      </w:r>
    </w:p>
    <w:p>
      <w:pPr>
        <w:snapToGrid w:val="0"/>
        <w:spacing w:line="380" w:lineRule="exact"/>
        <w:textAlignment w:val="baseline"/>
        <w:rPr>
          <w:rFonts w:ascii="微软雅黑" w:hAnsi="微软雅黑" w:eastAsia="微软雅黑" w:cs="微软雅黑"/>
          <w:b/>
          <w:sz w:val="24"/>
        </w:rPr>
      </w:pPr>
    </w:p>
    <w:p>
      <w:pPr>
        <w:snapToGrid w:val="0"/>
        <w:spacing w:line="380" w:lineRule="exact"/>
        <w:textAlignment w:val="baseline"/>
        <w:rPr>
          <w:rFonts w:ascii="微软雅黑" w:hAnsi="微软雅黑" w:eastAsia="微软雅黑" w:cs="微软雅黑"/>
          <w:b/>
          <w:sz w:val="24"/>
        </w:rPr>
      </w:pPr>
      <w:r>
        <w:rPr>
          <w:rFonts w:hint="eastAsia" w:ascii="微软雅黑" w:hAnsi="微软雅黑" w:eastAsia="微软雅黑" w:cs="微软雅黑"/>
          <w:b/>
          <w:sz w:val="24"/>
        </w:rPr>
        <w:t>质疑函制作说明：</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1.供应商提出质疑时，应提交质疑函和必要的证明材料。</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4.质疑函的质疑事项应具体、明确，并有必要的事实依据和法律依据。</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5.质疑函的质疑请求应与质疑事项相关。</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6.质疑供应商为自然人的，质疑函应由本人签字；质疑供应商为法人或者其他组织的，质疑函应由法定代表人、主要负责人，或者其授权代表签字或者盖章，并加盖公章。</w:t>
      </w:r>
    </w:p>
    <w:p>
      <w:pPr>
        <w:pStyle w:val="2"/>
        <w:rPr>
          <w:rFonts w:ascii="微软雅黑" w:hAnsi="微软雅黑" w:eastAsia="微软雅黑" w:cs="微软雅黑"/>
        </w:rPr>
      </w:pPr>
    </w:p>
    <w:p>
      <w:pPr>
        <w:rPr>
          <w:rFonts w:ascii="微软雅黑" w:hAnsi="微软雅黑" w:eastAsia="微软雅黑" w:cs="微软雅黑"/>
          <w:sz w:val="24"/>
        </w:rPr>
      </w:pPr>
    </w:p>
    <w:p>
      <w:pPr>
        <w:pStyle w:val="2"/>
        <w:rPr>
          <w:rFonts w:ascii="微软雅黑" w:hAnsi="微软雅黑" w:eastAsia="微软雅黑" w:cs="微软雅黑"/>
        </w:rPr>
      </w:pPr>
    </w:p>
    <w:p>
      <w:pPr>
        <w:pStyle w:val="9"/>
        <w:rPr>
          <w:rFonts w:ascii="微软雅黑" w:hAnsi="微软雅黑" w:eastAsia="微软雅黑" w:cs="微软雅黑"/>
        </w:rPr>
      </w:pPr>
    </w:p>
    <w:p>
      <w:pPr>
        <w:rPr>
          <w:rFonts w:ascii="微软雅黑" w:hAnsi="微软雅黑" w:eastAsia="微软雅黑" w:cs="微软雅黑"/>
          <w:sz w:val="24"/>
        </w:rPr>
      </w:pPr>
    </w:p>
    <w:p>
      <w:pPr>
        <w:pStyle w:val="34"/>
        <w:ind w:left="0" w:leftChars="0" w:firstLine="0" w:firstLineChars="0"/>
        <w:rPr>
          <w:rFonts w:ascii="微软雅黑" w:hAnsi="微软雅黑" w:eastAsia="微软雅黑" w:cs="微软雅黑"/>
        </w:rPr>
      </w:pPr>
    </w:p>
    <w:p>
      <w:pPr>
        <w:pStyle w:val="34"/>
        <w:ind w:firstLine="480"/>
        <w:rPr>
          <w:rFonts w:ascii="微软雅黑" w:hAnsi="微软雅黑" w:eastAsia="微软雅黑" w:cs="微软雅黑"/>
        </w:rPr>
      </w:pPr>
    </w:p>
    <w:p>
      <w:pPr>
        <w:pStyle w:val="2"/>
        <w:ind w:left="0" w:leftChars="0" w:firstLine="0" w:firstLineChars="0"/>
        <w:rPr>
          <w:rFonts w:ascii="微软雅黑" w:hAnsi="微软雅黑" w:eastAsia="微软雅黑" w:cs="微软雅黑"/>
        </w:rPr>
      </w:pPr>
    </w:p>
    <w:p>
      <w:pPr>
        <w:pStyle w:val="3"/>
        <w:snapToGrid w:val="0"/>
        <w:spacing w:before="0" w:after="0" w:line="240" w:lineRule="atLeast"/>
        <w:textAlignment w:val="baseline"/>
        <w:rPr>
          <w:rFonts w:ascii="微软雅黑" w:hAnsi="微软雅黑" w:eastAsia="微软雅黑" w:cs="微软雅黑"/>
          <w:sz w:val="24"/>
        </w:rPr>
      </w:pPr>
      <w:bookmarkStart w:id="563" w:name="_Toc216582812"/>
      <w:bookmarkStart w:id="564" w:name="_Toc728"/>
      <w:bookmarkStart w:id="565" w:name="_Toc515647802"/>
      <w:bookmarkStart w:id="566" w:name="_Toc702"/>
      <w:bookmarkStart w:id="567" w:name="_Toc7847"/>
      <w:r>
        <w:rPr>
          <w:rFonts w:hint="eastAsia" w:ascii="微软雅黑" w:hAnsi="微软雅黑" w:eastAsia="微软雅黑" w:cs="微软雅黑"/>
          <w:sz w:val="24"/>
          <w:szCs w:val="24"/>
        </w:rPr>
        <w:t>第2章 响应文件格式</w:t>
      </w:r>
      <w:bookmarkEnd w:id="563"/>
      <w:bookmarkEnd w:id="564"/>
      <w:bookmarkEnd w:id="565"/>
      <w:bookmarkEnd w:id="566"/>
      <w:bookmarkEnd w:id="567"/>
    </w:p>
    <w:p>
      <w:pPr>
        <w:pStyle w:val="4"/>
        <w:snapToGrid w:val="0"/>
        <w:spacing w:before="0" w:line="240" w:lineRule="atLeast"/>
        <w:ind w:left="1079" w:leftChars="257" w:hanging="540"/>
        <w:textAlignment w:val="baseline"/>
        <w:rPr>
          <w:rFonts w:ascii="微软雅黑" w:hAnsi="微软雅黑" w:eastAsia="微软雅黑" w:cs="微软雅黑"/>
          <w:sz w:val="24"/>
        </w:rPr>
      </w:pPr>
      <w:bookmarkStart w:id="568" w:name="_Toc3315"/>
      <w:bookmarkStart w:id="569" w:name="_Toc515647803"/>
      <w:bookmarkStart w:id="570" w:name="_Toc1126"/>
      <w:bookmarkStart w:id="571" w:name="_Toc18694"/>
      <w:bookmarkStart w:id="572" w:name="_Toc18974"/>
      <w:bookmarkStart w:id="573" w:name="_Toc26489"/>
      <w:bookmarkStart w:id="574" w:name="_Toc31379"/>
      <w:bookmarkStart w:id="575" w:name="_Toc19961"/>
      <w:r>
        <w:rPr>
          <w:rFonts w:hint="eastAsia" w:ascii="微软雅黑" w:hAnsi="微软雅黑" w:eastAsia="微软雅黑" w:cs="微软雅黑"/>
          <w:sz w:val="24"/>
          <w:szCs w:val="24"/>
        </w:rPr>
        <w:t>第一部分 磋商开启一览表及资格证明文件</w:t>
      </w:r>
      <w:bookmarkEnd w:id="568"/>
      <w:bookmarkEnd w:id="569"/>
      <w:bookmarkEnd w:id="570"/>
      <w:bookmarkEnd w:id="571"/>
      <w:bookmarkEnd w:id="572"/>
      <w:bookmarkEnd w:id="573"/>
      <w:bookmarkEnd w:id="574"/>
      <w:bookmarkEnd w:id="575"/>
    </w:p>
    <w:p>
      <w:pPr>
        <w:tabs>
          <w:tab w:val="left" w:pos="5580"/>
        </w:tabs>
        <w:snapToGrid w:val="0"/>
        <w:spacing w:line="360" w:lineRule="exact"/>
        <w:jc w:val="left"/>
        <w:textAlignment w:val="baseline"/>
        <w:rPr>
          <w:rFonts w:ascii="微软雅黑" w:hAnsi="微软雅黑" w:eastAsia="微软雅黑" w:cs="微软雅黑"/>
          <w:sz w:val="24"/>
        </w:rPr>
      </w:pPr>
      <w:r>
        <w:rPr>
          <w:rFonts w:hint="eastAsia" w:ascii="微软雅黑" w:hAnsi="微软雅黑" w:eastAsia="微软雅黑" w:cs="微软雅黑"/>
          <w:sz w:val="24"/>
        </w:rPr>
        <w:t>1.磋商报价一览表;</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3.提供有效的营业执照；</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4.法人本人投标的提供法人身份证明及身份证，被授权委托人投标提供法人授权委托书及身份证；</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5.投标单位提供本单位依法缴纳近三个月的社保证明（社保证明可含：社保缴费凭证、社保缴费证明、社保缴费汇总单、依法缴纳社保的完税证明）；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6.提供税务部门出具近三个月的完税证明；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7.提供2021年度的财务审计报告（新成立公司需提供银行资信证明）；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8.参加政府采购活动前3年内在经营活动中没有重大违法记录的书面声明；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9.提供针对本次项目的反商业贿赂承诺书 ；</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10.提供缴纳磋商保证金的有效凭证。</w:t>
      </w:r>
    </w:p>
    <w:p>
      <w:pPr>
        <w:snapToGrid w:val="0"/>
        <w:spacing w:line="460" w:lineRule="exact"/>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11.供应商可提供有利于投标的其他资格证明材料；</w:t>
      </w:r>
    </w:p>
    <w:p>
      <w:pPr>
        <w:snapToGrid w:val="0"/>
        <w:spacing w:line="460" w:lineRule="exac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12.投标人须知资料表要求的其他资格证明文件。</w:t>
      </w: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2"/>
        <w:ind w:firstLine="0"/>
        <w:rPr>
          <w:rFonts w:ascii="微软雅黑" w:hAnsi="微软雅黑" w:eastAsia="微软雅黑" w:cs="微软雅黑"/>
        </w:rPr>
      </w:pPr>
    </w:p>
    <w:p>
      <w:pPr>
        <w:pStyle w:val="4"/>
        <w:snapToGrid w:val="0"/>
        <w:spacing w:before="0" w:line="400" w:lineRule="atLeast"/>
        <w:jc w:val="both"/>
        <w:textAlignment w:val="baseline"/>
        <w:rPr>
          <w:rFonts w:ascii="微软雅黑" w:hAnsi="微软雅黑" w:eastAsia="微软雅黑" w:cs="微软雅黑"/>
          <w:sz w:val="24"/>
          <w:szCs w:val="24"/>
        </w:rPr>
      </w:pPr>
      <w:bookmarkStart w:id="576" w:name="_Toc22539"/>
      <w:bookmarkStart w:id="577" w:name="_Toc515647804"/>
      <w:bookmarkStart w:id="578" w:name="_Toc3620"/>
      <w:bookmarkStart w:id="579" w:name="_Toc21484"/>
      <w:bookmarkStart w:id="580" w:name="_Toc16568"/>
      <w:bookmarkStart w:id="581" w:name="_Toc11138"/>
      <w:bookmarkStart w:id="582" w:name="_Toc30630"/>
      <w:bookmarkStart w:id="583" w:name="_Toc21614"/>
      <w:bookmarkStart w:id="584" w:name="_Toc4431"/>
      <w:bookmarkStart w:id="585" w:name="_Toc31089"/>
      <w:bookmarkStart w:id="586" w:name="_Toc16750"/>
      <w:bookmarkStart w:id="587" w:name="_Toc26846"/>
      <w:bookmarkStart w:id="588" w:name="_Toc17198"/>
      <w:bookmarkStart w:id="589" w:name="_Toc31510"/>
      <w:bookmarkStart w:id="590" w:name="_Toc14118"/>
      <w:bookmarkStart w:id="591" w:name="_Toc18477"/>
      <w:bookmarkStart w:id="592" w:name="_Toc30524"/>
      <w:bookmarkStart w:id="593" w:name="_Ref467988698"/>
      <w:bookmarkStart w:id="594" w:name="_Toc480942349"/>
      <w:bookmarkStart w:id="595" w:name="_Toc520356217"/>
      <w:bookmarkStart w:id="596" w:name="_Toc216582813"/>
      <w:r>
        <w:rPr>
          <w:rFonts w:hint="eastAsia" w:ascii="微软雅黑" w:hAnsi="微软雅黑" w:eastAsia="微软雅黑" w:cs="微软雅黑"/>
          <w:sz w:val="24"/>
          <w:szCs w:val="24"/>
        </w:rPr>
        <w:t>1、磋商报价一览表</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2"/>
        <w:tabs>
          <w:tab w:val="left" w:pos="5580"/>
        </w:tabs>
        <w:snapToGrid w:val="0"/>
        <w:spacing w:line="400" w:lineRule="atLeast"/>
        <w:ind w:firstLine="0"/>
        <w:jc w:val="center"/>
        <w:textAlignment w:val="baseline"/>
        <w:rPr>
          <w:rFonts w:ascii="微软雅黑" w:hAnsi="微软雅黑" w:eastAsia="微软雅黑" w:cs="微软雅黑"/>
          <w:szCs w:val="24"/>
        </w:rPr>
      </w:pPr>
      <w:bookmarkStart w:id="597" w:name="_Hlt520356241"/>
      <w:bookmarkEnd w:id="597"/>
      <w:r>
        <w:rPr>
          <w:rFonts w:hint="eastAsia" w:ascii="微软雅黑" w:hAnsi="微软雅黑" w:eastAsia="微软雅黑" w:cs="微软雅黑"/>
          <w:b/>
          <w:szCs w:val="24"/>
        </w:rPr>
        <w:t>磋商报价一览表</w:t>
      </w:r>
    </w:p>
    <w:p>
      <w:pPr>
        <w:tabs>
          <w:tab w:val="left" w:pos="1800"/>
          <w:tab w:val="left" w:pos="5580"/>
        </w:tabs>
        <w:snapToGrid w:val="0"/>
        <w:spacing w:line="400" w:lineRule="atLeas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项目名称：　                  项目编号：                          </w:t>
      </w:r>
    </w:p>
    <w:p>
      <w:pPr>
        <w:tabs>
          <w:tab w:val="left" w:pos="1800"/>
          <w:tab w:val="left" w:pos="5580"/>
        </w:tabs>
        <w:snapToGrid w:val="0"/>
        <w:spacing w:line="400" w:lineRule="atLeas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元</w:t>
      </w:r>
    </w:p>
    <w:tbl>
      <w:tblPr>
        <w:tblStyle w:val="3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6"/>
        <w:gridCol w:w="2134"/>
        <w:gridCol w:w="1933"/>
        <w:gridCol w:w="1587"/>
        <w:gridCol w:w="166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396" w:type="dxa"/>
            <w:vAlign w:val="center"/>
          </w:tcPr>
          <w:p>
            <w:pPr>
              <w:tabs>
                <w:tab w:val="left" w:pos="5580"/>
              </w:tabs>
              <w:snapToGrid w:val="0"/>
              <w:spacing w:line="400" w:lineRule="atLeast"/>
              <w:ind w:right="-199"/>
              <w:jc w:val="center"/>
              <w:textAlignment w:val="baseline"/>
              <w:rPr>
                <w:rFonts w:ascii="微软雅黑" w:hAnsi="微软雅黑" w:eastAsia="微软雅黑" w:cs="微软雅黑"/>
                <w:sz w:val="24"/>
              </w:rPr>
            </w:pPr>
            <w:r>
              <w:rPr>
                <w:rFonts w:hint="eastAsia" w:ascii="微软雅黑" w:hAnsi="微软雅黑" w:eastAsia="微软雅黑" w:cs="微软雅黑"/>
                <w:sz w:val="24"/>
              </w:rPr>
              <w:t>名称</w:t>
            </w:r>
          </w:p>
        </w:tc>
        <w:tc>
          <w:tcPr>
            <w:tcW w:w="2134"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lang w:eastAsia="zh-CN"/>
              </w:rPr>
              <w:t>磋商</w:t>
            </w:r>
            <w:r>
              <w:rPr>
                <w:rFonts w:hint="eastAsia" w:ascii="微软雅黑" w:hAnsi="微软雅黑" w:eastAsia="微软雅黑" w:cs="微软雅黑"/>
                <w:sz w:val="24"/>
              </w:rPr>
              <w:t>总报价</w:t>
            </w:r>
          </w:p>
        </w:tc>
        <w:tc>
          <w:tcPr>
            <w:tcW w:w="1933"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磋商保证金</w:t>
            </w:r>
          </w:p>
        </w:tc>
        <w:tc>
          <w:tcPr>
            <w:tcW w:w="1587"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期</w:t>
            </w:r>
          </w:p>
        </w:tc>
        <w:tc>
          <w:tcPr>
            <w:tcW w:w="1665" w:type="dxa"/>
            <w:vAlign w:val="center"/>
          </w:tcPr>
          <w:p>
            <w:pPr>
              <w:tabs>
                <w:tab w:val="left" w:pos="5580"/>
              </w:tabs>
              <w:snapToGrid w:val="0"/>
              <w:spacing w:line="400" w:lineRule="atLeas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服务地点</w:t>
            </w:r>
          </w:p>
        </w:tc>
        <w:tc>
          <w:tcPr>
            <w:tcW w:w="1009" w:type="dxa"/>
            <w:vAlign w:val="center"/>
          </w:tcPr>
          <w:p>
            <w:pPr>
              <w:tabs>
                <w:tab w:val="left" w:pos="5580"/>
              </w:tabs>
              <w:snapToGrid w:val="0"/>
              <w:spacing w:line="400" w:lineRule="atLeast"/>
              <w:jc w:val="center"/>
              <w:textAlignment w:val="baseline"/>
              <w:rPr>
                <w:rFonts w:hint="eastAsia"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396"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2134" w:type="dxa"/>
            <w:vAlign w:val="center"/>
          </w:tcPr>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大写：</w:t>
            </w:r>
          </w:p>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小写：</w:t>
            </w:r>
          </w:p>
        </w:tc>
        <w:tc>
          <w:tcPr>
            <w:tcW w:w="1933"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587"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665"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009"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r>
    </w:tbl>
    <w:p>
      <w:pPr>
        <w:pStyle w:val="16"/>
        <w:tabs>
          <w:tab w:val="left" w:pos="5580"/>
        </w:tabs>
        <w:snapToGrid w:val="0"/>
        <w:spacing w:line="400" w:lineRule="atLeast"/>
        <w:textAlignment w:val="baseline"/>
        <w:rPr>
          <w:rFonts w:ascii="微软雅黑" w:hAnsi="微软雅黑" w:eastAsia="微软雅黑" w:cs="微软雅黑"/>
          <w:sz w:val="24"/>
          <w:szCs w:val="24"/>
          <w:u w:val="single" w:color="000000"/>
        </w:rPr>
      </w:pPr>
    </w:p>
    <w:p>
      <w:pPr>
        <w:pStyle w:val="16"/>
        <w:tabs>
          <w:tab w:val="left" w:pos="5580"/>
        </w:tabs>
        <w:snapToGrid w:val="0"/>
        <w:spacing w:line="400" w:lineRule="atLeas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color="000000"/>
        </w:rPr>
        <w:t xml:space="preserve">                       </w:t>
      </w:r>
    </w:p>
    <w:p>
      <w:pPr>
        <w:pStyle w:val="16"/>
        <w:tabs>
          <w:tab w:val="left" w:pos="5580"/>
        </w:tabs>
        <w:snapToGrid w:val="0"/>
        <w:spacing w:line="400" w:lineRule="atLeast"/>
        <w:ind w:left="1079"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法定代表人或委托代理(签字):</w:t>
      </w:r>
      <w:r>
        <w:rPr>
          <w:rFonts w:hint="eastAsia" w:ascii="微软雅黑" w:hAnsi="微软雅黑" w:eastAsia="微软雅黑" w:cs="微软雅黑"/>
          <w:sz w:val="24"/>
          <w:szCs w:val="24"/>
          <w:u w:val="single" w:color="000000"/>
        </w:rPr>
        <w:tab/>
      </w:r>
    </w:p>
    <w:p>
      <w:pPr>
        <w:pStyle w:val="16"/>
        <w:tabs>
          <w:tab w:val="left" w:pos="5580"/>
        </w:tabs>
        <w:snapToGrid w:val="0"/>
        <w:spacing w:line="400" w:lineRule="atLeast"/>
        <w:ind w:left="1079" w:leftChars="257" w:hanging="540"/>
        <w:textAlignment w:val="baseline"/>
        <w:rPr>
          <w:rFonts w:ascii="微软雅黑" w:hAnsi="微软雅黑" w:eastAsia="微软雅黑" w:cs="微软雅黑"/>
          <w:sz w:val="24"/>
          <w:szCs w:val="24"/>
        </w:rPr>
      </w:pPr>
    </w:p>
    <w:p>
      <w:pPr>
        <w:pStyle w:val="16"/>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注:1、此表应按投标人须知的规定装订密封。</w:t>
      </w:r>
    </w:p>
    <w:p>
      <w:pPr>
        <w:pStyle w:val="16"/>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此表中，每包的投标总价应和投标分项报价表的总价相一致。</w:t>
      </w:r>
    </w:p>
    <w:p>
      <w:pPr>
        <w:pStyle w:val="16"/>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供应商报价时包含税费</w:t>
      </w:r>
      <w:r>
        <w:rPr>
          <w:rFonts w:hint="eastAsia" w:ascii="微软雅黑" w:hAnsi="微软雅黑" w:eastAsia="微软雅黑" w:cs="微软雅黑"/>
          <w:b/>
          <w:sz w:val="24"/>
          <w:szCs w:val="24"/>
          <w:lang w:eastAsia="zh-CN"/>
        </w:rPr>
        <w:t>、运费、装卸费、报关费、核算检测费、</w:t>
      </w:r>
      <w:r>
        <w:rPr>
          <w:rFonts w:hint="eastAsia" w:ascii="微软雅黑" w:hAnsi="微软雅黑" w:eastAsia="微软雅黑" w:cs="微软雅黑"/>
          <w:b/>
          <w:sz w:val="24"/>
          <w:szCs w:val="24"/>
        </w:rPr>
        <w:t>保险费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进口设备商检费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设备首次检验费等一切与本次项目相关的费用。</w:t>
      </w:r>
    </w:p>
    <w:p>
      <w:pPr>
        <w:pStyle w:val="16"/>
        <w:tabs>
          <w:tab w:val="left" w:pos="5580"/>
        </w:tabs>
        <w:snapToGrid w:val="0"/>
        <w:spacing w:line="400" w:lineRule="atLeast"/>
        <w:textAlignment w:val="baseline"/>
        <w:rPr>
          <w:rFonts w:ascii="微软雅黑" w:hAnsi="微软雅黑" w:eastAsia="微软雅黑" w:cs="微软雅黑"/>
          <w:b/>
          <w:sz w:val="24"/>
          <w:szCs w:val="24"/>
        </w:rPr>
      </w:pPr>
    </w:p>
    <w:p>
      <w:pPr>
        <w:pStyle w:val="25"/>
        <w:textAlignment w:val="baseline"/>
        <w:rPr>
          <w:rFonts w:ascii="微软雅黑" w:hAnsi="微软雅黑" w:eastAsia="微软雅黑" w:cs="微软雅黑"/>
        </w:rPr>
      </w:pPr>
      <w:bookmarkStart w:id="598" w:name="_Toc8241"/>
      <w:bookmarkStart w:id="599" w:name="_Toc16088"/>
      <w:bookmarkStart w:id="600" w:name="_Toc22089"/>
      <w:bookmarkStart w:id="601" w:name="_Toc16516"/>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hint="eastAsia" w:ascii="微软雅黑" w:hAnsi="微软雅黑" w:eastAsia="微软雅黑" w:cs="微软雅黑"/>
          <w:b/>
          <w:kern w:val="0"/>
          <w:sz w:val="24"/>
          <w:lang w:val="en-US" w:eastAsia="zh-CN"/>
        </w:rPr>
      </w:pPr>
      <w:bookmarkStart w:id="602" w:name="_Toc7844"/>
      <w:r>
        <w:rPr>
          <w:rFonts w:hint="eastAsia" w:ascii="微软雅黑" w:hAnsi="微软雅黑" w:eastAsia="微软雅黑" w:cs="微软雅黑"/>
          <w:b/>
          <w:kern w:val="0"/>
          <w:sz w:val="24"/>
          <w:lang w:val="en-US" w:eastAsia="zh-CN"/>
        </w:rPr>
        <w:t>2、</w:t>
      </w:r>
      <w:bookmarkEnd w:id="602"/>
      <w:r>
        <w:rPr>
          <w:rFonts w:hint="eastAsia" w:ascii="微软雅黑" w:hAnsi="微软雅黑" w:eastAsia="微软雅黑" w:cs="微软雅黑"/>
          <w:b/>
          <w:kern w:val="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25"/>
        <w:textAlignment w:val="baseline"/>
        <w:rPr>
          <w:rFonts w:hint="eastAsia" w:ascii="微软雅黑" w:hAnsi="微软雅黑" w:eastAsia="微软雅黑" w:cs="微软雅黑"/>
          <w:b/>
          <w:kern w:val="0"/>
          <w:sz w:val="24"/>
          <w:lang w:val="en-US" w:eastAsia="zh-CN"/>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p>
      <w:pPr>
        <w:pStyle w:val="25"/>
        <w:textAlignment w:val="baseline"/>
        <w:rPr>
          <w:rFonts w:ascii="微软雅黑" w:hAnsi="微软雅黑" w:eastAsia="微软雅黑" w:cs="微软雅黑"/>
        </w:rPr>
      </w:pPr>
    </w:p>
    <w:bookmarkEnd w:id="598"/>
    <w:bookmarkEnd w:id="599"/>
    <w:bookmarkEnd w:id="600"/>
    <w:bookmarkEnd w:id="601"/>
    <w:p>
      <w:pPr>
        <w:snapToGrid w:val="0"/>
        <w:spacing w:line="460" w:lineRule="exact"/>
        <w:textAlignment w:val="baseline"/>
        <w:outlineLvl w:val="1"/>
        <w:rPr>
          <w:rFonts w:hint="eastAsia" w:ascii="微软雅黑" w:hAnsi="微软雅黑" w:eastAsia="微软雅黑" w:cs="微软雅黑"/>
          <w:b/>
          <w:kern w:val="0"/>
          <w:sz w:val="24"/>
        </w:rPr>
      </w:pPr>
      <w:bookmarkStart w:id="603" w:name="_Toc4317"/>
      <w:r>
        <w:rPr>
          <w:rFonts w:hint="eastAsia" w:ascii="微软雅黑" w:hAnsi="微软雅黑" w:eastAsia="微软雅黑" w:cs="微软雅黑"/>
          <w:b/>
          <w:kern w:val="0"/>
          <w:sz w:val="24"/>
          <w:lang w:val="en-US" w:eastAsia="zh-CN"/>
        </w:rPr>
        <w:t>3</w:t>
      </w:r>
      <w:r>
        <w:rPr>
          <w:rFonts w:hint="eastAsia" w:ascii="微软雅黑" w:hAnsi="微软雅黑" w:eastAsia="微软雅黑" w:cs="微软雅黑"/>
          <w:b/>
          <w:kern w:val="0"/>
          <w:sz w:val="24"/>
        </w:rPr>
        <w:t>、</w:t>
      </w:r>
      <w:bookmarkEnd w:id="603"/>
      <w:r>
        <w:rPr>
          <w:rFonts w:hint="eastAsia" w:ascii="微软雅黑" w:hAnsi="微软雅黑" w:eastAsia="微软雅黑" w:cs="微软雅黑"/>
          <w:b/>
          <w:kern w:val="0"/>
          <w:sz w:val="24"/>
          <w:lang w:eastAsia="zh-CN"/>
        </w:rPr>
        <w:t>提供有效的营业执照</w:t>
      </w:r>
      <w:r>
        <w:rPr>
          <w:rFonts w:hint="eastAsia" w:ascii="微软雅黑" w:hAnsi="微软雅黑" w:eastAsia="微软雅黑" w:cs="微软雅黑"/>
          <w:b/>
          <w:kern w:val="0"/>
          <w:sz w:val="24"/>
        </w:rPr>
        <w:t>；</w:t>
      </w:r>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说明：1.提供有效的营业执照等证明文件复印件，复印件上应加盖本单位章。</w:t>
      </w:r>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 xml:space="preserve">      2.投标人为自然人的，应提供身份证明的复印件。</w:t>
      </w:r>
    </w:p>
    <w:p>
      <w:pPr>
        <w:snapToGrid w:val="0"/>
        <w:spacing w:line="460" w:lineRule="exact"/>
        <w:textAlignment w:val="baseline"/>
        <w:outlineLvl w:val="9"/>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rPr>
        <w:t xml:space="preserve">      3.联合体投标应提供联合体各方满足以上要求的证明文件。</w:t>
      </w:r>
    </w:p>
    <w:p>
      <w:pPr>
        <w:snapToGrid w:val="0"/>
        <w:spacing w:line="460" w:lineRule="exact"/>
        <w:textAlignment w:val="baseline"/>
        <w:outlineLvl w:val="9"/>
        <w:rPr>
          <w:rFonts w:ascii="微软雅黑" w:hAnsi="微软雅黑" w:eastAsia="微软雅黑" w:cs="微软雅黑"/>
          <w:sz w:val="24"/>
        </w:rPr>
      </w:pPr>
    </w:p>
    <w:p>
      <w:pPr>
        <w:rPr>
          <w:rFonts w:ascii="微软雅黑" w:hAnsi="微软雅黑" w:eastAsia="微软雅黑" w:cs="微软雅黑"/>
          <w:sz w:val="20"/>
        </w:rPr>
      </w:pPr>
    </w:p>
    <w:p>
      <w:pPr>
        <w:pStyle w:val="2"/>
      </w:pPr>
    </w:p>
    <w:p>
      <w:pPr>
        <w:pStyle w:val="34"/>
        <w:snapToGrid w:val="0"/>
        <w:ind w:firstLine="0" w:firstLineChars="0"/>
        <w:textAlignment w:val="baseline"/>
        <w:rPr>
          <w:rFonts w:ascii="微软雅黑" w:hAnsi="微软雅黑" w:eastAsia="微软雅黑" w:cs="微软雅黑"/>
        </w:rPr>
      </w:pPr>
      <w:bookmarkStart w:id="604" w:name="_Toc22522"/>
      <w:r>
        <w:rPr>
          <w:rFonts w:hint="eastAsia" w:ascii="微软雅黑" w:hAnsi="微软雅黑" w:eastAsia="微软雅黑" w:cs="微软雅黑"/>
          <w:b/>
          <w:kern w:val="0"/>
          <w:sz w:val="24"/>
          <w:lang w:val="en-US" w:eastAsia="zh-CN"/>
        </w:rPr>
        <w:t>4、</w:t>
      </w:r>
      <w:bookmarkEnd w:id="604"/>
      <w:r>
        <w:rPr>
          <w:rFonts w:hint="eastAsia" w:ascii="微软雅黑" w:hAnsi="微软雅黑" w:eastAsia="微软雅黑" w:cs="微软雅黑"/>
          <w:b/>
          <w:kern w:val="0"/>
          <w:sz w:val="24"/>
          <w:lang w:val="en-US" w:eastAsia="zh-CN"/>
        </w:rPr>
        <w:t>法人本人投标的提供法人身份证明及身份证，被授权委托人投标提供法人授权委托书及身份证；</w:t>
      </w:r>
      <w:bookmarkStart w:id="605" w:name="_Toc515647807"/>
      <w:bookmarkStart w:id="606" w:name="_Toc21867"/>
      <w:bookmarkStart w:id="607" w:name="_Toc13107"/>
      <w:bookmarkStart w:id="608" w:name="_Toc16640"/>
      <w:bookmarkStart w:id="609" w:name="_Toc22472"/>
      <w:bookmarkStart w:id="610" w:name="_Toc1083"/>
      <w:bookmarkStart w:id="611" w:name="_Toc5436"/>
      <w:bookmarkStart w:id="612" w:name="_Toc6829"/>
    </w:p>
    <w:p>
      <w:pPr>
        <w:pStyle w:val="34"/>
        <w:snapToGrid w:val="0"/>
        <w:spacing w:line="400" w:lineRule="exact"/>
        <w:ind w:left="0" w:leftChars="0" w:firstLine="0" w:firstLineChars="0"/>
        <w:textAlignment w:val="baseline"/>
        <w:rPr>
          <w:rFonts w:hint="eastAsia" w:ascii="微软雅黑" w:hAnsi="微软雅黑" w:eastAsia="微软雅黑" w:cs="微软雅黑"/>
        </w:rPr>
      </w:pPr>
    </w:p>
    <w:p>
      <w:pPr>
        <w:pStyle w:val="16"/>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b/>
          <w:color w:val="auto"/>
          <w:szCs w:val="21"/>
        </w:rPr>
        <w:t>（一）法定代表人身份证明</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同志，现任我单位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职务，为法定代表人，特此证明。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签发日期：                  单位：        </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附：代表人性别：            年龄：           身份证号码：</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联系电话：</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营业执照号码：              经济性质：</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说明：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1、法定代表人为企业事业单位、国家机关、社会团体的主要行政负责人。</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2、内容必须填写真实、清楚、涂改无效，不得转让。</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3、将此证明书原件提交采购代理机构作为投标文件附件。</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2"/>
                            </w:pPr>
                          </w:p>
                          <w:p>
                            <w:pPr>
                              <w:pStyle w:val="2"/>
                            </w:pPr>
                          </w:p>
                          <w:p>
                            <w:pPr>
                              <w:pStyle w:val="2"/>
                            </w:pPr>
                          </w:p>
                          <w:p>
                            <w:pPr>
                              <w:pStyle w:val="2"/>
                            </w:pPr>
                          </w:p>
                        </w:txbxContent>
                      </wps:txbx>
                      <wps:bodyPr wrap="square"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2"/>
                      </w:pPr>
                    </w:p>
                    <w:p>
                      <w:pPr>
                        <w:pStyle w:val="2"/>
                      </w:pPr>
                    </w:p>
                    <w:p>
                      <w:pPr>
                        <w:pStyle w:val="2"/>
                      </w:pPr>
                    </w:p>
                    <w:p>
                      <w:pPr>
                        <w:pStyle w:val="2"/>
                      </w:pPr>
                    </w:p>
                  </w:txbxContent>
                </v:textbox>
              </v:roundrect>
            </w:pict>
          </mc:Fallback>
        </mc:AlternateContent>
      </w:r>
    </w:p>
    <w:p>
      <w:pPr>
        <w:spacing w:line="360" w:lineRule="auto"/>
        <w:rPr>
          <w:rFonts w:hint="eastAsia" w:ascii="微软雅黑" w:hAnsi="微软雅黑" w:eastAsia="微软雅黑" w:cs="微软雅黑"/>
          <w:color w:val="auto"/>
          <w:szCs w:val="21"/>
        </w:rPr>
      </w:pPr>
    </w:p>
    <w:p>
      <w:pPr>
        <w:spacing w:line="360" w:lineRule="auto"/>
        <w:rPr>
          <w:rFonts w:hint="eastAsia" w:ascii="微软雅黑" w:hAnsi="微软雅黑" w:eastAsia="微软雅黑" w:cs="微软雅黑"/>
          <w:color w:val="auto"/>
          <w:szCs w:val="21"/>
        </w:rPr>
      </w:pPr>
    </w:p>
    <w:p>
      <w:pPr>
        <w:autoSpaceDE w:val="0"/>
        <w:autoSpaceDN w:val="0"/>
        <w:adjustRightInd w:val="0"/>
        <w:spacing w:line="360" w:lineRule="auto"/>
        <w:ind w:right="246"/>
        <w:rPr>
          <w:rFonts w:hint="eastAsia" w:ascii="微软雅黑" w:hAnsi="微软雅黑" w:eastAsia="微软雅黑" w:cs="微软雅黑"/>
          <w:color w:val="auto"/>
          <w:kern w:val="0"/>
          <w:szCs w:val="21"/>
        </w:rPr>
      </w:pPr>
    </w:p>
    <w:p>
      <w:pPr>
        <w:autoSpaceDE w:val="0"/>
        <w:autoSpaceDN w:val="0"/>
        <w:adjustRightInd w:val="0"/>
        <w:spacing w:line="360" w:lineRule="auto"/>
        <w:ind w:right="246"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lang w:eastAsia="zh-CN"/>
        </w:rPr>
        <w:t>供应商</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kern w:val="0"/>
          <w:szCs w:val="21"/>
          <w:lang w:eastAsia="zh-CN"/>
        </w:rPr>
        <w:t>公</w:t>
      </w:r>
      <w:r>
        <w:rPr>
          <w:rFonts w:hint="eastAsia" w:ascii="微软雅黑" w:hAnsi="微软雅黑" w:eastAsia="微软雅黑" w:cs="微软雅黑"/>
          <w:color w:val="auto"/>
          <w:kern w:val="0"/>
          <w:szCs w:val="21"/>
        </w:rPr>
        <w:t>章）：</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 xml:space="preserve"> </w:t>
      </w:r>
    </w:p>
    <w:p>
      <w:pPr>
        <w:adjustRightInd w:val="0"/>
        <w:snapToGrid w:val="0"/>
        <w:spacing w:line="360" w:lineRule="auto"/>
        <w:ind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rPr>
        <w:t>法定代表人</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签字或盖章</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szCs w:val="21"/>
          <w:u w:val="single"/>
        </w:rPr>
        <w:t xml:space="preserve">                    </w:t>
      </w:r>
    </w:p>
    <w:p>
      <w:pPr>
        <w:adjustRightInd w:val="0"/>
        <w:snapToGrid w:val="0"/>
        <w:spacing w:line="360" w:lineRule="auto"/>
        <w:ind w:firstLine="686" w:firstLineChars="327"/>
        <w:rPr>
          <w:rFonts w:hint="eastAsia" w:ascii="微软雅黑" w:hAnsi="微软雅黑" w:eastAsia="微软雅黑" w:cs="微软雅黑"/>
          <w:b/>
          <w:bCs/>
          <w:color w:val="auto"/>
          <w:sz w:val="24"/>
        </w:rPr>
      </w:pPr>
      <w:r>
        <w:rPr>
          <w:rFonts w:hint="eastAsia" w:ascii="微软雅黑" w:hAnsi="微软雅黑" w:eastAsia="微软雅黑" w:cs="微软雅黑"/>
          <w:color w:val="auto"/>
          <w:szCs w:val="21"/>
        </w:rPr>
        <w:t>日期：</w:t>
      </w:r>
      <w:r>
        <w:rPr>
          <w:rFonts w:hint="eastAsia" w:ascii="微软雅黑" w:hAnsi="微软雅黑" w:eastAsia="微软雅黑" w:cs="微软雅黑"/>
          <w:color w:val="auto"/>
          <w:szCs w:val="21"/>
          <w:u w:val="single"/>
        </w:rPr>
        <w:t xml:space="preserve">                                       </w:t>
      </w:r>
    </w:p>
    <w:p>
      <w:pPr>
        <w:pStyle w:val="16"/>
        <w:tabs>
          <w:tab w:val="left" w:pos="5580"/>
        </w:tabs>
        <w:spacing w:line="240" w:lineRule="atLeast"/>
        <w:ind w:firstLine="480" w:firstLineChars="200"/>
        <w:rPr>
          <w:rFonts w:hint="eastAsia" w:ascii="微软雅黑" w:hAnsi="微软雅黑" w:eastAsia="微软雅黑" w:cs="微软雅黑"/>
          <w:sz w:val="24"/>
        </w:rPr>
      </w:pPr>
    </w:p>
    <w:p>
      <w:pPr>
        <w:pStyle w:val="16"/>
        <w:tabs>
          <w:tab w:val="left" w:pos="5580"/>
        </w:tabs>
        <w:spacing w:line="240" w:lineRule="atLeast"/>
        <w:ind w:firstLine="480" w:firstLineChars="200"/>
        <w:rPr>
          <w:rFonts w:hint="eastAsia" w:ascii="微软雅黑" w:hAnsi="微软雅黑" w:eastAsia="微软雅黑" w:cs="微软雅黑"/>
          <w:sz w:val="24"/>
        </w:rPr>
      </w:pPr>
    </w:p>
    <w:p>
      <w:pPr>
        <w:pStyle w:val="16"/>
        <w:tabs>
          <w:tab w:val="left" w:pos="5580"/>
        </w:tabs>
        <w:spacing w:line="240" w:lineRule="atLeast"/>
        <w:rPr>
          <w:rFonts w:hint="eastAsia" w:ascii="微软雅黑" w:hAnsi="微软雅黑" w:eastAsia="微软雅黑" w:cs="微软雅黑"/>
          <w:sz w:val="24"/>
        </w:rPr>
      </w:pPr>
    </w:p>
    <w:p>
      <w:pPr>
        <w:spacing w:before="0" w:line="240" w:lineRule="atLeast"/>
        <w:ind w:left="1079" w:leftChars="257" w:hanging="540"/>
        <w:outlineLvl w:val="9"/>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rPr>
        <w:t>（二）法定代表人授权委托书</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本授权书声明：注册于</w:t>
      </w:r>
      <w:r>
        <w:rPr>
          <w:rFonts w:hint="eastAsia" w:ascii="微软雅黑" w:hAnsi="微软雅黑" w:eastAsia="微软雅黑" w:cs="微软雅黑"/>
          <w:color w:val="auto"/>
          <w:szCs w:val="21"/>
          <w:u w:val="single"/>
        </w:rPr>
        <w:t>（国家或地区的名称）</w:t>
      </w:r>
      <w:r>
        <w:rPr>
          <w:rFonts w:hint="eastAsia" w:ascii="微软雅黑" w:hAnsi="微软雅黑" w:eastAsia="微软雅黑" w:cs="微软雅黑"/>
          <w:color w:val="auto"/>
          <w:szCs w:val="21"/>
        </w:rPr>
        <w:t>的（</w:t>
      </w:r>
      <w:r>
        <w:rPr>
          <w:rFonts w:hint="eastAsia" w:ascii="微软雅黑" w:hAnsi="微软雅黑" w:eastAsia="微软雅黑" w:cs="微软雅黑"/>
          <w:i/>
          <w:color w:val="auto"/>
          <w:szCs w:val="21"/>
          <w:u w:val="single"/>
          <w:lang w:eastAsia="zh-CN"/>
        </w:rPr>
        <w:t>供应商</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法人代表姓名、职务</w:t>
      </w:r>
      <w:r>
        <w:rPr>
          <w:rFonts w:hint="eastAsia" w:ascii="微软雅黑" w:hAnsi="微软雅黑" w:eastAsia="微软雅黑" w:cs="微软雅黑"/>
          <w:color w:val="auto"/>
          <w:szCs w:val="21"/>
        </w:rPr>
        <w:t>）代表我单位授权（</w:t>
      </w:r>
      <w:r>
        <w:rPr>
          <w:rFonts w:hint="eastAsia" w:ascii="微软雅黑" w:hAnsi="微软雅黑" w:eastAsia="微软雅黑" w:cs="微软雅黑"/>
          <w:i/>
          <w:color w:val="auto"/>
          <w:szCs w:val="21"/>
          <w:u w:val="single"/>
        </w:rPr>
        <w:t>单位名称</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被授权人的姓名、职务</w:t>
      </w:r>
      <w:r>
        <w:rPr>
          <w:rFonts w:hint="eastAsia" w:ascii="微软雅黑" w:hAnsi="微软雅黑" w:eastAsia="微软雅黑" w:cs="微软雅黑"/>
          <w:color w:val="auto"/>
          <w:szCs w:val="21"/>
        </w:rPr>
        <w:t>）为我单位的合法代理人，就（</w:t>
      </w:r>
      <w:r>
        <w:rPr>
          <w:rFonts w:hint="eastAsia" w:ascii="微软雅黑" w:hAnsi="微软雅黑" w:eastAsia="微软雅黑" w:cs="微软雅黑"/>
          <w:i/>
          <w:color w:val="auto"/>
          <w:szCs w:val="21"/>
          <w:u w:val="single"/>
        </w:rPr>
        <w:t>项目名称）的</w:t>
      </w:r>
      <w:r>
        <w:rPr>
          <w:rFonts w:hint="eastAsia" w:ascii="微软雅黑" w:hAnsi="微软雅黑" w:eastAsia="微软雅黑" w:cs="微软雅黑"/>
          <w:color w:val="auto"/>
          <w:szCs w:val="21"/>
        </w:rPr>
        <w:t>投标，以我单位名义处理一切与之有关的事务。</w:t>
      </w:r>
      <w:r>
        <w:rPr>
          <w:rFonts w:hint="eastAsia" w:ascii="微软雅黑" w:hAnsi="微软雅黑" w:eastAsia="微软雅黑" w:cs="微软雅黑"/>
          <w:color w:val="auto"/>
          <w:szCs w:val="21"/>
        </w:rPr>
        <w:cr/>
      </w:r>
      <w:r>
        <w:rPr>
          <w:rFonts w:hint="eastAsia" w:ascii="微软雅黑" w:hAnsi="微软雅黑" w:eastAsia="微软雅黑" w:cs="微软雅黑"/>
          <w:color w:val="auto"/>
          <w:szCs w:val="21"/>
        </w:rPr>
        <w:t>　　</w:t>
      </w:r>
    </w:p>
    <w:p>
      <w:pPr>
        <w:pStyle w:val="16"/>
        <w:tabs>
          <w:tab w:val="left" w:pos="5580"/>
        </w:tabs>
        <w:spacing w:line="360" w:lineRule="exact"/>
        <w:ind w:left="-539"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本授权书于</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日签字生效,特此声明。</w:t>
      </w:r>
    </w:p>
    <w:p>
      <w:pPr>
        <w:pStyle w:val="16"/>
        <w:tabs>
          <w:tab w:val="left" w:pos="5580"/>
        </w:tabs>
        <w:spacing w:line="240" w:lineRule="atLeast"/>
        <w:ind w:left="-539"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1475105"/>
                <wp:effectExtent l="7620" t="7620" r="13335" b="10795"/>
                <wp:wrapNone/>
                <wp:docPr id="2" name="圆角矩形 2"/>
                <wp:cNvGraphicFramePr/>
                <a:graphic xmlns:a="http://schemas.openxmlformats.org/drawingml/2006/main">
                  <a:graphicData uri="http://schemas.microsoft.com/office/word/2010/wordprocessingShape">
                    <wps:wsp>
                      <wps:cNvSpPr/>
                      <wps:spPr>
                        <a:xfrm>
                          <a:off x="0" y="0"/>
                          <a:ext cx="2478405" cy="147510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116.15pt;width:195.15pt;z-index:251663360;mso-width-relative:page;mso-height-relative:page;" fillcolor="#FFFFFF" filled="t" stroked="t" coordsize="21600,21600" arcsize="0.166666666666667" o:gfxdata="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MZekrbAAAACgEAAA8AAAAAAAAAAQAgAAAAIgAAAGRycy9kb3du&#10;cmV2LnhtbFBLAQIUABQAAAAIAIdO4kA1ZG7qNQIAAHQ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1465580"/>
                <wp:effectExtent l="4445" t="4445" r="9525" b="8255"/>
                <wp:wrapNone/>
                <wp:docPr id="1" name="流程图: 可选过程 1"/>
                <wp:cNvGraphicFramePr/>
                <a:graphic xmlns:a="http://schemas.openxmlformats.org/drawingml/2006/main">
                  <a:graphicData uri="http://schemas.microsoft.com/office/word/2010/wordprocessingShape">
                    <wps:wsp>
                      <wps:cNvSpPr/>
                      <wps:spPr>
                        <a:xfrm>
                          <a:off x="0" y="0"/>
                          <a:ext cx="2317750" cy="14655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115.4pt;width:182.5pt;z-index:251662336;mso-width-relative:page;mso-height-relative:page;" fillcolor="#FFFFFF" filled="t" stroked="t" coordsize="21600,21600" o:gfxdata="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CZhQPWAAAACAEAAA8AAAAAAAAAAQAgAAAAIgAAAGRycy9kb3du&#10;cmV2LnhtbFBLAQIUABQAAAAIAIdO4kA502qhOgIAAGwEAAAOAAAAAAAAAAEAIAAAACUBAABkcnMv&#10;ZTJvRG9jLnhtbFBLBQYAAAAABgAGAFkBAADR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96520</wp:posOffset>
                </wp:positionV>
                <wp:extent cx="2535555" cy="1421130"/>
                <wp:effectExtent l="7620" t="7620" r="17145" b="19050"/>
                <wp:wrapNone/>
                <wp:docPr id="4" name="圆角矩形 4"/>
                <wp:cNvGraphicFramePr/>
                <a:graphic xmlns:a="http://schemas.openxmlformats.org/drawingml/2006/main">
                  <a:graphicData uri="http://schemas.microsoft.com/office/word/2010/wordprocessingShape">
                    <wps:wsp>
                      <wps:cNvSpPr/>
                      <wps:spPr>
                        <a:xfrm>
                          <a:off x="0" y="0"/>
                          <a:ext cx="2535555" cy="142113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7.6pt;height:111.9pt;width:199.65pt;z-index:251665408;mso-width-relative:page;mso-height-relative:page;" fillcolor="#FFFFFF" filled="t" stroked="t" coordsize="21600,21600" arcsize="0.166666666666667" o:gfxdata="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xtibbAAAACgEAAA8AAAAAAAAAAQAgAAAAIgAAAGRycy9kb3du&#10;cmV2LnhtbFBLAQIUABQAAAAIAIdO4kDF/ltvNQIAAHQEAAAOAAAAAAAAAAEAIAAAACoBAABkcnMv&#10;ZTJvRG9jLnhtbFBLBQYAAAAABgAGAFkBAADR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482725"/>
                <wp:effectExtent l="7620" t="7620" r="12700" b="18415"/>
                <wp:wrapNone/>
                <wp:docPr id="3" name="圆角矩形 3"/>
                <wp:cNvGraphicFramePr/>
                <a:graphic xmlns:a="http://schemas.openxmlformats.org/drawingml/2006/main">
                  <a:graphicData uri="http://schemas.microsoft.com/office/word/2010/wordprocessingShape">
                    <wps:wsp>
                      <wps:cNvSpPr/>
                      <wps:spPr>
                        <a:xfrm>
                          <a:off x="0" y="0"/>
                          <a:ext cx="2555240" cy="14827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116.75pt;width:201.2pt;z-index:251664384;mso-width-relative:page;mso-height-relative:page;" fillcolor="#FFFFFF" filled="t" stroked="t" coordsize="21600,21600" arcsize="0.166666666666667" o:gfxdata="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4Wf512gAAAAgBAAAPAAAAAAAAAAEAIAAAACIAAABkcnMvZG93&#10;bnJldi54bWxQSwECFAAUAAAACACHTuJAM5Vi4jcCAAB0BAAADgAAAAAAAAABACAAAAApAQAAZHJz&#10;L2Uyb0RvYy54bWxQSwUGAAAAAAYABgBZAQAA0gU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pStyle w:val="16"/>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公章</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6"/>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身份证号码：__________________________________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详细通讯地址：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邮 政 编 码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　　　　真：</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p>
    <w:p>
      <w:pPr>
        <w:pStyle w:val="16"/>
        <w:tabs>
          <w:tab w:val="left" w:pos="5580"/>
        </w:tabs>
        <w:spacing w:line="360" w:lineRule="exact"/>
        <w:jc w:val="righ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年   月   日 </w:t>
      </w:r>
    </w:p>
    <w:p>
      <w:pPr>
        <w:pStyle w:val="16"/>
        <w:tabs>
          <w:tab w:val="left" w:pos="5580"/>
        </w:tabs>
        <w:spacing w:line="240" w:lineRule="atLeast"/>
        <w:rPr>
          <w:rFonts w:hint="eastAsia" w:ascii="微软雅黑" w:hAnsi="微软雅黑" w:eastAsia="微软雅黑" w:cs="微软雅黑"/>
          <w:b/>
          <w:color w:val="auto"/>
          <w:szCs w:val="21"/>
        </w:rPr>
      </w:pPr>
    </w:p>
    <w:p>
      <w:pPr>
        <w:pStyle w:val="34"/>
        <w:snapToGrid w:val="0"/>
        <w:spacing w:line="400" w:lineRule="exact"/>
        <w:ind w:firstLine="480"/>
        <w:textAlignment w:val="baseline"/>
        <w:rPr>
          <w:rFonts w:hint="eastAsia" w:ascii="微软雅黑" w:hAnsi="微软雅黑" w:eastAsia="微软雅黑" w:cs="微软雅黑"/>
        </w:rPr>
      </w:pPr>
    </w:p>
    <w:bookmarkEnd w:id="605"/>
    <w:bookmarkEnd w:id="606"/>
    <w:bookmarkEnd w:id="607"/>
    <w:bookmarkEnd w:id="608"/>
    <w:bookmarkEnd w:id="609"/>
    <w:bookmarkEnd w:id="610"/>
    <w:bookmarkEnd w:id="611"/>
    <w:bookmarkEnd w:id="612"/>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34"/>
        <w:snapToGrid w:val="0"/>
        <w:ind w:firstLine="480"/>
        <w:textAlignment w:val="baseline"/>
        <w:outlineLvl w:val="9"/>
        <w:rPr>
          <w:rFonts w:hint="eastAsia" w:ascii="微软雅黑" w:hAnsi="微软雅黑" w:eastAsia="微软雅黑" w:cs="微软雅黑"/>
          <w:b/>
          <w:kern w:val="0"/>
          <w:lang w:val="en-US" w:eastAsia="zh-CN"/>
        </w:rPr>
      </w:pPr>
      <w:bookmarkStart w:id="613" w:name="_Toc27633"/>
    </w:p>
    <w:p>
      <w:pPr>
        <w:pStyle w:val="34"/>
        <w:snapToGrid w:val="0"/>
        <w:ind w:firstLine="480"/>
        <w:textAlignment w:val="baseline"/>
        <w:outlineLvl w:val="9"/>
        <w:rPr>
          <w:rFonts w:hint="eastAsia" w:ascii="微软雅黑" w:hAnsi="微软雅黑" w:eastAsia="微软雅黑" w:cs="微软雅黑"/>
          <w:b/>
          <w:kern w:val="0"/>
        </w:rPr>
      </w:pPr>
      <w:r>
        <w:rPr>
          <w:rFonts w:hint="eastAsia" w:ascii="微软雅黑" w:hAnsi="微软雅黑" w:eastAsia="微软雅黑" w:cs="微软雅黑"/>
          <w:b/>
          <w:kern w:val="0"/>
          <w:lang w:val="en-US" w:eastAsia="zh-CN"/>
        </w:rPr>
        <w:t>5</w:t>
      </w:r>
      <w:r>
        <w:rPr>
          <w:rFonts w:hint="eastAsia" w:ascii="微软雅黑" w:hAnsi="微软雅黑" w:eastAsia="微软雅黑" w:cs="微软雅黑"/>
          <w:b/>
          <w:kern w:val="0"/>
        </w:rPr>
        <w:t>、</w:t>
      </w:r>
      <w:bookmarkEnd w:id="613"/>
      <w:r>
        <w:rPr>
          <w:rFonts w:hint="eastAsia" w:ascii="微软雅黑" w:hAnsi="微软雅黑" w:eastAsia="微软雅黑" w:cs="微软雅黑"/>
          <w:b/>
          <w:kern w:val="0"/>
        </w:rPr>
        <w:t>投标单位提供本单位依法缴纳近三个月的社保证明（社保证明可含：社保缴费凭证、社保缴费证明、社保缴费汇总单、依法缴纳社保的完税证明）；</w:t>
      </w:r>
    </w:p>
    <w:p>
      <w:pPr>
        <w:pStyle w:val="34"/>
        <w:snapToGrid w:val="0"/>
        <w:ind w:firstLine="480"/>
        <w:textAlignment w:val="baseline"/>
        <w:outlineLvl w:val="9"/>
        <w:rPr>
          <w:rFonts w:ascii="微软雅黑" w:hAnsi="微软雅黑" w:eastAsia="微软雅黑" w:cs="微软雅黑"/>
          <w:b/>
          <w:kern w:val="0"/>
        </w:rPr>
      </w:pPr>
    </w:p>
    <w:p>
      <w:pPr>
        <w:pStyle w:val="34"/>
        <w:snapToGrid w:val="0"/>
        <w:ind w:firstLine="0" w:firstLineChars="0"/>
        <w:textAlignment w:val="baseline"/>
        <w:outlineLvl w:val="9"/>
        <w:rPr>
          <w:rFonts w:ascii="微软雅黑" w:hAnsi="微软雅黑" w:eastAsia="微软雅黑" w:cs="微软雅黑"/>
          <w:b/>
          <w:kern w:val="0"/>
          <w:sz w:val="21"/>
        </w:rPr>
      </w:pPr>
    </w:p>
    <w:p>
      <w:pPr>
        <w:pStyle w:val="34"/>
        <w:snapToGrid w:val="0"/>
        <w:ind w:firstLine="480"/>
        <w:textAlignment w:val="baseline"/>
        <w:outlineLvl w:val="9"/>
        <w:rPr>
          <w:rFonts w:hint="eastAsia" w:ascii="微软雅黑" w:hAnsi="微软雅黑" w:eastAsia="微软雅黑" w:cs="微软雅黑"/>
          <w:b/>
          <w:kern w:val="0"/>
        </w:rPr>
      </w:pPr>
    </w:p>
    <w:p>
      <w:pPr>
        <w:pStyle w:val="34"/>
        <w:snapToGrid w:val="0"/>
        <w:ind w:firstLine="480"/>
        <w:textAlignment w:val="baseline"/>
        <w:outlineLvl w:val="9"/>
        <w:rPr>
          <w:rFonts w:hint="eastAsia" w:ascii="微软雅黑" w:hAnsi="微软雅黑" w:eastAsia="微软雅黑" w:cs="微软雅黑"/>
          <w:b/>
          <w:kern w:val="0"/>
          <w:lang w:val="en-US" w:eastAsia="zh-CN"/>
        </w:rPr>
      </w:pPr>
      <w:r>
        <w:rPr>
          <w:rFonts w:hint="eastAsia" w:ascii="微软雅黑" w:hAnsi="微软雅黑" w:eastAsia="微软雅黑" w:cs="微软雅黑"/>
          <w:b/>
          <w:kern w:val="0"/>
          <w:lang w:val="en-US" w:eastAsia="zh-CN"/>
        </w:rPr>
        <w:t>6、提供税务部门出具近三个月的完税证明；</w:t>
      </w:r>
    </w:p>
    <w:p>
      <w:pPr>
        <w:pStyle w:val="34"/>
        <w:snapToGrid w:val="0"/>
        <w:ind w:firstLine="480"/>
        <w:textAlignment w:val="baseline"/>
        <w:outlineLvl w:val="9"/>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说明：新成立公司若无纳税记录，可开具无欠税证明。</w:t>
      </w: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ind w:left="1079" w:leftChars="257" w:hanging="540"/>
        <w:textAlignment w:val="baseline"/>
        <w:rPr>
          <w:rFonts w:ascii="微软雅黑" w:hAnsi="微软雅黑" w:eastAsia="微软雅黑" w:cs="微软雅黑"/>
          <w:b/>
          <w:kern w:val="0"/>
          <w:sz w:val="24"/>
          <w:szCs w:val="24"/>
        </w:rPr>
      </w:pP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bCs w:val="0"/>
          <w:kern w:val="0"/>
          <w:sz w:val="24"/>
          <w:szCs w:val="20"/>
          <w:lang w:val="en-US" w:eastAsia="zh-CN" w:bidi="ar-SA"/>
        </w:rPr>
        <w:t>7、提供2021年度的财务审计报告（新成立公司需提供银行资信证明）；</w:t>
      </w:r>
      <w:r>
        <w:rPr>
          <w:rFonts w:hint="eastAsia" w:ascii="微软雅黑" w:hAnsi="微软雅黑" w:eastAsia="微软雅黑" w:cs="微软雅黑"/>
          <w:b w:val="0"/>
          <w:bCs/>
          <w:kern w:val="0"/>
          <w:sz w:val="24"/>
          <w:lang w:val="en-US" w:eastAsia="zh-CN"/>
        </w:rPr>
        <w:t>说明：</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1、如提供本单位上年度经会计师事务所出具的审计报告复印件须加盖本单位章。</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3、如果是联合体投标，联合体各方均需提供上述证明。</w:t>
      </w: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16"/>
        <w:tabs>
          <w:tab w:val="left" w:pos="5580"/>
        </w:tabs>
        <w:spacing w:line="240" w:lineRule="atLeast"/>
        <w:rPr>
          <w:rFonts w:ascii="微软雅黑" w:hAnsi="微软雅黑" w:eastAsia="微软雅黑" w:cs="微软雅黑"/>
        </w:rPr>
      </w:pPr>
      <w:r>
        <w:rPr>
          <w:rFonts w:hint="eastAsia" w:ascii="微软雅黑" w:hAnsi="微软雅黑" w:eastAsia="微软雅黑" w:cs="微软雅黑"/>
          <w:b/>
          <w:bCs w:val="0"/>
          <w:kern w:val="0"/>
          <w:sz w:val="24"/>
          <w:szCs w:val="20"/>
          <w:lang w:val="en-US" w:eastAsia="zh-CN" w:bidi="ar-SA"/>
        </w:rPr>
        <w:t xml:space="preserve">8、参加政府采购活动前3年内在经营活动中没有重大违法记录的书面声明；   </w:t>
      </w:r>
      <w:r>
        <w:rPr>
          <w:rFonts w:hint="eastAsia" w:ascii="微软雅黑" w:hAnsi="微软雅黑" w:eastAsia="微软雅黑" w:cs="微软雅黑"/>
          <w:b w:val="0"/>
          <w:bCs/>
          <w:kern w:val="0"/>
          <w:sz w:val="24"/>
          <w:szCs w:val="20"/>
          <w:lang w:val="en-US" w:eastAsia="zh-CN" w:bidi="ar-SA"/>
        </w:rPr>
        <w:t>说明：1.供应商应按照相关法规规定如实作出说明。</w:t>
      </w: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16"/>
        <w:tabs>
          <w:tab w:val="left" w:pos="5580"/>
        </w:tabs>
        <w:snapToGrid w:val="0"/>
        <w:spacing w:line="240" w:lineRule="atLeast"/>
        <w:jc w:val="both"/>
        <w:textAlignment w:val="baseline"/>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lang w:val="en-US" w:eastAsia="zh-CN"/>
        </w:rPr>
        <w:t>9、</w:t>
      </w:r>
      <w:r>
        <w:rPr>
          <w:rFonts w:hint="eastAsia" w:ascii="微软雅黑" w:hAnsi="微软雅黑" w:eastAsia="微软雅黑" w:cs="微软雅黑"/>
          <w:b/>
          <w:kern w:val="0"/>
          <w:sz w:val="24"/>
          <w:szCs w:val="24"/>
        </w:rPr>
        <w:t>提供针对本次项目的反商业贿赂承诺书。</w:t>
      </w: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pStyle w:val="16"/>
        <w:tabs>
          <w:tab w:val="left" w:pos="5580"/>
        </w:tabs>
        <w:snapToGrid w:val="0"/>
        <w:spacing w:line="240" w:lineRule="atLeast"/>
        <w:textAlignment w:val="baseline"/>
        <w:rPr>
          <w:rFonts w:ascii="微软雅黑" w:hAnsi="微软雅黑" w:eastAsia="微软雅黑" w:cs="微软雅黑"/>
          <w:b/>
          <w:kern w:val="0"/>
          <w:sz w:val="24"/>
          <w:szCs w:val="24"/>
        </w:rPr>
      </w:pPr>
    </w:p>
    <w:p>
      <w:pPr>
        <w:snapToGrid w:val="0"/>
        <w:spacing w:line="360" w:lineRule="exac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szCs w:val="24"/>
          <w:lang w:val="en-US" w:eastAsia="zh-CN"/>
        </w:rPr>
        <w:t>10</w:t>
      </w:r>
      <w:r>
        <w:rPr>
          <w:rFonts w:hint="eastAsia" w:ascii="微软雅黑" w:hAnsi="微软雅黑" w:eastAsia="微软雅黑" w:cs="微软雅黑"/>
          <w:b/>
          <w:kern w:val="0"/>
          <w:sz w:val="24"/>
          <w:szCs w:val="24"/>
        </w:rPr>
        <w:t>、</w:t>
      </w:r>
      <w:bookmarkStart w:id="614" w:name="_Toc28525"/>
      <w:bookmarkStart w:id="615" w:name="_Toc494296991"/>
      <w:bookmarkStart w:id="616" w:name="_Toc494296665"/>
      <w:bookmarkStart w:id="617" w:name="_Toc16480"/>
      <w:bookmarkStart w:id="618" w:name="_Toc10102"/>
      <w:bookmarkStart w:id="619" w:name="_Toc16326"/>
      <w:bookmarkStart w:id="620" w:name="_Toc20720"/>
      <w:r>
        <w:rPr>
          <w:rFonts w:hint="eastAsia" w:ascii="微软雅黑" w:hAnsi="微软雅黑" w:eastAsia="微软雅黑" w:cs="微软雅黑"/>
          <w:b/>
          <w:kern w:val="0"/>
          <w:sz w:val="24"/>
          <w:szCs w:val="24"/>
          <w:lang w:eastAsia="zh-CN"/>
        </w:rPr>
        <w:t>提供缴纳磋商保证金的有效凭证。</w:t>
      </w:r>
    </w:p>
    <w:p>
      <w:pPr>
        <w:snapToGrid w:val="0"/>
        <w:spacing w:line="360" w:lineRule="exact"/>
        <w:ind w:firstLine="480" w:firstLineChars="200"/>
        <w:textAlignment w:val="baseline"/>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lang w:val="en-US" w:eastAsia="zh-CN"/>
        </w:rPr>
        <w:t>供应商</w:t>
      </w:r>
      <w:r>
        <w:rPr>
          <w:rFonts w:hint="eastAsia" w:ascii="微软雅黑" w:hAnsi="微软雅黑" w:eastAsia="微软雅黑" w:cs="微软雅黑"/>
          <w:b w:val="0"/>
          <w:bCs/>
          <w:kern w:val="0"/>
          <w:sz w:val="24"/>
        </w:rPr>
        <w:t>可将本项目</w:t>
      </w:r>
      <w:r>
        <w:rPr>
          <w:rFonts w:hint="eastAsia" w:ascii="微软雅黑" w:hAnsi="微软雅黑" w:eastAsia="微软雅黑" w:cs="微软雅黑"/>
          <w:b w:val="0"/>
          <w:bCs/>
          <w:kern w:val="0"/>
          <w:sz w:val="24"/>
          <w:lang w:val="en-US" w:eastAsia="zh-CN"/>
        </w:rPr>
        <w:t>磋商</w:t>
      </w:r>
      <w:r>
        <w:rPr>
          <w:rFonts w:hint="eastAsia" w:ascii="微软雅黑" w:hAnsi="微软雅黑" w:eastAsia="微软雅黑" w:cs="微软雅黑"/>
          <w:b w:val="0"/>
          <w:bCs/>
          <w:kern w:val="0"/>
          <w:sz w:val="24"/>
        </w:rPr>
        <w:t>保证金支付的汇款凭证的复印件作为缴纳凭证装订在本部分，复印件上应加盖本单位章；使用</w:t>
      </w:r>
      <w:r>
        <w:rPr>
          <w:rFonts w:ascii="微软雅黑" w:hAnsi="微软雅黑" w:eastAsia="微软雅黑" w:cs="微软雅黑"/>
          <w:b w:val="0"/>
          <w:bCs/>
          <w:kern w:val="0"/>
          <w:sz w:val="24"/>
        </w:rPr>
        <w:t>银行保函</w:t>
      </w:r>
      <w:r>
        <w:rPr>
          <w:rFonts w:hint="eastAsia" w:ascii="微软雅黑" w:hAnsi="微软雅黑" w:eastAsia="微软雅黑" w:cs="微软雅黑"/>
          <w:b w:val="0"/>
          <w:bCs/>
          <w:kern w:val="0"/>
          <w:sz w:val="24"/>
        </w:rPr>
        <w:t>等其他投标</w:t>
      </w:r>
      <w:r>
        <w:rPr>
          <w:rFonts w:ascii="微软雅黑" w:hAnsi="微软雅黑" w:eastAsia="微软雅黑" w:cs="微软雅黑"/>
          <w:b w:val="0"/>
          <w:bCs/>
          <w:kern w:val="0"/>
          <w:sz w:val="24"/>
        </w:rPr>
        <w:t>担保函的，</w:t>
      </w:r>
      <w:r>
        <w:rPr>
          <w:rFonts w:hint="eastAsia" w:ascii="微软雅黑" w:hAnsi="微软雅黑" w:eastAsia="微软雅黑" w:cs="微软雅黑"/>
          <w:b w:val="0"/>
          <w:bCs/>
          <w:kern w:val="0"/>
          <w:sz w:val="24"/>
        </w:rPr>
        <w:t>应将</w:t>
      </w:r>
      <w:r>
        <w:rPr>
          <w:rFonts w:ascii="微软雅黑" w:hAnsi="微软雅黑" w:eastAsia="微软雅黑" w:cs="微软雅黑"/>
          <w:b w:val="0"/>
          <w:bCs/>
          <w:kern w:val="0"/>
          <w:sz w:val="24"/>
        </w:rPr>
        <w:t>担保函正</w:t>
      </w:r>
      <w:r>
        <w:rPr>
          <w:rFonts w:hint="eastAsia" w:ascii="微软雅黑" w:hAnsi="微软雅黑" w:eastAsia="微软雅黑" w:cs="微软雅黑"/>
          <w:b w:val="0"/>
          <w:bCs/>
          <w:kern w:val="0"/>
          <w:sz w:val="24"/>
        </w:rPr>
        <w:t>本，装订</w:t>
      </w:r>
      <w:r>
        <w:rPr>
          <w:rFonts w:ascii="微软雅黑" w:hAnsi="微软雅黑" w:eastAsia="微软雅黑" w:cs="微软雅黑"/>
          <w:b w:val="0"/>
          <w:bCs/>
          <w:kern w:val="0"/>
          <w:sz w:val="24"/>
        </w:rPr>
        <w:t>在本部分</w:t>
      </w:r>
      <w:r>
        <w:rPr>
          <w:rFonts w:hint="eastAsia" w:ascii="微软雅黑" w:hAnsi="微软雅黑" w:eastAsia="微软雅黑" w:cs="微软雅黑"/>
          <w:b w:val="0"/>
          <w:bCs/>
          <w:kern w:val="0"/>
          <w:sz w:val="24"/>
        </w:rPr>
        <w:t>正本</w:t>
      </w:r>
      <w:r>
        <w:rPr>
          <w:rFonts w:ascii="微软雅黑" w:hAnsi="微软雅黑" w:eastAsia="微软雅黑" w:cs="微软雅黑"/>
          <w:b w:val="0"/>
          <w:bCs/>
          <w:kern w:val="0"/>
          <w:sz w:val="24"/>
        </w:rPr>
        <w:t>中；</w:t>
      </w:r>
      <w:r>
        <w:rPr>
          <w:rFonts w:hint="eastAsia" w:ascii="微软雅黑" w:hAnsi="微软雅黑" w:eastAsia="微软雅黑" w:cs="微软雅黑"/>
          <w:b w:val="0"/>
          <w:bCs/>
          <w:kern w:val="0"/>
          <w:sz w:val="24"/>
        </w:rPr>
        <w:t>如采用政府采购信用担保形式的，</w:t>
      </w:r>
      <w:r>
        <w:rPr>
          <w:rFonts w:ascii="微软雅黑" w:hAnsi="微软雅黑" w:eastAsia="微软雅黑" w:cs="微软雅黑"/>
          <w:b w:val="0"/>
          <w:bCs/>
          <w:kern w:val="0"/>
          <w:sz w:val="24"/>
        </w:rPr>
        <w:t>应使用</w:t>
      </w:r>
      <w:r>
        <w:rPr>
          <w:rFonts w:hint="eastAsia" w:ascii="微软雅黑" w:hAnsi="微软雅黑" w:eastAsia="微软雅黑" w:cs="微软雅黑"/>
          <w:b w:val="0"/>
          <w:bCs/>
          <w:kern w:val="0"/>
          <w:sz w:val="24"/>
        </w:rPr>
        <w:t>（</w:t>
      </w:r>
      <w:r>
        <w:rPr>
          <w:rFonts w:ascii="微软雅黑" w:hAnsi="微软雅黑" w:eastAsia="微软雅黑" w:cs="微软雅黑"/>
          <w:b w:val="0"/>
          <w:bCs/>
          <w:kern w:val="0"/>
          <w:sz w:val="24"/>
        </w:rPr>
        <w:t>投标文件</w:t>
      </w:r>
      <w:r>
        <w:rPr>
          <w:rFonts w:hint="eastAsia" w:ascii="微软雅黑" w:hAnsi="微软雅黑" w:eastAsia="微软雅黑" w:cs="微软雅黑"/>
          <w:b w:val="0"/>
          <w:bCs/>
          <w:kern w:val="0"/>
          <w:sz w:val="24"/>
        </w:rPr>
        <w:t>格式三）,将原件装订</w:t>
      </w:r>
      <w:r>
        <w:rPr>
          <w:rFonts w:ascii="微软雅黑" w:hAnsi="微软雅黑" w:eastAsia="微软雅黑" w:cs="微软雅黑"/>
          <w:b w:val="0"/>
          <w:bCs/>
          <w:kern w:val="0"/>
          <w:sz w:val="24"/>
        </w:rPr>
        <w:t>在本部分正本中</w:t>
      </w:r>
      <w:r>
        <w:rPr>
          <w:rFonts w:hint="eastAsia" w:ascii="微软雅黑" w:hAnsi="微软雅黑" w:eastAsia="微软雅黑" w:cs="微软雅黑"/>
          <w:b w:val="0"/>
          <w:bCs/>
          <w:kern w:val="0"/>
          <w:sz w:val="24"/>
        </w:rPr>
        <w:t>。</w:t>
      </w:r>
    </w:p>
    <w:p>
      <w:pPr>
        <w:jc w:val="center"/>
        <w:rPr>
          <w:rFonts w:hint="eastAsia" w:ascii="微软雅黑" w:hAnsi="微软雅黑" w:eastAsia="微软雅黑" w:cs="微软雅黑"/>
          <w:sz w:val="24"/>
          <w:szCs w:val="24"/>
        </w:rPr>
      </w:pPr>
    </w:p>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政府采购投标担保函 （项目用）（投标文件格式三）</w:t>
      </w:r>
    </w:p>
    <w:p>
      <w:pPr>
        <w:ind w:firstLine="6240" w:firstLineChars="2600"/>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（采购人或采购代理机构）：</w:t>
      </w:r>
    </w:p>
    <w:p>
      <w:pPr>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鉴于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（以下简称“投标人”）拟参加编号为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项目（以下简称“本项目”）投标，根据本项目</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一、保证责任的情形及保证金额</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（一）在投标人出现下列情形之一时，我方承担保证责任：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1．中标后投标人无正当理由不与采购人或者采购代理机构签订《政府采购合同》；</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规定的投标人应当缴纳保证金的其他情形。</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（二）我方承担保证责任的最高金额为人民币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），即本项目的投标保证金金额。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二、保证的方式及保证期间</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我方保证的方式为：连带责任保证。</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我方的保证期间为：自本保函生效之日起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三、承担保证责任的程序</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2．我方在收到索赔通知及相关证明材料后，在</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个工作日内进行审查，符合应承担保证责任情形的，我方应按照你方的要求代投标人向你方支付投标保证金。</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四、保证责任的终止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1．保证期间届满你方未向我方书面主张保证责任的，自保证期间届满次日起，我方保证责任自动终止。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2．我方按照本保函向你贵方履行了保证责任后，自我方向你贵方支付款项（支付款项从我方账户划出）之日起，保证责任终止。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3．按照法律法规的规定或出现我方保证责任终止的其它情形的，我方在本保函项下的保证责任亦终止。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五、免责条款</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1．依照法律规定或你方与投标人的另行约定，全部或者部分免除投标人投标保证金义务时，我方亦免除相应的保证责任。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2．因你方原因致使投标人发生本保函第一条第（一）款约定情形的，我方不承担保证责任。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3．因不可抗力造成投标人发生本保函第一条约定情形的，我方不承担保证责任。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4．你方或其他有权机关对</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进行任何澄清或修改，加重我方保证责任的，我方对加重部分不承担保证责任，但该澄清或修改经我方事先书面同意的除外。</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六、争议的解决</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因本保函发生的纠纷，由你我双方协商解决，协商不成的，通过诉讼程序解决，诉讼管辖地法院为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法院。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七、保函的生效</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本保函自我方加盖公章之日起生效。</w:t>
      </w:r>
    </w:p>
    <w:p>
      <w:pPr>
        <w:ind w:firstLine="6360" w:firstLineChars="2650"/>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保证人：（公章）</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pPr>
        <w:snapToGrid w:val="0"/>
        <w:spacing w:line="360" w:lineRule="exact"/>
        <w:textAlignment w:val="baseline"/>
        <w:rPr>
          <w:rFonts w:ascii="微软雅黑" w:hAnsi="微软雅黑" w:eastAsia="微软雅黑" w:cs="微软雅黑"/>
          <w:b/>
          <w:kern w:val="0"/>
          <w:sz w:val="24"/>
        </w:rPr>
      </w:pPr>
    </w:p>
    <w:p>
      <w:pPr>
        <w:pStyle w:val="5"/>
        <w:rPr>
          <w:rFonts w:ascii="微软雅黑" w:hAnsi="微软雅黑" w:eastAsia="微软雅黑" w:cs="微软雅黑"/>
          <w:b/>
          <w:kern w:val="0"/>
          <w:sz w:val="24"/>
        </w:rPr>
      </w:pPr>
    </w:p>
    <w:p>
      <w:pPr>
        <w:pStyle w:val="2"/>
        <w:ind w:left="0" w:leftChars="0" w:firstLine="0" w:firstLineChars="0"/>
        <w:rPr>
          <w:rFonts w:hint="default"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11.供应商可提供有利于投标的其他资格证明材料。</w:t>
      </w:r>
    </w:p>
    <w:p>
      <w:pPr>
        <w:snapToGrid w:val="0"/>
        <w:spacing w:line="360" w:lineRule="exact"/>
        <w:textAlignment w:val="baseline"/>
        <w:rPr>
          <w:rFonts w:ascii="微软雅黑" w:hAnsi="微软雅黑" w:eastAsia="微软雅黑" w:cs="微软雅黑"/>
          <w:b/>
          <w:kern w:val="0"/>
          <w:sz w:val="24"/>
        </w:rPr>
      </w:pPr>
    </w:p>
    <w:p>
      <w:pPr>
        <w:pStyle w:val="25"/>
        <w:rPr>
          <w:rFonts w:ascii="微软雅黑" w:hAnsi="微软雅黑" w:eastAsia="微软雅黑" w:cs="微软雅黑"/>
          <w:b/>
          <w:kern w:val="0"/>
          <w:sz w:val="24"/>
        </w:rPr>
      </w:pPr>
    </w:p>
    <w:p>
      <w:pPr>
        <w:pStyle w:val="25"/>
        <w:rPr>
          <w:rFonts w:ascii="微软雅黑" w:hAnsi="微软雅黑" w:eastAsia="微软雅黑" w:cs="微软雅黑"/>
          <w:b/>
          <w:kern w:val="0"/>
          <w:sz w:val="24"/>
        </w:rPr>
      </w:pPr>
    </w:p>
    <w:bookmarkEnd w:id="614"/>
    <w:bookmarkEnd w:id="615"/>
    <w:bookmarkEnd w:id="616"/>
    <w:bookmarkEnd w:id="617"/>
    <w:bookmarkEnd w:id="618"/>
    <w:bookmarkEnd w:id="619"/>
    <w:bookmarkEnd w:id="620"/>
    <w:p>
      <w:pPr>
        <w:tabs>
          <w:tab w:val="left" w:pos="5580"/>
        </w:tabs>
        <w:spacing w:line="240" w:lineRule="atLeast"/>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12.投标人须知资料表要求的其他资格证明文件</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说明：1.应提供供应商须知资料表要求的其他资格证明文件。</w:t>
      </w:r>
    </w:p>
    <w:p>
      <w:pPr>
        <w:tabs>
          <w:tab w:val="left" w:pos="5580"/>
        </w:tabs>
        <w:spacing w:line="240" w:lineRule="atLeast"/>
        <w:ind w:left="540" w:firstLine="720" w:firstLineChars="30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2.复印件上应加盖本单位章。</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 xml:space="preserve">     3. 如果是联合体投标，联合体各方需提供的满足竞争性磋商文件要求的其他资格证明文件。</w:t>
      </w:r>
    </w:p>
    <w:p>
      <w:pPr>
        <w:snapToGrid w:val="0"/>
        <w:spacing w:line="360" w:lineRule="exact"/>
        <w:textAlignment w:val="baseline"/>
        <w:outlineLvl w:val="9"/>
        <w:rPr>
          <w:rFonts w:ascii="微软雅黑" w:hAnsi="微软雅黑" w:eastAsia="微软雅黑" w:cs="微软雅黑"/>
          <w:b/>
          <w:kern w:val="0"/>
          <w:sz w:val="24"/>
        </w:rPr>
      </w:pPr>
    </w:p>
    <w:p>
      <w:pPr>
        <w:snapToGrid w:val="0"/>
        <w:textAlignment w:val="baseline"/>
        <w:rPr>
          <w:rFonts w:ascii="微软雅黑" w:hAnsi="微软雅黑" w:eastAsia="微软雅黑" w:cs="微软雅黑"/>
          <w:sz w:val="2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6"/>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79" w:leftChars="257" w:hanging="540"/>
        <w:jc w:val="center"/>
        <w:textAlignment w:val="baseline"/>
        <w:rPr>
          <w:rFonts w:ascii="微软雅黑" w:hAnsi="微软雅黑" w:eastAsia="微软雅黑" w:cs="微软雅黑"/>
          <w:b/>
          <w:sz w:val="24"/>
        </w:rPr>
      </w:pPr>
      <w:bookmarkStart w:id="621" w:name="_Toc25827"/>
      <w:bookmarkStart w:id="622" w:name="_Toc515647816"/>
      <w:bookmarkStart w:id="623" w:name="_Toc11180"/>
      <w:bookmarkStart w:id="624" w:name="_Toc12440"/>
      <w:bookmarkStart w:id="625" w:name="_Toc11956"/>
      <w:bookmarkStart w:id="626" w:name="_Toc22967"/>
      <w:bookmarkStart w:id="627" w:name="_Toc3552"/>
    </w:p>
    <w:p>
      <w:pPr>
        <w:pStyle w:val="4"/>
        <w:snapToGrid w:val="0"/>
        <w:spacing w:before="0" w:line="240" w:lineRule="atLeast"/>
        <w:ind w:left="1079" w:leftChars="257" w:hanging="540"/>
        <w:textAlignment w:val="baseline"/>
        <w:rPr>
          <w:rFonts w:ascii="微软雅黑" w:hAnsi="微软雅黑" w:eastAsia="微软雅黑" w:cs="微软雅黑"/>
          <w:sz w:val="24"/>
          <w:szCs w:val="24"/>
        </w:rPr>
      </w:pPr>
      <w:bookmarkStart w:id="628" w:name="_Toc26228"/>
      <w:r>
        <w:rPr>
          <w:rFonts w:hint="eastAsia" w:ascii="微软雅黑" w:hAnsi="微软雅黑" w:eastAsia="微软雅黑" w:cs="微软雅黑"/>
          <w:sz w:val="24"/>
          <w:szCs w:val="24"/>
        </w:rPr>
        <w:t>第二部分  商务及技术文件</w:t>
      </w:r>
      <w:bookmarkEnd w:id="621"/>
      <w:bookmarkEnd w:id="622"/>
      <w:bookmarkEnd w:id="623"/>
      <w:bookmarkEnd w:id="624"/>
      <w:bookmarkEnd w:id="625"/>
      <w:bookmarkEnd w:id="626"/>
      <w:bookmarkEnd w:id="627"/>
      <w:bookmarkEnd w:id="628"/>
    </w:p>
    <w:p>
      <w:pPr>
        <w:pStyle w:val="16"/>
        <w:spacing w:line="360" w:lineRule="exact"/>
        <w:ind w:firstLine="720" w:firstLineChars="300"/>
        <w:rPr>
          <w:rFonts w:hint="eastAsia" w:ascii="微软雅黑" w:hAnsi="微软雅黑" w:eastAsia="微软雅黑" w:cs="微软雅黑"/>
          <w:sz w:val="24"/>
          <w:lang w:eastAsia="zh-CN"/>
        </w:rPr>
      </w:pPr>
      <w:r>
        <w:rPr>
          <w:rFonts w:hint="eastAsia" w:ascii="微软雅黑" w:hAnsi="微软雅黑" w:eastAsia="微软雅黑" w:cs="微软雅黑"/>
          <w:sz w:val="24"/>
        </w:rPr>
        <w:t>1、磋商</w:t>
      </w:r>
      <w:r>
        <w:rPr>
          <w:rFonts w:hint="eastAsia" w:ascii="微软雅黑" w:hAnsi="微软雅黑" w:eastAsia="微软雅黑" w:cs="微软雅黑"/>
          <w:sz w:val="24"/>
          <w:lang w:eastAsia="zh-CN"/>
        </w:rPr>
        <w:t>涵</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2、磋商分项报价表</w:t>
      </w:r>
    </w:p>
    <w:p>
      <w:pPr>
        <w:pStyle w:val="16"/>
        <w:spacing w:line="360" w:lineRule="exact"/>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说明一览表</w:t>
      </w:r>
    </w:p>
    <w:p>
      <w:pPr>
        <w:pStyle w:val="16"/>
        <w:spacing w:line="360" w:lineRule="exact"/>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技术规格偏离表</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w:t>
      </w:r>
      <w:bookmarkStart w:id="629" w:name="_Toc2883_WPSOffice_Level2"/>
      <w:bookmarkStart w:id="630" w:name="_Toc5136_WPSOffice_Level1"/>
      <w:bookmarkStart w:id="631" w:name="_Toc30193_WPSOffice_Level2"/>
      <w:r>
        <w:rPr>
          <w:rFonts w:hint="eastAsia" w:ascii="微软雅黑" w:hAnsi="微软雅黑" w:eastAsia="微软雅黑" w:cs="微软雅黑"/>
          <w:sz w:val="24"/>
        </w:rPr>
        <w:t>商务条款偏离表</w:t>
      </w:r>
    </w:p>
    <w:bookmarkEnd w:id="629"/>
    <w:bookmarkEnd w:id="630"/>
    <w:bookmarkEnd w:id="631"/>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-1 中小企业声明函</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-2 残疾人福利性单位声明函</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、供应商关联单位的说明</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、其他有利于磋商的技术条件</w:t>
      </w:r>
    </w:p>
    <w:p>
      <w:pPr>
        <w:pStyle w:val="16"/>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、响应文件格式范本</w:t>
      </w:r>
    </w:p>
    <w:p>
      <w:pPr>
        <w:pStyle w:val="16"/>
        <w:snapToGrid w:val="0"/>
        <w:ind w:left="1079" w:leftChars="257" w:hanging="540"/>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p>
      <w:pPr>
        <w:pStyle w:val="16"/>
        <w:tabs>
          <w:tab w:val="left" w:pos="5580"/>
        </w:tabs>
        <w:snapToGrid w:val="0"/>
        <w:spacing w:line="240" w:lineRule="atLeast"/>
        <w:textAlignment w:val="baseline"/>
        <w:rPr>
          <w:rFonts w:ascii="微软雅黑" w:hAnsi="微软雅黑" w:eastAsia="微软雅黑" w:cs="微软雅黑"/>
          <w:sz w:val="24"/>
          <w:szCs w:val="24"/>
        </w:rPr>
      </w:pPr>
    </w:p>
    <w:bookmarkEnd w:id="593"/>
    <w:bookmarkEnd w:id="594"/>
    <w:bookmarkEnd w:id="595"/>
    <w:bookmarkEnd w:id="596"/>
    <w:p>
      <w:pPr>
        <w:pStyle w:val="4"/>
        <w:rPr>
          <w:rFonts w:hint="eastAsia" w:ascii="宋体" w:hAnsi="宋体" w:eastAsia="宋体" w:cs="宋体"/>
          <w:sz w:val="24"/>
          <w:highlight w:val="none"/>
        </w:rPr>
      </w:pPr>
      <w:bookmarkStart w:id="632" w:name="_Toc19813"/>
      <w:bookmarkStart w:id="633" w:name="_Toc16278"/>
      <w:bookmarkStart w:id="634" w:name="_Toc21814"/>
      <w:bookmarkStart w:id="635" w:name="_Toc18940"/>
      <w:bookmarkStart w:id="636" w:name="_Toc32628"/>
      <w:bookmarkStart w:id="637" w:name="_Toc3467"/>
      <w:bookmarkStart w:id="638" w:name="_Toc11664"/>
      <w:bookmarkStart w:id="639" w:name="_Toc23195"/>
      <w:bookmarkStart w:id="640" w:name="_Toc22104"/>
      <w:bookmarkStart w:id="641" w:name="_Toc24292"/>
      <w:bookmarkStart w:id="642" w:name="_Toc9921"/>
      <w:bookmarkStart w:id="643" w:name="_Toc22132"/>
      <w:bookmarkStart w:id="644" w:name="_Toc6343"/>
      <w:bookmarkStart w:id="645" w:name="_Toc216582816"/>
      <w:bookmarkStart w:id="646" w:name="_Toc515647819"/>
      <w:bookmarkStart w:id="647" w:name="_Toc25251"/>
      <w:bookmarkStart w:id="648" w:name="_Toc18267"/>
      <w:bookmarkStart w:id="649" w:name="_Toc14037"/>
      <w:bookmarkStart w:id="650" w:name="_Toc12151"/>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磋商函</w:t>
      </w:r>
      <w:bookmarkEnd w:id="632"/>
    </w:p>
    <w:p>
      <w:pPr>
        <w:tabs>
          <w:tab w:val="left" w:pos="5580"/>
        </w:tabs>
        <w:spacing w:line="360" w:lineRule="exact"/>
        <w:ind w:left="1080" w:hanging="1080"/>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招标代理公司</w:t>
      </w:r>
    </w:p>
    <w:p>
      <w:pPr>
        <w:pStyle w:val="16"/>
        <w:tabs>
          <w:tab w:val="left" w:pos="5580"/>
        </w:tabs>
        <w:spacing w:line="360" w:lineRule="exact"/>
        <w:ind w:left="2"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根据贵方(</w:t>
      </w:r>
      <w:r>
        <w:rPr>
          <w:rFonts w:hint="eastAsia" w:ascii="宋体" w:hAnsi="宋体" w:eastAsia="宋体" w:cs="宋体"/>
          <w:sz w:val="24"/>
          <w:highlight w:val="none"/>
          <w:u w:val="single"/>
        </w:rPr>
        <w:t>项目名称</w:t>
      </w:r>
      <w:r>
        <w:rPr>
          <w:rFonts w:hint="eastAsia" w:ascii="宋体" w:hAnsi="宋体" w:eastAsia="宋体" w:cs="宋体"/>
          <w:sz w:val="24"/>
          <w:highlight w:val="none"/>
        </w:rPr>
        <w:t>)项目的磋商邀请(</w:t>
      </w:r>
      <w:r>
        <w:rPr>
          <w:rFonts w:hint="eastAsia" w:ascii="宋体" w:hAnsi="宋体" w:eastAsia="宋体" w:cs="宋体"/>
          <w:sz w:val="24"/>
          <w:highlight w:val="none"/>
          <w:u w:val="single"/>
          <w:lang w:eastAsia="zh-CN"/>
        </w:rPr>
        <w:t>项目编号</w:t>
      </w:r>
      <w:r>
        <w:rPr>
          <w:rFonts w:hint="eastAsia" w:ascii="宋体" w:hAnsi="宋体" w:eastAsia="宋体" w:cs="宋体"/>
          <w:sz w:val="24"/>
          <w:highlight w:val="none"/>
        </w:rPr>
        <w:t>),签字代表(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)经正式授权并代表供应商（</w:t>
      </w:r>
      <w:r>
        <w:rPr>
          <w:rFonts w:hint="eastAsia" w:ascii="宋体" w:hAnsi="宋体" w:eastAsia="宋体" w:cs="宋体"/>
          <w:sz w:val="24"/>
          <w:highlight w:val="none"/>
          <w:u w:val="single"/>
        </w:rPr>
        <w:t>名称、地址</w:t>
      </w:r>
      <w:r>
        <w:rPr>
          <w:rFonts w:hint="eastAsia" w:ascii="宋体" w:hAnsi="宋体" w:eastAsia="宋体" w:cs="宋体"/>
          <w:sz w:val="24"/>
          <w:highlight w:val="none"/>
        </w:rPr>
        <w:t>）提交下述文件正本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份、副本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份及电子文档</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份，并以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形式出具的金额为人民币</w:t>
      </w:r>
      <w:r>
        <w:rPr>
          <w:rFonts w:hint="eastAsia" w:ascii="宋体" w:hAnsi="宋体" w:eastAsia="宋体" w:cs="宋体"/>
          <w:sz w:val="24"/>
          <w:highlight w:val="none"/>
          <w:u w:val="single"/>
        </w:rPr>
        <w:t>　　　　</w:t>
      </w:r>
      <w:r>
        <w:rPr>
          <w:rFonts w:hint="eastAsia" w:ascii="宋体" w:hAnsi="宋体" w:eastAsia="宋体" w:cs="宋体"/>
          <w:sz w:val="24"/>
          <w:highlight w:val="none"/>
        </w:rPr>
        <w:t>元的磋商保证金。</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据此，签字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rPr>
        <w:t>代表宣布同意如下：</w:t>
      </w:r>
    </w:p>
    <w:p>
      <w:pPr>
        <w:pStyle w:val="16"/>
        <w:tabs>
          <w:tab w:val="left" w:pos="720"/>
          <w:tab w:val="left" w:pos="900"/>
        </w:tabs>
        <w:spacing w:line="360" w:lineRule="exact"/>
        <w:ind w:left="768" w:leftChars="257" w:hanging="229"/>
        <w:rPr>
          <w:rFonts w:hint="eastAsia" w:ascii="宋体" w:hAnsi="宋体" w:eastAsia="宋体" w:cs="宋体"/>
          <w:sz w:val="24"/>
          <w:highlight w:val="none"/>
          <w:u w:val="single"/>
        </w:rPr>
      </w:pPr>
      <w:r>
        <w:rPr>
          <w:rFonts w:hint="eastAsia" w:ascii="宋体" w:hAnsi="宋体" w:eastAsia="宋体" w:cs="宋体"/>
          <w:sz w:val="24"/>
          <w:highlight w:val="none"/>
        </w:rPr>
        <w:t>（1）所附投标报价表中规定的应提交和交付的货物和服务投标总价为（注明币种，并用文字和数字表示的投标总价）。</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（2）本磋商有效期为自磋商截止之日起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个日历日。</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（3）联合体中的大中型企业和其他自然人、法人或者非法人组织，与联合体中的小型、微型企业之间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存在、不存在）投资关系（如果是联合体的话）。</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（4）已详细审查全部磋商文件，包括所有补充通知（如果有的话），完全理解并同意放弃对这方面有不明、误解和质疑的权力。</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（5）在规定的开标时间后，遵守磋商文件中有关保证金的规定。</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（6）我方不是为本项目提供整体设计、规范编制或者项目管理、监理、检测等服务的供应商，我方不是采购代理机构的附属机构。</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（7）在领取成交通知书的同时按磋商文件规定的形式，向贵方一次性支付成交服务费。</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（8）按照贵方可能要求，提供与其磋商有关的一切数据或资料，完全理解贵方不一定接受最低价的磋商或收到的任何磋商。</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（9）按照磋商文件的规定履行合同责任和义务。</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与本磋商有关的一切正式往来信函请寄：</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pPr>
        <w:pStyle w:val="16"/>
        <w:tabs>
          <w:tab w:val="left" w:pos="5580"/>
        </w:tabs>
        <w:spacing w:line="360" w:lineRule="exact"/>
        <w:ind w:left="1079" w:leftChars="257" w:hanging="540"/>
        <w:rPr>
          <w:rFonts w:hint="eastAsia" w:ascii="宋体" w:hAnsi="宋体" w:eastAsia="宋体" w:cs="宋体"/>
          <w:b/>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电子函件</w:t>
      </w:r>
      <w:r>
        <w:rPr>
          <w:rFonts w:hint="eastAsia" w:ascii="宋体" w:hAnsi="宋体" w:eastAsia="宋体" w:cs="宋体"/>
          <w:sz w:val="24"/>
          <w:highlight w:val="none"/>
          <w:u w:val="single"/>
        </w:rPr>
        <w:t xml:space="preserve">                         </w:t>
      </w:r>
    </w:p>
    <w:p>
      <w:pPr>
        <w:pStyle w:val="16"/>
        <w:tabs>
          <w:tab w:val="left" w:pos="5580"/>
        </w:tabs>
        <w:spacing w:line="360" w:lineRule="exact"/>
        <w:ind w:left="1079" w:leftChars="257" w:hanging="540"/>
        <w:rPr>
          <w:rFonts w:hint="eastAsia" w:ascii="宋体" w:hAnsi="宋体" w:eastAsia="宋体" w:cs="宋体"/>
          <w:sz w:val="24"/>
          <w:highlight w:val="none"/>
        </w:rPr>
      </w:pP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lang w:eastAsia="zh-CN"/>
        </w:rPr>
        <w:t>（签字或盖章）</w:t>
      </w:r>
      <w:r>
        <w:rPr>
          <w:rFonts w:hint="eastAsia" w:ascii="宋体" w:hAnsi="宋体" w:eastAsia="宋体" w:cs="宋体"/>
          <w:sz w:val="24"/>
          <w:highlight w:val="none"/>
          <w:u w:val="single"/>
        </w:rPr>
        <w:t>　　　　　　　　 　　</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供应商名称（全称）</w:t>
      </w:r>
      <w:r>
        <w:rPr>
          <w:rFonts w:hint="eastAsia" w:ascii="宋体" w:hAnsi="宋体" w:eastAsia="宋体" w:cs="宋体"/>
          <w:sz w:val="24"/>
          <w:highlight w:val="none"/>
          <w:u w:val="single"/>
        </w:rPr>
        <w:t>　　　　　　　　 　          　</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供应商开户银行（全称）</w:t>
      </w:r>
      <w:r>
        <w:rPr>
          <w:rFonts w:hint="eastAsia" w:ascii="宋体" w:hAnsi="宋体" w:eastAsia="宋体" w:cs="宋体"/>
          <w:sz w:val="24"/>
          <w:highlight w:val="none"/>
          <w:u w:val="single"/>
        </w:rPr>
        <w:t xml:space="preserve">　　　　　              　 </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供应商银行帐号</w:t>
      </w:r>
      <w:r>
        <w:rPr>
          <w:rFonts w:hint="eastAsia" w:ascii="宋体" w:hAnsi="宋体" w:eastAsia="宋体" w:cs="宋体"/>
          <w:sz w:val="24"/>
          <w:highlight w:val="none"/>
          <w:u w:val="single"/>
        </w:rPr>
        <w:t>　　　　　　　　                 　</w:t>
      </w:r>
    </w:p>
    <w:p>
      <w:pPr>
        <w:pStyle w:val="16"/>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eastAsia="zh-CN"/>
        </w:rPr>
        <w:t>（公章）</w:t>
      </w:r>
      <w:r>
        <w:rPr>
          <w:rFonts w:hint="eastAsia" w:ascii="宋体" w:hAnsi="宋体" w:eastAsia="宋体" w:cs="宋体"/>
          <w:sz w:val="24"/>
          <w:highlight w:val="none"/>
          <w:u w:val="single"/>
        </w:rPr>
        <w:t xml:space="preserve">　　　　　　　                    　 </w:t>
      </w:r>
    </w:p>
    <w:p>
      <w:pPr>
        <w:pStyle w:val="16"/>
        <w:tabs>
          <w:tab w:val="left" w:pos="5580"/>
        </w:tabs>
        <w:spacing w:line="360" w:lineRule="exact"/>
        <w:ind w:left="1079" w:leftChars="257" w:hanging="540"/>
        <w:rPr>
          <w:rFonts w:hint="eastAsia" w:ascii="宋体" w:hAnsi="宋体" w:eastAsia="宋体" w:cs="宋体"/>
          <w:highlight w:val="none"/>
        </w:rPr>
        <w:sectPr>
          <w:footerReference r:id="rId3" w:type="default"/>
          <w:pgSz w:w="11906" w:h="16838"/>
          <w:pgMar w:top="1440" w:right="1800" w:bottom="1440" w:left="1800" w:header="851" w:footer="992" w:gutter="0"/>
          <w:pgNumType w:fmt="numberInDash" w:start="1"/>
          <w:cols w:space="720" w:num="1"/>
          <w:docGrid w:type="linesAndChars" w:linePitch="312" w:charSpace="0"/>
        </w:sectPr>
      </w:pPr>
      <w:r>
        <w:rPr>
          <w:rFonts w:hint="eastAsia" w:ascii="宋体" w:hAnsi="宋体" w:eastAsia="宋体" w:cs="宋体"/>
          <w:sz w:val="24"/>
          <w:highlight w:val="none"/>
        </w:rPr>
        <w:t>日期</w:t>
      </w:r>
      <w:r>
        <w:rPr>
          <w:rFonts w:hint="eastAsia" w:ascii="宋体" w:hAnsi="宋体" w:eastAsia="宋体" w:cs="宋体"/>
          <w:sz w:val="24"/>
          <w:highlight w:val="none"/>
          <w:u w:val="single"/>
        </w:rPr>
        <w:t>　　　　　　                        　　 　　</w:t>
      </w:r>
    </w:p>
    <w:p>
      <w:pPr>
        <w:pStyle w:val="16"/>
        <w:spacing w:line="360" w:lineRule="exact"/>
        <w:rPr>
          <w:rFonts w:ascii="微软雅黑" w:hAnsi="微软雅黑" w:eastAsia="微软雅黑" w:cs="微软雅黑"/>
          <w:b/>
          <w:kern w:val="0"/>
          <w:sz w:val="24"/>
        </w:rPr>
      </w:pPr>
    </w:p>
    <w:p>
      <w:pPr>
        <w:pStyle w:val="16"/>
        <w:spacing w:line="360" w:lineRule="exact"/>
        <w:rPr>
          <w:rFonts w:ascii="微软雅黑" w:hAnsi="微软雅黑" w:eastAsia="微软雅黑" w:cs="微软雅黑"/>
          <w:b/>
          <w:kern w:val="0"/>
          <w:sz w:val="24"/>
        </w:rPr>
      </w:pPr>
    </w:p>
    <w:p>
      <w:pPr>
        <w:pStyle w:val="4"/>
        <w:spacing w:before="0" w:line="360" w:lineRule="exact"/>
        <w:ind w:left="1080" w:leftChars="257" w:hanging="540"/>
        <w:rPr>
          <w:rFonts w:ascii="微软雅黑" w:hAnsi="微软雅黑" w:eastAsia="微软雅黑" w:cs="微软雅黑"/>
          <w:sz w:val="24"/>
          <w:szCs w:val="24"/>
        </w:rPr>
      </w:pPr>
      <w:bookmarkStart w:id="651" w:name="_Toc13219"/>
      <w:bookmarkStart w:id="652" w:name="_Toc9529"/>
      <w:r>
        <w:rPr>
          <w:rFonts w:hint="eastAsia" w:ascii="微软雅黑" w:hAnsi="微软雅黑" w:eastAsia="微软雅黑" w:cs="微软雅黑"/>
          <w:sz w:val="24"/>
          <w:szCs w:val="24"/>
        </w:rPr>
        <w:t xml:space="preserve">2 </w:t>
      </w:r>
      <w:bookmarkStart w:id="653" w:name="_Toc5101"/>
      <w:r>
        <w:rPr>
          <w:rFonts w:hint="eastAsia" w:ascii="微软雅黑" w:hAnsi="微软雅黑" w:eastAsia="微软雅黑" w:cs="微软雅黑"/>
          <w:sz w:val="24"/>
          <w:szCs w:val="24"/>
        </w:rPr>
        <w:t>、</w:t>
      </w:r>
      <w:r>
        <w:rPr>
          <w:rFonts w:hint="eastAsia" w:ascii="微软雅黑" w:hAnsi="微软雅黑" w:eastAsia="微软雅黑" w:cs="微软雅黑"/>
          <w:bCs/>
          <w:sz w:val="24"/>
          <w:szCs w:val="24"/>
        </w:rPr>
        <w:t>磋商分项报价表</w:t>
      </w:r>
      <w:bookmarkEnd w:id="651"/>
      <w:bookmarkEnd w:id="652"/>
      <w:bookmarkEnd w:id="653"/>
    </w:p>
    <w:p>
      <w:pPr>
        <w:pStyle w:val="16"/>
        <w:spacing w:line="360" w:lineRule="exact"/>
        <w:jc w:val="left"/>
        <w:rPr>
          <w:rFonts w:ascii="微软雅黑" w:hAnsi="微软雅黑" w:eastAsia="微软雅黑" w:cs="微软雅黑"/>
          <w:sz w:val="24"/>
          <w:szCs w:val="24"/>
        </w:rPr>
      </w:pPr>
    </w:p>
    <w:p>
      <w:pPr>
        <w:pStyle w:val="16"/>
        <w:spacing w:line="400" w:lineRule="exact"/>
        <w:jc w:val="lef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项目名称:                      招标编号:                          　             报价单位：</w:t>
      </w:r>
      <w:r>
        <w:rPr>
          <w:rFonts w:hint="eastAsia" w:ascii="微软雅黑" w:hAnsi="微软雅黑" w:eastAsia="微软雅黑" w:cs="微软雅黑"/>
          <w:sz w:val="24"/>
          <w:szCs w:val="24"/>
          <w:lang w:val="en-US" w:eastAsia="zh-CN"/>
        </w:rPr>
        <w:t xml:space="preserve"> 人民币 元</w:t>
      </w:r>
    </w:p>
    <w:tbl>
      <w:tblPr>
        <w:tblStyle w:val="3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66"/>
        <w:gridCol w:w="1616"/>
        <w:gridCol w:w="1316"/>
        <w:gridCol w:w="1371"/>
        <w:gridCol w:w="843"/>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46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161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规格</w:t>
            </w:r>
          </w:p>
        </w:tc>
        <w:tc>
          <w:tcPr>
            <w:tcW w:w="131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1371"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843"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494"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466" w:type="dxa"/>
            <w:noWrap/>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所投的全部服务内容</w:t>
            </w:r>
          </w:p>
        </w:tc>
        <w:tc>
          <w:tcPr>
            <w:tcW w:w="16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2466" w:type="dxa"/>
            <w:noWrap/>
            <w:vAlign w:val="center"/>
          </w:tcPr>
          <w:p>
            <w:pPr>
              <w:pStyle w:val="16"/>
              <w:spacing w:line="400" w:lineRule="exact"/>
              <w:jc w:val="center"/>
              <w:rPr>
                <w:rFonts w:ascii="微软雅黑" w:hAnsi="微软雅黑" w:eastAsia="微软雅黑" w:cs="微软雅黑"/>
                <w:sz w:val="24"/>
                <w:szCs w:val="24"/>
              </w:rPr>
            </w:pPr>
          </w:p>
        </w:tc>
        <w:tc>
          <w:tcPr>
            <w:tcW w:w="16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2466" w:type="dxa"/>
            <w:noWrap/>
            <w:vAlign w:val="center"/>
          </w:tcPr>
          <w:p>
            <w:pPr>
              <w:pStyle w:val="16"/>
              <w:spacing w:line="400" w:lineRule="exact"/>
              <w:jc w:val="center"/>
              <w:rPr>
                <w:rFonts w:ascii="微软雅黑" w:hAnsi="微软雅黑" w:eastAsia="微软雅黑" w:cs="微软雅黑"/>
                <w:sz w:val="24"/>
                <w:szCs w:val="24"/>
              </w:rPr>
            </w:pPr>
          </w:p>
        </w:tc>
        <w:tc>
          <w:tcPr>
            <w:tcW w:w="16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2466" w:type="dxa"/>
            <w:noWrap/>
            <w:vAlign w:val="center"/>
          </w:tcPr>
          <w:p>
            <w:pPr>
              <w:pStyle w:val="16"/>
              <w:spacing w:line="400" w:lineRule="exact"/>
              <w:jc w:val="both"/>
              <w:rPr>
                <w:rFonts w:ascii="微软雅黑" w:hAnsi="微软雅黑" w:eastAsia="微软雅黑" w:cs="微软雅黑"/>
                <w:sz w:val="24"/>
                <w:szCs w:val="24"/>
              </w:rPr>
            </w:pPr>
          </w:p>
        </w:tc>
        <w:tc>
          <w:tcPr>
            <w:tcW w:w="16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2466" w:type="dxa"/>
            <w:noWrap/>
            <w:vAlign w:val="center"/>
          </w:tcPr>
          <w:p>
            <w:pPr>
              <w:pStyle w:val="16"/>
              <w:spacing w:line="400" w:lineRule="exact"/>
              <w:jc w:val="center"/>
              <w:rPr>
                <w:rFonts w:ascii="微软雅黑" w:hAnsi="微软雅黑" w:eastAsia="微软雅黑" w:cs="微软雅黑"/>
                <w:sz w:val="24"/>
                <w:szCs w:val="24"/>
              </w:rPr>
            </w:pPr>
          </w:p>
        </w:tc>
        <w:tc>
          <w:tcPr>
            <w:tcW w:w="16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366" w:type="dxa"/>
            <w:gridSpan w:val="6"/>
            <w:noWrap/>
            <w:vAlign w:val="center"/>
          </w:tcPr>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494" w:type="dxa"/>
            <w:noWrap/>
            <w:vAlign w:val="center"/>
          </w:tcPr>
          <w:p>
            <w:pPr>
              <w:pStyle w:val="16"/>
              <w:spacing w:line="400" w:lineRule="exact"/>
              <w:ind w:left="1080" w:leftChars="257" w:hanging="540"/>
              <w:jc w:val="center"/>
              <w:rPr>
                <w:rFonts w:ascii="微软雅黑" w:hAnsi="微软雅黑" w:eastAsia="微软雅黑" w:cs="微软雅黑"/>
                <w:sz w:val="24"/>
                <w:szCs w:val="24"/>
              </w:rPr>
            </w:pPr>
          </w:p>
        </w:tc>
      </w:tr>
    </w:tbl>
    <w:p>
      <w:pPr>
        <w:pStyle w:val="16"/>
        <w:spacing w:line="400" w:lineRule="exact"/>
        <w:jc w:val="left"/>
        <w:rPr>
          <w:rFonts w:ascii="微软雅黑" w:hAnsi="微软雅黑" w:eastAsia="微软雅黑" w:cs="微软雅黑"/>
          <w:sz w:val="24"/>
          <w:szCs w:val="24"/>
        </w:rPr>
      </w:pPr>
    </w:p>
    <w:p>
      <w:pPr>
        <w:pStyle w:val="16"/>
        <w:spacing w:line="400" w:lineRule="exact"/>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6"/>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注:1.如果供应商认为需要，每种服务内容填写一份该表。</w:t>
      </w:r>
    </w:p>
    <w:p>
      <w:pPr>
        <w:pStyle w:val="16"/>
        <w:spacing w:line="400" w:lineRule="exact"/>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3.如果不提供详细分项报价将视为没有实质性响应招标文件。</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w:t>
      </w:r>
      <w:r>
        <w:rPr>
          <w:rFonts w:hint="eastAsia" w:ascii="微软雅黑" w:hAnsi="微软雅黑" w:eastAsia="微软雅黑" w:cs="微软雅黑"/>
          <w:sz w:val="24"/>
          <w:szCs w:val="24"/>
          <w:lang w:eastAsia="zh-CN"/>
        </w:rPr>
        <w:t>磋商报价表</w:t>
      </w:r>
      <w:r>
        <w:rPr>
          <w:rFonts w:hint="eastAsia" w:ascii="微软雅黑" w:hAnsi="微软雅黑" w:eastAsia="微软雅黑" w:cs="微软雅黑"/>
          <w:sz w:val="24"/>
          <w:szCs w:val="24"/>
        </w:rPr>
        <w:t>（报价表）内容与投标文件中明细表内容不一致的，以</w:t>
      </w:r>
      <w:r>
        <w:rPr>
          <w:rFonts w:hint="eastAsia" w:ascii="微软雅黑" w:hAnsi="微软雅黑" w:eastAsia="微软雅黑" w:cs="微软雅黑"/>
          <w:sz w:val="24"/>
          <w:szCs w:val="24"/>
          <w:lang w:eastAsia="zh-CN"/>
        </w:rPr>
        <w:t>磋商报价表</w:t>
      </w:r>
      <w:r>
        <w:rPr>
          <w:rFonts w:hint="eastAsia" w:ascii="微软雅黑" w:hAnsi="微软雅黑" w:eastAsia="微软雅黑" w:cs="微软雅黑"/>
          <w:sz w:val="24"/>
          <w:szCs w:val="24"/>
        </w:rPr>
        <w:t>（报价表）内容为准。</w:t>
      </w: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00" w:lineRule="exact"/>
        <w:rPr>
          <w:rFonts w:ascii="微软雅黑" w:hAnsi="微软雅黑" w:eastAsia="微软雅黑" w:cs="微软雅黑"/>
          <w:b/>
          <w:kern w:val="0"/>
          <w:sz w:val="24"/>
          <w:szCs w:val="24"/>
        </w:rPr>
      </w:pPr>
    </w:p>
    <w:p>
      <w:pPr>
        <w:pStyle w:val="16"/>
        <w:spacing w:line="480" w:lineRule="exact"/>
        <w:ind w:left="1080" w:leftChars="257" w:hanging="540"/>
        <w:rPr>
          <w:rFonts w:ascii="微软雅黑" w:hAnsi="微软雅黑" w:eastAsia="微软雅黑" w:cs="微软雅黑"/>
          <w:sz w:val="24"/>
          <w:szCs w:val="24"/>
        </w:rPr>
      </w:pPr>
    </w:p>
    <w:p>
      <w:pPr>
        <w:spacing w:line="360" w:lineRule="auto"/>
        <w:jc w:val="center"/>
        <w:outlineLvl w:val="1"/>
        <w:rPr>
          <w:rFonts w:ascii="微软雅黑" w:hAnsi="微软雅黑" w:eastAsia="微软雅黑" w:cs="微软雅黑"/>
          <w:b/>
          <w:sz w:val="30"/>
          <w:szCs w:val="30"/>
        </w:rPr>
      </w:pPr>
    </w:p>
    <w:p>
      <w:pPr>
        <w:pStyle w:val="16"/>
        <w:spacing w:line="360" w:lineRule="exact"/>
        <w:rPr>
          <w:rFonts w:ascii="微软雅黑" w:hAnsi="微软雅黑" w:eastAsia="微软雅黑" w:cs="微软雅黑"/>
          <w:b/>
          <w:kern w:val="0"/>
          <w:sz w:val="24"/>
        </w:rPr>
      </w:pPr>
    </w:p>
    <w:p>
      <w:pPr>
        <w:pStyle w:val="4"/>
        <w:spacing w:before="0" w:line="240" w:lineRule="atLeast"/>
        <w:ind w:firstLine="3122" w:firstLineChars="1300"/>
        <w:jc w:val="both"/>
        <w:rPr>
          <w:rFonts w:ascii="微软雅黑" w:hAnsi="微软雅黑" w:eastAsia="微软雅黑" w:cs="微软雅黑"/>
          <w:bCs/>
          <w:sz w:val="21"/>
          <w:szCs w:val="21"/>
        </w:rPr>
      </w:pPr>
      <w:bookmarkStart w:id="654" w:name="_Toc9561"/>
      <w:r>
        <w:rPr>
          <w:rFonts w:hint="eastAsia" w:ascii="微软雅黑" w:hAnsi="微软雅黑" w:eastAsia="微软雅黑" w:cs="微软雅黑"/>
          <w:sz w:val="24"/>
        </w:rPr>
        <w:t xml:space="preserve">3 </w:t>
      </w:r>
      <w:bookmarkEnd w:id="633"/>
      <w:bookmarkEnd w:id="634"/>
      <w:bookmarkEnd w:id="635"/>
      <w:bookmarkEnd w:id="636"/>
      <w:bookmarkEnd w:id="637"/>
      <w:bookmarkEnd w:id="638"/>
      <w:bookmarkEnd w:id="639"/>
      <w:r>
        <w:rPr>
          <w:rFonts w:hint="eastAsia" w:ascii="微软雅黑" w:hAnsi="微软雅黑" w:eastAsia="微软雅黑" w:cs="微软雅黑"/>
          <w:sz w:val="24"/>
        </w:rPr>
        <w:t>、</w:t>
      </w:r>
      <w:r>
        <w:rPr>
          <w:rFonts w:hint="eastAsia" w:ascii="微软雅黑" w:hAnsi="微软雅黑" w:eastAsia="微软雅黑" w:cs="微软雅黑"/>
          <w:sz w:val="24"/>
          <w:lang w:eastAsia="zh-CN"/>
        </w:rPr>
        <w:t>服务</w:t>
      </w:r>
      <w:r>
        <w:rPr>
          <w:rFonts w:hint="eastAsia" w:ascii="微软雅黑" w:hAnsi="微软雅黑" w:eastAsia="微软雅黑" w:cs="微软雅黑"/>
          <w:bCs/>
          <w:sz w:val="24"/>
          <w:szCs w:val="24"/>
        </w:rPr>
        <w:t>说明一览表</w:t>
      </w:r>
      <w:bookmarkEnd w:id="654"/>
    </w:p>
    <w:p>
      <w:pPr>
        <w:pStyle w:val="16"/>
        <w:spacing w:line="240" w:lineRule="atLeast"/>
        <w:jc w:val="left"/>
        <w:rPr>
          <w:rFonts w:ascii="微软雅黑" w:hAnsi="微软雅黑" w:eastAsia="微软雅黑" w:cs="微软雅黑"/>
          <w:szCs w:val="21"/>
        </w:rPr>
      </w:pPr>
    </w:p>
    <w:p>
      <w:pPr>
        <w:pStyle w:val="16"/>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p>
      <w:pPr>
        <w:pStyle w:val="16"/>
        <w:spacing w:line="400" w:lineRule="exact"/>
        <w:jc w:val="left"/>
        <w:rPr>
          <w:rFonts w:ascii="微软雅黑" w:hAnsi="微软雅黑" w:eastAsia="微软雅黑" w:cs="微软雅黑"/>
          <w:sz w:val="24"/>
          <w:szCs w:val="24"/>
        </w:rPr>
      </w:pPr>
    </w:p>
    <w:p>
      <w:pPr>
        <w:pStyle w:val="16"/>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招标编号:                                                            </w:t>
      </w:r>
    </w:p>
    <w:p>
      <w:pPr>
        <w:pStyle w:val="16"/>
        <w:spacing w:line="400" w:lineRule="exact"/>
        <w:ind w:left="1080" w:leftChars="257" w:hanging="540"/>
        <w:rPr>
          <w:rFonts w:ascii="微软雅黑" w:hAnsi="微软雅黑" w:eastAsia="微软雅黑" w:cs="微软雅黑"/>
          <w:sz w:val="24"/>
          <w:szCs w:val="24"/>
        </w:rPr>
      </w:pPr>
    </w:p>
    <w:tbl>
      <w:tblPr>
        <w:tblStyle w:val="35"/>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41"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序号</w:t>
            </w:r>
          </w:p>
        </w:tc>
        <w:tc>
          <w:tcPr>
            <w:tcW w:w="1370"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名称</w:t>
            </w:r>
          </w:p>
        </w:tc>
        <w:tc>
          <w:tcPr>
            <w:tcW w:w="1475"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规格</w:t>
            </w:r>
          </w:p>
        </w:tc>
        <w:tc>
          <w:tcPr>
            <w:tcW w:w="1366" w:type="dxa"/>
            <w:vAlign w:val="center"/>
          </w:tcPr>
          <w:p>
            <w:pPr>
              <w:widowControl/>
              <w:spacing w:line="400" w:lineRule="exact"/>
              <w:jc w:val="center"/>
              <w:textAlignment w:val="center"/>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数量</w:t>
            </w:r>
          </w:p>
        </w:tc>
        <w:tc>
          <w:tcPr>
            <w:tcW w:w="1586"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期</w:t>
            </w:r>
          </w:p>
        </w:tc>
        <w:tc>
          <w:tcPr>
            <w:tcW w:w="2238"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地点</w:t>
            </w:r>
          </w:p>
        </w:tc>
        <w:tc>
          <w:tcPr>
            <w:tcW w:w="1232"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6"/>
              <w:spacing w:line="400" w:lineRule="exact"/>
              <w:ind w:left="1080" w:leftChars="257" w:hanging="540"/>
              <w:rPr>
                <w:rFonts w:ascii="微软雅黑" w:hAnsi="微软雅黑" w:eastAsia="微软雅黑" w:cs="微软雅黑"/>
                <w:sz w:val="24"/>
                <w:szCs w:val="24"/>
              </w:rPr>
            </w:pPr>
          </w:p>
        </w:tc>
        <w:tc>
          <w:tcPr>
            <w:tcW w:w="1370" w:type="dxa"/>
          </w:tcPr>
          <w:p>
            <w:pPr>
              <w:pStyle w:val="16"/>
              <w:spacing w:line="400" w:lineRule="exact"/>
              <w:ind w:left="1080" w:leftChars="257" w:hanging="540"/>
              <w:rPr>
                <w:rFonts w:ascii="微软雅黑" w:hAnsi="微软雅黑" w:eastAsia="微软雅黑" w:cs="微软雅黑"/>
                <w:sz w:val="24"/>
                <w:szCs w:val="24"/>
              </w:rPr>
            </w:pPr>
          </w:p>
        </w:tc>
        <w:tc>
          <w:tcPr>
            <w:tcW w:w="1475" w:type="dxa"/>
          </w:tcPr>
          <w:p>
            <w:pPr>
              <w:pStyle w:val="16"/>
              <w:spacing w:line="400" w:lineRule="exact"/>
              <w:ind w:left="1080" w:leftChars="257" w:hanging="540"/>
              <w:rPr>
                <w:rFonts w:ascii="微软雅黑" w:hAnsi="微软雅黑" w:eastAsia="微软雅黑" w:cs="微软雅黑"/>
                <w:sz w:val="24"/>
                <w:szCs w:val="24"/>
              </w:rPr>
            </w:pPr>
          </w:p>
        </w:tc>
        <w:tc>
          <w:tcPr>
            <w:tcW w:w="1366" w:type="dxa"/>
          </w:tcPr>
          <w:p>
            <w:pPr>
              <w:pStyle w:val="16"/>
              <w:spacing w:line="400" w:lineRule="exact"/>
              <w:ind w:left="1080" w:leftChars="257" w:hanging="540"/>
              <w:rPr>
                <w:rFonts w:ascii="微软雅黑" w:hAnsi="微软雅黑" w:eastAsia="微软雅黑" w:cs="微软雅黑"/>
                <w:sz w:val="24"/>
                <w:szCs w:val="24"/>
              </w:rPr>
            </w:pPr>
          </w:p>
        </w:tc>
        <w:tc>
          <w:tcPr>
            <w:tcW w:w="1586" w:type="dxa"/>
          </w:tcPr>
          <w:p>
            <w:pPr>
              <w:pStyle w:val="16"/>
              <w:spacing w:line="400" w:lineRule="exact"/>
              <w:ind w:left="1080" w:leftChars="257" w:hanging="540"/>
              <w:rPr>
                <w:rFonts w:ascii="微软雅黑" w:hAnsi="微软雅黑" w:eastAsia="微软雅黑" w:cs="微软雅黑"/>
                <w:sz w:val="24"/>
                <w:szCs w:val="24"/>
              </w:rPr>
            </w:pPr>
          </w:p>
        </w:tc>
        <w:tc>
          <w:tcPr>
            <w:tcW w:w="2238" w:type="dxa"/>
          </w:tcPr>
          <w:p>
            <w:pPr>
              <w:pStyle w:val="16"/>
              <w:spacing w:line="400" w:lineRule="exact"/>
              <w:ind w:left="1080" w:leftChars="257" w:hanging="540"/>
              <w:rPr>
                <w:rFonts w:ascii="微软雅黑" w:hAnsi="微软雅黑" w:eastAsia="微软雅黑" w:cs="微软雅黑"/>
                <w:sz w:val="24"/>
                <w:szCs w:val="24"/>
              </w:rPr>
            </w:pPr>
          </w:p>
        </w:tc>
        <w:tc>
          <w:tcPr>
            <w:tcW w:w="1232"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6"/>
        <w:tabs>
          <w:tab w:val="left" w:pos="537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szCs w:val="24"/>
        </w:rPr>
        <w:t>供应商(公章):</w:t>
      </w:r>
    </w:p>
    <w:p>
      <w:pPr>
        <w:pStyle w:val="2"/>
        <w:rPr>
          <w:rFonts w:ascii="微软雅黑" w:hAnsi="微软雅黑" w:eastAsia="微软雅黑" w:cs="微软雅黑"/>
        </w:rPr>
      </w:pP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16"/>
        <w:spacing w:line="240" w:lineRule="atLeast"/>
        <w:ind w:left="1080" w:leftChars="257" w:hanging="540"/>
        <w:jc w:val="center"/>
        <w:outlineLvl w:val="1"/>
        <w:rPr>
          <w:rFonts w:ascii="微软雅黑" w:hAnsi="微软雅黑" w:eastAsia="微软雅黑" w:cs="微软雅黑"/>
          <w:b/>
          <w:bCs/>
          <w:sz w:val="22"/>
          <w:szCs w:val="22"/>
        </w:rPr>
      </w:pPr>
      <w:bookmarkStart w:id="655" w:name="_Toc745"/>
      <w:r>
        <w:rPr>
          <w:rFonts w:hint="eastAsia" w:ascii="微软雅黑" w:hAnsi="微软雅黑" w:eastAsia="微软雅黑" w:cs="微软雅黑"/>
          <w:b/>
          <w:bCs/>
          <w:sz w:val="24"/>
          <w:szCs w:val="24"/>
        </w:rPr>
        <w:t>4 、技术规格偏离表</w:t>
      </w:r>
      <w:bookmarkEnd w:id="655"/>
    </w:p>
    <w:p>
      <w:pPr>
        <w:pStyle w:val="16"/>
        <w:spacing w:line="240" w:lineRule="atLeast"/>
        <w:ind w:left="1080" w:leftChars="257" w:hanging="540"/>
        <w:rPr>
          <w:rFonts w:ascii="微软雅黑" w:hAnsi="微软雅黑" w:eastAsia="微软雅黑" w:cs="微软雅黑"/>
          <w:szCs w:val="21"/>
        </w:rPr>
      </w:pPr>
    </w:p>
    <w:p>
      <w:pPr>
        <w:pStyle w:val="16"/>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p>
      <w:pPr>
        <w:pStyle w:val="16"/>
        <w:spacing w:line="400" w:lineRule="exact"/>
        <w:ind w:left="1080" w:leftChars="257" w:hanging="540"/>
        <w:rPr>
          <w:rFonts w:ascii="微软雅黑" w:hAnsi="微软雅黑" w:eastAsia="微软雅黑" w:cs="微软雅黑"/>
          <w:sz w:val="24"/>
          <w:szCs w:val="24"/>
        </w:rPr>
      </w:pPr>
    </w:p>
    <w:tbl>
      <w:tblPr>
        <w:tblStyle w:val="3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30"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服务</w:t>
            </w:r>
            <w:r>
              <w:rPr>
                <w:rFonts w:hint="eastAsia" w:ascii="微软雅黑" w:hAnsi="微软雅黑" w:eastAsia="微软雅黑" w:cs="微软雅黑"/>
                <w:sz w:val="24"/>
                <w:szCs w:val="24"/>
              </w:rPr>
              <w:t>名称</w:t>
            </w:r>
          </w:p>
        </w:tc>
        <w:tc>
          <w:tcPr>
            <w:tcW w:w="2472" w:type="dxa"/>
            <w:vAlign w:val="center"/>
          </w:tcPr>
          <w:p>
            <w:pPr>
              <w:pStyle w:val="16"/>
              <w:spacing w:line="400" w:lineRule="exact"/>
              <w:ind w:left="269" w:leftChars="128"/>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133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rPr>
              <w:t>规格</w:t>
            </w:r>
          </w:p>
        </w:tc>
        <w:tc>
          <w:tcPr>
            <w:tcW w:w="133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规格</w:t>
            </w:r>
          </w:p>
        </w:tc>
        <w:tc>
          <w:tcPr>
            <w:tcW w:w="950"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偏离</w:t>
            </w:r>
          </w:p>
        </w:tc>
        <w:tc>
          <w:tcPr>
            <w:tcW w:w="951" w:type="dxa"/>
            <w:vAlign w:val="center"/>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400" w:lineRule="exact"/>
              <w:ind w:left="1080" w:leftChars="257" w:hanging="540"/>
              <w:rPr>
                <w:rFonts w:ascii="微软雅黑" w:hAnsi="微软雅黑" w:eastAsia="微软雅黑" w:cs="微软雅黑"/>
                <w:sz w:val="24"/>
                <w:szCs w:val="24"/>
              </w:rPr>
            </w:pPr>
          </w:p>
        </w:tc>
        <w:tc>
          <w:tcPr>
            <w:tcW w:w="1330" w:type="dxa"/>
          </w:tcPr>
          <w:p>
            <w:pPr>
              <w:pStyle w:val="16"/>
              <w:spacing w:line="400" w:lineRule="exact"/>
              <w:ind w:left="1080" w:leftChars="257" w:hanging="540"/>
              <w:rPr>
                <w:rFonts w:ascii="微软雅黑" w:hAnsi="微软雅黑" w:eastAsia="微软雅黑" w:cs="微软雅黑"/>
                <w:sz w:val="24"/>
                <w:szCs w:val="24"/>
              </w:rPr>
            </w:pPr>
          </w:p>
        </w:tc>
        <w:tc>
          <w:tcPr>
            <w:tcW w:w="2472"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1331" w:type="dxa"/>
          </w:tcPr>
          <w:p>
            <w:pPr>
              <w:pStyle w:val="16"/>
              <w:spacing w:line="400" w:lineRule="exact"/>
              <w:ind w:left="1080" w:leftChars="257" w:hanging="540"/>
              <w:rPr>
                <w:rFonts w:ascii="微软雅黑" w:hAnsi="微软雅黑" w:eastAsia="微软雅黑" w:cs="微软雅黑"/>
                <w:sz w:val="24"/>
                <w:szCs w:val="24"/>
              </w:rPr>
            </w:pPr>
          </w:p>
        </w:tc>
        <w:tc>
          <w:tcPr>
            <w:tcW w:w="950" w:type="dxa"/>
          </w:tcPr>
          <w:p>
            <w:pPr>
              <w:pStyle w:val="16"/>
              <w:spacing w:line="400" w:lineRule="exact"/>
              <w:ind w:left="1080" w:leftChars="257" w:hanging="540"/>
              <w:rPr>
                <w:rFonts w:ascii="微软雅黑" w:hAnsi="微软雅黑" w:eastAsia="微软雅黑" w:cs="微软雅黑"/>
                <w:sz w:val="24"/>
                <w:szCs w:val="24"/>
              </w:rPr>
            </w:pPr>
          </w:p>
        </w:tc>
        <w:tc>
          <w:tcPr>
            <w:tcW w:w="951"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6"/>
        <w:tabs>
          <w:tab w:val="left" w:pos="5370"/>
        </w:tabs>
        <w:spacing w:line="400" w:lineRule="exact"/>
        <w:ind w:left="1080" w:leftChars="257" w:hanging="540"/>
        <w:rPr>
          <w:rFonts w:ascii="微软雅黑" w:hAnsi="微软雅黑" w:eastAsia="微软雅黑" w:cs="微软雅黑"/>
          <w:b/>
          <w:bCs/>
          <w:sz w:val="24"/>
          <w:szCs w:val="24"/>
        </w:rPr>
      </w:pPr>
      <w:r>
        <w:rPr>
          <w:rFonts w:hint="eastAsia" w:ascii="微软雅黑" w:hAnsi="微软雅黑" w:eastAsia="微软雅黑" w:cs="微软雅黑"/>
          <w:sz w:val="24"/>
          <w:szCs w:val="24"/>
        </w:rPr>
        <w:t>供应商(公章):</w:t>
      </w:r>
    </w:p>
    <w:p>
      <w:pPr>
        <w:pStyle w:val="25"/>
        <w:rPr>
          <w:rFonts w:ascii="微软雅黑" w:hAnsi="微软雅黑" w:eastAsia="微软雅黑" w:cs="微软雅黑"/>
        </w:rPr>
      </w:pPr>
    </w:p>
    <w:p>
      <w:pPr>
        <w:pStyle w:val="25"/>
        <w:rPr>
          <w:rFonts w:ascii="微软雅黑" w:hAnsi="微软雅黑" w:eastAsia="微软雅黑" w:cs="微软雅黑"/>
        </w:rPr>
      </w:pPr>
    </w:p>
    <w:p>
      <w:pPr>
        <w:pStyle w:val="2"/>
        <w:ind w:firstLine="0"/>
        <w:rPr>
          <w:rFonts w:ascii="微软雅黑" w:hAnsi="微软雅黑" w:eastAsia="微软雅黑" w:cs="微软雅黑"/>
        </w:rPr>
      </w:pPr>
    </w:p>
    <w:bookmarkEnd w:id="640"/>
    <w:bookmarkEnd w:id="641"/>
    <w:bookmarkEnd w:id="642"/>
    <w:bookmarkEnd w:id="643"/>
    <w:bookmarkEnd w:id="644"/>
    <w:bookmarkEnd w:id="645"/>
    <w:bookmarkEnd w:id="646"/>
    <w:bookmarkEnd w:id="647"/>
    <w:bookmarkEnd w:id="648"/>
    <w:bookmarkEnd w:id="649"/>
    <w:bookmarkEnd w:id="650"/>
    <w:p>
      <w:pPr>
        <w:pStyle w:val="4"/>
        <w:spacing w:before="0" w:line="240" w:lineRule="atLeast"/>
        <w:rPr>
          <w:rFonts w:hint="eastAsia" w:ascii="微软雅黑" w:hAnsi="微软雅黑" w:eastAsia="微软雅黑" w:cs="微软雅黑"/>
          <w:bCs/>
          <w:sz w:val="24"/>
          <w:szCs w:val="24"/>
          <w:lang w:val="en-US" w:eastAsia="zh-CN"/>
        </w:rPr>
      </w:pPr>
      <w:bookmarkStart w:id="656" w:name="_Toc23233"/>
      <w:bookmarkStart w:id="657" w:name="_Toc31412"/>
      <w:bookmarkStart w:id="658" w:name="_Toc22563"/>
      <w:bookmarkStart w:id="659" w:name="_Toc338"/>
      <w:bookmarkStart w:id="660" w:name="_Toc1130"/>
      <w:bookmarkStart w:id="661" w:name="_Toc216582817"/>
      <w:bookmarkStart w:id="662" w:name="_Toc3537"/>
      <w:bookmarkStart w:id="663" w:name="_Toc515647820"/>
      <w:bookmarkStart w:id="664" w:name="_Toc10773"/>
      <w:bookmarkStart w:id="665" w:name="_Toc9012"/>
      <w:bookmarkStart w:id="666" w:name="_Toc13229"/>
      <w:bookmarkStart w:id="667" w:name="_Toc32666"/>
      <w:bookmarkStart w:id="668" w:name="_Toc13093"/>
      <w:bookmarkStart w:id="669" w:name="_Toc26490"/>
      <w:bookmarkStart w:id="670" w:name="_Toc32689"/>
      <w:bookmarkStart w:id="671" w:name="_Toc23542"/>
      <w:bookmarkStart w:id="672" w:name="_Toc28959"/>
      <w:bookmarkStart w:id="673" w:name="_Toc1232"/>
      <w:bookmarkStart w:id="674" w:name="_Toc24864"/>
      <w:bookmarkStart w:id="675" w:name="_Toc28414"/>
      <w:bookmarkStart w:id="676" w:name="_Toc4880"/>
    </w:p>
    <w:p>
      <w:pPr>
        <w:pStyle w:val="4"/>
        <w:spacing w:before="0" w:line="240" w:lineRule="atLeast"/>
        <w:jc w:val="both"/>
        <w:rPr>
          <w:rFonts w:hint="eastAsia" w:ascii="微软雅黑" w:hAnsi="微软雅黑" w:eastAsia="微软雅黑" w:cs="微软雅黑"/>
          <w:bCs/>
          <w:sz w:val="24"/>
          <w:szCs w:val="24"/>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rPr>
          <w:rFonts w:hint="eastAsia"/>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rPr>
          <w:rFonts w:hint="eastAsia" w:ascii="微软雅黑" w:hAnsi="微软雅黑" w:eastAsia="微软雅黑" w:cs="微软雅黑"/>
          <w:bCs/>
          <w:sz w:val="24"/>
          <w:szCs w:val="24"/>
          <w:lang w:val="en-US" w:eastAsia="zh-CN"/>
        </w:rPr>
      </w:pPr>
    </w:p>
    <w:p>
      <w:pPr>
        <w:pStyle w:val="25"/>
        <w:rPr>
          <w:rFonts w:hint="eastAsia"/>
          <w:lang w:val="en-US" w:eastAsia="zh-CN"/>
        </w:rPr>
      </w:pPr>
    </w:p>
    <w:p>
      <w:pPr>
        <w:pStyle w:val="4"/>
        <w:spacing w:before="0" w:line="240" w:lineRule="atLeast"/>
        <w:rPr>
          <w:rFonts w:ascii="微软雅黑" w:hAnsi="微软雅黑" w:eastAsia="微软雅黑" w:cs="微软雅黑"/>
          <w:bCs/>
          <w:kern w:val="2"/>
          <w:sz w:val="22"/>
          <w:szCs w:val="22"/>
        </w:rPr>
      </w:pPr>
      <w:r>
        <w:rPr>
          <w:rFonts w:hint="eastAsia" w:ascii="微软雅黑" w:hAnsi="微软雅黑" w:eastAsia="微软雅黑" w:cs="微软雅黑"/>
          <w:bCs/>
          <w:sz w:val="24"/>
          <w:szCs w:val="24"/>
          <w:lang w:val="en-US" w:eastAsia="zh-CN"/>
        </w:rPr>
        <w:t>5</w:t>
      </w:r>
      <w:r>
        <w:rPr>
          <w:rFonts w:hint="eastAsia" w:ascii="微软雅黑" w:hAnsi="微软雅黑" w:eastAsia="微软雅黑" w:cs="微软雅黑"/>
          <w:bCs/>
          <w:sz w:val="24"/>
          <w:szCs w:val="24"/>
        </w:rPr>
        <w:t>.商务条款偏离表</w:t>
      </w:r>
      <w:bookmarkEnd w:id="656"/>
      <w:bookmarkEnd w:id="657"/>
    </w:p>
    <w:p>
      <w:pPr>
        <w:pStyle w:val="16"/>
        <w:spacing w:line="240" w:lineRule="atLeast"/>
        <w:ind w:left="1080" w:leftChars="257" w:hanging="540"/>
        <w:rPr>
          <w:rFonts w:ascii="微软雅黑" w:hAnsi="微软雅黑" w:eastAsia="微软雅黑" w:cs="微软雅黑"/>
          <w:szCs w:val="21"/>
        </w:rPr>
      </w:pPr>
    </w:p>
    <w:p>
      <w:pPr>
        <w:pStyle w:val="16"/>
        <w:spacing w:line="240" w:lineRule="atLeas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tbl>
      <w:tblPr>
        <w:tblStyle w:val="3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04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252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文件的商务条款</w:t>
            </w:r>
          </w:p>
        </w:tc>
        <w:tc>
          <w:tcPr>
            <w:tcW w:w="2520"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文件的商务条款</w:t>
            </w:r>
          </w:p>
        </w:tc>
        <w:tc>
          <w:tcPr>
            <w:tcW w:w="1014" w:type="dxa"/>
          </w:tcPr>
          <w:p>
            <w:pPr>
              <w:pStyle w:val="16"/>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jc w:val="center"/>
              <w:rPr>
                <w:rFonts w:ascii="微软雅黑" w:hAnsi="微软雅黑" w:eastAsia="微软雅黑" w:cs="微软雅黑"/>
                <w:sz w:val="24"/>
                <w:szCs w:val="24"/>
              </w:rPr>
            </w:pPr>
          </w:p>
        </w:tc>
        <w:tc>
          <w:tcPr>
            <w:tcW w:w="2520" w:type="dxa"/>
          </w:tcPr>
          <w:p>
            <w:pPr>
              <w:pStyle w:val="16"/>
              <w:spacing w:line="400" w:lineRule="exact"/>
              <w:ind w:left="1080" w:leftChars="257" w:hanging="540"/>
              <w:jc w:val="center"/>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ascii="微软雅黑" w:hAnsi="微软雅黑" w:eastAsia="微软雅黑" w:cs="微软雅黑"/>
                <w:sz w:val="24"/>
                <w:szCs w:val="24"/>
              </w:rPr>
            </w:pPr>
          </w:p>
        </w:tc>
        <w:tc>
          <w:tcPr>
            <w:tcW w:w="204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2520" w:type="dxa"/>
          </w:tcPr>
          <w:p>
            <w:pPr>
              <w:pStyle w:val="16"/>
              <w:spacing w:line="400" w:lineRule="exact"/>
              <w:ind w:left="1080" w:leftChars="257" w:hanging="540"/>
              <w:rPr>
                <w:rFonts w:ascii="微软雅黑" w:hAnsi="微软雅黑" w:eastAsia="微软雅黑" w:cs="微软雅黑"/>
                <w:sz w:val="24"/>
                <w:szCs w:val="24"/>
              </w:rPr>
            </w:pPr>
          </w:p>
        </w:tc>
        <w:tc>
          <w:tcPr>
            <w:tcW w:w="1014" w:type="dxa"/>
          </w:tcPr>
          <w:p>
            <w:pPr>
              <w:pStyle w:val="16"/>
              <w:spacing w:line="400" w:lineRule="exact"/>
              <w:ind w:left="1080" w:leftChars="257" w:hanging="540"/>
              <w:rPr>
                <w:rFonts w:ascii="微软雅黑" w:hAnsi="微软雅黑" w:eastAsia="微软雅黑" w:cs="微软雅黑"/>
                <w:sz w:val="24"/>
                <w:szCs w:val="24"/>
              </w:rPr>
            </w:pPr>
          </w:p>
        </w:tc>
      </w:tr>
    </w:tbl>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p>
    <w:p>
      <w:pPr>
        <w:pStyle w:val="16"/>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6"/>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p>
    <w:p>
      <w:pPr>
        <w:pStyle w:val="16"/>
        <w:tabs>
          <w:tab w:val="left" w:pos="5370"/>
        </w:tabs>
        <w:spacing w:line="400" w:lineRule="exact"/>
        <w:ind w:left="1080" w:leftChars="257" w:hanging="540"/>
        <w:rPr>
          <w:rFonts w:ascii="微软雅黑" w:hAnsi="微软雅黑" w:eastAsia="微软雅黑" w:cs="微软雅黑"/>
          <w:sz w:val="24"/>
          <w:szCs w:val="24"/>
          <w:u w:val="single"/>
        </w:rPr>
      </w:pPr>
    </w:p>
    <w:p>
      <w:pPr>
        <w:pStyle w:val="16"/>
        <w:spacing w:line="360" w:lineRule="exact"/>
        <w:rPr>
          <w:rFonts w:ascii="微软雅黑" w:hAnsi="微软雅黑" w:eastAsia="微软雅黑" w:cs="微软雅黑"/>
          <w:sz w:val="24"/>
          <w:u w:val="single"/>
        </w:rPr>
      </w:pP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pStyle w:val="5"/>
        <w:jc w:val="both"/>
        <w:rPr>
          <w:rFonts w:hint="eastAsia" w:hAnsi="宋体" w:cs="宋体"/>
          <w:b/>
          <w:bCs w:val="0"/>
          <w:kern w:val="0"/>
          <w:sz w:val="24"/>
          <w:szCs w:val="20"/>
          <w:highlight w:val="none"/>
          <w:u w:val="none"/>
          <w:lang w:val="en-US" w:eastAsia="zh-CN" w:bidi="ar-SA"/>
        </w:rPr>
      </w:pPr>
      <w:bookmarkStart w:id="677" w:name="_Toc25307"/>
      <w:bookmarkStart w:id="678" w:name="_Toc8073"/>
      <w:bookmarkStart w:id="679" w:name="_Toc13385"/>
      <w:bookmarkStart w:id="680" w:name="_Toc2099"/>
      <w:bookmarkStart w:id="681" w:name="_Toc29345"/>
      <w:bookmarkStart w:id="682" w:name="_Toc24705"/>
      <w:bookmarkStart w:id="683" w:name="_Toc20471"/>
    </w:p>
    <w:p>
      <w:pPr>
        <w:pStyle w:val="2"/>
        <w:rPr>
          <w:rFonts w:hint="eastAsia"/>
          <w:lang w:val="en-US" w:eastAsia="zh-CN"/>
        </w:rPr>
      </w:pPr>
    </w:p>
    <w:p>
      <w:pPr>
        <w:pStyle w:val="5"/>
        <w:jc w:val="both"/>
        <w:rPr>
          <w:rFonts w:hint="eastAsia" w:hAnsi="宋体" w:cs="宋体"/>
          <w:b/>
          <w:bCs w:val="0"/>
          <w:kern w:val="0"/>
          <w:sz w:val="24"/>
          <w:szCs w:val="20"/>
          <w:highlight w:val="none"/>
          <w:u w:val="none"/>
          <w:lang w:val="en-US" w:eastAsia="zh-CN" w:bidi="ar-SA"/>
        </w:rPr>
      </w:pPr>
    </w:p>
    <w:p>
      <w:pPr>
        <w:pStyle w:val="5"/>
        <w:jc w:val="center"/>
        <w:rPr>
          <w:rFonts w:hint="eastAsia" w:ascii="微软雅黑" w:hAnsi="微软雅黑" w:eastAsia="微软雅黑" w:cs="微软雅黑"/>
          <w:b/>
          <w:bCs/>
          <w:kern w:val="0"/>
          <w:sz w:val="24"/>
          <w:szCs w:val="24"/>
          <w:u w:val="none"/>
          <w:lang w:val="en-US" w:eastAsia="zh-CN" w:bidi="ar-SA"/>
        </w:rPr>
      </w:pPr>
      <w:r>
        <w:rPr>
          <w:rFonts w:hint="eastAsia" w:hAnsi="宋体" w:cs="宋体"/>
          <w:b/>
          <w:bCs w:val="0"/>
          <w:kern w:val="0"/>
          <w:sz w:val="24"/>
          <w:szCs w:val="20"/>
          <w:highlight w:val="none"/>
          <w:u w:val="none"/>
          <w:lang w:val="en-US" w:eastAsia="zh-CN" w:bidi="ar-SA"/>
        </w:rPr>
        <w:t>6</w:t>
      </w:r>
      <w:r>
        <w:rPr>
          <w:rFonts w:hint="eastAsia" w:ascii="宋体" w:hAnsi="宋体" w:eastAsia="宋体" w:cs="宋体"/>
          <w:b/>
          <w:bCs w:val="0"/>
          <w:kern w:val="0"/>
          <w:sz w:val="24"/>
          <w:szCs w:val="20"/>
          <w:highlight w:val="none"/>
          <w:u w:val="none"/>
          <w:lang w:val="en-US" w:eastAsia="zh-CN" w:bidi="ar-SA"/>
        </w:rPr>
        <w:t>-1</w:t>
      </w:r>
      <w:r>
        <w:rPr>
          <w:rFonts w:hint="eastAsia" w:ascii="微软雅黑" w:hAnsi="微软雅黑" w:eastAsia="微软雅黑" w:cs="微软雅黑"/>
          <w:b/>
          <w:bCs/>
          <w:kern w:val="0"/>
          <w:sz w:val="24"/>
          <w:szCs w:val="24"/>
          <w:u w:val="none"/>
          <w:lang w:val="en-US" w:eastAsia="zh-CN" w:bidi="ar-SA"/>
        </w:rPr>
        <w:t xml:space="preserve"> 中小企业声明函</w:t>
      </w:r>
    </w:p>
    <w:p>
      <w:pPr>
        <w:pStyle w:val="11"/>
        <w:ind w:left="0" w:right="714"/>
        <w:jc w:val="both"/>
        <w:rPr>
          <w:rFonts w:hint="eastAsia" w:ascii="宋体" w:hAnsi="宋体" w:eastAsia="宋体" w:cs="宋体"/>
          <w:color w:val="000000"/>
          <w:highlight w:val="none"/>
        </w:rPr>
      </w:pPr>
    </w:p>
    <w:p>
      <w:pPr>
        <w:pStyle w:val="11"/>
        <w:ind w:left="0" w:right="714"/>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（非中小企业投标，不需此件）</w:t>
      </w:r>
    </w:p>
    <w:p>
      <w:pPr>
        <w:pStyle w:val="11"/>
        <w:spacing w:before="11"/>
        <w:ind w:left="210" w:leftChars="100" w:right="210" w:rightChars="100" w:firstLine="199" w:firstLineChars="83"/>
        <w:rPr>
          <w:rFonts w:hint="eastAsia" w:ascii="微软雅黑" w:hAnsi="微软雅黑" w:eastAsia="微软雅黑" w:cs="微软雅黑"/>
          <w:kern w:val="0"/>
          <w:sz w:val="24"/>
          <w:szCs w:val="24"/>
          <w:lang w:val="en-US" w:eastAsia="zh-CN" w:bidi="ar-SA"/>
        </w:rPr>
      </w:pPr>
    </w:p>
    <w:p>
      <w:pPr>
        <w:pStyle w:val="11"/>
        <w:spacing w:line="360" w:lineRule="auto"/>
        <w:ind w:left="567" w:right="567" w:firstLine="559" w:firstLineChars="233"/>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本公司郑重声明，根据《政府采购促进中小企业发展暂行办法》（财库〔2011〕181号）的规定，本公司为（请填写：中型/小型/微型）企业。即，本公司同时满足以下条件：</w:t>
      </w:r>
    </w:p>
    <w:p>
      <w:pPr>
        <w:pStyle w:val="11"/>
        <w:tabs>
          <w:tab w:val="left" w:pos="1853"/>
          <w:tab w:val="clear" w:pos="567"/>
        </w:tabs>
        <w:spacing w:line="360" w:lineRule="auto"/>
        <w:ind w:left="567" w:right="567" w:firstLine="482"/>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1、根据《工业和信息化部、国家统计局、国家发展和改革委员会、财政部关于印发中小企业划型标准规定的通知》（工信部联企业〔2011〕300号）规定的划分标准， 本公司为</w:t>
      </w:r>
      <w:r>
        <w:rPr>
          <w:rFonts w:hint="eastAsia" w:ascii="微软雅黑" w:hAnsi="微软雅黑" w:eastAsia="微软雅黑" w:cs="微软雅黑"/>
          <w:kern w:val="0"/>
          <w:sz w:val="24"/>
          <w:szCs w:val="24"/>
          <w:lang w:val="en-US" w:eastAsia="zh-CN" w:bidi="ar-SA"/>
        </w:rPr>
        <w:tab/>
      </w:r>
      <w:r>
        <w:rPr>
          <w:rFonts w:hint="eastAsia" w:ascii="微软雅黑" w:hAnsi="微软雅黑" w:eastAsia="微软雅黑" w:cs="微软雅黑"/>
          <w:kern w:val="0"/>
          <w:sz w:val="24"/>
          <w:szCs w:val="24"/>
          <w:lang w:val="en-US" w:eastAsia="zh-CN" w:bidi="ar-SA"/>
        </w:rPr>
        <w:t>（请填写：中型/小型/微型）企业。</w:t>
      </w:r>
    </w:p>
    <w:p>
      <w:pPr>
        <w:pStyle w:val="11"/>
        <w:spacing w:before="6" w:line="360" w:lineRule="auto"/>
        <w:ind w:left="1008"/>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2、本公司参加本项目采购活动由本企业提供服务。</w:t>
      </w:r>
    </w:p>
    <w:p>
      <w:pPr>
        <w:pStyle w:val="11"/>
        <w:spacing w:before="115" w:line="360" w:lineRule="auto"/>
        <w:ind w:left="1008"/>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本公司对上述声明的真实性负责。如有虚假，将依法承担相应责任。</w:t>
      </w:r>
    </w:p>
    <w:p>
      <w:pPr>
        <w:pStyle w:val="11"/>
        <w:spacing w:before="9" w:line="360" w:lineRule="auto"/>
        <w:ind w:left="0"/>
        <w:rPr>
          <w:rFonts w:hint="eastAsia" w:ascii="微软雅黑" w:hAnsi="微软雅黑" w:eastAsia="微软雅黑" w:cs="微软雅黑"/>
          <w:kern w:val="0"/>
          <w:sz w:val="24"/>
          <w:szCs w:val="24"/>
          <w:lang w:val="en-US" w:eastAsia="zh-CN" w:bidi="ar-SA"/>
        </w:rPr>
      </w:pPr>
    </w:p>
    <w:p>
      <w:pPr>
        <w:pStyle w:val="11"/>
        <w:tabs>
          <w:tab w:val="left" w:pos="5765"/>
          <w:tab w:val="left" w:pos="8831"/>
          <w:tab w:val="left" w:pos="8927"/>
          <w:tab w:val="clear" w:pos="567"/>
        </w:tabs>
        <w:spacing w:line="360" w:lineRule="auto"/>
        <w:ind w:right="2257"/>
        <w:jc w:val="right"/>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    投标供应商签字或盖章：</w:t>
      </w:r>
    </w:p>
    <w:p>
      <w:pPr>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                          日</w:t>
      </w:r>
      <w:r>
        <w:rPr>
          <w:rFonts w:hint="eastAsia" w:ascii="微软雅黑" w:hAnsi="微软雅黑" w:eastAsia="微软雅黑" w:cs="微软雅黑"/>
          <w:kern w:val="0"/>
          <w:sz w:val="24"/>
          <w:szCs w:val="24"/>
          <w:lang w:val="en-US" w:eastAsia="zh-CN" w:bidi="ar-SA"/>
        </w:rPr>
        <w:tab/>
      </w:r>
      <w:r>
        <w:rPr>
          <w:rFonts w:hint="eastAsia" w:ascii="微软雅黑" w:hAnsi="微软雅黑" w:eastAsia="微软雅黑" w:cs="微软雅黑"/>
          <w:kern w:val="0"/>
          <w:sz w:val="24"/>
          <w:szCs w:val="24"/>
          <w:lang w:val="en-US" w:eastAsia="zh-CN" w:bidi="ar-SA"/>
        </w:rPr>
        <w:t>期：</w:t>
      </w:r>
    </w:p>
    <w:p>
      <w:pPr>
        <w:pStyle w:val="2"/>
        <w:rPr>
          <w:rFonts w:hint="eastAsia" w:ascii="微软雅黑" w:hAnsi="微软雅黑" w:eastAsia="微软雅黑" w:cs="微软雅黑"/>
          <w:kern w:val="0"/>
          <w:sz w:val="24"/>
          <w:szCs w:val="24"/>
          <w:lang w:val="en-US" w:eastAsia="zh-CN" w:bidi="ar-SA"/>
        </w:rPr>
      </w:pPr>
    </w:p>
    <w:p>
      <w:pPr>
        <w:rPr>
          <w:rFonts w:hint="eastAsia" w:ascii="微软雅黑" w:hAnsi="微软雅黑" w:eastAsia="微软雅黑" w:cs="微软雅黑"/>
          <w:kern w:val="0"/>
          <w:sz w:val="24"/>
          <w:szCs w:val="24"/>
          <w:lang w:val="en-US" w:eastAsia="zh-CN" w:bidi="ar-SA"/>
        </w:rPr>
      </w:pPr>
    </w:p>
    <w:p>
      <w:pPr>
        <w:pStyle w:val="2"/>
        <w:rPr>
          <w:rFonts w:hint="eastAsia"/>
          <w:lang w:val="en-US" w:eastAsia="zh-CN"/>
        </w:rPr>
      </w:pPr>
    </w:p>
    <w:p>
      <w:pPr>
        <w:spacing w:line="240" w:lineRule="atLeast"/>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注：须附从业人员、营业收入、资产总额填报上一年度数据，无上一年度数据的新成立企业可不填报。</w:t>
      </w:r>
    </w:p>
    <w:p>
      <w:pPr>
        <w:spacing w:line="240" w:lineRule="atLeast"/>
        <w:rPr>
          <w:rFonts w:ascii="微软雅黑" w:hAnsi="微软雅黑" w:eastAsia="微软雅黑" w:cs="微软雅黑"/>
          <w:szCs w:val="21"/>
        </w:rPr>
      </w:pPr>
    </w:p>
    <w:p>
      <w:pPr>
        <w:widowControl/>
        <w:spacing w:before="100" w:beforeAutospacing="1" w:after="100" w:afterAutospacing="1" w:line="400" w:lineRule="exact"/>
        <w:ind w:firstLine="2730" w:firstLineChars="1300"/>
        <w:jc w:val="right"/>
        <w:rPr>
          <w:rFonts w:ascii="微软雅黑" w:hAnsi="微软雅黑" w:eastAsia="微软雅黑" w:cs="微软雅黑"/>
          <w:szCs w:val="21"/>
        </w:rPr>
      </w:pPr>
    </w:p>
    <w:p>
      <w:pPr>
        <w:widowControl/>
        <w:spacing w:before="100" w:beforeAutospacing="1" w:after="100" w:afterAutospacing="1" w:line="330" w:lineRule="atLeast"/>
        <w:ind w:firstLine="420"/>
        <w:jc w:val="left"/>
        <w:rPr>
          <w:rFonts w:ascii="微软雅黑" w:hAnsi="微软雅黑" w:eastAsia="微软雅黑" w:cs="微软雅黑"/>
          <w:szCs w:val="21"/>
        </w:rPr>
      </w:pPr>
    </w:p>
    <w:p>
      <w:pPr>
        <w:spacing w:line="240" w:lineRule="atLeast"/>
        <w:jc w:val="center"/>
        <w:outlineLvl w:val="1"/>
        <w:rPr>
          <w:rFonts w:ascii="微软雅黑" w:hAnsi="微软雅黑" w:eastAsia="微软雅黑" w:cs="微软雅黑"/>
          <w:b/>
          <w:bCs/>
          <w:sz w:val="24"/>
        </w:rPr>
      </w:pPr>
      <w:bookmarkStart w:id="684" w:name="_Toc515647825"/>
      <w:bookmarkStart w:id="685" w:name="_Toc23103"/>
      <w:bookmarkStart w:id="686" w:name="_Toc10900"/>
      <w:bookmarkStart w:id="687" w:name="_Toc26116"/>
      <w:bookmarkStart w:id="688" w:name="_Toc23068"/>
      <w:bookmarkStart w:id="689" w:name="OLE_LINK14"/>
      <w:bookmarkStart w:id="690" w:name="_Toc19284"/>
      <w:bookmarkStart w:id="691" w:name="_Toc13191"/>
      <w:bookmarkStart w:id="692" w:name="_Toc30321"/>
      <w:bookmarkStart w:id="693" w:name="_Toc15209"/>
      <w:bookmarkStart w:id="694" w:name="OLE_LINK13"/>
      <w:bookmarkStart w:id="695" w:name="_Toc5825"/>
      <w:bookmarkStart w:id="696" w:name="_Toc22328"/>
      <w:bookmarkStart w:id="697" w:name="_Toc10530"/>
      <w:bookmarkStart w:id="698" w:name="_Toc1860"/>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rPr>
        <w:t>-2 残疾人福利性单位声明函</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spacing w:line="240" w:lineRule="atLeast"/>
        <w:ind w:left="1080" w:leftChars="257" w:hanging="540"/>
        <w:jc w:val="center"/>
        <w:rPr>
          <w:rFonts w:ascii="微软雅黑" w:hAnsi="微软雅黑" w:eastAsia="微软雅黑" w:cs="微软雅黑"/>
          <w:kern w:val="0"/>
          <w:sz w:val="24"/>
        </w:rPr>
      </w:pPr>
    </w:p>
    <w:p>
      <w:pPr>
        <w:spacing w:line="240" w:lineRule="atLeast"/>
        <w:ind w:firstLine="567"/>
        <w:rPr>
          <w:rFonts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w:t>
      </w:r>
      <w:r>
        <w:rPr>
          <w:rFonts w:hint="eastAsia" w:ascii="微软雅黑" w:hAnsi="微软雅黑" w:eastAsia="微软雅黑" w:cs="微软雅黑"/>
          <w:kern w:val="0"/>
          <w:sz w:val="24"/>
          <w:szCs w:val="24"/>
          <w:lang w:val="en-US" w:eastAsia="zh-CN" w:bidi="ar-SA"/>
        </w:rPr>
        <w:t>单位</w:t>
      </w:r>
      <w:r>
        <w:rPr>
          <w:rFonts w:hint="eastAsia" w:ascii="微软雅黑" w:hAnsi="微软雅黑" w:eastAsia="微软雅黑" w:cs="微软雅黑"/>
          <w:kern w:val="0"/>
          <w:sz w:val="24"/>
        </w:rPr>
        <w:t>，且本单位参加______单位的______项目采购活动提供本单位制造的货物，或者提供其他残疾人福利性单位制造的货物（不包括使用非残疾人福利性单位注册商标的货物）。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kern w:val="0"/>
          <w:sz w:val="24"/>
        </w:rPr>
      </w:pPr>
    </w:p>
    <w:p>
      <w:pPr>
        <w:spacing w:line="240" w:lineRule="atLeast"/>
        <w:ind w:left="1080" w:leftChars="257" w:hanging="540"/>
        <w:jc w:val="center"/>
        <w:rPr>
          <w:rFonts w:ascii="微软雅黑" w:hAnsi="微软雅黑" w:eastAsia="微软雅黑" w:cs="微软雅黑"/>
          <w:color w:val="FF0000"/>
          <w:kern w:val="0"/>
          <w:sz w:val="24"/>
        </w:rPr>
      </w:pPr>
    </w:p>
    <w:p>
      <w:pPr>
        <w:spacing w:line="240" w:lineRule="atLeast"/>
        <w:ind w:left="1080" w:leftChars="257" w:hanging="540"/>
        <w:jc w:val="center"/>
        <w:rPr>
          <w:rFonts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kern w:val="0"/>
          <w:sz w:val="24"/>
        </w:rPr>
      </w:pPr>
      <w:r>
        <w:rPr>
          <w:rFonts w:hint="eastAsia" w:ascii="微软雅黑" w:hAnsi="微软雅黑" w:eastAsia="微软雅黑" w:cs="微软雅黑"/>
          <w:kern w:val="0"/>
          <w:sz w:val="24"/>
        </w:rPr>
        <w:t xml:space="preserve">                 日  期：</w:t>
      </w:r>
    </w:p>
    <w:p>
      <w:pPr>
        <w:spacing w:line="240" w:lineRule="atLeast"/>
        <w:ind w:left="1080" w:leftChars="257" w:hanging="540"/>
        <w:jc w:val="center"/>
        <w:rPr>
          <w:rFonts w:ascii="微软雅黑" w:hAnsi="微软雅黑" w:eastAsia="微软雅黑" w:cs="微软雅黑"/>
          <w:b/>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szCs w:val="21"/>
        </w:rPr>
      </w:pPr>
    </w:p>
    <w:p>
      <w:pPr>
        <w:spacing w:line="480" w:lineRule="exact"/>
        <w:ind w:left="1080" w:leftChars="257" w:hanging="540"/>
        <w:jc w:val="center"/>
        <w:rPr>
          <w:rFonts w:ascii="微软雅黑" w:hAnsi="微软雅黑" w:eastAsia="微软雅黑" w:cs="微软雅黑"/>
          <w:szCs w:val="21"/>
        </w:rPr>
      </w:pPr>
    </w:p>
    <w:p>
      <w:pPr>
        <w:pStyle w:val="4"/>
        <w:spacing w:before="0" w:line="480" w:lineRule="exact"/>
        <w:ind w:left="1080" w:leftChars="257" w:hanging="540"/>
        <w:jc w:val="left"/>
        <w:rPr>
          <w:rFonts w:ascii="微软雅黑" w:hAnsi="微软雅黑" w:eastAsia="微软雅黑" w:cs="微软雅黑"/>
          <w:bCs/>
          <w:kern w:val="2"/>
          <w:sz w:val="24"/>
          <w:szCs w:val="24"/>
        </w:rPr>
      </w:pPr>
      <w:bookmarkStart w:id="699" w:name="_Toc28099"/>
      <w:bookmarkStart w:id="700" w:name="_Toc515647827"/>
      <w:bookmarkStart w:id="701" w:name="_Toc6009"/>
      <w:bookmarkStart w:id="702" w:name="_Toc30946"/>
      <w:bookmarkStart w:id="703" w:name="_Toc2304"/>
      <w:bookmarkStart w:id="704" w:name="_Toc26133"/>
      <w:bookmarkStart w:id="705" w:name="_Toc5568"/>
      <w:bookmarkStart w:id="706" w:name="_Toc16850"/>
      <w:bookmarkStart w:id="707" w:name="_Toc19223"/>
      <w:bookmarkStart w:id="708" w:name="_Toc11868"/>
      <w:bookmarkStart w:id="709" w:name="_Toc6004"/>
      <w:bookmarkStart w:id="710" w:name="_Toc13764"/>
      <w:bookmarkStart w:id="711" w:name="_Toc22561"/>
      <w:bookmarkStart w:id="712" w:name="_Toc452"/>
      <w:bookmarkStart w:id="713" w:name="_Toc22378"/>
      <w:bookmarkStart w:id="714" w:name="_Toc30795"/>
      <w:bookmarkStart w:id="715" w:name="_Toc5527"/>
      <w:r>
        <w:rPr>
          <w:rFonts w:hint="eastAsia" w:ascii="微软雅黑" w:hAnsi="微软雅黑" w:eastAsia="微软雅黑" w:cs="微软雅黑"/>
          <w:bCs/>
          <w:kern w:val="2"/>
          <w:sz w:val="24"/>
          <w:szCs w:val="24"/>
          <w:lang w:val="en-US" w:eastAsia="zh-CN"/>
        </w:rPr>
        <w:t>7</w:t>
      </w:r>
      <w:r>
        <w:rPr>
          <w:rFonts w:hint="eastAsia" w:ascii="微软雅黑" w:hAnsi="微软雅黑" w:eastAsia="微软雅黑" w:cs="微软雅黑"/>
          <w:bCs/>
          <w:kern w:val="2"/>
          <w:sz w:val="24"/>
          <w:szCs w:val="24"/>
        </w:rPr>
        <w:t xml:space="preserve"> 供应商关联单位的说明</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Style w:val="2"/>
        <w:spacing w:line="480" w:lineRule="exact"/>
        <w:jc w:val="center"/>
        <w:rPr>
          <w:rFonts w:ascii="微软雅黑" w:hAnsi="微软雅黑" w:eastAsia="微软雅黑" w:cs="微软雅黑"/>
          <w:kern w:val="2"/>
          <w:sz w:val="24"/>
          <w:szCs w:val="24"/>
        </w:rPr>
      </w:pPr>
    </w:p>
    <w:p>
      <w:pPr>
        <w:pStyle w:val="2"/>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说明：供应商应当如实披露与本单位存在下列关联关系的单位名称：</w:t>
      </w:r>
    </w:p>
    <w:p>
      <w:pPr>
        <w:pStyle w:val="2"/>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（1）与供应商单位负责人为同一人的其他单位；</w:t>
      </w:r>
    </w:p>
    <w:p>
      <w:pPr>
        <w:pStyle w:val="2"/>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（2）与供应商存在直接控股、管理关系的其他单位。</w:t>
      </w:r>
    </w:p>
    <w:p>
      <w:pPr>
        <w:pStyle w:val="2"/>
        <w:spacing w:line="480" w:lineRule="exact"/>
        <w:rPr>
          <w:rFonts w:ascii="微软雅黑" w:hAnsi="微软雅黑" w:eastAsia="微软雅黑" w:cs="微软雅黑"/>
          <w:kern w:val="2"/>
          <w:sz w:val="24"/>
          <w:szCs w:val="24"/>
        </w:rPr>
      </w:pPr>
    </w:p>
    <w:bookmarkEnd w:id="677"/>
    <w:bookmarkEnd w:id="678"/>
    <w:bookmarkEnd w:id="679"/>
    <w:bookmarkEnd w:id="680"/>
    <w:bookmarkEnd w:id="681"/>
    <w:bookmarkEnd w:id="682"/>
    <w:bookmarkEnd w:id="683"/>
    <w:p>
      <w:pPr>
        <w:pStyle w:val="4"/>
        <w:spacing w:before="0" w:line="480" w:lineRule="exact"/>
        <w:jc w:val="left"/>
        <w:rPr>
          <w:rFonts w:hint="eastAsia" w:ascii="微软雅黑" w:hAnsi="微软雅黑" w:eastAsia="微软雅黑" w:cs="微软雅黑"/>
          <w:bCs/>
          <w:kern w:val="2"/>
          <w:sz w:val="24"/>
          <w:szCs w:val="24"/>
          <w:lang w:val="en-US" w:eastAsia="zh-CN"/>
        </w:rPr>
      </w:pPr>
      <w:bookmarkStart w:id="716" w:name="_Toc15535"/>
      <w:bookmarkStart w:id="717" w:name="_Toc24823"/>
      <w:bookmarkStart w:id="718" w:name="_Toc27478"/>
      <w:bookmarkStart w:id="719" w:name="_Toc20015"/>
      <w:bookmarkStart w:id="720" w:name="_Toc16811"/>
      <w:bookmarkStart w:id="721" w:name="_Toc31226"/>
      <w:bookmarkStart w:id="722" w:name="_Toc7966"/>
      <w:bookmarkStart w:id="723" w:name="_Toc17843"/>
      <w:bookmarkStart w:id="724" w:name="_Toc25126"/>
      <w:bookmarkStart w:id="725" w:name="_Toc12486"/>
      <w:bookmarkStart w:id="726" w:name="_Toc23897"/>
      <w:bookmarkStart w:id="727" w:name="_Toc6932"/>
      <w:bookmarkStart w:id="728" w:name="_Toc27058"/>
      <w:bookmarkStart w:id="729" w:name="_Toc28765"/>
      <w:bookmarkStart w:id="730" w:name="_Toc16370"/>
      <w:bookmarkStart w:id="731" w:name="_Toc216582822"/>
      <w:bookmarkStart w:id="732" w:name="_Toc507399902"/>
      <w:bookmarkStart w:id="733" w:name="_Toc218935350"/>
      <w:bookmarkStart w:id="734" w:name="_Toc219175634"/>
      <w:bookmarkStart w:id="735" w:name="_Toc515647829"/>
    </w:p>
    <w:p>
      <w:pPr>
        <w:pStyle w:val="4"/>
        <w:spacing w:before="0" w:line="480" w:lineRule="exact"/>
        <w:jc w:val="left"/>
        <w:rPr>
          <w:rFonts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rPr>
        <w:t>8</w:t>
      </w:r>
      <w:r>
        <w:rPr>
          <w:rFonts w:hint="eastAsia" w:ascii="微软雅黑" w:hAnsi="微软雅黑" w:eastAsia="微软雅黑" w:cs="微软雅黑"/>
          <w:bCs/>
          <w:kern w:val="2"/>
          <w:sz w:val="24"/>
          <w:szCs w:val="24"/>
        </w:rPr>
        <w:t xml:space="preserve"> 供应商可提供有利于投标的其他资格证明材料</w:t>
      </w:r>
      <w:bookmarkEnd w:id="716"/>
      <w:bookmarkEnd w:id="717"/>
      <w:bookmarkEnd w:id="718"/>
      <w:bookmarkEnd w:id="719"/>
      <w:bookmarkEnd w:id="720"/>
      <w:bookmarkEnd w:id="721"/>
      <w:bookmarkEnd w:id="722"/>
      <w:bookmarkEnd w:id="723"/>
      <w:bookmarkEnd w:id="724"/>
      <w:bookmarkEnd w:id="725"/>
      <w:bookmarkEnd w:id="726"/>
      <w:bookmarkEnd w:id="727"/>
      <w:bookmarkEnd w:id="728"/>
    </w:p>
    <w:p>
      <w:pPr>
        <w:spacing w:line="480" w:lineRule="exact"/>
        <w:jc w:val="left"/>
        <w:rPr>
          <w:rFonts w:ascii="微软雅黑" w:hAnsi="微软雅黑" w:eastAsia="微软雅黑" w:cs="微软雅黑"/>
          <w:sz w:val="24"/>
          <w:szCs w:val="24"/>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snapToGrid w:val="0"/>
        <w:spacing w:line="240" w:lineRule="atLeast"/>
        <w:ind w:left="1079" w:leftChars="257" w:hanging="539"/>
        <w:jc w:val="left"/>
        <w:textAlignment w:val="baseline"/>
        <w:rPr>
          <w:rFonts w:hint="eastAsia" w:ascii="微软雅黑" w:hAnsi="微软雅黑" w:eastAsia="微软雅黑" w:cs="微软雅黑"/>
          <w:b/>
          <w:kern w:val="0"/>
          <w:sz w:val="24"/>
          <w:szCs w:val="20"/>
        </w:rPr>
      </w:pPr>
    </w:p>
    <w:p>
      <w:pPr>
        <w:snapToGrid w:val="0"/>
        <w:spacing w:line="240" w:lineRule="atLeast"/>
        <w:jc w:val="left"/>
        <w:textAlignment w:val="baseline"/>
        <w:rPr>
          <w:rFonts w:hint="eastAsia" w:ascii="微软雅黑" w:hAnsi="微软雅黑" w:eastAsia="微软雅黑" w:cs="微软雅黑"/>
          <w:b/>
          <w:kern w:val="0"/>
          <w:sz w:val="24"/>
          <w:szCs w:val="20"/>
        </w:rPr>
      </w:pPr>
    </w:p>
    <w:p>
      <w:pPr>
        <w:snapToGrid w:val="0"/>
        <w:spacing w:line="240" w:lineRule="atLeast"/>
        <w:ind w:left="1079" w:leftChars="257" w:hanging="539"/>
        <w:jc w:val="left"/>
        <w:textAlignment w:val="baseline"/>
        <w:rPr>
          <w:rFonts w:ascii="微软雅黑" w:hAnsi="微软雅黑" w:eastAsia="微软雅黑" w:cs="微软雅黑"/>
          <w:b/>
          <w:sz w:val="24"/>
        </w:rPr>
      </w:pPr>
      <w:r>
        <w:rPr>
          <w:rFonts w:hint="eastAsia" w:ascii="微软雅黑" w:hAnsi="微软雅黑" w:eastAsia="微软雅黑" w:cs="微软雅黑"/>
          <w:b/>
          <w:kern w:val="0"/>
          <w:sz w:val="24"/>
          <w:szCs w:val="20"/>
          <w:lang w:val="en-US" w:eastAsia="zh-CN"/>
        </w:rPr>
        <w:t>9</w:t>
      </w:r>
      <w:r>
        <w:rPr>
          <w:rFonts w:hint="eastAsia" w:ascii="微软雅黑" w:hAnsi="微软雅黑" w:eastAsia="微软雅黑" w:cs="微软雅黑"/>
          <w:b/>
          <w:kern w:val="0"/>
          <w:sz w:val="24"/>
          <w:szCs w:val="20"/>
        </w:rPr>
        <w:t>、响应文件格式范本</w:t>
      </w:r>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1"/>
              <w:snapToGrid w:val="0"/>
              <w:jc w:val="center"/>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（正本/副本）</w:t>
            </w: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ind w:firstLine="4202" w:firstLineChars="1500"/>
              <w:textAlignment w:val="baseline"/>
              <w:rPr>
                <w:rFonts w:ascii="微软雅黑" w:hAnsi="微软雅黑" w:eastAsia="微软雅黑" w:cs="微软雅黑"/>
                <w:b/>
                <w:bCs/>
                <w:sz w:val="28"/>
                <w:szCs w:val="28"/>
              </w:rPr>
            </w:pPr>
          </w:p>
          <w:p>
            <w:pPr>
              <w:pStyle w:val="11"/>
              <w:snapToGrid w:val="0"/>
              <w:textAlignment w:val="baseline"/>
              <w:rPr>
                <w:rFonts w:ascii="微软雅黑" w:hAnsi="微软雅黑" w:eastAsia="微软雅黑" w:cs="微软雅黑"/>
                <w:b/>
                <w:bCs/>
                <w:sz w:val="28"/>
                <w:szCs w:val="28"/>
              </w:rPr>
            </w:pPr>
          </w:p>
          <w:p>
            <w:pPr>
              <w:pStyle w:val="11"/>
              <w:snapToGrid w:val="0"/>
              <w:ind w:firstLine="2521" w:firstLineChars="900"/>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11"/>
              <w:snapToGrid w:val="0"/>
              <w:jc w:val="center"/>
              <w:textAlignment w:val="baseline"/>
              <w:rPr>
                <w:rFonts w:ascii="微软雅黑" w:hAnsi="微软雅黑" w:eastAsia="微软雅黑" w:cs="微软雅黑"/>
                <w:b/>
                <w:bCs/>
                <w:sz w:val="21"/>
                <w:szCs w:val="21"/>
              </w:rPr>
            </w:pPr>
          </w:p>
          <w:p>
            <w:pPr>
              <w:pStyle w:val="11"/>
              <w:snapToGrid w:val="0"/>
              <w:ind w:firstLine="3152" w:firstLineChars="1500"/>
              <w:textAlignment w:val="baseline"/>
              <w:rPr>
                <w:rFonts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pPr>
              <w:pStyle w:val="11"/>
              <w:snapToGrid w:val="0"/>
              <w:jc w:val="center"/>
              <w:textAlignment w:val="baseline"/>
              <w:rPr>
                <w:rFonts w:ascii="微软雅黑" w:hAnsi="微软雅黑" w:eastAsia="微软雅黑" w:cs="微软雅黑"/>
                <w:b/>
                <w:bCs/>
                <w:sz w:val="48"/>
              </w:rPr>
            </w:pPr>
          </w:p>
          <w:p>
            <w:pPr>
              <w:pStyle w:val="11"/>
              <w:snapToGrid w:val="0"/>
              <w:jc w:val="center"/>
              <w:textAlignment w:val="baseline"/>
              <w:rPr>
                <w:rFonts w:ascii="微软雅黑" w:hAnsi="微软雅黑" w:eastAsia="微软雅黑" w:cs="微软雅黑"/>
                <w:b/>
                <w:bCs/>
                <w:sz w:val="48"/>
              </w:rPr>
            </w:pPr>
            <w:r>
              <w:rPr>
                <w:rFonts w:hint="eastAsia" w:ascii="微软雅黑" w:hAnsi="微软雅黑" w:eastAsia="微软雅黑" w:cs="微软雅黑"/>
                <w:b/>
                <w:bCs/>
                <w:sz w:val="48"/>
              </w:rPr>
              <w:t>响 应 文 件</w:t>
            </w:r>
          </w:p>
          <w:p>
            <w:pPr>
              <w:snapToGrid w:val="0"/>
              <w:jc w:val="center"/>
              <w:textAlignment w:val="baseline"/>
              <w:rPr>
                <w:rFonts w:ascii="微软雅黑" w:hAnsi="微软雅黑" w:eastAsia="微软雅黑" w:cs="微软雅黑"/>
                <w:b/>
                <w:sz w:val="32"/>
              </w:rPr>
            </w:pPr>
          </w:p>
          <w:p>
            <w:pPr>
              <w:pStyle w:val="2"/>
              <w:snapToGrid w:val="0"/>
              <w:ind w:firstLine="0"/>
              <w:textAlignment w:val="baseline"/>
              <w:rPr>
                <w:rFonts w:ascii="微软雅黑" w:hAnsi="微软雅黑" w:eastAsia="微软雅黑" w:cs="微软雅黑"/>
                <w:b/>
                <w:sz w:val="32"/>
              </w:rPr>
            </w:pP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磋商单位：</w:t>
            </w:r>
            <w:r>
              <w:rPr>
                <w:rFonts w:hint="eastAsia" w:ascii="微软雅黑" w:hAnsi="微软雅黑" w:eastAsia="微软雅黑" w:cs="微软雅黑"/>
                <w:szCs w:val="21"/>
                <w:u w:val="single" w:color="000000"/>
              </w:rPr>
              <w:t xml:space="preserve">                                       </w:t>
            </w:r>
            <w:r>
              <w:rPr>
                <w:rFonts w:hint="eastAsia" w:ascii="微软雅黑" w:hAnsi="微软雅黑" w:eastAsia="微软雅黑" w:cs="微软雅黑"/>
                <w:szCs w:val="21"/>
              </w:rPr>
              <w:t>（公章）</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 xml:space="preserve">地    址  ：  </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960" w:firstLineChars="400"/>
              <w:textAlignment w:val="baseline"/>
              <w:rPr>
                <w:rFonts w:ascii="微软雅黑" w:hAnsi="微软雅黑" w:eastAsia="微软雅黑" w:cs="微软雅黑"/>
                <w:sz w:val="24"/>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r>
              <w:rPr>
                <w:rFonts w:hint="eastAsia" w:ascii="微软雅黑" w:hAnsi="微软雅黑" w:eastAsia="微软雅黑" w:cs="微软雅黑"/>
                <w:b/>
                <w:bCs/>
              </w:rPr>
              <w:t>注：   在20XX年   月  日 X午</w:t>
            </w:r>
            <w:r>
              <w:rPr>
                <w:rFonts w:hint="eastAsia" w:ascii="微软雅黑" w:hAnsi="微软雅黑" w:eastAsia="微软雅黑" w:cs="微软雅黑"/>
                <w:kern w:val="0"/>
                <w:szCs w:val="21"/>
              </w:rPr>
              <w:t>XX</w:t>
            </w:r>
            <w:r>
              <w:rPr>
                <w:rFonts w:hint="eastAsia" w:ascii="微软雅黑" w:hAnsi="微软雅黑" w:eastAsia="微软雅黑" w:cs="微软雅黑"/>
                <w:b/>
                <w:bCs/>
              </w:rPr>
              <w:t>之前不得启封</w:t>
            </w:r>
          </w:p>
          <w:p>
            <w:pPr>
              <w:snapToGrid w:val="0"/>
              <w:jc w:val="center"/>
              <w:textAlignment w:val="baseline"/>
              <w:rPr>
                <w:rFonts w:ascii="微软雅黑" w:hAnsi="微软雅黑" w:eastAsia="微软雅黑" w:cs="微软雅黑"/>
                <w:b/>
                <w:bCs/>
                <w:sz w:val="20"/>
              </w:rPr>
            </w:pPr>
          </w:p>
        </w:tc>
      </w:tr>
    </w:tbl>
    <w:p>
      <w:pPr>
        <w:snapToGrid w:val="0"/>
        <w:spacing w:line="240" w:lineRule="atLeast"/>
        <w:textAlignment w:val="baseline"/>
        <w:rPr>
          <w:rFonts w:ascii="微软雅黑" w:hAnsi="微软雅黑" w:eastAsia="微软雅黑" w:cs="微软雅黑"/>
          <w:b/>
          <w:sz w:val="30"/>
          <w:szCs w:val="30"/>
        </w:rPr>
      </w:pPr>
      <w:r>
        <w:rPr>
          <w:rFonts w:hint="eastAsia" w:ascii="微软雅黑" w:hAnsi="微软雅黑" w:eastAsia="微软雅黑" w:cs="微软雅黑"/>
          <w:sz w:val="24"/>
        </w:rPr>
        <w:br w:type="page"/>
      </w:r>
    </w:p>
    <w:p>
      <w:pPr>
        <w:snapToGrid w:val="0"/>
        <w:spacing w:line="240" w:lineRule="atLeast"/>
        <w:jc w:val="center"/>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r>
        <w:rPr>
          <w:rFonts w:ascii="微软雅黑" w:hAnsi="微软雅黑" w:eastAsia="微软雅黑" w:cs="微软雅黑"/>
          <w:b/>
          <w:sz w:val="44"/>
          <w:szCs w:val="44"/>
        </w:rPr>
        <w:t>喀什古城丝路风情系列活动服务</w:t>
      </w:r>
      <w:r>
        <w:rPr>
          <w:rFonts w:hint="eastAsia" w:ascii="微软雅黑" w:hAnsi="微软雅黑" w:eastAsia="微软雅黑" w:cs="微软雅黑"/>
          <w:b/>
          <w:sz w:val="44"/>
          <w:szCs w:val="44"/>
          <w:lang w:eastAsia="zh-CN"/>
        </w:rPr>
        <w:t>采购项目</w:t>
      </w: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34"/>
        <w:snapToGrid w:val="0"/>
        <w:textAlignment w:val="baseline"/>
        <w:rPr>
          <w:rFonts w:ascii="微软雅黑" w:hAnsi="微软雅黑" w:eastAsia="微软雅黑" w:cs="微软雅黑"/>
          <w:sz w:val="21"/>
        </w:rPr>
      </w:pPr>
    </w:p>
    <w:p>
      <w:pPr>
        <w:pStyle w:val="34"/>
        <w:snapToGrid w:val="0"/>
        <w:textAlignment w:val="baseline"/>
        <w:rPr>
          <w:rFonts w:ascii="微软雅黑" w:hAnsi="微软雅黑" w:eastAsia="微软雅黑" w:cs="微软雅黑"/>
          <w:sz w:val="21"/>
        </w:rPr>
      </w:pPr>
    </w:p>
    <w:p>
      <w:pPr>
        <w:snapToGrid w:val="0"/>
        <w:spacing w:line="240" w:lineRule="atLeast"/>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val="en-US" w:eastAsia="zh-CN"/>
        </w:rPr>
        <w:t>YYXD（CS）2022-02号  </w:t>
      </w: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25"/>
        <w:rPr>
          <w:rFonts w:ascii="微软雅黑" w:hAnsi="微软雅黑" w:eastAsia="微软雅黑" w:cs="微软雅黑"/>
          <w:b/>
          <w:sz w:val="28"/>
        </w:rPr>
      </w:pPr>
    </w:p>
    <w:p>
      <w:pPr>
        <w:pStyle w:val="25"/>
        <w:rPr>
          <w:rFonts w:ascii="微软雅黑" w:hAnsi="微软雅黑" w:eastAsia="微软雅黑" w:cs="微软雅黑"/>
          <w:b/>
          <w:sz w:val="28"/>
        </w:rPr>
      </w:pPr>
    </w:p>
    <w:p>
      <w:pPr>
        <w:pStyle w:val="2"/>
        <w:snapToGrid w:val="0"/>
        <w:ind w:firstLine="0"/>
        <w:textAlignment w:val="baseline"/>
        <w:rPr>
          <w:rFonts w:ascii="微软雅黑" w:hAnsi="微软雅黑" w:eastAsia="微软雅黑" w:cs="微软雅黑"/>
          <w:b/>
          <w:sz w:val="52"/>
        </w:rPr>
      </w:pPr>
    </w:p>
    <w:p>
      <w:pPr>
        <w:pStyle w:val="3"/>
        <w:tabs>
          <w:tab w:val="left" w:pos="0"/>
        </w:tabs>
        <w:snapToGrid w:val="0"/>
        <w:spacing w:before="0" w:after="0" w:line="240" w:lineRule="auto"/>
        <w:textAlignment w:val="baseline"/>
        <w:rPr>
          <w:rFonts w:ascii="微软雅黑" w:hAnsi="微软雅黑" w:eastAsia="微软雅黑" w:cs="微软雅黑"/>
        </w:rPr>
      </w:pPr>
      <w:bookmarkStart w:id="736" w:name="_Toc7946"/>
      <w:r>
        <w:rPr>
          <w:rFonts w:hint="eastAsia" w:ascii="微软雅黑" w:hAnsi="微软雅黑" w:eastAsia="微软雅黑" w:cs="微软雅黑"/>
        </w:rPr>
        <w:t>第3章 磋商邀请</w:t>
      </w:r>
      <w:bookmarkEnd w:id="729"/>
      <w:bookmarkEnd w:id="730"/>
      <w:bookmarkEnd w:id="731"/>
      <w:bookmarkEnd w:id="732"/>
      <w:bookmarkEnd w:id="733"/>
      <w:bookmarkEnd w:id="734"/>
      <w:bookmarkEnd w:id="735"/>
      <w:bookmarkEnd w:id="736"/>
    </w:p>
    <w:p>
      <w:pPr>
        <w:pStyle w:val="3"/>
        <w:pageBreakBefore w:val="0"/>
        <w:widowControl w:val="0"/>
        <w:tabs>
          <w:tab w:val="left" w:pos="0"/>
        </w:tabs>
        <w:kinsoku/>
        <w:wordWrap/>
        <w:overflowPunct/>
        <w:topLinePunct w:val="0"/>
        <w:bidi w:val="0"/>
        <w:snapToGrid/>
        <w:spacing w:before="0" w:after="0" w:line="240" w:lineRule="auto"/>
        <w:textAlignment w:val="auto"/>
        <w:rPr>
          <w:rFonts w:hint="eastAsia" w:ascii="微软雅黑" w:hAnsi="微软雅黑" w:eastAsia="微软雅黑" w:cs="微软雅黑"/>
          <w:sz w:val="36"/>
          <w:szCs w:val="36"/>
        </w:rPr>
      </w:pPr>
      <w:bookmarkStart w:id="737" w:name="_Toc14011"/>
      <w:bookmarkStart w:id="738" w:name="_Toc29429"/>
      <w:bookmarkStart w:id="739" w:name="_Toc8815"/>
      <w:bookmarkStart w:id="740" w:name="_Toc12623"/>
      <w:bookmarkStart w:id="741" w:name="_Toc10488"/>
      <w:bookmarkStart w:id="742" w:name="_Toc31583"/>
      <w:bookmarkStart w:id="743" w:name="_Toc507399903"/>
      <w:bookmarkStart w:id="744" w:name="_Toc512937850"/>
      <w:bookmarkStart w:id="745" w:name="_Toc216582823"/>
      <w:bookmarkStart w:id="746" w:name="_Toc515647830"/>
      <w:r>
        <w:rPr>
          <w:rFonts w:hint="eastAsia" w:ascii="微软雅黑" w:hAnsi="微软雅黑" w:eastAsia="微软雅黑" w:cs="微软雅黑"/>
          <w:sz w:val="36"/>
          <w:szCs w:val="36"/>
          <w:lang w:val="en-US" w:eastAsia="zh-CN"/>
        </w:rPr>
        <w:t xml:space="preserve">喀什古城丝路风情系列活动服务采购项目         </w:t>
      </w:r>
      <w:r>
        <w:rPr>
          <w:rFonts w:hint="eastAsia" w:ascii="微软雅黑" w:hAnsi="微软雅黑" w:eastAsia="微软雅黑" w:cs="微软雅黑"/>
          <w:sz w:val="36"/>
          <w:szCs w:val="36"/>
        </w:rPr>
        <w:t>竞争性磋商公告</w:t>
      </w:r>
      <w:bookmarkEnd w:id="737"/>
      <w:bookmarkEnd w:id="738"/>
      <w:bookmarkEnd w:id="739"/>
      <w:bookmarkEnd w:id="74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lang w:val="en-US" w:eastAsia="zh-CN"/>
        </w:rPr>
        <w:t>喀什古城丝路风情系列活动服务采购项目的潜在投标人应在政采云平台（https://www.zcygov.cn）获取竞争性磋商文件，并于</w:t>
      </w:r>
      <w:r>
        <w:rPr>
          <w:rFonts w:hint="eastAsia" w:ascii="微软雅黑" w:hAnsi="微软雅黑" w:eastAsia="微软雅黑" w:cs="微软雅黑"/>
          <w:sz w:val="28"/>
          <w:szCs w:val="28"/>
          <w:highlight w:val="none"/>
          <w:lang w:val="en-US" w:eastAsia="zh-CN"/>
        </w:rPr>
        <w:t>2022年07月05日 11:00（北京时间）前提交响应文件。</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bookmarkStart w:id="747" w:name="_Toc28359089"/>
      <w:bookmarkStart w:id="748" w:name="_Toc8264"/>
      <w:bookmarkStart w:id="749" w:name="_Toc29182"/>
      <w:bookmarkStart w:id="750" w:name="_Toc35393629"/>
      <w:bookmarkStart w:id="751" w:name="_Toc11899"/>
      <w:bookmarkStart w:id="752" w:name="_Toc35393798"/>
      <w:bookmarkStart w:id="753" w:name="_Toc28359012"/>
      <w:bookmarkStart w:id="754" w:name="_Toc18745"/>
      <w:r>
        <w:rPr>
          <w:rFonts w:hint="eastAsia" w:ascii="微软雅黑" w:hAnsi="微软雅黑" w:eastAsia="微软雅黑" w:cs="微软雅黑"/>
          <w:b/>
          <w:bCs w:val="0"/>
          <w:sz w:val="28"/>
          <w:szCs w:val="28"/>
        </w:rPr>
        <w:t>一、项目基本情况</w:t>
      </w:r>
      <w:bookmarkEnd w:id="747"/>
      <w:bookmarkEnd w:id="748"/>
      <w:bookmarkEnd w:id="749"/>
      <w:bookmarkEnd w:id="750"/>
      <w:bookmarkEnd w:id="751"/>
      <w:bookmarkEnd w:id="752"/>
      <w:bookmarkEnd w:id="753"/>
      <w:bookmarkEnd w:id="754"/>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bookmarkStart w:id="755" w:name="_Toc30511"/>
      <w:bookmarkStart w:id="756" w:name="_Toc35393630"/>
      <w:bookmarkStart w:id="757" w:name="_Toc28085"/>
      <w:bookmarkStart w:id="758" w:name="_Toc35393799"/>
      <w:bookmarkStart w:id="759" w:name="_Toc3888"/>
      <w:bookmarkStart w:id="760" w:name="_Toc13908"/>
      <w:bookmarkStart w:id="761" w:name="_Toc28359090"/>
      <w:bookmarkStart w:id="762" w:name="_Toc28359013"/>
      <w:r>
        <w:rPr>
          <w:rFonts w:hint="eastAsia" w:ascii="微软雅黑" w:hAnsi="微软雅黑" w:eastAsia="微软雅黑" w:cs="微软雅黑"/>
          <w:bCs/>
          <w:sz w:val="28"/>
          <w:szCs w:val="28"/>
          <w:lang w:val="en-US" w:eastAsia="zh-CN"/>
        </w:rPr>
        <w:t>1、项目编号：YYXD（CS）2022-02号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2、项目名称：喀什古城丝路风情系列活动服务采购项目</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3、采购方式：竞争性磋商</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4、总预算金额（元）：1255500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5、最高限价（元）：1255500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6、采购需求：传播魅力独特的丝路风情，充分展示美好喀什形象，策划并组织实施系列活动。1.印象喀什活动：在古城夜市常态开展以印象喀什为主题的民族歌舞体验活动，最大程度营造热闹喧嚣的夜市氛围，开展活动不少于150场次，每场次参与人员不少于70人；2.丝路驼队活动：在古城景区常态开展以丝路驼队、西域公主选郎等形式的沉浸体验活动，展现丝路独有的异域风情，开展活动不少于180场次，每场次参与人员不少于40人；3.快闪活动：在古城景区常态开展正能量的互动快闪活动，最大程度营造活动的震撼效果并最大限度地传递正能量，开展活动不少于150场次，每场次参与人员不少于40人。</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7、本项目（否）接受联合体投标。</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二、申请人的资格要求：</w:t>
      </w:r>
      <w:bookmarkEnd w:id="755"/>
      <w:bookmarkEnd w:id="756"/>
      <w:bookmarkEnd w:id="757"/>
      <w:bookmarkEnd w:id="758"/>
      <w:bookmarkEnd w:id="759"/>
      <w:bookmarkEnd w:id="760"/>
      <w:bookmarkEnd w:id="761"/>
      <w:bookmarkEnd w:id="762"/>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2.提供有效的营业执照；</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3.法人本人投标的提供法人身份证明及身份证，被授权委托人投标提供法人授权委托书及身份证；</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4.投标单位提供本单位依法缴纳近三个月的社保证明（社保证明可含：社保缴费凭证、社保缴费证明、社保缴费汇总单、依法缴纳社保的完税证明）；</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5.提供税务部门出具近三个月的完税证明；</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6.提供2021年度的财务审计报告（新成立公司需提供银行资信证明）；</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7.参加政府采购活动前3年内在经营活动中没有重大违法记录的书面声明；</w:t>
      </w:r>
    </w:p>
    <w:p>
      <w:pPr>
        <w:pStyle w:val="2"/>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8.提供针对本次项目的反商业贿赂承诺书。 </w:t>
      </w:r>
    </w:p>
    <w:p>
      <w:pPr>
        <w:pStyle w:val="2"/>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r>
        <w:rPr>
          <w:rStyle w:val="38"/>
          <w:rFonts w:hint="eastAsia" w:ascii="微软雅黑" w:hAnsi="微软雅黑" w:eastAsia="微软雅黑" w:cs="微软雅黑"/>
          <w:i w:val="0"/>
          <w:iCs w:val="0"/>
          <w:caps w:val="0"/>
          <w:color w:val="000000"/>
          <w:spacing w:val="0"/>
          <w:kern w:val="0"/>
          <w:sz w:val="28"/>
          <w:szCs w:val="28"/>
          <w:lang w:val="en-US" w:eastAsia="zh-CN" w:bidi="ar"/>
        </w:rPr>
        <w:t>三、获取竞争性磋商文件</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获取时间</w:t>
      </w:r>
      <w:r>
        <w:rPr>
          <w:rFonts w:hint="eastAsia" w:ascii="微软雅黑" w:hAnsi="微软雅黑" w:eastAsia="微软雅黑" w:cs="微软雅黑"/>
          <w:kern w:val="2"/>
          <w:sz w:val="28"/>
          <w:szCs w:val="28"/>
          <w:highlight w:val="none"/>
          <w:lang w:val="en-US" w:eastAsia="zh-CN" w:bidi="ar-SA"/>
        </w:rPr>
        <w:t>：2022年06月22日至2022年06月29日，每天上午10:00至13:30，下午16:00至19:30（北京时间，法定节假日除外）</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获取方式：供应商登陆政采云平台http://www.zcygov.cn/，在线获取磋商文件（登录政府采购云平台→ 项目采购 → 获取磋商文件，通过审核后可获取磋商文件，如有操作性问题，可与政采云在线客服进行咨询，电话400-881-7190 </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获取地点：政采云平台</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售价（元）：0元</w:t>
      </w:r>
    </w:p>
    <w:p>
      <w:pPr>
        <w:pStyle w:val="2"/>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3" w:name="_Toc30763"/>
      <w:bookmarkStart w:id="764" w:name="_Toc4637"/>
      <w:bookmarkStart w:id="765" w:name="_Toc545"/>
      <w:r>
        <w:rPr>
          <w:rStyle w:val="38"/>
          <w:rFonts w:hint="eastAsia" w:ascii="微软雅黑" w:hAnsi="微软雅黑" w:eastAsia="微软雅黑" w:cs="微软雅黑"/>
          <w:i w:val="0"/>
          <w:iCs w:val="0"/>
          <w:caps w:val="0"/>
          <w:color w:val="000000"/>
          <w:spacing w:val="0"/>
          <w:kern w:val="0"/>
          <w:sz w:val="28"/>
          <w:szCs w:val="28"/>
          <w:lang w:val="en-US" w:eastAsia="zh-CN" w:bidi="ar"/>
        </w:rPr>
        <w:t>四、提交响应文件截止时间、开启时间和地点</w:t>
      </w:r>
      <w:bookmarkEnd w:id="763"/>
      <w:bookmarkEnd w:id="764"/>
      <w:bookmarkEnd w:id="765"/>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时间：</w:t>
      </w:r>
      <w:r>
        <w:rPr>
          <w:rFonts w:hint="eastAsia" w:ascii="微软雅黑" w:hAnsi="微软雅黑" w:eastAsia="微软雅黑" w:cs="微软雅黑"/>
          <w:kern w:val="2"/>
          <w:sz w:val="28"/>
          <w:szCs w:val="28"/>
          <w:highlight w:val="none"/>
          <w:lang w:val="en-US" w:eastAsia="zh-CN" w:bidi="ar-SA"/>
        </w:rPr>
        <w:t>2022年07月05日 11:00（北京时间）</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地点：政府采购中心（喀什市行政审批局二楼第四评标室）</w:t>
      </w:r>
    </w:p>
    <w:p>
      <w:pPr>
        <w:pStyle w:val="2"/>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6" w:name="_Toc3836"/>
      <w:bookmarkStart w:id="767" w:name="_Toc1309"/>
      <w:r>
        <w:rPr>
          <w:rStyle w:val="38"/>
          <w:rFonts w:hint="eastAsia" w:ascii="微软雅黑" w:hAnsi="微软雅黑" w:eastAsia="微软雅黑" w:cs="微软雅黑"/>
          <w:i w:val="0"/>
          <w:iCs w:val="0"/>
          <w:caps w:val="0"/>
          <w:color w:val="000000"/>
          <w:spacing w:val="0"/>
          <w:kern w:val="0"/>
          <w:sz w:val="28"/>
          <w:szCs w:val="28"/>
          <w:lang w:val="en-US" w:eastAsia="zh-CN" w:bidi="ar"/>
        </w:rPr>
        <w:t>五、公告期限</w:t>
      </w:r>
      <w:bookmarkEnd w:id="766"/>
      <w:bookmarkEnd w:id="767"/>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自本公告发布之日起5</w:t>
      </w:r>
      <w:r>
        <w:rPr>
          <w:rFonts w:hint="eastAsia" w:ascii="微软雅黑" w:hAnsi="微软雅黑" w:eastAsia="微软雅黑" w:cs="微软雅黑"/>
          <w:kern w:val="2"/>
          <w:sz w:val="28"/>
          <w:szCs w:val="28"/>
          <w:highlight w:val="none"/>
          <w:lang w:val="en-US" w:eastAsia="zh-CN" w:bidi="ar-SA"/>
        </w:rPr>
        <w:t>个</w:t>
      </w:r>
      <w:r>
        <w:rPr>
          <w:rFonts w:hint="eastAsia" w:ascii="微软雅黑" w:hAnsi="微软雅黑" w:eastAsia="微软雅黑" w:cs="微软雅黑"/>
          <w:kern w:val="2"/>
          <w:sz w:val="28"/>
          <w:szCs w:val="28"/>
          <w:lang w:val="en-US" w:eastAsia="zh-CN" w:bidi="ar-SA"/>
        </w:rPr>
        <w:t>工作日。</w:t>
      </w:r>
    </w:p>
    <w:p>
      <w:pPr>
        <w:pStyle w:val="2"/>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8" w:name="_Toc11277"/>
      <w:bookmarkStart w:id="769" w:name="_Toc20023"/>
      <w:r>
        <w:rPr>
          <w:rStyle w:val="38"/>
          <w:rFonts w:hint="eastAsia" w:ascii="微软雅黑" w:hAnsi="微软雅黑" w:eastAsia="微软雅黑" w:cs="微软雅黑"/>
          <w:i w:val="0"/>
          <w:iCs w:val="0"/>
          <w:caps w:val="0"/>
          <w:color w:val="000000"/>
          <w:spacing w:val="0"/>
          <w:kern w:val="0"/>
          <w:sz w:val="28"/>
          <w:szCs w:val="28"/>
          <w:lang w:val="en-US" w:eastAsia="zh-CN" w:bidi="ar"/>
        </w:rPr>
        <w:t>六、其他补充事宜</w:t>
      </w:r>
      <w:bookmarkEnd w:id="768"/>
      <w:bookmarkEnd w:id="769"/>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无</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特别提示：</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70" w:name="_Toc22608"/>
      <w:bookmarkStart w:id="771" w:name="_Toc25433"/>
      <w:r>
        <w:rPr>
          <w:rStyle w:val="38"/>
          <w:rFonts w:hint="eastAsia" w:ascii="微软雅黑" w:hAnsi="微软雅黑" w:eastAsia="微软雅黑" w:cs="微软雅黑"/>
          <w:i w:val="0"/>
          <w:iCs w:val="0"/>
          <w:caps w:val="0"/>
          <w:color w:val="000000"/>
          <w:spacing w:val="0"/>
          <w:kern w:val="0"/>
          <w:sz w:val="28"/>
          <w:szCs w:val="28"/>
          <w:lang w:val="en-US" w:eastAsia="zh-CN" w:bidi="ar"/>
        </w:rPr>
        <w:t>七、对本次采购提出询问，请按以下方式联系</w:t>
      </w:r>
      <w:bookmarkEnd w:id="770"/>
      <w:bookmarkEnd w:id="771"/>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1.采购人信息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称：喀什古城景区管委会</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地 址：喀什古城景区管委会</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w:t>
      </w:r>
      <w:r>
        <w:rPr>
          <w:rFonts w:hint="eastAsia" w:ascii="微软雅黑" w:hAnsi="微软雅黑" w:eastAsia="微软雅黑" w:cs="微软雅黑"/>
          <w:kern w:val="2"/>
          <w:sz w:val="28"/>
          <w:szCs w:val="28"/>
          <w:highlight w:val="none"/>
          <w:lang w:val="en-US" w:eastAsia="zh-CN" w:bidi="ar-SA"/>
        </w:rPr>
        <w:t>17809987324</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2.采购代理机构信息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称：新疆永业鑫达招标有限公司</w:t>
      </w:r>
    </w:p>
    <w:p>
      <w:pPr>
        <w:pStyle w:val="30"/>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联系人：杨维 </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联系方式：13890832383</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3.同级监督部门</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单位名称：</w:t>
      </w:r>
      <w:r>
        <w:rPr>
          <w:rFonts w:hint="eastAsia" w:ascii="微软雅黑" w:hAnsi="微软雅黑" w:eastAsia="微软雅黑" w:cs="微软雅黑"/>
          <w:kern w:val="2"/>
          <w:sz w:val="28"/>
          <w:szCs w:val="28"/>
          <w:highlight w:val="none"/>
          <w:lang w:val="en-US" w:eastAsia="zh-CN" w:bidi="ar-SA"/>
        </w:rPr>
        <w:t>喀什市财政局采购办</w:t>
      </w:r>
    </w:p>
    <w:p>
      <w:pPr>
        <w:pageBreakBefore w:val="0"/>
        <w:widowControl w:val="0"/>
        <w:kinsoku/>
        <w:wordWrap/>
        <w:overflowPunct/>
        <w:topLinePunct w:val="0"/>
        <w:bidi w:val="0"/>
        <w:snapToGrid/>
        <w:spacing w:line="240" w:lineRule="auto"/>
        <w:ind w:firstLine="560" w:firstLineChars="200"/>
        <w:textAlignment w:val="auto"/>
        <w:rPr>
          <w:rFonts w:ascii="微软雅黑" w:hAnsi="微软雅黑" w:eastAsia="微软雅黑" w:cs="微软雅黑"/>
          <w:sz w:val="28"/>
          <w:szCs w:val="28"/>
        </w:rPr>
      </w:pPr>
      <w:r>
        <w:rPr>
          <w:rFonts w:hint="eastAsia" w:ascii="微软雅黑" w:hAnsi="微软雅黑" w:eastAsia="微软雅黑" w:cs="微软雅黑"/>
          <w:kern w:val="2"/>
          <w:sz w:val="28"/>
          <w:szCs w:val="28"/>
          <w:lang w:val="en-US" w:eastAsia="zh-CN" w:bidi="ar-SA"/>
        </w:rPr>
        <w:t>联系电话：0998-2823598</w:t>
      </w:r>
      <w:r>
        <w:rPr>
          <w:rFonts w:hint="eastAsia" w:ascii="仿宋_GB2312" w:hAnsi="Times New Roman" w:eastAsia="仿宋_GB2312" w:cs="Times New Roman"/>
          <w:kern w:val="2"/>
          <w:sz w:val="24"/>
          <w:szCs w:val="24"/>
          <w:lang w:val="en-US" w:eastAsia="zh-CN" w:bidi="ar-SA"/>
        </w:rPr>
        <w:br w:type="page"/>
      </w:r>
    </w:p>
    <w:p>
      <w:pPr>
        <w:pStyle w:val="3"/>
        <w:tabs>
          <w:tab w:val="left" w:pos="0"/>
        </w:tabs>
        <w:snapToGrid w:val="0"/>
        <w:spacing w:before="0" w:after="0" w:line="240" w:lineRule="auto"/>
        <w:textAlignment w:val="baseline"/>
        <w:rPr>
          <w:rFonts w:ascii="微软雅黑" w:hAnsi="微软雅黑" w:eastAsia="微软雅黑" w:cs="微软雅黑"/>
          <w:szCs w:val="32"/>
        </w:rPr>
      </w:pPr>
      <w:bookmarkStart w:id="772" w:name="_Toc31675"/>
      <w:r>
        <w:rPr>
          <w:rFonts w:hint="eastAsia" w:ascii="微软雅黑" w:hAnsi="微软雅黑" w:eastAsia="微软雅黑" w:cs="微软雅黑"/>
          <w:szCs w:val="32"/>
        </w:rPr>
        <w:t>第4章  供应商须知资料表</w:t>
      </w:r>
      <w:bookmarkEnd w:id="741"/>
      <w:bookmarkEnd w:id="742"/>
      <w:bookmarkEnd w:id="743"/>
      <w:bookmarkEnd w:id="744"/>
      <w:bookmarkEnd w:id="745"/>
      <w:bookmarkEnd w:id="746"/>
      <w:bookmarkEnd w:id="772"/>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jc w:val="center"/>
              <w:textAlignment w:val="baseline"/>
              <w:rPr>
                <w:rFonts w:ascii="微软雅黑" w:hAnsi="微软雅黑" w:eastAsia="微软雅黑" w:cs="微软雅黑"/>
                <w:sz w:val="24"/>
              </w:rPr>
            </w:pPr>
            <w:r>
              <w:rPr>
                <w:rFonts w:hint="eastAsia" w:ascii="微软雅黑" w:hAnsi="微软雅黑" w:eastAsia="微软雅黑" w:cs="微软雅黑"/>
                <w:sz w:val="24"/>
              </w:rPr>
              <w:t>条款号</w:t>
            </w:r>
          </w:p>
        </w:tc>
        <w:tc>
          <w:tcPr>
            <w:tcW w:w="8115" w:type="dxa"/>
            <w:vAlign w:val="center"/>
          </w:tcPr>
          <w:p>
            <w:pPr>
              <w:snapToGrid w:val="0"/>
              <w:ind w:left="1080" w:leftChars="257" w:hanging="540"/>
              <w:textAlignment w:val="baseline"/>
              <w:rPr>
                <w:rFonts w:ascii="微软雅黑" w:hAnsi="微软雅黑" w:eastAsia="微软雅黑" w:cs="微软雅黑"/>
                <w:b/>
                <w:sz w:val="24"/>
              </w:rPr>
            </w:pPr>
            <w:r>
              <w:rPr>
                <w:rFonts w:hint="eastAsia" w:ascii="微软雅黑" w:hAnsi="微软雅黑" w:eastAsia="微软雅黑" w:cs="微软雅黑"/>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1.1</w:t>
            </w:r>
          </w:p>
        </w:tc>
        <w:tc>
          <w:tcPr>
            <w:tcW w:w="8115" w:type="dxa"/>
            <w:vAlign w:val="center"/>
          </w:tcPr>
          <w:p>
            <w:pPr>
              <w:pStyle w:val="30"/>
              <w:widowControl/>
              <w:snapToGrid w:val="0"/>
              <w:spacing w:before="0" w:after="0"/>
              <w:textAlignment w:val="baseline"/>
              <w:rPr>
                <w:rFonts w:hint="eastAsia" w:ascii="微软雅黑" w:hAnsi="微软雅黑" w:eastAsia="微软雅黑" w:cs="微软雅黑"/>
                <w:lang w:eastAsia="zh-CN"/>
              </w:rPr>
            </w:pPr>
            <w:r>
              <w:rPr>
                <w:rFonts w:hint="eastAsia" w:ascii="微软雅黑" w:hAnsi="微软雅黑" w:eastAsia="微软雅黑" w:cs="微软雅黑"/>
              </w:rPr>
              <w:t>采购人：</w:t>
            </w:r>
            <w:r>
              <w:rPr>
                <w:rFonts w:hint="eastAsia" w:ascii="微软雅黑" w:hAnsi="微软雅黑" w:eastAsia="微软雅黑" w:cs="微软雅黑"/>
                <w:lang w:eastAsia="zh-CN"/>
              </w:rPr>
              <w:t>喀什古城景区管委会</w:t>
            </w:r>
          </w:p>
          <w:p>
            <w:pPr>
              <w:pStyle w:val="30"/>
              <w:widowControl/>
              <w:snapToGrid w:val="0"/>
              <w:spacing w:before="0" w:after="0"/>
              <w:textAlignment w:val="baseline"/>
              <w:rPr>
                <w:rFonts w:hint="eastAsia" w:ascii="微软雅黑" w:hAnsi="微软雅黑" w:eastAsia="微软雅黑" w:cs="微软雅黑"/>
              </w:rPr>
            </w:pPr>
            <w:r>
              <w:rPr>
                <w:rFonts w:hint="eastAsia" w:ascii="微软雅黑" w:hAnsi="微软雅黑" w:eastAsia="微软雅黑" w:cs="微软雅黑"/>
              </w:rPr>
              <w:t>地  址：</w:t>
            </w:r>
            <w:r>
              <w:rPr>
                <w:rFonts w:hint="eastAsia" w:ascii="微软雅黑" w:hAnsi="微软雅黑" w:eastAsia="微软雅黑" w:cs="微软雅黑"/>
                <w:lang w:eastAsia="zh-CN"/>
              </w:rPr>
              <w:t>喀什古城景区管委会</w:t>
            </w:r>
          </w:p>
          <w:p>
            <w:pPr>
              <w:pStyle w:val="30"/>
              <w:widowControl/>
              <w:snapToGrid w:val="0"/>
              <w:spacing w:before="0" w:after="0"/>
              <w:textAlignment w:val="baseline"/>
              <w:rPr>
                <w:rFonts w:ascii="微软雅黑" w:hAnsi="微软雅黑" w:eastAsia="微软雅黑" w:cs="微软雅黑"/>
              </w:rPr>
            </w:pPr>
            <w:r>
              <w:rPr>
                <w:rFonts w:hint="eastAsia" w:ascii="微软雅黑" w:hAnsi="微软雅黑" w:eastAsia="微软雅黑" w:cs="微软雅黑"/>
              </w:rPr>
              <w:t>电</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话：</w:t>
            </w:r>
            <w:r>
              <w:rPr>
                <w:rFonts w:hint="eastAsia" w:ascii="微软雅黑" w:hAnsi="微软雅黑" w:eastAsia="微软雅黑" w:cs="微软雅黑"/>
                <w:lang w:val="en-US" w:eastAsia="zh-CN"/>
              </w:rPr>
              <w:t>17809987324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w:t>
            </w:r>
          </w:p>
        </w:tc>
        <w:tc>
          <w:tcPr>
            <w:tcW w:w="8115" w:type="dxa"/>
            <w:vAlign w:val="center"/>
          </w:tcPr>
          <w:p>
            <w:pPr>
              <w:widowControl/>
              <w:snapToGrid w:val="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采购代理机构：</w:t>
            </w:r>
            <w:r>
              <w:rPr>
                <w:rFonts w:hint="eastAsia" w:ascii="微软雅黑" w:hAnsi="微软雅黑" w:eastAsia="微软雅黑" w:cs="微软雅黑"/>
                <w:sz w:val="24"/>
                <w:lang w:val="en-US" w:eastAsia="zh-CN"/>
              </w:rPr>
              <w:t>新疆永业鑫达招标有限公司</w:t>
            </w:r>
          </w:p>
          <w:p>
            <w:pPr>
              <w:widowControl/>
              <w:snapToGrid w:val="0"/>
              <w:jc w:val="left"/>
              <w:textAlignment w:val="baseline"/>
              <w:rPr>
                <w:rFonts w:ascii="微软雅黑" w:hAnsi="微软雅黑" w:eastAsia="微软雅黑" w:cs="微软雅黑"/>
                <w:sz w:val="24"/>
              </w:rPr>
            </w:pPr>
            <w:r>
              <w:rPr>
                <w:rFonts w:hint="eastAsia" w:ascii="微软雅黑" w:hAnsi="微软雅黑" w:eastAsia="微软雅黑" w:cs="微软雅黑"/>
                <w:sz w:val="24"/>
              </w:rPr>
              <w:t>联</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系</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人：</w:t>
            </w:r>
            <w:r>
              <w:rPr>
                <w:rFonts w:hint="eastAsia" w:ascii="微软雅黑" w:hAnsi="微软雅黑" w:eastAsia="微软雅黑" w:cs="微软雅黑"/>
                <w:sz w:val="24"/>
                <w:lang w:val="en-US" w:eastAsia="zh-CN"/>
              </w:rPr>
              <w:t>杨维</w:t>
            </w: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电</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话：</w:t>
            </w:r>
            <w:r>
              <w:rPr>
                <w:rFonts w:hint="eastAsia" w:ascii="微软雅黑" w:hAnsi="微软雅黑" w:eastAsia="微软雅黑" w:cs="微软雅黑"/>
                <w:sz w:val="24"/>
                <w:lang w:val="en-US" w:eastAsia="zh-CN"/>
              </w:rPr>
              <w:t>13890832383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61"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1.3.4</w:t>
            </w:r>
          </w:p>
        </w:tc>
        <w:tc>
          <w:tcPr>
            <w:tcW w:w="8115" w:type="dxa"/>
            <w:vAlign w:val="center"/>
          </w:tcPr>
          <w:p>
            <w:pPr>
              <w:snapToGrid w:val="0"/>
              <w:textAlignment w:val="baseline"/>
              <w:rPr>
                <w:rFonts w:ascii="微软雅黑" w:hAnsi="微软雅黑" w:eastAsia="微软雅黑" w:cs="微软雅黑"/>
                <w:b/>
                <w:bCs/>
                <w:sz w:val="24"/>
                <w:szCs w:val="24"/>
              </w:rPr>
            </w:pPr>
            <w:r>
              <w:rPr>
                <w:rFonts w:hint="eastAsia" w:ascii="微软雅黑" w:hAnsi="微软雅黑" w:eastAsia="微软雅黑" w:cs="微软雅黑"/>
                <w:b/>
                <w:bCs/>
                <w:sz w:val="24"/>
                <w:szCs w:val="24"/>
              </w:rPr>
              <w:t>合格供应商的其他资格要求：（开标现场需携带以下资格证明材料）</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2.提供有效的营业执照；</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3.法人本人投标的提供法人身份证明及身份证，被授权委托人投标提供法人授权委托书及身份证；</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4.投标单位提供本单位依法缴纳近三个月的社保证明（社保证明可含：社保缴费凭证、社保缴费证明、社保缴费汇总单、依法缴纳社保的完税证明）；</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5.提供税务部门出具近三个月的完税证明；</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6.提供2021年度的财务审计报告（新成立公司需提供银行资信证明）；</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7.参加政府采购活动前3年内在经营活动中没有重大违法记录的书面声明；</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8.提供针对本次项目的反商业贿赂承诺书。 </w:t>
            </w:r>
          </w:p>
          <w:p>
            <w:pPr>
              <w:pStyle w:val="2"/>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9.提供缴纳磋商保证金的有效凭证。</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color w:val="auto"/>
                <w:kern w:val="2"/>
                <w:sz w:val="24"/>
                <w:szCs w:val="24"/>
                <w:lang w:val="en-US" w:eastAsia="zh-CN" w:bidi="ar-SA"/>
              </w:rPr>
              <w:t>注：上述资质开标现场能够通过官方网络查证的，均视为合格供应商。在资格审查过程中，潜在投标企业提供的资质材料不全的，可打开投标书正本进行进一步核实，符合条件的均为合格供应商。</w:t>
            </w:r>
          </w:p>
          <w:p>
            <w:pPr>
              <w:numPr>
                <w:ilvl w:val="0"/>
                <w:numId w:val="0"/>
              </w:numPr>
              <w:snapToGrid w:val="0"/>
              <w:spacing w:line="380" w:lineRule="exact"/>
              <w:ind w:leftChars="-306"/>
              <w:textAlignment w:val="baseline"/>
              <w:rPr>
                <w:rFonts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1.3.5   </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是否允许采购进口产品：</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1.3.6</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sz w:val="24"/>
                <w:u w:val="single" w:color="000000"/>
                <w:lang w:eastAsia="zh-CN"/>
              </w:rPr>
              <w:t>是</w:t>
            </w:r>
            <w:r>
              <w:rPr>
                <w:rFonts w:hint="eastAsia" w:ascii="微软雅黑" w:hAnsi="微软雅黑" w:eastAsia="微软雅黑" w:cs="微软雅黑"/>
                <w:sz w:val="24"/>
                <w:u w:val="single" w:color="000000"/>
                <w:lang w:val="en-US" w:eastAsia="zh-CN"/>
              </w:rPr>
              <w:t xml:space="preserve">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是否允许联合体磋商：</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1.4.8</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2.2</w:t>
            </w:r>
          </w:p>
        </w:tc>
        <w:tc>
          <w:tcPr>
            <w:tcW w:w="8115" w:type="dxa"/>
            <w:vAlign w:val="center"/>
          </w:tcPr>
          <w:p>
            <w:pPr>
              <w:pStyle w:val="2"/>
              <w:snapToGrid w:val="0"/>
              <w:ind w:firstLine="0"/>
              <w:textAlignment w:val="baseline"/>
              <w:rPr>
                <w:rFonts w:ascii="微软雅黑" w:hAnsi="微软雅黑" w:eastAsia="微软雅黑" w:cs="微软雅黑"/>
                <w:szCs w:val="24"/>
              </w:rPr>
            </w:pPr>
            <w:r>
              <w:rPr>
                <w:rFonts w:hint="eastAsia" w:ascii="微软雅黑" w:hAnsi="微软雅黑" w:eastAsia="微软雅黑" w:cs="微软雅黑"/>
                <w:b/>
                <w:bCs/>
                <w:szCs w:val="24"/>
              </w:rPr>
              <w:t>项目</w:t>
            </w:r>
            <w:r>
              <w:rPr>
                <w:rFonts w:hint="eastAsia" w:ascii="微软雅黑" w:hAnsi="微软雅黑" w:eastAsia="微软雅黑" w:cs="微软雅黑"/>
                <w:b/>
                <w:bCs/>
                <w:szCs w:val="24"/>
                <w:lang w:eastAsia="zh-CN"/>
              </w:rPr>
              <w:t>总</w:t>
            </w:r>
            <w:r>
              <w:rPr>
                <w:rFonts w:hint="eastAsia" w:ascii="微软雅黑" w:hAnsi="微软雅黑" w:eastAsia="微软雅黑" w:cs="微软雅黑"/>
                <w:b/>
                <w:bCs/>
                <w:szCs w:val="24"/>
              </w:rPr>
              <w:t>预算金额：</w:t>
            </w:r>
            <w:r>
              <w:rPr>
                <w:rFonts w:hint="eastAsia" w:ascii="微软雅黑" w:hAnsi="微软雅黑" w:eastAsia="微软雅黑" w:cs="微软雅黑"/>
                <w:b/>
                <w:bCs/>
                <w:szCs w:val="24"/>
                <w:lang w:val="en-US" w:eastAsia="zh-CN"/>
              </w:rPr>
              <w:t xml:space="preserve"> 1255500 </w:t>
            </w:r>
            <w:r>
              <w:rPr>
                <w:rFonts w:hint="eastAsia" w:ascii="微软雅黑" w:hAnsi="微软雅黑" w:eastAsia="微软雅黑" w:cs="微软雅黑"/>
                <w:b/>
                <w:bCs/>
                <w:szCs w:val="24"/>
              </w:rPr>
              <w:t>元；本</w:t>
            </w:r>
            <w:r>
              <w:rPr>
                <w:rFonts w:hint="eastAsia" w:ascii="微软雅黑" w:hAnsi="微软雅黑" w:eastAsia="微软雅黑" w:cs="微软雅黑"/>
                <w:b/>
                <w:bCs/>
                <w:szCs w:val="24"/>
                <w:lang w:eastAsia="zh-CN"/>
              </w:rPr>
              <w:t>项目</w:t>
            </w:r>
            <w:r>
              <w:rPr>
                <w:rFonts w:hint="eastAsia" w:ascii="微软雅黑" w:hAnsi="微软雅黑" w:eastAsia="微软雅黑" w:cs="微软雅黑"/>
                <w:b/>
                <w:bCs/>
                <w:szCs w:val="24"/>
              </w:rPr>
              <w:t>最高限价</w:t>
            </w:r>
            <w:r>
              <w:rPr>
                <w:rFonts w:hint="eastAsia" w:ascii="微软雅黑" w:hAnsi="微软雅黑" w:eastAsia="微软雅黑" w:cs="微软雅黑"/>
                <w:b/>
                <w:bCs/>
                <w:szCs w:val="24"/>
                <w:lang w:eastAsia="zh-CN"/>
              </w:rPr>
              <w:t>：</w:t>
            </w:r>
            <w:r>
              <w:rPr>
                <w:rFonts w:hint="eastAsia" w:ascii="微软雅黑" w:hAnsi="微软雅黑" w:eastAsia="微软雅黑" w:cs="微软雅黑"/>
                <w:b/>
                <w:bCs/>
                <w:szCs w:val="24"/>
                <w:lang w:val="en-US" w:eastAsia="zh-CN"/>
              </w:rPr>
              <w:t>1255500</w:t>
            </w:r>
            <w:r>
              <w:rPr>
                <w:rFonts w:hint="eastAsia" w:ascii="微软雅黑" w:hAnsi="微软雅黑" w:eastAsia="微软雅黑" w:cs="微软雅黑"/>
                <w:b/>
                <w:bCs/>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磋商保证金形式：</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 xml:space="preserve">保函  ☑电汇  □支票   ☑对公转账   </w:t>
            </w:r>
          </w:p>
          <w:p>
            <w:pPr>
              <w:snapToGrid w:val="0"/>
              <w:textAlignment w:val="baseline"/>
              <w:rPr>
                <w:rFonts w:ascii="微软雅黑" w:hAnsi="微软雅黑" w:eastAsia="微软雅黑" w:cs="微软雅黑"/>
                <w:sz w:val="20"/>
              </w:rPr>
            </w:pPr>
            <w:r>
              <w:rPr>
                <w:rFonts w:hint="eastAsia" w:ascii="微软雅黑" w:hAnsi="微软雅黑" w:eastAsia="微软雅黑" w:cs="微软雅黑"/>
                <w:sz w:val="24"/>
              </w:rPr>
              <w:t>磋商保证金金额：</w:t>
            </w:r>
            <w:r>
              <w:rPr>
                <w:rFonts w:hint="eastAsia" w:ascii="微软雅黑" w:hAnsi="微软雅黑" w:eastAsia="微软雅黑" w:cs="微软雅黑"/>
                <w:b/>
                <w:bCs/>
                <w:sz w:val="24"/>
              </w:rPr>
              <w:t>小写：</w:t>
            </w:r>
            <w:r>
              <w:rPr>
                <w:rFonts w:hint="eastAsia" w:ascii="微软雅黑" w:hAnsi="微软雅黑" w:eastAsia="微软雅黑" w:cs="微软雅黑"/>
                <w:b/>
                <w:bCs/>
                <w:sz w:val="24"/>
                <w:lang w:val="en-US" w:eastAsia="zh-CN"/>
              </w:rPr>
              <w:t>25000</w:t>
            </w:r>
            <w:r>
              <w:rPr>
                <w:rFonts w:hint="eastAsia" w:ascii="微软雅黑" w:hAnsi="微软雅黑" w:eastAsia="微软雅黑" w:cs="微软雅黑"/>
                <w:b/>
                <w:bCs/>
                <w:sz w:val="24"/>
              </w:rPr>
              <w:t>元(大写：人民币</w:t>
            </w:r>
            <w:r>
              <w:rPr>
                <w:rFonts w:hint="eastAsia" w:ascii="微软雅黑" w:hAnsi="微软雅黑" w:eastAsia="微软雅黑" w:cs="微软雅黑"/>
                <w:b/>
                <w:bCs/>
                <w:sz w:val="24"/>
                <w:lang w:eastAsia="zh-CN"/>
              </w:rPr>
              <w:t>贰</w:t>
            </w:r>
            <w:r>
              <w:rPr>
                <w:rFonts w:hint="eastAsia" w:ascii="微软雅黑" w:hAnsi="微软雅黑" w:eastAsia="微软雅黑" w:cs="微软雅黑"/>
                <w:b/>
                <w:bCs/>
                <w:sz w:val="24"/>
                <w:lang w:val="en-US" w:eastAsia="zh-CN"/>
              </w:rPr>
              <w:t>万伍仟元整</w:t>
            </w:r>
            <w:r>
              <w:rPr>
                <w:rFonts w:hint="eastAsia" w:ascii="微软雅黑" w:hAnsi="微软雅黑" w:eastAsia="微软雅黑" w:cs="微软雅黑"/>
                <w:b/>
                <w:bCs/>
                <w:sz w:val="24"/>
              </w:rPr>
              <w:t>）</w:t>
            </w:r>
          </w:p>
          <w:p>
            <w:pPr>
              <w:snapToGrid w:val="0"/>
              <w:textAlignment w:val="baseline"/>
              <w:rPr>
                <w:rFonts w:ascii="微软雅黑" w:hAnsi="微软雅黑" w:eastAsia="微软雅黑" w:cs="微软雅黑"/>
                <w:b/>
                <w:i w:val="0"/>
                <w:iCs/>
                <w:sz w:val="24"/>
              </w:rPr>
            </w:pPr>
            <w:r>
              <w:rPr>
                <w:rFonts w:hint="eastAsia" w:ascii="微软雅黑" w:hAnsi="微软雅黑" w:eastAsia="微软雅黑" w:cs="微软雅黑"/>
                <w:i w:val="0"/>
                <w:iCs/>
                <w:sz w:val="24"/>
              </w:rPr>
              <w:t>（按照各分包控制金额2%以内的整数计算）</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单位名称：</w:t>
            </w:r>
            <w:r>
              <w:rPr>
                <w:rFonts w:hint="eastAsia" w:ascii="微软雅黑" w:hAnsi="微软雅黑" w:eastAsia="微软雅黑" w:cs="微软雅黑"/>
                <w:b/>
                <w:bCs/>
                <w:sz w:val="24"/>
                <w:lang w:eastAsia="zh-CN"/>
              </w:rPr>
              <w:t>新疆永业鑫达招标有限公司</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开 户 行：中国银行股份有限公司库尔勒市石化大道支行</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账    号：107677536350</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联 系 人：</w:t>
            </w:r>
            <w:r>
              <w:rPr>
                <w:rFonts w:hint="eastAsia" w:ascii="微软雅黑" w:hAnsi="微软雅黑" w:eastAsia="微软雅黑" w:cs="微软雅黑"/>
                <w:b/>
                <w:bCs/>
                <w:sz w:val="24"/>
                <w:lang w:val="en-US" w:eastAsia="zh-CN"/>
              </w:rPr>
              <w:t xml:space="preserve">杨维  </w:t>
            </w:r>
            <w:r>
              <w:rPr>
                <w:rFonts w:hint="eastAsia" w:ascii="微软雅黑" w:hAnsi="微软雅黑" w:eastAsia="微软雅黑" w:cs="微软雅黑"/>
                <w:b/>
                <w:bCs/>
                <w:sz w:val="24"/>
              </w:rPr>
              <w:t xml:space="preserve">  </w:t>
            </w:r>
          </w:p>
          <w:p>
            <w:pPr>
              <w:snapToGrid w:val="0"/>
              <w:textAlignment w:val="baseline"/>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rPr>
              <w:t>联系电话：</w:t>
            </w:r>
            <w:r>
              <w:rPr>
                <w:rFonts w:hint="eastAsia" w:ascii="微软雅黑" w:hAnsi="微软雅黑" w:eastAsia="微软雅黑" w:cs="微软雅黑"/>
                <w:b/>
                <w:bCs/>
                <w:sz w:val="24"/>
                <w:lang w:val="en-US" w:eastAsia="zh-CN"/>
              </w:rPr>
              <w:t>13890832383</w:t>
            </w:r>
          </w:p>
          <w:p>
            <w:pPr>
              <w:snapToGrid w:val="0"/>
              <w:textAlignment w:val="baseline"/>
              <w:rPr>
                <w:rFonts w:hint="eastAsia" w:ascii="微软雅黑" w:hAnsi="微软雅黑" w:eastAsia="微软雅黑" w:cs="微软雅黑"/>
                <w:sz w:val="24"/>
              </w:rPr>
            </w:pPr>
            <w:r>
              <w:rPr>
                <w:rFonts w:hint="eastAsia" w:ascii="微软雅黑" w:hAnsi="微软雅黑" w:eastAsia="微软雅黑" w:cs="微软雅黑"/>
                <w:b/>
                <w:bCs/>
                <w:sz w:val="24"/>
                <w:lang w:eastAsia="zh-CN"/>
              </w:rPr>
              <w:t>保证金缴纳要求</w:t>
            </w:r>
            <w:r>
              <w:rPr>
                <w:rFonts w:hint="eastAsia" w:ascii="微软雅黑" w:hAnsi="微软雅黑" w:eastAsia="微软雅黑" w:cs="微软雅黑"/>
                <w:b/>
                <w:bCs/>
                <w:sz w:val="24"/>
              </w:rPr>
              <w:t>：</w:t>
            </w:r>
            <w:r>
              <w:rPr>
                <w:rFonts w:hint="eastAsia" w:ascii="微软雅黑" w:hAnsi="微软雅黑" w:eastAsia="微软雅黑" w:cs="微软雅黑"/>
                <w:sz w:val="24"/>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sz w:val="24"/>
              </w:rPr>
              <w:t>打款时注明</w:t>
            </w:r>
            <w:r>
              <w:rPr>
                <w:rFonts w:hint="eastAsia" w:ascii="微软雅黑" w:hAnsi="微软雅黑" w:eastAsia="微软雅黑" w:cs="微软雅黑"/>
                <w:sz w:val="24"/>
                <w:lang w:eastAsia="zh-CN"/>
              </w:rPr>
              <w:t>投标</w:t>
            </w:r>
            <w:r>
              <w:rPr>
                <w:rFonts w:hint="eastAsia" w:ascii="微软雅黑" w:hAnsi="微软雅黑" w:eastAsia="微软雅黑" w:cs="微软雅黑"/>
                <w:sz w:val="24"/>
              </w:rPr>
              <w:t>保证金项目名称</w:t>
            </w:r>
            <w:r>
              <w:rPr>
                <w:rFonts w:hint="eastAsia" w:ascii="微软雅黑" w:hAnsi="微软雅黑" w:eastAsia="微软雅黑" w:cs="微软雅黑"/>
                <w:sz w:val="24"/>
                <w:lang w:eastAsia="zh-CN"/>
              </w:rPr>
              <w:t>，项目编号</w:t>
            </w:r>
            <w:r>
              <w:rPr>
                <w:rFonts w:hint="eastAsia" w:ascii="微软雅黑" w:hAnsi="微软雅黑" w:eastAsia="微软雅黑" w:cs="微软雅黑"/>
                <w:sz w:val="24"/>
              </w:rPr>
              <w:t>。投标人未按本条规定提交投标保证金的，其投标将被认定为投标无效。</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b/>
                <w:bCs/>
                <w:sz w:val="24"/>
              </w:rPr>
              <w:t>投标保证金的退还：</w:t>
            </w:r>
            <w:r>
              <w:rPr>
                <w:rFonts w:hint="eastAsia" w:ascii="微软雅黑" w:hAnsi="微软雅黑" w:eastAsia="微软雅黑" w:cs="微软雅黑"/>
                <w:sz w:val="24"/>
              </w:rPr>
              <w:t>中标通知书发出之日起5个工作日内退还未中标人的投标保证金，中标单位投标保证金在与采购单位签订合同后，把合同扫描件和投标保证金银行转账回执单发到接收</w:t>
            </w:r>
            <w:r>
              <w:rPr>
                <w:rFonts w:hint="eastAsia" w:ascii="微软雅黑" w:hAnsi="微软雅黑" w:eastAsia="微软雅黑" w:cs="微软雅黑"/>
                <w:sz w:val="24"/>
                <w:lang w:eastAsia="zh-CN"/>
              </w:rPr>
              <w:t>竞争性磋商文件</w:t>
            </w:r>
            <w:r>
              <w:rPr>
                <w:rFonts w:hint="eastAsia" w:ascii="微软雅黑" w:hAnsi="微软雅黑" w:eastAsia="微软雅黑" w:cs="微软雅黑"/>
                <w:sz w:val="24"/>
              </w:rPr>
              <w:t>邮箱</w:t>
            </w:r>
            <w:r>
              <w:rPr>
                <w:rFonts w:hint="eastAsia" w:ascii="微软雅黑" w:hAnsi="微软雅黑" w:eastAsia="微软雅黑" w:cs="微软雅黑"/>
                <w:sz w:val="24"/>
                <w:lang w:val="en-US" w:eastAsia="zh-CN"/>
              </w:rPr>
              <w:t>494201909</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qq</w:t>
            </w:r>
            <w:r>
              <w:rPr>
                <w:rFonts w:hint="eastAsia" w:ascii="微软雅黑" w:hAnsi="微软雅黑" w:eastAsia="微软雅黑" w:cs="微软雅黑"/>
                <w:sz w:val="24"/>
              </w:rPr>
              <w:t>.com后，5个工作日内原账户退回。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磋商有效期：</w:t>
            </w:r>
            <w:r>
              <w:rPr>
                <w:rFonts w:hint="eastAsia" w:ascii="微软雅黑" w:hAnsi="微软雅黑" w:eastAsia="微软雅黑" w:cs="微软雅黑"/>
                <w:sz w:val="24"/>
                <w:u w:val="single" w:color="000000"/>
              </w:rPr>
              <w:t>　60　</w:t>
            </w:r>
            <w:r>
              <w:rPr>
                <w:rFonts w:hint="eastAsia" w:ascii="微软雅黑" w:hAnsi="微软雅黑" w:eastAsia="微软雅黑" w:cs="微软雅黑"/>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14.1</w:t>
            </w:r>
          </w:p>
        </w:tc>
        <w:tc>
          <w:tcPr>
            <w:tcW w:w="8115" w:type="dxa"/>
            <w:vAlign w:val="center"/>
          </w:tcPr>
          <w:p>
            <w:pPr>
              <w:jc w:val="left"/>
              <w:rPr>
                <w:rFonts w:ascii="微软雅黑" w:hAnsi="微软雅黑" w:eastAsia="微软雅黑" w:cs="微软雅黑"/>
                <w:sz w:val="24"/>
              </w:rPr>
            </w:pPr>
            <w:r>
              <w:rPr>
                <w:rFonts w:hint="eastAsia" w:ascii="微软雅黑" w:hAnsi="微软雅黑" w:eastAsia="微软雅黑" w:cs="微软雅黑"/>
                <w:sz w:val="24"/>
              </w:rPr>
              <w:t>响应文件包括“</w:t>
            </w:r>
            <w:r>
              <w:rPr>
                <w:rFonts w:hint="eastAsia" w:ascii="微软雅黑" w:hAnsi="微软雅黑" w:eastAsia="微软雅黑" w:cs="微软雅黑"/>
                <w:sz w:val="24"/>
                <w:lang w:eastAsia="zh-CN"/>
              </w:rPr>
              <w:t>磋商报价</w:t>
            </w:r>
            <w:r>
              <w:rPr>
                <w:rFonts w:hint="eastAsia" w:ascii="微软雅黑" w:hAnsi="微软雅黑" w:eastAsia="微软雅黑" w:cs="微软雅黑"/>
                <w:sz w:val="24"/>
              </w:rPr>
              <w:t>表及资格证明文件”和“商务及技术文件”两部分，两部分合订成一册密封递交。</w:t>
            </w:r>
          </w:p>
          <w:p>
            <w:pPr>
              <w:jc w:val="left"/>
              <w:rPr>
                <w:rFonts w:ascii="微软雅黑" w:hAnsi="微软雅黑" w:eastAsia="微软雅黑" w:cs="微软雅黑"/>
                <w:sz w:val="24"/>
              </w:rPr>
            </w:pPr>
            <w:r>
              <w:rPr>
                <w:rFonts w:hint="eastAsia" w:ascii="微软雅黑" w:hAnsi="微软雅黑" w:eastAsia="微软雅黑" w:cs="微软雅黑"/>
                <w:sz w:val="24"/>
              </w:rPr>
              <w:t>响应文件：</w:t>
            </w:r>
            <w:r>
              <w:rPr>
                <w:rFonts w:hint="eastAsia" w:ascii="微软雅黑" w:hAnsi="微软雅黑" w:eastAsia="微软雅黑" w:cs="微软雅黑"/>
                <w:b/>
                <w:bCs/>
                <w:sz w:val="24"/>
              </w:rPr>
              <w:t>正本：壹份、副本：贰份</w:t>
            </w:r>
            <w:r>
              <w:rPr>
                <w:rFonts w:hint="eastAsia" w:ascii="微软雅黑" w:hAnsi="微软雅黑" w:eastAsia="微软雅黑" w:cs="微软雅黑"/>
                <w:sz w:val="24"/>
              </w:rPr>
              <w:t>；（正、副本</w:t>
            </w:r>
            <w:r>
              <w:rPr>
                <w:rFonts w:hint="eastAsia" w:ascii="微软雅黑" w:hAnsi="微软雅黑" w:eastAsia="微软雅黑" w:cs="微软雅黑"/>
                <w:sz w:val="24"/>
                <w:lang w:eastAsia="zh-CN"/>
              </w:rPr>
              <w:t>分别单独密封</w:t>
            </w:r>
            <w:r>
              <w:rPr>
                <w:rFonts w:hint="eastAsia" w:ascii="微软雅黑" w:hAnsi="微软雅黑" w:eastAsia="微软雅黑" w:cs="微软雅黑"/>
                <w:sz w:val="24"/>
              </w:rPr>
              <w:t>提交，密封袋封面右上角标明“正本”或“副本”字样）</w:t>
            </w:r>
          </w:p>
          <w:p>
            <w:pPr>
              <w:jc w:val="left"/>
              <w:rPr>
                <w:rFonts w:ascii="微软雅黑" w:hAnsi="微软雅黑" w:eastAsia="微软雅黑" w:cs="微软雅黑"/>
                <w:sz w:val="24"/>
              </w:rPr>
            </w:pPr>
            <w:r>
              <w:rPr>
                <w:rFonts w:hint="eastAsia" w:ascii="微软雅黑" w:hAnsi="微软雅黑" w:eastAsia="微软雅黑" w:cs="微软雅黑"/>
                <w:sz w:val="24"/>
              </w:rPr>
              <w:t>供应商必须制作“</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”并单独密封提交，并在密封袋上标明“</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”的字样。不按要求标注或不单独提交</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，其投标将被拒绝。</w:t>
            </w:r>
          </w:p>
          <w:p>
            <w:pPr>
              <w:jc w:val="left"/>
              <w:rPr>
                <w:rFonts w:ascii="微软雅黑" w:hAnsi="微软雅黑" w:eastAsia="微软雅黑" w:cs="微软雅黑"/>
                <w:sz w:val="24"/>
              </w:rPr>
            </w:pPr>
            <w:r>
              <w:rPr>
                <w:rFonts w:hint="eastAsia" w:ascii="微软雅黑" w:hAnsi="微软雅黑" w:eastAsia="微软雅黑" w:cs="微软雅黑"/>
                <w:sz w:val="24"/>
              </w:rPr>
              <w:t>除上述文件外，还须密封递交响应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响应文件使用A4，胶装，每册装订应牢固、不易拆散和换页，不得采用活页装订。</w:t>
            </w:r>
          </w:p>
          <w:p>
            <w:pPr>
              <w:pStyle w:val="5"/>
              <w:spacing w:before="0" w:after="0"/>
              <w:rPr>
                <w:rFonts w:ascii="微软雅黑" w:hAnsi="微软雅黑" w:eastAsia="微软雅黑" w:cs="微软雅黑"/>
                <w:szCs w:val="24"/>
                <w:u w:val="none"/>
              </w:rPr>
            </w:pPr>
            <w:bookmarkStart w:id="773" w:name="_Toc4859"/>
            <w:bookmarkStart w:id="774" w:name="_Toc13818"/>
            <w:bookmarkStart w:id="775" w:name="_Toc4287"/>
            <w:bookmarkStart w:id="776" w:name="_Toc5241"/>
            <w:bookmarkStart w:id="777" w:name="_Toc7814"/>
            <w:r>
              <w:rPr>
                <w:rFonts w:hint="eastAsia" w:ascii="微软雅黑" w:hAnsi="微软雅黑" w:eastAsia="微软雅黑" w:cs="微软雅黑"/>
                <w:szCs w:val="24"/>
                <w:u w:val="none"/>
              </w:rPr>
              <w:t>响应文件的签署及规定：</w:t>
            </w:r>
            <w:bookmarkEnd w:id="773"/>
            <w:bookmarkEnd w:id="774"/>
            <w:bookmarkEnd w:id="775"/>
            <w:bookmarkEnd w:id="776"/>
            <w:bookmarkEnd w:id="77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供应商应按供应商须知资料表中的规定，准备和递交响应文件正本、副本、</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和电子U盘，</w:t>
            </w:r>
            <w:r>
              <w:rPr>
                <w:rFonts w:hint="eastAsia" w:ascii="微软雅黑" w:hAnsi="微软雅黑" w:eastAsia="微软雅黑" w:cs="微软雅黑"/>
                <w:b/>
                <w:bCs/>
                <w:sz w:val="24"/>
              </w:rPr>
              <w:t>每份响应文件封皮须清楚地标明“正本”或“副本”</w:t>
            </w:r>
            <w:r>
              <w:rPr>
                <w:rFonts w:hint="eastAsia" w:ascii="微软雅黑" w:hAnsi="微软雅黑" w:eastAsia="微软雅黑" w:cs="微软雅黑"/>
                <w:sz w:val="24"/>
              </w:rPr>
              <w:t>。若正本和副本不符，以正本为准。</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或盖章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rPr>
                <w:rFonts w:ascii="微软雅黑" w:hAnsi="微软雅黑" w:eastAsia="微软雅黑" w:cs="微软雅黑"/>
                <w:b/>
                <w:bCs/>
                <w:sz w:val="24"/>
              </w:rPr>
            </w:pPr>
            <w:r>
              <w:rPr>
                <w:rFonts w:hint="eastAsia" w:ascii="微软雅黑" w:hAnsi="微软雅黑" w:eastAsia="微软雅黑" w:cs="微软雅黑"/>
                <w:b/>
                <w:bCs/>
                <w:sz w:val="24"/>
              </w:rPr>
              <w:t>所有包装封皮和信封上均应：</w:t>
            </w:r>
          </w:p>
          <w:p>
            <w:pPr>
              <w:rPr>
                <w:rFonts w:ascii="微软雅黑" w:hAnsi="微软雅黑" w:eastAsia="微软雅黑" w:cs="微软雅黑"/>
                <w:sz w:val="24"/>
              </w:rPr>
            </w:pPr>
            <w:r>
              <w:rPr>
                <w:rFonts w:hint="eastAsia" w:ascii="微软雅黑" w:hAnsi="微软雅黑" w:eastAsia="微软雅黑" w:cs="微软雅黑"/>
                <w:sz w:val="24"/>
              </w:rPr>
              <w:t>注明</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公告或</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邀请书中指明的项目名称、项目编号、供应商名称和“在（开标时间）之前不得启封”的字样。</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16.1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磋商截止时间</w:t>
            </w:r>
            <w:r>
              <w:rPr>
                <w:rFonts w:hint="eastAsia" w:ascii="微软雅黑" w:hAnsi="微软雅黑" w:eastAsia="微软雅黑" w:cs="微软雅黑"/>
                <w:sz w:val="24"/>
                <w:highlight w:val="none"/>
              </w:rPr>
              <w:t>：</w:t>
            </w:r>
            <w:bookmarkStart w:id="1689" w:name="_GoBack"/>
            <w:bookmarkEnd w:id="1689"/>
            <w:r>
              <w:rPr>
                <w:rFonts w:hint="eastAsia" w:ascii="微软雅黑" w:hAnsi="微软雅黑" w:eastAsia="微软雅黑" w:cs="微软雅黑"/>
                <w:sz w:val="24"/>
                <w:highlight w:val="none"/>
                <w:lang w:eastAsia="zh-CN"/>
              </w:rPr>
              <w:t>2022年07月05日</w:t>
            </w:r>
            <w:r>
              <w:rPr>
                <w:rFonts w:hint="eastAsia" w:ascii="微软雅黑" w:hAnsi="微软雅黑" w:eastAsia="微软雅黑" w:cs="微软雅黑"/>
                <w:sz w:val="24"/>
                <w:highlight w:val="none"/>
                <w:lang w:val="en-US" w:eastAsia="zh-CN"/>
              </w:rPr>
              <w:t>上</w:t>
            </w:r>
            <w:r>
              <w:rPr>
                <w:rFonts w:hint="eastAsia" w:ascii="微软雅黑" w:hAnsi="微软雅黑" w:eastAsia="微软雅黑" w:cs="微软雅黑"/>
                <w:sz w:val="24"/>
              </w:rPr>
              <w:t>午1</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18.1</w:t>
            </w:r>
          </w:p>
        </w:tc>
        <w:tc>
          <w:tcPr>
            <w:tcW w:w="8115" w:type="dxa"/>
            <w:vAlign w:val="center"/>
          </w:tcPr>
          <w:p>
            <w:pPr>
              <w:snapToGrid w:val="0"/>
              <w:textAlignment w:val="baseline"/>
              <w:rPr>
                <w:rFonts w:ascii="微软雅黑" w:hAnsi="微软雅黑" w:eastAsia="微软雅黑" w:cs="微软雅黑"/>
                <w:kern w:val="0"/>
                <w:sz w:val="24"/>
                <w:highlight w:val="none"/>
              </w:rPr>
            </w:pPr>
            <w:r>
              <w:rPr>
                <w:rFonts w:hint="eastAsia" w:ascii="微软雅黑" w:hAnsi="微软雅黑" w:eastAsia="微软雅黑" w:cs="微软雅黑"/>
                <w:sz w:val="24"/>
              </w:rPr>
              <w:t>磋商</w:t>
            </w:r>
            <w:r>
              <w:rPr>
                <w:rFonts w:hint="eastAsia" w:ascii="微软雅黑" w:hAnsi="微软雅黑" w:eastAsia="微软雅黑" w:cs="微软雅黑"/>
                <w:kern w:val="0"/>
                <w:sz w:val="24"/>
                <w:highlight w:val="none"/>
              </w:rPr>
              <w:t>时间：</w:t>
            </w:r>
            <w:r>
              <w:rPr>
                <w:rFonts w:hint="eastAsia" w:ascii="微软雅黑" w:hAnsi="微软雅黑" w:eastAsia="微软雅黑" w:cs="微软雅黑"/>
                <w:kern w:val="0"/>
                <w:sz w:val="24"/>
                <w:highlight w:val="none"/>
                <w:lang w:eastAsia="zh-CN"/>
              </w:rPr>
              <w:t>2022年07月05日</w:t>
            </w:r>
            <w:r>
              <w:rPr>
                <w:rFonts w:hint="eastAsia" w:ascii="微软雅黑" w:hAnsi="微软雅黑" w:eastAsia="微软雅黑" w:cs="微软雅黑"/>
                <w:kern w:val="0"/>
                <w:sz w:val="24"/>
                <w:highlight w:val="none"/>
                <w:lang w:val="en-US" w:eastAsia="zh-CN"/>
              </w:rPr>
              <w:t>上</w:t>
            </w:r>
            <w:r>
              <w:rPr>
                <w:rFonts w:hint="eastAsia" w:ascii="微软雅黑" w:hAnsi="微软雅黑" w:eastAsia="微软雅黑" w:cs="微软雅黑"/>
                <w:kern w:val="0"/>
                <w:sz w:val="24"/>
                <w:highlight w:val="none"/>
              </w:rPr>
              <w:t>午1</w:t>
            </w:r>
            <w:r>
              <w:rPr>
                <w:rFonts w:hint="eastAsia" w:ascii="微软雅黑" w:hAnsi="微软雅黑" w:eastAsia="微软雅黑" w:cs="微软雅黑"/>
                <w:kern w:val="0"/>
                <w:sz w:val="24"/>
                <w:highlight w:val="none"/>
                <w:lang w:val="en-US" w:eastAsia="zh-CN"/>
              </w:rPr>
              <w:t>1</w:t>
            </w:r>
            <w:r>
              <w:rPr>
                <w:rFonts w:hint="eastAsia" w:ascii="微软雅黑" w:hAnsi="微软雅黑" w:eastAsia="微软雅黑" w:cs="微软雅黑"/>
                <w:kern w:val="0"/>
                <w:sz w:val="24"/>
                <w:highlight w:val="none"/>
              </w:rPr>
              <w:t>点 00 分</w:t>
            </w:r>
            <w:r>
              <w:rPr>
                <w:rFonts w:hint="eastAsia" w:ascii="微软雅黑" w:hAnsi="微软雅黑" w:eastAsia="微软雅黑" w:cs="微软雅黑"/>
                <w:sz w:val="24"/>
                <w:highlight w:val="none"/>
              </w:rPr>
              <w:t>（北京时间）</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kern w:val="0"/>
                <w:sz w:val="24"/>
                <w:highlight w:val="none"/>
              </w:rPr>
              <w:t>磋商地点</w:t>
            </w:r>
            <w:r>
              <w:rPr>
                <w:rFonts w:hint="eastAsia" w:ascii="微软雅黑" w:hAnsi="微软雅黑" w:eastAsia="微软雅黑" w:cs="微软雅黑"/>
                <w:kern w:val="0"/>
                <w:sz w:val="24"/>
                <w:highlight w:val="none"/>
                <w:lang w:val="en-US" w:eastAsia="zh-CN"/>
              </w:rPr>
              <w:t>：政府采购中心（喀什市行政审批局二楼第四评标室）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23.2</w:t>
            </w:r>
          </w:p>
        </w:tc>
        <w:tc>
          <w:tcPr>
            <w:tcW w:w="8115" w:type="dxa"/>
            <w:vAlign w:val="center"/>
          </w:tcPr>
          <w:p>
            <w:pPr>
              <w:snapToGrid w:val="0"/>
              <w:textAlignment w:val="baseline"/>
              <w:rPr>
                <w:rFonts w:ascii="微软雅黑" w:hAnsi="微软雅黑" w:eastAsia="微软雅黑" w:cs="微软雅黑"/>
                <w:i/>
                <w:sz w:val="24"/>
              </w:rPr>
            </w:pPr>
            <w:r>
              <w:rPr>
                <w:rFonts w:hint="eastAsia" w:ascii="微软雅黑" w:hAnsi="微软雅黑" w:eastAsia="微软雅黑" w:cs="微软雅黑"/>
                <w:sz w:val="24"/>
              </w:rPr>
              <w:t>评审方法：</w:t>
            </w:r>
            <w:r>
              <w:rPr>
                <w:rFonts w:hint="eastAsia" w:ascii="微软雅黑" w:hAnsi="微软雅黑" w:eastAsia="微软雅黑" w:cs="微软雅黑"/>
                <w:sz w:val="24"/>
                <w:u w:val="single" w:color="000000"/>
              </w:rPr>
              <w:t>　综合评分法　</w:t>
            </w:r>
            <w:r>
              <w:rPr>
                <w:rFonts w:hint="eastAsia" w:ascii="微软雅黑" w:hAnsi="微软雅黑" w:eastAsia="微软雅黑" w:cs="微软雅黑"/>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推荐成交候选供应商的数量：</w:t>
            </w:r>
            <w:r>
              <w:rPr>
                <w:rFonts w:hint="eastAsia" w:ascii="微软雅黑" w:hAnsi="微软雅黑" w:eastAsia="微软雅黑" w:cs="微软雅黑"/>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采购人是否委托评审委员会直接确定成交人：</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sz w:val="24"/>
                <w:u w:val="single" w:color="000000"/>
                <w:lang w:eastAsia="zh-CN"/>
              </w:rPr>
              <w:t>否</w:t>
            </w:r>
            <w:r>
              <w:rPr>
                <w:rFonts w:hint="eastAsia" w:ascii="微软雅黑" w:hAnsi="微软雅黑" w:eastAsia="微软雅黑" w:cs="微软雅黑"/>
                <w:sz w:val="24"/>
                <w:u w:val="single" w:color="000000"/>
                <w:lang w:val="en-US" w:eastAsia="zh-CN"/>
              </w:rPr>
              <w:t xml:space="preserve"> </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lang w:val="en-US" w:eastAsia="zh-CN"/>
              </w:rPr>
              <w:t>是、否</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31.1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履约保证金金额：合同总价的</w:t>
            </w:r>
            <w:r>
              <w:rPr>
                <w:rFonts w:hint="eastAsia" w:ascii="微软雅黑" w:hAnsi="微软雅黑" w:eastAsia="微软雅黑" w:cs="微软雅黑"/>
                <w:sz w:val="24"/>
                <w:u w:val="single" w:color="000000"/>
              </w:rPr>
              <w:t>　5%　（打入甲方账号）</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 xml:space="preserve">履约保证金形式：☑保函  ☑电汇  □支票   ☑对公转账 </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32</w:t>
            </w:r>
          </w:p>
        </w:tc>
        <w:tc>
          <w:tcPr>
            <w:tcW w:w="8115" w:type="dxa"/>
            <w:vAlign w:val="center"/>
          </w:tcPr>
          <w:p>
            <w:pPr>
              <w:snapToGrid w:val="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成交服务费</w:t>
            </w:r>
            <w:r>
              <w:rPr>
                <w:rFonts w:hint="eastAsia" w:ascii="微软雅黑" w:hAnsi="微软雅黑" w:eastAsia="微软雅黑" w:cs="微软雅黑"/>
                <w:color w:val="auto"/>
                <w:sz w:val="24"/>
                <w:highlight w:val="none"/>
              </w:rPr>
              <w:t>：根据发改委价格[2015]299文件：本项目服务费按照成交价的1.5%收取。（</w:t>
            </w:r>
            <w:r>
              <w:rPr>
                <w:rFonts w:hint="eastAsia" w:ascii="微软雅黑" w:hAnsi="微软雅黑" w:eastAsia="微软雅黑" w:cs="微软雅黑"/>
                <w:color w:val="auto"/>
                <w:sz w:val="24"/>
              </w:rPr>
              <w:t>由成交供应商支付）</w:t>
            </w:r>
          </w:p>
          <w:p>
            <w:pPr>
              <w:snapToGrid w:val="0"/>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支付形式：</w:t>
            </w:r>
            <w:r>
              <w:rPr>
                <w:rFonts w:hint="eastAsia" w:ascii="微软雅黑" w:hAnsi="微软雅黑" w:eastAsia="微软雅黑" w:cs="微软雅黑"/>
                <w:sz w:val="24"/>
                <w:u w:val="single" w:color="000000"/>
              </w:rPr>
              <w:t xml:space="preserve"> 对公转账  </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支付时间：</w:t>
            </w:r>
            <w:r>
              <w:rPr>
                <w:rFonts w:hint="eastAsia" w:ascii="微软雅黑" w:hAnsi="微软雅黑" w:eastAsia="微软雅黑" w:cs="微软雅黑"/>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33.1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本项目是否属于信用担保试点范围：</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sz w:val="24"/>
              </w:rPr>
              <w:t xml:space="preserve"> </w:t>
            </w:r>
          </w:p>
        </w:tc>
      </w:tr>
    </w:tbl>
    <w:p>
      <w:pPr>
        <w:snapToGrid w:val="0"/>
        <w:spacing w:line="240" w:lineRule="atLeast"/>
        <w:ind w:left="1080" w:leftChars="257" w:hanging="540"/>
        <w:textAlignment w:val="baseline"/>
        <w:rPr>
          <w:rFonts w:ascii="微软雅黑" w:hAnsi="微软雅黑" w:eastAsia="微软雅黑" w:cs="微软雅黑"/>
          <w:sz w:val="24"/>
        </w:rPr>
      </w:pPr>
    </w:p>
    <w:p>
      <w:pPr>
        <w:pStyle w:val="34"/>
        <w:ind w:firstLine="0" w:firstLineChars="0"/>
        <w:rPr>
          <w:rFonts w:ascii="微软雅黑" w:hAnsi="微软雅黑" w:eastAsia="微软雅黑" w:cs="微软雅黑"/>
          <w:b/>
          <w:bCs/>
        </w:rPr>
        <w:sectPr>
          <w:headerReference r:id="rId4" w:type="default"/>
          <w:pgSz w:w="11905" w:h="16838"/>
          <w:pgMar w:top="1440" w:right="1797" w:bottom="1440" w:left="1797" w:header="851" w:footer="992" w:gutter="0"/>
          <w:cols w:space="0" w:num="1"/>
          <w:docGrid w:linePitch="312" w:charSpace="0"/>
        </w:sectPr>
      </w:pPr>
    </w:p>
    <w:p>
      <w:pPr>
        <w:pStyle w:val="34"/>
        <w:ind w:firstLine="0" w:firstLineChars="0"/>
        <w:jc w:val="center"/>
        <w:rPr>
          <w:rFonts w:ascii="微软雅黑" w:hAnsi="微软雅黑" w:eastAsia="微软雅黑" w:cs="微软雅黑"/>
          <w:b/>
          <w:bCs/>
        </w:rPr>
      </w:pPr>
      <w:r>
        <w:rPr>
          <w:rFonts w:hint="eastAsia" w:ascii="微软雅黑" w:hAnsi="微软雅黑" w:eastAsia="微软雅黑" w:cs="微软雅黑"/>
          <w:b/>
          <w:bCs/>
        </w:rPr>
        <w:t>资格审查表</w:t>
      </w:r>
    </w:p>
    <w:tbl>
      <w:tblPr>
        <w:tblStyle w:val="35"/>
        <w:tblpPr w:leftFromText="180" w:rightFromText="180" w:vertAnchor="text" w:horzAnchor="page" w:tblpX="786" w:tblpY="518"/>
        <w:tblOverlap w:val="never"/>
        <w:tblW w:w="14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439"/>
        <w:gridCol w:w="685"/>
        <w:gridCol w:w="1142"/>
        <w:gridCol w:w="1456"/>
        <w:gridCol w:w="1134"/>
        <w:gridCol w:w="956"/>
        <w:gridCol w:w="1381"/>
        <w:gridCol w:w="939"/>
        <w:gridCol w:w="848"/>
        <w:gridCol w:w="73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3"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供应商名称</w:t>
            </w:r>
          </w:p>
        </w:tc>
        <w:tc>
          <w:tcPr>
            <w:tcW w:w="12980"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审查项目</w:t>
            </w: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结论</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423"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kern w:val="0"/>
                <w:sz w:val="21"/>
                <w:szCs w:val="21"/>
                <w:lang w:eastAsia="zh-CN"/>
              </w:rPr>
              <w:t>提供查询记录并加盖公章</w:t>
            </w:r>
            <w:r>
              <w:rPr>
                <w:rFonts w:hint="eastAsia" w:ascii="微软雅黑" w:hAnsi="微软雅黑" w:eastAsia="微软雅黑" w:cs="微软雅黑"/>
                <w:kern w:val="0"/>
                <w:sz w:val="21"/>
                <w:szCs w:val="21"/>
              </w:rPr>
              <w:t>）</w:t>
            </w: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提供有效的营业执照</w:t>
            </w: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法人本人投标的提供法人身份证明及身份证，被授权委托人提供法人授权委托书及身份证</w:t>
            </w: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投标单位提供本单位依法缴纳近三个月的社保证明（社保证明可含：社保缴费凭证、社保缴费证明、社保缴费汇总单、依法缴纳社保的完税证明）</w:t>
            </w: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提供税务部门出具近三个月的完税证明</w:t>
            </w: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提供2021年度的财务审计报告（新成立公司需提供银行资信证明）</w:t>
            </w: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参加政府采购活动前3年内在经营活动中没有重大违法记录的书面声明</w:t>
            </w: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提供针对本次项目的反商业贿赂承诺书</w:t>
            </w: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提供缴纳磋商保证金的有效凭证。</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是否合格</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bl>
    <w:p>
      <w:pPr>
        <w:widowControl/>
        <w:spacing w:line="360" w:lineRule="exact"/>
        <w:rPr>
          <w:rFonts w:ascii="微软雅黑" w:hAnsi="微软雅黑" w:eastAsia="微软雅黑" w:cs="微软雅黑"/>
          <w:kern w:val="0"/>
          <w:szCs w:val="21"/>
        </w:rPr>
      </w:pPr>
      <w:bookmarkStart w:id="778" w:name="_Toc219175639"/>
      <w:bookmarkStart w:id="779" w:name="_Toc216582826"/>
      <w:bookmarkStart w:id="780" w:name="_Toc218935355"/>
    </w:p>
    <w:p>
      <w:pPr>
        <w:widowControl/>
        <w:spacing w:line="280" w:lineRule="exact"/>
        <w:rPr>
          <w:rFonts w:ascii="微软雅黑" w:hAnsi="微软雅黑" w:eastAsia="微软雅黑" w:cs="微软雅黑"/>
          <w:b/>
          <w:bCs/>
        </w:rPr>
        <w:sectPr>
          <w:headerReference r:id="rId7" w:type="first"/>
          <w:footerReference r:id="rId10" w:type="first"/>
          <w:headerReference r:id="rId5" w:type="default"/>
          <w:footerReference r:id="rId8" w:type="default"/>
          <w:headerReference r:id="rId6" w:type="even"/>
          <w:footerReference r:id="rId9" w:type="even"/>
          <w:pgSz w:w="16838" w:h="11905" w:orient="landscape"/>
          <w:pgMar w:top="1797" w:right="1440" w:bottom="1797" w:left="1440" w:header="851" w:footer="992" w:gutter="0"/>
          <w:cols w:space="0" w:num="1"/>
          <w:docGrid w:linePitch="462" w:charSpace="0"/>
        </w:sectPr>
      </w:pPr>
      <w:r>
        <w:rPr>
          <w:rFonts w:hint="eastAsia" w:ascii="微软雅黑" w:hAnsi="微软雅黑" w:eastAsia="微软雅黑" w:cs="微软雅黑"/>
          <w:b/>
          <w:bCs/>
          <w:kern w:val="0"/>
          <w:szCs w:val="21"/>
        </w:rPr>
        <w:t>注：</w:t>
      </w:r>
      <w:bookmarkStart w:id="781" w:name="_Toc4845"/>
      <w:bookmarkStart w:id="782" w:name="_Toc13883"/>
      <w:bookmarkStart w:id="783" w:name="_Toc20210"/>
      <w:r>
        <w:rPr>
          <w:rFonts w:hint="eastAsia" w:ascii="微软雅黑" w:hAnsi="微软雅黑" w:eastAsia="微软雅黑" w:cs="微软雅黑"/>
          <w:b/>
          <w:bCs/>
          <w:sz w:val="21"/>
          <w:szCs w:val="21"/>
        </w:rPr>
        <w:t>上述资质在资格审查过程中，潜在供应商提供的资质材料不全的，可打开相应文件正本进行进一步核实，符合条件的均为合格供应商。</w:t>
      </w:r>
      <w:bookmarkEnd w:id="781"/>
      <w:bookmarkEnd w:id="782"/>
      <w:bookmarkEnd w:id="783"/>
    </w:p>
    <w:p>
      <w:pPr>
        <w:pStyle w:val="3"/>
        <w:tabs>
          <w:tab w:val="left" w:pos="0"/>
        </w:tabs>
        <w:snapToGrid w:val="0"/>
        <w:spacing w:before="0" w:after="0" w:line="240" w:lineRule="atLeast"/>
        <w:jc w:val="center"/>
        <w:textAlignment w:val="baseline"/>
        <w:rPr>
          <w:rFonts w:hint="eastAsia" w:ascii="微软雅黑" w:hAnsi="微软雅黑" w:eastAsia="微软雅黑" w:cs="微软雅黑"/>
          <w:b w:val="0"/>
          <w:bCs w:val="0"/>
          <w:color w:val="auto"/>
          <w:kern w:val="0"/>
          <w:sz w:val="24"/>
          <w:szCs w:val="24"/>
          <w:highlight w:val="none"/>
          <w:lang w:val="en-US" w:eastAsia="zh-CN" w:bidi="ar-SA"/>
        </w:rPr>
      </w:pPr>
      <w:bookmarkStart w:id="784" w:name="_Toc4760"/>
      <w:r>
        <w:rPr>
          <w:rFonts w:hint="eastAsia" w:ascii="微软雅黑" w:hAnsi="微软雅黑" w:eastAsia="微软雅黑" w:cs="微软雅黑"/>
          <w:b w:val="0"/>
          <w:bCs w:val="0"/>
          <w:color w:val="auto"/>
          <w:kern w:val="0"/>
          <w:sz w:val="24"/>
          <w:szCs w:val="24"/>
          <w:highlight w:val="none"/>
          <w:lang w:val="en-US" w:eastAsia="zh-CN" w:bidi="ar-SA"/>
        </w:rPr>
        <w:t>第5章 服务需求</w:t>
      </w:r>
      <w:bookmarkEnd w:id="784"/>
    </w:p>
    <w:p>
      <w:pPr>
        <w:pStyle w:val="43"/>
        <w:keepNext w:val="0"/>
        <w:keepLines w:val="0"/>
        <w:pageBreakBefore w:val="0"/>
        <w:numPr>
          <w:ilvl w:val="0"/>
          <w:numId w:val="0"/>
        </w:numPr>
        <w:kinsoku/>
        <w:wordWrap/>
        <w:overflowPunct/>
        <w:topLinePunct w:val="0"/>
        <w:bidi w:val="0"/>
        <w:adjustRightInd/>
        <w:snapToGrid w:val="0"/>
        <w:spacing w:line="360" w:lineRule="auto"/>
        <w:ind w:left="0" w:leftChars="0" w:firstLine="480" w:firstLineChars="200"/>
        <w:textAlignment w:val="baseline"/>
        <w:outlineLvl w:val="1"/>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一、服务需求</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bookmarkStart w:id="785" w:name="_Toc6081"/>
      <w:bookmarkStart w:id="786" w:name="_Toc13644"/>
      <w:bookmarkStart w:id="787" w:name="_Toc18397"/>
      <w:r>
        <w:rPr>
          <w:rFonts w:hint="eastAsia" w:ascii="微软雅黑" w:hAnsi="微软雅黑" w:eastAsia="微软雅黑" w:cs="微软雅黑"/>
          <w:b w:val="0"/>
          <w:bCs w:val="0"/>
          <w:color w:val="auto"/>
          <w:kern w:val="0"/>
          <w:sz w:val="24"/>
          <w:szCs w:val="24"/>
          <w:highlight w:val="none"/>
          <w:lang w:val="en-US" w:eastAsia="zh-CN" w:bidi="ar-SA"/>
        </w:rPr>
        <w:t>（一）传播魅力独特的丝路风情，充分展示美好喀什形象，策划并组织实施系列活动。</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1.印象喀什活动：在古城夜市常态开展以印象喀什为主题的民族歌舞体验活动，最大程度营造热闹喧嚣的夜市氛围，开展活动不少于150场次，每场次参与人员不少于70人；</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2.丝路驼队活动：在古城景区常态开展以丝路驼队、西域公主选郎等形式的沉浸体验活动，展现丝路独有的异域风情，开展活动不少于180场次，每场次参与人员不少于40人；</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3.快闪活动：在古城景区常态开展正能量的互动快闪活动，最大程度营造活动的震撼效果并最大限度地传递正能量，开展活动不少于150场次，每场次参与人员不少于40人。</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（二）服务期限：6个月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服务地点：喀什古城景区管委会指定地点</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（三）付款方式：甲乙双方在合同中约定</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（四）验收：由采购人牵头，按照行业标准、采购文件、响应文件和书面承诺等进行验收，未达到服务要求的，由成交人承担全部责任。</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二、其他要求（以下要求仅作为评审因素，不提供不作为废标条款）</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（一）供应商须在响应文件中提供详细的项目整体方案，一旦成交之后须严格按照要求及承诺提供服务。方案包含但不限于以下内容:</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1、服务实施计划方案。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 提出针对本项目特点和实际情况的活动执行方案。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 投标单位自行配备执行团队，项目团队配置合理、人员构成科学、专业性强、团队经验丰富，在响应文件中应列明拟投入本项目服务支持人员情况表。</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2、服务质量保证措施。</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3、列明服务承诺及应急措施，需涉及到人员安全防护、交通安全、紧急情况、疫情防控安全措施等内容。</w:t>
      </w:r>
    </w:p>
    <w:p>
      <w:pPr>
        <w:keepNext w:val="0"/>
        <w:keepLines w:val="0"/>
        <w:pageBreakBefore w:val="0"/>
        <w:kinsoku/>
        <w:wordWrap/>
        <w:overflowPunct/>
        <w:topLinePunct w:val="0"/>
        <w:bidi w:val="0"/>
        <w:adjustRightInd/>
        <w:ind w:left="0" w:firstLine="480" w:firstLineChars="200"/>
      </w:pPr>
      <w:r>
        <w:rPr>
          <w:rFonts w:hint="eastAsia" w:ascii="微软雅黑" w:hAnsi="微软雅黑" w:eastAsia="微软雅黑" w:cs="微软雅黑"/>
          <w:b w:val="0"/>
          <w:bCs w:val="0"/>
          <w:color w:val="auto"/>
          <w:kern w:val="0"/>
          <w:sz w:val="24"/>
          <w:szCs w:val="24"/>
          <w:highlight w:val="none"/>
          <w:lang w:val="en-US" w:eastAsia="zh-CN" w:bidi="ar-SA"/>
        </w:rPr>
        <w:t>（二）围绕“传播魅力独特的丝路风情，充分展示美好喀什形象”结合印象喀什活动、丝路驼队活动、快闪活动的主题，系列活动的呈现方式、要求提供宣传推广方案。</w:t>
      </w:r>
      <w:bookmarkEnd w:id="785"/>
      <w:bookmarkEnd w:id="786"/>
      <w:bookmarkEnd w:id="787"/>
    </w:p>
    <w:p>
      <w:pPr>
        <w:pStyle w:val="49"/>
        <w:ind w:firstLine="240" w:firstLineChars="100"/>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3"/>
        <w:tabs>
          <w:tab w:val="left" w:pos="0"/>
        </w:tabs>
        <w:snapToGrid w:val="0"/>
        <w:spacing w:before="0" w:after="0" w:line="240" w:lineRule="atLeast"/>
        <w:textAlignment w:val="baseline"/>
        <w:rPr>
          <w:rFonts w:ascii="微软雅黑" w:hAnsi="微软雅黑" w:eastAsia="微软雅黑" w:cs="微软雅黑"/>
          <w:b w:val="0"/>
          <w:sz w:val="24"/>
        </w:rPr>
      </w:pPr>
      <w:bookmarkStart w:id="788" w:name="_Toc15762"/>
      <w:r>
        <w:rPr>
          <w:rFonts w:hint="eastAsia" w:ascii="微软雅黑" w:hAnsi="微软雅黑" w:eastAsia="微软雅黑" w:cs="微软雅黑"/>
        </w:rPr>
        <w:t xml:space="preserve">第6章 </w:t>
      </w:r>
      <w:bookmarkStart w:id="789" w:name="_Toc507399907"/>
      <w:bookmarkStart w:id="790" w:name="_Toc515647832"/>
      <w:bookmarkStart w:id="791" w:name="_Toc32647"/>
      <w:bookmarkStart w:id="792" w:name="_Toc7971"/>
      <w:r>
        <w:rPr>
          <w:rFonts w:hint="eastAsia" w:ascii="微软雅黑" w:hAnsi="微软雅黑" w:eastAsia="微软雅黑" w:cs="微软雅黑"/>
        </w:rPr>
        <w:t>评审方法和标准</w:t>
      </w:r>
      <w:bookmarkEnd w:id="778"/>
      <w:bookmarkEnd w:id="779"/>
      <w:bookmarkEnd w:id="780"/>
      <w:bookmarkEnd w:id="788"/>
      <w:bookmarkEnd w:id="789"/>
      <w:bookmarkEnd w:id="790"/>
      <w:bookmarkEnd w:id="791"/>
      <w:bookmarkEnd w:id="792"/>
    </w:p>
    <w:p>
      <w:pPr>
        <w:pStyle w:val="11"/>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注：1.磋商无效的情形：</w:t>
      </w:r>
    </w:p>
    <w:p>
      <w:pPr>
        <w:keepNext w:val="0"/>
        <w:keepLines w:val="0"/>
        <w:pageBreakBefore w:val="0"/>
        <w:widowControl/>
        <w:numPr>
          <w:ilvl w:val="0"/>
          <w:numId w:val="5"/>
        </w:numP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单位负责人为同一人或者存在直接控股、管理关系的不同供应商，其相关磋商将被认定为磋商无效。</w:t>
      </w:r>
    </w:p>
    <w:p>
      <w:pPr>
        <w:keepNext w:val="0"/>
        <w:keepLines w:val="0"/>
        <w:pageBreakBefore w:val="0"/>
        <w:widowControl/>
        <w:numPr>
          <w:ilvl w:val="0"/>
          <w:numId w:val="0"/>
        </w:numPr>
        <w:kinsoku/>
        <w:wordWrap/>
        <w:overflowPunct/>
        <w:topLinePunct w:val="0"/>
        <w:bidi w:val="0"/>
        <w:snapToGrid w:val="0"/>
        <w:spacing w:before="0" w:beforeAutospacing="0" w:after="0" w:afterAutospacing="0" w:line="400" w:lineRule="exact"/>
        <w:jc w:val="both"/>
        <w:textAlignment w:val="baseline"/>
        <w:rPr>
          <w:rFonts w:hint="eastAsia"/>
        </w:rPr>
      </w:pP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lang w:val="en-US" w:eastAsia="zh-CN"/>
        </w:rPr>
        <w:t>2</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rPr>
        <w:t>为本项目提供过整体设计、规范编制或者项目管理、监理、检测等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的供应商，不得再参加本项目上述</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以外的其他采购活动。否则其磋商将被认定为磋商无效。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lang w:val="en-US" w:eastAsia="zh-CN"/>
        </w:rPr>
        <w:t>3</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（4）供应商报价超过磋商文件规定的预算金额或者分项、分包最高限价的，其磋商将被认定为磋商无效。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（6）供应商应当</w:t>
      </w:r>
      <w:r>
        <w:rPr>
          <w:rFonts w:hint="eastAsia" w:ascii="微软雅黑" w:hAnsi="微软雅黑" w:eastAsia="微软雅黑" w:cs="微软雅黑"/>
          <w:b w:val="0"/>
          <w:i w:val="0"/>
          <w:caps w:val="0"/>
          <w:color w:val="auto"/>
          <w:spacing w:val="0"/>
          <w:w w:val="100"/>
          <w:sz w:val="24"/>
          <w:highlight w:val="none"/>
          <w:lang w:eastAsia="zh-CN"/>
        </w:rPr>
        <w:t>对</w:t>
      </w:r>
      <w:r>
        <w:rPr>
          <w:rFonts w:hint="eastAsia" w:ascii="微软雅黑" w:hAnsi="微软雅黑" w:eastAsia="微软雅黑" w:cs="微软雅黑"/>
          <w:b w:val="0"/>
          <w:i w:val="0"/>
          <w:caps w:val="0"/>
          <w:color w:val="auto"/>
          <w:spacing w:val="0"/>
          <w:w w:val="100"/>
          <w:sz w:val="24"/>
          <w:highlight w:val="none"/>
        </w:rPr>
        <w:t>磋商文件中“</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需求”所列的所有内容进行磋商，如仅响应某一包中的部分内容，其该包磋商将被认定为磋商无效。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（7）供应商未按本须知第12.1和12.3条规定提交磋商保证金的，其磋商资格将被认定为无效。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（8）所有磋商均以人民币报价。供应商的磋商报价应遵守《中华人民共和国价格法》。同时，根据《中华人民共和国政府采购法》第二条的规定，为保证公平竞争，如有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主体部分的赠与行为，其磋商将被认定为磋商无效。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（9）供应商所报的各分项磋商单价在合同履行过程中是固定不变的，不得以任何理由予以变更。任何包含价格调整要求的磋商，其磋商将被认定为磋商无效。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（10）磋商应在供应商须知资料表中规定时间内保持有效。磋商有效期不满足要求的磋商，其磋商将被认定为磋商无效。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（11）所有响应文件采用不可拆装的胶订方式装订，否则其磋商将被认定为磋商无效。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（12）采购人或采购代理机构将在开标前1个工作日至磋商截止后1小时的期间内查询供应商的信用记录。供应商存在不良信用记录的，其磋商将被认定为磋商无效。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（15）如发现下列情况之一的，其磋商将被认定为磋商无效：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2.</w:t>
      </w:r>
      <w:r>
        <w:rPr>
          <w:rFonts w:hint="eastAsia" w:ascii="微软雅黑" w:hAnsi="微软雅黑" w:eastAsia="微软雅黑" w:cs="微软雅黑"/>
          <w:b/>
          <w:bCs/>
          <w:i w:val="0"/>
          <w:caps w:val="0"/>
          <w:color w:val="auto"/>
          <w:spacing w:val="0"/>
          <w:w w:val="100"/>
          <w:sz w:val="24"/>
          <w:highlight w:val="none"/>
          <w:lang w:eastAsia="zh-CN"/>
        </w:rPr>
        <w:t>本项目</w:t>
      </w:r>
      <w:r>
        <w:rPr>
          <w:rFonts w:hint="eastAsia" w:ascii="微软雅黑" w:hAnsi="微软雅黑" w:eastAsia="微软雅黑" w:cs="微软雅黑"/>
          <w:b/>
          <w:bCs/>
          <w:i w:val="0"/>
          <w:caps w:val="0"/>
          <w:color w:val="auto"/>
          <w:spacing w:val="0"/>
          <w:w w:val="100"/>
          <w:sz w:val="24"/>
          <w:highlight w:val="none"/>
        </w:rPr>
        <w:t>为了发挥政府采购的政策功能，促进符合国家经济和社会发展政策目标，产品、服务、信誉较好的中小企业发展，根据《</w:t>
      </w:r>
      <w:r>
        <w:rPr>
          <w:rFonts w:hint="eastAsia" w:ascii="微软雅黑" w:hAnsi="微软雅黑" w:eastAsia="微软雅黑" w:cs="微软雅黑"/>
          <w:b/>
          <w:bCs/>
          <w:i w:val="0"/>
          <w:caps w:val="0"/>
          <w:color w:val="auto"/>
          <w:spacing w:val="0"/>
          <w:w w:val="100"/>
          <w:sz w:val="24"/>
          <w:highlight w:val="none"/>
        </w:rPr>
        <w:fldChar w:fldCharType="begin"/>
      </w:r>
      <w:r>
        <w:rPr>
          <w:rFonts w:hint="eastAsia" w:ascii="微软雅黑" w:hAnsi="微软雅黑" w:eastAsia="微软雅黑" w:cs="微软雅黑"/>
          <w:b/>
          <w:bCs/>
          <w:i w:val="0"/>
          <w:caps w:val="0"/>
          <w:color w:val="auto"/>
          <w:spacing w:val="0"/>
          <w:w w:val="100"/>
          <w:sz w:val="24"/>
          <w:highlight w:val="none"/>
        </w:rPr>
        <w:instrText xml:space="preserve"> HYPERLINK "https://baike.so.com/doc/3508493.html" \t "https://baike.so.com/doc/_blank" </w:instrText>
      </w:r>
      <w:r>
        <w:rPr>
          <w:rFonts w:hint="eastAsia" w:ascii="微软雅黑" w:hAnsi="微软雅黑" w:eastAsia="微软雅黑" w:cs="微软雅黑"/>
          <w:b/>
          <w:bCs/>
          <w:i w:val="0"/>
          <w:caps w:val="0"/>
          <w:color w:val="auto"/>
          <w:spacing w:val="0"/>
          <w:w w:val="100"/>
          <w:sz w:val="24"/>
          <w:highlight w:val="none"/>
        </w:rPr>
        <w:fldChar w:fldCharType="separate"/>
      </w:r>
      <w:r>
        <w:rPr>
          <w:rFonts w:hint="eastAsia" w:ascii="微软雅黑" w:hAnsi="微软雅黑" w:eastAsia="微软雅黑" w:cs="微软雅黑"/>
          <w:b/>
          <w:bCs/>
          <w:i w:val="0"/>
          <w:caps w:val="0"/>
          <w:color w:val="auto"/>
          <w:spacing w:val="0"/>
          <w:w w:val="100"/>
          <w:sz w:val="24"/>
          <w:highlight w:val="none"/>
        </w:rPr>
        <w:t>中华人民共和国政府采购法</w:t>
      </w:r>
      <w:r>
        <w:rPr>
          <w:rFonts w:hint="eastAsia" w:ascii="微软雅黑" w:hAnsi="微软雅黑" w:eastAsia="微软雅黑" w:cs="微软雅黑"/>
          <w:b/>
          <w:bCs/>
          <w:i w:val="0"/>
          <w:caps w:val="0"/>
          <w:color w:val="auto"/>
          <w:spacing w:val="0"/>
          <w:w w:val="100"/>
          <w:sz w:val="24"/>
          <w:highlight w:val="none"/>
        </w:rPr>
        <w:fldChar w:fldCharType="end"/>
      </w:r>
      <w:r>
        <w:rPr>
          <w:rFonts w:hint="eastAsia" w:ascii="微软雅黑" w:hAnsi="微软雅黑" w:eastAsia="微软雅黑" w:cs="微软雅黑"/>
          <w:b/>
          <w:bCs/>
          <w:i w:val="0"/>
          <w:caps w:val="0"/>
          <w:color w:val="auto"/>
          <w:spacing w:val="0"/>
          <w:w w:val="100"/>
          <w:sz w:val="24"/>
          <w:highlight w:val="none"/>
        </w:rPr>
        <w:t>》、《中华人民共和国中小企业促进法》等有关法律法规，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i w:val="0"/>
          <w:caps w:val="0"/>
          <w:color w:val="auto"/>
          <w:spacing w:val="0"/>
          <w:w w:val="100"/>
          <w:sz w:val="24"/>
          <w:highlight w:val="none"/>
          <w:u w:val="single" w:color="000000"/>
        </w:rPr>
        <w:t xml:space="preserve">  6  </w:t>
      </w:r>
      <w:r>
        <w:rPr>
          <w:rFonts w:hint="eastAsia" w:ascii="微软雅黑" w:hAnsi="微软雅黑" w:eastAsia="微软雅黑" w:cs="微软雅黑"/>
          <w:b/>
          <w:bCs/>
          <w:i w:val="0"/>
          <w:caps w:val="0"/>
          <w:color w:val="auto"/>
          <w:spacing w:val="0"/>
          <w:w w:val="100"/>
          <w:sz w:val="24"/>
          <w:highlight w:val="none"/>
        </w:rPr>
        <w:t xml:space="preserve"> %后参与评审。对于同时属于小微企业、监狱企业或残疾人福利性单位的，不重复进行报价扣除。</w:t>
      </w:r>
    </w:p>
    <w:p>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highlight w:val="none"/>
          <w:u w:val="single" w:color="000000"/>
        </w:rPr>
        <w:t xml:space="preserve"> 2%-3</w:t>
      </w:r>
      <w:r>
        <w:rPr>
          <w:rFonts w:hint="eastAsia" w:ascii="微软雅黑" w:hAnsi="微软雅黑" w:eastAsia="微软雅黑" w:cs="微软雅黑"/>
          <w:b w:val="0"/>
          <w:i w:val="0"/>
          <w:caps w:val="0"/>
          <w:color w:val="auto"/>
          <w:spacing w:val="0"/>
          <w:w w:val="100"/>
          <w:sz w:val="24"/>
          <w:highlight w:val="none"/>
        </w:rPr>
        <w:t>%的价格扣除。</w:t>
      </w:r>
      <w:r>
        <w:rPr>
          <w:rFonts w:hint="eastAsia" w:ascii="微软雅黑" w:hAnsi="微软雅黑" w:eastAsia="微软雅黑" w:cs="微软雅黑"/>
          <w:b/>
          <w:bCs/>
          <w:i w:val="0"/>
          <w:caps w:val="0"/>
          <w:color w:val="auto"/>
          <w:spacing w:val="0"/>
          <w:w w:val="100"/>
          <w:sz w:val="24"/>
          <w:highlight w:val="none"/>
        </w:rPr>
        <w:t>（本项目不适用）</w:t>
      </w:r>
    </w:p>
    <w:p>
      <w:pPr>
        <w:keepNext w:val="0"/>
        <w:keepLines w:val="0"/>
        <w:pageBreakBefore w:val="0"/>
        <w:widowControl/>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联合体各方均为小型、微型企业和监狱企业的，联合体视同为小型、微型企业和监狱企业。</w:t>
      </w:r>
    </w:p>
    <w:p>
      <w:pPr>
        <w:pStyle w:val="11"/>
        <w:keepNext w:val="0"/>
        <w:keepLines w:val="0"/>
        <w:pageBreakBefore w:val="0"/>
        <w:kinsoku/>
        <w:wordWrap/>
        <w:overflowPunct/>
        <w:topLinePunct w:val="0"/>
        <w:bidi w:val="0"/>
        <w:snapToGrid w:val="0"/>
        <w:spacing w:before="0" w:beforeAutospacing="0" w:after="0" w:afterAutospacing="0" w:line="400" w:lineRule="exact"/>
        <w:ind w:left="-61" w:leftChars="-29" w:firstLine="540" w:firstLineChars="225"/>
        <w:jc w:val="both"/>
        <w:textAlignment w:val="baseline"/>
        <w:rPr>
          <w:rFonts w:hint="eastAsia" w:ascii="微软雅黑" w:hAnsi="微软雅黑" w:eastAsia="微软雅黑" w:cs="微软雅黑"/>
          <w:b w:val="0"/>
          <w:bCs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val="en-US" w:eastAsia="zh-CN"/>
        </w:rPr>
        <w:t>4.</w:t>
      </w:r>
      <w:r>
        <w:rPr>
          <w:rFonts w:hint="eastAsia" w:ascii="微软雅黑" w:hAnsi="微软雅黑" w:eastAsia="微软雅黑" w:cs="微软雅黑"/>
          <w:b w:val="0"/>
          <w:i w:val="0"/>
          <w:caps w:val="0"/>
          <w:color w:val="auto"/>
          <w:spacing w:val="0"/>
          <w:w w:val="100"/>
          <w:sz w:val="24"/>
          <w:highlight w:val="none"/>
        </w:rPr>
        <w:t>供应商为提供</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pPr>
        <w:pStyle w:val="2"/>
        <w:keepNext w:val="0"/>
        <w:keepLines w:val="0"/>
        <w:pageBreakBefore w:val="0"/>
        <w:widowControl w:val="0"/>
        <w:kinsoku/>
        <w:wordWrap/>
        <w:overflowPunct/>
        <w:topLinePunct w:val="0"/>
        <w:bidi w:val="0"/>
        <w:snapToGrid w:val="0"/>
        <w:spacing w:before="0" w:beforeAutospacing="0" w:after="0" w:afterAutospacing="0" w:line="400" w:lineRule="exact"/>
        <w:ind w:firstLine="0"/>
        <w:jc w:val="left"/>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rPr>
        <w:t>5.</w:t>
      </w:r>
      <w:r>
        <w:rPr>
          <w:rFonts w:hint="eastAsia" w:ascii="微软雅黑" w:hAnsi="微软雅黑" w:eastAsia="微软雅黑" w:cs="微软雅黑"/>
          <w:b/>
          <w:bCs/>
          <w:i w:val="0"/>
          <w:caps w:val="0"/>
          <w:color w:val="auto"/>
          <w:spacing w:val="0"/>
          <w:w w:val="100"/>
          <w:sz w:val="24"/>
          <w:highlight w:val="none"/>
          <w:lang w:val="en-US" w:eastAsia="zh-CN"/>
        </w:rPr>
        <w:t>开标：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（1）采购人和采购代理机构将按供应商须知资料表中规定的开启时间和地点组织竞争性磋商并邀请所有供应商代表参加。</w:t>
      </w:r>
    </w:p>
    <w:p>
      <w:pPr>
        <w:rPr>
          <w:rFonts w:hint="eastAsia" w:ascii="微软雅黑" w:hAnsi="微软雅黑" w:eastAsia="微软雅黑" w:cs="微软雅黑"/>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（2）磋商前，工作人员收走所有参会人员的手机，主持人宣布开标纪律。</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（3）密封性检查：由供应商或其推选的代表检查自己及所有供应商的响应文件的密封情况，并签字确认。</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（4）资格性检查：采购人或采购代理机构依据法律法规和磋商文件中规定的内容，对供应商的资格证明材料进行审查，并让供应商对资格审查结果进行签字确认。</w:t>
      </w:r>
    </w:p>
    <w:p>
      <w:pPr>
        <w:rPr>
          <w:rFonts w:hint="default"/>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宣读第一轮承诺情况：由代理机构工作人员当众拆分各供应商提交的报价一览表，宣读各供应商的第一次供货承诺情况（宣读内容：供应商名称、供货期、供货地点、供货承诺），并由各供应商对所宣读的内容进行签字确认。签字确认后各供应商退场等候二次磋商邀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（6）供应商代表对开标过程和开标记录有疑义，以及认为采购人、采购代理机构相关工作人员有需要回避的情形的，应当场提出询问或者回避申请。</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6.评审：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（1）评审办法：</w:t>
      </w:r>
      <w:r>
        <w:rPr>
          <w:rFonts w:hint="eastAsia" w:ascii="微软雅黑" w:hAnsi="微软雅黑" w:eastAsia="微软雅黑" w:cs="微软雅黑"/>
          <w:b/>
          <w:bCs w:val="0"/>
          <w:sz w:val="24"/>
          <w:lang w:val="en-US" w:eastAsia="zh-CN"/>
        </w:rPr>
        <w:t>本项目</w:t>
      </w:r>
      <w:r>
        <w:rPr>
          <w:rFonts w:hint="eastAsia" w:ascii="微软雅黑" w:hAnsi="微软雅黑" w:eastAsia="微软雅黑" w:cs="微软雅黑"/>
          <w:b/>
          <w:bCs w:val="0"/>
          <w:sz w:val="24"/>
        </w:rPr>
        <w:t>采用综合评分法</w:t>
      </w:r>
      <w:r>
        <w:rPr>
          <w:rFonts w:hint="eastAsia" w:ascii="微软雅黑" w:hAnsi="微软雅黑" w:eastAsia="微软雅黑" w:cs="微软雅黑"/>
          <w:b w:val="0"/>
          <w:bCs/>
          <w:sz w:val="24"/>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w:t>
      </w:r>
      <w:r>
        <w:rPr>
          <w:rFonts w:hint="eastAsia" w:ascii="微软雅黑" w:hAnsi="微软雅黑" w:eastAsia="微软雅黑" w:cs="微软雅黑"/>
          <w:b w:val="0"/>
          <w:bCs/>
          <w:sz w:val="24"/>
          <w:lang w:eastAsia="zh-CN"/>
        </w:rPr>
        <w:t>。</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A</w:t>
      </w:r>
      <w:r>
        <w:rPr>
          <w:rFonts w:hint="eastAsia" w:ascii="微软雅黑" w:hAnsi="微软雅黑" w:eastAsia="微软雅黑" w:cs="微软雅黑"/>
          <w:sz w:val="24"/>
          <w:highlight w:val="none"/>
        </w:rPr>
        <w:t>）价格评分占</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rPr>
        <w:t>完全满足磋商文件参数的投标报价中的最低价为评标基准价，按照下列公式计算每个投标人的投标价格得分。投标报价得分＝（基准价/投标报价）×价格权重×100。</w:t>
      </w:r>
    </w:p>
    <w:p>
      <w:pPr>
        <w:widowControl/>
        <w:snapToGrid w:val="0"/>
        <w:spacing w:line="400"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B</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技术</w:t>
      </w:r>
      <w:r>
        <w:rPr>
          <w:rFonts w:hint="eastAsia" w:ascii="微软雅黑" w:hAnsi="微软雅黑" w:eastAsia="微软雅黑" w:cs="微软雅黑"/>
          <w:sz w:val="24"/>
          <w:highlight w:val="none"/>
        </w:rPr>
        <w:t>商务评分占</w:t>
      </w:r>
      <w:r>
        <w:rPr>
          <w:rFonts w:hint="eastAsia" w:ascii="微软雅黑" w:hAnsi="微软雅黑" w:eastAsia="微软雅黑" w:cs="微软雅黑"/>
          <w:sz w:val="24"/>
          <w:highlight w:val="none"/>
          <w:lang w:val="en-US" w:eastAsia="zh-CN"/>
        </w:rPr>
        <w:t>80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评审专家来源：按照《中华人民共和国政府采购法》、《中华人民共和国政府采购法实施条例》、《政府采购竞争性磋商采购方式管理暂行办法》及本项目本级和上级财政部门的有关规定依法在政采云平台随机抽取3人</w:t>
      </w:r>
      <w:r>
        <w:rPr>
          <w:rFonts w:hint="eastAsia" w:ascii="微软雅黑" w:hAnsi="微软雅黑" w:eastAsia="微软雅黑" w:cs="微软雅黑"/>
          <w:b w:val="0"/>
          <w:i w:val="0"/>
          <w:caps w:val="0"/>
          <w:color w:val="auto"/>
          <w:spacing w:val="0"/>
          <w:w w:val="100"/>
          <w:sz w:val="24"/>
          <w:highlight w:val="none"/>
          <w:lang w:val="en-US" w:eastAsia="zh-CN"/>
        </w:rPr>
        <w:t>，组成磋商小组，负责评审工作。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评审前，代理机构工作人员收走所有评审专家的手机，主持人宣布评审纪律：遵守职业道德，遵循客观、公平、公正原则，依法为招标采购工作提供真实、准确、可靠的评审意见。保守供应商商业秘密，不得泄露投标文件的评审、中标候选人的推荐以及与评标有关的其他情况。</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初步评审：资格性审查。由磋商小组依据法律法规和磋商文件中规定的内容，对供应商的响应文件资格性进行审查，未通过资格审查的投标人不进入评审。通过资格审查的供应商少于不足三家的，不得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（5）初步评审：符合性审查。符合性审查是指依据磋商文件的规定，从响应文件的有效性和完整性对响应文件的响应程度进行审查，以确定是否对磋商文件的实质性要求做出响应。</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（6）磋商：经符合性审查合格的供应商，进入磋商环节。磋商小组所有成员集中与实质性响应磋商文件的单一供应商分别进行磋商。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default"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7）对投标文件的澄清、说明或补正：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供应商的的澄清、说明或补正将作为响应文件的一部分。</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8）二次报价：竞争性磋商共有两次报价，二次报价为最终报价，磋商小组所有成员集中与实质性响应磋商文件的单一供应商分别进行磋商，磋商结束后，所有实质性响应的供应商根据与磋商小组所磋商的内容在规定时间内提交最终报价（二次报价），各供应商提交最终报价后退场等候评审结果。</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（9）评分：磋商小组根据磋商文件中规定的评审方法（综合评分法）和评审标准对提交最后报价供应商的响应文件进行评审。</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（10）推荐成交候选人：按照综合评分由高到低的顺序推荐成交候选人，并编写评审报告。</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7.定标：</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（1）采购代理机构应当在评审结束后2个工作日内将评审报告送采购人。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iCs w:val="0"/>
          <w:caps w:val="0"/>
          <w:color w:val="auto"/>
          <w:spacing w:val="0"/>
          <w:w w:val="100"/>
          <w:sz w:val="24"/>
          <w:highlight w:val="none"/>
          <w:u w:val="none" w:color="auto"/>
          <w:lang w:val="en-US" w:eastAsia="zh-CN"/>
        </w:rPr>
      </w:pPr>
      <w:r>
        <w:rPr>
          <w:rFonts w:hint="eastAsia" w:ascii="微软雅黑" w:hAnsi="微软雅黑" w:eastAsia="微软雅黑" w:cs="微软雅黑"/>
          <w:b w:val="0"/>
          <w:i w:val="0"/>
          <w:iCs w:val="0"/>
          <w:caps w:val="0"/>
          <w:color w:val="auto"/>
          <w:spacing w:val="0"/>
          <w:w w:val="100"/>
          <w:sz w:val="24"/>
          <w:highlight w:val="none"/>
          <w:u w:val="none" w:color="auto"/>
          <w:lang w:val="en-US" w:eastAsia="zh-CN"/>
        </w:rPr>
        <w:t>（3）</w:t>
      </w:r>
      <w:r>
        <w:rPr>
          <w:rFonts w:hint="eastAsia" w:ascii="微软雅黑" w:hAnsi="微软雅黑" w:eastAsia="微软雅黑" w:cs="微软雅黑"/>
          <w:b w:val="0"/>
          <w:i w:val="0"/>
          <w:iCs w:val="0"/>
          <w:caps w:val="0"/>
          <w:color w:val="auto"/>
          <w:spacing w:val="0"/>
          <w:w w:val="100"/>
          <w:sz w:val="24"/>
          <w:highlight w:val="none"/>
          <w:u w:val="none" w:color="auto"/>
        </w:rPr>
        <w:t>成交候选人并列式时的处理方式</w:t>
      </w:r>
      <w:r>
        <w:rPr>
          <w:rFonts w:hint="eastAsia" w:ascii="微软雅黑" w:hAnsi="微软雅黑" w:eastAsia="微软雅黑" w:cs="微软雅黑"/>
          <w:b w:val="0"/>
          <w:i w:val="0"/>
          <w:iCs w:val="0"/>
          <w:caps w:val="0"/>
          <w:color w:val="auto"/>
          <w:spacing w:val="0"/>
          <w:w w:val="100"/>
          <w:sz w:val="24"/>
          <w:highlight w:val="none"/>
          <w:u w:val="none" w:color="auto"/>
          <w:lang w:eastAsia="zh-CN"/>
        </w:rPr>
        <w:t>：</w:t>
      </w:r>
      <w:r>
        <w:rPr>
          <w:rFonts w:hint="eastAsia" w:ascii="微软雅黑" w:hAnsi="微软雅黑" w:eastAsia="微软雅黑" w:cs="微软雅黑"/>
          <w:b w:val="0"/>
          <w:i w:val="0"/>
          <w:iCs w:val="0"/>
          <w:caps w:val="0"/>
          <w:color w:val="auto"/>
          <w:spacing w:val="0"/>
          <w:w w:val="100"/>
          <w:kern w:val="2"/>
          <w:sz w:val="24"/>
          <w:szCs w:val="24"/>
          <w:highlight w:val="none"/>
          <w:u w:val="none" w:color="auto"/>
          <w:lang w:eastAsia="zh-CN"/>
        </w:rPr>
        <w:t>评审结果</w:t>
      </w:r>
      <w:r>
        <w:rPr>
          <w:rFonts w:hint="eastAsia" w:ascii="微软雅黑" w:hAnsi="微软雅黑" w:eastAsia="微软雅黑" w:cs="微软雅黑"/>
          <w:b w:val="0"/>
          <w:i w:val="0"/>
          <w:iCs w:val="0"/>
          <w:caps w:val="0"/>
          <w:color w:val="auto"/>
          <w:spacing w:val="0"/>
          <w:w w:val="100"/>
          <w:kern w:val="2"/>
          <w:sz w:val="24"/>
          <w:szCs w:val="24"/>
          <w:highlight w:val="none"/>
          <w:u w:val="none" w:color="auto"/>
        </w:rPr>
        <w:t xml:space="preserve">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1"/>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bookmarkStart w:id="793" w:name="_Toc25450"/>
      <w:bookmarkStart w:id="794" w:name="_Toc15607"/>
      <w:bookmarkStart w:id="795" w:name="_Toc11629"/>
      <w:bookmarkStart w:id="796" w:name="_Toc19292"/>
      <w:bookmarkStart w:id="797" w:name="_Toc5997"/>
      <w:bookmarkStart w:id="798" w:name="_Toc4729"/>
      <w:bookmarkStart w:id="799" w:name="_Toc9048"/>
      <w:bookmarkStart w:id="800" w:name="_Toc18284"/>
      <w:bookmarkStart w:id="801" w:name="_Toc5480"/>
      <w:bookmarkStart w:id="802" w:name="_Toc3722"/>
    </w:p>
    <w:p/>
    <w:p>
      <w:pPr>
        <w:snapToGrid w:val="0"/>
        <w:spacing w:line="360" w:lineRule="exact"/>
        <w:jc w:val="center"/>
        <w:textAlignment w:val="baseline"/>
        <w:outlineLvl w:val="1"/>
        <w:rPr>
          <w:rFonts w:ascii="微软雅黑" w:hAnsi="微软雅黑" w:eastAsia="微软雅黑" w:cs="微软雅黑"/>
          <w:b/>
          <w:bCs/>
          <w:sz w:val="24"/>
        </w:rPr>
      </w:pPr>
      <w:bookmarkStart w:id="803" w:name="_Toc10077"/>
      <w:bookmarkStart w:id="804" w:name="_Toc1826"/>
      <w:bookmarkStart w:id="805" w:name="_Toc29790"/>
      <w:r>
        <w:rPr>
          <w:rFonts w:hint="eastAsia" w:ascii="微软雅黑" w:hAnsi="微软雅黑" w:eastAsia="微软雅黑" w:cs="微软雅黑"/>
          <w:b/>
          <w:bCs/>
          <w:sz w:val="24"/>
        </w:rPr>
        <w:t>初步评审—资格性审查表</w:t>
      </w:r>
      <w:bookmarkEnd w:id="793"/>
      <w:bookmarkEnd w:id="794"/>
      <w:bookmarkEnd w:id="795"/>
      <w:bookmarkEnd w:id="796"/>
      <w:bookmarkEnd w:id="797"/>
      <w:bookmarkEnd w:id="798"/>
      <w:bookmarkEnd w:id="799"/>
      <w:bookmarkEnd w:id="800"/>
      <w:bookmarkEnd w:id="801"/>
      <w:bookmarkEnd w:id="802"/>
      <w:bookmarkEnd w:id="803"/>
      <w:bookmarkEnd w:id="804"/>
      <w:bookmarkEnd w:id="805"/>
    </w:p>
    <w:tbl>
      <w:tblPr>
        <w:tblStyle w:val="35"/>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序号</w:t>
            </w:r>
          </w:p>
        </w:tc>
        <w:tc>
          <w:tcPr>
            <w:tcW w:w="722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评审内容</w:t>
            </w:r>
          </w:p>
        </w:tc>
        <w:tc>
          <w:tcPr>
            <w:tcW w:w="2389" w:type="dxa"/>
            <w:gridSpan w:val="3"/>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722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2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1</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sz w:val="24"/>
                <w:lang w:eastAsia="zh-CN"/>
              </w:rPr>
              <w:t>提供查询记录并加盖公章</w:t>
            </w:r>
            <w:r>
              <w:rPr>
                <w:rFonts w:hint="eastAsia" w:ascii="微软雅黑" w:hAnsi="微软雅黑" w:eastAsia="微软雅黑" w:cs="微软雅黑"/>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2</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lang w:eastAsia="zh-CN"/>
              </w:rPr>
              <w:t>提供有效的营业执照</w:t>
            </w:r>
            <w:r>
              <w:rPr>
                <w:rFonts w:hint="eastAsia" w:ascii="微软雅黑" w:hAnsi="微软雅黑" w:eastAsia="微软雅黑" w:cs="微软雅黑"/>
                <w:kern w:val="0"/>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3</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法人本人投标的提供法人身份证明及身份证，被授权委托人提供法人授权委托书及身份证；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4</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投标单位提供本单位依法缴纳近三个月的社保证明（社保证明可含：社保缴费凭证、社保缴费证明、社保缴费汇总单、依法缴纳社保的完税证明）；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kern w:val="0"/>
                <w:sz w:val="24"/>
              </w:rPr>
              <w:t>5</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lang w:eastAsia="zh-CN"/>
              </w:rPr>
              <w:t>提供税务部门出具近三个月的完税证明</w:t>
            </w:r>
            <w:r>
              <w:rPr>
                <w:rFonts w:hint="eastAsia" w:ascii="微软雅黑" w:hAnsi="微软雅黑" w:eastAsia="微软雅黑" w:cs="微软雅黑"/>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提供2021年度的财务审计报告（新成立公司需提供银行资信证明）；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参加政府采购活动前3年内在经营活动中没有重大违法记录的书面声明；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提供针对本次项目的反商业贿赂承诺书。 </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提供缴纳磋商保证金的有效凭证。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p>
        </w:tc>
        <w:tc>
          <w:tcPr>
            <w:tcW w:w="722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结论</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bl>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06" w:name="_Toc22896"/>
      <w:bookmarkStart w:id="807" w:name="_Toc20718"/>
      <w:bookmarkStart w:id="808" w:name="_Toc17652"/>
      <w:bookmarkStart w:id="809" w:name="_Toc22949"/>
      <w:bookmarkStart w:id="810" w:name="_Toc11623"/>
      <w:bookmarkStart w:id="811" w:name="_Toc29597"/>
      <w:bookmarkStart w:id="812" w:name="_Toc10503"/>
      <w:bookmarkStart w:id="813" w:name="_Toc25729"/>
      <w:bookmarkStart w:id="814" w:name="_Toc13208"/>
      <w:bookmarkStart w:id="815" w:name="_Toc17473"/>
      <w:bookmarkStart w:id="816" w:name="_Toc19552"/>
      <w:bookmarkStart w:id="817" w:name="_Toc347"/>
      <w:bookmarkStart w:id="818" w:name="_Toc23517"/>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textAlignment w:val="baseline"/>
        <w:rPr>
          <w:rFonts w:hint="eastAsia" w:ascii="微软雅黑" w:hAnsi="微软雅黑" w:eastAsia="微软雅黑" w:cs="微软雅黑"/>
          <w:b/>
          <w:sz w:val="28"/>
          <w:szCs w:val="28"/>
        </w:rPr>
      </w:pPr>
    </w:p>
    <w:p>
      <w:pPr>
        <w:pStyle w:val="5"/>
        <w:rPr>
          <w:rFonts w:hint="eastAsia"/>
        </w:rPr>
      </w:pPr>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初步评审—符合性审查表</w:t>
      </w:r>
      <w:bookmarkEnd w:id="806"/>
      <w:bookmarkEnd w:id="807"/>
      <w:bookmarkEnd w:id="808"/>
      <w:bookmarkEnd w:id="809"/>
      <w:bookmarkEnd w:id="810"/>
      <w:bookmarkEnd w:id="811"/>
      <w:bookmarkEnd w:id="812"/>
      <w:bookmarkEnd w:id="813"/>
      <w:bookmarkEnd w:id="814"/>
      <w:bookmarkEnd w:id="815"/>
      <w:bookmarkEnd w:id="816"/>
      <w:bookmarkEnd w:id="817"/>
      <w:bookmarkEnd w:id="818"/>
    </w:p>
    <w:tbl>
      <w:tblPr>
        <w:tblStyle w:val="35"/>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240" w:lineRule="atLeas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磋商报价未高于预算金额</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响应内容是否符合本竞争性磋商文件要求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供应商按竞争性磋商文件规定提交响应文件份数</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响应文件制作、签署和盖章是否符合本竞争性磋商文件要求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按竞争性磋商文件规定的格式填写，内容全或关键字迹清晰、数量等齐全</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没有采购人不能接受的附加条件的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供货地点及供货时间符合竞争性磋商文件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不同供应商的响应文件没有错漏一致的情况</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9</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磋商有效期符合竞争性磋商文件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10</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售后服务符合竞争性磋商文件要求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11</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投标文件没有散页、活页、未胶装的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19" w:name="_Toc25310"/>
      <w:bookmarkStart w:id="820" w:name="_Toc20930"/>
      <w:bookmarkStart w:id="821" w:name="_Toc507399904"/>
    </w:p>
    <w:p>
      <w:pPr>
        <w:pStyle w:val="2"/>
        <w:ind w:firstLine="0"/>
        <w:rPr>
          <w:rFonts w:ascii="微软雅黑" w:hAnsi="微软雅黑" w:eastAsia="微软雅黑" w:cs="微软雅黑"/>
        </w:rPr>
      </w:pPr>
    </w:p>
    <w:p>
      <w:pPr>
        <w:pStyle w:val="11"/>
        <w:snapToGrid w:val="0"/>
        <w:spacing w:before="0" w:line="360" w:lineRule="exact"/>
        <w:textAlignment w:val="baseline"/>
        <w:rPr>
          <w:rFonts w:ascii="微软雅黑" w:hAnsi="微软雅黑" w:eastAsia="微软雅黑" w:cs="微软雅黑"/>
          <w:b/>
          <w:sz w:val="28"/>
          <w:szCs w:val="28"/>
        </w:rPr>
      </w:pPr>
      <w:r>
        <w:rPr>
          <w:rFonts w:hint="eastAsia" w:ascii="微软雅黑" w:hAnsi="微软雅黑" w:eastAsia="微软雅黑" w:cs="微软雅黑"/>
        </w:rPr>
        <w:br w:type="page"/>
      </w:r>
    </w:p>
    <w:p>
      <w:pPr>
        <w:widowControl/>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综合评分表</w:t>
      </w:r>
    </w:p>
    <w:p>
      <w:pPr>
        <w:pStyle w:val="2"/>
        <w:rPr>
          <w:rFonts w:hint="eastAsia" w:ascii="微软雅黑" w:hAnsi="微软雅黑" w:eastAsia="微软雅黑" w:cs="微软雅黑"/>
          <w:sz w:val="21"/>
          <w:szCs w:val="21"/>
          <w:lang w:val="en-US" w:eastAsia="zh-CN"/>
        </w:rPr>
      </w:pPr>
    </w:p>
    <w:tbl>
      <w:tblPr>
        <w:tblStyle w:val="3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489"/>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53"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序号</w:t>
            </w:r>
          </w:p>
        </w:tc>
        <w:tc>
          <w:tcPr>
            <w:tcW w:w="1184"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评分因素</w:t>
            </w:r>
          </w:p>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及权重</w:t>
            </w:r>
          </w:p>
        </w:tc>
        <w:tc>
          <w:tcPr>
            <w:tcW w:w="489"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分值</w:t>
            </w:r>
          </w:p>
        </w:tc>
        <w:tc>
          <w:tcPr>
            <w:tcW w:w="6892"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评分标准</w:t>
            </w:r>
          </w:p>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 xml:space="preserve">价   格：20分  商   务：20分   技   术：60分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53"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价格评分标 准</w:t>
            </w: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投标报价</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20分</w:t>
            </w:r>
          </w:p>
        </w:tc>
        <w:tc>
          <w:tcPr>
            <w:tcW w:w="6892" w:type="dxa"/>
            <w:noWrap w:val="0"/>
            <w:vAlign w:val="center"/>
          </w:tcPr>
          <w:p>
            <w:pPr>
              <w:widowControl/>
              <w:jc w:val="left"/>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完全满足竞争性磋商文件参数的投标报价中的最低价为评标基准价，按照下列公式计算每个投标人的投标价格得分。投标报价得分＝（基准价/投标报价）×价格权重。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kern w:val="2"/>
                <w:sz w:val="18"/>
                <w:szCs w:val="18"/>
                <w:highlight w:val="none"/>
                <w:lang w:val="en-US" w:eastAsia="zh-CN" w:bidi="ar-SA"/>
              </w:rPr>
              <w:t>（注：若报价单位为小微企业，其最终报价扣除 6 %后参与评审，须提供相关证明资料，否则无效。）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技术评分标 准（60分）</w:t>
            </w: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restart"/>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总体服务方案</w:t>
            </w:r>
          </w:p>
        </w:tc>
        <w:tc>
          <w:tcPr>
            <w:tcW w:w="489" w:type="dxa"/>
            <w:vMerge w:val="restart"/>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20分</w:t>
            </w:r>
          </w:p>
        </w:tc>
        <w:tc>
          <w:tcPr>
            <w:tcW w:w="6892" w:type="dxa"/>
            <w:noWrap w:val="0"/>
            <w:vAlign w:val="center"/>
          </w:tcPr>
          <w:p>
            <w:pPr>
              <w:widowControl/>
              <w:jc w:val="left"/>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投标单位根据磋商文件中整体项目的服务需求、时间安排、活动要求等进行项目整体计划、规划，能够充分理解该项目需求，针对项目有详尽的项目需求分析以及描述：</w:t>
            </w:r>
          </w:p>
          <w:p>
            <w:pPr>
              <w:widowControl/>
              <w:jc w:val="left"/>
              <w:rPr>
                <w:rFonts w:hint="eastAsia" w:ascii="微软雅黑" w:hAnsi="微软雅黑" w:eastAsia="微软雅黑" w:cs="微软雅黑"/>
                <w:color w:val="auto"/>
                <w:kern w:val="2"/>
                <w:sz w:val="18"/>
                <w:szCs w:val="18"/>
                <w:highlight w:val="yellow"/>
                <w:lang w:val="en-US" w:eastAsia="zh-CN" w:bidi="ar-SA"/>
              </w:rPr>
            </w:pPr>
            <w:r>
              <w:rPr>
                <w:rFonts w:hint="eastAsia" w:ascii="微软雅黑" w:hAnsi="微软雅黑" w:eastAsia="微软雅黑" w:cs="微软雅黑"/>
                <w:color w:val="auto"/>
                <w:kern w:val="2"/>
                <w:sz w:val="18"/>
                <w:szCs w:val="18"/>
                <w:highlight w:val="none"/>
                <w:lang w:val="en-US" w:eastAsia="zh-CN" w:bidi="ar-SA"/>
              </w:rPr>
              <w:t>总体方案中针对本项目的理解、总体构想、工作思路清晰布局及各个阶段服务的规划及实施计划情况，对该活动的可能存在的影响开展分析，合理可行，服务方案安排合理度强、可操作性强、项目实施的计划科学可行度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针对本项目理解、总体构想、工作思路清晰布局及各个阶段服务的规划及实施计划情况，对该活动对可能存在的影响开展分析，分析合理，服务方案安排合理、可操作性及项目实施的计划科学可行得12分。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服务方案存在瑕疵，方案内容针对性差，整体方案实用性差，对活动的整体进度、详细计划、分工安排差，项目需求理解分析片面，描述简单笼统得3分。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both"/>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活动执行方案</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印象喀什活动：在古城夜市常态开展以印象喀什为主题的民族歌舞体验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丝路驼队活动：在古城景区常态开展以丝路驼队、西域公主选郎等形式的沉浸体验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快闪活动：在古城景区常态开展正能量的互动快闪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活动进度</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8分</w:t>
            </w:r>
          </w:p>
        </w:tc>
        <w:tc>
          <w:tcPr>
            <w:tcW w:w="6892" w:type="dxa"/>
            <w:noWrap w:val="0"/>
            <w:vAlign w:val="center"/>
          </w:tcPr>
          <w:p>
            <w:pPr>
              <w:pStyle w:val="25"/>
              <w:keepNext w:val="0"/>
              <w:keepLines w:val="0"/>
              <w:pageBreakBefore w:val="0"/>
              <w:widowControl w:val="0"/>
              <w:numPr>
                <w:ilvl w:val="0"/>
                <w:numId w:val="0"/>
              </w:numPr>
              <w:kinsoku/>
              <w:wordWrap/>
              <w:overflowPunct/>
              <w:topLinePunct w:val="0"/>
              <w:autoSpaceDE/>
              <w:autoSpaceDN/>
              <w:bidi w:val="0"/>
              <w:adjustRightInd/>
              <w:snapToGrid/>
              <w:spacing w:line="192" w:lineRule="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结合项目实际情况,具体特点及实际需求、活动的各个阶段进度安排合理度、可操作性、实用性等方面提供项目实施进度方案、方案全面、条理清晰、时间周期安排合理得8分；方案一般、条理清晰、时间周期安排一般得5分；方案不全面、条理不清晰、时间周期不合理或不提供的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宣传推广</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8分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供应商根据采购需求编制宣传策划方案，包含宣传范围、宣传方式、时间。评审组根据宣传推广方案的可行性，有效性强，宣传方式及宣传主题有创新性，宣传文稿示例为原创，能突显出喀什文化特色得8分；宣传推广方案的可行性、有效性一般，宣传方式创新性、互动性，宣传文稿示例一般，能突显出喀什文化特色展现一般得5分；宣传推广方案的可行性、有效性较差，宣传方式不具创新性、互动性，宣传文稿示例较差得1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技术合理性</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根据对本项目的思路，原则、特点、技术要求的重点、难点理解情况进行评审：供应商对本项目有充分理解，能具体指出本项目技术要求，特点，并充分总结归纳项目中系列活动意义和关键作用的得6分；在此基础上能基本理解并指出对项目技术要求特点的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r>
              <w:rPr>
                <w:rFonts w:hint="eastAsia" w:ascii="微软雅黑" w:hAnsi="微软雅黑" w:eastAsia="微软雅黑" w:cs="微软雅黑"/>
                <w:kern w:val="2"/>
                <w:sz w:val="18"/>
                <w:szCs w:val="18"/>
                <w:highlight w:val="none"/>
                <w:lang w:val="en-US" w:eastAsia="zh-CN" w:bidi="ar-SA"/>
              </w:rPr>
              <w:t>商务评分标 准（20分）</w:t>
            </w:r>
          </w:p>
        </w:tc>
        <w:tc>
          <w:tcPr>
            <w:tcW w:w="1184" w:type="dxa"/>
            <w:vMerge w:val="restart"/>
            <w:noWrap w:val="0"/>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highlight w:val="none"/>
                <w:lang w:val="en-US" w:eastAsia="zh-CN" w:bidi="ar-SA"/>
              </w:rPr>
              <w:t>服务承诺及</w:t>
            </w:r>
          </w:p>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质量保障</w:t>
            </w:r>
          </w:p>
        </w:tc>
        <w:tc>
          <w:tcPr>
            <w:tcW w:w="489" w:type="dxa"/>
            <w:vMerge w:val="restart"/>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 xml:space="preserve">8分 </w:t>
            </w:r>
          </w:p>
        </w:tc>
        <w:tc>
          <w:tcPr>
            <w:tcW w:w="6892" w:type="dxa"/>
            <w:noWrap w:val="0"/>
            <w:vAlign w:val="center"/>
          </w:tcPr>
          <w:p>
            <w:pPr>
              <w:widowControl/>
              <w:numPr>
                <w:ilvl w:val="0"/>
                <w:numId w:val="6"/>
              </w:numPr>
              <w:jc w:val="left"/>
              <w:rPr>
                <w:rFonts w:hint="default"/>
                <w:lang w:val="en-US" w:eastAsia="zh-CN"/>
              </w:rPr>
            </w:pPr>
            <w:r>
              <w:rPr>
                <w:rFonts w:hint="eastAsia" w:ascii="微软雅黑" w:hAnsi="微软雅黑" w:eastAsia="微软雅黑" w:cs="微软雅黑"/>
                <w:color w:val="auto"/>
                <w:kern w:val="2"/>
                <w:sz w:val="18"/>
                <w:szCs w:val="18"/>
                <w:highlight w:val="none"/>
                <w:lang w:val="en-US" w:eastAsia="zh-CN" w:bidi="ar-SA"/>
              </w:rPr>
              <w:t>供应商对项目实施过程中的服务场次及活动参与人员做出实质性承诺及有效措施得2分；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numPr>
                <w:ilvl w:val="0"/>
                <w:numId w:val="0"/>
              </w:numPr>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（2）提出实施过程中可能存在的问题并做出了明确详细的合理性建议得3分；  建议实用性，可行性一般得1分；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（3）根据供应商提供的服务质量保障措施的合理性、全面性及有效性强的得3分；措施合理性、全面性及有效性一般的得1分；不提供不得分。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应急措施</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应急措施包含但不限于以下内容：人员安全防护、交通安全、紧急情况应急措施、疫情防控安全措施等内容，内容全面详细得 6分，措施内容包含不全，片面笼统得3分，不提供得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类似项目业绩</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提供（2019年1月1日-至今）的类似服务业绩，每提供一份得 2分，累计最高可得6分 ，未提供不得分。</w:t>
            </w:r>
          </w:p>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注：须提供中标通知书或合同复印件加盖公章，未提供相关证明材料或提供证明材料不能反映出评审因素的不得分。</w:t>
            </w:r>
          </w:p>
        </w:tc>
      </w:tr>
    </w:tbl>
    <w:p>
      <w:pPr>
        <w:pStyle w:val="25"/>
        <w:numPr>
          <w:ilvl w:val="0"/>
          <w:numId w:val="0"/>
        </w:numPr>
        <w:rPr>
          <w:rFonts w:hint="eastAsia" w:ascii="Times New Roman" w:hAnsi="Times New Roman" w:eastAsia="宋体" w:cs="Times New Roman"/>
          <w:b/>
          <w:bCs/>
          <w:kern w:val="2"/>
          <w:sz w:val="28"/>
          <w:szCs w:val="44"/>
          <w:lang w:val="en-US" w:eastAsia="zh-CN" w:bidi="ar-SA"/>
        </w:rPr>
      </w:pPr>
    </w:p>
    <w:p>
      <w:pPr>
        <w:pStyle w:val="34"/>
        <w:snapToGrid w:val="0"/>
        <w:ind w:firstLine="0" w:firstLineChars="0"/>
        <w:textAlignment w:val="baseline"/>
        <w:rPr>
          <w:rFonts w:ascii="微软雅黑" w:hAnsi="微软雅黑" w:eastAsia="微软雅黑" w:cs="微软雅黑"/>
          <w:b/>
          <w:sz w:val="28"/>
          <w:szCs w:val="28"/>
        </w:rPr>
      </w:pPr>
    </w:p>
    <w:bookmarkEnd w:id="819"/>
    <w:bookmarkEnd w:id="820"/>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25"/>
        <w:rPr>
          <w:rFonts w:ascii="微软雅黑" w:hAnsi="微软雅黑" w:eastAsia="微软雅黑" w:cs="微软雅黑"/>
        </w:rPr>
      </w:pPr>
    </w:p>
    <w:p>
      <w:pPr>
        <w:pStyle w:val="5"/>
        <w:rPr>
          <w:rFonts w:hint="eastAsia" w:ascii="微软雅黑" w:hAnsi="微软雅黑" w:eastAsia="微软雅黑" w:cs="微软雅黑"/>
          <w:sz w:val="44"/>
          <w:szCs w:val="32"/>
          <w:u w:val="none"/>
          <w:lang w:eastAsia="zh-CN"/>
        </w:rPr>
      </w:pPr>
    </w:p>
    <w:p>
      <w:pPr>
        <w:pStyle w:val="5"/>
        <w:rPr>
          <w:rFonts w:hint="eastAsia" w:ascii="微软雅黑" w:hAnsi="微软雅黑" w:eastAsia="微软雅黑" w:cs="微软雅黑"/>
          <w:sz w:val="44"/>
          <w:szCs w:val="32"/>
          <w:u w:val="none"/>
          <w:lang w:eastAsia="zh-CN"/>
        </w:rPr>
      </w:pPr>
    </w:p>
    <w:p>
      <w:pPr>
        <w:pStyle w:val="5"/>
        <w:rPr>
          <w:rFonts w:hint="eastAsia" w:ascii="微软雅黑" w:hAnsi="微软雅黑" w:eastAsia="微软雅黑" w:cs="微软雅黑"/>
          <w:sz w:val="44"/>
          <w:szCs w:val="32"/>
          <w:u w:val="none"/>
          <w:lang w:eastAsia="zh-CN"/>
        </w:rPr>
      </w:pPr>
    </w:p>
    <w:p>
      <w:pPr>
        <w:pStyle w:val="5"/>
        <w:rPr>
          <w:rFonts w:ascii="微软雅黑" w:hAnsi="微软雅黑" w:eastAsia="微软雅黑" w:cs="微软雅黑"/>
        </w:rPr>
      </w:pPr>
      <w:r>
        <w:rPr>
          <w:rFonts w:hint="eastAsia" w:ascii="微软雅黑" w:hAnsi="微软雅黑" w:eastAsia="微软雅黑" w:cs="微软雅黑"/>
          <w:sz w:val="44"/>
          <w:szCs w:val="32"/>
          <w:u w:val="none"/>
          <w:lang w:eastAsia="zh-CN"/>
        </w:rPr>
        <w:t>喀什古城丝路风情系列活动服务采购项目</w:t>
      </w:r>
    </w:p>
    <w:p>
      <w:pPr>
        <w:pStyle w:val="25"/>
        <w:rPr>
          <w:rFonts w:ascii="微软雅黑" w:hAnsi="微软雅黑" w:eastAsia="微软雅黑" w:cs="微软雅黑"/>
        </w:rPr>
      </w:pPr>
    </w:p>
    <w:p>
      <w:pPr>
        <w:rPr>
          <w:rFonts w:ascii="微软雅黑" w:hAnsi="微软雅黑" w:eastAsia="微软雅黑" w:cs="微软雅黑"/>
        </w:rPr>
      </w:pPr>
    </w:p>
    <w:p>
      <w:pPr>
        <w:snapToGrid w:val="0"/>
        <w:spacing w:line="240" w:lineRule="atLeast"/>
        <w:ind w:firstLine="2401" w:firstLineChars="500"/>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项目</w:t>
      </w:r>
      <w:r>
        <w:rPr>
          <w:rFonts w:hint="eastAsia" w:ascii="微软雅黑" w:hAnsi="微软雅黑" w:eastAsia="微软雅黑" w:cs="微软雅黑"/>
          <w:b/>
          <w:sz w:val="36"/>
          <w:szCs w:val="36"/>
        </w:rPr>
        <w:t>编号：</w:t>
      </w:r>
      <w:r>
        <w:rPr>
          <w:rFonts w:hint="eastAsia" w:ascii="微软雅黑" w:hAnsi="微软雅黑" w:eastAsia="微软雅黑" w:cs="微软雅黑"/>
          <w:b/>
          <w:sz w:val="36"/>
          <w:szCs w:val="36"/>
          <w:lang w:eastAsia="zh-CN"/>
        </w:rPr>
        <w:t>YYXD（CS）2022-02号  </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textAlignment w:val="baseline"/>
        <w:rPr>
          <w:rFonts w:ascii="微软雅黑" w:hAnsi="微软雅黑" w:eastAsia="微软雅黑" w:cs="微软雅黑"/>
          <w:b/>
          <w:sz w:val="28"/>
        </w:rPr>
      </w:pPr>
    </w:p>
    <w:p>
      <w:pPr>
        <w:snapToGrid w:val="0"/>
        <w:spacing w:line="240" w:lineRule="atLeast"/>
        <w:ind w:left="1976" w:leftChars="941" w:firstLine="1642" w:firstLineChars="3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bookmarkEnd w:id="821"/>
    <w:p>
      <w:pPr>
        <w:pStyle w:val="3"/>
        <w:tabs>
          <w:tab w:val="left" w:pos="0"/>
        </w:tabs>
        <w:spacing w:before="0" w:after="0" w:line="400" w:lineRule="exact"/>
        <w:jc w:val="both"/>
        <w:rPr>
          <w:rFonts w:hint="eastAsia" w:ascii="微软雅黑" w:hAnsi="微软雅黑" w:eastAsia="微软雅黑" w:cs="微软雅黑"/>
        </w:rPr>
      </w:pPr>
      <w:bookmarkStart w:id="822" w:name="_Toc5754"/>
      <w:bookmarkStart w:id="823" w:name="_Toc16642"/>
      <w:bookmarkStart w:id="824" w:name="_Toc514"/>
    </w:p>
    <w:p>
      <w:pPr>
        <w:pStyle w:val="3"/>
        <w:tabs>
          <w:tab w:val="left" w:pos="0"/>
        </w:tabs>
        <w:spacing w:before="0" w:after="0" w:line="400" w:lineRule="exact"/>
        <w:rPr>
          <w:rFonts w:ascii="微软雅黑" w:hAnsi="微软雅黑" w:eastAsia="微软雅黑" w:cs="微软雅黑"/>
        </w:rPr>
      </w:pPr>
      <w:r>
        <w:rPr>
          <w:rFonts w:hint="eastAsia" w:ascii="微软雅黑" w:hAnsi="微软雅黑" w:eastAsia="微软雅黑" w:cs="微软雅黑"/>
        </w:rPr>
        <w:t>第7章  政府采购合同</w:t>
      </w:r>
      <w:bookmarkEnd w:id="822"/>
      <w:bookmarkEnd w:id="823"/>
      <w:bookmarkEnd w:id="824"/>
    </w:p>
    <w:p>
      <w:pPr>
        <w:rPr>
          <w:rFonts w:ascii="微软雅黑" w:hAnsi="微软雅黑" w:eastAsia="微软雅黑" w:cs="微软雅黑"/>
          <w:sz w:val="24"/>
        </w:rPr>
      </w:pPr>
      <w:r>
        <w:rPr>
          <w:rFonts w:hint="eastAsia" w:ascii="微软雅黑" w:hAnsi="微软雅黑" w:eastAsia="微软雅黑" w:cs="微软雅黑"/>
          <w:sz w:val="24"/>
        </w:rPr>
        <w:t xml:space="preserve">合同编号：           </w:t>
      </w:r>
    </w:p>
    <w:p>
      <w:pPr>
        <w:rPr>
          <w:rFonts w:ascii="微软雅黑" w:hAnsi="微软雅黑" w:eastAsia="微软雅黑" w:cs="微软雅黑"/>
          <w:sz w:val="24"/>
        </w:rPr>
      </w:pPr>
    </w:p>
    <w:p>
      <w:pPr>
        <w:rPr>
          <w:rFonts w:ascii="微软雅黑" w:hAnsi="微软雅黑" w:eastAsia="微软雅黑" w:cs="微软雅黑"/>
          <w:sz w:val="24"/>
        </w:rPr>
      </w:pPr>
    </w:p>
    <w:p>
      <w:pPr>
        <w:rPr>
          <w:rFonts w:ascii="微软雅黑" w:hAnsi="微软雅黑" w:eastAsia="微软雅黑" w:cs="微软雅黑"/>
          <w:sz w:val="24"/>
        </w:rPr>
      </w:pPr>
    </w:p>
    <w:p>
      <w:pPr>
        <w:jc w:val="center"/>
        <w:rPr>
          <w:rFonts w:ascii="微软雅黑" w:hAnsi="微软雅黑" w:eastAsia="微软雅黑" w:cs="微软雅黑"/>
          <w:b/>
          <w:bCs/>
          <w:sz w:val="24"/>
        </w:rPr>
      </w:pPr>
      <w:r>
        <w:rPr>
          <w:rFonts w:hint="eastAsia" w:ascii="微软雅黑" w:hAnsi="微软雅黑" w:eastAsia="微软雅黑" w:cs="微软雅黑"/>
          <w:b/>
          <w:bCs/>
          <w:sz w:val="24"/>
        </w:rPr>
        <w:t>政府采购合同参考范本</w:t>
      </w:r>
    </w:p>
    <w:p>
      <w:pPr>
        <w:jc w:val="center"/>
        <w:rPr>
          <w:rFonts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服务</w:t>
      </w:r>
      <w:r>
        <w:rPr>
          <w:rFonts w:hint="eastAsia" w:ascii="微软雅黑" w:hAnsi="微软雅黑" w:eastAsia="微软雅黑" w:cs="微软雅黑"/>
          <w:b/>
          <w:bCs/>
          <w:sz w:val="24"/>
        </w:rPr>
        <w:t>类）</w:t>
      </w:r>
    </w:p>
    <w:p>
      <w:pPr>
        <w:rPr>
          <w:rFonts w:ascii="微软雅黑" w:hAnsi="微软雅黑" w:eastAsia="微软雅黑" w:cs="微软雅黑"/>
          <w:sz w:val="24"/>
        </w:rPr>
      </w:pPr>
    </w:p>
    <w:p>
      <w:pPr>
        <w:rPr>
          <w:rFonts w:ascii="微软雅黑" w:hAnsi="微软雅黑" w:eastAsia="微软雅黑" w:cs="微软雅黑"/>
          <w:sz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第一部分 合同书</w:t>
      </w:r>
    </w:p>
    <w:p>
      <w:pPr>
        <w:rPr>
          <w:rFonts w:ascii="微软雅黑" w:hAnsi="微软雅黑" w:eastAsia="微软雅黑" w:cs="微软雅黑"/>
          <w:sz w:val="24"/>
        </w:rPr>
      </w:pPr>
    </w:p>
    <w:p>
      <w:pPr>
        <w:spacing w:before="120"/>
        <w:ind w:left="960"/>
        <w:rPr>
          <w:rFonts w:ascii="微软雅黑" w:hAnsi="微软雅黑" w:eastAsia="微软雅黑" w:cs="微软雅黑"/>
          <w:sz w:val="24"/>
        </w:rPr>
      </w:pPr>
      <w:r>
        <w:rPr>
          <w:rFonts w:hint="eastAsia" w:ascii="微软雅黑" w:hAnsi="微软雅黑" w:eastAsia="微软雅黑" w:cs="微软雅黑"/>
          <w:sz w:val="24"/>
        </w:rPr>
        <w:t>项目名称：</w:t>
      </w:r>
      <w:r>
        <w:rPr>
          <w:rFonts w:hint="eastAsia" w:ascii="微软雅黑" w:hAnsi="微软雅黑" w:eastAsia="微软雅黑" w:cs="微软雅黑"/>
          <w:sz w:val="24"/>
          <w:u w:val="single"/>
        </w:rPr>
        <w:t xml:space="preserve">                                   </w:t>
      </w:r>
    </w:p>
    <w:p>
      <w:pPr>
        <w:pStyle w:val="42"/>
        <w:spacing w:before="120" w:line="240" w:lineRule="auto"/>
        <w:rPr>
          <w:rFonts w:ascii="微软雅黑" w:hAnsi="微软雅黑" w:eastAsia="微软雅黑" w:cs="微软雅黑"/>
          <w:szCs w:val="24"/>
        </w:rPr>
      </w:pPr>
    </w:p>
    <w:p>
      <w:pPr>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甲方：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乙方：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签订地：</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w:t>
      </w:r>
    </w:p>
    <w:p>
      <w:pPr>
        <w:autoSpaceDE w:val="0"/>
        <w:autoSpaceDN w:val="0"/>
        <w:adjustRightInd w:val="0"/>
        <w:ind w:firstLine="640"/>
        <w:jc w:val="center"/>
        <w:rPr>
          <w:rFonts w:ascii="微软雅黑" w:hAnsi="微软雅黑" w:eastAsia="微软雅黑" w:cs="微软雅黑"/>
          <w:sz w:val="24"/>
        </w:rPr>
        <w:sectPr>
          <w:footerReference r:id="rId11" w:type="default"/>
          <w:pgSz w:w="11907" w:h="16840"/>
          <w:pgMar w:top="1474" w:right="1814" w:bottom="1474" w:left="1814" w:header="851" w:footer="851" w:gutter="0"/>
          <w:cols w:space="720" w:num="1"/>
          <w:docGrid w:linePitch="462" w:charSpace="0"/>
        </w:sectPr>
      </w:pPr>
    </w:p>
    <w:p>
      <w:pPr>
        <w:ind w:firstLine="480" w:firstLineChars="200"/>
        <w:rPr>
          <w:rFonts w:ascii="微软雅黑" w:hAnsi="微软雅黑" w:eastAsia="微软雅黑" w:cs="微软雅黑"/>
          <w:sz w:val="24"/>
        </w:rPr>
      </w:pPr>
      <w:bookmarkStart w:id="825" w:name="_Toc24059"/>
      <w:bookmarkStart w:id="826" w:name="_Toc2232"/>
      <w:bookmarkStart w:id="827" w:name="_Toc1846"/>
      <w:bookmarkStart w:id="828" w:name="_Toc3029"/>
      <w:bookmarkStart w:id="829" w:name="_Toc26721"/>
      <w:bookmarkStart w:id="830" w:name="_Toc2659"/>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年</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月</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日</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rPr>
        <w:t>以</w:t>
      </w:r>
      <w:r>
        <w:rPr>
          <w:rFonts w:hint="eastAsia" w:ascii="微软雅黑" w:hAnsi="微软雅黑" w:eastAsia="微软雅黑" w:cs="微软雅黑"/>
          <w:sz w:val="24"/>
          <w:u w:val="single"/>
        </w:rPr>
        <w:t xml:space="preserve">   （政府采购方式）  </w:t>
      </w:r>
      <w:r>
        <w:rPr>
          <w:rFonts w:hint="eastAsia" w:ascii="微软雅黑" w:hAnsi="微软雅黑" w:eastAsia="微软雅黑" w:cs="微软雅黑"/>
          <w:sz w:val="24"/>
        </w:rPr>
        <w:t>对</w:t>
      </w:r>
      <w:r>
        <w:rPr>
          <w:rFonts w:hint="eastAsia" w:ascii="微软雅黑" w:hAnsi="微软雅黑" w:eastAsia="微软雅黑" w:cs="微软雅黑"/>
          <w:sz w:val="24"/>
          <w:u w:val="single"/>
        </w:rPr>
        <w:t xml:space="preserve">   （同前页项目名称）   </w:t>
      </w:r>
      <w:r>
        <w:rPr>
          <w:rFonts w:hint="eastAsia" w:ascii="微软雅黑" w:hAnsi="微软雅黑" w:eastAsia="微软雅黑" w:cs="微软雅黑"/>
          <w:sz w:val="24"/>
        </w:rPr>
        <w:t>项目进行了采购。经</w:t>
      </w:r>
      <w:r>
        <w:rPr>
          <w:rFonts w:hint="eastAsia" w:ascii="微软雅黑" w:hAnsi="微软雅黑" w:eastAsia="微软雅黑" w:cs="微软雅黑"/>
          <w:sz w:val="24"/>
          <w:u w:val="single"/>
        </w:rPr>
        <w:t xml:space="preserve">   （相关评定主体名称）   </w:t>
      </w:r>
      <w:r>
        <w:rPr>
          <w:rFonts w:hint="eastAsia" w:ascii="微软雅黑" w:hAnsi="微软雅黑" w:eastAsia="微软雅黑" w:cs="微软雅黑"/>
          <w:sz w:val="24"/>
        </w:rPr>
        <w:t>评定，</w:t>
      </w:r>
      <w:r>
        <w:rPr>
          <w:rFonts w:hint="eastAsia" w:ascii="微软雅黑" w:hAnsi="微软雅黑" w:eastAsia="微软雅黑" w:cs="微软雅黑"/>
          <w:sz w:val="24"/>
          <w:u w:val="single"/>
        </w:rPr>
        <w:t xml:space="preserve">   （中标供应商名称）</w:t>
      </w:r>
      <w:r>
        <w:rPr>
          <w:rFonts w:hint="eastAsia" w:ascii="微软雅黑" w:hAnsi="微软雅黑" w:eastAsia="微软雅黑" w:cs="微软雅黑"/>
          <w:sz w:val="24"/>
        </w:rPr>
        <w:t>为该项目中标供应商。现于中标通知书发出之日起三十日内，按照采购文件确定的事项签订本合同。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lang w:val="zh-CN"/>
        </w:rPr>
        <w:t>(以下简称：甲方)和</w:t>
      </w:r>
      <w:r>
        <w:rPr>
          <w:rFonts w:hint="eastAsia" w:ascii="微软雅黑" w:hAnsi="微软雅黑" w:eastAsia="微软雅黑" w:cs="微软雅黑"/>
          <w:sz w:val="24"/>
          <w:u w:val="single"/>
        </w:rPr>
        <w:t xml:space="preserve">   （中标供应商名称）   </w:t>
      </w:r>
      <w:r>
        <w:rPr>
          <w:rFonts w:hint="eastAsia" w:ascii="微软雅黑" w:hAnsi="微软雅黑" w:eastAsia="微软雅黑" w:cs="微软雅黑"/>
          <w:sz w:val="24"/>
          <w:lang w:val="zh-CN"/>
        </w:rPr>
        <w:t>(以下简称：乙方)协商一致，约定以下合同</w:t>
      </w:r>
      <w:r>
        <w:rPr>
          <w:rFonts w:hint="eastAsia" w:ascii="微软雅黑" w:hAnsi="微软雅黑" w:eastAsia="微软雅黑" w:cs="微软雅黑"/>
          <w:sz w:val="24"/>
        </w:rPr>
        <w:t>条款，以兹共同遵守、全面履行。</w:t>
      </w:r>
    </w:p>
    <w:bookmarkEnd w:id="825"/>
    <w:bookmarkEnd w:id="826"/>
    <w:bookmarkEnd w:id="827"/>
    <w:bookmarkEnd w:id="828"/>
    <w:bookmarkEnd w:id="829"/>
    <w:bookmarkEnd w:id="830"/>
    <w:p>
      <w:pPr>
        <w:ind w:firstLine="480" w:firstLineChars="200"/>
        <w:outlineLvl w:val="0"/>
        <w:rPr>
          <w:rFonts w:ascii="微软雅黑" w:hAnsi="微软雅黑" w:eastAsia="微软雅黑" w:cs="微软雅黑"/>
          <w:b/>
          <w:bCs/>
          <w:sz w:val="24"/>
        </w:rPr>
      </w:pPr>
      <w:bookmarkStart w:id="831" w:name="_Toc2390"/>
      <w:bookmarkStart w:id="832" w:name="_Toc15812"/>
      <w:bookmarkStart w:id="833" w:name="_Toc27963"/>
      <w:bookmarkStart w:id="834" w:name="_Toc967"/>
      <w:bookmarkStart w:id="835" w:name="_Toc21386"/>
      <w:bookmarkStart w:id="836" w:name="_Toc18247"/>
      <w:bookmarkStart w:id="837" w:name="_Toc14766"/>
      <w:bookmarkStart w:id="838" w:name="_Toc30575"/>
      <w:bookmarkStart w:id="839" w:name="_Toc416"/>
      <w:bookmarkStart w:id="840" w:name="_Toc28090"/>
      <w:bookmarkStart w:id="841" w:name="_Toc4498"/>
      <w:bookmarkStart w:id="842" w:name="_Toc29481"/>
      <w:bookmarkStart w:id="843" w:name="_Toc2048"/>
      <w:bookmarkStart w:id="844" w:name="_Toc25352"/>
      <w:bookmarkStart w:id="845" w:name="_Toc2992"/>
      <w:bookmarkStart w:id="846" w:name="_Toc6038"/>
      <w:bookmarkStart w:id="847" w:name="_Toc27428"/>
      <w:bookmarkStart w:id="848" w:name="_Toc20797"/>
      <w:bookmarkStart w:id="849" w:name="_Toc24186"/>
      <w:bookmarkStart w:id="850" w:name="_Toc29751"/>
      <w:bookmarkStart w:id="851" w:name="_Toc4751"/>
      <w:r>
        <w:rPr>
          <w:rFonts w:hint="eastAsia" w:ascii="微软雅黑" w:hAnsi="微软雅黑" w:eastAsia="微软雅黑" w:cs="微软雅黑"/>
          <w:b/>
          <w:bCs/>
          <w:sz w:val="24"/>
        </w:rPr>
        <w:t>1.1 合同组成部分</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1.1.1 本合同及其补充合同、变更协议；</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1.1.2 中标通知书；</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1.1.3 投标文件（含澄清或者说明文件）；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1.1.4 招标文件（含澄清或者修改文件）；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1.1.5 其他相关采购文件。</w:t>
      </w:r>
    </w:p>
    <w:p>
      <w:pPr>
        <w:ind w:firstLine="480" w:firstLineChars="200"/>
        <w:outlineLvl w:val="0"/>
        <w:rPr>
          <w:rFonts w:hint="eastAsia" w:ascii="微软雅黑" w:hAnsi="微软雅黑" w:eastAsia="微软雅黑" w:cs="微软雅黑"/>
          <w:b/>
          <w:bCs/>
          <w:sz w:val="24"/>
          <w:lang w:val="en-US" w:eastAsia="zh-CN"/>
        </w:rPr>
      </w:pPr>
      <w:bookmarkStart w:id="852" w:name="_Toc27318"/>
      <w:bookmarkStart w:id="853" w:name="_Toc31632"/>
      <w:bookmarkStart w:id="854" w:name="_Toc5906"/>
      <w:bookmarkStart w:id="855" w:name="_Toc4735"/>
      <w:bookmarkStart w:id="856" w:name="_Toc11529"/>
      <w:bookmarkStart w:id="857" w:name="_Toc14235"/>
      <w:bookmarkStart w:id="858" w:name="_Toc32674"/>
      <w:bookmarkStart w:id="859" w:name="_Toc19432"/>
      <w:bookmarkStart w:id="860" w:name="_Toc8631"/>
      <w:bookmarkStart w:id="861" w:name="_Toc21217"/>
      <w:bookmarkStart w:id="862" w:name="_Toc24413"/>
      <w:bookmarkStart w:id="863" w:name="_Toc7977"/>
      <w:bookmarkStart w:id="864" w:name="_Toc2579"/>
      <w:bookmarkStart w:id="865" w:name="_Toc27126"/>
      <w:bookmarkStart w:id="866" w:name="_Toc31638"/>
      <w:bookmarkStart w:id="867" w:name="_Toc24300"/>
      <w:bookmarkStart w:id="868" w:name="_Toc25735"/>
      <w:bookmarkStart w:id="869" w:name="_Toc1446"/>
      <w:bookmarkStart w:id="870" w:name="_Toc17543"/>
      <w:bookmarkStart w:id="871" w:name="_Toc13138"/>
      <w:bookmarkStart w:id="872" w:name="_Toc20325"/>
      <w:bookmarkStart w:id="873" w:name="_Toc25402"/>
      <w:bookmarkStart w:id="874" w:name="_Toc9006"/>
      <w:bookmarkStart w:id="875" w:name="_Toc11238"/>
      <w:bookmarkStart w:id="876" w:name="_Toc15345"/>
      <w:bookmarkStart w:id="877" w:name="_Toc21295"/>
      <w:bookmarkStart w:id="878" w:name="_Toc21690"/>
      <w:r>
        <w:rPr>
          <w:rFonts w:hint="eastAsia" w:ascii="微软雅黑" w:hAnsi="微软雅黑" w:eastAsia="微软雅黑" w:cs="微软雅黑"/>
          <w:b/>
          <w:bCs/>
          <w:sz w:val="24"/>
        </w:rPr>
        <w:t xml:space="preserve">1.2 </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微软雅黑" w:hAnsi="微软雅黑" w:eastAsia="微软雅黑" w:cs="微软雅黑"/>
          <w:b/>
          <w:bCs/>
          <w:sz w:val="24"/>
          <w:lang w:val="en-US" w:eastAsia="zh-CN"/>
        </w:rPr>
        <w:t>服务</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 xml:space="preserve">1.2.1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 xml:space="preserve">1.2.2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数量：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1.2.3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质量：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879" w:name="_Toc29540"/>
      <w:bookmarkStart w:id="880" w:name="_Toc21040"/>
      <w:bookmarkStart w:id="881" w:name="_Toc21631"/>
      <w:bookmarkStart w:id="882" w:name="_Toc27282"/>
      <w:bookmarkStart w:id="883" w:name="_Toc21551"/>
      <w:bookmarkStart w:id="884" w:name="_Toc12266"/>
      <w:bookmarkStart w:id="885" w:name="_Toc11045"/>
      <w:bookmarkStart w:id="886" w:name="_Toc6581"/>
      <w:bookmarkStart w:id="887" w:name="_Toc9271"/>
      <w:bookmarkStart w:id="888" w:name="_Toc30667"/>
      <w:bookmarkStart w:id="889" w:name="_Toc19893"/>
      <w:bookmarkStart w:id="890" w:name="_Toc30755"/>
      <w:bookmarkStart w:id="891" w:name="_Toc13898"/>
      <w:bookmarkStart w:id="892" w:name="_Toc9364"/>
      <w:bookmarkStart w:id="893" w:name="_Toc1267"/>
      <w:bookmarkStart w:id="894" w:name="_Toc2897"/>
      <w:bookmarkStart w:id="895" w:name="_Toc11463"/>
      <w:bookmarkStart w:id="896" w:name="_Toc10942"/>
      <w:bookmarkStart w:id="897" w:name="_Toc9579"/>
      <w:bookmarkStart w:id="898" w:name="_Toc19682"/>
      <w:bookmarkStart w:id="899" w:name="_Toc8386"/>
      <w:bookmarkStart w:id="900" w:name="_Toc30388"/>
      <w:bookmarkStart w:id="901" w:name="_Toc25368"/>
      <w:bookmarkStart w:id="902" w:name="_Toc23292"/>
      <w:bookmarkStart w:id="903" w:name="_Toc633"/>
      <w:bookmarkStart w:id="904" w:name="_Toc1528"/>
      <w:bookmarkStart w:id="905" w:name="_Toc31994"/>
      <w:r>
        <w:rPr>
          <w:rFonts w:hint="eastAsia" w:ascii="微软雅黑" w:hAnsi="微软雅黑" w:eastAsia="微软雅黑" w:cs="微软雅黑"/>
          <w:b/>
          <w:bCs/>
          <w:sz w:val="24"/>
        </w:rPr>
        <w:t>1.3 价款</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本合同总价为：￥</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元（大写：</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元人民币）。</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分项价格：</w:t>
      </w:r>
    </w:p>
    <w:tbl>
      <w:tblPr>
        <w:tblStyle w:val="3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jc w:val="center"/>
        </w:trPr>
        <w:tc>
          <w:tcPr>
            <w:tcW w:w="1319"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3738" w:type="dxa"/>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分项名称</w:t>
            </w:r>
          </w:p>
        </w:tc>
        <w:tc>
          <w:tcPr>
            <w:tcW w:w="2803"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总价</w:t>
            </w:r>
          </w:p>
        </w:tc>
        <w:tc>
          <w:tcPr>
            <w:tcW w:w="2803" w:type="dxa"/>
            <w:vAlign w:val="center"/>
          </w:tcPr>
          <w:p>
            <w:pPr>
              <w:pStyle w:val="52"/>
              <w:ind w:firstLine="200"/>
              <w:jc w:val="center"/>
              <w:rPr>
                <w:rFonts w:ascii="微软雅黑" w:hAnsi="微软雅黑" w:eastAsia="微软雅黑" w:cs="微软雅黑"/>
                <w:kern w:val="2"/>
                <w:sz w:val="24"/>
                <w:szCs w:val="24"/>
              </w:rPr>
            </w:pPr>
          </w:p>
        </w:tc>
      </w:tr>
    </w:tbl>
    <w:p>
      <w:pPr>
        <w:ind w:firstLine="480" w:firstLineChars="200"/>
        <w:outlineLvl w:val="0"/>
        <w:rPr>
          <w:rFonts w:ascii="微软雅黑" w:hAnsi="微软雅黑" w:eastAsia="微软雅黑" w:cs="微软雅黑"/>
          <w:b/>
          <w:bCs/>
          <w:sz w:val="24"/>
        </w:rPr>
      </w:pPr>
      <w:bookmarkStart w:id="906" w:name="_Toc27811"/>
      <w:bookmarkStart w:id="907" w:name="_Toc27817"/>
      <w:bookmarkStart w:id="908" w:name="_Toc26112"/>
      <w:bookmarkStart w:id="909" w:name="_Toc21349"/>
      <w:bookmarkStart w:id="910" w:name="_Toc22618"/>
      <w:bookmarkStart w:id="911" w:name="_Toc1814"/>
      <w:bookmarkStart w:id="912" w:name="_Toc8933"/>
      <w:bookmarkStart w:id="913" w:name="_Toc10340"/>
      <w:bookmarkStart w:id="914" w:name="_Toc28773"/>
      <w:bookmarkStart w:id="915" w:name="_Toc673"/>
      <w:bookmarkStart w:id="916" w:name="_Toc26470"/>
      <w:bookmarkStart w:id="917" w:name="_Toc7458"/>
      <w:bookmarkStart w:id="918" w:name="_Toc24781"/>
      <w:bookmarkStart w:id="919" w:name="_Toc21862"/>
      <w:bookmarkStart w:id="920" w:name="_Toc2285"/>
      <w:bookmarkStart w:id="921" w:name="_Toc21854"/>
      <w:bookmarkStart w:id="922" w:name="_Toc10086"/>
      <w:bookmarkStart w:id="923" w:name="_Toc30643"/>
      <w:bookmarkStart w:id="924" w:name="_Toc21104"/>
      <w:bookmarkStart w:id="925" w:name="_Toc4585"/>
      <w:bookmarkStart w:id="926" w:name="_Toc30507"/>
      <w:bookmarkStart w:id="927" w:name="_Toc44"/>
      <w:bookmarkStart w:id="928" w:name="_Toc7753"/>
      <w:bookmarkStart w:id="929" w:name="_Toc27654"/>
      <w:bookmarkStart w:id="930" w:name="_Toc5736"/>
      <w:bookmarkStart w:id="931" w:name="_Toc7801"/>
      <w:r>
        <w:rPr>
          <w:rFonts w:hint="eastAsia" w:ascii="微软雅黑" w:hAnsi="微软雅黑" w:eastAsia="微软雅黑" w:cs="微软雅黑"/>
          <w:b/>
          <w:bCs/>
          <w:sz w:val="24"/>
        </w:rPr>
        <w:t>1.4 付款方式和发票开具方式</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1.4.1 付款方式：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1.4.2 发票开具方式：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932" w:name="_Toc17448"/>
      <w:bookmarkStart w:id="933" w:name="_Toc4501"/>
      <w:bookmarkStart w:id="934" w:name="_Toc25278"/>
      <w:bookmarkStart w:id="935" w:name="_Toc30563"/>
      <w:bookmarkStart w:id="936" w:name="_Toc16823"/>
      <w:bookmarkStart w:id="937" w:name="_Toc32071"/>
      <w:bookmarkStart w:id="938" w:name="_Toc22861"/>
      <w:bookmarkStart w:id="939" w:name="_Toc4058"/>
      <w:bookmarkStart w:id="940" w:name="_Toc11682"/>
      <w:bookmarkStart w:id="941" w:name="_Toc25427"/>
      <w:bookmarkStart w:id="942" w:name="_Toc10276"/>
      <w:bookmarkStart w:id="943" w:name="_Toc2846"/>
      <w:bookmarkStart w:id="944" w:name="_Toc30447"/>
      <w:bookmarkStart w:id="945" w:name="_Toc28976"/>
      <w:bookmarkStart w:id="946" w:name="_Toc17179"/>
      <w:bookmarkStart w:id="947" w:name="_Toc4377"/>
      <w:bookmarkStart w:id="948" w:name="_Toc32641"/>
      <w:bookmarkStart w:id="949" w:name="_Toc29386"/>
      <w:bookmarkStart w:id="950" w:name="_Toc24072"/>
      <w:bookmarkStart w:id="951" w:name="_Toc19304"/>
      <w:bookmarkStart w:id="952" w:name="_Toc2852"/>
      <w:bookmarkStart w:id="953" w:name="_Toc30894"/>
      <w:bookmarkStart w:id="954" w:name="_Toc26187"/>
      <w:bookmarkStart w:id="955" w:name="_Toc23862"/>
      <w:bookmarkStart w:id="956" w:name="_Toc2750"/>
      <w:bookmarkStart w:id="957" w:name="_Toc2083"/>
      <w:r>
        <w:rPr>
          <w:rFonts w:hint="eastAsia" w:ascii="微软雅黑" w:hAnsi="微软雅黑" w:eastAsia="微软雅黑" w:cs="微软雅黑"/>
          <w:b/>
          <w:bCs/>
          <w:sz w:val="24"/>
        </w:rPr>
        <w:t xml:space="preserve">1.5 </w:t>
      </w:r>
      <w:r>
        <w:rPr>
          <w:rFonts w:hint="eastAsia" w:ascii="微软雅黑" w:hAnsi="微软雅黑" w:eastAsia="微软雅黑" w:cs="微软雅黑"/>
          <w:b/>
          <w:bCs/>
          <w:sz w:val="24"/>
          <w:lang w:val="en-US" w:eastAsia="zh-CN"/>
        </w:rPr>
        <w:t>服务</w:t>
      </w:r>
      <w:r>
        <w:rPr>
          <w:rFonts w:hint="eastAsia" w:ascii="微软雅黑" w:hAnsi="微软雅黑" w:eastAsia="微软雅黑" w:cs="微软雅黑"/>
          <w:b/>
          <w:bCs/>
          <w:sz w:val="24"/>
        </w:rPr>
        <w:t>交付期限、地点和方式</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1.5.1 交付期限：</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1.5.2 交付地点：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1.5.3 交付方式：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958" w:name="_Toc10320"/>
      <w:bookmarkStart w:id="959" w:name="_Toc12679"/>
      <w:bookmarkStart w:id="960" w:name="_Toc27250"/>
      <w:bookmarkStart w:id="961" w:name="_Toc13854"/>
      <w:bookmarkStart w:id="962" w:name="_Toc12629"/>
      <w:bookmarkStart w:id="963" w:name="_Toc6841"/>
      <w:bookmarkStart w:id="964" w:name="_Toc15865"/>
      <w:bookmarkStart w:id="965" w:name="_Toc1835"/>
      <w:bookmarkStart w:id="966" w:name="_Toc28455"/>
      <w:bookmarkStart w:id="967" w:name="_Toc21406"/>
      <w:bookmarkStart w:id="968" w:name="_Toc10321"/>
      <w:bookmarkStart w:id="969" w:name="_Toc25443"/>
      <w:bookmarkStart w:id="970" w:name="_Toc29769"/>
      <w:bookmarkStart w:id="971" w:name="_Toc19554"/>
      <w:bookmarkStart w:id="972" w:name="_Toc4190"/>
      <w:bookmarkStart w:id="973" w:name="_Toc12424"/>
      <w:bookmarkStart w:id="974" w:name="_Toc25649"/>
      <w:bookmarkStart w:id="975" w:name="_Toc11237"/>
      <w:bookmarkStart w:id="976" w:name="_Toc26850"/>
      <w:bookmarkStart w:id="977" w:name="_Toc27247"/>
      <w:bookmarkStart w:id="978" w:name="_Toc8754"/>
      <w:bookmarkStart w:id="979" w:name="_Toc8569"/>
      <w:bookmarkStart w:id="980" w:name="_Toc13569"/>
      <w:bookmarkStart w:id="981" w:name="_Toc12988"/>
      <w:bookmarkStart w:id="982" w:name="_Toc12753"/>
      <w:bookmarkStart w:id="983" w:name="_Toc21423"/>
      <w:bookmarkStart w:id="984" w:name="_Toc29941"/>
      <w:r>
        <w:rPr>
          <w:rFonts w:hint="eastAsia" w:ascii="微软雅黑" w:hAnsi="微软雅黑" w:eastAsia="微软雅黑" w:cs="微软雅黑"/>
          <w:b/>
          <w:bCs/>
          <w:sz w:val="24"/>
        </w:rPr>
        <w:t>1.6 违约责任</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%；迟延交付货物的违约金计算数额达到前述最高限额之日起，甲方有权在要求乙方支付违约金的同时，书面通知乙方解除本合同；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%；迟延付款的违约金计算数额达到前述最高限额之日起，乙方有权在要求甲方支付违约金的同时，书面通知甲方解除本合同；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1.6.6 如果出现政府采购监督管理部门在处理投诉事项期间，书面通知甲方暂停采购活动的情形，或者询问或质疑事项可能影响中标结果的，导致甲方中止履行合同的情形，均不视为甲方违约。</w:t>
      </w:r>
    </w:p>
    <w:p>
      <w:pPr>
        <w:ind w:firstLine="480" w:firstLineChars="200"/>
        <w:outlineLvl w:val="0"/>
        <w:rPr>
          <w:rFonts w:ascii="微软雅黑" w:hAnsi="微软雅黑" w:eastAsia="微软雅黑" w:cs="微软雅黑"/>
          <w:b/>
          <w:bCs/>
          <w:sz w:val="24"/>
        </w:rPr>
      </w:pPr>
      <w:bookmarkStart w:id="985" w:name="_Toc16341"/>
      <w:bookmarkStart w:id="986" w:name="_Toc25915"/>
      <w:bookmarkStart w:id="987" w:name="_Toc20497"/>
      <w:bookmarkStart w:id="988" w:name="_Toc12021"/>
      <w:bookmarkStart w:id="989" w:name="_Toc21643"/>
      <w:bookmarkStart w:id="990" w:name="_Toc15583"/>
      <w:bookmarkStart w:id="991" w:name="_Toc19011"/>
      <w:bookmarkStart w:id="992" w:name="_Toc13308"/>
      <w:bookmarkStart w:id="993" w:name="_Toc28375"/>
      <w:bookmarkStart w:id="994" w:name="_Toc27927"/>
      <w:bookmarkStart w:id="995" w:name="_Toc23654"/>
      <w:bookmarkStart w:id="996" w:name="_Toc20610"/>
      <w:bookmarkStart w:id="997" w:name="_Toc27762"/>
      <w:bookmarkStart w:id="998" w:name="_Toc7216"/>
      <w:bookmarkStart w:id="999" w:name="_Toc31145"/>
      <w:bookmarkStart w:id="1000" w:name="_Toc6344"/>
      <w:bookmarkStart w:id="1001" w:name="_Toc19374"/>
      <w:bookmarkStart w:id="1002" w:name="_Toc3403"/>
      <w:bookmarkStart w:id="1003" w:name="_Toc29338"/>
      <w:bookmarkStart w:id="1004" w:name="_Toc12178"/>
      <w:bookmarkStart w:id="1005" w:name="_Toc16021"/>
      <w:bookmarkStart w:id="1006" w:name="_Toc10217"/>
      <w:bookmarkStart w:id="1007" w:name="_Toc22341"/>
      <w:bookmarkStart w:id="1008" w:name="_Toc9202"/>
      <w:bookmarkStart w:id="1009" w:name="_Toc8914"/>
      <w:bookmarkStart w:id="1010" w:name="_Toc5482"/>
      <w:bookmarkStart w:id="1011" w:name="_Toc24393"/>
      <w:r>
        <w:rPr>
          <w:rFonts w:hint="eastAsia" w:ascii="微软雅黑" w:hAnsi="微软雅黑" w:eastAsia="微软雅黑" w:cs="微软雅黑"/>
          <w:b/>
          <w:bCs/>
          <w:sz w:val="24"/>
        </w:rPr>
        <w:t>1.7 合同争议的解决</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种方式解决：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1.7.1 将争议提交</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仲裁委员会依申请仲裁时其现行有效的仲裁规则裁决；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1.7.2 向</w:t>
      </w:r>
      <w:r>
        <w:rPr>
          <w:rFonts w:hint="eastAsia" w:ascii="微软雅黑" w:hAnsi="微软雅黑" w:eastAsia="微软雅黑" w:cs="微软雅黑"/>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rPr>
        <w:t>人民法院起诉。</w:t>
      </w:r>
    </w:p>
    <w:p>
      <w:pPr>
        <w:ind w:firstLine="480" w:firstLineChars="200"/>
        <w:outlineLvl w:val="0"/>
        <w:rPr>
          <w:rFonts w:ascii="微软雅黑" w:hAnsi="微软雅黑" w:eastAsia="微软雅黑" w:cs="微软雅黑"/>
          <w:b/>
          <w:bCs/>
          <w:sz w:val="24"/>
        </w:rPr>
      </w:pPr>
      <w:bookmarkStart w:id="1012" w:name="_Toc15322"/>
      <w:bookmarkStart w:id="1013" w:name="_Toc10043"/>
      <w:bookmarkStart w:id="1014" w:name="_Toc4516"/>
      <w:bookmarkStart w:id="1015" w:name="_Toc10255"/>
      <w:bookmarkStart w:id="1016" w:name="_Toc16410"/>
      <w:bookmarkStart w:id="1017" w:name="_Toc5752"/>
      <w:bookmarkStart w:id="1018" w:name="_Toc20305"/>
      <w:bookmarkStart w:id="1019" w:name="_Toc2901"/>
      <w:bookmarkStart w:id="1020" w:name="_Toc14796"/>
      <w:bookmarkStart w:id="1021" w:name="_Toc2894"/>
      <w:bookmarkStart w:id="1022" w:name="_Toc8975"/>
      <w:bookmarkStart w:id="1023" w:name="_Toc7245"/>
      <w:bookmarkStart w:id="1024" w:name="_Toc10429"/>
      <w:bookmarkStart w:id="1025" w:name="_Toc26231"/>
      <w:bookmarkStart w:id="1026" w:name="_Toc11173"/>
      <w:bookmarkStart w:id="1027" w:name="_Toc30260"/>
      <w:bookmarkStart w:id="1028" w:name="_Toc17113"/>
      <w:bookmarkStart w:id="1029" w:name="_Toc29292"/>
      <w:bookmarkStart w:id="1030" w:name="_Toc9329"/>
      <w:bookmarkStart w:id="1031" w:name="_Toc20192"/>
      <w:bookmarkStart w:id="1032" w:name="_Toc518"/>
      <w:bookmarkStart w:id="1033" w:name="_Toc1647"/>
      <w:bookmarkStart w:id="1034" w:name="_Toc32578"/>
      <w:bookmarkStart w:id="1035" w:name="_Toc5077"/>
      <w:bookmarkStart w:id="1036" w:name="_Toc12946"/>
      <w:bookmarkStart w:id="1037" w:name="_Toc31023"/>
      <w:bookmarkStart w:id="1038" w:name="_Toc6411"/>
      <w:r>
        <w:rPr>
          <w:rFonts w:hint="eastAsia" w:ascii="微软雅黑" w:hAnsi="微软雅黑" w:eastAsia="微软雅黑" w:cs="微软雅黑"/>
          <w:b/>
          <w:bCs/>
          <w:sz w:val="24"/>
        </w:rPr>
        <w:t>1.8 合同生效</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本合同自双方当事人盖章或者签字时生效。</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b/>
          <w:bCs/>
          <w:sz w:val="24"/>
          <w:lang w:val="zh-CN"/>
        </w:rPr>
        <w:t>甲方</w:t>
      </w:r>
      <w:r>
        <w:rPr>
          <w:rFonts w:hint="eastAsia" w:ascii="微软雅黑" w:hAnsi="微软雅黑" w:eastAsia="微软雅黑" w:cs="微软雅黑"/>
          <w:sz w:val="24"/>
          <w:lang w:val="zh-CN"/>
        </w:rPr>
        <w:t xml:space="preserve">：                             </w:t>
      </w:r>
      <w:r>
        <w:rPr>
          <w:rFonts w:hint="eastAsia" w:ascii="微软雅黑" w:hAnsi="微软雅黑" w:eastAsia="微软雅黑" w:cs="微软雅黑"/>
          <w:b/>
          <w:bCs/>
          <w:sz w:val="24"/>
          <w:lang w:val="zh-CN"/>
        </w:rPr>
        <w:t xml:space="preserve">      乙方</w:t>
      </w:r>
      <w:r>
        <w:rPr>
          <w:rFonts w:hint="eastAsia" w:ascii="微软雅黑" w:hAnsi="微软雅黑" w:eastAsia="微软雅黑" w:cs="微软雅黑"/>
          <w:sz w:val="24"/>
          <w:lang w:val="zh-CN"/>
        </w:rPr>
        <w:t>：</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统一社会信用代码：                        统一社会信用代码或身份证号码：</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住所：                                   住所：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法定代表人或                             法定代表人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授权代表（签字）：                       或授权代表（签字）: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联系人：                                 联系人：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约定送达地址：                           约定送达地址：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邮政编码：                               邮政编码：</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电话:                                    电话: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传真:                                    传真:</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lang w:val="zh-CN"/>
        </w:rPr>
        <w:t>电子邮箱：                               电子邮箱：</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开户银行：                               开户银行：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开户名称：                               开户名称：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开户账号：</w:t>
      </w:r>
      <w:r>
        <w:rPr>
          <w:rFonts w:hint="eastAsia" w:ascii="微软雅黑" w:hAnsi="微软雅黑" w:eastAsia="微软雅黑" w:cs="微软雅黑"/>
          <w:sz w:val="24"/>
          <w:lang w:val="zh-CN"/>
        </w:rPr>
        <w:t xml:space="preserve">                               </w:t>
      </w:r>
      <w:r>
        <w:rPr>
          <w:rFonts w:hint="eastAsia" w:ascii="微软雅黑" w:hAnsi="微软雅黑" w:eastAsia="微软雅黑" w:cs="微软雅黑"/>
          <w:sz w:val="24"/>
        </w:rPr>
        <w:t>开户账号：</w:t>
      </w:r>
    </w:p>
    <w:p>
      <w:pPr>
        <w:widowControl/>
        <w:jc w:val="left"/>
        <w:rPr>
          <w:rFonts w:ascii="微软雅黑" w:hAnsi="微软雅黑" w:eastAsia="微软雅黑" w:cs="微软雅黑"/>
          <w:b/>
          <w:bCs/>
          <w:sz w:val="24"/>
        </w:rPr>
      </w:pPr>
      <w:bookmarkStart w:id="1039" w:name="_Toc331685783"/>
    </w:p>
    <w:p>
      <w:pPr>
        <w:widowControl/>
        <w:jc w:val="left"/>
        <w:rPr>
          <w:rFonts w:ascii="微软雅黑" w:hAnsi="微软雅黑" w:eastAsia="微软雅黑" w:cs="微软雅黑"/>
          <w:b/>
          <w:bCs/>
          <w:sz w:val="24"/>
        </w:rPr>
      </w:pPr>
    </w:p>
    <w:p>
      <w:pPr>
        <w:pStyle w:val="54"/>
        <w:ind w:firstLine="200"/>
        <w:jc w:val="center"/>
        <w:rPr>
          <w:rFonts w:ascii="微软雅黑" w:hAnsi="微软雅黑" w:eastAsia="微软雅黑" w:cs="微软雅黑"/>
          <w:b/>
          <w:bCs/>
          <w:szCs w:val="24"/>
        </w:rPr>
      </w:pPr>
      <w:r>
        <w:rPr>
          <w:rFonts w:hint="eastAsia" w:ascii="微软雅黑" w:hAnsi="微软雅黑" w:eastAsia="微软雅黑" w:cs="微软雅黑"/>
          <w:b/>
          <w:bCs/>
          <w:szCs w:val="24"/>
        </w:rPr>
        <w:t>第二部分 合同一般条款</w:t>
      </w:r>
      <w:bookmarkEnd w:id="1039"/>
    </w:p>
    <w:p>
      <w:pPr>
        <w:ind w:firstLine="480" w:firstLineChars="200"/>
        <w:outlineLvl w:val="0"/>
        <w:rPr>
          <w:rFonts w:ascii="微软雅黑" w:hAnsi="微软雅黑" w:eastAsia="微软雅黑" w:cs="微软雅黑"/>
          <w:b/>
          <w:bCs/>
          <w:sz w:val="24"/>
        </w:rPr>
      </w:pPr>
      <w:bookmarkStart w:id="1040" w:name="_Ref467378463"/>
      <w:bookmarkStart w:id="1041" w:name="_Toc28547"/>
      <w:bookmarkStart w:id="1042" w:name="_Toc487900349"/>
      <w:bookmarkStart w:id="1043" w:name="_Toc26936"/>
      <w:bookmarkStart w:id="1044" w:name="_Toc31417"/>
      <w:bookmarkStart w:id="1045" w:name="_Ref467379205"/>
      <w:bookmarkStart w:id="1046" w:name="_Toc10245"/>
      <w:bookmarkStart w:id="1047" w:name="_Ref467379094"/>
      <w:bookmarkStart w:id="1048" w:name="_Toc279701240"/>
      <w:bookmarkStart w:id="1049" w:name="_Toc19614"/>
      <w:bookmarkStart w:id="1050" w:name="_Toc20318"/>
      <w:bookmarkStart w:id="1051" w:name="_Toc14827"/>
      <w:bookmarkStart w:id="1052" w:name="_Toc25554"/>
      <w:bookmarkStart w:id="1053" w:name="_Ref467378499"/>
      <w:bookmarkStart w:id="1054" w:name="_Toc25035"/>
      <w:bookmarkStart w:id="1055" w:name="_Ref467379214"/>
      <w:bookmarkStart w:id="1056" w:name="_Toc28865"/>
      <w:bookmarkStart w:id="1057" w:name="_Toc17718"/>
      <w:bookmarkStart w:id="1058" w:name="_Toc3091"/>
      <w:bookmarkStart w:id="1059" w:name="_Toc510"/>
      <w:bookmarkStart w:id="1060" w:name="_Toc2854"/>
      <w:bookmarkStart w:id="1061" w:name="_Ref467379101"/>
      <w:bookmarkStart w:id="1062" w:name="_Toc21840"/>
      <w:bookmarkStart w:id="1063" w:name="_Toc26015"/>
      <w:bookmarkStart w:id="1064" w:name="_Toc26415"/>
      <w:bookmarkStart w:id="1065" w:name="_Toc18089"/>
      <w:bookmarkStart w:id="1066" w:name="_Toc28763"/>
      <w:bookmarkStart w:id="1067" w:name="_Ref467378404"/>
      <w:bookmarkStart w:id="1068" w:name="_Toc20709"/>
      <w:bookmarkStart w:id="1069" w:name="_Toc2034"/>
      <w:bookmarkStart w:id="1070" w:name="_Toc259093669"/>
      <w:bookmarkStart w:id="1071" w:name="_Toc32624"/>
      <w:bookmarkStart w:id="1072" w:name="_Toc29659"/>
      <w:bookmarkStart w:id="1073" w:name="_Toc5579"/>
      <w:bookmarkStart w:id="1074" w:name="_Ref467379195"/>
      <w:bookmarkStart w:id="1075" w:name="_Toc6182"/>
      <w:bookmarkStart w:id="1076" w:name="_Ref467379225"/>
      <w:bookmarkStart w:id="1077" w:name="_Ref467379109"/>
      <w:bookmarkStart w:id="1078" w:name="_Toc16917"/>
      <w:r>
        <w:rPr>
          <w:rFonts w:hint="eastAsia" w:ascii="微软雅黑" w:hAnsi="微软雅黑" w:eastAsia="微软雅黑" w:cs="微软雅黑"/>
          <w:b/>
          <w:bCs/>
          <w:sz w:val="24"/>
        </w:rPr>
        <w:t>2.1 定义</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本合同中的下列词语应按以下内容进行解释：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 “合同”系指采购人和中标供应商签订的载明双方当事人所达成的协议，并包括所有的附件、附录和构成合同的其他文件。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2.1.2 “合同价”系指根据合同约定，中标供应商在完全履行合同义务后，采购人应支付给中标供应商的价格。</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 “货物”系指中标供应商根据合同约定应向采购人交付的一切各种形态和种类的物品，包括原材料、燃料、设备、机械、仪表、备件、计算机软件、产品等，并包括工具、手册等其他相关资料。</w:t>
      </w:r>
    </w:p>
    <w:p>
      <w:pPr>
        <w:ind w:firstLine="480" w:firstLineChars="200"/>
        <w:rPr>
          <w:rFonts w:ascii="微软雅黑" w:hAnsi="微软雅黑" w:eastAsia="微软雅黑" w:cs="微软雅黑"/>
          <w:sz w:val="24"/>
        </w:rPr>
      </w:pPr>
      <w:bookmarkStart w:id="1079" w:name="_Ref467378840"/>
      <w:r>
        <w:rPr>
          <w:rFonts w:hint="eastAsia" w:ascii="微软雅黑" w:hAnsi="微软雅黑" w:eastAsia="微软雅黑" w:cs="微软雅黑"/>
          <w:sz w:val="24"/>
        </w:rPr>
        <w:t>2.1.4 “甲方”系指与中标供应商签署合同的采购人</w:t>
      </w:r>
      <w:bookmarkEnd w:id="1079"/>
      <w:r>
        <w:rPr>
          <w:rFonts w:hint="eastAsia" w:ascii="微软雅黑" w:hAnsi="微软雅黑" w:eastAsia="微软雅黑" w:cs="微软雅黑"/>
          <w:sz w:val="24"/>
        </w:rPr>
        <w:t>；采购人委托采购代理机构代表其与乙方签订合同的，采购人的授权委托书作为合同附件。</w:t>
      </w:r>
    </w:p>
    <w:p>
      <w:pPr>
        <w:ind w:firstLine="480" w:firstLineChars="200"/>
        <w:rPr>
          <w:rFonts w:ascii="微软雅黑" w:hAnsi="微软雅黑" w:eastAsia="微软雅黑" w:cs="微软雅黑"/>
          <w:sz w:val="24"/>
        </w:rPr>
      </w:pPr>
      <w:bookmarkStart w:id="1080" w:name="_Ref467379400"/>
      <w:r>
        <w:rPr>
          <w:rFonts w:hint="eastAsia" w:ascii="微软雅黑" w:hAnsi="微软雅黑" w:eastAsia="微软雅黑" w:cs="微软雅黑"/>
          <w:sz w:val="24"/>
        </w:rPr>
        <w:t>2.1.5 “乙方”系指根据合同约定交付货物的中标供应商</w:t>
      </w:r>
      <w:bookmarkEnd w:id="1080"/>
      <w:r>
        <w:rPr>
          <w:rFonts w:hint="eastAsia" w:ascii="微软雅黑" w:hAnsi="微软雅黑" w:eastAsia="微软雅黑" w:cs="微软雅黑"/>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ascii="微软雅黑" w:hAnsi="微软雅黑" w:eastAsia="微软雅黑" w:cs="微软雅黑"/>
          <w:sz w:val="24"/>
        </w:rPr>
      </w:pPr>
      <w:bookmarkStart w:id="1081" w:name="_Ref467379436"/>
      <w:r>
        <w:rPr>
          <w:rFonts w:hint="eastAsia" w:ascii="微软雅黑" w:hAnsi="微软雅黑" w:eastAsia="微软雅黑" w:cs="微软雅黑"/>
          <w:sz w:val="24"/>
        </w:rPr>
        <w:t>2.1.6 “现场”系指合同约定货物将要运至或者安装的地点。</w:t>
      </w:r>
      <w:bookmarkEnd w:id="1081"/>
    </w:p>
    <w:p>
      <w:pPr>
        <w:ind w:firstLine="480" w:firstLineChars="200"/>
        <w:outlineLvl w:val="0"/>
        <w:rPr>
          <w:rFonts w:ascii="微软雅黑" w:hAnsi="微软雅黑" w:eastAsia="微软雅黑" w:cs="微软雅黑"/>
          <w:b/>
          <w:bCs/>
          <w:sz w:val="24"/>
        </w:rPr>
      </w:pPr>
      <w:bookmarkStart w:id="1082" w:name="_Toc259093670"/>
      <w:bookmarkStart w:id="1083" w:name="_Toc3193"/>
      <w:bookmarkStart w:id="1084" w:name="_Toc32504"/>
      <w:bookmarkStart w:id="1085" w:name="_Toc25266"/>
      <w:bookmarkStart w:id="1086" w:name="_Toc5592"/>
      <w:bookmarkStart w:id="1087" w:name="_Toc6279"/>
      <w:bookmarkStart w:id="1088" w:name="_Toc1447"/>
      <w:bookmarkStart w:id="1089" w:name="_Toc24322"/>
      <w:bookmarkStart w:id="1090" w:name="_Toc1183"/>
      <w:bookmarkStart w:id="1091" w:name="_Toc27635"/>
      <w:bookmarkStart w:id="1092" w:name="_Toc11142"/>
      <w:bookmarkStart w:id="1093" w:name="_Toc23702"/>
      <w:bookmarkStart w:id="1094" w:name="_Toc22122"/>
      <w:bookmarkStart w:id="1095" w:name="_Toc20314"/>
      <w:bookmarkStart w:id="1096" w:name="_Toc279701241"/>
      <w:bookmarkStart w:id="1097" w:name="_Toc7048"/>
      <w:bookmarkStart w:id="1098" w:name="_Toc1221"/>
      <w:bookmarkStart w:id="1099" w:name="_Toc7416"/>
      <w:bookmarkStart w:id="1100" w:name="_Toc13336"/>
      <w:bookmarkStart w:id="1101" w:name="_Toc17151"/>
      <w:bookmarkStart w:id="1102" w:name="_Toc3949"/>
      <w:bookmarkStart w:id="1103" w:name="_Toc487900350"/>
      <w:bookmarkStart w:id="1104" w:name="_Toc19892"/>
      <w:bookmarkStart w:id="1105" w:name="_Toc23689"/>
      <w:bookmarkStart w:id="1106" w:name="_Toc22769"/>
      <w:bookmarkStart w:id="1107" w:name="_Toc24792"/>
      <w:bookmarkStart w:id="1108" w:name="_Toc24523"/>
      <w:bookmarkStart w:id="1109" w:name="_Toc25269"/>
      <w:r>
        <w:rPr>
          <w:rFonts w:hint="eastAsia" w:ascii="微软雅黑" w:hAnsi="微软雅黑" w:eastAsia="微软雅黑" w:cs="微软雅黑"/>
          <w:b/>
          <w:bCs/>
          <w:sz w:val="24"/>
        </w:rPr>
        <w:t>2.2 技术规范</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0"/>
        <w:rPr>
          <w:rFonts w:ascii="微软雅黑" w:hAnsi="微软雅黑" w:eastAsia="微软雅黑" w:cs="微软雅黑"/>
          <w:b/>
          <w:bCs/>
          <w:sz w:val="24"/>
        </w:rPr>
      </w:pPr>
      <w:bookmarkStart w:id="1110" w:name="_Toc487900351"/>
      <w:bookmarkStart w:id="1111" w:name="_Toc24537"/>
      <w:bookmarkStart w:id="1112" w:name="_Toc6835"/>
      <w:bookmarkStart w:id="1113" w:name="_Toc9829"/>
      <w:bookmarkStart w:id="1114" w:name="_Toc14835"/>
      <w:bookmarkStart w:id="1115" w:name="_Toc27853"/>
      <w:bookmarkStart w:id="1116" w:name="_Toc3854"/>
      <w:bookmarkStart w:id="1117" w:name="_Toc10461"/>
      <w:bookmarkStart w:id="1118" w:name="_Toc975"/>
      <w:bookmarkStart w:id="1119" w:name="_Toc23649"/>
      <w:bookmarkStart w:id="1120" w:name="_Toc14632"/>
      <w:bookmarkStart w:id="1121" w:name="_Toc28662"/>
      <w:bookmarkStart w:id="1122" w:name="_Toc32048"/>
      <w:bookmarkStart w:id="1123" w:name="_Toc7722"/>
      <w:bookmarkStart w:id="1124" w:name="_Toc6121"/>
      <w:bookmarkStart w:id="1125" w:name="_Toc17383"/>
      <w:bookmarkStart w:id="1126" w:name="_Toc1649"/>
      <w:bookmarkStart w:id="1127" w:name="_Toc4916"/>
      <w:bookmarkStart w:id="1128" w:name="_Toc31634"/>
      <w:bookmarkStart w:id="1129" w:name="_Toc15733"/>
      <w:bookmarkStart w:id="1130" w:name="_Toc4029"/>
      <w:bookmarkStart w:id="1131" w:name="_Toc279701242"/>
      <w:bookmarkStart w:id="1132" w:name="_Toc30700"/>
      <w:bookmarkStart w:id="1133" w:name="_Toc20130"/>
      <w:bookmarkStart w:id="1134" w:name="_Toc30552"/>
      <w:bookmarkStart w:id="1135" w:name="_Toc18473"/>
      <w:bookmarkStart w:id="1136" w:name="_Toc28946"/>
      <w:bookmarkStart w:id="1137" w:name="_Toc22279"/>
      <w:bookmarkStart w:id="1138" w:name="_Toc259093671"/>
      <w:bookmarkStart w:id="1139" w:name="_Toc23791"/>
      <w:r>
        <w:rPr>
          <w:rFonts w:hint="eastAsia" w:ascii="微软雅黑" w:hAnsi="微软雅黑" w:eastAsia="微软雅黑" w:cs="微软雅黑"/>
          <w:b/>
          <w:bCs/>
          <w:sz w:val="24"/>
        </w:rPr>
        <w:t>2.3 知识产权</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2.3.2具有知识产权的计算机软件等货物的知识产权归属，详见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140" w:name="_Toc26731"/>
      <w:bookmarkStart w:id="1141" w:name="_Toc12904"/>
      <w:bookmarkStart w:id="1142" w:name="_Toc18554"/>
      <w:bookmarkStart w:id="1143" w:name="_Toc3486"/>
      <w:bookmarkStart w:id="1144" w:name="_Toc23105"/>
      <w:bookmarkStart w:id="1145" w:name="_Toc6781"/>
      <w:bookmarkStart w:id="1146" w:name="_Toc11932"/>
      <w:bookmarkStart w:id="1147" w:name="_Toc24384"/>
      <w:bookmarkStart w:id="1148" w:name="_Toc19638"/>
      <w:bookmarkStart w:id="1149" w:name="_Toc28379"/>
      <w:bookmarkStart w:id="1150" w:name="_Toc17080"/>
      <w:bookmarkStart w:id="1151" w:name="_Toc10546"/>
      <w:bookmarkStart w:id="1152" w:name="_Toc29149"/>
      <w:bookmarkStart w:id="1153" w:name="_Toc10970"/>
      <w:bookmarkStart w:id="1154" w:name="_Toc1877"/>
      <w:bookmarkStart w:id="1155" w:name="_Toc8795"/>
      <w:bookmarkStart w:id="1156" w:name="_Toc21468"/>
      <w:bookmarkStart w:id="1157" w:name="_Toc25767"/>
      <w:bookmarkStart w:id="1158" w:name="_Toc4194"/>
      <w:bookmarkStart w:id="1159" w:name="_Toc12219"/>
      <w:bookmarkStart w:id="1160" w:name="_Toc28170"/>
      <w:bookmarkStart w:id="1161" w:name="_Toc5395"/>
      <w:bookmarkStart w:id="1162" w:name="_Toc28714"/>
      <w:bookmarkStart w:id="1163" w:name="_Toc455"/>
      <w:r>
        <w:rPr>
          <w:rFonts w:hint="eastAsia" w:ascii="微软雅黑" w:hAnsi="微软雅黑" w:eastAsia="微软雅黑" w:cs="微软雅黑"/>
          <w:b/>
          <w:bCs/>
          <w:sz w:val="24"/>
        </w:rPr>
        <w:t>2.4 包装和装运</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2.4.1除</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2.4.2 装运货物的要求和通知，详见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164" w:name="_Toc487900354"/>
      <w:bookmarkStart w:id="1165" w:name="_Ref467379527"/>
      <w:bookmarkStart w:id="1166" w:name="_Ref467378541"/>
      <w:bookmarkStart w:id="1167" w:name="_Ref467378591"/>
      <w:bookmarkStart w:id="1168" w:name="_Toc259093674"/>
      <w:bookmarkStart w:id="1169" w:name="_Ref467379542"/>
      <w:bookmarkStart w:id="1170" w:name="_Ref467379536"/>
      <w:bookmarkStart w:id="1171" w:name="_Toc279701245"/>
      <w:bookmarkStart w:id="1172" w:name="_Toc21198"/>
      <w:bookmarkStart w:id="1173" w:name="_Toc1580"/>
      <w:bookmarkStart w:id="1174" w:name="_Toc18307"/>
      <w:bookmarkStart w:id="1175" w:name="_Toc22056"/>
      <w:bookmarkStart w:id="1176" w:name="_Toc5927"/>
      <w:bookmarkStart w:id="1177" w:name="_Toc10209"/>
      <w:bookmarkStart w:id="1178" w:name="_Toc4831"/>
      <w:bookmarkStart w:id="1179" w:name="_Toc9681"/>
      <w:bookmarkStart w:id="1180" w:name="_Toc31437"/>
      <w:bookmarkStart w:id="1181" w:name="_Toc24935"/>
      <w:bookmarkStart w:id="1182" w:name="_Toc30272"/>
      <w:bookmarkStart w:id="1183" w:name="_Toc15512"/>
      <w:bookmarkStart w:id="1184" w:name="_Toc12428"/>
      <w:bookmarkStart w:id="1185" w:name="_Toc26182"/>
      <w:bookmarkStart w:id="1186" w:name="_Toc30291"/>
      <w:bookmarkStart w:id="1187" w:name="_Toc28324"/>
      <w:bookmarkStart w:id="1188" w:name="_Toc14100"/>
      <w:bookmarkStart w:id="1189" w:name="_Toc28937"/>
      <w:bookmarkStart w:id="1190" w:name="_Toc19074"/>
      <w:bookmarkStart w:id="1191" w:name="_Toc7299"/>
      <w:bookmarkStart w:id="1192" w:name="_Toc530"/>
      <w:bookmarkStart w:id="1193" w:name="_Toc24299"/>
      <w:bookmarkStart w:id="1194" w:name="_Toc18515"/>
      <w:bookmarkStart w:id="1195" w:name="_Toc2815"/>
      <w:bookmarkStart w:id="1196" w:name="_Toc21410"/>
      <w:bookmarkStart w:id="1197" w:name="_Toc7379"/>
      <w:bookmarkStart w:id="1198" w:name="_Toc30516"/>
      <w:r>
        <w:rPr>
          <w:rFonts w:hint="eastAsia" w:ascii="微软雅黑" w:hAnsi="微软雅黑" w:eastAsia="微软雅黑" w:cs="微软雅黑"/>
          <w:b/>
          <w:bCs/>
          <w:sz w:val="24"/>
        </w:rPr>
        <w:t>2.</w:t>
      </w:r>
      <w:bookmarkEnd w:id="1164"/>
      <w:bookmarkEnd w:id="1165"/>
      <w:bookmarkEnd w:id="1166"/>
      <w:bookmarkEnd w:id="1167"/>
      <w:bookmarkEnd w:id="1168"/>
      <w:bookmarkEnd w:id="1169"/>
      <w:bookmarkEnd w:id="1170"/>
      <w:bookmarkEnd w:id="1171"/>
      <w:r>
        <w:rPr>
          <w:rFonts w:hint="eastAsia" w:ascii="微软雅黑" w:hAnsi="微软雅黑" w:eastAsia="微软雅黑" w:cs="微软雅黑"/>
          <w:b/>
          <w:bCs/>
          <w:sz w:val="24"/>
        </w:rPr>
        <w:t>5 履约检查和问题反馈</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ind w:firstLine="480" w:firstLineChars="200"/>
        <w:rPr>
          <w:rFonts w:ascii="微软雅黑" w:hAnsi="微软雅黑" w:eastAsia="微软雅黑" w:cs="微软雅黑"/>
          <w:sz w:val="24"/>
        </w:rPr>
      </w:pPr>
      <w:bookmarkStart w:id="1199" w:name="_Ref467379657"/>
      <w:r>
        <w:rPr>
          <w:rFonts w:hint="eastAsia" w:ascii="微软雅黑" w:hAnsi="微软雅黑" w:eastAsia="微软雅黑" w:cs="微软雅黑"/>
          <w:sz w:val="24"/>
        </w:rPr>
        <w:t>2.5.1</w:t>
      </w:r>
      <w:bookmarkEnd w:id="1199"/>
      <w:bookmarkStart w:id="1200" w:name="_Toc186431854"/>
      <w:bookmarkStart w:id="1201" w:name="_Toc259093676"/>
      <w:bookmarkStart w:id="1202" w:name="_Ref467379793"/>
      <w:bookmarkStart w:id="1203" w:name="_Toc487900357"/>
      <w:bookmarkStart w:id="1204" w:name="_Ref467379807"/>
      <w:bookmarkStart w:id="1205" w:name="_Toc279701247"/>
      <w:r>
        <w:rPr>
          <w:rFonts w:hint="eastAsia" w:ascii="微软雅黑" w:hAnsi="微软雅黑" w:eastAsia="微软雅黑" w:cs="微软雅黑"/>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2.5.2 合同履行期间，甲方有权将履行过程中出现的问题反馈给乙方，双方当事人应以书面形式约定需要完善和改进的内容</w:t>
      </w:r>
      <w:bookmarkEnd w:id="1200"/>
      <w:bookmarkStart w:id="1206" w:name="_Toc186431855"/>
      <w:r>
        <w:rPr>
          <w:rFonts w:hint="eastAsia" w:ascii="微软雅黑" w:hAnsi="微软雅黑" w:eastAsia="微软雅黑" w:cs="微软雅黑"/>
          <w:sz w:val="24"/>
        </w:rPr>
        <w:t>。</w:t>
      </w:r>
    </w:p>
    <w:bookmarkEnd w:id="1206"/>
    <w:p>
      <w:pPr>
        <w:ind w:firstLine="480" w:firstLineChars="200"/>
        <w:outlineLvl w:val="0"/>
        <w:rPr>
          <w:rFonts w:ascii="微软雅黑" w:hAnsi="微软雅黑" w:eastAsia="微软雅黑" w:cs="微软雅黑"/>
          <w:b/>
          <w:bCs/>
          <w:sz w:val="24"/>
        </w:rPr>
      </w:pPr>
      <w:bookmarkStart w:id="1207" w:name="_Toc8058"/>
      <w:bookmarkStart w:id="1208" w:name="_Toc11522"/>
      <w:bookmarkStart w:id="1209" w:name="_Toc25751"/>
      <w:bookmarkStart w:id="1210" w:name="_Toc22499"/>
      <w:bookmarkStart w:id="1211" w:name="_Toc5363"/>
      <w:bookmarkStart w:id="1212" w:name="_Toc17283"/>
      <w:bookmarkStart w:id="1213" w:name="_Toc28451"/>
      <w:bookmarkStart w:id="1214" w:name="_Toc5304"/>
      <w:bookmarkStart w:id="1215" w:name="_Toc12377"/>
      <w:bookmarkStart w:id="1216" w:name="_Toc15854"/>
      <w:bookmarkStart w:id="1217" w:name="_Toc9092"/>
      <w:bookmarkStart w:id="1218" w:name="_Toc2067"/>
      <w:bookmarkStart w:id="1219" w:name="_Toc19219"/>
      <w:bookmarkStart w:id="1220" w:name="_Toc24559"/>
      <w:bookmarkStart w:id="1221" w:name="_Toc7836"/>
      <w:bookmarkStart w:id="1222" w:name="_Toc26245"/>
      <w:bookmarkStart w:id="1223" w:name="_Toc582"/>
      <w:bookmarkStart w:id="1224" w:name="_Toc10470"/>
      <w:bookmarkStart w:id="1225" w:name="_Toc26232"/>
      <w:bookmarkStart w:id="1226" w:name="_Toc12360"/>
      <w:bookmarkStart w:id="1227" w:name="_Toc23261"/>
      <w:bookmarkStart w:id="1228" w:name="_Toc30354"/>
      <w:bookmarkStart w:id="1229" w:name="_Toc31520"/>
      <w:bookmarkStart w:id="1230" w:name="_Toc26298"/>
      <w:bookmarkStart w:id="1231" w:name="_Toc10980"/>
      <w:bookmarkStart w:id="1232" w:name="_Toc234"/>
      <w:bookmarkStart w:id="1233" w:name="_Toc3518"/>
      <w:r>
        <w:rPr>
          <w:rFonts w:hint="eastAsia" w:ascii="微软雅黑" w:hAnsi="微软雅黑" w:eastAsia="微软雅黑" w:cs="微软雅黑"/>
          <w:b/>
          <w:bCs/>
          <w:sz w:val="24"/>
        </w:rPr>
        <w:t>2.6 结算方式和付款条件</w:t>
      </w:r>
      <w:bookmarkEnd w:id="1201"/>
      <w:bookmarkEnd w:id="1202"/>
      <w:bookmarkEnd w:id="1203"/>
      <w:bookmarkEnd w:id="1204"/>
      <w:bookmarkEnd w:id="1205"/>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234" w:name="_Toc487900358"/>
      <w:bookmarkStart w:id="1235" w:name="_Ref467379852"/>
      <w:bookmarkStart w:id="1236" w:name="_Ref467379863"/>
      <w:bookmarkStart w:id="1237" w:name="_Toc279701248"/>
      <w:bookmarkStart w:id="1238" w:name="_Ref467379923"/>
      <w:bookmarkStart w:id="1239" w:name="_Toc259093677"/>
      <w:bookmarkStart w:id="1240" w:name="_Toc28781"/>
      <w:bookmarkStart w:id="1241" w:name="_Toc10114"/>
      <w:bookmarkStart w:id="1242" w:name="_Toc6635"/>
      <w:bookmarkStart w:id="1243" w:name="_Toc29616"/>
      <w:bookmarkStart w:id="1244" w:name="_Toc1200"/>
      <w:bookmarkStart w:id="1245" w:name="_Toc8272"/>
      <w:bookmarkStart w:id="1246" w:name="_Toc3828"/>
      <w:bookmarkStart w:id="1247" w:name="_Toc31971"/>
      <w:bookmarkStart w:id="1248" w:name="_Toc774"/>
      <w:bookmarkStart w:id="1249" w:name="_Toc13900"/>
      <w:bookmarkStart w:id="1250" w:name="_Toc11615"/>
      <w:bookmarkStart w:id="1251" w:name="_Toc14491"/>
      <w:bookmarkStart w:id="1252" w:name="_Toc7000"/>
      <w:bookmarkStart w:id="1253" w:name="_Toc9845"/>
      <w:bookmarkStart w:id="1254" w:name="_Toc25277"/>
      <w:bookmarkStart w:id="1255" w:name="_Toc31305"/>
      <w:bookmarkStart w:id="1256" w:name="_Toc24083"/>
      <w:bookmarkStart w:id="1257" w:name="_Toc29030"/>
      <w:bookmarkStart w:id="1258" w:name="_Toc17607"/>
      <w:bookmarkStart w:id="1259" w:name="_Toc16110"/>
      <w:bookmarkStart w:id="1260" w:name="_Toc3225"/>
      <w:bookmarkStart w:id="1261" w:name="_Toc13023"/>
      <w:bookmarkStart w:id="1262" w:name="_Toc14432"/>
      <w:bookmarkStart w:id="1263" w:name="_Toc17051"/>
      <w:bookmarkStart w:id="1264" w:name="_Toc23170"/>
      <w:bookmarkStart w:id="1265" w:name="_Toc17136"/>
      <w:r>
        <w:rPr>
          <w:rFonts w:hint="eastAsia" w:ascii="微软雅黑" w:hAnsi="微软雅黑" w:eastAsia="微软雅黑" w:cs="微软雅黑"/>
          <w:b/>
          <w:bCs/>
          <w:sz w:val="24"/>
        </w:rPr>
        <w:t>2.7 技术资料</w:t>
      </w:r>
      <w:bookmarkEnd w:id="1234"/>
      <w:bookmarkEnd w:id="1235"/>
      <w:bookmarkEnd w:id="1236"/>
      <w:bookmarkEnd w:id="1237"/>
      <w:bookmarkEnd w:id="1238"/>
      <w:bookmarkEnd w:id="1239"/>
      <w:r>
        <w:rPr>
          <w:rFonts w:hint="eastAsia" w:ascii="微软雅黑" w:hAnsi="微软雅黑" w:eastAsia="微软雅黑" w:cs="微软雅黑"/>
          <w:b/>
          <w:bCs/>
          <w:sz w:val="24"/>
        </w:rPr>
        <w:t>和保密义务</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2.7.1 乙方有权依据合同约定和项目需要，向甲方了解有关情况，调阅有关资料等，甲方应予积极配合；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2.7.2 乙方有义务妥善保管和保护由甲方提供的前款信息和资料等；</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0"/>
        <w:rPr>
          <w:rFonts w:ascii="微软雅黑" w:hAnsi="微软雅黑" w:eastAsia="微软雅黑" w:cs="微软雅黑"/>
          <w:b/>
          <w:bCs/>
          <w:sz w:val="24"/>
        </w:rPr>
      </w:pPr>
      <w:bookmarkStart w:id="1266" w:name="_Toc30477"/>
      <w:bookmarkStart w:id="1267" w:name="_Toc25676"/>
      <w:bookmarkStart w:id="1268" w:name="_Toc26425"/>
      <w:bookmarkStart w:id="1269" w:name="_Toc8288"/>
      <w:bookmarkStart w:id="1270" w:name="_Toc1730"/>
      <w:bookmarkStart w:id="1271" w:name="_Toc21267"/>
      <w:bookmarkStart w:id="1272" w:name="_Toc11328"/>
      <w:bookmarkStart w:id="1273" w:name="_Toc18231"/>
      <w:bookmarkStart w:id="1274" w:name="_Toc19659"/>
      <w:bookmarkStart w:id="1275" w:name="_Toc27453"/>
      <w:bookmarkStart w:id="1276" w:name="_Toc30503"/>
      <w:bookmarkStart w:id="1277" w:name="_Toc11483"/>
      <w:bookmarkStart w:id="1278" w:name="_Toc14045"/>
      <w:bookmarkStart w:id="1279" w:name="_Toc18551"/>
      <w:bookmarkStart w:id="1280" w:name="_Toc7860"/>
      <w:bookmarkStart w:id="1281" w:name="_Toc122"/>
      <w:bookmarkStart w:id="1282" w:name="_Toc4779"/>
      <w:bookmarkStart w:id="1283" w:name="_Toc11530"/>
      <w:bookmarkStart w:id="1284" w:name="_Toc23081"/>
      <w:bookmarkStart w:id="1285" w:name="_Toc3156"/>
      <w:bookmarkStart w:id="1286" w:name="_Toc16190"/>
      <w:bookmarkStart w:id="1287" w:name="_Toc5556"/>
      <w:bookmarkStart w:id="1288" w:name="_Toc5200"/>
      <w:bookmarkStart w:id="1289" w:name="_Toc30167"/>
      <w:bookmarkStart w:id="1290" w:name="_Toc10326"/>
      <w:r>
        <w:rPr>
          <w:rFonts w:hint="eastAsia" w:ascii="微软雅黑" w:hAnsi="微软雅黑" w:eastAsia="微软雅黑" w:cs="微软雅黑"/>
          <w:b/>
          <w:bCs/>
          <w:sz w:val="24"/>
        </w:rPr>
        <w:t>2.8 质量保证</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2.8.1 乙方应建立和完善履行合同的内部质量保证体系，并提供相关内部规章制度给甲方，以便甲方进行监督检查；</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2.8.2 乙方应保证履行合同的人员数量和素质、软件和硬件设备的配置、场地、环境和设施等满足全面履行合同的要求，并应接受甲方的监督检查。</w:t>
      </w:r>
    </w:p>
    <w:p>
      <w:pPr>
        <w:ind w:firstLine="480" w:firstLineChars="200"/>
        <w:outlineLvl w:val="0"/>
        <w:rPr>
          <w:rFonts w:ascii="微软雅黑" w:hAnsi="微软雅黑" w:eastAsia="微软雅黑" w:cs="微软雅黑"/>
          <w:b/>
          <w:bCs/>
          <w:sz w:val="24"/>
        </w:rPr>
      </w:pPr>
      <w:bookmarkStart w:id="1291" w:name="_Toc9742"/>
      <w:bookmarkStart w:id="1292" w:name="_Toc27238"/>
      <w:bookmarkStart w:id="1293" w:name="_Toc14663"/>
      <w:bookmarkStart w:id="1294" w:name="_Toc23172"/>
      <w:bookmarkStart w:id="1295" w:name="_Toc31920"/>
      <w:bookmarkStart w:id="1296" w:name="_Toc26555"/>
      <w:bookmarkStart w:id="1297" w:name="_Toc27234"/>
      <w:bookmarkStart w:id="1298" w:name="_Toc28147"/>
      <w:bookmarkStart w:id="1299" w:name="_Toc15929"/>
      <w:bookmarkStart w:id="1300" w:name="_Toc13410"/>
      <w:bookmarkStart w:id="1301" w:name="_Toc12010"/>
      <w:bookmarkStart w:id="1302" w:name="_Toc17497"/>
      <w:bookmarkStart w:id="1303" w:name="_Toc12966"/>
      <w:bookmarkStart w:id="1304" w:name="_Toc801"/>
      <w:bookmarkStart w:id="1305" w:name="_Toc25529"/>
      <w:bookmarkStart w:id="1306" w:name="_Toc3300"/>
      <w:bookmarkStart w:id="1307" w:name="_Toc15408"/>
      <w:bookmarkStart w:id="1308" w:name="_Toc12408"/>
      <w:bookmarkStart w:id="1309" w:name="_Toc5005"/>
      <w:bookmarkStart w:id="1310" w:name="_Toc17244"/>
      <w:bookmarkStart w:id="1311" w:name="_Toc14596"/>
      <w:bookmarkStart w:id="1312" w:name="_Toc17030"/>
      <w:bookmarkStart w:id="1313" w:name="_Toc22016"/>
      <w:bookmarkStart w:id="1314" w:name="_Toc812"/>
      <w:bookmarkStart w:id="1315" w:name="_Toc487900362"/>
      <w:bookmarkStart w:id="1316" w:name="_Toc259093681"/>
      <w:bookmarkStart w:id="1317" w:name="_Toc279701252"/>
      <w:r>
        <w:rPr>
          <w:rFonts w:hint="eastAsia" w:ascii="微软雅黑" w:hAnsi="微软雅黑" w:eastAsia="微软雅黑" w:cs="微软雅黑"/>
          <w:b/>
          <w:bCs/>
          <w:sz w:val="24"/>
        </w:rPr>
        <w:t>2.9 货物的风险负担</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货物或者在途货物或者交付给第一承运人后的货物毁损、灭失的风险负担详见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318" w:name="_Toc16001"/>
      <w:bookmarkStart w:id="1319" w:name="_Toc22674"/>
      <w:bookmarkStart w:id="1320" w:name="_Toc14698"/>
      <w:bookmarkStart w:id="1321" w:name="_Toc5196"/>
      <w:bookmarkStart w:id="1322" w:name="_Toc7986"/>
      <w:bookmarkStart w:id="1323" w:name="_Toc20938"/>
      <w:bookmarkStart w:id="1324" w:name="_Toc29192"/>
      <w:bookmarkStart w:id="1325" w:name="_Toc23235"/>
      <w:bookmarkStart w:id="1326" w:name="_Toc11963"/>
      <w:bookmarkStart w:id="1327" w:name="_Toc2"/>
      <w:bookmarkStart w:id="1328" w:name="_Toc15972"/>
      <w:bookmarkStart w:id="1329" w:name="_Toc15465"/>
      <w:bookmarkStart w:id="1330" w:name="_Toc26567"/>
      <w:bookmarkStart w:id="1331" w:name="_Toc6602"/>
      <w:bookmarkStart w:id="1332" w:name="_Toc14055"/>
      <w:bookmarkStart w:id="1333" w:name="_Toc15112"/>
      <w:bookmarkStart w:id="1334" w:name="_Toc1494"/>
      <w:bookmarkStart w:id="1335" w:name="_Toc25663"/>
      <w:bookmarkStart w:id="1336" w:name="_Toc29837"/>
      <w:bookmarkStart w:id="1337" w:name="_Toc17555"/>
      <w:bookmarkStart w:id="1338" w:name="_Toc19684"/>
      <w:bookmarkStart w:id="1339" w:name="_Toc10676"/>
      <w:bookmarkStart w:id="1340" w:name="_Toc1299"/>
      <w:bookmarkStart w:id="1341" w:name="_Toc9785"/>
      <w:bookmarkStart w:id="1342" w:name="_Toc20457"/>
      <w:r>
        <w:rPr>
          <w:rFonts w:hint="eastAsia" w:ascii="微软雅黑" w:hAnsi="微软雅黑" w:eastAsia="微软雅黑" w:cs="微软雅黑"/>
          <w:b/>
          <w:bCs/>
          <w:sz w:val="24"/>
        </w:rPr>
        <w:t>2.10 延迟交货</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0"/>
        <w:rPr>
          <w:rFonts w:ascii="微软雅黑" w:hAnsi="微软雅黑" w:eastAsia="微软雅黑" w:cs="微软雅黑"/>
          <w:b/>
          <w:bCs/>
          <w:sz w:val="24"/>
        </w:rPr>
      </w:pPr>
      <w:bookmarkStart w:id="1343" w:name="_Toc7502"/>
      <w:bookmarkStart w:id="1344" w:name="_Toc30445"/>
      <w:bookmarkStart w:id="1345" w:name="_Toc25791"/>
      <w:bookmarkStart w:id="1346" w:name="_Toc29075"/>
      <w:bookmarkStart w:id="1347" w:name="_Toc9706"/>
      <w:bookmarkStart w:id="1348" w:name="_Toc17237"/>
      <w:bookmarkStart w:id="1349" w:name="_Toc8126"/>
      <w:bookmarkStart w:id="1350" w:name="_Toc8441"/>
      <w:bookmarkStart w:id="1351" w:name="_Toc15143"/>
      <w:bookmarkStart w:id="1352" w:name="_Toc31403"/>
      <w:bookmarkStart w:id="1353" w:name="_Toc14851"/>
      <w:bookmarkStart w:id="1354" w:name="_Toc10956"/>
      <w:bookmarkStart w:id="1355" w:name="_Toc3064"/>
      <w:bookmarkStart w:id="1356" w:name="_Toc7444"/>
      <w:bookmarkStart w:id="1357" w:name="_Toc16528"/>
      <w:bookmarkStart w:id="1358" w:name="_Toc9194"/>
      <w:bookmarkStart w:id="1359" w:name="_Toc507"/>
      <w:bookmarkStart w:id="1360" w:name="_Toc12175"/>
      <w:bookmarkStart w:id="1361" w:name="_Toc16810"/>
      <w:bookmarkStart w:id="1362" w:name="_Toc20266"/>
      <w:bookmarkStart w:id="1363" w:name="_Toc2860"/>
      <w:bookmarkStart w:id="1364" w:name="_Toc25717"/>
      <w:bookmarkStart w:id="1365" w:name="_Toc23198"/>
      <w:bookmarkStart w:id="1366" w:name="_Toc18704"/>
      <w:bookmarkStart w:id="1367" w:name="_Ref467378121"/>
      <w:bookmarkStart w:id="1368" w:name="_Toc487900364"/>
      <w:bookmarkStart w:id="1369" w:name="_Toc259093683"/>
      <w:bookmarkStart w:id="1370" w:name="_Toc279701254"/>
      <w:r>
        <w:rPr>
          <w:rFonts w:hint="eastAsia" w:ascii="微软雅黑" w:hAnsi="微软雅黑" w:eastAsia="微软雅黑" w:cs="微软雅黑"/>
          <w:b/>
          <w:bCs/>
          <w:sz w:val="24"/>
        </w:rPr>
        <w:t>2.11 合同变更</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2.11.2 合同继续履行将损害国家利益和社会公共利益的，双方当事人应当以书面形式变更合同。有过错的一方应当承担赔偿责任，双方当事人都有过错的，各自承担相应的责任。</w:t>
      </w:r>
      <w:bookmarkStart w:id="1371" w:name="_Toc279701259"/>
      <w:bookmarkStart w:id="1372" w:name="_Toc487900369"/>
      <w:bookmarkStart w:id="1373" w:name="_Toc259093688"/>
    </w:p>
    <w:p>
      <w:pPr>
        <w:ind w:firstLine="480" w:firstLineChars="200"/>
        <w:outlineLvl w:val="0"/>
        <w:rPr>
          <w:rFonts w:ascii="微软雅黑" w:hAnsi="微软雅黑" w:eastAsia="微软雅黑" w:cs="微软雅黑"/>
          <w:b/>
          <w:bCs/>
          <w:sz w:val="24"/>
        </w:rPr>
      </w:pPr>
      <w:bookmarkStart w:id="1374" w:name="_Toc8679"/>
      <w:bookmarkStart w:id="1375" w:name="_Toc14895"/>
      <w:bookmarkStart w:id="1376" w:name="_Toc22955"/>
      <w:bookmarkStart w:id="1377" w:name="_Toc2157"/>
      <w:bookmarkStart w:id="1378" w:name="_Toc26864"/>
      <w:bookmarkStart w:id="1379" w:name="_Toc17341"/>
      <w:bookmarkStart w:id="1380" w:name="_Toc3062"/>
      <w:bookmarkStart w:id="1381" w:name="_Toc29045"/>
      <w:bookmarkStart w:id="1382" w:name="_Toc3931"/>
      <w:bookmarkStart w:id="1383" w:name="_Toc32581"/>
      <w:bookmarkStart w:id="1384" w:name="_Toc24511"/>
      <w:bookmarkStart w:id="1385" w:name="_Toc23079"/>
      <w:bookmarkStart w:id="1386" w:name="_Toc26224"/>
      <w:bookmarkStart w:id="1387" w:name="_Toc10537"/>
      <w:bookmarkStart w:id="1388" w:name="_Toc18316"/>
      <w:bookmarkStart w:id="1389" w:name="_Toc11626"/>
      <w:bookmarkStart w:id="1390" w:name="_Toc3928"/>
      <w:bookmarkStart w:id="1391" w:name="_Toc15237"/>
      <w:bookmarkStart w:id="1392" w:name="_Toc10366"/>
      <w:bookmarkStart w:id="1393" w:name="_Toc6051"/>
      <w:bookmarkStart w:id="1394" w:name="_Toc19380"/>
      <w:bookmarkStart w:id="1395" w:name="_Toc25508"/>
      <w:bookmarkStart w:id="1396" w:name="_Toc21753"/>
      <w:bookmarkStart w:id="1397" w:name="_Toc3825"/>
      <w:bookmarkStart w:id="1398" w:name="_Toc25092"/>
      <w:bookmarkStart w:id="1399" w:name="_Toc27772"/>
      <w:bookmarkStart w:id="1400" w:name="_Toc32309"/>
      <w:r>
        <w:rPr>
          <w:rFonts w:hint="eastAsia" w:ascii="微软雅黑" w:hAnsi="微软雅黑" w:eastAsia="微软雅黑" w:cs="微软雅黑"/>
          <w:b/>
          <w:bCs/>
          <w:sz w:val="24"/>
        </w:rPr>
        <w:t>2.12 合同转让</w:t>
      </w:r>
      <w:bookmarkEnd w:id="1371"/>
      <w:bookmarkEnd w:id="1372"/>
      <w:bookmarkEnd w:id="1373"/>
      <w:r>
        <w:rPr>
          <w:rFonts w:hint="eastAsia" w:ascii="微软雅黑" w:hAnsi="微软雅黑" w:eastAsia="微软雅黑" w:cs="微软雅黑"/>
          <w:b/>
          <w:bCs/>
          <w:sz w:val="24"/>
        </w:rPr>
        <w:t>和分包</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0"/>
        <w:rPr>
          <w:rFonts w:ascii="微软雅黑" w:hAnsi="微软雅黑" w:eastAsia="微软雅黑" w:cs="微软雅黑"/>
          <w:b/>
          <w:bCs/>
          <w:sz w:val="24"/>
        </w:rPr>
      </w:pPr>
      <w:bookmarkStart w:id="1401" w:name="_Toc31984"/>
      <w:bookmarkStart w:id="1402" w:name="_Toc22326"/>
      <w:bookmarkStart w:id="1403" w:name="_Toc12165"/>
      <w:bookmarkStart w:id="1404" w:name="_Toc7292"/>
      <w:bookmarkStart w:id="1405" w:name="_Toc16893"/>
      <w:bookmarkStart w:id="1406" w:name="_Toc17498"/>
      <w:bookmarkStart w:id="1407" w:name="_Toc2586"/>
      <w:bookmarkStart w:id="1408" w:name="_Toc12809"/>
      <w:bookmarkStart w:id="1409" w:name="_Toc4540"/>
      <w:bookmarkStart w:id="1410" w:name="_Toc3533"/>
      <w:bookmarkStart w:id="1411" w:name="_Toc32515"/>
      <w:bookmarkStart w:id="1412" w:name="_Toc14752"/>
      <w:bookmarkStart w:id="1413" w:name="_Toc19750"/>
      <w:bookmarkStart w:id="1414" w:name="_Toc22191"/>
      <w:bookmarkStart w:id="1415" w:name="_Toc8114"/>
      <w:bookmarkStart w:id="1416" w:name="_Toc14066"/>
      <w:bookmarkStart w:id="1417" w:name="_Toc15741"/>
      <w:bookmarkStart w:id="1418" w:name="_Toc3177"/>
      <w:bookmarkStart w:id="1419" w:name="_Toc13566"/>
      <w:bookmarkStart w:id="1420" w:name="_Toc10688"/>
      <w:bookmarkStart w:id="1421" w:name="_Toc24741"/>
      <w:bookmarkStart w:id="1422" w:name="_Toc32426"/>
      <w:bookmarkStart w:id="1423" w:name="_Toc14564"/>
      <w:bookmarkStart w:id="1424" w:name="_Toc11104"/>
      <w:bookmarkStart w:id="1425" w:name="_Toc5484"/>
      <w:bookmarkStart w:id="1426" w:name="_Toc13557"/>
      <w:bookmarkStart w:id="1427" w:name="_Toc16508"/>
      <w:r>
        <w:rPr>
          <w:rFonts w:hint="eastAsia" w:ascii="微软雅黑" w:hAnsi="微软雅黑" w:eastAsia="微软雅黑" w:cs="微软雅黑"/>
          <w:b/>
          <w:bCs/>
          <w:sz w:val="24"/>
        </w:rPr>
        <w:t>2.13 不可抗力</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2.13.1如果任何一方遭遇法律规定的不可抗力，致使合同履行受阻时，履行合同的期限应予延长，延长的期限应相当于不可抗力所影响的时间；</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2.13.2 因不可抗力致使不能实现合同目的的，当事人可以解除合同；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2.13.3 因不可抗力致使合同有变更必要的，双方当事人应在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约定时间内以书面形式变更合同；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2.13.4受不可抗力影响的一方在不可抗力发生后，应在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约定时间内以书面形式通知对方当事人，并在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约定时间内，将有关部门出具的证明文件送达对方当事人。</w:t>
      </w:r>
    </w:p>
    <w:p>
      <w:pPr>
        <w:ind w:firstLine="480" w:firstLineChars="200"/>
        <w:outlineLvl w:val="0"/>
        <w:rPr>
          <w:rFonts w:ascii="微软雅黑" w:hAnsi="微软雅黑" w:eastAsia="微软雅黑" w:cs="微软雅黑"/>
          <w:b/>
          <w:bCs/>
          <w:sz w:val="24"/>
        </w:rPr>
      </w:pPr>
      <w:bookmarkStart w:id="1428" w:name="_Toc6047"/>
      <w:bookmarkStart w:id="1429" w:name="_Toc32764"/>
      <w:bookmarkStart w:id="1430" w:name="_Toc30676"/>
      <w:bookmarkStart w:id="1431" w:name="_Toc28340"/>
      <w:bookmarkStart w:id="1432" w:name="_Toc28117"/>
      <w:bookmarkStart w:id="1433" w:name="_Toc5884"/>
      <w:bookmarkStart w:id="1434" w:name="_Toc7175"/>
      <w:bookmarkStart w:id="1435" w:name="_Toc11876"/>
      <w:bookmarkStart w:id="1436" w:name="_Toc259093684"/>
      <w:bookmarkStart w:id="1437" w:name="_Toc24010"/>
      <w:bookmarkStart w:id="1438" w:name="_Toc8392"/>
      <w:bookmarkStart w:id="1439" w:name="_Toc12959"/>
      <w:bookmarkStart w:id="1440" w:name="_Toc13910"/>
      <w:bookmarkStart w:id="1441" w:name="_Toc279701255"/>
      <w:bookmarkStart w:id="1442" w:name="_Toc487900365"/>
      <w:bookmarkStart w:id="1443" w:name="_Toc11423"/>
      <w:bookmarkStart w:id="1444" w:name="_Toc4006"/>
      <w:bookmarkStart w:id="1445" w:name="_Toc6969"/>
      <w:bookmarkStart w:id="1446" w:name="_Toc7145"/>
      <w:bookmarkStart w:id="1447" w:name="_Toc16229"/>
      <w:bookmarkStart w:id="1448" w:name="_Toc26085"/>
      <w:bookmarkStart w:id="1449" w:name="_Toc31597"/>
      <w:bookmarkStart w:id="1450" w:name="_Toc19677"/>
      <w:bookmarkStart w:id="1451" w:name="_Toc689"/>
      <w:bookmarkStart w:id="1452" w:name="_Toc25124"/>
      <w:bookmarkStart w:id="1453" w:name="_Toc14542"/>
      <w:bookmarkStart w:id="1454" w:name="_Toc1584"/>
      <w:bookmarkStart w:id="1455" w:name="_Toc6676"/>
      <w:bookmarkStart w:id="1456" w:name="_Toc6288"/>
      <w:bookmarkStart w:id="1457" w:name="_Toc10528"/>
      <w:r>
        <w:rPr>
          <w:rFonts w:hint="eastAsia" w:ascii="微软雅黑" w:hAnsi="微软雅黑" w:eastAsia="微软雅黑" w:cs="微软雅黑"/>
          <w:b/>
          <w:bCs/>
          <w:sz w:val="24"/>
        </w:rPr>
        <w:t>2.14 税费</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与合同有关的一切税费，均按照中华人民共和国法律的相关规定。</w:t>
      </w:r>
    </w:p>
    <w:p>
      <w:pPr>
        <w:ind w:firstLine="480" w:firstLineChars="200"/>
        <w:outlineLvl w:val="0"/>
        <w:rPr>
          <w:rFonts w:ascii="微软雅黑" w:hAnsi="微软雅黑" w:eastAsia="微软雅黑" w:cs="微软雅黑"/>
          <w:b/>
          <w:bCs/>
          <w:sz w:val="24"/>
        </w:rPr>
      </w:pPr>
      <w:bookmarkStart w:id="1458" w:name="_Toc27541"/>
      <w:bookmarkStart w:id="1459" w:name="_Toc25260"/>
      <w:bookmarkStart w:id="1460" w:name="_Toc487900368"/>
      <w:bookmarkStart w:id="1461" w:name="_Toc7117"/>
      <w:bookmarkStart w:id="1462" w:name="_Toc21290"/>
      <w:bookmarkStart w:id="1463" w:name="_Toc17523"/>
      <w:bookmarkStart w:id="1464" w:name="_Toc22239"/>
      <w:bookmarkStart w:id="1465" w:name="_Toc13488"/>
      <w:bookmarkStart w:id="1466" w:name="_Toc259093687"/>
      <w:bookmarkStart w:id="1467" w:name="_Toc15527"/>
      <w:bookmarkStart w:id="1468" w:name="_Toc22846"/>
      <w:bookmarkStart w:id="1469" w:name="_Toc23266"/>
      <w:bookmarkStart w:id="1470" w:name="_Toc20594"/>
      <w:bookmarkStart w:id="1471" w:name="_Toc16959"/>
      <w:bookmarkStart w:id="1472" w:name="_Toc15256"/>
      <w:bookmarkStart w:id="1473" w:name="_Toc279701258"/>
      <w:bookmarkStart w:id="1474" w:name="_Toc27709"/>
      <w:bookmarkStart w:id="1475" w:name="_Toc515"/>
      <w:bookmarkStart w:id="1476" w:name="_Toc24862"/>
      <w:bookmarkStart w:id="1477" w:name="_Toc29993"/>
      <w:bookmarkStart w:id="1478" w:name="_Toc11308"/>
      <w:bookmarkStart w:id="1479" w:name="_Toc25055"/>
      <w:bookmarkStart w:id="1480" w:name="_Toc8298"/>
      <w:bookmarkStart w:id="1481" w:name="_Toc12141"/>
      <w:bookmarkStart w:id="1482" w:name="_Toc7102"/>
      <w:bookmarkStart w:id="1483" w:name="_Toc29869"/>
      <w:bookmarkStart w:id="1484" w:name="_Toc13626"/>
      <w:bookmarkStart w:id="1485" w:name="_Toc8934"/>
      <w:bookmarkStart w:id="1486" w:name="_Toc14403"/>
      <w:r>
        <w:rPr>
          <w:rFonts w:hint="eastAsia" w:ascii="微软雅黑" w:hAnsi="微软雅黑" w:eastAsia="微软雅黑" w:cs="微软雅黑"/>
          <w:b/>
          <w:bCs/>
          <w:sz w:val="24"/>
        </w:rPr>
        <w:t>2.15 乙方破产</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0"/>
        <w:rPr>
          <w:rFonts w:ascii="微软雅黑" w:hAnsi="微软雅黑" w:eastAsia="微软雅黑" w:cs="微软雅黑"/>
          <w:b/>
          <w:bCs/>
          <w:sz w:val="24"/>
        </w:rPr>
      </w:pPr>
      <w:bookmarkStart w:id="1487" w:name="_Toc31639"/>
      <w:bookmarkStart w:id="1488" w:name="_Toc19709"/>
      <w:bookmarkStart w:id="1489" w:name="_Toc24867"/>
      <w:bookmarkStart w:id="1490" w:name="_Toc15605"/>
      <w:bookmarkStart w:id="1491" w:name="_Toc16990"/>
      <w:bookmarkStart w:id="1492" w:name="_Toc23040"/>
      <w:bookmarkStart w:id="1493" w:name="_Toc24066"/>
      <w:bookmarkStart w:id="1494" w:name="_Toc15387"/>
      <w:bookmarkStart w:id="1495" w:name="_Toc1303"/>
      <w:bookmarkStart w:id="1496" w:name="_Toc29333"/>
      <w:bookmarkStart w:id="1497" w:name="_Toc27106"/>
      <w:bookmarkStart w:id="1498" w:name="_Toc9318"/>
      <w:bookmarkStart w:id="1499" w:name="_Toc6134"/>
      <w:bookmarkStart w:id="1500" w:name="_Toc32508"/>
      <w:bookmarkStart w:id="1501" w:name="_Toc30362"/>
      <w:bookmarkStart w:id="1502" w:name="_Toc25273"/>
      <w:bookmarkStart w:id="1503" w:name="_Toc4013"/>
      <w:bookmarkStart w:id="1504" w:name="_Toc12606"/>
      <w:bookmarkStart w:id="1505" w:name="_Toc1942"/>
      <w:bookmarkStart w:id="1506" w:name="_Toc4227"/>
      <w:bookmarkStart w:id="1507" w:name="_Toc29764"/>
      <w:bookmarkStart w:id="1508" w:name="_Toc818"/>
      <w:bookmarkStart w:id="1509" w:name="_Toc24976"/>
      <w:bookmarkStart w:id="1510" w:name="_Toc110"/>
      <w:bookmarkStart w:id="1511" w:name="_Toc15445"/>
      <w:bookmarkStart w:id="1512" w:name="_Toc13815"/>
      <w:bookmarkStart w:id="1513" w:name="_Toc26255"/>
      <w:r>
        <w:rPr>
          <w:rFonts w:hint="eastAsia" w:ascii="微软雅黑" w:hAnsi="微软雅黑" w:eastAsia="微软雅黑" w:cs="微软雅黑"/>
          <w:b/>
          <w:bCs/>
          <w:sz w:val="24"/>
        </w:rPr>
        <w:t>2.16 合同中止、终止</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2.16.1 双方当事人不得擅自中止或者终止合同；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0"/>
        <w:rPr>
          <w:rFonts w:ascii="微软雅黑" w:hAnsi="微软雅黑" w:eastAsia="微软雅黑" w:cs="微软雅黑"/>
          <w:b/>
          <w:bCs/>
          <w:sz w:val="24"/>
        </w:rPr>
      </w:pPr>
      <w:bookmarkStart w:id="1514" w:name="_Toc20145"/>
      <w:bookmarkStart w:id="1515" w:name="_Toc31577"/>
      <w:bookmarkStart w:id="1516" w:name="_Toc4807"/>
      <w:bookmarkStart w:id="1517" w:name="_Toc14563"/>
      <w:bookmarkStart w:id="1518" w:name="_Toc13848"/>
      <w:bookmarkStart w:id="1519" w:name="_Toc6596"/>
      <w:bookmarkStart w:id="1520" w:name="_Toc21636"/>
      <w:bookmarkStart w:id="1521" w:name="_Toc11637"/>
      <w:bookmarkStart w:id="1522" w:name="_Toc30476"/>
      <w:bookmarkStart w:id="1523" w:name="_Toc6704"/>
      <w:bookmarkStart w:id="1524" w:name="_Toc28303"/>
      <w:bookmarkStart w:id="1525" w:name="_Toc26299"/>
      <w:bookmarkStart w:id="1526" w:name="_Toc25358"/>
      <w:bookmarkStart w:id="1527" w:name="_Toc30958"/>
      <w:bookmarkStart w:id="1528" w:name="_Toc14890"/>
      <w:bookmarkStart w:id="1529" w:name="_Toc24731"/>
      <w:bookmarkStart w:id="1530" w:name="_Toc30133"/>
      <w:bookmarkStart w:id="1531" w:name="_Toc25710"/>
      <w:bookmarkStart w:id="1532" w:name="_Toc1125"/>
      <w:bookmarkStart w:id="1533" w:name="_Toc19755"/>
      <w:bookmarkStart w:id="1534" w:name="_Toc28047"/>
      <w:bookmarkStart w:id="1535" w:name="_Toc11658"/>
      <w:bookmarkStart w:id="1536" w:name="_Toc25230"/>
      <w:bookmarkStart w:id="1537" w:name="_Toc6244"/>
      <w:bookmarkStart w:id="1538" w:name="_Toc25516"/>
      <w:bookmarkStart w:id="1539" w:name="_Toc4111"/>
      <w:r>
        <w:rPr>
          <w:rFonts w:hint="eastAsia" w:ascii="微软雅黑" w:hAnsi="微软雅黑" w:eastAsia="微软雅黑" w:cs="微软雅黑"/>
          <w:b/>
          <w:bCs/>
          <w:sz w:val="24"/>
        </w:rPr>
        <w:t>2.17 检验和验收</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约定时间内组织验收，并可依法邀请相关方参加，验收应出具验收书。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2.17.3 检验和验收标准、程序等具体内容以及前述验收书的效力详见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i/>
          <w:iCs/>
          <w:sz w:val="24"/>
        </w:rPr>
        <w:t>。</w:t>
      </w:r>
    </w:p>
    <w:bookmarkEnd w:id="1367"/>
    <w:bookmarkEnd w:id="1368"/>
    <w:bookmarkEnd w:id="1369"/>
    <w:bookmarkEnd w:id="1370"/>
    <w:p>
      <w:pPr>
        <w:ind w:firstLine="480" w:firstLineChars="200"/>
        <w:outlineLvl w:val="0"/>
        <w:rPr>
          <w:rFonts w:ascii="微软雅黑" w:hAnsi="微软雅黑" w:eastAsia="微软雅黑" w:cs="微软雅黑"/>
          <w:b/>
          <w:bCs/>
          <w:sz w:val="24"/>
        </w:rPr>
      </w:pPr>
      <w:bookmarkStart w:id="1540" w:name="_Toc259093690"/>
      <w:bookmarkStart w:id="1541" w:name="_Toc279701261"/>
      <w:bookmarkStart w:id="1542" w:name="_Toc487900371"/>
      <w:bookmarkStart w:id="1543" w:name="_Toc31945"/>
      <w:bookmarkStart w:id="1544" w:name="_Toc26823"/>
      <w:bookmarkStart w:id="1545" w:name="_Toc14242"/>
      <w:bookmarkStart w:id="1546" w:name="_Toc7641"/>
      <w:bookmarkStart w:id="1547" w:name="_Toc26892"/>
      <w:bookmarkStart w:id="1548" w:name="_Toc8125"/>
      <w:bookmarkStart w:id="1549" w:name="_Toc13576"/>
      <w:bookmarkStart w:id="1550" w:name="_Toc22021"/>
      <w:bookmarkStart w:id="1551" w:name="_Toc17313"/>
      <w:bookmarkStart w:id="1552" w:name="_Toc10130"/>
      <w:bookmarkStart w:id="1553" w:name="_Toc17270"/>
      <w:bookmarkStart w:id="1554" w:name="_Toc13220"/>
      <w:bookmarkStart w:id="1555" w:name="_Toc11284"/>
      <w:bookmarkStart w:id="1556" w:name="_Toc725"/>
      <w:bookmarkStart w:id="1557" w:name="_Toc25182"/>
      <w:bookmarkStart w:id="1558" w:name="_Toc23633"/>
      <w:bookmarkStart w:id="1559" w:name="_Toc4983"/>
      <w:bookmarkStart w:id="1560" w:name="_Toc14665"/>
      <w:bookmarkStart w:id="1561" w:name="_Toc12094"/>
      <w:bookmarkStart w:id="1562" w:name="_Toc12493"/>
      <w:bookmarkStart w:id="1563" w:name="_Toc19604"/>
      <w:bookmarkStart w:id="1564" w:name="_Toc9266"/>
      <w:bookmarkStart w:id="1565" w:name="_Toc27621"/>
      <w:bookmarkStart w:id="1566" w:name="_Toc15037"/>
      <w:bookmarkStart w:id="1567" w:name="_Toc7660"/>
      <w:bookmarkStart w:id="1568" w:name="_Toc8096"/>
      <w:bookmarkStart w:id="1569" w:name="_Toc29267"/>
      <w:r>
        <w:rPr>
          <w:rFonts w:hint="eastAsia" w:ascii="微软雅黑" w:hAnsi="微软雅黑" w:eastAsia="微软雅黑" w:cs="微软雅黑"/>
          <w:b/>
          <w:bCs/>
          <w:sz w:val="24"/>
        </w:rPr>
        <w:t>2.18 通知</w:t>
      </w:r>
      <w:bookmarkEnd w:id="1540"/>
      <w:bookmarkEnd w:id="1541"/>
      <w:bookmarkEnd w:id="1542"/>
      <w:r>
        <w:rPr>
          <w:rFonts w:hint="eastAsia" w:ascii="微软雅黑" w:hAnsi="微软雅黑" w:eastAsia="微软雅黑" w:cs="微软雅黑"/>
          <w:b/>
          <w:bCs/>
          <w:sz w:val="24"/>
        </w:rPr>
        <w:t>和送达</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ind w:firstLine="480" w:firstLineChars="200"/>
        <w:rPr>
          <w:rFonts w:ascii="微软雅黑" w:hAnsi="微软雅黑" w:eastAsia="微软雅黑" w:cs="微软雅黑"/>
          <w:sz w:val="24"/>
        </w:rPr>
      </w:pPr>
      <w:bookmarkStart w:id="1570" w:name="_Toc3135"/>
      <w:bookmarkStart w:id="1571" w:name="_Toc6698"/>
      <w:bookmarkStart w:id="1572" w:name="_Toc279701262"/>
      <w:bookmarkStart w:id="1573" w:name="_Toc259093691"/>
      <w:bookmarkStart w:id="1574" w:name="_Toc487900372"/>
      <w:r>
        <w:rPr>
          <w:rFonts w:hint="eastAsia" w:ascii="微软雅黑" w:hAnsi="微软雅黑" w:eastAsia="微软雅黑" w:cs="微软雅黑"/>
          <w:sz w:val="24"/>
        </w:rPr>
        <w:t>2.18.1 任何一方因履行合同而以合同第一部分尾部所列明的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发出的所有通知、文件、材料，均视为已向对方当事人送达；任何一方变更上述送达方式或者地址的，应于</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个工作日内书面通知对方当事人，在对方当事人收到有关变更通知之前，变更前的约定送达方式或者地址仍视为有效。</w:t>
      </w:r>
      <w:bookmarkEnd w:id="1570"/>
      <w:bookmarkEnd w:id="1571"/>
    </w:p>
    <w:p>
      <w:pPr>
        <w:ind w:firstLine="480" w:firstLineChars="200"/>
        <w:rPr>
          <w:rFonts w:ascii="微软雅黑" w:hAnsi="微软雅黑" w:eastAsia="微软雅黑" w:cs="微软雅黑"/>
          <w:sz w:val="24"/>
        </w:rPr>
      </w:pPr>
      <w:bookmarkStart w:id="1575" w:name="_Toc23128"/>
      <w:bookmarkStart w:id="1576" w:name="_Toc23294"/>
      <w:r>
        <w:rPr>
          <w:rFonts w:hint="eastAsia" w:ascii="微软雅黑" w:hAnsi="微软雅黑" w:eastAsia="微软雅黑" w:cs="微软雅黑"/>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75"/>
      <w:bookmarkEnd w:id="1576"/>
    </w:p>
    <w:p>
      <w:pPr>
        <w:ind w:firstLine="480" w:firstLineChars="200"/>
        <w:outlineLvl w:val="0"/>
        <w:rPr>
          <w:rFonts w:ascii="微软雅黑" w:hAnsi="微软雅黑" w:eastAsia="微软雅黑" w:cs="微软雅黑"/>
          <w:b/>
          <w:bCs/>
          <w:sz w:val="24"/>
        </w:rPr>
      </w:pPr>
      <w:bookmarkStart w:id="1577" w:name="_Toc14810"/>
      <w:bookmarkStart w:id="1578" w:name="_Toc4241"/>
      <w:bookmarkStart w:id="1579" w:name="_Toc20837"/>
      <w:bookmarkStart w:id="1580" w:name="_Toc21464"/>
      <w:bookmarkStart w:id="1581" w:name="_Toc30497"/>
      <w:bookmarkStart w:id="1582" w:name="_Toc31861"/>
      <w:bookmarkStart w:id="1583" w:name="_Toc12721"/>
      <w:bookmarkStart w:id="1584" w:name="_Toc18621"/>
      <w:bookmarkStart w:id="1585" w:name="_Toc20309"/>
      <w:bookmarkStart w:id="1586" w:name="_Toc29312"/>
      <w:bookmarkStart w:id="1587" w:name="_Toc10932"/>
      <w:bookmarkStart w:id="1588" w:name="_Toc27038"/>
      <w:bookmarkStart w:id="1589" w:name="_Toc21923"/>
      <w:bookmarkStart w:id="1590" w:name="_Toc4355"/>
      <w:bookmarkStart w:id="1591" w:name="_Toc4747"/>
      <w:bookmarkStart w:id="1592" w:name="_Toc7942"/>
      <w:bookmarkStart w:id="1593" w:name="_Toc5141"/>
      <w:bookmarkStart w:id="1594" w:name="_Toc11892"/>
      <w:bookmarkStart w:id="1595" w:name="_Toc2100"/>
      <w:bookmarkStart w:id="1596" w:name="_Toc2623"/>
      <w:bookmarkStart w:id="1597" w:name="_Toc20914"/>
      <w:bookmarkStart w:id="1598" w:name="_Toc18540"/>
      <w:bookmarkStart w:id="1599" w:name="_Toc12120"/>
      <w:bookmarkStart w:id="1600" w:name="_Toc31104"/>
      <w:bookmarkStart w:id="1601" w:name="_Toc9371"/>
      <w:bookmarkStart w:id="1602" w:name="_Toc30599"/>
      <w:bookmarkStart w:id="1603" w:name="_Toc15273"/>
      <w:r>
        <w:rPr>
          <w:rFonts w:hint="eastAsia" w:ascii="微软雅黑" w:hAnsi="微软雅黑" w:eastAsia="微软雅黑" w:cs="微软雅黑"/>
          <w:b/>
          <w:bCs/>
          <w:sz w:val="24"/>
        </w:rPr>
        <w:t>2.19 计量单位</w:t>
      </w:r>
      <w:bookmarkEnd w:id="1572"/>
      <w:bookmarkEnd w:id="1573"/>
      <w:bookmarkEnd w:id="1574"/>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除技术规范中另有规定外,合同的计量单位均使用国家法定计量单位。</w:t>
      </w:r>
    </w:p>
    <w:p>
      <w:pPr>
        <w:ind w:firstLine="480" w:firstLineChars="200"/>
        <w:outlineLvl w:val="0"/>
        <w:rPr>
          <w:rFonts w:ascii="微软雅黑" w:hAnsi="微软雅黑" w:eastAsia="微软雅黑" w:cs="微软雅黑"/>
          <w:b/>
          <w:bCs/>
          <w:sz w:val="24"/>
        </w:rPr>
      </w:pPr>
      <w:bookmarkStart w:id="1604" w:name="_Toc6555"/>
      <w:bookmarkStart w:id="1605" w:name="_Toc12773"/>
      <w:bookmarkStart w:id="1606" w:name="_Toc17517"/>
      <w:bookmarkStart w:id="1607" w:name="_Toc32583"/>
      <w:bookmarkStart w:id="1608" w:name="_Toc27589"/>
      <w:bookmarkStart w:id="1609" w:name="_Toc18634"/>
      <w:bookmarkStart w:id="1610" w:name="_Toc10585"/>
      <w:bookmarkStart w:id="1611" w:name="_Toc10830"/>
      <w:bookmarkStart w:id="1612" w:name="_Toc1728"/>
      <w:bookmarkStart w:id="1613" w:name="_Toc9178"/>
      <w:bookmarkStart w:id="1614" w:name="_Toc18567"/>
      <w:bookmarkStart w:id="1615" w:name="_Toc10330"/>
      <w:bookmarkStart w:id="1616" w:name="_Toc19154"/>
      <w:bookmarkStart w:id="1617" w:name="_Toc16663"/>
      <w:bookmarkStart w:id="1618" w:name="_Toc15261"/>
      <w:bookmarkStart w:id="1619" w:name="_Toc5796"/>
      <w:bookmarkStart w:id="1620" w:name="_Toc21181"/>
      <w:bookmarkStart w:id="1621" w:name="_Toc13041"/>
      <w:bookmarkStart w:id="1622" w:name="_Toc16880"/>
      <w:bookmarkStart w:id="1623" w:name="_Toc15868"/>
      <w:bookmarkStart w:id="1624" w:name="_Toc9626"/>
      <w:bookmarkStart w:id="1625" w:name="_Toc259093692"/>
      <w:bookmarkStart w:id="1626" w:name="_Toc279701263"/>
      <w:bookmarkStart w:id="1627" w:name="_Toc487900373"/>
      <w:bookmarkStart w:id="1628" w:name="_Toc13131"/>
      <w:bookmarkStart w:id="1629" w:name="_Toc28784"/>
      <w:bookmarkStart w:id="1630" w:name="_Toc15288"/>
      <w:bookmarkStart w:id="1631" w:name="_Toc11130"/>
      <w:bookmarkStart w:id="1632" w:name="_Toc20624"/>
      <w:r>
        <w:rPr>
          <w:rFonts w:hint="eastAsia" w:ascii="微软雅黑" w:hAnsi="微软雅黑" w:eastAsia="微软雅黑" w:cs="微软雅黑"/>
          <w:b/>
          <w:bCs/>
          <w:sz w:val="24"/>
        </w:rPr>
        <w:t>2.20 合同使用的文字和适用的法律</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2.20.1 合同使用汉语书就、变更和解释；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2.20.2 合同适用中华人民共和国法律。</w:t>
      </w:r>
    </w:p>
    <w:p>
      <w:pPr>
        <w:ind w:firstLine="480" w:firstLineChars="200"/>
        <w:outlineLvl w:val="0"/>
        <w:rPr>
          <w:rFonts w:ascii="微软雅黑" w:hAnsi="微软雅黑" w:eastAsia="微软雅黑" w:cs="微软雅黑"/>
          <w:b/>
          <w:bCs/>
          <w:sz w:val="24"/>
        </w:rPr>
      </w:pPr>
      <w:bookmarkStart w:id="1633" w:name="_Toc279701264"/>
      <w:bookmarkStart w:id="1634" w:name="_Toc3148"/>
      <w:bookmarkStart w:id="1635" w:name="_Toc14964"/>
      <w:bookmarkStart w:id="1636" w:name="_Toc3838"/>
      <w:bookmarkStart w:id="1637" w:name="_Toc7159"/>
      <w:bookmarkStart w:id="1638" w:name="_Toc32497"/>
      <w:bookmarkStart w:id="1639" w:name="_Toc12004"/>
      <w:bookmarkStart w:id="1640" w:name="_Toc15434"/>
      <w:bookmarkStart w:id="1641" w:name="_Toc1670"/>
      <w:bookmarkStart w:id="1642" w:name="_Toc14308"/>
      <w:bookmarkStart w:id="1643" w:name="_Toc25551"/>
      <w:bookmarkStart w:id="1644" w:name="_Toc18845"/>
      <w:bookmarkStart w:id="1645" w:name="_Toc5000"/>
      <w:bookmarkStart w:id="1646" w:name="_Toc26372"/>
      <w:bookmarkStart w:id="1647" w:name="_Toc28767"/>
      <w:bookmarkStart w:id="1648" w:name="_Toc259093693"/>
      <w:bookmarkStart w:id="1649" w:name="_Toc22858"/>
      <w:bookmarkStart w:id="1650" w:name="_Toc31421"/>
      <w:bookmarkStart w:id="1651" w:name="_Toc11628"/>
      <w:bookmarkStart w:id="1652" w:name="_Toc5571"/>
      <w:bookmarkStart w:id="1653" w:name="_Toc638"/>
      <w:bookmarkStart w:id="1654" w:name="_Toc12711"/>
      <w:bookmarkStart w:id="1655" w:name="_Toc29073"/>
      <w:bookmarkStart w:id="1656" w:name="_Toc9739"/>
      <w:bookmarkStart w:id="1657" w:name="_Toc30675"/>
      <w:bookmarkStart w:id="1658" w:name="_Toc31790"/>
      <w:bookmarkStart w:id="1659" w:name="_Toc16673"/>
      <w:bookmarkStart w:id="1660" w:name="_Toc8602"/>
      <w:bookmarkStart w:id="1661" w:name="_Toc487900374"/>
      <w:r>
        <w:rPr>
          <w:rFonts w:hint="eastAsia" w:ascii="微软雅黑" w:hAnsi="微软雅黑" w:eastAsia="微软雅黑" w:cs="微软雅黑"/>
          <w:b/>
          <w:bCs/>
          <w:sz w:val="24"/>
        </w:rPr>
        <w:t>2.21 履约保证金</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2.21.1 采购文件要求乙方提交履约保证金的，乙方应按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约定的方式，以支票、汇票、本票或者金融机构、担保机构出具的保函等非现金形式，提交不超过合同价10%的履约保证金；</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2.21.2  履约保证金在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约定期间内或者货物质量保证期内不予退还或者应完全有效，前述约定期间届满或者货物质量保证期届满之日起</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个工作日内，甲方应将履约保证金退还乙方；</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1"/>
    <w:p>
      <w:pPr>
        <w:ind w:firstLine="480" w:firstLineChars="200"/>
        <w:outlineLvl w:val="0"/>
        <w:rPr>
          <w:rFonts w:ascii="微软雅黑" w:hAnsi="微软雅黑" w:eastAsia="微软雅黑" w:cs="微软雅黑"/>
          <w:b/>
          <w:bCs/>
          <w:sz w:val="24"/>
        </w:rPr>
      </w:pPr>
      <w:bookmarkStart w:id="1662" w:name="_Toc30847"/>
      <w:bookmarkStart w:id="1663" w:name="_Toc25691"/>
      <w:bookmarkStart w:id="1664" w:name="_Toc8867"/>
      <w:bookmarkStart w:id="1665" w:name="_Toc19890"/>
      <w:bookmarkStart w:id="1666" w:name="_Toc30496"/>
      <w:bookmarkStart w:id="1667" w:name="_Toc23799"/>
      <w:bookmarkStart w:id="1668" w:name="_Toc12034"/>
      <w:bookmarkStart w:id="1669" w:name="_Toc24807"/>
      <w:bookmarkStart w:id="1670" w:name="_Toc27563"/>
      <w:bookmarkStart w:id="1671" w:name="_Toc20802"/>
      <w:bookmarkStart w:id="1672" w:name="_Toc2720"/>
      <w:bookmarkStart w:id="1673" w:name="_Toc22821"/>
      <w:bookmarkStart w:id="1674" w:name="_Toc21772"/>
      <w:bookmarkStart w:id="1675" w:name="_Toc32408"/>
      <w:bookmarkStart w:id="1676" w:name="_Toc4077"/>
      <w:bookmarkStart w:id="1677" w:name="_Toc14217"/>
      <w:bookmarkStart w:id="1678" w:name="_Toc6885"/>
      <w:bookmarkStart w:id="1679" w:name="_Toc22496"/>
      <w:bookmarkStart w:id="1680" w:name="_Toc16431"/>
      <w:bookmarkStart w:id="1681" w:name="_Toc24006"/>
      <w:bookmarkStart w:id="1682" w:name="_Toc10801"/>
      <w:bookmarkStart w:id="1683" w:name="_Toc8495"/>
      <w:bookmarkStart w:id="1684" w:name="_Toc14001"/>
      <w:bookmarkStart w:id="1685" w:name="_Toc16450"/>
      <w:bookmarkStart w:id="1686" w:name="_Toc17310"/>
      <w:bookmarkStart w:id="1687" w:name="_Toc11103"/>
      <w:r>
        <w:rPr>
          <w:rFonts w:hint="eastAsia" w:ascii="微软雅黑" w:hAnsi="微软雅黑" w:eastAsia="微软雅黑" w:cs="微软雅黑"/>
          <w:b/>
          <w:bCs/>
          <w:sz w:val="24"/>
        </w:rPr>
        <w:t>2.22 合同份数</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合同份数按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规定，每份均具有同等法律效力。</w:t>
      </w:r>
    </w:p>
    <w:p>
      <w:pPr>
        <w:pStyle w:val="54"/>
        <w:ind w:firstLine="0"/>
        <w:jc w:val="center"/>
        <w:rPr>
          <w:rFonts w:ascii="微软雅黑" w:hAnsi="微软雅黑" w:eastAsia="微软雅黑" w:cs="微软雅黑"/>
          <w:b/>
          <w:bCs/>
          <w:szCs w:val="24"/>
        </w:rPr>
      </w:pPr>
      <w:bookmarkStart w:id="1688" w:name="_Toc331685784"/>
    </w:p>
    <w:p>
      <w:pPr>
        <w:pStyle w:val="54"/>
        <w:ind w:firstLine="0"/>
        <w:jc w:val="both"/>
        <w:rPr>
          <w:rFonts w:ascii="微软雅黑" w:hAnsi="微软雅黑" w:eastAsia="微软雅黑" w:cs="微软雅黑"/>
          <w:b/>
          <w:bCs/>
          <w:szCs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第三部分  合同专用条款</w:t>
      </w:r>
      <w:bookmarkEnd w:id="1688"/>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条款号</w:t>
            </w:r>
          </w:p>
        </w:tc>
        <w:tc>
          <w:tcPr>
            <w:tcW w:w="7633" w:type="dxa"/>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bl>
    <w:p>
      <w:pPr>
        <w:pStyle w:val="2"/>
        <w:snapToGrid w:val="0"/>
        <w:ind w:firstLine="0"/>
        <w:textAlignment w:val="baseline"/>
        <w:rPr>
          <w:rFonts w:ascii="微软雅黑" w:hAnsi="微软雅黑" w:eastAsia="微软雅黑" w:cs="微软雅黑"/>
          <w:szCs w:val="24"/>
        </w:rPr>
      </w:pPr>
    </w:p>
    <w:sectPr>
      <w:headerReference r:id="rId12" w:type="default"/>
      <w:footerReference r:id="rId13" w:type="default"/>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3k+fKAQAAkg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KCMycsvfn596/zn3/n&#10;vz/ZdXKoC1jSwftwB1OGFCa5fQM2fUkI6wdXTxdXVR+ZpM1itVyt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3k+fKAQAAkgMAAA4AAAAAAAAAAQAgAAAAHwEAAGRycy9lMm9E&#10;b2MueG1sUEsFBgAAAAAGAAYAWQEAAFs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JJmlZWvAQAA&#10;gAMAAA4AAAAAAAAAAQAgAAAAHwEAAGRycy9lMm9Eb2MueG1sUEsFBgAAAAAGAAYAWQEAAEAFAAAA&#10;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tC2rKAQAAkgMAAA4AAABkcnMvZTJvRG9jLnhtbK1TzY7TMBC+I/EO&#10;lu80abWg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I1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6tC2rKAQAAkgMAAA4AAAAAAAAAAQAgAAAAHwEAAGRycy9lMm9E&#10;b2MueG1sUEsFBgAAAAAGAAYAWQEAAFs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double" w:color="auto" w:sz="8"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353FD"/>
    <w:multiLevelType w:val="singleLevel"/>
    <w:tmpl w:val="D76353FD"/>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1216518B"/>
    <w:multiLevelType w:val="singleLevel"/>
    <w:tmpl w:val="1216518B"/>
    <w:lvl w:ilvl="0" w:tentative="0">
      <w:start w:val="2"/>
      <w:numFmt w:val="decimal"/>
      <w:suff w:val="nothing"/>
      <w:lvlText w:val="%1、"/>
      <w:lvlJc w:val="left"/>
    </w:lvl>
  </w:abstractNum>
  <w:abstractNum w:abstractNumId="5">
    <w:nsid w:val="4BD70471"/>
    <w:multiLevelType w:val="singleLevel"/>
    <w:tmpl w:val="4BD70471"/>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NjY4YjY3OTNjNmE2NWU1ZTg2MjFkYmI5YzNiZTkifQ=="/>
  </w:docVars>
  <w:rsids>
    <w:rsidRoot w:val="00A2385F"/>
    <w:rsid w:val="000F38AC"/>
    <w:rsid w:val="0095072D"/>
    <w:rsid w:val="00A2385F"/>
    <w:rsid w:val="015F799E"/>
    <w:rsid w:val="01C8665F"/>
    <w:rsid w:val="01F91A55"/>
    <w:rsid w:val="0357490B"/>
    <w:rsid w:val="037A7357"/>
    <w:rsid w:val="038F46AF"/>
    <w:rsid w:val="03D537F4"/>
    <w:rsid w:val="03E0794E"/>
    <w:rsid w:val="058E6362"/>
    <w:rsid w:val="05F73C41"/>
    <w:rsid w:val="0623110D"/>
    <w:rsid w:val="08BD64A0"/>
    <w:rsid w:val="08E774C9"/>
    <w:rsid w:val="0A3A1714"/>
    <w:rsid w:val="0AC7367C"/>
    <w:rsid w:val="0B621250"/>
    <w:rsid w:val="0C521CE9"/>
    <w:rsid w:val="0CAD23B9"/>
    <w:rsid w:val="0D7455A3"/>
    <w:rsid w:val="0DD405FA"/>
    <w:rsid w:val="0EAB58E7"/>
    <w:rsid w:val="0F005241"/>
    <w:rsid w:val="0F6B200C"/>
    <w:rsid w:val="1000305A"/>
    <w:rsid w:val="10101588"/>
    <w:rsid w:val="10FC5772"/>
    <w:rsid w:val="110479E2"/>
    <w:rsid w:val="123511CC"/>
    <w:rsid w:val="139F773F"/>
    <w:rsid w:val="13D26C95"/>
    <w:rsid w:val="148574A7"/>
    <w:rsid w:val="14A82C52"/>
    <w:rsid w:val="151A3941"/>
    <w:rsid w:val="15CE57D6"/>
    <w:rsid w:val="1634517A"/>
    <w:rsid w:val="165767A3"/>
    <w:rsid w:val="178C0BA2"/>
    <w:rsid w:val="17F80002"/>
    <w:rsid w:val="18C20499"/>
    <w:rsid w:val="18D6574D"/>
    <w:rsid w:val="19164ED0"/>
    <w:rsid w:val="19314B62"/>
    <w:rsid w:val="1C207D0F"/>
    <w:rsid w:val="1CDA25A1"/>
    <w:rsid w:val="1D277877"/>
    <w:rsid w:val="1D743260"/>
    <w:rsid w:val="1FFF4ECD"/>
    <w:rsid w:val="22245E0F"/>
    <w:rsid w:val="22815279"/>
    <w:rsid w:val="22AC6FF8"/>
    <w:rsid w:val="230848F4"/>
    <w:rsid w:val="237C678F"/>
    <w:rsid w:val="23D14939"/>
    <w:rsid w:val="23DD7E55"/>
    <w:rsid w:val="240903CF"/>
    <w:rsid w:val="24F6601B"/>
    <w:rsid w:val="2519147E"/>
    <w:rsid w:val="263409D8"/>
    <w:rsid w:val="272A101D"/>
    <w:rsid w:val="27872A26"/>
    <w:rsid w:val="27E36205"/>
    <w:rsid w:val="281401B5"/>
    <w:rsid w:val="286478B1"/>
    <w:rsid w:val="290704EB"/>
    <w:rsid w:val="29B72037"/>
    <w:rsid w:val="2A302281"/>
    <w:rsid w:val="2A81244C"/>
    <w:rsid w:val="2AED3A81"/>
    <w:rsid w:val="2AFD4BC9"/>
    <w:rsid w:val="2B0B7174"/>
    <w:rsid w:val="2B126D70"/>
    <w:rsid w:val="2E520033"/>
    <w:rsid w:val="2EE74CC4"/>
    <w:rsid w:val="2F5A3596"/>
    <w:rsid w:val="2F7C05F5"/>
    <w:rsid w:val="2FC736C3"/>
    <w:rsid w:val="30146B38"/>
    <w:rsid w:val="30A92F6D"/>
    <w:rsid w:val="310830DD"/>
    <w:rsid w:val="32013655"/>
    <w:rsid w:val="32823B2C"/>
    <w:rsid w:val="33FC7332"/>
    <w:rsid w:val="34140466"/>
    <w:rsid w:val="34322C38"/>
    <w:rsid w:val="3463797D"/>
    <w:rsid w:val="353C17D5"/>
    <w:rsid w:val="35413331"/>
    <w:rsid w:val="3584022D"/>
    <w:rsid w:val="37534C3F"/>
    <w:rsid w:val="38332A6A"/>
    <w:rsid w:val="3A020D2D"/>
    <w:rsid w:val="3A05121A"/>
    <w:rsid w:val="3A7047C3"/>
    <w:rsid w:val="3B9A58DA"/>
    <w:rsid w:val="3CE55790"/>
    <w:rsid w:val="3E1E0C36"/>
    <w:rsid w:val="41F01892"/>
    <w:rsid w:val="4229039A"/>
    <w:rsid w:val="426865E9"/>
    <w:rsid w:val="441722AF"/>
    <w:rsid w:val="44E9040B"/>
    <w:rsid w:val="453B195E"/>
    <w:rsid w:val="454642B2"/>
    <w:rsid w:val="46C77189"/>
    <w:rsid w:val="47B854A7"/>
    <w:rsid w:val="489B0B03"/>
    <w:rsid w:val="48FE05B4"/>
    <w:rsid w:val="4A5613B9"/>
    <w:rsid w:val="4A7A248C"/>
    <w:rsid w:val="4AB01740"/>
    <w:rsid w:val="4B752CD7"/>
    <w:rsid w:val="4F440D42"/>
    <w:rsid w:val="4FC15398"/>
    <w:rsid w:val="508B2644"/>
    <w:rsid w:val="5194281F"/>
    <w:rsid w:val="52DB0053"/>
    <w:rsid w:val="536C41FF"/>
    <w:rsid w:val="54E13EC1"/>
    <w:rsid w:val="557F487D"/>
    <w:rsid w:val="55F35D59"/>
    <w:rsid w:val="564A1244"/>
    <w:rsid w:val="56B01A40"/>
    <w:rsid w:val="5A1D50FD"/>
    <w:rsid w:val="5BB417E9"/>
    <w:rsid w:val="5BF668B3"/>
    <w:rsid w:val="5CC82976"/>
    <w:rsid w:val="5DB54F91"/>
    <w:rsid w:val="5E1D07CE"/>
    <w:rsid w:val="5FFB117B"/>
    <w:rsid w:val="60210872"/>
    <w:rsid w:val="60C76855"/>
    <w:rsid w:val="62383234"/>
    <w:rsid w:val="62F3173B"/>
    <w:rsid w:val="63582DE4"/>
    <w:rsid w:val="63754DC9"/>
    <w:rsid w:val="63B40255"/>
    <w:rsid w:val="644A2608"/>
    <w:rsid w:val="6489776B"/>
    <w:rsid w:val="64AE2680"/>
    <w:rsid w:val="65274743"/>
    <w:rsid w:val="66325FB6"/>
    <w:rsid w:val="665D2FCE"/>
    <w:rsid w:val="667B0788"/>
    <w:rsid w:val="66F01AFE"/>
    <w:rsid w:val="671C1C79"/>
    <w:rsid w:val="6753700F"/>
    <w:rsid w:val="68365B9D"/>
    <w:rsid w:val="69145FFC"/>
    <w:rsid w:val="693D63AD"/>
    <w:rsid w:val="694420C2"/>
    <w:rsid w:val="6964737C"/>
    <w:rsid w:val="69F20D98"/>
    <w:rsid w:val="6AF53C10"/>
    <w:rsid w:val="6B916EFE"/>
    <w:rsid w:val="6BA90BFA"/>
    <w:rsid w:val="6E330BE2"/>
    <w:rsid w:val="6F4F63A9"/>
    <w:rsid w:val="70E066B6"/>
    <w:rsid w:val="70E900C9"/>
    <w:rsid w:val="71F4477B"/>
    <w:rsid w:val="740A4EF9"/>
    <w:rsid w:val="76457868"/>
    <w:rsid w:val="76D36F81"/>
    <w:rsid w:val="783C0878"/>
    <w:rsid w:val="78B05D33"/>
    <w:rsid w:val="7AB90AA5"/>
    <w:rsid w:val="7CF61934"/>
    <w:rsid w:val="7DA44C8F"/>
    <w:rsid w:val="7EC9085D"/>
    <w:rsid w:val="7EEE138D"/>
    <w:rsid w:val="7F1B1D7C"/>
    <w:rsid w:val="7F8E776A"/>
    <w:rsid w:val="7FAC155A"/>
    <w:rsid w:val="7FD3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6"/>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78"/>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Document Map"/>
    <w:basedOn w:val="1"/>
    <w:link w:val="70"/>
    <w:qFormat/>
    <w:uiPriority w:val="0"/>
    <w:rPr>
      <w:rFonts w:ascii="宋体"/>
      <w:sz w:val="18"/>
      <w:szCs w:val="18"/>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76"/>
    <w:qFormat/>
    <w:uiPriority w:val="99"/>
    <w:pPr>
      <w:jc w:val="left"/>
    </w:pPr>
  </w:style>
  <w:style w:type="paragraph" w:styleId="11">
    <w:name w:val="Body Text"/>
    <w:basedOn w:val="1"/>
    <w:next w:val="1"/>
    <w:link w:val="75"/>
    <w:qFormat/>
    <w:uiPriority w:val="0"/>
    <w:pPr>
      <w:tabs>
        <w:tab w:val="left" w:pos="567"/>
      </w:tabs>
      <w:spacing w:before="120" w:line="22" w:lineRule="atLeast"/>
    </w:pPr>
    <w:rPr>
      <w:rFonts w:ascii="宋体" w:hAnsi="宋体"/>
      <w:sz w:val="24"/>
    </w:rPr>
  </w:style>
  <w:style w:type="paragraph" w:styleId="12">
    <w:name w:val="Body Text Indent"/>
    <w:basedOn w:val="1"/>
    <w:qFormat/>
    <w:uiPriority w:val="0"/>
    <w:pPr>
      <w:spacing w:line="360" w:lineRule="auto"/>
      <w:ind w:firstLine="570"/>
    </w:pPr>
    <w:rPr>
      <w:sz w:val="24"/>
    </w:rPr>
  </w:style>
  <w:style w:type="paragraph" w:styleId="13">
    <w:name w:val="Block Text"/>
    <w:basedOn w:val="1"/>
    <w:qFormat/>
    <w:uiPriority w:val="99"/>
    <w:pPr>
      <w:spacing w:after="120"/>
      <w:ind w:left="1440" w:leftChars="700" w:right="1440" w:rightChars="700"/>
    </w:pPr>
  </w:style>
  <w:style w:type="paragraph" w:styleId="14">
    <w:name w:val="toc 5"/>
    <w:basedOn w:val="1"/>
    <w:next w:val="1"/>
    <w:qFormat/>
    <w:uiPriority w:val="39"/>
    <w:pPr>
      <w:ind w:left="1680" w:leftChars="800"/>
    </w:pPr>
  </w:style>
  <w:style w:type="paragraph" w:styleId="15">
    <w:name w:val="toc 3"/>
    <w:basedOn w:val="1"/>
    <w:next w:val="1"/>
    <w:qFormat/>
    <w:uiPriority w:val="39"/>
    <w:pPr>
      <w:tabs>
        <w:tab w:val="left" w:pos="1260"/>
        <w:tab w:val="right" w:leader="dot" w:pos="8630"/>
      </w:tabs>
      <w:ind w:left="840" w:leftChars="400"/>
    </w:pPr>
  </w:style>
  <w:style w:type="paragraph" w:styleId="16">
    <w:name w:val="Plain Text"/>
    <w:basedOn w:val="1"/>
    <w:link w:val="74"/>
    <w:qFormat/>
    <w:uiPriority w:val="0"/>
    <w:rPr>
      <w:rFonts w:ascii="宋体" w:hAnsi="Courier New"/>
      <w:szCs w:val="20"/>
    </w:rPr>
  </w:style>
  <w:style w:type="paragraph" w:styleId="17">
    <w:name w:val="toc 8"/>
    <w:basedOn w:val="1"/>
    <w:next w:val="1"/>
    <w:qFormat/>
    <w:uiPriority w:val="39"/>
    <w:pPr>
      <w:ind w:left="2940" w:leftChars="1400"/>
    </w:pPr>
  </w:style>
  <w:style w:type="paragraph" w:styleId="18">
    <w:name w:val="Date"/>
    <w:basedOn w:val="1"/>
    <w:next w:val="1"/>
    <w:link w:val="71"/>
    <w:qFormat/>
    <w:uiPriority w:val="0"/>
    <w:pPr>
      <w:ind w:left="100" w:leftChars="2500"/>
    </w:pPr>
    <w:rPr>
      <w:rFonts w:ascii="仿宋_GB2312" w:hAnsi="宋体" w:eastAsia="仿宋_GB2312"/>
      <w:color w:val="000000"/>
      <w:sz w:val="24"/>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67"/>
    <w:qFormat/>
    <w:uiPriority w:val="0"/>
    <w:rPr>
      <w:sz w:val="18"/>
      <w:szCs w:val="18"/>
    </w:rPr>
  </w:style>
  <w:style w:type="paragraph" w:styleId="21">
    <w:name w:val="footer"/>
    <w:basedOn w:val="1"/>
    <w:link w:val="6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footnote text"/>
    <w:basedOn w:val="1"/>
    <w:qFormat/>
    <w:uiPriority w:val="0"/>
    <w:pPr>
      <w:snapToGrid w:val="0"/>
      <w:jc w:val="left"/>
    </w:pPr>
    <w:rPr>
      <w:sz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qFormat/>
    <w:uiPriority w:val="99"/>
    <w:pPr>
      <w:spacing w:before="75" w:after="75"/>
      <w:jc w:val="left"/>
    </w:pPr>
    <w:rPr>
      <w:kern w:val="0"/>
      <w:sz w:val="24"/>
    </w:rPr>
  </w:style>
  <w:style w:type="paragraph" w:styleId="31">
    <w:name w:val="index 1"/>
    <w:basedOn w:val="1"/>
    <w:next w:val="1"/>
    <w:qFormat/>
    <w:uiPriority w:val="0"/>
    <w:rPr>
      <w:szCs w:val="20"/>
    </w:rPr>
  </w:style>
  <w:style w:type="paragraph" w:styleId="32">
    <w:name w:val="annotation subject"/>
    <w:basedOn w:val="10"/>
    <w:next w:val="10"/>
    <w:link w:val="77"/>
    <w:qFormat/>
    <w:uiPriority w:val="0"/>
    <w:rPr>
      <w:b/>
      <w:bCs/>
    </w:rPr>
  </w:style>
  <w:style w:type="paragraph" w:styleId="33">
    <w:name w:val="Body Text First Indent"/>
    <w:basedOn w:val="11"/>
    <w:next w:val="1"/>
    <w:qFormat/>
    <w:uiPriority w:val="0"/>
    <w:pPr>
      <w:ind w:firstLine="420" w:firstLineChars="100"/>
    </w:pPr>
  </w:style>
  <w:style w:type="paragraph" w:styleId="34">
    <w:name w:val="Body Text First Indent 2"/>
    <w:basedOn w:val="12"/>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列出段落1"/>
    <w:basedOn w:val="1"/>
    <w:qFormat/>
    <w:uiPriority w:val="34"/>
    <w:pPr>
      <w:widowControl/>
      <w:ind w:firstLine="420" w:firstLineChars="200"/>
      <w:jc w:val="left"/>
    </w:pPr>
    <w:rPr>
      <w:kern w:val="0"/>
      <w:sz w:val="24"/>
    </w:rPr>
  </w:style>
  <w:style w:type="paragraph" w:customStyle="1" w:styleId="44">
    <w:name w:val="列出段落11"/>
    <w:basedOn w:val="1"/>
    <w:next w:val="43"/>
    <w:qFormat/>
    <w:uiPriority w:val="34"/>
    <w:pPr>
      <w:widowControl/>
      <w:ind w:firstLine="420" w:firstLineChars="200"/>
      <w:jc w:val="left"/>
    </w:pPr>
    <w:rPr>
      <w:rFonts w:ascii="宋体" w:hAnsi="宋体" w:cs="宋体"/>
      <w:kern w:val="0"/>
      <w:sz w:val="24"/>
    </w:rPr>
  </w:style>
  <w:style w:type="paragraph" w:customStyle="1" w:styleId="45">
    <w:name w:val="List Paragraph1"/>
    <w:basedOn w:val="1"/>
    <w:qFormat/>
    <w:uiPriority w:val="34"/>
    <w:pPr>
      <w:ind w:firstLine="420" w:firstLineChars="200"/>
    </w:pPr>
  </w:style>
  <w:style w:type="paragraph" w:customStyle="1" w:styleId="46">
    <w:name w:val="Table Paragraph"/>
    <w:basedOn w:val="1"/>
    <w:qFormat/>
    <w:uiPriority w:val="1"/>
    <w:pPr>
      <w:widowControl/>
      <w:jc w:val="left"/>
    </w:pPr>
    <w:rPr>
      <w:rFonts w:ascii="宋体" w:hAnsi="宋体" w:cs="宋体"/>
      <w:kern w:val="0"/>
      <w:szCs w:val="20"/>
      <w:lang w:val="zh-CN" w:bidi="zh-CN"/>
    </w:rPr>
  </w:style>
  <w:style w:type="paragraph" w:customStyle="1" w:styleId="47">
    <w:name w:val="p0"/>
    <w:basedOn w:val="1"/>
    <w:qFormat/>
    <w:uiPriority w:val="0"/>
    <w:pPr>
      <w:widowControl/>
    </w:pPr>
    <w:rPr>
      <w:kern w:val="0"/>
      <w:szCs w:val="21"/>
    </w:rPr>
  </w:style>
  <w:style w:type="paragraph" w:customStyle="1" w:styleId="48">
    <w:name w:val="图例"/>
    <w:basedOn w:val="1"/>
    <w:qFormat/>
    <w:uiPriority w:val="0"/>
    <w:pPr>
      <w:spacing w:before="120" w:after="120" w:line="360" w:lineRule="auto"/>
      <w:jc w:val="center"/>
    </w:pPr>
    <w:rPr>
      <w:rFonts w:eastAsia="仿宋_GB2312"/>
      <w:b/>
      <w:sz w:val="24"/>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正文段"/>
    <w:basedOn w:val="1"/>
    <w:qFormat/>
    <w:uiPriority w:val="0"/>
    <w:pPr>
      <w:widowControl/>
      <w:snapToGrid w:val="0"/>
      <w:spacing w:afterLines="50"/>
      <w:ind w:firstLine="200" w:firstLineChars="200"/>
    </w:pPr>
    <w:rPr>
      <w:kern w:val="0"/>
      <w:sz w:val="24"/>
    </w:rPr>
  </w:style>
  <w:style w:type="paragraph" w:customStyle="1" w:styleId="51">
    <w:name w:val="首行缩进"/>
    <w:basedOn w:val="1"/>
    <w:qFormat/>
    <w:uiPriority w:val="0"/>
    <w:pPr>
      <w:ind w:firstLine="480" w:firstLineChars="200"/>
    </w:pPr>
    <w:rPr>
      <w:lang w:val="zh-CN"/>
    </w:rPr>
  </w:style>
  <w:style w:type="paragraph" w:customStyle="1" w:styleId="52">
    <w:name w:val="纯文本1"/>
    <w:basedOn w:val="1"/>
    <w:link w:val="68"/>
    <w:qFormat/>
    <w:uiPriority w:val="0"/>
    <w:rPr>
      <w:rFonts w:ascii="宋体" w:hAnsi="Courier New"/>
      <w:kern w:val="0"/>
      <w:sz w:val="20"/>
      <w:szCs w:val="20"/>
    </w:rPr>
  </w:style>
  <w:style w:type="paragraph" w:customStyle="1" w:styleId="53">
    <w:name w:val="Char"/>
    <w:basedOn w:val="1"/>
    <w:qFormat/>
    <w:uiPriority w:val="0"/>
    <w:pPr>
      <w:tabs>
        <w:tab w:val="left" w:pos="360"/>
      </w:tabs>
    </w:pPr>
    <w:rPr>
      <w:sz w:val="24"/>
    </w:rPr>
  </w:style>
  <w:style w:type="paragraph" w:customStyle="1" w:styleId="54">
    <w:name w:val="正文缩进1"/>
    <w:basedOn w:val="1"/>
    <w:link w:val="57"/>
    <w:qFormat/>
    <w:uiPriority w:val="0"/>
    <w:pPr>
      <w:autoSpaceDE w:val="0"/>
      <w:autoSpaceDN w:val="0"/>
      <w:adjustRightInd w:val="0"/>
      <w:ind w:firstLine="420"/>
      <w:jc w:val="left"/>
    </w:pPr>
    <w:rPr>
      <w:rFonts w:ascii="宋体"/>
      <w:kern w:val="0"/>
      <w:sz w:val="24"/>
      <w:szCs w:val="2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6">
    <w:name w:val="font91"/>
    <w:basedOn w:val="37"/>
    <w:qFormat/>
    <w:uiPriority w:val="0"/>
    <w:rPr>
      <w:rFonts w:hint="eastAsia" w:ascii="宋体" w:hAnsi="宋体" w:eastAsia="宋体" w:cs="宋体"/>
      <w:color w:val="000000"/>
      <w:sz w:val="20"/>
      <w:szCs w:val="20"/>
      <w:u w:val="none"/>
      <w:vertAlign w:val="subscript"/>
    </w:rPr>
  </w:style>
  <w:style w:type="character" w:customStyle="1" w:styleId="57">
    <w:name w:val="正文缩进 Char1"/>
    <w:link w:val="54"/>
    <w:qFormat/>
    <w:uiPriority w:val="0"/>
    <w:rPr>
      <w:rFonts w:ascii="宋体"/>
      <w:sz w:val="24"/>
    </w:rPr>
  </w:style>
  <w:style w:type="character" w:customStyle="1" w:styleId="58">
    <w:name w:val="批注主题 Char1"/>
    <w:qFormat/>
    <w:uiPriority w:val="99"/>
    <w:rPr>
      <w:b/>
      <w:bCs/>
      <w:kern w:val="2"/>
      <w:sz w:val="21"/>
      <w:szCs w:val="24"/>
    </w:rPr>
  </w:style>
  <w:style w:type="character" w:customStyle="1" w:styleId="59">
    <w:name w:val="font31"/>
    <w:basedOn w:val="37"/>
    <w:qFormat/>
    <w:uiPriority w:val="0"/>
    <w:rPr>
      <w:rFonts w:hint="eastAsia" w:ascii="宋体" w:hAnsi="宋体" w:eastAsia="宋体" w:cs="宋体"/>
      <w:color w:val="404040"/>
      <w:sz w:val="20"/>
      <w:szCs w:val="20"/>
      <w:u w:val="none"/>
    </w:rPr>
  </w:style>
  <w:style w:type="character" w:customStyle="1" w:styleId="60">
    <w:name w:val="font61"/>
    <w:basedOn w:val="37"/>
    <w:qFormat/>
    <w:uiPriority w:val="0"/>
    <w:rPr>
      <w:rFonts w:hint="eastAsia" w:ascii="宋体" w:hAnsi="宋体" w:eastAsia="宋体" w:cs="宋体"/>
      <w:color w:val="333333"/>
      <w:sz w:val="20"/>
      <w:szCs w:val="20"/>
      <w:u w:val="none"/>
    </w:rPr>
  </w:style>
  <w:style w:type="character" w:customStyle="1" w:styleId="61">
    <w:name w:val="页眉 字符"/>
    <w:link w:val="22"/>
    <w:qFormat/>
    <w:uiPriority w:val="99"/>
    <w:rPr>
      <w:kern w:val="2"/>
      <w:sz w:val="18"/>
      <w:szCs w:val="18"/>
    </w:rPr>
  </w:style>
  <w:style w:type="character" w:customStyle="1" w:styleId="62">
    <w:name w:val="批注文字 Char1"/>
    <w:qFormat/>
    <w:uiPriority w:val="99"/>
    <w:rPr>
      <w:kern w:val="2"/>
      <w:sz w:val="21"/>
      <w:szCs w:val="24"/>
    </w:rPr>
  </w:style>
  <w:style w:type="character" w:customStyle="1" w:styleId="63">
    <w:name w:val="font41"/>
    <w:basedOn w:val="37"/>
    <w:qFormat/>
    <w:uiPriority w:val="0"/>
    <w:rPr>
      <w:rFonts w:hint="eastAsia" w:ascii="宋体" w:hAnsi="宋体" w:eastAsia="宋体" w:cs="宋体"/>
      <w:color w:val="000000"/>
      <w:sz w:val="20"/>
      <w:szCs w:val="20"/>
      <w:u w:val="none"/>
    </w:rPr>
  </w:style>
  <w:style w:type="character" w:customStyle="1" w:styleId="64">
    <w:name w:val="页脚 字符"/>
    <w:link w:val="21"/>
    <w:qFormat/>
    <w:uiPriority w:val="99"/>
    <w:rPr>
      <w:rFonts w:ascii="宋体"/>
      <w:sz w:val="18"/>
    </w:rPr>
  </w:style>
  <w:style w:type="character" w:customStyle="1" w:styleId="65">
    <w:name w:val="font101"/>
    <w:basedOn w:val="37"/>
    <w:qFormat/>
    <w:uiPriority w:val="0"/>
    <w:rPr>
      <w:rFonts w:hint="eastAsia" w:ascii="宋体" w:hAnsi="宋体" w:eastAsia="宋体" w:cs="宋体"/>
      <w:color w:val="000000"/>
      <w:sz w:val="20"/>
      <w:szCs w:val="20"/>
      <w:u w:val="none"/>
    </w:rPr>
  </w:style>
  <w:style w:type="character" w:customStyle="1" w:styleId="66">
    <w:name w:val="标题 2 字符"/>
    <w:link w:val="4"/>
    <w:qFormat/>
    <w:uiPriority w:val="0"/>
    <w:rPr>
      <w:rFonts w:ascii="Arial" w:hAnsi="Arial" w:eastAsia="黑体"/>
      <w:b/>
      <w:sz w:val="30"/>
    </w:rPr>
  </w:style>
  <w:style w:type="character" w:customStyle="1" w:styleId="67">
    <w:name w:val="批注框文本 字符"/>
    <w:link w:val="20"/>
    <w:qFormat/>
    <w:uiPriority w:val="0"/>
    <w:rPr>
      <w:kern w:val="2"/>
      <w:sz w:val="18"/>
      <w:szCs w:val="18"/>
    </w:rPr>
  </w:style>
  <w:style w:type="character" w:customStyle="1" w:styleId="68">
    <w:name w:val="纯文本 Char1"/>
    <w:link w:val="52"/>
    <w:qFormat/>
    <w:uiPriority w:val="0"/>
    <w:rPr>
      <w:rFonts w:ascii="宋体" w:hAnsi="Courier New"/>
    </w:rPr>
  </w:style>
  <w:style w:type="character" w:customStyle="1" w:styleId="69">
    <w:name w:val="font81"/>
    <w:basedOn w:val="37"/>
    <w:qFormat/>
    <w:uiPriority w:val="0"/>
    <w:rPr>
      <w:rFonts w:hint="eastAsia" w:ascii="宋体" w:hAnsi="宋体" w:eastAsia="宋体" w:cs="宋体"/>
      <w:color w:val="404040"/>
      <w:sz w:val="20"/>
      <w:szCs w:val="20"/>
      <w:u w:val="none"/>
    </w:rPr>
  </w:style>
  <w:style w:type="character" w:customStyle="1" w:styleId="70">
    <w:name w:val="文档结构图 字符"/>
    <w:basedOn w:val="37"/>
    <w:link w:val="8"/>
    <w:qFormat/>
    <w:uiPriority w:val="0"/>
    <w:rPr>
      <w:rFonts w:ascii="宋体"/>
      <w:kern w:val="2"/>
      <w:sz w:val="18"/>
      <w:szCs w:val="18"/>
    </w:rPr>
  </w:style>
  <w:style w:type="character" w:customStyle="1" w:styleId="71">
    <w:name w:val="日期 字符"/>
    <w:link w:val="18"/>
    <w:qFormat/>
    <w:uiPriority w:val="0"/>
    <w:rPr>
      <w:rFonts w:ascii="仿宋_GB2312" w:hAnsi="宋体" w:eastAsia="仿宋_GB2312"/>
      <w:color w:val="000000"/>
      <w:kern w:val="2"/>
      <w:sz w:val="24"/>
      <w:szCs w:val="24"/>
    </w:rPr>
  </w:style>
  <w:style w:type="character" w:customStyle="1" w:styleId="72">
    <w:name w:val="页眉 Char1"/>
    <w:qFormat/>
    <w:uiPriority w:val="99"/>
    <w:rPr>
      <w:kern w:val="2"/>
      <w:sz w:val="18"/>
      <w:szCs w:val="18"/>
    </w:rPr>
  </w:style>
  <w:style w:type="character" w:customStyle="1" w:styleId="73">
    <w:name w:val="批注框文本 Char1"/>
    <w:qFormat/>
    <w:uiPriority w:val="99"/>
    <w:rPr>
      <w:kern w:val="2"/>
      <w:sz w:val="18"/>
      <w:szCs w:val="18"/>
    </w:rPr>
  </w:style>
  <w:style w:type="character" w:customStyle="1" w:styleId="74">
    <w:name w:val="纯文本 字符"/>
    <w:link w:val="16"/>
    <w:qFormat/>
    <w:uiPriority w:val="0"/>
    <w:rPr>
      <w:rFonts w:ascii="宋体" w:hAnsi="Courier New"/>
      <w:kern w:val="2"/>
      <w:sz w:val="21"/>
    </w:rPr>
  </w:style>
  <w:style w:type="character" w:customStyle="1" w:styleId="75">
    <w:name w:val="正文文本 字符"/>
    <w:link w:val="11"/>
    <w:qFormat/>
    <w:uiPriority w:val="0"/>
    <w:rPr>
      <w:rFonts w:ascii="宋体" w:hAnsi="宋体"/>
      <w:kern w:val="2"/>
      <w:sz w:val="24"/>
      <w:szCs w:val="24"/>
    </w:rPr>
  </w:style>
  <w:style w:type="character" w:customStyle="1" w:styleId="76">
    <w:name w:val="批注文字 字符"/>
    <w:link w:val="10"/>
    <w:qFormat/>
    <w:uiPriority w:val="99"/>
    <w:rPr>
      <w:kern w:val="2"/>
      <w:sz w:val="21"/>
      <w:szCs w:val="24"/>
    </w:rPr>
  </w:style>
  <w:style w:type="character" w:customStyle="1" w:styleId="77">
    <w:name w:val="批注主题 字符"/>
    <w:link w:val="32"/>
    <w:qFormat/>
    <w:uiPriority w:val="0"/>
    <w:rPr>
      <w:b/>
      <w:bCs/>
      <w:kern w:val="2"/>
      <w:sz w:val="21"/>
      <w:szCs w:val="24"/>
    </w:rPr>
  </w:style>
  <w:style w:type="character" w:customStyle="1" w:styleId="78">
    <w:name w:val="标题 3 字符"/>
    <w:link w:val="5"/>
    <w:qFormat/>
    <w:uiPriority w:val="0"/>
    <w:rPr>
      <w:rFonts w:ascii="宋体"/>
      <w:b/>
      <w:sz w:val="24"/>
      <w:u w:val="single"/>
    </w:rPr>
  </w:style>
  <w:style w:type="character" w:customStyle="1" w:styleId="79">
    <w:name w:val="标题 1 字符"/>
    <w:link w:val="3"/>
    <w:qFormat/>
    <w:uiPriority w:val="0"/>
    <w:rPr>
      <w:rFonts w:ascii="宋体"/>
      <w:b/>
      <w:kern w:val="44"/>
      <w:sz w:val="32"/>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样式 正文（首行缩进两字） + 首行缩进:  2 字符2"/>
    <w:basedOn w:val="2"/>
    <w:qFormat/>
    <w:uiPriority w:val="0"/>
    <w:pPr>
      <w:spacing w:line="360" w:lineRule="auto"/>
      <w:ind w:firstLine="0"/>
      <w:textAlignment w:val="baseline"/>
    </w:pPr>
    <w:rPr>
      <w:rFonts w:hAnsi="宋体" w:eastAsia="楷体_GB2312" w:cs="宋体"/>
      <w:bCs/>
      <w:kern w:val="2"/>
      <w:sz w:val="21"/>
      <w:szCs w:val="21"/>
    </w:rPr>
  </w:style>
  <w:style w:type="paragraph" w:customStyle="1" w:styleId="82">
    <w:name w:val="PlainText"/>
    <w:basedOn w:val="1"/>
    <w:qFormat/>
    <w:uiPriority w:val="0"/>
    <w:pPr>
      <w:textAlignment w:val="baseline"/>
    </w:pPr>
    <w:rPr>
      <w:rFonts w:ascii="宋体" w:hAnsi="Courier New"/>
      <w:szCs w:val="20"/>
    </w:rPr>
  </w:style>
  <w:style w:type="character" w:customStyle="1" w:styleId="83">
    <w:name w:val="NormalCharacter"/>
    <w:qFormat/>
    <w:uiPriority w:val="0"/>
    <w:rPr>
      <w:rFonts w:ascii="Times New Roman" w:hAnsi="Times New Roman" w:eastAsia="宋体" w:cs="Times New Roman"/>
      <w:kern w:val="2"/>
      <w:sz w:val="21"/>
      <w:szCs w:val="24"/>
      <w:lang w:val="en-US" w:eastAsia="zh-CN" w:bidi="ar-SA"/>
    </w:rPr>
  </w:style>
  <w:style w:type="character" w:customStyle="1" w:styleId="84">
    <w:name w:val="fontstyle01"/>
    <w:qFormat/>
    <w:uiPriority w:val="0"/>
    <w:rPr>
      <w:rFonts w:hint="eastAsia" w:ascii="宋体" w:hAnsi="宋体" w:eastAsia="宋体"/>
      <w:color w:val="000000"/>
      <w:sz w:val="22"/>
      <w:szCs w:val="22"/>
    </w:rPr>
  </w:style>
  <w:style w:type="paragraph" w:customStyle="1" w:styleId="85">
    <w:name w:val="正文1"/>
    <w:qFormat/>
    <w:uiPriority w:val="0"/>
    <w:pPr>
      <w:jc w:val="both"/>
    </w:pPr>
    <w:rPr>
      <w:rFonts w:ascii="Calibri" w:hAnsi="Calibri" w:eastAsia="宋体" w:cs="宋体"/>
      <w:kern w:val="2"/>
      <w:sz w:val="21"/>
      <w:szCs w:val="21"/>
      <w:lang w:val="en-US" w:eastAsia="zh-CN" w:bidi="ar-SA"/>
    </w:rPr>
  </w:style>
  <w:style w:type="character" w:customStyle="1" w:styleId="86">
    <w:name w:val="font11"/>
    <w:basedOn w:val="37"/>
    <w:qFormat/>
    <w:uiPriority w:val="0"/>
    <w:rPr>
      <w:rFonts w:hint="eastAsia" w:ascii="宋体" w:hAnsi="宋体" w:eastAsia="宋体" w:cs="宋体"/>
      <w:color w:val="000000"/>
      <w:sz w:val="18"/>
      <w:szCs w:val="18"/>
      <w:u w:val="none"/>
    </w:rPr>
  </w:style>
  <w:style w:type="character" w:customStyle="1" w:styleId="87">
    <w:name w:val="font71"/>
    <w:basedOn w:val="37"/>
    <w:qFormat/>
    <w:uiPriority w:val="0"/>
    <w:rPr>
      <w:rFonts w:hint="eastAsia" w:ascii="宋体" w:hAnsi="宋体" w:eastAsia="宋体" w:cs="宋体"/>
      <w:color w:val="000000"/>
      <w:sz w:val="18"/>
      <w:szCs w:val="18"/>
      <w:u w:val="none"/>
    </w:rPr>
  </w:style>
  <w:style w:type="character" w:customStyle="1" w:styleId="88">
    <w:name w:val="font112"/>
    <w:basedOn w:val="37"/>
    <w:qFormat/>
    <w:uiPriority w:val="0"/>
    <w:rPr>
      <w:rFonts w:hint="default" w:ascii="Calibri" w:hAnsi="Calibri" w:cs="Calibri"/>
      <w:color w:val="000000"/>
      <w:sz w:val="18"/>
      <w:szCs w:val="18"/>
      <w:u w:val="none"/>
    </w:rPr>
  </w:style>
  <w:style w:type="character" w:customStyle="1" w:styleId="89">
    <w:name w:val="font21"/>
    <w:basedOn w:val="37"/>
    <w:qFormat/>
    <w:uiPriority w:val="0"/>
    <w:rPr>
      <w:rFonts w:hint="eastAsia" w:ascii="宋体" w:hAnsi="宋体" w:eastAsia="宋体" w:cs="宋体"/>
      <w:color w:val="000000"/>
      <w:sz w:val="12"/>
      <w:szCs w:val="12"/>
      <w:u w:val="none"/>
    </w:rPr>
  </w:style>
  <w:style w:type="paragraph" w:customStyle="1" w:styleId="90">
    <w:name w:val="正文（绿盟科技）"/>
    <w:basedOn w:val="1"/>
    <w:qFormat/>
    <w:uiPriority w:val="0"/>
    <w:pPr>
      <w:widowControl/>
      <w:spacing w:line="300" w:lineRule="auto"/>
      <w:jc w:val="left"/>
    </w:pPr>
    <w:rPr>
      <w:rFonts w:ascii="Arial" w:hAnsi="Arial" w:cs="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34348</Words>
  <Characters>36551</Characters>
  <Lines>434</Lines>
  <Paragraphs>122</Paragraphs>
  <TotalTime>1</TotalTime>
  <ScaleCrop>false</ScaleCrop>
  <LinksUpToDate>false</LinksUpToDate>
  <CharactersWithSpaces>41658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冬雪</cp:lastModifiedBy>
  <cp:lastPrinted>2021-08-11T06:03:00Z</cp:lastPrinted>
  <dcterms:modified xsi:type="dcterms:W3CDTF">2022-06-22T03:30:43Z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63EC96F62A2345F3821A46E8C83B5138</vt:lpwstr>
  </property>
</Properties>
</file>