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textAlignment w:val="baseline"/>
        <w:rPr>
          <w:rFonts w:ascii="微软雅黑" w:hAnsi="微软雅黑" w:eastAsia="微软雅黑" w:cs="微软雅黑"/>
          <w:b/>
          <w:sz w:val="44"/>
          <w:szCs w:val="44"/>
        </w:rPr>
      </w:pPr>
    </w:p>
    <w:p>
      <w:pPr>
        <w:pStyle w:val="5"/>
        <w:rPr>
          <w:rFonts w:ascii="微软雅黑" w:hAnsi="微软雅黑" w:eastAsia="微软雅黑" w:cs="微软雅黑"/>
          <w:b/>
          <w:sz w:val="44"/>
          <w:szCs w:val="44"/>
        </w:rPr>
      </w:pPr>
    </w:p>
    <w:p>
      <w:pPr>
        <w:pStyle w:val="6"/>
      </w:pPr>
    </w:p>
    <w:p>
      <w:pPr>
        <w:pStyle w:val="5"/>
        <w:rPr>
          <w:rFonts w:hint="eastAsia" w:ascii="微软雅黑" w:hAnsi="微软雅黑" w:eastAsia="微软雅黑" w:cs="微软雅黑"/>
          <w:sz w:val="44"/>
          <w:szCs w:val="32"/>
          <w:u w:val="none"/>
          <w:lang w:eastAsia="zh-CN"/>
        </w:rPr>
      </w:pPr>
      <w:r>
        <w:rPr>
          <w:rFonts w:hint="eastAsia" w:ascii="微软雅黑" w:hAnsi="微软雅黑" w:eastAsia="微软雅黑" w:cs="微软雅黑"/>
          <w:sz w:val="44"/>
          <w:szCs w:val="32"/>
          <w:u w:val="none"/>
          <w:lang w:eastAsia="zh-CN"/>
        </w:rPr>
        <w:t>喀什古城丝路风情系列活动服务采购项目</w:t>
      </w:r>
    </w:p>
    <w:p>
      <w:pPr>
        <w:spacing w:line="240" w:lineRule="atLeast"/>
        <w:ind w:left="1856" w:leftChars="884" w:firstLine="629" w:firstLineChars="143"/>
        <w:jc w:val="both"/>
        <w:rPr>
          <w:rFonts w:hint="eastAsia" w:ascii="微软雅黑" w:hAnsi="微软雅黑" w:eastAsia="微软雅黑" w:cs="微软雅黑"/>
          <w:b/>
          <w:kern w:val="0"/>
          <w:sz w:val="44"/>
          <w:szCs w:val="32"/>
          <w:u w:val="none"/>
          <w:lang w:val="en-US" w:eastAsia="zh-CN" w:bidi="ar-SA"/>
        </w:rPr>
      </w:pPr>
      <w:r>
        <w:rPr>
          <w:rFonts w:hint="eastAsia" w:ascii="微软雅黑" w:hAnsi="微软雅黑" w:eastAsia="微软雅黑" w:cs="微软雅黑"/>
          <w:b/>
          <w:kern w:val="0"/>
          <w:sz w:val="44"/>
          <w:szCs w:val="32"/>
          <w:u w:val="none"/>
          <w:lang w:val="en-US" w:eastAsia="zh-CN" w:bidi="ar-SA"/>
        </w:rPr>
        <w:t>竞争性磋商文件</w:t>
      </w:r>
    </w:p>
    <w:p>
      <w:pPr>
        <w:spacing w:line="240" w:lineRule="atLeast"/>
        <w:ind w:left="1079" w:leftChars="257" w:hanging="540"/>
        <w:jc w:val="center"/>
        <w:rPr>
          <w:rFonts w:hint="eastAsia" w:ascii="微软雅黑" w:hAnsi="微软雅黑" w:eastAsia="微软雅黑" w:cs="微软雅黑"/>
          <w:b/>
          <w:bCs w:val="0"/>
          <w:sz w:val="32"/>
          <w:szCs w:val="32"/>
        </w:rPr>
      </w:pPr>
    </w:p>
    <w:p>
      <w:pPr>
        <w:pStyle w:val="2"/>
        <w:rPr>
          <w:rFonts w:hint="eastAsia" w:ascii="微软雅黑" w:hAnsi="微软雅黑" w:eastAsia="微软雅黑" w:cs="微软雅黑"/>
          <w:b/>
          <w:bCs w:val="0"/>
          <w:sz w:val="32"/>
          <w:szCs w:val="32"/>
        </w:rPr>
      </w:pPr>
    </w:p>
    <w:p>
      <w:pPr>
        <w:spacing w:line="240" w:lineRule="atLeast"/>
        <w:ind w:left="1079" w:leftChars="257" w:hanging="540"/>
        <w:jc w:val="both"/>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项目编号：</w:t>
      </w:r>
      <w:r>
        <w:rPr>
          <w:rFonts w:hint="eastAsia" w:ascii="微软雅黑" w:hAnsi="微软雅黑" w:eastAsia="微软雅黑" w:cs="微软雅黑"/>
          <w:b/>
          <w:bCs w:val="0"/>
          <w:sz w:val="32"/>
          <w:szCs w:val="32"/>
          <w:lang w:val="en-US" w:eastAsia="zh-CN"/>
        </w:rPr>
        <w:t>YYXD（CS）2022-03号 </w:t>
      </w:r>
    </w:p>
    <w:p>
      <w:pPr>
        <w:spacing w:line="240" w:lineRule="atLeast"/>
        <w:ind w:left="1079" w:leftChars="257" w:hanging="540"/>
        <w:jc w:val="center"/>
        <w:rPr>
          <w:rFonts w:hint="eastAsia" w:ascii="微软雅黑" w:hAnsi="微软雅黑" w:eastAsia="微软雅黑" w:cs="微软雅黑"/>
          <w:b/>
          <w:sz w:val="32"/>
          <w:szCs w:val="32"/>
        </w:rPr>
      </w:pPr>
    </w:p>
    <w:p>
      <w:pPr>
        <w:pStyle w:val="5"/>
        <w:rPr>
          <w:rFonts w:hint="eastAsia" w:ascii="微软雅黑" w:hAnsi="微软雅黑" w:eastAsia="微软雅黑" w:cs="微软雅黑"/>
        </w:rPr>
      </w:pPr>
    </w:p>
    <w:p>
      <w:pPr>
        <w:spacing w:line="360" w:lineRule="auto"/>
        <w:ind w:firstLine="956" w:firstLineChars="299"/>
        <w:jc w:val="left"/>
        <w:rPr>
          <w:rFonts w:hint="eastAsia" w:ascii="微软雅黑" w:hAnsi="微软雅黑" w:eastAsia="微软雅黑" w:cs="微软雅黑"/>
          <w:b/>
          <w:bCs/>
          <w:sz w:val="30"/>
          <w:szCs w:val="30"/>
        </w:rPr>
      </w:pPr>
      <w:r>
        <w:rPr>
          <w:rFonts w:hint="eastAsia" w:ascii="微软雅黑" w:hAnsi="微软雅黑" w:eastAsia="微软雅黑" w:cs="微软雅黑"/>
          <w:b/>
          <w:bCs/>
          <w:sz w:val="32"/>
          <w:szCs w:val="32"/>
          <w:lang w:eastAsia="zh-CN"/>
        </w:rPr>
        <w:t>采</w:t>
      </w:r>
      <w:r>
        <w:rPr>
          <w:rFonts w:hint="eastAsia" w:ascii="微软雅黑" w:hAnsi="微软雅黑" w:eastAsia="微软雅黑" w:cs="微软雅黑"/>
          <w:b/>
          <w:bCs/>
          <w:sz w:val="32"/>
          <w:szCs w:val="32"/>
          <w:lang w:val="en-US" w:eastAsia="zh-CN"/>
        </w:rPr>
        <w:t xml:space="preserve"> </w:t>
      </w:r>
      <w:r>
        <w:rPr>
          <w:rFonts w:hint="eastAsia" w:ascii="微软雅黑" w:hAnsi="微软雅黑" w:eastAsia="微软雅黑" w:cs="微软雅黑"/>
          <w:b/>
          <w:bCs/>
          <w:sz w:val="32"/>
          <w:szCs w:val="32"/>
          <w:lang w:eastAsia="zh-CN"/>
        </w:rPr>
        <w:t>购</w:t>
      </w:r>
      <w:r>
        <w:rPr>
          <w:rFonts w:hint="eastAsia" w:ascii="微软雅黑" w:hAnsi="微软雅黑" w:eastAsia="微软雅黑" w:cs="微软雅黑"/>
          <w:b/>
          <w:bCs/>
          <w:sz w:val="32"/>
          <w:szCs w:val="32"/>
          <w:lang w:val="en-US" w:eastAsia="zh-CN"/>
        </w:rPr>
        <w:t xml:space="preserve"> </w:t>
      </w:r>
      <w:r>
        <w:rPr>
          <w:rFonts w:hint="eastAsia" w:ascii="微软雅黑" w:hAnsi="微软雅黑" w:eastAsia="微软雅黑" w:cs="微软雅黑"/>
          <w:b/>
          <w:bCs/>
          <w:sz w:val="32"/>
          <w:szCs w:val="32"/>
          <w:lang w:eastAsia="zh-CN"/>
        </w:rPr>
        <w:t>单</w:t>
      </w:r>
      <w:r>
        <w:rPr>
          <w:rFonts w:hint="eastAsia" w:ascii="微软雅黑" w:hAnsi="微软雅黑" w:eastAsia="微软雅黑" w:cs="微软雅黑"/>
          <w:b/>
          <w:bCs/>
          <w:sz w:val="32"/>
          <w:szCs w:val="32"/>
          <w:lang w:val="en-US" w:eastAsia="zh-CN"/>
        </w:rPr>
        <w:t xml:space="preserve"> </w:t>
      </w:r>
      <w:r>
        <w:rPr>
          <w:rFonts w:hint="eastAsia" w:ascii="微软雅黑" w:hAnsi="微软雅黑" w:eastAsia="微软雅黑" w:cs="微软雅黑"/>
          <w:b/>
          <w:bCs/>
          <w:sz w:val="32"/>
          <w:szCs w:val="32"/>
          <w:lang w:eastAsia="zh-CN"/>
        </w:rPr>
        <w:t>位：喀什古城景区管委会</w:t>
      </w:r>
    </w:p>
    <w:p>
      <w:pPr>
        <w:spacing w:line="360" w:lineRule="auto"/>
        <w:ind w:firstLine="897" w:firstLineChars="299"/>
        <w:jc w:val="left"/>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采购代理机构：新疆</w:t>
      </w:r>
      <w:r>
        <w:rPr>
          <w:rFonts w:hint="eastAsia" w:ascii="微软雅黑" w:hAnsi="微软雅黑" w:eastAsia="微软雅黑" w:cs="微软雅黑"/>
          <w:b/>
          <w:bCs/>
          <w:sz w:val="30"/>
          <w:szCs w:val="30"/>
          <w:lang w:eastAsia="zh-CN"/>
        </w:rPr>
        <w:t>永业鑫达招标有限公司</w:t>
      </w:r>
    </w:p>
    <w:p>
      <w:pPr>
        <w:spacing w:line="600" w:lineRule="exact"/>
        <w:ind w:firstLine="897" w:firstLineChars="299"/>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发  出 日 期：</w:t>
      </w:r>
      <w:r>
        <w:rPr>
          <w:rFonts w:hint="eastAsia" w:ascii="微软雅黑" w:hAnsi="微软雅黑" w:eastAsia="微软雅黑" w:cs="微软雅黑"/>
          <w:b/>
          <w:bCs/>
          <w:sz w:val="30"/>
          <w:szCs w:val="30"/>
          <w:u w:val="none"/>
          <w:lang w:val="en-US" w:eastAsia="zh-CN"/>
        </w:rPr>
        <w:t>2022</w:t>
      </w:r>
      <w:r>
        <w:rPr>
          <w:rFonts w:hint="eastAsia" w:ascii="微软雅黑" w:hAnsi="微软雅黑" w:eastAsia="微软雅黑" w:cs="微软雅黑"/>
          <w:b/>
          <w:bCs/>
          <w:sz w:val="30"/>
          <w:szCs w:val="30"/>
          <w:u w:val="none"/>
        </w:rPr>
        <w:t>年</w:t>
      </w:r>
      <w:r>
        <w:rPr>
          <w:rFonts w:hint="eastAsia" w:ascii="微软雅黑" w:hAnsi="微软雅黑" w:eastAsia="微软雅黑" w:cs="微软雅黑"/>
          <w:b/>
          <w:bCs/>
          <w:sz w:val="30"/>
          <w:szCs w:val="30"/>
          <w:u w:val="none"/>
          <w:lang w:val="en-US" w:eastAsia="zh-CN"/>
        </w:rPr>
        <w:t>06</w:t>
      </w:r>
      <w:r>
        <w:rPr>
          <w:rFonts w:hint="eastAsia" w:ascii="微软雅黑" w:hAnsi="微软雅黑" w:eastAsia="微软雅黑" w:cs="微软雅黑"/>
          <w:b/>
          <w:bCs/>
          <w:sz w:val="30"/>
          <w:szCs w:val="30"/>
          <w:u w:val="none"/>
        </w:rPr>
        <w:t xml:space="preserve">月 </w:t>
      </w:r>
    </w:p>
    <w:p>
      <w:pPr>
        <w:outlineLvl w:val="9"/>
        <w:rPr>
          <w:rFonts w:hint="eastAsia" w:ascii="仿宋" w:hAnsi="仿宋" w:eastAsia="仿宋" w:cs="黑体"/>
          <w:b/>
          <w:bCs/>
          <w:sz w:val="30"/>
          <w:szCs w:val="30"/>
        </w:rPr>
      </w:pPr>
    </w:p>
    <w:p>
      <w:pPr>
        <w:pStyle w:val="6"/>
        <w:outlineLvl w:val="9"/>
        <w:rPr>
          <w:rFonts w:hint="eastAsia" w:ascii="仿宋" w:hAnsi="仿宋" w:eastAsia="仿宋" w:cs="黑体"/>
          <w:b/>
          <w:bCs/>
          <w:sz w:val="30"/>
          <w:szCs w:val="30"/>
        </w:rPr>
      </w:pPr>
    </w:p>
    <w:p>
      <w:pPr>
        <w:outlineLvl w:val="9"/>
        <w:rPr>
          <w:rFonts w:hint="eastAsia" w:ascii="仿宋" w:hAnsi="仿宋" w:eastAsia="仿宋" w:cs="黑体"/>
          <w:b/>
          <w:bCs/>
          <w:sz w:val="30"/>
          <w:szCs w:val="30"/>
        </w:rPr>
      </w:pPr>
    </w:p>
    <w:p>
      <w:pPr>
        <w:outlineLvl w:val="9"/>
        <w:rPr>
          <w:rFonts w:hint="eastAsia" w:ascii="仿宋" w:hAnsi="仿宋" w:eastAsia="仿宋" w:cs="黑体"/>
          <w:b/>
          <w:bCs/>
          <w:sz w:val="30"/>
          <w:szCs w:val="30"/>
        </w:rPr>
      </w:pPr>
    </w:p>
    <w:p>
      <w:pPr>
        <w:pStyle w:val="6"/>
        <w:outlineLvl w:val="9"/>
        <w:rPr>
          <w:rFonts w:hint="eastAsia" w:ascii="仿宋" w:hAnsi="仿宋" w:eastAsia="仿宋" w:cs="黑体"/>
          <w:b/>
          <w:bCs/>
          <w:sz w:val="30"/>
          <w:szCs w:val="30"/>
        </w:rPr>
      </w:pPr>
    </w:p>
    <w:p>
      <w:pPr>
        <w:outlineLvl w:val="9"/>
      </w:pPr>
    </w:p>
    <w:p>
      <w:pPr>
        <w:keepNext w:val="0"/>
        <w:keepLines w:val="0"/>
        <w:pageBreakBefore w:val="0"/>
        <w:widowControl w:val="0"/>
        <w:kinsoku/>
        <w:wordWrap/>
        <w:overflowPunct/>
        <w:topLinePunct w:val="0"/>
        <w:autoSpaceDE/>
        <w:autoSpaceDN/>
        <w:bidi w:val="0"/>
        <w:adjustRightInd/>
        <w:snapToGrid w:val="0"/>
        <w:spacing w:line="192" w:lineRule="auto"/>
        <w:ind w:left="1079" w:leftChars="257" w:hanging="540"/>
        <w:jc w:val="center"/>
        <w:textAlignment w:val="baseline"/>
        <w:rPr>
          <w:rFonts w:ascii="微软雅黑" w:hAnsi="微软雅黑" w:eastAsia="微软雅黑" w:cs="微软雅黑"/>
          <w:b/>
          <w:sz w:val="40"/>
          <w:szCs w:val="40"/>
        </w:rPr>
      </w:pPr>
      <w:r>
        <w:rPr>
          <w:rFonts w:hint="eastAsia" w:ascii="微软雅黑" w:hAnsi="微软雅黑" w:eastAsia="微软雅黑" w:cs="微软雅黑"/>
          <w:b/>
          <w:sz w:val="40"/>
          <w:szCs w:val="40"/>
        </w:rPr>
        <w:t>目  录</w:t>
      </w:r>
    </w:p>
    <w:p>
      <w:pPr>
        <w:pStyle w:val="24"/>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sz w:val="24"/>
        </w:rPr>
        <w:fldChar w:fldCharType="begin"/>
      </w:r>
      <w:r>
        <w:rPr>
          <w:rFonts w:hint="eastAsia" w:ascii="微软雅黑" w:hAnsi="微软雅黑" w:eastAsia="微软雅黑" w:cs="微软雅黑"/>
          <w:kern w:val="0"/>
          <w:sz w:val="24"/>
        </w:rPr>
        <w:instrText xml:space="preserve"> TOC \o "1-3" \h \z \u </w:instrText>
      </w:r>
      <w:r>
        <w:rPr>
          <w:rFonts w:hint="eastAsia" w:ascii="微软雅黑" w:hAnsi="微软雅黑" w:eastAsia="微软雅黑" w:cs="微软雅黑"/>
          <w:kern w:val="0"/>
          <w:sz w:val="24"/>
        </w:rPr>
        <w:fldChar w:fldCharType="separate"/>
      </w: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_Toc8810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szCs w:val="24"/>
        </w:rPr>
        <w:t xml:space="preserve">第1章  </w:t>
      </w:r>
      <w:r>
        <w:rPr>
          <w:rFonts w:hint="eastAsia" w:ascii="微软雅黑" w:hAnsi="微软雅黑" w:eastAsia="微软雅黑" w:cs="微软雅黑"/>
          <w:szCs w:val="32"/>
        </w:rPr>
        <w:t>供应商须知</w:t>
      </w:r>
      <w:r>
        <w:tab/>
      </w:r>
      <w:r>
        <w:fldChar w:fldCharType="begin"/>
      </w:r>
      <w:r>
        <w:instrText xml:space="preserve"> PAGEREF _Toc8810 \h </w:instrText>
      </w:r>
      <w:r>
        <w:fldChar w:fldCharType="separate"/>
      </w:r>
      <w:r>
        <w:t>4</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_Toc28235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一   总 则</w:t>
      </w:r>
      <w:r>
        <w:tab/>
      </w:r>
      <w:r>
        <w:fldChar w:fldCharType="begin"/>
      </w:r>
      <w:r>
        <w:instrText xml:space="preserve"> PAGEREF _Toc28235 \h </w:instrText>
      </w:r>
      <w:r>
        <w:fldChar w:fldCharType="separate"/>
      </w:r>
      <w:r>
        <w:t>4</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_Toc11466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1.采购人、采购代理机构及供应商</w:t>
      </w:r>
      <w:r>
        <w:tab/>
      </w:r>
      <w:r>
        <w:fldChar w:fldCharType="begin"/>
      </w:r>
      <w:r>
        <w:instrText xml:space="preserve"> PAGEREF _Toc11466 \h </w:instrText>
      </w:r>
      <w:r>
        <w:fldChar w:fldCharType="separate"/>
      </w:r>
      <w:r>
        <w:t>4</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_Toc4125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2.资金来源</w:t>
      </w:r>
      <w:r>
        <w:tab/>
      </w:r>
      <w:r>
        <w:fldChar w:fldCharType="begin"/>
      </w:r>
      <w:r>
        <w:instrText xml:space="preserve"> PAGEREF _Toc4125 \h </w:instrText>
      </w:r>
      <w:r>
        <w:fldChar w:fldCharType="separate"/>
      </w:r>
      <w:r>
        <w:t>5</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_Toc14880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3.磋商费用</w:t>
      </w:r>
      <w:r>
        <w:tab/>
      </w:r>
      <w:r>
        <w:fldChar w:fldCharType="begin"/>
      </w:r>
      <w:r>
        <w:instrText xml:space="preserve"> PAGEREF _Toc14880 \h </w:instrText>
      </w:r>
      <w:r>
        <w:fldChar w:fldCharType="separate"/>
      </w:r>
      <w:r>
        <w:t>5</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_Toc28372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4.适用法律</w:t>
      </w:r>
      <w:r>
        <w:tab/>
      </w:r>
      <w:r>
        <w:fldChar w:fldCharType="begin"/>
      </w:r>
      <w:r>
        <w:instrText xml:space="preserve"> PAGEREF _Toc28372 \h </w:instrText>
      </w:r>
      <w:r>
        <w:fldChar w:fldCharType="separate"/>
      </w:r>
      <w:r>
        <w:t>5</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textAlignment w:val="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_Toc7331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二   磋商文件</w:t>
      </w:r>
      <w:r>
        <w:tab/>
      </w:r>
      <w:r>
        <w:fldChar w:fldCharType="begin"/>
      </w:r>
      <w:r>
        <w:instrText xml:space="preserve"> PAGEREF _Toc7331 \h </w:instrText>
      </w:r>
      <w:r>
        <w:fldChar w:fldCharType="separate"/>
      </w:r>
      <w:r>
        <w:t>6</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_Toc14535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5.磋商文件构成</w:t>
      </w:r>
      <w:r>
        <w:tab/>
      </w:r>
      <w:r>
        <w:fldChar w:fldCharType="begin"/>
      </w:r>
      <w:r>
        <w:instrText xml:space="preserve"> PAGEREF _Toc14535 \h </w:instrText>
      </w:r>
      <w:r>
        <w:fldChar w:fldCharType="separate"/>
      </w:r>
      <w:r>
        <w:t>6</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textAlignment w:val="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_Toc26207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6.磋商文件的澄清与修改</w:t>
      </w:r>
      <w:r>
        <w:tab/>
      </w:r>
      <w:r>
        <w:fldChar w:fldCharType="begin"/>
      </w:r>
      <w:r>
        <w:instrText xml:space="preserve"> PAGEREF _Toc26207 \h </w:instrText>
      </w:r>
      <w:r>
        <w:fldChar w:fldCharType="separate"/>
      </w:r>
      <w:r>
        <w:t>6</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_Toc19134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7.磋商截止时间的顺延</w:t>
      </w:r>
      <w:r>
        <w:tab/>
      </w:r>
      <w:r>
        <w:fldChar w:fldCharType="begin"/>
      </w:r>
      <w:r>
        <w:instrText xml:space="preserve"> PAGEREF _Toc19134 \h </w:instrText>
      </w:r>
      <w:r>
        <w:fldChar w:fldCharType="separate"/>
      </w:r>
      <w:r>
        <w:t>6</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_Toc15517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三   响应文件的编制</w:t>
      </w:r>
      <w:r>
        <w:tab/>
      </w:r>
      <w:r>
        <w:fldChar w:fldCharType="begin"/>
      </w:r>
      <w:r>
        <w:instrText xml:space="preserve"> PAGEREF _Toc15517 \h </w:instrText>
      </w:r>
      <w:r>
        <w:fldChar w:fldCharType="separate"/>
      </w:r>
      <w:r>
        <w:t>6</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pos="3600"/>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_Toc5822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8.</w:t>
      </w:r>
      <w:r>
        <w:rPr>
          <w:rFonts w:hint="eastAsia" w:ascii="微软雅黑" w:hAnsi="微软雅黑" w:eastAsia="微软雅黑" w:cs="微软雅黑"/>
        </w:rPr>
        <w:tab/>
      </w:r>
      <w:r>
        <w:rPr>
          <w:rFonts w:hint="eastAsia" w:ascii="微软雅黑" w:hAnsi="微软雅黑" w:eastAsia="微软雅黑" w:cs="微软雅黑"/>
        </w:rPr>
        <w:t>磋商范围及响应文件成交准和计量单位的使用</w:t>
      </w:r>
      <w:r>
        <w:tab/>
      </w:r>
      <w:r>
        <w:fldChar w:fldCharType="begin"/>
      </w:r>
      <w:r>
        <w:instrText xml:space="preserve"> PAGEREF _Toc5822 \h </w:instrText>
      </w:r>
      <w:r>
        <w:fldChar w:fldCharType="separate"/>
      </w:r>
      <w:r>
        <w:t>6</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_Toc4882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9.响应文件构成</w:t>
      </w:r>
      <w:r>
        <w:tab/>
      </w:r>
      <w:r>
        <w:fldChar w:fldCharType="begin"/>
      </w:r>
      <w:r>
        <w:instrText xml:space="preserve"> PAGEREF _Toc4882 \h </w:instrText>
      </w:r>
      <w:r>
        <w:fldChar w:fldCharType="separate"/>
      </w:r>
      <w:r>
        <w:t>7</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pos="3600"/>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_Toc28704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10.</w:t>
      </w:r>
      <w:r>
        <w:rPr>
          <w:rFonts w:hint="eastAsia" w:ascii="微软雅黑" w:hAnsi="微软雅黑" w:eastAsia="微软雅黑" w:cs="微软雅黑"/>
        </w:rPr>
        <w:tab/>
      </w:r>
      <w:r>
        <w:rPr>
          <w:rFonts w:hint="eastAsia" w:ascii="微软雅黑" w:hAnsi="微软雅黑" w:eastAsia="微软雅黑" w:cs="微软雅黑"/>
        </w:rPr>
        <w:t>证明磋商标的的合格性和符合磋商文件规定的技术文件</w:t>
      </w:r>
      <w:r>
        <w:tab/>
      </w:r>
      <w:r>
        <w:fldChar w:fldCharType="begin"/>
      </w:r>
      <w:r>
        <w:instrText xml:space="preserve"> PAGEREF _Toc28704 \h </w:instrText>
      </w:r>
      <w:r>
        <w:fldChar w:fldCharType="separate"/>
      </w:r>
      <w:r>
        <w:t>7</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_Toc19523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11.磋商报价</w:t>
      </w:r>
      <w:r>
        <w:tab/>
      </w:r>
      <w:r>
        <w:fldChar w:fldCharType="begin"/>
      </w:r>
      <w:r>
        <w:instrText xml:space="preserve"> PAGEREF _Toc19523 \h </w:instrText>
      </w:r>
      <w:r>
        <w:fldChar w:fldCharType="separate"/>
      </w:r>
      <w:r>
        <w:t>7</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_Toc24996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12.磋商保证金</w:t>
      </w:r>
      <w:r>
        <w:tab/>
      </w:r>
      <w:r>
        <w:fldChar w:fldCharType="begin"/>
      </w:r>
      <w:r>
        <w:instrText xml:space="preserve"> PAGEREF _Toc24996 \h </w:instrText>
      </w:r>
      <w:r>
        <w:fldChar w:fldCharType="separate"/>
      </w:r>
      <w:r>
        <w:t>8</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_Toc22807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13.磋商有效期</w:t>
      </w:r>
      <w:r>
        <w:tab/>
      </w:r>
      <w:r>
        <w:fldChar w:fldCharType="begin"/>
      </w:r>
      <w:r>
        <w:instrText xml:space="preserve"> PAGEREF _Toc22807 \h </w:instrText>
      </w:r>
      <w:r>
        <w:fldChar w:fldCharType="separate"/>
      </w:r>
      <w:r>
        <w:t>9</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_Toc27945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14.响应文件的签署及规定</w:t>
      </w:r>
      <w:r>
        <w:tab/>
      </w:r>
      <w:r>
        <w:fldChar w:fldCharType="begin"/>
      </w:r>
      <w:r>
        <w:instrText xml:space="preserve"> PAGEREF _Toc27945 \h </w:instrText>
      </w:r>
      <w:r>
        <w:fldChar w:fldCharType="separate"/>
      </w:r>
      <w:r>
        <w:t>9</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_Toc7711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四   响应文件的递交</w:t>
      </w:r>
      <w:r>
        <w:tab/>
      </w:r>
      <w:r>
        <w:fldChar w:fldCharType="begin"/>
      </w:r>
      <w:r>
        <w:instrText xml:space="preserve"> PAGEREF _Toc7711 \h </w:instrText>
      </w:r>
      <w:r>
        <w:fldChar w:fldCharType="separate"/>
      </w:r>
      <w:r>
        <w:t>9</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_Toc28268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15.响应文件的密封和标记</w:t>
      </w:r>
      <w:r>
        <w:tab/>
      </w:r>
      <w:r>
        <w:fldChar w:fldCharType="begin"/>
      </w:r>
      <w:r>
        <w:instrText xml:space="preserve"> PAGEREF _Toc28268 \h </w:instrText>
      </w:r>
      <w:r>
        <w:fldChar w:fldCharType="separate"/>
      </w:r>
      <w:r>
        <w:t>9</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_Toc5096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16.磋商截止</w:t>
      </w:r>
      <w:r>
        <w:tab/>
      </w:r>
      <w:r>
        <w:fldChar w:fldCharType="begin"/>
      </w:r>
      <w:r>
        <w:instrText xml:space="preserve"> PAGEREF _Toc5096 \h </w:instrText>
      </w:r>
      <w:r>
        <w:fldChar w:fldCharType="separate"/>
      </w:r>
      <w:r>
        <w:t>10</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_Toc24701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17.响应文件的接收、修改与撤回</w:t>
      </w:r>
      <w:r>
        <w:tab/>
      </w:r>
      <w:r>
        <w:fldChar w:fldCharType="begin"/>
      </w:r>
      <w:r>
        <w:instrText xml:space="preserve"> PAGEREF _Toc24701 \h </w:instrText>
      </w:r>
      <w:r>
        <w:fldChar w:fldCharType="separate"/>
      </w:r>
      <w:r>
        <w:t>10</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_Toc787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五   磋商及评审</w:t>
      </w:r>
      <w:r>
        <w:tab/>
      </w:r>
      <w:r>
        <w:fldChar w:fldCharType="begin"/>
      </w:r>
      <w:r>
        <w:instrText xml:space="preserve"> PAGEREF _Toc787 \h </w:instrText>
      </w:r>
      <w:r>
        <w:fldChar w:fldCharType="separate"/>
      </w:r>
      <w:r>
        <w:t>10</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_Toc1026 </w:instrText>
      </w:r>
      <w:r>
        <w:rPr>
          <w:rFonts w:hint="eastAsia" w:ascii="微软雅黑" w:hAnsi="微软雅黑" w:eastAsia="微软雅黑" w:cs="微软雅黑"/>
          <w:kern w:val="0"/>
        </w:rPr>
        <w:fldChar w:fldCharType="separate"/>
      </w:r>
      <w:r>
        <w:rPr>
          <w:rFonts w:ascii="微软雅黑" w:hAnsi="微软雅黑" w:eastAsia="微软雅黑" w:cs="微软雅黑"/>
        </w:rPr>
        <w:t xml:space="preserve">18. </w:t>
      </w:r>
      <w:r>
        <w:rPr>
          <w:rFonts w:hint="eastAsia" w:ascii="微软雅黑" w:hAnsi="微软雅黑" w:eastAsia="微软雅黑" w:cs="微软雅黑"/>
        </w:rPr>
        <w:t>磋商</w:t>
      </w:r>
      <w:r>
        <w:tab/>
      </w:r>
      <w:r>
        <w:fldChar w:fldCharType="begin"/>
      </w:r>
      <w:r>
        <w:instrText xml:space="preserve"> PAGEREF _Toc1026 \h </w:instrText>
      </w:r>
      <w:r>
        <w:fldChar w:fldCharType="separate"/>
      </w:r>
      <w:r>
        <w:t>10</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_Toc526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19.资格审查及组建磋商小组</w:t>
      </w:r>
      <w:r>
        <w:tab/>
      </w:r>
      <w:r>
        <w:fldChar w:fldCharType="begin"/>
      </w:r>
      <w:r>
        <w:instrText xml:space="preserve"> PAGEREF _Toc526 \h </w:instrText>
      </w:r>
      <w:r>
        <w:fldChar w:fldCharType="separate"/>
      </w:r>
      <w:r>
        <w:t>10</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_Toc5261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20.响应文件符合性审查与澄清</w:t>
      </w:r>
      <w:r>
        <w:tab/>
      </w:r>
      <w:r>
        <w:fldChar w:fldCharType="begin"/>
      </w:r>
      <w:r>
        <w:instrText xml:space="preserve"> PAGEREF _Toc5261 \h </w:instrText>
      </w:r>
      <w:r>
        <w:fldChar w:fldCharType="separate"/>
      </w:r>
      <w:r>
        <w:t>12</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_Toc18843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21.磋商偏离</w:t>
      </w:r>
      <w:r>
        <w:tab/>
      </w:r>
      <w:r>
        <w:fldChar w:fldCharType="begin"/>
      </w:r>
      <w:r>
        <w:instrText xml:space="preserve"> PAGEREF _Toc18843 \h </w:instrText>
      </w:r>
      <w:r>
        <w:fldChar w:fldCharType="separate"/>
      </w:r>
      <w:r>
        <w:t>13</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_Toc28034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22.磋商无效</w:t>
      </w:r>
      <w:r>
        <w:tab/>
      </w:r>
      <w:r>
        <w:fldChar w:fldCharType="begin"/>
      </w:r>
      <w:r>
        <w:instrText xml:space="preserve"> PAGEREF _Toc28034 \h </w:instrText>
      </w:r>
      <w:r>
        <w:fldChar w:fldCharType="separate"/>
      </w:r>
      <w:r>
        <w:t>13</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_Toc24201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23.比较与评价</w:t>
      </w:r>
      <w:r>
        <w:tab/>
      </w:r>
      <w:r>
        <w:fldChar w:fldCharType="begin"/>
      </w:r>
      <w:r>
        <w:instrText xml:space="preserve"> PAGEREF _Toc24201 \h </w:instrText>
      </w:r>
      <w:r>
        <w:fldChar w:fldCharType="separate"/>
      </w:r>
      <w:r>
        <w:t>14</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_Toc17259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24.废标</w:t>
      </w:r>
      <w:r>
        <w:tab/>
      </w:r>
      <w:r>
        <w:fldChar w:fldCharType="begin"/>
      </w:r>
      <w:r>
        <w:instrText xml:space="preserve"> PAGEREF _Toc17259 \h </w:instrText>
      </w:r>
      <w:r>
        <w:fldChar w:fldCharType="separate"/>
      </w:r>
      <w:r>
        <w:t>14</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_Toc16978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25.保密原则</w:t>
      </w:r>
      <w:r>
        <w:tab/>
      </w:r>
      <w:r>
        <w:fldChar w:fldCharType="begin"/>
      </w:r>
      <w:r>
        <w:instrText xml:space="preserve"> PAGEREF _Toc16978 \h </w:instrText>
      </w:r>
      <w:r>
        <w:fldChar w:fldCharType="separate"/>
      </w:r>
      <w:r>
        <w:t>14</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_Toc31913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六   确定成交</w:t>
      </w:r>
      <w:r>
        <w:tab/>
      </w:r>
      <w:r>
        <w:fldChar w:fldCharType="begin"/>
      </w:r>
      <w:r>
        <w:instrText xml:space="preserve"> PAGEREF _Toc31913 \h </w:instrText>
      </w:r>
      <w:r>
        <w:fldChar w:fldCharType="separate"/>
      </w:r>
      <w:r>
        <w:t>15</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_Toc10610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26.成交候选人的确定原则及标准</w:t>
      </w:r>
      <w:r>
        <w:tab/>
      </w:r>
      <w:r>
        <w:fldChar w:fldCharType="begin"/>
      </w:r>
      <w:r>
        <w:instrText xml:space="preserve"> PAGEREF _Toc10610 \h </w:instrText>
      </w:r>
      <w:r>
        <w:fldChar w:fldCharType="separate"/>
      </w:r>
      <w:r>
        <w:t>15</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_Toc28088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27.确定成交候选人和成交人</w:t>
      </w:r>
      <w:r>
        <w:tab/>
      </w:r>
      <w:r>
        <w:fldChar w:fldCharType="begin"/>
      </w:r>
      <w:r>
        <w:instrText xml:space="preserve"> PAGEREF _Toc28088 \h </w:instrText>
      </w:r>
      <w:r>
        <w:fldChar w:fldCharType="separate"/>
      </w:r>
      <w:r>
        <w:t>15</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_Toc4233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28.采购任务取消</w:t>
      </w:r>
      <w:r>
        <w:tab/>
      </w:r>
      <w:r>
        <w:fldChar w:fldCharType="begin"/>
      </w:r>
      <w:r>
        <w:instrText xml:space="preserve"> PAGEREF _Toc4233 \h </w:instrText>
      </w:r>
      <w:r>
        <w:fldChar w:fldCharType="separate"/>
      </w:r>
      <w:r>
        <w:t>15</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_Toc25567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29.成交通知书和招标结果通知书</w:t>
      </w:r>
      <w:r>
        <w:tab/>
      </w:r>
      <w:r>
        <w:fldChar w:fldCharType="begin"/>
      </w:r>
      <w:r>
        <w:instrText xml:space="preserve"> PAGEREF _Toc25567 \h </w:instrText>
      </w:r>
      <w:r>
        <w:fldChar w:fldCharType="separate"/>
      </w:r>
      <w:r>
        <w:t>15</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_Toc4784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30.签订合同</w:t>
      </w:r>
      <w:r>
        <w:tab/>
      </w:r>
      <w:r>
        <w:fldChar w:fldCharType="begin"/>
      </w:r>
      <w:r>
        <w:instrText xml:space="preserve"> PAGEREF _Toc4784 \h </w:instrText>
      </w:r>
      <w:r>
        <w:fldChar w:fldCharType="separate"/>
      </w:r>
      <w:r>
        <w:t>15</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_Toc14130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31.履约保证金</w:t>
      </w:r>
      <w:r>
        <w:tab/>
      </w:r>
      <w:r>
        <w:fldChar w:fldCharType="begin"/>
      </w:r>
      <w:r>
        <w:instrText xml:space="preserve"> PAGEREF _Toc14130 \h </w:instrText>
      </w:r>
      <w:r>
        <w:fldChar w:fldCharType="separate"/>
      </w:r>
      <w:r>
        <w:t>15</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_Toc29824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32.成交服务费</w:t>
      </w:r>
      <w:r>
        <w:tab/>
      </w:r>
      <w:r>
        <w:fldChar w:fldCharType="begin"/>
      </w:r>
      <w:r>
        <w:instrText xml:space="preserve"> PAGEREF _Toc29824 \h </w:instrText>
      </w:r>
      <w:r>
        <w:fldChar w:fldCharType="separate"/>
      </w:r>
      <w:r>
        <w:t>16</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_Toc17159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33.政府采购信用担保</w:t>
      </w:r>
      <w:r>
        <w:tab/>
      </w:r>
      <w:r>
        <w:fldChar w:fldCharType="begin"/>
      </w:r>
      <w:r>
        <w:instrText xml:space="preserve"> PAGEREF _Toc17159 \h </w:instrText>
      </w:r>
      <w:r>
        <w:fldChar w:fldCharType="separate"/>
      </w:r>
      <w:r>
        <w:t>16</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_Toc28494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34.廉洁自律规定</w:t>
      </w:r>
      <w:r>
        <w:tab/>
      </w:r>
      <w:r>
        <w:fldChar w:fldCharType="begin"/>
      </w:r>
      <w:r>
        <w:instrText xml:space="preserve"> PAGEREF _Toc28494 \h </w:instrText>
      </w:r>
      <w:r>
        <w:fldChar w:fldCharType="separate"/>
      </w:r>
      <w:r>
        <w:t>16</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_Toc24914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35.人员回避</w:t>
      </w:r>
      <w:r>
        <w:tab/>
      </w:r>
      <w:r>
        <w:fldChar w:fldCharType="begin"/>
      </w:r>
      <w:r>
        <w:instrText xml:space="preserve"> PAGEREF _Toc24914 \h </w:instrText>
      </w:r>
      <w:r>
        <w:fldChar w:fldCharType="separate"/>
      </w:r>
      <w:r>
        <w:t>16</w:t>
      </w:r>
      <w:r>
        <w:fldChar w:fldCharType="end"/>
      </w:r>
      <w:r>
        <w:rPr>
          <w:rFonts w:hint="eastAsia" w:ascii="微软雅黑" w:hAnsi="微软雅黑" w:eastAsia="微软雅黑" w:cs="微软雅黑"/>
          <w:kern w:val="0"/>
        </w:rPr>
        <w:fldChar w:fldCharType="end"/>
      </w:r>
    </w:p>
    <w:p>
      <w:pPr>
        <w:pStyle w:val="16"/>
        <w:keepNext w:val="0"/>
        <w:keepLines w:val="0"/>
        <w:pageBreakBefore w:val="0"/>
        <w:widowControl w:val="0"/>
        <w:tabs>
          <w:tab w:val="right" w:leader="dot" w:pos="8311"/>
          <w:tab w:val="clear" w:pos="1260"/>
          <w:tab w:val="clear" w:pos="8630"/>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_Toc11114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36.质疑与接收</w:t>
      </w:r>
      <w:r>
        <w:tab/>
      </w:r>
      <w:r>
        <w:fldChar w:fldCharType="begin"/>
      </w:r>
      <w:r>
        <w:instrText xml:space="preserve"> PAGEREF _Toc11114 \h </w:instrText>
      </w:r>
      <w:r>
        <w:fldChar w:fldCharType="separate"/>
      </w:r>
      <w:r>
        <w:t>16</w:t>
      </w:r>
      <w:r>
        <w:fldChar w:fldCharType="end"/>
      </w:r>
      <w:r>
        <w:rPr>
          <w:rFonts w:hint="eastAsia" w:ascii="微软雅黑" w:hAnsi="微软雅黑" w:eastAsia="微软雅黑" w:cs="微软雅黑"/>
          <w:kern w:val="0"/>
        </w:rPr>
        <w:fldChar w:fldCharType="end"/>
      </w:r>
    </w:p>
    <w:p>
      <w:pPr>
        <w:pStyle w:val="24"/>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_Toc7847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第2章 响应文件格式</w:t>
      </w:r>
      <w:r>
        <w:tab/>
      </w:r>
      <w:r>
        <w:fldChar w:fldCharType="begin"/>
      </w:r>
      <w:r>
        <w:instrText xml:space="preserve"> PAGEREF _Toc7847 \h </w:instrText>
      </w:r>
      <w:r>
        <w:fldChar w:fldCharType="separate"/>
      </w:r>
      <w:r>
        <w:t>21</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_Toc31379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第一部分 磋商开启一览表及资格证明文件</w:t>
      </w:r>
      <w:r>
        <w:tab/>
      </w:r>
      <w:r>
        <w:fldChar w:fldCharType="begin"/>
      </w:r>
      <w:r>
        <w:instrText xml:space="preserve"> PAGEREF _Toc31379 \h </w:instrText>
      </w:r>
      <w:r>
        <w:fldChar w:fldCharType="separate"/>
      </w:r>
      <w:r>
        <w:t>21</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_Toc26228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第二部分  商务及技术文件</w:t>
      </w:r>
      <w:r>
        <w:tab/>
      </w:r>
      <w:r>
        <w:fldChar w:fldCharType="begin"/>
      </w:r>
      <w:r>
        <w:instrText xml:space="preserve"> PAGEREF _Toc26228 \h </w:instrText>
      </w:r>
      <w:r>
        <w:fldChar w:fldCharType="separate"/>
      </w:r>
      <w:r>
        <w:t>29</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_Toc11362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1 、磋商书</w:t>
      </w:r>
      <w:r>
        <w:tab/>
      </w:r>
      <w:r>
        <w:fldChar w:fldCharType="begin"/>
      </w:r>
      <w:r>
        <w:instrText xml:space="preserve"> PAGEREF _Toc11362 \h </w:instrText>
      </w:r>
      <w:r>
        <w:fldChar w:fldCharType="separate"/>
      </w:r>
      <w:r>
        <w:t>30</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_Toc13219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24"/>
        </w:rPr>
        <w:t>2 、</w:t>
      </w:r>
      <w:r>
        <w:rPr>
          <w:rFonts w:hint="eastAsia" w:ascii="微软雅黑" w:hAnsi="微软雅黑" w:eastAsia="微软雅黑" w:cs="微软雅黑"/>
          <w:bCs/>
          <w:szCs w:val="24"/>
        </w:rPr>
        <w:t>磋商分项报价表</w:t>
      </w:r>
      <w:r>
        <w:tab/>
      </w:r>
      <w:r>
        <w:fldChar w:fldCharType="begin"/>
      </w:r>
      <w:r>
        <w:instrText xml:space="preserve"> PAGEREF _Toc13219 \h </w:instrText>
      </w:r>
      <w:r>
        <w:fldChar w:fldCharType="separate"/>
      </w:r>
      <w:r>
        <w:t>31</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_Toc9561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3 、</w:t>
      </w:r>
      <w:r>
        <w:rPr>
          <w:rFonts w:hint="eastAsia" w:ascii="微软雅黑" w:hAnsi="微软雅黑" w:eastAsia="微软雅黑" w:cs="微软雅黑"/>
          <w:lang w:eastAsia="zh-CN"/>
        </w:rPr>
        <w:t>服务</w:t>
      </w:r>
      <w:r>
        <w:rPr>
          <w:rFonts w:hint="eastAsia" w:ascii="微软雅黑" w:hAnsi="微软雅黑" w:eastAsia="微软雅黑" w:cs="微软雅黑"/>
          <w:bCs/>
          <w:szCs w:val="24"/>
        </w:rPr>
        <w:t>说明一览表</w:t>
      </w:r>
      <w:r>
        <w:tab/>
      </w:r>
      <w:r>
        <w:fldChar w:fldCharType="begin"/>
      </w:r>
      <w:r>
        <w:instrText xml:space="preserve"> PAGEREF _Toc9561 \h </w:instrText>
      </w:r>
      <w:r>
        <w:fldChar w:fldCharType="separate"/>
      </w:r>
      <w:r>
        <w:t>32</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_Toc745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szCs w:val="24"/>
          <w:highlight w:val="none"/>
        </w:rPr>
        <w:t>4 、技术规格偏离表</w:t>
      </w:r>
      <w:r>
        <w:tab/>
      </w:r>
      <w:r>
        <w:fldChar w:fldCharType="begin"/>
      </w:r>
      <w:r>
        <w:instrText xml:space="preserve"> PAGEREF _Toc745 \h </w:instrText>
      </w:r>
      <w:r>
        <w:fldChar w:fldCharType="separate"/>
      </w:r>
      <w:r>
        <w:t>33</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_Toc31412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szCs w:val="24"/>
        </w:rPr>
        <w:t>5.商务条款偏离表</w:t>
      </w:r>
      <w:r>
        <w:tab/>
      </w:r>
      <w:r>
        <w:fldChar w:fldCharType="begin"/>
      </w:r>
      <w:r>
        <w:instrText xml:space="preserve"> PAGEREF _Toc31412 \h </w:instrText>
      </w:r>
      <w:r>
        <w:fldChar w:fldCharType="separate"/>
      </w:r>
      <w:r>
        <w:t>34</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rPr>
          <w:rFonts w:hint="eastAsia" w:eastAsia="微软雅黑"/>
          <w:lang w:val="en-US" w:eastAsia="zh-CN"/>
        </w:rPr>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_Toc22287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szCs w:val="28"/>
        </w:rPr>
        <w:t>6-1中小企业声明函（</w:t>
      </w:r>
      <w:r>
        <w:rPr>
          <w:rFonts w:hint="eastAsia" w:ascii="微软雅黑" w:hAnsi="微软雅黑" w:eastAsia="微软雅黑" w:cs="微软雅黑"/>
          <w:bCs/>
          <w:szCs w:val="28"/>
          <w:lang w:val="en-US" w:eastAsia="zh-CN"/>
        </w:rPr>
        <w:t>服务</w:t>
      </w:r>
      <w:r>
        <w:rPr>
          <w:rFonts w:hint="eastAsia" w:ascii="微软雅黑" w:hAnsi="微软雅黑" w:eastAsia="微软雅黑" w:cs="微软雅黑"/>
          <w:bCs/>
          <w:szCs w:val="28"/>
        </w:rPr>
        <w:t>）</w:t>
      </w:r>
      <w:r>
        <w:tab/>
      </w:r>
      <w:r>
        <w:rPr>
          <w:rFonts w:hint="eastAsia" w:ascii="微软雅黑" w:hAnsi="微软雅黑" w:eastAsia="微软雅黑" w:cs="微软雅黑"/>
          <w:kern w:val="0"/>
        </w:rPr>
        <w:fldChar w:fldCharType="end"/>
      </w:r>
      <w:r>
        <w:rPr>
          <w:rFonts w:hint="eastAsia" w:ascii="微软雅黑" w:hAnsi="微软雅黑" w:eastAsia="微软雅黑" w:cs="微软雅黑"/>
          <w:kern w:val="0"/>
          <w:lang w:val="en-US" w:eastAsia="zh-CN"/>
        </w:rPr>
        <w:t>35</w:t>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_Toc22328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rPr>
        <w:t>6-2 残疾人福利性单位声明函</w:t>
      </w:r>
      <w:r>
        <w:tab/>
      </w:r>
      <w:r>
        <w:fldChar w:fldCharType="begin"/>
      </w:r>
      <w:r>
        <w:instrText xml:space="preserve"> PAGEREF _Toc22328 \h </w:instrText>
      </w:r>
      <w:r>
        <w:fldChar w:fldCharType="separate"/>
      </w:r>
      <w:r>
        <w:t>36</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_Toc13764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kern w:val="2"/>
          <w:szCs w:val="21"/>
        </w:rPr>
        <w:t>7  供应商关联单位的说明</w:t>
      </w:r>
      <w:r>
        <w:tab/>
      </w:r>
      <w:r>
        <w:fldChar w:fldCharType="begin"/>
      </w:r>
      <w:r>
        <w:instrText xml:space="preserve"> PAGEREF _Toc13764 \h </w:instrText>
      </w:r>
      <w:r>
        <w:fldChar w:fldCharType="separate"/>
      </w:r>
      <w:r>
        <w:t>36</w:t>
      </w:r>
      <w:r>
        <w:fldChar w:fldCharType="end"/>
      </w:r>
      <w:r>
        <w:rPr>
          <w:rFonts w:hint="eastAsia" w:ascii="微软雅黑" w:hAnsi="微软雅黑" w:eastAsia="微软雅黑" w:cs="微软雅黑"/>
          <w:kern w:val="0"/>
        </w:rPr>
        <w:fldChar w:fldCharType="end"/>
      </w:r>
    </w:p>
    <w:p>
      <w:pPr>
        <w:pStyle w:val="28"/>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_Toc24823 </w:instrText>
      </w:r>
      <w:r>
        <w:rPr>
          <w:rFonts w:hint="eastAsia" w:ascii="微软雅黑" w:hAnsi="微软雅黑" w:eastAsia="微软雅黑" w:cs="微软雅黑"/>
          <w:kern w:val="0"/>
        </w:rPr>
        <w:fldChar w:fldCharType="separate"/>
      </w:r>
      <w:r>
        <w:rPr>
          <w:rFonts w:hint="eastAsia" w:ascii="微软雅黑" w:hAnsi="微软雅黑" w:eastAsia="微软雅黑" w:cs="微软雅黑"/>
          <w:bCs/>
          <w:kern w:val="2"/>
          <w:szCs w:val="21"/>
        </w:rPr>
        <w:t>8   供应商可提供有利于投标的其他资格证明材料</w:t>
      </w:r>
      <w:r>
        <w:tab/>
      </w:r>
      <w:r>
        <w:fldChar w:fldCharType="begin"/>
      </w:r>
      <w:r>
        <w:instrText xml:space="preserve"> PAGEREF _Toc24823 \h </w:instrText>
      </w:r>
      <w:r>
        <w:fldChar w:fldCharType="separate"/>
      </w:r>
      <w:r>
        <w:t>37</w:t>
      </w:r>
      <w:r>
        <w:fldChar w:fldCharType="end"/>
      </w:r>
      <w:r>
        <w:rPr>
          <w:rFonts w:hint="eastAsia" w:ascii="微软雅黑" w:hAnsi="微软雅黑" w:eastAsia="微软雅黑" w:cs="微软雅黑"/>
          <w:kern w:val="0"/>
        </w:rPr>
        <w:fldChar w:fldCharType="end"/>
      </w:r>
    </w:p>
    <w:p>
      <w:pPr>
        <w:pStyle w:val="24"/>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_Toc7946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第3章 磋商邀请</w:t>
      </w:r>
      <w:r>
        <w:tab/>
      </w:r>
      <w:r>
        <w:fldChar w:fldCharType="begin"/>
      </w:r>
      <w:r>
        <w:instrText xml:space="preserve"> PAGEREF _Toc7946 \h </w:instrText>
      </w:r>
      <w:r>
        <w:fldChar w:fldCharType="separate"/>
      </w:r>
      <w:r>
        <w:t>40</w:t>
      </w:r>
      <w:r>
        <w:fldChar w:fldCharType="end"/>
      </w:r>
      <w:r>
        <w:rPr>
          <w:rFonts w:hint="eastAsia" w:ascii="微软雅黑" w:hAnsi="微软雅黑" w:eastAsia="微软雅黑" w:cs="微软雅黑"/>
          <w:kern w:val="0"/>
        </w:rPr>
        <w:fldChar w:fldCharType="end"/>
      </w:r>
    </w:p>
    <w:p>
      <w:pPr>
        <w:pStyle w:val="24"/>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_Toc31675 </w:instrText>
      </w:r>
      <w:r>
        <w:rPr>
          <w:rFonts w:hint="eastAsia" w:ascii="微软雅黑" w:hAnsi="微软雅黑" w:eastAsia="微软雅黑" w:cs="微软雅黑"/>
          <w:kern w:val="0"/>
        </w:rPr>
        <w:fldChar w:fldCharType="separate"/>
      </w:r>
      <w:r>
        <w:rPr>
          <w:rFonts w:hint="eastAsia" w:ascii="微软雅黑" w:hAnsi="微软雅黑" w:eastAsia="微软雅黑" w:cs="微软雅黑"/>
          <w:szCs w:val="32"/>
        </w:rPr>
        <w:t>第4章  供应商须知资料表</w:t>
      </w:r>
      <w:r>
        <w:tab/>
      </w:r>
      <w:r>
        <w:fldChar w:fldCharType="begin"/>
      </w:r>
      <w:r>
        <w:instrText xml:space="preserve"> PAGEREF _Toc31675 \h </w:instrText>
      </w:r>
      <w:r>
        <w:fldChar w:fldCharType="separate"/>
      </w:r>
      <w:r>
        <w:t>43</w:t>
      </w:r>
      <w:r>
        <w:fldChar w:fldCharType="end"/>
      </w:r>
      <w:r>
        <w:rPr>
          <w:rFonts w:hint="eastAsia" w:ascii="微软雅黑" w:hAnsi="微软雅黑" w:eastAsia="微软雅黑" w:cs="微软雅黑"/>
          <w:kern w:val="0"/>
        </w:rPr>
        <w:fldChar w:fldCharType="end"/>
      </w:r>
    </w:p>
    <w:p>
      <w:pPr>
        <w:pStyle w:val="24"/>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_Toc4760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 xml:space="preserve">第5章 </w:t>
      </w:r>
      <w:r>
        <w:rPr>
          <w:rFonts w:hint="eastAsia" w:ascii="微软雅黑" w:hAnsi="微软雅黑" w:eastAsia="微软雅黑" w:cs="微软雅黑"/>
          <w:lang w:eastAsia="zh-CN"/>
        </w:rPr>
        <w:t>服务需求</w:t>
      </w:r>
      <w:r>
        <w:tab/>
      </w:r>
      <w:r>
        <w:fldChar w:fldCharType="begin"/>
      </w:r>
      <w:r>
        <w:instrText xml:space="preserve"> PAGEREF _Toc4760 \h </w:instrText>
      </w:r>
      <w:r>
        <w:fldChar w:fldCharType="separate"/>
      </w:r>
      <w:r>
        <w:t>48</w:t>
      </w:r>
      <w:r>
        <w:fldChar w:fldCharType="end"/>
      </w:r>
      <w:r>
        <w:rPr>
          <w:rFonts w:hint="eastAsia" w:ascii="微软雅黑" w:hAnsi="微软雅黑" w:eastAsia="微软雅黑" w:cs="微软雅黑"/>
          <w:kern w:val="0"/>
        </w:rPr>
        <w:fldChar w:fldCharType="end"/>
      </w:r>
    </w:p>
    <w:p>
      <w:pPr>
        <w:pStyle w:val="24"/>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_Toc15762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第6章 评审方法和标准</w:t>
      </w:r>
      <w:r>
        <w:tab/>
      </w:r>
      <w:r>
        <w:fldChar w:fldCharType="begin"/>
      </w:r>
      <w:r>
        <w:instrText xml:space="preserve"> PAGEREF _Toc15762 \h </w:instrText>
      </w:r>
      <w:r>
        <w:fldChar w:fldCharType="separate"/>
      </w:r>
      <w:r>
        <w:t>49</w:t>
      </w:r>
      <w:r>
        <w:fldChar w:fldCharType="end"/>
      </w:r>
      <w:r>
        <w:rPr>
          <w:rFonts w:hint="eastAsia" w:ascii="微软雅黑" w:hAnsi="微软雅黑" w:eastAsia="微软雅黑" w:cs="微软雅黑"/>
          <w:kern w:val="0"/>
        </w:rPr>
        <w:fldChar w:fldCharType="end"/>
      </w:r>
    </w:p>
    <w:p>
      <w:pPr>
        <w:pStyle w:val="24"/>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r>
        <w:rPr>
          <w:rFonts w:hint="eastAsia" w:ascii="微软雅黑" w:hAnsi="微软雅黑" w:eastAsia="微软雅黑" w:cs="微软雅黑"/>
          <w:kern w:val="0"/>
        </w:rPr>
        <w:fldChar w:fldCharType="begin"/>
      </w:r>
      <w:r>
        <w:rPr>
          <w:rFonts w:hint="eastAsia" w:ascii="微软雅黑" w:hAnsi="微软雅黑" w:eastAsia="微软雅黑" w:cs="微软雅黑"/>
          <w:kern w:val="0"/>
        </w:rPr>
        <w:instrText xml:space="preserve"> HYPERLINK \l _Toc16642 </w:instrText>
      </w:r>
      <w:r>
        <w:rPr>
          <w:rFonts w:hint="eastAsia" w:ascii="微软雅黑" w:hAnsi="微软雅黑" w:eastAsia="微软雅黑" w:cs="微软雅黑"/>
          <w:kern w:val="0"/>
        </w:rPr>
        <w:fldChar w:fldCharType="separate"/>
      </w:r>
      <w:r>
        <w:rPr>
          <w:rFonts w:hint="eastAsia" w:ascii="微软雅黑" w:hAnsi="微软雅黑" w:eastAsia="微软雅黑" w:cs="微软雅黑"/>
        </w:rPr>
        <w:t>第7章  政府采购合同</w:t>
      </w:r>
      <w:r>
        <w:tab/>
      </w:r>
      <w:r>
        <w:fldChar w:fldCharType="begin"/>
      </w:r>
      <w:r>
        <w:instrText xml:space="preserve"> PAGEREF _Toc16642 \h </w:instrText>
      </w:r>
      <w:r>
        <w:fldChar w:fldCharType="separate"/>
      </w:r>
      <w:r>
        <w:t>61</w:t>
      </w:r>
      <w:r>
        <w:fldChar w:fldCharType="end"/>
      </w:r>
      <w:r>
        <w:rPr>
          <w:rFonts w:hint="eastAsia" w:ascii="微软雅黑" w:hAnsi="微软雅黑" w:eastAsia="微软雅黑" w:cs="微软雅黑"/>
          <w:kern w:val="0"/>
        </w:rPr>
        <w:fldChar w:fldCharType="end"/>
      </w:r>
    </w:p>
    <w:p>
      <w:pPr>
        <w:pStyle w:val="24"/>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p>
    <w:p>
      <w:pPr>
        <w:pStyle w:val="24"/>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p>
    <w:p>
      <w:pPr>
        <w:pStyle w:val="24"/>
        <w:keepNext w:val="0"/>
        <w:keepLines w:val="0"/>
        <w:pageBreakBefore w:val="0"/>
        <w:widowControl w:val="0"/>
        <w:tabs>
          <w:tab w:val="right" w:leader="dot" w:pos="8311"/>
        </w:tabs>
        <w:kinsoku/>
        <w:wordWrap/>
        <w:overflowPunct/>
        <w:topLinePunct w:val="0"/>
        <w:autoSpaceDE/>
        <w:autoSpaceDN/>
        <w:bidi w:val="0"/>
        <w:adjustRightInd/>
        <w:snapToGrid w:val="0"/>
        <w:spacing w:line="192" w:lineRule="auto"/>
      </w:pPr>
    </w:p>
    <w:p>
      <w:pPr>
        <w:keepNext w:val="0"/>
        <w:keepLines w:val="0"/>
        <w:pageBreakBefore w:val="0"/>
        <w:widowControl w:val="0"/>
        <w:tabs>
          <w:tab w:val="left" w:pos="0"/>
        </w:tabs>
        <w:kinsoku/>
        <w:wordWrap/>
        <w:overflowPunct/>
        <w:topLinePunct w:val="0"/>
        <w:autoSpaceDE/>
        <w:autoSpaceDN/>
        <w:bidi w:val="0"/>
        <w:adjustRightInd/>
        <w:snapToGrid w:val="0"/>
        <w:spacing w:line="192" w:lineRule="auto"/>
        <w:textAlignment w:val="baseline"/>
        <w:rPr>
          <w:rFonts w:ascii="微软雅黑" w:hAnsi="微软雅黑" w:eastAsia="微软雅黑" w:cs="微软雅黑"/>
          <w:kern w:val="0"/>
        </w:rPr>
      </w:pPr>
      <w:r>
        <w:rPr>
          <w:rFonts w:hint="eastAsia" w:ascii="微软雅黑" w:hAnsi="微软雅黑" w:eastAsia="微软雅黑" w:cs="微软雅黑"/>
          <w:kern w:val="0"/>
        </w:rPr>
        <w:fldChar w:fldCharType="end"/>
      </w:r>
      <w:bookmarkStart w:id="0" w:name="_Toc1462"/>
      <w:bookmarkStart w:id="1" w:name="_Toc10715352"/>
      <w:bookmarkStart w:id="2" w:name="_Toc518923059"/>
    </w:p>
    <w:p>
      <w:pPr>
        <w:pStyle w:val="6"/>
        <w:rPr>
          <w:rFonts w:ascii="微软雅黑" w:hAnsi="微软雅黑" w:eastAsia="微软雅黑" w:cs="微软雅黑"/>
          <w:szCs w:val="24"/>
        </w:rPr>
      </w:pPr>
    </w:p>
    <w:p>
      <w:pPr>
        <w:pStyle w:val="10"/>
        <w:rPr>
          <w:rFonts w:ascii="微软雅黑" w:hAnsi="微软雅黑" w:eastAsia="微软雅黑" w:cs="微软雅黑"/>
          <w:szCs w:val="24"/>
        </w:rPr>
      </w:pPr>
    </w:p>
    <w:p>
      <w:pPr>
        <w:rPr>
          <w:rFonts w:ascii="微软雅黑" w:hAnsi="微软雅黑" w:eastAsia="微软雅黑" w:cs="微软雅黑"/>
          <w:szCs w:val="24"/>
        </w:rPr>
      </w:pPr>
    </w:p>
    <w:p>
      <w:pPr>
        <w:pStyle w:val="2"/>
        <w:rPr>
          <w:rFonts w:ascii="微软雅黑" w:hAnsi="微软雅黑" w:eastAsia="微软雅黑" w:cs="微软雅黑"/>
          <w:szCs w:val="24"/>
        </w:rPr>
      </w:pPr>
    </w:p>
    <w:p>
      <w:pPr>
        <w:pStyle w:val="2"/>
        <w:rPr>
          <w:rFonts w:ascii="微软雅黑" w:hAnsi="微软雅黑" w:eastAsia="微软雅黑" w:cs="微软雅黑"/>
          <w:szCs w:val="24"/>
        </w:rPr>
      </w:pPr>
    </w:p>
    <w:p>
      <w:pPr>
        <w:pStyle w:val="2"/>
        <w:rPr>
          <w:rFonts w:ascii="微软雅黑" w:hAnsi="微软雅黑" w:eastAsia="微软雅黑" w:cs="微软雅黑"/>
          <w:szCs w:val="24"/>
        </w:rPr>
      </w:pPr>
    </w:p>
    <w:p>
      <w:pPr>
        <w:pStyle w:val="2"/>
        <w:rPr>
          <w:rFonts w:ascii="微软雅黑" w:hAnsi="微软雅黑" w:eastAsia="微软雅黑" w:cs="微软雅黑"/>
          <w:szCs w:val="24"/>
        </w:rPr>
      </w:pPr>
    </w:p>
    <w:p>
      <w:pPr>
        <w:pStyle w:val="2"/>
        <w:rPr>
          <w:rFonts w:ascii="微软雅黑" w:hAnsi="微软雅黑" w:eastAsia="微软雅黑" w:cs="微软雅黑"/>
          <w:szCs w:val="24"/>
        </w:rPr>
      </w:pPr>
    </w:p>
    <w:p>
      <w:pPr>
        <w:pStyle w:val="2"/>
        <w:rPr>
          <w:rFonts w:ascii="微软雅黑" w:hAnsi="微软雅黑" w:eastAsia="微软雅黑" w:cs="微软雅黑"/>
          <w:szCs w:val="24"/>
        </w:rPr>
      </w:pPr>
    </w:p>
    <w:p>
      <w:pPr>
        <w:pStyle w:val="2"/>
        <w:rPr>
          <w:rFonts w:ascii="微软雅黑" w:hAnsi="微软雅黑" w:eastAsia="微软雅黑" w:cs="微软雅黑"/>
          <w:szCs w:val="24"/>
        </w:rPr>
      </w:pPr>
    </w:p>
    <w:p>
      <w:pPr>
        <w:pStyle w:val="2"/>
        <w:rPr>
          <w:rFonts w:ascii="微软雅黑" w:hAnsi="微软雅黑" w:eastAsia="微软雅黑" w:cs="微软雅黑"/>
          <w:szCs w:val="24"/>
        </w:rPr>
      </w:pPr>
    </w:p>
    <w:p>
      <w:pPr>
        <w:pStyle w:val="2"/>
        <w:rPr>
          <w:rFonts w:ascii="微软雅黑" w:hAnsi="微软雅黑" w:eastAsia="微软雅黑" w:cs="微软雅黑"/>
          <w:szCs w:val="24"/>
        </w:rPr>
      </w:pPr>
    </w:p>
    <w:p>
      <w:pPr>
        <w:pStyle w:val="2"/>
        <w:rPr>
          <w:rFonts w:ascii="微软雅黑" w:hAnsi="微软雅黑" w:eastAsia="微软雅黑" w:cs="微软雅黑"/>
          <w:szCs w:val="24"/>
        </w:rPr>
      </w:pPr>
    </w:p>
    <w:p>
      <w:pPr>
        <w:pStyle w:val="2"/>
        <w:rPr>
          <w:rFonts w:ascii="微软雅黑" w:hAnsi="微软雅黑" w:eastAsia="微软雅黑" w:cs="微软雅黑"/>
          <w:szCs w:val="24"/>
        </w:rPr>
      </w:pPr>
    </w:p>
    <w:p>
      <w:pPr>
        <w:pStyle w:val="2"/>
        <w:rPr>
          <w:rFonts w:ascii="微软雅黑" w:hAnsi="微软雅黑" w:eastAsia="微软雅黑" w:cs="微软雅黑"/>
          <w:szCs w:val="24"/>
        </w:rPr>
      </w:pPr>
    </w:p>
    <w:p>
      <w:pPr>
        <w:pStyle w:val="2"/>
        <w:rPr>
          <w:rFonts w:ascii="微软雅黑" w:hAnsi="微软雅黑" w:eastAsia="微软雅黑" w:cs="微软雅黑"/>
          <w:szCs w:val="24"/>
        </w:rPr>
      </w:pPr>
    </w:p>
    <w:p>
      <w:pPr>
        <w:pStyle w:val="2"/>
        <w:rPr>
          <w:rFonts w:ascii="微软雅黑" w:hAnsi="微软雅黑" w:eastAsia="微软雅黑" w:cs="微软雅黑"/>
          <w:szCs w:val="24"/>
        </w:rPr>
      </w:pPr>
    </w:p>
    <w:p>
      <w:pPr>
        <w:pStyle w:val="2"/>
        <w:rPr>
          <w:rFonts w:ascii="微软雅黑" w:hAnsi="微软雅黑" w:eastAsia="微软雅黑" w:cs="微软雅黑"/>
          <w:szCs w:val="24"/>
        </w:rPr>
      </w:pPr>
    </w:p>
    <w:p>
      <w:pPr>
        <w:pStyle w:val="2"/>
        <w:rPr>
          <w:rFonts w:ascii="微软雅黑" w:hAnsi="微软雅黑" w:eastAsia="微软雅黑" w:cs="微软雅黑"/>
          <w:szCs w:val="24"/>
        </w:rPr>
      </w:pPr>
    </w:p>
    <w:p>
      <w:pPr>
        <w:pStyle w:val="2"/>
        <w:rPr>
          <w:rFonts w:ascii="微软雅黑" w:hAnsi="微软雅黑" w:eastAsia="微软雅黑" w:cs="微软雅黑"/>
          <w:szCs w:val="24"/>
        </w:rPr>
      </w:pPr>
    </w:p>
    <w:p>
      <w:pPr>
        <w:pStyle w:val="2"/>
        <w:rPr>
          <w:rFonts w:ascii="微软雅黑" w:hAnsi="微软雅黑" w:eastAsia="微软雅黑" w:cs="微软雅黑"/>
          <w:szCs w:val="24"/>
        </w:rPr>
      </w:pPr>
    </w:p>
    <w:p>
      <w:pPr>
        <w:rPr>
          <w:rFonts w:ascii="微软雅黑" w:hAnsi="微软雅黑" w:eastAsia="微软雅黑" w:cs="微软雅黑"/>
          <w:kern w:val="0"/>
        </w:rPr>
      </w:pPr>
    </w:p>
    <w:p>
      <w:pPr>
        <w:rPr>
          <w:rFonts w:ascii="微软雅黑" w:hAnsi="微软雅黑" w:eastAsia="微软雅黑" w:cs="微软雅黑"/>
        </w:rPr>
      </w:pPr>
    </w:p>
    <w:p>
      <w:pPr>
        <w:pStyle w:val="3"/>
        <w:tabs>
          <w:tab w:val="left" w:pos="0"/>
        </w:tabs>
        <w:snapToGrid w:val="0"/>
        <w:spacing w:before="0" w:after="0" w:line="360" w:lineRule="auto"/>
        <w:textAlignment w:val="baseline"/>
        <w:rPr>
          <w:rFonts w:ascii="微软雅黑" w:hAnsi="微软雅黑" w:eastAsia="微软雅黑" w:cs="微软雅黑"/>
          <w:sz w:val="24"/>
        </w:rPr>
      </w:pPr>
      <w:bookmarkStart w:id="3" w:name="_Toc8810"/>
      <w:r>
        <w:rPr>
          <w:rFonts w:hint="eastAsia" w:ascii="微软雅黑" w:hAnsi="微软雅黑" w:eastAsia="微软雅黑" w:cs="微软雅黑"/>
          <w:kern w:val="0"/>
          <w:szCs w:val="24"/>
        </w:rPr>
        <w:t xml:space="preserve">第1章  </w:t>
      </w:r>
      <w:r>
        <w:rPr>
          <w:rFonts w:hint="eastAsia" w:ascii="微软雅黑" w:hAnsi="微软雅黑" w:eastAsia="微软雅黑" w:cs="微软雅黑"/>
          <w:szCs w:val="32"/>
        </w:rPr>
        <w:t>供应商须知</w:t>
      </w:r>
      <w:bookmarkEnd w:id="0"/>
      <w:bookmarkEnd w:id="1"/>
      <w:bookmarkEnd w:id="2"/>
      <w:bookmarkEnd w:id="3"/>
    </w:p>
    <w:p>
      <w:pPr>
        <w:pStyle w:val="4"/>
        <w:snapToGrid w:val="0"/>
        <w:spacing w:before="0" w:line="240" w:lineRule="atLeast"/>
        <w:ind w:left="1079" w:leftChars="257" w:hanging="540"/>
        <w:textAlignment w:val="baseline"/>
        <w:rPr>
          <w:rFonts w:ascii="微软雅黑" w:hAnsi="微软雅黑" w:eastAsia="微软雅黑" w:cs="微软雅黑"/>
          <w:sz w:val="24"/>
          <w:szCs w:val="24"/>
        </w:rPr>
      </w:pPr>
      <w:bookmarkStart w:id="4" w:name="_Toc515647757"/>
      <w:bookmarkStart w:id="5" w:name="_Toc520356143"/>
      <w:bookmarkStart w:id="6" w:name="_Toc216582805"/>
      <w:bookmarkStart w:id="7" w:name="_Toc21215"/>
      <w:bookmarkStart w:id="8" w:name="_Toc28235"/>
      <w:bookmarkStart w:id="9" w:name="_Toc21015"/>
      <w:r>
        <w:rPr>
          <w:rFonts w:hint="eastAsia" w:ascii="微软雅黑" w:hAnsi="微软雅黑" w:eastAsia="微软雅黑" w:cs="微软雅黑"/>
          <w:sz w:val="24"/>
          <w:szCs w:val="24"/>
        </w:rPr>
        <w:t xml:space="preserve">一   </w:t>
      </w:r>
      <w:bookmarkEnd w:id="4"/>
      <w:bookmarkEnd w:id="5"/>
      <w:bookmarkEnd w:id="6"/>
      <w:r>
        <w:rPr>
          <w:rFonts w:hint="eastAsia" w:ascii="微软雅黑" w:hAnsi="微软雅黑" w:eastAsia="微软雅黑" w:cs="微软雅黑"/>
          <w:sz w:val="24"/>
          <w:szCs w:val="24"/>
        </w:rPr>
        <w:t>总 则</w:t>
      </w:r>
      <w:bookmarkEnd w:id="7"/>
      <w:bookmarkEnd w:id="8"/>
      <w:bookmarkEnd w:id="9"/>
    </w:p>
    <w:p>
      <w:pPr>
        <w:pStyle w:val="5"/>
        <w:snapToGrid w:val="0"/>
        <w:spacing w:before="0" w:after="0" w:line="380" w:lineRule="exact"/>
        <w:textAlignment w:val="baseline"/>
        <w:rPr>
          <w:rFonts w:ascii="微软雅黑" w:hAnsi="微软雅黑" w:eastAsia="微软雅黑" w:cs="微软雅黑"/>
          <w:szCs w:val="24"/>
          <w:u w:color="000000"/>
        </w:rPr>
      </w:pPr>
      <w:bookmarkStart w:id="10" w:name="_Toc515647758"/>
      <w:bookmarkStart w:id="11" w:name="_Toc32189"/>
      <w:bookmarkStart w:id="12" w:name="_Toc520356144"/>
      <w:bookmarkStart w:id="13" w:name="_Toc32623"/>
      <w:bookmarkStart w:id="14" w:name="_Toc16501"/>
      <w:bookmarkStart w:id="15" w:name="_Toc16079"/>
      <w:bookmarkStart w:id="16" w:name="_Toc11466"/>
      <w:bookmarkStart w:id="17" w:name="_Toc20385"/>
      <w:bookmarkStart w:id="18" w:name="_Toc6040"/>
      <w:bookmarkStart w:id="19" w:name="_Toc11217"/>
      <w:bookmarkStart w:id="20" w:name="_Toc28974"/>
      <w:bookmarkStart w:id="21" w:name="_Toc19826"/>
      <w:bookmarkStart w:id="22" w:name="_Toc27535"/>
      <w:r>
        <w:rPr>
          <w:rFonts w:hint="eastAsia" w:ascii="微软雅黑" w:hAnsi="微软雅黑" w:eastAsia="微软雅黑" w:cs="微软雅黑"/>
          <w:szCs w:val="24"/>
          <w:u w:color="000000"/>
        </w:rPr>
        <w:t>1.采购人、采购代理机构及</w:t>
      </w:r>
      <w:bookmarkEnd w:id="10"/>
      <w:bookmarkEnd w:id="11"/>
      <w:bookmarkEnd w:id="12"/>
      <w:bookmarkEnd w:id="13"/>
      <w:r>
        <w:rPr>
          <w:rFonts w:hint="eastAsia" w:ascii="微软雅黑" w:hAnsi="微软雅黑" w:eastAsia="微软雅黑" w:cs="微软雅黑"/>
          <w:szCs w:val="24"/>
          <w:u w:color="000000"/>
        </w:rPr>
        <w:t>供应商</w:t>
      </w:r>
      <w:bookmarkEnd w:id="14"/>
      <w:bookmarkEnd w:id="15"/>
      <w:bookmarkEnd w:id="16"/>
      <w:bookmarkEnd w:id="17"/>
      <w:bookmarkEnd w:id="18"/>
      <w:bookmarkEnd w:id="19"/>
      <w:bookmarkEnd w:id="20"/>
      <w:bookmarkEnd w:id="21"/>
      <w:bookmarkEnd w:id="22"/>
    </w:p>
    <w:p>
      <w:pPr>
        <w:tabs>
          <w:tab w:val="left" w:pos="0"/>
        </w:tabs>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1.1    采购人：是指依法开展政府采购活动的国家机关、事业单位、团体组织。</w:t>
      </w:r>
    </w:p>
    <w:p>
      <w:pPr>
        <w:tabs>
          <w:tab w:val="left" w:pos="0"/>
        </w:tabs>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本项目的采购人见</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w:t>
      </w:r>
    </w:p>
    <w:p>
      <w:pPr>
        <w:tabs>
          <w:tab w:val="left" w:pos="0"/>
        </w:tabs>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1.2   采购代理机构：是指在集中采购机构或从事采购代理业务的社会中介机构。本项目的采购代理机构见</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w:t>
      </w:r>
    </w:p>
    <w:p>
      <w:pPr>
        <w:numPr>
          <w:ilvl w:val="1"/>
          <w:numId w:val="2"/>
        </w:numPr>
        <w:snapToGrid w:val="0"/>
        <w:spacing w:line="380" w:lineRule="exact"/>
        <w:ind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供应商：是指向采购人提供货物、工程或者服务的法人、非法人组织或者自然人。</w:t>
      </w:r>
    </w:p>
    <w:p>
      <w:pPr>
        <w:snapToGrid w:val="0"/>
        <w:spacing w:line="380" w:lineRule="exact"/>
        <w:ind w:left="850" w:hanging="849" w:hangingChars="354"/>
        <w:textAlignment w:val="baseline"/>
        <w:rPr>
          <w:rFonts w:ascii="微软雅黑" w:hAnsi="微软雅黑" w:eastAsia="微软雅黑" w:cs="微软雅黑"/>
          <w:sz w:val="24"/>
        </w:rPr>
      </w:pPr>
      <w:r>
        <w:rPr>
          <w:rFonts w:hint="eastAsia" w:ascii="微软雅黑" w:hAnsi="微软雅黑" w:eastAsia="微软雅黑" w:cs="微软雅黑"/>
          <w:sz w:val="24"/>
        </w:rPr>
        <w:t>1.3.1</w:t>
      </w:r>
      <w:r>
        <w:rPr>
          <w:rFonts w:hint="eastAsia" w:ascii="微软雅黑" w:hAnsi="微软雅黑" w:eastAsia="微软雅黑" w:cs="微软雅黑"/>
          <w:sz w:val="24"/>
        </w:rPr>
        <w:tab/>
      </w:r>
      <w:r>
        <w:rPr>
          <w:rFonts w:hint="eastAsia" w:ascii="微软雅黑" w:hAnsi="微软雅黑" w:eastAsia="微软雅黑" w:cs="微软雅黑"/>
          <w:sz w:val="24"/>
        </w:rPr>
        <w:t>在中华人民共和国境内注册，能够独立承担民事责任，有生产或供应能力的本国供应商。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1.3.2  具备《中华人民共和国政府采购法》第二十二条关于供应商条件的规定，遵守本项目采购人本级和上级财政部门政府采购的有关规定。</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1.3.3   以采购代理机构认可的方式获得了本项目的磋商文件。</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1.3.4   符合</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 xml:space="preserve">中规定的其他要求。  </w:t>
      </w:r>
    </w:p>
    <w:p>
      <w:pPr>
        <w:snapToGrid w:val="0"/>
        <w:spacing w:line="380" w:lineRule="exact"/>
        <w:ind w:left="840" w:hanging="840" w:hangingChars="350"/>
        <w:textAlignment w:val="baseline"/>
        <w:rPr>
          <w:rFonts w:ascii="微软雅黑" w:hAnsi="微软雅黑" w:eastAsia="微软雅黑" w:cs="微软雅黑"/>
          <w:sz w:val="24"/>
        </w:rPr>
      </w:pPr>
      <w:r>
        <w:rPr>
          <w:rFonts w:hint="eastAsia" w:ascii="微软雅黑" w:hAnsi="微软雅黑" w:eastAsia="微软雅黑" w:cs="微软雅黑"/>
          <w:sz w:val="24"/>
        </w:rPr>
        <w:t>1.3.</w:t>
      </w:r>
      <w:r>
        <w:rPr>
          <w:rFonts w:hint="eastAsia" w:ascii="微软雅黑" w:hAnsi="微软雅黑" w:eastAsia="微软雅黑" w:cs="微软雅黑"/>
          <w:sz w:val="24"/>
          <w:lang w:val="en-US" w:eastAsia="zh-CN"/>
        </w:rPr>
        <w:t>5</w:t>
      </w:r>
      <w:r>
        <w:rPr>
          <w:rFonts w:hint="eastAsia" w:ascii="微软雅黑" w:hAnsi="微软雅黑" w:eastAsia="微软雅黑" w:cs="微软雅黑"/>
          <w:sz w:val="24"/>
        </w:rPr>
        <w:t xml:space="preserve">  若</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中写明专门面向中小企业采购的，如供应商为非中小企业，其磋商将被认定为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     如</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中允许联合体磋商，对联合体规定如下：</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1.4.1   两个以上供应商可以组成一个磋商联合体，以一个供应商的身份磋商。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1.4.2   联合体各方均应符合《中华人民共和国政府采购法》第二十二条规定的条件。</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1.4.3   采购人根据采购项目对供应商的特殊要求，联合体中至少应当有一方符合相关规定。</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1.4.4   联合体各方应签订共同磋商协议，明确约定联合体各方承担的工作和相应的责任，并将共同磋商协议连同作为磋商文件第一部分的内容提交。</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1.4.5   大中型企业、其他自然人、法人或者非法人组织与小型、微型企业组成联合体共同参加磋商，共同磋商协议中应写明小型、微型企业的协议合同金额占到共同磋商协议磋商总金额的比例。</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1.4.6  联合体中有同类资质的供应商按照联合体分工承担相同工作的，按照较低的资质等级确定联合体的资质等级。</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1.4.7  以联合体形式参加政府采购活动的，联合体各方不得再单独参加或者与其他供应商另外组成联合体参加本项目磋商，否则相关磋商将被认定为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1.4.8   对联合体磋商的其他资格要求见</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1.5    单位负责人为同一人或者存在直接控股、管理关系的不同供应商，其相关磋商将被认定为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1.6    为本项目提供过整体设计、规范编制或者项目管理、监理、检测等服务的供应商，不得再参加本项目上述</w:t>
      </w:r>
      <w:r>
        <w:rPr>
          <w:rFonts w:hint="eastAsia" w:ascii="微软雅黑" w:hAnsi="微软雅黑" w:eastAsia="微软雅黑" w:cs="微软雅黑"/>
          <w:sz w:val="24"/>
          <w:lang w:val="en-US" w:eastAsia="zh-CN"/>
        </w:rPr>
        <w:t>服务</w:t>
      </w:r>
      <w:r>
        <w:rPr>
          <w:rFonts w:hint="eastAsia" w:ascii="微软雅黑" w:hAnsi="微软雅黑" w:eastAsia="微软雅黑" w:cs="微软雅黑"/>
          <w:sz w:val="24"/>
        </w:rPr>
        <w:t>以外的其他采购活动。否则其磋商将被认定为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1.7</w:t>
      </w:r>
      <w:r>
        <w:rPr>
          <w:rFonts w:hint="eastAsia" w:ascii="微软雅黑" w:hAnsi="微软雅黑" w:eastAsia="微软雅黑" w:cs="微软雅黑"/>
          <w:sz w:val="24"/>
        </w:rPr>
        <w:tab/>
      </w:r>
      <w:r>
        <w:rPr>
          <w:rFonts w:hint="eastAsia" w:ascii="微软雅黑" w:hAnsi="微软雅黑" w:eastAsia="微软雅黑" w:cs="微软雅黑"/>
          <w:sz w:val="24"/>
        </w:rPr>
        <w:t>供应商在磋商过程中不得向采购人提供、给予任何有价值的物品，影响其正常决策行为。一经发现，其将被认定为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pStyle w:val="5"/>
        <w:snapToGrid w:val="0"/>
        <w:spacing w:before="0" w:after="0" w:line="380" w:lineRule="exact"/>
        <w:textAlignment w:val="baseline"/>
        <w:rPr>
          <w:rFonts w:ascii="微软雅黑" w:hAnsi="微软雅黑" w:eastAsia="微软雅黑" w:cs="微软雅黑"/>
          <w:szCs w:val="24"/>
          <w:u w:color="000000"/>
        </w:rPr>
      </w:pPr>
      <w:bookmarkStart w:id="23" w:name="_Toc4125"/>
      <w:bookmarkStart w:id="24" w:name="_Toc12082"/>
      <w:bookmarkStart w:id="25" w:name="_Toc12139"/>
      <w:bookmarkStart w:id="26" w:name="_Toc32017"/>
      <w:bookmarkStart w:id="27" w:name="_Toc5286"/>
      <w:bookmarkStart w:id="28" w:name="_Toc17954"/>
      <w:bookmarkStart w:id="29" w:name="_Toc31303"/>
      <w:bookmarkStart w:id="30" w:name="_Toc12994"/>
      <w:bookmarkStart w:id="31" w:name="_Toc21415"/>
      <w:bookmarkStart w:id="32" w:name="_Toc515647759"/>
      <w:bookmarkStart w:id="33" w:name="_Toc1145"/>
      <w:bookmarkStart w:id="34" w:name="_Toc20993"/>
      <w:r>
        <w:rPr>
          <w:rFonts w:hint="eastAsia" w:ascii="微软雅黑" w:hAnsi="微软雅黑" w:eastAsia="微软雅黑" w:cs="微软雅黑"/>
          <w:szCs w:val="24"/>
          <w:u w:color="000000"/>
        </w:rPr>
        <w:t>2.资金来源</w:t>
      </w:r>
      <w:bookmarkEnd w:id="23"/>
      <w:bookmarkEnd w:id="24"/>
      <w:bookmarkEnd w:id="25"/>
      <w:bookmarkEnd w:id="26"/>
      <w:bookmarkEnd w:id="27"/>
      <w:bookmarkEnd w:id="28"/>
      <w:bookmarkEnd w:id="29"/>
      <w:bookmarkEnd w:id="30"/>
      <w:bookmarkEnd w:id="31"/>
      <w:bookmarkEnd w:id="32"/>
      <w:bookmarkEnd w:id="33"/>
      <w:bookmarkEnd w:id="34"/>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2.1</w:t>
      </w:r>
      <w:r>
        <w:rPr>
          <w:rFonts w:hint="eastAsia" w:ascii="微软雅黑" w:hAnsi="微软雅黑" w:eastAsia="微软雅黑" w:cs="微软雅黑"/>
          <w:sz w:val="24"/>
        </w:rPr>
        <w:tab/>
      </w:r>
      <w:r>
        <w:rPr>
          <w:rFonts w:hint="eastAsia" w:ascii="微软雅黑" w:hAnsi="微软雅黑" w:eastAsia="微软雅黑" w:cs="微软雅黑"/>
          <w:sz w:val="24"/>
        </w:rPr>
        <w:t>本项目的采购人已获得足以支付本次招标后所签订的合同项下的资金（包括财政性资金和本项目采购中无法与财政性资金分割的非财政性资金）。</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2.2    项目预算金额和分项或分包最高限价</w:t>
      </w:r>
      <w:r>
        <w:rPr>
          <w:rFonts w:hint="eastAsia" w:ascii="微软雅黑" w:hAnsi="微软雅黑" w:eastAsia="微软雅黑" w:cs="微软雅黑"/>
          <w:sz w:val="24"/>
          <w:u w:val="single" w:color="000000"/>
        </w:rPr>
        <w:t>见供应商须知资料表</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2.3    供应商报价超过磋商文件规定的预算金额或者分项、分包最高限价的，其磋商将被认定为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pStyle w:val="5"/>
        <w:snapToGrid w:val="0"/>
        <w:spacing w:before="0" w:after="0" w:line="380" w:lineRule="exact"/>
        <w:textAlignment w:val="baseline"/>
        <w:rPr>
          <w:rFonts w:ascii="微软雅黑" w:hAnsi="微软雅黑" w:eastAsia="微软雅黑" w:cs="微软雅黑"/>
          <w:szCs w:val="24"/>
          <w:u w:color="000000"/>
        </w:rPr>
      </w:pPr>
      <w:bookmarkStart w:id="35" w:name="_Toc6076"/>
      <w:bookmarkStart w:id="36" w:name="_Toc23939"/>
      <w:bookmarkStart w:id="37" w:name="_Toc20149"/>
      <w:bookmarkStart w:id="38" w:name="_Toc14880"/>
      <w:bookmarkStart w:id="39" w:name="_Toc15936"/>
      <w:bookmarkStart w:id="40" w:name="_Toc520356145"/>
      <w:bookmarkStart w:id="41" w:name="_Toc91"/>
      <w:bookmarkStart w:id="42" w:name="_Toc18168"/>
      <w:bookmarkStart w:id="43" w:name="_Toc15302"/>
      <w:bookmarkStart w:id="44" w:name="_Toc4556"/>
      <w:bookmarkStart w:id="45" w:name="_Toc20526"/>
      <w:bookmarkStart w:id="46" w:name="_Toc515647760"/>
      <w:bookmarkStart w:id="47" w:name="_Toc3164"/>
      <w:r>
        <w:rPr>
          <w:rFonts w:hint="eastAsia" w:ascii="微软雅黑" w:hAnsi="微软雅黑" w:eastAsia="微软雅黑" w:cs="微软雅黑"/>
          <w:szCs w:val="24"/>
          <w:u w:color="000000"/>
        </w:rPr>
        <w:t>3.磋商费用</w:t>
      </w:r>
      <w:bookmarkEnd w:id="35"/>
      <w:bookmarkEnd w:id="36"/>
      <w:bookmarkEnd w:id="37"/>
      <w:bookmarkEnd w:id="38"/>
      <w:bookmarkEnd w:id="39"/>
      <w:bookmarkEnd w:id="40"/>
      <w:bookmarkEnd w:id="41"/>
      <w:bookmarkEnd w:id="42"/>
      <w:bookmarkEnd w:id="43"/>
      <w:bookmarkEnd w:id="44"/>
      <w:bookmarkEnd w:id="45"/>
      <w:bookmarkEnd w:id="46"/>
      <w:bookmarkEnd w:id="47"/>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不论磋商的结果如何，供应商应承担所有与准备和参加磋商有关的费用。</w:t>
      </w:r>
    </w:p>
    <w:p>
      <w:pPr>
        <w:pStyle w:val="5"/>
        <w:snapToGrid w:val="0"/>
        <w:spacing w:before="0" w:after="0" w:line="380" w:lineRule="exact"/>
        <w:textAlignment w:val="baseline"/>
        <w:rPr>
          <w:rFonts w:ascii="微软雅黑" w:hAnsi="微软雅黑" w:eastAsia="微软雅黑" w:cs="微软雅黑"/>
          <w:szCs w:val="24"/>
          <w:u w:color="000000"/>
        </w:rPr>
      </w:pPr>
      <w:bookmarkStart w:id="48" w:name="_Toc6116"/>
      <w:bookmarkStart w:id="49" w:name="_Toc23425"/>
      <w:bookmarkStart w:id="50" w:name="_Toc14158"/>
      <w:bookmarkStart w:id="51" w:name="_Toc15164"/>
      <w:bookmarkStart w:id="52" w:name="_Toc515647761"/>
      <w:bookmarkStart w:id="53" w:name="_Toc4463"/>
      <w:bookmarkStart w:id="54" w:name="_Toc28372"/>
      <w:bookmarkStart w:id="55" w:name="_Toc32069"/>
      <w:bookmarkStart w:id="56" w:name="_Toc26501"/>
      <w:bookmarkStart w:id="57" w:name="_Toc29823"/>
      <w:bookmarkStart w:id="58" w:name="_Toc7327"/>
      <w:bookmarkStart w:id="59" w:name="_Toc15428"/>
      <w:r>
        <w:rPr>
          <w:rFonts w:hint="eastAsia" w:ascii="微软雅黑" w:hAnsi="微软雅黑" w:eastAsia="微软雅黑" w:cs="微软雅黑"/>
          <w:szCs w:val="24"/>
          <w:u w:color="000000"/>
        </w:rPr>
        <w:t>4.适用法律</w:t>
      </w:r>
      <w:bookmarkEnd w:id="48"/>
      <w:bookmarkEnd w:id="49"/>
      <w:bookmarkEnd w:id="50"/>
      <w:bookmarkEnd w:id="51"/>
      <w:bookmarkEnd w:id="52"/>
      <w:bookmarkEnd w:id="53"/>
      <w:bookmarkEnd w:id="54"/>
      <w:bookmarkEnd w:id="55"/>
      <w:bookmarkEnd w:id="56"/>
      <w:bookmarkEnd w:id="57"/>
      <w:bookmarkEnd w:id="58"/>
      <w:bookmarkEnd w:id="59"/>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本项目采购人、采购代理机构、供应商、评审委员会的相关行为均受《中华人民共和国政府采购法》、《中华人民共和国政府采购法实施条例》、《政府采购竞争性磋商采购方式管理暂行办法》及本项目本级和上级财政部门政府采购有关规定的约束，其权利受到上述法律法规的保护。</w:t>
      </w:r>
    </w:p>
    <w:p>
      <w:pPr>
        <w:snapToGrid w:val="0"/>
        <w:spacing w:line="380" w:lineRule="exact"/>
        <w:textAlignment w:val="baseline"/>
        <w:rPr>
          <w:rFonts w:ascii="微软雅黑" w:hAnsi="微软雅黑" w:eastAsia="微软雅黑" w:cs="微软雅黑"/>
          <w:sz w:val="24"/>
        </w:rPr>
      </w:pPr>
    </w:p>
    <w:p>
      <w:pPr>
        <w:pStyle w:val="4"/>
        <w:snapToGrid w:val="0"/>
        <w:spacing w:before="0" w:line="380" w:lineRule="exact"/>
        <w:ind w:hanging="540"/>
        <w:textAlignment w:val="baseline"/>
        <w:rPr>
          <w:rFonts w:ascii="微软雅黑" w:hAnsi="微软雅黑" w:eastAsia="微软雅黑" w:cs="微软雅黑"/>
          <w:sz w:val="24"/>
          <w:szCs w:val="24"/>
        </w:rPr>
      </w:pPr>
      <w:bookmarkStart w:id="60" w:name="_Toc515647762"/>
      <w:bookmarkStart w:id="61" w:name="_Toc520356146"/>
      <w:bookmarkStart w:id="62" w:name="_Toc4365"/>
      <w:bookmarkStart w:id="63" w:name="_Toc216582806"/>
      <w:bookmarkStart w:id="64" w:name="_Toc21566"/>
      <w:bookmarkStart w:id="65" w:name="_Toc13692"/>
      <w:bookmarkStart w:id="66" w:name="_Toc7331"/>
      <w:r>
        <w:rPr>
          <w:rFonts w:hint="eastAsia" w:ascii="微软雅黑" w:hAnsi="微软雅黑" w:eastAsia="微软雅黑" w:cs="微软雅黑"/>
          <w:sz w:val="24"/>
          <w:szCs w:val="24"/>
        </w:rPr>
        <w:t xml:space="preserve">二   </w:t>
      </w:r>
      <w:bookmarkEnd w:id="60"/>
      <w:bookmarkEnd w:id="61"/>
      <w:bookmarkEnd w:id="62"/>
      <w:bookmarkEnd w:id="63"/>
      <w:bookmarkEnd w:id="64"/>
      <w:r>
        <w:rPr>
          <w:rFonts w:hint="eastAsia" w:ascii="微软雅黑" w:hAnsi="微软雅黑" w:eastAsia="微软雅黑" w:cs="微软雅黑"/>
          <w:sz w:val="24"/>
          <w:szCs w:val="24"/>
        </w:rPr>
        <w:t>磋商文件</w:t>
      </w:r>
      <w:bookmarkEnd w:id="65"/>
      <w:bookmarkEnd w:id="66"/>
    </w:p>
    <w:p>
      <w:pPr>
        <w:pStyle w:val="5"/>
        <w:snapToGrid w:val="0"/>
        <w:spacing w:before="0" w:after="0" w:line="380" w:lineRule="exact"/>
        <w:textAlignment w:val="baseline"/>
        <w:rPr>
          <w:rFonts w:ascii="微软雅黑" w:hAnsi="微软雅黑" w:eastAsia="微软雅黑" w:cs="微软雅黑"/>
          <w:szCs w:val="24"/>
          <w:u w:color="000000"/>
        </w:rPr>
      </w:pPr>
      <w:bookmarkStart w:id="67" w:name="_Toc25743"/>
      <w:bookmarkStart w:id="68" w:name="_Toc4773"/>
      <w:bookmarkStart w:id="69" w:name="_Toc515647763"/>
      <w:bookmarkStart w:id="70" w:name="_Toc9520"/>
      <w:bookmarkStart w:id="71" w:name="_Toc16521"/>
      <w:bookmarkStart w:id="72" w:name="_Toc27545"/>
      <w:bookmarkStart w:id="73" w:name="_Toc20128"/>
      <w:bookmarkStart w:id="74" w:name="_Toc4254"/>
      <w:bookmarkStart w:id="75" w:name="_Toc16061"/>
      <w:bookmarkStart w:id="76" w:name="_Toc14084"/>
      <w:bookmarkStart w:id="77" w:name="_Toc14409"/>
      <w:bookmarkStart w:id="78" w:name="_Toc520356147"/>
      <w:bookmarkStart w:id="79" w:name="_Toc14535"/>
      <w:r>
        <w:rPr>
          <w:rFonts w:hint="eastAsia" w:ascii="微软雅黑" w:hAnsi="微软雅黑" w:eastAsia="微软雅黑" w:cs="微软雅黑"/>
          <w:szCs w:val="24"/>
          <w:u w:color="000000"/>
        </w:rPr>
        <w:t>5.磋商文件构成</w:t>
      </w:r>
      <w:bookmarkEnd w:id="67"/>
      <w:bookmarkEnd w:id="68"/>
      <w:bookmarkEnd w:id="69"/>
      <w:bookmarkEnd w:id="70"/>
      <w:bookmarkEnd w:id="71"/>
      <w:bookmarkEnd w:id="72"/>
      <w:bookmarkEnd w:id="73"/>
      <w:bookmarkEnd w:id="74"/>
      <w:bookmarkEnd w:id="75"/>
      <w:bookmarkEnd w:id="76"/>
      <w:bookmarkEnd w:id="77"/>
      <w:bookmarkEnd w:id="78"/>
      <w:bookmarkEnd w:id="79"/>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5.1</w:t>
      </w:r>
      <w:r>
        <w:rPr>
          <w:rFonts w:hint="eastAsia" w:ascii="微软雅黑" w:hAnsi="微软雅黑" w:eastAsia="微软雅黑" w:cs="微软雅黑"/>
          <w:sz w:val="24"/>
        </w:rPr>
        <w:tab/>
      </w:r>
      <w:r>
        <w:rPr>
          <w:rFonts w:hint="eastAsia" w:ascii="微软雅黑" w:hAnsi="微软雅黑" w:eastAsia="微软雅黑" w:cs="微软雅黑"/>
          <w:sz w:val="24"/>
        </w:rPr>
        <w:t>磋商文件分为三册共7章，内容如下：</w:t>
      </w:r>
    </w:p>
    <w:p>
      <w:pPr>
        <w:snapToGrid w:val="0"/>
        <w:spacing w:line="380" w:lineRule="exact"/>
        <w:ind w:left="180" w:hanging="180" w:hangingChars="75"/>
        <w:textAlignment w:val="baseline"/>
        <w:rPr>
          <w:rFonts w:ascii="微软雅黑" w:hAnsi="微软雅黑" w:eastAsia="微软雅黑" w:cs="微软雅黑"/>
          <w:sz w:val="24"/>
        </w:rPr>
      </w:pPr>
      <w:r>
        <w:rPr>
          <w:rFonts w:hint="eastAsia" w:ascii="微软雅黑" w:hAnsi="微软雅黑" w:eastAsia="微软雅黑" w:cs="微软雅黑"/>
          <w:sz w:val="24"/>
        </w:rPr>
        <w:t>第一册</w:t>
      </w:r>
    </w:p>
    <w:p>
      <w:pPr>
        <w:tabs>
          <w:tab w:val="left" w:pos="0"/>
        </w:tabs>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第1章 供应商须知</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第2章 响应文件格式</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第二册</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第3章 磋商邀请</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第4章 供应商须知资料表</w:t>
      </w:r>
    </w:p>
    <w:p>
      <w:pPr>
        <w:snapToGrid w:val="0"/>
        <w:spacing w:line="380" w:lineRule="exact"/>
        <w:textAlignment w:val="baseline"/>
        <w:rPr>
          <w:rFonts w:hint="eastAsia" w:ascii="微软雅黑" w:hAnsi="微软雅黑" w:eastAsia="微软雅黑" w:cs="微软雅黑"/>
          <w:sz w:val="24"/>
          <w:lang w:eastAsia="zh-CN"/>
        </w:rPr>
      </w:pPr>
      <w:r>
        <w:rPr>
          <w:rFonts w:hint="eastAsia" w:ascii="微软雅黑" w:hAnsi="微软雅黑" w:eastAsia="微软雅黑" w:cs="微软雅黑"/>
          <w:sz w:val="24"/>
        </w:rPr>
        <w:t xml:space="preserve">第5章 </w:t>
      </w:r>
      <w:r>
        <w:rPr>
          <w:rFonts w:hint="eastAsia" w:ascii="微软雅黑" w:hAnsi="微软雅黑" w:eastAsia="微软雅黑" w:cs="微软雅黑"/>
          <w:sz w:val="24"/>
          <w:lang w:eastAsia="zh-CN"/>
        </w:rPr>
        <w:t>服务需求</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第6章 评审方法和标准</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第三册</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第7章 政府采购合同格式</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5.2</w:t>
      </w:r>
      <w:r>
        <w:rPr>
          <w:rFonts w:hint="eastAsia" w:ascii="微软雅黑" w:hAnsi="微软雅黑" w:eastAsia="微软雅黑" w:cs="微软雅黑"/>
          <w:sz w:val="24"/>
        </w:rPr>
        <w:tab/>
      </w:r>
      <w:r>
        <w:rPr>
          <w:rFonts w:hint="eastAsia" w:ascii="微软雅黑" w:hAnsi="微软雅黑" w:eastAsia="微软雅黑" w:cs="微软雅黑"/>
          <w:sz w:val="24"/>
        </w:rPr>
        <w:t>如本文件的前后内容不一致，以最后描述为准。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5.3    供应商应认真阅读磋商文件所有的事项、格式、条款和技术规范等。如供应商没有按照磋商文件要求提交全部资料，或者磋商文件没有对磋商文件在各方面都做出实质性响应，可能导致其磋商将被认定为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pStyle w:val="5"/>
        <w:snapToGrid w:val="0"/>
        <w:spacing w:before="0" w:after="0" w:line="380" w:lineRule="exact"/>
        <w:textAlignment w:val="baseline"/>
        <w:rPr>
          <w:rFonts w:ascii="微软雅黑" w:hAnsi="微软雅黑" w:eastAsia="微软雅黑" w:cs="微软雅黑"/>
          <w:szCs w:val="24"/>
          <w:u w:color="000000"/>
        </w:rPr>
      </w:pPr>
      <w:bookmarkStart w:id="80" w:name="_Toc520356148"/>
      <w:bookmarkStart w:id="81" w:name="_Toc515904805"/>
      <w:bookmarkStart w:id="82" w:name="_Toc12118"/>
      <w:bookmarkStart w:id="83" w:name="_Toc9232"/>
      <w:bookmarkStart w:id="84" w:name="_Toc6163"/>
      <w:bookmarkStart w:id="85" w:name="_Toc17695"/>
      <w:bookmarkStart w:id="86" w:name="_Toc11954"/>
      <w:bookmarkStart w:id="87" w:name="_Toc5443"/>
      <w:bookmarkStart w:id="88" w:name="_Toc26207"/>
      <w:bookmarkStart w:id="89" w:name="_Toc26044"/>
      <w:bookmarkStart w:id="90" w:name="_Toc19969"/>
      <w:bookmarkStart w:id="91" w:name="_Toc24794"/>
      <w:bookmarkStart w:id="92" w:name="_Toc73"/>
      <w:r>
        <w:rPr>
          <w:rFonts w:hint="eastAsia" w:ascii="微软雅黑" w:hAnsi="微软雅黑" w:eastAsia="微软雅黑" w:cs="微软雅黑"/>
          <w:szCs w:val="24"/>
          <w:u w:color="000000"/>
        </w:rPr>
        <w:t>6.磋商文件的澄清</w:t>
      </w:r>
      <w:bookmarkEnd w:id="80"/>
      <w:bookmarkEnd w:id="81"/>
      <w:r>
        <w:rPr>
          <w:rFonts w:hint="eastAsia" w:ascii="微软雅黑" w:hAnsi="微软雅黑" w:eastAsia="微软雅黑" w:cs="微软雅黑"/>
          <w:szCs w:val="24"/>
          <w:u w:color="000000"/>
        </w:rPr>
        <w:t>与修改</w:t>
      </w:r>
      <w:bookmarkEnd w:id="82"/>
      <w:bookmarkEnd w:id="83"/>
      <w:bookmarkEnd w:id="84"/>
      <w:bookmarkEnd w:id="85"/>
      <w:bookmarkEnd w:id="86"/>
      <w:bookmarkEnd w:id="87"/>
      <w:bookmarkEnd w:id="88"/>
      <w:bookmarkEnd w:id="89"/>
      <w:bookmarkEnd w:id="90"/>
      <w:bookmarkEnd w:id="91"/>
      <w:bookmarkEnd w:id="92"/>
    </w:p>
    <w:p>
      <w:pPr>
        <w:pStyle w:val="6"/>
        <w:snapToGrid w:val="0"/>
        <w:spacing w:line="380" w:lineRule="exact"/>
        <w:ind w:left="840" w:hanging="840" w:hangingChars="350"/>
        <w:textAlignment w:val="baseline"/>
        <w:rPr>
          <w:rFonts w:ascii="微软雅黑" w:hAnsi="微软雅黑" w:eastAsia="微软雅黑" w:cs="微软雅黑"/>
          <w:szCs w:val="24"/>
        </w:rPr>
      </w:pPr>
      <w:r>
        <w:rPr>
          <w:rFonts w:hint="eastAsia" w:ascii="微软雅黑" w:hAnsi="微软雅黑" w:eastAsia="微软雅黑" w:cs="微软雅黑"/>
          <w:szCs w:val="24"/>
        </w:rPr>
        <w:t>6.1    为了保证对磋商文件的澄清和修改满足法律的时限要求，任何要求对磋商文件进行澄清的供应商，均应在磋商截止时间至少5日前，以书面形式将澄清要求通知采购人或采购代理机构。</w:t>
      </w:r>
    </w:p>
    <w:p>
      <w:pPr>
        <w:pStyle w:val="6"/>
        <w:snapToGrid w:val="0"/>
        <w:spacing w:line="380" w:lineRule="exact"/>
        <w:ind w:left="840" w:hanging="840" w:hangingChars="350"/>
        <w:textAlignment w:val="baseline"/>
        <w:rPr>
          <w:rFonts w:ascii="微软雅黑" w:hAnsi="微软雅黑" w:eastAsia="微软雅黑" w:cs="微软雅黑"/>
          <w:szCs w:val="24"/>
        </w:rPr>
      </w:pPr>
      <w:bookmarkStart w:id="93" w:name="_Ref467378678"/>
      <w:bookmarkStart w:id="94" w:name="_Toc515904806"/>
      <w:bookmarkStart w:id="95" w:name="_Toc520356149"/>
      <w:r>
        <w:rPr>
          <w:rFonts w:hint="eastAsia" w:ascii="微软雅黑" w:hAnsi="微软雅黑" w:eastAsia="微软雅黑" w:cs="微软雅黑"/>
          <w:szCs w:val="24"/>
        </w:rPr>
        <w:t>6.2</w:t>
      </w:r>
      <w:r>
        <w:rPr>
          <w:rFonts w:hint="eastAsia" w:ascii="微软雅黑" w:hAnsi="微软雅黑" w:eastAsia="微软雅黑" w:cs="微软雅黑"/>
          <w:szCs w:val="24"/>
        </w:rPr>
        <w:tab/>
      </w:r>
      <w:r>
        <w:rPr>
          <w:rFonts w:hint="eastAsia" w:ascii="微软雅黑" w:hAnsi="微软雅黑" w:eastAsia="微软雅黑" w:cs="微软雅黑"/>
          <w:szCs w:val="24"/>
        </w:rPr>
        <w:t>采购人可主动地或在解答供应商提出的澄清问题时对磋商文件进行澄清或修改。采购代理机构将以发布澄清（更正）公告的方式，澄清或修改磋商文件，澄清或修改内容作为磋商文件的组成部分。</w:t>
      </w:r>
    </w:p>
    <w:p>
      <w:pPr>
        <w:pStyle w:val="6"/>
        <w:snapToGrid w:val="0"/>
        <w:spacing w:line="380" w:lineRule="exact"/>
        <w:ind w:left="840" w:hanging="840" w:hangingChars="350"/>
        <w:textAlignment w:val="baseline"/>
        <w:rPr>
          <w:rFonts w:ascii="微软雅黑" w:hAnsi="微软雅黑" w:eastAsia="微软雅黑" w:cs="微软雅黑"/>
          <w:szCs w:val="24"/>
        </w:rPr>
      </w:pPr>
      <w:r>
        <w:rPr>
          <w:rFonts w:hint="eastAsia" w:ascii="微软雅黑" w:hAnsi="微软雅黑" w:eastAsia="微软雅黑" w:cs="微软雅黑"/>
          <w:szCs w:val="24"/>
        </w:rPr>
        <w:t>6.3</w:t>
      </w:r>
      <w:r>
        <w:rPr>
          <w:rFonts w:hint="eastAsia" w:ascii="微软雅黑" w:hAnsi="微软雅黑" w:eastAsia="微软雅黑" w:cs="微软雅黑"/>
          <w:szCs w:val="24"/>
        </w:rPr>
        <w:tab/>
      </w:r>
      <w:r>
        <w:rPr>
          <w:rFonts w:hint="eastAsia" w:ascii="微软雅黑" w:hAnsi="微软雅黑" w:eastAsia="微软雅黑" w:cs="微软雅黑"/>
          <w:szCs w:val="24"/>
        </w:rPr>
        <w:t>澄清或者修改的内容可能影响磋商文件编制的，采购代理机构将以书面形式通知所有购买磋商文件的潜在供应商，并对其具有约束力。供应商在收到上述通知后，应及时向采购代理机构回函确认。</w:t>
      </w:r>
    </w:p>
    <w:p>
      <w:pPr>
        <w:pStyle w:val="5"/>
        <w:tabs>
          <w:tab w:val="left" w:pos="900"/>
        </w:tabs>
        <w:snapToGrid w:val="0"/>
        <w:spacing w:before="0" w:after="0" w:line="380" w:lineRule="exact"/>
        <w:textAlignment w:val="baseline"/>
        <w:rPr>
          <w:rFonts w:ascii="微软雅黑" w:hAnsi="微软雅黑" w:eastAsia="微软雅黑" w:cs="微软雅黑"/>
          <w:szCs w:val="24"/>
          <w:u w:color="000000"/>
        </w:rPr>
      </w:pPr>
      <w:bookmarkStart w:id="96" w:name="_Toc3801"/>
      <w:bookmarkStart w:id="97" w:name="_Toc12058"/>
      <w:bookmarkStart w:id="98" w:name="_Toc14569"/>
      <w:bookmarkStart w:id="99" w:name="_Toc14294"/>
      <w:bookmarkStart w:id="100" w:name="_Toc16792"/>
      <w:bookmarkStart w:id="101" w:name="_Toc19134"/>
      <w:bookmarkStart w:id="102" w:name="_Toc5970"/>
      <w:bookmarkStart w:id="103" w:name="_Toc16843"/>
      <w:bookmarkStart w:id="104" w:name="_Toc28181"/>
      <w:bookmarkStart w:id="105" w:name="_Toc25635"/>
      <w:bookmarkStart w:id="106" w:name="_Toc18879"/>
      <w:r>
        <w:rPr>
          <w:rFonts w:hint="eastAsia" w:ascii="微软雅黑" w:hAnsi="微软雅黑" w:eastAsia="微软雅黑" w:cs="微软雅黑"/>
          <w:szCs w:val="24"/>
          <w:u w:color="000000"/>
        </w:rPr>
        <w:t>7</w:t>
      </w:r>
      <w:bookmarkEnd w:id="93"/>
      <w:bookmarkEnd w:id="94"/>
      <w:bookmarkEnd w:id="95"/>
      <w:r>
        <w:rPr>
          <w:rFonts w:hint="eastAsia" w:ascii="微软雅黑" w:hAnsi="微软雅黑" w:eastAsia="微软雅黑" w:cs="微软雅黑"/>
          <w:szCs w:val="24"/>
          <w:u w:color="000000"/>
        </w:rPr>
        <w:t>.磋商截止时间的顺延</w:t>
      </w:r>
      <w:bookmarkEnd w:id="96"/>
      <w:bookmarkEnd w:id="97"/>
      <w:bookmarkEnd w:id="98"/>
      <w:bookmarkEnd w:id="99"/>
      <w:bookmarkEnd w:id="100"/>
      <w:bookmarkEnd w:id="101"/>
      <w:bookmarkEnd w:id="102"/>
      <w:bookmarkEnd w:id="103"/>
      <w:bookmarkEnd w:id="104"/>
      <w:bookmarkEnd w:id="105"/>
      <w:bookmarkEnd w:id="106"/>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为使供应商准备磋商时有足够的时间对磋商文件的澄清或者修改部分进行研究，采购人将依法决定是否顺延磋商截止时间。</w:t>
      </w:r>
    </w:p>
    <w:p>
      <w:pPr>
        <w:pStyle w:val="4"/>
        <w:tabs>
          <w:tab w:val="left" w:pos="900"/>
        </w:tabs>
        <w:snapToGrid w:val="0"/>
        <w:spacing w:before="0" w:line="380" w:lineRule="exact"/>
        <w:ind w:hanging="540"/>
        <w:textAlignment w:val="baseline"/>
        <w:rPr>
          <w:rFonts w:ascii="微软雅黑" w:hAnsi="微软雅黑" w:eastAsia="微软雅黑" w:cs="微软雅黑"/>
          <w:sz w:val="28"/>
        </w:rPr>
      </w:pPr>
      <w:bookmarkStart w:id="107" w:name="_Toc516367020"/>
      <w:bookmarkStart w:id="108" w:name="_Toc30808"/>
      <w:bookmarkStart w:id="109" w:name="_Toc520356150"/>
      <w:bookmarkStart w:id="110" w:name="_Toc7636"/>
      <w:bookmarkStart w:id="111" w:name="_Toc18070"/>
      <w:bookmarkStart w:id="112" w:name="_Toc216582807"/>
      <w:bookmarkStart w:id="113" w:name="_Toc515647766"/>
      <w:bookmarkStart w:id="114" w:name="_Toc15517"/>
      <w:bookmarkStart w:id="115" w:name="_Toc16906"/>
      <w:r>
        <w:rPr>
          <w:rFonts w:hint="eastAsia" w:ascii="微软雅黑" w:hAnsi="微软雅黑" w:eastAsia="微软雅黑" w:cs="微软雅黑"/>
          <w:sz w:val="28"/>
        </w:rPr>
        <w:t xml:space="preserve">三   </w:t>
      </w:r>
      <w:bookmarkEnd w:id="107"/>
      <w:r>
        <w:rPr>
          <w:rFonts w:hint="eastAsia" w:ascii="微软雅黑" w:hAnsi="微软雅黑" w:eastAsia="微软雅黑" w:cs="微软雅黑"/>
          <w:sz w:val="28"/>
        </w:rPr>
        <w:t>响应文件的编制</w:t>
      </w:r>
      <w:bookmarkEnd w:id="108"/>
      <w:bookmarkEnd w:id="109"/>
      <w:bookmarkEnd w:id="110"/>
      <w:bookmarkEnd w:id="111"/>
      <w:bookmarkEnd w:id="112"/>
      <w:bookmarkEnd w:id="113"/>
      <w:bookmarkEnd w:id="114"/>
      <w:bookmarkEnd w:id="115"/>
    </w:p>
    <w:p>
      <w:pPr>
        <w:pStyle w:val="6"/>
        <w:snapToGrid w:val="0"/>
        <w:spacing w:line="380" w:lineRule="exact"/>
        <w:textAlignment w:val="baseline"/>
        <w:rPr>
          <w:rFonts w:ascii="微软雅黑" w:hAnsi="微软雅黑" w:eastAsia="微软雅黑" w:cs="微软雅黑"/>
        </w:rPr>
      </w:pPr>
    </w:p>
    <w:p>
      <w:pPr>
        <w:pStyle w:val="5"/>
        <w:tabs>
          <w:tab w:val="left" w:pos="900"/>
        </w:tabs>
        <w:snapToGrid w:val="0"/>
        <w:spacing w:before="0" w:after="0" w:line="380" w:lineRule="exact"/>
        <w:textAlignment w:val="baseline"/>
        <w:rPr>
          <w:rFonts w:ascii="微软雅黑" w:hAnsi="微软雅黑" w:eastAsia="微软雅黑" w:cs="微软雅黑"/>
          <w:u w:color="000000"/>
        </w:rPr>
      </w:pPr>
      <w:bookmarkStart w:id="116" w:name="_Toc520356151"/>
      <w:bookmarkStart w:id="117" w:name="_Toc3553"/>
      <w:bookmarkStart w:id="118" w:name="_Toc31904"/>
      <w:bookmarkStart w:id="119" w:name="_Toc8762"/>
      <w:bookmarkStart w:id="120" w:name="_Toc21065"/>
      <w:bookmarkStart w:id="121" w:name="_Toc21848"/>
      <w:bookmarkStart w:id="122" w:name="_Toc14330"/>
      <w:bookmarkStart w:id="123" w:name="_Toc516367021"/>
      <w:bookmarkStart w:id="124" w:name="_Toc515647767"/>
      <w:bookmarkStart w:id="125" w:name="_Toc19003"/>
      <w:bookmarkStart w:id="126" w:name="_Toc4525"/>
      <w:bookmarkStart w:id="127" w:name="_Toc19644"/>
      <w:bookmarkStart w:id="128" w:name="_Toc5822"/>
      <w:bookmarkStart w:id="129" w:name="_Toc7786"/>
      <w:bookmarkStart w:id="130" w:name="_Toc20168"/>
      <w:r>
        <w:rPr>
          <w:rFonts w:hint="eastAsia" w:ascii="微软雅黑" w:hAnsi="微软雅黑" w:eastAsia="微软雅黑" w:cs="微软雅黑"/>
          <w:u w:color="000000"/>
        </w:rPr>
        <w:t>8.磋商范围及响应文件成交准和计量单位的使用</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8.1</w:t>
      </w:r>
      <w:r>
        <w:rPr>
          <w:rFonts w:hint="eastAsia" w:ascii="微软雅黑" w:hAnsi="微软雅黑" w:eastAsia="微软雅黑" w:cs="微软雅黑"/>
          <w:sz w:val="24"/>
        </w:rPr>
        <w:tab/>
      </w:r>
      <w:r>
        <w:rPr>
          <w:rFonts w:hint="eastAsia" w:ascii="微软雅黑" w:hAnsi="微软雅黑" w:eastAsia="微软雅黑" w:cs="微软雅黑"/>
          <w:sz w:val="24"/>
        </w:rPr>
        <w:t>项目有分包的，供应商可对磋商文件其中某一个或几个分包货物进行磋商，除非在</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中另有规定。</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8.2     供应商应当对所投分包磋商文件中“</w:t>
      </w:r>
      <w:r>
        <w:rPr>
          <w:rFonts w:hint="eastAsia" w:ascii="微软雅黑" w:hAnsi="微软雅黑" w:eastAsia="微软雅黑" w:cs="微软雅黑"/>
          <w:sz w:val="24"/>
          <w:lang w:eastAsia="zh-CN"/>
        </w:rPr>
        <w:t>服务</w:t>
      </w:r>
      <w:r>
        <w:rPr>
          <w:rFonts w:hint="eastAsia" w:ascii="微软雅黑" w:hAnsi="微软雅黑" w:eastAsia="微软雅黑" w:cs="微软雅黑"/>
          <w:sz w:val="24"/>
        </w:rPr>
        <w:t>需求”所列的所有内容进行磋商，如仅响应某一包中的部分内容，其该包磋商将被认定为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8.3     无论磋商文件第5章</w:t>
      </w:r>
      <w:r>
        <w:rPr>
          <w:rFonts w:hint="eastAsia" w:ascii="微软雅黑" w:hAnsi="微软雅黑" w:eastAsia="微软雅黑" w:cs="微软雅黑"/>
          <w:sz w:val="24"/>
          <w:lang w:eastAsia="zh-CN"/>
        </w:rPr>
        <w:t>服务需求</w:t>
      </w:r>
      <w:r>
        <w:rPr>
          <w:rFonts w:hint="eastAsia" w:ascii="微软雅黑" w:hAnsi="微软雅黑" w:eastAsia="微软雅黑" w:cs="微软雅黑"/>
          <w:sz w:val="24"/>
        </w:rPr>
        <w:t>中是否要求，供应商所投货物均应符合国家强制性标准。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8.4     除磋商文件中有特殊要求外，响应文件中所使用的计量单位，应采用中华人民共和国法定计量单位。</w:t>
      </w:r>
    </w:p>
    <w:p>
      <w:pPr>
        <w:pStyle w:val="5"/>
        <w:tabs>
          <w:tab w:val="left" w:pos="900"/>
        </w:tabs>
        <w:snapToGrid w:val="0"/>
        <w:spacing w:before="0" w:after="0" w:line="380" w:lineRule="exact"/>
        <w:textAlignment w:val="baseline"/>
        <w:rPr>
          <w:rFonts w:ascii="微软雅黑" w:hAnsi="微软雅黑" w:eastAsia="微软雅黑" w:cs="微软雅黑"/>
          <w:u w:color="000000"/>
        </w:rPr>
      </w:pPr>
      <w:bookmarkStart w:id="131" w:name="_Ref467306195"/>
      <w:bookmarkStart w:id="132" w:name="_Ref467306676"/>
      <w:bookmarkStart w:id="133" w:name="_Toc516367022"/>
      <w:bookmarkStart w:id="134" w:name="_Toc2709"/>
      <w:bookmarkStart w:id="135" w:name="_Toc520356152"/>
      <w:bookmarkStart w:id="136" w:name="_Toc10364"/>
      <w:bookmarkStart w:id="137" w:name="_Toc13837"/>
      <w:bookmarkStart w:id="138" w:name="_Toc26502"/>
      <w:bookmarkStart w:id="139" w:name="_Toc515647768"/>
      <w:bookmarkStart w:id="140" w:name="_Toc14931"/>
      <w:bookmarkStart w:id="141" w:name="_Toc28670"/>
      <w:bookmarkStart w:id="142" w:name="_Toc2582"/>
      <w:bookmarkStart w:id="143" w:name="_Toc19752"/>
      <w:bookmarkStart w:id="144" w:name="_Toc28307"/>
      <w:bookmarkStart w:id="145" w:name="_Toc4882"/>
      <w:bookmarkStart w:id="146" w:name="_Toc3006"/>
      <w:bookmarkStart w:id="147" w:name="_Toc8989"/>
      <w:r>
        <w:rPr>
          <w:rFonts w:hint="eastAsia" w:ascii="微软雅黑" w:hAnsi="微软雅黑" w:eastAsia="微软雅黑" w:cs="微软雅黑"/>
          <w:u w:color="000000"/>
        </w:rPr>
        <w:t>9.</w:t>
      </w:r>
      <w:bookmarkEnd w:id="131"/>
      <w:bookmarkEnd w:id="132"/>
      <w:bookmarkEnd w:id="133"/>
      <w:r>
        <w:rPr>
          <w:rFonts w:hint="eastAsia" w:ascii="微软雅黑" w:hAnsi="微软雅黑" w:eastAsia="微软雅黑" w:cs="微软雅黑"/>
          <w:u w:color="000000"/>
        </w:rPr>
        <w:t>响应文件构成</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tabs>
          <w:tab w:val="left" w:pos="900"/>
          <w:tab w:val="left" w:pos="5580"/>
        </w:tabs>
        <w:snapToGrid w:val="0"/>
        <w:spacing w:line="380" w:lineRule="exact"/>
        <w:ind w:left="960" w:hanging="960" w:hangingChars="400"/>
        <w:jc w:val="left"/>
        <w:textAlignment w:val="baseline"/>
        <w:rPr>
          <w:rFonts w:ascii="微软雅黑" w:hAnsi="微软雅黑" w:eastAsia="微软雅黑" w:cs="微软雅黑"/>
          <w:sz w:val="24"/>
          <w:u w:val="single" w:color="000000"/>
        </w:rPr>
      </w:pPr>
      <w:bookmarkStart w:id="148" w:name="_Ref467052588"/>
      <w:r>
        <w:rPr>
          <w:rFonts w:hint="eastAsia" w:ascii="微软雅黑" w:hAnsi="微软雅黑" w:eastAsia="微软雅黑" w:cs="微软雅黑"/>
          <w:sz w:val="24"/>
        </w:rPr>
        <w:t xml:space="preserve">9.1     </w:t>
      </w:r>
      <w:r>
        <w:rPr>
          <w:rFonts w:hint="eastAsia" w:ascii="微软雅黑" w:hAnsi="微软雅黑" w:eastAsia="微软雅黑" w:cs="微软雅黑"/>
          <w:sz w:val="24"/>
          <w:u w:val="single" w:color="000000"/>
        </w:rPr>
        <w:t>供应商应完整地按磋商文件提供的响应文件格式及要求编写响应文件，响应文件应包括“</w:t>
      </w:r>
      <w:r>
        <w:rPr>
          <w:rFonts w:hint="eastAsia" w:ascii="微软雅黑" w:hAnsi="微软雅黑" w:eastAsia="微软雅黑" w:cs="微软雅黑"/>
          <w:sz w:val="24"/>
          <w:u w:val="single" w:color="000000"/>
          <w:lang w:eastAsia="zh-CN"/>
        </w:rPr>
        <w:t>磋商报价表</w:t>
      </w:r>
      <w:r>
        <w:rPr>
          <w:rFonts w:hint="eastAsia" w:ascii="微软雅黑" w:hAnsi="微软雅黑" w:eastAsia="微软雅黑" w:cs="微软雅黑"/>
          <w:sz w:val="24"/>
          <w:u w:val="single" w:color="000000"/>
        </w:rPr>
        <w:t>及资格证明文件”和“商务及技术文件”两部分。两部分合订成一册，密封递交。供应商应承担封装失误产生的任何后果。</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9.2    上述文件应按照磋商文件规定的格式填写、签署和盖章。</w:t>
      </w:r>
      <w:bookmarkEnd w:id="148"/>
    </w:p>
    <w:p>
      <w:pPr>
        <w:pStyle w:val="5"/>
        <w:tabs>
          <w:tab w:val="left" w:pos="900"/>
        </w:tabs>
        <w:snapToGrid w:val="0"/>
        <w:spacing w:before="0" w:after="0" w:line="380" w:lineRule="exact"/>
        <w:textAlignment w:val="baseline"/>
        <w:rPr>
          <w:rFonts w:ascii="微软雅黑" w:hAnsi="微软雅黑" w:eastAsia="微软雅黑" w:cs="微软雅黑"/>
          <w:u w:color="000000"/>
        </w:rPr>
      </w:pPr>
      <w:bookmarkStart w:id="149" w:name="_Toc10379"/>
      <w:bookmarkStart w:id="150" w:name="_Toc28704"/>
      <w:bookmarkStart w:id="151" w:name="_Toc520356153"/>
      <w:bookmarkStart w:id="152" w:name="_Toc32014"/>
      <w:bookmarkStart w:id="153" w:name="_Toc4291"/>
      <w:bookmarkStart w:id="154" w:name="_Toc28330"/>
      <w:bookmarkStart w:id="155" w:name="_Toc25631"/>
      <w:bookmarkStart w:id="156" w:name="_Toc870"/>
      <w:bookmarkStart w:id="157" w:name="_Toc5860"/>
      <w:bookmarkStart w:id="158" w:name="_Toc15064"/>
      <w:bookmarkStart w:id="159" w:name="_Toc4601"/>
      <w:bookmarkStart w:id="160" w:name="_Toc515647769"/>
      <w:bookmarkStart w:id="161" w:name="_Toc8626"/>
      <w:bookmarkStart w:id="162" w:name="_Toc6860"/>
      <w:bookmarkStart w:id="163" w:name="_Toc516367023"/>
      <w:r>
        <w:rPr>
          <w:rFonts w:hint="eastAsia" w:ascii="微软雅黑" w:hAnsi="微软雅黑" w:eastAsia="微软雅黑" w:cs="微软雅黑"/>
          <w:u w:color="000000"/>
        </w:rPr>
        <w:t>10.</w:t>
      </w:r>
      <w:r>
        <w:rPr>
          <w:rFonts w:hint="eastAsia" w:ascii="微软雅黑" w:hAnsi="微软雅黑" w:eastAsia="微软雅黑" w:cs="微软雅黑"/>
          <w:u w:color="000000"/>
        </w:rPr>
        <w:tab/>
      </w:r>
      <w:r>
        <w:rPr>
          <w:rFonts w:hint="eastAsia" w:ascii="微软雅黑" w:hAnsi="微软雅黑" w:eastAsia="微软雅黑" w:cs="微软雅黑"/>
          <w:u w:color="000000"/>
        </w:rPr>
        <w:t>证明磋商标的的合格性和符合磋商文件规定的技术文件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10.1</w:t>
      </w:r>
      <w:r>
        <w:rPr>
          <w:rFonts w:hint="eastAsia" w:ascii="微软雅黑" w:hAnsi="微软雅黑" w:eastAsia="微软雅黑" w:cs="微软雅黑"/>
          <w:sz w:val="24"/>
        </w:rPr>
        <w:tab/>
      </w:r>
      <w:r>
        <w:rPr>
          <w:rFonts w:hint="eastAsia" w:ascii="微软雅黑" w:hAnsi="微软雅黑" w:eastAsia="微软雅黑" w:cs="微软雅黑"/>
          <w:sz w:val="24"/>
        </w:rPr>
        <w:t>供应商应提交证明文件，证明其磋商内容符合磋商文件规定。该证明文件是响应文件的一部分。</w:t>
      </w:r>
    </w:p>
    <w:p>
      <w:pPr>
        <w:snapToGrid w:val="0"/>
        <w:spacing w:line="380" w:lineRule="exact"/>
        <w:ind w:left="900" w:hanging="900" w:hangingChars="375"/>
        <w:textAlignment w:val="baseline"/>
        <w:rPr>
          <w:rFonts w:hint="eastAsia" w:ascii="微软雅黑" w:hAnsi="微软雅黑" w:eastAsia="微软雅黑" w:cs="微软雅黑"/>
          <w:sz w:val="24"/>
          <w:lang w:eastAsia="zh-CN"/>
        </w:rPr>
      </w:pPr>
      <w:bookmarkStart w:id="164" w:name="_Ref467306244"/>
      <w:r>
        <w:rPr>
          <w:rFonts w:hint="eastAsia" w:ascii="微软雅黑" w:hAnsi="微软雅黑" w:eastAsia="微软雅黑" w:cs="微软雅黑"/>
          <w:sz w:val="24"/>
        </w:rPr>
        <w:t>10.2</w:t>
      </w:r>
      <w:r>
        <w:rPr>
          <w:rFonts w:hint="eastAsia" w:ascii="微软雅黑" w:hAnsi="微软雅黑" w:eastAsia="微软雅黑" w:cs="微软雅黑"/>
          <w:sz w:val="24"/>
        </w:rPr>
        <w:tab/>
      </w:r>
      <w:r>
        <w:rPr>
          <w:rFonts w:hint="eastAsia" w:ascii="微软雅黑" w:hAnsi="微软雅黑" w:eastAsia="微软雅黑" w:cs="微软雅黑"/>
          <w:sz w:val="24"/>
        </w:rPr>
        <w:t>上款所述的证明文件，可以是文字资料、图纸和数据</w:t>
      </w:r>
      <w:bookmarkEnd w:id="164"/>
      <w:r>
        <w:rPr>
          <w:rFonts w:hint="eastAsia" w:ascii="微软雅黑" w:hAnsi="微软雅黑" w:eastAsia="微软雅黑" w:cs="微软雅黑"/>
          <w:sz w:val="24"/>
          <w:lang w:eastAsia="zh-CN"/>
        </w:rPr>
        <w:t>。</w:t>
      </w:r>
    </w:p>
    <w:p>
      <w:pPr>
        <w:pStyle w:val="5"/>
        <w:snapToGrid w:val="0"/>
        <w:spacing w:before="0" w:after="0" w:line="380" w:lineRule="exact"/>
        <w:textAlignment w:val="baseline"/>
        <w:rPr>
          <w:rFonts w:ascii="微软雅黑" w:hAnsi="微软雅黑" w:eastAsia="微软雅黑" w:cs="微软雅黑"/>
          <w:u w:color="000000"/>
        </w:rPr>
      </w:pPr>
      <w:bookmarkStart w:id="165" w:name="_Toc5239"/>
      <w:bookmarkStart w:id="166" w:name="_Toc16854"/>
      <w:bookmarkStart w:id="167" w:name="_Toc6864"/>
      <w:bookmarkStart w:id="168" w:name="_Toc7506"/>
      <w:bookmarkStart w:id="169" w:name="_Toc2248"/>
      <w:bookmarkStart w:id="170" w:name="_Toc515647770"/>
      <w:bookmarkStart w:id="171" w:name="_Toc19523"/>
      <w:bookmarkStart w:id="172" w:name="_Toc27117"/>
      <w:bookmarkStart w:id="173" w:name="_Toc15870"/>
      <w:bookmarkStart w:id="174" w:name="_Toc520356155"/>
      <w:bookmarkStart w:id="175" w:name="_Toc7688"/>
      <w:bookmarkStart w:id="176" w:name="_Toc9025"/>
      <w:bookmarkStart w:id="177" w:name="_Toc5859"/>
      <w:bookmarkStart w:id="178" w:name="_Toc23231"/>
      <w:r>
        <w:rPr>
          <w:rFonts w:hint="eastAsia" w:ascii="微软雅黑" w:hAnsi="微软雅黑" w:eastAsia="微软雅黑" w:cs="微软雅黑"/>
          <w:u w:color="000000"/>
        </w:rPr>
        <w:t>11.磋商报价</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11.1</w:t>
      </w:r>
      <w:r>
        <w:rPr>
          <w:rFonts w:hint="eastAsia" w:ascii="微软雅黑" w:hAnsi="微软雅黑" w:eastAsia="微软雅黑" w:cs="微软雅黑"/>
          <w:sz w:val="24"/>
        </w:rPr>
        <w:tab/>
      </w:r>
      <w:r>
        <w:rPr>
          <w:rFonts w:hint="eastAsia" w:ascii="微软雅黑" w:hAnsi="微软雅黑" w:eastAsia="微软雅黑" w:cs="微软雅黑"/>
          <w:sz w:val="24"/>
        </w:rPr>
        <w:t>所有磋商均以人民币报价。供应商的磋商报价应遵守《中华人民共和国价格法》。同时，根据《中华人民共和国政府采购法》第二条的规定，为保证公平竞争，如有货物主体部分的赠与行为，其磋商将被认定为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11.2</w:t>
      </w:r>
      <w:r>
        <w:rPr>
          <w:rFonts w:hint="eastAsia" w:ascii="微软雅黑" w:hAnsi="微软雅黑" w:eastAsia="微软雅黑" w:cs="微软雅黑"/>
          <w:sz w:val="24"/>
        </w:rPr>
        <w:tab/>
      </w:r>
      <w:r>
        <w:rPr>
          <w:rFonts w:hint="eastAsia" w:ascii="微软雅黑" w:hAnsi="微软雅黑" w:eastAsia="微软雅黑" w:cs="微软雅黑"/>
          <w:sz w:val="24"/>
        </w:rPr>
        <w:t>供应商应在磋商分项报价表上标明</w:t>
      </w:r>
      <w:r>
        <w:rPr>
          <w:rFonts w:hint="eastAsia" w:ascii="微软雅黑" w:hAnsi="微软雅黑" w:eastAsia="微软雅黑" w:cs="微软雅黑"/>
          <w:sz w:val="24"/>
          <w:lang w:eastAsia="zh-CN"/>
        </w:rPr>
        <w:t>分项服务</w:t>
      </w:r>
      <w:r>
        <w:rPr>
          <w:rFonts w:hint="eastAsia" w:ascii="微软雅黑" w:hAnsi="微软雅黑" w:eastAsia="微软雅黑" w:cs="微软雅黑"/>
          <w:sz w:val="24"/>
        </w:rPr>
        <w:t>的单价（如适用）和总价，并由法定代表人或其授权代表签署。</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11.3</w:t>
      </w:r>
      <w:r>
        <w:rPr>
          <w:rFonts w:hint="eastAsia" w:ascii="微软雅黑" w:hAnsi="微软雅黑" w:eastAsia="微软雅黑" w:cs="微软雅黑"/>
          <w:sz w:val="24"/>
        </w:rPr>
        <w:tab/>
      </w:r>
      <w:r>
        <w:rPr>
          <w:rFonts w:hint="eastAsia" w:ascii="微软雅黑" w:hAnsi="微软雅黑" w:eastAsia="微软雅黑" w:cs="微软雅黑"/>
          <w:sz w:val="24"/>
        </w:rPr>
        <w:t>采购人不接受具有附加条件的报价。</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11.</w:t>
      </w:r>
      <w:r>
        <w:rPr>
          <w:rFonts w:hint="eastAsia" w:ascii="微软雅黑" w:hAnsi="微软雅黑" w:eastAsia="微软雅黑" w:cs="微软雅黑"/>
          <w:sz w:val="24"/>
          <w:lang w:val="en-US" w:eastAsia="zh-CN"/>
        </w:rPr>
        <w:t>4</w:t>
      </w:r>
      <w:r>
        <w:rPr>
          <w:rFonts w:hint="eastAsia" w:ascii="微软雅黑" w:hAnsi="微软雅黑" w:eastAsia="微软雅黑" w:cs="微软雅黑"/>
          <w:sz w:val="24"/>
        </w:rPr>
        <w:t xml:space="preserve"> 供应商所报的各分项磋商单价在合同履行过程中是固定不变的，不得以任何理由予以变更。任何包含价格调整要求的磋商，其磋商将被认定为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b/>
          <w:bCs/>
          <w:sz w:val="24"/>
        </w:rPr>
      </w:pPr>
      <w:r>
        <w:rPr>
          <w:rFonts w:hint="eastAsia" w:ascii="微软雅黑" w:hAnsi="微软雅黑" w:eastAsia="微软雅黑" w:cs="微软雅黑"/>
          <w:sz w:val="24"/>
        </w:rPr>
        <w:t>11.5</w:t>
      </w:r>
      <w:r>
        <w:rPr>
          <w:rFonts w:hint="eastAsia" w:ascii="微软雅黑" w:hAnsi="微软雅黑" w:eastAsia="微软雅黑" w:cs="微软雅黑"/>
          <w:sz w:val="24"/>
        </w:rPr>
        <w:tab/>
      </w:r>
      <w:r>
        <w:rPr>
          <w:rFonts w:hint="eastAsia" w:ascii="微软雅黑" w:hAnsi="微软雅黑" w:eastAsia="微软雅黑" w:cs="微软雅黑"/>
          <w:b/>
          <w:bCs/>
          <w:sz w:val="24"/>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pStyle w:val="5"/>
        <w:snapToGrid w:val="0"/>
        <w:spacing w:before="0" w:after="0" w:line="380" w:lineRule="exact"/>
        <w:textAlignment w:val="baseline"/>
        <w:rPr>
          <w:rFonts w:ascii="微软雅黑" w:hAnsi="微软雅黑" w:eastAsia="微软雅黑" w:cs="微软雅黑"/>
          <w:u w:color="000000"/>
        </w:rPr>
      </w:pPr>
      <w:bookmarkStart w:id="179" w:name="_Toc24996"/>
      <w:bookmarkStart w:id="180" w:name="_Toc9763"/>
      <w:bookmarkStart w:id="181" w:name="_Ref467306513"/>
      <w:bookmarkStart w:id="182" w:name="_Toc30640"/>
      <w:bookmarkStart w:id="183" w:name="_Toc20519"/>
      <w:bookmarkStart w:id="184" w:name="_Toc5302"/>
      <w:bookmarkStart w:id="185" w:name="_Toc17788"/>
      <w:bookmarkStart w:id="186" w:name="_Toc1651"/>
      <w:bookmarkStart w:id="187" w:name="_Toc8505"/>
      <w:bookmarkStart w:id="188" w:name="_Toc19405"/>
      <w:bookmarkStart w:id="189" w:name="_Toc520356156"/>
      <w:bookmarkStart w:id="190" w:name="_Toc16693"/>
      <w:bookmarkStart w:id="191" w:name="_Toc31526"/>
      <w:bookmarkStart w:id="192" w:name="_Toc515647771"/>
      <w:bookmarkStart w:id="193" w:name="_Toc11514"/>
      <w:r>
        <w:rPr>
          <w:rFonts w:hint="eastAsia" w:ascii="微软雅黑" w:hAnsi="微软雅黑" w:eastAsia="微软雅黑" w:cs="微软雅黑"/>
          <w:u w:color="000000"/>
        </w:rPr>
        <w:t>12.磋商保证金</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snapToGrid w:val="0"/>
        <w:spacing w:line="380" w:lineRule="exact"/>
        <w:ind w:left="900" w:hanging="900" w:hangingChars="375"/>
        <w:textAlignment w:val="baseline"/>
        <w:rPr>
          <w:rFonts w:ascii="微软雅黑" w:hAnsi="微软雅黑" w:eastAsia="微软雅黑" w:cs="微软雅黑"/>
          <w:sz w:val="24"/>
        </w:rPr>
      </w:pPr>
      <w:bookmarkStart w:id="194" w:name="_Ref467306302"/>
      <w:r>
        <w:rPr>
          <w:rFonts w:hint="eastAsia" w:ascii="微软雅黑" w:hAnsi="微软雅黑" w:eastAsia="微软雅黑" w:cs="微软雅黑"/>
          <w:sz w:val="24"/>
        </w:rPr>
        <w:t>12.1</w:t>
      </w:r>
      <w:r>
        <w:rPr>
          <w:rFonts w:hint="eastAsia" w:ascii="微软雅黑" w:hAnsi="微软雅黑" w:eastAsia="微软雅黑" w:cs="微软雅黑"/>
          <w:sz w:val="24"/>
        </w:rPr>
        <w:tab/>
      </w:r>
      <w:r>
        <w:rPr>
          <w:rFonts w:hint="eastAsia" w:ascii="微软雅黑" w:hAnsi="微软雅黑" w:eastAsia="微软雅黑" w:cs="微软雅黑"/>
          <w:sz w:val="24"/>
        </w:rPr>
        <w:t>供应商应提交</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中规定的磋商保证金</w:t>
      </w:r>
      <w:bookmarkEnd w:id="194"/>
      <w:r>
        <w:rPr>
          <w:rFonts w:hint="eastAsia" w:ascii="微软雅黑" w:hAnsi="微软雅黑" w:eastAsia="微软雅黑" w:cs="微软雅黑"/>
          <w:sz w:val="24"/>
        </w:rPr>
        <w:t>，并作为其磋商的一部分。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12.2</w:t>
      </w:r>
      <w:r>
        <w:rPr>
          <w:rFonts w:hint="eastAsia" w:ascii="微软雅黑" w:hAnsi="微软雅黑" w:eastAsia="微软雅黑" w:cs="微软雅黑"/>
          <w:sz w:val="24"/>
        </w:rPr>
        <w:tab/>
      </w:r>
      <w:r>
        <w:rPr>
          <w:rFonts w:hint="eastAsia" w:ascii="微软雅黑" w:hAnsi="微软雅黑" w:eastAsia="微软雅黑" w:cs="微软雅黑"/>
          <w:sz w:val="24"/>
        </w:rPr>
        <w:t>供应商存在下列情形的，磋商保证金不予退还：</w:t>
      </w:r>
    </w:p>
    <w:p>
      <w:pPr>
        <w:pStyle w:val="17"/>
        <w:tabs>
          <w:tab w:val="left" w:pos="2240"/>
        </w:tabs>
        <w:snapToGrid w:val="0"/>
        <w:spacing w:line="380" w:lineRule="exact"/>
        <w:ind w:left="300" w:hanging="300" w:hangingChars="125"/>
        <w:textAlignment w:val="baseline"/>
        <w:rPr>
          <w:rFonts w:ascii="微软雅黑" w:hAnsi="微软雅黑" w:eastAsia="微软雅黑" w:cs="微软雅黑"/>
          <w:sz w:val="24"/>
        </w:rPr>
      </w:pPr>
      <w:r>
        <w:rPr>
          <w:rFonts w:hint="eastAsia" w:ascii="微软雅黑" w:hAnsi="微软雅黑" w:eastAsia="微软雅黑" w:cs="微软雅黑"/>
          <w:sz w:val="24"/>
        </w:rPr>
        <w:t>（1）在磋商有效期内，撤销磋商的；</w:t>
      </w:r>
    </w:p>
    <w:p>
      <w:pPr>
        <w:pStyle w:val="17"/>
        <w:tabs>
          <w:tab w:val="left" w:pos="2240"/>
        </w:tabs>
        <w:snapToGrid w:val="0"/>
        <w:spacing w:line="380" w:lineRule="exact"/>
        <w:ind w:left="300" w:hanging="300" w:hangingChars="125"/>
        <w:textAlignment w:val="baseline"/>
        <w:rPr>
          <w:rFonts w:ascii="微软雅黑" w:hAnsi="微软雅黑" w:eastAsia="微软雅黑" w:cs="微软雅黑"/>
          <w:sz w:val="24"/>
        </w:rPr>
      </w:pPr>
      <w:r>
        <w:rPr>
          <w:rFonts w:hint="eastAsia" w:ascii="微软雅黑" w:hAnsi="微软雅黑" w:eastAsia="微软雅黑" w:cs="微软雅黑"/>
          <w:sz w:val="24"/>
        </w:rPr>
        <w:t>（2）成交后不按本须知第30条的规定与采购人签订合同的；</w:t>
      </w:r>
    </w:p>
    <w:p>
      <w:pPr>
        <w:pStyle w:val="17"/>
        <w:tabs>
          <w:tab w:val="left" w:pos="2240"/>
        </w:tabs>
        <w:snapToGrid w:val="0"/>
        <w:spacing w:line="380" w:lineRule="exact"/>
        <w:ind w:left="300" w:hanging="300" w:hangingChars="125"/>
        <w:textAlignment w:val="baseline"/>
        <w:rPr>
          <w:rFonts w:ascii="微软雅黑" w:hAnsi="微软雅黑" w:eastAsia="微软雅黑" w:cs="微软雅黑"/>
          <w:sz w:val="24"/>
        </w:rPr>
      </w:pPr>
      <w:r>
        <w:rPr>
          <w:rFonts w:hint="eastAsia" w:ascii="微软雅黑" w:hAnsi="微软雅黑" w:eastAsia="微软雅黑" w:cs="微软雅黑"/>
          <w:sz w:val="24"/>
        </w:rPr>
        <w:t>（3）成交后不按本须知第31条的规定提交履约保证金的；</w:t>
      </w:r>
    </w:p>
    <w:p>
      <w:pPr>
        <w:pStyle w:val="17"/>
        <w:tabs>
          <w:tab w:val="left" w:pos="2240"/>
        </w:tabs>
        <w:snapToGrid w:val="0"/>
        <w:spacing w:line="380" w:lineRule="exact"/>
        <w:ind w:left="300" w:hanging="300" w:hangingChars="125"/>
        <w:textAlignment w:val="baseline"/>
        <w:rPr>
          <w:rFonts w:ascii="微软雅黑" w:hAnsi="微软雅黑" w:eastAsia="微软雅黑" w:cs="微软雅黑"/>
          <w:sz w:val="24"/>
        </w:rPr>
      </w:pPr>
      <w:r>
        <w:rPr>
          <w:rFonts w:hint="eastAsia" w:ascii="微软雅黑" w:hAnsi="微软雅黑" w:eastAsia="微软雅黑" w:cs="微软雅黑"/>
          <w:sz w:val="24"/>
        </w:rPr>
        <w:t>（4）成交后不按本须知第32条的规定缴纳成交代理费的；</w:t>
      </w:r>
    </w:p>
    <w:p>
      <w:pPr>
        <w:pStyle w:val="17"/>
        <w:tabs>
          <w:tab w:val="left" w:pos="2240"/>
        </w:tabs>
        <w:snapToGrid w:val="0"/>
        <w:spacing w:line="380" w:lineRule="exact"/>
        <w:ind w:left="300" w:hanging="300" w:hangingChars="125"/>
        <w:textAlignment w:val="baseline"/>
        <w:rPr>
          <w:rFonts w:ascii="微软雅黑" w:hAnsi="微软雅黑" w:eastAsia="微软雅黑" w:cs="微软雅黑"/>
          <w:sz w:val="24"/>
        </w:rPr>
      </w:pPr>
      <w:r>
        <w:rPr>
          <w:rFonts w:hint="eastAsia" w:ascii="微软雅黑" w:hAnsi="微软雅黑" w:eastAsia="微软雅黑" w:cs="微软雅黑"/>
          <w:sz w:val="24"/>
        </w:rPr>
        <w:t>（5）存在其他违法违规行为的。</w:t>
      </w:r>
    </w:p>
    <w:p>
      <w:pPr>
        <w:snapToGrid w:val="0"/>
        <w:spacing w:line="380" w:lineRule="exact"/>
        <w:ind w:left="900" w:hanging="900" w:hangingChars="375"/>
        <w:textAlignment w:val="baseline"/>
        <w:rPr>
          <w:rFonts w:ascii="微软雅黑" w:hAnsi="微软雅黑" w:eastAsia="微软雅黑" w:cs="微软雅黑"/>
          <w:sz w:val="24"/>
        </w:rPr>
      </w:pPr>
      <w:bookmarkStart w:id="195" w:name="_Ref467306336"/>
      <w:r>
        <w:rPr>
          <w:rFonts w:hint="eastAsia" w:ascii="微软雅黑" w:hAnsi="微软雅黑" w:eastAsia="微软雅黑" w:cs="微软雅黑"/>
          <w:sz w:val="24"/>
        </w:rPr>
        <w:t>12.3</w:t>
      </w:r>
      <w:r>
        <w:rPr>
          <w:rFonts w:hint="eastAsia" w:ascii="微软雅黑" w:hAnsi="微软雅黑" w:eastAsia="微软雅黑" w:cs="微软雅黑"/>
          <w:sz w:val="24"/>
        </w:rPr>
        <w:tab/>
      </w:r>
      <w:bookmarkEnd w:id="195"/>
      <w:r>
        <w:rPr>
          <w:rFonts w:hint="eastAsia" w:ascii="微软雅黑" w:hAnsi="微软雅黑" w:eastAsia="微软雅黑" w:cs="微软雅黑"/>
          <w:sz w:val="24"/>
        </w:rPr>
        <w:t>政府采购信用担保试点范围内的项目，接受符合财政部门规定的政府采购磋商担保函原件。</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12.4</w:t>
      </w:r>
      <w:r>
        <w:rPr>
          <w:rFonts w:hint="eastAsia" w:ascii="微软雅黑" w:hAnsi="微软雅黑" w:eastAsia="微软雅黑" w:cs="微软雅黑"/>
          <w:sz w:val="24"/>
        </w:rPr>
        <w:tab/>
      </w:r>
      <w:r>
        <w:rPr>
          <w:rFonts w:hint="eastAsia" w:ascii="微软雅黑" w:hAnsi="微软雅黑" w:eastAsia="微软雅黑" w:cs="微软雅黑"/>
          <w:sz w:val="24"/>
        </w:rPr>
        <w:t>供应商未按本须知第12.1和12.3条规定提交磋商保证金的，其磋商将被认定为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12.4.1  采用电汇形式的，一般可以实时入账。</w:t>
      </w:r>
    </w:p>
    <w:p>
      <w:pPr>
        <w:snapToGrid w:val="0"/>
        <w:spacing w:line="380" w:lineRule="exact"/>
        <w:ind w:left="960" w:hanging="960" w:hangingChars="400"/>
        <w:jc w:val="left"/>
        <w:textAlignment w:val="baseline"/>
        <w:rPr>
          <w:rFonts w:ascii="微软雅黑" w:hAnsi="微软雅黑" w:eastAsia="微软雅黑" w:cs="微软雅黑"/>
          <w:sz w:val="24"/>
        </w:rPr>
      </w:pPr>
      <w:r>
        <w:rPr>
          <w:rFonts w:hint="eastAsia" w:ascii="微软雅黑" w:hAnsi="微软雅黑" w:eastAsia="微软雅黑" w:cs="微软雅黑"/>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12.5   联合体磋商的，可以由联合体中的一方或者共同提交磋商保证金。以一方名义提交磋商保证金的，对联合体各方均具有约束力。</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12.6</w:t>
      </w:r>
      <w:r>
        <w:rPr>
          <w:rFonts w:hint="eastAsia" w:ascii="微软雅黑" w:hAnsi="微软雅黑" w:eastAsia="微软雅黑" w:cs="微软雅黑"/>
          <w:sz w:val="24"/>
        </w:rPr>
        <w:tab/>
      </w:r>
      <w:r>
        <w:rPr>
          <w:rFonts w:hint="eastAsia" w:ascii="微软雅黑" w:hAnsi="微软雅黑" w:eastAsia="微软雅黑" w:cs="微软雅黑"/>
          <w:sz w:val="24"/>
        </w:rPr>
        <w:t>磋商保证金的退还</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12.6.1  成交人应在与采购人签订合同之日起5个工作日内，及时联系保证金收受机构办理磋商保证金无息退还手续。</w:t>
      </w:r>
    </w:p>
    <w:p>
      <w:pPr>
        <w:snapToGrid w:val="0"/>
        <w:spacing w:line="380" w:lineRule="exact"/>
        <w:ind w:left="960" w:hanging="960" w:hangingChars="400"/>
        <w:textAlignment w:val="baseline"/>
        <w:rPr>
          <w:rFonts w:ascii="微软雅黑" w:hAnsi="微软雅黑" w:eastAsia="微软雅黑" w:cs="微软雅黑"/>
          <w:sz w:val="24"/>
        </w:rPr>
      </w:pPr>
      <w:r>
        <w:rPr>
          <w:rFonts w:hint="eastAsia" w:ascii="微软雅黑" w:hAnsi="微软雅黑" w:eastAsia="微软雅黑" w:cs="微软雅黑"/>
          <w:sz w:val="24"/>
        </w:rPr>
        <w:t>12.6.2  未成交供应商的磋商保证金将在成交通知书发出之日暨成交结果公告公布之日起5个工作日内无息退还。供应商应及时联系保证金收受机构办理退还磋商保证金手续。</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12.6.3  政府采购磋商担保函不予退回。</w:t>
      </w:r>
    </w:p>
    <w:p>
      <w:pPr>
        <w:snapToGrid w:val="0"/>
        <w:spacing w:line="380" w:lineRule="exact"/>
        <w:ind w:left="960" w:hanging="960" w:hangingChars="400"/>
        <w:textAlignment w:val="baseline"/>
        <w:rPr>
          <w:rFonts w:ascii="微软雅黑" w:hAnsi="微软雅黑" w:eastAsia="微软雅黑" w:cs="微软雅黑"/>
          <w:sz w:val="24"/>
        </w:rPr>
      </w:pPr>
      <w:r>
        <w:rPr>
          <w:rFonts w:hint="eastAsia" w:ascii="微软雅黑" w:hAnsi="微软雅黑" w:eastAsia="微软雅黑" w:cs="微软雅黑"/>
          <w:sz w:val="24"/>
        </w:rPr>
        <w:t>12.7    因供应商自身原因导致无法及时退还的，采购人或采购代理机构将不承担相应责任。</w:t>
      </w:r>
    </w:p>
    <w:p>
      <w:pPr>
        <w:pStyle w:val="5"/>
        <w:snapToGrid w:val="0"/>
        <w:spacing w:before="0" w:after="0" w:line="380" w:lineRule="exact"/>
        <w:textAlignment w:val="baseline"/>
        <w:rPr>
          <w:rFonts w:ascii="微软雅黑" w:hAnsi="微软雅黑" w:eastAsia="微软雅黑" w:cs="微软雅黑"/>
          <w:u w:color="000000"/>
        </w:rPr>
      </w:pPr>
      <w:bookmarkStart w:id="196" w:name="_Toc520356157"/>
      <w:bookmarkStart w:id="197" w:name="_Toc8146"/>
      <w:bookmarkStart w:id="198" w:name="_Toc29124"/>
      <w:bookmarkStart w:id="199" w:name="_Toc277"/>
      <w:bookmarkStart w:id="200" w:name="_Toc32569"/>
      <w:bookmarkStart w:id="201" w:name="_Toc325"/>
      <w:bookmarkStart w:id="202" w:name="_Toc23590"/>
      <w:bookmarkStart w:id="203" w:name="_Toc12769"/>
      <w:bookmarkStart w:id="204" w:name="_Toc22807"/>
      <w:bookmarkStart w:id="205" w:name="_Toc21509"/>
      <w:bookmarkStart w:id="206" w:name="_Toc515647772"/>
      <w:bookmarkStart w:id="207" w:name="_Toc20387"/>
      <w:bookmarkStart w:id="208" w:name="_Toc1400"/>
      <w:bookmarkStart w:id="209" w:name="_Toc3815"/>
      <w:r>
        <w:rPr>
          <w:rFonts w:hint="eastAsia" w:ascii="微软雅黑" w:hAnsi="微软雅黑" w:eastAsia="微软雅黑" w:cs="微软雅黑"/>
          <w:u w:color="000000"/>
        </w:rPr>
        <w:t>13.磋商有效期</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13.1</w:t>
      </w:r>
      <w:r>
        <w:rPr>
          <w:rFonts w:hint="eastAsia" w:ascii="微软雅黑" w:hAnsi="微软雅黑" w:eastAsia="微软雅黑" w:cs="微软雅黑"/>
          <w:sz w:val="24"/>
        </w:rPr>
        <w:tab/>
      </w:r>
      <w:r>
        <w:rPr>
          <w:rFonts w:hint="eastAsia" w:ascii="微软雅黑" w:hAnsi="微软雅黑" w:eastAsia="微软雅黑" w:cs="微软雅黑"/>
          <w:sz w:val="24"/>
        </w:rPr>
        <w:t>磋商应在</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中规定时间内保持有效。磋商有效期不满足要求的磋商，其磋商将被认定为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13.2</w:t>
      </w:r>
      <w:r>
        <w:rPr>
          <w:rFonts w:hint="eastAsia" w:ascii="微软雅黑" w:hAnsi="微软雅黑" w:eastAsia="微软雅黑" w:cs="微软雅黑"/>
          <w:sz w:val="24"/>
        </w:rPr>
        <w:tab/>
      </w:r>
      <w:r>
        <w:rPr>
          <w:rFonts w:hint="eastAsia" w:ascii="微软雅黑" w:hAnsi="微软雅黑" w:eastAsia="微软雅黑" w:cs="微软雅黑"/>
          <w:sz w:val="24"/>
        </w:rPr>
        <w:t>为保证有充分时间签订合同，采购人或采购代理机构可根据实际情况，在原磋商有效期截止之前，要求供应商延长响应文件的有效期。接受该要求的供应商将不会被要求和允许修正其磋商，且本须知中有关磋商保证金的要求须在延长的有效期内继续有效。供应商可以拒绝延长磋商有效期的要求，其磋商保证金将及时无息退还。上述要求和答复都应以书面形式提交。</w:t>
      </w:r>
    </w:p>
    <w:p>
      <w:pPr>
        <w:pStyle w:val="5"/>
        <w:snapToGrid w:val="0"/>
        <w:spacing w:before="0" w:after="0" w:line="380" w:lineRule="exact"/>
        <w:textAlignment w:val="baseline"/>
        <w:rPr>
          <w:rFonts w:ascii="微软雅黑" w:hAnsi="微软雅黑" w:eastAsia="微软雅黑" w:cs="微软雅黑"/>
          <w:u w:color="000000"/>
        </w:rPr>
      </w:pPr>
      <w:bookmarkStart w:id="210" w:name="_Toc520356158"/>
      <w:bookmarkStart w:id="211" w:name="_Toc19311"/>
      <w:bookmarkStart w:id="212" w:name="_Toc21843"/>
      <w:bookmarkStart w:id="213" w:name="_Toc29649"/>
      <w:bookmarkStart w:id="214" w:name="_Toc17074"/>
      <w:bookmarkStart w:id="215" w:name="_Toc28395"/>
      <w:bookmarkStart w:id="216" w:name="_Toc24880"/>
      <w:bookmarkStart w:id="217" w:name="_Toc540"/>
      <w:bookmarkStart w:id="218" w:name="_Toc515647773"/>
      <w:bookmarkStart w:id="219" w:name="_Toc4551"/>
      <w:bookmarkStart w:id="220" w:name="_Toc27945"/>
      <w:bookmarkStart w:id="221" w:name="_Toc14581"/>
      <w:bookmarkStart w:id="222" w:name="_Toc493"/>
      <w:bookmarkStart w:id="223" w:name="_Toc26606"/>
      <w:r>
        <w:rPr>
          <w:rFonts w:hint="eastAsia" w:ascii="微软雅黑" w:hAnsi="微软雅黑" w:eastAsia="微软雅黑" w:cs="微软雅黑"/>
          <w:u w:color="000000"/>
        </w:rPr>
        <w:t>14.响应文件的签署</w:t>
      </w:r>
      <w:bookmarkEnd w:id="210"/>
      <w:r>
        <w:rPr>
          <w:rFonts w:hint="eastAsia" w:ascii="微软雅黑" w:hAnsi="微软雅黑" w:eastAsia="微软雅黑" w:cs="微软雅黑"/>
          <w:u w:color="000000"/>
        </w:rPr>
        <w:t>及规定</w:t>
      </w:r>
      <w:bookmarkEnd w:id="211"/>
      <w:bookmarkEnd w:id="212"/>
      <w:bookmarkEnd w:id="213"/>
      <w:bookmarkEnd w:id="214"/>
      <w:bookmarkEnd w:id="215"/>
      <w:bookmarkEnd w:id="216"/>
      <w:bookmarkEnd w:id="217"/>
      <w:bookmarkEnd w:id="218"/>
      <w:bookmarkEnd w:id="219"/>
      <w:bookmarkEnd w:id="220"/>
      <w:bookmarkEnd w:id="221"/>
      <w:bookmarkEnd w:id="222"/>
      <w:bookmarkEnd w:id="223"/>
    </w:p>
    <w:p>
      <w:pPr>
        <w:spacing w:line="380" w:lineRule="exact"/>
        <w:ind w:left="900" w:hanging="900" w:hangingChars="375"/>
        <w:rPr>
          <w:rFonts w:ascii="微软雅黑" w:hAnsi="微软雅黑" w:eastAsia="微软雅黑" w:cs="微软雅黑"/>
          <w:sz w:val="24"/>
        </w:rPr>
      </w:pPr>
      <w:bookmarkStart w:id="224" w:name="_Toc11179"/>
      <w:bookmarkStart w:id="225" w:name="_Toc216582808"/>
      <w:bookmarkStart w:id="226" w:name="_Toc16865"/>
      <w:bookmarkStart w:id="227" w:name="_Toc3461"/>
      <w:bookmarkStart w:id="228" w:name="_Toc520356159"/>
      <w:bookmarkStart w:id="229" w:name="_Toc8711"/>
      <w:bookmarkStart w:id="230" w:name="_Toc515647774"/>
      <w:r>
        <w:rPr>
          <w:rFonts w:hint="eastAsia" w:ascii="微软雅黑" w:hAnsi="微软雅黑" w:eastAsia="微软雅黑" w:cs="微软雅黑"/>
          <w:sz w:val="24"/>
        </w:rPr>
        <w:t>14.1</w:t>
      </w:r>
      <w:r>
        <w:rPr>
          <w:rFonts w:hint="eastAsia" w:ascii="微软雅黑" w:hAnsi="微软雅黑" w:eastAsia="微软雅黑" w:cs="微软雅黑"/>
          <w:sz w:val="24"/>
        </w:rPr>
        <w:tab/>
      </w:r>
      <w:r>
        <w:rPr>
          <w:rFonts w:hint="eastAsia" w:ascii="微软雅黑" w:hAnsi="微软雅黑" w:eastAsia="微软雅黑" w:cs="微软雅黑"/>
          <w:sz w:val="24"/>
        </w:rPr>
        <w:t>供应商应按</w:t>
      </w:r>
      <w:r>
        <w:rPr>
          <w:rFonts w:hint="eastAsia" w:ascii="微软雅黑" w:hAnsi="微软雅黑" w:eastAsia="微软雅黑" w:cs="微软雅黑"/>
          <w:sz w:val="24"/>
          <w:u w:val="single"/>
        </w:rPr>
        <w:t>供应商须知资料表</w:t>
      </w:r>
      <w:r>
        <w:rPr>
          <w:rFonts w:hint="eastAsia" w:ascii="微软雅黑" w:hAnsi="微软雅黑" w:eastAsia="微软雅黑" w:cs="微软雅黑"/>
          <w:sz w:val="24"/>
        </w:rPr>
        <w:t>中的规定，准备和递交响应文件和</w:t>
      </w:r>
      <w:r>
        <w:rPr>
          <w:rFonts w:hint="eastAsia" w:ascii="微软雅黑" w:hAnsi="微软雅黑" w:eastAsia="微软雅黑" w:cs="微软雅黑"/>
          <w:iCs/>
          <w:sz w:val="24"/>
        </w:rPr>
        <w:t>磋商报价表</w:t>
      </w:r>
      <w:r>
        <w:rPr>
          <w:rFonts w:hint="eastAsia" w:ascii="微软雅黑" w:hAnsi="微软雅黑" w:eastAsia="微软雅黑" w:cs="微软雅黑"/>
          <w:sz w:val="24"/>
        </w:rPr>
        <w:t>和电子文档，每份响应文件封皮须清楚地标明“正本”或“副本”。若正本和副本不符，以正本为准。</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14.2</w:t>
      </w:r>
      <w:r>
        <w:rPr>
          <w:rFonts w:hint="eastAsia" w:ascii="微软雅黑" w:hAnsi="微软雅黑" w:eastAsia="微软雅黑" w:cs="微软雅黑"/>
          <w:sz w:val="24"/>
        </w:rPr>
        <w:tab/>
      </w:r>
      <w:r>
        <w:rPr>
          <w:rFonts w:hint="eastAsia" w:ascii="微软雅黑" w:hAnsi="微软雅黑" w:eastAsia="微软雅黑" w:cs="微软雅黑"/>
          <w:sz w:val="24"/>
        </w:rPr>
        <w:t>响应文件的正本需打印或用不褪色墨水书写，并由供应商的法定代表人或经其正式委托代理人按磋商文件规定在响应文件上签字并加盖单位印章。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14.3    所有响应文件采用不可拆装的胶订方式装订，否则其磋商将被认定为磋商无效。</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14.4</w:t>
      </w:r>
      <w:r>
        <w:rPr>
          <w:rFonts w:hint="eastAsia" w:ascii="微软雅黑" w:hAnsi="微软雅黑" w:eastAsia="微软雅黑" w:cs="微软雅黑"/>
          <w:sz w:val="24"/>
        </w:rPr>
        <w:tab/>
      </w:r>
      <w:r>
        <w:rPr>
          <w:rFonts w:hint="eastAsia" w:ascii="微软雅黑" w:hAnsi="微软雅黑" w:eastAsia="微软雅黑" w:cs="微软雅黑"/>
          <w:sz w:val="24"/>
        </w:rPr>
        <w:t>响应文件因字迹潦草、表达不清或装订不当所引起的后果由供应商负责。</w:t>
      </w:r>
    </w:p>
    <w:p>
      <w:pPr>
        <w:spacing w:line="380" w:lineRule="exact"/>
        <w:ind w:left="900" w:hanging="900" w:hangingChars="375"/>
        <w:jc w:val="center"/>
        <w:outlineLvl w:val="1"/>
        <w:rPr>
          <w:rFonts w:ascii="微软雅黑" w:hAnsi="微软雅黑" w:eastAsia="微软雅黑" w:cs="微软雅黑"/>
          <w:sz w:val="24"/>
        </w:rPr>
      </w:pPr>
      <w:bookmarkStart w:id="231" w:name="_Toc7711"/>
      <w:r>
        <w:rPr>
          <w:rFonts w:hint="eastAsia" w:ascii="微软雅黑" w:hAnsi="微软雅黑" w:eastAsia="微软雅黑" w:cs="微软雅黑"/>
          <w:b/>
          <w:sz w:val="24"/>
        </w:rPr>
        <w:t>四   响应文件的递交</w:t>
      </w:r>
      <w:bookmarkEnd w:id="224"/>
      <w:bookmarkEnd w:id="225"/>
      <w:bookmarkEnd w:id="226"/>
      <w:bookmarkEnd w:id="227"/>
      <w:bookmarkEnd w:id="228"/>
      <w:bookmarkEnd w:id="229"/>
      <w:bookmarkEnd w:id="230"/>
      <w:bookmarkEnd w:id="231"/>
    </w:p>
    <w:p>
      <w:pPr>
        <w:pStyle w:val="5"/>
        <w:snapToGrid w:val="0"/>
        <w:spacing w:before="0" w:after="0" w:line="380" w:lineRule="exact"/>
        <w:textAlignment w:val="baseline"/>
        <w:rPr>
          <w:rFonts w:ascii="微软雅黑" w:hAnsi="微软雅黑" w:eastAsia="微软雅黑" w:cs="微软雅黑"/>
          <w:u w:color="000000"/>
        </w:rPr>
      </w:pPr>
      <w:bookmarkStart w:id="232" w:name="_Toc32337"/>
      <w:bookmarkStart w:id="233" w:name="_Toc22380"/>
      <w:bookmarkStart w:id="234" w:name="_Toc16507"/>
      <w:bookmarkStart w:id="235" w:name="_Toc6764"/>
      <w:bookmarkStart w:id="236" w:name="_Toc30799"/>
      <w:bookmarkStart w:id="237" w:name="_Toc21645"/>
      <w:bookmarkStart w:id="238" w:name="_Toc415"/>
      <w:bookmarkStart w:id="239" w:name="_Toc6188"/>
      <w:bookmarkStart w:id="240" w:name="_Toc515647775"/>
      <w:bookmarkStart w:id="241" w:name="_Toc13617"/>
      <w:bookmarkStart w:id="242" w:name="_Toc28268"/>
      <w:bookmarkStart w:id="243" w:name="_Toc9759"/>
      <w:bookmarkStart w:id="244" w:name="_Toc24069"/>
      <w:bookmarkStart w:id="245" w:name="_Toc520356160"/>
      <w:r>
        <w:rPr>
          <w:rFonts w:hint="eastAsia" w:ascii="微软雅黑" w:hAnsi="微软雅黑" w:eastAsia="微软雅黑" w:cs="微软雅黑"/>
          <w:u w:color="000000"/>
        </w:rPr>
        <w:t>15.响应文件的密封和标记</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15.1   为方便开启及进行资格审查，供应商应将响应文件第一部分和第二部分的内容合并装订成一册，密封提交，并在封皮正面标明“响应文件”字样。</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15.2   所有包装封皮和信封上均应：</w:t>
      </w:r>
    </w:p>
    <w:p>
      <w:pPr>
        <w:spacing w:line="380" w:lineRule="exact"/>
        <w:ind w:left="180" w:hanging="180" w:hangingChars="75"/>
        <w:rPr>
          <w:rFonts w:ascii="微软雅黑" w:hAnsi="微软雅黑" w:eastAsia="微软雅黑" w:cs="微软雅黑"/>
          <w:sz w:val="24"/>
        </w:rPr>
      </w:pPr>
      <w:r>
        <w:rPr>
          <w:rFonts w:hint="eastAsia" w:ascii="微软雅黑" w:hAnsi="微软雅黑" w:eastAsia="微软雅黑" w:cs="微软雅黑"/>
          <w:sz w:val="24"/>
        </w:rPr>
        <w:t>（1）注明招标公告或磋商邀请书中指明的项目名称、项目编号、供应商名称和“在（开标时间）之前不得启封”的字样。</w:t>
      </w:r>
    </w:p>
    <w:p>
      <w:pPr>
        <w:spacing w:line="380" w:lineRule="exact"/>
        <w:ind w:left="180" w:hanging="180" w:hangingChars="75"/>
        <w:rPr>
          <w:rFonts w:ascii="微软雅黑" w:hAnsi="微软雅黑" w:eastAsia="微软雅黑" w:cs="微软雅黑"/>
          <w:sz w:val="24"/>
        </w:rPr>
      </w:pPr>
      <w:r>
        <w:rPr>
          <w:rFonts w:hint="eastAsia" w:ascii="微软雅黑" w:hAnsi="微软雅黑" w:eastAsia="微软雅黑" w:cs="微软雅黑"/>
          <w:sz w:val="24"/>
        </w:rPr>
        <w:t>（2）在封口处加盖供应商单位公章，</w:t>
      </w:r>
      <w:r>
        <w:rPr>
          <w:rFonts w:hint="eastAsia" w:ascii="微软雅黑" w:hAnsi="微软雅黑" w:eastAsia="微软雅黑" w:cs="微软雅黑"/>
          <w:sz w:val="24"/>
          <w:lang w:eastAsia="zh-CN"/>
        </w:rPr>
        <w:t>并</w:t>
      </w:r>
      <w:r>
        <w:rPr>
          <w:rFonts w:hint="eastAsia" w:ascii="微软雅黑" w:hAnsi="微软雅黑" w:eastAsia="微软雅黑" w:cs="微软雅黑"/>
          <w:sz w:val="24"/>
        </w:rPr>
        <w:t>由法定代表人（或其委托代理人）签字</w:t>
      </w:r>
      <w:r>
        <w:rPr>
          <w:rFonts w:hint="eastAsia" w:ascii="微软雅黑" w:hAnsi="微软雅黑" w:eastAsia="微软雅黑" w:cs="微软雅黑"/>
          <w:sz w:val="24"/>
          <w:lang w:val="en-US" w:eastAsia="zh-CN"/>
        </w:rPr>
        <w:t>(或加盖签章）</w:t>
      </w:r>
      <w:r>
        <w:rPr>
          <w:rFonts w:hint="eastAsia" w:ascii="微软雅黑" w:hAnsi="微软雅黑" w:eastAsia="微软雅黑" w:cs="微软雅黑"/>
          <w:sz w:val="24"/>
        </w:rPr>
        <w:t>。</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15.3   如果供应商未按上述要求标记的，将承担相应的后果。</w:t>
      </w:r>
    </w:p>
    <w:p>
      <w:pPr>
        <w:pStyle w:val="5"/>
        <w:snapToGrid w:val="0"/>
        <w:spacing w:before="0" w:after="0" w:line="380" w:lineRule="exact"/>
        <w:textAlignment w:val="baseline"/>
        <w:rPr>
          <w:rFonts w:ascii="微软雅黑" w:hAnsi="微软雅黑" w:eastAsia="微软雅黑" w:cs="微软雅黑"/>
          <w:u w:color="000000"/>
        </w:rPr>
      </w:pPr>
      <w:bookmarkStart w:id="246" w:name="_Toc24025"/>
      <w:bookmarkStart w:id="247" w:name="_Toc7478"/>
      <w:bookmarkStart w:id="248" w:name="_Toc12751"/>
      <w:bookmarkStart w:id="249" w:name="_Toc9840"/>
      <w:bookmarkStart w:id="250" w:name="_Toc9452"/>
      <w:bookmarkStart w:id="251" w:name="_Toc8557"/>
      <w:bookmarkStart w:id="252" w:name="_Toc26069"/>
      <w:bookmarkStart w:id="253" w:name="_Toc515647776"/>
      <w:bookmarkStart w:id="254" w:name="_Toc31921"/>
      <w:bookmarkStart w:id="255" w:name="_Toc2068"/>
      <w:bookmarkStart w:id="256" w:name="_Toc5096"/>
      <w:bookmarkStart w:id="257" w:name="_Toc520356161"/>
      <w:bookmarkStart w:id="258" w:name="_Toc18350"/>
      <w:bookmarkStart w:id="259" w:name="_Toc3372"/>
      <w:r>
        <w:rPr>
          <w:rFonts w:hint="eastAsia" w:ascii="微软雅黑" w:hAnsi="微软雅黑" w:eastAsia="微软雅黑" w:cs="微软雅黑"/>
          <w:u w:color="000000"/>
        </w:rPr>
        <w:t>16.磋商截止</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16.1</w:t>
      </w:r>
      <w:r>
        <w:rPr>
          <w:rFonts w:hint="eastAsia" w:ascii="微软雅黑" w:hAnsi="微软雅黑" w:eastAsia="微软雅黑" w:cs="微软雅黑"/>
          <w:sz w:val="24"/>
        </w:rPr>
        <w:tab/>
      </w:r>
      <w:r>
        <w:rPr>
          <w:rFonts w:hint="eastAsia" w:ascii="微软雅黑" w:hAnsi="微软雅黑" w:eastAsia="微软雅黑" w:cs="微软雅黑"/>
          <w:sz w:val="24"/>
        </w:rPr>
        <w:t>供应商应在供应商须知资料表中规定的截止时间前，将响应文件上传到磋商公告中规定的地点。</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16.2</w:t>
      </w:r>
      <w:r>
        <w:rPr>
          <w:rFonts w:hint="eastAsia" w:ascii="微软雅黑" w:hAnsi="微软雅黑" w:eastAsia="微软雅黑" w:cs="微软雅黑"/>
          <w:sz w:val="24"/>
        </w:rPr>
        <w:tab/>
      </w:r>
      <w:r>
        <w:rPr>
          <w:rFonts w:hint="eastAsia" w:ascii="微软雅黑" w:hAnsi="微软雅黑" w:eastAsia="微软雅黑" w:cs="微软雅黑"/>
          <w:sz w:val="24"/>
        </w:rPr>
        <w:t>采购人和采购代理机构有权按本须知的规定，延迟磋商截止时间。在此情况下，采购人、采购代理机构和供应商受磋商截止时间制约的所有权利和义务均应延长至新的截止时间。</w:t>
      </w:r>
    </w:p>
    <w:p>
      <w:pPr>
        <w:spacing w:line="380" w:lineRule="exact"/>
        <w:ind w:left="900" w:hanging="900" w:hangingChars="375"/>
        <w:rPr>
          <w:rFonts w:ascii="微软雅黑" w:hAnsi="微软雅黑" w:eastAsia="微软雅黑" w:cs="微软雅黑"/>
          <w:sz w:val="24"/>
        </w:rPr>
      </w:pPr>
      <w:r>
        <w:rPr>
          <w:rFonts w:hint="eastAsia" w:ascii="微软雅黑" w:hAnsi="微软雅黑" w:eastAsia="微软雅黑" w:cs="微软雅黑"/>
          <w:sz w:val="24"/>
        </w:rPr>
        <w:t>16.3</w:t>
      </w:r>
      <w:r>
        <w:rPr>
          <w:rFonts w:hint="eastAsia" w:ascii="微软雅黑" w:hAnsi="微软雅黑" w:eastAsia="微软雅黑" w:cs="微软雅黑"/>
          <w:sz w:val="24"/>
        </w:rPr>
        <w:tab/>
      </w:r>
      <w:r>
        <w:rPr>
          <w:rFonts w:hint="eastAsia" w:ascii="微软雅黑" w:hAnsi="微软雅黑" w:eastAsia="微软雅黑" w:cs="微软雅黑"/>
          <w:sz w:val="24"/>
        </w:rPr>
        <w:t>采购人和采购代理机构将拒绝接收在磋商截止时间后递交的响应文件。</w:t>
      </w:r>
    </w:p>
    <w:p>
      <w:pPr>
        <w:pStyle w:val="5"/>
        <w:snapToGrid w:val="0"/>
        <w:spacing w:before="0" w:after="0" w:line="380" w:lineRule="exact"/>
        <w:textAlignment w:val="baseline"/>
        <w:rPr>
          <w:rFonts w:ascii="微软雅黑" w:hAnsi="微软雅黑" w:eastAsia="微软雅黑" w:cs="微软雅黑"/>
          <w:u w:color="000000"/>
        </w:rPr>
      </w:pPr>
      <w:bookmarkStart w:id="260" w:name="_Toc9478"/>
      <w:bookmarkStart w:id="261" w:name="_Toc11003"/>
      <w:bookmarkStart w:id="262" w:name="_Toc23557"/>
      <w:bookmarkStart w:id="263" w:name="_Toc18594"/>
      <w:bookmarkStart w:id="264" w:name="_Toc515647777"/>
      <w:bookmarkStart w:id="265" w:name="_Toc29943"/>
      <w:bookmarkStart w:id="266" w:name="_Toc24275"/>
      <w:bookmarkStart w:id="267" w:name="_Toc520356162"/>
      <w:bookmarkStart w:id="268" w:name="_Toc10299"/>
      <w:bookmarkStart w:id="269" w:name="_Toc3014"/>
      <w:bookmarkStart w:id="270" w:name="_Toc22201"/>
      <w:bookmarkStart w:id="271" w:name="_Toc7274"/>
      <w:bookmarkStart w:id="272" w:name="_Toc24701"/>
      <w:bookmarkStart w:id="273" w:name="_Toc18537"/>
      <w:r>
        <w:rPr>
          <w:rFonts w:hint="eastAsia" w:ascii="微软雅黑" w:hAnsi="微软雅黑" w:eastAsia="微软雅黑" w:cs="微软雅黑"/>
          <w:u w:color="000000"/>
        </w:rPr>
        <w:t>17.响应文件的接收、修改与撤回</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snapToGrid w:val="0"/>
        <w:spacing w:line="380" w:lineRule="exact"/>
        <w:ind w:left="900" w:hanging="900" w:hangingChars="375"/>
        <w:textAlignment w:val="baseline"/>
        <w:rPr>
          <w:rFonts w:ascii="微软雅黑" w:hAnsi="微软雅黑" w:eastAsia="微软雅黑" w:cs="微软雅黑"/>
          <w:sz w:val="20"/>
        </w:rPr>
      </w:pPr>
      <w:r>
        <w:rPr>
          <w:rFonts w:hint="eastAsia" w:ascii="微软雅黑" w:hAnsi="微软雅黑" w:eastAsia="微软雅黑" w:cs="微软雅黑"/>
          <w:sz w:val="24"/>
        </w:rPr>
        <w:t>17.1</w:t>
      </w:r>
      <w:r>
        <w:rPr>
          <w:rFonts w:hint="eastAsia" w:ascii="微软雅黑" w:hAnsi="微软雅黑" w:eastAsia="微软雅黑" w:cs="微软雅黑"/>
          <w:sz w:val="24"/>
        </w:rPr>
        <w:tab/>
      </w:r>
      <w:r>
        <w:rPr>
          <w:rFonts w:hint="eastAsia" w:ascii="微软雅黑" w:hAnsi="微软雅黑" w:eastAsia="微软雅黑" w:cs="微软雅黑"/>
          <w:sz w:val="24"/>
        </w:rPr>
        <w:t>在磋商截止时间后递交的响应文件的，采购人和采购代理机构将拒绝接收。</w:t>
      </w:r>
    </w:p>
    <w:p>
      <w:pPr>
        <w:snapToGrid w:val="0"/>
        <w:spacing w:line="380" w:lineRule="exact"/>
        <w:ind w:left="840" w:hanging="840" w:hangingChars="350"/>
        <w:textAlignment w:val="baseline"/>
        <w:rPr>
          <w:rFonts w:ascii="微软雅黑" w:hAnsi="微软雅黑" w:eastAsia="微软雅黑" w:cs="微软雅黑"/>
          <w:sz w:val="24"/>
        </w:rPr>
      </w:pPr>
      <w:r>
        <w:rPr>
          <w:rFonts w:hint="eastAsia" w:ascii="微软雅黑" w:hAnsi="微软雅黑" w:eastAsia="微软雅黑" w:cs="微软雅黑"/>
          <w:sz w:val="24"/>
        </w:rPr>
        <w:t>17.2</w:t>
      </w:r>
      <w:r>
        <w:rPr>
          <w:rFonts w:hint="eastAsia" w:ascii="微软雅黑" w:hAnsi="微软雅黑" w:eastAsia="微软雅黑" w:cs="微软雅黑"/>
          <w:sz w:val="24"/>
        </w:rPr>
        <w:tab/>
      </w:r>
      <w:r>
        <w:rPr>
          <w:rFonts w:hint="eastAsia" w:ascii="微软雅黑" w:hAnsi="微软雅黑" w:eastAsia="微软雅黑" w:cs="微软雅黑"/>
          <w:sz w:val="24"/>
        </w:rPr>
        <w:t>递交响应文件以后，如果供应商要进行修改或撤回磋商，供应商对响应文件的修改或撤回通知应按本须知规定编制、标记。</w:t>
      </w:r>
    </w:p>
    <w:p>
      <w:pPr>
        <w:snapToGrid w:val="0"/>
        <w:spacing w:line="380" w:lineRule="exact"/>
        <w:ind w:firstLine="120" w:firstLineChars="50"/>
        <w:textAlignment w:val="baseline"/>
        <w:rPr>
          <w:rFonts w:ascii="微软雅黑" w:hAnsi="微软雅黑" w:eastAsia="微软雅黑" w:cs="微软雅黑"/>
          <w:sz w:val="24"/>
        </w:rPr>
      </w:pPr>
      <w:r>
        <w:rPr>
          <w:rFonts w:hint="eastAsia" w:ascii="微软雅黑" w:hAnsi="微软雅黑" w:eastAsia="微软雅黑" w:cs="微软雅黑"/>
          <w:sz w:val="24"/>
        </w:rPr>
        <w:t>采购人和采购代理机构将予以接收，并视为响应文件的组成部分。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173</w:t>
      </w:r>
      <w:r>
        <w:rPr>
          <w:rFonts w:hint="eastAsia" w:ascii="微软雅黑" w:hAnsi="微软雅黑" w:eastAsia="微软雅黑" w:cs="微软雅黑"/>
          <w:sz w:val="24"/>
        </w:rPr>
        <w:tab/>
      </w:r>
      <w:r>
        <w:rPr>
          <w:rFonts w:hint="eastAsia" w:ascii="微软雅黑" w:hAnsi="微软雅黑" w:eastAsia="微软雅黑" w:cs="微软雅黑"/>
          <w:sz w:val="24"/>
        </w:rPr>
        <w:t>在磋商截止期之后，采购人和采购代理机构不接受供应商主动对其响应文件做任何修改。</w:t>
      </w:r>
    </w:p>
    <w:p>
      <w:pPr>
        <w:snapToGrid w:val="0"/>
        <w:spacing w:line="380" w:lineRule="exact"/>
        <w:ind w:left="900" w:hanging="900" w:hangingChars="375"/>
        <w:textAlignment w:val="baseline"/>
        <w:rPr>
          <w:rFonts w:ascii="微软雅黑" w:hAnsi="微软雅黑" w:eastAsia="微软雅黑" w:cs="微软雅黑"/>
          <w:sz w:val="20"/>
        </w:rPr>
      </w:pPr>
      <w:r>
        <w:rPr>
          <w:rFonts w:hint="eastAsia" w:ascii="微软雅黑" w:hAnsi="微软雅黑" w:eastAsia="微软雅黑" w:cs="微软雅黑"/>
          <w:sz w:val="24"/>
        </w:rPr>
        <w:t>17.4</w:t>
      </w:r>
      <w:r>
        <w:rPr>
          <w:rFonts w:hint="eastAsia" w:ascii="微软雅黑" w:hAnsi="微软雅黑" w:eastAsia="微软雅黑" w:cs="微软雅黑"/>
          <w:sz w:val="24"/>
        </w:rPr>
        <w:tab/>
      </w:r>
      <w:r>
        <w:rPr>
          <w:rFonts w:hint="eastAsia" w:ascii="微软雅黑" w:hAnsi="微软雅黑" w:eastAsia="微软雅黑" w:cs="微软雅黑"/>
          <w:sz w:val="24"/>
        </w:rPr>
        <w:t>采购人和采购代理机构对所接收响应文件概不退回。</w:t>
      </w:r>
    </w:p>
    <w:p>
      <w:pPr>
        <w:pStyle w:val="4"/>
        <w:snapToGrid w:val="0"/>
        <w:spacing w:before="0" w:line="380" w:lineRule="exact"/>
        <w:ind w:hanging="540"/>
        <w:textAlignment w:val="baseline"/>
        <w:rPr>
          <w:rFonts w:ascii="微软雅黑" w:hAnsi="微软雅黑" w:eastAsia="微软雅黑" w:cs="微软雅黑"/>
          <w:sz w:val="24"/>
        </w:rPr>
      </w:pPr>
      <w:bookmarkStart w:id="274" w:name="_Toc16124"/>
      <w:bookmarkStart w:id="275" w:name="_Toc515647778"/>
      <w:bookmarkStart w:id="276" w:name="_Toc27283"/>
      <w:bookmarkStart w:id="277" w:name="_Toc12436"/>
      <w:bookmarkStart w:id="278" w:name="_Toc520356163"/>
      <w:bookmarkStart w:id="279" w:name="_Toc216582809"/>
      <w:bookmarkStart w:id="280" w:name="_Toc28398"/>
      <w:bookmarkStart w:id="281" w:name="_Toc787"/>
      <w:r>
        <w:rPr>
          <w:rFonts w:hint="eastAsia" w:ascii="微软雅黑" w:hAnsi="微软雅黑" w:eastAsia="微软雅黑" w:cs="微软雅黑"/>
          <w:sz w:val="24"/>
        </w:rPr>
        <w:t>五   磋商及评</w:t>
      </w:r>
      <w:bookmarkEnd w:id="274"/>
      <w:bookmarkEnd w:id="275"/>
      <w:bookmarkEnd w:id="276"/>
      <w:bookmarkEnd w:id="277"/>
      <w:bookmarkEnd w:id="278"/>
      <w:bookmarkEnd w:id="279"/>
      <w:bookmarkEnd w:id="280"/>
      <w:r>
        <w:rPr>
          <w:rFonts w:hint="eastAsia" w:ascii="微软雅黑" w:hAnsi="微软雅黑" w:eastAsia="微软雅黑" w:cs="微软雅黑"/>
          <w:sz w:val="24"/>
        </w:rPr>
        <w:t>审</w:t>
      </w:r>
      <w:bookmarkEnd w:id="281"/>
    </w:p>
    <w:p>
      <w:pPr>
        <w:pStyle w:val="5"/>
        <w:numPr>
          <w:ilvl w:val="0"/>
          <w:numId w:val="3"/>
        </w:numPr>
        <w:snapToGrid w:val="0"/>
        <w:spacing w:before="0" w:after="0" w:line="380" w:lineRule="exact"/>
        <w:textAlignment w:val="baseline"/>
        <w:rPr>
          <w:rFonts w:ascii="微软雅黑" w:hAnsi="微软雅黑" w:eastAsia="微软雅黑" w:cs="微软雅黑"/>
          <w:u w:color="000000"/>
        </w:rPr>
      </w:pPr>
      <w:bookmarkStart w:id="282" w:name="_Toc1026"/>
      <w:bookmarkStart w:id="283" w:name="_Toc5344"/>
      <w:bookmarkStart w:id="284" w:name="_Toc20787"/>
      <w:r>
        <w:rPr>
          <w:rFonts w:hint="eastAsia" w:ascii="微软雅黑" w:hAnsi="微软雅黑" w:eastAsia="微软雅黑" w:cs="微软雅黑"/>
          <w:u w:color="000000"/>
        </w:rPr>
        <w:t>磋商</w:t>
      </w:r>
      <w:bookmarkEnd w:id="282"/>
      <w:bookmarkEnd w:id="283"/>
      <w:bookmarkEnd w:id="284"/>
    </w:p>
    <w:p>
      <w:pPr>
        <w:numPr>
          <w:ilvl w:val="1"/>
          <w:numId w:val="3"/>
        </w:num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采购人和采购代理机构将按</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中规定的磋商时间和地点组织</w:t>
      </w:r>
      <w:r>
        <w:rPr>
          <w:rFonts w:hint="eastAsia" w:ascii="微软雅黑" w:hAnsi="微软雅黑" w:eastAsia="微软雅黑" w:cs="微软雅黑"/>
          <w:sz w:val="24"/>
          <w:lang w:eastAsia="zh-CN"/>
        </w:rPr>
        <w:t>竞争性</w:t>
      </w:r>
      <w:r>
        <w:rPr>
          <w:rFonts w:hint="eastAsia" w:ascii="微软雅黑" w:hAnsi="微软雅黑" w:eastAsia="微软雅黑" w:cs="微软雅黑"/>
          <w:sz w:val="24"/>
        </w:rPr>
        <w:t>磋商并邀请所有供应商代表参加。</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18.2  磋商时，由采购人代表或监督人检查供应商的资格要求。</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18.3   磋商时，由供应商或其推选的代表检查自己或所代表的响应文件的密封情况。</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18.4   磋商小组进场，对各供应商的资格性和符合性进行审查。</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18.5   供应商进场，进行磋商，采购人或采购代理机构将对磋商过程进行记录</w:t>
      </w:r>
      <w:bookmarkStart w:id="285" w:name="_Toc520356165"/>
      <w:r>
        <w:rPr>
          <w:rFonts w:hint="eastAsia" w:ascii="微软雅黑" w:hAnsi="微软雅黑" w:eastAsia="微软雅黑" w:cs="微软雅黑"/>
          <w:sz w:val="24"/>
        </w:rPr>
        <w:t>，由参加磋商的各供应商代表和相关工作人员签字确认，并存档备查。</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18.6   采购人或采购代理机构对最终的报价进行宣读。</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18.7   供应商退场，磋商小组对供应商的响应文件进行综合评分。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18.8   采购人或采购代理机构对评审结果进行宣布。供应商代表对磋商过程和磋商记录有疑义，以及认为采购人、采购代理机构相关工作人员有需要回避的情形的，应当场提出询问或者回避申请。</w:t>
      </w:r>
    </w:p>
    <w:p>
      <w:pPr>
        <w:pStyle w:val="5"/>
        <w:snapToGrid w:val="0"/>
        <w:spacing w:before="0" w:after="0" w:line="380" w:lineRule="exact"/>
        <w:textAlignment w:val="baseline"/>
        <w:rPr>
          <w:rFonts w:ascii="微软雅黑" w:hAnsi="微软雅黑" w:eastAsia="微软雅黑" w:cs="微软雅黑"/>
          <w:u w:color="000000"/>
        </w:rPr>
      </w:pPr>
      <w:bookmarkStart w:id="286" w:name="_Toc19296"/>
      <w:bookmarkStart w:id="287" w:name="_Toc21372"/>
      <w:bookmarkStart w:id="288" w:name="_Toc515647780"/>
      <w:bookmarkStart w:id="289" w:name="_Toc5428"/>
      <w:bookmarkStart w:id="290" w:name="_Toc9240"/>
      <w:bookmarkStart w:id="291" w:name="_Toc526"/>
      <w:bookmarkStart w:id="292" w:name="_Toc18057"/>
      <w:bookmarkStart w:id="293" w:name="_Toc14954"/>
      <w:bookmarkStart w:id="294" w:name="_Toc5768"/>
      <w:bookmarkStart w:id="295" w:name="_Toc6401"/>
      <w:bookmarkStart w:id="296" w:name="_Toc28768"/>
      <w:bookmarkStart w:id="297" w:name="_Toc5402"/>
      <w:bookmarkStart w:id="298" w:name="_Toc18658"/>
      <w:r>
        <w:rPr>
          <w:rFonts w:hint="eastAsia" w:ascii="微软雅黑" w:hAnsi="微软雅黑" w:eastAsia="微软雅黑" w:cs="微软雅黑"/>
          <w:u w:color="000000"/>
        </w:rPr>
        <w:t>19.</w:t>
      </w:r>
      <w:bookmarkEnd w:id="285"/>
      <w:r>
        <w:rPr>
          <w:rFonts w:hint="eastAsia" w:ascii="微软雅黑" w:hAnsi="微软雅黑" w:eastAsia="微软雅黑" w:cs="微软雅黑"/>
          <w:u w:color="000000"/>
        </w:rPr>
        <w:t>资格审查及组建</w:t>
      </w:r>
      <w:bookmarkEnd w:id="286"/>
      <w:bookmarkEnd w:id="287"/>
      <w:bookmarkEnd w:id="288"/>
      <w:bookmarkEnd w:id="289"/>
      <w:r>
        <w:rPr>
          <w:rFonts w:hint="eastAsia" w:ascii="微软雅黑" w:hAnsi="微软雅黑" w:eastAsia="微软雅黑" w:cs="微软雅黑"/>
          <w:u w:color="000000"/>
        </w:rPr>
        <w:t>磋商小组</w:t>
      </w:r>
      <w:bookmarkEnd w:id="290"/>
      <w:bookmarkEnd w:id="291"/>
      <w:bookmarkEnd w:id="292"/>
      <w:bookmarkEnd w:id="293"/>
      <w:bookmarkEnd w:id="294"/>
      <w:bookmarkEnd w:id="295"/>
      <w:bookmarkEnd w:id="296"/>
      <w:bookmarkEnd w:id="297"/>
      <w:bookmarkEnd w:id="298"/>
    </w:p>
    <w:p>
      <w:pPr>
        <w:snapToGrid w:val="0"/>
        <w:spacing w:line="380" w:lineRule="exact"/>
        <w:ind w:left="960" w:hanging="960" w:hangingChars="400"/>
        <w:textAlignment w:val="baseline"/>
        <w:rPr>
          <w:rFonts w:ascii="微软雅黑" w:hAnsi="微软雅黑" w:eastAsia="微软雅黑" w:cs="微软雅黑"/>
          <w:sz w:val="24"/>
        </w:rPr>
      </w:pPr>
      <w:r>
        <w:rPr>
          <w:rFonts w:hint="eastAsia" w:ascii="微软雅黑" w:hAnsi="微软雅黑" w:eastAsia="微软雅黑" w:cs="微软雅黑"/>
          <w:sz w:val="24"/>
        </w:rPr>
        <w:t>19.1    采购人或采购代理机构依据法律法规和磋商文件中规定的内容，对供应商资格进行审查，未通过资格审查的供应商不进入评标。</w:t>
      </w:r>
    </w:p>
    <w:p>
      <w:pPr>
        <w:widowControl/>
        <w:snapToGrid w:val="0"/>
        <w:spacing w:line="380" w:lineRule="exact"/>
        <w:jc w:val="left"/>
        <w:textAlignment w:val="baseline"/>
        <w:rPr>
          <w:rFonts w:ascii="微软雅黑" w:hAnsi="微软雅黑" w:eastAsia="微软雅黑" w:cs="微软雅黑"/>
          <w:b/>
          <w:bCs/>
          <w:sz w:val="24"/>
        </w:rPr>
      </w:pPr>
      <w:r>
        <w:rPr>
          <w:rFonts w:hint="eastAsia" w:ascii="微软雅黑" w:hAnsi="微软雅黑" w:eastAsia="微软雅黑" w:cs="微软雅黑"/>
          <w:sz w:val="24"/>
        </w:rPr>
        <w:t xml:space="preserve">        </w:t>
      </w:r>
      <w:r>
        <w:rPr>
          <w:rFonts w:hint="eastAsia" w:ascii="微软雅黑" w:hAnsi="微软雅黑" w:eastAsia="微软雅黑" w:cs="微软雅黑"/>
          <w:b/>
          <w:bCs/>
          <w:sz w:val="24"/>
        </w:rPr>
        <w:t>如下：合格供应商的其他资格要求（开标时须携带以下资格证明材料）：</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提供查询记录并加盖公章）；</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2.提供有效的营业执照；</w:t>
      </w:r>
    </w:p>
    <w:p>
      <w:pPr>
        <w:widowControl/>
        <w:snapToGrid w:val="0"/>
        <w:spacing w:line="380" w:lineRule="exact"/>
        <w:ind w:firstLine="840" w:firstLineChars="35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3.法人本人投标的提供法人身份证明及身份证，被授权委托人投标提供法人授权委托书及身份证；</w:t>
      </w:r>
    </w:p>
    <w:p>
      <w:pPr>
        <w:widowControl/>
        <w:snapToGrid w:val="0"/>
        <w:spacing w:line="380" w:lineRule="exact"/>
        <w:ind w:firstLine="720" w:firstLineChars="30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4.投标单位提供本单位依法缴纳近三个月的社保证明；</w:t>
      </w:r>
    </w:p>
    <w:p>
      <w:pPr>
        <w:widowControl/>
        <w:snapToGrid w:val="0"/>
        <w:spacing w:line="380" w:lineRule="exact"/>
        <w:ind w:firstLine="720" w:firstLineChars="30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5.提供税务部门出具近三个月的完税证明；</w:t>
      </w:r>
    </w:p>
    <w:p>
      <w:pPr>
        <w:widowControl/>
        <w:snapToGrid w:val="0"/>
        <w:spacing w:line="380" w:lineRule="exact"/>
        <w:ind w:firstLine="720" w:firstLineChars="30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6.提供2021年度的财务审计报告（新成立公司需提供银行资信证明）；</w:t>
      </w:r>
    </w:p>
    <w:p>
      <w:pPr>
        <w:widowControl/>
        <w:snapToGrid w:val="0"/>
        <w:spacing w:line="380" w:lineRule="exact"/>
        <w:ind w:firstLine="720" w:firstLineChars="30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7.参加政府采购活动前3年内在经营活动中没有重大违法记录的书面声明；</w:t>
      </w:r>
    </w:p>
    <w:p>
      <w:pPr>
        <w:widowControl/>
        <w:snapToGrid w:val="0"/>
        <w:spacing w:line="380" w:lineRule="exact"/>
        <w:ind w:firstLine="720" w:firstLineChars="300"/>
        <w:jc w:val="left"/>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8.提供针对本次项目的反商业贿赂承诺书。 </w:t>
      </w:r>
    </w:p>
    <w:p>
      <w:pPr>
        <w:widowControl/>
        <w:snapToGrid w:val="0"/>
        <w:spacing w:line="380" w:lineRule="exact"/>
        <w:ind w:firstLine="480" w:firstLineChars="200"/>
        <w:jc w:val="left"/>
        <w:textAlignment w:val="baseline"/>
        <w:rPr>
          <w:rFonts w:ascii="微软雅黑" w:hAnsi="微软雅黑" w:eastAsia="微软雅黑" w:cs="微软雅黑"/>
          <w:b/>
          <w:bCs/>
          <w:sz w:val="24"/>
        </w:rPr>
      </w:pPr>
      <w:r>
        <w:rPr>
          <w:rFonts w:hint="eastAsia" w:ascii="微软雅黑" w:hAnsi="微软雅黑" w:eastAsia="微软雅黑" w:cs="微软雅黑"/>
          <w:b/>
          <w:bCs/>
          <w:sz w:val="24"/>
          <w:lang w:val="en-US" w:eastAsia="zh-CN"/>
        </w:rPr>
        <w:t>9.提供缴纳磋商保证金的有效凭证。</w:t>
      </w:r>
    </w:p>
    <w:p>
      <w:pPr>
        <w:numPr>
          <w:ilvl w:val="0"/>
          <w:numId w:val="0"/>
        </w:numPr>
        <w:snapToGrid w:val="0"/>
        <w:spacing w:line="380" w:lineRule="exact"/>
        <w:ind w:leftChars="-306"/>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eastAsia="zh-CN"/>
        </w:rPr>
        <w:t>注：</w:t>
      </w:r>
      <w:r>
        <w:rPr>
          <w:rFonts w:hint="eastAsia" w:ascii="微软雅黑" w:hAnsi="微软雅黑" w:eastAsia="微软雅黑" w:cs="微软雅黑"/>
          <w:b/>
          <w:bCs/>
          <w:sz w:val="24"/>
          <w:lang w:val="en-US" w:eastAsia="zh-CN"/>
        </w:rPr>
        <w:t>未通过资格审查的投标人不进入评标；</w:t>
      </w:r>
    </w:p>
    <w:p>
      <w:pPr>
        <w:numPr>
          <w:ilvl w:val="0"/>
          <w:numId w:val="0"/>
        </w:numPr>
        <w:snapToGrid w:val="0"/>
        <w:spacing w:line="380" w:lineRule="exact"/>
        <w:ind w:leftChars="-306"/>
        <w:textAlignment w:val="baseline"/>
        <w:rPr>
          <w:rFonts w:hint="eastAsia" w:ascii="微软雅黑" w:hAnsi="微软雅黑" w:eastAsia="微软雅黑" w:cs="微软雅黑"/>
          <w:b/>
          <w:bCs/>
          <w:sz w:val="24"/>
          <w:lang w:val="en-US" w:eastAsia="zh-CN"/>
        </w:rPr>
      </w:pPr>
      <w:r>
        <w:rPr>
          <w:rFonts w:hint="eastAsia" w:ascii="微软雅黑" w:hAnsi="微软雅黑" w:eastAsia="微软雅黑" w:cs="微软雅黑"/>
          <w:b/>
          <w:bCs/>
          <w:sz w:val="24"/>
          <w:lang w:val="en-US" w:eastAsia="zh-CN"/>
        </w:rPr>
        <w:t>提示：上述资质磋商现场能够通过官方网络查证的，均视为合格供应商。在资格审查过程中，潜在投标企业提供的资质材料不全的，可打开投标书正本进行进一步核实，符合条件的均为合格供应商。未通过资格审查的供应商或供应商不足3家的，不得进入评标。</w:t>
      </w:r>
    </w:p>
    <w:p>
      <w:pPr>
        <w:numPr>
          <w:ilvl w:val="0"/>
          <w:numId w:val="0"/>
        </w:numPr>
        <w:snapToGrid w:val="0"/>
        <w:spacing w:line="380" w:lineRule="exact"/>
        <w:ind w:leftChars="-306"/>
        <w:textAlignment w:val="baseline"/>
        <w:rPr>
          <w:rFonts w:ascii="微软雅黑" w:hAnsi="微软雅黑" w:eastAsia="微软雅黑" w:cs="微软雅黑"/>
          <w:sz w:val="24"/>
        </w:rPr>
      </w:pPr>
      <w:r>
        <w:rPr>
          <w:rFonts w:hint="eastAsia" w:ascii="微软雅黑" w:hAnsi="微软雅黑" w:eastAsia="微软雅黑" w:cs="微软雅黑"/>
          <w:sz w:val="24"/>
        </w:rPr>
        <w:t>19.2   采购人或采购代理机构将在开标前1个工作日至磋商截止后1小时的期间内查询供应商的信用记录。供应商存在不良信用记录的，其磋商将被认定为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left="734" w:hanging="734" w:hangingChars="306"/>
        <w:textAlignment w:val="baseline"/>
        <w:rPr>
          <w:rFonts w:ascii="微软雅黑" w:hAnsi="微软雅黑" w:eastAsia="微软雅黑" w:cs="微软雅黑"/>
          <w:sz w:val="24"/>
        </w:rPr>
      </w:pPr>
      <w:r>
        <w:rPr>
          <w:rFonts w:hint="eastAsia" w:ascii="微软雅黑" w:hAnsi="微软雅黑" w:eastAsia="微软雅黑" w:cs="微软雅黑"/>
          <w:sz w:val="24"/>
        </w:rPr>
        <w:t>19.2.1 不良信用记录指：在“信用中国”网站（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p>
    <w:p>
      <w:pPr>
        <w:snapToGrid w:val="0"/>
        <w:spacing w:line="380" w:lineRule="exact"/>
        <w:ind w:left="718" w:leftChars="341" w:hanging="2" w:hangingChars="1"/>
        <w:textAlignment w:val="baseline"/>
        <w:rPr>
          <w:rFonts w:ascii="微软雅黑" w:hAnsi="微软雅黑" w:eastAsia="微软雅黑" w:cs="微软雅黑"/>
          <w:sz w:val="24"/>
        </w:rPr>
      </w:pPr>
      <w:r>
        <w:rPr>
          <w:rFonts w:hint="eastAsia" w:ascii="微软雅黑" w:hAnsi="微软雅黑" w:eastAsia="微软雅黑" w:cs="微软雅黑"/>
          <w:sz w:val="24"/>
        </w:rPr>
        <w:t>以联合体形式参加磋商的，联合体任何成员存在以上不良信用记录的，联合体磋商将被认定为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pStyle w:val="6"/>
        <w:snapToGrid w:val="0"/>
        <w:spacing w:line="380" w:lineRule="exact"/>
        <w:ind w:left="850" w:hanging="849" w:hangingChars="354"/>
        <w:jc w:val="both"/>
        <w:textAlignment w:val="baseline"/>
        <w:rPr>
          <w:rFonts w:ascii="微软雅黑" w:hAnsi="微软雅黑" w:eastAsia="微软雅黑" w:cs="微软雅黑"/>
        </w:rPr>
      </w:pPr>
      <w:r>
        <w:rPr>
          <w:rFonts w:hint="eastAsia" w:ascii="微软雅黑" w:hAnsi="微软雅黑" w:eastAsia="微软雅黑" w:cs="微软雅黑"/>
        </w:rPr>
        <w:t>19.2.2 查询及记录方式：采购人或采购代理机构经办人将查询网页打印、签字并存档备查。供应商不良信用记录以采购人或采购代理机构查询结果为准。在本磋商文件规定的查询时间之后，网站信息发生的任何变更均不再作为评标依据。</w:t>
      </w:r>
    </w:p>
    <w:p>
      <w:pPr>
        <w:pStyle w:val="6"/>
        <w:snapToGrid w:val="0"/>
        <w:spacing w:line="380" w:lineRule="exact"/>
        <w:ind w:firstLine="720" w:firstLineChars="300"/>
        <w:jc w:val="both"/>
        <w:textAlignment w:val="baseline"/>
        <w:rPr>
          <w:rFonts w:ascii="微软雅黑" w:hAnsi="微软雅黑" w:eastAsia="微软雅黑" w:cs="微软雅黑"/>
        </w:rPr>
      </w:pPr>
      <w:r>
        <w:rPr>
          <w:rFonts w:hint="eastAsia" w:ascii="微软雅黑" w:hAnsi="微软雅黑" w:eastAsia="微软雅黑" w:cs="微软雅黑"/>
        </w:rPr>
        <w:t>供应商自行提供的与网站信息不一致的其他证明材料亦不作为资格审查依据。</w:t>
      </w:r>
    </w:p>
    <w:p>
      <w:pPr>
        <w:snapToGrid w:val="0"/>
        <w:spacing w:line="380" w:lineRule="exact"/>
        <w:ind w:left="850" w:hanging="849" w:hangingChars="354"/>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19.3   </w:t>
      </w:r>
      <w:r>
        <w:rPr>
          <w:rFonts w:hint="eastAsia" w:ascii="微软雅黑" w:hAnsi="微软雅黑" w:eastAsia="微软雅黑" w:cs="微软雅黑"/>
          <w:b/>
          <w:bCs/>
          <w:sz w:val="24"/>
        </w:rPr>
        <w:t>按照《中华人民共和国政府采购法》、《中华人民共和国政府采购法实施条例》、《政府采购竞争性磋商采购方式管理暂行办法》及本项目本级和上级财政部门的有关规定依法在政采云平台</w:t>
      </w:r>
      <w:r>
        <w:rPr>
          <w:rFonts w:hint="eastAsia" w:ascii="微软雅黑" w:hAnsi="微软雅黑" w:eastAsia="微软雅黑" w:cs="微软雅黑"/>
          <w:b/>
          <w:bCs/>
          <w:sz w:val="24"/>
          <w:lang w:eastAsia="zh-CN"/>
        </w:rPr>
        <w:t>随机</w:t>
      </w:r>
      <w:r>
        <w:rPr>
          <w:rFonts w:hint="eastAsia" w:ascii="微软雅黑" w:hAnsi="微软雅黑" w:eastAsia="微软雅黑" w:cs="微软雅黑"/>
          <w:b/>
          <w:bCs/>
          <w:sz w:val="24"/>
        </w:rPr>
        <w:t>抽取</w:t>
      </w:r>
      <w:r>
        <w:rPr>
          <w:rFonts w:hint="eastAsia" w:ascii="微软雅黑" w:hAnsi="微软雅黑" w:eastAsia="微软雅黑" w:cs="微软雅黑"/>
          <w:b/>
          <w:bCs/>
          <w:sz w:val="24"/>
          <w:highlight w:val="none"/>
        </w:rPr>
        <w:t>3人</w:t>
      </w:r>
      <w:r>
        <w:rPr>
          <w:rFonts w:hint="eastAsia" w:ascii="微软雅黑" w:hAnsi="微软雅黑" w:eastAsia="微软雅黑" w:cs="微软雅黑"/>
          <w:b/>
          <w:bCs/>
          <w:sz w:val="24"/>
        </w:rPr>
        <w:t>，组成磋商小组，负责评审工作。</w:t>
      </w:r>
      <w:bookmarkStart w:id="299" w:name="_Toc520356166"/>
    </w:p>
    <w:p>
      <w:pPr>
        <w:pStyle w:val="5"/>
        <w:snapToGrid w:val="0"/>
        <w:spacing w:before="0" w:after="0" w:line="380" w:lineRule="exact"/>
        <w:textAlignment w:val="baseline"/>
        <w:rPr>
          <w:rFonts w:ascii="微软雅黑" w:hAnsi="微软雅黑" w:eastAsia="微软雅黑" w:cs="微软雅黑"/>
          <w:b w:val="0"/>
          <w:bCs/>
          <w:u w:color="000000"/>
          <w:bdr w:val="single" w:color="auto" w:sz="4" w:space="0"/>
        </w:rPr>
      </w:pPr>
      <w:bookmarkStart w:id="300" w:name="_Toc22740"/>
      <w:bookmarkStart w:id="301" w:name="_Toc28479"/>
      <w:bookmarkStart w:id="302" w:name="_Toc17520"/>
      <w:bookmarkStart w:id="303" w:name="_Toc17557"/>
      <w:bookmarkStart w:id="304" w:name="_Toc15335"/>
      <w:bookmarkStart w:id="305" w:name="_Toc29043"/>
      <w:bookmarkStart w:id="306" w:name="_Toc5261"/>
      <w:bookmarkStart w:id="307" w:name="_Toc27625"/>
      <w:bookmarkStart w:id="308" w:name="_Toc19949"/>
      <w:bookmarkStart w:id="309" w:name="_Toc7742"/>
      <w:bookmarkStart w:id="310" w:name="_Toc515647781"/>
      <w:bookmarkStart w:id="311" w:name="_Toc656"/>
      <w:bookmarkStart w:id="312" w:name="_Toc29938"/>
      <w:r>
        <w:rPr>
          <w:rFonts w:hint="eastAsia" w:ascii="微软雅黑" w:hAnsi="微软雅黑" w:eastAsia="微软雅黑" w:cs="微软雅黑"/>
          <w:u w:color="000000"/>
        </w:rPr>
        <w:t>20.</w:t>
      </w:r>
      <w:bookmarkEnd w:id="299"/>
      <w:r>
        <w:rPr>
          <w:rFonts w:hint="eastAsia" w:ascii="微软雅黑" w:hAnsi="微软雅黑" w:eastAsia="微软雅黑" w:cs="微软雅黑"/>
          <w:u w:color="000000"/>
        </w:rPr>
        <w:t>响应文件符合性审查与澄清</w:t>
      </w:r>
      <w:bookmarkEnd w:id="300"/>
      <w:bookmarkEnd w:id="301"/>
      <w:bookmarkEnd w:id="302"/>
      <w:bookmarkEnd w:id="303"/>
      <w:bookmarkEnd w:id="304"/>
      <w:bookmarkEnd w:id="305"/>
      <w:bookmarkEnd w:id="306"/>
      <w:bookmarkEnd w:id="307"/>
      <w:bookmarkEnd w:id="308"/>
      <w:bookmarkEnd w:id="309"/>
      <w:bookmarkEnd w:id="310"/>
      <w:bookmarkEnd w:id="311"/>
      <w:bookmarkEnd w:id="312"/>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20.1   符合性审查是指依据磋商文件的规定，从响应文件的有效性和完整性对磋商文件的响应程度进行审查，以确定是否对磋商文件的实质性要求做出响应。</w:t>
      </w:r>
      <w:bookmarkStart w:id="313" w:name="_Hlt522424701"/>
      <w:bookmarkEnd w:id="313"/>
      <w:bookmarkStart w:id="314" w:name="_Toc520356167"/>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20.2</w:t>
      </w:r>
      <w:r>
        <w:rPr>
          <w:rFonts w:hint="eastAsia" w:ascii="微软雅黑" w:hAnsi="微软雅黑" w:eastAsia="微软雅黑" w:cs="微软雅黑"/>
          <w:sz w:val="24"/>
        </w:rPr>
        <w:tab/>
      </w:r>
      <w:r>
        <w:rPr>
          <w:rFonts w:hint="eastAsia" w:ascii="微软雅黑" w:hAnsi="微软雅黑" w:eastAsia="微软雅黑" w:cs="微软雅黑"/>
          <w:sz w:val="24"/>
        </w:rPr>
        <w:t>响应文件的澄清</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20.2.2  供应商的的澄清、说明或补正将作为响应文件的一部分。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20.3  响应文件报价出现前后不一致的，按照下列规定修正：</w:t>
      </w:r>
    </w:p>
    <w:p>
      <w:pPr>
        <w:snapToGrid w:val="0"/>
        <w:spacing w:line="380" w:lineRule="exact"/>
        <w:ind w:left="1020" w:hanging="1020" w:hangingChars="425"/>
        <w:textAlignment w:val="baseline"/>
        <w:rPr>
          <w:rFonts w:ascii="微软雅黑" w:hAnsi="微软雅黑" w:eastAsia="微软雅黑" w:cs="微软雅黑"/>
          <w:sz w:val="24"/>
        </w:rPr>
      </w:pPr>
      <w:r>
        <w:rPr>
          <w:rFonts w:hint="eastAsia" w:ascii="微软雅黑" w:hAnsi="微软雅黑" w:eastAsia="微软雅黑" w:cs="微软雅黑"/>
          <w:sz w:val="24"/>
        </w:rPr>
        <w:t>　　   （一）响应文件中</w:t>
      </w:r>
      <w:r>
        <w:rPr>
          <w:rFonts w:hint="eastAsia" w:ascii="微软雅黑" w:hAnsi="微软雅黑" w:eastAsia="微软雅黑" w:cs="微软雅黑"/>
          <w:sz w:val="24"/>
          <w:lang w:eastAsia="zh-CN"/>
        </w:rPr>
        <w:t>磋商报价表</w:t>
      </w:r>
      <w:r>
        <w:rPr>
          <w:rFonts w:hint="eastAsia" w:ascii="微软雅黑" w:hAnsi="微软雅黑" w:eastAsia="微软雅黑" w:cs="微软雅黑"/>
          <w:sz w:val="24"/>
        </w:rPr>
        <w:t>（报价表）内容与响应文件中相应内容不一致的，以</w:t>
      </w:r>
      <w:r>
        <w:rPr>
          <w:rFonts w:hint="eastAsia" w:ascii="微软雅黑" w:hAnsi="微软雅黑" w:eastAsia="微软雅黑" w:cs="微软雅黑"/>
          <w:sz w:val="24"/>
          <w:lang w:eastAsia="zh-CN"/>
        </w:rPr>
        <w:t>磋商报价表</w:t>
      </w:r>
      <w:r>
        <w:rPr>
          <w:rFonts w:hint="eastAsia" w:ascii="微软雅黑" w:hAnsi="微软雅黑" w:eastAsia="微软雅黑" w:cs="微软雅黑"/>
          <w:sz w:val="24"/>
        </w:rPr>
        <w:t>（报价表）为准；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（二）大写金额和小写金额不一致的，以大写金额为准；</w:t>
      </w:r>
    </w:p>
    <w:p>
      <w:pPr>
        <w:snapToGrid w:val="0"/>
        <w:spacing w:line="380" w:lineRule="exact"/>
        <w:ind w:left="1020" w:hanging="1020" w:hangingChars="425"/>
        <w:textAlignment w:val="baseline"/>
        <w:rPr>
          <w:rFonts w:ascii="微软雅黑" w:hAnsi="微软雅黑" w:eastAsia="微软雅黑" w:cs="微软雅黑"/>
          <w:sz w:val="24"/>
        </w:rPr>
      </w:pPr>
      <w:r>
        <w:rPr>
          <w:rFonts w:hint="eastAsia" w:ascii="微软雅黑" w:hAnsi="微软雅黑" w:eastAsia="微软雅黑" w:cs="微软雅黑"/>
          <w:sz w:val="24"/>
        </w:rPr>
        <w:t>　   　（三）单价金额小数点或者百分比有明显错位的，以</w:t>
      </w:r>
      <w:r>
        <w:rPr>
          <w:rFonts w:hint="eastAsia" w:ascii="微软雅黑" w:hAnsi="微软雅黑" w:eastAsia="微软雅黑" w:cs="微软雅黑"/>
          <w:sz w:val="24"/>
          <w:lang w:eastAsia="zh-CN"/>
        </w:rPr>
        <w:t>磋商报价表</w:t>
      </w:r>
      <w:r>
        <w:rPr>
          <w:rFonts w:hint="eastAsia" w:ascii="微软雅黑" w:hAnsi="微软雅黑" w:eastAsia="微软雅黑" w:cs="微软雅黑"/>
          <w:sz w:val="24"/>
        </w:rPr>
        <w:t>的总价为准，并修改单价；</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（四）总价金额与按单价汇总金额不一致的，以单价金额计算结果为准。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同时出现两种以上不一致的，按照前款规定的顺序修正。修正后的报价按照第20.2条的规定经供应商确认后产生约束力，供应商不确认的，其磋商将被认定为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w:t>
      </w:r>
    </w:p>
    <w:p>
      <w:pPr>
        <w:snapToGrid w:val="0"/>
        <w:spacing w:line="380" w:lineRule="exact"/>
        <w:ind w:firstLine="120" w:firstLineChars="50"/>
        <w:textAlignment w:val="baseline"/>
        <w:rPr>
          <w:rFonts w:ascii="微软雅黑" w:hAnsi="微软雅黑" w:eastAsia="微软雅黑" w:cs="微软雅黑"/>
          <w:sz w:val="24"/>
        </w:rPr>
      </w:pPr>
      <w:r>
        <w:rPr>
          <w:rFonts w:hint="eastAsia" w:ascii="微软雅黑" w:hAnsi="微软雅黑" w:eastAsia="微软雅黑" w:cs="微软雅黑"/>
          <w:sz w:val="24"/>
        </w:rPr>
        <w:t>对不同文字文本响应文件的解释发生异议的，以中文文本为准。</w:t>
      </w:r>
    </w:p>
    <w:p>
      <w:pPr>
        <w:spacing w:line="400" w:lineRule="exact"/>
        <w:ind w:left="900" w:hanging="900" w:hangingChars="375"/>
        <w:rPr>
          <w:rFonts w:hint="eastAsia" w:ascii="微软雅黑" w:hAnsi="微软雅黑" w:eastAsia="微软雅黑" w:cs="微软雅黑"/>
          <w:sz w:val="24"/>
        </w:rPr>
      </w:pPr>
      <w:r>
        <w:rPr>
          <w:rFonts w:hint="eastAsia" w:ascii="微软雅黑" w:hAnsi="微软雅黑" w:eastAsia="微软雅黑" w:cs="微软雅黑"/>
          <w:sz w:val="24"/>
        </w:rPr>
        <w:t>20.</w:t>
      </w:r>
      <w:r>
        <w:rPr>
          <w:rFonts w:hint="eastAsia" w:ascii="微软雅黑" w:hAnsi="微软雅黑" w:eastAsia="微软雅黑" w:cs="微软雅黑"/>
          <w:sz w:val="24"/>
          <w:lang w:val="en-US" w:eastAsia="zh-CN"/>
        </w:rPr>
        <w:t>4</w:t>
      </w:r>
      <w:r>
        <w:rPr>
          <w:rFonts w:hint="eastAsia" w:ascii="微软雅黑" w:hAnsi="微软雅黑" w:eastAsia="微软雅黑" w:cs="微软雅黑"/>
          <w:sz w:val="24"/>
        </w:rPr>
        <w:t xml:space="preserve">  供应商为提供服务所伴随磋商的产品如被列入财政部与国家主管部门颁发的节能产品目录或环境标志产品目录或无线局域网产品目录，应提供相关证明，在评审时予以优先采购，具体优先采购办法见第6章评审方法和标准。</w:t>
      </w:r>
    </w:p>
    <w:p>
      <w:pPr>
        <w:snapToGrid w:val="0"/>
        <w:spacing w:line="380" w:lineRule="exact"/>
        <w:ind w:left="900" w:hanging="900" w:hangingChars="375"/>
        <w:textAlignment w:val="baseline"/>
        <w:rPr>
          <w:rFonts w:ascii="微软雅黑" w:hAnsi="微软雅黑" w:eastAsia="微软雅黑" w:cs="微软雅黑"/>
          <w:sz w:val="24"/>
        </w:rPr>
      </w:pPr>
    </w:p>
    <w:p>
      <w:pPr>
        <w:pStyle w:val="5"/>
        <w:snapToGrid w:val="0"/>
        <w:spacing w:before="0" w:after="0" w:line="380" w:lineRule="exact"/>
        <w:textAlignment w:val="baseline"/>
        <w:rPr>
          <w:rFonts w:ascii="微软雅黑" w:hAnsi="微软雅黑" w:eastAsia="微软雅黑" w:cs="微软雅黑"/>
          <w:u w:color="000000"/>
        </w:rPr>
      </w:pPr>
      <w:bookmarkStart w:id="315" w:name="_Toc515647782"/>
      <w:bookmarkStart w:id="316" w:name="_Toc1939"/>
      <w:bookmarkStart w:id="317" w:name="_Toc18843"/>
      <w:bookmarkStart w:id="318" w:name="_Toc12340"/>
      <w:bookmarkStart w:id="319" w:name="_Toc30430"/>
      <w:bookmarkStart w:id="320" w:name="_Toc14136"/>
      <w:bookmarkStart w:id="321" w:name="_Toc6364"/>
      <w:bookmarkStart w:id="322" w:name="_Toc9469"/>
      <w:bookmarkStart w:id="323" w:name="_Toc29782"/>
      <w:bookmarkStart w:id="324" w:name="_Toc18222"/>
      <w:bookmarkStart w:id="325" w:name="_Toc28934"/>
      <w:bookmarkStart w:id="326" w:name="_Toc6695"/>
      <w:bookmarkStart w:id="327" w:name="_Toc27164"/>
      <w:r>
        <w:rPr>
          <w:rFonts w:hint="eastAsia" w:ascii="微软雅黑" w:hAnsi="微软雅黑" w:eastAsia="微软雅黑" w:cs="微软雅黑"/>
          <w:u w:color="000000"/>
        </w:rPr>
        <w:t>21.磋商偏离</w:t>
      </w:r>
      <w:bookmarkEnd w:id="315"/>
      <w:bookmarkEnd w:id="316"/>
      <w:bookmarkEnd w:id="317"/>
      <w:bookmarkEnd w:id="318"/>
      <w:bookmarkEnd w:id="319"/>
      <w:bookmarkEnd w:id="320"/>
      <w:bookmarkEnd w:id="321"/>
      <w:bookmarkEnd w:id="322"/>
      <w:bookmarkEnd w:id="323"/>
      <w:bookmarkEnd w:id="324"/>
      <w:bookmarkEnd w:id="325"/>
      <w:bookmarkEnd w:id="326"/>
      <w:bookmarkEnd w:id="327"/>
    </w:p>
    <w:p>
      <w:pPr>
        <w:snapToGrid w:val="0"/>
        <w:spacing w:line="380" w:lineRule="exact"/>
        <w:ind w:left="641" w:hanging="640" w:hangingChars="267"/>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磋商小组可以接受响应文件中不构成实质性偏离的不正规或不一致。</w:t>
      </w:r>
    </w:p>
    <w:p>
      <w:pPr>
        <w:pStyle w:val="5"/>
        <w:snapToGrid w:val="0"/>
        <w:spacing w:before="0" w:after="0" w:line="380" w:lineRule="exact"/>
        <w:textAlignment w:val="baseline"/>
        <w:rPr>
          <w:rFonts w:ascii="微软雅黑" w:hAnsi="微软雅黑" w:eastAsia="微软雅黑" w:cs="微软雅黑"/>
          <w:u w:color="000000"/>
        </w:rPr>
      </w:pPr>
      <w:bookmarkStart w:id="328" w:name="_Toc515647783"/>
      <w:bookmarkStart w:id="329" w:name="_Toc28034"/>
      <w:bookmarkStart w:id="330" w:name="_Toc31191"/>
      <w:bookmarkStart w:id="331" w:name="_Toc9173"/>
      <w:bookmarkStart w:id="332" w:name="_Toc27546"/>
      <w:bookmarkStart w:id="333" w:name="_Toc30267"/>
      <w:bookmarkStart w:id="334" w:name="_Toc23480"/>
      <w:bookmarkStart w:id="335" w:name="_Toc108"/>
      <w:bookmarkStart w:id="336" w:name="_Toc13775"/>
      <w:bookmarkStart w:id="337" w:name="_Toc6092"/>
      <w:bookmarkStart w:id="338" w:name="_Toc16242"/>
      <w:bookmarkStart w:id="339" w:name="_Toc2275"/>
      <w:bookmarkStart w:id="340" w:name="_Toc4950"/>
      <w:r>
        <w:rPr>
          <w:rFonts w:hint="eastAsia" w:ascii="微软雅黑" w:hAnsi="微软雅黑" w:eastAsia="微软雅黑" w:cs="微软雅黑"/>
          <w:u w:color="000000"/>
        </w:rPr>
        <w:t>22.</w:t>
      </w:r>
      <w:bookmarkEnd w:id="328"/>
      <w:r>
        <w:rPr>
          <w:rFonts w:hint="eastAsia" w:ascii="微软雅黑" w:hAnsi="微软雅黑" w:eastAsia="微软雅黑" w:cs="微软雅黑"/>
          <w:u w:color="000000"/>
        </w:rPr>
        <w:t>磋商无效</w:t>
      </w:r>
      <w:bookmarkEnd w:id="329"/>
      <w:bookmarkEnd w:id="330"/>
      <w:bookmarkEnd w:id="331"/>
      <w:bookmarkEnd w:id="332"/>
      <w:bookmarkEnd w:id="333"/>
      <w:bookmarkEnd w:id="334"/>
      <w:bookmarkEnd w:id="335"/>
      <w:bookmarkEnd w:id="336"/>
      <w:bookmarkEnd w:id="337"/>
      <w:bookmarkEnd w:id="338"/>
      <w:bookmarkEnd w:id="339"/>
      <w:bookmarkEnd w:id="340"/>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22.1   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w:t>
      </w:r>
      <w:r>
        <w:rPr>
          <w:rFonts w:hint="eastAsia" w:ascii="微软雅黑" w:hAnsi="微软雅黑" w:eastAsia="微软雅黑" w:cs="微软雅黑"/>
          <w:b/>
          <w:bCs/>
          <w:sz w:val="24"/>
        </w:rPr>
        <w:t>磋商无效</w:t>
      </w:r>
      <w:r>
        <w:rPr>
          <w:rFonts w:hint="eastAsia" w:ascii="微软雅黑" w:hAnsi="微软雅黑" w:eastAsia="微软雅黑" w:cs="微软雅黑"/>
          <w:sz w:val="24"/>
        </w:rPr>
        <w:t>。供应商不得通过修正或撤销不符合要求的偏离，从而使其磋商成为实质上响应的磋商。</w:t>
      </w:r>
    </w:p>
    <w:p>
      <w:pPr>
        <w:snapToGrid w:val="0"/>
        <w:spacing w:line="380" w:lineRule="exact"/>
        <w:ind w:left="957" w:leftChars="456"/>
        <w:textAlignment w:val="baseline"/>
        <w:rPr>
          <w:rFonts w:ascii="微软雅黑" w:hAnsi="微软雅黑" w:eastAsia="微软雅黑" w:cs="微软雅黑"/>
          <w:sz w:val="24"/>
        </w:rPr>
      </w:pPr>
      <w:r>
        <w:rPr>
          <w:rFonts w:hint="eastAsia" w:ascii="微软雅黑" w:hAnsi="微软雅黑" w:eastAsia="微软雅黑" w:cs="微软雅黑"/>
          <w:sz w:val="24"/>
        </w:rPr>
        <w:t>磋商小组决定磋商的响应性只根据磋商文件要求、响应文件内容及财政主管部门指定相关信息发布媒体。</w:t>
      </w:r>
    </w:p>
    <w:p>
      <w:pPr>
        <w:snapToGrid w:val="0"/>
        <w:spacing w:line="380" w:lineRule="exact"/>
        <w:ind w:left="900" w:hanging="900" w:hangingChars="375"/>
        <w:textAlignment w:val="baseline"/>
        <w:rPr>
          <w:rFonts w:ascii="微软雅黑" w:hAnsi="微软雅黑" w:eastAsia="微软雅黑" w:cs="微软雅黑"/>
          <w:b/>
          <w:bCs/>
          <w:sz w:val="24"/>
        </w:rPr>
      </w:pPr>
      <w:r>
        <w:rPr>
          <w:rFonts w:hint="eastAsia" w:ascii="微软雅黑" w:hAnsi="微软雅黑" w:eastAsia="微软雅黑" w:cs="微软雅黑"/>
          <w:sz w:val="24"/>
        </w:rPr>
        <w:t>22.2</w:t>
      </w:r>
      <w:r>
        <w:rPr>
          <w:rFonts w:hint="eastAsia" w:ascii="微软雅黑" w:hAnsi="微软雅黑" w:eastAsia="微软雅黑" w:cs="微软雅黑"/>
          <w:sz w:val="24"/>
        </w:rPr>
        <w:tab/>
      </w:r>
      <w:r>
        <w:rPr>
          <w:rFonts w:hint="eastAsia" w:ascii="微软雅黑" w:hAnsi="微软雅黑" w:eastAsia="微软雅黑" w:cs="微软雅黑"/>
          <w:b/>
          <w:bCs/>
          <w:sz w:val="24"/>
        </w:rPr>
        <w:t>如发现下列情况之一的，其磋商将被认定为磋商无效：（以下情形应当在磋商文件中规定，并以醒目的方式标明）</w:t>
      </w:r>
    </w:p>
    <w:p>
      <w:pPr>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（1）未按磋商文件规定的形式和金额提交磋商保证金的；</w:t>
      </w:r>
    </w:p>
    <w:p>
      <w:pPr>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（2）未按照磋商文件规定要求签署、盖章的；</w:t>
      </w:r>
    </w:p>
    <w:p>
      <w:pPr>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（3）未满足磋商文件中技术条款的实质性要求；</w:t>
      </w:r>
    </w:p>
    <w:p>
      <w:pPr>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（4）与其他供应商串通磋商，或者与招标人串通磋商；</w:t>
      </w:r>
    </w:p>
    <w:p>
      <w:pPr>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（5）属于磋商文件规定的其他磋商无效情形；</w:t>
      </w:r>
    </w:p>
    <w:p>
      <w:pPr>
        <w:snapToGrid w:val="0"/>
        <w:spacing w:line="380" w:lineRule="exact"/>
        <w:ind w:left="1257" w:leftChars="370" w:hanging="480" w:hangingChars="2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（6）磋商小组认为供应商的报价明显低于其他通过符合性检查供应商的报价，有可能影响履约的，且供应商未按照规定证明其报价合理性的；</w:t>
      </w:r>
    </w:p>
    <w:p>
      <w:pPr>
        <w:snapToGrid w:val="0"/>
        <w:spacing w:line="380" w:lineRule="exact"/>
        <w:ind w:firstLine="720" w:firstLineChars="3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（7）响应文件含有采购人不能接受的附加条件的；</w:t>
      </w:r>
    </w:p>
    <w:p>
      <w:pPr>
        <w:tabs>
          <w:tab w:val="left" w:pos="0"/>
        </w:tabs>
        <w:snapToGrid w:val="0"/>
        <w:spacing w:line="380" w:lineRule="exact"/>
        <w:ind w:left="-180" w:firstLine="960" w:firstLineChars="40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（8）不符合法规和磋商文件中规定的其他实质性要求的。</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22.3   有下列情形之一的，属于恶意串通，对供应商依照政府采购法第七十七条第一款的规定追究法律责任，对采购人、采购代理机构及其工作人员依照政府采购法第七十二条的规定追究法律责任：</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（1）供应商直接或者间接从采购人或者采购代理机构处获得其他供应商的相关情况并修改其响应文件或者响应文件；</w:t>
      </w:r>
    </w:p>
    <w:p>
      <w:pPr>
        <w:snapToGrid w:val="0"/>
        <w:spacing w:line="380" w:lineRule="exact"/>
        <w:ind w:left="180" w:hanging="180" w:hangingChars="75"/>
        <w:textAlignment w:val="baseline"/>
        <w:rPr>
          <w:rFonts w:ascii="微软雅黑" w:hAnsi="微软雅黑" w:eastAsia="微软雅黑" w:cs="微软雅黑"/>
          <w:sz w:val="24"/>
        </w:rPr>
      </w:pPr>
      <w:r>
        <w:rPr>
          <w:rFonts w:hint="eastAsia" w:ascii="微软雅黑" w:hAnsi="微软雅黑" w:eastAsia="微软雅黑" w:cs="微软雅黑"/>
          <w:sz w:val="24"/>
        </w:rPr>
        <w:t>（2）供应商按照采购人或者采购代理机构的授意撤换、修改响应文件或者响应文件；</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（3）供应商之间协商报价、技术方案等响应文件或者响应文件的实质性内容；</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（4）属于同一集团、协会、商会等组织成员的供应商按照该组织要求协同参加政府采购活动；</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（5）供应商之间事先约定由某一特定供应商中标、成交；</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（6）供应商之间商定部分供应商放弃参加政府采购活动或者放弃中标、成交；</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（7）供应商与采购人或者采购代理机构之间、供应商相互之间，为谋求特定供应商中标、成交或者排斥其他供应商的其他串通行为。</w:t>
      </w:r>
    </w:p>
    <w:p>
      <w:pPr>
        <w:pStyle w:val="5"/>
        <w:snapToGrid w:val="0"/>
        <w:spacing w:before="0" w:after="0" w:line="380" w:lineRule="exact"/>
        <w:textAlignment w:val="baseline"/>
        <w:rPr>
          <w:rFonts w:ascii="微软雅黑" w:hAnsi="微软雅黑" w:eastAsia="微软雅黑" w:cs="微软雅黑"/>
          <w:u w:color="000000"/>
        </w:rPr>
      </w:pPr>
      <w:bookmarkStart w:id="341" w:name="_Toc24201"/>
      <w:bookmarkStart w:id="342" w:name="_Toc4263"/>
      <w:bookmarkStart w:id="343" w:name="_Toc21841"/>
      <w:bookmarkStart w:id="344" w:name="_Toc515647784"/>
      <w:bookmarkStart w:id="345" w:name="_Toc6450"/>
      <w:bookmarkStart w:id="346" w:name="_Toc3834"/>
      <w:bookmarkStart w:id="347" w:name="_Toc31440"/>
      <w:bookmarkStart w:id="348" w:name="_Toc22903"/>
      <w:bookmarkStart w:id="349" w:name="_Toc5075"/>
      <w:bookmarkStart w:id="350" w:name="_Toc22941"/>
      <w:bookmarkStart w:id="351" w:name="_Toc28827"/>
      <w:bookmarkStart w:id="352" w:name="_Toc13652"/>
      <w:bookmarkStart w:id="353" w:name="_Toc30567"/>
      <w:r>
        <w:rPr>
          <w:rFonts w:hint="eastAsia" w:ascii="微软雅黑" w:hAnsi="微软雅黑" w:eastAsia="微软雅黑" w:cs="微软雅黑"/>
          <w:u w:color="000000"/>
        </w:rPr>
        <w:t>23.</w:t>
      </w:r>
      <w:bookmarkEnd w:id="314"/>
      <w:r>
        <w:rPr>
          <w:rFonts w:hint="eastAsia" w:ascii="微软雅黑" w:hAnsi="微软雅黑" w:eastAsia="微软雅黑" w:cs="微软雅黑"/>
          <w:u w:color="000000"/>
        </w:rPr>
        <w:t>比较与评价</w:t>
      </w:r>
      <w:bookmarkEnd w:id="341"/>
      <w:bookmarkEnd w:id="342"/>
      <w:bookmarkEnd w:id="343"/>
      <w:bookmarkEnd w:id="344"/>
      <w:bookmarkEnd w:id="345"/>
      <w:bookmarkEnd w:id="346"/>
      <w:bookmarkEnd w:id="347"/>
      <w:bookmarkEnd w:id="348"/>
      <w:bookmarkEnd w:id="349"/>
      <w:bookmarkEnd w:id="350"/>
      <w:bookmarkEnd w:id="351"/>
      <w:bookmarkEnd w:id="352"/>
      <w:bookmarkEnd w:id="353"/>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23.1</w:t>
      </w:r>
      <w:r>
        <w:rPr>
          <w:rFonts w:hint="eastAsia" w:ascii="微软雅黑" w:hAnsi="微软雅黑" w:eastAsia="微软雅黑" w:cs="微软雅黑"/>
          <w:sz w:val="24"/>
        </w:rPr>
        <w:tab/>
      </w:r>
      <w:r>
        <w:rPr>
          <w:rFonts w:hint="eastAsia" w:ascii="微软雅黑" w:hAnsi="微软雅黑" w:eastAsia="微软雅黑" w:cs="微软雅黑"/>
          <w:sz w:val="24"/>
        </w:rPr>
        <w:t>经符合性审查合格的响应文件，磋商小组将根据磋商文件确定的评标方法和标准，对其技术部分和商务部分作进一步的比较和评价。</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23.2  </w:t>
      </w:r>
      <w:r>
        <w:rPr>
          <w:rFonts w:hint="eastAsia" w:ascii="微软雅黑" w:hAnsi="微软雅黑" w:eastAsia="微软雅黑" w:cs="微软雅黑"/>
          <w:sz w:val="24"/>
        </w:rPr>
        <w:tab/>
      </w:r>
      <w:r>
        <w:rPr>
          <w:rFonts w:hint="eastAsia" w:ascii="微软雅黑" w:hAnsi="微软雅黑" w:eastAsia="微软雅黑" w:cs="微软雅黑"/>
          <w:sz w:val="24"/>
        </w:rPr>
        <w:t>评标严格按照磋商文件的要求和条件进行。根据实际情况，在</w:t>
      </w:r>
      <w:r>
        <w:rPr>
          <w:rFonts w:hint="eastAsia" w:ascii="微软雅黑" w:hAnsi="微软雅黑" w:eastAsia="微软雅黑" w:cs="微软雅黑"/>
          <w:sz w:val="24"/>
          <w:u w:val="single" w:color="000000"/>
        </w:rPr>
        <w:t>供应商须知资料表</w:t>
      </w:r>
      <w:r>
        <w:rPr>
          <w:rFonts w:hint="eastAsia" w:ascii="微软雅黑" w:hAnsi="微软雅黑" w:eastAsia="微软雅黑" w:cs="微软雅黑"/>
          <w:sz w:val="24"/>
        </w:rPr>
        <w:t>中规定采用下列一种评标方法，详细评标标准见磋商文件</w:t>
      </w:r>
      <w:r>
        <w:rPr>
          <w:rFonts w:hint="eastAsia" w:ascii="微软雅黑" w:hAnsi="微软雅黑" w:eastAsia="微软雅黑" w:cs="微软雅黑"/>
          <w:b/>
          <w:sz w:val="24"/>
        </w:rPr>
        <w:t>第六章：</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综合评分法，是指响应文件满足磋商文件全部实质性要求，且按照评审因素的量化指标评审得分最高的供应商为成交候选人的评标方法。</w:t>
      </w:r>
    </w:p>
    <w:p>
      <w:pPr>
        <w:pStyle w:val="17"/>
        <w:snapToGrid w:val="0"/>
        <w:spacing w:line="380" w:lineRule="exact"/>
        <w:ind w:left="900" w:hanging="900" w:hangingChars="375"/>
        <w:textAlignment w:val="baseline"/>
        <w:rPr>
          <w:rFonts w:ascii="微软雅黑" w:hAnsi="微软雅黑" w:eastAsia="微软雅黑" w:cs="微软雅黑"/>
          <w:b/>
          <w:bCs/>
          <w:sz w:val="24"/>
          <w:szCs w:val="24"/>
        </w:rPr>
      </w:pPr>
      <w:r>
        <w:rPr>
          <w:rFonts w:hint="eastAsia" w:ascii="微软雅黑" w:hAnsi="微软雅黑" w:eastAsia="微软雅黑" w:cs="微软雅黑"/>
          <w:sz w:val="24"/>
          <w:szCs w:val="24"/>
        </w:rPr>
        <w:t xml:space="preserve">23.3   </w:t>
      </w:r>
      <w:r>
        <w:rPr>
          <w:rFonts w:hint="eastAsia" w:ascii="微软雅黑" w:hAnsi="微软雅黑" w:eastAsia="微软雅黑" w:cs="微软雅黑"/>
          <w:b/>
          <w:bCs/>
          <w:sz w:val="24"/>
          <w:szCs w:val="24"/>
        </w:rPr>
        <w:t>根据《政府采购促进中小企业发展管理办法》（财库[2020]46号）、</w:t>
      </w:r>
    </w:p>
    <w:p>
      <w:pPr>
        <w:pStyle w:val="17"/>
        <w:snapToGrid w:val="0"/>
        <w:spacing w:line="380" w:lineRule="exact"/>
        <w:ind w:left="718" w:leftChars="342" w:firstLine="60" w:firstLineChars="25"/>
        <w:textAlignment w:val="baseline"/>
        <w:rPr>
          <w:rFonts w:ascii="微软雅黑" w:hAnsi="微软雅黑" w:eastAsia="微软雅黑" w:cs="微软雅黑"/>
          <w:sz w:val="24"/>
          <w:szCs w:val="24"/>
        </w:rPr>
      </w:pPr>
      <w:r>
        <w:rPr>
          <w:rFonts w:hint="eastAsia" w:ascii="微软雅黑" w:hAnsi="微软雅黑" w:eastAsia="微软雅黑" w:cs="微软雅黑"/>
          <w:b/>
          <w:bCs/>
          <w:sz w:val="24"/>
          <w:szCs w:val="24"/>
        </w:rPr>
        <w:t>《财政部 司法部关于政府采购支持监狱企业发展有关问题的通知》（财库〔2014〕68号）和《三部门联合发布关于促进残疾人就业政府采购政策的通知》（</w:t>
      </w:r>
      <w:bookmarkStart w:id="354" w:name="sendNo"/>
      <w:r>
        <w:rPr>
          <w:rFonts w:hint="eastAsia" w:ascii="微软雅黑" w:hAnsi="微软雅黑" w:eastAsia="微软雅黑" w:cs="微软雅黑"/>
          <w:b/>
          <w:bCs/>
          <w:sz w:val="24"/>
          <w:szCs w:val="24"/>
        </w:rPr>
        <w:t>财库〔</w:t>
      </w:r>
      <w:bookmarkEnd w:id="354"/>
      <w:r>
        <w:rPr>
          <w:rFonts w:hint="eastAsia" w:ascii="微软雅黑" w:hAnsi="微软雅黑" w:eastAsia="微软雅黑" w:cs="微软雅黑"/>
          <w:b/>
          <w:bCs/>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后参与评审。具体办法详见磋商文件第6章。</w:t>
      </w:r>
    </w:p>
    <w:p>
      <w:pPr>
        <w:pStyle w:val="5"/>
        <w:snapToGrid w:val="0"/>
        <w:spacing w:before="0" w:after="0" w:line="380" w:lineRule="exact"/>
        <w:textAlignment w:val="baseline"/>
        <w:rPr>
          <w:rFonts w:ascii="微软雅黑" w:hAnsi="微软雅黑" w:eastAsia="微软雅黑" w:cs="微软雅黑"/>
          <w:u w:color="000000"/>
        </w:rPr>
      </w:pPr>
      <w:bookmarkStart w:id="355" w:name="_Toc520356168"/>
      <w:bookmarkStart w:id="356" w:name="_Toc6912"/>
      <w:bookmarkStart w:id="357" w:name="_Toc28843"/>
      <w:bookmarkStart w:id="358" w:name="_Toc2539"/>
      <w:bookmarkStart w:id="359" w:name="_Toc18922"/>
      <w:bookmarkStart w:id="360" w:name="_Toc16201"/>
      <w:bookmarkStart w:id="361" w:name="_Toc4586"/>
      <w:bookmarkStart w:id="362" w:name="_Toc515647785"/>
      <w:bookmarkStart w:id="363" w:name="_Toc28413"/>
      <w:bookmarkStart w:id="364" w:name="_Toc20227"/>
      <w:bookmarkStart w:id="365" w:name="_Toc14935"/>
      <w:bookmarkStart w:id="366" w:name="_Toc9378"/>
      <w:bookmarkStart w:id="367" w:name="_Toc17259"/>
      <w:bookmarkStart w:id="368" w:name="_Toc2218"/>
      <w:r>
        <w:rPr>
          <w:rFonts w:hint="eastAsia" w:ascii="微软雅黑" w:hAnsi="微软雅黑" w:eastAsia="微软雅黑" w:cs="微软雅黑"/>
          <w:u w:color="000000"/>
        </w:rPr>
        <w:t>24</w:t>
      </w:r>
      <w:bookmarkEnd w:id="355"/>
      <w:r>
        <w:rPr>
          <w:rFonts w:hint="eastAsia" w:ascii="微软雅黑" w:hAnsi="微软雅黑" w:eastAsia="微软雅黑" w:cs="微软雅黑"/>
          <w:u w:color="000000"/>
        </w:rPr>
        <w:t>.废标</w:t>
      </w:r>
      <w:bookmarkEnd w:id="356"/>
      <w:bookmarkEnd w:id="357"/>
      <w:bookmarkEnd w:id="358"/>
      <w:bookmarkEnd w:id="359"/>
      <w:bookmarkEnd w:id="360"/>
      <w:bookmarkEnd w:id="361"/>
      <w:bookmarkEnd w:id="362"/>
      <w:bookmarkEnd w:id="363"/>
      <w:bookmarkEnd w:id="364"/>
      <w:bookmarkEnd w:id="365"/>
      <w:bookmarkEnd w:id="366"/>
      <w:bookmarkEnd w:id="367"/>
      <w:bookmarkEnd w:id="368"/>
    </w:p>
    <w:p>
      <w:pPr>
        <w:snapToGrid w:val="0"/>
        <w:spacing w:line="380" w:lineRule="exact"/>
        <w:ind w:left="239" w:leftChars="114" w:firstLine="660" w:firstLineChars="275"/>
        <w:textAlignment w:val="baseline"/>
        <w:rPr>
          <w:rFonts w:ascii="微软雅黑" w:hAnsi="微软雅黑" w:eastAsia="微软雅黑" w:cs="微软雅黑"/>
          <w:b/>
          <w:bCs/>
          <w:sz w:val="24"/>
        </w:rPr>
      </w:pPr>
      <w:r>
        <w:rPr>
          <w:rFonts w:hint="eastAsia" w:ascii="微软雅黑" w:hAnsi="微软雅黑" w:eastAsia="微软雅黑" w:cs="微软雅黑"/>
          <w:b/>
          <w:bCs/>
          <w:sz w:val="24"/>
        </w:rPr>
        <w:t xml:space="preserve">出现下列情形之一，将导致项目废标： </w:t>
      </w:r>
    </w:p>
    <w:p>
      <w:pPr>
        <w:snapToGrid w:val="0"/>
        <w:spacing w:line="380" w:lineRule="exact"/>
        <w:ind w:left="900" w:hanging="900" w:hangingChars="375"/>
        <w:textAlignment w:val="baseline"/>
        <w:rPr>
          <w:rFonts w:ascii="微软雅黑" w:hAnsi="微软雅黑" w:eastAsia="微软雅黑" w:cs="微软雅黑"/>
          <w:b/>
          <w:bCs/>
          <w:sz w:val="24"/>
        </w:rPr>
      </w:pPr>
      <w:r>
        <w:rPr>
          <w:rFonts w:hint="eastAsia" w:ascii="微软雅黑" w:hAnsi="微软雅黑" w:eastAsia="微软雅黑" w:cs="微软雅黑"/>
          <w:b/>
          <w:bCs/>
          <w:sz w:val="24"/>
        </w:rPr>
        <w:tab/>
      </w:r>
      <w:r>
        <w:rPr>
          <w:rFonts w:hint="eastAsia" w:ascii="微软雅黑" w:hAnsi="微软雅黑" w:eastAsia="微软雅黑" w:cs="微软雅黑"/>
          <w:b/>
          <w:bCs/>
          <w:sz w:val="24"/>
        </w:rPr>
        <w:t>（1）出现影响采购公正的违法、违规行为的；</w:t>
      </w:r>
    </w:p>
    <w:p>
      <w:pPr>
        <w:snapToGrid w:val="0"/>
        <w:spacing w:line="380" w:lineRule="exact"/>
        <w:ind w:firstLine="840" w:firstLineChars="35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（2）供应商的报价均超过了采购预算，采购人不能支付的；</w:t>
      </w:r>
    </w:p>
    <w:p>
      <w:pPr>
        <w:snapToGrid w:val="0"/>
        <w:spacing w:line="380" w:lineRule="exact"/>
        <w:ind w:firstLine="840" w:firstLineChars="350"/>
        <w:textAlignment w:val="baseline"/>
        <w:rPr>
          <w:rFonts w:ascii="微软雅黑" w:hAnsi="微软雅黑" w:eastAsia="微软雅黑" w:cs="微软雅黑"/>
          <w:b/>
          <w:bCs/>
          <w:sz w:val="24"/>
        </w:rPr>
      </w:pPr>
      <w:r>
        <w:rPr>
          <w:rFonts w:hint="eastAsia" w:ascii="微软雅黑" w:hAnsi="微软雅黑" w:eastAsia="微软雅黑" w:cs="微软雅黑"/>
          <w:b/>
          <w:bCs/>
          <w:sz w:val="24"/>
        </w:rPr>
        <w:t xml:space="preserve">（3）因重大变故，采购任务取消的。   </w:t>
      </w:r>
    </w:p>
    <w:p>
      <w:pPr>
        <w:pStyle w:val="5"/>
        <w:snapToGrid w:val="0"/>
        <w:spacing w:before="0" w:after="0" w:line="380" w:lineRule="exact"/>
        <w:textAlignment w:val="baseline"/>
        <w:rPr>
          <w:rFonts w:ascii="微软雅黑" w:hAnsi="微软雅黑" w:eastAsia="微软雅黑" w:cs="微软雅黑"/>
          <w:u w:color="000000"/>
        </w:rPr>
      </w:pPr>
      <w:bookmarkStart w:id="369" w:name="_Toc31289"/>
      <w:bookmarkStart w:id="370" w:name="_Toc16978"/>
      <w:bookmarkStart w:id="371" w:name="_Toc20205"/>
      <w:bookmarkStart w:id="372" w:name="_Toc4481"/>
      <w:bookmarkStart w:id="373" w:name="_Toc515647786"/>
      <w:bookmarkStart w:id="374" w:name="_Toc23141"/>
      <w:bookmarkStart w:id="375" w:name="_Toc15505"/>
      <w:bookmarkStart w:id="376" w:name="_Toc27162"/>
      <w:bookmarkStart w:id="377" w:name="_Toc25920"/>
      <w:bookmarkStart w:id="378" w:name="_Toc8176"/>
      <w:bookmarkStart w:id="379" w:name="_Toc24972"/>
      <w:bookmarkStart w:id="380" w:name="_Toc8444"/>
      <w:bookmarkStart w:id="381" w:name="_Toc11249"/>
      <w:bookmarkStart w:id="382" w:name="_Toc520356169"/>
      <w:r>
        <w:rPr>
          <w:rFonts w:hint="eastAsia" w:ascii="微软雅黑" w:hAnsi="微软雅黑" w:eastAsia="微软雅黑" w:cs="微软雅黑"/>
          <w:u w:color="000000"/>
        </w:rPr>
        <w:t>25.保密原则</w:t>
      </w:r>
      <w:bookmarkEnd w:id="369"/>
      <w:bookmarkEnd w:id="370"/>
      <w:bookmarkEnd w:id="371"/>
      <w:bookmarkEnd w:id="372"/>
      <w:bookmarkEnd w:id="373"/>
      <w:bookmarkEnd w:id="374"/>
      <w:bookmarkEnd w:id="375"/>
      <w:bookmarkEnd w:id="376"/>
      <w:bookmarkEnd w:id="377"/>
      <w:bookmarkEnd w:id="378"/>
      <w:bookmarkEnd w:id="379"/>
      <w:bookmarkEnd w:id="380"/>
      <w:bookmarkEnd w:id="381"/>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25.1</w:t>
      </w:r>
      <w:r>
        <w:rPr>
          <w:rFonts w:hint="eastAsia" w:ascii="微软雅黑" w:hAnsi="微软雅黑" w:eastAsia="微软雅黑" w:cs="微软雅黑"/>
          <w:sz w:val="24"/>
        </w:rPr>
        <w:tab/>
      </w:r>
      <w:r>
        <w:rPr>
          <w:rFonts w:hint="eastAsia" w:ascii="微软雅黑" w:hAnsi="微软雅黑" w:eastAsia="微软雅黑" w:cs="微软雅黑"/>
          <w:sz w:val="24"/>
        </w:rPr>
        <w:t>评标将在严格保密的情况下进行。</w:t>
      </w:r>
    </w:p>
    <w:p>
      <w:pPr>
        <w:snapToGrid w:val="0"/>
        <w:spacing w:line="380" w:lineRule="exact"/>
        <w:ind w:left="900" w:hanging="900" w:hangingChars="375"/>
        <w:textAlignment w:val="baseline"/>
        <w:rPr>
          <w:rFonts w:ascii="微软雅黑" w:hAnsi="微软雅黑" w:eastAsia="微软雅黑" w:cs="微软雅黑"/>
          <w:sz w:val="20"/>
        </w:rPr>
      </w:pPr>
      <w:r>
        <w:rPr>
          <w:rFonts w:hint="eastAsia" w:ascii="微软雅黑" w:hAnsi="微软雅黑" w:eastAsia="微软雅黑" w:cs="微软雅黑"/>
          <w:sz w:val="24"/>
        </w:rPr>
        <w:t>25.2</w:t>
      </w:r>
      <w:r>
        <w:rPr>
          <w:rFonts w:hint="eastAsia" w:ascii="微软雅黑" w:hAnsi="微软雅黑" w:eastAsia="微软雅黑" w:cs="微软雅黑"/>
          <w:sz w:val="24"/>
        </w:rPr>
        <w:tab/>
      </w:r>
      <w:r>
        <w:rPr>
          <w:rFonts w:hint="eastAsia" w:ascii="微软雅黑" w:hAnsi="微软雅黑" w:eastAsia="微软雅黑" w:cs="微软雅黑"/>
          <w:sz w:val="24"/>
        </w:rPr>
        <w:t>政府采购评审专家应当遵守评审工作纪律，不得泄露评审文件、评审情况和评审中获悉的商业秘密。</w:t>
      </w:r>
    </w:p>
    <w:p>
      <w:pPr>
        <w:pStyle w:val="4"/>
        <w:snapToGrid w:val="0"/>
        <w:spacing w:before="0" w:line="380" w:lineRule="exact"/>
        <w:ind w:hanging="540"/>
        <w:textAlignment w:val="baseline"/>
        <w:rPr>
          <w:rFonts w:ascii="微软雅黑" w:hAnsi="微软雅黑" w:eastAsia="微软雅黑" w:cs="微软雅黑"/>
          <w:sz w:val="24"/>
        </w:rPr>
      </w:pPr>
      <w:bookmarkStart w:id="383" w:name="_Toc23904"/>
      <w:bookmarkStart w:id="384" w:name="_Toc515647787"/>
      <w:bookmarkStart w:id="385" w:name="_Toc31195"/>
      <w:bookmarkStart w:id="386" w:name="_Toc12143"/>
      <w:bookmarkStart w:id="387" w:name="_Toc216582810"/>
      <w:bookmarkStart w:id="388" w:name="_Toc27482"/>
      <w:bookmarkStart w:id="389" w:name="_Toc31913"/>
      <w:r>
        <w:rPr>
          <w:rFonts w:hint="eastAsia" w:ascii="微软雅黑" w:hAnsi="微软雅黑" w:eastAsia="微软雅黑" w:cs="微软雅黑"/>
          <w:sz w:val="24"/>
        </w:rPr>
        <w:t xml:space="preserve">六   </w:t>
      </w:r>
      <w:bookmarkEnd w:id="382"/>
      <w:r>
        <w:rPr>
          <w:rFonts w:hint="eastAsia" w:ascii="微软雅黑" w:hAnsi="微软雅黑" w:eastAsia="微软雅黑" w:cs="微软雅黑"/>
          <w:sz w:val="24"/>
        </w:rPr>
        <w:t>确定</w:t>
      </w:r>
      <w:bookmarkEnd w:id="383"/>
      <w:bookmarkEnd w:id="384"/>
      <w:bookmarkEnd w:id="385"/>
      <w:bookmarkEnd w:id="386"/>
      <w:bookmarkEnd w:id="387"/>
      <w:r>
        <w:rPr>
          <w:rFonts w:hint="eastAsia" w:ascii="微软雅黑" w:hAnsi="微软雅黑" w:eastAsia="微软雅黑" w:cs="微软雅黑"/>
          <w:sz w:val="24"/>
        </w:rPr>
        <w:t>成交</w:t>
      </w:r>
      <w:bookmarkEnd w:id="388"/>
      <w:bookmarkEnd w:id="389"/>
    </w:p>
    <w:p>
      <w:pPr>
        <w:pStyle w:val="6"/>
        <w:snapToGrid w:val="0"/>
        <w:spacing w:line="380" w:lineRule="exact"/>
        <w:ind w:firstLine="0"/>
        <w:textAlignment w:val="baseline"/>
        <w:rPr>
          <w:rFonts w:ascii="微软雅黑" w:hAnsi="微软雅黑" w:eastAsia="微软雅黑" w:cs="微软雅黑"/>
        </w:rPr>
      </w:pPr>
    </w:p>
    <w:p>
      <w:pPr>
        <w:pStyle w:val="5"/>
        <w:snapToGrid w:val="0"/>
        <w:spacing w:before="0" w:after="0" w:line="380" w:lineRule="exact"/>
        <w:textAlignment w:val="baseline"/>
        <w:rPr>
          <w:rFonts w:ascii="微软雅黑" w:hAnsi="微软雅黑" w:eastAsia="微软雅黑" w:cs="微软雅黑"/>
          <w:u w:color="000000"/>
        </w:rPr>
      </w:pPr>
      <w:bookmarkStart w:id="390" w:name="_Toc8936"/>
      <w:bookmarkStart w:id="391" w:name="_Toc10858"/>
      <w:bookmarkStart w:id="392" w:name="_Toc20156"/>
      <w:bookmarkStart w:id="393" w:name="_Toc520356170"/>
      <w:bookmarkStart w:id="394" w:name="_Toc15848"/>
      <w:bookmarkStart w:id="395" w:name="_Toc29606"/>
      <w:bookmarkStart w:id="396" w:name="_Toc20286"/>
      <w:bookmarkStart w:id="397" w:name="_Toc515647788"/>
      <w:bookmarkStart w:id="398" w:name="_Toc7632"/>
      <w:bookmarkStart w:id="399" w:name="_Toc10610"/>
      <w:bookmarkStart w:id="400" w:name="_Toc23762"/>
      <w:bookmarkStart w:id="401" w:name="_Ref467307010"/>
      <w:bookmarkStart w:id="402" w:name="_Toc23617"/>
      <w:bookmarkStart w:id="403" w:name="_Toc19391"/>
      <w:bookmarkStart w:id="404" w:name="_Toc4774"/>
      <w:r>
        <w:rPr>
          <w:rFonts w:hint="eastAsia" w:ascii="微软雅黑" w:hAnsi="微软雅黑" w:eastAsia="微软雅黑" w:cs="微软雅黑"/>
          <w:u w:color="000000"/>
        </w:rPr>
        <w:t>26.成交候选人的确定原则及标准</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pPr>
        <w:snapToGrid w:val="0"/>
        <w:spacing w:line="380" w:lineRule="exact"/>
        <w:ind w:firstLine="480" w:firstLineChars="200"/>
        <w:textAlignment w:val="baseline"/>
        <w:rPr>
          <w:rFonts w:ascii="微软雅黑" w:hAnsi="微软雅黑" w:eastAsia="微软雅黑" w:cs="微软雅黑"/>
          <w:sz w:val="24"/>
        </w:rPr>
      </w:pPr>
      <w:bookmarkStart w:id="405" w:name="_Toc520356171"/>
      <w:bookmarkStart w:id="406" w:name="_Toc515647789"/>
      <w:r>
        <w:rPr>
          <w:rFonts w:hint="eastAsia" w:ascii="微软雅黑" w:hAnsi="微软雅黑" w:eastAsia="微软雅黑" w:cs="微软雅黑"/>
          <w:sz w:val="24"/>
        </w:rPr>
        <w:t>对实质上响应磋商文件的供应商按下列方法进行排序，确定投标候选人：</w:t>
      </w:r>
    </w:p>
    <w:p>
      <w:pPr>
        <w:snapToGrid w:val="0"/>
        <w:spacing w:line="380" w:lineRule="exact"/>
        <w:ind w:left="478" w:leftChars="228"/>
        <w:textAlignment w:val="baseline"/>
        <w:rPr>
          <w:rFonts w:ascii="微软雅黑" w:hAnsi="微软雅黑" w:eastAsia="微软雅黑" w:cs="微软雅黑"/>
          <w:sz w:val="24"/>
        </w:rPr>
      </w:pPr>
      <w:r>
        <w:rPr>
          <w:rFonts w:hint="eastAsia" w:ascii="微软雅黑" w:hAnsi="微软雅黑" w:eastAsia="微软雅黑" w:cs="微软雅黑"/>
          <w:sz w:val="24"/>
        </w:rPr>
        <w:t>采用综合评分法，是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评审得分且最后报价相同的，按照技术指标优劣顺序推荐。得分与投标报价均相同的处理方式详见磋商文件第6章。</w:t>
      </w:r>
    </w:p>
    <w:p>
      <w:pPr>
        <w:snapToGrid w:val="0"/>
        <w:spacing w:line="380" w:lineRule="exact"/>
        <w:ind w:firstLine="480" w:firstLineChars="200"/>
        <w:textAlignment w:val="baseline"/>
        <w:rPr>
          <w:rFonts w:ascii="微软雅黑" w:hAnsi="微软雅黑" w:eastAsia="微软雅黑" w:cs="微软雅黑"/>
          <w:b/>
          <w:bCs/>
          <w:color w:val="auto"/>
          <w:sz w:val="24"/>
          <w:highlight w:val="yellow"/>
        </w:rPr>
      </w:pPr>
      <w:r>
        <w:rPr>
          <w:rFonts w:hint="eastAsia" w:ascii="微软雅黑" w:hAnsi="微软雅黑" w:eastAsia="微软雅黑" w:cs="微软雅黑"/>
          <w:b/>
          <w:bCs/>
          <w:sz w:val="24"/>
          <w:highlight w:val="none"/>
        </w:rPr>
        <w:t>本项目采用综合评分</w:t>
      </w:r>
      <w:r>
        <w:rPr>
          <w:rFonts w:hint="eastAsia" w:ascii="微软雅黑" w:hAnsi="微软雅黑" w:eastAsia="微软雅黑" w:cs="微软雅黑"/>
          <w:b/>
          <w:bCs/>
          <w:color w:val="auto"/>
          <w:sz w:val="24"/>
          <w:highlight w:val="none"/>
        </w:rPr>
        <w:t>法，其中价格占</w:t>
      </w:r>
      <w:r>
        <w:rPr>
          <w:rFonts w:hint="eastAsia" w:ascii="微软雅黑" w:hAnsi="微软雅黑" w:eastAsia="微软雅黑" w:cs="微软雅黑"/>
          <w:b/>
          <w:bCs/>
          <w:color w:val="auto"/>
          <w:sz w:val="24"/>
          <w:highlight w:val="none"/>
          <w:lang w:val="en-US" w:eastAsia="zh-CN"/>
        </w:rPr>
        <w:t>20</w:t>
      </w:r>
      <w:r>
        <w:rPr>
          <w:rFonts w:hint="eastAsia" w:ascii="微软雅黑" w:hAnsi="微软雅黑" w:eastAsia="微软雅黑" w:cs="微软雅黑"/>
          <w:b/>
          <w:bCs/>
          <w:color w:val="auto"/>
          <w:sz w:val="24"/>
          <w:highlight w:val="none"/>
        </w:rPr>
        <w:t>%，技术</w:t>
      </w:r>
      <w:r>
        <w:rPr>
          <w:rFonts w:hint="eastAsia" w:ascii="微软雅黑" w:hAnsi="微软雅黑" w:eastAsia="微软雅黑" w:cs="微软雅黑"/>
          <w:b/>
          <w:bCs/>
          <w:color w:val="auto"/>
          <w:sz w:val="24"/>
          <w:highlight w:val="none"/>
          <w:lang w:eastAsia="zh-CN"/>
        </w:rPr>
        <w:t>商务</w:t>
      </w:r>
      <w:r>
        <w:rPr>
          <w:rFonts w:hint="eastAsia" w:ascii="微软雅黑" w:hAnsi="微软雅黑" w:eastAsia="微软雅黑" w:cs="微软雅黑"/>
          <w:b/>
          <w:bCs/>
          <w:color w:val="auto"/>
          <w:sz w:val="24"/>
          <w:highlight w:val="none"/>
        </w:rPr>
        <w:t>占</w:t>
      </w:r>
      <w:r>
        <w:rPr>
          <w:rFonts w:hint="eastAsia" w:ascii="微软雅黑" w:hAnsi="微软雅黑" w:eastAsia="微软雅黑" w:cs="微软雅黑"/>
          <w:b/>
          <w:bCs/>
          <w:color w:val="auto"/>
          <w:sz w:val="24"/>
          <w:highlight w:val="none"/>
          <w:lang w:val="en-US" w:eastAsia="zh-CN"/>
        </w:rPr>
        <w:t>80</w:t>
      </w:r>
      <w:r>
        <w:rPr>
          <w:rFonts w:hint="eastAsia" w:ascii="微软雅黑" w:hAnsi="微软雅黑" w:eastAsia="微软雅黑" w:cs="微软雅黑"/>
          <w:b/>
          <w:bCs/>
          <w:color w:val="auto"/>
          <w:sz w:val="24"/>
          <w:highlight w:val="none"/>
        </w:rPr>
        <w:t>%。</w:t>
      </w:r>
    </w:p>
    <w:p>
      <w:pPr>
        <w:pStyle w:val="5"/>
        <w:tabs>
          <w:tab w:val="left" w:pos="900"/>
        </w:tabs>
        <w:snapToGrid w:val="0"/>
        <w:spacing w:before="0" w:after="0" w:line="380" w:lineRule="exact"/>
        <w:textAlignment w:val="baseline"/>
        <w:rPr>
          <w:rFonts w:ascii="微软雅黑" w:hAnsi="微软雅黑" w:eastAsia="微软雅黑" w:cs="微软雅黑"/>
          <w:color w:val="auto"/>
          <w:u w:color="000000"/>
        </w:rPr>
      </w:pPr>
      <w:bookmarkStart w:id="407" w:name="_Toc9653"/>
      <w:bookmarkStart w:id="408" w:name="_Toc17933"/>
      <w:bookmarkStart w:id="409" w:name="_Toc23951"/>
      <w:bookmarkStart w:id="410" w:name="_Toc14558"/>
      <w:bookmarkStart w:id="411" w:name="_Toc1227"/>
      <w:bookmarkStart w:id="412" w:name="_Toc1644"/>
      <w:bookmarkStart w:id="413" w:name="_Toc16846"/>
      <w:bookmarkStart w:id="414" w:name="_Toc24948"/>
      <w:bookmarkStart w:id="415" w:name="_Toc17164"/>
      <w:bookmarkStart w:id="416" w:name="_Toc3720"/>
      <w:bookmarkStart w:id="417" w:name="_Toc5598"/>
      <w:bookmarkStart w:id="418" w:name="_Toc28088"/>
      <w:r>
        <w:rPr>
          <w:rFonts w:hint="eastAsia" w:ascii="微软雅黑" w:hAnsi="微软雅黑" w:eastAsia="微软雅黑" w:cs="微软雅黑"/>
          <w:color w:val="auto"/>
          <w:u w:color="000000"/>
        </w:rPr>
        <w:t>27</w:t>
      </w:r>
      <w:bookmarkEnd w:id="405"/>
      <w:r>
        <w:rPr>
          <w:rFonts w:hint="eastAsia" w:ascii="微软雅黑" w:hAnsi="微软雅黑" w:eastAsia="微软雅黑" w:cs="微软雅黑"/>
          <w:color w:val="auto"/>
          <w:u w:color="000000"/>
        </w:rPr>
        <w:t>.确定成交候选人和</w:t>
      </w:r>
      <w:bookmarkEnd w:id="406"/>
      <w:bookmarkEnd w:id="407"/>
      <w:bookmarkEnd w:id="408"/>
      <w:bookmarkEnd w:id="409"/>
      <w:r>
        <w:rPr>
          <w:rFonts w:hint="eastAsia" w:ascii="微软雅黑" w:hAnsi="微软雅黑" w:eastAsia="微软雅黑" w:cs="微软雅黑"/>
          <w:color w:val="auto"/>
          <w:u w:color="000000"/>
        </w:rPr>
        <w:t>成交人</w:t>
      </w:r>
      <w:bookmarkEnd w:id="410"/>
      <w:bookmarkEnd w:id="411"/>
      <w:bookmarkEnd w:id="412"/>
      <w:bookmarkEnd w:id="413"/>
      <w:bookmarkEnd w:id="414"/>
      <w:bookmarkEnd w:id="415"/>
      <w:bookmarkEnd w:id="416"/>
      <w:bookmarkEnd w:id="417"/>
      <w:bookmarkEnd w:id="418"/>
    </w:p>
    <w:p>
      <w:pPr>
        <w:snapToGrid w:val="0"/>
        <w:spacing w:line="380" w:lineRule="exact"/>
        <w:ind w:left="898" w:leftChars="342" w:hanging="180" w:hangingChars="75"/>
        <w:textAlignment w:val="baseline"/>
        <w:rPr>
          <w:rFonts w:ascii="微软雅黑" w:hAnsi="微软雅黑" w:eastAsia="微软雅黑" w:cs="微软雅黑"/>
          <w:sz w:val="24"/>
        </w:rPr>
      </w:pPr>
      <w:r>
        <w:rPr>
          <w:rFonts w:hint="eastAsia" w:ascii="微软雅黑" w:hAnsi="微软雅黑" w:eastAsia="微软雅黑" w:cs="微软雅黑"/>
          <w:sz w:val="24"/>
        </w:rPr>
        <w:t>磋商小组将根据评标标准，按</w:t>
      </w:r>
      <w:r>
        <w:rPr>
          <w:rFonts w:hint="eastAsia" w:ascii="微软雅黑" w:hAnsi="微软雅黑" w:eastAsia="微软雅黑" w:cs="微软雅黑"/>
          <w:sz w:val="24"/>
          <w:u w:val="single" w:color="000000"/>
        </w:rPr>
        <w:t>供应商须知资料表中</w:t>
      </w:r>
      <w:r>
        <w:rPr>
          <w:rFonts w:hint="eastAsia" w:ascii="微软雅黑" w:hAnsi="微软雅黑" w:eastAsia="微软雅黑" w:cs="微软雅黑"/>
          <w:sz w:val="24"/>
        </w:rPr>
        <w:t>规定数量推荐成交候选人；或根据采购人的委托，直接确定成交人。</w:t>
      </w:r>
    </w:p>
    <w:p>
      <w:pPr>
        <w:pStyle w:val="5"/>
        <w:tabs>
          <w:tab w:val="left" w:pos="900"/>
        </w:tabs>
        <w:snapToGrid w:val="0"/>
        <w:spacing w:before="0" w:after="0" w:line="380" w:lineRule="exact"/>
        <w:textAlignment w:val="baseline"/>
        <w:rPr>
          <w:rFonts w:ascii="微软雅黑" w:hAnsi="微软雅黑" w:eastAsia="微软雅黑" w:cs="微软雅黑"/>
          <w:u w:color="000000"/>
        </w:rPr>
      </w:pPr>
      <w:bookmarkStart w:id="419" w:name="_Toc520356173"/>
      <w:bookmarkStart w:id="420" w:name="_Ref467306874"/>
      <w:bookmarkStart w:id="421" w:name="_Toc515647790"/>
      <w:bookmarkStart w:id="422" w:name="_Toc4233"/>
      <w:bookmarkStart w:id="423" w:name="_Toc12652"/>
      <w:bookmarkStart w:id="424" w:name="_Toc2091"/>
      <w:bookmarkStart w:id="425" w:name="_Toc28562"/>
      <w:bookmarkStart w:id="426" w:name="_Toc27133"/>
      <w:bookmarkStart w:id="427" w:name="_Toc7729"/>
      <w:bookmarkStart w:id="428" w:name="_Toc20633"/>
      <w:bookmarkStart w:id="429" w:name="_Toc27036"/>
      <w:bookmarkStart w:id="430" w:name="_Toc27308"/>
      <w:bookmarkStart w:id="431" w:name="_Toc24602"/>
      <w:bookmarkStart w:id="432" w:name="_Toc249"/>
      <w:bookmarkStart w:id="433" w:name="_Toc8389"/>
      <w:r>
        <w:rPr>
          <w:rFonts w:hint="eastAsia" w:ascii="微软雅黑" w:hAnsi="微软雅黑" w:eastAsia="微软雅黑" w:cs="微软雅黑"/>
          <w:u w:color="000000"/>
        </w:rPr>
        <w:t>28.</w:t>
      </w:r>
      <w:bookmarkEnd w:id="419"/>
      <w:bookmarkEnd w:id="420"/>
      <w:r>
        <w:rPr>
          <w:rFonts w:hint="eastAsia" w:ascii="微软雅黑" w:hAnsi="微软雅黑" w:eastAsia="微软雅黑" w:cs="微软雅黑"/>
          <w:u w:color="000000"/>
        </w:rPr>
        <w:t>采购任务取消</w:t>
      </w:r>
      <w:bookmarkEnd w:id="421"/>
      <w:bookmarkEnd w:id="422"/>
      <w:bookmarkEnd w:id="423"/>
      <w:bookmarkEnd w:id="424"/>
      <w:bookmarkEnd w:id="425"/>
      <w:bookmarkEnd w:id="426"/>
      <w:bookmarkEnd w:id="427"/>
      <w:bookmarkEnd w:id="428"/>
      <w:bookmarkEnd w:id="429"/>
      <w:bookmarkEnd w:id="430"/>
      <w:bookmarkEnd w:id="431"/>
      <w:bookmarkEnd w:id="432"/>
      <w:bookmarkEnd w:id="433"/>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ab/>
      </w:r>
      <w:r>
        <w:rPr>
          <w:rFonts w:hint="eastAsia" w:ascii="微软雅黑" w:hAnsi="微软雅黑" w:eastAsia="微软雅黑" w:cs="微软雅黑"/>
          <w:sz w:val="24"/>
        </w:rPr>
        <w:t>因重大变故采购任务取消时，采购人有权拒绝任何供应商成交，且对受影响的供应商不承担任何责任。</w:t>
      </w:r>
      <w:bookmarkStart w:id="434" w:name="_Toc520356174"/>
    </w:p>
    <w:p>
      <w:pPr>
        <w:pStyle w:val="5"/>
        <w:snapToGrid w:val="0"/>
        <w:spacing w:before="0" w:after="0" w:line="380" w:lineRule="exact"/>
        <w:textAlignment w:val="baseline"/>
        <w:rPr>
          <w:rFonts w:ascii="微软雅黑" w:hAnsi="微软雅黑" w:eastAsia="微软雅黑" w:cs="微软雅黑"/>
          <w:u w:color="000000"/>
        </w:rPr>
      </w:pPr>
      <w:bookmarkStart w:id="435" w:name="_Toc6223"/>
      <w:bookmarkStart w:id="436" w:name="_Toc29249"/>
      <w:bookmarkStart w:id="437" w:name="_Toc2401"/>
      <w:bookmarkStart w:id="438" w:name="_Toc31099"/>
      <w:bookmarkStart w:id="439" w:name="_Toc25567"/>
      <w:bookmarkStart w:id="440" w:name="_Toc11134"/>
      <w:bookmarkStart w:id="441" w:name="_Toc7938"/>
      <w:bookmarkStart w:id="442" w:name="_Toc27516"/>
      <w:bookmarkStart w:id="443" w:name="_Toc26091"/>
      <w:bookmarkStart w:id="444" w:name="_Toc15270"/>
      <w:bookmarkStart w:id="445" w:name="_Toc30170"/>
      <w:bookmarkStart w:id="446" w:name="_Toc515647791"/>
      <w:bookmarkStart w:id="447" w:name="_Toc20620"/>
      <w:r>
        <w:rPr>
          <w:rFonts w:hint="eastAsia" w:ascii="微软雅黑" w:hAnsi="微软雅黑" w:eastAsia="微软雅黑" w:cs="微软雅黑"/>
          <w:u w:color="000000"/>
        </w:rPr>
        <w:t>29.</w:t>
      </w:r>
      <w:bookmarkEnd w:id="434"/>
      <w:r>
        <w:rPr>
          <w:rFonts w:hint="eastAsia" w:ascii="微软雅黑" w:hAnsi="微软雅黑" w:eastAsia="微软雅黑" w:cs="微软雅黑"/>
          <w:u w:color="000000"/>
        </w:rPr>
        <w:t>成交通知书和招标结果通知书</w:t>
      </w:r>
      <w:bookmarkEnd w:id="435"/>
      <w:bookmarkEnd w:id="436"/>
      <w:bookmarkEnd w:id="437"/>
      <w:bookmarkEnd w:id="438"/>
      <w:bookmarkEnd w:id="439"/>
      <w:bookmarkEnd w:id="440"/>
      <w:bookmarkEnd w:id="441"/>
      <w:bookmarkEnd w:id="442"/>
      <w:bookmarkEnd w:id="443"/>
      <w:bookmarkEnd w:id="444"/>
      <w:bookmarkEnd w:id="445"/>
      <w:bookmarkEnd w:id="446"/>
      <w:bookmarkEnd w:id="447"/>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29.1</w:t>
      </w:r>
      <w:r>
        <w:rPr>
          <w:rFonts w:hint="eastAsia" w:ascii="微软雅黑" w:hAnsi="微软雅黑" w:eastAsia="微软雅黑" w:cs="微软雅黑"/>
          <w:sz w:val="24"/>
        </w:rPr>
        <w:tab/>
      </w:r>
      <w:r>
        <w:rPr>
          <w:rFonts w:hint="eastAsia" w:ascii="微软雅黑" w:hAnsi="微软雅黑" w:eastAsia="微软雅黑" w:cs="微软雅黑"/>
          <w:sz w:val="24"/>
        </w:rPr>
        <w:t>在磋商有效期内，成交人确定后，采购人或者采购代理机构发布成交公告，同时以书面形式向成交人发出成交通知书。</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29.2</w:t>
      </w:r>
      <w:r>
        <w:rPr>
          <w:rFonts w:hint="eastAsia" w:ascii="微软雅黑" w:hAnsi="微软雅黑" w:eastAsia="微软雅黑" w:cs="微软雅黑"/>
          <w:sz w:val="24"/>
        </w:rPr>
        <w:tab/>
      </w:r>
      <w:r>
        <w:rPr>
          <w:rFonts w:hint="eastAsia" w:ascii="微软雅黑" w:hAnsi="微软雅黑" w:eastAsia="微软雅黑" w:cs="微软雅黑"/>
          <w:sz w:val="24"/>
        </w:rPr>
        <w:t>成交通知书是合同的组成部分。</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29.3    招标结果通知书和成交通知书同时发出。招标结果通知书中将告知未通过资格审查的供应商未通过的原因；采用综合评分法评审的，还将告知未成交人本人的评审得分和排序。</w:t>
      </w:r>
    </w:p>
    <w:p>
      <w:pPr>
        <w:pStyle w:val="5"/>
        <w:snapToGrid w:val="0"/>
        <w:spacing w:before="0" w:after="0" w:line="380" w:lineRule="exact"/>
        <w:textAlignment w:val="baseline"/>
        <w:rPr>
          <w:rFonts w:ascii="微软雅黑" w:hAnsi="微软雅黑" w:eastAsia="微软雅黑" w:cs="微软雅黑"/>
        </w:rPr>
      </w:pPr>
      <w:bookmarkStart w:id="448" w:name="_Toc515647792"/>
      <w:bookmarkStart w:id="449" w:name="_Toc20587"/>
      <w:bookmarkStart w:id="450" w:name="_Toc4784"/>
      <w:bookmarkStart w:id="451" w:name="_Ref467307062"/>
      <w:bookmarkStart w:id="452" w:name="_Toc790"/>
      <w:bookmarkStart w:id="453" w:name="_Toc1076"/>
      <w:bookmarkStart w:id="454" w:name="_Toc15063"/>
      <w:bookmarkStart w:id="455" w:name="_Ref467307204"/>
      <w:bookmarkStart w:id="456" w:name="_Toc7779"/>
      <w:bookmarkStart w:id="457" w:name="_Toc29762"/>
      <w:bookmarkStart w:id="458" w:name="_Toc22868"/>
      <w:bookmarkStart w:id="459" w:name="_Toc19431"/>
      <w:bookmarkStart w:id="460" w:name="_Toc307"/>
      <w:bookmarkStart w:id="461" w:name="_Ref467306377"/>
      <w:bookmarkStart w:id="462" w:name="_Toc11296"/>
      <w:bookmarkStart w:id="463" w:name="_Ref467306978"/>
      <w:bookmarkStart w:id="464" w:name="_Toc8912"/>
      <w:bookmarkStart w:id="465" w:name="_Toc520356175"/>
      <w:r>
        <w:rPr>
          <w:rFonts w:hint="eastAsia" w:ascii="微软雅黑" w:hAnsi="微软雅黑" w:eastAsia="微软雅黑" w:cs="微软雅黑"/>
        </w:rPr>
        <w:t>30.签订合同</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30.1</w:t>
      </w:r>
      <w:r>
        <w:rPr>
          <w:rFonts w:hint="eastAsia" w:ascii="微软雅黑" w:hAnsi="微软雅黑" w:eastAsia="微软雅黑" w:cs="微软雅黑"/>
          <w:sz w:val="24"/>
        </w:rPr>
        <w:tab/>
      </w:r>
      <w:r>
        <w:rPr>
          <w:rFonts w:hint="eastAsia" w:ascii="微软雅黑" w:hAnsi="微软雅黑" w:eastAsia="微软雅黑" w:cs="微软雅黑"/>
          <w:sz w:val="24"/>
        </w:rPr>
        <w:t>成交人应当自发出成交通知书之日起30日内，与采购人签订合同。</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30.2</w:t>
      </w:r>
      <w:r>
        <w:rPr>
          <w:rFonts w:hint="eastAsia" w:ascii="微软雅黑" w:hAnsi="微软雅黑" w:eastAsia="微软雅黑" w:cs="微软雅黑"/>
          <w:sz w:val="24"/>
        </w:rPr>
        <w:tab/>
      </w:r>
      <w:bookmarkStart w:id="466" w:name="_Ref467307090"/>
      <w:bookmarkStart w:id="467" w:name="_Toc520356176"/>
      <w:bookmarkStart w:id="468" w:name="_Ref467306425"/>
      <w:r>
        <w:rPr>
          <w:rFonts w:hint="eastAsia" w:ascii="微软雅黑" w:hAnsi="微软雅黑" w:eastAsia="微软雅黑" w:cs="微软雅黑"/>
          <w:sz w:val="24"/>
        </w:rPr>
        <w:t>磋商文件、成交人的响应文件及其澄清文件等，均为签订合同的依据。</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30.3   成交人拒绝与采购人签订合同的，采购人可以按照评审报告推荐的成交候选人名单排序，确定下一成交候选人为成交人，也可以重新开展政府采购活动。</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30.4   当出现法规规定的成交无效或成交结果无效情形时，采购人可与排名下一位的成交候选人另行签订合同，或依法重新开展采购活动。</w:t>
      </w:r>
    </w:p>
    <w:p>
      <w:pPr>
        <w:pStyle w:val="5"/>
        <w:snapToGrid w:val="0"/>
        <w:spacing w:before="0" w:after="0" w:line="380" w:lineRule="exact"/>
        <w:textAlignment w:val="baseline"/>
        <w:rPr>
          <w:rFonts w:ascii="微软雅黑" w:hAnsi="微软雅黑" w:eastAsia="微软雅黑" w:cs="微软雅黑"/>
        </w:rPr>
      </w:pPr>
      <w:bookmarkStart w:id="469" w:name="_Toc24808"/>
      <w:bookmarkStart w:id="470" w:name="_Toc5437"/>
      <w:bookmarkStart w:id="471" w:name="_Toc32532"/>
      <w:bookmarkStart w:id="472" w:name="_Toc515647793"/>
      <w:bookmarkStart w:id="473" w:name="_Toc22126"/>
      <w:bookmarkStart w:id="474" w:name="_Toc22555"/>
      <w:bookmarkStart w:id="475" w:name="_Toc14839"/>
      <w:bookmarkStart w:id="476" w:name="_Toc14080"/>
      <w:bookmarkStart w:id="477" w:name="_Toc10911"/>
      <w:bookmarkStart w:id="478" w:name="_Toc6921"/>
      <w:bookmarkStart w:id="479" w:name="_Toc15573"/>
      <w:bookmarkStart w:id="480" w:name="_Toc26893"/>
      <w:bookmarkStart w:id="481" w:name="_Toc14130"/>
      <w:r>
        <w:rPr>
          <w:rFonts w:hint="eastAsia" w:ascii="微软雅黑" w:hAnsi="微软雅黑" w:eastAsia="微软雅黑" w:cs="微软雅黑"/>
        </w:rPr>
        <w:t>31.履约保证金</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31.1</w:t>
      </w:r>
      <w:r>
        <w:rPr>
          <w:rFonts w:hint="eastAsia" w:ascii="微软雅黑" w:hAnsi="微软雅黑" w:eastAsia="微软雅黑" w:cs="微软雅黑"/>
          <w:sz w:val="24"/>
        </w:rPr>
        <w:tab/>
      </w:r>
      <w:r>
        <w:rPr>
          <w:rFonts w:hint="eastAsia" w:ascii="微软雅黑" w:hAnsi="微软雅黑" w:eastAsia="微软雅黑" w:cs="微软雅黑"/>
          <w:sz w:val="24"/>
        </w:rPr>
        <w:t>成交人应按照供应商须知资料表规定向采购人缴纳履约保证金（如采用保函形式，格式见本章附件1）。</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31.2</w:t>
      </w:r>
      <w:r>
        <w:rPr>
          <w:rFonts w:hint="eastAsia" w:ascii="微软雅黑" w:hAnsi="微软雅黑" w:eastAsia="微软雅黑" w:cs="微软雅黑"/>
          <w:sz w:val="24"/>
        </w:rPr>
        <w:tab/>
      </w:r>
      <w:r>
        <w:rPr>
          <w:rFonts w:hint="eastAsia" w:ascii="微软雅黑" w:hAnsi="微软雅黑" w:eastAsia="微软雅黑" w:cs="微软雅黑"/>
          <w:sz w:val="24"/>
        </w:rPr>
        <w:t>政府采购利用担保试点范围内的项目，除31.1规定的情形外，成交人也可以按照财政部门的规定，向采购人提供合格的履约担保函（格式见本章附件2）。</w:t>
      </w:r>
    </w:p>
    <w:p>
      <w:pPr>
        <w:snapToGrid w:val="0"/>
        <w:spacing w:line="380" w:lineRule="exact"/>
        <w:ind w:left="960" w:hanging="960" w:hangingChars="400"/>
        <w:jc w:val="left"/>
        <w:textAlignment w:val="baseline"/>
        <w:rPr>
          <w:rFonts w:ascii="微软雅黑" w:hAnsi="微软雅黑" w:eastAsia="微软雅黑" w:cs="微软雅黑"/>
          <w:bCs/>
          <w:sz w:val="24"/>
          <w:u w:val="single" w:color="000000"/>
        </w:rPr>
      </w:pPr>
      <w:bookmarkStart w:id="482" w:name="_Toc14350"/>
      <w:bookmarkStart w:id="483" w:name="_Toc13783"/>
      <w:bookmarkStart w:id="484" w:name="_Toc1888"/>
      <w:bookmarkStart w:id="485" w:name="_Toc32107"/>
      <w:bookmarkStart w:id="486" w:name="_Toc7088"/>
      <w:bookmarkStart w:id="487" w:name="_Toc5352"/>
      <w:bookmarkStart w:id="488" w:name="_Toc864"/>
      <w:r>
        <w:rPr>
          <w:rFonts w:hint="eastAsia" w:ascii="微软雅黑" w:hAnsi="微软雅黑" w:eastAsia="微软雅黑" w:cs="微软雅黑"/>
          <w:sz w:val="24"/>
        </w:rPr>
        <w:t>31.3   如果成交人没有按照上述履约保证金的规定执行，将视为放弃成交资格，成交人的磋商保证金将不予退还。在此情况下，采购人可确定下一候选</w:t>
      </w:r>
      <w:r>
        <w:rPr>
          <w:rFonts w:hint="eastAsia" w:ascii="微软雅黑" w:hAnsi="微软雅黑" w:eastAsia="微软雅黑" w:cs="微软雅黑"/>
          <w:bCs/>
          <w:sz w:val="24"/>
        </w:rPr>
        <w:t>人为成交人，也可以重新开展采购活动。</w:t>
      </w:r>
      <w:bookmarkEnd w:id="482"/>
      <w:bookmarkEnd w:id="483"/>
      <w:bookmarkEnd w:id="484"/>
      <w:bookmarkEnd w:id="485"/>
      <w:bookmarkEnd w:id="486"/>
      <w:bookmarkEnd w:id="487"/>
      <w:bookmarkEnd w:id="488"/>
    </w:p>
    <w:p>
      <w:pPr>
        <w:pStyle w:val="5"/>
        <w:snapToGrid w:val="0"/>
        <w:spacing w:before="0" w:after="0" w:line="380" w:lineRule="exact"/>
        <w:textAlignment w:val="baseline"/>
        <w:rPr>
          <w:rFonts w:ascii="微软雅黑" w:hAnsi="微软雅黑" w:eastAsia="微软雅黑" w:cs="微软雅黑"/>
        </w:rPr>
      </w:pPr>
      <w:bookmarkStart w:id="489" w:name="_Toc27934"/>
      <w:bookmarkStart w:id="490" w:name="_Toc29824"/>
      <w:bookmarkStart w:id="491" w:name="_Toc11939"/>
      <w:bookmarkStart w:id="492" w:name="_Toc16384"/>
      <w:bookmarkStart w:id="493" w:name="_Toc10734"/>
      <w:bookmarkStart w:id="494" w:name="_Toc29408"/>
      <w:bookmarkStart w:id="495" w:name="_Toc26452"/>
      <w:bookmarkStart w:id="496" w:name="_Toc31215"/>
      <w:bookmarkStart w:id="497" w:name="_Toc12971"/>
      <w:bookmarkStart w:id="498" w:name="_Toc29652"/>
      <w:bookmarkStart w:id="499" w:name="_Toc23392"/>
      <w:bookmarkStart w:id="500" w:name="_Toc3090"/>
      <w:bookmarkStart w:id="501" w:name="_Toc515647794"/>
      <w:r>
        <w:rPr>
          <w:rFonts w:hint="eastAsia" w:ascii="微软雅黑" w:hAnsi="微软雅黑" w:eastAsia="微软雅黑" w:cs="微软雅黑"/>
        </w:rPr>
        <w:t>32.成交服务费</w:t>
      </w:r>
      <w:bookmarkEnd w:id="489"/>
      <w:bookmarkEnd w:id="490"/>
      <w:bookmarkEnd w:id="491"/>
      <w:bookmarkEnd w:id="492"/>
      <w:bookmarkEnd w:id="493"/>
      <w:bookmarkEnd w:id="494"/>
      <w:bookmarkEnd w:id="495"/>
      <w:bookmarkEnd w:id="496"/>
      <w:bookmarkEnd w:id="497"/>
      <w:bookmarkEnd w:id="498"/>
      <w:bookmarkEnd w:id="499"/>
      <w:bookmarkEnd w:id="500"/>
      <w:bookmarkEnd w:id="501"/>
    </w:p>
    <w:p>
      <w:pPr>
        <w:snapToGrid w:val="0"/>
        <w:spacing w:line="380" w:lineRule="exact"/>
        <w:jc w:val="left"/>
        <w:textAlignment w:val="baseline"/>
        <w:rPr>
          <w:rFonts w:ascii="微软雅黑" w:hAnsi="微软雅黑" w:eastAsia="微软雅黑" w:cs="微软雅黑"/>
          <w:bCs/>
          <w:sz w:val="24"/>
        </w:rPr>
      </w:pPr>
      <w:r>
        <w:rPr>
          <w:rFonts w:hint="eastAsia" w:ascii="微软雅黑" w:hAnsi="微软雅黑" w:eastAsia="微软雅黑" w:cs="微软雅黑"/>
          <w:bCs/>
          <w:sz w:val="24"/>
        </w:rPr>
        <w:t xml:space="preserve">   </w:t>
      </w:r>
      <w:bookmarkStart w:id="502" w:name="_Toc3808"/>
      <w:bookmarkStart w:id="503" w:name="_Toc31147"/>
      <w:bookmarkStart w:id="504" w:name="_Toc30285"/>
      <w:bookmarkStart w:id="505" w:name="_Toc6649"/>
      <w:bookmarkStart w:id="506" w:name="_Toc23886"/>
      <w:bookmarkStart w:id="507" w:name="_Toc2958"/>
      <w:bookmarkStart w:id="508" w:name="_Toc30095"/>
      <w:r>
        <w:rPr>
          <w:rFonts w:hint="eastAsia" w:ascii="微软雅黑" w:hAnsi="微软雅黑" w:eastAsia="微软雅黑" w:cs="微软雅黑"/>
          <w:bCs/>
          <w:sz w:val="24"/>
        </w:rPr>
        <w:t xml:space="preserve">   成交人须按照磋商须知资料表规定，向采购代理机构支付成交服务费。</w:t>
      </w:r>
      <w:bookmarkEnd w:id="502"/>
      <w:bookmarkEnd w:id="503"/>
      <w:bookmarkEnd w:id="504"/>
      <w:bookmarkEnd w:id="505"/>
      <w:bookmarkEnd w:id="506"/>
      <w:bookmarkEnd w:id="507"/>
      <w:bookmarkEnd w:id="508"/>
    </w:p>
    <w:p>
      <w:pPr>
        <w:pStyle w:val="5"/>
        <w:snapToGrid w:val="0"/>
        <w:spacing w:before="0" w:after="0" w:line="380" w:lineRule="exact"/>
        <w:textAlignment w:val="baseline"/>
        <w:rPr>
          <w:rFonts w:ascii="微软雅黑" w:hAnsi="微软雅黑" w:eastAsia="微软雅黑" w:cs="微软雅黑"/>
        </w:rPr>
      </w:pPr>
      <w:bookmarkStart w:id="509" w:name="_Toc26134"/>
      <w:bookmarkStart w:id="510" w:name="_Toc7049"/>
      <w:bookmarkStart w:id="511" w:name="_Toc6923"/>
      <w:bookmarkStart w:id="512" w:name="_Toc24064"/>
      <w:bookmarkStart w:id="513" w:name="_Toc31549"/>
      <w:bookmarkStart w:id="514" w:name="_Toc15699"/>
      <w:bookmarkStart w:id="515" w:name="_Toc32437"/>
      <w:bookmarkStart w:id="516" w:name="_Toc18898"/>
      <w:bookmarkStart w:id="517" w:name="_Toc515647795"/>
      <w:bookmarkStart w:id="518" w:name="_Toc1343"/>
      <w:bookmarkStart w:id="519" w:name="_Toc5403"/>
      <w:bookmarkStart w:id="520" w:name="_Toc17159"/>
      <w:bookmarkStart w:id="521" w:name="_Toc28128"/>
      <w:r>
        <w:rPr>
          <w:rFonts w:hint="eastAsia" w:ascii="微软雅黑" w:hAnsi="微软雅黑" w:eastAsia="微软雅黑" w:cs="微软雅黑"/>
        </w:rPr>
        <w:t>33.政府采购信用担保</w:t>
      </w:r>
      <w:bookmarkEnd w:id="509"/>
      <w:bookmarkEnd w:id="510"/>
      <w:bookmarkEnd w:id="511"/>
      <w:bookmarkEnd w:id="512"/>
      <w:bookmarkEnd w:id="513"/>
      <w:bookmarkEnd w:id="514"/>
      <w:bookmarkEnd w:id="515"/>
      <w:bookmarkEnd w:id="516"/>
      <w:bookmarkEnd w:id="517"/>
      <w:bookmarkEnd w:id="518"/>
      <w:bookmarkEnd w:id="519"/>
      <w:bookmarkEnd w:id="520"/>
      <w:bookmarkEnd w:id="521"/>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33.1   本项目是否属于信用担保试点范围见供应商须知资料表。</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33.2   如属于政府采购信用担保试点范围内，中小型企业供应商可以自由按照财政部门的规定，采用磋商担保、履约担保和融资担保。</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33.2.1 供应商递交的磋商担保函和履约担保函应符合本磋商文件的规定。</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33.2.2 成交人可以采取融资担保的形式为政府采购项目履约进行融资。</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33.2.3 合格的政府采购专业信用担保机构名单见供应商须知资料表。</w:t>
      </w:r>
    </w:p>
    <w:p>
      <w:pPr>
        <w:pStyle w:val="5"/>
        <w:snapToGrid w:val="0"/>
        <w:spacing w:before="0" w:after="0" w:line="380" w:lineRule="exact"/>
        <w:textAlignment w:val="baseline"/>
        <w:rPr>
          <w:rFonts w:ascii="微软雅黑" w:hAnsi="微软雅黑" w:eastAsia="微软雅黑" w:cs="微软雅黑"/>
          <w:u w:color="000000"/>
        </w:rPr>
      </w:pPr>
      <w:bookmarkStart w:id="522" w:name="_Toc28494"/>
      <w:bookmarkStart w:id="523" w:name="_Toc16394"/>
      <w:bookmarkStart w:id="524" w:name="_Toc15842"/>
      <w:bookmarkStart w:id="525" w:name="_Toc28874"/>
      <w:bookmarkStart w:id="526" w:name="_Toc27619"/>
      <w:bookmarkStart w:id="527" w:name="_Toc7616"/>
      <w:bookmarkStart w:id="528" w:name="_Toc26887"/>
      <w:bookmarkStart w:id="529" w:name="_Toc9673"/>
      <w:bookmarkStart w:id="530" w:name="_Toc24726"/>
      <w:bookmarkStart w:id="531" w:name="_Toc2133"/>
      <w:bookmarkStart w:id="532" w:name="_Toc515647796"/>
      <w:bookmarkStart w:id="533" w:name="_Toc23999"/>
      <w:bookmarkStart w:id="534" w:name="_Toc9559"/>
      <w:r>
        <w:rPr>
          <w:rFonts w:hint="eastAsia" w:ascii="微软雅黑" w:hAnsi="微软雅黑" w:eastAsia="微软雅黑" w:cs="微软雅黑"/>
          <w:u w:color="000000"/>
        </w:rPr>
        <w:t>34.廉洁自律规定</w:t>
      </w:r>
      <w:bookmarkEnd w:id="522"/>
      <w:bookmarkEnd w:id="523"/>
      <w:bookmarkEnd w:id="524"/>
      <w:bookmarkEnd w:id="525"/>
      <w:bookmarkEnd w:id="526"/>
      <w:bookmarkEnd w:id="527"/>
      <w:bookmarkEnd w:id="528"/>
      <w:bookmarkEnd w:id="529"/>
      <w:bookmarkEnd w:id="530"/>
      <w:bookmarkEnd w:id="531"/>
      <w:bookmarkEnd w:id="532"/>
      <w:bookmarkEnd w:id="533"/>
      <w:bookmarkEnd w:id="534"/>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34.1   采购代理机构工作人员不得以不正当手段获取政府采购代理业务，不得与采购人、供应商恶意串通操纵政府采购活动。</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34.2   采购代理机构工作人员不得接受采购人或者供应商组织的宴请、旅游、娱乐，不得收受礼品、现金、有价证券等，不得向采购人或者供应商报销应当由个人承担的费用。</w:t>
      </w:r>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34.3   为强化采购代理机构内部监督机制，供应商可按</w:t>
      </w:r>
      <w:r>
        <w:rPr>
          <w:rFonts w:hint="eastAsia" w:ascii="微软雅黑" w:hAnsi="微软雅黑" w:eastAsia="微软雅黑" w:cs="微软雅黑"/>
          <w:sz w:val="24"/>
          <w:u w:val="single" w:color="000000"/>
        </w:rPr>
        <w:t>供应商须知资料表中的</w:t>
      </w:r>
      <w:r>
        <w:rPr>
          <w:rFonts w:hint="eastAsia" w:ascii="微软雅黑" w:hAnsi="微软雅黑" w:eastAsia="微软雅黑" w:cs="微软雅黑"/>
          <w:sz w:val="24"/>
        </w:rPr>
        <w:t>监督电话和邮箱，反映采购代理机构的廉洁自律等问题。</w:t>
      </w:r>
    </w:p>
    <w:p>
      <w:pPr>
        <w:pStyle w:val="5"/>
        <w:snapToGrid w:val="0"/>
        <w:spacing w:before="0" w:after="0" w:line="380" w:lineRule="exact"/>
        <w:textAlignment w:val="baseline"/>
        <w:rPr>
          <w:rFonts w:ascii="微软雅黑" w:hAnsi="微软雅黑" w:eastAsia="微软雅黑" w:cs="微软雅黑"/>
          <w:u w:color="000000"/>
        </w:rPr>
      </w:pPr>
      <w:bookmarkStart w:id="535" w:name="_Toc25440"/>
      <w:bookmarkStart w:id="536" w:name="_Toc22851"/>
      <w:bookmarkStart w:id="537" w:name="_Toc515647797"/>
      <w:bookmarkStart w:id="538" w:name="_Toc11586"/>
      <w:bookmarkStart w:id="539" w:name="_Toc24914"/>
      <w:bookmarkStart w:id="540" w:name="_Toc1011"/>
      <w:bookmarkStart w:id="541" w:name="_Toc25480"/>
      <w:bookmarkStart w:id="542" w:name="_Toc15647"/>
      <w:bookmarkStart w:id="543" w:name="_Toc20804"/>
      <w:bookmarkStart w:id="544" w:name="_Toc17910"/>
      <w:bookmarkStart w:id="545" w:name="_Toc3386"/>
      <w:bookmarkStart w:id="546" w:name="_Toc24873"/>
      <w:bookmarkStart w:id="547" w:name="_Toc8702"/>
      <w:r>
        <w:rPr>
          <w:rFonts w:hint="eastAsia" w:ascii="微软雅黑" w:hAnsi="微软雅黑" w:eastAsia="微软雅黑" w:cs="微软雅黑"/>
          <w:u w:color="000000"/>
        </w:rPr>
        <w:t>35.人员回避</w:t>
      </w:r>
      <w:bookmarkEnd w:id="535"/>
      <w:bookmarkEnd w:id="536"/>
      <w:bookmarkEnd w:id="537"/>
      <w:bookmarkEnd w:id="538"/>
      <w:bookmarkEnd w:id="539"/>
      <w:bookmarkEnd w:id="540"/>
      <w:bookmarkEnd w:id="541"/>
      <w:bookmarkEnd w:id="542"/>
      <w:bookmarkEnd w:id="543"/>
      <w:bookmarkEnd w:id="544"/>
      <w:bookmarkEnd w:id="545"/>
      <w:bookmarkEnd w:id="546"/>
      <w:bookmarkEnd w:id="547"/>
    </w:p>
    <w:p>
      <w:pPr>
        <w:snapToGrid w:val="0"/>
        <w:spacing w:line="380" w:lineRule="exact"/>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供应商认为采购人员及其相关人员有法律法规所列与其他供应商有利害关系的，可以向采购人或采购代理机构书面提出回避申请，并说明理由。</w:t>
      </w:r>
    </w:p>
    <w:p>
      <w:pPr>
        <w:pStyle w:val="5"/>
        <w:snapToGrid w:val="0"/>
        <w:spacing w:before="0" w:after="0" w:line="380" w:lineRule="exact"/>
        <w:textAlignment w:val="baseline"/>
        <w:rPr>
          <w:rFonts w:ascii="微软雅黑" w:hAnsi="微软雅黑" w:eastAsia="微软雅黑" w:cs="微软雅黑"/>
          <w:u w:color="000000"/>
        </w:rPr>
      </w:pPr>
      <w:bookmarkStart w:id="548" w:name="_Toc14325"/>
      <w:bookmarkStart w:id="549" w:name="_Toc31508"/>
      <w:bookmarkStart w:id="550" w:name="_Toc24595"/>
      <w:bookmarkStart w:id="551" w:name="_Toc9031"/>
      <w:bookmarkStart w:id="552" w:name="_Toc15825"/>
      <w:bookmarkStart w:id="553" w:name="_Toc11114"/>
      <w:bookmarkStart w:id="554" w:name="_Toc1148"/>
      <w:bookmarkStart w:id="555" w:name="_Toc23729"/>
      <w:bookmarkStart w:id="556" w:name="_Toc30280"/>
      <w:bookmarkStart w:id="557" w:name="_Toc25962"/>
      <w:bookmarkStart w:id="558" w:name="_Toc11115"/>
      <w:bookmarkStart w:id="559" w:name="_Toc24801"/>
      <w:bookmarkStart w:id="560" w:name="_Toc515647798"/>
      <w:r>
        <w:rPr>
          <w:rFonts w:hint="eastAsia" w:ascii="微软雅黑" w:hAnsi="微软雅黑" w:eastAsia="微软雅黑" w:cs="微软雅黑"/>
          <w:u w:color="000000"/>
        </w:rPr>
        <w:t>36.质疑与接收</w:t>
      </w:r>
      <w:bookmarkEnd w:id="548"/>
      <w:bookmarkEnd w:id="549"/>
      <w:bookmarkEnd w:id="550"/>
      <w:bookmarkEnd w:id="551"/>
      <w:bookmarkEnd w:id="552"/>
      <w:bookmarkEnd w:id="553"/>
      <w:bookmarkEnd w:id="554"/>
      <w:bookmarkEnd w:id="555"/>
      <w:bookmarkEnd w:id="556"/>
      <w:bookmarkEnd w:id="557"/>
      <w:bookmarkEnd w:id="558"/>
      <w:bookmarkEnd w:id="559"/>
      <w:bookmarkEnd w:id="560"/>
    </w:p>
    <w:p>
      <w:pPr>
        <w:snapToGrid w:val="0"/>
        <w:spacing w:line="380" w:lineRule="exact"/>
        <w:ind w:left="708" w:hanging="708" w:hangingChars="295"/>
        <w:textAlignment w:val="baseline"/>
        <w:rPr>
          <w:rFonts w:ascii="微软雅黑" w:hAnsi="微软雅黑" w:eastAsia="微软雅黑" w:cs="微软雅黑"/>
          <w:sz w:val="24"/>
        </w:rPr>
      </w:pPr>
      <w:r>
        <w:rPr>
          <w:rFonts w:hint="eastAsia" w:ascii="微软雅黑" w:hAnsi="微软雅黑" w:eastAsia="微软雅黑" w:cs="微软雅黑"/>
          <w:sz w:val="24"/>
        </w:rPr>
        <w:t>36.1  供应商认为磋商文件、招标过程和成交结果使自己的权益受到损害的，可以根据《中华人民共和国政府采购法》、《中华人民共和国政府采购法实施条例》、《政府采购竞争性磋商采购方式管理暂行办法》和《政府采购质疑和投诉办法》的有关规定，依法向采购人或其委托的采购代理机构提出质疑。</w:t>
      </w:r>
    </w:p>
    <w:p>
      <w:pPr>
        <w:snapToGrid w:val="0"/>
        <w:spacing w:line="380" w:lineRule="exact"/>
        <w:ind w:left="708" w:hanging="708" w:hangingChars="295"/>
        <w:textAlignment w:val="baseline"/>
        <w:rPr>
          <w:rFonts w:ascii="微软雅黑" w:hAnsi="微软雅黑" w:eastAsia="微软雅黑" w:cs="微软雅黑"/>
          <w:sz w:val="24"/>
        </w:rPr>
      </w:pPr>
      <w:r>
        <w:rPr>
          <w:rFonts w:hint="eastAsia" w:ascii="微软雅黑" w:hAnsi="微软雅黑" w:eastAsia="微软雅黑" w:cs="微软雅黑"/>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napToGrid w:val="0"/>
        <w:spacing w:line="380" w:lineRule="exact"/>
        <w:ind w:left="718" w:leftChars="342"/>
        <w:textAlignment w:val="baseline"/>
        <w:rPr>
          <w:rFonts w:ascii="微软雅黑" w:hAnsi="微软雅黑" w:eastAsia="微软雅黑" w:cs="微软雅黑"/>
          <w:sz w:val="24"/>
        </w:rPr>
      </w:pPr>
      <w:r>
        <w:rPr>
          <w:rFonts w:hint="eastAsia" w:ascii="微软雅黑" w:hAnsi="微软雅黑" w:eastAsia="微软雅黑" w:cs="微软雅黑"/>
          <w:sz w:val="24"/>
        </w:rPr>
        <w:t>超出法定质疑期的、重复提出的、分次提出的或内容、形式不符合《政府采购质疑和投诉办法》的，质疑供应商将依法承担不利后果。</w:t>
      </w:r>
    </w:p>
    <w:p>
      <w:pPr>
        <w:snapToGrid w:val="0"/>
        <w:spacing w:line="380" w:lineRule="exact"/>
        <w:ind w:left="708" w:hanging="708" w:hangingChars="295"/>
        <w:textAlignment w:val="baseline"/>
        <w:rPr>
          <w:rFonts w:ascii="微软雅黑" w:hAnsi="微软雅黑" w:eastAsia="微软雅黑" w:cs="微软雅黑"/>
          <w:sz w:val="24"/>
        </w:rPr>
      </w:pPr>
      <w:r>
        <w:rPr>
          <w:rFonts w:hint="eastAsia" w:ascii="微软雅黑" w:hAnsi="微软雅黑" w:eastAsia="微软雅黑" w:cs="微软雅黑"/>
          <w:sz w:val="24"/>
        </w:rPr>
        <w:t>36.3  采购代理机构质疑函接收部门、联系电话和通讯地址, 见</w:t>
      </w:r>
      <w:r>
        <w:rPr>
          <w:rFonts w:hint="eastAsia" w:ascii="微软雅黑" w:hAnsi="微软雅黑" w:eastAsia="微软雅黑" w:cs="微软雅黑"/>
          <w:sz w:val="24"/>
          <w:u w:val="single" w:color="000000"/>
        </w:rPr>
        <w:t>供应商须知资料表。</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35.4   质疑的提出</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35.5   本采购文件中所称质疑及答复，是指参加本次采购活动的供应商对政府采购活动中的采购文件、采购过程和成交结果向采购方提出质疑，采购方答复质疑的行为。</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35.6   供应商认为采购文件、采购过程和成交结果使自己的权益受到损害的，可以在知道或者应知其权益受到损害之日起7个工作日内，以书面形式向采购方提出质疑。供应商应知其权益受到损害之日，是指：</w:t>
      </w:r>
    </w:p>
    <w:p>
      <w:pPr>
        <w:snapToGrid w:val="0"/>
        <w:spacing w:line="380" w:lineRule="exact"/>
        <w:ind w:left="718" w:leftChars="342" w:firstLine="60" w:firstLineChars="25"/>
        <w:jc w:val="left"/>
        <w:textAlignment w:val="baseline"/>
        <w:rPr>
          <w:rFonts w:ascii="微软雅黑" w:hAnsi="微软雅黑" w:eastAsia="微软雅黑" w:cs="微软雅黑"/>
          <w:sz w:val="24"/>
        </w:rPr>
      </w:pPr>
      <w:r>
        <w:rPr>
          <w:rFonts w:hint="eastAsia" w:ascii="微软雅黑" w:hAnsi="微软雅黑" w:eastAsia="微软雅黑" w:cs="微软雅黑"/>
          <w:sz w:val="24"/>
        </w:rPr>
        <w:t>（一）对可以质疑的采购文件提出质疑的，为收到采购文件之日或者采购文件公告期限届满之日；</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（二）对采购过程提出质疑的，为各采购程序环节结束之日；</w:t>
      </w:r>
    </w:p>
    <w:p>
      <w:pPr>
        <w:snapToGrid w:val="0"/>
        <w:spacing w:line="380" w:lineRule="exact"/>
        <w:ind w:firstLine="720" w:firstLineChars="300"/>
        <w:jc w:val="left"/>
        <w:textAlignment w:val="baseline"/>
        <w:rPr>
          <w:rFonts w:ascii="微软雅黑" w:hAnsi="微软雅黑" w:eastAsia="微软雅黑" w:cs="微软雅黑"/>
          <w:sz w:val="24"/>
        </w:rPr>
      </w:pPr>
      <w:r>
        <w:rPr>
          <w:rFonts w:hint="eastAsia" w:ascii="微软雅黑" w:hAnsi="微软雅黑" w:eastAsia="微软雅黑" w:cs="微软雅黑"/>
          <w:sz w:val="24"/>
        </w:rPr>
        <w:t>（三）对成交结果提出质疑的，为成交结果公告期限届满之日。</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35.7   对可以质疑的采购文件提出质疑的，质疑人为参与本项目的报价方或潜在报价方。可质疑的文件为采购公告以及采购文件（包括属于其组成部分的澄清、修改、补充文件和评审标准、合同文本等）。</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35.9   提出质疑应当符合下列条件：</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（一）质疑主体应当符合有关规定；</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（二）在质疑法定期限内提出；</w:t>
      </w:r>
    </w:p>
    <w:p>
      <w:pPr>
        <w:snapToGrid w:val="0"/>
        <w:spacing w:line="380" w:lineRule="exact"/>
        <w:ind w:left="1137" w:leftChars="456" w:hanging="180" w:hangingChars="75"/>
        <w:jc w:val="left"/>
        <w:textAlignment w:val="baseline"/>
        <w:rPr>
          <w:rFonts w:ascii="微软雅黑" w:hAnsi="微软雅黑" w:eastAsia="微软雅黑" w:cs="微软雅黑"/>
          <w:sz w:val="24"/>
        </w:rPr>
      </w:pPr>
      <w:r>
        <w:rPr>
          <w:rFonts w:hint="eastAsia" w:ascii="微软雅黑" w:hAnsi="微软雅黑" w:eastAsia="微软雅黑" w:cs="微软雅黑"/>
          <w:sz w:val="24"/>
        </w:rPr>
        <w:t>（三）属于可以提出质疑的政府采购事项受理范围和本项目采购人的管辖权范围；</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（四）政府采购法律、法规、规章规定的其他条件。</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35.11  质疑人所提供的证明材料应当具有真实性、合法性以及与质疑事项的关联性和证明力，否则不能作为认定该质疑事项成立的依据。</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35.12  质疑人提出质疑时应当提交质疑函。质疑函包括下列内容：</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（一）提出质疑的质疑人的名称、地址、邮编、联系人及联系电话等；</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（二）质疑项目的名称、编号；</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（三）质疑事项；</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（四）事实依据和证明材料；</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（五）法律依据；</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（六）提出质疑的日期。</w:t>
      </w:r>
    </w:p>
    <w:p>
      <w:pPr>
        <w:snapToGrid w:val="0"/>
        <w:spacing w:line="380" w:lineRule="exact"/>
        <w:ind w:left="957" w:leftChars="456" w:firstLine="60" w:firstLineChars="25"/>
        <w:jc w:val="left"/>
        <w:textAlignment w:val="baseline"/>
        <w:rPr>
          <w:rFonts w:ascii="微软雅黑" w:hAnsi="微软雅黑" w:eastAsia="微软雅黑" w:cs="微软雅黑"/>
          <w:sz w:val="24"/>
        </w:rPr>
      </w:pPr>
      <w:r>
        <w:rPr>
          <w:rFonts w:hint="eastAsia" w:ascii="微软雅黑" w:hAnsi="微软雅黑" w:eastAsia="微软雅黑" w:cs="微软雅黑"/>
          <w:sz w:val="24"/>
        </w:rPr>
        <w:t>质疑函采用实名制。质疑人为自然人的应当由本人签字，并附有效身份证明文件；质疑人为法人或者非法人组织的应当由法定代表人或者负责人签字并加盖公章，并附有效身份证明文件。</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35.13  质疑人可以委托代理人进行质疑。代理人应当提交授权委托书。授权委托书应当载明委托代理的具体权限、期限和相关事项。</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35.14  质疑的审查和受理</w:t>
      </w:r>
    </w:p>
    <w:p>
      <w:pPr>
        <w:snapToGrid w:val="0"/>
        <w:spacing w:line="380" w:lineRule="exact"/>
        <w:ind w:left="957" w:leftChars="456"/>
        <w:jc w:val="left"/>
        <w:textAlignment w:val="baseline"/>
        <w:rPr>
          <w:rFonts w:ascii="微软雅黑" w:hAnsi="微软雅黑" w:eastAsia="微软雅黑" w:cs="微软雅黑"/>
          <w:sz w:val="24"/>
        </w:rPr>
      </w:pPr>
      <w:r>
        <w:rPr>
          <w:rFonts w:hint="eastAsia" w:ascii="微软雅黑" w:hAnsi="微软雅黑" w:eastAsia="微软雅黑" w:cs="微软雅黑"/>
          <w:sz w:val="24"/>
        </w:rPr>
        <w:t>采购方在收到质疑函后应当及时审查是否符合质疑受理条件，对符合质疑受理条件的，及时予以受理。</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35.15  对不符合质疑受理条件的，分别按照下列不同情形予以处理：</w:t>
      </w:r>
    </w:p>
    <w:p>
      <w:pPr>
        <w:snapToGrid w:val="0"/>
        <w:spacing w:line="380" w:lineRule="exact"/>
        <w:ind w:left="1137" w:leftChars="456" w:hanging="180" w:hangingChars="75"/>
        <w:jc w:val="left"/>
        <w:textAlignment w:val="baseline"/>
        <w:rPr>
          <w:rFonts w:ascii="微软雅黑" w:hAnsi="微软雅黑" w:eastAsia="微软雅黑" w:cs="微软雅黑"/>
          <w:sz w:val="24"/>
        </w:rPr>
      </w:pPr>
      <w:r>
        <w:rPr>
          <w:rFonts w:hint="eastAsia" w:ascii="微软雅黑" w:hAnsi="微软雅黑" w:eastAsia="微软雅黑" w:cs="微软雅黑"/>
          <w:sz w:val="24"/>
        </w:rPr>
        <w:t>（一）质疑函内容不符合规定的，告知质疑人进行修改并重新提出质疑。修改后质疑事项仍不具体、不明确或者最终递交质疑函的时间超过质疑法定期限的，不予受理；</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（二）质疑主体不符合有关规定的，告知质疑人不予受理；</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（三）超过质疑法定期限提出质疑的，告知质疑人不予受理；</w:t>
      </w:r>
    </w:p>
    <w:p>
      <w:pPr>
        <w:snapToGrid w:val="0"/>
        <w:spacing w:line="380" w:lineRule="exact"/>
        <w:ind w:left="958" w:leftChars="342" w:hanging="240" w:hangingChars="100"/>
        <w:jc w:val="left"/>
        <w:textAlignment w:val="baseline"/>
        <w:rPr>
          <w:rFonts w:ascii="微软雅黑" w:hAnsi="微软雅黑" w:eastAsia="微软雅黑" w:cs="微软雅黑"/>
          <w:sz w:val="24"/>
        </w:rPr>
      </w:pPr>
      <w:r>
        <w:rPr>
          <w:rFonts w:hint="eastAsia" w:ascii="微软雅黑" w:hAnsi="微软雅黑" w:eastAsia="微软雅黑" w:cs="微软雅黑"/>
          <w:sz w:val="24"/>
        </w:rPr>
        <w:t>（四）对不属于可以提出质疑的政府采购事项提出质疑的，告知质疑人不予受理；</w:t>
      </w:r>
    </w:p>
    <w:p>
      <w:pPr>
        <w:snapToGrid w:val="0"/>
        <w:spacing w:line="380" w:lineRule="exact"/>
        <w:ind w:left="718" w:leftChars="342"/>
        <w:jc w:val="left"/>
        <w:textAlignment w:val="baseline"/>
        <w:rPr>
          <w:rFonts w:ascii="微软雅黑" w:hAnsi="微软雅黑" w:eastAsia="微软雅黑" w:cs="微软雅黑"/>
          <w:sz w:val="24"/>
        </w:rPr>
      </w:pPr>
      <w:r>
        <w:rPr>
          <w:rFonts w:hint="eastAsia" w:ascii="微软雅黑" w:hAnsi="微软雅黑" w:eastAsia="微软雅黑" w:cs="微软雅黑"/>
          <w:sz w:val="24"/>
        </w:rPr>
        <w:t>（五）质疑不属于本项目采购方管辖的，告知质疑人向有管辖权的采购人提出质疑；</w:t>
      </w:r>
    </w:p>
    <w:p>
      <w:pPr>
        <w:snapToGrid w:val="0"/>
        <w:spacing w:line="380" w:lineRule="exact"/>
        <w:ind w:left="239" w:leftChars="114" w:firstLine="540" w:firstLineChars="225"/>
        <w:jc w:val="left"/>
        <w:textAlignment w:val="baseline"/>
        <w:rPr>
          <w:rFonts w:ascii="微软雅黑" w:hAnsi="微软雅黑" w:eastAsia="微软雅黑" w:cs="微软雅黑"/>
          <w:sz w:val="24"/>
        </w:rPr>
      </w:pPr>
      <w:r>
        <w:rPr>
          <w:rFonts w:hint="eastAsia" w:ascii="微软雅黑" w:hAnsi="微软雅黑" w:eastAsia="微软雅黑" w:cs="微软雅黑"/>
          <w:sz w:val="24"/>
        </w:rPr>
        <w:t>（六）质疑不符合其他条件的，告知质疑人不予受理。</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35.16  质疑的处理和答复</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35.17  采购方受理质疑后，将及时把质疑函发送给被质疑人，并要求其在一定限期内提交书面答复，同时提供有关证据、依据和相关材料。</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35.18  对于质疑事项中涉及的问题较多、情况比较复杂的，为了全面查清事实、取得充分的证据，采购方认为有必要时，可以进行调查取证或者组织质证。</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35.19  对评审过程、成交结果提出质疑的，采购方可以组织原评审委员会协助答复质疑。</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35.20  质疑处理过程中，质疑人书面申请撤回质疑的，将终止质疑处理程序。</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35.21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35.22  质疑人拒绝配合采购方依法对质疑进行调查处理的，采购方将按质疑人自动撤回质疑处理；被质疑人拒绝配合采购方依法对质疑进行调查处理的，采购方将视同其认可质疑事项。</w:t>
      </w:r>
    </w:p>
    <w:p>
      <w:pPr>
        <w:snapToGrid w:val="0"/>
        <w:spacing w:line="380" w:lineRule="exact"/>
        <w:ind w:left="900" w:hanging="900" w:hangingChars="375"/>
        <w:jc w:val="left"/>
        <w:textAlignment w:val="baseline"/>
        <w:rPr>
          <w:rFonts w:ascii="微软雅黑" w:hAnsi="微软雅黑" w:eastAsia="微软雅黑" w:cs="微软雅黑"/>
          <w:sz w:val="24"/>
        </w:rPr>
      </w:pPr>
      <w:r>
        <w:rPr>
          <w:rFonts w:hint="eastAsia" w:ascii="微软雅黑" w:hAnsi="微软雅黑" w:eastAsia="微软雅黑" w:cs="微软雅黑"/>
          <w:sz w:val="24"/>
        </w:rPr>
        <w:t>35.23  采购方将在正式受理质疑后7个工作日内作出答复。</w:t>
      </w:r>
    </w:p>
    <w:p>
      <w:pPr>
        <w:pStyle w:val="49"/>
        <w:snapToGrid w:val="0"/>
        <w:spacing w:line="380" w:lineRule="exact"/>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35.24  质疑答复应当包括下列内容：</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（一）质疑人的姓名或者名称；</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（二）收到质疑函的日期、质疑项目名称及编号；</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（三）质疑事项、质疑答复的具体内容、事实依据和法律依据；</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（四）告知质疑供应商依法投诉的权利；</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（五）质疑答复人名称；</w:t>
      </w:r>
    </w:p>
    <w:p>
      <w:pPr>
        <w:pStyle w:val="49"/>
        <w:snapToGrid w:val="0"/>
        <w:spacing w:line="380" w:lineRule="exact"/>
        <w:ind w:firstLine="720" w:firstLineChars="300"/>
        <w:jc w:val="both"/>
        <w:textAlignment w:val="baseline"/>
        <w:rPr>
          <w:rFonts w:ascii="微软雅黑" w:hAnsi="微软雅黑" w:eastAsia="微软雅黑" w:cs="微软雅黑"/>
          <w:color w:val="auto"/>
        </w:rPr>
      </w:pPr>
      <w:r>
        <w:rPr>
          <w:rFonts w:hint="eastAsia" w:ascii="微软雅黑" w:hAnsi="微软雅黑" w:eastAsia="微软雅黑" w:cs="微软雅黑"/>
          <w:color w:val="auto"/>
        </w:rPr>
        <w:t>（六）答复质疑的日期。</w:t>
      </w:r>
    </w:p>
    <w:p>
      <w:pPr>
        <w:snapToGrid w:val="0"/>
        <w:spacing w:line="380" w:lineRule="exact"/>
        <w:jc w:val="center"/>
        <w:textAlignment w:val="baseline"/>
        <w:rPr>
          <w:rFonts w:ascii="微软雅黑" w:hAnsi="微软雅黑" w:eastAsia="微软雅黑" w:cs="微软雅黑"/>
          <w:b/>
          <w:bCs/>
          <w:sz w:val="24"/>
        </w:rPr>
      </w:pPr>
    </w:p>
    <w:p>
      <w:pPr>
        <w:snapToGrid w:val="0"/>
        <w:spacing w:line="380" w:lineRule="exact"/>
        <w:textAlignment w:val="baseline"/>
        <w:rPr>
          <w:rFonts w:ascii="微软雅黑" w:hAnsi="微软雅黑" w:eastAsia="微软雅黑" w:cs="微软雅黑"/>
          <w:b/>
          <w:bCs/>
          <w:sz w:val="24"/>
        </w:rPr>
      </w:pPr>
      <w:bookmarkStart w:id="561" w:name="_Toc14949"/>
      <w:bookmarkStart w:id="562" w:name="_Toc24577"/>
      <w:r>
        <w:rPr>
          <w:rFonts w:hint="eastAsia" w:ascii="微软雅黑" w:hAnsi="微软雅黑" w:eastAsia="微软雅黑" w:cs="微软雅黑"/>
          <w:b/>
          <w:bCs/>
          <w:sz w:val="24"/>
        </w:rPr>
        <w:t>质疑函范本</w:t>
      </w:r>
      <w:bookmarkEnd w:id="561"/>
      <w:bookmarkEnd w:id="562"/>
    </w:p>
    <w:p>
      <w:pPr>
        <w:snapToGrid w:val="0"/>
        <w:spacing w:line="380" w:lineRule="exact"/>
        <w:textAlignment w:val="baseline"/>
        <w:rPr>
          <w:rFonts w:ascii="微软雅黑" w:hAnsi="微软雅黑" w:eastAsia="微软雅黑" w:cs="微软雅黑"/>
          <w:bCs/>
          <w:sz w:val="24"/>
        </w:rPr>
      </w:pPr>
      <w:r>
        <w:rPr>
          <w:rFonts w:hint="eastAsia" w:ascii="微软雅黑" w:hAnsi="微软雅黑" w:eastAsia="微软雅黑" w:cs="微软雅黑"/>
          <w:bCs/>
          <w:sz w:val="24"/>
        </w:rPr>
        <w:t>一、质疑供应商基本信息</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质疑供应商：</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地址：</w:t>
      </w:r>
      <w:r>
        <w:rPr>
          <w:rFonts w:hint="eastAsia" w:ascii="微软雅黑" w:hAnsi="微软雅黑" w:eastAsia="微软雅黑" w:cs="微软雅黑"/>
          <w:sz w:val="24"/>
          <w:u w:val="dotted" w:color="000000"/>
        </w:rPr>
        <w:t xml:space="preserve">                          </w:t>
      </w:r>
      <w:r>
        <w:rPr>
          <w:rFonts w:hint="eastAsia" w:ascii="微软雅黑" w:hAnsi="微软雅黑" w:eastAsia="微软雅黑" w:cs="微软雅黑"/>
          <w:sz w:val="24"/>
        </w:rPr>
        <w:t>邮编：</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联系人：</w:t>
      </w:r>
      <w:r>
        <w:rPr>
          <w:rFonts w:hint="eastAsia" w:ascii="微软雅黑" w:hAnsi="微软雅黑" w:eastAsia="微软雅黑" w:cs="微软雅黑"/>
          <w:sz w:val="24"/>
          <w:u w:val="dotted" w:color="000000"/>
        </w:rPr>
        <w:t xml:space="preserve">                      </w:t>
      </w:r>
      <w:r>
        <w:rPr>
          <w:rFonts w:hint="eastAsia" w:ascii="微软雅黑" w:hAnsi="微软雅黑" w:eastAsia="微软雅黑" w:cs="微软雅黑"/>
          <w:sz w:val="24"/>
        </w:rPr>
        <w:t>联系电话：</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授权代表：</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联系电话：</w:t>
      </w:r>
      <w:r>
        <w:rPr>
          <w:rFonts w:hint="eastAsia" w:ascii="微软雅黑" w:hAnsi="微软雅黑" w:eastAsia="微软雅黑" w:cs="微软雅黑"/>
          <w:sz w:val="24"/>
          <w:u w:val="dotted" w:color="000000"/>
        </w:rPr>
        <w:t xml:space="preserve">                                           </w:t>
      </w:r>
      <w:r>
        <w:rPr>
          <w:rFonts w:hint="eastAsia" w:ascii="微软雅黑" w:hAnsi="微软雅黑" w:eastAsia="微软雅黑" w:cs="微软雅黑"/>
          <w:sz w:val="24"/>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地址： </w:t>
      </w:r>
      <w:r>
        <w:rPr>
          <w:rFonts w:hint="eastAsia" w:ascii="微软雅黑" w:hAnsi="微软雅黑" w:eastAsia="微软雅黑" w:cs="微软雅黑"/>
          <w:sz w:val="24"/>
          <w:u w:val="dotted" w:color="000000"/>
        </w:rPr>
        <w:t xml:space="preserve">                        </w:t>
      </w:r>
      <w:r>
        <w:rPr>
          <w:rFonts w:hint="eastAsia" w:ascii="微软雅黑" w:hAnsi="微软雅黑" w:eastAsia="微软雅黑" w:cs="微软雅黑"/>
          <w:sz w:val="24"/>
        </w:rPr>
        <w:t>邮编：</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bCs/>
          <w:sz w:val="24"/>
        </w:rPr>
      </w:pPr>
      <w:r>
        <w:rPr>
          <w:rFonts w:hint="eastAsia" w:ascii="微软雅黑" w:hAnsi="微软雅黑" w:eastAsia="微软雅黑" w:cs="微软雅黑"/>
          <w:bCs/>
          <w:sz w:val="24"/>
        </w:rPr>
        <w:t>二、质疑项目基本情况</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质疑项目的名称：</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质疑项目的编号：</w:t>
      </w:r>
      <w:r>
        <w:rPr>
          <w:rFonts w:hint="eastAsia" w:ascii="微软雅黑" w:hAnsi="微软雅黑" w:eastAsia="微软雅黑" w:cs="微软雅黑"/>
          <w:sz w:val="24"/>
          <w:u w:val="dotted" w:color="000000"/>
        </w:rPr>
        <w:t xml:space="preserve">               </w:t>
      </w:r>
      <w:r>
        <w:rPr>
          <w:rFonts w:hint="eastAsia" w:ascii="微软雅黑" w:hAnsi="微软雅黑" w:eastAsia="微软雅黑" w:cs="微软雅黑"/>
          <w:sz w:val="24"/>
        </w:rPr>
        <w:t>包号：</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采购人名称：</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采购文件获取日期：</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bCs/>
          <w:sz w:val="24"/>
        </w:rPr>
      </w:pPr>
      <w:r>
        <w:rPr>
          <w:rFonts w:hint="eastAsia" w:ascii="微软雅黑" w:hAnsi="微软雅黑" w:eastAsia="微软雅黑" w:cs="微软雅黑"/>
          <w:bCs/>
          <w:sz w:val="24"/>
        </w:rPr>
        <w:t>三、质疑事项具体内容</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质疑事项1：</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事实依据：</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法律依据：</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质疑事项2</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w:t>
      </w:r>
    </w:p>
    <w:p>
      <w:pPr>
        <w:snapToGrid w:val="0"/>
        <w:spacing w:line="380" w:lineRule="exact"/>
        <w:textAlignment w:val="baseline"/>
        <w:rPr>
          <w:rFonts w:ascii="微软雅黑" w:hAnsi="微软雅黑" w:eastAsia="微软雅黑" w:cs="微软雅黑"/>
          <w:bCs/>
          <w:sz w:val="24"/>
        </w:rPr>
      </w:pPr>
      <w:r>
        <w:rPr>
          <w:rFonts w:hint="eastAsia" w:ascii="微软雅黑" w:hAnsi="微软雅黑" w:eastAsia="微软雅黑" w:cs="微软雅黑"/>
          <w:bCs/>
          <w:sz w:val="24"/>
        </w:rPr>
        <w:t>四、与质疑事项相关的质疑请求</w:t>
      </w:r>
    </w:p>
    <w:p>
      <w:pPr>
        <w:snapToGrid w:val="0"/>
        <w:spacing w:line="380" w:lineRule="exact"/>
        <w:textAlignment w:val="baseline"/>
        <w:rPr>
          <w:rFonts w:ascii="微软雅黑" w:hAnsi="微软雅黑" w:eastAsia="微软雅黑" w:cs="微软雅黑"/>
          <w:sz w:val="24"/>
          <w:u w:val="dotted" w:color="000000"/>
        </w:rPr>
      </w:pPr>
      <w:r>
        <w:rPr>
          <w:rFonts w:hint="eastAsia" w:ascii="微软雅黑" w:hAnsi="微软雅黑" w:eastAsia="微软雅黑" w:cs="微软雅黑"/>
          <w:sz w:val="24"/>
        </w:rPr>
        <w:t>请求：</w:t>
      </w:r>
      <w:r>
        <w:rPr>
          <w:rFonts w:hint="eastAsia" w:ascii="微软雅黑" w:hAnsi="微软雅黑" w:eastAsia="微软雅黑" w:cs="微软雅黑"/>
          <w:sz w:val="24"/>
          <w:u w:val="dotted" w:color="000000"/>
        </w:rPr>
        <w:t xml:space="preserve">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签字(签章)：                   公章：                      </w:t>
      </w:r>
    </w:p>
    <w:p>
      <w:pPr>
        <w:snapToGrid w:val="0"/>
        <w:spacing w:line="380" w:lineRule="exact"/>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日期：    </w:t>
      </w:r>
    </w:p>
    <w:p>
      <w:pPr>
        <w:snapToGrid w:val="0"/>
        <w:spacing w:line="380" w:lineRule="exact"/>
        <w:textAlignment w:val="baseline"/>
        <w:rPr>
          <w:rFonts w:ascii="微软雅黑" w:hAnsi="微软雅黑" w:eastAsia="微软雅黑" w:cs="微软雅黑"/>
          <w:b/>
          <w:sz w:val="24"/>
        </w:rPr>
      </w:pPr>
    </w:p>
    <w:p>
      <w:pPr>
        <w:snapToGrid w:val="0"/>
        <w:spacing w:line="380" w:lineRule="exact"/>
        <w:textAlignment w:val="baseline"/>
        <w:rPr>
          <w:rFonts w:ascii="微软雅黑" w:hAnsi="微软雅黑" w:eastAsia="微软雅黑" w:cs="微软雅黑"/>
          <w:b/>
          <w:sz w:val="24"/>
        </w:rPr>
      </w:pPr>
      <w:r>
        <w:rPr>
          <w:rFonts w:hint="eastAsia" w:ascii="微软雅黑" w:hAnsi="微软雅黑" w:eastAsia="微软雅黑" w:cs="微软雅黑"/>
          <w:b/>
          <w:sz w:val="24"/>
        </w:rPr>
        <w:t>质疑函制作说明：</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1.供应商提出质疑时，应提交质疑函和必要的证明材料。</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2.质疑供应商若委托代理人进行质疑的，质疑函应按要求列明“授权代表”的有关内容，并在附件中提交由质疑</w:t>
      </w:r>
      <w:r>
        <w:rPr>
          <w:rFonts w:hint="eastAsia" w:ascii="微软雅黑" w:hAnsi="微软雅黑" w:eastAsia="微软雅黑" w:cs="微软雅黑"/>
          <w:kern w:val="0"/>
          <w:sz w:val="24"/>
        </w:rPr>
        <w:t>供应商签署的授权委托书。授权委托书应载明代理人的姓名或者名称、代理事项、具体权限、期限和相关事项。</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3.质疑供应商若对项目的某一分包进行质疑，质疑函中应列明具体分包号。</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4.质疑函的质疑事项应具体、明确，并有必要的事实依据和法律依据。</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5.质疑函的质疑请求应与质疑事项相关。</w:t>
      </w:r>
    </w:p>
    <w:p>
      <w:pPr>
        <w:widowControl/>
        <w:snapToGrid w:val="0"/>
        <w:spacing w:line="380" w:lineRule="exact"/>
        <w:ind w:firstLine="480" w:firstLineChars="200"/>
        <w:jc w:val="left"/>
        <w:textAlignment w:val="baseline"/>
        <w:rPr>
          <w:rFonts w:ascii="微软雅黑" w:hAnsi="微软雅黑" w:eastAsia="微软雅黑" w:cs="微软雅黑"/>
          <w:sz w:val="24"/>
        </w:rPr>
      </w:pPr>
      <w:r>
        <w:rPr>
          <w:rFonts w:hint="eastAsia" w:ascii="微软雅黑" w:hAnsi="微软雅黑" w:eastAsia="微软雅黑" w:cs="微软雅黑"/>
          <w:sz w:val="24"/>
        </w:rPr>
        <w:t>6.质疑供应商为自然人的，质疑函应由本人签字；质疑供应商为法人或者其他组织的，质疑函应由法定代表人、主要负责人，或者其授权代表签字或者盖章，并加盖公章。</w:t>
      </w:r>
    </w:p>
    <w:p>
      <w:pPr>
        <w:pStyle w:val="6"/>
        <w:rPr>
          <w:rFonts w:ascii="微软雅黑" w:hAnsi="微软雅黑" w:eastAsia="微软雅黑" w:cs="微软雅黑"/>
        </w:rPr>
      </w:pPr>
    </w:p>
    <w:p>
      <w:pPr>
        <w:rPr>
          <w:rFonts w:ascii="微软雅黑" w:hAnsi="微软雅黑" w:eastAsia="微软雅黑" w:cs="微软雅黑"/>
          <w:sz w:val="24"/>
        </w:rPr>
      </w:pPr>
    </w:p>
    <w:p>
      <w:pPr>
        <w:pStyle w:val="6"/>
        <w:rPr>
          <w:rFonts w:ascii="微软雅黑" w:hAnsi="微软雅黑" w:eastAsia="微软雅黑" w:cs="微软雅黑"/>
        </w:rPr>
      </w:pPr>
    </w:p>
    <w:p>
      <w:pPr>
        <w:pStyle w:val="10"/>
        <w:rPr>
          <w:rFonts w:ascii="微软雅黑" w:hAnsi="微软雅黑" w:eastAsia="微软雅黑" w:cs="微软雅黑"/>
        </w:rPr>
      </w:pPr>
    </w:p>
    <w:p>
      <w:pPr>
        <w:rPr>
          <w:rFonts w:ascii="微软雅黑" w:hAnsi="微软雅黑" w:eastAsia="微软雅黑" w:cs="微软雅黑"/>
          <w:sz w:val="24"/>
        </w:rPr>
      </w:pPr>
    </w:p>
    <w:p>
      <w:pPr>
        <w:pStyle w:val="34"/>
        <w:ind w:left="0" w:leftChars="0" w:firstLine="0" w:firstLineChars="0"/>
        <w:rPr>
          <w:rFonts w:ascii="微软雅黑" w:hAnsi="微软雅黑" w:eastAsia="微软雅黑" w:cs="微软雅黑"/>
        </w:rPr>
      </w:pPr>
    </w:p>
    <w:p>
      <w:pPr>
        <w:pStyle w:val="34"/>
        <w:ind w:firstLine="480"/>
        <w:rPr>
          <w:rFonts w:ascii="微软雅黑" w:hAnsi="微软雅黑" w:eastAsia="微软雅黑" w:cs="微软雅黑"/>
        </w:rPr>
      </w:pPr>
    </w:p>
    <w:p>
      <w:pPr>
        <w:pStyle w:val="6"/>
        <w:ind w:left="0" w:leftChars="0" w:firstLine="0" w:firstLineChars="0"/>
        <w:rPr>
          <w:rFonts w:ascii="微软雅黑" w:hAnsi="微软雅黑" w:eastAsia="微软雅黑" w:cs="微软雅黑"/>
        </w:rPr>
      </w:pPr>
    </w:p>
    <w:p>
      <w:pPr>
        <w:pStyle w:val="3"/>
        <w:snapToGrid w:val="0"/>
        <w:spacing w:before="0" w:after="0" w:line="240" w:lineRule="atLeast"/>
        <w:textAlignment w:val="baseline"/>
        <w:rPr>
          <w:rFonts w:ascii="微软雅黑" w:hAnsi="微软雅黑" w:eastAsia="微软雅黑" w:cs="微软雅黑"/>
          <w:sz w:val="24"/>
        </w:rPr>
      </w:pPr>
      <w:bookmarkStart w:id="563" w:name="_Toc7847"/>
      <w:bookmarkStart w:id="564" w:name="_Toc728"/>
      <w:bookmarkStart w:id="565" w:name="_Toc702"/>
      <w:bookmarkStart w:id="566" w:name="_Toc515647802"/>
      <w:bookmarkStart w:id="567" w:name="_Toc216582812"/>
      <w:r>
        <w:rPr>
          <w:rFonts w:hint="eastAsia" w:ascii="微软雅黑" w:hAnsi="微软雅黑" w:eastAsia="微软雅黑" w:cs="微软雅黑"/>
          <w:sz w:val="24"/>
          <w:szCs w:val="24"/>
        </w:rPr>
        <w:t>第2章 响应文件格式</w:t>
      </w:r>
      <w:bookmarkEnd w:id="563"/>
      <w:bookmarkEnd w:id="564"/>
      <w:bookmarkEnd w:id="565"/>
      <w:bookmarkEnd w:id="566"/>
      <w:bookmarkEnd w:id="567"/>
    </w:p>
    <w:p>
      <w:pPr>
        <w:pStyle w:val="4"/>
        <w:snapToGrid w:val="0"/>
        <w:spacing w:before="0" w:line="240" w:lineRule="atLeast"/>
        <w:ind w:left="1079" w:leftChars="257" w:hanging="540"/>
        <w:textAlignment w:val="baseline"/>
        <w:rPr>
          <w:rFonts w:ascii="微软雅黑" w:hAnsi="微软雅黑" w:eastAsia="微软雅黑" w:cs="微软雅黑"/>
          <w:sz w:val="24"/>
        </w:rPr>
      </w:pPr>
      <w:bookmarkStart w:id="568" w:name="_Toc18974"/>
      <w:bookmarkStart w:id="569" w:name="_Toc31379"/>
      <w:bookmarkStart w:id="570" w:name="_Toc19961"/>
      <w:bookmarkStart w:id="571" w:name="_Toc18694"/>
      <w:bookmarkStart w:id="572" w:name="_Toc26489"/>
      <w:bookmarkStart w:id="573" w:name="_Toc1126"/>
      <w:bookmarkStart w:id="574" w:name="_Toc515647803"/>
      <w:bookmarkStart w:id="575" w:name="_Toc3315"/>
      <w:r>
        <w:rPr>
          <w:rFonts w:hint="eastAsia" w:ascii="微软雅黑" w:hAnsi="微软雅黑" w:eastAsia="微软雅黑" w:cs="微软雅黑"/>
          <w:sz w:val="24"/>
          <w:szCs w:val="24"/>
        </w:rPr>
        <w:t>第一部分 磋商开启一览表及资格证明文件</w:t>
      </w:r>
      <w:bookmarkEnd w:id="568"/>
      <w:bookmarkEnd w:id="569"/>
      <w:bookmarkEnd w:id="570"/>
      <w:bookmarkEnd w:id="571"/>
      <w:bookmarkEnd w:id="572"/>
      <w:bookmarkEnd w:id="573"/>
      <w:bookmarkEnd w:id="574"/>
      <w:bookmarkEnd w:id="575"/>
    </w:p>
    <w:p>
      <w:pPr>
        <w:tabs>
          <w:tab w:val="left" w:pos="5580"/>
        </w:tabs>
        <w:snapToGrid w:val="0"/>
        <w:spacing w:line="360" w:lineRule="exact"/>
        <w:jc w:val="left"/>
        <w:textAlignment w:val="baseline"/>
        <w:rPr>
          <w:rFonts w:ascii="微软雅黑" w:hAnsi="微软雅黑" w:eastAsia="微软雅黑" w:cs="微软雅黑"/>
          <w:sz w:val="24"/>
        </w:rPr>
      </w:pPr>
      <w:r>
        <w:rPr>
          <w:rFonts w:hint="eastAsia" w:ascii="微软雅黑" w:hAnsi="微软雅黑" w:eastAsia="微软雅黑" w:cs="微软雅黑"/>
          <w:sz w:val="24"/>
        </w:rPr>
        <w:t>1.磋商报价一览表;</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提供查询记录并加盖公章）；</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3.提供有效的营业执照；</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4.法人本人投标的提供法人身份证明及身份证，被授权委托人投标提供法人授权委托书及身份证；</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5.投标单位提供本单位依法缴纳近三个月的社保证明；</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6.提供税务部门出具近三个月的完税证明；</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7.提供2021年度的财务审计报告（新成立公司需提供银行资信证明）；</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8.参加政府采购活动前3年内在经营活动中没有重大违法记录的书面声明；</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9.提供针对本次项目的反商业贿赂承诺书 ；</w:t>
      </w:r>
    </w:p>
    <w:p>
      <w:pPr>
        <w:snapToGrid w:val="0"/>
        <w:spacing w:line="460" w:lineRule="exact"/>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10.提供缴纳磋商保证金的有效凭证。</w:t>
      </w:r>
    </w:p>
    <w:p>
      <w:pPr>
        <w:snapToGrid w:val="0"/>
        <w:spacing w:line="460" w:lineRule="exact"/>
        <w:textAlignment w:val="baseline"/>
        <w:rPr>
          <w:rFonts w:hint="default"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11.供应商可提供有利于投标的其他资格证明材料；</w:t>
      </w:r>
    </w:p>
    <w:p>
      <w:pPr>
        <w:snapToGrid w:val="0"/>
        <w:spacing w:line="460" w:lineRule="exact"/>
        <w:textAlignment w:val="baseline"/>
        <w:rPr>
          <w:rFonts w:ascii="微软雅黑" w:hAnsi="微软雅黑" w:eastAsia="微软雅黑" w:cs="微软雅黑"/>
          <w:kern w:val="0"/>
          <w:sz w:val="24"/>
        </w:rPr>
      </w:pPr>
      <w:r>
        <w:rPr>
          <w:rFonts w:hint="eastAsia" w:ascii="微软雅黑" w:hAnsi="微软雅黑" w:eastAsia="微软雅黑" w:cs="微软雅黑"/>
          <w:kern w:val="0"/>
          <w:sz w:val="24"/>
          <w:lang w:val="en-US" w:eastAsia="zh-CN"/>
        </w:rPr>
        <w:t>12.投标人须知资料表要求的其他资格证明文件。</w:t>
      </w:r>
    </w:p>
    <w:p>
      <w:pPr>
        <w:pStyle w:val="34"/>
        <w:snapToGrid w:val="0"/>
        <w:ind w:left="0" w:leftChars="0" w:firstLine="0" w:firstLineChars="0"/>
        <w:textAlignment w:val="baseline"/>
        <w:rPr>
          <w:rFonts w:ascii="微软雅黑" w:hAnsi="微软雅黑" w:eastAsia="微软雅黑" w:cs="微软雅黑"/>
          <w:sz w:val="21"/>
        </w:rPr>
      </w:pPr>
    </w:p>
    <w:p>
      <w:pPr>
        <w:pStyle w:val="34"/>
        <w:snapToGrid w:val="0"/>
        <w:ind w:left="0" w:leftChars="0" w:firstLine="0" w:firstLineChars="0"/>
        <w:textAlignment w:val="baseline"/>
        <w:rPr>
          <w:rFonts w:ascii="微软雅黑" w:hAnsi="微软雅黑" w:eastAsia="微软雅黑" w:cs="微软雅黑"/>
          <w:sz w:val="21"/>
        </w:rPr>
      </w:pPr>
    </w:p>
    <w:p>
      <w:pPr>
        <w:pStyle w:val="34"/>
        <w:snapToGrid w:val="0"/>
        <w:ind w:left="0" w:leftChars="0" w:firstLine="0" w:firstLineChars="0"/>
        <w:textAlignment w:val="baseline"/>
        <w:rPr>
          <w:rFonts w:ascii="微软雅黑" w:hAnsi="微软雅黑" w:eastAsia="微软雅黑" w:cs="微软雅黑"/>
          <w:sz w:val="21"/>
        </w:rPr>
      </w:pPr>
    </w:p>
    <w:p>
      <w:pPr>
        <w:pStyle w:val="34"/>
        <w:snapToGrid w:val="0"/>
        <w:ind w:left="0" w:leftChars="0" w:firstLine="0" w:firstLineChars="0"/>
        <w:textAlignment w:val="baseline"/>
        <w:rPr>
          <w:rFonts w:ascii="微软雅黑" w:hAnsi="微软雅黑" w:eastAsia="微软雅黑" w:cs="微软雅黑"/>
          <w:sz w:val="21"/>
        </w:rPr>
      </w:pPr>
    </w:p>
    <w:p>
      <w:pPr>
        <w:pStyle w:val="34"/>
        <w:snapToGrid w:val="0"/>
        <w:ind w:left="0" w:leftChars="0" w:firstLine="0" w:firstLineChars="0"/>
        <w:textAlignment w:val="baseline"/>
        <w:rPr>
          <w:rFonts w:ascii="微软雅黑" w:hAnsi="微软雅黑" w:eastAsia="微软雅黑" w:cs="微软雅黑"/>
          <w:sz w:val="21"/>
        </w:rPr>
      </w:pPr>
    </w:p>
    <w:p>
      <w:pPr>
        <w:pStyle w:val="6"/>
        <w:ind w:firstLine="0"/>
        <w:rPr>
          <w:rFonts w:ascii="微软雅黑" w:hAnsi="微软雅黑" w:eastAsia="微软雅黑" w:cs="微软雅黑"/>
        </w:rPr>
      </w:pPr>
    </w:p>
    <w:p>
      <w:pPr>
        <w:pStyle w:val="4"/>
        <w:snapToGrid w:val="0"/>
        <w:spacing w:before="0" w:line="400" w:lineRule="atLeast"/>
        <w:jc w:val="both"/>
        <w:textAlignment w:val="baseline"/>
        <w:rPr>
          <w:rFonts w:ascii="微软雅黑" w:hAnsi="微软雅黑" w:eastAsia="微软雅黑" w:cs="微软雅黑"/>
          <w:sz w:val="24"/>
          <w:szCs w:val="24"/>
        </w:rPr>
      </w:pPr>
      <w:bookmarkStart w:id="576" w:name="_Toc16750"/>
      <w:bookmarkStart w:id="577" w:name="_Toc31510"/>
      <w:bookmarkStart w:id="578" w:name="_Toc4431"/>
      <w:bookmarkStart w:id="579" w:name="_Toc17198"/>
      <w:bookmarkStart w:id="580" w:name="_Toc26846"/>
      <w:bookmarkStart w:id="581" w:name="_Toc14118"/>
      <w:bookmarkStart w:id="582" w:name="_Toc30524"/>
      <w:bookmarkStart w:id="583" w:name="_Toc18477"/>
      <w:bookmarkStart w:id="584" w:name="_Toc16568"/>
      <w:bookmarkStart w:id="585" w:name="_Toc31089"/>
      <w:bookmarkStart w:id="586" w:name="_Toc30630"/>
      <w:bookmarkStart w:id="587" w:name="_Toc11138"/>
      <w:bookmarkStart w:id="588" w:name="_Toc21614"/>
      <w:bookmarkStart w:id="589" w:name="_Toc21484"/>
      <w:bookmarkStart w:id="590" w:name="_Toc22539"/>
      <w:bookmarkStart w:id="591" w:name="_Toc3620"/>
      <w:bookmarkStart w:id="592" w:name="_Toc515647804"/>
      <w:bookmarkStart w:id="593" w:name="_Ref467988698"/>
      <w:bookmarkStart w:id="594" w:name="_Toc480942349"/>
      <w:bookmarkStart w:id="595" w:name="_Toc216582813"/>
      <w:bookmarkStart w:id="596" w:name="_Toc520356217"/>
      <w:r>
        <w:rPr>
          <w:rFonts w:hint="eastAsia" w:ascii="微软雅黑" w:hAnsi="微软雅黑" w:eastAsia="微软雅黑" w:cs="微软雅黑"/>
          <w:sz w:val="24"/>
          <w:szCs w:val="24"/>
        </w:rPr>
        <w:t>1、磋商报价一览表</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pPr>
        <w:pStyle w:val="6"/>
        <w:tabs>
          <w:tab w:val="left" w:pos="5580"/>
        </w:tabs>
        <w:snapToGrid w:val="0"/>
        <w:spacing w:line="400" w:lineRule="atLeast"/>
        <w:ind w:firstLine="0"/>
        <w:jc w:val="center"/>
        <w:textAlignment w:val="baseline"/>
        <w:rPr>
          <w:rFonts w:ascii="微软雅黑" w:hAnsi="微软雅黑" w:eastAsia="微软雅黑" w:cs="微软雅黑"/>
          <w:szCs w:val="24"/>
        </w:rPr>
      </w:pPr>
      <w:bookmarkStart w:id="597" w:name="_Hlt520356241"/>
      <w:bookmarkEnd w:id="597"/>
      <w:r>
        <w:rPr>
          <w:rFonts w:hint="eastAsia" w:ascii="微软雅黑" w:hAnsi="微软雅黑" w:eastAsia="微软雅黑" w:cs="微软雅黑"/>
          <w:b/>
          <w:szCs w:val="24"/>
        </w:rPr>
        <w:t>磋商报价一览表</w:t>
      </w:r>
    </w:p>
    <w:p>
      <w:pPr>
        <w:tabs>
          <w:tab w:val="left" w:pos="1800"/>
          <w:tab w:val="left" w:pos="5580"/>
        </w:tabs>
        <w:snapToGrid w:val="0"/>
        <w:spacing w:line="400" w:lineRule="atLeast"/>
        <w:ind w:left="1079" w:leftChars="257" w:right="-867" w:hanging="54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项目名称：　                  项目编号：                          </w:t>
      </w:r>
    </w:p>
    <w:p>
      <w:pPr>
        <w:tabs>
          <w:tab w:val="left" w:pos="1800"/>
          <w:tab w:val="left" w:pos="5580"/>
        </w:tabs>
        <w:snapToGrid w:val="0"/>
        <w:spacing w:line="400" w:lineRule="atLeast"/>
        <w:ind w:left="1079" w:leftChars="257" w:right="-867" w:hanging="54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报价单位：人民币  </w:t>
      </w:r>
      <w:r>
        <w:rPr>
          <w:rFonts w:hint="eastAsia" w:ascii="微软雅黑" w:hAnsi="微软雅黑" w:eastAsia="微软雅黑" w:cs="微软雅黑"/>
          <w:b/>
          <w:sz w:val="24"/>
        </w:rPr>
        <w:t>元</w:t>
      </w:r>
    </w:p>
    <w:tbl>
      <w:tblPr>
        <w:tblStyle w:val="35"/>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6"/>
        <w:gridCol w:w="2134"/>
        <w:gridCol w:w="1933"/>
        <w:gridCol w:w="1587"/>
        <w:gridCol w:w="166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1396" w:type="dxa"/>
            <w:vAlign w:val="center"/>
          </w:tcPr>
          <w:p>
            <w:pPr>
              <w:tabs>
                <w:tab w:val="left" w:pos="5580"/>
              </w:tabs>
              <w:snapToGrid w:val="0"/>
              <w:spacing w:line="400" w:lineRule="atLeast"/>
              <w:ind w:right="-199"/>
              <w:jc w:val="center"/>
              <w:textAlignment w:val="baseline"/>
              <w:rPr>
                <w:rFonts w:ascii="微软雅黑" w:hAnsi="微软雅黑" w:eastAsia="微软雅黑" w:cs="微软雅黑"/>
                <w:sz w:val="24"/>
              </w:rPr>
            </w:pPr>
            <w:r>
              <w:rPr>
                <w:rFonts w:hint="eastAsia" w:ascii="微软雅黑" w:hAnsi="微软雅黑" w:eastAsia="微软雅黑" w:cs="微软雅黑"/>
                <w:sz w:val="24"/>
              </w:rPr>
              <w:t>名称</w:t>
            </w:r>
          </w:p>
        </w:tc>
        <w:tc>
          <w:tcPr>
            <w:tcW w:w="2134" w:type="dxa"/>
            <w:vAlign w:val="center"/>
          </w:tcPr>
          <w:p>
            <w:pPr>
              <w:tabs>
                <w:tab w:val="left" w:pos="5580"/>
              </w:tabs>
              <w:snapToGrid w:val="0"/>
              <w:spacing w:line="400" w:lineRule="atLeast"/>
              <w:jc w:val="center"/>
              <w:textAlignment w:val="baseline"/>
              <w:rPr>
                <w:rFonts w:ascii="微软雅黑" w:hAnsi="微软雅黑" w:eastAsia="微软雅黑" w:cs="微软雅黑"/>
                <w:sz w:val="24"/>
              </w:rPr>
            </w:pPr>
            <w:r>
              <w:rPr>
                <w:rFonts w:hint="eastAsia" w:ascii="微软雅黑" w:hAnsi="微软雅黑" w:eastAsia="微软雅黑" w:cs="微软雅黑"/>
                <w:sz w:val="24"/>
                <w:lang w:eastAsia="zh-CN"/>
              </w:rPr>
              <w:t>磋商</w:t>
            </w:r>
            <w:r>
              <w:rPr>
                <w:rFonts w:hint="eastAsia" w:ascii="微软雅黑" w:hAnsi="微软雅黑" w:eastAsia="微软雅黑" w:cs="微软雅黑"/>
                <w:sz w:val="24"/>
              </w:rPr>
              <w:t>总报价</w:t>
            </w:r>
          </w:p>
        </w:tc>
        <w:tc>
          <w:tcPr>
            <w:tcW w:w="1933" w:type="dxa"/>
            <w:vAlign w:val="center"/>
          </w:tcPr>
          <w:p>
            <w:pPr>
              <w:tabs>
                <w:tab w:val="left" w:pos="5580"/>
              </w:tabs>
              <w:snapToGrid w:val="0"/>
              <w:spacing w:line="400" w:lineRule="atLeast"/>
              <w:jc w:val="center"/>
              <w:textAlignment w:val="baseline"/>
              <w:rPr>
                <w:rFonts w:ascii="微软雅黑" w:hAnsi="微软雅黑" w:eastAsia="微软雅黑" w:cs="微软雅黑"/>
                <w:sz w:val="24"/>
              </w:rPr>
            </w:pPr>
            <w:r>
              <w:rPr>
                <w:rFonts w:hint="eastAsia" w:ascii="微软雅黑" w:hAnsi="微软雅黑" w:eastAsia="微软雅黑" w:cs="微软雅黑"/>
                <w:sz w:val="24"/>
              </w:rPr>
              <w:t>磋商保证金</w:t>
            </w:r>
          </w:p>
        </w:tc>
        <w:tc>
          <w:tcPr>
            <w:tcW w:w="1587" w:type="dxa"/>
            <w:vAlign w:val="center"/>
          </w:tcPr>
          <w:p>
            <w:pPr>
              <w:tabs>
                <w:tab w:val="left" w:pos="5580"/>
              </w:tabs>
              <w:snapToGrid w:val="0"/>
              <w:spacing w:line="400" w:lineRule="atLeast"/>
              <w:jc w:val="center"/>
              <w:textAlignment w:val="baseline"/>
              <w:rPr>
                <w:rFonts w:ascii="微软雅黑" w:hAnsi="微软雅黑" w:eastAsia="微软雅黑" w:cs="微软雅黑"/>
                <w:sz w:val="24"/>
              </w:rPr>
            </w:pPr>
            <w:r>
              <w:rPr>
                <w:rFonts w:hint="eastAsia" w:ascii="微软雅黑" w:hAnsi="微软雅黑" w:eastAsia="微软雅黑" w:cs="微软雅黑"/>
                <w:sz w:val="24"/>
                <w:lang w:eastAsia="zh-CN"/>
              </w:rPr>
              <w:t>服务</w:t>
            </w:r>
            <w:r>
              <w:rPr>
                <w:rFonts w:hint="eastAsia" w:ascii="微软雅黑" w:hAnsi="微软雅黑" w:eastAsia="微软雅黑" w:cs="微软雅黑"/>
                <w:sz w:val="24"/>
              </w:rPr>
              <w:t>期</w:t>
            </w:r>
          </w:p>
        </w:tc>
        <w:tc>
          <w:tcPr>
            <w:tcW w:w="1665" w:type="dxa"/>
            <w:vAlign w:val="center"/>
          </w:tcPr>
          <w:p>
            <w:pPr>
              <w:tabs>
                <w:tab w:val="left" w:pos="5580"/>
              </w:tabs>
              <w:snapToGrid w:val="0"/>
              <w:spacing w:line="400" w:lineRule="atLeast"/>
              <w:jc w:val="center"/>
              <w:textAlignment w:val="baseline"/>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服务地点</w:t>
            </w:r>
          </w:p>
        </w:tc>
        <w:tc>
          <w:tcPr>
            <w:tcW w:w="1009" w:type="dxa"/>
            <w:vAlign w:val="center"/>
          </w:tcPr>
          <w:p>
            <w:pPr>
              <w:tabs>
                <w:tab w:val="left" w:pos="5580"/>
              </w:tabs>
              <w:snapToGrid w:val="0"/>
              <w:spacing w:line="400" w:lineRule="atLeast"/>
              <w:jc w:val="center"/>
              <w:textAlignment w:val="baseline"/>
              <w:rPr>
                <w:rFonts w:hint="eastAsia" w:ascii="微软雅黑" w:hAnsi="微软雅黑" w:eastAsia="微软雅黑" w:cs="微软雅黑"/>
                <w:sz w:val="24"/>
              </w:rPr>
            </w:pPr>
            <w:r>
              <w:rPr>
                <w:rFonts w:hint="eastAsia" w:ascii="微软雅黑" w:hAnsi="微软雅黑" w:eastAsia="微软雅黑" w:cs="微软雅黑"/>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6" w:hRule="atLeast"/>
          <w:jc w:val="center"/>
        </w:trPr>
        <w:tc>
          <w:tcPr>
            <w:tcW w:w="1396" w:type="dxa"/>
            <w:vAlign w:val="center"/>
          </w:tcPr>
          <w:p>
            <w:pPr>
              <w:tabs>
                <w:tab w:val="left" w:pos="5580"/>
              </w:tabs>
              <w:snapToGrid w:val="0"/>
              <w:spacing w:line="400" w:lineRule="atLeast"/>
              <w:ind w:left="1079" w:leftChars="257" w:hanging="540"/>
              <w:jc w:val="center"/>
              <w:textAlignment w:val="baseline"/>
              <w:rPr>
                <w:rFonts w:ascii="微软雅黑" w:hAnsi="微软雅黑" w:eastAsia="微软雅黑" w:cs="微软雅黑"/>
                <w:sz w:val="24"/>
              </w:rPr>
            </w:pPr>
          </w:p>
        </w:tc>
        <w:tc>
          <w:tcPr>
            <w:tcW w:w="2134" w:type="dxa"/>
            <w:vAlign w:val="center"/>
          </w:tcPr>
          <w:p>
            <w:pPr>
              <w:tabs>
                <w:tab w:val="left" w:pos="5580"/>
              </w:tabs>
              <w:snapToGrid w:val="0"/>
              <w:spacing w:line="400" w:lineRule="atLeast"/>
              <w:jc w:val="left"/>
              <w:textAlignment w:val="baseline"/>
              <w:rPr>
                <w:rFonts w:ascii="微软雅黑" w:hAnsi="微软雅黑" w:eastAsia="微软雅黑" w:cs="微软雅黑"/>
                <w:sz w:val="24"/>
              </w:rPr>
            </w:pPr>
            <w:r>
              <w:rPr>
                <w:rFonts w:hint="eastAsia" w:ascii="微软雅黑" w:hAnsi="微软雅黑" w:eastAsia="微软雅黑" w:cs="微软雅黑"/>
                <w:sz w:val="24"/>
              </w:rPr>
              <w:t>大写：</w:t>
            </w:r>
          </w:p>
          <w:p>
            <w:pPr>
              <w:tabs>
                <w:tab w:val="left" w:pos="5580"/>
              </w:tabs>
              <w:snapToGrid w:val="0"/>
              <w:spacing w:line="400" w:lineRule="atLeast"/>
              <w:jc w:val="left"/>
              <w:textAlignment w:val="baseline"/>
              <w:rPr>
                <w:rFonts w:ascii="微软雅黑" w:hAnsi="微软雅黑" w:eastAsia="微软雅黑" w:cs="微软雅黑"/>
                <w:sz w:val="24"/>
              </w:rPr>
            </w:pPr>
            <w:r>
              <w:rPr>
                <w:rFonts w:hint="eastAsia" w:ascii="微软雅黑" w:hAnsi="微软雅黑" w:eastAsia="微软雅黑" w:cs="微软雅黑"/>
                <w:sz w:val="24"/>
              </w:rPr>
              <w:t>小写：</w:t>
            </w:r>
          </w:p>
        </w:tc>
        <w:tc>
          <w:tcPr>
            <w:tcW w:w="1933" w:type="dxa"/>
            <w:vAlign w:val="center"/>
          </w:tcPr>
          <w:p>
            <w:pPr>
              <w:tabs>
                <w:tab w:val="left" w:pos="5580"/>
              </w:tabs>
              <w:snapToGrid w:val="0"/>
              <w:spacing w:line="400" w:lineRule="atLeast"/>
              <w:ind w:left="1079" w:leftChars="257" w:hanging="540"/>
              <w:jc w:val="center"/>
              <w:textAlignment w:val="baseline"/>
              <w:rPr>
                <w:rFonts w:ascii="微软雅黑" w:hAnsi="微软雅黑" w:eastAsia="微软雅黑" w:cs="微软雅黑"/>
                <w:sz w:val="24"/>
              </w:rPr>
            </w:pPr>
          </w:p>
        </w:tc>
        <w:tc>
          <w:tcPr>
            <w:tcW w:w="1587" w:type="dxa"/>
            <w:vAlign w:val="center"/>
          </w:tcPr>
          <w:p>
            <w:pPr>
              <w:tabs>
                <w:tab w:val="left" w:pos="5580"/>
              </w:tabs>
              <w:snapToGrid w:val="0"/>
              <w:spacing w:line="400" w:lineRule="atLeast"/>
              <w:ind w:left="1079" w:leftChars="257" w:hanging="540"/>
              <w:jc w:val="center"/>
              <w:textAlignment w:val="baseline"/>
              <w:rPr>
                <w:rFonts w:ascii="微软雅黑" w:hAnsi="微软雅黑" w:eastAsia="微软雅黑" w:cs="微软雅黑"/>
                <w:sz w:val="24"/>
              </w:rPr>
            </w:pPr>
          </w:p>
        </w:tc>
        <w:tc>
          <w:tcPr>
            <w:tcW w:w="1665" w:type="dxa"/>
            <w:vAlign w:val="center"/>
          </w:tcPr>
          <w:p>
            <w:pPr>
              <w:tabs>
                <w:tab w:val="left" w:pos="5580"/>
              </w:tabs>
              <w:snapToGrid w:val="0"/>
              <w:spacing w:line="400" w:lineRule="atLeast"/>
              <w:ind w:left="1079" w:leftChars="257" w:hanging="540"/>
              <w:jc w:val="center"/>
              <w:textAlignment w:val="baseline"/>
              <w:rPr>
                <w:rFonts w:ascii="微软雅黑" w:hAnsi="微软雅黑" w:eastAsia="微软雅黑" w:cs="微软雅黑"/>
                <w:sz w:val="24"/>
              </w:rPr>
            </w:pPr>
          </w:p>
        </w:tc>
        <w:tc>
          <w:tcPr>
            <w:tcW w:w="1009" w:type="dxa"/>
            <w:vAlign w:val="center"/>
          </w:tcPr>
          <w:p>
            <w:pPr>
              <w:tabs>
                <w:tab w:val="left" w:pos="5580"/>
              </w:tabs>
              <w:snapToGrid w:val="0"/>
              <w:spacing w:line="400" w:lineRule="atLeast"/>
              <w:ind w:left="1079" w:leftChars="257" w:hanging="540"/>
              <w:jc w:val="center"/>
              <w:textAlignment w:val="baseline"/>
              <w:rPr>
                <w:rFonts w:ascii="微软雅黑" w:hAnsi="微软雅黑" w:eastAsia="微软雅黑" w:cs="微软雅黑"/>
                <w:sz w:val="24"/>
              </w:rPr>
            </w:pPr>
          </w:p>
        </w:tc>
      </w:tr>
    </w:tbl>
    <w:p>
      <w:pPr>
        <w:pStyle w:val="17"/>
        <w:tabs>
          <w:tab w:val="left" w:pos="5580"/>
        </w:tabs>
        <w:snapToGrid w:val="0"/>
        <w:spacing w:line="400" w:lineRule="atLeast"/>
        <w:textAlignment w:val="baseline"/>
        <w:rPr>
          <w:rFonts w:ascii="微软雅黑" w:hAnsi="微软雅黑" w:eastAsia="微软雅黑" w:cs="微软雅黑"/>
          <w:sz w:val="24"/>
          <w:szCs w:val="24"/>
          <w:u w:val="single" w:color="000000"/>
        </w:rPr>
      </w:pPr>
    </w:p>
    <w:p>
      <w:pPr>
        <w:pStyle w:val="17"/>
        <w:tabs>
          <w:tab w:val="left" w:pos="5580"/>
        </w:tabs>
        <w:snapToGrid w:val="0"/>
        <w:spacing w:line="400" w:lineRule="atLeast"/>
        <w:ind w:left="1079" w:leftChars="257" w:hanging="540"/>
        <w:textAlignment w:val="baseline"/>
        <w:rPr>
          <w:rFonts w:ascii="微软雅黑" w:hAnsi="微软雅黑" w:eastAsia="微软雅黑" w:cs="微软雅黑"/>
          <w:sz w:val="24"/>
          <w:szCs w:val="24"/>
        </w:rPr>
      </w:pPr>
      <w:r>
        <w:rPr>
          <w:rFonts w:hint="eastAsia" w:ascii="微软雅黑" w:hAnsi="微软雅黑" w:eastAsia="微软雅黑" w:cs="微软雅黑"/>
          <w:sz w:val="24"/>
          <w:szCs w:val="24"/>
        </w:rPr>
        <w:t>供应商名称（公章）：</w:t>
      </w:r>
      <w:r>
        <w:rPr>
          <w:rFonts w:hint="eastAsia" w:ascii="微软雅黑" w:hAnsi="微软雅黑" w:eastAsia="微软雅黑" w:cs="微软雅黑"/>
          <w:sz w:val="24"/>
          <w:szCs w:val="24"/>
          <w:u w:val="single" w:color="000000"/>
        </w:rPr>
        <w:t xml:space="preserve">                       </w:t>
      </w:r>
    </w:p>
    <w:p>
      <w:pPr>
        <w:pStyle w:val="17"/>
        <w:tabs>
          <w:tab w:val="left" w:pos="5580"/>
        </w:tabs>
        <w:snapToGrid w:val="0"/>
        <w:spacing w:line="400" w:lineRule="atLeast"/>
        <w:ind w:left="1079" w:leftChars="257" w:hanging="540"/>
        <w:textAlignment w:val="baseline"/>
        <w:rPr>
          <w:rFonts w:ascii="微软雅黑" w:hAnsi="微软雅黑" w:eastAsia="微软雅黑" w:cs="微软雅黑"/>
          <w:sz w:val="24"/>
          <w:szCs w:val="24"/>
          <w:u w:val="single" w:color="000000"/>
        </w:rPr>
      </w:pPr>
      <w:r>
        <w:rPr>
          <w:rFonts w:hint="eastAsia" w:ascii="微软雅黑" w:hAnsi="微软雅黑" w:eastAsia="微软雅黑" w:cs="微软雅黑"/>
          <w:sz w:val="24"/>
          <w:szCs w:val="24"/>
        </w:rPr>
        <w:t>法定代表人或委托代理(签字):</w:t>
      </w:r>
      <w:r>
        <w:rPr>
          <w:rFonts w:hint="eastAsia" w:ascii="微软雅黑" w:hAnsi="微软雅黑" w:eastAsia="微软雅黑" w:cs="微软雅黑"/>
          <w:sz w:val="24"/>
          <w:szCs w:val="24"/>
          <w:u w:val="single" w:color="000000"/>
        </w:rPr>
        <w:tab/>
      </w:r>
    </w:p>
    <w:p>
      <w:pPr>
        <w:pStyle w:val="17"/>
        <w:tabs>
          <w:tab w:val="left" w:pos="5580"/>
        </w:tabs>
        <w:snapToGrid w:val="0"/>
        <w:spacing w:line="400" w:lineRule="atLeast"/>
        <w:ind w:left="1079" w:leftChars="257" w:hanging="540"/>
        <w:textAlignment w:val="baseline"/>
        <w:rPr>
          <w:rFonts w:ascii="微软雅黑" w:hAnsi="微软雅黑" w:eastAsia="微软雅黑" w:cs="微软雅黑"/>
          <w:sz w:val="24"/>
          <w:szCs w:val="24"/>
        </w:rPr>
      </w:pPr>
    </w:p>
    <w:p>
      <w:pPr>
        <w:pStyle w:val="17"/>
        <w:tabs>
          <w:tab w:val="left" w:pos="5580"/>
        </w:tabs>
        <w:snapToGrid w:val="0"/>
        <w:spacing w:line="400" w:lineRule="atLeast"/>
        <w:textAlignment w:val="baseline"/>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注:1、此表应按投标人须知的规定装订密封。</w:t>
      </w:r>
    </w:p>
    <w:p>
      <w:pPr>
        <w:pStyle w:val="17"/>
        <w:numPr>
          <w:ilvl w:val="0"/>
          <w:numId w:val="4"/>
        </w:numPr>
        <w:tabs>
          <w:tab w:val="left" w:pos="5580"/>
        </w:tabs>
        <w:snapToGrid w:val="0"/>
        <w:spacing w:line="400" w:lineRule="atLeast"/>
        <w:textAlignment w:val="baseline"/>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此表中，每包的投标总价应和投标分项报价表的总价相一致。</w:t>
      </w:r>
    </w:p>
    <w:p>
      <w:pPr>
        <w:pStyle w:val="17"/>
        <w:numPr>
          <w:ilvl w:val="0"/>
          <w:numId w:val="4"/>
        </w:numPr>
        <w:tabs>
          <w:tab w:val="left" w:pos="5580"/>
        </w:tabs>
        <w:snapToGrid w:val="0"/>
        <w:spacing w:line="400" w:lineRule="atLeast"/>
        <w:textAlignment w:val="baseline"/>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供应商报价时包含税费</w:t>
      </w:r>
      <w:r>
        <w:rPr>
          <w:rFonts w:hint="eastAsia" w:ascii="微软雅黑" w:hAnsi="微软雅黑" w:eastAsia="微软雅黑" w:cs="微软雅黑"/>
          <w:b/>
          <w:sz w:val="24"/>
          <w:szCs w:val="24"/>
          <w:lang w:eastAsia="zh-CN"/>
        </w:rPr>
        <w:t>、运费、装卸费、报关费、核算检测费、</w:t>
      </w:r>
      <w:r>
        <w:rPr>
          <w:rFonts w:hint="eastAsia" w:ascii="微软雅黑" w:hAnsi="微软雅黑" w:eastAsia="微软雅黑" w:cs="微软雅黑"/>
          <w:b/>
          <w:sz w:val="24"/>
          <w:szCs w:val="24"/>
        </w:rPr>
        <w:t>保险费</w:t>
      </w:r>
      <w:r>
        <w:rPr>
          <w:rFonts w:hint="eastAsia" w:ascii="微软雅黑" w:hAnsi="微软雅黑" w:eastAsia="微软雅黑" w:cs="微软雅黑"/>
          <w:b/>
          <w:sz w:val="24"/>
          <w:szCs w:val="24"/>
          <w:lang w:eastAsia="zh-CN"/>
        </w:rPr>
        <w:t>、</w:t>
      </w:r>
      <w:r>
        <w:rPr>
          <w:rFonts w:hint="eastAsia" w:ascii="微软雅黑" w:hAnsi="微软雅黑" w:eastAsia="微软雅黑" w:cs="微软雅黑"/>
          <w:b/>
          <w:sz w:val="24"/>
          <w:szCs w:val="24"/>
        </w:rPr>
        <w:t>进口设备商检费</w:t>
      </w:r>
      <w:r>
        <w:rPr>
          <w:rFonts w:hint="eastAsia" w:ascii="微软雅黑" w:hAnsi="微软雅黑" w:eastAsia="微软雅黑" w:cs="微软雅黑"/>
          <w:b/>
          <w:sz w:val="24"/>
          <w:szCs w:val="24"/>
          <w:lang w:eastAsia="zh-CN"/>
        </w:rPr>
        <w:t>、</w:t>
      </w:r>
      <w:r>
        <w:rPr>
          <w:rFonts w:hint="eastAsia" w:ascii="微软雅黑" w:hAnsi="微软雅黑" w:eastAsia="微软雅黑" w:cs="微软雅黑"/>
          <w:b/>
          <w:sz w:val="24"/>
          <w:szCs w:val="24"/>
        </w:rPr>
        <w:t>设备首次检验费等一切与本次项目相关的费用。</w:t>
      </w:r>
    </w:p>
    <w:p>
      <w:pPr>
        <w:pStyle w:val="17"/>
        <w:tabs>
          <w:tab w:val="left" w:pos="5580"/>
        </w:tabs>
        <w:snapToGrid w:val="0"/>
        <w:spacing w:line="400" w:lineRule="atLeast"/>
        <w:textAlignment w:val="baseline"/>
        <w:rPr>
          <w:rFonts w:ascii="微软雅黑" w:hAnsi="微软雅黑" w:eastAsia="微软雅黑" w:cs="微软雅黑"/>
          <w:b/>
          <w:sz w:val="24"/>
          <w:szCs w:val="24"/>
        </w:rPr>
      </w:pPr>
    </w:p>
    <w:p>
      <w:pPr>
        <w:pStyle w:val="2"/>
        <w:textAlignment w:val="baseline"/>
        <w:rPr>
          <w:rFonts w:ascii="微软雅黑" w:hAnsi="微软雅黑" w:eastAsia="微软雅黑" w:cs="微软雅黑"/>
        </w:rPr>
      </w:pPr>
      <w:bookmarkStart w:id="598" w:name="_Toc16088"/>
      <w:bookmarkStart w:id="599" w:name="_Toc8241"/>
      <w:bookmarkStart w:id="600" w:name="_Toc16516"/>
      <w:bookmarkStart w:id="601" w:name="_Toc22089"/>
    </w:p>
    <w:p>
      <w:pPr>
        <w:pStyle w:val="2"/>
        <w:textAlignment w:val="baseline"/>
        <w:rPr>
          <w:rFonts w:ascii="微软雅黑" w:hAnsi="微软雅黑" w:eastAsia="微软雅黑" w:cs="微软雅黑"/>
        </w:rPr>
      </w:pPr>
    </w:p>
    <w:p>
      <w:pPr>
        <w:pStyle w:val="2"/>
        <w:textAlignment w:val="baseline"/>
        <w:rPr>
          <w:rFonts w:ascii="微软雅黑" w:hAnsi="微软雅黑" w:eastAsia="微软雅黑" w:cs="微软雅黑"/>
        </w:rPr>
      </w:pPr>
    </w:p>
    <w:p>
      <w:pPr>
        <w:pStyle w:val="2"/>
        <w:textAlignment w:val="baseline"/>
        <w:rPr>
          <w:rFonts w:ascii="微软雅黑" w:hAnsi="微软雅黑" w:eastAsia="微软雅黑" w:cs="微软雅黑"/>
        </w:rPr>
      </w:pPr>
    </w:p>
    <w:p>
      <w:pPr>
        <w:pStyle w:val="2"/>
        <w:textAlignment w:val="baseline"/>
        <w:rPr>
          <w:rFonts w:ascii="微软雅黑" w:hAnsi="微软雅黑" w:eastAsia="微软雅黑" w:cs="微软雅黑"/>
        </w:rPr>
      </w:pPr>
    </w:p>
    <w:p>
      <w:pPr>
        <w:pStyle w:val="2"/>
        <w:textAlignment w:val="baseline"/>
        <w:rPr>
          <w:rFonts w:ascii="微软雅黑" w:hAnsi="微软雅黑" w:eastAsia="微软雅黑" w:cs="微软雅黑"/>
        </w:rPr>
      </w:pPr>
    </w:p>
    <w:p>
      <w:pPr>
        <w:pStyle w:val="2"/>
        <w:textAlignment w:val="baseline"/>
        <w:rPr>
          <w:rFonts w:hint="eastAsia" w:ascii="微软雅黑" w:hAnsi="微软雅黑" w:eastAsia="微软雅黑" w:cs="微软雅黑"/>
          <w:b/>
          <w:kern w:val="0"/>
          <w:sz w:val="24"/>
          <w:lang w:val="en-US" w:eastAsia="zh-CN"/>
        </w:rPr>
      </w:pPr>
      <w:bookmarkStart w:id="602" w:name="_Toc7844"/>
      <w:r>
        <w:rPr>
          <w:rFonts w:hint="eastAsia" w:ascii="微软雅黑" w:hAnsi="微软雅黑" w:eastAsia="微软雅黑" w:cs="微软雅黑"/>
          <w:b/>
          <w:kern w:val="0"/>
          <w:sz w:val="24"/>
          <w:lang w:val="en-US" w:eastAsia="zh-CN"/>
        </w:rPr>
        <w:t>2、</w:t>
      </w:r>
      <w:bookmarkEnd w:id="602"/>
      <w:r>
        <w:rPr>
          <w:rFonts w:hint="eastAsia" w:ascii="微软雅黑" w:hAnsi="微软雅黑" w:eastAsia="微软雅黑" w:cs="微软雅黑"/>
          <w:b/>
          <w:kern w:val="0"/>
          <w:sz w:val="24"/>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提供查询记录并加盖公章）；</w:t>
      </w:r>
    </w:p>
    <w:p>
      <w:pPr>
        <w:pStyle w:val="2"/>
        <w:textAlignment w:val="baseline"/>
        <w:rPr>
          <w:rFonts w:hint="eastAsia" w:ascii="微软雅黑" w:hAnsi="微软雅黑" w:eastAsia="微软雅黑" w:cs="微软雅黑"/>
          <w:b/>
          <w:kern w:val="0"/>
          <w:sz w:val="24"/>
          <w:lang w:val="en-US" w:eastAsia="zh-CN"/>
        </w:rPr>
      </w:pPr>
    </w:p>
    <w:p>
      <w:pPr>
        <w:pStyle w:val="2"/>
        <w:textAlignment w:val="baseline"/>
        <w:rPr>
          <w:rFonts w:ascii="微软雅黑" w:hAnsi="微软雅黑" w:eastAsia="微软雅黑" w:cs="微软雅黑"/>
        </w:rPr>
      </w:pPr>
    </w:p>
    <w:p>
      <w:pPr>
        <w:pStyle w:val="2"/>
        <w:textAlignment w:val="baseline"/>
        <w:rPr>
          <w:rFonts w:ascii="微软雅黑" w:hAnsi="微软雅黑" w:eastAsia="微软雅黑" w:cs="微软雅黑"/>
        </w:rPr>
      </w:pPr>
    </w:p>
    <w:p>
      <w:pPr>
        <w:pStyle w:val="2"/>
        <w:textAlignment w:val="baseline"/>
        <w:rPr>
          <w:rFonts w:ascii="微软雅黑" w:hAnsi="微软雅黑" w:eastAsia="微软雅黑" w:cs="微软雅黑"/>
        </w:rPr>
      </w:pPr>
    </w:p>
    <w:p>
      <w:pPr>
        <w:pStyle w:val="2"/>
        <w:textAlignment w:val="baseline"/>
        <w:rPr>
          <w:rFonts w:ascii="微软雅黑" w:hAnsi="微软雅黑" w:eastAsia="微软雅黑" w:cs="微软雅黑"/>
        </w:rPr>
      </w:pPr>
    </w:p>
    <w:bookmarkEnd w:id="598"/>
    <w:bookmarkEnd w:id="599"/>
    <w:bookmarkEnd w:id="600"/>
    <w:bookmarkEnd w:id="601"/>
    <w:p>
      <w:pPr>
        <w:snapToGrid w:val="0"/>
        <w:spacing w:line="460" w:lineRule="exact"/>
        <w:textAlignment w:val="baseline"/>
        <w:outlineLvl w:val="1"/>
        <w:rPr>
          <w:rFonts w:hint="eastAsia" w:ascii="微软雅黑" w:hAnsi="微软雅黑" w:eastAsia="微软雅黑" w:cs="微软雅黑"/>
          <w:b/>
          <w:kern w:val="0"/>
          <w:sz w:val="24"/>
        </w:rPr>
      </w:pPr>
      <w:bookmarkStart w:id="603" w:name="_Toc4317"/>
      <w:r>
        <w:rPr>
          <w:rFonts w:hint="eastAsia" w:ascii="微软雅黑" w:hAnsi="微软雅黑" w:eastAsia="微软雅黑" w:cs="微软雅黑"/>
          <w:b/>
          <w:kern w:val="0"/>
          <w:sz w:val="24"/>
          <w:lang w:val="en-US" w:eastAsia="zh-CN"/>
        </w:rPr>
        <w:t>3</w:t>
      </w:r>
      <w:r>
        <w:rPr>
          <w:rFonts w:hint="eastAsia" w:ascii="微软雅黑" w:hAnsi="微软雅黑" w:eastAsia="微软雅黑" w:cs="微软雅黑"/>
          <w:b/>
          <w:kern w:val="0"/>
          <w:sz w:val="24"/>
        </w:rPr>
        <w:t>、</w:t>
      </w:r>
      <w:bookmarkEnd w:id="603"/>
      <w:r>
        <w:rPr>
          <w:rFonts w:hint="eastAsia" w:ascii="微软雅黑" w:hAnsi="微软雅黑" w:eastAsia="微软雅黑" w:cs="微软雅黑"/>
          <w:b/>
          <w:kern w:val="0"/>
          <w:sz w:val="24"/>
          <w:lang w:eastAsia="zh-CN"/>
        </w:rPr>
        <w:t>提供有效的营业执照</w:t>
      </w:r>
      <w:r>
        <w:rPr>
          <w:rFonts w:hint="eastAsia" w:ascii="微软雅黑" w:hAnsi="微软雅黑" w:eastAsia="微软雅黑" w:cs="微软雅黑"/>
          <w:b/>
          <w:kern w:val="0"/>
          <w:sz w:val="24"/>
        </w:rPr>
        <w:t>；</w:t>
      </w:r>
    </w:p>
    <w:p>
      <w:pPr>
        <w:snapToGrid w:val="0"/>
        <w:spacing w:line="460" w:lineRule="exact"/>
        <w:textAlignment w:val="baseline"/>
        <w:outlineLvl w:val="9"/>
        <w:rPr>
          <w:rFonts w:hint="eastAsia" w:ascii="微软雅黑" w:hAnsi="微软雅黑" w:eastAsia="微软雅黑" w:cs="微软雅黑"/>
          <w:b w:val="0"/>
          <w:bCs/>
          <w:kern w:val="0"/>
          <w:sz w:val="24"/>
        </w:rPr>
      </w:pPr>
      <w:r>
        <w:rPr>
          <w:rFonts w:hint="eastAsia" w:ascii="微软雅黑" w:hAnsi="微软雅黑" w:eastAsia="微软雅黑" w:cs="微软雅黑"/>
          <w:b w:val="0"/>
          <w:bCs/>
          <w:kern w:val="0"/>
          <w:sz w:val="24"/>
        </w:rPr>
        <w:t>说明：1.提供有效的营业执照等证明文件复印件，复印件上应加盖本单位章。</w:t>
      </w:r>
    </w:p>
    <w:p>
      <w:pPr>
        <w:snapToGrid w:val="0"/>
        <w:spacing w:line="460" w:lineRule="exact"/>
        <w:textAlignment w:val="baseline"/>
        <w:outlineLvl w:val="9"/>
        <w:rPr>
          <w:rFonts w:hint="eastAsia" w:ascii="微软雅黑" w:hAnsi="微软雅黑" w:eastAsia="微软雅黑" w:cs="微软雅黑"/>
          <w:b w:val="0"/>
          <w:bCs/>
          <w:kern w:val="0"/>
          <w:sz w:val="24"/>
        </w:rPr>
      </w:pPr>
      <w:r>
        <w:rPr>
          <w:rFonts w:hint="eastAsia" w:ascii="微软雅黑" w:hAnsi="微软雅黑" w:eastAsia="微软雅黑" w:cs="微软雅黑"/>
          <w:b w:val="0"/>
          <w:bCs/>
          <w:kern w:val="0"/>
          <w:sz w:val="24"/>
        </w:rPr>
        <w:t xml:space="preserve">      2.投标人为自然人的，应提供身份证明的复印件。</w:t>
      </w:r>
    </w:p>
    <w:p>
      <w:pPr>
        <w:snapToGrid w:val="0"/>
        <w:spacing w:line="460" w:lineRule="exact"/>
        <w:textAlignment w:val="baseline"/>
        <w:outlineLvl w:val="9"/>
        <w:rPr>
          <w:rFonts w:hint="eastAsia" w:ascii="微软雅黑" w:hAnsi="微软雅黑" w:eastAsia="微软雅黑" w:cs="微软雅黑"/>
          <w:b w:val="0"/>
          <w:bCs/>
          <w:kern w:val="0"/>
          <w:sz w:val="24"/>
          <w:lang w:val="en-US" w:eastAsia="zh-CN"/>
        </w:rPr>
      </w:pPr>
      <w:r>
        <w:rPr>
          <w:rFonts w:hint="eastAsia" w:ascii="微软雅黑" w:hAnsi="微软雅黑" w:eastAsia="微软雅黑" w:cs="微软雅黑"/>
          <w:b w:val="0"/>
          <w:bCs/>
          <w:kern w:val="0"/>
          <w:sz w:val="24"/>
        </w:rPr>
        <w:t xml:space="preserve">      3.联合体投标应提供联合体各方满足以上要求的证明文件。</w:t>
      </w:r>
    </w:p>
    <w:p>
      <w:pPr>
        <w:snapToGrid w:val="0"/>
        <w:spacing w:line="460" w:lineRule="exact"/>
        <w:textAlignment w:val="baseline"/>
        <w:outlineLvl w:val="9"/>
        <w:rPr>
          <w:rFonts w:ascii="微软雅黑" w:hAnsi="微软雅黑" w:eastAsia="微软雅黑" w:cs="微软雅黑"/>
          <w:sz w:val="24"/>
        </w:rPr>
      </w:pPr>
    </w:p>
    <w:p>
      <w:pPr>
        <w:rPr>
          <w:rFonts w:ascii="微软雅黑" w:hAnsi="微软雅黑" w:eastAsia="微软雅黑" w:cs="微软雅黑"/>
          <w:sz w:val="20"/>
        </w:rPr>
      </w:pPr>
    </w:p>
    <w:p>
      <w:pPr>
        <w:pStyle w:val="6"/>
      </w:pPr>
    </w:p>
    <w:p>
      <w:pPr>
        <w:pStyle w:val="34"/>
        <w:snapToGrid w:val="0"/>
        <w:ind w:firstLine="0" w:firstLineChars="0"/>
        <w:textAlignment w:val="baseline"/>
        <w:rPr>
          <w:rFonts w:ascii="微软雅黑" w:hAnsi="微软雅黑" w:eastAsia="微软雅黑" w:cs="微软雅黑"/>
        </w:rPr>
      </w:pPr>
      <w:bookmarkStart w:id="604" w:name="_Toc22522"/>
      <w:r>
        <w:rPr>
          <w:rFonts w:hint="eastAsia" w:ascii="微软雅黑" w:hAnsi="微软雅黑" w:eastAsia="微软雅黑" w:cs="微软雅黑"/>
          <w:b/>
          <w:kern w:val="0"/>
          <w:sz w:val="24"/>
          <w:lang w:val="en-US" w:eastAsia="zh-CN"/>
        </w:rPr>
        <w:t>4、</w:t>
      </w:r>
      <w:bookmarkEnd w:id="604"/>
      <w:r>
        <w:rPr>
          <w:rFonts w:hint="eastAsia" w:ascii="微软雅黑" w:hAnsi="微软雅黑" w:eastAsia="微软雅黑" w:cs="微软雅黑"/>
          <w:b/>
          <w:kern w:val="0"/>
          <w:sz w:val="24"/>
          <w:lang w:val="en-US" w:eastAsia="zh-CN"/>
        </w:rPr>
        <w:t>法人本人投标的提供法人身份证明及身份证，被授权委托人投标提供法人授权委托书及身份证；</w:t>
      </w:r>
      <w:bookmarkStart w:id="605" w:name="_Toc16640"/>
      <w:bookmarkStart w:id="606" w:name="_Toc6829"/>
      <w:bookmarkStart w:id="607" w:name="_Toc22472"/>
      <w:bookmarkStart w:id="608" w:name="_Toc1083"/>
      <w:bookmarkStart w:id="609" w:name="_Toc5436"/>
      <w:bookmarkStart w:id="610" w:name="_Toc13107"/>
      <w:bookmarkStart w:id="611" w:name="_Toc21867"/>
      <w:bookmarkStart w:id="612" w:name="_Toc515647807"/>
    </w:p>
    <w:p>
      <w:pPr>
        <w:pStyle w:val="34"/>
        <w:snapToGrid w:val="0"/>
        <w:spacing w:line="400" w:lineRule="exact"/>
        <w:ind w:left="0" w:leftChars="0" w:firstLine="0" w:firstLineChars="0"/>
        <w:textAlignment w:val="baseline"/>
        <w:rPr>
          <w:rFonts w:hint="eastAsia" w:ascii="微软雅黑" w:hAnsi="微软雅黑" w:eastAsia="微软雅黑" w:cs="微软雅黑"/>
        </w:rPr>
      </w:pPr>
    </w:p>
    <w:p>
      <w:pPr>
        <w:pStyle w:val="17"/>
        <w:spacing w:line="240" w:lineRule="atLeast"/>
        <w:rPr>
          <w:rFonts w:hint="eastAsia" w:ascii="微软雅黑" w:hAnsi="微软雅黑" w:eastAsia="微软雅黑" w:cs="微软雅黑"/>
          <w:color w:val="auto"/>
          <w:szCs w:val="21"/>
        </w:rPr>
      </w:pPr>
      <w:r>
        <w:rPr>
          <w:rFonts w:hint="eastAsia" w:ascii="微软雅黑" w:hAnsi="微软雅黑" w:eastAsia="微软雅黑" w:cs="微软雅黑"/>
          <w:b/>
          <w:color w:val="auto"/>
          <w:szCs w:val="21"/>
        </w:rPr>
        <w:t>（一）法定代表人身份证明</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同志，现任我单位</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职务，为法定代表人，特此证明。</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签发日期：                  单位：        </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附：代表人性别：            年龄：           身份证号码：</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联系电话：</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营业执照号码：              经济性质：</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说明：</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1、法定代表人为企业事业单位、国家机关、社会团体的主要行政负责人。</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2、内容必须填写真实、清楚、涂改无效，不得转让。</w:t>
      </w: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3、将此证明书原件提交采购代理机构作为投标文件附件。</w:t>
      </w:r>
    </w:p>
    <w:p>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889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_x0000_s1026"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Vk69dYAAAAIAQAADwAAAAAAAAABACAAAAAiAAAAZHJzL2Rvd25y&#10;ZXYueG1sUEsBAhQAFAAAAAgAh07iQJu9VN85AgAAbgQAAA4AAAAAAAAAAQAgAAAAJQEAAGRycy9l&#10;Mm9Eb2MueG1sUEsFBgAAAAAGAAYAWQEAANA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微软雅黑" w:hAnsi="微软雅黑" w:eastAsia="微软雅黑" w:cs="微软雅黑"/>
          <w:color w:val="auto"/>
          <w:szCs w:val="21"/>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6"/>
                            </w:pPr>
                          </w:p>
                          <w:p>
                            <w:pPr>
                              <w:pStyle w:val="6"/>
                            </w:pPr>
                          </w:p>
                          <w:p>
                            <w:pPr>
                              <w:pStyle w:val="6"/>
                            </w:pPr>
                          </w:p>
                          <w:p>
                            <w:pPr>
                              <w:pStyle w:val="6"/>
                            </w:pPr>
                          </w:p>
                        </w:txbxContent>
                      </wps:txbx>
                      <wps:bodyPr wrap="square" upright="1"/>
                    </wps:wsp>
                  </a:graphicData>
                </a:graphic>
              </wp:anchor>
            </w:drawing>
          </mc:Choice>
          <mc:Fallback>
            <w:pict>
              <v:roundrect id="_x0000_s1026" o:spid="_x0000_s1026" o:spt="2" style="position:absolute;left:0pt;margin-left:229.8pt;margin-top:2.25pt;height:122.6pt;width:205.5pt;z-index:25166131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8vY1/aAAAACQEAAA8AAAAAAAAAAQAgAAAAIgAAAGRycy9kb3du&#10;cmV2LnhtbFBLAQIUABQAAAAIAIdO4kAI6kVeNgIAAHYEAAAOAAAAAAAAAAEAIAAAACkBAABkcnMv&#10;ZTJvRG9jLnhtbFBLBQYAAAAABgAGAFkBAADR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6"/>
                      </w:pPr>
                    </w:p>
                    <w:p>
                      <w:pPr>
                        <w:pStyle w:val="6"/>
                      </w:pPr>
                    </w:p>
                    <w:p>
                      <w:pPr>
                        <w:pStyle w:val="6"/>
                      </w:pPr>
                    </w:p>
                    <w:p>
                      <w:pPr>
                        <w:pStyle w:val="6"/>
                      </w:pPr>
                    </w:p>
                  </w:txbxContent>
                </v:textbox>
              </v:roundrect>
            </w:pict>
          </mc:Fallback>
        </mc:AlternateContent>
      </w:r>
    </w:p>
    <w:p>
      <w:pPr>
        <w:spacing w:line="360" w:lineRule="auto"/>
        <w:rPr>
          <w:rFonts w:hint="eastAsia" w:ascii="微软雅黑" w:hAnsi="微软雅黑" w:eastAsia="微软雅黑" w:cs="微软雅黑"/>
          <w:color w:val="auto"/>
          <w:szCs w:val="21"/>
        </w:rPr>
      </w:pPr>
    </w:p>
    <w:p>
      <w:pPr>
        <w:spacing w:line="360" w:lineRule="auto"/>
        <w:rPr>
          <w:rFonts w:hint="eastAsia" w:ascii="微软雅黑" w:hAnsi="微软雅黑" w:eastAsia="微软雅黑" w:cs="微软雅黑"/>
          <w:color w:val="auto"/>
          <w:szCs w:val="21"/>
        </w:rPr>
      </w:pPr>
    </w:p>
    <w:p>
      <w:pPr>
        <w:autoSpaceDE w:val="0"/>
        <w:autoSpaceDN w:val="0"/>
        <w:adjustRightInd w:val="0"/>
        <w:spacing w:line="360" w:lineRule="auto"/>
        <w:ind w:right="246"/>
        <w:rPr>
          <w:rFonts w:hint="eastAsia" w:ascii="微软雅黑" w:hAnsi="微软雅黑" w:eastAsia="微软雅黑" w:cs="微软雅黑"/>
          <w:color w:val="auto"/>
          <w:kern w:val="0"/>
          <w:szCs w:val="21"/>
        </w:rPr>
      </w:pPr>
    </w:p>
    <w:p>
      <w:pPr>
        <w:autoSpaceDE w:val="0"/>
        <w:autoSpaceDN w:val="0"/>
        <w:adjustRightInd w:val="0"/>
        <w:spacing w:line="360" w:lineRule="auto"/>
        <w:ind w:right="246" w:firstLine="686" w:firstLineChars="327"/>
        <w:rPr>
          <w:rFonts w:hint="eastAsia" w:ascii="微软雅黑" w:hAnsi="微软雅黑" w:eastAsia="微软雅黑" w:cs="微软雅黑"/>
          <w:color w:val="auto"/>
          <w:szCs w:val="21"/>
        </w:rPr>
      </w:pPr>
      <w:r>
        <w:rPr>
          <w:rFonts w:hint="eastAsia" w:ascii="微软雅黑" w:hAnsi="微软雅黑" w:eastAsia="微软雅黑" w:cs="微软雅黑"/>
          <w:color w:val="auto"/>
          <w:kern w:val="0"/>
          <w:szCs w:val="21"/>
          <w:lang w:eastAsia="zh-CN"/>
        </w:rPr>
        <w:t>供应商</w:t>
      </w:r>
      <w:r>
        <w:rPr>
          <w:rFonts w:hint="eastAsia" w:ascii="微软雅黑" w:hAnsi="微软雅黑" w:eastAsia="微软雅黑" w:cs="微软雅黑"/>
          <w:color w:val="auto"/>
          <w:kern w:val="0"/>
          <w:szCs w:val="21"/>
        </w:rPr>
        <w:t>（</w:t>
      </w:r>
      <w:r>
        <w:rPr>
          <w:rFonts w:hint="eastAsia" w:ascii="微软雅黑" w:hAnsi="微软雅黑" w:eastAsia="微软雅黑" w:cs="微软雅黑"/>
          <w:color w:val="auto"/>
          <w:kern w:val="0"/>
          <w:szCs w:val="21"/>
          <w:lang w:eastAsia="zh-CN"/>
        </w:rPr>
        <w:t>公</w:t>
      </w:r>
      <w:r>
        <w:rPr>
          <w:rFonts w:hint="eastAsia" w:ascii="微软雅黑" w:hAnsi="微软雅黑" w:eastAsia="微软雅黑" w:cs="微软雅黑"/>
          <w:color w:val="auto"/>
          <w:kern w:val="0"/>
          <w:szCs w:val="21"/>
        </w:rPr>
        <w:t>章）：</w:t>
      </w:r>
      <w:r>
        <w:rPr>
          <w:rFonts w:hint="eastAsia" w:ascii="微软雅黑" w:hAnsi="微软雅黑" w:eastAsia="微软雅黑" w:cs="微软雅黑"/>
          <w:color w:val="auto"/>
          <w:kern w:val="0"/>
          <w:szCs w:val="21"/>
          <w:u w:val="single"/>
        </w:rPr>
        <w:t xml:space="preserve">                             </w:t>
      </w:r>
      <w:r>
        <w:rPr>
          <w:rFonts w:hint="eastAsia" w:ascii="微软雅黑" w:hAnsi="微软雅黑" w:eastAsia="微软雅黑" w:cs="微软雅黑"/>
          <w:color w:val="auto"/>
          <w:kern w:val="0"/>
          <w:szCs w:val="21"/>
        </w:rPr>
        <w:t xml:space="preserve"> </w:t>
      </w:r>
    </w:p>
    <w:p>
      <w:pPr>
        <w:adjustRightInd w:val="0"/>
        <w:snapToGrid w:val="0"/>
        <w:spacing w:line="360" w:lineRule="auto"/>
        <w:ind w:firstLine="686" w:firstLineChars="327"/>
        <w:rPr>
          <w:rFonts w:hint="eastAsia" w:ascii="微软雅黑" w:hAnsi="微软雅黑" w:eastAsia="微软雅黑" w:cs="微软雅黑"/>
          <w:color w:val="auto"/>
          <w:szCs w:val="21"/>
        </w:rPr>
      </w:pPr>
      <w:r>
        <w:rPr>
          <w:rFonts w:hint="eastAsia" w:ascii="微软雅黑" w:hAnsi="微软雅黑" w:eastAsia="微软雅黑" w:cs="微软雅黑"/>
          <w:color w:val="auto"/>
          <w:kern w:val="0"/>
          <w:szCs w:val="21"/>
        </w:rPr>
        <w:t>法定代表人</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lang w:val="en-US" w:eastAsia="zh-CN"/>
        </w:rPr>
        <w:t>签字或盖章</w:t>
      </w:r>
      <w:r>
        <w:rPr>
          <w:rFonts w:hint="eastAsia" w:ascii="微软雅黑" w:hAnsi="微软雅黑" w:eastAsia="微软雅黑" w:cs="微软雅黑"/>
          <w:color w:val="auto"/>
          <w:kern w:val="0"/>
          <w:szCs w:val="21"/>
          <w:lang w:eastAsia="zh-CN"/>
        </w:rPr>
        <w:t>）</w:t>
      </w:r>
      <w:r>
        <w:rPr>
          <w:rFonts w:hint="eastAsia" w:ascii="微软雅黑" w:hAnsi="微软雅黑" w:eastAsia="微软雅黑" w:cs="微软雅黑"/>
          <w:color w:val="auto"/>
          <w:kern w:val="0"/>
          <w:szCs w:val="21"/>
        </w:rPr>
        <w:t>：</w:t>
      </w:r>
      <w:r>
        <w:rPr>
          <w:rFonts w:hint="eastAsia" w:ascii="微软雅黑" w:hAnsi="微软雅黑" w:eastAsia="微软雅黑" w:cs="微软雅黑"/>
          <w:color w:val="auto"/>
          <w:szCs w:val="21"/>
          <w:u w:val="single"/>
        </w:rPr>
        <w:t xml:space="preserve">                    </w:t>
      </w:r>
    </w:p>
    <w:p>
      <w:pPr>
        <w:adjustRightInd w:val="0"/>
        <w:snapToGrid w:val="0"/>
        <w:spacing w:line="360" w:lineRule="auto"/>
        <w:ind w:firstLine="686" w:firstLineChars="327"/>
        <w:rPr>
          <w:rFonts w:hint="eastAsia" w:ascii="微软雅黑" w:hAnsi="微软雅黑" w:eastAsia="微软雅黑" w:cs="微软雅黑"/>
          <w:b/>
          <w:bCs/>
          <w:color w:val="auto"/>
          <w:sz w:val="24"/>
        </w:rPr>
      </w:pPr>
      <w:r>
        <w:rPr>
          <w:rFonts w:hint="eastAsia" w:ascii="微软雅黑" w:hAnsi="微软雅黑" w:eastAsia="微软雅黑" w:cs="微软雅黑"/>
          <w:color w:val="auto"/>
          <w:szCs w:val="21"/>
        </w:rPr>
        <w:t>日期：</w:t>
      </w:r>
      <w:r>
        <w:rPr>
          <w:rFonts w:hint="eastAsia" w:ascii="微软雅黑" w:hAnsi="微软雅黑" w:eastAsia="微软雅黑" w:cs="微软雅黑"/>
          <w:color w:val="auto"/>
          <w:szCs w:val="21"/>
          <w:u w:val="single"/>
        </w:rPr>
        <w:t xml:space="preserve">                                       </w:t>
      </w:r>
    </w:p>
    <w:p>
      <w:pPr>
        <w:pStyle w:val="17"/>
        <w:tabs>
          <w:tab w:val="left" w:pos="5580"/>
        </w:tabs>
        <w:spacing w:line="240" w:lineRule="atLeast"/>
        <w:ind w:firstLine="480" w:firstLineChars="200"/>
        <w:rPr>
          <w:rFonts w:hint="eastAsia" w:ascii="微软雅黑" w:hAnsi="微软雅黑" w:eastAsia="微软雅黑" w:cs="微软雅黑"/>
          <w:sz w:val="24"/>
        </w:rPr>
      </w:pPr>
    </w:p>
    <w:p>
      <w:pPr>
        <w:pStyle w:val="17"/>
        <w:tabs>
          <w:tab w:val="left" w:pos="5580"/>
        </w:tabs>
        <w:spacing w:line="240" w:lineRule="atLeast"/>
        <w:ind w:firstLine="480" w:firstLineChars="200"/>
        <w:rPr>
          <w:rFonts w:hint="eastAsia" w:ascii="微软雅黑" w:hAnsi="微软雅黑" w:eastAsia="微软雅黑" w:cs="微软雅黑"/>
          <w:sz w:val="24"/>
        </w:rPr>
      </w:pPr>
    </w:p>
    <w:p>
      <w:pPr>
        <w:pStyle w:val="17"/>
        <w:tabs>
          <w:tab w:val="left" w:pos="5580"/>
        </w:tabs>
        <w:spacing w:line="240" w:lineRule="atLeast"/>
        <w:rPr>
          <w:rFonts w:hint="eastAsia" w:ascii="微软雅黑" w:hAnsi="微软雅黑" w:eastAsia="微软雅黑" w:cs="微软雅黑"/>
          <w:sz w:val="24"/>
        </w:rPr>
      </w:pPr>
    </w:p>
    <w:p>
      <w:pPr>
        <w:spacing w:before="0" w:line="240" w:lineRule="atLeast"/>
        <w:ind w:left="1079" w:leftChars="257" w:hanging="540"/>
        <w:outlineLvl w:val="9"/>
        <w:rPr>
          <w:rFonts w:hint="eastAsia" w:ascii="微软雅黑" w:hAnsi="微软雅黑" w:eastAsia="微软雅黑" w:cs="微软雅黑"/>
          <w:sz w:val="24"/>
        </w:rPr>
      </w:pPr>
    </w:p>
    <w:p>
      <w:pPr>
        <w:spacing w:line="360" w:lineRule="auto"/>
        <w:rPr>
          <w:rFonts w:hint="eastAsia" w:ascii="微软雅黑" w:hAnsi="微软雅黑" w:eastAsia="微软雅黑" w:cs="微软雅黑"/>
          <w:b/>
          <w:bCs/>
          <w:color w:val="auto"/>
          <w:sz w:val="24"/>
          <w:u w:val="single"/>
        </w:rPr>
      </w:pPr>
      <w:r>
        <w:rPr>
          <w:rFonts w:hint="eastAsia" w:ascii="微软雅黑" w:hAnsi="微软雅黑" w:eastAsia="微软雅黑" w:cs="微软雅黑"/>
          <w:b/>
          <w:bCs/>
          <w:color w:val="auto"/>
          <w:sz w:val="24"/>
        </w:rPr>
        <w:t>（二）法定代表人授权委托书</w:t>
      </w:r>
    </w:p>
    <w:p>
      <w:pPr>
        <w:pStyle w:val="17"/>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本授权书声明：注册于</w:t>
      </w:r>
      <w:r>
        <w:rPr>
          <w:rFonts w:hint="eastAsia" w:ascii="微软雅黑" w:hAnsi="微软雅黑" w:eastAsia="微软雅黑" w:cs="微软雅黑"/>
          <w:color w:val="auto"/>
          <w:szCs w:val="21"/>
          <w:u w:val="single"/>
        </w:rPr>
        <w:t>（国家或地区的名称）</w:t>
      </w:r>
      <w:r>
        <w:rPr>
          <w:rFonts w:hint="eastAsia" w:ascii="微软雅黑" w:hAnsi="微软雅黑" w:eastAsia="微软雅黑" w:cs="微软雅黑"/>
          <w:color w:val="auto"/>
          <w:szCs w:val="21"/>
        </w:rPr>
        <w:t>的（</w:t>
      </w:r>
      <w:r>
        <w:rPr>
          <w:rFonts w:hint="eastAsia" w:ascii="微软雅黑" w:hAnsi="微软雅黑" w:eastAsia="微软雅黑" w:cs="微软雅黑"/>
          <w:i/>
          <w:color w:val="auto"/>
          <w:szCs w:val="21"/>
          <w:u w:val="single"/>
          <w:lang w:eastAsia="zh-CN"/>
        </w:rPr>
        <w:t>供应商</w:t>
      </w:r>
      <w:r>
        <w:rPr>
          <w:rFonts w:hint="eastAsia" w:ascii="微软雅黑" w:hAnsi="微软雅黑" w:eastAsia="微软雅黑" w:cs="微软雅黑"/>
          <w:color w:val="auto"/>
          <w:szCs w:val="21"/>
        </w:rPr>
        <w:t>）的在下面签字的（</w:t>
      </w:r>
      <w:r>
        <w:rPr>
          <w:rFonts w:hint="eastAsia" w:ascii="微软雅黑" w:hAnsi="微软雅黑" w:eastAsia="微软雅黑" w:cs="微软雅黑"/>
          <w:i/>
          <w:color w:val="auto"/>
          <w:szCs w:val="21"/>
          <w:u w:val="single"/>
        </w:rPr>
        <w:t>法人代表姓名、职务</w:t>
      </w:r>
      <w:r>
        <w:rPr>
          <w:rFonts w:hint="eastAsia" w:ascii="微软雅黑" w:hAnsi="微软雅黑" w:eastAsia="微软雅黑" w:cs="微软雅黑"/>
          <w:color w:val="auto"/>
          <w:szCs w:val="21"/>
        </w:rPr>
        <w:t>）代表我单位授权（</w:t>
      </w:r>
      <w:r>
        <w:rPr>
          <w:rFonts w:hint="eastAsia" w:ascii="微软雅黑" w:hAnsi="微软雅黑" w:eastAsia="微软雅黑" w:cs="微软雅黑"/>
          <w:i/>
          <w:color w:val="auto"/>
          <w:szCs w:val="21"/>
          <w:u w:val="single"/>
        </w:rPr>
        <w:t>单位名称</w:t>
      </w:r>
      <w:r>
        <w:rPr>
          <w:rFonts w:hint="eastAsia" w:ascii="微软雅黑" w:hAnsi="微软雅黑" w:eastAsia="微软雅黑" w:cs="微软雅黑"/>
          <w:color w:val="auto"/>
          <w:szCs w:val="21"/>
        </w:rPr>
        <w:t>）的在下面签字的（</w:t>
      </w:r>
      <w:r>
        <w:rPr>
          <w:rFonts w:hint="eastAsia" w:ascii="微软雅黑" w:hAnsi="微软雅黑" w:eastAsia="微软雅黑" w:cs="微软雅黑"/>
          <w:i/>
          <w:color w:val="auto"/>
          <w:szCs w:val="21"/>
          <w:u w:val="single"/>
        </w:rPr>
        <w:t>被授权人的姓名、职务</w:t>
      </w:r>
      <w:r>
        <w:rPr>
          <w:rFonts w:hint="eastAsia" w:ascii="微软雅黑" w:hAnsi="微软雅黑" w:eastAsia="微软雅黑" w:cs="微软雅黑"/>
          <w:color w:val="auto"/>
          <w:szCs w:val="21"/>
        </w:rPr>
        <w:t>）为我单位的合法代理人，就（</w:t>
      </w:r>
      <w:r>
        <w:rPr>
          <w:rFonts w:hint="eastAsia" w:ascii="微软雅黑" w:hAnsi="微软雅黑" w:eastAsia="微软雅黑" w:cs="微软雅黑"/>
          <w:i/>
          <w:color w:val="auto"/>
          <w:szCs w:val="21"/>
          <w:u w:val="single"/>
        </w:rPr>
        <w:t>项目名称）的</w:t>
      </w:r>
      <w:r>
        <w:rPr>
          <w:rFonts w:hint="eastAsia" w:ascii="微软雅黑" w:hAnsi="微软雅黑" w:eastAsia="微软雅黑" w:cs="微软雅黑"/>
          <w:color w:val="auto"/>
          <w:szCs w:val="21"/>
        </w:rPr>
        <w:t>投标，以我单位名义处理一切与之有关的事务。</w:t>
      </w:r>
      <w:r>
        <w:rPr>
          <w:rFonts w:hint="eastAsia" w:ascii="微软雅黑" w:hAnsi="微软雅黑" w:eastAsia="微软雅黑" w:cs="微软雅黑"/>
          <w:color w:val="auto"/>
          <w:szCs w:val="21"/>
        </w:rPr>
        <w:cr/>
      </w:r>
      <w:r>
        <w:rPr>
          <w:rFonts w:hint="eastAsia" w:ascii="微软雅黑" w:hAnsi="微软雅黑" w:eastAsia="微软雅黑" w:cs="微软雅黑"/>
          <w:color w:val="auto"/>
          <w:szCs w:val="21"/>
        </w:rPr>
        <w:t>　　</w:t>
      </w:r>
    </w:p>
    <w:p>
      <w:pPr>
        <w:pStyle w:val="17"/>
        <w:tabs>
          <w:tab w:val="left" w:pos="5580"/>
        </w:tabs>
        <w:spacing w:line="360" w:lineRule="exact"/>
        <w:ind w:left="-539" w:leftChars="-257" w:firstLine="787" w:firstLineChars="375"/>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本授权书于</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年</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月</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日签字生效,特此声明。</w:t>
      </w:r>
    </w:p>
    <w:p>
      <w:pPr>
        <w:pStyle w:val="17"/>
        <w:tabs>
          <w:tab w:val="left" w:pos="5580"/>
        </w:tabs>
        <w:spacing w:line="240" w:lineRule="atLeast"/>
        <w:ind w:left="-539" w:leftChars="-257" w:firstLine="787" w:firstLineChars="375"/>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mc:AlternateContent>
          <mc:Choice Requires="wps">
            <w:drawing>
              <wp:anchor distT="0" distB="0" distL="114300" distR="114300" simplePos="0" relativeHeight="251663360" behindDoc="0" locked="0" layoutInCell="1" allowOverlap="1">
                <wp:simplePos x="0" y="0"/>
                <wp:positionH relativeFrom="column">
                  <wp:posOffset>3039110</wp:posOffset>
                </wp:positionH>
                <wp:positionV relativeFrom="paragraph">
                  <wp:posOffset>167640</wp:posOffset>
                </wp:positionV>
                <wp:extent cx="2478405" cy="1475105"/>
                <wp:effectExtent l="7620" t="7620" r="13335" b="10795"/>
                <wp:wrapNone/>
                <wp:docPr id="2" name="圆角矩形 2"/>
                <wp:cNvGraphicFramePr/>
                <a:graphic xmlns:a="http://schemas.openxmlformats.org/drawingml/2006/main">
                  <a:graphicData uri="http://schemas.microsoft.com/office/word/2010/wordprocessingShape">
                    <wps:wsp>
                      <wps:cNvSpPr/>
                      <wps:spPr>
                        <a:xfrm>
                          <a:off x="0" y="0"/>
                          <a:ext cx="2478405" cy="147510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wrap="square" upright="1"/>
                    </wps:wsp>
                  </a:graphicData>
                </a:graphic>
              </wp:anchor>
            </w:drawing>
          </mc:Choice>
          <mc:Fallback>
            <w:pict>
              <v:roundrect id="_x0000_s1026" o:spid="_x0000_s1026" o:spt="2" style="position:absolute;left:0pt;margin-left:239.3pt;margin-top:13.2pt;height:116.15pt;width:195.15pt;z-index:251663360;mso-width-relative:page;mso-height-relative:page;" fillcolor="#FFFFFF" filled="t" stroked="t" coordsize="21600,21600" arcsize="0.166666666666667" o:gfxdata="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MZekrbAAAACgEAAA8AAAAAAAAAAQAgAAAAIgAAAGRycy9kb3du&#10;cmV2LnhtbFBLAQIUABQAAAAIAIdO4kA1ZG7qNQIAAHQEAAAOAAAAAAAAAAEAIAAAACoBAABkcnMv&#10;ZTJvRG9jLnhtbFBLBQYAAAAABgAGAFkBAADR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hint="eastAsia" w:ascii="微软雅黑" w:hAnsi="微软雅黑" w:eastAsia="微软雅黑" w:cs="微软雅黑"/>
          <w:color w:val="auto"/>
          <w:szCs w:val="21"/>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135890</wp:posOffset>
                </wp:positionV>
                <wp:extent cx="2317750" cy="1465580"/>
                <wp:effectExtent l="4445" t="4445" r="9525" b="8255"/>
                <wp:wrapNone/>
                <wp:docPr id="1" name="流程图: 可选过程 1"/>
                <wp:cNvGraphicFramePr/>
                <a:graphic xmlns:a="http://schemas.openxmlformats.org/drawingml/2006/main">
                  <a:graphicData uri="http://schemas.microsoft.com/office/word/2010/wordprocessingShape">
                    <wps:wsp>
                      <wps:cNvSpPr/>
                      <wps:spPr>
                        <a:xfrm>
                          <a:off x="0" y="0"/>
                          <a:ext cx="2317750" cy="14655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wrap="square" upright="1"/>
                    </wps:wsp>
                  </a:graphicData>
                </a:graphic>
              </wp:anchor>
            </w:drawing>
          </mc:Choice>
          <mc:Fallback>
            <w:pict>
              <v:shape id="_x0000_s1026" o:spid="_x0000_s1026" o:spt="176" type="#_x0000_t176" style="position:absolute;left:0pt;margin-left:1.65pt;margin-top:10.7pt;height:115.4pt;width:182.5pt;z-index:251662336;mso-width-relative:page;mso-height-relative:page;" fillcolor="#FFFFFF" filled="t" stroked="t" coordsize="21600,21600" o:gfxdata="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CZhQPWAAAACAEAAA8AAAAAAAAAAQAgAAAAIgAAAGRycy9kb3du&#10;cmV2LnhtbFBLAQIUABQAAAAIAIdO4kA502qhOgIAAGwEAAAOAAAAAAAAAAEAIAAAACUBAABkcnMv&#10;ZTJvRG9jLnhtbFBLBQYAAAAABgAGAFkBAADR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mc:AlternateContent>
          <mc:Choice Requires="wps">
            <w:drawing>
              <wp:anchor distT="0" distB="0" distL="114300" distR="114300" simplePos="0" relativeHeight="251665408" behindDoc="0" locked="0" layoutInCell="1" allowOverlap="1">
                <wp:simplePos x="0" y="0"/>
                <wp:positionH relativeFrom="column">
                  <wp:posOffset>3018155</wp:posOffset>
                </wp:positionH>
                <wp:positionV relativeFrom="paragraph">
                  <wp:posOffset>96520</wp:posOffset>
                </wp:positionV>
                <wp:extent cx="2535555" cy="1421130"/>
                <wp:effectExtent l="7620" t="7620" r="17145" b="19050"/>
                <wp:wrapNone/>
                <wp:docPr id="4" name="圆角矩形 4"/>
                <wp:cNvGraphicFramePr/>
                <a:graphic xmlns:a="http://schemas.openxmlformats.org/drawingml/2006/main">
                  <a:graphicData uri="http://schemas.microsoft.com/office/word/2010/wordprocessingShape">
                    <wps:wsp>
                      <wps:cNvSpPr/>
                      <wps:spPr>
                        <a:xfrm>
                          <a:off x="0" y="0"/>
                          <a:ext cx="2535555" cy="142113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rPr>
                                <w:rFonts w:hAnsi="宋体"/>
                              </w:rPr>
                            </w:pPr>
                          </w:p>
                          <w:p>
                            <w:pPr>
                              <w:jc w:val="center"/>
                            </w:pPr>
                            <w:r>
                              <w:rPr>
                                <w:rFonts w:hint="eastAsia" w:hAnsi="宋体"/>
                              </w:rPr>
                              <w:t>法人身份证复印件反面</w:t>
                            </w:r>
                          </w:p>
                          <w:p/>
                        </w:txbxContent>
                      </wps:txbx>
                      <wps:bodyPr wrap="square" upright="1"/>
                    </wps:wsp>
                  </a:graphicData>
                </a:graphic>
              </wp:anchor>
            </w:drawing>
          </mc:Choice>
          <mc:Fallback>
            <w:pict>
              <v:roundrect id="_x0000_s1026" o:spid="_x0000_s1026" o:spt="2" style="position:absolute;left:0pt;margin-left:237.65pt;margin-top:7.6pt;height:111.9pt;width:199.65pt;z-index:251665408;mso-width-relative:page;mso-height-relative:page;" fillcolor="#FFFFFF" filled="t" stroked="t" coordsize="21600,21600" arcsize="0.166666666666667" o:gfxdata="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8xtibbAAAACgEAAA8AAAAAAAAAAQAgAAAAIgAAAGRycy9kb3du&#10;cmV2LnhtbFBLAQIUABQAAAAIAIdO4kDF/ltvNQIAAHQEAAAOAAAAAAAAAAEAIAAAACoBAABkcnMv&#10;ZTJvRG9jLnhtbFBLBQYAAAAABgAGAFkBAADRBQ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rPr>
                          <w:rFonts w:hAnsi="宋体"/>
                        </w:rPr>
                      </w:pPr>
                    </w:p>
                    <w:p>
                      <w:pPr>
                        <w:jc w:val="center"/>
                      </w:pPr>
                      <w:r>
                        <w:rPr>
                          <w:rFonts w:hint="eastAsia" w:hAnsi="宋体"/>
                        </w:rPr>
                        <w:t>法人身份证复印件反面</w:t>
                      </w:r>
                    </w:p>
                    <w:p/>
                  </w:txbxContent>
                </v:textbox>
              </v:roundrect>
            </w:pict>
          </mc:Fallback>
        </mc:AlternateContent>
      </w:r>
      <w:r>
        <w:rPr>
          <w:rFonts w:hint="eastAsia" w:ascii="微软雅黑" w:hAnsi="微软雅黑" w:eastAsia="微软雅黑" w:cs="微软雅黑"/>
          <w:color w:val="auto"/>
          <w:szCs w:val="21"/>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29845</wp:posOffset>
                </wp:positionV>
                <wp:extent cx="2555240" cy="1482725"/>
                <wp:effectExtent l="7620" t="7620" r="12700" b="18415"/>
                <wp:wrapNone/>
                <wp:docPr id="3" name="圆角矩形 3"/>
                <wp:cNvGraphicFramePr/>
                <a:graphic xmlns:a="http://schemas.openxmlformats.org/drawingml/2006/main">
                  <a:graphicData uri="http://schemas.microsoft.com/office/word/2010/wordprocessingShape">
                    <wps:wsp>
                      <wps:cNvSpPr/>
                      <wps:spPr>
                        <a:xfrm>
                          <a:off x="0" y="0"/>
                          <a:ext cx="2555240" cy="148272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rPr>
                                <w:rFonts w:hAnsi="宋体"/>
                              </w:rPr>
                            </w:pPr>
                          </w:p>
                          <w:p>
                            <w:pPr>
                              <w:jc w:val="center"/>
                            </w:pPr>
                            <w:r>
                              <w:rPr>
                                <w:rFonts w:hint="eastAsia" w:hAnsi="宋体"/>
                              </w:rPr>
                              <w:t>法人身份证复印件正面</w:t>
                            </w:r>
                          </w:p>
                          <w:p/>
                        </w:txbxContent>
                      </wps:txbx>
                      <wps:bodyPr wrap="square" upright="1"/>
                    </wps:wsp>
                  </a:graphicData>
                </a:graphic>
              </wp:anchor>
            </w:drawing>
          </mc:Choice>
          <mc:Fallback>
            <w:pict>
              <v:roundrect id="_x0000_s1026" o:spid="_x0000_s1026" o:spt="2" style="position:absolute;left:0pt;margin-left:-0.85pt;margin-top:2.35pt;height:116.75pt;width:201.2pt;z-index:251664384;mso-width-relative:page;mso-height-relative:page;" fillcolor="#FFFFFF" filled="t" stroked="t" coordsize="21600,21600" arcsize="0.166666666666667" o:gfxdata="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4Wf512gAAAAgBAAAPAAAAAAAAAAEAIAAAACIAAABkcnMvZG93&#10;bnJldi54bWxQSwECFAAUAAAACACHTuJAM5Vi4jcCAAB0BAAADgAAAAAAAAABACAAAAApAQAAZHJz&#10;L2Uyb0RvYy54bWxQSwUGAAAAAAYABgBZAQAA0gUAAAAA&#10;">
                <v:fill on="t" focussize="0,0"/>
                <v:stroke weight="1.25pt" color="#808080" joinstyle="round"/>
                <v:imagedata o:title=""/>
                <o:lock v:ext="edit" aspectratio="f"/>
                <v:textbox>
                  <w:txbxContent>
                    <w:p>
                      <w:pPr>
                        <w:jc w:val="center"/>
                        <w:rPr>
                          <w:rFonts w:hAnsi="宋体"/>
                        </w:rPr>
                      </w:pPr>
                    </w:p>
                    <w:p>
                      <w:pPr>
                        <w:rPr>
                          <w:rFonts w:hAnsi="宋体"/>
                        </w:rPr>
                      </w:pPr>
                    </w:p>
                    <w:p>
                      <w:pPr>
                        <w:jc w:val="center"/>
                      </w:pPr>
                      <w:r>
                        <w:rPr>
                          <w:rFonts w:hint="eastAsia" w:hAnsi="宋体"/>
                        </w:rPr>
                        <w:t>法人身份证复印件正面</w:t>
                      </w:r>
                    </w:p>
                    <w:p/>
                  </w:txbxContent>
                </v:textbox>
              </v:roundrect>
            </w:pict>
          </mc:Fallback>
        </mc:AlternateContent>
      </w: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spacing w:line="360" w:lineRule="auto"/>
        <w:ind w:firstLine="210" w:firstLineChars="100"/>
        <w:rPr>
          <w:rFonts w:hint="eastAsia" w:ascii="微软雅黑" w:hAnsi="微软雅黑" w:eastAsia="微软雅黑" w:cs="微软雅黑"/>
          <w:color w:val="auto"/>
          <w:szCs w:val="21"/>
        </w:rPr>
      </w:pPr>
    </w:p>
    <w:p>
      <w:pPr>
        <w:pStyle w:val="17"/>
        <w:tabs>
          <w:tab w:val="left" w:pos="5580"/>
        </w:tabs>
        <w:spacing w:line="360" w:lineRule="exact"/>
        <w:rPr>
          <w:rFonts w:hint="eastAsia" w:ascii="微软雅黑" w:hAnsi="微软雅黑" w:eastAsia="微软雅黑" w:cs="微软雅黑"/>
          <w:color w:val="auto"/>
          <w:szCs w:val="21"/>
          <w:u w:val="single"/>
        </w:rPr>
      </w:pPr>
      <w:r>
        <w:rPr>
          <w:rFonts w:hint="eastAsia" w:ascii="微软雅黑" w:hAnsi="微软雅黑" w:eastAsia="微软雅黑" w:cs="微软雅黑"/>
          <w:color w:val="auto"/>
          <w:szCs w:val="21"/>
          <w:lang w:eastAsia="zh-CN"/>
        </w:rPr>
        <w:t>供应商</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lang w:eastAsia="zh-CN"/>
        </w:rPr>
        <w:t>公章</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u w:val="single"/>
        </w:rPr>
        <w:t xml:space="preserve">                           </w:t>
      </w:r>
    </w:p>
    <w:p>
      <w:pPr>
        <w:pStyle w:val="17"/>
        <w:tabs>
          <w:tab w:val="left" w:pos="5580"/>
        </w:tabs>
        <w:spacing w:line="360" w:lineRule="exact"/>
        <w:rPr>
          <w:rFonts w:hint="eastAsia" w:ascii="微软雅黑" w:hAnsi="微软雅黑" w:eastAsia="微软雅黑" w:cs="微软雅黑"/>
          <w:color w:val="auto"/>
          <w:szCs w:val="21"/>
          <w:u w:val="single"/>
        </w:rPr>
      </w:pPr>
      <w:r>
        <w:rPr>
          <w:rFonts w:hint="eastAsia" w:ascii="微软雅黑" w:hAnsi="微软雅黑" w:eastAsia="微软雅黑" w:cs="微软雅黑"/>
          <w:color w:val="auto"/>
          <w:szCs w:val="21"/>
        </w:rPr>
        <w:t>法定代表人</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签字或盖章</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u w:val="single"/>
        </w:rPr>
        <w:t xml:space="preserve">                     </w:t>
      </w:r>
    </w:p>
    <w:p>
      <w:pPr>
        <w:pStyle w:val="17"/>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身份证号码：__________________________________ </w:t>
      </w:r>
    </w:p>
    <w:p>
      <w:pPr>
        <w:pStyle w:val="17"/>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委托代理人</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lang w:val="en-US" w:eastAsia="zh-CN"/>
        </w:rPr>
        <w:t>签字或盖章</w:t>
      </w:r>
      <w:r>
        <w:rPr>
          <w:rFonts w:hint="eastAsia" w:ascii="微软雅黑" w:hAnsi="微软雅黑" w:eastAsia="微软雅黑" w:cs="微软雅黑"/>
          <w:color w:val="auto"/>
          <w:szCs w:val="21"/>
          <w:lang w:eastAsia="zh-CN"/>
        </w:rPr>
        <w:t>）</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pPr>
        <w:pStyle w:val="17"/>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身份证号码：</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pPr>
        <w:pStyle w:val="17"/>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详细通讯地址：</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pPr>
        <w:pStyle w:val="17"/>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邮 政 编 码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pPr>
        <w:pStyle w:val="17"/>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传　　　　真：</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rPr>
        <w:t xml:space="preserve">      </w:t>
      </w:r>
    </w:p>
    <w:p>
      <w:pPr>
        <w:pStyle w:val="17"/>
        <w:tabs>
          <w:tab w:val="left" w:pos="5580"/>
        </w:tabs>
        <w:spacing w:line="36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电　　　　话：</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pPr>
        <w:pStyle w:val="17"/>
        <w:tabs>
          <w:tab w:val="left" w:pos="5580"/>
        </w:tabs>
        <w:spacing w:line="360" w:lineRule="exact"/>
        <w:jc w:val="right"/>
        <w:rPr>
          <w:rFonts w:hint="eastAsia" w:ascii="微软雅黑" w:hAnsi="微软雅黑" w:eastAsia="微软雅黑" w:cs="微软雅黑"/>
          <w:color w:val="auto"/>
          <w:szCs w:val="21"/>
        </w:rPr>
      </w:pPr>
    </w:p>
    <w:p>
      <w:pPr>
        <w:pStyle w:val="17"/>
        <w:tabs>
          <w:tab w:val="left" w:pos="5580"/>
        </w:tabs>
        <w:spacing w:line="360" w:lineRule="exact"/>
        <w:jc w:val="right"/>
        <w:rPr>
          <w:rFonts w:hint="eastAsia" w:ascii="微软雅黑" w:hAnsi="微软雅黑" w:eastAsia="微软雅黑" w:cs="微软雅黑"/>
          <w:color w:val="auto"/>
          <w:szCs w:val="21"/>
        </w:rPr>
      </w:pPr>
    </w:p>
    <w:p>
      <w:pPr>
        <w:pStyle w:val="17"/>
        <w:tabs>
          <w:tab w:val="left" w:pos="5580"/>
        </w:tabs>
        <w:spacing w:line="360" w:lineRule="exact"/>
        <w:jc w:val="right"/>
        <w:rPr>
          <w:rFonts w:hint="eastAsia" w:ascii="微软雅黑" w:hAnsi="微软雅黑" w:eastAsia="微软雅黑" w:cs="微软雅黑"/>
          <w:color w:val="auto"/>
          <w:szCs w:val="21"/>
        </w:rPr>
      </w:pPr>
    </w:p>
    <w:p>
      <w:pPr>
        <w:pStyle w:val="17"/>
        <w:tabs>
          <w:tab w:val="left" w:pos="5580"/>
        </w:tabs>
        <w:spacing w:line="360" w:lineRule="exact"/>
        <w:jc w:val="right"/>
        <w:rPr>
          <w:rFonts w:hint="eastAsia" w:ascii="微软雅黑" w:hAnsi="微软雅黑" w:eastAsia="微软雅黑" w:cs="微软雅黑"/>
          <w:color w:val="auto"/>
          <w:szCs w:val="21"/>
        </w:rPr>
      </w:pPr>
    </w:p>
    <w:p>
      <w:pPr>
        <w:pStyle w:val="17"/>
        <w:tabs>
          <w:tab w:val="left" w:pos="5580"/>
        </w:tabs>
        <w:spacing w:line="360" w:lineRule="exact"/>
        <w:jc w:val="righ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年   月   日 </w:t>
      </w:r>
    </w:p>
    <w:p>
      <w:pPr>
        <w:pStyle w:val="17"/>
        <w:tabs>
          <w:tab w:val="left" w:pos="5580"/>
        </w:tabs>
        <w:spacing w:line="240" w:lineRule="atLeast"/>
        <w:rPr>
          <w:rFonts w:hint="eastAsia" w:ascii="微软雅黑" w:hAnsi="微软雅黑" w:eastAsia="微软雅黑" w:cs="微软雅黑"/>
          <w:b/>
          <w:color w:val="auto"/>
          <w:szCs w:val="21"/>
        </w:rPr>
      </w:pPr>
    </w:p>
    <w:p>
      <w:pPr>
        <w:pStyle w:val="34"/>
        <w:snapToGrid w:val="0"/>
        <w:spacing w:line="400" w:lineRule="exact"/>
        <w:ind w:firstLine="480"/>
        <w:textAlignment w:val="baseline"/>
        <w:rPr>
          <w:rFonts w:hint="eastAsia" w:ascii="微软雅黑" w:hAnsi="微软雅黑" w:eastAsia="微软雅黑" w:cs="微软雅黑"/>
        </w:rPr>
      </w:pPr>
    </w:p>
    <w:bookmarkEnd w:id="605"/>
    <w:bookmarkEnd w:id="606"/>
    <w:bookmarkEnd w:id="607"/>
    <w:bookmarkEnd w:id="608"/>
    <w:bookmarkEnd w:id="609"/>
    <w:bookmarkEnd w:id="610"/>
    <w:bookmarkEnd w:id="611"/>
    <w:bookmarkEnd w:id="612"/>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34"/>
        <w:snapToGrid w:val="0"/>
        <w:ind w:firstLine="480"/>
        <w:textAlignment w:val="baseline"/>
        <w:outlineLvl w:val="9"/>
        <w:rPr>
          <w:rFonts w:hint="eastAsia" w:ascii="微软雅黑" w:hAnsi="微软雅黑" w:eastAsia="微软雅黑" w:cs="微软雅黑"/>
          <w:b/>
          <w:kern w:val="0"/>
          <w:lang w:val="en-US" w:eastAsia="zh-CN"/>
        </w:rPr>
      </w:pPr>
      <w:bookmarkStart w:id="613" w:name="_Toc27633"/>
    </w:p>
    <w:p>
      <w:pPr>
        <w:pStyle w:val="34"/>
        <w:snapToGrid w:val="0"/>
        <w:ind w:firstLine="480"/>
        <w:textAlignment w:val="baseline"/>
        <w:outlineLvl w:val="9"/>
        <w:rPr>
          <w:rFonts w:hint="eastAsia" w:ascii="微软雅黑" w:hAnsi="微软雅黑" w:eastAsia="微软雅黑" w:cs="微软雅黑"/>
          <w:b/>
          <w:kern w:val="0"/>
        </w:rPr>
      </w:pPr>
      <w:r>
        <w:rPr>
          <w:rFonts w:hint="eastAsia" w:ascii="微软雅黑" w:hAnsi="微软雅黑" w:eastAsia="微软雅黑" w:cs="微软雅黑"/>
          <w:b/>
          <w:kern w:val="0"/>
          <w:lang w:val="en-US" w:eastAsia="zh-CN"/>
        </w:rPr>
        <w:t>5</w:t>
      </w:r>
      <w:r>
        <w:rPr>
          <w:rFonts w:hint="eastAsia" w:ascii="微软雅黑" w:hAnsi="微软雅黑" w:eastAsia="微软雅黑" w:cs="微软雅黑"/>
          <w:b/>
          <w:kern w:val="0"/>
        </w:rPr>
        <w:t>、</w:t>
      </w:r>
      <w:bookmarkEnd w:id="613"/>
      <w:r>
        <w:rPr>
          <w:rFonts w:hint="eastAsia" w:ascii="微软雅黑" w:hAnsi="微软雅黑" w:eastAsia="微软雅黑" w:cs="微软雅黑"/>
          <w:b/>
          <w:kern w:val="0"/>
          <w:lang w:eastAsia="zh-CN"/>
        </w:rPr>
        <w:t>投标单位提供本单位依法缴纳近三个月的社保证明</w:t>
      </w:r>
      <w:r>
        <w:rPr>
          <w:rFonts w:hint="eastAsia" w:ascii="微软雅黑" w:hAnsi="微软雅黑" w:eastAsia="微软雅黑" w:cs="微软雅黑"/>
          <w:b/>
          <w:kern w:val="0"/>
        </w:rPr>
        <w:t>；</w:t>
      </w:r>
    </w:p>
    <w:p>
      <w:pPr>
        <w:pStyle w:val="34"/>
        <w:snapToGrid w:val="0"/>
        <w:ind w:firstLine="480"/>
        <w:textAlignment w:val="baseline"/>
        <w:outlineLvl w:val="9"/>
        <w:rPr>
          <w:rFonts w:ascii="微软雅黑" w:hAnsi="微软雅黑" w:eastAsia="微软雅黑" w:cs="微软雅黑"/>
          <w:b/>
          <w:kern w:val="0"/>
        </w:rPr>
      </w:pPr>
    </w:p>
    <w:p>
      <w:pPr>
        <w:pStyle w:val="34"/>
        <w:snapToGrid w:val="0"/>
        <w:ind w:firstLine="0" w:firstLineChars="0"/>
        <w:textAlignment w:val="baseline"/>
        <w:outlineLvl w:val="9"/>
        <w:rPr>
          <w:rFonts w:ascii="微软雅黑" w:hAnsi="微软雅黑" w:eastAsia="微软雅黑" w:cs="微软雅黑"/>
          <w:b/>
          <w:kern w:val="0"/>
          <w:sz w:val="21"/>
        </w:rPr>
      </w:pPr>
    </w:p>
    <w:p>
      <w:pPr>
        <w:pStyle w:val="34"/>
        <w:snapToGrid w:val="0"/>
        <w:ind w:firstLine="480"/>
        <w:textAlignment w:val="baseline"/>
        <w:outlineLvl w:val="9"/>
        <w:rPr>
          <w:rFonts w:hint="eastAsia" w:ascii="微软雅黑" w:hAnsi="微软雅黑" w:eastAsia="微软雅黑" w:cs="微软雅黑"/>
          <w:b/>
          <w:kern w:val="0"/>
        </w:rPr>
      </w:pPr>
    </w:p>
    <w:p>
      <w:pPr>
        <w:pStyle w:val="34"/>
        <w:snapToGrid w:val="0"/>
        <w:ind w:firstLine="480"/>
        <w:textAlignment w:val="baseline"/>
        <w:outlineLvl w:val="9"/>
        <w:rPr>
          <w:rFonts w:hint="eastAsia" w:ascii="微软雅黑" w:hAnsi="微软雅黑" w:eastAsia="微软雅黑" w:cs="微软雅黑"/>
          <w:b/>
          <w:kern w:val="0"/>
          <w:lang w:val="en-US" w:eastAsia="zh-CN"/>
        </w:rPr>
      </w:pPr>
      <w:r>
        <w:rPr>
          <w:rFonts w:hint="eastAsia" w:ascii="微软雅黑" w:hAnsi="微软雅黑" w:eastAsia="微软雅黑" w:cs="微软雅黑"/>
          <w:b/>
          <w:kern w:val="0"/>
          <w:lang w:val="en-US" w:eastAsia="zh-CN"/>
        </w:rPr>
        <w:t>6、提供税务部门出具近三个月的完税证明；</w:t>
      </w:r>
    </w:p>
    <w:p>
      <w:pPr>
        <w:pStyle w:val="34"/>
        <w:snapToGrid w:val="0"/>
        <w:ind w:firstLine="480"/>
        <w:textAlignment w:val="baseline"/>
        <w:outlineLvl w:val="9"/>
        <w:rPr>
          <w:rFonts w:hint="eastAsia" w:ascii="微软雅黑" w:hAnsi="微软雅黑" w:eastAsia="微软雅黑" w:cs="微软雅黑"/>
          <w:b w:val="0"/>
          <w:bCs/>
          <w:kern w:val="0"/>
          <w:sz w:val="24"/>
          <w:lang w:val="en-US" w:eastAsia="zh-CN"/>
        </w:rPr>
      </w:pPr>
      <w:r>
        <w:rPr>
          <w:rFonts w:hint="eastAsia" w:ascii="微软雅黑" w:hAnsi="微软雅黑" w:eastAsia="微软雅黑" w:cs="微软雅黑"/>
          <w:b w:val="0"/>
          <w:bCs/>
          <w:kern w:val="0"/>
          <w:sz w:val="24"/>
          <w:lang w:val="en-US" w:eastAsia="zh-CN"/>
        </w:rPr>
        <w:t>说明：新成立公司若无纳税记录，可开具无欠税证明。</w:t>
      </w:r>
    </w:p>
    <w:p>
      <w:pPr>
        <w:pStyle w:val="17"/>
        <w:tabs>
          <w:tab w:val="left" w:pos="5580"/>
        </w:tabs>
        <w:snapToGrid w:val="0"/>
        <w:spacing w:line="240" w:lineRule="atLeast"/>
        <w:textAlignment w:val="baseline"/>
        <w:rPr>
          <w:rFonts w:ascii="微软雅黑" w:hAnsi="微软雅黑" w:eastAsia="微软雅黑" w:cs="微软雅黑"/>
          <w:b/>
          <w:kern w:val="0"/>
          <w:sz w:val="24"/>
          <w:szCs w:val="24"/>
        </w:rPr>
      </w:pPr>
    </w:p>
    <w:p>
      <w:pPr>
        <w:pStyle w:val="17"/>
        <w:tabs>
          <w:tab w:val="left" w:pos="5580"/>
        </w:tabs>
        <w:snapToGrid w:val="0"/>
        <w:spacing w:line="240" w:lineRule="atLeast"/>
        <w:ind w:left="1079" w:leftChars="257" w:hanging="540"/>
        <w:textAlignment w:val="baseline"/>
        <w:rPr>
          <w:rFonts w:ascii="微软雅黑" w:hAnsi="微软雅黑" w:eastAsia="微软雅黑" w:cs="微软雅黑"/>
          <w:b/>
          <w:kern w:val="0"/>
          <w:sz w:val="24"/>
          <w:szCs w:val="24"/>
        </w:rPr>
      </w:pPr>
    </w:p>
    <w:p>
      <w:pPr>
        <w:snapToGrid w:val="0"/>
        <w:spacing w:line="360" w:lineRule="exact"/>
        <w:ind w:firstLine="480" w:firstLineChars="200"/>
        <w:textAlignment w:val="baseline"/>
        <w:rPr>
          <w:rFonts w:hint="eastAsia" w:ascii="微软雅黑" w:hAnsi="微软雅黑" w:eastAsia="微软雅黑" w:cs="微软雅黑"/>
          <w:b w:val="0"/>
          <w:bCs/>
          <w:kern w:val="0"/>
          <w:sz w:val="24"/>
          <w:lang w:val="en-US" w:eastAsia="zh-CN"/>
        </w:rPr>
      </w:pPr>
      <w:r>
        <w:rPr>
          <w:rFonts w:hint="eastAsia" w:ascii="微软雅黑" w:hAnsi="微软雅黑" w:eastAsia="微软雅黑" w:cs="微软雅黑"/>
          <w:b/>
          <w:bCs w:val="0"/>
          <w:kern w:val="0"/>
          <w:sz w:val="24"/>
          <w:szCs w:val="20"/>
          <w:lang w:val="en-US" w:eastAsia="zh-CN" w:bidi="ar-SA"/>
        </w:rPr>
        <w:t>7、提供2021年度的财务审计报告（新成立公司需提供银行资信证明）；</w:t>
      </w:r>
      <w:r>
        <w:rPr>
          <w:rFonts w:hint="eastAsia" w:ascii="微软雅黑" w:hAnsi="微软雅黑" w:eastAsia="微软雅黑" w:cs="微软雅黑"/>
          <w:b w:val="0"/>
          <w:bCs/>
          <w:kern w:val="0"/>
          <w:sz w:val="24"/>
          <w:lang w:val="en-US" w:eastAsia="zh-CN"/>
        </w:rPr>
        <w:t>说明：</w:t>
      </w:r>
    </w:p>
    <w:p>
      <w:pPr>
        <w:snapToGrid w:val="0"/>
        <w:spacing w:line="360" w:lineRule="exact"/>
        <w:ind w:firstLine="480" w:firstLineChars="200"/>
        <w:textAlignment w:val="baseline"/>
        <w:rPr>
          <w:rFonts w:hint="eastAsia" w:ascii="微软雅黑" w:hAnsi="微软雅黑" w:eastAsia="微软雅黑" w:cs="微软雅黑"/>
          <w:b w:val="0"/>
          <w:bCs/>
          <w:kern w:val="0"/>
          <w:sz w:val="24"/>
          <w:lang w:val="en-US" w:eastAsia="zh-CN"/>
        </w:rPr>
      </w:pPr>
      <w:r>
        <w:rPr>
          <w:rFonts w:hint="eastAsia" w:ascii="微软雅黑" w:hAnsi="微软雅黑" w:eastAsia="微软雅黑" w:cs="微软雅黑"/>
          <w:b w:val="0"/>
          <w:bCs/>
          <w:kern w:val="0"/>
          <w:sz w:val="24"/>
          <w:lang w:val="en-US" w:eastAsia="zh-CN"/>
        </w:rPr>
        <w:t>1、如提供本单位上年度经会计师事务所出具的审计报告复印件须加盖本单位章。</w:t>
      </w:r>
    </w:p>
    <w:p>
      <w:pPr>
        <w:snapToGrid w:val="0"/>
        <w:spacing w:line="360" w:lineRule="exact"/>
        <w:ind w:firstLine="480" w:firstLineChars="200"/>
        <w:textAlignment w:val="baseline"/>
        <w:rPr>
          <w:rFonts w:hint="eastAsia" w:ascii="微软雅黑" w:hAnsi="微软雅黑" w:eastAsia="微软雅黑" w:cs="微软雅黑"/>
          <w:b w:val="0"/>
          <w:bCs/>
          <w:kern w:val="0"/>
          <w:sz w:val="24"/>
          <w:lang w:val="en-US" w:eastAsia="zh-CN"/>
        </w:rPr>
      </w:pPr>
      <w:r>
        <w:rPr>
          <w:rFonts w:hint="eastAsia" w:ascii="微软雅黑" w:hAnsi="微软雅黑" w:eastAsia="微软雅黑" w:cs="微软雅黑"/>
          <w:b w:val="0"/>
          <w:bCs/>
          <w:kern w:val="0"/>
          <w:sz w:val="24"/>
          <w:lang w:val="en-US" w:eastAsia="zh-CN"/>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snapToGrid w:val="0"/>
        <w:spacing w:line="360" w:lineRule="exact"/>
        <w:ind w:firstLine="480" w:firstLineChars="200"/>
        <w:textAlignment w:val="baseline"/>
        <w:rPr>
          <w:rFonts w:hint="eastAsia" w:ascii="微软雅黑" w:hAnsi="微软雅黑" w:eastAsia="微软雅黑" w:cs="微软雅黑"/>
          <w:b w:val="0"/>
          <w:bCs/>
          <w:kern w:val="0"/>
          <w:sz w:val="24"/>
          <w:lang w:val="en-US" w:eastAsia="zh-CN"/>
        </w:rPr>
      </w:pPr>
      <w:r>
        <w:rPr>
          <w:rFonts w:hint="eastAsia" w:ascii="微软雅黑" w:hAnsi="微软雅黑" w:eastAsia="微软雅黑" w:cs="微软雅黑"/>
          <w:b w:val="0"/>
          <w:bCs/>
          <w:kern w:val="0"/>
          <w:sz w:val="24"/>
          <w:lang w:val="en-US" w:eastAsia="zh-CN"/>
        </w:rPr>
        <w:t>3、如果是联合体投标，联合体各方均需提供上述证明。</w:t>
      </w:r>
    </w:p>
    <w:p>
      <w:pPr>
        <w:pStyle w:val="34"/>
        <w:snapToGrid w:val="0"/>
        <w:ind w:left="0" w:leftChars="0" w:firstLine="0" w:firstLineChars="0"/>
        <w:textAlignment w:val="baseline"/>
        <w:rPr>
          <w:rFonts w:ascii="微软雅黑" w:hAnsi="微软雅黑" w:eastAsia="微软雅黑" w:cs="微软雅黑"/>
          <w:sz w:val="21"/>
        </w:rPr>
      </w:pPr>
    </w:p>
    <w:p>
      <w:pPr>
        <w:pStyle w:val="34"/>
        <w:snapToGrid w:val="0"/>
        <w:ind w:left="0" w:leftChars="0" w:firstLine="0" w:firstLineChars="0"/>
        <w:textAlignment w:val="baseline"/>
        <w:rPr>
          <w:rFonts w:ascii="微软雅黑" w:hAnsi="微软雅黑" w:eastAsia="微软雅黑" w:cs="微软雅黑"/>
          <w:sz w:val="21"/>
        </w:rPr>
      </w:pPr>
    </w:p>
    <w:p>
      <w:pPr>
        <w:pStyle w:val="34"/>
        <w:snapToGrid w:val="0"/>
        <w:ind w:left="0" w:leftChars="0" w:firstLine="0" w:firstLineChars="0"/>
        <w:textAlignment w:val="baseline"/>
        <w:rPr>
          <w:rFonts w:ascii="微软雅黑" w:hAnsi="微软雅黑" w:eastAsia="微软雅黑" w:cs="微软雅黑"/>
          <w:sz w:val="21"/>
        </w:rPr>
      </w:pPr>
    </w:p>
    <w:p>
      <w:pPr>
        <w:pStyle w:val="34"/>
        <w:snapToGrid w:val="0"/>
        <w:ind w:left="0" w:leftChars="0" w:firstLine="0" w:firstLineChars="0"/>
        <w:textAlignment w:val="baseline"/>
        <w:rPr>
          <w:rFonts w:ascii="微软雅黑" w:hAnsi="微软雅黑" w:eastAsia="微软雅黑" w:cs="微软雅黑"/>
          <w:sz w:val="21"/>
        </w:rPr>
      </w:pPr>
    </w:p>
    <w:p>
      <w:pPr>
        <w:pStyle w:val="17"/>
        <w:tabs>
          <w:tab w:val="left" w:pos="5580"/>
        </w:tabs>
        <w:spacing w:line="240" w:lineRule="atLeast"/>
        <w:rPr>
          <w:rFonts w:ascii="微软雅黑" w:hAnsi="微软雅黑" w:eastAsia="微软雅黑" w:cs="微软雅黑"/>
        </w:rPr>
      </w:pPr>
      <w:r>
        <w:rPr>
          <w:rFonts w:hint="eastAsia" w:ascii="微软雅黑" w:hAnsi="微软雅黑" w:eastAsia="微软雅黑" w:cs="微软雅黑"/>
          <w:b/>
          <w:bCs w:val="0"/>
          <w:kern w:val="0"/>
          <w:sz w:val="24"/>
          <w:szCs w:val="20"/>
          <w:lang w:val="en-US" w:eastAsia="zh-CN" w:bidi="ar-SA"/>
        </w:rPr>
        <w:t xml:space="preserve">8、参加政府采购活动前3年内在经营活动中没有重大违法记录的书面声明；   </w:t>
      </w:r>
      <w:r>
        <w:rPr>
          <w:rFonts w:hint="eastAsia" w:ascii="微软雅黑" w:hAnsi="微软雅黑" w:eastAsia="微软雅黑" w:cs="微软雅黑"/>
          <w:b w:val="0"/>
          <w:bCs/>
          <w:kern w:val="0"/>
          <w:sz w:val="24"/>
          <w:szCs w:val="20"/>
          <w:lang w:val="en-US" w:eastAsia="zh-CN" w:bidi="ar-SA"/>
        </w:rPr>
        <w:t>说明：1.供应商应按照相关法规规定如实作出说明。</w:t>
      </w: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17"/>
        <w:tabs>
          <w:tab w:val="left" w:pos="5580"/>
        </w:tabs>
        <w:snapToGrid w:val="0"/>
        <w:spacing w:line="240" w:lineRule="atLeast"/>
        <w:jc w:val="both"/>
        <w:textAlignment w:val="baseline"/>
        <w:rPr>
          <w:rFonts w:ascii="微软雅黑" w:hAnsi="微软雅黑" w:eastAsia="微软雅黑" w:cs="微软雅黑"/>
          <w:b/>
          <w:kern w:val="0"/>
          <w:sz w:val="24"/>
          <w:szCs w:val="24"/>
        </w:rPr>
      </w:pPr>
      <w:r>
        <w:rPr>
          <w:rFonts w:hint="eastAsia" w:ascii="微软雅黑" w:hAnsi="微软雅黑" w:eastAsia="微软雅黑" w:cs="微软雅黑"/>
          <w:b/>
          <w:kern w:val="0"/>
          <w:sz w:val="24"/>
          <w:szCs w:val="24"/>
          <w:lang w:val="en-US" w:eastAsia="zh-CN"/>
        </w:rPr>
        <w:t>9、</w:t>
      </w:r>
      <w:r>
        <w:rPr>
          <w:rFonts w:hint="eastAsia" w:ascii="微软雅黑" w:hAnsi="微软雅黑" w:eastAsia="微软雅黑" w:cs="微软雅黑"/>
          <w:b/>
          <w:kern w:val="0"/>
          <w:sz w:val="24"/>
          <w:szCs w:val="24"/>
        </w:rPr>
        <w:t>提供针对本次项目的反商业贿赂承诺书。</w:t>
      </w:r>
    </w:p>
    <w:p>
      <w:pPr>
        <w:pStyle w:val="17"/>
        <w:tabs>
          <w:tab w:val="left" w:pos="5580"/>
        </w:tabs>
        <w:snapToGrid w:val="0"/>
        <w:spacing w:line="240" w:lineRule="atLeast"/>
        <w:textAlignment w:val="baseline"/>
        <w:rPr>
          <w:rFonts w:ascii="微软雅黑" w:hAnsi="微软雅黑" w:eastAsia="微软雅黑" w:cs="微软雅黑"/>
          <w:b/>
          <w:kern w:val="0"/>
          <w:sz w:val="24"/>
          <w:szCs w:val="24"/>
        </w:rPr>
      </w:pPr>
    </w:p>
    <w:p>
      <w:pPr>
        <w:pStyle w:val="17"/>
        <w:tabs>
          <w:tab w:val="left" w:pos="5580"/>
        </w:tabs>
        <w:snapToGrid w:val="0"/>
        <w:spacing w:line="240" w:lineRule="atLeast"/>
        <w:textAlignment w:val="baseline"/>
        <w:rPr>
          <w:rFonts w:ascii="微软雅黑" w:hAnsi="微软雅黑" w:eastAsia="微软雅黑" w:cs="微软雅黑"/>
          <w:b/>
          <w:kern w:val="0"/>
          <w:sz w:val="24"/>
          <w:szCs w:val="24"/>
        </w:rPr>
      </w:pPr>
    </w:p>
    <w:p>
      <w:pPr>
        <w:pStyle w:val="17"/>
        <w:tabs>
          <w:tab w:val="left" w:pos="5580"/>
        </w:tabs>
        <w:snapToGrid w:val="0"/>
        <w:spacing w:line="240" w:lineRule="atLeast"/>
        <w:textAlignment w:val="baseline"/>
        <w:rPr>
          <w:rFonts w:ascii="微软雅黑" w:hAnsi="微软雅黑" w:eastAsia="微软雅黑" w:cs="微软雅黑"/>
          <w:b/>
          <w:kern w:val="0"/>
          <w:sz w:val="24"/>
          <w:szCs w:val="24"/>
        </w:rPr>
      </w:pPr>
    </w:p>
    <w:p>
      <w:pPr>
        <w:pStyle w:val="17"/>
        <w:tabs>
          <w:tab w:val="left" w:pos="5580"/>
        </w:tabs>
        <w:snapToGrid w:val="0"/>
        <w:spacing w:line="240" w:lineRule="atLeast"/>
        <w:textAlignment w:val="baseline"/>
        <w:rPr>
          <w:rFonts w:ascii="微软雅黑" w:hAnsi="微软雅黑" w:eastAsia="微软雅黑" w:cs="微软雅黑"/>
          <w:b/>
          <w:kern w:val="0"/>
          <w:sz w:val="24"/>
          <w:szCs w:val="24"/>
        </w:rPr>
      </w:pPr>
    </w:p>
    <w:p>
      <w:pPr>
        <w:snapToGrid w:val="0"/>
        <w:spacing w:line="360" w:lineRule="exact"/>
        <w:textAlignment w:val="baseline"/>
        <w:rPr>
          <w:rFonts w:ascii="微软雅黑" w:hAnsi="微软雅黑" w:eastAsia="微软雅黑" w:cs="微软雅黑"/>
          <w:b/>
          <w:kern w:val="0"/>
          <w:sz w:val="24"/>
        </w:rPr>
      </w:pPr>
      <w:r>
        <w:rPr>
          <w:rFonts w:hint="eastAsia" w:ascii="微软雅黑" w:hAnsi="微软雅黑" w:eastAsia="微软雅黑" w:cs="微软雅黑"/>
          <w:b/>
          <w:kern w:val="0"/>
          <w:sz w:val="24"/>
          <w:szCs w:val="24"/>
          <w:lang w:val="en-US" w:eastAsia="zh-CN"/>
        </w:rPr>
        <w:t>10</w:t>
      </w:r>
      <w:r>
        <w:rPr>
          <w:rFonts w:hint="eastAsia" w:ascii="微软雅黑" w:hAnsi="微软雅黑" w:eastAsia="微软雅黑" w:cs="微软雅黑"/>
          <w:b/>
          <w:kern w:val="0"/>
          <w:sz w:val="24"/>
          <w:szCs w:val="24"/>
        </w:rPr>
        <w:t>、</w:t>
      </w:r>
      <w:bookmarkStart w:id="614" w:name="_Toc20720"/>
      <w:bookmarkStart w:id="615" w:name="_Toc28525"/>
      <w:bookmarkStart w:id="616" w:name="_Toc16480"/>
      <w:bookmarkStart w:id="617" w:name="_Toc16326"/>
      <w:bookmarkStart w:id="618" w:name="_Toc494296665"/>
      <w:bookmarkStart w:id="619" w:name="_Toc10102"/>
      <w:bookmarkStart w:id="620" w:name="_Toc494296991"/>
      <w:r>
        <w:rPr>
          <w:rFonts w:hint="eastAsia" w:ascii="微软雅黑" w:hAnsi="微软雅黑" w:eastAsia="微软雅黑" w:cs="微软雅黑"/>
          <w:b/>
          <w:kern w:val="0"/>
          <w:sz w:val="24"/>
          <w:szCs w:val="24"/>
          <w:lang w:eastAsia="zh-CN"/>
        </w:rPr>
        <w:t>提供缴纳磋商保证金的有效凭证。</w:t>
      </w:r>
    </w:p>
    <w:p>
      <w:pPr>
        <w:snapToGrid w:val="0"/>
        <w:spacing w:line="360" w:lineRule="exact"/>
        <w:ind w:firstLine="480" w:firstLineChars="200"/>
        <w:textAlignment w:val="baseline"/>
        <w:rPr>
          <w:rFonts w:hint="eastAsia" w:ascii="微软雅黑" w:hAnsi="微软雅黑" w:eastAsia="微软雅黑" w:cs="微软雅黑"/>
          <w:b w:val="0"/>
          <w:bCs/>
          <w:kern w:val="0"/>
          <w:sz w:val="24"/>
        </w:rPr>
      </w:pPr>
      <w:r>
        <w:rPr>
          <w:rFonts w:hint="eastAsia" w:ascii="微软雅黑" w:hAnsi="微软雅黑" w:eastAsia="微软雅黑" w:cs="微软雅黑"/>
          <w:b w:val="0"/>
          <w:bCs/>
          <w:kern w:val="0"/>
          <w:sz w:val="24"/>
          <w:lang w:val="en-US" w:eastAsia="zh-CN"/>
        </w:rPr>
        <w:t>供应商</w:t>
      </w:r>
      <w:r>
        <w:rPr>
          <w:rFonts w:hint="eastAsia" w:ascii="微软雅黑" w:hAnsi="微软雅黑" w:eastAsia="微软雅黑" w:cs="微软雅黑"/>
          <w:b w:val="0"/>
          <w:bCs/>
          <w:kern w:val="0"/>
          <w:sz w:val="24"/>
        </w:rPr>
        <w:t>可将本项目</w:t>
      </w:r>
      <w:r>
        <w:rPr>
          <w:rFonts w:hint="eastAsia" w:ascii="微软雅黑" w:hAnsi="微软雅黑" w:eastAsia="微软雅黑" w:cs="微软雅黑"/>
          <w:b w:val="0"/>
          <w:bCs/>
          <w:kern w:val="0"/>
          <w:sz w:val="24"/>
          <w:lang w:val="en-US" w:eastAsia="zh-CN"/>
        </w:rPr>
        <w:t>磋商</w:t>
      </w:r>
      <w:r>
        <w:rPr>
          <w:rFonts w:hint="eastAsia" w:ascii="微软雅黑" w:hAnsi="微软雅黑" w:eastAsia="微软雅黑" w:cs="微软雅黑"/>
          <w:b w:val="0"/>
          <w:bCs/>
          <w:kern w:val="0"/>
          <w:sz w:val="24"/>
        </w:rPr>
        <w:t>保证金支付的汇款凭证的复印件作为缴纳凭证装订在本部分，复印件上应加盖本单位章；使用</w:t>
      </w:r>
      <w:r>
        <w:rPr>
          <w:rFonts w:ascii="微软雅黑" w:hAnsi="微软雅黑" w:eastAsia="微软雅黑" w:cs="微软雅黑"/>
          <w:b w:val="0"/>
          <w:bCs/>
          <w:kern w:val="0"/>
          <w:sz w:val="24"/>
        </w:rPr>
        <w:t>银行保函</w:t>
      </w:r>
      <w:r>
        <w:rPr>
          <w:rFonts w:hint="eastAsia" w:ascii="微软雅黑" w:hAnsi="微软雅黑" w:eastAsia="微软雅黑" w:cs="微软雅黑"/>
          <w:b w:val="0"/>
          <w:bCs/>
          <w:kern w:val="0"/>
          <w:sz w:val="24"/>
        </w:rPr>
        <w:t>等其他投标</w:t>
      </w:r>
      <w:r>
        <w:rPr>
          <w:rFonts w:ascii="微软雅黑" w:hAnsi="微软雅黑" w:eastAsia="微软雅黑" w:cs="微软雅黑"/>
          <w:b w:val="0"/>
          <w:bCs/>
          <w:kern w:val="0"/>
          <w:sz w:val="24"/>
        </w:rPr>
        <w:t>担保函的，</w:t>
      </w:r>
      <w:r>
        <w:rPr>
          <w:rFonts w:hint="eastAsia" w:ascii="微软雅黑" w:hAnsi="微软雅黑" w:eastAsia="微软雅黑" w:cs="微软雅黑"/>
          <w:b w:val="0"/>
          <w:bCs/>
          <w:kern w:val="0"/>
          <w:sz w:val="24"/>
        </w:rPr>
        <w:t>应将</w:t>
      </w:r>
      <w:r>
        <w:rPr>
          <w:rFonts w:ascii="微软雅黑" w:hAnsi="微软雅黑" w:eastAsia="微软雅黑" w:cs="微软雅黑"/>
          <w:b w:val="0"/>
          <w:bCs/>
          <w:kern w:val="0"/>
          <w:sz w:val="24"/>
        </w:rPr>
        <w:t>担保函正</w:t>
      </w:r>
      <w:r>
        <w:rPr>
          <w:rFonts w:hint="eastAsia" w:ascii="微软雅黑" w:hAnsi="微软雅黑" w:eastAsia="微软雅黑" w:cs="微软雅黑"/>
          <w:b w:val="0"/>
          <w:bCs/>
          <w:kern w:val="0"/>
          <w:sz w:val="24"/>
        </w:rPr>
        <w:t>本，装订</w:t>
      </w:r>
      <w:r>
        <w:rPr>
          <w:rFonts w:ascii="微软雅黑" w:hAnsi="微软雅黑" w:eastAsia="微软雅黑" w:cs="微软雅黑"/>
          <w:b w:val="0"/>
          <w:bCs/>
          <w:kern w:val="0"/>
          <w:sz w:val="24"/>
        </w:rPr>
        <w:t>在本部分</w:t>
      </w:r>
      <w:r>
        <w:rPr>
          <w:rFonts w:hint="eastAsia" w:ascii="微软雅黑" w:hAnsi="微软雅黑" w:eastAsia="微软雅黑" w:cs="微软雅黑"/>
          <w:b w:val="0"/>
          <w:bCs/>
          <w:kern w:val="0"/>
          <w:sz w:val="24"/>
        </w:rPr>
        <w:t>正本</w:t>
      </w:r>
      <w:r>
        <w:rPr>
          <w:rFonts w:ascii="微软雅黑" w:hAnsi="微软雅黑" w:eastAsia="微软雅黑" w:cs="微软雅黑"/>
          <w:b w:val="0"/>
          <w:bCs/>
          <w:kern w:val="0"/>
          <w:sz w:val="24"/>
        </w:rPr>
        <w:t>中；</w:t>
      </w:r>
      <w:r>
        <w:rPr>
          <w:rFonts w:hint="eastAsia" w:ascii="微软雅黑" w:hAnsi="微软雅黑" w:eastAsia="微软雅黑" w:cs="微软雅黑"/>
          <w:b w:val="0"/>
          <w:bCs/>
          <w:kern w:val="0"/>
          <w:sz w:val="24"/>
        </w:rPr>
        <w:t>如采用政府采购信用担保形式的，</w:t>
      </w:r>
      <w:r>
        <w:rPr>
          <w:rFonts w:ascii="微软雅黑" w:hAnsi="微软雅黑" w:eastAsia="微软雅黑" w:cs="微软雅黑"/>
          <w:b w:val="0"/>
          <w:bCs/>
          <w:kern w:val="0"/>
          <w:sz w:val="24"/>
        </w:rPr>
        <w:t>应使用</w:t>
      </w:r>
      <w:r>
        <w:rPr>
          <w:rFonts w:hint="eastAsia" w:ascii="微软雅黑" w:hAnsi="微软雅黑" w:eastAsia="微软雅黑" w:cs="微软雅黑"/>
          <w:b w:val="0"/>
          <w:bCs/>
          <w:kern w:val="0"/>
          <w:sz w:val="24"/>
        </w:rPr>
        <w:t>（</w:t>
      </w:r>
      <w:r>
        <w:rPr>
          <w:rFonts w:ascii="微软雅黑" w:hAnsi="微软雅黑" w:eastAsia="微软雅黑" w:cs="微软雅黑"/>
          <w:b w:val="0"/>
          <w:bCs/>
          <w:kern w:val="0"/>
          <w:sz w:val="24"/>
        </w:rPr>
        <w:t>投标文件</w:t>
      </w:r>
      <w:r>
        <w:rPr>
          <w:rFonts w:hint="eastAsia" w:ascii="微软雅黑" w:hAnsi="微软雅黑" w:eastAsia="微软雅黑" w:cs="微软雅黑"/>
          <w:b w:val="0"/>
          <w:bCs/>
          <w:kern w:val="0"/>
          <w:sz w:val="24"/>
        </w:rPr>
        <w:t>格式三）,将原件装订</w:t>
      </w:r>
      <w:r>
        <w:rPr>
          <w:rFonts w:ascii="微软雅黑" w:hAnsi="微软雅黑" w:eastAsia="微软雅黑" w:cs="微软雅黑"/>
          <w:b w:val="0"/>
          <w:bCs/>
          <w:kern w:val="0"/>
          <w:sz w:val="24"/>
        </w:rPr>
        <w:t>在本部分正本中</w:t>
      </w:r>
      <w:r>
        <w:rPr>
          <w:rFonts w:hint="eastAsia" w:ascii="微软雅黑" w:hAnsi="微软雅黑" w:eastAsia="微软雅黑" w:cs="微软雅黑"/>
          <w:b w:val="0"/>
          <w:bCs/>
          <w:kern w:val="0"/>
          <w:sz w:val="24"/>
        </w:rPr>
        <w:t>。</w:t>
      </w:r>
    </w:p>
    <w:p>
      <w:pPr>
        <w:jc w:val="center"/>
        <w:rPr>
          <w:rFonts w:hint="eastAsia" w:ascii="微软雅黑" w:hAnsi="微软雅黑" w:eastAsia="微软雅黑" w:cs="微软雅黑"/>
          <w:sz w:val="24"/>
          <w:szCs w:val="24"/>
        </w:rPr>
      </w:pPr>
    </w:p>
    <w:p>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政府采购投标担保函 （项目用）（投标文件格式三）</w:t>
      </w:r>
    </w:p>
    <w:p>
      <w:pPr>
        <w:ind w:firstLine="6240" w:firstLineChars="2600"/>
        <w:rPr>
          <w:rFonts w:hint="eastAsia" w:ascii="微软雅黑" w:hAnsi="微软雅黑" w:eastAsia="微软雅黑" w:cs="微软雅黑"/>
          <w:sz w:val="24"/>
          <w:szCs w:val="24"/>
        </w:rPr>
      </w:pPr>
      <w:r>
        <w:rPr>
          <w:rFonts w:hint="eastAsia" w:ascii="微软雅黑" w:hAnsi="微软雅黑" w:eastAsia="微软雅黑" w:cs="微软雅黑"/>
          <w:sz w:val="24"/>
          <w:szCs w:val="24"/>
        </w:rPr>
        <w:t>编号：</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（采购人或采购代理机构）：</w:t>
      </w:r>
    </w:p>
    <w:p>
      <w:pPr>
        <w:rPr>
          <w:rFonts w:hint="eastAsia" w:ascii="微软雅黑" w:hAnsi="微软雅黑" w:eastAsia="微软雅黑" w:cs="微软雅黑"/>
          <w:sz w:val="24"/>
          <w:szCs w:val="24"/>
        </w:rPr>
      </w:pP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鉴于</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（以下简称“投标人”）拟参加编号为</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的</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项目（以下简称“本项目”）投标，根据本项目</w:t>
      </w:r>
      <w:r>
        <w:rPr>
          <w:rFonts w:hint="eastAsia" w:ascii="微软雅黑" w:hAnsi="微软雅黑" w:eastAsia="微软雅黑" w:cs="微软雅黑"/>
          <w:sz w:val="24"/>
          <w:szCs w:val="24"/>
          <w:lang w:eastAsia="zh-CN"/>
        </w:rPr>
        <w:t>竞争性磋商文件</w:t>
      </w:r>
      <w:r>
        <w:rPr>
          <w:rFonts w:hint="eastAsia" w:ascii="微软雅黑" w:hAnsi="微软雅黑" w:eastAsia="微软雅黑" w:cs="微软雅黑"/>
          <w:sz w:val="24"/>
          <w:szCs w:val="24"/>
        </w:rPr>
        <w:t>，供应商参加投标时应向你方交纳投标保证金，且可以投标担保函的形式交纳投标保证金。应供应商的申请，我方以保证的方式向你方提供如下投标保证金担保：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一、保证责任的情形及保证金额</w:t>
      </w:r>
    </w:p>
    <w:p>
      <w:pPr>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（一）在投标人出现下列情形之一时，我方承担保证责任：</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1．中标后投标人无正当理由不与采购人或者采购代理机构签订《政府采购合同》；</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r>
        <w:rPr>
          <w:rFonts w:hint="eastAsia" w:ascii="微软雅黑" w:hAnsi="微软雅黑" w:eastAsia="微软雅黑" w:cs="微软雅黑"/>
          <w:sz w:val="24"/>
          <w:szCs w:val="24"/>
          <w:lang w:eastAsia="zh-CN"/>
        </w:rPr>
        <w:t>竞争性磋商文件</w:t>
      </w:r>
      <w:r>
        <w:rPr>
          <w:rFonts w:hint="eastAsia" w:ascii="微软雅黑" w:hAnsi="微软雅黑" w:eastAsia="微软雅黑" w:cs="微软雅黑"/>
          <w:sz w:val="24"/>
          <w:szCs w:val="24"/>
        </w:rPr>
        <w:t>规定的投标人应当缴纳保证金的其他情形。</w:t>
      </w:r>
    </w:p>
    <w:p>
      <w:pPr>
        <w:ind w:firstLine="240" w:firstLineChars="1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（二）我方承担保证责任的最高金额为人民币</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元（大写</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），即本项目的投标保证金金额。</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二、保证的方式及保证期间</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我方保证的方式为：连带责任保证。</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我方的保证期间为：自本保函生效之日起</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个月止。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三、承担保证责任的程序</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2．我方在收到索赔通知及相关证明材料后，在</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个工作日内进行审查，符合应承担保证责任情形的，我方应按照你方的要求代投标人向你方支付投标保证金。</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四、保证责任的终止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1．保证期间届满你方未向我方书面主张保证责任的，自保证期间届满次日起，我方保证责任自动终止。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2．我方按照本保函向你贵方履行了保证责任后，自我方向你贵方支付款项（支付款项从我方账户划出）之日起，保证责任终止。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3．按照法律法规的规定或出现我方保证责任终止的其它情形的，我方在本保函项下的保证责任亦终止。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五、免责条款</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1．依照法律规定或你方与投标人的另行约定，全部或者部分免除投标人投标保证金义务时，我方亦免除相应的保证责任。</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2．因你方原因致使投标人发生本保函第一条第（一）款约定情形的，我方不承担保证责任。</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3．因不可抗力造成投标人发生本保函第一条约定情形的，我方不承担保证责任。</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4．你方或其他有权机关对</w:t>
      </w:r>
      <w:r>
        <w:rPr>
          <w:rFonts w:hint="eastAsia" w:ascii="微软雅黑" w:hAnsi="微软雅黑" w:eastAsia="微软雅黑" w:cs="微软雅黑"/>
          <w:sz w:val="24"/>
          <w:szCs w:val="24"/>
          <w:lang w:eastAsia="zh-CN"/>
        </w:rPr>
        <w:t>竞争性磋商文件</w:t>
      </w:r>
      <w:r>
        <w:rPr>
          <w:rFonts w:hint="eastAsia" w:ascii="微软雅黑" w:hAnsi="微软雅黑" w:eastAsia="微软雅黑" w:cs="微软雅黑"/>
          <w:sz w:val="24"/>
          <w:szCs w:val="24"/>
        </w:rPr>
        <w:t>进行任何澄清或修改，加重我方保证责任的，我方对加重部分不承担保证责任，但该澄清或修改经我方事先书面同意的除外。</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六、争议的解决</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因本保函发生的纠纷，由你我双方协商解决，协商不成的，通过诉讼程序解决，诉讼管辖地法院为</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法院。</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七、保函的生效</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本保函自我方加盖公章之日起生效。</w:t>
      </w:r>
    </w:p>
    <w:p>
      <w:pPr>
        <w:ind w:firstLine="6360" w:firstLineChars="2650"/>
        <w:rPr>
          <w:rFonts w:hint="eastAsia" w:ascii="微软雅黑" w:hAnsi="微软雅黑" w:eastAsia="微软雅黑" w:cs="微软雅黑"/>
          <w:sz w:val="24"/>
          <w:szCs w:val="24"/>
        </w:rPr>
      </w:pPr>
      <w:r>
        <w:rPr>
          <w:rFonts w:hint="eastAsia" w:ascii="微软雅黑" w:hAnsi="微软雅黑" w:eastAsia="微软雅黑" w:cs="微软雅黑"/>
          <w:sz w:val="24"/>
          <w:szCs w:val="24"/>
        </w:rPr>
        <w:t>保证人：（公章）</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年     月      日</w:t>
      </w:r>
    </w:p>
    <w:p>
      <w:pPr>
        <w:snapToGrid w:val="0"/>
        <w:spacing w:line="360" w:lineRule="exact"/>
        <w:textAlignment w:val="baseline"/>
        <w:rPr>
          <w:rFonts w:ascii="微软雅黑" w:hAnsi="微软雅黑" w:eastAsia="微软雅黑" w:cs="微软雅黑"/>
          <w:b/>
          <w:kern w:val="0"/>
          <w:sz w:val="24"/>
        </w:rPr>
      </w:pPr>
    </w:p>
    <w:p>
      <w:pPr>
        <w:pStyle w:val="5"/>
        <w:rPr>
          <w:rFonts w:ascii="微软雅黑" w:hAnsi="微软雅黑" w:eastAsia="微软雅黑" w:cs="微软雅黑"/>
          <w:b/>
          <w:kern w:val="0"/>
          <w:sz w:val="24"/>
        </w:rPr>
      </w:pPr>
    </w:p>
    <w:p>
      <w:pPr>
        <w:pStyle w:val="6"/>
        <w:ind w:left="0" w:leftChars="0" w:firstLine="0" w:firstLineChars="0"/>
        <w:rPr>
          <w:rFonts w:hint="default" w:ascii="微软雅黑" w:hAnsi="微软雅黑" w:eastAsia="微软雅黑" w:cs="微软雅黑"/>
          <w:b/>
          <w:kern w:val="0"/>
          <w:sz w:val="24"/>
          <w:szCs w:val="24"/>
          <w:lang w:val="en-US" w:eastAsia="zh-CN" w:bidi="ar-SA"/>
        </w:rPr>
      </w:pPr>
      <w:r>
        <w:rPr>
          <w:rFonts w:hint="eastAsia" w:ascii="微软雅黑" w:hAnsi="微软雅黑" w:eastAsia="微软雅黑" w:cs="微软雅黑"/>
          <w:b/>
          <w:kern w:val="0"/>
          <w:sz w:val="24"/>
          <w:szCs w:val="24"/>
          <w:lang w:val="en-US" w:eastAsia="zh-CN" w:bidi="ar-SA"/>
        </w:rPr>
        <w:t>11.供应商可提供有利于投标的其他资格证明材料。</w:t>
      </w:r>
    </w:p>
    <w:p>
      <w:pPr>
        <w:snapToGrid w:val="0"/>
        <w:spacing w:line="360" w:lineRule="exact"/>
        <w:textAlignment w:val="baseline"/>
        <w:rPr>
          <w:rFonts w:ascii="微软雅黑" w:hAnsi="微软雅黑" w:eastAsia="微软雅黑" w:cs="微软雅黑"/>
          <w:b/>
          <w:kern w:val="0"/>
          <w:sz w:val="24"/>
        </w:rPr>
      </w:pPr>
    </w:p>
    <w:p>
      <w:pPr>
        <w:pStyle w:val="2"/>
        <w:rPr>
          <w:rFonts w:ascii="微软雅黑" w:hAnsi="微软雅黑" w:eastAsia="微软雅黑" w:cs="微软雅黑"/>
          <w:b/>
          <w:kern w:val="0"/>
          <w:sz w:val="24"/>
        </w:rPr>
      </w:pPr>
    </w:p>
    <w:p>
      <w:pPr>
        <w:pStyle w:val="2"/>
        <w:rPr>
          <w:rFonts w:ascii="微软雅黑" w:hAnsi="微软雅黑" w:eastAsia="微软雅黑" w:cs="微软雅黑"/>
          <w:b/>
          <w:kern w:val="0"/>
          <w:sz w:val="24"/>
        </w:rPr>
      </w:pPr>
    </w:p>
    <w:bookmarkEnd w:id="614"/>
    <w:bookmarkEnd w:id="615"/>
    <w:bookmarkEnd w:id="616"/>
    <w:bookmarkEnd w:id="617"/>
    <w:bookmarkEnd w:id="618"/>
    <w:bookmarkEnd w:id="619"/>
    <w:bookmarkEnd w:id="620"/>
    <w:p>
      <w:pPr>
        <w:tabs>
          <w:tab w:val="left" w:pos="5580"/>
        </w:tabs>
        <w:spacing w:line="240" w:lineRule="atLeast"/>
        <w:rPr>
          <w:rFonts w:hint="eastAsia" w:ascii="微软雅黑" w:hAnsi="微软雅黑" w:eastAsia="微软雅黑" w:cs="微软雅黑"/>
          <w:b/>
          <w:kern w:val="0"/>
          <w:sz w:val="24"/>
          <w:szCs w:val="24"/>
          <w:lang w:val="en-US" w:eastAsia="zh-CN" w:bidi="ar-SA"/>
        </w:rPr>
      </w:pPr>
      <w:r>
        <w:rPr>
          <w:rFonts w:hint="eastAsia" w:ascii="微软雅黑" w:hAnsi="微软雅黑" w:eastAsia="微软雅黑" w:cs="微软雅黑"/>
          <w:b/>
          <w:kern w:val="0"/>
          <w:sz w:val="24"/>
          <w:szCs w:val="24"/>
          <w:lang w:val="en-US" w:eastAsia="zh-CN" w:bidi="ar-SA"/>
        </w:rPr>
        <w:t>12.投标人须知资料表要求的其他资格证明文件</w:t>
      </w:r>
    </w:p>
    <w:p>
      <w:pPr>
        <w:tabs>
          <w:tab w:val="left" w:pos="5580"/>
        </w:tabs>
        <w:spacing w:line="240" w:lineRule="atLeast"/>
        <w:ind w:left="540"/>
        <w:rPr>
          <w:rFonts w:hint="eastAsia" w:ascii="微软雅黑" w:hAnsi="微软雅黑" w:eastAsia="微软雅黑" w:cs="微软雅黑"/>
          <w:b w:val="0"/>
          <w:bCs/>
          <w:kern w:val="0"/>
          <w:sz w:val="24"/>
          <w:szCs w:val="20"/>
          <w:lang w:val="en-US" w:eastAsia="zh-CN" w:bidi="ar-SA"/>
        </w:rPr>
      </w:pPr>
      <w:r>
        <w:rPr>
          <w:rFonts w:hint="eastAsia" w:ascii="微软雅黑" w:hAnsi="微软雅黑" w:eastAsia="微软雅黑" w:cs="微软雅黑"/>
          <w:b w:val="0"/>
          <w:bCs/>
          <w:kern w:val="0"/>
          <w:sz w:val="24"/>
          <w:szCs w:val="20"/>
          <w:lang w:val="en-US" w:eastAsia="zh-CN" w:bidi="ar-SA"/>
        </w:rPr>
        <w:t>说明：1.应提供供应商须知资料表要求的其他资格证明文件。</w:t>
      </w:r>
    </w:p>
    <w:p>
      <w:pPr>
        <w:tabs>
          <w:tab w:val="left" w:pos="5580"/>
        </w:tabs>
        <w:spacing w:line="240" w:lineRule="atLeast"/>
        <w:ind w:left="540" w:firstLine="720" w:firstLineChars="300"/>
        <w:rPr>
          <w:rFonts w:hint="eastAsia" w:ascii="微软雅黑" w:hAnsi="微软雅黑" w:eastAsia="微软雅黑" w:cs="微软雅黑"/>
          <w:b w:val="0"/>
          <w:bCs/>
          <w:kern w:val="0"/>
          <w:sz w:val="24"/>
          <w:szCs w:val="20"/>
          <w:lang w:val="en-US" w:eastAsia="zh-CN" w:bidi="ar-SA"/>
        </w:rPr>
      </w:pPr>
      <w:r>
        <w:rPr>
          <w:rFonts w:hint="eastAsia" w:ascii="微软雅黑" w:hAnsi="微软雅黑" w:eastAsia="微软雅黑" w:cs="微软雅黑"/>
          <w:b w:val="0"/>
          <w:bCs/>
          <w:kern w:val="0"/>
          <w:sz w:val="24"/>
          <w:szCs w:val="20"/>
          <w:lang w:val="en-US" w:eastAsia="zh-CN" w:bidi="ar-SA"/>
        </w:rPr>
        <w:t>2.复印件上应加盖本单位章。</w:t>
      </w:r>
    </w:p>
    <w:p>
      <w:pPr>
        <w:tabs>
          <w:tab w:val="left" w:pos="5580"/>
        </w:tabs>
        <w:spacing w:line="240" w:lineRule="atLeast"/>
        <w:ind w:left="540"/>
        <w:rPr>
          <w:rFonts w:hint="eastAsia" w:ascii="微软雅黑" w:hAnsi="微软雅黑" w:eastAsia="微软雅黑" w:cs="微软雅黑"/>
          <w:b w:val="0"/>
          <w:bCs/>
          <w:kern w:val="0"/>
          <w:sz w:val="24"/>
          <w:szCs w:val="20"/>
          <w:lang w:val="en-US" w:eastAsia="zh-CN" w:bidi="ar-SA"/>
        </w:rPr>
      </w:pPr>
      <w:r>
        <w:rPr>
          <w:rFonts w:hint="eastAsia" w:ascii="微软雅黑" w:hAnsi="微软雅黑" w:eastAsia="微软雅黑" w:cs="微软雅黑"/>
          <w:b w:val="0"/>
          <w:bCs/>
          <w:kern w:val="0"/>
          <w:sz w:val="24"/>
          <w:szCs w:val="20"/>
          <w:lang w:val="en-US" w:eastAsia="zh-CN" w:bidi="ar-SA"/>
        </w:rPr>
        <w:t xml:space="preserve">     3. 如果是联合体投标，联合体各方需提供的满足竞争性磋商文件要求的其他资格证明文件。</w:t>
      </w:r>
    </w:p>
    <w:p>
      <w:pPr>
        <w:snapToGrid w:val="0"/>
        <w:spacing w:line="360" w:lineRule="exact"/>
        <w:textAlignment w:val="baseline"/>
        <w:outlineLvl w:val="9"/>
        <w:rPr>
          <w:rFonts w:ascii="微软雅黑" w:hAnsi="微软雅黑" w:eastAsia="微软雅黑" w:cs="微软雅黑"/>
          <w:b/>
          <w:kern w:val="0"/>
          <w:sz w:val="24"/>
        </w:rPr>
      </w:pPr>
    </w:p>
    <w:p>
      <w:pPr>
        <w:snapToGrid w:val="0"/>
        <w:textAlignment w:val="baseline"/>
        <w:rPr>
          <w:rFonts w:ascii="微软雅黑" w:hAnsi="微软雅黑" w:eastAsia="微软雅黑" w:cs="微软雅黑"/>
          <w:sz w:val="2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pStyle w:val="17"/>
        <w:tabs>
          <w:tab w:val="left" w:pos="5580"/>
        </w:tabs>
        <w:snapToGrid w:val="0"/>
        <w:spacing w:line="360" w:lineRule="exact"/>
        <w:textAlignment w:val="baseline"/>
        <w:rPr>
          <w:rFonts w:ascii="微软雅黑" w:hAnsi="微软雅黑" w:eastAsia="微软雅黑" w:cs="微软雅黑"/>
          <w:sz w:val="24"/>
          <w:szCs w:val="24"/>
          <w:u w:val="single" w:color="000000"/>
        </w:rPr>
      </w:pPr>
    </w:p>
    <w:p>
      <w:pPr>
        <w:snapToGrid w:val="0"/>
        <w:spacing w:line="240" w:lineRule="atLeast"/>
        <w:ind w:left="1079" w:leftChars="257" w:hanging="540"/>
        <w:jc w:val="center"/>
        <w:textAlignment w:val="baseline"/>
        <w:rPr>
          <w:rFonts w:ascii="微软雅黑" w:hAnsi="微软雅黑" w:eastAsia="微软雅黑" w:cs="微软雅黑"/>
          <w:b/>
          <w:sz w:val="24"/>
        </w:rPr>
      </w:pPr>
      <w:bookmarkStart w:id="621" w:name="_Toc22967"/>
      <w:bookmarkStart w:id="622" w:name="_Toc11956"/>
      <w:bookmarkStart w:id="623" w:name="_Toc3552"/>
      <w:bookmarkStart w:id="624" w:name="_Toc515647816"/>
      <w:bookmarkStart w:id="625" w:name="_Toc11180"/>
      <w:bookmarkStart w:id="626" w:name="_Toc12440"/>
      <w:bookmarkStart w:id="627" w:name="_Toc25827"/>
    </w:p>
    <w:p>
      <w:pPr>
        <w:pStyle w:val="4"/>
        <w:snapToGrid w:val="0"/>
        <w:spacing w:before="0" w:line="240" w:lineRule="atLeast"/>
        <w:ind w:left="1079" w:leftChars="257" w:hanging="540"/>
        <w:textAlignment w:val="baseline"/>
        <w:rPr>
          <w:rFonts w:ascii="微软雅黑" w:hAnsi="微软雅黑" w:eastAsia="微软雅黑" w:cs="微软雅黑"/>
          <w:sz w:val="24"/>
          <w:szCs w:val="24"/>
        </w:rPr>
      </w:pPr>
      <w:bookmarkStart w:id="628" w:name="_Toc26228"/>
      <w:r>
        <w:rPr>
          <w:rFonts w:hint="eastAsia" w:ascii="微软雅黑" w:hAnsi="微软雅黑" w:eastAsia="微软雅黑" w:cs="微软雅黑"/>
          <w:sz w:val="24"/>
          <w:szCs w:val="24"/>
        </w:rPr>
        <w:t>第二部分  商务及技术文件</w:t>
      </w:r>
      <w:bookmarkEnd w:id="621"/>
      <w:bookmarkEnd w:id="622"/>
      <w:bookmarkEnd w:id="623"/>
      <w:bookmarkEnd w:id="624"/>
      <w:bookmarkEnd w:id="625"/>
      <w:bookmarkEnd w:id="626"/>
      <w:bookmarkEnd w:id="627"/>
      <w:bookmarkEnd w:id="628"/>
    </w:p>
    <w:p>
      <w:pPr>
        <w:pStyle w:val="17"/>
        <w:spacing w:line="360" w:lineRule="exact"/>
        <w:ind w:firstLine="720" w:firstLineChars="300"/>
        <w:rPr>
          <w:rFonts w:hint="eastAsia" w:ascii="微软雅黑" w:hAnsi="微软雅黑" w:eastAsia="微软雅黑" w:cs="微软雅黑"/>
          <w:sz w:val="24"/>
          <w:lang w:eastAsia="zh-CN"/>
        </w:rPr>
      </w:pPr>
      <w:r>
        <w:rPr>
          <w:rFonts w:hint="eastAsia" w:ascii="微软雅黑" w:hAnsi="微软雅黑" w:eastAsia="微软雅黑" w:cs="微软雅黑"/>
          <w:sz w:val="24"/>
        </w:rPr>
        <w:t>1、磋商</w:t>
      </w:r>
      <w:r>
        <w:rPr>
          <w:rFonts w:hint="eastAsia" w:ascii="微软雅黑" w:hAnsi="微软雅黑" w:eastAsia="微软雅黑" w:cs="微软雅黑"/>
          <w:sz w:val="24"/>
          <w:lang w:eastAsia="zh-CN"/>
        </w:rPr>
        <w:t>涵</w:t>
      </w:r>
    </w:p>
    <w:p>
      <w:pPr>
        <w:pStyle w:val="17"/>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rPr>
        <w:t>2、磋商分项报价表</w:t>
      </w:r>
    </w:p>
    <w:p>
      <w:pPr>
        <w:pStyle w:val="17"/>
        <w:spacing w:line="360" w:lineRule="exact"/>
        <w:ind w:firstLine="720" w:firstLineChars="300"/>
        <w:rPr>
          <w:rFonts w:hint="eastAsia" w:ascii="微软雅黑" w:hAnsi="微软雅黑" w:eastAsia="微软雅黑" w:cs="微软雅黑"/>
          <w:sz w:val="24"/>
        </w:rPr>
      </w:pPr>
      <w:r>
        <w:rPr>
          <w:rFonts w:hint="eastAsia" w:ascii="微软雅黑" w:hAnsi="微软雅黑" w:eastAsia="微软雅黑" w:cs="微软雅黑"/>
          <w:sz w:val="24"/>
        </w:rPr>
        <w:t>3、</w:t>
      </w:r>
      <w:r>
        <w:rPr>
          <w:rFonts w:hint="eastAsia" w:ascii="微软雅黑" w:hAnsi="微软雅黑" w:eastAsia="微软雅黑" w:cs="微软雅黑"/>
          <w:sz w:val="24"/>
          <w:lang w:eastAsia="zh-CN"/>
        </w:rPr>
        <w:t>服务</w:t>
      </w:r>
      <w:r>
        <w:rPr>
          <w:rFonts w:hint="eastAsia" w:ascii="微软雅黑" w:hAnsi="微软雅黑" w:eastAsia="微软雅黑" w:cs="微软雅黑"/>
          <w:sz w:val="24"/>
        </w:rPr>
        <w:t>说明一览表</w:t>
      </w:r>
    </w:p>
    <w:p>
      <w:pPr>
        <w:pStyle w:val="17"/>
        <w:spacing w:line="360" w:lineRule="exact"/>
        <w:ind w:firstLine="720" w:firstLineChars="300"/>
        <w:rPr>
          <w:rFonts w:hint="eastAsia" w:ascii="微软雅黑" w:hAnsi="微软雅黑" w:eastAsia="微软雅黑" w:cs="微软雅黑"/>
          <w:sz w:val="24"/>
        </w:rPr>
      </w:pPr>
      <w:r>
        <w:rPr>
          <w:rFonts w:hint="eastAsia" w:ascii="微软雅黑" w:hAnsi="微软雅黑" w:eastAsia="微软雅黑" w:cs="微软雅黑"/>
          <w:sz w:val="24"/>
          <w:lang w:val="en-US" w:eastAsia="zh-CN"/>
        </w:rPr>
        <w:t>4、</w:t>
      </w:r>
      <w:r>
        <w:rPr>
          <w:rFonts w:hint="eastAsia" w:ascii="微软雅黑" w:hAnsi="微软雅黑" w:eastAsia="微软雅黑" w:cs="微软雅黑"/>
          <w:sz w:val="24"/>
        </w:rPr>
        <w:t>技术规格偏离表</w:t>
      </w:r>
    </w:p>
    <w:p>
      <w:pPr>
        <w:pStyle w:val="17"/>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5</w:t>
      </w:r>
      <w:r>
        <w:rPr>
          <w:rFonts w:hint="eastAsia" w:ascii="微软雅黑" w:hAnsi="微软雅黑" w:eastAsia="微软雅黑" w:cs="微软雅黑"/>
          <w:sz w:val="24"/>
        </w:rPr>
        <w:t>、</w:t>
      </w:r>
      <w:bookmarkStart w:id="629" w:name="_Toc2883_WPSOffice_Level2"/>
      <w:bookmarkStart w:id="630" w:name="_Toc5136_WPSOffice_Level1"/>
      <w:bookmarkStart w:id="631" w:name="_Toc30193_WPSOffice_Level2"/>
      <w:r>
        <w:rPr>
          <w:rFonts w:hint="eastAsia" w:ascii="微软雅黑" w:hAnsi="微软雅黑" w:eastAsia="微软雅黑" w:cs="微软雅黑"/>
          <w:sz w:val="24"/>
        </w:rPr>
        <w:t>商务条款偏离表</w:t>
      </w:r>
    </w:p>
    <w:bookmarkEnd w:id="629"/>
    <w:bookmarkEnd w:id="630"/>
    <w:bookmarkEnd w:id="631"/>
    <w:p>
      <w:pPr>
        <w:pStyle w:val="17"/>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-1 中小企业声明函</w:t>
      </w:r>
    </w:p>
    <w:p>
      <w:pPr>
        <w:pStyle w:val="17"/>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-2 残疾人福利性单位声明函</w:t>
      </w:r>
    </w:p>
    <w:p>
      <w:pPr>
        <w:pStyle w:val="17"/>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7</w:t>
      </w:r>
      <w:r>
        <w:rPr>
          <w:rFonts w:hint="eastAsia" w:ascii="微软雅黑" w:hAnsi="微软雅黑" w:eastAsia="微软雅黑" w:cs="微软雅黑"/>
          <w:sz w:val="24"/>
        </w:rPr>
        <w:t>、供应商关联单位的说明</w:t>
      </w:r>
    </w:p>
    <w:p>
      <w:pPr>
        <w:pStyle w:val="17"/>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8</w:t>
      </w:r>
      <w:r>
        <w:rPr>
          <w:rFonts w:hint="eastAsia" w:ascii="微软雅黑" w:hAnsi="微软雅黑" w:eastAsia="微软雅黑" w:cs="微软雅黑"/>
          <w:sz w:val="24"/>
        </w:rPr>
        <w:t>、其他有利于磋商的技术条件</w:t>
      </w:r>
    </w:p>
    <w:p>
      <w:pPr>
        <w:pStyle w:val="17"/>
        <w:spacing w:line="360" w:lineRule="exact"/>
        <w:ind w:firstLine="720" w:firstLineChars="300"/>
        <w:rPr>
          <w:rFonts w:ascii="微软雅黑" w:hAnsi="微软雅黑" w:eastAsia="微软雅黑" w:cs="微软雅黑"/>
          <w:sz w:val="24"/>
        </w:rPr>
      </w:pPr>
      <w:r>
        <w:rPr>
          <w:rFonts w:hint="eastAsia" w:ascii="微软雅黑" w:hAnsi="微软雅黑" w:eastAsia="微软雅黑" w:cs="微软雅黑"/>
          <w:sz w:val="24"/>
          <w:lang w:val="en-US" w:eastAsia="zh-CN"/>
        </w:rPr>
        <w:t>9</w:t>
      </w:r>
      <w:r>
        <w:rPr>
          <w:rFonts w:hint="eastAsia" w:ascii="微软雅黑" w:hAnsi="微软雅黑" w:eastAsia="微软雅黑" w:cs="微软雅黑"/>
          <w:sz w:val="24"/>
        </w:rPr>
        <w:t>、响应文件格式范本</w:t>
      </w:r>
    </w:p>
    <w:p>
      <w:pPr>
        <w:pStyle w:val="17"/>
        <w:snapToGrid w:val="0"/>
        <w:ind w:left="1079" w:leftChars="257" w:hanging="540"/>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p>
      <w:pPr>
        <w:pStyle w:val="17"/>
        <w:tabs>
          <w:tab w:val="left" w:pos="5580"/>
        </w:tabs>
        <w:snapToGrid w:val="0"/>
        <w:spacing w:line="240" w:lineRule="atLeast"/>
        <w:textAlignment w:val="baseline"/>
        <w:rPr>
          <w:rFonts w:ascii="微软雅黑" w:hAnsi="微软雅黑" w:eastAsia="微软雅黑" w:cs="微软雅黑"/>
          <w:sz w:val="24"/>
          <w:szCs w:val="24"/>
        </w:rPr>
      </w:pPr>
    </w:p>
    <w:bookmarkEnd w:id="593"/>
    <w:bookmarkEnd w:id="594"/>
    <w:bookmarkEnd w:id="595"/>
    <w:bookmarkEnd w:id="596"/>
    <w:p>
      <w:pPr>
        <w:pStyle w:val="4"/>
        <w:rPr>
          <w:rFonts w:hint="eastAsia" w:ascii="宋体" w:hAnsi="宋体" w:eastAsia="宋体" w:cs="宋体"/>
          <w:sz w:val="24"/>
          <w:highlight w:val="none"/>
        </w:rPr>
      </w:pPr>
      <w:bookmarkStart w:id="632" w:name="_Toc19813"/>
      <w:bookmarkStart w:id="633" w:name="_Toc16278"/>
      <w:bookmarkStart w:id="634" w:name="_Toc21814"/>
      <w:bookmarkStart w:id="635" w:name="_Toc18940"/>
      <w:bookmarkStart w:id="636" w:name="_Toc32628"/>
      <w:bookmarkStart w:id="637" w:name="_Toc3467"/>
      <w:bookmarkStart w:id="638" w:name="_Toc11664"/>
      <w:bookmarkStart w:id="639" w:name="_Toc23195"/>
      <w:bookmarkStart w:id="640" w:name="_Toc22104"/>
      <w:bookmarkStart w:id="641" w:name="_Toc24292"/>
      <w:bookmarkStart w:id="642" w:name="_Toc9921"/>
      <w:bookmarkStart w:id="643" w:name="_Toc22132"/>
      <w:bookmarkStart w:id="644" w:name="_Toc6343"/>
      <w:bookmarkStart w:id="645" w:name="_Toc216582816"/>
      <w:bookmarkStart w:id="646" w:name="_Toc515647819"/>
      <w:bookmarkStart w:id="647" w:name="_Toc25251"/>
      <w:bookmarkStart w:id="648" w:name="_Toc18267"/>
      <w:bookmarkStart w:id="649" w:name="_Toc14037"/>
      <w:bookmarkStart w:id="650" w:name="_Toc12151"/>
      <w:r>
        <w:rPr>
          <w:rFonts w:hint="eastAsia" w:ascii="宋体" w:hAnsi="宋体" w:eastAsia="宋体" w:cs="宋体"/>
          <w:highlight w:val="none"/>
        </w:rPr>
        <w:t>1</w:t>
      </w:r>
      <w:r>
        <w:rPr>
          <w:rFonts w:hint="eastAsia" w:ascii="宋体" w:hAnsi="宋体" w:eastAsia="宋体" w:cs="宋体"/>
          <w:highlight w:val="none"/>
          <w:lang w:val="en-US" w:eastAsia="zh-CN"/>
        </w:rPr>
        <w:t>.</w:t>
      </w:r>
      <w:r>
        <w:rPr>
          <w:rFonts w:hint="eastAsia" w:ascii="宋体" w:hAnsi="宋体" w:eastAsia="宋体" w:cs="宋体"/>
          <w:highlight w:val="none"/>
        </w:rPr>
        <w:t>磋商函</w:t>
      </w:r>
      <w:bookmarkEnd w:id="632"/>
    </w:p>
    <w:p>
      <w:pPr>
        <w:tabs>
          <w:tab w:val="left" w:pos="5580"/>
        </w:tabs>
        <w:spacing w:line="360" w:lineRule="exact"/>
        <w:ind w:left="1080" w:hanging="1080"/>
        <w:rPr>
          <w:rFonts w:hint="eastAsia" w:ascii="宋体" w:hAnsi="宋体" w:eastAsia="宋体" w:cs="宋体"/>
          <w:sz w:val="24"/>
          <w:highlight w:val="none"/>
          <w:lang w:eastAsia="zh-CN"/>
        </w:rPr>
      </w:pPr>
      <w:r>
        <w:rPr>
          <w:rFonts w:hint="eastAsia" w:ascii="宋体" w:hAnsi="宋体" w:eastAsia="宋体" w:cs="宋体"/>
          <w:sz w:val="24"/>
          <w:highlight w:val="none"/>
        </w:rPr>
        <w:t>致：</w:t>
      </w:r>
      <w:r>
        <w:rPr>
          <w:rFonts w:hint="eastAsia" w:ascii="宋体" w:hAnsi="宋体" w:eastAsia="宋体" w:cs="宋体"/>
          <w:sz w:val="24"/>
          <w:highlight w:val="none"/>
          <w:lang w:eastAsia="zh-CN"/>
        </w:rPr>
        <w:t>招标代理公司</w:t>
      </w:r>
    </w:p>
    <w:p>
      <w:pPr>
        <w:pStyle w:val="17"/>
        <w:tabs>
          <w:tab w:val="left" w:pos="5580"/>
        </w:tabs>
        <w:spacing w:line="360" w:lineRule="exact"/>
        <w:ind w:left="2" w:leftChars="1"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根据贵方(</w:t>
      </w:r>
      <w:r>
        <w:rPr>
          <w:rFonts w:hint="eastAsia" w:ascii="宋体" w:hAnsi="宋体" w:eastAsia="宋体" w:cs="宋体"/>
          <w:sz w:val="24"/>
          <w:highlight w:val="none"/>
          <w:u w:val="single"/>
        </w:rPr>
        <w:t>项目名称</w:t>
      </w:r>
      <w:r>
        <w:rPr>
          <w:rFonts w:hint="eastAsia" w:ascii="宋体" w:hAnsi="宋体" w:eastAsia="宋体" w:cs="宋体"/>
          <w:sz w:val="24"/>
          <w:highlight w:val="none"/>
        </w:rPr>
        <w:t>)项目的磋商邀请(</w:t>
      </w:r>
      <w:r>
        <w:rPr>
          <w:rFonts w:hint="eastAsia" w:ascii="宋体" w:hAnsi="宋体" w:eastAsia="宋体" w:cs="宋体"/>
          <w:sz w:val="24"/>
          <w:highlight w:val="none"/>
          <w:u w:val="single"/>
          <w:lang w:eastAsia="zh-CN"/>
        </w:rPr>
        <w:t>项目编号</w:t>
      </w:r>
      <w:r>
        <w:rPr>
          <w:rFonts w:hint="eastAsia" w:ascii="宋体" w:hAnsi="宋体" w:eastAsia="宋体" w:cs="宋体"/>
          <w:sz w:val="24"/>
          <w:highlight w:val="none"/>
        </w:rPr>
        <w:t>),签字代表(</w:t>
      </w:r>
      <w:r>
        <w:rPr>
          <w:rFonts w:hint="eastAsia" w:ascii="宋体" w:hAnsi="宋体" w:eastAsia="宋体" w:cs="宋体"/>
          <w:sz w:val="24"/>
          <w:highlight w:val="none"/>
          <w:u w:val="single"/>
        </w:rPr>
        <w:t>姓名、职务</w:t>
      </w:r>
      <w:r>
        <w:rPr>
          <w:rFonts w:hint="eastAsia" w:ascii="宋体" w:hAnsi="宋体" w:eastAsia="宋体" w:cs="宋体"/>
          <w:sz w:val="24"/>
          <w:highlight w:val="none"/>
        </w:rPr>
        <w:t>)经正式授权并代表供应商（</w:t>
      </w:r>
      <w:r>
        <w:rPr>
          <w:rFonts w:hint="eastAsia" w:ascii="宋体" w:hAnsi="宋体" w:eastAsia="宋体" w:cs="宋体"/>
          <w:sz w:val="24"/>
          <w:highlight w:val="none"/>
          <w:u w:val="single"/>
        </w:rPr>
        <w:t>名称、地址</w:t>
      </w:r>
      <w:r>
        <w:rPr>
          <w:rFonts w:hint="eastAsia" w:ascii="宋体" w:hAnsi="宋体" w:eastAsia="宋体" w:cs="宋体"/>
          <w:sz w:val="24"/>
          <w:highlight w:val="none"/>
        </w:rPr>
        <w:t>）提交下述文件正本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份、副本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份及电子文档</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份，并以</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形式出具的金额为人民币</w:t>
      </w:r>
      <w:r>
        <w:rPr>
          <w:rFonts w:hint="eastAsia" w:ascii="宋体" w:hAnsi="宋体" w:eastAsia="宋体" w:cs="宋体"/>
          <w:sz w:val="24"/>
          <w:highlight w:val="none"/>
          <w:u w:val="single"/>
        </w:rPr>
        <w:t>　　　　</w:t>
      </w:r>
      <w:r>
        <w:rPr>
          <w:rFonts w:hint="eastAsia" w:ascii="宋体" w:hAnsi="宋体" w:eastAsia="宋体" w:cs="宋体"/>
          <w:sz w:val="24"/>
          <w:highlight w:val="none"/>
        </w:rPr>
        <w:t>元的磋商保证金。</w:t>
      </w:r>
    </w:p>
    <w:p>
      <w:pPr>
        <w:pStyle w:val="17"/>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据此，签字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rPr>
        <w:t>代表宣布同意如下：</w:t>
      </w:r>
    </w:p>
    <w:p>
      <w:pPr>
        <w:pStyle w:val="17"/>
        <w:tabs>
          <w:tab w:val="left" w:pos="720"/>
          <w:tab w:val="left" w:pos="900"/>
        </w:tabs>
        <w:spacing w:line="360" w:lineRule="exact"/>
        <w:ind w:left="768" w:leftChars="257" w:hanging="229"/>
        <w:rPr>
          <w:rFonts w:hint="eastAsia" w:ascii="宋体" w:hAnsi="宋体" w:eastAsia="宋体" w:cs="宋体"/>
          <w:sz w:val="24"/>
          <w:highlight w:val="none"/>
          <w:u w:val="single"/>
        </w:rPr>
      </w:pPr>
      <w:r>
        <w:rPr>
          <w:rFonts w:hint="eastAsia" w:ascii="宋体" w:hAnsi="宋体" w:eastAsia="宋体" w:cs="宋体"/>
          <w:sz w:val="24"/>
          <w:highlight w:val="none"/>
        </w:rPr>
        <w:t>（1）所附投标报价表中规定的应提交和交付的货物和服务投标总价为（注明币种，并用文字和数字表示的投标总价）。</w:t>
      </w:r>
    </w:p>
    <w:p>
      <w:pPr>
        <w:pStyle w:val="17"/>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（2）本磋商有效期为自磋商截止之日起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个日历日。</w:t>
      </w:r>
    </w:p>
    <w:p>
      <w:pPr>
        <w:pStyle w:val="17"/>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（3）联合体中的大中型企业和其他自然人、法人或者非法人组织，与联合体中的小型、微型企业之间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存在、不存在）投资关系（如果是联合体的话）。</w:t>
      </w:r>
    </w:p>
    <w:p>
      <w:pPr>
        <w:pStyle w:val="17"/>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（4）已详细审查全部磋商文件，包括所有补充通知（如果有的话），完全理解并同意放弃对这方面有不明、误解和质疑的权力。</w:t>
      </w:r>
    </w:p>
    <w:p>
      <w:pPr>
        <w:pStyle w:val="17"/>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（5）在规定的开标时间后，遵守磋商文件中有关保证金的规定。</w:t>
      </w:r>
    </w:p>
    <w:p>
      <w:pPr>
        <w:pStyle w:val="17"/>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（6）我方不是为本项目提供整体设计、规范编制或者项目管理、监理、检测等服务的供应商，我方不是采购代理机构的附属机构。</w:t>
      </w:r>
    </w:p>
    <w:p>
      <w:pPr>
        <w:pStyle w:val="17"/>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（7）在领取成交通知书的同时按磋商文件规定的形式，向贵方一次性支付成交服务费。</w:t>
      </w:r>
    </w:p>
    <w:p>
      <w:pPr>
        <w:pStyle w:val="17"/>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（8）按照贵方可能要求，提供与其磋商有关的一切数据或资料，完全理解贵方不一定接受最低价的磋商或收到的任何磋商。</w:t>
      </w:r>
    </w:p>
    <w:p>
      <w:pPr>
        <w:pStyle w:val="17"/>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（9）按照磋商文件的规定履行合同责任和义务。</w:t>
      </w:r>
    </w:p>
    <w:p>
      <w:pPr>
        <w:pStyle w:val="17"/>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与本磋商有关的一切正式往来信函请寄：</w:t>
      </w:r>
    </w:p>
    <w:p>
      <w:pPr>
        <w:pStyle w:val="17"/>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传真</w:t>
      </w:r>
      <w:r>
        <w:rPr>
          <w:rFonts w:hint="eastAsia" w:ascii="宋体" w:hAnsi="宋体" w:eastAsia="宋体" w:cs="宋体"/>
          <w:sz w:val="24"/>
          <w:highlight w:val="none"/>
          <w:u w:val="single"/>
        </w:rPr>
        <w:t xml:space="preserve">                             </w:t>
      </w:r>
    </w:p>
    <w:p>
      <w:pPr>
        <w:pStyle w:val="17"/>
        <w:tabs>
          <w:tab w:val="left" w:pos="5580"/>
        </w:tabs>
        <w:spacing w:line="360" w:lineRule="exact"/>
        <w:ind w:left="1079" w:leftChars="257" w:hanging="540"/>
        <w:rPr>
          <w:rFonts w:hint="eastAsia" w:ascii="宋体" w:hAnsi="宋体" w:eastAsia="宋体" w:cs="宋体"/>
          <w:b/>
          <w:sz w:val="24"/>
          <w:highlight w:val="none"/>
        </w:rPr>
      </w:pPr>
      <w:r>
        <w:rPr>
          <w:rFonts w:hint="eastAsia" w:ascii="宋体" w:hAnsi="宋体" w:eastAsia="宋体" w:cs="宋体"/>
          <w:sz w:val="24"/>
          <w:highlight w:val="none"/>
        </w:rPr>
        <w:t>电话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电子函件</w:t>
      </w:r>
      <w:r>
        <w:rPr>
          <w:rFonts w:hint="eastAsia" w:ascii="宋体" w:hAnsi="宋体" w:eastAsia="宋体" w:cs="宋体"/>
          <w:sz w:val="24"/>
          <w:highlight w:val="none"/>
          <w:u w:val="single"/>
        </w:rPr>
        <w:t xml:space="preserve">                         </w:t>
      </w:r>
    </w:p>
    <w:p>
      <w:pPr>
        <w:pStyle w:val="17"/>
        <w:tabs>
          <w:tab w:val="left" w:pos="5580"/>
        </w:tabs>
        <w:spacing w:line="360" w:lineRule="exact"/>
        <w:ind w:left="1079" w:leftChars="257" w:hanging="540"/>
        <w:rPr>
          <w:rFonts w:hint="eastAsia" w:ascii="宋体" w:hAnsi="宋体" w:eastAsia="宋体" w:cs="宋体"/>
          <w:sz w:val="24"/>
          <w:highlight w:val="none"/>
        </w:rPr>
      </w:pPr>
    </w:p>
    <w:p>
      <w:pPr>
        <w:pStyle w:val="17"/>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法定代表人或其委托代理人</w:t>
      </w:r>
      <w:r>
        <w:rPr>
          <w:rFonts w:hint="eastAsia" w:ascii="宋体" w:hAnsi="宋体" w:eastAsia="宋体" w:cs="宋体"/>
          <w:sz w:val="24"/>
          <w:highlight w:val="none"/>
          <w:lang w:eastAsia="zh-CN"/>
        </w:rPr>
        <w:t>（签字或盖章）</w:t>
      </w:r>
      <w:r>
        <w:rPr>
          <w:rFonts w:hint="eastAsia" w:ascii="宋体" w:hAnsi="宋体" w:eastAsia="宋体" w:cs="宋体"/>
          <w:sz w:val="24"/>
          <w:highlight w:val="none"/>
          <w:u w:val="single"/>
        </w:rPr>
        <w:t>　　　　　　　　 　　</w:t>
      </w:r>
    </w:p>
    <w:p>
      <w:pPr>
        <w:pStyle w:val="17"/>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供应商名称（全称）</w:t>
      </w:r>
      <w:r>
        <w:rPr>
          <w:rFonts w:hint="eastAsia" w:ascii="宋体" w:hAnsi="宋体" w:eastAsia="宋体" w:cs="宋体"/>
          <w:sz w:val="24"/>
          <w:highlight w:val="none"/>
          <w:u w:val="single"/>
        </w:rPr>
        <w:t>　　　　　　　　 　          　</w:t>
      </w:r>
    </w:p>
    <w:p>
      <w:pPr>
        <w:pStyle w:val="17"/>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供应商开户银行（全称）</w:t>
      </w:r>
      <w:r>
        <w:rPr>
          <w:rFonts w:hint="eastAsia" w:ascii="宋体" w:hAnsi="宋体" w:eastAsia="宋体" w:cs="宋体"/>
          <w:sz w:val="24"/>
          <w:highlight w:val="none"/>
          <w:u w:val="single"/>
        </w:rPr>
        <w:t xml:space="preserve">　　　　　              　 </w:t>
      </w:r>
    </w:p>
    <w:p>
      <w:pPr>
        <w:pStyle w:val="17"/>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供应商银行帐号</w:t>
      </w:r>
      <w:r>
        <w:rPr>
          <w:rFonts w:hint="eastAsia" w:ascii="宋体" w:hAnsi="宋体" w:eastAsia="宋体" w:cs="宋体"/>
          <w:sz w:val="24"/>
          <w:highlight w:val="none"/>
          <w:u w:val="single"/>
        </w:rPr>
        <w:t>　　　　　　　　                 　</w:t>
      </w:r>
    </w:p>
    <w:p>
      <w:pPr>
        <w:pStyle w:val="17"/>
        <w:tabs>
          <w:tab w:val="left" w:pos="5580"/>
        </w:tabs>
        <w:spacing w:line="360" w:lineRule="exact"/>
        <w:ind w:left="1079" w:leftChars="257" w:hanging="540"/>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eastAsia="zh-CN"/>
        </w:rPr>
        <w:t>（公章）</w:t>
      </w:r>
      <w:r>
        <w:rPr>
          <w:rFonts w:hint="eastAsia" w:ascii="宋体" w:hAnsi="宋体" w:eastAsia="宋体" w:cs="宋体"/>
          <w:sz w:val="24"/>
          <w:highlight w:val="none"/>
          <w:u w:val="single"/>
        </w:rPr>
        <w:t xml:space="preserve">　　　　　　　                    　 </w:t>
      </w:r>
    </w:p>
    <w:p>
      <w:pPr>
        <w:pStyle w:val="17"/>
        <w:tabs>
          <w:tab w:val="left" w:pos="5580"/>
        </w:tabs>
        <w:spacing w:line="360" w:lineRule="exact"/>
        <w:ind w:left="1079" w:leftChars="257" w:hanging="540"/>
        <w:rPr>
          <w:rFonts w:hint="eastAsia" w:ascii="宋体" w:hAnsi="宋体" w:eastAsia="宋体" w:cs="宋体"/>
          <w:highlight w:val="none"/>
        </w:rPr>
        <w:sectPr>
          <w:footerReference r:id="rId3" w:type="default"/>
          <w:pgSz w:w="11906" w:h="16838"/>
          <w:pgMar w:top="1440" w:right="1800" w:bottom="1440" w:left="1800" w:header="851" w:footer="992" w:gutter="0"/>
          <w:pgNumType w:fmt="numberInDash" w:start="1"/>
          <w:cols w:space="720" w:num="1"/>
          <w:docGrid w:type="linesAndChars" w:linePitch="312" w:charSpace="0"/>
        </w:sectPr>
      </w:pPr>
      <w:r>
        <w:rPr>
          <w:rFonts w:hint="eastAsia" w:ascii="宋体" w:hAnsi="宋体" w:eastAsia="宋体" w:cs="宋体"/>
          <w:sz w:val="24"/>
          <w:highlight w:val="none"/>
        </w:rPr>
        <w:t>日期</w:t>
      </w:r>
      <w:r>
        <w:rPr>
          <w:rFonts w:hint="eastAsia" w:ascii="宋体" w:hAnsi="宋体" w:eastAsia="宋体" w:cs="宋体"/>
          <w:sz w:val="24"/>
          <w:highlight w:val="none"/>
          <w:u w:val="single"/>
        </w:rPr>
        <w:t>　　　　　　                        　　 　　</w:t>
      </w:r>
    </w:p>
    <w:p>
      <w:pPr>
        <w:pStyle w:val="17"/>
        <w:spacing w:line="360" w:lineRule="exact"/>
        <w:rPr>
          <w:rFonts w:ascii="微软雅黑" w:hAnsi="微软雅黑" w:eastAsia="微软雅黑" w:cs="微软雅黑"/>
          <w:b/>
          <w:kern w:val="0"/>
          <w:sz w:val="24"/>
        </w:rPr>
      </w:pPr>
    </w:p>
    <w:p>
      <w:pPr>
        <w:pStyle w:val="17"/>
        <w:spacing w:line="360" w:lineRule="exact"/>
        <w:rPr>
          <w:rFonts w:ascii="微软雅黑" w:hAnsi="微软雅黑" w:eastAsia="微软雅黑" w:cs="微软雅黑"/>
          <w:b/>
          <w:kern w:val="0"/>
          <w:sz w:val="24"/>
        </w:rPr>
      </w:pPr>
    </w:p>
    <w:p>
      <w:pPr>
        <w:pStyle w:val="4"/>
        <w:spacing w:before="0" w:line="360" w:lineRule="exact"/>
        <w:ind w:left="1080" w:leftChars="257" w:hanging="540"/>
        <w:rPr>
          <w:rFonts w:ascii="微软雅黑" w:hAnsi="微软雅黑" w:eastAsia="微软雅黑" w:cs="微软雅黑"/>
          <w:sz w:val="24"/>
          <w:szCs w:val="24"/>
        </w:rPr>
      </w:pPr>
      <w:bookmarkStart w:id="651" w:name="_Toc13219"/>
      <w:bookmarkStart w:id="652" w:name="_Toc9529"/>
      <w:r>
        <w:rPr>
          <w:rFonts w:hint="eastAsia" w:ascii="微软雅黑" w:hAnsi="微软雅黑" w:eastAsia="微软雅黑" w:cs="微软雅黑"/>
          <w:sz w:val="24"/>
          <w:szCs w:val="24"/>
        </w:rPr>
        <w:t xml:space="preserve">2 </w:t>
      </w:r>
      <w:bookmarkStart w:id="653" w:name="_Toc5101"/>
      <w:r>
        <w:rPr>
          <w:rFonts w:hint="eastAsia" w:ascii="微软雅黑" w:hAnsi="微软雅黑" w:eastAsia="微软雅黑" w:cs="微软雅黑"/>
          <w:sz w:val="24"/>
          <w:szCs w:val="24"/>
        </w:rPr>
        <w:t>、</w:t>
      </w:r>
      <w:r>
        <w:rPr>
          <w:rFonts w:hint="eastAsia" w:ascii="微软雅黑" w:hAnsi="微软雅黑" w:eastAsia="微软雅黑" w:cs="微软雅黑"/>
          <w:bCs/>
          <w:sz w:val="24"/>
          <w:szCs w:val="24"/>
        </w:rPr>
        <w:t>磋商分项报价表</w:t>
      </w:r>
      <w:bookmarkEnd w:id="651"/>
      <w:bookmarkEnd w:id="652"/>
      <w:bookmarkEnd w:id="653"/>
    </w:p>
    <w:p>
      <w:pPr>
        <w:pStyle w:val="17"/>
        <w:spacing w:line="360" w:lineRule="exact"/>
        <w:jc w:val="left"/>
        <w:rPr>
          <w:rFonts w:ascii="微软雅黑" w:hAnsi="微软雅黑" w:eastAsia="微软雅黑" w:cs="微软雅黑"/>
          <w:sz w:val="24"/>
          <w:szCs w:val="24"/>
        </w:rPr>
      </w:pPr>
    </w:p>
    <w:p>
      <w:pPr>
        <w:pStyle w:val="17"/>
        <w:spacing w:line="400" w:lineRule="exact"/>
        <w:jc w:val="lef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项目名称:                      招标编号:                          　             报价单位：</w:t>
      </w:r>
      <w:r>
        <w:rPr>
          <w:rFonts w:hint="eastAsia" w:ascii="微软雅黑" w:hAnsi="微软雅黑" w:eastAsia="微软雅黑" w:cs="微软雅黑"/>
          <w:sz w:val="24"/>
          <w:szCs w:val="24"/>
          <w:lang w:val="en-US" w:eastAsia="zh-CN"/>
        </w:rPr>
        <w:t xml:space="preserve"> 人民币 元</w:t>
      </w:r>
    </w:p>
    <w:tbl>
      <w:tblPr>
        <w:tblStyle w:val="35"/>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466"/>
        <w:gridCol w:w="1616"/>
        <w:gridCol w:w="1316"/>
        <w:gridCol w:w="1371"/>
        <w:gridCol w:w="843"/>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ign w:val="center"/>
          </w:tcPr>
          <w:p>
            <w:pPr>
              <w:pStyle w:val="17"/>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2466" w:type="dxa"/>
            <w:noWrap/>
            <w:vAlign w:val="center"/>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名称</w:t>
            </w:r>
          </w:p>
        </w:tc>
        <w:tc>
          <w:tcPr>
            <w:tcW w:w="1616" w:type="dxa"/>
            <w:noWrap/>
            <w:vAlign w:val="center"/>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规格</w:t>
            </w:r>
          </w:p>
        </w:tc>
        <w:tc>
          <w:tcPr>
            <w:tcW w:w="1316" w:type="dxa"/>
            <w:noWrap/>
            <w:vAlign w:val="center"/>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数量</w:t>
            </w:r>
          </w:p>
        </w:tc>
        <w:tc>
          <w:tcPr>
            <w:tcW w:w="1371" w:type="dxa"/>
            <w:noWrap/>
            <w:vAlign w:val="center"/>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单价</w:t>
            </w:r>
          </w:p>
        </w:tc>
        <w:tc>
          <w:tcPr>
            <w:tcW w:w="843" w:type="dxa"/>
            <w:noWrap/>
            <w:vAlign w:val="center"/>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总价</w:t>
            </w:r>
          </w:p>
        </w:tc>
        <w:tc>
          <w:tcPr>
            <w:tcW w:w="1494" w:type="dxa"/>
            <w:noWrap/>
            <w:vAlign w:val="center"/>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ign w:val="center"/>
          </w:tcPr>
          <w:p>
            <w:pPr>
              <w:pStyle w:val="17"/>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1.</w:t>
            </w:r>
          </w:p>
        </w:tc>
        <w:tc>
          <w:tcPr>
            <w:tcW w:w="2466" w:type="dxa"/>
            <w:noWrap/>
            <w:vAlign w:val="center"/>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eastAsia="zh-CN"/>
              </w:rPr>
              <w:t>所投的全部服务内容</w:t>
            </w:r>
          </w:p>
        </w:tc>
        <w:tc>
          <w:tcPr>
            <w:tcW w:w="1616"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1316"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1371"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843"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1494"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7"/>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2.</w:t>
            </w:r>
          </w:p>
        </w:tc>
        <w:tc>
          <w:tcPr>
            <w:tcW w:w="2466" w:type="dxa"/>
            <w:noWrap/>
            <w:vAlign w:val="center"/>
          </w:tcPr>
          <w:p>
            <w:pPr>
              <w:pStyle w:val="17"/>
              <w:spacing w:line="400" w:lineRule="exact"/>
              <w:jc w:val="center"/>
              <w:rPr>
                <w:rFonts w:ascii="微软雅黑" w:hAnsi="微软雅黑" w:eastAsia="微软雅黑" w:cs="微软雅黑"/>
                <w:sz w:val="24"/>
                <w:szCs w:val="24"/>
              </w:rPr>
            </w:pPr>
          </w:p>
        </w:tc>
        <w:tc>
          <w:tcPr>
            <w:tcW w:w="1616"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1316"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1371"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843"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1494"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ign w:val="center"/>
          </w:tcPr>
          <w:p>
            <w:pPr>
              <w:pStyle w:val="17"/>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3.</w:t>
            </w:r>
          </w:p>
        </w:tc>
        <w:tc>
          <w:tcPr>
            <w:tcW w:w="2466" w:type="dxa"/>
            <w:noWrap/>
            <w:vAlign w:val="center"/>
          </w:tcPr>
          <w:p>
            <w:pPr>
              <w:pStyle w:val="17"/>
              <w:spacing w:line="400" w:lineRule="exact"/>
              <w:jc w:val="center"/>
              <w:rPr>
                <w:rFonts w:ascii="微软雅黑" w:hAnsi="微软雅黑" w:eastAsia="微软雅黑" w:cs="微软雅黑"/>
                <w:sz w:val="24"/>
                <w:szCs w:val="24"/>
              </w:rPr>
            </w:pPr>
          </w:p>
        </w:tc>
        <w:tc>
          <w:tcPr>
            <w:tcW w:w="1616"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1316"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1371"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843"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1494"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ign w:val="center"/>
          </w:tcPr>
          <w:p>
            <w:pPr>
              <w:pStyle w:val="17"/>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4.</w:t>
            </w:r>
          </w:p>
        </w:tc>
        <w:tc>
          <w:tcPr>
            <w:tcW w:w="2466" w:type="dxa"/>
            <w:noWrap/>
            <w:vAlign w:val="center"/>
          </w:tcPr>
          <w:p>
            <w:pPr>
              <w:pStyle w:val="17"/>
              <w:spacing w:line="400" w:lineRule="exact"/>
              <w:jc w:val="both"/>
              <w:rPr>
                <w:rFonts w:ascii="微软雅黑" w:hAnsi="微软雅黑" w:eastAsia="微软雅黑" w:cs="微软雅黑"/>
                <w:sz w:val="24"/>
                <w:szCs w:val="24"/>
              </w:rPr>
            </w:pPr>
          </w:p>
        </w:tc>
        <w:tc>
          <w:tcPr>
            <w:tcW w:w="1616"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1316"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1371"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843"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1494"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ign w:val="center"/>
          </w:tcPr>
          <w:p>
            <w:pPr>
              <w:pStyle w:val="17"/>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5.</w:t>
            </w:r>
          </w:p>
        </w:tc>
        <w:tc>
          <w:tcPr>
            <w:tcW w:w="2466" w:type="dxa"/>
            <w:noWrap/>
            <w:vAlign w:val="center"/>
          </w:tcPr>
          <w:p>
            <w:pPr>
              <w:pStyle w:val="17"/>
              <w:spacing w:line="400" w:lineRule="exact"/>
              <w:jc w:val="center"/>
              <w:rPr>
                <w:rFonts w:ascii="微软雅黑" w:hAnsi="微软雅黑" w:eastAsia="微软雅黑" w:cs="微软雅黑"/>
                <w:sz w:val="24"/>
                <w:szCs w:val="24"/>
              </w:rPr>
            </w:pPr>
          </w:p>
        </w:tc>
        <w:tc>
          <w:tcPr>
            <w:tcW w:w="1616"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1316"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1371"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843"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c>
          <w:tcPr>
            <w:tcW w:w="1494"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366" w:type="dxa"/>
            <w:gridSpan w:val="6"/>
            <w:noWrap/>
            <w:vAlign w:val="center"/>
          </w:tcPr>
          <w:p>
            <w:pPr>
              <w:pStyle w:val="17"/>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总价：</w:t>
            </w:r>
          </w:p>
        </w:tc>
        <w:tc>
          <w:tcPr>
            <w:tcW w:w="1494" w:type="dxa"/>
            <w:noWrap/>
            <w:vAlign w:val="center"/>
          </w:tcPr>
          <w:p>
            <w:pPr>
              <w:pStyle w:val="17"/>
              <w:spacing w:line="400" w:lineRule="exact"/>
              <w:ind w:left="1080" w:leftChars="257" w:hanging="540"/>
              <w:jc w:val="center"/>
              <w:rPr>
                <w:rFonts w:ascii="微软雅黑" w:hAnsi="微软雅黑" w:eastAsia="微软雅黑" w:cs="微软雅黑"/>
                <w:sz w:val="24"/>
                <w:szCs w:val="24"/>
              </w:rPr>
            </w:pPr>
          </w:p>
        </w:tc>
      </w:tr>
    </w:tbl>
    <w:p>
      <w:pPr>
        <w:pStyle w:val="17"/>
        <w:spacing w:line="400" w:lineRule="exact"/>
        <w:jc w:val="left"/>
        <w:rPr>
          <w:rFonts w:ascii="微软雅黑" w:hAnsi="微软雅黑" w:eastAsia="微软雅黑" w:cs="微软雅黑"/>
          <w:sz w:val="24"/>
          <w:szCs w:val="24"/>
        </w:rPr>
      </w:pPr>
    </w:p>
    <w:p>
      <w:pPr>
        <w:pStyle w:val="17"/>
        <w:spacing w:line="400" w:lineRule="exact"/>
        <w:rPr>
          <w:rFonts w:ascii="微软雅黑" w:hAnsi="微软雅黑" w:eastAsia="微软雅黑" w:cs="微软雅黑"/>
          <w:sz w:val="24"/>
          <w:szCs w:val="24"/>
        </w:rPr>
      </w:pPr>
    </w:p>
    <w:p>
      <w:pPr>
        <w:pStyle w:val="17"/>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w:t>
      </w:r>
      <w:r>
        <w:rPr>
          <w:rFonts w:hint="eastAsia" w:ascii="微软雅黑" w:hAnsi="微软雅黑" w:eastAsia="微软雅黑" w:cs="微软雅黑"/>
          <w:sz w:val="24"/>
          <w:szCs w:val="24"/>
          <w:lang w:eastAsia="zh-CN"/>
        </w:rPr>
        <w:t>签字或盖章</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ab/>
      </w:r>
    </w:p>
    <w:p>
      <w:pPr>
        <w:pStyle w:val="17"/>
        <w:tabs>
          <w:tab w:val="left" w:pos="5370"/>
        </w:tabs>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供应商(公章):</w:t>
      </w:r>
    </w:p>
    <w:p>
      <w:pPr>
        <w:pStyle w:val="17"/>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注:1.如果供应商认为需要，每种服务内容填写一份该表。</w:t>
      </w:r>
    </w:p>
    <w:p>
      <w:pPr>
        <w:pStyle w:val="17"/>
        <w:spacing w:line="400" w:lineRule="exact"/>
        <w:ind w:left="1079" w:leftChars="428" w:hanging="180" w:hangingChars="75"/>
        <w:rPr>
          <w:rFonts w:ascii="微软雅黑" w:hAnsi="微软雅黑" w:eastAsia="微软雅黑" w:cs="微软雅黑"/>
          <w:sz w:val="24"/>
          <w:szCs w:val="24"/>
        </w:rPr>
      </w:pPr>
      <w:r>
        <w:rPr>
          <w:rFonts w:hint="eastAsia" w:ascii="微软雅黑" w:hAnsi="微软雅黑" w:eastAsia="微软雅黑" w:cs="微软雅黑"/>
          <w:sz w:val="24"/>
          <w:szCs w:val="24"/>
        </w:rPr>
        <w:t>2.如果按单价计算的结果与总价不一致,以单价为准修正总价。</w:t>
      </w:r>
    </w:p>
    <w:p>
      <w:pPr>
        <w:pStyle w:val="17"/>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3.如果不提供详细分项报价将视为没有实质性响应招标文件。</w:t>
      </w:r>
    </w:p>
    <w:p>
      <w:pPr>
        <w:pStyle w:val="17"/>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4.上述各项的详细分项报价，应另页描述。</w:t>
      </w:r>
    </w:p>
    <w:p>
      <w:pPr>
        <w:pStyle w:val="17"/>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   5.如果</w:t>
      </w:r>
      <w:r>
        <w:rPr>
          <w:rFonts w:hint="eastAsia" w:ascii="微软雅黑" w:hAnsi="微软雅黑" w:eastAsia="微软雅黑" w:cs="微软雅黑"/>
          <w:sz w:val="24"/>
          <w:szCs w:val="24"/>
          <w:lang w:eastAsia="zh-CN"/>
        </w:rPr>
        <w:t>磋商报价表</w:t>
      </w:r>
      <w:r>
        <w:rPr>
          <w:rFonts w:hint="eastAsia" w:ascii="微软雅黑" w:hAnsi="微软雅黑" w:eastAsia="微软雅黑" w:cs="微软雅黑"/>
          <w:sz w:val="24"/>
          <w:szCs w:val="24"/>
        </w:rPr>
        <w:t>（报价表）内容与投标文件中明细表内容不一致的，以</w:t>
      </w:r>
      <w:r>
        <w:rPr>
          <w:rFonts w:hint="eastAsia" w:ascii="微软雅黑" w:hAnsi="微软雅黑" w:eastAsia="微软雅黑" w:cs="微软雅黑"/>
          <w:sz w:val="24"/>
          <w:szCs w:val="24"/>
          <w:lang w:eastAsia="zh-CN"/>
        </w:rPr>
        <w:t>磋商报价表</w:t>
      </w:r>
      <w:r>
        <w:rPr>
          <w:rFonts w:hint="eastAsia" w:ascii="微软雅黑" w:hAnsi="微软雅黑" w:eastAsia="微软雅黑" w:cs="微软雅黑"/>
          <w:sz w:val="24"/>
          <w:szCs w:val="24"/>
        </w:rPr>
        <w:t>（报价表）内容为准。</w:t>
      </w:r>
    </w:p>
    <w:p>
      <w:pPr>
        <w:pStyle w:val="17"/>
        <w:spacing w:line="400" w:lineRule="exact"/>
        <w:rPr>
          <w:rFonts w:ascii="微软雅黑" w:hAnsi="微软雅黑" w:eastAsia="微软雅黑" w:cs="微软雅黑"/>
          <w:b/>
          <w:kern w:val="0"/>
          <w:sz w:val="24"/>
          <w:szCs w:val="24"/>
        </w:rPr>
      </w:pPr>
    </w:p>
    <w:p>
      <w:pPr>
        <w:pStyle w:val="17"/>
        <w:spacing w:line="400" w:lineRule="exact"/>
        <w:rPr>
          <w:rFonts w:ascii="微软雅黑" w:hAnsi="微软雅黑" w:eastAsia="微软雅黑" w:cs="微软雅黑"/>
          <w:b/>
          <w:kern w:val="0"/>
          <w:sz w:val="24"/>
          <w:szCs w:val="24"/>
        </w:rPr>
      </w:pPr>
    </w:p>
    <w:p>
      <w:pPr>
        <w:pStyle w:val="17"/>
        <w:spacing w:line="400" w:lineRule="exact"/>
        <w:rPr>
          <w:rFonts w:ascii="微软雅黑" w:hAnsi="微软雅黑" w:eastAsia="微软雅黑" w:cs="微软雅黑"/>
          <w:b/>
          <w:kern w:val="0"/>
          <w:sz w:val="24"/>
          <w:szCs w:val="24"/>
        </w:rPr>
      </w:pPr>
    </w:p>
    <w:p>
      <w:pPr>
        <w:pStyle w:val="17"/>
        <w:spacing w:line="400" w:lineRule="exact"/>
        <w:rPr>
          <w:rFonts w:ascii="微软雅黑" w:hAnsi="微软雅黑" w:eastAsia="微软雅黑" w:cs="微软雅黑"/>
          <w:b/>
          <w:kern w:val="0"/>
          <w:sz w:val="24"/>
          <w:szCs w:val="24"/>
        </w:rPr>
      </w:pPr>
    </w:p>
    <w:p>
      <w:pPr>
        <w:pStyle w:val="17"/>
        <w:spacing w:line="400" w:lineRule="exact"/>
        <w:rPr>
          <w:rFonts w:ascii="微软雅黑" w:hAnsi="微软雅黑" w:eastAsia="微软雅黑" w:cs="微软雅黑"/>
          <w:b/>
          <w:kern w:val="0"/>
          <w:sz w:val="24"/>
          <w:szCs w:val="24"/>
        </w:rPr>
      </w:pPr>
    </w:p>
    <w:p>
      <w:pPr>
        <w:pStyle w:val="17"/>
        <w:spacing w:line="400" w:lineRule="exact"/>
        <w:rPr>
          <w:rFonts w:ascii="微软雅黑" w:hAnsi="微软雅黑" w:eastAsia="微软雅黑" w:cs="微软雅黑"/>
          <w:b/>
          <w:kern w:val="0"/>
          <w:sz w:val="24"/>
          <w:szCs w:val="24"/>
        </w:rPr>
      </w:pPr>
    </w:p>
    <w:p>
      <w:pPr>
        <w:pStyle w:val="17"/>
        <w:spacing w:line="480" w:lineRule="exact"/>
        <w:ind w:left="1080" w:leftChars="257" w:hanging="540"/>
        <w:rPr>
          <w:rFonts w:ascii="微软雅黑" w:hAnsi="微软雅黑" w:eastAsia="微软雅黑" w:cs="微软雅黑"/>
          <w:sz w:val="24"/>
          <w:szCs w:val="24"/>
        </w:rPr>
      </w:pPr>
    </w:p>
    <w:p>
      <w:pPr>
        <w:spacing w:line="360" w:lineRule="auto"/>
        <w:jc w:val="center"/>
        <w:outlineLvl w:val="1"/>
        <w:rPr>
          <w:rFonts w:ascii="微软雅黑" w:hAnsi="微软雅黑" w:eastAsia="微软雅黑" w:cs="微软雅黑"/>
          <w:b/>
          <w:sz w:val="30"/>
          <w:szCs w:val="30"/>
        </w:rPr>
      </w:pPr>
    </w:p>
    <w:p>
      <w:pPr>
        <w:pStyle w:val="17"/>
        <w:spacing w:line="360" w:lineRule="exact"/>
        <w:rPr>
          <w:rFonts w:ascii="微软雅黑" w:hAnsi="微软雅黑" w:eastAsia="微软雅黑" w:cs="微软雅黑"/>
          <w:b/>
          <w:kern w:val="0"/>
          <w:sz w:val="24"/>
        </w:rPr>
      </w:pPr>
    </w:p>
    <w:p>
      <w:pPr>
        <w:pStyle w:val="4"/>
        <w:spacing w:before="0" w:line="240" w:lineRule="atLeast"/>
        <w:ind w:firstLine="3122" w:firstLineChars="1300"/>
        <w:jc w:val="both"/>
        <w:rPr>
          <w:rFonts w:ascii="微软雅黑" w:hAnsi="微软雅黑" w:eastAsia="微软雅黑" w:cs="微软雅黑"/>
          <w:bCs/>
          <w:sz w:val="21"/>
          <w:szCs w:val="21"/>
        </w:rPr>
      </w:pPr>
      <w:bookmarkStart w:id="654" w:name="_Toc9561"/>
      <w:r>
        <w:rPr>
          <w:rFonts w:hint="eastAsia" w:ascii="微软雅黑" w:hAnsi="微软雅黑" w:eastAsia="微软雅黑" w:cs="微软雅黑"/>
          <w:sz w:val="24"/>
        </w:rPr>
        <w:t xml:space="preserve">3 </w:t>
      </w:r>
      <w:bookmarkEnd w:id="633"/>
      <w:bookmarkEnd w:id="634"/>
      <w:bookmarkEnd w:id="635"/>
      <w:bookmarkEnd w:id="636"/>
      <w:bookmarkEnd w:id="637"/>
      <w:bookmarkEnd w:id="638"/>
      <w:bookmarkEnd w:id="639"/>
      <w:r>
        <w:rPr>
          <w:rFonts w:hint="eastAsia" w:ascii="微软雅黑" w:hAnsi="微软雅黑" w:eastAsia="微软雅黑" w:cs="微软雅黑"/>
          <w:sz w:val="24"/>
        </w:rPr>
        <w:t>、</w:t>
      </w:r>
      <w:r>
        <w:rPr>
          <w:rFonts w:hint="eastAsia" w:ascii="微软雅黑" w:hAnsi="微软雅黑" w:eastAsia="微软雅黑" w:cs="微软雅黑"/>
          <w:sz w:val="24"/>
          <w:lang w:eastAsia="zh-CN"/>
        </w:rPr>
        <w:t>服务</w:t>
      </w:r>
      <w:r>
        <w:rPr>
          <w:rFonts w:hint="eastAsia" w:ascii="微软雅黑" w:hAnsi="微软雅黑" w:eastAsia="微软雅黑" w:cs="微软雅黑"/>
          <w:bCs/>
          <w:sz w:val="24"/>
          <w:szCs w:val="24"/>
        </w:rPr>
        <w:t>说明一览表</w:t>
      </w:r>
      <w:bookmarkEnd w:id="654"/>
    </w:p>
    <w:p>
      <w:pPr>
        <w:pStyle w:val="17"/>
        <w:spacing w:line="240" w:lineRule="atLeast"/>
        <w:jc w:val="left"/>
        <w:rPr>
          <w:rFonts w:ascii="微软雅黑" w:hAnsi="微软雅黑" w:eastAsia="微软雅黑" w:cs="微软雅黑"/>
          <w:szCs w:val="21"/>
        </w:rPr>
      </w:pPr>
    </w:p>
    <w:p>
      <w:pPr>
        <w:pStyle w:val="17"/>
        <w:spacing w:line="4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 xml:space="preserve">项目名称:                    </w:t>
      </w:r>
    </w:p>
    <w:p>
      <w:pPr>
        <w:pStyle w:val="17"/>
        <w:spacing w:line="400" w:lineRule="exact"/>
        <w:jc w:val="left"/>
        <w:rPr>
          <w:rFonts w:ascii="微软雅黑" w:hAnsi="微软雅黑" w:eastAsia="微软雅黑" w:cs="微软雅黑"/>
          <w:sz w:val="24"/>
          <w:szCs w:val="24"/>
        </w:rPr>
      </w:pPr>
    </w:p>
    <w:p>
      <w:pPr>
        <w:pStyle w:val="17"/>
        <w:spacing w:line="400" w:lineRule="exact"/>
        <w:jc w:val="left"/>
        <w:rPr>
          <w:rFonts w:ascii="微软雅黑" w:hAnsi="微软雅黑" w:eastAsia="微软雅黑" w:cs="微软雅黑"/>
          <w:sz w:val="24"/>
          <w:szCs w:val="24"/>
        </w:rPr>
      </w:pPr>
      <w:r>
        <w:rPr>
          <w:rFonts w:hint="eastAsia" w:ascii="微软雅黑" w:hAnsi="微软雅黑" w:eastAsia="微软雅黑" w:cs="微软雅黑"/>
          <w:sz w:val="24"/>
          <w:szCs w:val="24"/>
        </w:rPr>
        <w:t xml:space="preserve">招标编号:                                                            </w:t>
      </w:r>
    </w:p>
    <w:p>
      <w:pPr>
        <w:pStyle w:val="17"/>
        <w:spacing w:line="400" w:lineRule="exact"/>
        <w:ind w:left="1080" w:leftChars="257" w:hanging="540"/>
        <w:rPr>
          <w:rFonts w:ascii="微软雅黑" w:hAnsi="微软雅黑" w:eastAsia="微软雅黑" w:cs="微软雅黑"/>
          <w:sz w:val="24"/>
          <w:szCs w:val="24"/>
        </w:rPr>
      </w:pPr>
    </w:p>
    <w:tbl>
      <w:tblPr>
        <w:tblStyle w:val="35"/>
        <w:tblW w:w="10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370"/>
        <w:gridCol w:w="1475"/>
        <w:gridCol w:w="1366"/>
        <w:gridCol w:w="1586"/>
        <w:gridCol w:w="2238"/>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141" w:type="dxa"/>
            <w:vAlign w:val="center"/>
          </w:tcPr>
          <w:p>
            <w:pPr>
              <w:widowControl/>
              <w:spacing w:line="400" w:lineRule="exact"/>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rPr>
              <w:t>序号</w:t>
            </w:r>
          </w:p>
        </w:tc>
        <w:tc>
          <w:tcPr>
            <w:tcW w:w="1370" w:type="dxa"/>
            <w:vAlign w:val="center"/>
          </w:tcPr>
          <w:p>
            <w:pPr>
              <w:widowControl/>
              <w:spacing w:line="400" w:lineRule="exact"/>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eastAsia="zh-CN"/>
              </w:rPr>
              <w:t>服务</w:t>
            </w:r>
            <w:r>
              <w:rPr>
                <w:rFonts w:hint="eastAsia" w:ascii="微软雅黑" w:hAnsi="微软雅黑" w:eastAsia="微软雅黑" w:cs="微软雅黑"/>
                <w:kern w:val="0"/>
                <w:sz w:val="24"/>
              </w:rPr>
              <w:t>名称</w:t>
            </w:r>
          </w:p>
        </w:tc>
        <w:tc>
          <w:tcPr>
            <w:tcW w:w="1475" w:type="dxa"/>
            <w:vAlign w:val="center"/>
          </w:tcPr>
          <w:p>
            <w:pPr>
              <w:widowControl/>
              <w:spacing w:line="400" w:lineRule="exact"/>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rPr>
              <w:t>规格</w:t>
            </w:r>
          </w:p>
        </w:tc>
        <w:tc>
          <w:tcPr>
            <w:tcW w:w="1366" w:type="dxa"/>
            <w:vAlign w:val="center"/>
          </w:tcPr>
          <w:p>
            <w:pPr>
              <w:widowControl/>
              <w:spacing w:line="400" w:lineRule="exact"/>
              <w:jc w:val="center"/>
              <w:textAlignment w:val="center"/>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数量</w:t>
            </w:r>
          </w:p>
        </w:tc>
        <w:tc>
          <w:tcPr>
            <w:tcW w:w="1586" w:type="dxa"/>
            <w:vAlign w:val="center"/>
          </w:tcPr>
          <w:p>
            <w:pPr>
              <w:widowControl/>
              <w:spacing w:line="400" w:lineRule="exact"/>
              <w:jc w:val="center"/>
              <w:textAlignment w:val="center"/>
              <w:rPr>
                <w:rFonts w:ascii="微软雅黑" w:hAnsi="微软雅黑" w:eastAsia="微软雅黑" w:cs="微软雅黑"/>
                <w:kern w:val="0"/>
                <w:sz w:val="24"/>
              </w:rPr>
            </w:pPr>
            <w:r>
              <w:rPr>
                <w:rFonts w:hint="eastAsia" w:ascii="微软雅黑" w:hAnsi="微软雅黑" w:eastAsia="微软雅黑" w:cs="微软雅黑"/>
                <w:kern w:val="0"/>
                <w:sz w:val="24"/>
                <w:lang w:eastAsia="zh-CN"/>
              </w:rPr>
              <w:t>服务</w:t>
            </w:r>
            <w:r>
              <w:rPr>
                <w:rFonts w:hint="eastAsia" w:ascii="微软雅黑" w:hAnsi="微软雅黑" w:eastAsia="微软雅黑" w:cs="微软雅黑"/>
                <w:kern w:val="0"/>
                <w:sz w:val="24"/>
              </w:rPr>
              <w:t>期</w:t>
            </w:r>
          </w:p>
        </w:tc>
        <w:tc>
          <w:tcPr>
            <w:tcW w:w="2238" w:type="dxa"/>
            <w:vAlign w:val="center"/>
          </w:tcPr>
          <w:p>
            <w:pPr>
              <w:widowControl/>
              <w:spacing w:line="400" w:lineRule="exact"/>
              <w:jc w:val="center"/>
              <w:textAlignment w:val="center"/>
              <w:rPr>
                <w:rFonts w:ascii="微软雅黑" w:hAnsi="微软雅黑" w:eastAsia="微软雅黑" w:cs="微软雅黑"/>
                <w:sz w:val="24"/>
              </w:rPr>
            </w:pPr>
            <w:r>
              <w:rPr>
                <w:rFonts w:hint="eastAsia" w:ascii="微软雅黑" w:hAnsi="微软雅黑" w:eastAsia="微软雅黑" w:cs="微软雅黑"/>
                <w:kern w:val="0"/>
                <w:sz w:val="24"/>
                <w:lang w:eastAsia="zh-CN"/>
              </w:rPr>
              <w:t>服务</w:t>
            </w:r>
            <w:r>
              <w:rPr>
                <w:rFonts w:hint="eastAsia" w:ascii="微软雅黑" w:hAnsi="微软雅黑" w:eastAsia="微软雅黑" w:cs="微软雅黑"/>
                <w:kern w:val="0"/>
                <w:sz w:val="24"/>
              </w:rPr>
              <w:t>地点</w:t>
            </w:r>
          </w:p>
        </w:tc>
        <w:tc>
          <w:tcPr>
            <w:tcW w:w="1232" w:type="dxa"/>
            <w:vAlign w:val="center"/>
          </w:tcPr>
          <w:p>
            <w:pPr>
              <w:widowControl/>
              <w:spacing w:line="400" w:lineRule="exact"/>
              <w:jc w:val="center"/>
              <w:textAlignment w:val="center"/>
              <w:rPr>
                <w:rFonts w:ascii="微软雅黑" w:hAnsi="微软雅黑" w:eastAsia="微软雅黑" w:cs="微软雅黑"/>
                <w:kern w:val="0"/>
                <w:sz w:val="24"/>
              </w:rPr>
            </w:pPr>
            <w:r>
              <w:rPr>
                <w:rFonts w:hint="eastAsia" w:ascii="微软雅黑" w:hAnsi="微软雅黑" w:eastAsia="微软雅黑" w:cs="微软雅黑"/>
                <w:kern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7"/>
              <w:spacing w:line="400" w:lineRule="exact"/>
              <w:ind w:left="1080" w:leftChars="257" w:hanging="540"/>
              <w:rPr>
                <w:rFonts w:ascii="微软雅黑" w:hAnsi="微软雅黑" w:eastAsia="微软雅黑" w:cs="微软雅黑"/>
                <w:sz w:val="24"/>
                <w:szCs w:val="24"/>
              </w:rPr>
            </w:pPr>
          </w:p>
        </w:tc>
        <w:tc>
          <w:tcPr>
            <w:tcW w:w="1370" w:type="dxa"/>
          </w:tcPr>
          <w:p>
            <w:pPr>
              <w:pStyle w:val="17"/>
              <w:spacing w:line="400" w:lineRule="exact"/>
              <w:ind w:left="1080" w:leftChars="257" w:hanging="540"/>
              <w:rPr>
                <w:rFonts w:ascii="微软雅黑" w:hAnsi="微软雅黑" w:eastAsia="微软雅黑" w:cs="微软雅黑"/>
                <w:sz w:val="24"/>
                <w:szCs w:val="24"/>
              </w:rPr>
            </w:pPr>
          </w:p>
        </w:tc>
        <w:tc>
          <w:tcPr>
            <w:tcW w:w="1475" w:type="dxa"/>
          </w:tcPr>
          <w:p>
            <w:pPr>
              <w:pStyle w:val="17"/>
              <w:spacing w:line="400" w:lineRule="exact"/>
              <w:ind w:left="1080" w:leftChars="257" w:hanging="540"/>
              <w:rPr>
                <w:rFonts w:ascii="微软雅黑" w:hAnsi="微软雅黑" w:eastAsia="微软雅黑" w:cs="微软雅黑"/>
                <w:sz w:val="24"/>
                <w:szCs w:val="24"/>
              </w:rPr>
            </w:pPr>
          </w:p>
        </w:tc>
        <w:tc>
          <w:tcPr>
            <w:tcW w:w="1366" w:type="dxa"/>
          </w:tcPr>
          <w:p>
            <w:pPr>
              <w:pStyle w:val="17"/>
              <w:spacing w:line="400" w:lineRule="exact"/>
              <w:ind w:left="1080" w:leftChars="257" w:hanging="540"/>
              <w:rPr>
                <w:rFonts w:ascii="微软雅黑" w:hAnsi="微软雅黑" w:eastAsia="微软雅黑" w:cs="微软雅黑"/>
                <w:sz w:val="24"/>
                <w:szCs w:val="24"/>
              </w:rPr>
            </w:pPr>
          </w:p>
        </w:tc>
        <w:tc>
          <w:tcPr>
            <w:tcW w:w="1586" w:type="dxa"/>
          </w:tcPr>
          <w:p>
            <w:pPr>
              <w:pStyle w:val="17"/>
              <w:spacing w:line="400" w:lineRule="exact"/>
              <w:ind w:left="1080" w:leftChars="257" w:hanging="540"/>
              <w:rPr>
                <w:rFonts w:ascii="微软雅黑" w:hAnsi="微软雅黑" w:eastAsia="微软雅黑" w:cs="微软雅黑"/>
                <w:sz w:val="24"/>
                <w:szCs w:val="24"/>
              </w:rPr>
            </w:pPr>
          </w:p>
        </w:tc>
        <w:tc>
          <w:tcPr>
            <w:tcW w:w="2238" w:type="dxa"/>
          </w:tcPr>
          <w:p>
            <w:pPr>
              <w:pStyle w:val="17"/>
              <w:spacing w:line="400" w:lineRule="exact"/>
              <w:ind w:left="1080" w:leftChars="257" w:hanging="540"/>
              <w:rPr>
                <w:rFonts w:ascii="微软雅黑" w:hAnsi="微软雅黑" w:eastAsia="微软雅黑" w:cs="微软雅黑"/>
                <w:sz w:val="24"/>
                <w:szCs w:val="24"/>
              </w:rPr>
            </w:pPr>
          </w:p>
        </w:tc>
        <w:tc>
          <w:tcPr>
            <w:tcW w:w="1232"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7"/>
              <w:spacing w:line="400" w:lineRule="exact"/>
              <w:ind w:left="1080" w:leftChars="257" w:hanging="540"/>
              <w:rPr>
                <w:rFonts w:ascii="微软雅黑" w:hAnsi="微软雅黑" w:eastAsia="微软雅黑" w:cs="微软雅黑"/>
                <w:sz w:val="24"/>
                <w:szCs w:val="24"/>
              </w:rPr>
            </w:pPr>
          </w:p>
        </w:tc>
        <w:tc>
          <w:tcPr>
            <w:tcW w:w="1370" w:type="dxa"/>
          </w:tcPr>
          <w:p>
            <w:pPr>
              <w:pStyle w:val="17"/>
              <w:spacing w:line="400" w:lineRule="exact"/>
              <w:ind w:left="1080" w:leftChars="257" w:hanging="540"/>
              <w:rPr>
                <w:rFonts w:ascii="微软雅黑" w:hAnsi="微软雅黑" w:eastAsia="微软雅黑" w:cs="微软雅黑"/>
                <w:sz w:val="24"/>
                <w:szCs w:val="24"/>
              </w:rPr>
            </w:pPr>
          </w:p>
        </w:tc>
        <w:tc>
          <w:tcPr>
            <w:tcW w:w="1475" w:type="dxa"/>
          </w:tcPr>
          <w:p>
            <w:pPr>
              <w:pStyle w:val="17"/>
              <w:spacing w:line="400" w:lineRule="exact"/>
              <w:ind w:left="1080" w:leftChars="257" w:hanging="540"/>
              <w:rPr>
                <w:rFonts w:ascii="微软雅黑" w:hAnsi="微软雅黑" w:eastAsia="微软雅黑" w:cs="微软雅黑"/>
                <w:sz w:val="24"/>
                <w:szCs w:val="24"/>
              </w:rPr>
            </w:pPr>
          </w:p>
        </w:tc>
        <w:tc>
          <w:tcPr>
            <w:tcW w:w="1366" w:type="dxa"/>
          </w:tcPr>
          <w:p>
            <w:pPr>
              <w:pStyle w:val="17"/>
              <w:spacing w:line="400" w:lineRule="exact"/>
              <w:ind w:left="1080" w:leftChars="257" w:hanging="540"/>
              <w:rPr>
                <w:rFonts w:ascii="微软雅黑" w:hAnsi="微软雅黑" w:eastAsia="微软雅黑" w:cs="微软雅黑"/>
                <w:sz w:val="24"/>
                <w:szCs w:val="24"/>
              </w:rPr>
            </w:pPr>
          </w:p>
        </w:tc>
        <w:tc>
          <w:tcPr>
            <w:tcW w:w="1586" w:type="dxa"/>
          </w:tcPr>
          <w:p>
            <w:pPr>
              <w:pStyle w:val="17"/>
              <w:spacing w:line="400" w:lineRule="exact"/>
              <w:ind w:left="1080" w:leftChars="257" w:hanging="540"/>
              <w:rPr>
                <w:rFonts w:ascii="微软雅黑" w:hAnsi="微软雅黑" w:eastAsia="微软雅黑" w:cs="微软雅黑"/>
                <w:sz w:val="24"/>
                <w:szCs w:val="24"/>
              </w:rPr>
            </w:pPr>
          </w:p>
        </w:tc>
        <w:tc>
          <w:tcPr>
            <w:tcW w:w="2238" w:type="dxa"/>
          </w:tcPr>
          <w:p>
            <w:pPr>
              <w:pStyle w:val="17"/>
              <w:spacing w:line="400" w:lineRule="exact"/>
              <w:ind w:left="1080" w:leftChars="257" w:hanging="540"/>
              <w:rPr>
                <w:rFonts w:ascii="微软雅黑" w:hAnsi="微软雅黑" w:eastAsia="微软雅黑" w:cs="微软雅黑"/>
                <w:sz w:val="24"/>
                <w:szCs w:val="24"/>
              </w:rPr>
            </w:pPr>
          </w:p>
        </w:tc>
        <w:tc>
          <w:tcPr>
            <w:tcW w:w="1232"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7"/>
              <w:spacing w:line="400" w:lineRule="exact"/>
              <w:ind w:left="1080" w:leftChars="257" w:hanging="540"/>
              <w:rPr>
                <w:rFonts w:ascii="微软雅黑" w:hAnsi="微软雅黑" w:eastAsia="微软雅黑" w:cs="微软雅黑"/>
                <w:sz w:val="24"/>
                <w:szCs w:val="24"/>
              </w:rPr>
            </w:pPr>
          </w:p>
        </w:tc>
        <w:tc>
          <w:tcPr>
            <w:tcW w:w="1370" w:type="dxa"/>
          </w:tcPr>
          <w:p>
            <w:pPr>
              <w:pStyle w:val="17"/>
              <w:spacing w:line="400" w:lineRule="exact"/>
              <w:ind w:left="1080" w:leftChars="257" w:hanging="540"/>
              <w:rPr>
                <w:rFonts w:ascii="微软雅黑" w:hAnsi="微软雅黑" w:eastAsia="微软雅黑" w:cs="微软雅黑"/>
                <w:sz w:val="24"/>
                <w:szCs w:val="24"/>
              </w:rPr>
            </w:pPr>
          </w:p>
        </w:tc>
        <w:tc>
          <w:tcPr>
            <w:tcW w:w="1475" w:type="dxa"/>
          </w:tcPr>
          <w:p>
            <w:pPr>
              <w:pStyle w:val="17"/>
              <w:spacing w:line="400" w:lineRule="exact"/>
              <w:ind w:left="1080" w:leftChars="257" w:hanging="540"/>
              <w:rPr>
                <w:rFonts w:ascii="微软雅黑" w:hAnsi="微软雅黑" w:eastAsia="微软雅黑" w:cs="微软雅黑"/>
                <w:sz w:val="24"/>
                <w:szCs w:val="24"/>
              </w:rPr>
            </w:pPr>
          </w:p>
        </w:tc>
        <w:tc>
          <w:tcPr>
            <w:tcW w:w="1366" w:type="dxa"/>
          </w:tcPr>
          <w:p>
            <w:pPr>
              <w:pStyle w:val="17"/>
              <w:spacing w:line="400" w:lineRule="exact"/>
              <w:ind w:left="1080" w:leftChars="257" w:hanging="540"/>
              <w:rPr>
                <w:rFonts w:ascii="微软雅黑" w:hAnsi="微软雅黑" w:eastAsia="微软雅黑" w:cs="微软雅黑"/>
                <w:sz w:val="24"/>
                <w:szCs w:val="24"/>
              </w:rPr>
            </w:pPr>
          </w:p>
        </w:tc>
        <w:tc>
          <w:tcPr>
            <w:tcW w:w="1586" w:type="dxa"/>
          </w:tcPr>
          <w:p>
            <w:pPr>
              <w:pStyle w:val="17"/>
              <w:spacing w:line="400" w:lineRule="exact"/>
              <w:ind w:left="1080" w:leftChars="257" w:hanging="540"/>
              <w:rPr>
                <w:rFonts w:ascii="微软雅黑" w:hAnsi="微软雅黑" w:eastAsia="微软雅黑" w:cs="微软雅黑"/>
                <w:sz w:val="24"/>
                <w:szCs w:val="24"/>
              </w:rPr>
            </w:pPr>
          </w:p>
        </w:tc>
        <w:tc>
          <w:tcPr>
            <w:tcW w:w="2238" w:type="dxa"/>
          </w:tcPr>
          <w:p>
            <w:pPr>
              <w:pStyle w:val="17"/>
              <w:spacing w:line="400" w:lineRule="exact"/>
              <w:ind w:left="1080" w:leftChars="257" w:hanging="540"/>
              <w:rPr>
                <w:rFonts w:ascii="微软雅黑" w:hAnsi="微软雅黑" w:eastAsia="微软雅黑" w:cs="微软雅黑"/>
                <w:sz w:val="24"/>
                <w:szCs w:val="24"/>
              </w:rPr>
            </w:pPr>
          </w:p>
        </w:tc>
        <w:tc>
          <w:tcPr>
            <w:tcW w:w="1232"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141" w:type="dxa"/>
          </w:tcPr>
          <w:p>
            <w:pPr>
              <w:pStyle w:val="17"/>
              <w:spacing w:line="400" w:lineRule="exact"/>
              <w:ind w:left="1080" w:leftChars="257" w:hanging="540"/>
              <w:rPr>
                <w:rFonts w:ascii="微软雅黑" w:hAnsi="微软雅黑" w:eastAsia="微软雅黑" w:cs="微软雅黑"/>
                <w:sz w:val="24"/>
                <w:szCs w:val="24"/>
              </w:rPr>
            </w:pPr>
          </w:p>
        </w:tc>
        <w:tc>
          <w:tcPr>
            <w:tcW w:w="1370" w:type="dxa"/>
          </w:tcPr>
          <w:p>
            <w:pPr>
              <w:pStyle w:val="17"/>
              <w:spacing w:line="400" w:lineRule="exact"/>
              <w:ind w:left="1080" w:leftChars="257" w:hanging="540"/>
              <w:rPr>
                <w:rFonts w:ascii="微软雅黑" w:hAnsi="微软雅黑" w:eastAsia="微软雅黑" w:cs="微软雅黑"/>
                <w:sz w:val="24"/>
                <w:szCs w:val="24"/>
              </w:rPr>
            </w:pPr>
          </w:p>
        </w:tc>
        <w:tc>
          <w:tcPr>
            <w:tcW w:w="1475" w:type="dxa"/>
          </w:tcPr>
          <w:p>
            <w:pPr>
              <w:pStyle w:val="17"/>
              <w:spacing w:line="400" w:lineRule="exact"/>
              <w:ind w:left="1080" w:leftChars="257" w:hanging="540"/>
              <w:rPr>
                <w:rFonts w:ascii="微软雅黑" w:hAnsi="微软雅黑" w:eastAsia="微软雅黑" w:cs="微软雅黑"/>
                <w:sz w:val="24"/>
                <w:szCs w:val="24"/>
              </w:rPr>
            </w:pPr>
          </w:p>
        </w:tc>
        <w:tc>
          <w:tcPr>
            <w:tcW w:w="1366" w:type="dxa"/>
          </w:tcPr>
          <w:p>
            <w:pPr>
              <w:pStyle w:val="17"/>
              <w:spacing w:line="400" w:lineRule="exact"/>
              <w:ind w:left="1080" w:leftChars="257" w:hanging="540"/>
              <w:rPr>
                <w:rFonts w:ascii="微软雅黑" w:hAnsi="微软雅黑" w:eastAsia="微软雅黑" w:cs="微软雅黑"/>
                <w:sz w:val="24"/>
                <w:szCs w:val="24"/>
              </w:rPr>
            </w:pPr>
          </w:p>
        </w:tc>
        <w:tc>
          <w:tcPr>
            <w:tcW w:w="1586" w:type="dxa"/>
          </w:tcPr>
          <w:p>
            <w:pPr>
              <w:pStyle w:val="17"/>
              <w:spacing w:line="400" w:lineRule="exact"/>
              <w:ind w:left="1080" w:leftChars="257" w:hanging="540"/>
              <w:rPr>
                <w:rFonts w:ascii="微软雅黑" w:hAnsi="微软雅黑" w:eastAsia="微软雅黑" w:cs="微软雅黑"/>
                <w:sz w:val="24"/>
                <w:szCs w:val="24"/>
              </w:rPr>
            </w:pPr>
          </w:p>
        </w:tc>
        <w:tc>
          <w:tcPr>
            <w:tcW w:w="2238" w:type="dxa"/>
          </w:tcPr>
          <w:p>
            <w:pPr>
              <w:pStyle w:val="17"/>
              <w:spacing w:line="400" w:lineRule="exact"/>
              <w:ind w:left="1080" w:leftChars="257" w:hanging="540"/>
              <w:rPr>
                <w:rFonts w:ascii="微软雅黑" w:hAnsi="微软雅黑" w:eastAsia="微软雅黑" w:cs="微软雅黑"/>
                <w:sz w:val="24"/>
                <w:szCs w:val="24"/>
              </w:rPr>
            </w:pPr>
          </w:p>
        </w:tc>
        <w:tc>
          <w:tcPr>
            <w:tcW w:w="1232" w:type="dxa"/>
          </w:tcPr>
          <w:p>
            <w:pPr>
              <w:pStyle w:val="17"/>
              <w:spacing w:line="400" w:lineRule="exact"/>
              <w:ind w:left="1080" w:leftChars="257" w:hanging="540"/>
              <w:rPr>
                <w:rFonts w:ascii="微软雅黑" w:hAnsi="微软雅黑" w:eastAsia="微软雅黑" w:cs="微软雅黑"/>
                <w:sz w:val="24"/>
                <w:szCs w:val="24"/>
              </w:rPr>
            </w:pPr>
          </w:p>
        </w:tc>
      </w:tr>
    </w:tbl>
    <w:p>
      <w:pPr>
        <w:pStyle w:val="17"/>
        <w:spacing w:line="400" w:lineRule="exact"/>
        <w:ind w:left="1080" w:leftChars="257" w:hanging="540"/>
        <w:rPr>
          <w:rFonts w:ascii="微软雅黑" w:hAnsi="微软雅黑" w:eastAsia="微软雅黑" w:cs="微软雅黑"/>
          <w:sz w:val="24"/>
          <w:szCs w:val="24"/>
        </w:rPr>
      </w:pPr>
    </w:p>
    <w:p>
      <w:pPr>
        <w:pStyle w:val="17"/>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w:t>
      </w:r>
      <w:r>
        <w:rPr>
          <w:rFonts w:hint="eastAsia" w:ascii="微软雅黑" w:hAnsi="微软雅黑" w:eastAsia="微软雅黑" w:cs="微软雅黑"/>
          <w:sz w:val="24"/>
          <w:szCs w:val="24"/>
          <w:lang w:eastAsia="zh-CN"/>
        </w:rPr>
        <w:t>签字或盖章</w:t>
      </w:r>
      <w:r>
        <w:rPr>
          <w:rFonts w:hint="eastAsia" w:ascii="微软雅黑" w:hAnsi="微软雅黑" w:eastAsia="微软雅黑" w:cs="微软雅黑"/>
          <w:sz w:val="24"/>
          <w:szCs w:val="24"/>
        </w:rPr>
        <w:t>）:</w:t>
      </w:r>
    </w:p>
    <w:p>
      <w:pPr>
        <w:pStyle w:val="17"/>
        <w:tabs>
          <w:tab w:val="left" w:pos="5370"/>
        </w:tabs>
        <w:spacing w:line="400" w:lineRule="exact"/>
        <w:ind w:left="1080" w:leftChars="257" w:hanging="540"/>
        <w:rPr>
          <w:rFonts w:ascii="微软雅黑" w:hAnsi="微软雅黑" w:eastAsia="微软雅黑" w:cs="微软雅黑"/>
          <w:sz w:val="24"/>
        </w:rPr>
      </w:pPr>
      <w:r>
        <w:rPr>
          <w:rFonts w:hint="eastAsia" w:ascii="微软雅黑" w:hAnsi="微软雅黑" w:eastAsia="微软雅黑" w:cs="微软雅黑"/>
          <w:sz w:val="24"/>
          <w:szCs w:val="24"/>
        </w:rPr>
        <w:t>供应商(公章):</w:t>
      </w:r>
    </w:p>
    <w:p>
      <w:pPr>
        <w:pStyle w:val="6"/>
        <w:rPr>
          <w:rFonts w:ascii="微软雅黑" w:hAnsi="微软雅黑" w:eastAsia="微软雅黑" w:cs="微软雅黑"/>
        </w:rPr>
      </w:pPr>
    </w:p>
    <w:p>
      <w:pPr>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17"/>
        <w:spacing w:line="240" w:lineRule="atLeast"/>
        <w:ind w:left="1080" w:leftChars="257" w:hanging="540"/>
        <w:jc w:val="center"/>
        <w:outlineLvl w:val="1"/>
        <w:rPr>
          <w:rFonts w:ascii="微软雅黑" w:hAnsi="微软雅黑" w:eastAsia="微软雅黑" w:cs="微软雅黑"/>
          <w:b/>
          <w:bCs/>
          <w:sz w:val="22"/>
          <w:szCs w:val="22"/>
        </w:rPr>
      </w:pPr>
      <w:bookmarkStart w:id="655" w:name="_Toc745"/>
      <w:r>
        <w:rPr>
          <w:rFonts w:hint="eastAsia" w:ascii="微软雅黑" w:hAnsi="微软雅黑" w:eastAsia="微软雅黑" w:cs="微软雅黑"/>
          <w:b/>
          <w:bCs/>
          <w:sz w:val="24"/>
          <w:szCs w:val="24"/>
        </w:rPr>
        <w:t>4 、技术规格偏离表</w:t>
      </w:r>
      <w:bookmarkEnd w:id="655"/>
    </w:p>
    <w:p>
      <w:pPr>
        <w:pStyle w:val="17"/>
        <w:spacing w:line="240" w:lineRule="atLeast"/>
        <w:ind w:left="1080" w:leftChars="257" w:hanging="540"/>
        <w:rPr>
          <w:rFonts w:ascii="微软雅黑" w:hAnsi="微软雅黑" w:eastAsia="微软雅黑" w:cs="微软雅黑"/>
          <w:szCs w:val="21"/>
        </w:rPr>
      </w:pPr>
    </w:p>
    <w:p>
      <w:pPr>
        <w:pStyle w:val="17"/>
        <w:spacing w:line="400" w:lineRule="exact"/>
        <w:rPr>
          <w:rFonts w:ascii="微软雅黑" w:hAnsi="微软雅黑" w:eastAsia="微软雅黑" w:cs="微软雅黑"/>
          <w:sz w:val="24"/>
          <w:szCs w:val="24"/>
        </w:rPr>
      </w:pPr>
      <w:r>
        <w:rPr>
          <w:rFonts w:hint="eastAsia" w:ascii="微软雅黑" w:hAnsi="微软雅黑" w:eastAsia="微软雅黑" w:cs="微软雅黑"/>
          <w:sz w:val="24"/>
          <w:szCs w:val="24"/>
        </w:rPr>
        <w:t xml:space="preserve">项目名称:                       招标编号:                 </w:t>
      </w:r>
    </w:p>
    <w:p>
      <w:pPr>
        <w:pStyle w:val="17"/>
        <w:spacing w:line="400" w:lineRule="exact"/>
        <w:ind w:left="1080" w:leftChars="257" w:hanging="540"/>
        <w:rPr>
          <w:rFonts w:ascii="微软雅黑" w:hAnsi="微软雅黑" w:eastAsia="微软雅黑" w:cs="微软雅黑"/>
          <w:sz w:val="24"/>
          <w:szCs w:val="24"/>
        </w:rPr>
      </w:pPr>
    </w:p>
    <w:tbl>
      <w:tblPr>
        <w:tblStyle w:val="3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1330" w:type="dxa"/>
            <w:vAlign w:val="center"/>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eastAsia="zh-CN"/>
              </w:rPr>
              <w:t>服务</w:t>
            </w:r>
            <w:r>
              <w:rPr>
                <w:rFonts w:hint="eastAsia" w:ascii="微软雅黑" w:hAnsi="微软雅黑" w:eastAsia="微软雅黑" w:cs="微软雅黑"/>
                <w:sz w:val="24"/>
                <w:szCs w:val="24"/>
              </w:rPr>
              <w:t>名称</w:t>
            </w:r>
          </w:p>
        </w:tc>
        <w:tc>
          <w:tcPr>
            <w:tcW w:w="2472" w:type="dxa"/>
            <w:vAlign w:val="center"/>
          </w:tcPr>
          <w:p>
            <w:pPr>
              <w:pStyle w:val="17"/>
              <w:spacing w:line="400" w:lineRule="exact"/>
              <w:ind w:left="269" w:leftChars="128"/>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磋商</w:t>
            </w:r>
            <w:r>
              <w:rPr>
                <w:rFonts w:hint="eastAsia" w:ascii="微软雅黑" w:hAnsi="微软雅黑" w:eastAsia="微软雅黑" w:cs="微软雅黑"/>
                <w:sz w:val="24"/>
                <w:szCs w:val="24"/>
              </w:rPr>
              <w:t>文件条款号</w:t>
            </w:r>
          </w:p>
        </w:tc>
        <w:tc>
          <w:tcPr>
            <w:tcW w:w="1331" w:type="dxa"/>
            <w:vAlign w:val="center"/>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采购</w:t>
            </w:r>
            <w:r>
              <w:rPr>
                <w:rFonts w:hint="eastAsia" w:ascii="微软雅黑" w:hAnsi="微软雅黑" w:eastAsia="微软雅黑" w:cs="微软雅黑"/>
                <w:sz w:val="24"/>
                <w:szCs w:val="24"/>
              </w:rPr>
              <w:t>规格</w:t>
            </w:r>
          </w:p>
        </w:tc>
        <w:tc>
          <w:tcPr>
            <w:tcW w:w="1331" w:type="dxa"/>
            <w:vAlign w:val="center"/>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响应</w:t>
            </w:r>
            <w:r>
              <w:rPr>
                <w:rFonts w:hint="eastAsia" w:ascii="微软雅黑" w:hAnsi="微软雅黑" w:eastAsia="微软雅黑" w:cs="微软雅黑"/>
                <w:sz w:val="24"/>
                <w:szCs w:val="24"/>
              </w:rPr>
              <w:t>规格</w:t>
            </w:r>
          </w:p>
        </w:tc>
        <w:tc>
          <w:tcPr>
            <w:tcW w:w="950" w:type="dxa"/>
            <w:vAlign w:val="center"/>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偏离</w:t>
            </w:r>
          </w:p>
        </w:tc>
        <w:tc>
          <w:tcPr>
            <w:tcW w:w="951" w:type="dxa"/>
            <w:vAlign w:val="center"/>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7"/>
              <w:spacing w:line="400" w:lineRule="exact"/>
              <w:ind w:left="1080" w:leftChars="257" w:hanging="540"/>
              <w:rPr>
                <w:rFonts w:ascii="微软雅黑" w:hAnsi="微软雅黑" w:eastAsia="微软雅黑" w:cs="微软雅黑"/>
                <w:sz w:val="24"/>
                <w:szCs w:val="24"/>
              </w:rPr>
            </w:pPr>
          </w:p>
        </w:tc>
        <w:tc>
          <w:tcPr>
            <w:tcW w:w="1330" w:type="dxa"/>
          </w:tcPr>
          <w:p>
            <w:pPr>
              <w:pStyle w:val="17"/>
              <w:spacing w:line="400" w:lineRule="exact"/>
              <w:ind w:left="1080" w:leftChars="257" w:hanging="540"/>
              <w:rPr>
                <w:rFonts w:ascii="微软雅黑" w:hAnsi="微软雅黑" w:eastAsia="微软雅黑" w:cs="微软雅黑"/>
                <w:sz w:val="24"/>
                <w:szCs w:val="24"/>
              </w:rPr>
            </w:pPr>
          </w:p>
        </w:tc>
        <w:tc>
          <w:tcPr>
            <w:tcW w:w="2472" w:type="dxa"/>
          </w:tcPr>
          <w:p>
            <w:pPr>
              <w:pStyle w:val="17"/>
              <w:spacing w:line="400" w:lineRule="exact"/>
              <w:ind w:left="1080" w:leftChars="257" w:hanging="540"/>
              <w:rPr>
                <w:rFonts w:ascii="微软雅黑" w:hAnsi="微软雅黑" w:eastAsia="微软雅黑" w:cs="微软雅黑"/>
                <w:sz w:val="24"/>
                <w:szCs w:val="24"/>
              </w:rPr>
            </w:pPr>
          </w:p>
        </w:tc>
        <w:tc>
          <w:tcPr>
            <w:tcW w:w="1331" w:type="dxa"/>
          </w:tcPr>
          <w:p>
            <w:pPr>
              <w:pStyle w:val="17"/>
              <w:spacing w:line="400" w:lineRule="exact"/>
              <w:ind w:left="1080" w:leftChars="257" w:hanging="540"/>
              <w:rPr>
                <w:rFonts w:ascii="微软雅黑" w:hAnsi="微软雅黑" w:eastAsia="微软雅黑" w:cs="微软雅黑"/>
                <w:sz w:val="24"/>
                <w:szCs w:val="24"/>
              </w:rPr>
            </w:pPr>
          </w:p>
        </w:tc>
        <w:tc>
          <w:tcPr>
            <w:tcW w:w="1331" w:type="dxa"/>
          </w:tcPr>
          <w:p>
            <w:pPr>
              <w:pStyle w:val="17"/>
              <w:spacing w:line="400" w:lineRule="exact"/>
              <w:ind w:left="1080" w:leftChars="257" w:hanging="540"/>
              <w:rPr>
                <w:rFonts w:ascii="微软雅黑" w:hAnsi="微软雅黑" w:eastAsia="微软雅黑" w:cs="微软雅黑"/>
                <w:sz w:val="24"/>
                <w:szCs w:val="24"/>
              </w:rPr>
            </w:pPr>
          </w:p>
        </w:tc>
        <w:tc>
          <w:tcPr>
            <w:tcW w:w="950" w:type="dxa"/>
          </w:tcPr>
          <w:p>
            <w:pPr>
              <w:pStyle w:val="17"/>
              <w:spacing w:line="400" w:lineRule="exact"/>
              <w:ind w:left="1080" w:leftChars="257" w:hanging="540"/>
              <w:rPr>
                <w:rFonts w:ascii="微软雅黑" w:hAnsi="微软雅黑" w:eastAsia="微软雅黑" w:cs="微软雅黑"/>
                <w:sz w:val="24"/>
                <w:szCs w:val="24"/>
              </w:rPr>
            </w:pPr>
          </w:p>
        </w:tc>
        <w:tc>
          <w:tcPr>
            <w:tcW w:w="951"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7"/>
              <w:spacing w:line="400" w:lineRule="exact"/>
              <w:ind w:left="1080" w:leftChars="257" w:hanging="540"/>
              <w:rPr>
                <w:rFonts w:ascii="微软雅黑" w:hAnsi="微软雅黑" w:eastAsia="微软雅黑" w:cs="微软雅黑"/>
                <w:sz w:val="24"/>
                <w:szCs w:val="24"/>
              </w:rPr>
            </w:pPr>
          </w:p>
        </w:tc>
        <w:tc>
          <w:tcPr>
            <w:tcW w:w="1330" w:type="dxa"/>
          </w:tcPr>
          <w:p>
            <w:pPr>
              <w:pStyle w:val="17"/>
              <w:spacing w:line="400" w:lineRule="exact"/>
              <w:ind w:left="1080" w:leftChars="257" w:hanging="540"/>
              <w:rPr>
                <w:rFonts w:ascii="微软雅黑" w:hAnsi="微软雅黑" w:eastAsia="微软雅黑" w:cs="微软雅黑"/>
                <w:sz w:val="24"/>
                <w:szCs w:val="24"/>
              </w:rPr>
            </w:pPr>
          </w:p>
        </w:tc>
        <w:tc>
          <w:tcPr>
            <w:tcW w:w="2472" w:type="dxa"/>
          </w:tcPr>
          <w:p>
            <w:pPr>
              <w:pStyle w:val="17"/>
              <w:spacing w:line="400" w:lineRule="exact"/>
              <w:ind w:left="1080" w:leftChars="257" w:hanging="540"/>
              <w:rPr>
                <w:rFonts w:ascii="微软雅黑" w:hAnsi="微软雅黑" w:eastAsia="微软雅黑" w:cs="微软雅黑"/>
                <w:sz w:val="24"/>
                <w:szCs w:val="24"/>
              </w:rPr>
            </w:pPr>
          </w:p>
        </w:tc>
        <w:tc>
          <w:tcPr>
            <w:tcW w:w="1331" w:type="dxa"/>
          </w:tcPr>
          <w:p>
            <w:pPr>
              <w:pStyle w:val="17"/>
              <w:spacing w:line="400" w:lineRule="exact"/>
              <w:ind w:left="1080" w:leftChars="257" w:hanging="540"/>
              <w:rPr>
                <w:rFonts w:ascii="微软雅黑" w:hAnsi="微软雅黑" w:eastAsia="微软雅黑" w:cs="微软雅黑"/>
                <w:sz w:val="24"/>
                <w:szCs w:val="24"/>
              </w:rPr>
            </w:pPr>
          </w:p>
        </w:tc>
        <w:tc>
          <w:tcPr>
            <w:tcW w:w="1331" w:type="dxa"/>
          </w:tcPr>
          <w:p>
            <w:pPr>
              <w:pStyle w:val="17"/>
              <w:spacing w:line="400" w:lineRule="exact"/>
              <w:ind w:left="1080" w:leftChars="257" w:hanging="540"/>
              <w:rPr>
                <w:rFonts w:ascii="微软雅黑" w:hAnsi="微软雅黑" w:eastAsia="微软雅黑" w:cs="微软雅黑"/>
                <w:sz w:val="24"/>
                <w:szCs w:val="24"/>
              </w:rPr>
            </w:pPr>
          </w:p>
        </w:tc>
        <w:tc>
          <w:tcPr>
            <w:tcW w:w="950" w:type="dxa"/>
          </w:tcPr>
          <w:p>
            <w:pPr>
              <w:pStyle w:val="17"/>
              <w:spacing w:line="400" w:lineRule="exact"/>
              <w:ind w:left="1080" w:leftChars="257" w:hanging="540"/>
              <w:rPr>
                <w:rFonts w:ascii="微软雅黑" w:hAnsi="微软雅黑" w:eastAsia="微软雅黑" w:cs="微软雅黑"/>
                <w:sz w:val="24"/>
                <w:szCs w:val="24"/>
              </w:rPr>
            </w:pPr>
          </w:p>
        </w:tc>
        <w:tc>
          <w:tcPr>
            <w:tcW w:w="951"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7"/>
              <w:spacing w:line="400" w:lineRule="exact"/>
              <w:ind w:left="1080" w:leftChars="257" w:hanging="540"/>
              <w:rPr>
                <w:rFonts w:ascii="微软雅黑" w:hAnsi="微软雅黑" w:eastAsia="微软雅黑" w:cs="微软雅黑"/>
                <w:sz w:val="24"/>
                <w:szCs w:val="24"/>
              </w:rPr>
            </w:pPr>
          </w:p>
        </w:tc>
        <w:tc>
          <w:tcPr>
            <w:tcW w:w="1330" w:type="dxa"/>
          </w:tcPr>
          <w:p>
            <w:pPr>
              <w:pStyle w:val="17"/>
              <w:spacing w:line="400" w:lineRule="exact"/>
              <w:ind w:left="1080" w:leftChars="257" w:hanging="540"/>
              <w:rPr>
                <w:rFonts w:ascii="微软雅黑" w:hAnsi="微软雅黑" w:eastAsia="微软雅黑" w:cs="微软雅黑"/>
                <w:sz w:val="24"/>
                <w:szCs w:val="24"/>
              </w:rPr>
            </w:pPr>
          </w:p>
        </w:tc>
        <w:tc>
          <w:tcPr>
            <w:tcW w:w="2472" w:type="dxa"/>
          </w:tcPr>
          <w:p>
            <w:pPr>
              <w:pStyle w:val="17"/>
              <w:spacing w:line="400" w:lineRule="exact"/>
              <w:ind w:left="1080" w:leftChars="257" w:hanging="540"/>
              <w:rPr>
                <w:rFonts w:ascii="微软雅黑" w:hAnsi="微软雅黑" w:eastAsia="微软雅黑" w:cs="微软雅黑"/>
                <w:sz w:val="24"/>
                <w:szCs w:val="24"/>
              </w:rPr>
            </w:pPr>
          </w:p>
        </w:tc>
        <w:tc>
          <w:tcPr>
            <w:tcW w:w="1331" w:type="dxa"/>
          </w:tcPr>
          <w:p>
            <w:pPr>
              <w:pStyle w:val="17"/>
              <w:spacing w:line="400" w:lineRule="exact"/>
              <w:ind w:left="1080" w:leftChars="257" w:hanging="540"/>
              <w:rPr>
                <w:rFonts w:ascii="微软雅黑" w:hAnsi="微软雅黑" w:eastAsia="微软雅黑" w:cs="微软雅黑"/>
                <w:sz w:val="24"/>
                <w:szCs w:val="24"/>
              </w:rPr>
            </w:pPr>
          </w:p>
        </w:tc>
        <w:tc>
          <w:tcPr>
            <w:tcW w:w="1331" w:type="dxa"/>
          </w:tcPr>
          <w:p>
            <w:pPr>
              <w:pStyle w:val="17"/>
              <w:spacing w:line="400" w:lineRule="exact"/>
              <w:ind w:left="1080" w:leftChars="257" w:hanging="540"/>
              <w:rPr>
                <w:rFonts w:ascii="微软雅黑" w:hAnsi="微软雅黑" w:eastAsia="微软雅黑" w:cs="微软雅黑"/>
                <w:sz w:val="24"/>
                <w:szCs w:val="24"/>
              </w:rPr>
            </w:pPr>
          </w:p>
        </w:tc>
        <w:tc>
          <w:tcPr>
            <w:tcW w:w="950" w:type="dxa"/>
          </w:tcPr>
          <w:p>
            <w:pPr>
              <w:pStyle w:val="17"/>
              <w:spacing w:line="400" w:lineRule="exact"/>
              <w:ind w:left="1080" w:leftChars="257" w:hanging="540"/>
              <w:rPr>
                <w:rFonts w:ascii="微软雅黑" w:hAnsi="微软雅黑" w:eastAsia="微软雅黑" w:cs="微软雅黑"/>
                <w:sz w:val="24"/>
                <w:szCs w:val="24"/>
              </w:rPr>
            </w:pPr>
          </w:p>
        </w:tc>
        <w:tc>
          <w:tcPr>
            <w:tcW w:w="951"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7"/>
              <w:spacing w:line="400" w:lineRule="exact"/>
              <w:ind w:left="1080" w:leftChars="257" w:hanging="540"/>
              <w:rPr>
                <w:rFonts w:ascii="微软雅黑" w:hAnsi="微软雅黑" w:eastAsia="微软雅黑" w:cs="微软雅黑"/>
                <w:sz w:val="24"/>
                <w:szCs w:val="24"/>
              </w:rPr>
            </w:pPr>
          </w:p>
        </w:tc>
        <w:tc>
          <w:tcPr>
            <w:tcW w:w="1330" w:type="dxa"/>
          </w:tcPr>
          <w:p>
            <w:pPr>
              <w:pStyle w:val="17"/>
              <w:spacing w:line="400" w:lineRule="exact"/>
              <w:ind w:left="1080" w:leftChars="257" w:hanging="540"/>
              <w:rPr>
                <w:rFonts w:ascii="微软雅黑" w:hAnsi="微软雅黑" w:eastAsia="微软雅黑" w:cs="微软雅黑"/>
                <w:sz w:val="24"/>
                <w:szCs w:val="24"/>
              </w:rPr>
            </w:pPr>
          </w:p>
        </w:tc>
        <w:tc>
          <w:tcPr>
            <w:tcW w:w="2472" w:type="dxa"/>
          </w:tcPr>
          <w:p>
            <w:pPr>
              <w:pStyle w:val="17"/>
              <w:spacing w:line="400" w:lineRule="exact"/>
              <w:ind w:left="1080" w:leftChars="257" w:hanging="540"/>
              <w:rPr>
                <w:rFonts w:ascii="微软雅黑" w:hAnsi="微软雅黑" w:eastAsia="微软雅黑" w:cs="微软雅黑"/>
                <w:sz w:val="24"/>
                <w:szCs w:val="24"/>
              </w:rPr>
            </w:pPr>
          </w:p>
        </w:tc>
        <w:tc>
          <w:tcPr>
            <w:tcW w:w="1331" w:type="dxa"/>
          </w:tcPr>
          <w:p>
            <w:pPr>
              <w:pStyle w:val="17"/>
              <w:spacing w:line="400" w:lineRule="exact"/>
              <w:ind w:left="1080" w:leftChars="257" w:hanging="540"/>
              <w:rPr>
                <w:rFonts w:ascii="微软雅黑" w:hAnsi="微软雅黑" w:eastAsia="微软雅黑" w:cs="微软雅黑"/>
                <w:sz w:val="24"/>
                <w:szCs w:val="24"/>
              </w:rPr>
            </w:pPr>
          </w:p>
        </w:tc>
        <w:tc>
          <w:tcPr>
            <w:tcW w:w="1331" w:type="dxa"/>
          </w:tcPr>
          <w:p>
            <w:pPr>
              <w:pStyle w:val="17"/>
              <w:spacing w:line="400" w:lineRule="exact"/>
              <w:ind w:left="1080" w:leftChars="257" w:hanging="540"/>
              <w:rPr>
                <w:rFonts w:ascii="微软雅黑" w:hAnsi="微软雅黑" w:eastAsia="微软雅黑" w:cs="微软雅黑"/>
                <w:sz w:val="24"/>
                <w:szCs w:val="24"/>
              </w:rPr>
            </w:pPr>
          </w:p>
        </w:tc>
        <w:tc>
          <w:tcPr>
            <w:tcW w:w="950" w:type="dxa"/>
          </w:tcPr>
          <w:p>
            <w:pPr>
              <w:pStyle w:val="17"/>
              <w:spacing w:line="400" w:lineRule="exact"/>
              <w:ind w:left="1080" w:leftChars="257" w:hanging="540"/>
              <w:rPr>
                <w:rFonts w:ascii="微软雅黑" w:hAnsi="微软雅黑" w:eastAsia="微软雅黑" w:cs="微软雅黑"/>
                <w:sz w:val="24"/>
                <w:szCs w:val="24"/>
              </w:rPr>
            </w:pPr>
          </w:p>
        </w:tc>
        <w:tc>
          <w:tcPr>
            <w:tcW w:w="951"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7"/>
              <w:spacing w:line="400" w:lineRule="exact"/>
              <w:ind w:left="1080" w:leftChars="257" w:hanging="540"/>
              <w:rPr>
                <w:rFonts w:ascii="微软雅黑" w:hAnsi="微软雅黑" w:eastAsia="微软雅黑" w:cs="微软雅黑"/>
                <w:sz w:val="24"/>
                <w:szCs w:val="24"/>
              </w:rPr>
            </w:pPr>
          </w:p>
        </w:tc>
        <w:tc>
          <w:tcPr>
            <w:tcW w:w="1330" w:type="dxa"/>
          </w:tcPr>
          <w:p>
            <w:pPr>
              <w:pStyle w:val="17"/>
              <w:spacing w:line="400" w:lineRule="exact"/>
              <w:ind w:left="1080" w:leftChars="257" w:hanging="540"/>
              <w:rPr>
                <w:rFonts w:ascii="微软雅黑" w:hAnsi="微软雅黑" w:eastAsia="微软雅黑" w:cs="微软雅黑"/>
                <w:sz w:val="24"/>
                <w:szCs w:val="24"/>
              </w:rPr>
            </w:pPr>
          </w:p>
        </w:tc>
        <w:tc>
          <w:tcPr>
            <w:tcW w:w="2472" w:type="dxa"/>
          </w:tcPr>
          <w:p>
            <w:pPr>
              <w:pStyle w:val="17"/>
              <w:spacing w:line="400" w:lineRule="exact"/>
              <w:ind w:left="1080" w:leftChars="257" w:hanging="540"/>
              <w:rPr>
                <w:rFonts w:ascii="微软雅黑" w:hAnsi="微软雅黑" w:eastAsia="微软雅黑" w:cs="微软雅黑"/>
                <w:sz w:val="24"/>
                <w:szCs w:val="24"/>
              </w:rPr>
            </w:pPr>
          </w:p>
        </w:tc>
        <w:tc>
          <w:tcPr>
            <w:tcW w:w="1331" w:type="dxa"/>
          </w:tcPr>
          <w:p>
            <w:pPr>
              <w:pStyle w:val="17"/>
              <w:spacing w:line="400" w:lineRule="exact"/>
              <w:ind w:left="1080" w:leftChars="257" w:hanging="540"/>
              <w:rPr>
                <w:rFonts w:ascii="微软雅黑" w:hAnsi="微软雅黑" w:eastAsia="微软雅黑" w:cs="微软雅黑"/>
                <w:sz w:val="24"/>
                <w:szCs w:val="24"/>
              </w:rPr>
            </w:pPr>
          </w:p>
        </w:tc>
        <w:tc>
          <w:tcPr>
            <w:tcW w:w="1331" w:type="dxa"/>
          </w:tcPr>
          <w:p>
            <w:pPr>
              <w:pStyle w:val="17"/>
              <w:spacing w:line="400" w:lineRule="exact"/>
              <w:ind w:left="1080" w:leftChars="257" w:hanging="540"/>
              <w:rPr>
                <w:rFonts w:ascii="微软雅黑" w:hAnsi="微软雅黑" w:eastAsia="微软雅黑" w:cs="微软雅黑"/>
                <w:sz w:val="24"/>
                <w:szCs w:val="24"/>
              </w:rPr>
            </w:pPr>
          </w:p>
        </w:tc>
        <w:tc>
          <w:tcPr>
            <w:tcW w:w="950" w:type="dxa"/>
          </w:tcPr>
          <w:p>
            <w:pPr>
              <w:pStyle w:val="17"/>
              <w:spacing w:line="400" w:lineRule="exact"/>
              <w:ind w:left="1080" w:leftChars="257" w:hanging="540"/>
              <w:rPr>
                <w:rFonts w:ascii="微软雅黑" w:hAnsi="微软雅黑" w:eastAsia="微软雅黑" w:cs="微软雅黑"/>
                <w:sz w:val="24"/>
                <w:szCs w:val="24"/>
              </w:rPr>
            </w:pPr>
          </w:p>
        </w:tc>
        <w:tc>
          <w:tcPr>
            <w:tcW w:w="951"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7"/>
              <w:spacing w:line="400" w:lineRule="exact"/>
              <w:ind w:left="1080" w:leftChars="257" w:hanging="540"/>
              <w:rPr>
                <w:rFonts w:ascii="微软雅黑" w:hAnsi="微软雅黑" w:eastAsia="微软雅黑" w:cs="微软雅黑"/>
                <w:sz w:val="24"/>
                <w:szCs w:val="24"/>
              </w:rPr>
            </w:pPr>
          </w:p>
        </w:tc>
        <w:tc>
          <w:tcPr>
            <w:tcW w:w="1330" w:type="dxa"/>
          </w:tcPr>
          <w:p>
            <w:pPr>
              <w:pStyle w:val="17"/>
              <w:spacing w:line="400" w:lineRule="exact"/>
              <w:ind w:left="1080" w:leftChars="257" w:hanging="540"/>
              <w:rPr>
                <w:rFonts w:ascii="微软雅黑" w:hAnsi="微软雅黑" w:eastAsia="微软雅黑" w:cs="微软雅黑"/>
                <w:sz w:val="24"/>
                <w:szCs w:val="24"/>
              </w:rPr>
            </w:pPr>
          </w:p>
        </w:tc>
        <w:tc>
          <w:tcPr>
            <w:tcW w:w="2472" w:type="dxa"/>
          </w:tcPr>
          <w:p>
            <w:pPr>
              <w:pStyle w:val="17"/>
              <w:spacing w:line="400" w:lineRule="exact"/>
              <w:ind w:left="1080" w:leftChars="257" w:hanging="540"/>
              <w:rPr>
                <w:rFonts w:ascii="微软雅黑" w:hAnsi="微软雅黑" w:eastAsia="微软雅黑" w:cs="微软雅黑"/>
                <w:sz w:val="24"/>
                <w:szCs w:val="24"/>
              </w:rPr>
            </w:pPr>
          </w:p>
        </w:tc>
        <w:tc>
          <w:tcPr>
            <w:tcW w:w="1331" w:type="dxa"/>
          </w:tcPr>
          <w:p>
            <w:pPr>
              <w:pStyle w:val="17"/>
              <w:spacing w:line="400" w:lineRule="exact"/>
              <w:ind w:left="1080" w:leftChars="257" w:hanging="540"/>
              <w:rPr>
                <w:rFonts w:ascii="微软雅黑" w:hAnsi="微软雅黑" w:eastAsia="微软雅黑" w:cs="微软雅黑"/>
                <w:sz w:val="24"/>
                <w:szCs w:val="24"/>
              </w:rPr>
            </w:pPr>
          </w:p>
        </w:tc>
        <w:tc>
          <w:tcPr>
            <w:tcW w:w="1331" w:type="dxa"/>
          </w:tcPr>
          <w:p>
            <w:pPr>
              <w:pStyle w:val="17"/>
              <w:spacing w:line="400" w:lineRule="exact"/>
              <w:ind w:left="1080" w:leftChars="257" w:hanging="540"/>
              <w:rPr>
                <w:rFonts w:ascii="微软雅黑" w:hAnsi="微软雅黑" w:eastAsia="微软雅黑" w:cs="微软雅黑"/>
                <w:sz w:val="24"/>
                <w:szCs w:val="24"/>
              </w:rPr>
            </w:pPr>
          </w:p>
        </w:tc>
        <w:tc>
          <w:tcPr>
            <w:tcW w:w="950" w:type="dxa"/>
          </w:tcPr>
          <w:p>
            <w:pPr>
              <w:pStyle w:val="17"/>
              <w:spacing w:line="400" w:lineRule="exact"/>
              <w:ind w:left="1080" w:leftChars="257" w:hanging="540"/>
              <w:rPr>
                <w:rFonts w:ascii="微软雅黑" w:hAnsi="微软雅黑" w:eastAsia="微软雅黑" w:cs="微软雅黑"/>
                <w:sz w:val="24"/>
                <w:szCs w:val="24"/>
              </w:rPr>
            </w:pPr>
          </w:p>
        </w:tc>
        <w:tc>
          <w:tcPr>
            <w:tcW w:w="951"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7"/>
              <w:spacing w:line="400" w:lineRule="exact"/>
              <w:ind w:left="1080" w:leftChars="257" w:hanging="540"/>
              <w:rPr>
                <w:rFonts w:ascii="微软雅黑" w:hAnsi="微软雅黑" w:eastAsia="微软雅黑" w:cs="微软雅黑"/>
                <w:sz w:val="24"/>
                <w:szCs w:val="24"/>
              </w:rPr>
            </w:pPr>
          </w:p>
        </w:tc>
        <w:tc>
          <w:tcPr>
            <w:tcW w:w="1330" w:type="dxa"/>
          </w:tcPr>
          <w:p>
            <w:pPr>
              <w:pStyle w:val="17"/>
              <w:spacing w:line="400" w:lineRule="exact"/>
              <w:ind w:left="1080" w:leftChars="257" w:hanging="540"/>
              <w:rPr>
                <w:rFonts w:ascii="微软雅黑" w:hAnsi="微软雅黑" w:eastAsia="微软雅黑" w:cs="微软雅黑"/>
                <w:sz w:val="24"/>
                <w:szCs w:val="24"/>
              </w:rPr>
            </w:pPr>
          </w:p>
        </w:tc>
        <w:tc>
          <w:tcPr>
            <w:tcW w:w="2472" w:type="dxa"/>
          </w:tcPr>
          <w:p>
            <w:pPr>
              <w:pStyle w:val="17"/>
              <w:spacing w:line="400" w:lineRule="exact"/>
              <w:ind w:left="1080" w:leftChars="257" w:hanging="540"/>
              <w:rPr>
                <w:rFonts w:ascii="微软雅黑" w:hAnsi="微软雅黑" w:eastAsia="微软雅黑" w:cs="微软雅黑"/>
                <w:sz w:val="24"/>
                <w:szCs w:val="24"/>
              </w:rPr>
            </w:pPr>
          </w:p>
        </w:tc>
        <w:tc>
          <w:tcPr>
            <w:tcW w:w="1331" w:type="dxa"/>
          </w:tcPr>
          <w:p>
            <w:pPr>
              <w:pStyle w:val="17"/>
              <w:spacing w:line="400" w:lineRule="exact"/>
              <w:ind w:left="1080" w:leftChars="257" w:hanging="540"/>
              <w:rPr>
                <w:rFonts w:ascii="微软雅黑" w:hAnsi="微软雅黑" w:eastAsia="微软雅黑" w:cs="微软雅黑"/>
                <w:sz w:val="24"/>
                <w:szCs w:val="24"/>
              </w:rPr>
            </w:pPr>
          </w:p>
        </w:tc>
        <w:tc>
          <w:tcPr>
            <w:tcW w:w="1331" w:type="dxa"/>
          </w:tcPr>
          <w:p>
            <w:pPr>
              <w:pStyle w:val="17"/>
              <w:spacing w:line="400" w:lineRule="exact"/>
              <w:ind w:left="1080" w:leftChars="257" w:hanging="540"/>
              <w:rPr>
                <w:rFonts w:ascii="微软雅黑" w:hAnsi="微软雅黑" w:eastAsia="微软雅黑" w:cs="微软雅黑"/>
                <w:sz w:val="24"/>
                <w:szCs w:val="24"/>
              </w:rPr>
            </w:pPr>
          </w:p>
        </w:tc>
        <w:tc>
          <w:tcPr>
            <w:tcW w:w="950" w:type="dxa"/>
          </w:tcPr>
          <w:p>
            <w:pPr>
              <w:pStyle w:val="17"/>
              <w:spacing w:line="400" w:lineRule="exact"/>
              <w:ind w:left="1080" w:leftChars="257" w:hanging="540"/>
              <w:rPr>
                <w:rFonts w:ascii="微软雅黑" w:hAnsi="微软雅黑" w:eastAsia="微软雅黑" w:cs="微软雅黑"/>
                <w:sz w:val="24"/>
                <w:szCs w:val="24"/>
              </w:rPr>
            </w:pPr>
          </w:p>
        </w:tc>
        <w:tc>
          <w:tcPr>
            <w:tcW w:w="951" w:type="dxa"/>
          </w:tcPr>
          <w:p>
            <w:pPr>
              <w:pStyle w:val="17"/>
              <w:spacing w:line="400" w:lineRule="exact"/>
              <w:ind w:left="1080" w:leftChars="257" w:hanging="540"/>
              <w:rPr>
                <w:rFonts w:ascii="微软雅黑" w:hAnsi="微软雅黑" w:eastAsia="微软雅黑" w:cs="微软雅黑"/>
                <w:sz w:val="24"/>
                <w:szCs w:val="24"/>
              </w:rPr>
            </w:pPr>
          </w:p>
        </w:tc>
      </w:tr>
    </w:tbl>
    <w:p>
      <w:pPr>
        <w:pStyle w:val="17"/>
        <w:spacing w:line="400" w:lineRule="exact"/>
        <w:rPr>
          <w:rFonts w:ascii="微软雅黑" w:hAnsi="微软雅黑" w:eastAsia="微软雅黑" w:cs="微软雅黑"/>
          <w:sz w:val="24"/>
          <w:szCs w:val="24"/>
        </w:rPr>
      </w:pPr>
    </w:p>
    <w:p>
      <w:pPr>
        <w:pStyle w:val="17"/>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w:t>
      </w:r>
      <w:r>
        <w:rPr>
          <w:rFonts w:hint="eastAsia" w:ascii="微软雅黑" w:hAnsi="微软雅黑" w:eastAsia="微软雅黑" w:cs="微软雅黑"/>
          <w:sz w:val="24"/>
          <w:szCs w:val="24"/>
          <w:lang w:eastAsia="zh-CN"/>
        </w:rPr>
        <w:t>签字或盖章</w:t>
      </w:r>
      <w:r>
        <w:rPr>
          <w:rFonts w:hint="eastAsia" w:ascii="微软雅黑" w:hAnsi="微软雅黑" w:eastAsia="微软雅黑" w:cs="微软雅黑"/>
          <w:sz w:val="24"/>
          <w:szCs w:val="24"/>
        </w:rPr>
        <w:t>）:</w:t>
      </w:r>
    </w:p>
    <w:p>
      <w:pPr>
        <w:pStyle w:val="17"/>
        <w:tabs>
          <w:tab w:val="left" w:pos="5370"/>
        </w:tabs>
        <w:spacing w:line="400" w:lineRule="exact"/>
        <w:ind w:left="1080" w:leftChars="257" w:hanging="540"/>
        <w:rPr>
          <w:rFonts w:ascii="微软雅黑" w:hAnsi="微软雅黑" w:eastAsia="微软雅黑" w:cs="微软雅黑"/>
          <w:b/>
          <w:bCs/>
          <w:sz w:val="24"/>
          <w:szCs w:val="24"/>
        </w:rPr>
      </w:pPr>
      <w:r>
        <w:rPr>
          <w:rFonts w:hint="eastAsia" w:ascii="微软雅黑" w:hAnsi="微软雅黑" w:eastAsia="微软雅黑" w:cs="微软雅黑"/>
          <w:sz w:val="24"/>
          <w:szCs w:val="24"/>
        </w:rPr>
        <w:t>供应商(公章):</w:t>
      </w:r>
    </w:p>
    <w:p>
      <w:pPr>
        <w:pStyle w:val="2"/>
        <w:rPr>
          <w:rFonts w:ascii="微软雅黑" w:hAnsi="微软雅黑" w:eastAsia="微软雅黑" w:cs="微软雅黑"/>
        </w:rPr>
      </w:pPr>
    </w:p>
    <w:p>
      <w:pPr>
        <w:pStyle w:val="2"/>
        <w:rPr>
          <w:rFonts w:ascii="微软雅黑" w:hAnsi="微软雅黑" w:eastAsia="微软雅黑" w:cs="微软雅黑"/>
        </w:rPr>
      </w:pPr>
    </w:p>
    <w:p>
      <w:pPr>
        <w:pStyle w:val="6"/>
        <w:ind w:firstLine="0"/>
        <w:rPr>
          <w:rFonts w:ascii="微软雅黑" w:hAnsi="微软雅黑" w:eastAsia="微软雅黑" w:cs="微软雅黑"/>
        </w:rPr>
      </w:pPr>
    </w:p>
    <w:bookmarkEnd w:id="640"/>
    <w:bookmarkEnd w:id="641"/>
    <w:bookmarkEnd w:id="642"/>
    <w:bookmarkEnd w:id="643"/>
    <w:bookmarkEnd w:id="644"/>
    <w:bookmarkEnd w:id="645"/>
    <w:bookmarkEnd w:id="646"/>
    <w:bookmarkEnd w:id="647"/>
    <w:bookmarkEnd w:id="648"/>
    <w:bookmarkEnd w:id="649"/>
    <w:bookmarkEnd w:id="650"/>
    <w:p>
      <w:pPr>
        <w:pStyle w:val="4"/>
        <w:spacing w:before="0" w:line="240" w:lineRule="atLeast"/>
        <w:rPr>
          <w:rFonts w:hint="eastAsia" w:ascii="微软雅黑" w:hAnsi="微软雅黑" w:eastAsia="微软雅黑" w:cs="微软雅黑"/>
          <w:bCs/>
          <w:sz w:val="24"/>
          <w:szCs w:val="24"/>
          <w:lang w:val="en-US" w:eastAsia="zh-CN"/>
        </w:rPr>
      </w:pPr>
      <w:bookmarkStart w:id="656" w:name="_Toc23233"/>
      <w:bookmarkStart w:id="657" w:name="_Toc31412"/>
      <w:bookmarkStart w:id="658" w:name="_Toc22563"/>
      <w:bookmarkStart w:id="659" w:name="_Toc338"/>
      <w:bookmarkStart w:id="660" w:name="_Toc1130"/>
      <w:bookmarkStart w:id="661" w:name="_Toc216582817"/>
      <w:bookmarkStart w:id="662" w:name="_Toc3537"/>
      <w:bookmarkStart w:id="663" w:name="_Toc515647820"/>
      <w:bookmarkStart w:id="664" w:name="_Toc10773"/>
      <w:bookmarkStart w:id="665" w:name="_Toc9012"/>
      <w:bookmarkStart w:id="666" w:name="_Toc13229"/>
      <w:bookmarkStart w:id="667" w:name="_Toc32666"/>
      <w:bookmarkStart w:id="668" w:name="_Toc13093"/>
      <w:bookmarkStart w:id="669" w:name="_Toc26490"/>
      <w:bookmarkStart w:id="670" w:name="_Toc32689"/>
      <w:bookmarkStart w:id="671" w:name="_Toc23542"/>
      <w:bookmarkStart w:id="672" w:name="_Toc28959"/>
      <w:bookmarkStart w:id="673" w:name="_Toc1232"/>
      <w:bookmarkStart w:id="674" w:name="_Toc24864"/>
      <w:bookmarkStart w:id="675" w:name="_Toc28414"/>
      <w:bookmarkStart w:id="676" w:name="_Toc4880"/>
    </w:p>
    <w:p>
      <w:pPr>
        <w:pStyle w:val="4"/>
        <w:spacing w:before="0" w:line="240" w:lineRule="atLeast"/>
        <w:jc w:val="both"/>
        <w:rPr>
          <w:rFonts w:hint="eastAsia" w:ascii="微软雅黑" w:hAnsi="微软雅黑" w:eastAsia="微软雅黑" w:cs="微软雅黑"/>
          <w:bCs/>
          <w:sz w:val="24"/>
          <w:szCs w:val="24"/>
          <w:lang w:val="en-US" w:eastAsia="zh-CN"/>
        </w:rPr>
      </w:pPr>
    </w:p>
    <w:p>
      <w:pPr>
        <w:pStyle w:val="4"/>
        <w:spacing w:before="0" w:line="240" w:lineRule="atLeast"/>
        <w:rPr>
          <w:rFonts w:hint="eastAsia" w:ascii="微软雅黑" w:hAnsi="微软雅黑" w:eastAsia="微软雅黑" w:cs="微软雅黑"/>
          <w:bCs/>
          <w:sz w:val="24"/>
          <w:szCs w:val="24"/>
          <w:lang w:val="en-US" w:eastAsia="zh-CN"/>
        </w:rPr>
      </w:pPr>
    </w:p>
    <w:p>
      <w:pPr>
        <w:rPr>
          <w:rFonts w:hint="eastAsia"/>
          <w:lang w:val="en-US" w:eastAsia="zh-CN"/>
        </w:rPr>
      </w:pPr>
    </w:p>
    <w:p>
      <w:pPr>
        <w:pStyle w:val="4"/>
        <w:spacing w:before="0" w:line="240" w:lineRule="atLeast"/>
        <w:rPr>
          <w:rFonts w:hint="eastAsia" w:ascii="微软雅黑" w:hAnsi="微软雅黑" w:eastAsia="微软雅黑" w:cs="微软雅黑"/>
          <w:bCs/>
          <w:sz w:val="24"/>
          <w:szCs w:val="24"/>
          <w:lang w:val="en-US" w:eastAsia="zh-CN"/>
        </w:rPr>
      </w:pPr>
    </w:p>
    <w:p>
      <w:pPr>
        <w:pStyle w:val="4"/>
        <w:spacing w:before="0" w:line="240" w:lineRule="atLeast"/>
        <w:rPr>
          <w:rFonts w:hint="eastAsia" w:ascii="微软雅黑" w:hAnsi="微软雅黑" w:eastAsia="微软雅黑" w:cs="微软雅黑"/>
          <w:bCs/>
          <w:sz w:val="24"/>
          <w:szCs w:val="24"/>
          <w:lang w:val="en-US" w:eastAsia="zh-CN"/>
        </w:rPr>
      </w:pPr>
    </w:p>
    <w:p>
      <w:pPr>
        <w:rPr>
          <w:rFonts w:hint="eastAsia" w:ascii="微软雅黑" w:hAnsi="微软雅黑" w:eastAsia="微软雅黑" w:cs="微软雅黑"/>
          <w:bCs/>
          <w:sz w:val="24"/>
          <w:szCs w:val="24"/>
          <w:lang w:val="en-US" w:eastAsia="zh-CN"/>
        </w:rPr>
      </w:pPr>
    </w:p>
    <w:p>
      <w:pPr>
        <w:pStyle w:val="2"/>
        <w:rPr>
          <w:rFonts w:hint="eastAsia"/>
          <w:lang w:val="en-US" w:eastAsia="zh-CN"/>
        </w:rPr>
      </w:pPr>
    </w:p>
    <w:p>
      <w:pPr>
        <w:pStyle w:val="4"/>
        <w:spacing w:before="0" w:line="240" w:lineRule="atLeast"/>
        <w:rPr>
          <w:rFonts w:ascii="微软雅黑" w:hAnsi="微软雅黑" w:eastAsia="微软雅黑" w:cs="微软雅黑"/>
          <w:bCs/>
          <w:kern w:val="2"/>
          <w:sz w:val="22"/>
          <w:szCs w:val="22"/>
        </w:rPr>
      </w:pPr>
      <w:r>
        <w:rPr>
          <w:rFonts w:hint="eastAsia" w:ascii="微软雅黑" w:hAnsi="微软雅黑" w:eastAsia="微软雅黑" w:cs="微软雅黑"/>
          <w:bCs/>
          <w:sz w:val="24"/>
          <w:szCs w:val="24"/>
          <w:lang w:val="en-US" w:eastAsia="zh-CN"/>
        </w:rPr>
        <w:t>5</w:t>
      </w:r>
      <w:r>
        <w:rPr>
          <w:rFonts w:hint="eastAsia" w:ascii="微软雅黑" w:hAnsi="微软雅黑" w:eastAsia="微软雅黑" w:cs="微软雅黑"/>
          <w:bCs/>
          <w:sz w:val="24"/>
          <w:szCs w:val="24"/>
        </w:rPr>
        <w:t>.商务条款偏离表</w:t>
      </w:r>
      <w:bookmarkEnd w:id="656"/>
      <w:bookmarkEnd w:id="657"/>
    </w:p>
    <w:p>
      <w:pPr>
        <w:pStyle w:val="17"/>
        <w:spacing w:line="240" w:lineRule="atLeast"/>
        <w:ind w:left="1080" w:leftChars="257" w:hanging="540"/>
        <w:rPr>
          <w:rFonts w:ascii="微软雅黑" w:hAnsi="微软雅黑" w:eastAsia="微软雅黑" w:cs="微软雅黑"/>
          <w:szCs w:val="21"/>
        </w:rPr>
      </w:pPr>
    </w:p>
    <w:p>
      <w:pPr>
        <w:pStyle w:val="17"/>
        <w:spacing w:line="240" w:lineRule="atLeast"/>
        <w:ind w:left="1080" w:leftChars="257" w:hanging="540"/>
        <w:rPr>
          <w:rFonts w:ascii="微软雅黑" w:hAnsi="微软雅黑" w:eastAsia="微软雅黑" w:cs="微软雅黑"/>
          <w:sz w:val="24"/>
          <w:szCs w:val="24"/>
        </w:rPr>
      </w:pPr>
    </w:p>
    <w:p>
      <w:pPr>
        <w:pStyle w:val="17"/>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 xml:space="preserve">项目名称:                      招标编号:             </w:t>
      </w:r>
    </w:p>
    <w:tbl>
      <w:tblPr>
        <w:tblStyle w:val="3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序号</w:t>
            </w:r>
          </w:p>
        </w:tc>
        <w:tc>
          <w:tcPr>
            <w:tcW w:w="2040" w:type="dxa"/>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磋商</w:t>
            </w:r>
            <w:r>
              <w:rPr>
                <w:rFonts w:hint="eastAsia" w:ascii="微软雅黑" w:hAnsi="微软雅黑" w:eastAsia="微软雅黑" w:cs="微软雅黑"/>
                <w:sz w:val="24"/>
                <w:szCs w:val="24"/>
              </w:rPr>
              <w:t>文件条款号</w:t>
            </w:r>
          </w:p>
        </w:tc>
        <w:tc>
          <w:tcPr>
            <w:tcW w:w="2520" w:type="dxa"/>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磋商</w:t>
            </w:r>
            <w:r>
              <w:rPr>
                <w:rFonts w:hint="eastAsia" w:ascii="微软雅黑" w:hAnsi="微软雅黑" w:eastAsia="微软雅黑" w:cs="微软雅黑"/>
                <w:sz w:val="24"/>
                <w:szCs w:val="24"/>
              </w:rPr>
              <w:t>文件的商务条款</w:t>
            </w:r>
          </w:p>
        </w:tc>
        <w:tc>
          <w:tcPr>
            <w:tcW w:w="2520" w:type="dxa"/>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lang w:val="en-US" w:eastAsia="zh-CN"/>
              </w:rPr>
              <w:t>响应</w:t>
            </w:r>
            <w:r>
              <w:rPr>
                <w:rFonts w:hint="eastAsia" w:ascii="微软雅黑" w:hAnsi="微软雅黑" w:eastAsia="微软雅黑" w:cs="微软雅黑"/>
                <w:sz w:val="24"/>
                <w:szCs w:val="24"/>
              </w:rPr>
              <w:t>文件的商务条款</w:t>
            </w:r>
          </w:p>
        </w:tc>
        <w:tc>
          <w:tcPr>
            <w:tcW w:w="1014" w:type="dxa"/>
          </w:tcPr>
          <w:p>
            <w:pPr>
              <w:pStyle w:val="17"/>
              <w:spacing w:line="400" w:lineRule="exact"/>
              <w:jc w:val="center"/>
              <w:rPr>
                <w:rFonts w:ascii="微软雅黑" w:hAnsi="微软雅黑" w:eastAsia="微软雅黑" w:cs="微软雅黑"/>
                <w:sz w:val="24"/>
                <w:szCs w:val="24"/>
              </w:rPr>
            </w:pPr>
            <w:r>
              <w:rPr>
                <w:rFonts w:hint="eastAsia" w:ascii="微软雅黑" w:hAnsi="微软雅黑" w:eastAsia="微软雅黑" w:cs="微软雅黑"/>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jc w:val="center"/>
              <w:rPr>
                <w:rFonts w:ascii="微软雅黑" w:hAnsi="微软雅黑" w:eastAsia="微软雅黑" w:cs="微软雅黑"/>
                <w:sz w:val="24"/>
                <w:szCs w:val="24"/>
              </w:rPr>
            </w:pPr>
          </w:p>
        </w:tc>
        <w:tc>
          <w:tcPr>
            <w:tcW w:w="2520" w:type="dxa"/>
          </w:tcPr>
          <w:p>
            <w:pPr>
              <w:pStyle w:val="17"/>
              <w:spacing w:line="400" w:lineRule="exact"/>
              <w:ind w:left="1080" w:leftChars="257" w:hanging="540"/>
              <w:jc w:val="center"/>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7"/>
              <w:spacing w:line="400" w:lineRule="exact"/>
              <w:ind w:left="1080" w:leftChars="257" w:hanging="540"/>
              <w:rPr>
                <w:rFonts w:ascii="微软雅黑" w:hAnsi="微软雅黑" w:eastAsia="微软雅黑" w:cs="微软雅黑"/>
                <w:sz w:val="24"/>
                <w:szCs w:val="24"/>
              </w:rPr>
            </w:pPr>
          </w:p>
        </w:tc>
        <w:tc>
          <w:tcPr>
            <w:tcW w:w="204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2520" w:type="dxa"/>
          </w:tcPr>
          <w:p>
            <w:pPr>
              <w:pStyle w:val="17"/>
              <w:spacing w:line="400" w:lineRule="exact"/>
              <w:ind w:left="1080" w:leftChars="257" w:hanging="540"/>
              <w:rPr>
                <w:rFonts w:ascii="微软雅黑" w:hAnsi="微软雅黑" w:eastAsia="微软雅黑" w:cs="微软雅黑"/>
                <w:sz w:val="24"/>
                <w:szCs w:val="24"/>
              </w:rPr>
            </w:pPr>
          </w:p>
        </w:tc>
        <w:tc>
          <w:tcPr>
            <w:tcW w:w="1014" w:type="dxa"/>
          </w:tcPr>
          <w:p>
            <w:pPr>
              <w:pStyle w:val="17"/>
              <w:spacing w:line="400" w:lineRule="exact"/>
              <w:ind w:left="1080" w:leftChars="257" w:hanging="540"/>
              <w:rPr>
                <w:rFonts w:ascii="微软雅黑" w:hAnsi="微软雅黑" w:eastAsia="微软雅黑" w:cs="微软雅黑"/>
                <w:sz w:val="24"/>
                <w:szCs w:val="24"/>
              </w:rPr>
            </w:pPr>
          </w:p>
        </w:tc>
      </w:tr>
    </w:tbl>
    <w:p>
      <w:pPr>
        <w:pStyle w:val="17"/>
        <w:spacing w:line="400" w:lineRule="exact"/>
        <w:ind w:left="1080" w:leftChars="257" w:hanging="540"/>
        <w:rPr>
          <w:rFonts w:ascii="微软雅黑" w:hAnsi="微软雅黑" w:eastAsia="微软雅黑" w:cs="微软雅黑"/>
          <w:sz w:val="24"/>
          <w:szCs w:val="24"/>
        </w:rPr>
      </w:pPr>
    </w:p>
    <w:p>
      <w:pPr>
        <w:pStyle w:val="17"/>
        <w:spacing w:line="400" w:lineRule="exact"/>
        <w:ind w:left="1080" w:leftChars="257" w:hanging="540"/>
        <w:rPr>
          <w:rFonts w:ascii="微软雅黑" w:hAnsi="微软雅黑" w:eastAsia="微软雅黑" w:cs="微软雅黑"/>
          <w:sz w:val="24"/>
          <w:szCs w:val="24"/>
        </w:rPr>
      </w:pPr>
    </w:p>
    <w:p>
      <w:pPr>
        <w:pStyle w:val="17"/>
        <w:spacing w:line="400" w:lineRule="exact"/>
        <w:ind w:left="1080" w:leftChars="257" w:hanging="540"/>
        <w:rPr>
          <w:rFonts w:ascii="微软雅黑" w:hAnsi="微软雅黑" w:eastAsia="微软雅黑" w:cs="微软雅黑"/>
          <w:sz w:val="24"/>
          <w:szCs w:val="24"/>
        </w:rPr>
      </w:pPr>
      <w:r>
        <w:rPr>
          <w:rFonts w:hint="eastAsia" w:ascii="微软雅黑" w:hAnsi="微软雅黑" w:eastAsia="微软雅黑" w:cs="微软雅黑"/>
          <w:sz w:val="24"/>
          <w:szCs w:val="24"/>
        </w:rPr>
        <w:t>法定代表人或其委托代理人（</w:t>
      </w:r>
      <w:r>
        <w:rPr>
          <w:rFonts w:hint="eastAsia" w:ascii="微软雅黑" w:hAnsi="微软雅黑" w:eastAsia="微软雅黑" w:cs="微软雅黑"/>
          <w:sz w:val="24"/>
          <w:szCs w:val="24"/>
          <w:lang w:eastAsia="zh-CN"/>
        </w:rPr>
        <w:t>签字或盖章</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u w:val="single"/>
        </w:rPr>
        <w:tab/>
      </w:r>
    </w:p>
    <w:p>
      <w:pPr>
        <w:pStyle w:val="17"/>
        <w:tabs>
          <w:tab w:val="left" w:pos="5370"/>
        </w:tabs>
        <w:spacing w:line="400" w:lineRule="exact"/>
        <w:ind w:left="1080" w:leftChars="257" w:hanging="540"/>
        <w:rPr>
          <w:rFonts w:ascii="微软雅黑" w:hAnsi="微软雅黑" w:eastAsia="微软雅黑" w:cs="微软雅黑"/>
          <w:sz w:val="24"/>
          <w:szCs w:val="24"/>
          <w:u w:val="single"/>
        </w:rPr>
      </w:pPr>
      <w:r>
        <w:rPr>
          <w:rFonts w:hint="eastAsia" w:ascii="微软雅黑" w:hAnsi="微软雅黑" w:eastAsia="微软雅黑" w:cs="微软雅黑"/>
          <w:sz w:val="24"/>
          <w:szCs w:val="24"/>
        </w:rPr>
        <w:t>供应商(公章):</w:t>
      </w:r>
    </w:p>
    <w:p>
      <w:pPr>
        <w:pStyle w:val="17"/>
        <w:tabs>
          <w:tab w:val="left" w:pos="5370"/>
        </w:tabs>
        <w:spacing w:line="400" w:lineRule="exact"/>
        <w:ind w:left="1080" w:leftChars="257" w:hanging="540"/>
        <w:rPr>
          <w:rFonts w:ascii="微软雅黑" w:hAnsi="微软雅黑" w:eastAsia="微软雅黑" w:cs="微软雅黑"/>
          <w:sz w:val="24"/>
          <w:szCs w:val="24"/>
          <w:u w:val="single"/>
        </w:rPr>
      </w:pPr>
    </w:p>
    <w:p>
      <w:pPr>
        <w:pStyle w:val="17"/>
        <w:spacing w:line="360" w:lineRule="exact"/>
        <w:rPr>
          <w:rFonts w:ascii="微软雅黑" w:hAnsi="微软雅黑" w:eastAsia="微软雅黑" w:cs="微软雅黑"/>
          <w:sz w:val="24"/>
          <w:u w:val="single"/>
        </w:rPr>
      </w:pPr>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Pr>
        <w:pStyle w:val="5"/>
        <w:jc w:val="both"/>
        <w:rPr>
          <w:rFonts w:hint="eastAsia" w:hAnsi="宋体" w:cs="宋体"/>
          <w:b/>
          <w:bCs w:val="0"/>
          <w:kern w:val="0"/>
          <w:sz w:val="24"/>
          <w:szCs w:val="20"/>
          <w:highlight w:val="none"/>
          <w:u w:val="none"/>
          <w:lang w:val="en-US" w:eastAsia="zh-CN" w:bidi="ar-SA"/>
        </w:rPr>
      </w:pPr>
      <w:bookmarkStart w:id="677" w:name="_Toc25307"/>
      <w:bookmarkStart w:id="678" w:name="_Toc8073"/>
      <w:bookmarkStart w:id="679" w:name="_Toc13385"/>
      <w:bookmarkStart w:id="680" w:name="_Toc2099"/>
      <w:bookmarkStart w:id="681" w:name="_Toc29345"/>
      <w:bookmarkStart w:id="682" w:name="_Toc24705"/>
      <w:bookmarkStart w:id="683" w:name="_Toc20471"/>
    </w:p>
    <w:p>
      <w:pPr>
        <w:pStyle w:val="6"/>
        <w:rPr>
          <w:rFonts w:hint="eastAsia"/>
          <w:lang w:val="en-US" w:eastAsia="zh-CN"/>
        </w:rPr>
      </w:pPr>
    </w:p>
    <w:p>
      <w:pPr>
        <w:pStyle w:val="5"/>
        <w:jc w:val="both"/>
        <w:rPr>
          <w:rFonts w:hint="eastAsia" w:hAnsi="宋体" w:cs="宋体"/>
          <w:b/>
          <w:bCs w:val="0"/>
          <w:kern w:val="0"/>
          <w:sz w:val="24"/>
          <w:szCs w:val="20"/>
          <w:highlight w:val="none"/>
          <w:u w:val="none"/>
          <w:lang w:val="en-US" w:eastAsia="zh-CN" w:bidi="ar-SA"/>
        </w:rPr>
      </w:pPr>
    </w:p>
    <w:p>
      <w:pPr>
        <w:pStyle w:val="5"/>
        <w:jc w:val="center"/>
        <w:rPr>
          <w:rFonts w:hint="eastAsia" w:ascii="微软雅黑" w:hAnsi="微软雅黑" w:eastAsia="微软雅黑" w:cs="微软雅黑"/>
          <w:b/>
          <w:bCs/>
          <w:kern w:val="0"/>
          <w:sz w:val="24"/>
          <w:szCs w:val="24"/>
          <w:u w:val="none"/>
          <w:lang w:val="en-US" w:eastAsia="zh-CN" w:bidi="ar-SA"/>
        </w:rPr>
      </w:pPr>
      <w:r>
        <w:rPr>
          <w:rFonts w:hint="eastAsia" w:hAnsi="宋体" w:cs="宋体"/>
          <w:b/>
          <w:bCs w:val="0"/>
          <w:kern w:val="0"/>
          <w:sz w:val="24"/>
          <w:szCs w:val="20"/>
          <w:highlight w:val="none"/>
          <w:u w:val="none"/>
          <w:lang w:val="en-US" w:eastAsia="zh-CN" w:bidi="ar-SA"/>
        </w:rPr>
        <w:t>6</w:t>
      </w:r>
      <w:r>
        <w:rPr>
          <w:rFonts w:hint="eastAsia" w:ascii="宋体" w:hAnsi="宋体" w:eastAsia="宋体" w:cs="宋体"/>
          <w:b/>
          <w:bCs w:val="0"/>
          <w:kern w:val="0"/>
          <w:sz w:val="24"/>
          <w:szCs w:val="20"/>
          <w:highlight w:val="none"/>
          <w:u w:val="none"/>
          <w:lang w:val="en-US" w:eastAsia="zh-CN" w:bidi="ar-SA"/>
        </w:rPr>
        <w:t>-1</w:t>
      </w:r>
      <w:r>
        <w:rPr>
          <w:rFonts w:hint="eastAsia" w:ascii="微软雅黑" w:hAnsi="微软雅黑" w:eastAsia="微软雅黑" w:cs="微软雅黑"/>
          <w:b/>
          <w:bCs/>
          <w:kern w:val="0"/>
          <w:sz w:val="24"/>
          <w:szCs w:val="24"/>
          <w:u w:val="none"/>
          <w:lang w:val="en-US" w:eastAsia="zh-CN" w:bidi="ar-SA"/>
        </w:rPr>
        <w:t xml:space="preserve"> 中小企业声明函</w:t>
      </w:r>
    </w:p>
    <w:p>
      <w:pPr>
        <w:pStyle w:val="12"/>
        <w:ind w:left="0" w:right="714"/>
        <w:jc w:val="both"/>
        <w:rPr>
          <w:rFonts w:hint="eastAsia" w:ascii="宋体" w:hAnsi="宋体" w:eastAsia="宋体" w:cs="宋体"/>
          <w:color w:val="000000"/>
          <w:highlight w:val="none"/>
        </w:rPr>
      </w:pPr>
    </w:p>
    <w:p>
      <w:pPr>
        <w:pStyle w:val="12"/>
        <w:ind w:left="0" w:right="714"/>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（非中小企业投标，不需此件）</w:t>
      </w:r>
    </w:p>
    <w:p>
      <w:pPr>
        <w:pStyle w:val="12"/>
        <w:spacing w:before="11"/>
        <w:ind w:left="210" w:leftChars="100" w:right="210" w:rightChars="100" w:firstLine="199" w:firstLineChars="83"/>
        <w:rPr>
          <w:rFonts w:hint="eastAsia" w:ascii="微软雅黑" w:hAnsi="微软雅黑" w:eastAsia="微软雅黑" w:cs="微软雅黑"/>
          <w:kern w:val="0"/>
          <w:sz w:val="24"/>
          <w:szCs w:val="24"/>
          <w:lang w:val="en-US" w:eastAsia="zh-CN" w:bidi="ar-SA"/>
        </w:rPr>
      </w:pPr>
    </w:p>
    <w:p>
      <w:pPr>
        <w:pStyle w:val="12"/>
        <w:spacing w:line="360" w:lineRule="auto"/>
        <w:ind w:left="567" w:right="567" w:firstLine="559" w:firstLineChars="233"/>
        <w:jc w:val="both"/>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本公司郑重声明，根据《政府采购促进中小企业发展暂行办法》（财库〔2011〕181号）的规定，本公司为（请填写：中型/小型/微型）企业。即，本公司同时满足以下条件：</w:t>
      </w:r>
    </w:p>
    <w:p>
      <w:pPr>
        <w:pStyle w:val="12"/>
        <w:tabs>
          <w:tab w:val="left" w:pos="1853"/>
          <w:tab w:val="clear" w:pos="567"/>
        </w:tabs>
        <w:spacing w:line="360" w:lineRule="auto"/>
        <w:ind w:left="567" w:right="567" w:firstLine="482"/>
        <w:jc w:val="both"/>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1、根据《工业和信息化部、国家统计局、国家发展和改革委员会、财政部关于印发中小企业划型标准规定的通知》（工信部联企业〔2011〕300号）规定的划分标准， 本公司为</w:t>
      </w:r>
      <w:r>
        <w:rPr>
          <w:rFonts w:hint="eastAsia" w:ascii="微软雅黑" w:hAnsi="微软雅黑" w:eastAsia="微软雅黑" w:cs="微软雅黑"/>
          <w:kern w:val="0"/>
          <w:sz w:val="24"/>
          <w:szCs w:val="24"/>
          <w:lang w:val="en-US" w:eastAsia="zh-CN" w:bidi="ar-SA"/>
        </w:rPr>
        <w:tab/>
      </w:r>
      <w:r>
        <w:rPr>
          <w:rFonts w:hint="eastAsia" w:ascii="微软雅黑" w:hAnsi="微软雅黑" w:eastAsia="微软雅黑" w:cs="微软雅黑"/>
          <w:kern w:val="0"/>
          <w:sz w:val="24"/>
          <w:szCs w:val="24"/>
          <w:lang w:val="en-US" w:eastAsia="zh-CN" w:bidi="ar-SA"/>
        </w:rPr>
        <w:t>（请填写：中型/小型/微型）企业。</w:t>
      </w:r>
    </w:p>
    <w:p>
      <w:pPr>
        <w:pStyle w:val="12"/>
        <w:spacing w:before="6" w:line="360" w:lineRule="auto"/>
        <w:ind w:left="1008"/>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2、本公司参加本项目采购活动由本企业提供服务。</w:t>
      </w:r>
    </w:p>
    <w:p>
      <w:pPr>
        <w:pStyle w:val="12"/>
        <w:spacing w:before="115" w:line="360" w:lineRule="auto"/>
        <w:ind w:left="1008"/>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本公司对上述声明的真实性负责。如有虚假，将依法承担相应责任。</w:t>
      </w:r>
    </w:p>
    <w:p>
      <w:pPr>
        <w:pStyle w:val="12"/>
        <w:spacing w:before="9" w:line="360" w:lineRule="auto"/>
        <w:ind w:left="0"/>
        <w:rPr>
          <w:rFonts w:hint="eastAsia" w:ascii="微软雅黑" w:hAnsi="微软雅黑" w:eastAsia="微软雅黑" w:cs="微软雅黑"/>
          <w:kern w:val="0"/>
          <w:sz w:val="24"/>
          <w:szCs w:val="24"/>
          <w:lang w:val="en-US" w:eastAsia="zh-CN" w:bidi="ar-SA"/>
        </w:rPr>
      </w:pPr>
    </w:p>
    <w:p>
      <w:pPr>
        <w:pStyle w:val="12"/>
        <w:tabs>
          <w:tab w:val="left" w:pos="5765"/>
          <w:tab w:val="left" w:pos="8831"/>
          <w:tab w:val="left" w:pos="8927"/>
          <w:tab w:val="clear" w:pos="567"/>
        </w:tabs>
        <w:spacing w:line="360" w:lineRule="auto"/>
        <w:ind w:right="2257"/>
        <w:jc w:val="right"/>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    投标供应商签字或盖章：</w:t>
      </w:r>
    </w:p>
    <w:p>
      <w:pPr>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                          日</w:t>
      </w:r>
      <w:r>
        <w:rPr>
          <w:rFonts w:hint="eastAsia" w:ascii="微软雅黑" w:hAnsi="微软雅黑" w:eastAsia="微软雅黑" w:cs="微软雅黑"/>
          <w:kern w:val="0"/>
          <w:sz w:val="24"/>
          <w:szCs w:val="24"/>
          <w:lang w:val="en-US" w:eastAsia="zh-CN" w:bidi="ar-SA"/>
        </w:rPr>
        <w:tab/>
      </w:r>
      <w:r>
        <w:rPr>
          <w:rFonts w:hint="eastAsia" w:ascii="微软雅黑" w:hAnsi="微软雅黑" w:eastAsia="微软雅黑" w:cs="微软雅黑"/>
          <w:kern w:val="0"/>
          <w:sz w:val="24"/>
          <w:szCs w:val="24"/>
          <w:lang w:val="en-US" w:eastAsia="zh-CN" w:bidi="ar-SA"/>
        </w:rPr>
        <w:t>期：</w:t>
      </w:r>
    </w:p>
    <w:p>
      <w:pPr>
        <w:pStyle w:val="6"/>
        <w:rPr>
          <w:rFonts w:hint="eastAsia" w:ascii="微软雅黑" w:hAnsi="微软雅黑" w:eastAsia="微软雅黑" w:cs="微软雅黑"/>
          <w:kern w:val="0"/>
          <w:sz w:val="24"/>
          <w:szCs w:val="24"/>
          <w:lang w:val="en-US" w:eastAsia="zh-CN" w:bidi="ar-SA"/>
        </w:rPr>
      </w:pPr>
    </w:p>
    <w:p>
      <w:pPr>
        <w:rPr>
          <w:rFonts w:hint="eastAsia" w:ascii="微软雅黑" w:hAnsi="微软雅黑" w:eastAsia="微软雅黑" w:cs="微软雅黑"/>
          <w:kern w:val="0"/>
          <w:sz w:val="24"/>
          <w:szCs w:val="24"/>
          <w:lang w:val="en-US" w:eastAsia="zh-CN" w:bidi="ar-SA"/>
        </w:rPr>
      </w:pPr>
    </w:p>
    <w:p>
      <w:pPr>
        <w:pStyle w:val="6"/>
        <w:rPr>
          <w:rFonts w:hint="eastAsia"/>
          <w:lang w:val="en-US" w:eastAsia="zh-CN"/>
        </w:rPr>
      </w:pPr>
    </w:p>
    <w:p>
      <w:pPr>
        <w:spacing w:line="240" w:lineRule="atLeast"/>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注：须附从业人员、营业收入、资产总额填报上一年度数据，无上一年度数据的新成立企业可不填报。</w:t>
      </w:r>
    </w:p>
    <w:p>
      <w:pPr>
        <w:spacing w:line="240" w:lineRule="atLeast"/>
        <w:rPr>
          <w:rFonts w:ascii="微软雅黑" w:hAnsi="微软雅黑" w:eastAsia="微软雅黑" w:cs="微软雅黑"/>
          <w:szCs w:val="21"/>
        </w:rPr>
      </w:pPr>
    </w:p>
    <w:p>
      <w:pPr>
        <w:widowControl/>
        <w:spacing w:before="100" w:beforeAutospacing="1" w:after="100" w:afterAutospacing="1" w:line="400" w:lineRule="exact"/>
        <w:ind w:firstLine="2730" w:firstLineChars="1300"/>
        <w:jc w:val="right"/>
        <w:rPr>
          <w:rFonts w:ascii="微软雅黑" w:hAnsi="微软雅黑" w:eastAsia="微软雅黑" w:cs="微软雅黑"/>
          <w:szCs w:val="21"/>
        </w:rPr>
      </w:pPr>
    </w:p>
    <w:p>
      <w:pPr>
        <w:widowControl/>
        <w:spacing w:before="100" w:beforeAutospacing="1" w:after="100" w:afterAutospacing="1" w:line="330" w:lineRule="atLeast"/>
        <w:ind w:firstLine="420"/>
        <w:jc w:val="left"/>
        <w:rPr>
          <w:rFonts w:ascii="微软雅黑" w:hAnsi="微软雅黑" w:eastAsia="微软雅黑" w:cs="微软雅黑"/>
          <w:szCs w:val="21"/>
        </w:rPr>
      </w:pPr>
    </w:p>
    <w:p>
      <w:pPr>
        <w:spacing w:line="240" w:lineRule="atLeast"/>
        <w:jc w:val="center"/>
        <w:outlineLvl w:val="1"/>
        <w:rPr>
          <w:rFonts w:ascii="微软雅黑" w:hAnsi="微软雅黑" w:eastAsia="微软雅黑" w:cs="微软雅黑"/>
          <w:b/>
          <w:bCs/>
          <w:sz w:val="24"/>
        </w:rPr>
      </w:pPr>
      <w:bookmarkStart w:id="684" w:name="_Toc515647825"/>
      <w:bookmarkStart w:id="685" w:name="_Toc23103"/>
      <w:bookmarkStart w:id="686" w:name="_Toc10900"/>
      <w:bookmarkStart w:id="687" w:name="_Toc26116"/>
      <w:bookmarkStart w:id="688" w:name="_Toc23068"/>
      <w:bookmarkStart w:id="689" w:name="OLE_LINK14"/>
      <w:bookmarkStart w:id="690" w:name="_Toc19284"/>
      <w:bookmarkStart w:id="691" w:name="_Toc13191"/>
      <w:bookmarkStart w:id="692" w:name="_Toc30321"/>
      <w:bookmarkStart w:id="693" w:name="_Toc15209"/>
      <w:bookmarkStart w:id="694" w:name="OLE_LINK13"/>
      <w:bookmarkStart w:id="695" w:name="_Toc5825"/>
      <w:bookmarkStart w:id="696" w:name="_Toc22328"/>
      <w:bookmarkStart w:id="697" w:name="_Toc10530"/>
      <w:bookmarkStart w:id="698" w:name="_Toc1860"/>
      <w:r>
        <w:rPr>
          <w:rFonts w:hint="eastAsia" w:ascii="微软雅黑" w:hAnsi="微软雅黑" w:eastAsia="微软雅黑" w:cs="微软雅黑"/>
          <w:b/>
          <w:bCs/>
          <w:sz w:val="24"/>
          <w:lang w:val="en-US" w:eastAsia="zh-CN"/>
        </w:rPr>
        <w:t>6</w:t>
      </w:r>
      <w:r>
        <w:rPr>
          <w:rFonts w:hint="eastAsia" w:ascii="微软雅黑" w:hAnsi="微软雅黑" w:eastAsia="微软雅黑" w:cs="微软雅黑"/>
          <w:b/>
          <w:bCs/>
          <w:sz w:val="24"/>
        </w:rPr>
        <w:t>-2 残疾人福利性单位声明函</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pPr>
        <w:spacing w:line="240" w:lineRule="atLeast"/>
        <w:ind w:left="1080" w:leftChars="257" w:hanging="540"/>
        <w:jc w:val="center"/>
        <w:rPr>
          <w:rFonts w:ascii="微软雅黑" w:hAnsi="微软雅黑" w:eastAsia="微软雅黑" w:cs="微软雅黑"/>
          <w:kern w:val="0"/>
          <w:sz w:val="24"/>
        </w:rPr>
      </w:pPr>
    </w:p>
    <w:p>
      <w:pPr>
        <w:spacing w:line="240" w:lineRule="atLeast"/>
        <w:ind w:firstLine="567"/>
        <w:rPr>
          <w:rFonts w:ascii="微软雅黑" w:hAnsi="微软雅黑" w:eastAsia="微软雅黑" w:cs="微软雅黑"/>
          <w:kern w:val="0"/>
          <w:sz w:val="24"/>
        </w:rPr>
      </w:pPr>
      <w:r>
        <w:rPr>
          <w:rFonts w:hint="eastAsia" w:ascii="微软雅黑" w:hAnsi="微软雅黑" w:eastAsia="微软雅黑" w:cs="微软雅黑"/>
          <w:kern w:val="0"/>
          <w:sz w:val="24"/>
        </w:rPr>
        <w:t>本单位郑重声明，根据《财政部 民政部 中国残疾人联合会关于促进残疾人就业政府采购政策的通知》（财库〔2017〕141号）的规定，本单位为符合条件的残疾人福利性</w:t>
      </w:r>
      <w:r>
        <w:rPr>
          <w:rFonts w:hint="eastAsia" w:ascii="微软雅黑" w:hAnsi="微软雅黑" w:eastAsia="微软雅黑" w:cs="微软雅黑"/>
          <w:kern w:val="0"/>
          <w:sz w:val="24"/>
          <w:szCs w:val="24"/>
          <w:lang w:val="en-US" w:eastAsia="zh-CN" w:bidi="ar-SA"/>
        </w:rPr>
        <w:t>单位</w:t>
      </w:r>
      <w:r>
        <w:rPr>
          <w:rFonts w:hint="eastAsia" w:ascii="微软雅黑" w:hAnsi="微软雅黑" w:eastAsia="微软雅黑" w:cs="微软雅黑"/>
          <w:kern w:val="0"/>
          <w:sz w:val="24"/>
        </w:rPr>
        <w:t>，且本单位参加______单位的______项目采购活动提供本单位制造的货物，或者提供其他残疾人福利性单位制造的货物（不包括使用非残疾人福利性单位注册商标的货物）。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微软雅黑" w:hAnsi="微软雅黑" w:eastAsia="微软雅黑" w:cs="微软雅黑"/>
          <w:kern w:val="0"/>
          <w:sz w:val="24"/>
        </w:rPr>
      </w:pPr>
      <w:r>
        <w:rPr>
          <w:rFonts w:hint="eastAsia" w:ascii="微软雅黑" w:hAnsi="微软雅黑" w:eastAsia="微软雅黑" w:cs="微软雅黑"/>
          <w:kern w:val="0"/>
          <w:sz w:val="24"/>
        </w:rPr>
        <w:t>本单位对上述声明的真实性负责。如有虚假，将依法承担相应责任。</w:t>
      </w:r>
    </w:p>
    <w:p>
      <w:pPr>
        <w:spacing w:line="240" w:lineRule="atLeast"/>
        <w:ind w:left="1080" w:leftChars="257" w:hanging="540"/>
        <w:jc w:val="center"/>
        <w:rPr>
          <w:rFonts w:ascii="微软雅黑" w:hAnsi="微软雅黑" w:eastAsia="微软雅黑" w:cs="微软雅黑"/>
          <w:kern w:val="0"/>
          <w:sz w:val="24"/>
        </w:rPr>
      </w:pPr>
    </w:p>
    <w:p>
      <w:pPr>
        <w:spacing w:line="240" w:lineRule="atLeast"/>
        <w:ind w:left="1080" w:leftChars="257" w:hanging="540"/>
        <w:jc w:val="center"/>
        <w:rPr>
          <w:rFonts w:ascii="微软雅黑" w:hAnsi="微软雅黑" w:eastAsia="微软雅黑" w:cs="微软雅黑"/>
          <w:color w:val="FF0000"/>
          <w:kern w:val="0"/>
          <w:sz w:val="24"/>
        </w:rPr>
      </w:pPr>
    </w:p>
    <w:p>
      <w:pPr>
        <w:spacing w:line="240" w:lineRule="atLeast"/>
        <w:ind w:left="1080" w:leftChars="257" w:hanging="540"/>
        <w:jc w:val="center"/>
        <w:rPr>
          <w:rFonts w:ascii="微软雅黑" w:hAnsi="微软雅黑" w:eastAsia="微软雅黑" w:cs="微软雅黑"/>
          <w:kern w:val="0"/>
          <w:sz w:val="24"/>
        </w:rPr>
      </w:pPr>
      <w:r>
        <w:rPr>
          <w:rFonts w:hint="eastAsia" w:ascii="微软雅黑" w:hAnsi="微软雅黑" w:eastAsia="微软雅黑" w:cs="微软雅黑"/>
          <w:kern w:val="0"/>
          <w:sz w:val="24"/>
        </w:rPr>
        <w:t xml:space="preserve"> 残疾人福利性单位名称（公章）：</w:t>
      </w:r>
    </w:p>
    <w:p>
      <w:pPr>
        <w:spacing w:line="240" w:lineRule="atLeast"/>
        <w:ind w:left="1080" w:leftChars="257" w:hanging="540"/>
        <w:jc w:val="center"/>
        <w:rPr>
          <w:rFonts w:ascii="微软雅黑" w:hAnsi="微软雅黑" w:eastAsia="微软雅黑" w:cs="微软雅黑"/>
          <w:b/>
          <w:kern w:val="0"/>
          <w:sz w:val="24"/>
        </w:rPr>
      </w:pPr>
      <w:r>
        <w:rPr>
          <w:rFonts w:hint="eastAsia" w:ascii="微软雅黑" w:hAnsi="微软雅黑" w:eastAsia="微软雅黑" w:cs="微软雅黑"/>
          <w:kern w:val="0"/>
          <w:sz w:val="24"/>
        </w:rPr>
        <w:t xml:space="preserve">                 日  期：</w:t>
      </w:r>
    </w:p>
    <w:p>
      <w:pPr>
        <w:spacing w:line="240" w:lineRule="atLeast"/>
        <w:ind w:left="1080" w:leftChars="257" w:hanging="540"/>
        <w:jc w:val="center"/>
        <w:rPr>
          <w:rFonts w:ascii="微软雅黑" w:hAnsi="微软雅黑" w:eastAsia="微软雅黑" w:cs="微软雅黑"/>
          <w:b/>
          <w:kern w:val="0"/>
          <w:sz w:val="24"/>
        </w:rPr>
      </w:pPr>
    </w:p>
    <w:p>
      <w:pPr>
        <w:widowControl/>
        <w:spacing w:before="100" w:beforeAutospacing="1" w:after="100" w:afterAutospacing="1" w:line="480" w:lineRule="exact"/>
        <w:ind w:firstLine="2730" w:firstLineChars="1300"/>
        <w:jc w:val="left"/>
        <w:rPr>
          <w:rFonts w:ascii="微软雅黑" w:hAnsi="微软雅黑" w:eastAsia="微软雅黑" w:cs="微软雅黑"/>
          <w:szCs w:val="21"/>
        </w:rPr>
      </w:pPr>
    </w:p>
    <w:p>
      <w:pPr>
        <w:spacing w:line="480" w:lineRule="exact"/>
        <w:ind w:left="1080" w:leftChars="257" w:hanging="540"/>
        <w:jc w:val="center"/>
        <w:rPr>
          <w:rFonts w:ascii="微软雅黑" w:hAnsi="微软雅黑" w:eastAsia="微软雅黑" w:cs="微软雅黑"/>
          <w:szCs w:val="21"/>
        </w:rPr>
      </w:pPr>
    </w:p>
    <w:p>
      <w:pPr>
        <w:pStyle w:val="4"/>
        <w:spacing w:before="0" w:line="480" w:lineRule="exact"/>
        <w:ind w:left="1080" w:leftChars="257" w:hanging="540"/>
        <w:jc w:val="left"/>
        <w:rPr>
          <w:rFonts w:ascii="微软雅黑" w:hAnsi="微软雅黑" w:eastAsia="微软雅黑" w:cs="微软雅黑"/>
          <w:bCs/>
          <w:kern w:val="2"/>
          <w:sz w:val="24"/>
          <w:szCs w:val="24"/>
        </w:rPr>
      </w:pPr>
      <w:bookmarkStart w:id="699" w:name="_Toc28099"/>
      <w:bookmarkStart w:id="700" w:name="_Toc515647827"/>
      <w:bookmarkStart w:id="701" w:name="_Toc6009"/>
      <w:bookmarkStart w:id="702" w:name="_Toc30946"/>
      <w:bookmarkStart w:id="703" w:name="_Toc2304"/>
      <w:bookmarkStart w:id="704" w:name="_Toc26133"/>
      <w:bookmarkStart w:id="705" w:name="_Toc5568"/>
      <w:bookmarkStart w:id="706" w:name="_Toc16850"/>
      <w:bookmarkStart w:id="707" w:name="_Toc19223"/>
      <w:bookmarkStart w:id="708" w:name="_Toc11868"/>
      <w:bookmarkStart w:id="709" w:name="_Toc6004"/>
      <w:bookmarkStart w:id="710" w:name="_Toc13764"/>
      <w:bookmarkStart w:id="711" w:name="_Toc22561"/>
      <w:bookmarkStart w:id="712" w:name="_Toc452"/>
      <w:bookmarkStart w:id="713" w:name="_Toc22378"/>
      <w:bookmarkStart w:id="714" w:name="_Toc30795"/>
      <w:bookmarkStart w:id="715" w:name="_Toc5527"/>
      <w:r>
        <w:rPr>
          <w:rFonts w:hint="eastAsia" w:ascii="微软雅黑" w:hAnsi="微软雅黑" w:eastAsia="微软雅黑" w:cs="微软雅黑"/>
          <w:bCs/>
          <w:kern w:val="2"/>
          <w:sz w:val="24"/>
          <w:szCs w:val="24"/>
          <w:lang w:val="en-US" w:eastAsia="zh-CN"/>
        </w:rPr>
        <w:t>7</w:t>
      </w:r>
      <w:r>
        <w:rPr>
          <w:rFonts w:hint="eastAsia" w:ascii="微软雅黑" w:hAnsi="微软雅黑" w:eastAsia="微软雅黑" w:cs="微软雅黑"/>
          <w:bCs/>
          <w:kern w:val="2"/>
          <w:sz w:val="24"/>
          <w:szCs w:val="24"/>
        </w:rPr>
        <w:t xml:space="preserve"> 供应商关联单位的说明</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pStyle w:val="6"/>
        <w:spacing w:line="480" w:lineRule="exact"/>
        <w:jc w:val="center"/>
        <w:rPr>
          <w:rFonts w:ascii="微软雅黑" w:hAnsi="微软雅黑" w:eastAsia="微软雅黑" w:cs="微软雅黑"/>
          <w:kern w:val="2"/>
          <w:sz w:val="24"/>
          <w:szCs w:val="24"/>
        </w:rPr>
      </w:pPr>
    </w:p>
    <w:p>
      <w:pPr>
        <w:pStyle w:val="6"/>
        <w:spacing w:line="480" w:lineRule="exact"/>
        <w:ind w:firstLineChars="200"/>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说明：供应商应当如实披露与本单位存在下列关联关系的单位名称：</w:t>
      </w:r>
    </w:p>
    <w:p>
      <w:pPr>
        <w:pStyle w:val="6"/>
        <w:spacing w:line="480" w:lineRule="exact"/>
        <w:ind w:firstLineChars="200"/>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（1）与供应商单位负责人为同一人的其他单位；</w:t>
      </w:r>
    </w:p>
    <w:p>
      <w:pPr>
        <w:pStyle w:val="6"/>
        <w:spacing w:line="480" w:lineRule="exact"/>
        <w:ind w:firstLineChars="200"/>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（2）与供应商存在直接控股、管理关系的其他单位。</w:t>
      </w:r>
    </w:p>
    <w:p>
      <w:pPr>
        <w:pStyle w:val="6"/>
        <w:spacing w:line="480" w:lineRule="exact"/>
        <w:rPr>
          <w:rFonts w:ascii="微软雅黑" w:hAnsi="微软雅黑" w:eastAsia="微软雅黑" w:cs="微软雅黑"/>
          <w:kern w:val="2"/>
          <w:sz w:val="24"/>
          <w:szCs w:val="24"/>
        </w:rPr>
      </w:pPr>
    </w:p>
    <w:bookmarkEnd w:id="677"/>
    <w:bookmarkEnd w:id="678"/>
    <w:bookmarkEnd w:id="679"/>
    <w:bookmarkEnd w:id="680"/>
    <w:bookmarkEnd w:id="681"/>
    <w:bookmarkEnd w:id="682"/>
    <w:bookmarkEnd w:id="683"/>
    <w:p>
      <w:pPr>
        <w:pStyle w:val="4"/>
        <w:spacing w:before="0" w:line="480" w:lineRule="exact"/>
        <w:jc w:val="left"/>
        <w:rPr>
          <w:rFonts w:hint="eastAsia" w:ascii="微软雅黑" w:hAnsi="微软雅黑" w:eastAsia="微软雅黑" w:cs="微软雅黑"/>
          <w:bCs/>
          <w:kern w:val="2"/>
          <w:sz w:val="24"/>
          <w:szCs w:val="24"/>
          <w:lang w:val="en-US" w:eastAsia="zh-CN"/>
        </w:rPr>
      </w:pPr>
      <w:bookmarkStart w:id="716" w:name="_Toc15535"/>
      <w:bookmarkStart w:id="717" w:name="_Toc24823"/>
      <w:bookmarkStart w:id="718" w:name="_Toc27478"/>
      <w:bookmarkStart w:id="719" w:name="_Toc20015"/>
      <w:bookmarkStart w:id="720" w:name="_Toc16811"/>
      <w:bookmarkStart w:id="721" w:name="_Toc31226"/>
      <w:bookmarkStart w:id="722" w:name="_Toc7966"/>
      <w:bookmarkStart w:id="723" w:name="_Toc17843"/>
      <w:bookmarkStart w:id="724" w:name="_Toc25126"/>
      <w:bookmarkStart w:id="725" w:name="_Toc12486"/>
      <w:bookmarkStart w:id="726" w:name="_Toc23897"/>
      <w:bookmarkStart w:id="727" w:name="_Toc6932"/>
      <w:bookmarkStart w:id="728" w:name="_Toc27058"/>
      <w:bookmarkStart w:id="729" w:name="_Toc28765"/>
      <w:bookmarkStart w:id="730" w:name="_Toc16370"/>
      <w:bookmarkStart w:id="731" w:name="_Toc216582822"/>
      <w:bookmarkStart w:id="732" w:name="_Toc507399902"/>
      <w:bookmarkStart w:id="733" w:name="_Toc218935350"/>
      <w:bookmarkStart w:id="734" w:name="_Toc219175634"/>
      <w:bookmarkStart w:id="735" w:name="_Toc515647829"/>
    </w:p>
    <w:p>
      <w:pPr>
        <w:pStyle w:val="4"/>
        <w:spacing w:before="0" w:line="480" w:lineRule="exact"/>
        <w:jc w:val="left"/>
        <w:rPr>
          <w:rFonts w:ascii="微软雅黑" w:hAnsi="微软雅黑" w:eastAsia="微软雅黑" w:cs="微软雅黑"/>
          <w:bCs/>
          <w:kern w:val="2"/>
          <w:sz w:val="24"/>
          <w:szCs w:val="24"/>
        </w:rPr>
      </w:pPr>
      <w:r>
        <w:rPr>
          <w:rFonts w:hint="eastAsia" w:ascii="微软雅黑" w:hAnsi="微软雅黑" w:eastAsia="微软雅黑" w:cs="微软雅黑"/>
          <w:bCs/>
          <w:kern w:val="2"/>
          <w:sz w:val="24"/>
          <w:szCs w:val="24"/>
          <w:lang w:val="en-US" w:eastAsia="zh-CN"/>
        </w:rPr>
        <w:t>8</w:t>
      </w:r>
      <w:r>
        <w:rPr>
          <w:rFonts w:hint="eastAsia" w:ascii="微软雅黑" w:hAnsi="微软雅黑" w:eastAsia="微软雅黑" w:cs="微软雅黑"/>
          <w:bCs/>
          <w:kern w:val="2"/>
          <w:sz w:val="24"/>
          <w:szCs w:val="24"/>
        </w:rPr>
        <w:t xml:space="preserve"> 供应商可提供有利于投标的其他资格证明材料</w:t>
      </w:r>
      <w:bookmarkEnd w:id="716"/>
      <w:bookmarkEnd w:id="717"/>
      <w:bookmarkEnd w:id="718"/>
      <w:bookmarkEnd w:id="719"/>
      <w:bookmarkEnd w:id="720"/>
      <w:bookmarkEnd w:id="721"/>
      <w:bookmarkEnd w:id="722"/>
      <w:bookmarkEnd w:id="723"/>
      <w:bookmarkEnd w:id="724"/>
      <w:bookmarkEnd w:id="725"/>
      <w:bookmarkEnd w:id="726"/>
      <w:bookmarkEnd w:id="727"/>
      <w:bookmarkEnd w:id="728"/>
    </w:p>
    <w:p>
      <w:pPr>
        <w:spacing w:line="480" w:lineRule="exact"/>
        <w:jc w:val="left"/>
        <w:rPr>
          <w:rFonts w:ascii="微软雅黑" w:hAnsi="微软雅黑" w:eastAsia="微软雅黑" w:cs="微软雅黑"/>
          <w:sz w:val="24"/>
          <w:szCs w:val="24"/>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pStyle w:val="34"/>
        <w:ind w:firstLine="480"/>
        <w:rPr>
          <w:rFonts w:ascii="微软雅黑" w:hAnsi="微软雅黑" w:eastAsia="微软雅黑" w:cs="微软雅黑"/>
        </w:rPr>
      </w:pPr>
    </w:p>
    <w:p>
      <w:pPr>
        <w:snapToGrid w:val="0"/>
        <w:spacing w:line="240" w:lineRule="atLeast"/>
        <w:ind w:left="1079" w:leftChars="257" w:hanging="539"/>
        <w:jc w:val="left"/>
        <w:textAlignment w:val="baseline"/>
        <w:rPr>
          <w:rFonts w:hint="eastAsia" w:ascii="微软雅黑" w:hAnsi="微软雅黑" w:eastAsia="微软雅黑" w:cs="微软雅黑"/>
          <w:b/>
          <w:kern w:val="0"/>
          <w:sz w:val="24"/>
          <w:szCs w:val="20"/>
        </w:rPr>
      </w:pPr>
    </w:p>
    <w:p>
      <w:pPr>
        <w:snapToGrid w:val="0"/>
        <w:spacing w:line="240" w:lineRule="atLeast"/>
        <w:jc w:val="left"/>
        <w:textAlignment w:val="baseline"/>
        <w:rPr>
          <w:rFonts w:hint="eastAsia" w:ascii="微软雅黑" w:hAnsi="微软雅黑" w:eastAsia="微软雅黑" w:cs="微软雅黑"/>
          <w:b/>
          <w:kern w:val="0"/>
          <w:sz w:val="24"/>
          <w:szCs w:val="20"/>
        </w:rPr>
      </w:pPr>
    </w:p>
    <w:p>
      <w:pPr>
        <w:snapToGrid w:val="0"/>
        <w:spacing w:line="240" w:lineRule="atLeast"/>
        <w:ind w:left="1079" w:leftChars="257" w:hanging="539"/>
        <w:jc w:val="left"/>
        <w:textAlignment w:val="baseline"/>
        <w:rPr>
          <w:rFonts w:ascii="微软雅黑" w:hAnsi="微软雅黑" w:eastAsia="微软雅黑" w:cs="微软雅黑"/>
          <w:b/>
          <w:sz w:val="24"/>
        </w:rPr>
      </w:pPr>
      <w:r>
        <w:rPr>
          <w:rFonts w:hint="eastAsia" w:ascii="微软雅黑" w:hAnsi="微软雅黑" w:eastAsia="微软雅黑" w:cs="微软雅黑"/>
          <w:b/>
          <w:kern w:val="0"/>
          <w:sz w:val="24"/>
          <w:szCs w:val="20"/>
          <w:lang w:val="en-US" w:eastAsia="zh-CN"/>
        </w:rPr>
        <w:t>9</w:t>
      </w:r>
      <w:r>
        <w:rPr>
          <w:rFonts w:hint="eastAsia" w:ascii="微软雅黑" w:hAnsi="微软雅黑" w:eastAsia="微软雅黑" w:cs="微软雅黑"/>
          <w:b/>
          <w:kern w:val="0"/>
          <w:sz w:val="24"/>
          <w:szCs w:val="20"/>
        </w:rPr>
        <w:t>、响应文件格式范本</w:t>
      </w:r>
    </w:p>
    <w:tbl>
      <w:tblPr>
        <w:tblStyle w:val="35"/>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12"/>
              <w:snapToGrid w:val="0"/>
              <w:jc w:val="center"/>
              <w:textAlignment w:val="baseline"/>
              <w:rPr>
                <w:rFonts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                                                （正本/副本）</w:t>
            </w:r>
          </w:p>
          <w:p>
            <w:pPr>
              <w:pStyle w:val="12"/>
              <w:snapToGrid w:val="0"/>
              <w:ind w:firstLine="4202" w:firstLineChars="1500"/>
              <w:textAlignment w:val="baseline"/>
              <w:rPr>
                <w:rFonts w:ascii="微软雅黑" w:hAnsi="微软雅黑" w:eastAsia="微软雅黑" w:cs="微软雅黑"/>
                <w:b/>
                <w:bCs/>
                <w:sz w:val="28"/>
                <w:szCs w:val="28"/>
              </w:rPr>
            </w:pPr>
          </w:p>
          <w:p>
            <w:pPr>
              <w:pStyle w:val="12"/>
              <w:snapToGrid w:val="0"/>
              <w:ind w:firstLine="4202" w:firstLineChars="1500"/>
              <w:textAlignment w:val="baseline"/>
              <w:rPr>
                <w:rFonts w:ascii="微软雅黑" w:hAnsi="微软雅黑" w:eastAsia="微软雅黑" w:cs="微软雅黑"/>
                <w:b/>
                <w:bCs/>
                <w:sz w:val="28"/>
                <w:szCs w:val="28"/>
              </w:rPr>
            </w:pPr>
          </w:p>
          <w:p>
            <w:pPr>
              <w:pStyle w:val="12"/>
              <w:snapToGrid w:val="0"/>
              <w:textAlignment w:val="baseline"/>
              <w:rPr>
                <w:rFonts w:ascii="微软雅黑" w:hAnsi="微软雅黑" w:eastAsia="微软雅黑" w:cs="微软雅黑"/>
                <w:b/>
                <w:bCs/>
                <w:sz w:val="28"/>
                <w:szCs w:val="28"/>
              </w:rPr>
            </w:pPr>
          </w:p>
          <w:p>
            <w:pPr>
              <w:pStyle w:val="12"/>
              <w:snapToGrid w:val="0"/>
              <w:ind w:firstLine="2521" w:firstLineChars="900"/>
              <w:textAlignment w:val="baseline"/>
              <w:rPr>
                <w:rFonts w:ascii="微软雅黑" w:hAnsi="微软雅黑" w:eastAsia="微软雅黑" w:cs="微软雅黑"/>
                <w:b/>
                <w:bCs/>
                <w:sz w:val="28"/>
                <w:szCs w:val="28"/>
              </w:rPr>
            </w:pPr>
            <w:r>
              <w:rPr>
                <w:rFonts w:hint="eastAsia" w:ascii="微软雅黑" w:hAnsi="微软雅黑" w:eastAsia="微软雅黑" w:cs="微软雅黑"/>
                <w:b/>
                <w:bCs/>
                <w:sz w:val="28"/>
                <w:szCs w:val="28"/>
              </w:rPr>
              <w:t>***** *** *** *** ***   项目***</w:t>
            </w:r>
          </w:p>
          <w:p>
            <w:pPr>
              <w:pStyle w:val="12"/>
              <w:snapToGrid w:val="0"/>
              <w:jc w:val="center"/>
              <w:textAlignment w:val="baseline"/>
              <w:rPr>
                <w:rFonts w:ascii="微软雅黑" w:hAnsi="微软雅黑" w:eastAsia="微软雅黑" w:cs="微软雅黑"/>
                <w:b/>
                <w:bCs/>
                <w:sz w:val="21"/>
                <w:szCs w:val="21"/>
              </w:rPr>
            </w:pPr>
          </w:p>
          <w:p>
            <w:pPr>
              <w:pStyle w:val="12"/>
              <w:snapToGrid w:val="0"/>
              <w:ind w:firstLine="3152" w:firstLineChars="1500"/>
              <w:textAlignment w:val="baseline"/>
              <w:rPr>
                <w:rFonts w:ascii="微软雅黑" w:hAnsi="微软雅黑" w:eastAsia="微软雅黑" w:cs="微软雅黑"/>
                <w:b/>
                <w:bCs/>
                <w:sz w:val="21"/>
                <w:szCs w:val="21"/>
              </w:rPr>
            </w:pPr>
            <w:r>
              <w:rPr>
                <w:rFonts w:hint="eastAsia" w:ascii="微软雅黑" w:hAnsi="微软雅黑" w:eastAsia="微软雅黑" w:cs="微软雅黑"/>
                <w:b/>
                <w:bCs/>
                <w:sz w:val="21"/>
                <w:szCs w:val="21"/>
              </w:rPr>
              <w:t>编号 ＊＊＊</w:t>
            </w:r>
          </w:p>
          <w:p>
            <w:pPr>
              <w:pStyle w:val="12"/>
              <w:snapToGrid w:val="0"/>
              <w:jc w:val="center"/>
              <w:textAlignment w:val="baseline"/>
              <w:rPr>
                <w:rFonts w:ascii="微软雅黑" w:hAnsi="微软雅黑" w:eastAsia="微软雅黑" w:cs="微软雅黑"/>
                <w:b/>
                <w:bCs/>
                <w:sz w:val="48"/>
              </w:rPr>
            </w:pPr>
          </w:p>
          <w:p>
            <w:pPr>
              <w:pStyle w:val="12"/>
              <w:snapToGrid w:val="0"/>
              <w:jc w:val="center"/>
              <w:textAlignment w:val="baseline"/>
              <w:rPr>
                <w:rFonts w:ascii="微软雅黑" w:hAnsi="微软雅黑" w:eastAsia="微软雅黑" w:cs="微软雅黑"/>
                <w:b/>
                <w:bCs/>
                <w:sz w:val="48"/>
              </w:rPr>
            </w:pPr>
            <w:r>
              <w:rPr>
                <w:rFonts w:hint="eastAsia" w:ascii="微软雅黑" w:hAnsi="微软雅黑" w:eastAsia="微软雅黑" w:cs="微软雅黑"/>
                <w:b/>
                <w:bCs/>
                <w:sz w:val="48"/>
              </w:rPr>
              <w:t>响 应 文 件</w:t>
            </w:r>
          </w:p>
          <w:p>
            <w:pPr>
              <w:snapToGrid w:val="0"/>
              <w:jc w:val="center"/>
              <w:textAlignment w:val="baseline"/>
              <w:rPr>
                <w:rFonts w:ascii="微软雅黑" w:hAnsi="微软雅黑" w:eastAsia="微软雅黑" w:cs="微软雅黑"/>
                <w:b/>
                <w:sz w:val="32"/>
              </w:rPr>
            </w:pPr>
          </w:p>
          <w:p>
            <w:pPr>
              <w:pStyle w:val="6"/>
              <w:snapToGrid w:val="0"/>
              <w:ind w:firstLine="0"/>
              <w:textAlignment w:val="baseline"/>
              <w:rPr>
                <w:rFonts w:ascii="微软雅黑" w:hAnsi="微软雅黑" w:eastAsia="微软雅黑" w:cs="微软雅黑"/>
                <w:b/>
                <w:sz w:val="32"/>
              </w:rPr>
            </w:pPr>
          </w:p>
          <w:p>
            <w:pPr>
              <w:snapToGrid w:val="0"/>
              <w:spacing w:line="360" w:lineRule="auto"/>
              <w:ind w:left="176" w:leftChars="84" w:firstLine="840" w:firstLineChars="4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磋商单位：</w:t>
            </w:r>
            <w:r>
              <w:rPr>
                <w:rFonts w:hint="eastAsia" w:ascii="微软雅黑" w:hAnsi="微软雅黑" w:eastAsia="微软雅黑" w:cs="微软雅黑"/>
                <w:szCs w:val="21"/>
                <w:u w:val="single" w:color="000000"/>
              </w:rPr>
              <w:t xml:space="preserve">                                       </w:t>
            </w:r>
            <w:r>
              <w:rPr>
                <w:rFonts w:hint="eastAsia" w:ascii="微软雅黑" w:hAnsi="微软雅黑" w:eastAsia="微软雅黑" w:cs="微软雅黑"/>
                <w:szCs w:val="21"/>
              </w:rPr>
              <w:t>（公章）</w:t>
            </w:r>
          </w:p>
          <w:p>
            <w:pPr>
              <w:snapToGrid w:val="0"/>
              <w:spacing w:line="360" w:lineRule="auto"/>
              <w:ind w:left="176" w:leftChars="84" w:firstLine="840" w:firstLineChars="400"/>
              <w:textAlignment w:val="baseline"/>
              <w:rPr>
                <w:rFonts w:ascii="微软雅黑" w:hAnsi="微软雅黑" w:eastAsia="微软雅黑" w:cs="微软雅黑"/>
                <w:sz w:val="20"/>
                <w:szCs w:val="21"/>
                <w:u w:val="single" w:color="000000"/>
              </w:rPr>
            </w:pPr>
            <w:r>
              <w:rPr>
                <w:rFonts w:hint="eastAsia" w:ascii="微软雅黑" w:hAnsi="微软雅黑" w:eastAsia="微软雅黑" w:cs="微软雅黑"/>
                <w:szCs w:val="21"/>
              </w:rPr>
              <w:t>项目名称：</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u w:val="single" w:color="000000"/>
              </w:rPr>
            </w:pPr>
            <w:r>
              <w:rPr>
                <w:rFonts w:hint="eastAsia" w:ascii="微软雅黑" w:hAnsi="微软雅黑" w:eastAsia="微软雅黑" w:cs="微软雅黑"/>
                <w:szCs w:val="21"/>
              </w:rPr>
              <w:t>项目编号：</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u w:val="single" w:color="000000"/>
              </w:rPr>
            </w:pPr>
            <w:r>
              <w:rPr>
                <w:rFonts w:hint="eastAsia" w:ascii="微软雅黑" w:hAnsi="微软雅黑" w:eastAsia="微软雅黑" w:cs="微软雅黑"/>
                <w:szCs w:val="21"/>
              </w:rPr>
              <w:t>联 系 人：</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rPr>
            </w:pPr>
            <w:r>
              <w:rPr>
                <w:rFonts w:hint="eastAsia" w:ascii="微软雅黑" w:hAnsi="微软雅黑" w:eastAsia="微软雅黑" w:cs="微软雅黑"/>
                <w:szCs w:val="21"/>
              </w:rPr>
              <w:t>电    话：</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840" w:firstLineChars="400"/>
              <w:textAlignment w:val="baseline"/>
              <w:rPr>
                <w:rFonts w:ascii="微软雅黑" w:hAnsi="微软雅黑" w:eastAsia="微软雅黑" w:cs="微软雅黑"/>
                <w:sz w:val="20"/>
                <w:szCs w:val="21"/>
                <w:u w:val="single" w:color="000000"/>
              </w:rPr>
            </w:pPr>
            <w:r>
              <w:rPr>
                <w:rFonts w:hint="eastAsia" w:ascii="微软雅黑" w:hAnsi="微软雅黑" w:eastAsia="微软雅黑" w:cs="微软雅黑"/>
                <w:szCs w:val="21"/>
              </w:rPr>
              <w:t xml:space="preserve">地    址  ：  </w:t>
            </w:r>
            <w:r>
              <w:rPr>
                <w:rFonts w:hint="eastAsia" w:ascii="微软雅黑" w:hAnsi="微软雅黑" w:eastAsia="微软雅黑" w:cs="微软雅黑"/>
                <w:szCs w:val="21"/>
                <w:u w:val="single" w:color="000000"/>
              </w:rPr>
              <w:t xml:space="preserve">                                    </w:t>
            </w:r>
          </w:p>
          <w:p>
            <w:pPr>
              <w:snapToGrid w:val="0"/>
              <w:spacing w:line="360" w:lineRule="auto"/>
              <w:ind w:left="176" w:leftChars="84" w:firstLine="960" w:firstLineChars="400"/>
              <w:textAlignment w:val="baseline"/>
              <w:rPr>
                <w:rFonts w:ascii="微软雅黑" w:hAnsi="微软雅黑" w:eastAsia="微软雅黑" w:cs="微软雅黑"/>
                <w:sz w:val="24"/>
              </w:rPr>
            </w:pPr>
          </w:p>
          <w:p>
            <w:pPr>
              <w:snapToGrid w:val="0"/>
              <w:jc w:val="center"/>
              <w:textAlignment w:val="baseline"/>
              <w:rPr>
                <w:rFonts w:ascii="微软雅黑" w:hAnsi="微软雅黑" w:eastAsia="微软雅黑" w:cs="微软雅黑"/>
                <w:b/>
                <w:bCs/>
                <w:sz w:val="20"/>
              </w:rPr>
            </w:pPr>
          </w:p>
          <w:p>
            <w:pPr>
              <w:snapToGrid w:val="0"/>
              <w:jc w:val="center"/>
              <w:textAlignment w:val="baseline"/>
              <w:rPr>
                <w:rFonts w:ascii="微软雅黑" w:hAnsi="微软雅黑" w:eastAsia="微软雅黑" w:cs="微软雅黑"/>
                <w:b/>
                <w:bCs/>
                <w:sz w:val="20"/>
              </w:rPr>
            </w:pPr>
          </w:p>
          <w:p>
            <w:pPr>
              <w:snapToGrid w:val="0"/>
              <w:jc w:val="center"/>
              <w:textAlignment w:val="baseline"/>
              <w:rPr>
                <w:rFonts w:ascii="微软雅黑" w:hAnsi="微软雅黑" w:eastAsia="微软雅黑" w:cs="微软雅黑"/>
                <w:b/>
                <w:bCs/>
                <w:sz w:val="20"/>
              </w:rPr>
            </w:pPr>
          </w:p>
          <w:p>
            <w:pPr>
              <w:snapToGrid w:val="0"/>
              <w:jc w:val="center"/>
              <w:textAlignment w:val="baseline"/>
              <w:rPr>
                <w:rFonts w:ascii="微软雅黑" w:hAnsi="微软雅黑" w:eastAsia="微软雅黑" w:cs="微软雅黑"/>
                <w:b/>
                <w:bCs/>
                <w:sz w:val="20"/>
              </w:rPr>
            </w:pPr>
            <w:r>
              <w:rPr>
                <w:rFonts w:hint="eastAsia" w:ascii="微软雅黑" w:hAnsi="微软雅黑" w:eastAsia="微软雅黑" w:cs="微软雅黑"/>
                <w:b/>
                <w:bCs/>
              </w:rPr>
              <w:t>注：   在20XX年   月  日 X午</w:t>
            </w:r>
            <w:r>
              <w:rPr>
                <w:rFonts w:hint="eastAsia" w:ascii="微软雅黑" w:hAnsi="微软雅黑" w:eastAsia="微软雅黑" w:cs="微软雅黑"/>
                <w:kern w:val="0"/>
                <w:szCs w:val="21"/>
              </w:rPr>
              <w:t>XX</w:t>
            </w:r>
            <w:r>
              <w:rPr>
                <w:rFonts w:hint="eastAsia" w:ascii="微软雅黑" w:hAnsi="微软雅黑" w:eastAsia="微软雅黑" w:cs="微软雅黑"/>
                <w:b/>
                <w:bCs/>
              </w:rPr>
              <w:t>之前不得启封</w:t>
            </w:r>
          </w:p>
          <w:p>
            <w:pPr>
              <w:snapToGrid w:val="0"/>
              <w:jc w:val="center"/>
              <w:textAlignment w:val="baseline"/>
              <w:rPr>
                <w:rFonts w:ascii="微软雅黑" w:hAnsi="微软雅黑" w:eastAsia="微软雅黑" w:cs="微软雅黑"/>
                <w:b/>
                <w:bCs/>
                <w:sz w:val="20"/>
              </w:rPr>
            </w:pPr>
          </w:p>
        </w:tc>
      </w:tr>
    </w:tbl>
    <w:p>
      <w:pPr>
        <w:snapToGrid w:val="0"/>
        <w:spacing w:line="240" w:lineRule="atLeast"/>
        <w:textAlignment w:val="baseline"/>
        <w:rPr>
          <w:rFonts w:ascii="微软雅黑" w:hAnsi="微软雅黑" w:eastAsia="微软雅黑" w:cs="微软雅黑"/>
          <w:b/>
          <w:sz w:val="30"/>
          <w:szCs w:val="30"/>
        </w:rPr>
      </w:pPr>
      <w:r>
        <w:rPr>
          <w:rFonts w:hint="eastAsia" w:ascii="微软雅黑" w:hAnsi="微软雅黑" w:eastAsia="微软雅黑" w:cs="微软雅黑"/>
          <w:sz w:val="24"/>
        </w:rPr>
        <w:br w:type="page"/>
      </w:r>
    </w:p>
    <w:p>
      <w:pPr>
        <w:snapToGrid w:val="0"/>
        <w:spacing w:line="240" w:lineRule="atLeast"/>
        <w:jc w:val="center"/>
        <w:textAlignment w:val="baseline"/>
        <w:rPr>
          <w:rFonts w:ascii="微软雅黑" w:hAnsi="微软雅黑" w:eastAsia="微软雅黑" w:cs="微软雅黑"/>
          <w:b/>
          <w:sz w:val="44"/>
          <w:szCs w:val="44"/>
        </w:rPr>
      </w:pPr>
    </w:p>
    <w:p>
      <w:pPr>
        <w:pStyle w:val="34"/>
        <w:snapToGrid w:val="0"/>
        <w:ind w:firstLine="0" w:firstLineChars="0"/>
        <w:textAlignment w:val="baseline"/>
        <w:rPr>
          <w:rFonts w:ascii="微软雅黑" w:hAnsi="微软雅黑" w:eastAsia="微软雅黑" w:cs="微软雅黑"/>
          <w:b/>
          <w:sz w:val="44"/>
          <w:szCs w:val="44"/>
        </w:rPr>
      </w:pPr>
    </w:p>
    <w:p>
      <w:pPr>
        <w:pStyle w:val="34"/>
        <w:snapToGrid w:val="0"/>
        <w:ind w:firstLine="0" w:firstLineChars="0"/>
        <w:textAlignment w:val="baseline"/>
        <w:rPr>
          <w:rFonts w:ascii="微软雅黑" w:hAnsi="微软雅黑" w:eastAsia="微软雅黑" w:cs="微软雅黑"/>
          <w:b/>
          <w:sz w:val="44"/>
          <w:szCs w:val="44"/>
        </w:rPr>
      </w:pPr>
    </w:p>
    <w:p>
      <w:pPr>
        <w:pStyle w:val="34"/>
        <w:snapToGrid w:val="0"/>
        <w:ind w:firstLine="0" w:firstLineChars="0"/>
        <w:textAlignment w:val="baseline"/>
        <w:rPr>
          <w:rFonts w:ascii="微软雅黑" w:hAnsi="微软雅黑" w:eastAsia="微软雅黑" w:cs="微软雅黑"/>
          <w:b/>
          <w:sz w:val="44"/>
          <w:szCs w:val="44"/>
        </w:rPr>
      </w:pPr>
      <w:r>
        <w:rPr>
          <w:rFonts w:ascii="微软雅黑" w:hAnsi="微软雅黑" w:eastAsia="微软雅黑" w:cs="微软雅黑"/>
          <w:b/>
          <w:sz w:val="44"/>
          <w:szCs w:val="44"/>
        </w:rPr>
        <w:t>喀什古城丝路风情系列活动服务</w:t>
      </w:r>
      <w:r>
        <w:rPr>
          <w:rFonts w:hint="eastAsia" w:ascii="微软雅黑" w:hAnsi="微软雅黑" w:eastAsia="微软雅黑" w:cs="微软雅黑"/>
          <w:b/>
          <w:sz w:val="44"/>
          <w:szCs w:val="44"/>
          <w:lang w:eastAsia="zh-CN"/>
        </w:rPr>
        <w:t>采购项目</w:t>
      </w:r>
    </w:p>
    <w:p>
      <w:pPr>
        <w:snapToGrid w:val="0"/>
        <w:spacing w:line="240" w:lineRule="atLeast"/>
        <w:jc w:val="center"/>
        <w:textAlignment w:val="baseline"/>
        <w:rPr>
          <w:rFonts w:ascii="微软雅黑" w:hAnsi="微软雅黑" w:eastAsia="微软雅黑" w:cs="微软雅黑"/>
          <w:b/>
          <w:sz w:val="36"/>
          <w:szCs w:val="36"/>
        </w:rPr>
      </w:pPr>
      <w:r>
        <w:rPr>
          <w:rFonts w:hint="eastAsia" w:ascii="微软雅黑" w:hAnsi="微软雅黑" w:eastAsia="微软雅黑" w:cs="微软雅黑"/>
          <w:b/>
          <w:sz w:val="52"/>
          <w:szCs w:val="52"/>
        </w:rPr>
        <w:t>竞争性磋商文件</w:t>
      </w:r>
    </w:p>
    <w:p>
      <w:pPr>
        <w:pStyle w:val="34"/>
        <w:snapToGrid w:val="0"/>
        <w:textAlignment w:val="baseline"/>
        <w:rPr>
          <w:rFonts w:ascii="微软雅黑" w:hAnsi="微软雅黑" w:eastAsia="微软雅黑" w:cs="微软雅黑"/>
          <w:sz w:val="21"/>
        </w:rPr>
      </w:pPr>
    </w:p>
    <w:p>
      <w:pPr>
        <w:pStyle w:val="34"/>
        <w:snapToGrid w:val="0"/>
        <w:textAlignment w:val="baseline"/>
        <w:rPr>
          <w:rFonts w:ascii="微软雅黑" w:hAnsi="微软雅黑" w:eastAsia="微软雅黑" w:cs="微软雅黑"/>
          <w:sz w:val="21"/>
        </w:rPr>
      </w:pPr>
    </w:p>
    <w:p>
      <w:pPr>
        <w:snapToGrid w:val="0"/>
        <w:spacing w:line="240" w:lineRule="atLeast"/>
        <w:jc w:val="center"/>
        <w:textAlignment w:val="baseline"/>
        <w:rPr>
          <w:rFonts w:ascii="微软雅黑" w:hAnsi="微软雅黑" w:eastAsia="微软雅黑" w:cs="微软雅黑"/>
          <w:b/>
          <w:sz w:val="40"/>
          <w:szCs w:val="40"/>
        </w:rPr>
      </w:pPr>
      <w:r>
        <w:rPr>
          <w:rFonts w:hint="eastAsia" w:ascii="微软雅黑" w:hAnsi="微软雅黑" w:eastAsia="微软雅黑" w:cs="微软雅黑"/>
          <w:b/>
          <w:sz w:val="40"/>
          <w:szCs w:val="40"/>
        </w:rPr>
        <w:t>项目编号：</w:t>
      </w:r>
      <w:r>
        <w:rPr>
          <w:rFonts w:hint="eastAsia" w:ascii="微软雅黑" w:hAnsi="微软雅黑" w:eastAsia="微软雅黑" w:cs="微软雅黑"/>
          <w:b/>
          <w:sz w:val="40"/>
          <w:szCs w:val="40"/>
          <w:lang w:val="en-US" w:eastAsia="zh-CN"/>
        </w:rPr>
        <w:t>YYXD（CS）2022-03号  </w:t>
      </w:r>
    </w:p>
    <w:p>
      <w:pPr>
        <w:snapToGrid w:val="0"/>
        <w:spacing w:line="240" w:lineRule="atLeast"/>
        <w:textAlignment w:val="baseline"/>
        <w:rPr>
          <w:rFonts w:ascii="微软雅黑" w:hAnsi="微软雅黑" w:eastAsia="微软雅黑" w:cs="微软雅黑"/>
          <w:b/>
          <w:sz w:val="52"/>
        </w:rPr>
      </w:pPr>
    </w:p>
    <w:p>
      <w:pPr>
        <w:snapToGrid w:val="0"/>
        <w:spacing w:line="240" w:lineRule="atLeast"/>
        <w:jc w:val="center"/>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第二册</w:t>
      </w:r>
    </w:p>
    <w:p>
      <w:pPr>
        <w:snapToGrid w:val="0"/>
        <w:spacing w:line="240" w:lineRule="atLeast"/>
        <w:ind w:left="1080" w:leftChars="257" w:hanging="54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pStyle w:val="34"/>
        <w:snapToGrid w:val="0"/>
        <w:ind w:firstLine="560"/>
        <w:textAlignment w:val="baseline"/>
        <w:rPr>
          <w:rFonts w:ascii="微软雅黑" w:hAnsi="微软雅黑" w:eastAsia="微软雅黑" w:cs="微软雅黑"/>
          <w:b/>
          <w:sz w:val="28"/>
        </w:rPr>
      </w:pPr>
    </w:p>
    <w:p>
      <w:pPr>
        <w:pStyle w:val="34"/>
        <w:snapToGrid w:val="0"/>
        <w:ind w:firstLine="560"/>
        <w:textAlignment w:val="baseline"/>
        <w:rPr>
          <w:rFonts w:ascii="微软雅黑" w:hAnsi="微软雅黑" w:eastAsia="微软雅黑" w:cs="微软雅黑"/>
          <w:b/>
          <w:sz w:val="28"/>
        </w:rPr>
      </w:pPr>
    </w:p>
    <w:p>
      <w:pPr>
        <w:pStyle w:val="34"/>
        <w:snapToGrid w:val="0"/>
        <w:ind w:firstLine="560"/>
        <w:textAlignment w:val="baseline"/>
        <w:rPr>
          <w:rFonts w:ascii="微软雅黑" w:hAnsi="微软雅黑" w:eastAsia="微软雅黑" w:cs="微软雅黑"/>
          <w:b/>
          <w:sz w:val="28"/>
        </w:rPr>
      </w:pPr>
    </w:p>
    <w:p>
      <w:pPr>
        <w:snapToGrid w:val="0"/>
        <w:spacing w:line="240" w:lineRule="atLeast"/>
        <w:ind w:left="1080" w:leftChars="257" w:hanging="540"/>
        <w:textAlignment w:val="baseline"/>
        <w:rPr>
          <w:rFonts w:ascii="微软雅黑" w:hAnsi="微软雅黑" w:eastAsia="微软雅黑" w:cs="微软雅黑"/>
          <w:b/>
          <w:sz w:val="28"/>
        </w:rPr>
      </w:pPr>
    </w:p>
    <w:p>
      <w:pPr>
        <w:pStyle w:val="2"/>
        <w:rPr>
          <w:rFonts w:ascii="微软雅黑" w:hAnsi="微软雅黑" w:eastAsia="微软雅黑" w:cs="微软雅黑"/>
          <w:b/>
          <w:sz w:val="28"/>
        </w:rPr>
      </w:pPr>
    </w:p>
    <w:p>
      <w:pPr>
        <w:pStyle w:val="2"/>
        <w:rPr>
          <w:rFonts w:ascii="微软雅黑" w:hAnsi="微软雅黑" w:eastAsia="微软雅黑" w:cs="微软雅黑"/>
          <w:b/>
          <w:sz w:val="28"/>
        </w:rPr>
      </w:pPr>
    </w:p>
    <w:p>
      <w:pPr>
        <w:pStyle w:val="6"/>
        <w:snapToGrid w:val="0"/>
        <w:ind w:firstLine="0"/>
        <w:textAlignment w:val="baseline"/>
        <w:rPr>
          <w:rFonts w:ascii="微软雅黑" w:hAnsi="微软雅黑" w:eastAsia="微软雅黑" w:cs="微软雅黑"/>
          <w:b/>
          <w:sz w:val="52"/>
        </w:rPr>
      </w:pPr>
    </w:p>
    <w:p>
      <w:pPr>
        <w:pStyle w:val="3"/>
        <w:tabs>
          <w:tab w:val="left" w:pos="0"/>
        </w:tabs>
        <w:snapToGrid w:val="0"/>
        <w:spacing w:before="0" w:after="0" w:line="240" w:lineRule="auto"/>
        <w:textAlignment w:val="baseline"/>
        <w:rPr>
          <w:rFonts w:ascii="微软雅黑" w:hAnsi="微软雅黑" w:eastAsia="微软雅黑" w:cs="微软雅黑"/>
        </w:rPr>
      </w:pPr>
      <w:bookmarkStart w:id="736" w:name="_Toc7946"/>
      <w:r>
        <w:rPr>
          <w:rFonts w:hint="eastAsia" w:ascii="微软雅黑" w:hAnsi="微软雅黑" w:eastAsia="微软雅黑" w:cs="微软雅黑"/>
        </w:rPr>
        <w:t>第3章 磋商邀请</w:t>
      </w:r>
      <w:bookmarkEnd w:id="729"/>
      <w:bookmarkEnd w:id="730"/>
      <w:bookmarkEnd w:id="731"/>
      <w:bookmarkEnd w:id="732"/>
      <w:bookmarkEnd w:id="733"/>
      <w:bookmarkEnd w:id="734"/>
      <w:bookmarkEnd w:id="735"/>
      <w:bookmarkEnd w:id="736"/>
    </w:p>
    <w:p>
      <w:pPr>
        <w:pStyle w:val="3"/>
        <w:pageBreakBefore w:val="0"/>
        <w:widowControl w:val="0"/>
        <w:tabs>
          <w:tab w:val="left" w:pos="0"/>
        </w:tabs>
        <w:kinsoku/>
        <w:wordWrap/>
        <w:overflowPunct/>
        <w:topLinePunct w:val="0"/>
        <w:bidi w:val="0"/>
        <w:snapToGrid/>
        <w:spacing w:before="0" w:after="0" w:line="240" w:lineRule="auto"/>
        <w:textAlignment w:val="auto"/>
        <w:rPr>
          <w:rFonts w:hint="eastAsia" w:ascii="微软雅黑" w:hAnsi="微软雅黑" w:eastAsia="微软雅黑" w:cs="微软雅黑"/>
          <w:sz w:val="36"/>
          <w:szCs w:val="36"/>
        </w:rPr>
      </w:pPr>
      <w:bookmarkStart w:id="737" w:name="_Toc14011"/>
      <w:bookmarkStart w:id="738" w:name="_Toc29429"/>
      <w:bookmarkStart w:id="739" w:name="_Toc8815"/>
      <w:bookmarkStart w:id="740" w:name="_Toc12623"/>
      <w:bookmarkStart w:id="741" w:name="_Toc10488"/>
      <w:bookmarkStart w:id="742" w:name="_Toc31583"/>
      <w:bookmarkStart w:id="743" w:name="_Toc507399903"/>
      <w:bookmarkStart w:id="744" w:name="_Toc512937850"/>
      <w:bookmarkStart w:id="745" w:name="_Toc216582823"/>
      <w:bookmarkStart w:id="746" w:name="_Toc515647830"/>
      <w:r>
        <w:rPr>
          <w:rFonts w:hint="eastAsia" w:ascii="微软雅黑" w:hAnsi="微软雅黑" w:eastAsia="微软雅黑" w:cs="微软雅黑"/>
          <w:sz w:val="36"/>
          <w:szCs w:val="36"/>
          <w:lang w:val="en-US" w:eastAsia="zh-CN"/>
        </w:rPr>
        <w:t xml:space="preserve">喀什古城丝路风情系列活动服务采购项目         </w:t>
      </w:r>
      <w:r>
        <w:rPr>
          <w:rFonts w:hint="eastAsia" w:ascii="微软雅黑" w:hAnsi="微软雅黑" w:eastAsia="微软雅黑" w:cs="微软雅黑"/>
          <w:sz w:val="36"/>
          <w:szCs w:val="36"/>
        </w:rPr>
        <w:t>竞争性磋商公告</w:t>
      </w:r>
      <w:bookmarkEnd w:id="737"/>
      <w:bookmarkEnd w:id="738"/>
      <w:bookmarkEnd w:id="739"/>
      <w:bookmarkEnd w:id="74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lang w:val="en-US" w:eastAsia="zh-CN"/>
        </w:rPr>
        <w:t>喀什古城丝路风情系列活动服务采购项目的潜在投标人应在政采云平台（https://www.zcygov.cn）获取竞争性磋商文件，并于</w:t>
      </w:r>
      <w:r>
        <w:rPr>
          <w:rFonts w:hint="eastAsia" w:ascii="微软雅黑" w:hAnsi="微软雅黑" w:eastAsia="微软雅黑" w:cs="微软雅黑"/>
          <w:sz w:val="28"/>
          <w:szCs w:val="28"/>
          <w:highlight w:val="none"/>
          <w:lang w:val="en-US" w:eastAsia="zh-CN"/>
        </w:rPr>
        <w:t>2022年07月25日 11:00（北京时间）前提交响应文件。</w:t>
      </w:r>
    </w:p>
    <w:p>
      <w:pPr>
        <w:pageBreakBefore w:val="0"/>
        <w:widowControl w:val="0"/>
        <w:kinsoku/>
        <w:wordWrap/>
        <w:overflowPunct/>
        <w:topLinePunct w:val="0"/>
        <w:bidi w:val="0"/>
        <w:snapToGrid/>
        <w:spacing w:line="240" w:lineRule="auto"/>
        <w:jc w:val="both"/>
        <w:textAlignment w:val="auto"/>
        <w:outlineLvl w:val="9"/>
        <w:rPr>
          <w:rFonts w:hint="eastAsia" w:ascii="微软雅黑" w:hAnsi="微软雅黑" w:eastAsia="微软雅黑" w:cs="微软雅黑"/>
          <w:b/>
          <w:bCs w:val="0"/>
          <w:sz w:val="28"/>
          <w:szCs w:val="28"/>
        </w:rPr>
      </w:pPr>
      <w:bookmarkStart w:id="747" w:name="_Toc28359089"/>
      <w:bookmarkStart w:id="748" w:name="_Toc8264"/>
      <w:bookmarkStart w:id="749" w:name="_Toc29182"/>
      <w:bookmarkStart w:id="750" w:name="_Toc35393629"/>
      <w:bookmarkStart w:id="751" w:name="_Toc11899"/>
      <w:bookmarkStart w:id="752" w:name="_Toc35393798"/>
      <w:bookmarkStart w:id="753" w:name="_Toc28359012"/>
      <w:bookmarkStart w:id="754" w:name="_Toc18745"/>
      <w:r>
        <w:rPr>
          <w:rFonts w:hint="eastAsia" w:ascii="微软雅黑" w:hAnsi="微软雅黑" w:eastAsia="微软雅黑" w:cs="微软雅黑"/>
          <w:b/>
          <w:bCs w:val="0"/>
          <w:sz w:val="28"/>
          <w:szCs w:val="28"/>
        </w:rPr>
        <w:t>一、项目基本情况</w:t>
      </w:r>
      <w:bookmarkEnd w:id="747"/>
      <w:bookmarkEnd w:id="748"/>
      <w:bookmarkEnd w:id="749"/>
      <w:bookmarkEnd w:id="750"/>
      <w:bookmarkEnd w:id="751"/>
      <w:bookmarkEnd w:id="752"/>
      <w:bookmarkEnd w:id="753"/>
      <w:bookmarkEnd w:id="754"/>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bookmarkStart w:id="755" w:name="_Toc30511"/>
      <w:bookmarkStart w:id="756" w:name="_Toc35393630"/>
      <w:bookmarkStart w:id="757" w:name="_Toc28085"/>
      <w:bookmarkStart w:id="758" w:name="_Toc35393799"/>
      <w:bookmarkStart w:id="759" w:name="_Toc3888"/>
      <w:bookmarkStart w:id="760" w:name="_Toc13908"/>
      <w:bookmarkStart w:id="761" w:name="_Toc28359090"/>
      <w:bookmarkStart w:id="762" w:name="_Toc28359013"/>
      <w:r>
        <w:rPr>
          <w:rFonts w:hint="eastAsia" w:ascii="微软雅黑" w:hAnsi="微软雅黑" w:eastAsia="微软雅黑" w:cs="微软雅黑"/>
          <w:bCs/>
          <w:sz w:val="28"/>
          <w:szCs w:val="28"/>
          <w:lang w:val="en-US" w:eastAsia="zh-CN"/>
        </w:rPr>
        <w:t>1、项目编号：YYXD（CS）2022-03号  </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2、项目名称：喀什古城丝路风情系列活动服务采购项目</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3、采购方式：竞争性磋商</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4、总预算金额（元）：1255500 </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5、最高限价（元）：1255500 </w:t>
      </w:r>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6、采购需求：传播魅力独特的丝路风情，充分展示美好喀什形象，策划并组织实施系列活动。1.印象喀什活动：在古城夜市常态开展以印象喀什为主题的民族歌舞体验活动，最大程度营造热闹喧嚣的夜市氛围，开展活动不少于150场次，每场次参与人员不少于70人，每场活动不少于75分钟；2.丝路驼队活动：在古城景区常态开展以丝路驼队、西域公主选郎等形式的沉浸体验活动，展现丝路独有的异域风情，开展活动不少于180场次，每场次参与人员不少于40人，每场活动不少于35分钟；3.快闪活动：在古城景区常态开展正能量的互动快闪活动，最大程度营造活动的震撼效果并最大限度地传递正能量，开展活动不少于150场次，每场次参与人员不少于40人，每场活动不少于45分钟。</w:t>
      </w:r>
      <w:bookmarkStart w:id="1689" w:name="_GoBack"/>
      <w:bookmarkEnd w:id="1689"/>
    </w:p>
    <w:p>
      <w:pPr>
        <w:pageBreakBefore w:val="0"/>
        <w:widowControl w:val="0"/>
        <w:kinsoku/>
        <w:wordWrap/>
        <w:overflowPunct/>
        <w:topLinePunct w:val="0"/>
        <w:bidi w:val="0"/>
        <w:snapToGrid/>
        <w:spacing w:line="240" w:lineRule="auto"/>
        <w:ind w:firstLine="560" w:firstLineChars="200"/>
        <w:jc w:val="both"/>
        <w:textAlignment w:val="auto"/>
        <w:outlineLvl w:val="9"/>
        <w:rPr>
          <w:rFonts w:hint="eastAsia" w:ascii="微软雅黑" w:hAnsi="微软雅黑" w:eastAsia="微软雅黑" w:cs="微软雅黑"/>
          <w:bCs/>
          <w:sz w:val="28"/>
          <w:szCs w:val="28"/>
          <w:lang w:val="en-US" w:eastAsia="zh-CN"/>
        </w:rPr>
      </w:pPr>
      <w:r>
        <w:rPr>
          <w:rFonts w:hint="eastAsia" w:ascii="微软雅黑" w:hAnsi="微软雅黑" w:eastAsia="微软雅黑" w:cs="微软雅黑"/>
          <w:bCs/>
          <w:sz w:val="28"/>
          <w:szCs w:val="28"/>
          <w:lang w:val="en-US" w:eastAsia="zh-CN"/>
        </w:rPr>
        <w:t>7、本项目（否）接受联合体投标。</w:t>
      </w:r>
    </w:p>
    <w:p>
      <w:pPr>
        <w:pageBreakBefore w:val="0"/>
        <w:widowControl w:val="0"/>
        <w:kinsoku/>
        <w:wordWrap/>
        <w:overflowPunct/>
        <w:topLinePunct w:val="0"/>
        <w:bidi w:val="0"/>
        <w:snapToGrid/>
        <w:spacing w:line="240" w:lineRule="auto"/>
        <w:jc w:val="both"/>
        <w:textAlignment w:val="auto"/>
        <w:outlineLvl w:val="9"/>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二、申请人的资格要求：</w:t>
      </w:r>
      <w:bookmarkEnd w:id="755"/>
      <w:bookmarkEnd w:id="756"/>
      <w:bookmarkEnd w:id="757"/>
      <w:bookmarkEnd w:id="758"/>
      <w:bookmarkEnd w:id="759"/>
      <w:bookmarkEnd w:id="760"/>
      <w:bookmarkEnd w:id="761"/>
      <w:bookmarkEnd w:id="762"/>
    </w:p>
    <w:p>
      <w:pPr>
        <w:pStyle w:val="6"/>
        <w:spacing w:line="240" w:lineRule="auto"/>
        <w:ind w:left="0" w:leftChars="0" w:firstLine="0" w:firstLineChars="0"/>
        <w:outlineLvl w:val="1"/>
        <w:rPr>
          <w:rFonts w:hint="eastAsia" w:ascii="微软雅黑" w:hAnsi="微软雅黑" w:eastAsia="微软雅黑" w:cs="微软雅黑"/>
          <w:bCs/>
          <w:kern w:val="2"/>
          <w:sz w:val="28"/>
          <w:szCs w:val="28"/>
          <w:lang w:val="en-US" w:eastAsia="zh-CN" w:bidi="ar-SA"/>
        </w:rPr>
      </w:pPr>
      <w:r>
        <w:rPr>
          <w:rFonts w:hint="eastAsia" w:ascii="微软雅黑" w:hAnsi="微软雅黑" w:eastAsia="微软雅黑" w:cs="微软雅黑"/>
          <w:bCs/>
          <w:kern w:val="2"/>
          <w:sz w:val="28"/>
          <w:szCs w:val="28"/>
          <w:lang w:val="en-US" w:eastAsia="zh-CN" w:bidi="ar-SA"/>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提供查询记录并加盖公章）；</w:t>
      </w:r>
    </w:p>
    <w:p>
      <w:pPr>
        <w:pStyle w:val="6"/>
        <w:spacing w:line="240" w:lineRule="auto"/>
        <w:ind w:left="0" w:leftChars="0" w:firstLine="0" w:firstLineChars="0"/>
        <w:outlineLvl w:val="1"/>
        <w:rPr>
          <w:rFonts w:hint="eastAsia" w:ascii="微软雅黑" w:hAnsi="微软雅黑" w:eastAsia="微软雅黑" w:cs="微软雅黑"/>
          <w:bCs/>
          <w:kern w:val="2"/>
          <w:sz w:val="28"/>
          <w:szCs w:val="28"/>
          <w:lang w:val="en-US" w:eastAsia="zh-CN" w:bidi="ar-SA"/>
        </w:rPr>
      </w:pPr>
      <w:r>
        <w:rPr>
          <w:rFonts w:hint="eastAsia" w:ascii="微软雅黑" w:hAnsi="微软雅黑" w:eastAsia="微软雅黑" w:cs="微软雅黑"/>
          <w:bCs/>
          <w:kern w:val="2"/>
          <w:sz w:val="28"/>
          <w:szCs w:val="28"/>
          <w:lang w:val="en-US" w:eastAsia="zh-CN" w:bidi="ar-SA"/>
        </w:rPr>
        <w:t>2.提供有效的营业执照；</w:t>
      </w:r>
    </w:p>
    <w:p>
      <w:pPr>
        <w:pStyle w:val="6"/>
        <w:spacing w:line="240" w:lineRule="auto"/>
        <w:ind w:left="0" w:leftChars="0" w:firstLine="0" w:firstLineChars="0"/>
        <w:outlineLvl w:val="1"/>
        <w:rPr>
          <w:rFonts w:hint="eastAsia" w:ascii="微软雅黑" w:hAnsi="微软雅黑" w:eastAsia="微软雅黑" w:cs="微软雅黑"/>
          <w:bCs/>
          <w:kern w:val="2"/>
          <w:sz w:val="28"/>
          <w:szCs w:val="28"/>
          <w:lang w:val="en-US" w:eastAsia="zh-CN" w:bidi="ar-SA"/>
        </w:rPr>
      </w:pPr>
      <w:r>
        <w:rPr>
          <w:rFonts w:hint="eastAsia" w:ascii="微软雅黑" w:hAnsi="微软雅黑" w:eastAsia="微软雅黑" w:cs="微软雅黑"/>
          <w:bCs/>
          <w:kern w:val="2"/>
          <w:sz w:val="28"/>
          <w:szCs w:val="28"/>
          <w:lang w:val="en-US" w:eastAsia="zh-CN" w:bidi="ar-SA"/>
        </w:rPr>
        <w:t>3.法人本人投标的提供法人身份证明及身份证，被授权委托人投标提供法人授权委托书及身份证；</w:t>
      </w:r>
    </w:p>
    <w:p>
      <w:pPr>
        <w:pStyle w:val="6"/>
        <w:spacing w:line="240" w:lineRule="auto"/>
        <w:ind w:left="0" w:leftChars="0" w:firstLine="0" w:firstLineChars="0"/>
        <w:outlineLvl w:val="1"/>
        <w:rPr>
          <w:rFonts w:hint="eastAsia" w:ascii="微软雅黑" w:hAnsi="微软雅黑" w:eastAsia="微软雅黑" w:cs="微软雅黑"/>
          <w:bCs/>
          <w:kern w:val="2"/>
          <w:sz w:val="28"/>
          <w:szCs w:val="28"/>
          <w:lang w:val="en-US" w:eastAsia="zh-CN" w:bidi="ar-SA"/>
        </w:rPr>
      </w:pPr>
      <w:r>
        <w:rPr>
          <w:rFonts w:hint="eastAsia" w:ascii="微软雅黑" w:hAnsi="微软雅黑" w:eastAsia="微软雅黑" w:cs="微软雅黑"/>
          <w:bCs/>
          <w:kern w:val="2"/>
          <w:sz w:val="28"/>
          <w:szCs w:val="28"/>
          <w:lang w:val="en-US" w:eastAsia="zh-CN" w:bidi="ar-SA"/>
        </w:rPr>
        <w:t>4.投标单位提供本单位依法缴纳近三个月的社保证明；</w:t>
      </w:r>
    </w:p>
    <w:p>
      <w:pPr>
        <w:pStyle w:val="6"/>
        <w:spacing w:line="240" w:lineRule="auto"/>
        <w:ind w:left="0" w:leftChars="0" w:firstLine="0" w:firstLineChars="0"/>
        <w:outlineLvl w:val="1"/>
        <w:rPr>
          <w:rFonts w:hint="eastAsia" w:ascii="微软雅黑" w:hAnsi="微软雅黑" w:eastAsia="微软雅黑" w:cs="微软雅黑"/>
          <w:bCs/>
          <w:kern w:val="2"/>
          <w:sz w:val="28"/>
          <w:szCs w:val="28"/>
          <w:lang w:val="en-US" w:eastAsia="zh-CN" w:bidi="ar-SA"/>
        </w:rPr>
      </w:pPr>
      <w:r>
        <w:rPr>
          <w:rFonts w:hint="eastAsia" w:ascii="微软雅黑" w:hAnsi="微软雅黑" w:eastAsia="微软雅黑" w:cs="微软雅黑"/>
          <w:bCs/>
          <w:kern w:val="2"/>
          <w:sz w:val="28"/>
          <w:szCs w:val="28"/>
          <w:lang w:val="en-US" w:eastAsia="zh-CN" w:bidi="ar-SA"/>
        </w:rPr>
        <w:t>5.提供税务部门出具近三个月的完税证明；</w:t>
      </w:r>
    </w:p>
    <w:p>
      <w:pPr>
        <w:pStyle w:val="6"/>
        <w:spacing w:line="240" w:lineRule="auto"/>
        <w:ind w:left="0" w:leftChars="0" w:firstLine="0" w:firstLineChars="0"/>
        <w:outlineLvl w:val="1"/>
        <w:rPr>
          <w:rFonts w:hint="eastAsia" w:ascii="微软雅黑" w:hAnsi="微软雅黑" w:eastAsia="微软雅黑" w:cs="微软雅黑"/>
          <w:bCs/>
          <w:kern w:val="2"/>
          <w:sz w:val="28"/>
          <w:szCs w:val="28"/>
          <w:lang w:val="en-US" w:eastAsia="zh-CN" w:bidi="ar-SA"/>
        </w:rPr>
      </w:pPr>
      <w:r>
        <w:rPr>
          <w:rFonts w:hint="eastAsia" w:ascii="微软雅黑" w:hAnsi="微软雅黑" w:eastAsia="微软雅黑" w:cs="微软雅黑"/>
          <w:bCs/>
          <w:kern w:val="2"/>
          <w:sz w:val="28"/>
          <w:szCs w:val="28"/>
          <w:lang w:val="en-US" w:eastAsia="zh-CN" w:bidi="ar-SA"/>
        </w:rPr>
        <w:t>6.提供2021年度的财务审计报告（新成立公司需提供银行资信证明）；</w:t>
      </w:r>
    </w:p>
    <w:p>
      <w:pPr>
        <w:pStyle w:val="6"/>
        <w:spacing w:line="240" w:lineRule="auto"/>
        <w:ind w:left="0" w:leftChars="0" w:firstLine="0" w:firstLineChars="0"/>
        <w:outlineLvl w:val="1"/>
        <w:rPr>
          <w:rFonts w:hint="eastAsia" w:ascii="微软雅黑" w:hAnsi="微软雅黑" w:eastAsia="微软雅黑" w:cs="微软雅黑"/>
          <w:bCs/>
          <w:kern w:val="2"/>
          <w:sz w:val="28"/>
          <w:szCs w:val="28"/>
          <w:lang w:val="en-US" w:eastAsia="zh-CN" w:bidi="ar-SA"/>
        </w:rPr>
      </w:pPr>
      <w:r>
        <w:rPr>
          <w:rFonts w:hint="eastAsia" w:ascii="微软雅黑" w:hAnsi="微软雅黑" w:eastAsia="微软雅黑" w:cs="微软雅黑"/>
          <w:bCs/>
          <w:kern w:val="2"/>
          <w:sz w:val="28"/>
          <w:szCs w:val="28"/>
          <w:lang w:val="en-US" w:eastAsia="zh-CN" w:bidi="ar-SA"/>
        </w:rPr>
        <w:t>7.参加政府采购活动前3年内在经营活动中没有重大违法记录的书面声明；</w:t>
      </w:r>
    </w:p>
    <w:p>
      <w:pPr>
        <w:pStyle w:val="6"/>
        <w:spacing w:line="240" w:lineRule="auto"/>
        <w:ind w:left="0" w:leftChars="0" w:firstLine="0" w:firstLineChars="0"/>
        <w:outlineLvl w:val="1"/>
        <w:rPr>
          <w:rFonts w:hint="eastAsia" w:ascii="微软雅黑" w:hAnsi="微软雅黑" w:eastAsia="微软雅黑" w:cs="微软雅黑"/>
          <w:bCs/>
          <w:kern w:val="2"/>
          <w:sz w:val="28"/>
          <w:szCs w:val="28"/>
          <w:lang w:val="en-US" w:eastAsia="zh-CN" w:bidi="ar-SA"/>
        </w:rPr>
      </w:pPr>
      <w:r>
        <w:rPr>
          <w:rFonts w:hint="eastAsia" w:ascii="微软雅黑" w:hAnsi="微软雅黑" w:eastAsia="微软雅黑" w:cs="微软雅黑"/>
          <w:bCs/>
          <w:kern w:val="2"/>
          <w:sz w:val="28"/>
          <w:szCs w:val="28"/>
          <w:lang w:val="en-US" w:eastAsia="zh-CN" w:bidi="ar-SA"/>
        </w:rPr>
        <w:t>8.提供针对本次项目的反商业贿赂承诺书。 </w:t>
      </w:r>
    </w:p>
    <w:p>
      <w:pPr>
        <w:pStyle w:val="6"/>
        <w:spacing w:line="240" w:lineRule="auto"/>
        <w:ind w:left="0" w:leftChars="0" w:firstLine="0" w:firstLineChars="0"/>
        <w:outlineLvl w:val="1"/>
        <w:rPr>
          <w:rStyle w:val="38"/>
          <w:rFonts w:hint="eastAsia" w:ascii="微软雅黑" w:hAnsi="微软雅黑" w:eastAsia="微软雅黑" w:cs="微软雅黑"/>
          <w:i w:val="0"/>
          <w:iCs w:val="0"/>
          <w:caps w:val="0"/>
          <w:color w:val="000000"/>
          <w:spacing w:val="0"/>
          <w:kern w:val="0"/>
          <w:sz w:val="28"/>
          <w:szCs w:val="28"/>
          <w:lang w:val="en-US" w:eastAsia="zh-CN" w:bidi="ar"/>
        </w:rPr>
      </w:pPr>
      <w:r>
        <w:rPr>
          <w:rStyle w:val="38"/>
          <w:rFonts w:hint="eastAsia" w:ascii="微软雅黑" w:hAnsi="微软雅黑" w:eastAsia="微软雅黑" w:cs="微软雅黑"/>
          <w:i w:val="0"/>
          <w:iCs w:val="0"/>
          <w:caps w:val="0"/>
          <w:color w:val="000000"/>
          <w:spacing w:val="0"/>
          <w:kern w:val="0"/>
          <w:sz w:val="28"/>
          <w:szCs w:val="28"/>
          <w:lang w:val="en-US" w:eastAsia="zh-CN" w:bidi="ar"/>
        </w:rPr>
        <w:t>三、获取竞争性磋商文件</w:t>
      </w:r>
    </w:p>
    <w:p>
      <w:pPr>
        <w:pStyle w:val="30"/>
        <w:keepNext w:val="0"/>
        <w:keepLines w:val="0"/>
        <w:widowControl/>
        <w:suppressLineNumbers w:val="0"/>
        <w:spacing w:line="240" w:lineRule="auto"/>
        <w:ind w:left="0" w:firstLine="420"/>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lang w:val="en-US" w:eastAsia="zh-CN" w:bidi="ar-SA"/>
        </w:rPr>
        <w:t>获取时间</w:t>
      </w:r>
      <w:r>
        <w:rPr>
          <w:rFonts w:hint="eastAsia" w:ascii="微软雅黑" w:hAnsi="微软雅黑" w:eastAsia="微软雅黑" w:cs="微软雅黑"/>
          <w:kern w:val="2"/>
          <w:sz w:val="28"/>
          <w:szCs w:val="28"/>
          <w:highlight w:val="none"/>
          <w:lang w:val="en-US" w:eastAsia="zh-CN" w:bidi="ar-SA"/>
        </w:rPr>
        <w:t>：2022年07月14日至2022年07月21日，每天上午10:00至13:30，下午16:00至19:30（北京时间，法定节假日除外）</w:t>
      </w:r>
    </w:p>
    <w:p>
      <w:pPr>
        <w:pStyle w:val="30"/>
        <w:keepNext w:val="0"/>
        <w:keepLines w:val="0"/>
        <w:widowControl/>
        <w:suppressLineNumbers w:val="0"/>
        <w:spacing w:line="240" w:lineRule="auto"/>
        <w:ind w:left="0" w:firstLine="420"/>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获取方式：供应商登陆政采云平台http://www.zcygov.cn/，在线获取磋商文件（登录政府采购云平台→ 项目采购 → 获取磋商文件，通过审核后可获取磋商文件，如有操作性问题，可与政采云在线客服进行咨询，电话400-881-7190 </w:t>
      </w:r>
    </w:p>
    <w:p>
      <w:pPr>
        <w:pStyle w:val="30"/>
        <w:keepNext w:val="0"/>
        <w:keepLines w:val="0"/>
        <w:widowControl/>
        <w:suppressLineNumbers w:val="0"/>
        <w:spacing w:line="240" w:lineRule="auto"/>
        <w:ind w:left="0" w:firstLine="420"/>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获取地点：政采云平台</w:t>
      </w:r>
    </w:p>
    <w:p>
      <w:pPr>
        <w:pStyle w:val="30"/>
        <w:keepNext w:val="0"/>
        <w:keepLines w:val="0"/>
        <w:widowControl/>
        <w:suppressLineNumbers w:val="0"/>
        <w:spacing w:line="240" w:lineRule="auto"/>
        <w:ind w:left="0" w:firstLine="420"/>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售价（元）：0元</w:t>
      </w:r>
    </w:p>
    <w:p>
      <w:pPr>
        <w:pStyle w:val="6"/>
        <w:spacing w:line="240" w:lineRule="auto"/>
        <w:ind w:left="0" w:leftChars="0" w:firstLine="0" w:firstLineChars="0"/>
        <w:outlineLvl w:val="1"/>
        <w:rPr>
          <w:rStyle w:val="38"/>
          <w:rFonts w:hint="eastAsia" w:ascii="微软雅黑" w:hAnsi="微软雅黑" w:eastAsia="微软雅黑" w:cs="微软雅黑"/>
          <w:i w:val="0"/>
          <w:iCs w:val="0"/>
          <w:caps w:val="0"/>
          <w:color w:val="000000"/>
          <w:spacing w:val="0"/>
          <w:kern w:val="0"/>
          <w:sz w:val="28"/>
          <w:szCs w:val="28"/>
          <w:lang w:val="en-US" w:eastAsia="zh-CN" w:bidi="ar"/>
        </w:rPr>
      </w:pPr>
      <w:bookmarkStart w:id="763" w:name="_Toc30763"/>
      <w:bookmarkStart w:id="764" w:name="_Toc4637"/>
      <w:bookmarkStart w:id="765" w:name="_Toc545"/>
      <w:r>
        <w:rPr>
          <w:rStyle w:val="38"/>
          <w:rFonts w:hint="eastAsia" w:ascii="微软雅黑" w:hAnsi="微软雅黑" w:eastAsia="微软雅黑" w:cs="微软雅黑"/>
          <w:i w:val="0"/>
          <w:iCs w:val="0"/>
          <w:caps w:val="0"/>
          <w:color w:val="000000"/>
          <w:spacing w:val="0"/>
          <w:kern w:val="0"/>
          <w:sz w:val="28"/>
          <w:szCs w:val="28"/>
          <w:lang w:val="en-US" w:eastAsia="zh-CN" w:bidi="ar"/>
        </w:rPr>
        <w:t>四、提交响应文件截止时间、开启时间和地点</w:t>
      </w:r>
      <w:bookmarkEnd w:id="763"/>
      <w:bookmarkEnd w:id="764"/>
      <w:bookmarkEnd w:id="765"/>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lang w:val="en-US" w:eastAsia="zh-CN" w:bidi="ar-SA"/>
        </w:rPr>
        <w:t>时间：</w:t>
      </w:r>
      <w:r>
        <w:rPr>
          <w:rFonts w:hint="eastAsia" w:ascii="微软雅黑" w:hAnsi="微软雅黑" w:eastAsia="微软雅黑" w:cs="微软雅黑"/>
          <w:kern w:val="2"/>
          <w:sz w:val="28"/>
          <w:szCs w:val="28"/>
          <w:highlight w:val="none"/>
          <w:lang w:val="en-US" w:eastAsia="zh-CN" w:bidi="ar-SA"/>
        </w:rPr>
        <w:t>2022年07月25日 11:00（北京时间）</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highlight w:val="none"/>
          <w:lang w:val="en-US" w:eastAsia="zh-CN" w:bidi="ar-SA"/>
        </w:rPr>
      </w:pPr>
      <w:r>
        <w:rPr>
          <w:rFonts w:hint="eastAsia" w:ascii="微软雅黑" w:hAnsi="微软雅黑" w:eastAsia="微软雅黑" w:cs="微软雅黑"/>
          <w:kern w:val="2"/>
          <w:sz w:val="28"/>
          <w:szCs w:val="28"/>
          <w:highlight w:val="none"/>
          <w:lang w:val="en-US" w:eastAsia="zh-CN" w:bidi="ar-SA"/>
        </w:rPr>
        <w:t>地点：政府采购中心（喀什市行政审批局二楼第四评标室）</w:t>
      </w:r>
    </w:p>
    <w:p>
      <w:pPr>
        <w:pStyle w:val="6"/>
        <w:spacing w:line="240" w:lineRule="auto"/>
        <w:ind w:left="0" w:leftChars="0" w:firstLine="0" w:firstLineChars="0"/>
        <w:outlineLvl w:val="1"/>
        <w:rPr>
          <w:rStyle w:val="38"/>
          <w:rFonts w:hint="eastAsia" w:ascii="微软雅黑" w:hAnsi="微软雅黑" w:eastAsia="微软雅黑" w:cs="微软雅黑"/>
          <w:i w:val="0"/>
          <w:iCs w:val="0"/>
          <w:caps w:val="0"/>
          <w:color w:val="000000"/>
          <w:spacing w:val="0"/>
          <w:kern w:val="0"/>
          <w:sz w:val="28"/>
          <w:szCs w:val="28"/>
          <w:lang w:val="en-US" w:eastAsia="zh-CN" w:bidi="ar"/>
        </w:rPr>
      </w:pPr>
      <w:bookmarkStart w:id="766" w:name="_Toc3836"/>
      <w:bookmarkStart w:id="767" w:name="_Toc1309"/>
      <w:r>
        <w:rPr>
          <w:rStyle w:val="38"/>
          <w:rFonts w:hint="eastAsia" w:ascii="微软雅黑" w:hAnsi="微软雅黑" w:eastAsia="微软雅黑" w:cs="微软雅黑"/>
          <w:i w:val="0"/>
          <w:iCs w:val="0"/>
          <w:caps w:val="0"/>
          <w:color w:val="000000"/>
          <w:spacing w:val="0"/>
          <w:kern w:val="0"/>
          <w:sz w:val="28"/>
          <w:szCs w:val="28"/>
          <w:lang w:val="en-US" w:eastAsia="zh-CN" w:bidi="ar"/>
        </w:rPr>
        <w:t>五、公告期限</w:t>
      </w:r>
      <w:bookmarkEnd w:id="766"/>
      <w:bookmarkEnd w:id="767"/>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自本公告发布之日起5</w:t>
      </w:r>
      <w:r>
        <w:rPr>
          <w:rFonts w:hint="eastAsia" w:ascii="微软雅黑" w:hAnsi="微软雅黑" w:eastAsia="微软雅黑" w:cs="微软雅黑"/>
          <w:kern w:val="2"/>
          <w:sz w:val="28"/>
          <w:szCs w:val="28"/>
          <w:highlight w:val="none"/>
          <w:lang w:val="en-US" w:eastAsia="zh-CN" w:bidi="ar-SA"/>
        </w:rPr>
        <w:t>个</w:t>
      </w:r>
      <w:r>
        <w:rPr>
          <w:rFonts w:hint="eastAsia" w:ascii="微软雅黑" w:hAnsi="微软雅黑" w:eastAsia="微软雅黑" w:cs="微软雅黑"/>
          <w:kern w:val="2"/>
          <w:sz w:val="28"/>
          <w:szCs w:val="28"/>
          <w:lang w:val="en-US" w:eastAsia="zh-CN" w:bidi="ar-SA"/>
        </w:rPr>
        <w:t>工作日。</w:t>
      </w:r>
    </w:p>
    <w:p>
      <w:pPr>
        <w:pStyle w:val="6"/>
        <w:spacing w:line="240" w:lineRule="auto"/>
        <w:ind w:left="0" w:leftChars="0" w:firstLine="0" w:firstLineChars="0"/>
        <w:outlineLvl w:val="1"/>
        <w:rPr>
          <w:rStyle w:val="38"/>
          <w:rFonts w:hint="eastAsia" w:ascii="微软雅黑" w:hAnsi="微软雅黑" w:eastAsia="微软雅黑" w:cs="微软雅黑"/>
          <w:i w:val="0"/>
          <w:iCs w:val="0"/>
          <w:caps w:val="0"/>
          <w:color w:val="000000"/>
          <w:spacing w:val="0"/>
          <w:kern w:val="0"/>
          <w:sz w:val="28"/>
          <w:szCs w:val="28"/>
          <w:lang w:val="en-US" w:eastAsia="zh-CN" w:bidi="ar"/>
        </w:rPr>
      </w:pPr>
      <w:bookmarkStart w:id="768" w:name="_Toc11277"/>
      <w:bookmarkStart w:id="769" w:name="_Toc20023"/>
      <w:r>
        <w:rPr>
          <w:rStyle w:val="38"/>
          <w:rFonts w:hint="eastAsia" w:ascii="微软雅黑" w:hAnsi="微软雅黑" w:eastAsia="微软雅黑" w:cs="微软雅黑"/>
          <w:i w:val="0"/>
          <w:iCs w:val="0"/>
          <w:caps w:val="0"/>
          <w:color w:val="000000"/>
          <w:spacing w:val="0"/>
          <w:kern w:val="0"/>
          <w:sz w:val="28"/>
          <w:szCs w:val="28"/>
          <w:lang w:val="en-US" w:eastAsia="zh-CN" w:bidi="ar"/>
        </w:rPr>
        <w:t>六、其他补充事宜</w:t>
      </w:r>
      <w:bookmarkEnd w:id="768"/>
      <w:bookmarkEnd w:id="769"/>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无</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特别提示：</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spacing w:line="240" w:lineRule="auto"/>
        <w:ind w:left="0" w:leftChars="0" w:firstLine="0" w:firstLineChars="0"/>
        <w:outlineLvl w:val="1"/>
        <w:rPr>
          <w:rStyle w:val="38"/>
          <w:rFonts w:hint="eastAsia" w:ascii="微软雅黑" w:hAnsi="微软雅黑" w:eastAsia="微软雅黑" w:cs="微软雅黑"/>
          <w:i w:val="0"/>
          <w:iCs w:val="0"/>
          <w:caps w:val="0"/>
          <w:color w:val="000000"/>
          <w:spacing w:val="0"/>
          <w:kern w:val="0"/>
          <w:sz w:val="28"/>
          <w:szCs w:val="28"/>
          <w:lang w:val="en-US" w:eastAsia="zh-CN" w:bidi="ar"/>
        </w:rPr>
      </w:pPr>
      <w:bookmarkStart w:id="770" w:name="_Toc22608"/>
      <w:bookmarkStart w:id="771" w:name="_Toc25433"/>
      <w:r>
        <w:rPr>
          <w:rStyle w:val="38"/>
          <w:rFonts w:hint="eastAsia" w:ascii="微软雅黑" w:hAnsi="微软雅黑" w:eastAsia="微软雅黑" w:cs="微软雅黑"/>
          <w:i w:val="0"/>
          <w:iCs w:val="0"/>
          <w:caps w:val="0"/>
          <w:color w:val="000000"/>
          <w:spacing w:val="0"/>
          <w:kern w:val="0"/>
          <w:sz w:val="28"/>
          <w:szCs w:val="28"/>
          <w:lang w:val="en-US" w:eastAsia="zh-CN" w:bidi="ar"/>
        </w:rPr>
        <w:t>七、对本次采购提出询问，请按以下方式联系</w:t>
      </w:r>
      <w:bookmarkEnd w:id="770"/>
      <w:bookmarkEnd w:id="771"/>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1.采购人信息</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名 称：喀什古城景区管委会</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地 址：喀什古城景区管委会</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联系方式：</w:t>
      </w:r>
      <w:r>
        <w:rPr>
          <w:rFonts w:hint="eastAsia" w:ascii="微软雅黑" w:hAnsi="微软雅黑" w:eastAsia="微软雅黑" w:cs="微软雅黑"/>
          <w:kern w:val="2"/>
          <w:sz w:val="28"/>
          <w:szCs w:val="28"/>
          <w:highlight w:val="none"/>
          <w:lang w:val="en-US" w:eastAsia="zh-CN" w:bidi="ar-SA"/>
        </w:rPr>
        <w:t>17809987324</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2.采购代理机构信息</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名 称：新疆永业鑫达招标有限公司</w:t>
      </w:r>
    </w:p>
    <w:p>
      <w:pPr>
        <w:pStyle w:val="30"/>
        <w:keepNext w:val="0"/>
        <w:keepLines w:val="0"/>
        <w:widowControl/>
        <w:suppressLineNumbers w:val="0"/>
        <w:spacing w:line="240" w:lineRule="auto"/>
        <w:ind w:left="0" w:firstLine="420"/>
        <w:jc w:val="left"/>
        <w:rPr>
          <w:rFonts w:hint="default"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 xml:space="preserve">联系人：杨维 </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联系方式：13890832383</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3.同级监督部门</w:t>
      </w:r>
    </w:p>
    <w:p>
      <w:pPr>
        <w:pStyle w:val="30"/>
        <w:keepNext w:val="0"/>
        <w:keepLines w:val="0"/>
        <w:widowControl/>
        <w:suppressLineNumbers w:val="0"/>
        <w:spacing w:line="240" w:lineRule="auto"/>
        <w:ind w:left="0" w:firstLine="420"/>
        <w:jc w:val="left"/>
        <w:rPr>
          <w:rFonts w:hint="eastAsia" w:ascii="微软雅黑" w:hAnsi="微软雅黑" w:eastAsia="微软雅黑" w:cs="微软雅黑"/>
          <w:kern w:val="2"/>
          <w:sz w:val="28"/>
          <w:szCs w:val="28"/>
          <w:lang w:val="en-US" w:eastAsia="zh-CN" w:bidi="ar-SA"/>
        </w:rPr>
      </w:pPr>
      <w:r>
        <w:rPr>
          <w:rFonts w:hint="eastAsia" w:ascii="微软雅黑" w:hAnsi="微软雅黑" w:eastAsia="微软雅黑" w:cs="微软雅黑"/>
          <w:kern w:val="2"/>
          <w:sz w:val="28"/>
          <w:szCs w:val="28"/>
          <w:lang w:val="en-US" w:eastAsia="zh-CN" w:bidi="ar-SA"/>
        </w:rPr>
        <w:t>单位名称：</w:t>
      </w:r>
      <w:r>
        <w:rPr>
          <w:rFonts w:hint="eastAsia" w:ascii="微软雅黑" w:hAnsi="微软雅黑" w:eastAsia="微软雅黑" w:cs="微软雅黑"/>
          <w:kern w:val="2"/>
          <w:sz w:val="28"/>
          <w:szCs w:val="28"/>
          <w:highlight w:val="none"/>
          <w:lang w:val="en-US" w:eastAsia="zh-CN" w:bidi="ar-SA"/>
        </w:rPr>
        <w:t>喀什市财政局采购办</w:t>
      </w:r>
    </w:p>
    <w:p>
      <w:pPr>
        <w:pageBreakBefore w:val="0"/>
        <w:widowControl w:val="0"/>
        <w:kinsoku/>
        <w:wordWrap/>
        <w:overflowPunct/>
        <w:topLinePunct w:val="0"/>
        <w:bidi w:val="0"/>
        <w:snapToGrid/>
        <w:spacing w:line="240" w:lineRule="auto"/>
        <w:ind w:firstLine="560" w:firstLineChars="200"/>
        <w:textAlignment w:val="auto"/>
        <w:rPr>
          <w:rFonts w:ascii="微软雅黑" w:hAnsi="微软雅黑" w:eastAsia="微软雅黑" w:cs="微软雅黑"/>
          <w:sz w:val="28"/>
          <w:szCs w:val="28"/>
        </w:rPr>
      </w:pPr>
      <w:r>
        <w:rPr>
          <w:rFonts w:hint="eastAsia" w:ascii="微软雅黑" w:hAnsi="微软雅黑" w:eastAsia="微软雅黑" w:cs="微软雅黑"/>
          <w:kern w:val="2"/>
          <w:sz w:val="28"/>
          <w:szCs w:val="28"/>
          <w:lang w:val="en-US" w:eastAsia="zh-CN" w:bidi="ar-SA"/>
        </w:rPr>
        <w:t>联系电话：0998-2823598</w:t>
      </w:r>
      <w:r>
        <w:rPr>
          <w:rFonts w:hint="eastAsia" w:ascii="仿宋_GB2312" w:hAnsi="Times New Roman" w:eastAsia="仿宋_GB2312" w:cs="Times New Roman"/>
          <w:kern w:val="2"/>
          <w:sz w:val="24"/>
          <w:szCs w:val="24"/>
          <w:lang w:val="en-US" w:eastAsia="zh-CN" w:bidi="ar-SA"/>
        </w:rPr>
        <w:br w:type="page"/>
      </w:r>
    </w:p>
    <w:p>
      <w:pPr>
        <w:pStyle w:val="3"/>
        <w:tabs>
          <w:tab w:val="left" w:pos="0"/>
        </w:tabs>
        <w:snapToGrid w:val="0"/>
        <w:spacing w:before="0" w:after="0" w:line="240" w:lineRule="auto"/>
        <w:textAlignment w:val="baseline"/>
        <w:rPr>
          <w:rFonts w:ascii="微软雅黑" w:hAnsi="微软雅黑" w:eastAsia="微软雅黑" w:cs="微软雅黑"/>
          <w:szCs w:val="32"/>
        </w:rPr>
      </w:pPr>
      <w:bookmarkStart w:id="772" w:name="_Toc31675"/>
      <w:r>
        <w:rPr>
          <w:rFonts w:hint="eastAsia" w:ascii="微软雅黑" w:hAnsi="微软雅黑" w:eastAsia="微软雅黑" w:cs="微软雅黑"/>
          <w:szCs w:val="32"/>
        </w:rPr>
        <w:t>第4章  供应商须知资料表</w:t>
      </w:r>
      <w:bookmarkEnd w:id="741"/>
      <w:bookmarkEnd w:id="742"/>
      <w:bookmarkEnd w:id="743"/>
      <w:bookmarkEnd w:id="744"/>
      <w:bookmarkEnd w:id="745"/>
      <w:bookmarkEnd w:id="746"/>
      <w:bookmarkEnd w:id="772"/>
    </w:p>
    <w:p>
      <w:pPr>
        <w:snapToGrid w:val="0"/>
        <w:spacing w:line="240" w:lineRule="atLeast"/>
        <w:ind w:firstLine="360" w:firstLineChars="15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 本表是本采购项目的具体资料，是对供应商须知的具体补充和修改，如有矛盾，应以本资料表为准。</w:t>
      </w:r>
    </w:p>
    <w:tbl>
      <w:tblPr>
        <w:tblStyle w:val="35"/>
        <w:tblW w:w="9510" w:type="dxa"/>
        <w:tblInd w:w="-4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5"/>
        <w:gridCol w:w="81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1395" w:type="dxa"/>
            <w:vAlign w:val="center"/>
          </w:tcPr>
          <w:p>
            <w:pPr>
              <w:snapToGrid w:val="0"/>
              <w:jc w:val="center"/>
              <w:textAlignment w:val="baseline"/>
              <w:rPr>
                <w:rFonts w:ascii="微软雅黑" w:hAnsi="微软雅黑" w:eastAsia="微软雅黑" w:cs="微软雅黑"/>
                <w:sz w:val="24"/>
              </w:rPr>
            </w:pPr>
            <w:r>
              <w:rPr>
                <w:rFonts w:hint="eastAsia" w:ascii="微软雅黑" w:hAnsi="微软雅黑" w:eastAsia="微软雅黑" w:cs="微软雅黑"/>
                <w:sz w:val="24"/>
              </w:rPr>
              <w:t>条款号</w:t>
            </w:r>
          </w:p>
        </w:tc>
        <w:tc>
          <w:tcPr>
            <w:tcW w:w="8115" w:type="dxa"/>
            <w:vAlign w:val="center"/>
          </w:tcPr>
          <w:p>
            <w:pPr>
              <w:snapToGrid w:val="0"/>
              <w:ind w:left="1080" w:leftChars="257" w:hanging="540"/>
              <w:textAlignment w:val="baseline"/>
              <w:rPr>
                <w:rFonts w:ascii="微软雅黑" w:hAnsi="微软雅黑" w:eastAsia="微软雅黑" w:cs="微软雅黑"/>
                <w:b/>
                <w:sz w:val="24"/>
              </w:rPr>
            </w:pPr>
            <w:r>
              <w:rPr>
                <w:rFonts w:hint="eastAsia" w:ascii="微软雅黑" w:hAnsi="微软雅黑" w:eastAsia="微软雅黑" w:cs="微软雅黑"/>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6"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1.1</w:t>
            </w:r>
          </w:p>
        </w:tc>
        <w:tc>
          <w:tcPr>
            <w:tcW w:w="8115" w:type="dxa"/>
            <w:vAlign w:val="center"/>
          </w:tcPr>
          <w:p>
            <w:pPr>
              <w:pStyle w:val="30"/>
              <w:widowControl/>
              <w:snapToGrid w:val="0"/>
              <w:spacing w:before="0" w:after="0"/>
              <w:textAlignment w:val="baseline"/>
              <w:rPr>
                <w:rFonts w:hint="eastAsia" w:ascii="微软雅黑" w:hAnsi="微软雅黑" w:eastAsia="微软雅黑" w:cs="微软雅黑"/>
                <w:lang w:eastAsia="zh-CN"/>
              </w:rPr>
            </w:pPr>
            <w:r>
              <w:rPr>
                <w:rFonts w:hint="eastAsia" w:ascii="微软雅黑" w:hAnsi="微软雅黑" w:eastAsia="微软雅黑" w:cs="微软雅黑"/>
              </w:rPr>
              <w:t>采购人：</w:t>
            </w:r>
            <w:r>
              <w:rPr>
                <w:rFonts w:hint="eastAsia" w:ascii="微软雅黑" w:hAnsi="微软雅黑" w:eastAsia="微软雅黑" w:cs="微软雅黑"/>
                <w:lang w:eastAsia="zh-CN"/>
              </w:rPr>
              <w:t>喀什古城景区管委会</w:t>
            </w:r>
          </w:p>
          <w:p>
            <w:pPr>
              <w:pStyle w:val="30"/>
              <w:widowControl/>
              <w:snapToGrid w:val="0"/>
              <w:spacing w:before="0" w:after="0"/>
              <w:textAlignment w:val="baseline"/>
              <w:rPr>
                <w:rFonts w:hint="eastAsia" w:ascii="微软雅黑" w:hAnsi="微软雅黑" w:eastAsia="微软雅黑" w:cs="微软雅黑"/>
              </w:rPr>
            </w:pPr>
            <w:r>
              <w:rPr>
                <w:rFonts w:hint="eastAsia" w:ascii="微软雅黑" w:hAnsi="微软雅黑" w:eastAsia="微软雅黑" w:cs="微软雅黑"/>
              </w:rPr>
              <w:t>地  址：</w:t>
            </w:r>
            <w:r>
              <w:rPr>
                <w:rFonts w:hint="eastAsia" w:ascii="微软雅黑" w:hAnsi="微软雅黑" w:eastAsia="微软雅黑" w:cs="微软雅黑"/>
                <w:lang w:eastAsia="zh-CN"/>
              </w:rPr>
              <w:t>喀什古城景区管委会</w:t>
            </w:r>
          </w:p>
          <w:p>
            <w:pPr>
              <w:pStyle w:val="30"/>
              <w:widowControl/>
              <w:snapToGrid w:val="0"/>
              <w:spacing w:before="0" w:after="0"/>
              <w:textAlignment w:val="baseline"/>
              <w:rPr>
                <w:rFonts w:ascii="微软雅黑" w:hAnsi="微软雅黑" w:eastAsia="微软雅黑" w:cs="微软雅黑"/>
              </w:rPr>
            </w:pPr>
            <w:r>
              <w:rPr>
                <w:rFonts w:hint="eastAsia" w:ascii="微软雅黑" w:hAnsi="微软雅黑" w:eastAsia="微软雅黑" w:cs="微软雅黑"/>
              </w:rPr>
              <w:t>电</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话：</w:t>
            </w:r>
            <w:r>
              <w:rPr>
                <w:rFonts w:hint="eastAsia" w:ascii="微软雅黑" w:hAnsi="微软雅黑" w:eastAsia="微软雅黑" w:cs="微软雅黑"/>
                <w:lang w:val="en-US" w:eastAsia="zh-CN"/>
              </w:rPr>
              <w:t>17809987324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1.2</w:t>
            </w:r>
          </w:p>
        </w:tc>
        <w:tc>
          <w:tcPr>
            <w:tcW w:w="8115" w:type="dxa"/>
            <w:vAlign w:val="center"/>
          </w:tcPr>
          <w:p>
            <w:pPr>
              <w:widowControl/>
              <w:snapToGrid w:val="0"/>
              <w:jc w:val="left"/>
              <w:textAlignment w:val="baseline"/>
              <w:rPr>
                <w:rFonts w:hint="eastAsia" w:ascii="微软雅黑" w:hAnsi="微软雅黑" w:eastAsia="微软雅黑" w:cs="微软雅黑"/>
                <w:sz w:val="24"/>
              </w:rPr>
            </w:pPr>
            <w:r>
              <w:rPr>
                <w:rFonts w:hint="eastAsia" w:ascii="微软雅黑" w:hAnsi="微软雅黑" w:eastAsia="微软雅黑" w:cs="微软雅黑"/>
                <w:sz w:val="24"/>
              </w:rPr>
              <w:t>采购代理机构：</w:t>
            </w:r>
            <w:r>
              <w:rPr>
                <w:rFonts w:hint="eastAsia" w:ascii="微软雅黑" w:hAnsi="微软雅黑" w:eastAsia="微软雅黑" w:cs="微软雅黑"/>
                <w:sz w:val="24"/>
                <w:lang w:val="en-US" w:eastAsia="zh-CN"/>
              </w:rPr>
              <w:t>新疆永业鑫达招标有限公司</w:t>
            </w:r>
          </w:p>
          <w:p>
            <w:pPr>
              <w:widowControl/>
              <w:snapToGrid w:val="0"/>
              <w:jc w:val="left"/>
              <w:textAlignment w:val="baseline"/>
              <w:rPr>
                <w:rFonts w:ascii="微软雅黑" w:hAnsi="微软雅黑" w:eastAsia="微软雅黑" w:cs="微软雅黑"/>
                <w:sz w:val="24"/>
              </w:rPr>
            </w:pPr>
            <w:r>
              <w:rPr>
                <w:rFonts w:hint="eastAsia" w:ascii="微软雅黑" w:hAnsi="微软雅黑" w:eastAsia="微软雅黑" w:cs="微软雅黑"/>
                <w:sz w:val="24"/>
              </w:rPr>
              <w:t>联</w:t>
            </w:r>
            <w:r>
              <w:rPr>
                <w:rFonts w:hint="eastAsia" w:ascii="微软雅黑" w:hAnsi="微软雅黑" w:eastAsia="微软雅黑" w:cs="微软雅黑"/>
                <w:sz w:val="24"/>
                <w:lang w:val="en-US" w:eastAsia="zh-CN"/>
              </w:rPr>
              <w:t xml:space="preserve">   </w:t>
            </w:r>
            <w:r>
              <w:rPr>
                <w:rFonts w:hint="eastAsia" w:ascii="微软雅黑" w:hAnsi="微软雅黑" w:eastAsia="微软雅黑" w:cs="微软雅黑"/>
                <w:sz w:val="24"/>
              </w:rPr>
              <w:t>系</w:t>
            </w:r>
            <w:r>
              <w:rPr>
                <w:rFonts w:hint="eastAsia" w:ascii="微软雅黑" w:hAnsi="微软雅黑" w:eastAsia="微软雅黑" w:cs="微软雅黑"/>
                <w:sz w:val="24"/>
                <w:lang w:val="en-US" w:eastAsia="zh-CN"/>
              </w:rPr>
              <w:t xml:space="preserve">   </w:t>
            </w:r>
            <w:r>
              <w:rPr>
                <w:rFonts w:hint="eastAsia" w:ascii="微软雅黑" w:hAnsi="微软雅黑" w:eastAsia="微软雅黑" w:cs="微软雅黑"/>
                <w:sz w:val="24"/>
              </w:rPr>
              <w:t>人：</w:t>
            </w:r>
            <w:r>
              <w:rPr>
                <w:rFonts w:hint="eastAsia" w:ascii="微软雅黑" w:hAnsi="微软雅黑" w:eastAsia="微软雅黑" w:cs="微软雅黑"/>
                <w:sz w:val="24"/>
                <w:lang w:val="en-US" w:eastAsia="zh-CN"/>
              </w:rPr>
              <w:t>杨维</w:t>
            </w:r>
            <w:r>
              <w:rPr>
                <w:rFonts w:hint="eastAsia" w:ascii="微软雅黑" w:hAnsi="微软雅黑" w:eastAsia="微软雅黑" w:cs="微软雅黑"/>
                <w:sz w:val="24"/>
              </w:rPr>
              <w:t xml:space="preserve"> </w:t>
            </w:r>
            <w:r>
              <w:rPr>
                <w:rFonts w:hint="eastAsia" w:ascii="微软雅黑" w:hAnsi="微软雅黑" w:eastAsia="微软雅黑" w:cs="微软雅黑"/>
                <w:sz w:val="24"/>
                <w:lang w:val="en-US" w:eastAsia="zh-CN"/>
              </w:rPr>
              <w:t xml:space="preserve"> </w:t>
            </w:r>
            <w:r>
              <w:rPr>
                <w:rFonts w:hint="eastAsia" w:ascii="微软雅黑" w:hAnsi="微软雅黑" w:eastAsia="微软雅黑" w:cs="微软雅黑"/>
                <w:sz w:val="24"/>
              </w:rPr>
              <w:t>电</w:t>
            </w:r>
            <w:r>
              <w:rPr>
                <w:rFonts w:hint="eastAsia" w:ascii="微软雅黑" w:hAnsi="微软雅黑" w:eastAsia="微软雅黑" w:cs="微软雅黑"/>
                <w:sz w:val="24"/>
                <w:lang w:val="en-US" w:eastAsia="zh-CN"/>
              </w:rPr>
              <w:t xml:space="preserve">    </w:t>
            </w:r>
            <w:r>
              <w:rPr>
                <w:rFonts w:hint="eastAsia" w:ascii="微软雅黑" w:hAnsi="微软雅黑" w:eastAsia="微软雅黑" w:cs="微软雅黑"/>
                <w:sz w:val="24"/>
              </w:rPr>
              <w:t>话：</w:t>
            </w:r>
            <w:r>
              <w:rPr>
                <w:rFonts w:hint="eastAsia" w:ascii="微软雅黑" w:hAnsi="微软雅黑" w:eastAsia="微软雅黑" w:cs="微软雅黑"/>
                <w:sz w:val="24"/>
                <w:lang w:val="en-US" w:eastAsia="zh-CN"/>
              </w:rPr>
              <w:t>13890832383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24"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1.3.4</w:t>
            </w:r>
          </w:p>
        </w:tc>
        <w:tc>
          <w:tcPr>
            <w:tcW w:w="8115" w:type="dxa"/>
            <w:vAlign w:val="center"/>
          </w:tcPr>
          <w:p>
            <w:pPr>
              <w:snapToGrid w:val="0"/>
              <w:textAlignment w:val="baseline"/>
              <w:rPr>
                <w:rFonts w:ascii="微软雅黑" w:hAnsi="微软雅黑" w:eastAsia="微软雅黑" w:cs="微软雅黑"/>
                <w:b/>
                <w:bCs/>
                <w:sz w:val="24"/>
                <w:szCs w:val="24"/>
              </w:rPr>
            </w:pPr>
            <w:r>
              <w:rPr>
                <w:rFonts w:hint="eastAsia" w:ascii="微软雅黑" w:hAnsi="微软雅黑" w:eastAsia="微软雅黑" w:cs="微软雅黑"/>
                <w:b/>
                <w:bCs/>
                <w:sz w:val="24"/>
                <w:szCs w:val="24"/>
              </w:rPr>
              <w:t>合格供应商的其他资格要求：（开标现场需携带以下资格证明材料）</w:t>
            </w:r>
          </w:p>
          <w:p>
            <w:pPr>
              <w:pStyle w:val="6"/>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提供查询记录并加盖公章）；</w:t>
            </w:r>
          </w:p>
          <w:p>
            <w:pPr>
              <w:pStyle w:val="6"/>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2.提供有效的营业执照；</w:t>
            </w:r>
          </w:p>
          <w:p>
            <w:pPr>
              <w:pStyle w:val="6"/>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3.法人本人投标的提供法人身份证明及身份证，被授权委托人投标提供法人授权委托书及身份证；</w:t>
            </w:r>
          </w:p>
          <w:p>
            <w:pPr>
              <w:pStyle w:val="6"/>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4.投标单位提供本单位依法缴纳近三个月的社保证明；</w:t>
            </w:r>
          </w:p>
          <w:p>
            <w:pPr>
              <w:pStyle w:val="6"/>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5.提供税务部门出具近三个月的完税证明；</w:t>
            </w:r>
          </w:p>
          <w:p>
            <w:pPr>
              <w:pStyle w:val="6"/>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6.提供2021年度的财务审计报告（新成立公司需提供银行资信证明）；</w:t>
            </w:r>
          </w:p>
          <w:p>
            <w:pPr>
              <w:pStyle w:val="6"/>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7.参加政府采购活动前3年内在经营活动中没有重大违法记录的书面声明；</w:t>
            </w:r>
          </w:p>
          <w:p>
            <w:pPr>
              <w:pStyle w:val="6"/>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8.提供针对本次项目的反商业贿赂承诺书。 </w:t>
            </w:r>
          </w:p>
          <w:p>
            <w:pPr>
              <w:pStyle w:val="6"/>
              <w:numPr>
                <w:ilvl w:val="0"/>
                <w:numId w:val="0"/>
              </w:numPr>
              <w:rPr>
                <w:rFonts w:hint="eastAsia" w:ascii="微软雅黑" w:hAnsi="微软雅黑" w:eastAsia="微软雅黑" w:cs="微软雅黑"/>
                <w:b/>
                <w:bCs/>
                <w:kern w:val="2"/>
                <w:sz w:val="24"/>
                <w:szCs w:val="24"/>
                <w:lang w:val="en-US" w:eastAsia="zh-CN" w:bidi="ar-SA"/>
              </w:rPr>
            </w:pPr>
            <w:r>
              <w:rPr>
                <w:rFonts w:hint="eastAsia" w:ascii="微软雅黑" w:hAnsi="微软雅黑" w:eastAsia="微软雅黑" w:cs="微软雅黑"/>
                <w:b/>
                <w:bCs/>
                <w:kern w:val="2"/>
                <w:sz w:val="24"/>
                <w:szCs w:val="24"/>
                <w:lang w:val="en-US" w:eastAsia="zh-CN" w:bidi="ar-SA"/>
              </w:rPr>
              <w:t>9.提供缴纳磋商保证金的有效凭证。</w:t>
            </w:r>
          </w:p>
          <w:p>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color w:val="auto"/>
                <w:kern w:val="2"/>
                <w:sz w:val="24"/>
                <w:szCs w:val="24"/>
                <w:lang w:val="en-US" w:eastAsia="zh-CN" w:bidi="ar-SA"/>
              </w:rPr>
              <w:t>注：上述资质开标现场能够通过官方网络查证的，均视为合格供应商。在资格审查过程中，潜在投标企业提供的资质材料不全的，可打开投标书正本进行进一步核实，符合条件的均为合格供应商。</w:t>
            </w:r>
          </w:p>
          <w:p>
            <w:pPr>
              <w:numPr>
                <w:ilvl w:val="0"/>
                <w:numId w:val="0"/>
              </w:numPr>
              <w:snapToGrid w:val="0"/>
              <w:spacing w:line="380" w:lineRule="exact"/>
              <w:ind w:leftChars="-306"/>
              <w:textAlignment w:val="baseline"/>
              <w:rPr>
                <w:rFonts w:ascii="微软雅黑" w:hAnsi="微软雅黑" w:eastAsia="微软雅黑" w:cs="微软雅黑"/>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 xml:space="preserve">1.3.5   </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是否允许采购进口产品：</w:t>
            </w:r>
            <w:r>
              <w:rPr>
                <w:rFonts w:hint="eastAsia" w:ascii="微软雅黑" w:hAnsi="微软雅黑" w:eastAsia="微软雅黑" w:cs="微软雅黑"/>
                <w:sz w:val="24"/>
                <w:u w:val="single" w:color="000000"/>
              </w:rPr>
              <w:t xml:space="preserve">  否  </w:t>
            </w:r>
            <w:r>
              <w:rPr>
                <w:rFonts w:hint="eastAsia" w:ascii="微软雅黑" w:hAnsi="微软雅黑" w:eastAsia="微软雅黑" w:cs="微软雅黑"/>
                <w:i/>
                <w:iCs/>
                <w:sz w:val="24"/>
                <w:u w:val="none" w:color="auto"/>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1.3.6</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是否为专门面向中小企业采购：</w:t>
            </w:r>
            <w:r>
              <w:rPr>
                <w:rFonts w:hint="eastAsia" w:ascii="微软雅黑" w:hAnsi="微软雅黑" w:eastAsia="微软雅黑" w:cs="微软雅黑"/>
                <w:sz w:val="24"/>
                <w:u w:val="single" w:color="000000"/>
              </w:rPr>
              <w:t xml:space="preserve"> </w:t>
            </w:r>
            <w:r>
              <w:rPr>
                <w:rFonts w:hint="eastAsia" w:ascii="微软雅黑" w:hAnsi="微软雅黑" w:eastAsia="微软雅黑" w:cs="微软雅黑"/>
                <w:sz w:val="24"/>
                <w:u w:val="single" w:color="000000"/>
                <w:lang w:eastAsia="zh-CN"/>
              </w:rPr>
              <w:t>是</w:t>
            </w:r>
            <w:r>
              <w:rPr>
                <w:rFonts w:hint="eastAsia" w:ascii="微软雅黑" w:hAnsi="微软雅黑" w:eastAsia="微软雅黑" w:cs="微软雅黑"/>
                <w:sz w:val="24"/>
                <w:u w:val="single" w:color="000000"/>
                <w:lang w:val="en-US" w:eastAsia="zh-CN"/>
              </w:rPr>
              <w:t xml:space="preserve"> </w:t>
            </w:r>
            <w:r>
              <w:rPr>
                <w:rFonts w:hint="eastAsia" w:ascii="微软雅黑" w:hAnsi="微软雅黑" w:eastAsia="微软雅黑" w:cs="微软雅黑"/>
                <w:i/>
                <w:iCs/>
                <w:sz w:val="24"/>
                <w:u w:val="none" w:color="auto"/>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1.4</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是否允许联合体磋商：</w:t>
            </w:r>
            <w:r>
              <w:rPr>
                <w:rFonts w:hint="eastAsia" w:ascii="微软雅黑" w:hAnsi="微软雅黑" w:eastAsia="微软雅黑" w:cs="微软雅黑"/>
                <w:sz w:val="24"/>
                <w:u w:val="single" w:color="000000"/>
              </w:rPr>
              <w:t xml:space="preserve">   否   </w:t>
            </w:r>
            <w:r>
              <w:rPr>
                <w:rFonts w:hint="eastAsia" w:ascii="微软雅黑" w:hAnsi="微软雅黑" w:eastAsia="微软雅黑" w:cs="微软雅黑"/>
                <w:i/>
                <w:iCs/>
                <w:sz w:val="24"/>
                <w:u w:val="none" w:color="auto"/>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1.4.8</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2.2</w:t>
            </w:r>
          </w:p>
        </w:tc>
        <w:tc>
          <w:tcPr>
            <w:tcW w:w="8115" w:type="dxa"/>
            <w:vAlign w:val="center"/>
          </w:tcPr>
          <w:p>
            <w:pPr>
              <w:pStyle w:val="6"/>
              <w:snapToGrid w:val="0"/>
              <w:ind w:firstLine="0"/>
              <w:textAlignment w:val="baseline"/>
              <w:rPr>
                <w:rFonts w:ascii="微软雅黑" w:hAnsi="微软雅黑" w:eastAsia="微软雅黑" w:cs="微软雅黑"/>
                <w:szCs w:val="24"/>
              </w:rPr>
            </w:pPr>
            <w:r>
              <w:rPr>
                <w:rFonts w:hint="eastAsia" w:ascii="微软雅黑" w:hAnsi="微软雅黑" w:eastAsia="微软雅黑" w:cs="微软雅黑"/>
                <w:b/>
                <w:bCs/>
                <w:szCs w:val="24"/>
              </w:rPr>
              <w:t>项目</w:t>
            </w:r>
            <w:r>
              <w:rPr>
                <w:rFonts w:hint="eastAsia" w:ascii="微软雅黑" w:hAnsi="微软雅黑" w:eastAsia="微软雅黑" w:cs="微软雅黑"/>
                <w:b/>
                <w:bCs/>
                <w:szCs w:val="24"/>
                <w:lang w:eastAsia="zh-CN"/>
              </w:rPr>
              <w:t>总</w:t>
            </w:r>
            <w:r>
              <w:rPr>
                <w:rFonts w:hint="eastAsia" w:ascii="微软雅黑" w:hAnsi="微软雅黑" w:eastAsia="微软雅黑" w:cs="微软雅黑"/>
                <w:b/>
                <w:bCs/>
                <w:szCs w:val="24"/>
              </w:rPr>
              <w:t>预算金额：</w:t>
            </w:r>
            <w:r>
              <w:rPr>
                <w:rFonts w:hint="eastAsia" w:ascii="微软雅黑" w:hAnsi="微软雅黑" w:eastAsia="微软雅黑" w:cs="微软雅黑"/>
                <w:b/>
                <w:bCs/>
                <w:szCs w:val="24"/>
                <w:lang w:val="en-US" w:eastAsia="zh-CN"/>
              </w:rPr>
              <w:t xml:space="preserve"> 1255500 </w:t>
            </w:r>
            <w:r>
              <w:rPr>
                <w:rFonts w:hint="eastAsia" w:ascii="微软雅黑" w:hAnsi="微软雅黑" w:eastAsia="微软雅黑" w:cs="微软雅黑"/>
                <w:b/>
                <w:bCs/>
                <w:szCs w:val="24"/>
              </w:rPr>
              <w:t>元；本</w:t>
            </w:r>
            <w:r>
              <w:rPr>
                <w:rFonts w:hint="eastAsia" w:ascii="微软雅黑" w:hAnsi="微软雅黑" w:eastAsia="微软雅黑" w:cs="微软雅黑"/>
                <w:b/>
                <w:bCs/>
                <w:szCs w:val="24"/>
                <w:lang w:eastAsia="zh-CN"/>
              </w:rPr>
              <w:t>项目</w:t>
            </w:r>
            <w:r>
              <w:rPr>
                <w:rFonts w:hint="eastAsia" w:ascii="微软雅黑" w:hAnsi="微软雅黑" w:eastAsia="微软雅黑" w:cs="微软雅黑"/>
                <w:b/>
                <w:bCs/>
                <w:szCs w:val="24"/>
              </w:rPr>
              <w:t>最高限价</w:t>
            </w:r>
            <w:r>
              <w:rPr>
                <w:rFonts w:hint="eastAsia" w:ascii="微软雅黑" w:hAnsi="微软雅黑" w:eastAsia="微软雅黑" w:cs="微软雅黑"/>
                <w:b/>
                <w:bCs/>
                <w:szCs w:val="24"/>
                <w:lang w:eastAsia="zh-CN"/>
              </w:rPr>
              <w:t>：</w:t>
            </w:r>
            <w:r>
              <w:rPr>
                <w:rFonts w:hint="eastAsia" w:ascii="微软雅黑" w:hAnsi="微软雅黑" w:eastAsia="微软雅黑" w:cs="微软雅黑"/>
                <w:b/>
                <w:bCs/>
                <w:szCs w:val="24"/>
                <w:lang w:val="en-US" w:eastAsia="zh-CN"/>
              </w:rPr>
              <w:t>1255500</w:t>
            </w:r>
            <w:r>
              <w:rPr>
                <w:rFonts w:hint="eastAsia" w:ascii="微软雅黑" w:hAnsi="微软雅黑" w:eastAsia="微软雅黑" w:cs="微软雅黑"/>
                <w:b/>
                <w:bCs/>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12.1</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磋商保证金形式：</w:t>
            </w:r>
            <w:r>
              <w:rPr>
                <w:rFonts w:hint="eastAsia" w:ascii="微软雅黑" w:hAnsi="微软雅黑" w:eastAsia="微软雅黑" w:cs="微软雅黑"/>
                <w:sz w:val="24"/>
                <w:lang w:eastAsia="zh-CN"/>
              </w:rPr>
              <w:t>☑</w:t>
            </w:r>
            <w:r>
              <w:rPr>
                <w:rFonts w:hint="eastAsia" w:ascii="微软雅黑" w:hAnsi="微软雅黑" w:eastAsia="微软雅黑" w:cs="微软雅黑"/>
                <w:sz w:val="24"/>
              </w:rPr>
              <w:t xml:space="preserve">保函  ☑电汇  □支票   ☑对公转账   </w:t>
            </w:r>
          </w:p>
          <w:p>
            <w:pPr>
              <w:snapToGrid w:val="0"/>
              <w:textAlignment w:val="baseline"/>
              <w:rPr>
                <w:rFonts w:ascii="微软雅黑" w:hAnsi="微软雅黑" w:eastAsia="微软雅黑" w:cs="微软雅黑"/>
                <w:sz w:val="20"/>
              </w:rPr>
            </w:pPr>
            <w:r>
              <w:rPr>
                <w:rFonts w:hint="eastAsia" w:ascii="微软雅黑" w:hAnsi="微软雅黑" w:eastAsia="微软雅黑" w:cs="微软雅黑"/>
                <w:sz w:val="24"/>
              </w:rPr>
              <w:t>磋商保证金金额：</w:t>
            </w:r>
            <w:r>
              <w:rPr>
                <w:rFonts w:hint="eastAsia" w:ascii="微软雅黑" w:hAnsi="微软雅黑" w:eastAsia="微软雅黑" w:cs="微软雅黑"/>
                <w:b/>
                <w:bCs/>
                <w:sz w:val="24"/>
              </w:rPr>
              <w:t>小写：</w:t>
            </w:r>
            <w:r>
              <w:rPr>
                <w:rFonts w:hint="eastAsia" w:ascii="微软雅黑" w:hAnsi="微软雅黑" w:eastAsia="微软雅黑" w:cs="微软雅黑"/>
                <w:b/>
                <w:bCs/>
                <w:sz w:val="24"/>
                <w:lang w:val="en-US" w:eastAsia="zh-CN"/>
              </w:rPr>
              <w:t>25000</w:t>
            </w:r>
            <w:r>
              <w:rPr>
                <w:rFonts w:hint="eastAsia" w:ascii="微软雅黑" w:hAnsi="微软雅黑" w:eastAsia="微软雅黑" w:cs="微软雅黑"/>
                <w:b/>
                <w:bCs/>
                <w:sz w:val="24"/>
              </w:rPr>
              <w:t>元(大写：人民币</w:t>
            </w:r>
            <w:r>
              <w:rPr>
                <w:rFonts w:hint="eastAsia" w:ascii="微软雅黑" w:hAnsi="微软雅黑" w:eastAsia="微软雅黑" w:cs="微软雅黑"/>
                <w:b/>
                <w:bCs/>
                <w:sz w:val="24"/>
                <w:lang w:eastAsia="zh-CN"/>
              </w:rPr>
              <w:t>贰</w:t>
            </w:r>
            <w:r>
              <w:rPr>
                <w:rFonts w:hint="eastAsia" w:ascii="微软雅黑" w:hAnsi="微软雅黑" w:eastAsia="微软雅黑" w:cs="微软雅黑"/>
                <w:b/>
                <w:bCs/>
                <w:sz w:val="24"/>
                <w:lang w:val="en-US" w:eastAsia="zh-CN"/>
              </w:rPr>
              <w:t>万伍仟元整</w:t>
            </w:r>
            <w:r>
              <w:rPr>
                <w:rFonts w:hint="eastAsia" w:ascii="微软雅黑" w:hAnsi="微软雅黑" w:eastAsia="微软雅黑" w:cs="微软雅黑"/>
                <w:b/>
                <w:bCs/>
                <w:sz w:val="24"/>
              </w:rPr>
              <w:t>）</w:t>
            </w:r>
          </w:p>
          <w:p>
            <w:pPr>
              <w:snapToGrid w:val="0"/>
              <w:textAlignment w:val="baseline"/>
              <w:rPr>
                <w:rFonts w:ascii="微软雅黑" w:hAnsi="微软雅黑" w:eastAsia="微软雅黑" w:cs="微软雅黑"/>
                <w:b/>
                <w:i w:val="0"/>
                <w:iCs/>
                <w:sz w:val="24"/>
              </w:rPr>
            </w:pPr>
            <w:r>
              <w:rPr>
                <w:rFonts w:hint="eastAsia" w:ascii="微软雅黑" w:hAnsi="微软雅黑" w:eastAsia="微软雅黑" w:cs="微软雅黑"/>
                <w:i w:val="0"/>
                <w:iCs/>
                <w:sz w:val="24"/>
              </w:rPr>
              <w:t>（按照各分包控制金额2%以内的整数计算）</w:t>
            </w:r>
          </w:p>
          <w:p>
            <w:pPr>
              <w:snapToGrid w:val="0"/>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单位名称：</w:t>
            </w:r>
            <w:r>
              <w:rPr>
                <w:rFonts w:hint="eastAsia" w:ascii="微软雅黑" w:hAnsi="微软雅黑" w:eastAsia="微软雅黑" w:cs="微软雅黑"/>
                <w:b/>
                <w:bCs/>
                <w:sz w:val="24"/>
                <w:lang w:eastAsia="zh-CN"/>
              </w:rPr>
              <w:t>新疆永业鑫达招标有限公司</w:t>
            </w:r>
          </w:p>
          <w:p>
            <w:pPr>
              <w:snapToGrid w:val="0"/>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开 户 行：中国银行股份有限公司库尔勒市石化大道支行</w:t>
            </w:r>
          </w:p>
          <w:p>
            <w:pPr>
              <w:snapToGrid w:val="0"/>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账    号：107677536350</w:t>
            </w:r>
          </w:p>
          <w:p>
            <w:pPr>
              <w:snapToGrid w:val="0"/>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联 系 人：</w:t>
            </w:r>
            <w:r>
              <w:rPr>
                <w:rFonts w:hint="eastAsia" w:ascii="微软雅黑" w:hAnsi="微软雅黑" w:eastAsia="微软雅黑" w:cs="微软雅黑"/>
                <w:b/>
                <w:bCs/>
                <w:sz w:val="24"/>
                <w:lang w:val="en-US" w:eastAsia="zh-CN"/>
              </w:rPr>
              <w:t xml:space="preserve">杨维  </w:t>
            </w:r>
            <w:r>
              <w:rPr>
                <w:rFonts w:hint="eastAsia" w:ascii="微软雅黑" w:hAnsi="微软雅黑" w:eastAsia="微软雅黑" w:cs="微软雅黑"/>
                <w:b/>
                <w:bCs/>
                <w:sz w:val="24"/>
              </w:rPr>
              <w:t xml:space="preserve">  </w:t>
            </w:r>
          </w:p>
          <w:p>
            <w:pPr>
              <w:snapToGrid w:val="0"/>
              <w:textAlignment w:val="baseline"/>
              <w:rPr>
                <w:rFonts w:hint="default" w:ascii="微软雅黑" w:hAnsi="微软雅黑" w:eastAsia="微软雅黑" w:cs="微软雅黑"/>
                <w:b/>
                <w:bCs/>
                <w:sz w:val="24"/>
                <w:lang w:val="en-US" w:eastAsia="zh-CN"/>
              </w:rPr>
            </w:pPr>
            <w:r>
              <w:rPr>
                <w:rFonts w:hint="eastAsia" w:ascii="微软雅黑" w:hAnsi="微软雅黑" w:eastAsia="微软雅黑" w:cs="微软雅黑"/>
                <w:b/>
                <w:bCs/>
                <w:sz w:val="24"/>
              </w:rPr>
              <w:t>联系电话：</w:t>
            </w:r>
            <w:r>
              <w:rPr>
                <w:rFonts w:hint="eastAsia" w:ascii="微软雅黑" w:hAnsi="微软雅黑" w:eastAsia="微软雅黑" w:cs="微软雅黑"/>
                <w:b/>
                <w:bCs/>
                <w:sz w:val="24"/>
                <w:lang w:val="en-US" w:eastAsia="zh-CN"/>
              </w:rPr>
              <w:t>13890832383</w:t>
            </w:r>
          </w:p>
          <w:p>
            <w:pPr>
              <w:snapToGrid w:val="0"/>
              <w:textAlignment w:val="baseline"/>
              <w:rPr>
                <w:rFonts w:hint="eastAsia" w:ascii="微软雅黑" w:hAnsi="微软雅黑" w:eastAsia="微软雅黑" w:cs="微软雅黑"/>
                <w:sz w:val="24"/>
              </w:rPr>
            </w:pPr>
            <w:r>
              <w:rPr>
                <w:rFonts w:hint="eastAsia" w:ascii="微软雅黑" w:hAnsi="微软雅黑" w:eastAsia="微软雅黑" w:cs="微软雅黑"/>
                <w:b/>
                <w:bCs/>
                <w:sz w:val="24"/>
                <w:lang w:eastAsia="zh-CN"/>
              </w:rPr>
              <w:t>保证金缴纳要求</w:t>
            </w:r>
            <w:r>
              <w:rPr>
                <w:rFonts w:hint="eastAsia" w:ascii="微软雅黑" w:hAnsi="微软雅黑" w:eastAsia="微软雅黑" w:cs="微软雅黑"/>
                <w:b/>
                <w:bCs/>
                <w:sz w:val="24"/>
              </w:rPr>
              <w:t>：</w:t>
            </w:r>
            <w:r>
              <w:rPr>
                <w:rFonts w:hint="eastAsia" w:ascii="微软雅黑" w:hAnsi="微软雅黑" w:eastAsia="微软雅黑" w:cs="微软雅黑"/>
                <w:sz w:val="24"/>
                <w:lang w:val="en-US" w:eastAsia="zh-CN"/>
              </w:rPr>
              <w:t>保证金须在开标前从投标供应商的基本账户一次性汇入指定账户，不接受现金、支票及任何个人、分公司汇款。若没有在规定时间内汇入指定账户，视为自动放弃本项目投标。</w:t>
            </w:r>
            <w:r>
              <w:rPr>
                <w:rFonts w:hint="eastAsia" w:ascii="微软雅黑" w:hAnsi="微软雅黑" w:eastAsia="微软雅黑" w:cs="微软雅黑"/>
                <w:sz w:val="24"/>
              </w:rPr>
              <w:t>打款时注明</w:t>
            </w:r>
            <w:r>
              <w:rPr>
                <w:rFonts w:hint="eastAsia" w:ascii="微软雅黑" w:hAnsi="微软雅黑" w:eastAsia="微软雅黑" w:cs="微软雅黑"/>
                <w:sz w:val="24"/>
                <w:lang w:eastAsia="zh-CN"/>
              </w:rPr>
              <w:t>投标</w:t>
            </w:r>
            <w:r>
              <w:rPr>
                <w:rFonts w:hint="eastAsia" w:ascii="微软雅黑" w:hAnsi="微软雅黑" w:eastAsia="微软雅黑" w:cs="微软雅黑"/>
                <w:sz w:val="24"/>
              </w:rPr>
              <w:t>保证金项目名称</w:t>
            </w:r>
            <w:r>
              <w:rPr>
                <w:rFonts w:hint="eastAsia" w:ascii="微软雅黑" w:hAnsi="微软雅黑" w:eastAsia="微软雅黑" w:cs="微软雅黑"/>
                <w:sz w:val="24"/>
                <w:lang w:eastAsia="zh-CN"/>
              </w:rPr>
              <w:t>，项目编号</w:t>
            </w:r>
            <w:r>
              <w:rPr>
                <w:rFonts w:hint="eastAsia" w:ascii="微软雅黑" w:hAnsi="微软雅黑" w:eastAsia="微软雅黑" w:cs="微软雅黑"/>
                <w:sz w:val="24"/>
              </w:rPr>
              <w:t>。投标人未按本条规定提交投标保证金的，其投标将被认定为投标无效。</w:t>
            </w:r>
          </w:p>
          <w:p>
            <w:pPr>
              <w:snapToGrid w:val="0"/>
              <w:textAlignment w:val="baseline"/>
              <w:rPr>
                <w:rFonts w:ascii="微软雅黑" w:hAnsi="微软雅黑" w:eastAsia="微软雅黑" w:cs="微软雅黑"/>
                <w:sz w:val="24"/>
              </w:rPr>
            </w:pPr>
            <w:r>
              <w:rPr>
                <w:rFonts w:hint="eastAsia" w:ascii="微软雅黑" w:hAnsi="微软雅黑" w:eastAsia="微软雅黑" w:cs="微软雅黑"/>
                <w:b/>
                <w:bCs/>
                <w:sz w:val="24"/>
              </w:rPr>
              <w:t>投标保证金的退还：</w:t>
            </w:r>
            <w:r>
              <w:rPr>
                <w:rFonts w:hint="eastAsia" w:ascii="微软雅黑" w:hAnsi="微软雅黑" w:eastAsia="微软雅黑" w:cs="微软雅黑"/>
                <w:sz w:val="24"/>
              </w:rPr>
              <w:t>中标通知书发出之日起5个工作日内退还未中标人的投标保证金，中标单位投标保证金在与采购单位签订合同后，把合同扫描件和投标保证金银行转账回执单发到接收</w:t>
            </w:r>
            <w:r>
              <w:rPr>
                <w:rFonts w:hint="eastAsia" w:ascii="微软雅黑" w:hAnsi="微软雅黑" w:eastAsia="微软雅黑" w:cs="微软雅黑"/>
                <w:sz w:val="24"/>
                <w:lang w:eastAsia="zh-CN"/>
              </w:rPr>
              <w:t>竞争性磋商文件</w:t>
            </w:r>
            <w:r>
              <w:rPr>
                <w:rFonts w:hint="eastAsia" w:ascii="微软雅黑" w:hAnsi="微软雅黑" w:eastAsia="微软雅黑" w:cs="微软雅黑"/>
                <w:sz w:val="24"/>
              </w:rPr>
              <w:t>邮箱</w:t>
            </w:r>
            <w:r>
              <w:rPr>
                <w:rFonts w:hint="eastAsia" w:ascii="微软雅黑" w:hAnsi="微软雅黑" w:eastAsia="微软雅黑" w:cs="微软雅黑"/>
                <w:sz w:val="24"/>
                <w:lang w:val="en-US" w:eastAsia="zh-CN"/>
              </w:rPr>
              <w:t>494201909</w:t>
            </w: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qq</w:t>
            </w:r>
            <w:r>
              <w:rPr>
                <w:rFonts w:hint="eastAsia" w:ascii="微软雅黑" w:hAnsi="微软雅黑" w:eastAsia="微软雅黑" w:cs="微软雅黑"/>
                <w:sz w:val="24"/>
              </w:rPr>
              <w:t>.com后，5个工作日内原账户退回。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13.1</w:t>
            </w:r>
          </w:p>
        </w:tc>
        <w:tc>
          <w:tcPr>
            <w:tcW w:w="8115" w:type="dxa"/>
            <w:vAlign w:val="center"/>
          </w:tcPr>
          <w:p>
            <w:pPr>
              <w:snapToGrid w:val="0"/>
              <w:textAlignment w:val="baseline"/>
              <w:rPr>
                <w:rFonts w:ascii="微软雅黑" w:hAnsi="微软雅黑" w:eastAsia="微软雅黑" w:cs="微软雅黑"/>
                <w:sz w:val="24"/>
                <w:u w:val="single" w:color="000000"/>
              </w:rPr>
            </w:pPr>
            <w:r>
              <w:rPr>
                <w:rFonts w:hint="eastAsia" w:ascii="微软雅黑" w:hAnsi="微软雅黑" w:eastAsia="微软雅黑" w:cs="微软雅黑"/>
                <w:sz w:val="24"/>
              </w:rPr>
              <w:t>磋商有效期：</w:t>
            </w:r>
            <w:r>
              <w:rPr>
                <w:rFonts w:hint="eastAsia" w:ascii="微软雅黑" w:hAnsi="微软雅黑" w:eastAsia="微软雅黑" w:cs="微软雅黑"/>
                <w:sz w:val="24"/>
                <w:u w:val="single" w:color="000000"/>
              </w:rPr>
              <w:t>　60　</w:t>
            </w:r>
            <w:r>
              <w:rPr>
                <w:rFonts w:hint="eastAsia" w:ascii="微软雅黑" w:hAnsi="微软雅黑" w:eastAsia="微软雅黑" w:cs="微软雅黑"/>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14.1</w:t>
            </w:r>
          </w:p>
        </w:tc>
        <w:tc>
          <w:tcPr>
            <w:tcW w:w="8115" w:type="dxa"/>
            <w:vAlign w:val="center"/>
          </w:tcPr>
          <w:p>
            <w:pPr>
              <w:jc w:val="left"/>
              <w:rPr>
                <w:rFonts w:ascii="微软雅黑" w:hAnsi="微软雅黑" w:eastAsia="微软雅黑" w:cs="微软雅黑"/>
                <w:sz w:val="24"/>
              </w:rPr>
            </w:pPr>
            <w:r>
              <w:rPr>
                <w:rFonts w:hint="eastAsia" w:ascii="微软雅黑" w:hAnsi="微软雅黑" w:eastAsia="微软雅黑" w:cs="微软雅黑"/>
                <w:sz w:val="24"/>
              </w:rPr>
              <w:t>响应文件包括“</w:t>
            </w:r>
            <w:r>
              <w:rPr>
                <w:rFonts w:hint="eastAsia" w:ascii="微软雅黑" w:hAnsi="微软雅黑" w:eastAsia="微软雅黑" w:cs="微软雅黑"/>
                <w:sz w:val="24"/>
                <w:lang w:eastAsia="zh-CN"/>
              </w:rPr>
              <w:t>磋商报价</w:t>
            </w:r>
            <w:r>
              <w:rPr>
                <w:rFonts w:hint="eastAsia" w:ascii="微软雅黑" w:hAnsi="微软雅黑" w:eastAsia="微软雅黑" w:cs="微软雅黑"/>
                <w:sz w:val="24"/>
              </w:rPr>
              <w:t>表及资格证明文件”和“商务及技术文件”两部分，两部分合订成一册密封递交。</w:t>
            </w:r>
          </w:p>
          <w:p>
            <w:pPr>
              <w:jc w:val="left"/>
              <w:rPr>
                <w:rFonts w:ascii="微软雅黑" w:hAnsi="微软雅黑" w:eastAsia="微软雅黑" w:cs="微软雅黑"/>
                <w:sz w:val="24"/>
              </w:rPr>
            </w:pPr>
            <w:r>
              <w:rPr>
                <w:rFonts w:hint="eastAsia" w:ascii="微软雅黑" w:hAnsi="微软雅黑" w:eastAsia="微软雅黑" w:cs="微软雅黑"/>
                <w:sz w:val="24"/>
              </w:rPr>
              <w:t>响应文件：</w:t>
            </w:r>
            <w:r>
              <w:rPr>
                <w:rFonts w:hint="eastAsia" w:ascii="微软雅黑" w:hAnsi="微软雅黑" w:eastAsia="微软雅黑" w:cs="微软雅黑"/>
                <w:b/>
                <w:bCs/>
                <w:sz w:val="24"/>
              </w:rPr>
              <w:t>正本：壹份、副本：贰份</w:t>
            </w:r>
            <w:r>
              <w:rPr>
                <w:rFonts w:hint="eastAsia" w:ascii="微软雅黑" w:hAnsi="微软雅黑" w:eastAsia="微软雅黑" w:cs="微软雅黑"/>
                <w:sz w:val="24"/>
              </w:rPr>
              <w:t>；（正、副本</w:t>
            </w:r>
            <w:r>
              <w:rPr>
                <w:rFonts w:hint="eastAsia" w:ascii="微软雅黑" w:hAnsi="微软雅黑" w:eastAsia="微软雅黑" w:cs="微软雅黑"/>
                <w:sz w:val="24"/>
                <w:lang w:eastAsia="zh-CN"/>
              </w:rPr>
              <w:t>分别单独密封</w:t>
            </w:r>
            <w:r>
              <w:rPr>
                <w:rFonts w:hint="eastAsia" w:ascii="微软雅黑" w:hAnsi="微软雅黑" w:eastAsia="微软雅黑" w:cs="微软雅黑"/>
                <w:sz w:val="24"/>
              </w:rPr>
              <w:t>提交，密封袋封面右上角标明“正本”或“副本”字样）</w:t>
            </w:r>
          </w:p>
          <w:p>
            <w:pPr>
              <w:jc w:val="left"/>
              <w:rPr>
                <w:rFonts w:ascii="微软雅黑" w:hAnsi="微软雅黑" w:eastAsia="微软雅黑" w:cs="微软雅黑"/>
                <w:sz w:val="24"/>
              </w:rPr>
            </w:pPr>
            <w:r>
              <w:rPr>
                <w:rFonts w:hint="eastAsia" w:ascii="微软雅黑" w:hAnsi="微软雅黑" w:eastAsia="微软雅黑" w:cs="微软雅黑"/>
                <w:sz w:val="24"/>
              </w:rPr>
              <w:t>供应商必须制作“</w:t>
            </w:r>
            <w:r>
              <w:rPr>
                <w:rFonts w:hint="eastAsia" w:ascii="微软雅黑" w:hAnsi="微软雅黑" w:eastAsia="微软雅黑" w:cs="微软雅黑"/>
                <w:sz w:val="24"/>
                <w:lang w:eastAsia="zh-CN"/>
              </w:rPr>
              <w:t>磋商报价表</w:t>
            </w:r>
            <w:r>
              <w:rPr>
                <w:rFonts w:hint="eastAsia" w:ascii="微软雅黑" w:hAnsi="微软雅黑" w:eastAsia="微软雅黑" w:cs="微软雅黑"/>
                <w:sz w:val="24"/>
              </w:rPr>
              <w:t>”并单独密封提交，并在密封袋上标明“</w:t>
            </w:r>
            <w:r>
              <w:rPr>
                <w:rFonts w:hint="eastAsia" w:ascii="微软雅黑" w:hAnsi="微软雅黑" w:eastAsia="微软雅黑" w:cs="微软雅黑"/>
                <w:sz w:val="24"/>
                <w:lang w:eastAsia="zh-CN"/>
              </w:rPr>
              <w:t>磋商报价表</w:t>
            </w:r>
            <w:r>
              <w:rPr>
                <w:rFonts w:hint="eastAsia" w:ascii="微软雅黑" w:hAnsi="微软雅黑" w:eastAsia="微软雅黑" w:cs="微软雅黑"/>
                <w:sz w:val="24"/>
              </w:rPr>
              <w:t>”的字样。不按要求标注或不单独提交</w:t>
            </w:r>
            <w:r>
              <w:rPr>
                <w:rFonts w:hint="eastAsia" w:ascii="微软雅黑" w:hAnsi="微软雅黑" w:eastAsia="微软雅黑" w:cs="微软雅黑"/>
                <w:sz w:val="24"/>
                <w:lang w:eastAsia="zh-CN"/>
              </w:rPr>
              <w:t>磋商报价表</w:t>
            </w:r>
            <w:r>
              <w:rPr>
                <w:rFonts w:hint="eastAsia" w:ascii="微软雅黑" w:hAnsi="微软雅黑" w:eastAsia="微软雅黑" w:cs="微软雅黑"/>
                <w:sz w:val="24"/>
              </w:rPr>
              <w:t>，其投标将被拒绝。</w:t>
            </w:r>
          </w:p>
          <w:p>
            <w:pPr>
              <w:jc w:val="left"/>
              <w:rPr>
                <w:rFonts w:ascii="微软雅黑" w:hAnsi="微软雅黑" w:eastAsia="微软雅黑" w:cs="微软雅黑"/>
                <w:sz w:val="24"/>
              </w:rPr>
            </w:pPr>
            <w:r>
              <w:rPr>
                <w:rFonts w:hint="eastAsia" w:ascii="微软雅黑" w:hAnsi="微软雅黑" w:eastAsia="微软雅黑" w:cs="微软雅黑"/>
                <w:sz w:val="24"/>
              </w:rPr>
              <w:t>除上述文件外，还须密封递交响应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响应文件使用A4，胶装，每册装订应牢固、不易拆散和换页，不得采用活页装订。</w:t>
            </w:r>
          </w:p>
          <w:p>
            <w:pPr>
              <w:pStyle w:val="5"/>
              <w:spacing w:before="0" w:after="0"/>
              <w:rPr>
                <w:rFonts w:ascii="微软雅黑" w:hAnsi="微软雅黑" w:eastAsia="微软雅黑" w:cs="微软雅黑"/>
                <w:szCs w:val="24"/>
                <w:u w:val="none"/>
              </w:rPr>
            </w:pPr>
            <w:bookmarkStart w:id="773" w:name="_Toc4859"/>
            <w:bookmarkStart w:id="774" w:name="_Toc13818"/>
            <w:bookmarkStart w:id="775" w:name="_Toc4287"/>
            <w:bookmarkStart w:id="776" w:name="_Toc5241"/>
            <w:bookmarkStart w:id="777" w:name="_Toc7814"/>
            <w:r>
              <w:rPr>
                <w:rFonts w:hint="eastAsia" w:ascii="微软雅黑" w:hAnsi="微软雅黑" w:eastAsia="微软雅黑" w:cs="微软雅黑"/>
                <w:szCs w:val="24"/>
                <w:u w:val="none"/>
              </w:rPr>
              <w:t>响应文件的签署及规定：</w:t>
            </w:r>
            <w:bookmarkEnd w:id="773"/>
            <w:bookmarkEnd w:id="774"/>
            <w:bookmarkEnd w:id="775"/>
            <w:bookmarkEnd w:id="776"/>
            <w:bookmarkEnd w:id="777"/>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供应商应按供应商须知资料表中的规定，准备和递交响应文件正本、副本、</w:t>
            </w:r>
            <w:r>
              <w:rPr>
                <w:rFonts w:hint="eastAsia" w:ascii="微软雅黑" w:hAnsi="微软雅黑" w:eastAsia="微软雅黑" w:cs="微软雅黑"/>
                <w:sz w:val="24"/>
                <w:lang w:eastAsia="zh-CN"/>
              </w:rPr>
              <w:t>磋商报价表</w:t>
            </w:r>
            <w:r>
              <w:rPr>
                <w:rFonts w:hint="eastAsia" w:ascii="微软雅黑" w:hAnsi="微软雅黑" w:eastAsia="微软雅黑" w:cs="微软雅黑"/>
                <w:sz w:val="24"/>
              </w:rPr>
              <w:t>和电子U盘，</w:t>
            </w:r>
            <w:r>
              <w:rPr>
                <w:rFonts w:hint="eastAsia" w:ascii="微软雅黑" w:hAnsi="微软雅黑" w:eastAsia="微软雅黑" w:cs="微软雅黑"/>
                <w:b/>
                <w:bCs/>
                <w:sz w:val="24"/>
              </w:rPr>
              <w:t>每份响应文件封皮须清楚地标明“正本”或“副本”</w:t>
            </w:r>
            <w:r>
              <w:rPr>
                <w:rFonts w:hint="eastAsia" w:ascii="微软雅黑" w:hAnsi="微软雅黑" w:eastAsia="微软雅黑" w:cs="微软雅黑"/>
                <w:sz w:val="24"/>
              </w:rPr>
              <w:t>。若正本和副本不符，以正本为准。</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响应文件的正本需打印或用不褪色墨水书写，并由供应商的法定代表人或经其正式委托代理人按磋商文件规定在响应文件上签字或盖章并加盖单位印章。委托代理人须持有书面的“法定代表人授权委托书”，并将其附在响应文件中。如对响应文件进行了修改，则应由供应商的法定代表人或其委托代理人在每一修改处签字。响应文件的副本可采用正本的复印件。</w:t>
            </w:r>
          </w:p>
          <w:p>
            <w:pPr>
              <w:rPr>
                <w:rFonts w:ascii="微软雅黑" w:hAnsi="微软雅黑" w:eastAsia="微软雅黑" w:cs="微软雅黑"/>
                <w:b/>
                <w:bCs/>
                <w:sz w:val="24"/>
              </w:rPr>
            </w:pPr>
            <w:r>
              <w:rPr>
                <w:rFonts w:hint="eastAsia" w:ascii="微软雅黑" w:hAnsi="微软雅黑" w:eastAsia="微软雅黑" w:cs="微软雅黑"/>
                <w:b/>
                <w:bCs/>
                <w:sz w:val="24"/>
              </w:rPr>
              <w:t>所有包装封皮和信封上均应：</w:t>
            </w:r>
          </w:p>
          <w:p>
            <w:pPr>
              <w:rPr>
                <w:rFonts w:ascii="微软雅黑" w:hAnsi="微软雅黑" w:eastAsia="微软雅黑" w:cs="微软雅黑"/>
                <w:sz w:val="24"/>
              </w:rPr>
            </w:pPr>
            <w:r>
              <w:rPr>
                <w:rFonts w:hint="eastAsia" w:ascii="微软雅黑" w:hAnsi="微软雅黑" w:eastAsia="微软雅黑" w:cs="微软雅黑"/>
                <w:sz w:val="24"/>
              </w:rPr>
              <w:t>注明</w:t>
            </w:r>
            <w:r>
              <w:rPr>
                <w:rFonts w:hint="eastAsia" w:ascii="微软雅黑" w:hAnsi="微软雅黑" w:eastAsia="微软雅黑" w:cs="微软雅黑"/>
                <w:sz w:val="24"/>
                <w:lang w:val="en-US" w:eastAsia="zh-CN"/>
              </w:rPr>
              <w:t>磋商</w:t>
            </w:r>
            <w:r>
              <w:rPr>
                <w:rFonts w:hint="eastAsia" w:ascii="微软雅黑" w:hAnsi="微软雅黑" w:eastAsia="微软雅黑" w:cs="微软雅黑"/>
                <w:sz w:val="24"/>
              </w:rPr>
              <w:t>公告或</w:t>
            </w:r>
            <w:r>
              <w:rPr>
                <w:rFonts w:hint="eastAsia" w:ascii="微软雅黑" w:hAnsi="微软雅黑" w:eastAsia="微软雅黑" w:cs="微软雅黑"/>
                <w:sz w:val="24"/>
                <w:lang w:val="en-US" w:eastAsia="zh-CN"/>
              </w:rPr>
              <w:t>磋商</w:t>
            </w:r>
            <w:r>
              <w:rPr>
                <w:rFonts w:hint="eastAsia" w:ascii="微软雅黑" w:hAnsi="微软雅黑" w:eastAsia="微软雅黑" w:cs="微软雅黑"/>
                <w:sz w:val="24"/>
              </w:rPr>
              <w:t>邀请书中指明的项目名称、项目编号、供应商名称和“在（开标时间）之前不得启封”的字样。</w:t>
            </w:r>
          </w:p>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在封口处加盖供应商单位公章，</w:t>
            </w:r>
            <w:r>
              <w:rPr>
                <w:rFonts w:hint="eastAsia" w:ascii="微软雅黑" w:hAnsi="微软雅黑" w:eastAsia="微软雅黑" w:cs="微软雅黑"/>
                <w:sz w:val="24"/>
                <w:lang w:eastAsia="zh-CN"/>
              </w:rPr>
              <w:t>并</w:t>
            </w:r>
            <w:r>
              <w:rPr>
                <w:rFonts w:hint="eastAsia" w:ascii="微软雅黑" w:hAnsi="微软雅黑" w:eastAsia="微软雅黑" w:cs="微软雅黑"/>
                <w:sz w:val="24"/>
              </w:rPr>
              <w:t>由法定代表人（或其委托代理人）签字</w:t>
            </w:r>
            <w:r>
              <w:rPr>
                <w:rFonts w:hint="eastAsia" w:ascii="微软雅黑" w:hAnsi="微软雅黑" w:eastAsia="微软雅黑" w:cs="微软雅黑"/>
                <w:sz w:val="24"/>
                <w:lang w:val="en-US" w:eastAsia="zh-CN"/>
              </w:rPr>
              <w:t>(或加盖签章）</w:t>
            </w:r>
            <w:r>
              <w:rPr>
                <w:rFonts w:hint="eastAsia" w:ascii="微软雅黑" w:hAnsi="微软雅黑" w:eastAsia="微软雅黑" w:cs="微软雅黑"/>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16.1</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磋商截止时间</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eastAsia="zh-CN"/>
              </w:rPr>
              <w:t>2022年07月25日</w:t>
            </w:r>
            <w:r>
              <w:rPr>
                <w:rFonts w:hint="eastAsia" w:ascii="微软雅黑" w:hAnsi="微软雅黑" w:eastAsia="微软雅黑" w:cs="微软雅黑"/>
                <w:sz w:val="24"/>
                <w:highlight w:val="none"/>
                <w:lang w:val="en-US" w:eastAsia="zh-CN"/>
              </w:rPr>
              <w:t>上</w:t>
            </w:r>
            <w:r>
              <w:rPr>
                <w:rFonts w:hint="eastAsia" w:ascii="微软雅黑" w:hAnsi="微软雅黑" w:eastAsia="微软雅黑" w:cs="微软雅黑"/>
                <w:sz w:val="24"/>
              </w:rPr>
              <w:t>午1</w:t>
            </w:r>
            <w:r>
              <w:rPr>
                <w:rFonts w:hint="eastAsia" w:ascii="微软雅黑" w:hAnsi="微软雅黑" w:eastAsia="微软雅黑" w:cs="微软雅黑"/>
                <w:sz w:val="24"/>
                <w:lang w:val="en-US" w:eastAsia="zh-CN"/>
              </w:rPr>
              <w:t>1</w:t>
            </w:r>
            <w:r>
              <w:rPr>
                <w:rFonts w:hint="eastAsia" w:ascii="微软雅黑" w:hAnsi="微软雅黑" w:eastAsia="微软雅黑" w:cs="微软雅黑"/>
                <w:sz w:val="24"/>
              </w:rPr>
              <w:t>点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18.1</w:t>
            </w:r>
          </w:p>
        </w:tc>
        <w:tc>
          <w:tcPr>
            <w:tcW w:w="8115" w:type="dxa"/>
            <w:vAlign w:val="center"/>
          </w:tcPr>
          <w:p>
            <w:pPr>
              <w:snapToGrid w:val="0"/>
              <w:textAlignment w:val="baseline"/>
              <w:rPr>
                <w:rFonts w:ascii="微软雅黑" w:hAnsi="微软雅黑" w:eastAsia="微软雅黑" w:cs="微软雅黑"/>
                <w:kern w:val="0"/>
                <w:sz w:val="24"/>
                <w:highlight w:val="none"/>
              </w:rPr>
            </w:pPr>
            <w:r>
              <w:rPr>
                <w:rFonts w:hint="eastAsia" w:ascii="微软雅黑" w:hAnsi="微软雅黑" w:eastAsia="微软雅黑" w:cs="微软雅黑"/>
                <w:sz w:val="24"/>
              </w:rPr>
              <w:t>磋商</w:t>
            </w:r>
            <w:r>
              <w:rPr>
                <w:rFonts w:hint="eastAsia" w:ascii="微软雅黑" w:hAnsi="微软雅黑" w:eastAsia="微软雅黑" w:cs="微软雅黑"/>
                <w:kern w:val="0"/>
                <w:sz w:val="24"/>
                <w:highlight w:val="none"/>
              </w:rPr>
              <w:t>时间：</w:t>
            </w:r>
            <w:r>
              <w:rPr>
                <w:rFonts w:hint="eastAsia" w:ascii="微软雅黑" w:hAnsi="微软雅黑" w:eastAsia="微软雅黑" w:cs="微软雅黑"/>
                <w:kern w:val="0"/>
                <w:sz w:val="24"/>
                <w:highlight w:val="none"/>
                <w:lang w:eastAsia="zh-CN"/>
              </w:rPr>
              <w:t>2022年07月25日</w:t>
            </w:r>
            <w:r>
              <w:rPr>
                <w:rFonts w:hint="eastAsia" w:ascii="微软雅黑" w:hAnsi="微软雅黑" w:eastAsia="微软雅黑" w:cs="微软雅黑"/>
                <w:kern w:val="0"/>
                <w:sz w:val="24"/>
                <w:highlight w:val="none"/>
                <w:lang w:val="en-US" w:eastAsia="zh-CN"/>
              </w:rPr>
              <w:t>上</w:t>
            </w:r>
            <w:r>
              <w:rPr>
                <w:rFonts w:hint="eastAsia" w:ascii="微软雅黑" w:hAnsi="微软雅黑" w:eastAsia="微软雅黑" w:cs="微软雅黑"/>
                <w:kern w:val="0"/>
                <w:sz w:val="24"/>
                <w:highlight w:val="none"/>
              </w:rPr>
              <w:t>午1</w:t>
            </w:r>
            <w:r>
              <w:rPr>
                <w:rFonts w:hint="eastAsia" w:ascii="微软雅黑" w:hAnsi="微软雅黑" w:eastAsia="微软雅黑" w:cs="微软雅黑"/>
                <w:kern w:val="0"/>
                <w:sz w:val="24"/>
                <w:highlight w:val="none"/>
                <w:lang w:val="en-US" w:eastAsia="zh-CN"/>
              </w:rPr>
              <w:t>1</w:t>
            </w:r>
            <w:r>
              <w:rPr>
                <w:rFonts w:hint="eastAsia" w:ascii="微软雅黑" w:hAnsi="微软雅黑" w:eastAsia="微软雅黑" w:cs="微软雅黑"/>
                <w:kern w:val="0"/>
                <w:sz w:val="24"/>
                <w:highlight w:val="none"/>
              </w:rPr>
              <w:t>点 00 分</w:t>
            </w:r>
            <w:r>
              <w:rPr>
                <w:rFonts w:hint="eastAsia" w:ascii="微软雅黑" w:hAnsi="微软雅黑" w:eastAsia="微软雅黑" w:cs="微软雅黑"/>
                <w:sz w:val="24"/>
                <w:highlight w:val="none"/>
              </w:rPr>
              <w:t>（北京时间）</w:t>
            </w:r>
          </w:p>
          <w:p>
            <w:pPr>
              <w:snapToGrid w:val="0"/>
              <w:textAlignment w:val="baseline"/>
              <w:rPr>
                <w:rFonts w:ascii="微软雅黑" w:hAnsi="微软雅黑" w:eastAsia="微软雅黑" w:cs="微软雅黑"/>
                <w:sz w:val="24"/>
              </w:rPr>
            </w:pPr>
            <w:r>
              <w:rPr>
                <w:rFonts w:hint="eastAsia" w:ascii="微软雅黑" w:hAnsi="微软雅黑" w:eastAsia="微软雅黑" w:cs="微软雅黑"/>
                <w:kern w:val="0"/>
                <w:sz w:val="24"/>
                <w:highlight w:val="none"/>
              </w:rPr>
              <w:t>磋商地点</w:t>
            </w:r>
            <w:r>
              <w:rPr>
                <w:rFonts w:hint="eastAsia" w:ascii="微软雅黑" w:hAnsi="微软雅黑" w:eastAsia="微软雅黑" w:cs="微软雅黑"/>
                <w:kern w:val="0"/>
                <w:sz w:val="24"/>
                <w:highlight w:val="none"/>
                <w:lang w:val="en-US" w:eastAsia="zh-CN"/>
              </w:rPr>
              <w:t>：政府采购中心（喀什市行政审批局二楼第四评标室）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23.2</w:t>
            </w:r>
          </w:p>
        </w:tc>
        <w:tc>
          <w:tcPr>
            <w:tcW w:w="8115" w:type="dxa"/>
            <w:vAlign w:val="center"/>
          </w:tcPr>
          <w:p>
            <w:pPr>
              <w:snapToGrid w:val="0"/>
              <w:textAlignment w:val="baseline"/>
              <w:rPr>
                <w:rFonts w:ascii="微软雅黑" w:hAnsi="微软雅黑" w:eastAsia="微软雅黑" w:cs="微软雅黑"/>
                <w:i/>
                <w:sz w:val="24"/>
              </w:rPr>
            </w:pPr>
            <w:r>
              <w:rPr>
                <w:rFonts w:hint="eastAsia" w:ascii="微软雅黑" w:hAnsi="微软雅黑" w:eastAsia="微软雅黑" w:cs="微软雅黑"/>
                <w:sz w:val="24"/>
              </w:rPr>
              <w:t>评审方法：</w:t>
            </w:r>
            <w:r>
              <w:rPr>
                <w:rFonts w:hint="eastAsia" w:ascii="微软雅黑" w:hAnsi="微软雅黑" w:eastAsia="微软雅黑" w:cs="微软雅黑"/>
                <w:sz w:val="24"/>
                <w:u w:val="single" w:color="000000"/>
              </w:rPr>
              <w:t>　综合评分法　</w:t>
            </w:r>
            <w:r>
              <w:rPr>
                <w:rFonts w:hint="eastAsia" w:ascii="微软雅黑" w:hAnsi="微软雅黑" w:eastAsia="微软雅黑" w:cs="微软雅黑"/>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27</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推荐成交候选供应商的数量：</w:t>
            </w:r>
            <w:r>
              <w:rPr>
                <w:rFonts w:hint="eastAsia" w:ascii="微软雅黑" w:hAnsi="微软雅黑" w:eastAsia="微软雅黑" w:cs="微软雅黑"/>
                <w:sz w:val="24"/>
                <w:u w:val="single" w:color="000000"/>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27</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采购人是否委托评审委员会直接确定成交人：</w:t>
            </w:r>
            <w:r>
              <w:rPr>
                <w:rFonts w:hint="eastAsia" w:ascii="微软雅黑" w:hAnsi="微软雅黑" w:eastAsia="微软雅黑" w:cs="微软雅黑"/>
                <w:sz w:val="24"/>
                <w:u w:val="single" w:color="000000"/>
              </w:rPr>
              <w:t xml:space="preserve">  </w:t>
            </w:r>
            <w:r>
              <w:rPr>
                <w:rFonts w:hint="eastAsia" w:ascii="微软雅黑" w:hAnsi="微软雅黑" w:eastAsia="微软雅黑" w:cs="微软雅黑"/>
                <w:sz w:val="24"/>
                <w:u w:val="single" w:color="000000"/>
                <w:lang w:eastAsia="zh-CN"/>
              </w:rPr>
              <w:t>否</w:t>
            </w:r>
            <w:r>
              <w:rPr>
                <w:rFonts w:hint="eastAsia" w:ascii="微软雅黑" w:hAnsi="微软雅黑" w:eastAsia="微软雅黑" w:cs="微软雅黑"/>
                <w:sz w:val="24"/>
                <w:u w:val="single" w:color="000000"/>
                <w:lang w:val="en-US" w:eastAsia="zh-CN"/>
              </w:rPr>
              <w:t xml:space="preserve"> </w:t>
            </w:r>
            <w:r>
              <w:rPr>
                <w:rFonts w:hint="eastAsia" w:ascii="微软雅黑" w:hAnsi="微软雅黑" w:eastAsia="微软雅黑" w:cs="微软雅黑"/>
                <w:sz w:val="24"/>
                <w:u w:val="single" w:color="000000"/>
              </w:rPr>
              <w:t xml:space="preserve"> </w:t>
            </w:r>
            <w:r>
              <w:rPr>
                <w:rFonts w:hint="eastAsia" w:ascii="微软雅黑" w:hAnsi="微软雅黑" w:eastAsia="微软雅黑" w:cs="微软雅黑"/>
                <w:i/>
                <w:iCs/>
                <w:sz w:val="24"/>
                <w:u w:val="none" w:color="auto"/>
                <w:lang w:eastAsia="zh-CN"/>
              </w:rPr>
              <w:t>（</w:t>
            </w:r>
            <w:r>
              <w:rPr>
                <w:rFonts w:hint="eastAsia" w:ascii="微软雅黑" w:hAnsi="微软雅黑" w:eastAsia="微软雅黑" w:cs="微软雅黑"/>
                <w:i/>
                <w:iCs/>
                <w:sz w:val="24"/>
                <w:u w:val="none" w:color="auto"/>
                <w:lang w:val="en-US" w:eastAsia="zh-CN"/>
              </w:rPr>
              <w:t>是、否</w:t>
            </w:r>
            <w:r>
              <w:rPr>
                <w:rFonts w:hint="eastAsia" w:ascii="微软雅黑" w:hAnsi="微软雅黑" w:eastAsia="微软雅黑" w:cs="微软雅黑"/>
                <w:i/>
                <w:iCs/>
                <w:sz w:val="24"/>
                <w:u w:val="none" w:color="auto"/>
                <w:lang w:eastAsia="zh-CN"/>
              </w:rPr>
              <w:t>）</w:t>
            </w:r>
            <w:r>
              <w:rPr>
                <w:rFonts w:hint="eastAsia" w:ascii="微软雅黑" w:hAnsi="微软雅黑" w:eastAsia="微软雅黑" w:cs="微软雅黑"/>
                <w:i/>
                <w:iCs/>
                <w:sz w:val="24"/>
                <w:u w:val="none" w:color="auto"/>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31.1</w:t>
            </w:r>
          </w:p>
        </w:tc>
        <w:tc>
          <w:tcPr>
            <w:tcW w:w="8115" w:type="dxa"/>
            <w:vAlign w:val="center"/>
          </w:tcPr>
          <w:p>
            <w:pPr>
              <w:snapToGrid w:val="0"/>
              <w:textAlignment w:val="baseline"/>
              <w:rPr>
                <w:rFonts w:ascii="微软雅黑" w:hAnsi="微软雅黑" w:eastAsia="微软雅黑" w:cs="微软雅黑"/>
                <w:sz w:val="24"/>
                <w:u w:val="single" w:color="000000"/>
              </w:rPr>
            </w:pPr>
            <w:r>
              <w:rPr>
                <w:rFonts w:hint="eastAsia" w:ascii="微软雅黑" w:hAnsi="微软雅黑" w:eastAsia="微软雅黑" w:cs="微软雅黑"/>
                <w:sz w:val="24"/>
              </w:rPr>
              <w:t>履约保证金金额：合同总价的</w:t>
            </w:r>
            <w:r>
              <w:rPr>
                <w:rFonts w:hint="eastAsia" w:ascii="微软雅黑" w:hAnsi="微软雅黑" w:eastAsia="微软雅黑" w:cs="微软雅黑"/>
                <w:sz w:val="24"/>
                <w:u w:val="single" w:color="000000"/>
              </w:rPr>
              <w:t>　5%　（打入甲方账号）</w:t>
            </w:r>
          </w:p>
          <w:p>
            <w:pPr>
              <w:snapToGrid w:val="0"/>
              <w:textAlignment w:val="baseline"/>
              <w:rPr>
                <w:rFonts w:ascii="微软雅黑" w:hAnsi="微软雅黑" w:eastAsia="微软雅黑" w:cs="微软雅黑"/>
                <w:sz w:val="24"/>
                <w:u w:val="single" w:color="000000"/>
              </w:rPr>
            </w:pPr>
            <w:r>
              <w:rPr>
                <w:rFonts w:hint="eastAsia" w:ascii="微软雅黑" w:hAnsi="微软雅黑" w:eastAsia="微软雅黑" w:cs="微软雅黑"/>
                <w:sz w:val="24"/>
              </w:rPr>
              <w:t xml:space="preserve">履约保证金形式：☑保函  ☑电汇  □支票   ☑对公转账 </w:t>
            </w:r>
          </w:p>
          <w:p>
            <w:pPr>
              <w:snapToGrid w:val="0"/>
              <w:textAlignment w:val="baseline"/>
              <w:rPr>
                <w:rFonts w:ascii="微软雅黑" w:hAnsi="微软雅黑" w:eastAsia="微软雅黑" w:cs="微软雅黑"/>
                <w:sz w:val="24"/>
                <w:u w:val="single" w:color="000000"/>
              </w:rPr>
            </w:pPr>
            <w:r>
              <w:rPr>
                <w:rFonts w:hint="eastAsia" w:ascii="微软雅黑" w:hAnsi="微软雅黑" w:eastAsia="微软雅黑" w:cs="微软雅黑"/>
                <w:sz w:val="24"/>
                <w:u w:val="single" w:color="000000"/>
              </w:rPr>
              <w:t>提交履约保证金的时间：签订合同前2日历日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32</w:t>
            </w:r>
          </w:p>
        </w:tc>
        <w:tc>
          <w:tcPr>
            <w:tcW w:w="8115" w:type="dxa"/>
            <w:vAlign w:val="center"/>
          </w:tcPr>
          <w:p>
            <w:pPr>
              <w:snapToGrid w:val="0"/>
              <w:textAlignment w:val="baseline"/>
              <w:rPr>
                <w:rFonts w:ascii="微软雅黑" w:hAnsi="微软雅黑" w:eastAsia="微软雅黑" w:cs="微软雅黑"/>
                <w:color w:val="auto"/>
                <w:sz w:val="24"/>
              </w:rPr>
            </w:pPr>
            <w:r>
              <w:rPr>
                <w:rFonts w:hint="eastAsia" w:ascii="微软雅黑" w:hAnsi="微软雅黑" w:eastAsia="微软雅黑" w:cs="微软雅黑"/>
                <w:color w:val="auto"/>
                <w:sz w:val="24"/>
              </w:rPr>
              <w:t>成交服务费</w:t>
            </w:r>
            <w:r>
              <w:rPr>
                <w:rFonts w:hint="eastAsia" w:ascii="微软雅黑" w:hAnsi="微软雅黑" w:eastAsia="微软雅黑" w:cs="微软雅黑"/>
                <w:color w:val="auto"/>
                <w:sz w:val="24"/>
                <w:highlight w:val="none"/>
              </w:rPr>
              <w:t>：根据发改委价格[2015]299文件：本项目服务费按照成交价的1.5%收取。（</w:t>
            </w:r>
            <w:r>
              <w:rPr>
                <w:rFonts w:hint="eastAsia" w:ascii="微软雅黑" w:hAnsi="微软雅黑" w:eastAsia="微软雅黑" w:cs="微软雅黑"/>
                <w:color w:val="auto"/>
                <w:sz w:val="24"/>
              </w:rPr>
              <w:t>由成交供应商支付）</w:t>
            </w:r>
          </w:p>
          <w:p>
            <w:pPr>
              <w:snapToGrid w:val="0"/>
              <w:ind w:left="900" w:hanging="900" w:hangingChars="375"/>
              <w:textAlignment w:val="baseline"/>
              <w:rPr>
                <w:rFonts w:ascii="微软雅黑" w:hAnsi="微软雅黑" w:eastAsia="微软雅黑" w:cs="微软雅黑"/>
                <w:sz w:val="24"/>
              </w:rPr>
            </w:pPr>
            <w:r>
              <w:rPr>
                <w:rFonts w:hint="eastAsia" w:ascii="微软雅黑" w:hAnsi="微软雅黑" w:eastAsia="微软雅黑" w:cs="微软雅黑"/>
                <w:sz w:val="24"/>
              </w:rPr>
              <w:t>支付形式：</w:t>
            </w:r>
            <w:r>
              <w:rPr>
                <w:rFonts w:hint="eastAsia" w:ascii="微软雅黑" w:hAnsi="微软雅黑" w:eastAsia="微软雅黑" w:cs="微软雅黑"/>
                <w:sz w:val="24"/>
                <w:u w:val="single" w:color="000000"/>
              </w:rPr>
              <w:t xml:space="preserve"> 对公转账  </w:t>
            </w:r>
          </w:p>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支付时间：</w:t>
            </w:r>
            <w:r>
              <w:rPr>
                <w:rFonts w:hint="eastAsia" w:ascii="微软雅黑" w:hAnsi="微软雅黑" w:eastAsia="微软雅黑" w:cs="微软雅黑"/>
                <w:sz w:val="24"/>
                <w:u w:val="single" w:color="000000"/>
              </w:rPr>
              <w:t xml:space="preserve">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395" w:type="dxa"/>
            <w:vAlign w:val="center"/>
          </w:tcPr>
          <w:p>
            <w:pPr>
              <w:snapToGrid w:val="0"/>
              <w:ind w:left="1080" w:leftChars="257" w:hanging="540"/>
              <w:textAlignment w:val="baseline"/>
              <w:rPr>
                <w:rFonts w:ascii="微软雅黑" w:hAnsi="微软雅黑" w:eastAsia="微软雅黑" w:cs="微软雅黑"/>
                <w:sz w:val="24"/>
              </w:rPr>
            </w:pPr>
            <w:r>
              <w:rPr>
                <w:rFonts w:hint="eastAsia" w:ascii="微软雅黑" w:hAnsi="微软雅黑" w:eastAsia="微软雅黑" w:cs="微软雅黑"/>
                <w:sz w:val="24"/>
              </w:rPr>
              <w:t>33.1</w:t>
            </w:r>
          </w:p>
        </w:tc>
        <w:tc>
          <w:tcPr>
            <w:tcW w:w="8115" w:type="dxa"/>
            <w:vAlign w:val="center"/>
          </w:tcPr>
          <w:p>
            <w:pPr>
              <w:snapToGrid w:val="0"/>
              <w:textAlignment w:val="baseline"/>
              <w:rPr>
                <w:rFonts w:ascii="微软雅黑" w:hAnsi="微软雅黑" w:eastAsia="微软雅黑" w:cs="微软雅黑"/>
                <w:sz w:val="24"/>
              </w:rPr>
            </w:pPr>
            <w:r>
              <w:rPr>
                <w:rFonts w:hint="eastAsia" w:ascii="微软雅黑" w:hAnsi="微软雅黑" w:eastAsia="微软雅黑" w:cs="微软雅黑"/>
                <w:sz w:val="24"/>
              </w:rPr>
              <w:t>本项目是否属于信用担保试点范围：</w:t>
            </w:r>
            <w:r>
              <w:rPr>
                <w:rFonts w:hint="eastAsia" w:ascii="微软雅黑" w:hAnsi="微软雅黑" w:eastAsia="微软雅黑" w:cs="微软雅黑"/>
                <w:sz w:val="24"/>
                <w:u w:val="single" w:color="000000"/>
              </w:rPr>
              <w:t xml:space="preserve">  否 </w:t>
            </w:r>
            <w:r>
              <w:rPr>
                <w:rFonts w:hint="eastAsia" w:ascii="微软雅黑" w:hAnsi="微软雅黑" w:eastAsia="微软雅黑" w:cs="微软雅黑"/>
                <w:sz w:val="24"/>
              </w:rPr>
              <w:t xml:space="preserve"> </w:t>
            </w:r>
          </w:p>
        </w:tc>
      </w:tr>
    </w:tbl>
    <w:p>
      <w:pPr>
        <w:snapToGrid w:val="0"/>
        <w:spacing w:line="240" w:lineRule="atLeast"/>
        <w:ind w:left="1080" w:leftChars="257" w:hanging="540"/>
        <w:textAlignment w:val="baseline"/>
        <w:rPr>
          <w:rFonts w:ascii="微软雅黑" w:hAnsi="微软雅黑" w:eastAsia="微软雅黑" w:cs="微软雅黑"/>
          <w:sz w:val="24"/>
        </w:rPr>
      </w:pPr>
    </w:p>
    <w:p>
      <w:pPr>
        <w:pStyle w:val="34"/>
        <w:ind w:firstLine="0" w:firstLineChars="0"/>
        <w:rPr>
          <w:rFonts w:ascii="微软雅黑" w:hAnsi="微软雅黑" w:eastAsia="微软雅黑" w:cs="微软雅黑"/>
          <w:b/>
          <w:bCs/>
        </w:rPr>
        <w:sectPr>
          <w:headerReference r:id="rId4" w:type="default"/>
          <w:pgSz w:w="11905" w:h="16838"/>
          <w:pgMar w:top="1440" w:right="1797" w:bottom="1440" w:left="1797" w:header="851" w:footer="992" w:gutter="0"/>
          <w:cols w:space="0" w:num="1"/>
          <w:docGrid w:linePitch="312" w:charSpace="0"/>
        </w:sectPr>
      </w:pPr>
    </w:p>
    <w:p>
      <w:pPr>
        <w:pStyle w:val="34"/>
        <w:ind w:firstLine="0" w:firstLineChars="0"/>
        <w:jc w:val="center"/>
        <w:rPr>
          <w:rFonts w:ascii="微软雅黑" w:hAnsi="微软雅黑" w:eastAsia="微软雅黑" w:cs="微软雅黑"/>
          <w:b/>
          <w:bCs/>
        </w:rPr>
      </w:pPr>
      <w:r>
        <w:rPr>
          <w:rFonts w:hint="eastAsia" w:ascii="微软雅黑" w:hAnsi="微软雅黑" w:eastAsia="微软雅黑" w:cs="微软雅黑"/>
          <w:b/>
          <w:bCs/>
        </w:rPr>
        <w:t>资格审查表</w:t>
      </w:r>
    </w:p>
    <w:tbl>
      <w:tblPr>
        <w:tblStyle w:val="35"/>
        <w:tblpPr w:leftFromText="180" w:rightFromText="180" w:vertAnchor="text" w:horzAnchor="page" w:tblpX="786" w:tblpY="518"/>
        <w:tblOverlap w:val="never"/>
        <w:tblW w:w="14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439"/>
        <w:gridCol w:w="685"/>
        <w:gridCol w:w="1142"/>
        <w:gridCol w:w="1456"/>
        <w:gridCol w:w="1134"/>
        <w:gridCol w:w="956"/>
        <w:gridCol w:w="1381"/>
        <w:gridCol w:w="939"/>
        <w:gridCol w:w="848"/>
        <w:gridCol w:w="735"/>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23" w:type="dxa"/>
            <w:vMerge w:val="restart"/>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供应商名称</w:t>
            </w:r>
          </w:p>
        </w:tc>
        <w:tc>
          <w:tcPr>
            <w:tcW w:w="12980" w:type="dxa"/>
            <w:gridSpan w:val="9"/>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审查项目</w:t>
            </w:r>
          </w:p>
        </w:tc>
        <w:tc>
          <w:tcPr>
            <w:tcW w:w="73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结论</w:t>
            </w: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供应商签字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423" w:type="dxa"/>
            <w:vMerge w:val="continue"/>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rPr>
            </w:pPr>
          </w:p>
        </w:tc>
        <w:tc>
          <w:tcPr>
            <w:tcW w:w="4439"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w:t>
            </w:r>
            <w:r>
              <w:rPr>
                <w:rFonts w:hint="eastAsia" w:ascii="微软雅黑" w:hAnsi="微软雅黑" w:eastAsia="微软雅黑" w:cs="微软雅黑"/>
                <w:kern w:val="0"/>
                <w:sz w:val="21"/>
                <w:szCs w:val="21"/>
                <w:lang w:eastAsia="zh-CN"/>
              </w:rPr>
              <w:t>提供查询记录并加盖公章</w:t>
            </w:r>
            <w:r>
              <w:rPr>
                <w:rFonts w:hint="eastAsia" w:ascii="微软雅黑" w:hAnsi="微软雅黑" w:eastAsia="微软雅黑" w:cs="微软雅黑"/>
                <w:kern w:val="0"/>
                <w:sz w:val="21"/>
                <w:szCs w:val="21"/>
              </w:rPr>
              <w:t>）</w:t>
            </w:r>
          </w:p>
        </w:tc>
        <w:tc>
          <w:tcPr>
            <w:tcW w:w="685"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提供有效的营业执照</w:t>
            </w:r>
          </w:p>
        </w:tc>
        <w:tc>
          <w:tcPr>
            <w:tcW w:w="1142"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法人本人投标的提供法人身份证明及身份证，被授权委托人提供法人授权委托书及身份证</w:t>
            </w:r>
          </w:p>
        </w:tc>
        <w:tc>
          <w:tcPr>
            <w:tcW w:w="1456"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投标单位提供本单位依法缴纳近三个月的社保证明</w:t>
            </w:r>
          </w:p>
        </w:tc>
        <w:tc>
          <w:tcPr>
            <w:tcW w:w="1134"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提供税务部门出具近三个月的完税证明</w:t>
            </w:r>
          </w:p>
        </w:tc>
        <w:tc>
          <w:tcPr>
            <w:tcW w:w="956"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提供2021年度的财务审计报告（新成立公司需提供银行资信证明）</w:t>
            </w:r>
          </w:p>
        </w:tc>
        <w:tc>
          <w:tcPr>
            <w:tcW w:w="1381"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参加政府采购活动前3年内在经营活动中没有重大违法记录的书面声明</w:t>
            </w:r>
          </w:p>
        </w:tc>
        <w:tc>
          <w:tcPr>
            <w:tcW w:w="939"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提供针对本次项目的反商业贿赂承诺书</w:t>
            </w:r>
          </w:p>
        </w:tc>
        <w:tc>
          <w:tcPr>
            <w:tcW w:w="848" w:type="dxa"/>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提供缴纳磋商保证金的有效凭证。</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kern w:val="0"/>
                <w:sz w:val="21"/>
                <w:szCs w:val="21"/>
                <w:lang w:val="en-US" w:eastAsia="zh-CN"/>
              </w:rPr>
            </w:pPr>
          </w:p>
        </w:tc>
        <w:tc>
          <w:tcPr>
            <w:tcW w:w="73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 w:val="18"/>
                <w:szCs w:val="18"/>
              </w:rPr>
            </w:pPr>
            <w:r>
              <w:rPr>
                <w:rFonts w:hint="eastAsia" w:ascii="微软雅黑" w:hAnsi="微软雅黑" w:eastAsia="微软雅黑" w:cs="微软雅黑"/>
                <w:kern w:val="0"/>
                <w:sz w:val="18"/>
                <w:szCs w:val="18"/>
              </w:rPr>
              <w:t>是否合格</w:t>
            </w: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42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44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8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142"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45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134"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95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381"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9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848"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73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44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8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142"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45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134"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95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381"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9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848"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73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23"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44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8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142"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45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134"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956"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1381"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939"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848"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735"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c>
          <w:tcPr>
            <w:tcW w:w="660" w:type="dxa"/>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ascii="微软雅黑" w:hAnsi="微软雅黑" w:eastAsia="微软雅黑" w:cs="微软雅黑"/>
                <w:kern w:val="0"/>
                <w:szCs w:val="21"/>
              </w:rPr>
            </w:pPr>
          </w:p>
        </w:tc>
      </w:tr>
    </w:tbl>
    <w:p>
      <w:pPr>
        <w:widowControl/>
        <w:spacing w:line="360" w:lineRule="exact"/>
        <w:rPr>
          <w:rFonts w:ascii="微软雅黑" w:hAnsi="微软雅黑" w:eastAsia="微软雅黑" w:cs="微软雅黑"/>
          <w:kern w:val="0"/>
          <w:szCs w:val="21"/>
        </w:rPr>
      </w:pPr>
      <w:bookmarkStart w:id="778" w:name="_Toc219175639"/>
      <w:bookmarkStart w:id="779" w:name="_Toc216582826"/>
      <w:bookmarkStart w:id="780" w:name="_Toc218935355"/>
    </w:p>
    <w:p>
      <w:pPr>
        <w:widowControl/>
        <w:spacing w:line="280" w:lineRule="exact"/>
        <w:rPr>
          <w:rFonts w:ascii="微软雅黑" w:hAnsi="微软雅黑" w:eastAsia="微软雅黑" w:cs="微软雅黑"/>
          <w:b/>
          <w:bCs/>
        </w:rPr>
        <w:sectPr>
          <w:headerReference r:id="rId7" w:type="first"/>
          <w:footerReference r:id="rId10" w:type="first"/>
          <w:headerReference r:id="rId5" w:type="default"/>
          <w:footerReference r:id="rId8" w:type="default"/>
          <w:headerReference r:id="rId6" w:type="even"/>
          <w:footerReference r:id="rId9" w:type="even"/>
          <w:pgSz w:w="16838" w:h="11905" w:orient="landscape"/>
          <w:pgMar w:top="1797" w:right="1440" w:bottom="1797" w:left="1440" w:header="851" w:footer="992" w:gutter="0"/>
          <w:cols w:space="0" w:num="1"/>
          <w:docGrid w:linePitch="462" w:charSpace="0"/>
        </w:sectPr>
      </w:pPr>
      <w:r>
        <w:rPr>
          <w:rFonts w:hint="eastAsia" w:ascii="微软雅黑" w:hAnsi="微软雅黑" w:eastAsia="微软雅黑" w:cs="微软雅黑"/>
          <w:b/>
          <w:bCs/>
          <w:kern w:val="0"/>
          <w:szCs w:val="21"/>
        </w:rPr>
        <w:t>注：</w:t>
      </w:r>
      <w:bookmarkStart w:id="781" w:name="_Toc4845"/>
      <w:bookmarkStart w:id="782" w:name="_Toc13883"/>
      <w:bookmarkStart w:id="783" w:name="_Toc20210"/>
      <w:r>
        <w:rPr>
          <w:rFonts w:hint="eastAsia" w:ascii="微软雅黑" w:hAnsi="微软雅黑" w:eastAsia="微软雅黑" w:cs="微软雅黑"/>
          <w:b/>
          <w:bCs/>
          <w:sz w:val="21"/>
          <w:szCs w:val="21"/>
        </w:rPr>
        <w:t>上述资质在资格审查过程中，潜在供应商提供的资质材料不全的，可打开相应文件正本进行进一步核实，符合条件的均为合格供应商。</w:t>
      </w:r>
      <w:bookmarkEnd w:id="781"/>
      <w:bookmarkEnd w:id="782"/>
      <w:bookmarkEnd w:id="783"/>
    </w:p>
    <w:p>
      <w:pPr>
        <w:pStyle w:val="3"/>
        <w:tabs>
          <w:tab w:val="left" w:pos="0"/>
        </w:tabs>
        <w:snapToGrid w:val="0"/>
        <w:spacing w:before="0" w:after="0" w:line="240" w:lineRule="atLeast"/>
        <w:jc w:val="center"/>
        <w:textAlignment w:val="baseline"/>
        <w:rPr>
          <w:rFonts w:hint="eastAsia" w:ascii="微软雅黑" w:hAnsi="微软雅黑" w:eastAsia="微软雅黑" w:cs="微软雅黑"/>
          <w:b/>
          <w:bCs/>
          <w:color w:val="auto"/>
          <w:kern w:val="0"/>
          <w:sz w:val="24"/>
          <w:szCs w:val="24"/>
          <w:highlight w:val="none"/>
          <w:lang w:val="en-US" w:eastAsia="zh-CN" w:bidi="ar-SA"/>
        </w:rPr>
      </w:pPr>
      <w:bookmarkStart w:id="784" w:name="_Toc4760"/>
      <w:r>
        <w:rPr>
          <w:rFonts w:hint="eastAsia" w:ascii="微软雅黑" w:hAnsi="微软雅黑" w:eastAsia="微软雅黑" w:cs="微软雅黑"/>
          <w:b/>
          <w:bCs/>
          <w:color w:val="auto"/>
          <w:kern w:val="0"/>
          <w:sz w:val="24"/>
          <w:szCs w:val="24"/>
          <w:highlight w:val="none"/>
          <w:lang w:val="en-US" w:eastAsia="zh-CN" w:bidi="ar-SA"/>
        </w:rPr>
        <w:t>第5章 服务需求</w:t>
      </w:r>
      <w:bookmarkEnd w:id="784"/>
    </w:p>
    <w:p>
      <w:pPr>
        <w:pStyle w:val="43"/>
        <w:keepNext w:val="0"/>
        <w:keepLines w:val="0"/>
        <w:pageBreakBefore w:val="0"/>
        <w:numPr>
          <w:ilvl w:val="0"/>
          <w:numId w:val="0"/>
        </w:numPr>
        <w:kinsoku/>
        <w:wordWrap/>
        <w:overflowPunct/>
        <w:topLinePunct w:val="0"/>
        <w:bidi w:val="0"/>
        <w:adjustRightInd/>
        <w:snapToGrid w:val="0"/>
        <w:spacing w:line="360" w:lineRule="auto"/>
        <w:ind w:left="0" w:leftChars="0" w:firstLine="480" w:firstLineChars="200"/>
        <w:textAlignment w:val="baseline"/>
        <w:outlineLvl w:val="1"/>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一、服务需求</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bookmarkStart w:id="785" w:name="_Toc6081"/>
      <w:bookmarkStart w:id="786" w:name="_Toc13644"/>
      <w:bookmarkStart w:id="787" w:name="_Toc18397"/>
      <w:r>
        <w:rPr>
          <w:rFonts w:hint="eastAsia" w:ascii="微软雅黑" w:hAnsi="微软雅黑" w:eastAsia="微软雅黑" w:cs="微软雅黑"/>
          <w:b w:val="0"/>
          <w:bCs w:val="0"/>
          <w:color w:val="auto"/>
          <w:kern w:val="0"/>
          <w:sz w:val="24"/>
          <w:szCs w:val="24"/>
          <w:highlight w:val="none"/>
          <w:lang w:val="en-US" w:eastAsia="zh-CN" w:bidi="ar-SA"/>
        </w:rPr>
        <w:t>（一）传播魅力独特的丝路风情，充分展示美好喀什形象，策划并组织实施系列活动。</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1.印象喀什活动：在古城夜市常态开展以印象喀什为主题的民族歌舞体验活动，最大程度营造热闹喧嚣的夜市氛围，开展活动不少于150场次，每场次参与人员不少于70人，每场活动不少于75分钟；</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2.丝路驼队活动：在古城景区常态开展以丝路驼队、西域公主选郎等形式的沉浸体验活动，展现丝路独有的异域风情，开展活动不少于180场次，每场次参与人员不少于40人，每场活动不少于35分钟；</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3.快闪活动：在古城景区常态开展正能量的互动快闪活动，最大程度营造活动的震撼效果并最大限度地传递正能量，开展活动不少于150场次，每场次参与人员不少于40人，每场活动不少于45分钟。</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（二）服务期限：6个月</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服务地点：喀什古城景区管委会指定地点</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（三）付款方式：甲乙双方在合同中约定</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（四）验收：由采购人牵头，按照行业标准、采购文件、响应文件和书面承诺等进行验收，未达到服务要求的，由成交人承担全部责任。</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二、其他要求（以下要求仅作为评审因素，不提供不作为废标条款）</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（一）供应商须在响应文件中提供详细的项目整体方案，一旦成交之后须严格按照要求及承诺提供服务。方案包含但不限于以下内容:</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1、服务实施计划方案。</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(1) 提出针对本项目特点和实际情况的活动执行方案。</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(2) 投标单位自行配备执行团队，项目团队配置合理、人员构成科学、专业性强、团队经验丰富，在响应文件中应列明拟投入本项目服务支持人员情况表。</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2、服务质量保证措施。</w:t>
      </w:r>
    </w:p>
    <w:p>
      <w:pPr>
        <w:pStyle w:val="49"/>
        <w:keepNext w:val="0"/>
        <w:keepLines w:val="0"/>
        <w:pageBreakBefore w:val="0"/>
        <w:kinsoku/>
        <w:wordWrap/>
        <w:overflowPunct/>
        <w:topLinePunct w:val="0"/>
        <w:bidi w:val="0"/>
        <w:adjustRightInd/>
        <w:ind w:left="0" w:firstLine="480" w:firstLineChars="200"/>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3、列明服务承诺及应急措施，需涉及到人员安全防护、交通安全、紧急情况、疫情防控安全措施等内容。</w:t>
      </w:r>
    </w:p>
    <w:p>
      <w:pPr>
        <w:keepNext w:val="0"/>
        <w:keepLines w:val="0"/>
        <w:pageBreakBefore w:val="0"/>
        <w:kinsoku/>
        <w:wordWrap/>
        <w:overflowPunct/>
        <w:topLinePunct w:val="0"/>
        <w:bidi w:val="0"/>
        <w:adjustRightInd/>
        <w:ind w:left="0" w:firstLine="480" w:firstLineChars="200"/>
      </w:pPr>
      <w:r>
        <w:rPr>
          <w:rFonts w:hint="eastAsia" w:ascii="微软雅黑" w:hAnsi="微软雅黑" w:eastAsia="微软雅黑" w:cs="微软雅黑"/>
          <w:b w:val="0"/>
          <w:bCs w:val="0"/>
          <w:color w:val="auto"/>
          <w:kern w:val="0"/>
          <w:sz w:val="24"/>
          <w:szCs w:val="24"/>
          <w:highlight w:val="none"/>
          <w:lang w:val="en-US" w:eastAsia="zh-CN" w:bidi="ar-SA"/>
        </w:rPr>
        <w:t>（二）围绕“传播魅力独特的丝路风情，充分展示美好喀什形象”结合印象喀什活动、丝路驼队活动、快闪活动的主题，系列活动的呈现方式、要求提供宣传推广方案。</w:t>
      </w:r>
      <w:bookmarkEnd w:id="785"/>
      <w:bookmarkEnd w:id="786"/>
      <w:bookmarkEnd w:id="787"/>
    </w:p>
    <w:p>
      <w:pPr>
        <w:pStyle w:val="49"/>
        <w:ind w:firstLine="240" w:firstLineChars="100"/>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3"/>
        <w:tabs>
          <w:tab w:val="left" w:pos="0"/>
        </w:tabs>
        <w:snapToGrid w:val="0"/>
        <w:spacing w:before="0" w:after="0" w:line="240" w:lineRule="atLeast"/>
        <w:textAlignment w:val="baseline"/>
        <w:rPr>
          <w:rFonts w:ascii="微软雅黑" w:hAnsi="微软雅黑" w:eastAsia="微软雅黑" w:cs="微软雅黑"/>
          <w:b w:val="0"/>
          <w:sz w:val="24"/>
        </w:rPr>
      </w:pPr>
      <w:bookmarkStart w:id="788" w:name="_Toc15762"/>
      <w:r>
        <w:rPr>
          <w:rFonts w:hint="eastAsia" w:ascii="微软雅黑" w:hAnsi="微软雅黑" w:eastAsia="微软雅黑" w:cs="微软雅黑"/>
        </w:rPr>
        <w:t xml:space="preserve">第6章 </w:t>
      </w:r>
      <w:bookmarkStart w:id="789" w:name="_Toc7971"/>
      <w:bookmarkStart w:id="790" w:name="_Toc507399907"/>
      <w:bookmarkStart w:id="791" w:name="_Toc32647"/>
      <w:bookmarkStart w:id="792" w:name="_Toc515647832"/>
      <w:r>
        <w:rPr>
          <w:rFonts w:hint="eastAsia" w:ascii="微软雅黑" w:hAnsi="微软雅黑" w:eastAsia="微软雅黑" w:cs="微软雅黑"/>
        </w:rPr>
        <w:t>评审方法和标准</w:t>
      </w:r>
      <w:bookmarkEnd w:id="778"/>
      <w:bookmarkEnd w:id="779"/>
      <w:bookmarkEnd w:id="780"/>
      <w:bookmarkEnd w:id="788"/>
      <w:bookmarkEnd w:id="789"/>
      <w:bookmarkEnd w:id="790"/>
      <w:bookmarkEnd w:id="791"/>
      <w:bookmarkEnd w:id="792"/>
    </w:p>
    <w:p>
      <w:pPr>
        <w:pStyle w:val="12"/>
        <w:keepNext w:val="0"/>
        <w:keepLines w:val="0"/>
        <w:pageBreakBefore w:val="0"/>
        <w:kinsoku/>
        <w:wordWrap/>
        <w:overflowPunct/>
        <w:topLinePunct w:val="0"/>
        <w:bidi w:val="0"/>
        <w:snapToGrid w:val="0"/>
        <w:spacing w:before="0" w:beforeAutospacing="0" w:after="0" w:afterAutospacing="0" w:line="400" w:lineRule="exact"/>
        <w:ind w:firstLine="540" w:firstLineChars="225"/>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本项目将按照磋商文件第一章供应商须知中“五 磋商开启及评审”、“六 确定成交”及本章的规定评标。</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rPr>
      </w:pPr>
      <w:r>
        <w:rPr>
          <w:rFonts w:hint="eastAsia" w:ascii="微软雅黑" w:hAnsi="微软雅黑" w:eastAsia="微软雅黑" w:cs="微软雅黑"/>
          <w:b/>
          <w:bCs/>
          <w:i w:val="0"/>
          <w:caps w:val="0"/>
          <w:color w:val="auto"/>
          <w:spacing w:val="0"/>
          <w:w w:val="100"/>
          <w:sz w:val="24"/>
          <w:highlight w:val="none"/>
        </w:rPr>
        <w:t>注：1.磋商无效的情形：</w:t>
      </w:r>
    </w:p>
    <w:p>
      <w:pPr>
        <w:keepNext w:val="0"/>
        <w:keepLines w:val="0"/>
        <w:pageBreakBefore w:val="0"/>
        <w:widowControl/>
        <w:numPr>
          <w:ilvl w:val="0"/>
          <w:numId w:val="5"/>
        </w:numPr>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单位负责人为同一人或者存在直接控股、管理关系的不同供应商，其相关磋商将被认定为磋商无效。</w:t>
      </w:r>
    </w:p>
    <w:p>
      <w:pPr>
        <w:keepNext w:val="0"/>
        <w:keepLines w:val="0"/>
        <w:pageBreakBefore w:val="0"/>
        <w:widowControl/>
        <w:numPr>
          <w:ilvl w:val="0"/>
          <w:numId w:val="0"/>
        </w:numPr>
        <w:kinsoku/>
        <w:wordWrap/>
        <w:overflowPunct/>
        <w:topLinePunct w:val="0"/>
        <w:bidi w:val="0"/>
        <w:snapToGrid w:val="0"/>
        <w:spacing w:before="0" w:beforeAutospacing="0" w:after="0" w:afterAutospacing="0" w:line="400" w:lineRule="exact"/>
        <w:jc w:val="both"/>
        <w:textAlignment w:val="baseline"/>
        <w:rPr>
          <w:rFonts w:hint="eastAsia"/>
        </w:rPr>
      </w:pPr>
      <w:r>
        <w:rPr>
          <w:rFonts w:hint="eastAsia" w:ascii="微软雅黑" w:hAnsi="微软雅黑" w:eastAsia="微软雅黑" w:cs="微软雅黑"/>
          <w:b w:val="0"/>
          <w:i w:val="0"/>
          <w:caps w:val="0"/>
          <w:color w:val="auto"/>
          <w:spacing w:val="0"/>
          <w:w w:val="100"/>
          <w:sz w:val="24"/>
          <w:highlight w:val="none"/>
          <w:lang w:eastAsia="zh-CN"/>
        </w:rPr>
        <w:t>（</w:t>
      </w:r>
      <w:r>
        <w:rPr>
          <w:rFonts w:hint="eastAsia" w:ascii="微软雅黑" w:hAnsi="微软雅黑" w:eastAsia="微软雅黑" w:cs="微软雅黑"/>
          <w:b w:val="0"/>
          <w:i w:val="0"/>
          <w:caps w:val="0"/>
          <w:color w:val="auto"/>
          <w:spacing w:val="0"/>
          <w:w w:val="100"/>
          <w:sz w:val="24"/>
          <w:highlight w:val="none"/>
          <w:lang w:val="en-US" w:eastAsia="zh-CN"/>
        </w:rPr>
        <w:t>2</w:t>
      </w:r>
      <w:r>
        <w:rPr>
          <w:rFonts w:hint="eastAsia" w:ascii="微软雅黑" w:hAnsi="微软雅黑" w:eastAsia="微软雅黑" w:cs="微软雅黑"/>
          <w:b w:val="0"/>
          <w:i w:val="0"/>
          <w:caps w:val="0"/>
          <w:color w:val="auto"/>
          <w:spacing w:val="0"/>
          <w:w w:val="100"/>
          <w:sz w:val="24"/>
          <w:highlight w:val="none"/>
          <w:lang w:eastAsia="zh-CN"/>
        </w:rPr>
        <w:t>）</w:t>
      </w:r>
      <w:r>
        <w:rPr>
          <w:rFonts w:hint="eastAsia" w:ascii="微软雅黑" w:hAnsi="微软雅黑" w:eastAsia="微软雅黑" w:cs="微软雅黑"/>
          <w:b w:val="0"/>
          <w:i w:val="0"/>
          <w:caps w:val="0"/>
          <w:color w:val="auto"/>
          <w:spacing w:val="0"/>
          <w:w w:val="100"/>
          <w:sz w:val="24"/>
          <w:highlight w:val="none"/>
        </w:rPr>
        <w:t>为本项目提供过整体设计、规范编制或者项目管理、监理、检测等</w:t>
      </w:r>
      <w:r>
        <w:rPr>
          <w:rFonts w:hint="eastAsia" w:ascii="微软雅黑" w:hAnsi="微软雅黑" w:eastAsia="微软雅黑" w:cs="微软雅黑"/>
          <w:b w:val="0"/>
          <w:i w:val="0"/>
          <w:caps w:val="0"/>
          <w:color w:val="auto"/>
          <w:spacing w:val="0"/>
          <w:w w:val="100"/>
          <w:sz w:val="24"/>
          <w:highlight w:val="none"/>
          <w:lang w:eastAsia="zh-CN"/>
        </w:rPr>
        <w:t>服务</w:t>
      </w:r>
      <w:r>
        <w:rPr>
          <w:rFonts w:hint="eastAsia" w:ascii="微软雅黑" w:hAnsi="微软雅黑" w:eastAsia="微软雅黑" w:cs="微软雅黑"/>
          <w:b w:val="0"/>
          <w:i w:val="0"/>
          <w:caps w:val="0"/>
          <w:color w:val="auto"/>
          <w:spacing w:val="0"/>
          <w:w w:val="100"/>
          <w:sz w:val="24"/>
          <w:highlight w:val="none"/>
        </w:rPr>
        <w:t>的供应商，不得再参加本项目上述</w:t>
      </w:r>
      <w:r>
        <w:rPr>
          <w:rFonts w:hint="eastAsia" w:ascii="微软雅黑" w:hAnsi="微软雅黑" w:eastAsia="微软雅黑" w:cs="微软雅黑"/>
          <w:b w:val="0"/>
          <w:i w:val="0"/>
          <w:caps w:val="0"/>
          <w:color w:val="auto"/>
          <w:spacing w:val="0"/>
          <w:w w:val="100"/>
          <w:sz w:val="24"/>
          <w:highlight w:val="none"/>
          <w:lang w:eastAsia="zh-CN"/>
        </w:rPr>
        <w:t>服务</w:t>
      </w:r>
      <w:r>
        <w:rPr>
          <w:rFonts w:hint="eastAsia" w:ascii="微软雅黑" w:hAnsi="微软雅黑" w:eastAsia="微软雅黑" w:cs="微软雅黑"/>
          <w:b w:val="0"/>
          <w:i w:val="0"/>
          <w:caps w:val="0"/>
          <w:color w:val="auto"/>
          <w:spacing w:val="0"/>
          <w:w w:val="100"/>
          <w:sz w:val="24"/>
          <w:highlight w:val="none"/>
        </w:rPr>
        <w:t>以外的其他采购活动。否则其磋商将被认定为磋商无效。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lang w:eastAsia="zh-CN"/>
        </w:rPr>
        <w:t>（</w:t>
      </w:r>
      <w:r>
        <w:rPr>
          <w:rFonts w:hint="eastAsia" w:ascii="微软雅黑" w:hAnsi="微软雅黑" w:eastAsia="微软雅黑" w:cs="微软雅黑"/>
          <w:b w:val="0"/>
          <w:i w:val="0"/>
          <w:caps w:val="0"/>
          <w:color w:val="auto"/>
          <w:spacing w:val="0"/>
          <w:w w:val="100"/>
          <w:sz w:val="24"/>
          <w:highlight w:val="none"/>
          <w:lang w:val="en-US" w:eastAsia="zh-CN"/>
        </w:rPr>
        <w:t>3</w:t>
      </w:r>
      <w:r>
        <w:rPr>
          <w:rFonts w:hint="eastAsia" w:ascii="微软雅黑" w:hAnsi="微软雅黑" w:eastAsia="微软雅黑" w:cs="微软雅黑"/>
          <w:b w:val="0"/>
          <w:i w:val="0"/>
          <w:caps w:val="0"/>
          <w:color w:val="auto"/>
          <w:spacing w:val="0"/>
          <w:w w:val="100"/>
          <w:sz w:val="24"/>
          <w:highlight w:val="none"/>
          <w:lang w:eastAsia="zh-CN"/>
        </w:rPr>
        <w:t>）</w:t>
      </w:r>
      <w:r>
        <w:rPr>
          <w:rFonts w:hint="eastAsia" w:ascii="微软雅黑" w:hAnsi="微软雅黑" w:eastAsia="微软雅黑" w:cs="微软雅黑"/>
          <w:b w:val="0"/>
          <w:i w:val="0"/>
          <w:caps w:val="0"/>
          <w:color w:val="auto"/>
          <w:spacing w:val="0"/>
          <w:w w:val="100"/>
          <w:sz w:val="24"/>
          <w:highlight w:val="none"/>
        </w:rPr>
        <w:t>供应商在磋商过程中不得向采购人提供、给予任何有价值的物品，影响其正常决策行为。一经发现，其将被认定为磋商无效。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（4）供应商报价超过磋商文件规定的预算金额或者分项、分包最高限价的，其磋商将被认定为磋商无效。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 xml:space="preserve"> （6）供应商应当</w:t>
      </w:r>
      <w:r>
        <w:rPr>
          <w:rFonts w:hint="eastAsia" w:ascii="微软雅黑" w:hAnsi="微软雅黑" w:eastAsia="微软雅黑" w:cs="微软雅黑"/>
          <w:b w:val="0"/>
          <w:i w:val="0"/>
          <w:caps w:val="0"/>
          <w:color w:val="auto"/>
          <w:spacing w:val="0"/>
          <w:w w:val="100"/>
          <w:sz w:val="24"/>
          <w:highlight w:val="none"/>
          <w:lang w:eastAsia="zh-CN"/>
        </w:rPr>
        <w:t>对</w:t>
      </w:r>
      <w:r>
        <w:rPr>
          <w:rFonts w:hint="eastAsia" w:ascii="微软雅黑" w:hAnsi="微软雅黑" w:eastAsia="微软雅黑" w:cs="微软雅黑"/>
          <w:b w:val="0"/>
          <w:i w:val="0"/>
          <w:caps w:val="0"/>
          <w:color w:val="auto"/>
          <w:spacing w:val="0"/>
          <w:w w:val="100"/>
          <w:sz w:val="24"/>
          <w:highlight w:val="none"/>
        </w:rPr>
        <w:t>磋商文件中“</w:t>
      </w:r>
      <w:r>
        <w:rPr>
          <w:rFonts w:hint="eastAsia" w:ascii="微软雅黑" w:hAnsi="微软雅黑" w:eastAsia="微软雅黑" w:cs="微软雅黑"/>
          <w:b w:val="0"/>
          <w:i w:val="0"/>
          <w:caps w:val="0"/>
          <w:color w:val="auto"/>
          <w:spacing w:val="0"/>
          <w:w w:val="100"/>
          <w:sz w:val="24"/>
          <w:highlight w:val="none"/>
          <w:lang w:val="en-US" w:eastAsia="zh-CN"/>
        </w:rPr>
        <w:t>服务</w:t>
      </w:r>
      <w:r>
        <w:rPr>
          <w:rFonts w:hint="eastAsia" w:ascii="微软雅黑" w:hAnsi="微软雅黑" w:eastAsia="微软雅黑" w:cs="微软雅黑"/>
          <w:b w:val="0"/>
          <w:i w:val="0"/>
          <w:caps w:val="0"/>
          <w:color w:val="auto"/>
          <w:spacing w:val="0"/>
          <w:w w:val="100"/>
          <w:sz w:val="24"/>
          <w:highlight w:val="none"/>
        </w:rPr>
        <w:t>需求”所列的所有内容进行磋商，如仅响应某一包中的部分内容，其该包磋商将被认定为磋商无效。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（7）供应商未按本须知第12.1和12.3条规定提交磋商保证金的，其磋商资格将被认定为无效。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（8）所有磋商均以人民币报价。供应商的磋商报价应遵守《中华人民共和国价格法》。同时，根据《中华人民共和国政府采购法》第二条的规定，为保证公平竞争，如有</w:t>
      </w:r>
      <w:r>
        <w:rPr>
          <w:rFonts w:hint="eastAsia" w:ascii="微软雅黑" w:hAnsi="微软雅黑" w:eastAsia="微软雅黑" w:cs="微软雅黑"/>
          <w:b w:val="0"/>
          <w:i w:val="0"/>
          <w:caps w:val="0"/>
          <w:color w:val="auto"/>
          <w:spacing w:val="0"/>
          <w:w w:val="100"/>
          <w:sz w:val="24"/>
          <w:highlight w:val="none"/>
          <w:lang w:eastAsia="zh-CN"/>
        </w:rPr>
        <w:t>服务</w:t>
      </w:r>
      <w:r>
        <w:rPr>
          <w:rFonts w:hint="eastAsia" w:ascii="微软雅黑" w:hAnsi="微软雅黑" w:eastAsia="微软雅黑" w:cs="微软雅黑"/>
          <w:b w:val="0"/>
          <w:i w:val="0"/>
          <w:caps w:val="0"/>
          <w:color w:val="auto"/>
          <w:spacing w:val="0"/>
          <w:w w:val="100"/>
          <w:sz w:val="24"/>
          <w:highlight w:val="none"/>
        </w:rPr>
        <w:t>主体部分的赠与行为，其磋商将被认定为磋商无效。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（9）供应商所报的各分项磋商单价在合同履行过程中是固定不变的，不得以任何理由予以变更。任何包含价格调整要求的磋商，其磋商将被认定为磋商无效。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（10）磋商应在供应商须知资料表中规定时间内保持有效。磋商有效期不满足要求的磋商，其磋商将被认定为磋商无效。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（11）所有响应文件采用不可拆装的胶订方式装订，否则其磋商将被认定为磋商无效。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（12）采购人或采购代理机构将在开标前1个工作日至磋商截止后1小时的期间内查询供应商的信用记录。供应商存在不良信用记录的，其磋商将被认定为磋商无效。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13）总价金额与按单价汇总金额不一致的，以单价金额计算结果为准。同时出现两种以上不一致的，按照前款规定的顺序修正。修正后的报价按照第20.2条的规定经供应商确认后产生约束力，供应商不确认的，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14）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（15）如发现下列情况之一的，其磋商将被认定为磋商无效：</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未按磋商文件规定的形式和金额提交磋商保证金的；未按照磋商文件规定要求签署、盖章的；未满足磋商文件中技术条款的实质性要求；与其他供应商串通磋商，或者与招标人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rPr>
      </w:pPr>
      <w:r>
        <w:rPr>
          <w:rFonts w:hint="eastAsia" w:ascii="微软雅黑" w:hAnsi="微软雅黑" w:eastAsia="微软雅黑" w:cs="微软雅黑"/>
          <w:b/>
          <w:bCs/>
          <w:i w:val="0"/>
          <w:caps w:val="0"/>
          <w:color w:val="auto"/>
          <w:spacing w:val="0"/>
          <w:w w:val="100"/>
          <w:sz w:val="24"/>
          <w:highlight w:val="none"/>
        </w:rPr>
        <w:t>2.</w:t>
      </w:r>
      <w:r>
        <w:rPr>
          <w:rFonts w:hint="eastAsia" w:ascii="微软雅黑" w:hAnsi="微软雅黑" w:eastAsia="微软雅黑" w:cs="微软雅黑"/>
          <w:b/>
          <w:bCs/>
          <w:i w:val="0"/>
          <w:caps w:val="0"/>
          <w:color w:val="auto"/>
          <w:spacing w:val="0"/>
          <w:w w:val="100"/>
          <w:sz w:val="24"/>
          <w:highlight w:val="none"/>
          <w:lang w:eastAsia="zh-CN"/>
        </w:rPr>
        <w:t>本项目</w:t>
      </w:r>
      <w:r>
        <w:rPr>
          <w:rFonts w:hint="eastAsia" w:ascii="微软雅黑" w:hAnsi="微软雅黑" w:eastAsia="微软雅黑" w:cs="微软雅黑"/>
          <w:b/>
          <w:bCs/>
          <w:i w:val="0"/>
          <w:caps w:val="0"/>
          <w:color w:val="auto"/>
          <w:spacing w:val="0"/>
          <w:w w:val="100"/>
          <w:sz w:val="24"/>
          <w:highlight w:val="none"/>
        </w:rPr>
        <w:t>为了发挥政府采购的政策功能，促进符合国家经济和社会发展政策目标，产品、服务、信誉较好的中小企业发展，根据《</w:t>
      </w:r>
      <w:r>
        <w:rPr>
          <w:rFonts w:hint="eastAsia" w:ascii="微软雅黑" w:hAnsi="微软雅黑" w:eastAsia="微软雅黑" w:cs="微软雅黑"/>
          <w:b/>
          <w:bCs/>
          <w:i w:val="0"/>
          <w:caps w:val="0"/>
          <w:color w:val="auto"/>
          <w:spacing w:val="0"/>
          <w:w w:val="100"/>
          <w:sz w:val="24"/>
          <w:highlight w:val="none"/>
        </w:rPr>
        <w:fldChar w:fldCharType="begin"/>
      </w:r>
      <w:r>
        <w:rPr>
          <w:rFonts w:hint="eastAsia" w:ascii="微软雅黑" w:hAnsi="微软雅黑" w:eastAsia="微软雅黑" w:cs="微软雅黑"/>
          <w:b/>
          <w:bCs/>
          <w:i w:val="0"/>
          <w:caps w:val="0"/>
          <w:color w:val="auto"/>
          <w:spacing w:val="0"/>
          <w:w w:val="100"/>
          <w:sz w:val="24"/>
          <w:highlight w:val="none"/>
        </w:rPr>
        <w:instrText xml:space="preserve"> HYPERLINK "https://baike.so.com/doc/3508493.html" \t "https://baike.so.com/doc/_blank" </w:instrText>
      </w:r>
      <w:r>
        <w:rPr>
          <w:rFonts w:hint="eastAsia" w:ascii="微软雅黑" w:hAnsi="微软雅黑" w:eastAsia="微软雅黑" w:cs="微软雅黑"/>
          <w:b/>
          <w:bCs/>
          <w:i w:val="0"/>
          <w:caps w:val="0"/>
          <w:color w:val="auto"/>
          <w:spacing w:val="0"/>
          <w:w w:val="100"/>
          <w:sz w:val="24"/>
          <w:highlight w:val="none"/>
        </w:rPr>
        <w:fldChar w:fldCharType="separate"/>
      </w:r>
      <w:r>
        <w:rPr>
          <w:rFonts w:hint="eastAsia" w:ascii="微软雅黑" w:hAnsi="微软雅黑" w:eastAsia="微软雅黑" w:cs="微软雅黑"/>
          <w:b/>
          <w:bCs/>
          <w:i w:val="0"/>
          <w:caps w:val="0"/>
          <w:color w:val="auto"/>
          <w:spacing w:val="0"/>
          <w:w w:val="100"/>
          <w:sz w:val="24"/>
          <w:highlight w:val="none"/>
        </w:rPr>
        <w:t>中华人民共和国政府采购法</w:t>
      </w:r>
      <w:r>
        <w:rPr>
          <w:rFonts w:hint="eastAsia" w:ascii="微软雅黑" w:hAnsi="微软雅黑" w:eastAsia="微软雅黑" w:cs="微软雅黑"/>
          <w:b/>
          <w:bCs/>
          <w:i w:val="0"/>
          <w:caps w:val="0"/>
          <w:color w:val="auto"/>
          <w:spacing w:val="0"/>
          <w:w w:val="100"/>
          <w:sz w:val="24"/>
          <w:highlight w:val="none"/>
        </w:rPr>
        <w:fldChar w:fldCharType="end"/>
      </w:r>
      <w:r>
        <w:rPr>
          <w:rFonts w:hint="eastAsia" w:ascii="微软雅黑" w:hAnsi="微软雅黑" w:eastAsia="微软雅黑" w:cs="微软雅黑"/>
          <w:b/>
          <w:bCs/>
          <w:i w:val="0"/>
          <w:caps w:val="0"/>
          <w:color w:val="auto"/>
          <w:spacing w:val="0"/>
          <w:w w:val="100"/>
          <w:sz w:val="24"/>
          <w:highlight w:val="none"/>
        </w:rPr>
        <w:t>》、《中华人民共和国中小企业促进法》等有关法律法规，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i w:val="0"/>
          <w:caps w:val="0"/>
          <w:color w:val="auto"/>
          <w:spacing w:val="0"/>
          <w:w w:val="100"/>
          <w:sz w:val="24"/>
          <w:highlight w:val="none"/>
          <w:u w:val="single" w:color="000000"/>
        </w:rPr>
        <w:t xml:space="preserve">  6  </w:t>
      </w:r>
      <w:r>
        <w:rPr>
          <w:rFonts w:hint="eastAsia" w:ascii="微软雅黑" w:hAnsi="微软雅黑" w:eastAsia="微软雅黑" w:cs="微软雅黑"/>
          <w:b/>
          <w:bCs/>
          <w:i w:val="0"/>
          <w:caps w:val="0"/>
          <w:color w:val="auto"/>
          <w:spacing w:val="0"/>
          <w:w w:val="100"/>
          <w:sz w:val="24"/>
          <w:highlight w:val="none"/>
        </w:rPr>
        <w:t xml:space="preserve"> %后参与评审。对于同时属于小微企业、监狱企业或残疾人福利性单位的，不重复进行报价扣除。</w:t>
      </w:r>
    </w:p>
    <w:p>
      <w:pPr>
        <w:keepNext w:val="0"/>
        <w:keepLines w:val="0"/>
        <w:pageBreakBefore w:val="0"/>
        <w:widowControl/>
        <w:kinsoku/>
        <w:wordWrap/>
        <w:overflowPunct/>
        <w:topLinePunct w:val="0"/>
        <w:bidi w:val="0"/>
        <w:snapToGrid w:val="0"/>
        <w:spacing w:before="0" w:beforeAutospacing="0" w:after="0" w:afterAutospacing="0" w:line="400" w:lineRule="exact"/>
        <w:jc w:val="left"/>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3.联合协议中约定，小型、微型企业和监狱企业的协议合同金额占到联合体协议合同总金额30%以上的，可给予联合体</w:t>
      </w:r>
      <w:r>
        <w:rPr>
          <w:rFonts w:hint="eastAsia" w:ascii="微软雅黑" w:hAnsi="微软雅黑" w:eastAsia="微软雅黑" w:cs="微软雅黑"/>
          <w:b w:val="0"/>
          <w:i w:val="0"/>
          <w:caps w:val="0"/>
          <w:color w:val="auto"/>
          <w:spacing w:val="0"/>
          <w:w w:val="100"/>
          <w:sz w:val="24"/>
          <w:highlight w:val="none"/>
          <w:u w:val="single" w:color="000000"/>
        </w:rPr>
        <w:t xml:space="preserve"> 2%-3</w:t>
      </w:r>
      <w:r>
        <w:rPr>
          <w:rFonts w:hint="eastAsia" w:ascii="微软雅黑" w:hAnsi="微软雅黑" w:eastAsia="微软雅黑" w:cs="微软雅黑"/>
          <w:b w:val="0"/>
          <w:i w:val="0"/>
          <w:caps w:val="0"/>
          <w:color w:val="auto"/>
          <w:spacing w:val="0"/>
          <w:w w:val="100"/>
          <w:sz w:val="24"/>
          <w:highlight w:val="none"/>
        </w:rPr>
        <w:t>%的价格扣除。</w:t>
      </w:r>
      <w:r>
        <w:rPr>
          <w:rFonts w:hint="eastAsia" w:ascii="微软雅黑" w:hAnsi="微软雅黑" w:eastAsia="微软雅黑" w:cs="微软雅黑"/>
          <w:b/>
          <w:bCs/>
          <w:i w:val="0"/>
          <w:caps w:val="0"/>
          <w:color w:val="auto"/>
          <w:spacing w:val="0"/>
          <w:w w:val="100"/>
          <w:sz w:val="24"/>
          <w:highlight w:val="none"/>
        </w:rPr>
        <w:t>（本项目不适用）</w:t>
      </w:r>
    </w:p>
    <w:p>
      <w:pPr>
        <w:keepNext w:val="0"/>
        <w:keepLines w:val="0"/>
        <w:pageBreakBefore w:val="0"/>
        <w:widowControl/>
        <w:kinsoku/>
        <w:wordWrap/>
        <w:overflowPunct/>
        <w:topLinePunct w:val="0"/>
        <w:bidi w:val="0"/>
        <w:snapToGrid w:val="0"/>
        <w:spacing w:before="0" w:beforeAutospacing="0" w:after="0" w:afterAutospacing="0" w:line="400" w:lineRule="exact"/>
        <w:ind w:firstLine="480" w:firstLineChars="200"/>
        <w:jc w:val="left"/>
        <w:textAlignment w:val="baseline"/>
        <w:rPr>
          <w:rFonts w:hint="eastAsia" w:ascii="微软雅黑" w:hAnsi="微软雅黑" w:eastAsia="微软雅黑" w:cs="微软雅黑"/>
          <w:b w:val="0"/>
          <w:i w:val="0"/>
          <w:caps w:val="0"/>
          <w:color w:val="auto"/>
          <w:spacing w:val="0"/>
          <w:w w:val="100"/>
          <w:sz w:val="24"/>
          <w:highlight w:val="none"/>
        </w:rPr>
      </w:pPr>
      <w:r>
        <w:rPr>
          <w:rFonts w:hint="eastAsia" w:ascii="微软雅黑" w:hAnsi="微软雅黑" w:eastAsia="微软雅黑" w:cs="微软雅黑"/>
          <w:b w:val="0"/>
          <w:i w:val="0"/>
          <w:caps w:val="0"/>
          <w:color w:val="auto"/>
          <w:spacing w:val="0"/>
          <w:w w:val="100"/>
          <w:sz w:val="24"/>
          <w:highlight w:val="none"/>
        </w:rPr>
        <w:t>联合体各方均为小型、微型企业和监狱企业的，联合体视同为小型、微型企业和监狱企业。</w:t>
      </w:r>
    </w:p>
    <w:p>
      <w:pPr>
        <w:pStyle w:val="12"/>
        <w:keepNext w:val="0"/>
        <w:keepLines w:val="0"/>
        <w:pageBreakBefore w:val="0"/>
        <w:kinsoku/>
        <w:wordWrap/>
        <w:overflowPunct/>
        <w:topLinePunct w:val="0"/>
        <w:bidi w:val="0"/>
        <w:snapToGrid w:val="0"/>
        <w:spacing w:before="0" w:beforeAutospacing="0" w:after="0" w:afterAutospacing="0" w:line="400" w:lineRule="exact"/>
        <w:ind w:left="-61" w:leftChars="-29" w:firstLine="540" w:firstLineChars="225"/>
        <w:jc w:val="both"/>
        <w:textAlignment w:val="baseline"/>
        <w:rPr>
          <w:rFonts w:hint="eastAsia" w:ascii="微软雅黑" w:hAnsi="微软雅黑" w:eastAsia="微软雅黑" w:cs="微软雅黑"/>
          <w:b w:val="0"/>
          <w:bCs w:val="0"/>
          <w:i w:val="0"/>
          <w:caps w:val="0"/>
          <w:color w:val="auto"/>
          <w:spacing w:val="0"/>
          <w:w w:val="100"/>
          <w:sz w:val="24"/>
          <w:highlight w:val="none"/>
          <w:lang w:eastAsia="zh-CN"/>
        </w:rPr>
      </w:pPr>
      <w:r>
        <w:rPr>
          <w:rFonts w:hint="eastAsia" w:ascii="微软雅黑" w:hAnsi="微软雅黑" w:eastAsia="微软雅黑" w:cs="微软雅黑"/>
          <w:b w:val="0"/>
          <w:i w:val="0"/>
          <w:caps w:val="0"/>
          <w:color w:val="auto"/>
          <w:spacing w:val="0"/>
          <w:w w:val="100"/>
          <w:sz w:val="24"/>
          <w:highlight w:val="none"/>
          <w:lang w:val="en-US" w:eastAsia="zh-CN"/>
        </w:rPr>
        <w:t>4.</w:t>
      </w:r>
      <w:r>
        <w:rPr>
          <w:rFonts w:hint="eastAsia" w:ascii="微软雅黑" w:hAnsi="微软雅黑" w:eastAsia="微软雅黑" w:cs="微软雅黑"/>
          <w:b w:val="0"/>
          <w:i w:val="0"/>
          <w:caps w:val="0"/>
          <w:color w:val="auto"/>
          <w:spacing w:val="0"/>
          <w:w w:val="100"/>
          <w:sz w:val="24"/>
          <w:highlight w:val="none"/>
        </w:rPr>
        <w:t>供应商为提供</w:t>
      </w:r>
      <w:r>
        <w:rPr>
          <w:rFonts w:hint="eastAsia" w:ascii="微软雅黑" w:hAnsi="微软雅黑" w:eastAsia="微软雅黑" w:cs="微软雅黑"/>
          <w:b w:val="0"/>
          <w:i w:val="0"/>
          <w:caps w:val="0"/>
          <w:color w:val="auto"/>
          <w:spacing w:val="0"/>
          <w:w w:val="100"/>
          <w:sz w:val="24"/>
          <w:highlight w:val="none"/>
          <w:lang w:val="en-US" w:eastAsia="zh-CN"/>
        </w:rPr>
        <w:t>服务</w:t>
      </w:r>
      <w:r>
        <w:rPr>
          <w:rFonts w:hint="eastAsia" w:ascii="微软雅黑" w:hAnsi="微软雅黑" w:eastAsia="微软雅黑" w:cs="微软雅黑"/>
          <w:b w:val="0"/>
          <w:i w:val="0"/>
          <w:caps w:val="0"/>
          <w:color w:val="auto"/>
          <w:spacing w:val="0"/>
          <w:w w:val="100"/>
          <w:sz w:val="24"/>
          <w:highlight w:val="none"/>
        </w:rPr>
        <w:t>在磋商中伴随磋商的产品如被列入财政部与国家主管部门颁发的节能产品目录或环境标志产品目录或无线局域网产品目录，应提供相关证明，在评标时予以优先采购</w:t>
      </w:r>
      <w:r>
        <w:rPr>
          <w:rFonts w:hint="eastAsia" w:ascii="微软雅黑" w:hAnsi="微软雅黑" w:eastAsia="微软雅黑" w:cs="微软雅黑"/>
          <w:b w:val="0"/>
          <w:i w:val="0"/>
          <w:caps w:val="0"/>
          <w:color w:val="auto"/>
          <w:spacing w:val="0"/>
          <w:w w:val="100"/>
          <w:sz w:val="24"/>
          <w:highlight w:val="none"/>
          <w:lang w:eastAsia="zh-CN"/>
        </w:rPr>
        <w:t>，</w:t>
      </w:r>
      <w:r>
        <w:rPr>
          <w:rFonts w:hint="eastAsia" w:ascii="微软雅黑" w:hAnsi="微软雅黑" w:eastAsia="微软雅黑" w:cs="微软雅黑"/>
          <w:b w:val="0"/>
          <w:i w:val="0"/>
          <w:caps w:val="0"/>
          <w:color w:val="auto"/>
          <w:spacing w:val="0"/>
          <w:w w:val="100"/>
          <w:sz w:val="24"/>
          <w:szCs w:val="24"/>
          <w:highlight w:val="none"/>
        </w:rPr>
        <w:t>具体优惠措施为</w:t>
      </w:r>
      <w:r>
        <w:rPr>
          <w:rFonts w:hint="eastAsia" w:ascii="微软雅黑" w:hAnsi="微软雅黑" w:eastAsia="微软雅黑" w:cs="微软雅黑"/>
          <w:b w:val="0"/>
          <w:bCs w:val="0"/>
          <w:i w:val="0"/>
          <w:caps w:val="0"/>
          <w:color w:val="auto"/>
          <w:spacing w:val="0"/>
          <w:w w:val="100"/>
          <w:sz w:val="24"/>
          <w:szCs w:val="24"/>
          <w:highlight w:val="none"/>
          <w:u w:val="single" w:color="000000"/>
        </w:rPr>
        <w:t>：</w:t>
      </w:r>
      <w:r>
        <w:rPr>
          <w:rFonts w:hint="eastAsia" w:ascii="微软雅黑" w:hAnsi="微软雅黑" w:eastAsia="微软雅黑" w:cs="微软雅黑"/>
          <w:b w:val="0"/>
          <w:bCs w:val="0"/>
          <w:i w:val="0"/>
          <w:caps w:val="0"/>
          <w:color w:val="auto"/>
          <w:spacing w:val="0"/>
          <w:w w:val="100"/>
          <w:sz w:val="24"/>
          <w:szCs w:val="24"/>
          <w:highlight w:val="none"/>
          <w:u w:val="single" w:color="000000"/>
          <w:lang w:val="en-US" w:eastAsia="zh-CN"/>
        </w:rPr>
        <w:t>供应商</w:t>
      </w:r>
      <w:r>
        <w:rPr>
          <w:rFonts w:hint="eastAsia" w:ascii="微软雅黑" w:hAnsi="微软雅黑" w:eastAsia="微软雅黑" w:cs="微软雅黑"/>
          <w:b w:val="0"/>
          <w:bCs w:val="0"/>
          <w:i w:val="0"/>
          <w:caps w:val="0"/>
          <w:color w:val="auto"/>
          <w:spacing w:val="0"/>
          <w:w w:val="100"/>
          <w:sz w:val="24"/>
          <w:szCs w:val="24"/>
          <w:highlight w:val="none"/>
          <w:u w:val="single" w:color="000000"/>
        </w:rPr>
        <w:t>所投产品应优先选择《关于印发节能产品政府采购品目清单的通知》（财库〔2019〕19号）、《关于印发环境标志产品政府采购品目清单的通知》（财库〔2019〕</w:t>
      </w:r>
      <w:r>
        <w:rPr>
          <w:rFonts w:hint="eastAsia" w:ascii="微软雅黑" w:hAnsi="微软雅黑" w:eastAsia="微软雅黑" w:cs="微软雅黑"/>
          <w:b w:val="0"/>
          <w:bCs w:val="0"/>
          <w:i w:val="0"/>
          <w:caps w:val="0"/>
          <w:color w:val="auto"/>
          <w:spacing w:val="0"/>
          <w:w w:val="100"/>
          <w:sz w:val="24"/>
          <w:szCs w:val="24"/>
          <w:highlight w:val="none"/>
          <w:u w:val="single" w:color="000000"/>
          <w:lang w:val="en-US" w:eastAsia="zh-CN"/>
        </w:rPr>
        <w:t>18</w:t>
      </w:r>
      <w:r>
        <w:rPr>
          <w:rFonts w:hint="eastAsia" w:ascii="微软雅黑" w:hAnsi="微软雅黑" w:eastAsia="微软雅黑" w:cs="微软雅黑"/>
          <w:b w:val="0"/>
          <w:bCs w:val="0"/>
          <w:i w:val="0"/>
          <w:caps w:val="0"/>
          <w:color w:val="auto"/>
          <w:spacing w:val="0"/>
          <w:w w:val="100"/>
          <w:sz w:val="24"/>
          <w:szCs w:val="24"/>
          <w:highlight w:val="none"/>
          <w:u w:val="single" w:color="000000"/>
        </w:rPr>
        <w:t>号）目录内的产品。</w:t>
      </w:r>
    </w:p>
    <w:p>
      <w:pPr>
        <w:pStyle w:val="6"/>
        <w:keepNext w:val="0"/>
        <w:keepLines w:val="0"/>
        <w:pageBreakBefore w:val="0"/>
        <w:widowControl w:val="0"/>
        <w:kinsoku/>
        <w:wordWrap/>
        <w:overflowPunct/>
        <w:topLinePunct w:val="0"/>
        <w:bidi w:val="0"/>
        <w:snapToGrid w:val="0"/>
        <w:spacing w:before="0" w:beforeAutospacing="0" w:after="0" w:afterAutospacing="0" w:line="400" w:lineRule="exact"/>
        <w:ind w:firstLine="0"/>
        <w:jc w:val="left"/>
        <w:textAlignment w:val="baseline"/>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rPr>
        <w:t>5.</w:t>
      </w:r>
      <w:r>
        <w:rPr>
          <w:rFonts w:hint="eastAsia" w:ascii="微软雅黑" w:hAnsi="微软雅黑" w:eastAsia="微软雅黑" w:cs="微软雅黑"/>
          <w:b/>
          <w:bCs/>
          <w:i w:val="0"/>
          <w:caps w:val="0"/>
          <w:color w:val="auto"/>
          <w:spacing w:val="0"/>
          <w:w w:val="100"/>
          <w:sz w:val="24"/>
          <w:highlight w:val="none"/>
          <w:lang w:val="en-US" w:eastAsia="zh-CN"/>
        </w:rPr>
        <w:t>开标：</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（1）采购人和采购代理机构将按供应商须知资料表中规定的开启时间和地点组织竞争性磋商并邀请所有供应商代表参加。</w:t>
      </w:r>
    </w:p>
    <w:p>
      <w:pPr>
        <w:rPr>
          <w:rFonts w:hint="eastAsia" w:ascii="微软雅黑" w:hAnsi="微软雅黑" w:eastAsia="微软雅黑" w:cs="微软雅黑"/>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（2）磋商前，工作人员收走所有参会人员的手机，主持人宣布开标纪律。</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（3）密封性检查：由供应商或其推选的代表检查自己及所有供应商的响应文件的密封情况，并签字确认。</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（4）资格性检查：采购人或采购代理机构依据法律法规和磋商文件中规定的内容，对供应商的资格证明材料进行审查，并让供应商对资格审查结果进行签字确认。</w:t>
      </w:r>
    </w:p>
    <w:p>
      <w:pPr>
        <w:rPr>
          <w:rFonts w:hint="default"/>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5）宣读第一轮承诺情况：由代理机构工作人员当众拆分各供应商提交的报价一览表，宣读各供应商的第一次供货承诺情况（宣读内容：供应商名称、供货期、供货地点、供货承诺），并由各供应商对所宣读的内容进行签字确认。签字确认后各供应商退场等候二次磋商邀请。</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（6）供应商代表对开标过程和开标记录有疑义，以及认为采购人、采购代理机构相关工作人员有需要回避的情形的，应当场提出询问或者回避申请。</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6.评审：</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（1）评审办法：</w:t>
      </w:r>
      <w:r>
        <w:rPr>
          <w:rFonts w:hint="eastAsia" w:ascii="微软雅黑" w:hAnsi="微软雅黑" w:eastAsia="微软雅黑" w:cs="微软雅黑"/>
          <w:b/>
          <w:bCs w:val="0"/>
          <w:sz w:val="24"/>
          <w:lang w:val="en-US" w:eastAsia="zh-CN"/>
        </w:rPr>
        <w:t>本项目</w:t>
      </w:r>
      <w:r>
        <w:rPr>
          <w:rFonts w:hint="eastAsia" w:ascii="微软雅黑" w:hAnsi="微软雅黑" w:eastAsia="微软雅黑" w:cs="微软雅黑"/>
          <w:b/>
          <w:bCs w:val="0"/>
          <w:sz w:val="24"/>
        </w:rPr>
        <w:t>采用综合评分法</w:t>
      </w:r>
      <w:r>
        <w:rPr>
          <w:rFonts w:hint="eastAsia" w:ascii="微软雅黑" w:hAnsi="微软雅黑" w:eastAsia="微软雅黑" w:cs="微软雅黑"/>
          <w:b w:val="0"/>
          <w:bCs/>
          <w:sz w:val="24"/>
        </w:rPr>
        <w:t>，经磋商确定最终采购需求和提交最后报价的供应商后，由磋商小组采用综合评分法对提交最后报价的供应商的响应文件和最后报价进行综合评分。响应文件满足磋商文件全部实质性要求且按评审因素的量化指标评审得分最高的供应商为成交候选供应商的评审方法</w:t>
      </w:r>
      <w:r>
        <w:rPr>
          <w:rFonts w:hint="eastAsia" w:ascii="微软雅黑" w:hAnsi="微软雅黑" w:eastAsia="微软雅黑" w:cs="微软雅黑"/>
          <w:b w:val="0"/>
          <w:bCs/>
          <w:sz w:val="24"/>
          <w:lang w:eastAsia="zh-CN"/>
        </w:rPr>
        <w:t>。</w:t>
      </w:r>
    </w:p>
    <w:p>
      <w:pPr>
        <w:widowControl/>
        <w:snapToGrid w:val="0"/>
        <w:spacing w:line="400" w:lineRule="exact"/>
        <w:textAlignment w:val="baseline"/>
        <w:rPr>
          <w:rFonts w:ascii="微软雅黑" w:hAnsi="微软雅黑" w:eastAsia="微软雅黑" w:cs="微软雅黑"/>
          <w:sz w:val="24"/>
        </w:rPr>
      </w:pP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A</w:t>
      </w:r>
      <w:r>
        <w:rPr>
          <w:rFonts w:hint="eastAsia" w:ascii="微软雅黑" w:hAnsi="微软雅黑" w:eastAsia="微软雅黑" w:cs="微软雅黑"/>
          <w:sz w:val="24"/>
          <w:highlight w:val="none"/>
        </w:rPr>
        <w:t>）价格评分占</w:t>
      </w:r>
      <w:r>
        <w:rPr>
          <w:rFonts w:hint="eastAsia" w:ascii="微软雅黑" w:hAnsi="微软雅黑" w:eastAsia="微软雅黑" w:cs="微软雅黑"/>
          <w:sz w:val="24"/>
          <w:highlight w:val="none"/>
          <w:lang w:val="en-US" w:eastAsia="zh-CN"/>
        </w:rPr>
        <w:t>20</w:t>
      </w:r>
      <w:r>
        <w:rPr>
          <w:rFonts w:hint="eastAsia" w:ascii="微软雅黑" w:hAnsi="微软雅黑" w:eastAsia="微软雅黑" w:cs="微软雅黑"/>
          <w:sz w:val="24"/>
          <w:highlight w:val="none"/>
        </w:rPr>
        <w:t>%，</w:t>
      </w:r>
      <w:r>
        <w:rPr>
          <w:rFonts w:hint="eastAsia" w:ascii="微软雅黑" w:hAnsi="微软雅黑" w:eastAsia="微软雅黑" w:cs="微软雅黑"/>
          <w:sz w:val="24"/>
        </w:rPr>
        <w:t>完全满足磋商文件参数的投标报价中的最低价为评标基准价，按照下列公式计算每个投标人的投标价格得分。投标报价得分＝（基准价/投标报价）×价格权重×100。</w:t>
      </w:r>
    </w:p>
    <w:p>
      <w:pPr>
        <w:widowControl/>
        <w:snapToGrid w:val="0"/>
        <w:spacing w:line="400" w:lineRule="exact"/>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sz w:val="24"/>
        </w:rPr>
        <w:t>（</w:t>
      </w:r>
      <w:r>
        <w:rPr>
          <w:rFonts w:hint="eastAsia" w:ascii="微软雅黑" w:hAnsi="微软雅黑" w:eastAsia="微软雅黑" w:cs="微软雅黑"/>
          <w:sz w:val="24"/>
          <w:lang w:val="en-US" w:eastAsia="zh-CN"/>
        </w:rPr>
        <w:t>B</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eastAsia="zh-CN"/>
        </w:rPr>
        <w:t>技术</w:t>
      </w:r>
      <w:r>
        <w:rPr>
          <w:rFonts w:hint="eastAsia" w:ascii="微软雅黑" w:hAnsi="微软雅黑" w:eastAsia="微软雅黑" w:cs="微软雅黑"/>
          <w:sz w:val="24"/>
          <w:highlight w:val="none"/>
        </w:rPr>
        <w:t>商务评分占</w:t>
      </w:r>
      <w:r>
        <w:rPr>
          <w:rFonts w:hint="eastAsia" w:ascii="微软雅黑" w:hAnsi="微软雅黑" w:eastAsia="微软雅黑" w:cs="微软雅黑"/>
          <w:sz w:val="24"/>
          <w:highlight w:val="none"/>
          <w:lang w:val="en-US" w:eastAsia="zh-CN"/>
        </w:rPr>
        <w:t>80</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eastAsia="zh-CN"/>
        </w:rPr>
        <w:t>。</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2）评审专家来源：按照《中华人民共和国政府采购法》、《中华人民共和国政府采购法实施条例》、《政府采购竞争性磋商采购方式管理暂行办法》及本项目本级和上级财政部门的有关规定依法在政采云平台随机抽取3人，组成磋商小组，负责评审工作。</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3）评审前，代理机构工作人员收走所有评审专家的手机，主持人宣布评审纪律：遵守职业道德，遵循客观、公平、公正原则，依法为招标采购工作提供真实、准确、可靠的评审意见。保守供应商商业秘密，不得泄露投标文件的评审、中标候选人的推荐以及与评标有关的其他情况。</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4）初步评审：资格性审查。由磋商小组依据法律法规和磋商文件中规定的内容，对供应商的响应文件资格性进行审查，未通过资格审查的投标人不进入评审。通过资格审查的供应商少于不足三家的，不得评审。</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（5）初步评审：符合性审查。符合性审查是指依据磋商文件的规定，从响应文件的有效性和完整性对响应文件的响应程度进行审查，以确定是否对磋商文件的实质性要求做出响应。</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（6）磋商：经符合性审查合格的供应商，进入磋商环节。磋商小组所有成员集中与实质性响应磋商文件的单一供应商分别进行磋商。</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default"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7）对投标文件的澄清、说明或补正：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供应商的的澄清、说明或补正将作为响应文件的一部分。</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8）二次报价：竞争性磋商共有两次报价，二次报价为最终报价，磋商小组所有成员集中与实质性响应磋商文件的单一供应商分别进行磋商，磋商结束后，所有实质性响应的供应商根据与磋商小组所磋商的内容在规定时间内提交最终报价（二次报价），各供应商提交最终报价后退场等候评审结果。</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（9）评分：磋商小组根据磋商文件中规定的评审方法（综合评分法）和评审标准对提交最后报价供应商的响应文件进行评审。</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（10）推荐成交候选人：按照综合评分由高到低的顺序推荐成交候选人，并编写评审报告。</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7.定标：</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（1）采购代理机构应当在评审结束后2个工作日内将评审报告送采购人。</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2）采购人不委托评审委员会直接确定成交人。磋商小组推荐成交候选供应商的数量为3家。采购人应当自收到评审报告之日起５个工作日内，在评审报告推荐的成交候选人名单中按顺序确定成交人。成交候选人并列的，由采购人按照磋商文件规定的方式确定成交人。</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iCs w:val="0"/>
          <w:caps w:val="0"/>
          <w:color w:val="auto"/>
          <w:spacing w:val="0"/>
          <w:w w:val="100"/>
          <w:sz w:val="24"/>
          <w:highlight w:val="none"/>
          <w:u w:val="none" w:color="auto"/>
          <w:lang w:val="en-US" w:eastAsia="zh-CN"/>
        </w:rPr>
      </w:pPr>
      <w:r>
        <w:rPr>
          <w:rFonts w:hint="eastAsia" w:ascii="微软雅黑" w:hAnsi="微软雅黑" w:eastAsia="微软雅黑" w:cs="微软雅黑"/>
          <w:b w:val="0"/>
          <w:i w:val="0"/>
          <w:iCs w:val="0"/>
          <w:caps w:val="0"/>
          <w:color w:val="auto"/>
          <w:spacing w:val="0"/>
          <w:w w:val="100"/>
          <w:sz w:val="24"/>
          <w:highlight w:val="none"/>
          <w:u w:val="none" w:color="auto"/>
          <w:lang w:val="en-US" w:eastAsia="zh-CN"/>
        </w:rPr>
        <w:t>（3）</w:t>
      </w:r>
      <w:r>
        <w:rPr>
          <w:rFonts w:hint="eastAsia" w:ascii="微软雅黑" w:hAnsi="微软雅黑" w:eastAsia="微软雅黑" w:cs="微软雅黑"/>
          <w:b w:val="0"/>
          <w:i w:val="0"/>
          <w:iCs w:val="0"/>
          <w:caps w:val="0"/>
          <w:color w:val="auto"/>
          <w:spacing w:val="0"/>
          <w:w w:val="100"/>
          <w:sz w:val="24"/>
          <w:highlight w:val="none"/>
          <w:u w:val="none" w:color="auto"/>
        </w:rPr>
        <w:t>成交候选人并列式时的处理方式</w:t>
      </w:r>
      <w:r>
        <w:rPr>
          <w:rFonts w:hint="eastAsia" w:ascii="微软雅黑" w:hAnsi="微软雅黑" w:eastAsia="微软雅黑" w:cs="微软雅黑"/>
          <w:b w:val="0"/>
          <w:i w:val="0"/>
          <w:iCs w:val="0"/>
          <w:caps w:val="0"/>
          <w:color w:val="auto"/>
          <w:spacing w:val="0"/>
          <w:w w:val="100"/>
          <w:sz w:val="24"/>
          <w:highlight w:val="none"/>
          <w:u w:val="none" w:color="auto"/>
          <w:lang w:eastAsia="zh-CN"/>
        </w:rPr>
        <w:t>：</w:t>
      </w:r>
      <w:r>
        <w:rPr>
          <w:rFonts w:hint="eastAsia" w:ascii="微软雅黑" w:hAnsi="微软雅黑" w:eastAsia="微软雅黑" w:cs="微软雅黑"/>
          <w:b w:val="0"/>
          <w:i w:val="0"/>
          <w:iCs w:val="0"/>
          <w:caps w:val="0"/>
          <w:color w:val="auto"/>
          <w:spacing w:val="0"/>
          <w:w w:val="100"/>
          <w:kern w:val="2"/>
          <w:sz w:val="24"/>
          <w:szCs w:val="24"/>
          <w:highlight w:val="none"/>
          <w:u w:val="none" w:color="auto"/>
          <w:lang w:eastAsia="zh-CN"/>
        </w:rPr>
        <w:t>评审结果</w:t>
      </w:r>
      <w:r>
        <w:rPr>
          <w:rFonts w:hint="eastAsia" w:ascii="微软雅黑" w:hAnsi="微软雅黑" w:eastAsia="微软雅黑" w:cs="微软雅黑"/>
          <w:b w:val="0"/>
          <w:i w:val="0"/>
          <w:iCs w:val="0"/>
          <w:caps w:val="0"/>
          <w:color w:val="auto"/>
          <w:spacing w:val="0"/>
          <w:w w:val="100"/>
          <w:kern w:val="2"/>
          <w:sz w:val="24"/>
          <w:szCs w:val="24"/>
          <w:highlight w:val="none"/>
          <w:u w:val="none" w:color="auto"/>
        </w:rPr>
        <w:t xml:space="preserve">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p>
    <w:p>
      <w:pPr>
        <w:pStyle w:val="12"/>
        <w:keepNext w:val="0"/>
        <w:keepLines w:val="0"/>
        <w:pageBreakBefore w:val="0"/>
        <w:widowControl w:val="0"/>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b w:val="0"/>
          <w:i w:val="0"/>
          <w:caps w:val="0"/>
          <w:color w:val="auto"/>
          <w:spacing w:val="0"/>
          <w:w w:val="100"/>
          <w:sz w:val="24"/>
          <w:highlight w:val="none"/>
          <w:lang w:val="en-US" w:eastAsia="zh-CN"/>
        </w:rPr>
        <w:t>（4）采购人在收到评审报告5个工作日内未按评审报告推荐的成交候选人顺序确定成交人，又不能说明合法理由的，视同按评审报告推荐的顺序确定排名第一的成交候选人为成交人</w:t>
      </w:r>
      <w:bookmarkStart w:id="793" w:name="_Toc25450"/>
      <w:bookmarkStart w:id="794" w:name="_Toc15607"/>
      <w:bookmarkStart w:id="795" w:name="_Toc11629"/>
      <w:bookmarkStart w:id="796" w:name="_Toc19292"/>
      <w:bookmarkStart w:id="797" w:name="_Toc5997"/>
      <w:bookmarkStart w:id="798" w:name="_Toc4729"/>
      <w:bookmarkStart w:id="799" w:name="_Toc9048"/>
      <w:bookmarkStart w:id="800" w:name="_Toc18284"/>
      <w:bookmarkStart w:id="801" w:name="_Toc5480"/>
      <w:bookmarkStart w:id="802" w:name="_Toc3722"/>
    </w:p>
    <w:p/>
    <w:p>
      <w:pPr>
        <w:snapToGrid w:val="0"/>
        <w:spacing w:line="360" w:lineRule="exact"/>
        <w:jc w:val="center"/>
        <w:textAlignment w:val="baseline"/>
        <w:outlineLvl w:val="1"/>
        <w:rPr>
          <w:rFonts w:ascii="微软雅黑" w:hAnsi="微软雅黑" w:eastAsia="微软雅黑" w:cs="微软雅黑"/>
          <w:b/>
          <w:bCs/>
          <w:sz w:val="24"/>
        </w:rPr>
      </w:pPr>
      <w:bookmarkStart w:id="803" w:name="_Toc10077"/>
      <w:bookmarkStart w:id="804" w:name="_Toc1826"/>
      <w:bookmarkStart w:id="805" w:name="_Toc29790"/>
      <w:r>
        <w:rPr>
          <w:rFonts w:hint="eastAsia" w:ascii="微软雅黑" w:hAnsi="微软雅黑" w:eastAsia="微软雅黑" w:cs="微软雅黑"/>
          <w:b/>
          <w:bCs/>
          <w:sz w:val="24"/>
        </w:rPr>
        <w:t>初步评审—资格性审查表</w:t>
      </w:r>
      <w:bookmarkEnd w:id="793"/>
      <w:bookmarkEnd w:id="794"/>
      <w:bookmarkEnd w:id="795"/>
      <w:bookmarkEnd w:id="796"/>
      <w:bookmarkEnd w:id="797"/>
      <w:bookmarkEnd w:id="798"/>
      <w:bookmarkEnd w:id="799"/>
      <w:bookmarkEnd w:id="800"/>
      <w:bookmarkEnd w:id="801"/>
      <w:bookmarkEnd w:id="802"/>
      <w:bookmarkEnd w:id="803"/>
      <w:bookmarkEnd w:id="804"/>
      <w:bookmarkEnd w:id="805"/>
    </w:p>
    <w:tbl>
      <w:tblPr>
        <w:tblStyle w:val="35"/>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25"/>
        <w:gridCol w:w="912"/>
        <w:gridCol w:w="75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序号</w:t>
            </w:r>
          </w:p>
        </w:tc>
        <w:tc>
          <w:tcPr>
            <w:tcW w:w="722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评审内容</w:t>
            </w:r>
          </w:p>
        </w:tc>
        <w:tc>
          <w:tcPr>
            <w:tcW w:w="2389" w:type="dxa"/>
            <w:gridSpan w:val="3"/>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
                <w:sz w:val="24"/>
              </w:rPr>
            </w:pPr>
            <w:r>
              <w:rPr>
                <w:rFonts w:hint="eastAsia" w:ascii="微软雅黑" w:hAnsi="微软雅黑" w:eastAsia="微软雅黑" w:cs="微软雅黑"/>
                <w:b/>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p>
        </w:tc>
        <w:tc>
          <w:tcPr>
            <w:tcW w:w="722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p>
        </w:tc>
        <w:tc>
          <w:tcPr>
            <w:tcW w:w="912"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是否合格</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是否合格</w:t>
            </w:r>
          </w:p>
        </w:tc>
        <w:tc>
          <w:tcPr>
            <w:tcW w:w="727"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4"/>
              </w:rPr>
            </w:pPr>
            <w:r>
              <w:rPr>
                <w:rFonts w:hint="eastAsia" w:ascii="微软雅黑" w:hAnsi="微软雅黑" w:eastAsia="微软雅黑" w:cs="微软雅黑"/>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1</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rPr>
            </w:pPr>
            <w:r>
              <w:rPr>
                <w:rFonts w:hint="eastAsia" w:ascii="微软雅黑" w:hAnsi="微软雅黑" w:eastAsia="微软雅黑" w:cs="微软雅黑"/>
                <w:sz w:val="24"/>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w:t>
            </w:r>
            <w:r>
              <w:rPr>
                <w:rFonts w:hint="eastAsia" w:ascii="微软雅黑" w:hAnsi="微软雅黑" w:eastAsia="微软雅黑" w:cs="微软雅黑"/>
                <w:sz w:val="24"/>
                <w:lang w:eastAsia="zh-CN"/>
              </w:rPr>
              <w:t>提供查询记录并加盖公章</w:t>
            </w:r>
            <w:r>
              <w:rPr>
                <w:rFonts w:hint="eastAsia" w:ascii="微软雅黑" w:hAnsi="微软雅黑" w:eastAsia="微软雅黑" w:cs="微软雅黑"/>
                <w:sz w:val="24"/>
              </w:rPr>
              <w:t>）；</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2</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rPr>
            </w:pPr>
            <w:r>
              <w:rPr>
                <w:rFonts w:hint="eastAsia" w:ascii="微软雅黑" w:hAnsi="微软雅黑" w:eastAsia="微软雅黑" w:cs="微软雅黑"/>
                <w:kern w:val="0"/>
                <w:sz w:val="24"/>
                <w:lang w:eastAsia="zh-CN"/>
              </w:rPr>
              <w:t>提供有效的营业执照</w:t>
            </w:r>
            <w:r>
              <w:rPr>
                <w:rFonts w:hint="eastAsia" w:ascii="微软雅黑" w:hAnsi="微软雅黑" w:eastAsia="微软雅黑" w:cs="微软雅黑"/>
                <w:kern w:val="0"/>
                <w:sz w:val="24"/>
              </w:rPr>
              <w:t>；</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3</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rPr>
            </w:pPr>
            <w:r>
              <w:rPr>
                <w:rFonts w:hint="eastAsia" w:ascii="微软雅黑" w:hAnsi="微软雅黑" w:eastAsia="微软雅黑" w:cs="微软雅黑"/>
                <w:sz w:val="24"/>
              </w:rPr>
              <w:t>法人本人投标的提供法人身份证明及身份证，被授权委托人提供法人授权委托书及身份证；</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bCs/>
                <w:sz w:val="24"/>
              </w:rPr>
              <w:t>4</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rPr>
            </w:pPr>
            <w:r>
              <w:rPr>
                <w:rFonts w:hint="eastAsia" w:ascii="微软雅黑" w:hAnsi="微软雅黑" w:eastAsia="微软雅黑" w:cs="微软雅黑"/>
                <w:sz w:val="24"/>
                <w:lang w:eastAsia="zh-CN"/>
              </w:rPr>
              <w:t>投标单位提供本单位依法缴纳近三个月的社保证明</w:t>
            </w:r>
            <w:r>
              <w:rPr>
                <w:rFonts w:hint="eastAsia" w:ascii="微软雅黑" w:hAnsi="微软雅黑" w:eastAsia="微软雅黑" w:cs="微软雅黑"/>
                <w:sz w:val="24"/>
              </w:rPr>
              <w:t>；</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bCs/>
                <w:sz w:val="24"/>
              </w:rPr>
            </w:pPr>
            <w:r>
              <w:rPr>
                <w:rFonts w:hint="eastAsia" w:ascii="微软雅黑" w:hAnsi="微软雅黑" w:eastAsia="微软雅黑" w:cs="微软雅黑"/>
                <w:kern w:val="0"/>
                <w:sz w:val="24"/>
              </w:rPr>
              <w:t>5</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rPr>
            </w:pPr>
            <w:r>
              <w:rPr>
                <w:rFonts w:hint="eastAsia" w:ascii="微软雅黑" w:hAnsi="微软雅黑" w:eastAsia="微软雅黑" w:cs="微软雅黑"/>
                <w:sz w:val="24"/>
                <w:lang w:eastAsia="zh-CN"/>
              </w:rPr>
              <w:t>提供税务部门出具近三个月的完税证明</w:t>
            </w:r>
            <w:r>
              <w:rPr>
                <w:rFonts w:hint="eastAsia" w:ascii="微软雅黑" w:hAnsi="微软雅黑" w:eastAsia="微软雅黑" w:cs="微软雅黑"/>
                <w:sz w:val="24"/>
              </w:rPr>
              <w:t>；</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6</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sz w:val="24"/>
              </w:rPr>
            </w:pPr>
            <w:r>
              <w:rPr>
                <w:rFonts w:hint="eastAsia" w:ascii="微软雅黑" w:hAnsi="微软雅黑" w:eastAsia="微软雅黑" w:cs="微软雅黑"/>
                <w:sz w:val="24"/>
              </w:rPr>
              <w:t>提供2021年度的财务审计报告（新成立公司需提供银行资信证明）；</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7</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rPr>
            </w:pPr>
            <w:r>
              <w:rPr>
                <w:rFonts w:hint="eastAsia" w:ascii="微软雅黑" w:hAnsi="微软雅黑" w:eastAsia="微软雅黑" w:cs="微软雅黑"/>
                <w:kern w:val="0"/>
                <w:sz w:val="24"/>
              </w:rPr>
              <w:t>参加政府采购活动前3年内在经营活动中没有重大违法记录的书面声明；</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eastAsia"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8</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rPr>
            </w:pPr>
            <w:r>
              <w:rPr>
                <w:rFonts w:hint="eastAsia" w:ascii="微软雅黑" w:hAnsi="微软雅黑" w:eastAsia="微软雅黑" w:cs="微软雅黑"/>
                <w:kern w:val="0"/>
                <w:sz w:val="24"/>
              </w:rPr>
              <w:t>提供针对本次项目的反商业贿赂承诺书。 </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hint="default" w:ascii="微软雅黑" w:hAnsi="微软雅黑" w:eastAsia="微软雅黑" w:cs="微软雅黑"/>
                <w:kern w:val="0"/>
                <w:sz w:val="24"/>
                <w:lang w:val="en-US" w:eastAsia="zh-CN"/>
              </w:rPr>
            </w:pPr>
            <w:r>
              <w:rPr>
                <w:rFonts w:hint="eastAsia" w:ascii="微软雅黑" w:hAnsi="微软雅黑" w:eastAsia="微软雅黑" w:cs="微软雅黑"/>
                <w:kern w:val="0"/>
                <w:sz w:val="24"/>
                <w:lang w:val="en-US" w:eastAsia="zh-CN"/>
              </w:rPr>
              <w:t>9</w:t>
            </w:r>
          </w:p>
        </w:tc>
        <w:tc>
          <w:tcPr>
            <w:tcW w:w="7225" w:type="dxa"/>
            <w:vAlign w:val="center"/>
          </w:tcPr>
          <w:p>
            <w:pPr>
              <w:keepNext w:val="0"/>
              <w:keepLines w:val="0"/>
              <w:pageBreakBefore w:val="0"/>
              <w:widowControl w:val="0"/>
              <w:kinsoku/>
              <w:wordWrap/>
              <w:overflowPunct/>
              <w:topLinePunct w:val="0"/>
              <w:autoSpaceDE/>
              <w:autoSpaceDN/>
              <w:bidi w:val="0"/>
              <w:adjustRightInd/>
              <w:spacing w:line="320" w:lineRule="exact"/>
              <w:jc w:val="left"/>
              <w:rPr>
                <w:rFonts w:hint="eastAsia" w:ascii="微软雅黑" w:hAnsi="微软雅黑" w:eastAsia="微软雅黑" w:cs="微软雅黑"/>
                <w:kern w:val="0"/>
                <w:sz w:val="24"/>
              </w:rPr>
            </w:pPr>
            <w:r>
              <w:rPr>
                <w:rFonts w:hint="eastAsia" w:ascii="微软雅黑" w:hAnsi="微软雅黑" w:eastAsia="微软雅黑" w:cs="微软雅黑"/>
                <w:kern w:val="2"/>
                <w:sz w:val="24"/>
                <w:szCs w:val="24"/>
                <w:lang w:val="en-US" w:eastAsia="zh-CN" w:bidi="ar-SA"/>
              </w:rPr>
              <w:t>提供缴纳磋商保证金的有效凭证。</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baseline"/>
              <w:rPr>
                <w:rFonts w:ascii="微软雅黑" w:hAnsi="微软雅黑" w:eastAsia="微软雅黑" w:cs="微软雅黑"/>
                <w:sz w:val="24"/>
              </w:rPr>
            </w:pPr>
          </w:p>
        </w:tc>
        <w:tc>
          <w:tcPr>
            <w:tcW w:w="7225" w:type="dxa"/>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r>
              <w:rPr>
                <w:rFonts w:hint="eastAsia" w:ascii="微软雅黑" w:hAnsi="微软雅黑" w:eastAsia="微软雅黑" w:cs="微软雅黑"/>
                <w:sz w:val="24"/>
              </w:rPr>
              <w:t>结论</w:t>
            </w:r>
          </w:p>
        </w:tc>
        <w:tc>
          <w:tcPr>
            <w:tcW w:w="912"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50"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c>
          <w:tcPr>
            <w:tcW w:w="727" w:type="dxa"/>
          </w:tcPr>
          <w:p>
            <w:pPr>
              <w:keepNext w:val="0"/>
              <w:keepLines w:val="0"/>
              <w:pageBreakBefore w:val="0"/>
              <w:widowControl w:val="0"/>
              <w:kinsoku/>
              <w:wordWrap/>
              <w:overflowPunct/>
              <w:topLinePunct w:val="0"/>
              <w:autoSpaceDE/>
              <w:autoSpaceDN/>
              <w:bidi w:val="0"/>
              <w:adjustRightInd/>
              <w:snapToGrid w:val="0"/>
              <w:spacing w:line="320" w:lineRule="exact"/>
              <w:textAlignment w:val="baseline"/>
              <w:rPr>
                <w:rFonts w:ascii="微软雅黑" w:hAnsi="微软雅黑" w:eastAsia="微软雅黑" w:cs="微软雅黑"/>
                <w:sz w:val="24"/>
              </w:rPr>
            </w:pPr>
          </w:p>
        </w:tc>
      </w:tr>
    </w:tbl>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说明：（1）上述各项中用“√”表示通过，“×”表示不通过；</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（2）上述各项中如有一项为“×”，则结论为“×”，表示该磋商文件中存在重大偏差，不能通过初步评审；评委对某一分项评审认为不合格时，必须要写明原因。</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（3）磋商文件最终合格与否，以所有评委的评审意见中少数服从多数为原则定论。</w:t>
      </w:r>
    </w:p>
    <w:p>
      <w:pPr>
        <w:snapToGrid w:val="0"/>
        <w:spacing w:line="360" w:lineRule="exact"/>
        <w:textAlignment w:val="baseline"/>
        <w:rPr>
          <w:rFonts w:hint="eastAsia" w:ascii="微软雅黑" w:hAnsi="微软雅黑" w:eastAsia="微软雅黑" w:cs="微软雅黑"/>
          <w:b/>
          <w:bCs/>
          <w:sz w:val="24"/>
        </w:rPr>
      </w:pPr>
      <w:r>
        <w:rPr>
          <w:rFonts w:hint="eastAsia" w:ascii="微软雅黑" w:hAnsi="微软雅黑" w:eastAsia="微软雅黑" w:cs="微软雅黑"/>
          <w:b/>
          <w:bCs/>
          <w:sz w:val="24"/>
        </w:rPr>
        <w:t>备注：如果磋商文件中有一项未通过上述审查标准，评审委员会将认定整个磋商文件未响应磋商文件而予以废标处理。</w:t>
      </w:r>
      <w:bookmarkStart w:id="806" w:name="_Toc22896"/>
      <w:bookmarkStart w:id="807" w:name="_Toc20718"/>
      <w:bookmarkStart w:id="808" w:name="_Toc17652"/>
      <w:bookmarkStart w:id="809" w:name="_Toc22949"/>
      <w:bookmarkStart w:id="810" w:name="_Toc11623"/>
      <w:bookmarkStart w:id="811" w:name="_Toc29597"/>
      <w:bookmarkStart w:id="812" w:name="_Toc10503"/>
      <w:bookmarkStart w:id="813" w:name="_Toc25729"/>
      <w:bookmarkStart w:id="814" w:name="_Toc13208"/>
      <w:bookmarkStart w:id="815" w:name="_Toc17473"/>
      <w:bookmarkStart w:id="816" w:name="_Toc19552"/>
      <w:bookmarkStart w:id="817" w:name="_Toc347"/>
      <w:bookmarkStart w:id="818" w:name="_Toc23517"/>
    </w:p>
    <w:p>
      <w:pPr>
        <w:snapToGrid w:val="0"/>
        <w:spacing w:line="360" w:lineRule="exact"/>
        <w:textAlignment w:val="baseline"/>
        <w:rPr>
          <w:rFonts w:hint="eastAsia" w:ascii="微软雅黑" w:hAnsi="微软雅黑" w:eastAsia="微软雅黑" w:cs="微软雅黑"/>
          <w:b/>
          <w:sz w:val="28"/>
          <w:szCs w:val="28"/>
        </w:rPr>
      </w:pPr>
    </w:p>
    <w:p>
      <w:pPr>
        <w:snapToGrid w:val="0"/>
        <w:spacing w:line="360" w:lineRule="exact"/>
        <w:textAlignment w:val="baseline"/>
        <w:rPr>
          <w:rFonts w:hint="eastAsia" w:ascii="微软雅黑" w:hAnsi="微软雅黑" w:eastAsia="微软雅黑" w:cs="微软雅黑"/>
          <w:b/>
          <w:sz w:val="28"/>
          <w:szCs w:val="28"/>
        </w:rPr>
      </w:pPr>
    </w:p>
    <w:p>
      <w:pPr>
        <w:pStyle w:val="5"/>
        <w:rPr>
          <w:rFonts w:hint="eastAsia"/>
        </w:rPr>
      </w:pPr>
    </w:p>
    <w:p>
      <w:pPr>
        <w:snapToGrid w:val="0"/>
        <w:spacing w:line="360" w:lineRule="exact"/>
        <w:textAlignment w:val="baseline"/>
        <w:rPr>
          <w:rFonts w:hint="eastAsia" w:ascii="微软雅黑" w:hAnsi="微软雅黑" w:eastAsia="微软雅黑" w:cs="微软雅黑"/>
          <w:b/>
          <w:sz w:val="28"/>
          <w:szCs w:val="28"/>
        </w:rPr>
      </w:pPr>
    </w:p>
    <w:p>
      <w:pPr>
        <w:snapToGrid w:val="0"/>
        <w:spacing w:line="360" w:lineRule="exact"/>
        <w:jc w:val="center"/>
        <w:textAlignment w:val="baseline"/>
        <w:rPr>
          <w:rFonts w:ascii="微软雅黑" w:hAnsi="微软雅黑" w:eastAsia="微软雅黑" w:cs="微软雅黑"/>
          <w:b/>
          <w:sz w:val="28"/>
          <w:szCs w:val="28"/>
        </w:rPr>
      </w:pPr>
      <w:r>
        <w:rPr>
          <w:rFonts w:hint="eastAsia" w:ascii="微软雅黑" w:hAnsi="微软雅黑" w:eastAsia="微软雅黑" w:cs="微软雅黑"/>
          <w:b/>
          <w:sz w:val="28"/>
          <w:szCs w:val="28"/>
        </w:rPr>
        <w:t>初步评审—符合性审查表</w:t>
      </w:r>
      <w:bookmarkEnd w:id="806"/>
      <w:bookmarkEnd w:id="807"/>
      <w:bookmarkEnd w:id="808"/>
      <w:bookmarkEnd w:id="809"/>
      <w:bookmarkEnd w:id="810"/>
      <w:bookmarkEnd w:id="811"/>
      <w:bookmarkEnd w:id="812"/>
      <w:bookmarkEnd w:id="813"/>
      <w:bookmarkEnd w:id="814"/>
      <w:bookmarkEnd w:id="815"/>
      <w:bookmarkEnd w:id="816"/>
      <w:bookmarkEnd w:id="817"/>
      <w:bookmarkEnd w:id="818"/>
    </w:p>
    <w:tbl>
      <w:tblPr>
        <w:tblStyle w:val="35"/>
        <w:tblpPr w:leftFromText="180" w:rightFromText="180" w:vertAnchor="text" w:horzAnchor="page" w:tblpXSpec="center" w:tblpY="262"/>
        <w:tblOverlap w:val="never"/>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887"/>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51" w:type="dxa"/>
            <w:gridSpan w:val="2"/>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spacing w:val="-2"/>
                <w:sz w:val="24"/>
              </w:rPr>
              <w:t>评审内容</w:t>
            </w:r>
          </w:p>
        </w:tc>
        <w:tc>
          <w:tcPr>
            <w:tcW w:w="1668" w:type="dxa"/>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序号</w:t>
            </w:r>
          </w:p>
        </w:tc>
        <w:tc>
          <w:tcPr>
            <w:tcW w:w="6887" w:type="dxa"/>
            <w:vAlign w:val="center"/>
          </w:tcPr>
          <w:p>
            <w:pPr>
              <w:spacing w:line="400" w:lineRule="exact"/>
              <w:rPr>
                <w:rFonts w:ascii="微软雅黑" w:hAnsi="微软雅黑" w:eastAsia="微软雅黑" w:cs="微软雅黑"/>
                <w:spacing w:val="-2"/>
                <w:sz w:val="24"/>
              </w:rPr>
            </w:pPr>
          </w:p>
        </w:tc>
        <w:tc>
          <w:tcPr>
            <w:tcW w:w="1668" w:type="dxa"/>
            <w:vAlign w:val="center"/>
          </w:tcPr>
          <w:p>
            <w:pPr>
              <w:spacing w:line="400" w:lineRule="exact"/>
              <w:jc w:val="center"/>
              <w:rPr>
                <w:rFonts w:ascii="微软雅黑" w:hAnsi="微软雅黑" w:eastAsia="微软雅黑" w:cs="微软雅黑"/>
                <w:spacing w:val="-2"/>
                <w:sz w:val="24"/>
              </w:rPr>
            </w:pPr>
            <w:r>
              <w:rPr>
                <w:rFonts w:hint="eastAsia" w:ascii="微软雅黑" w:hAnsi="微软雅黑" w:eastAsia="微软雅黑" w:cs="微软雅黑"/>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1</w:t>
            </w:r>
          </w:p>
        </w:tc>
        <w:tc>
          <w:tcPr>
            <w:tcW w:w="6887" w:type="dxa"/>
            <w:vAlign w:val="center"/>
          </w:tcPr>
          <w:p>
            <w:pPr>
              <w:spacing w:line="240" w:lineRule="atLeas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磋商报价未高于预算金额</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2</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响应内容是否符合本竞争性磋商文件要求</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3</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供应商按竞争性磋商文件规定提交响应文件份数</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4</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响应文件制作、签署和盖章是否符合本竞争性磋商文件要求</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5</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按竞争性磋商文件规定的格式填写，内容全或关键字迹清晰、数量等齐全</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6</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没有采购人不能接受的附加条件的</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7</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供货地点及供货时间符合竞争性磋商文件</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ascii="微软雅黑" w:hAnsi="微软雅黑" w:eastAsia="微软雅黑" w:cs="微软雅黑"/>
                <w:sz w:val="24"/>
              </w:rPr>
            </w:pPr>
            <w:r>
              <w:rPr>
                <w:rFonts w:hint="eastAsia" w:ascii="微软雅黑" w:hAnsi="微软雅黑" w:eastAsia="微软雅黑" w:cs="微软雅黑"/>
                <w:sz w:val="24"/>
              </w:rPr>
              <w:t>8</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不同供应商的响应文件没有错漏一致的情况</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eastAsia"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9</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磋商有效期符合竞争性磋商文件</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10</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售后服务符合竞争性磋商文件要求</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11</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供应商附有详细地址、联系人、电话标明的</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4" w:type="dxa"/>
            <w:vAlign w:val="center"/>
          </w:tcPr>
          <w:p>
            <w:pPr>
              <w:spacing w:line="400" w:lineRule="exact"/>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12</w:t>
            </w:r>
          </w:p>
        </w:tc>
        <w:tc>
          <w:tcPr>
            <w:tcW w:w="6887" w:type="dxa"/>
            <w:vAlign w:val="center"/>
          </w:tcPr>
          <w:p>
            <w:pPr>
              <w:jc w:val="left"/>
              <w:rPr>
                <w:rFonts w:hint="eastAsia" w:ascii="微软雅黑" w:hAnsi="微软雅黑" w:eastAsia="微软雅黑" w:cs="微软雅黑"/>
                <w:spacing w:val="-2"/>
                <w:sz w:val="24"/>
              </w:rPr>
            </w:pPr>
            <w:r>
              <w:rPr>
                <w:rFonts w:hint="eastAsia" w:ascii="微软雅黑" w:hAnsi="微软雅黑" w:eastAsia="微软雅黑" w:cs="微软雅黑"/>
                <w:kern w:val="2"/>
                <w:sz w:val="24"/>
                <w:szCs w:val="24"/>
                <w:highlight w:val="none"/>
                <w:lang w:val="en-US" w:eastAsia="zh-CN" w:bidi="ar-SA"/>
              </w:rPr>
              <w:t>投标文件没有散页、活页、未胶装的</w:t>
            </w:r>
          </w:p>
        </w:tc>
        <w:tc>
          <w:tcPr>
            <w:tcW w:w="1668" w:type="dxa"/>
            <w:vAlign w:val="center"/>
          </w:tcPr>
          <w:p>
            <w:pPr>
              <w:spacing w:line="400" w:lineRule="exact"/>
              <w:rPr>
                <w:rFonts w:ascii="微软雅黑" w:hAnsi="微软雅黑" w:eastAsia="微软雅黑" w:cs="微软雅黑"/>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1" w:type="dxa"/>
            <w:gridSpan w:val="2"/>
            <w:vAlign w:val="center"/>
          </w:tcPr>
          <w:p>
            <w:pPr>
              <w:spacing w:line="400" w:lineRule="exact"/>
              <w:ind w:firstLine="424" w:firstLineChars="180"/>
              <w:rPr>
                <w:rFonts w:ascii="微软雅黑" w:hAnsi="微软雅黑" w:eastAsia="微软雅黑" w:cs="微软雅黑"/>
                <w:spacing w:val="-2"/>
                <w:sz w:val="24"/>
              </w:rPr>
            </w:pPr>
            <w:r>
              <w:rPr>
                <w:rFonts w:hint="eastAsia" w:ascii="微软雅黑" w:hAnsi="微软雅黑" w:eastAsia="微软雅黑" w:cs="微软雅黑"/>
                <w:spacing w:val="-2"/>
                <w:sz w:val="24"/>
              </w:rPr>
              <w:t>结论：通过评审打“√”，未通过评审打“×”</w:t>
            </w:r>
          </w:p>
        </w:tc>
        <w:tc>
          <w:tcPr>
            <w:tcW w:w="1668" w:type="dxa"/>
            <w:vAlign w:val="center"/>
          </w:tcPr>
          <w:p>
            <w:pPr>
              <w:spacing w:line="400" w:lineRule="exact"/>
              <w:ind w:firstLine="424" w:firstLineChars="180"/>
              <w:rPr>
                <w:rFonts w:ascii="微软雅黑" w:hAnsi="微软雅黑" w:eastAsia="微软雅黑" w:cs="微软雅黑"/>
                <w:spacing w:val="-2"/>
                <w:sz w:val="24"/>
              </w:rPr>
            </w:pPr>
          </w:p>
        </w:tc>
      </w:tr>
    </w:tbl>
    <w:p>
      <w:pPr>
        <w:snapToGrid w:val="0"/>
        <w:spacing w:line="360" w:lineRule="exact"/>
        <w:textAlignment w:val="baseline"/>
        <w:rPr>
          <w:rFonts w:ascii="微软雅黑" w:hAnsi="微软雅黑" w:eastAsia="微软雅黑" w:cs="微软雅黑"/>
          <w:sz w:val="24"/>
        </w:rPr>
      </w:pP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说明：</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（1）上述各项中用“√”表示通过，“×”表示不通过；</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（2）上述各项中如有一项为“×”，则结论为“×”，表示该磋商文件中存在重大偏差，不能通过初步评审；评委对某一分项评审认为不合格时，必须要写明原因。</w:t>
      </w:r>
    </w:p>
    <w:p>
      <w:pPr>
        <w:snapToGrid w:val="0"/>
        <w:spacing w:line="360" w:lineRule="exact"/>
        <w:textAlignment w:val="baseline"/>
        <w:rPr>
          <w:rFonts w:ascii="微软雅黑" w:hAnsi="微软雅黑" w:eastAsia="微软雅黑" w:cs="微软雅黑"/>
          <w:sz w:val="24"/>
        </w:rPr>
      </w:pPr>
      <w:r>
        <w:rPr>
          <w:rFonts w:hint="eastAsia" w:ascii="微软雅黑" w:hAnsi="微软雅黑" w:eastAsia="微软雅黑" w:cs="微软雅黑"/>
          <w:sz w:val="24"/>
        </w:rPr>
        <w:t>（3）磋商文件最终合格与否，以所有评委的评审意见中少数服从多数为原则定论。</w:t>
      </w:r>
    </w:p>
    <w:p>
      <w:pPr>
        <w:snapToGrid w:val="0"/>
        <w:spacing w:line="240" w:lineRule="atLeast"/>
        <w:ind w:left="1080" w:leftChars="257" w:hanging="540"/>
        <w:jc w:val="left"/>
        <w:textAlignment w:val="baseline"/>
        <w:rPr>
          <w:rFonts w:ascii="微软雅黑" w:hAnsi="微软雅黑" w:eastAsia="微软雅黑" w:cs="微软雅黑"/>
          <w:b/>
          <w:sz w:val="28"/>
          <w:szCs w:val="28"/>
        </w:rPr>
      </w:pPr>
      <w:r>
        <w:rPr>
          <w:rFonts w:hint="eastAsia" w:ascii="微软雅黑" w:hAnsi="微软雅黑" w:eastAsia="微软雅黑" w:cs="微软雅黑"/>
          <w:b/>
          <w:bCs/>
          <w:sz w:val="24"/>
        </w:rPr>
        <w:t>备注：如果磋商文件中有一项未通过上述审查标准，评审委员会将认定整个磋商文件未响应磋商文件而予以废标处理。</w:t>
      </w:r>
      <w:bookmarkStart w:id="819" w:name="_Toc25310"/>
      <w:bookmarkStart w:id="820" w:name="_Toc20930"/>
      <w:bookmarkStart w:id="821" w:name="_Toc507399904"/>
    </w:p>
    <w:p>
      <w:pPr>
        <w:pStyle w:val="6"/>
        <w:ind w:firstLine="0"/>
        <w:rPr>
          <w:rFonts w:ascii="微软雅黑" w:hAnsi="微软雅黑" w:eastAsia="微软雅黑" w:cs="微软雅黑"/>
        </w:rPr>
      </w:pPr>
    </w:p>
    <w:p>
      <w:pPr>
        <w:pStyle w:val="12"/>
        <w:snapToGrid w:val="0"/>
        <w:spacing w:before="0" w:line="360" w:lineRule="exact"/>
        <w:textAlignment w:val="baseline"/>
        <w:rPr>
          <w:rFonts w:ascii="微软雅黑" w:hAnsi="微软雅黑" w:eastAsia="微软雅黑" w:cs="微软雅黑"/>
          <w:b/>
          <w:sz w:val="28"/>
          <w:szCs w:val="28"/>
        </w:rPr>
      </w:pPr>
      <w:r>
        <w:rPr>
          <w:rFonts w:hint="eastAsia" w:ascii="微软雅黑" w:hAnsi="微软雅黑" w:eastAsia="微软雅黑" w:cs="微软雅黑"/>
        </w:rPr>
        <w:br w:type="page"/>
      </w:r>
    </w:p>
    <w:p>
      <w:pPr>
        <w:widowControl/>
        <w:jc w:val="center"/>
        <w:rPr>
          <w:rFonts w:hint="eastAsia" w:ascii="微软雅黑" w:hAnsi="微软雅黑" w:eastAsia="微软雅黑" w:cs="微软雅黑"/>
          <w:b/>
          <w:bCs/>
          <w:kern w:val="2"/>
          <w:sz w:val="21"/>
          <w:szCs w:val="21"/>
          <w:lang w:val="en-US" w:eastAsia="zh-CN" w:bidi="ar-SA"/>
        </w:rPr>
      </w:pPr>
      <w:r>
        <w:rPr>
          <w:rFonts w:hint="eastAsia" w:ascii="微软雅黑" w:hAnsi="微软雅黑" w:eastAsia="微软雅黑" w:cs="微软雅黑"/>
          <w:b/>
          <w:bCs/>
          <w:kern w:val="2"/>
          <w:sz w:val="21"/>
          <w:szCs w:val="21"/>
          <w:lang w:val="en-US" w:eastAsia="zh-CN" w:bidi="ar-SA"/>
        </w:rPr>
        <w:t>综合评分表</w:t>
      </w:r>
    </w:p>
    <w:p>
      <w:pPr>
        <w:pStyle w:val="6"/>
        <w:rPr>
          <w:rFonts w:hint="eastAsia" w:ascii="微软雅黑" w:hAnsi="微软雅黑" w:eastAsia="微软雅黑" w:cs="微软雅黑"/>
          <w:sz w:val="21"/>
          <w:szCs w:val="21"/>
          <w:lang w:val="en-US" w:eastAsia="zh-CN"/>
        </w:rPr>
      </w:pPr>
    </w:p>
    <w:tbl>
      <w:tblPr>
        <w:tblStyle w:val="35"/>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184"/>
        <w:gridCol w:w="489"/>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53" w:type="dxa"/>
            <w:noWrap w:val="0"/>
            <w:vAlign w:val="center"/>
          </w:tcPr>
          <w:p>
            <w:pPr>
              <w:widowControl/>
              <w:jc w:val="center"/>
              <w:rPr>
                <w:rFonts w:hint="eastAsia" w:ascii="微软雅黑" w:hAnsi="微软雅黑" w:eastAsia="微软雅黑" w:cs="微软雅黑"/>
                <w:b/>
                <w:bCs/>
                <w:kern w:val="2"/>
                <w:sz w:val="18"/>
                <w:szCs w:val="18"/>
                <w:highlight w:val="none"/>
                <w:lang w:val="en-US" w:eastAsia="zh-CN" w:bidi="ar-SA"/>
              </w:rPr>
            </w:pPr>
            <w:r>
              <w:rPr>
                <w:rFonts w:hint="eastAsia" w:ascii="微软雅黑" w:hAnsi="微软雅黑" w:eastAsia="微软雅黑" w:cs="微软雅黑"/>
                <w:b/>
                <w:bCs/>
                <w:kern w:val="2"/>
                <w:sz w:val="18"/>
                <w:szCs w:val="18"/>
                <w:highlight w:val="none"/>
                <w:lang w:val="en-US" w:eastAsia="zh-CN" w:bidi="ar-SA"/>
              </w:rPr>
              <w:t>序号</w:t>
            </w:r>
          </w:p>
        </w:tc>
        <w:tc>
          <w:tcPr>
            <w:tcW w:w="1184" w:type="dxa"/>
            <w:noWrap w:val="0"/>
            <w:vAlign w:val="center"/>
          </w:tcPr>
          <w:p>
            <w:pPr>
              <w:widowControl/>
              <w:jc w:val="center"/>
              <w:rPr>
                <w:rFonts w:hint="eastAsia" w:ascii="微软雅黑" w:hAnsi="微软雅黑" w:eastAsia="微软雅黑" w:cs="微软雅黑"/>
                <w:b/>
                <w:bCs/>
                <w:kern w:val="2"/>
                <w:sz w:val="18"/>
                <w:szCs w:val="18"/>
                <w:highlight w:val="none"/>
                <w:lang w:val="en-US" w:eastAsia="zh-CN" w:bidi="ar-SA"/>
              </w:rPr>
            </w:pPr>
            <w:r>
              <w:rPr>
                <w:rFonts w:hint="eastAsia" w:ascii="微软雅黑" w:hAnsi="微软雅黑" w:eastAsia="微软雅黑" w:cs="微软雅黑"/>
                <w:b/>
                <w:bCs/>
                <w:kern w:val="2"/>
                <w:sz w:val="18"/>
                <w:szCs w:val="18"/>
                <w:highlight w:val="none"/>
                <w:lang w:val="en-US" w:eastAsia="zh-CN" w:bidi="ar-SA"/>
              </w:rPr>
              <w:t>评分因素</w:t>
            </w:r>
          </w:p>
          <w:p>
            <w:pPr>
              <w:widowControl/>
              <w:jc w:val="center"/>
              <w:rPr>
                <w:rFonts w:hint="eastAsia" w:ascii="微软雅黑" w:hAnsi="微软雅黑" w:eastAsia="微软雅黑" w:cs="微软雅黑"/>
                <w:b/>
                <w:bCs/>
                <w:kern w:val="2"/>
                <w:sz w:val="18"/>
                <w:szCs w:val="18"/>
                <w:highlight w:val="none"/>
                <w:lang w:val="en-US" w:eastAsia="zh-CN" w:bidi="ar-SA"/>
              </w:rPr>
            </w:pPr>
            <w:r>
              <w:rPr>
                <w:rFonts w:hint="eastAsia" w:ascii="微软雅黑" w:hAnsi="微软雅黑" w:eastAsia="微软雅黑" w:cs="微软雅黑"/>
                <w:b/>
                <w:bCs/>
                <w:kern w:val="2"/>
                <w:sz w:val="18"/>
                <w:szCs w:val="18"/>
                <w:highlight w:val="none"/>
                <w:lang w:val="en-US" w:eastAsia="zh-CN" w:bidi="ar-SA"/>
              </w:rPr>
              <w:t>及权重</w:t>
            </w:r>
          </w:p>
        </w:tc>
        <w:tc>
          <w:tcPr>
            <w:tcW w:w="489" w:type="dxa"/>
            <w:noWrap w:val="0"/>
            <w:vAlign w:val="center"/>
          </w:tcPr>
          <w:p>
            <w:pPr>
              <w:widowControl/>
              <w:jc w:val="center"/>
              <w:rPr>
                <w:rFonts w:hint="eastAsia" w:ascii="微软雅黑" w:hAnsi="微软雅黑" w:eastAsia="微软雅黑" w:cs="微软雅黑"/>
                <w:b/>
                <w:bCs/>
                <w:kern w:val="2"/>
                <w:sz w:val="18"/>
                <w:szCs w:val="18"/>
                <w:highlight w:val="none"/>
                <w:lang w:val="en-US" w:eastAsia="zh-CN" w:bidi="ar-SA"/>
              </w:rPr>
            </w:pPr>
            <w:r>
              <w:rPr>
                <w:rFonts w:hint="eastAsia" w:ascii="微软雅黑" w:hAnsi="微软雅黑" w:eastAsia="微软雅黑" w:cs="微软雅黑"/>
                <w:b/>
                <w:bCs/>
                <w:kern w:val="2"/>
                <w:sz w:val="18"/>
                <w:szCs w:val="18"/>
                <w:highlight w:val="none"/>
                <w:lang w:val="en-US" w:eastAsia="zh-CN" w:bidi="ar-SA"/>
              </w:rPr>
              <w:t>分值</w:t>
            </w:r>
          </w:p>
        </w:tc>
        <w:tc>
          <w:tcPr>
            <w:tcW w:w="6892" w:type="dxa"/>
            <w:noWrap w:val="0"/>
            <w:vAlign w:val="center"/>
          </w:tcPr>
          <w:p>
            <w:pPr>
              <w:widowControl/>
              <w:jc w:val="center"/>
              <w:rPr>
                <w:rFonts w:hint="eastAsia" w:ascii="微软雅黑" w:hAnsi="微软雅黑" w:eastAsia="微软雅黑" w:cs="微软雅黑"/>
                <w:b/>
                <w:bCs/>
                <w:kern w:val="2"/>
                <w:sz w:val="18"/>
                <w:szCs w:val="18"/>
                <w:highlight w:val="none"/>
                <w:lang w:val="en-US" w:eastAsia="zh-CN" w:bidi="ar-SA"/>
              </w:rPr>
            </w:pPr>
            <w:r>
              <w:rPr>
                <w:rFonts w:hint="eastAsia" w:ascii="微软雅黑" w:hAnsi="微软雅黑" w:eastAsia="微软雅黑" w:cs="微软雅黑"/>
                <w:b/>
                <w:bCs/>
                <w:kern w:val="2"/>
                <w:sz w:val="18"/>
                <w:szCs w:val="18"/>
                <w:highlight w:val="none"/>
                <w:lang w:val="en-US" w:eastAsia="zh-CN" w:bidi="ar-SA"/>
              </w:rPr>
              <w:t>评分标准</w:t>
            </w:r>
          </w:p>
          <w:p>
            <w:pPr>
              <w:widowControl/>
              <w:jc w:val="center"/>
              <w:rPr>
                <w:rFonts w:hint="eastAsia" w:ascii="微软雅黑" w:hAnsi="微软雅黑" w:eastAsia="微软雅黑" w:cs="微软雅黑"/>
                <w:b/>
                <w:bCs/>
                <w:kern w:val="2"/>
                <w:sz w:val="18"/>
                <w:szCs w:val="18"/>
                <w:highlight w:val="none"/>
                <w:lang w:val="en-US" w:eastAsia="zh-CN" w:bidi="ar-SA"/>
              </w:rPr>
            </w:pPr>
            <w:r>
              <w:rPr>
                <w:rFonts w:hint="eastAsia" w:ascii="微软雅黑" w:hAnsi="微软雅黑" w:eastAsia="微软雅黑" w:cs="微软雅黑"/>
                <w:b/>
                <w:bCs/>
                <w:kern w:val="2"/>
                <w:sz w:val="18"/>
                <w:szCs w:val="18"/>
                <w:highlight w:val="none"/>
                <w:lang w:val="en-US" w:eastAsia="zh-CN" w:bidi="ar-SA"/>
              </w:rPr>
              <w:t xml:space="preserve">价   格：20分  商   务：20分   技   术：60分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jc w:val="center"/>
        </w:trPr>
        <w:tc>
          <w:tcPr>
            <w:tcW w:w="953"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价格评分标 准</w:t>
            </w:r>
          </w:p>
        </w:tc>
        <w:tc>
          <w:tcPr>
            <w:tcW w:w="1184"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投标报价</w:t>
            </w:r>
          </w:p>
        </w:tc>
        <w:tc>
          <w:tcPr>
            <w:tcW w:w="489"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20分</w:t>
            </w:r>
          </w:p>
        </w:tc>
        <w:tc>
          <w:tcPr>
            <w:tcW w:w="6892" w:type="dxa"/>
            <w:noWrap w:val="0"/>
            <w:vAlign w:val="center"/>
          </w:tcPr>
          <w:p>
            <w:pPr>
              <w:widowControl/>
              <w:jc w:val="left"/>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完全满足竞争性磋商文件参数的投标报价中的最低价为评标基准价，按照下列公式计算每个投标人的投标价格得分。投标报价得分＝（基准价/投标报价）×价格权重。</w:t>
            </w:r>
            <w:r>
              <w:rPr>
                <w:rFonts w:hint="eastAsia" w:ascii="微软雅黑" w:hAnsi="微软雅黑" w:eastAsia="微软雅黑" w:cs="微软雅黑"/>
                <w:b/>
                <w:bCs/>
                <w:kern w:val="2"/>
                <w:sz w:val="18"/>
                <w:szCs w:val="18"/>
                <w:highlight w:val="none"/>
                <w:lang w:val="en-US" w:eastAsia="zh-CN" w:bidi="ar-SA"/>
              </w:rPr>
              <w:t>（注：若报价单位为小微企业，其最终报价扣除 6 %后参与评审，须提供相关证明资料，否则无效。）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953" w:type="dxa"/>
            <w:vMerge w:val="restart"/>
            <w:noWrap w:val="0"/>
            <w:vAlign w:val="center"/>
          </w:tcPr>
          <w:p>
            <w:pPr>
              <w:widowControl/>
              <w:jc w:val="center"/>
              <w:rPr>
                <w:rFonts w:hint="eastAsia" w:ascii="微软雅黑" w:hAnsi="微软雅黑" w:eastAsia="微软雅黑" w:cs="微软雅黑"/>
                <w:kern w:val="2"/>
                <w:sz w:val="18"/>
                <w:szCs w:val="18"/>
                <w:highlight w:val="yellow"/>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技术评分标 准（60分）</w:t>
            </w: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vMerge w:val="restart"/>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总体服务方案</w:t>
            </w:r>
          </w:p>
        </w:tc>
        <w:tc>
          <w:tcPr>
            <w:tcW w:w="489" w:type="dxa"/>
            <w:vMerge w:val="restart"/>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20分</w:t>
            </w:r>
          </w:p>
        </w:tc>
        <w:tc>
          <w:tcPr>
            <w:tcW w:w="6892" w:type="dxa"/>
            <w:noWrap w:val="0"/>
            <w:vAlign w:val="center"/>
          </w:tcPr>
          <w:p>
            <w:pPr>
              <w:widowControl/>
              <w:jc w:val="left"/>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投标单位根据磋商文件中整体项目的服务需求、时间安排、活动要求等进行项目整体计划、规划，能够充分理解该项目需求，针对项目有详尽的项目需求分析以及描述：</w:t>
            </w:r>
          </w:p>
          <w:p>
            <w:pPr>
              <w:widowControl/>
              <w:jc w:val="left"/>
              <w:rPr>
                <w:rFonts w:hint="eastAsia" w:ascii="微软雅黑" w:hAnsi="微软雅黑" w:eastAsia="微软雅黑" w:cs="微软雅黑"/>
                <w:color w:val="auto"/>
                <w:kern w:val="2"/>
                <w:sz w:val="18"/>
                <w:szCs w:val="18"/>
                <w:highlight w:val="yellow"/>
                <w:lang w:val="en-US" w:eastAsia="zh-CN" w:bidi="ar-SA"/>
              </w:rPr>
            </w:pPr>
            <w:r>
              <w:rPr>
                <w:rFonts w:hint="eastAsia" w:ascii="微软雅黑" w:hAnsi="微软雅黑" w:eastAsia="微软雅黑" w:cs="微软雅黑"/>
                <w:color w:val="auto"/>
                <w:kern w:val="2"/>
                <w:sz w:val="18"/>
                <w:szCs w:val="18"/>
                <w:highlight w:val="none"/>
                <w:lang w:val="en-US" w:eastAsia="zh-CN" w:bidi="ar-SA"/>
              </w:rPr>
              <w:t>总体方案中针对本项目的理解、总体构想、工作思路清晰布局及各个阶段服务的规划及实施计划情况，对该活动的可能存在的影响开展分析，合理可行，服务方案安排合理度强、可操作性强、项目实施的计划科学可行度高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489"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6892" w:type="dxa"/>
            <w:noWrap w:val="0"/>
            <w:vAlign w:val="center"/>
          </w:tcPr>
          <w:p>
            <w:pPr>
              <w:widowControl/>
              <w:jc w:val="left"/>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针对本项目理解、总体构想、工作思路清晰布局及各个阶段服务的规划及实施计划情况，对该活动对可能存在的影响开展分析，分析合理，服务方案安排合理、可操作性及项目实施的计划科学可行得12分。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489"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6892" w:type="dxa"/>
            <w:noWrap w:val="0"/>
            <w:vAlign w:val="center"/>
          </w:tcPr>
          <w:p>
            <w:pPr>
              <w:widowControl/>
              <w:jc w:val="left"/>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服务方案存在瑕疵，方案内容针对性差，整体方案实用性差，对活动的整体进度、详细计划、分工安排差，项目需求理解分析片面，描述简单笼统得3分。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yellow"/>
                <w:lang w:val="en-US" w:eastAsia="zh-CN" w:bidi="ar-SA"/>
              </w:rPr>
            </w:pPr>
          </w:p>
        </w:tc>
        <w:tc>
          <w:tcPr>
            <w:tcW w:w="1184" w:type="dxa"/>
            <w:vMerge w:val="restart"/>
            <w:noWrap w:val="0"/>
            <w:vAlign w:val="center"/>
          </w:tcPr>
          <w:p>
            <w:pPr>
              <w:widowControl/>
              <w:jc w:val="center"/>
              <w:rPr>
                <w:rFonts w:hint="eastAsia" w:ascii="微软雅黑" w:hAnsi="微软雅黑" w:eastAsia="微软雅黑" w:cs="微软雅黑"/>
                <w:kern w:val="2"/>
                <w:sz w:val="18"/>
                <w:szCs w:val="18"/>
                <w:highlight w:val="yellow"/>
                <w:lang w:val="en-US" w:eastAsia="zh-CN" w:bidi="ar-SA"/>
              </w:rPr>
            </w:pPr>
          </w:p>
          <w:p>
            <w:pPr>
              <w:widowControl/>
              <w:jc w:val="center"/>
              <w:rPr>
                <w:rFonts w:hint="eastAsia" w:ascii="微软雅黑" w:hAnsi="微软雅黑" w:eastAsia="微软雅黑" w:cs="微软雅黑"/>
                <w:kern w:val="2"/>
                <w:sz w:val="18"/>
                <w:szCs w:val="18"/>
                <w:highlight w:val="yellow"/>
                <w:lang w:val="en-US" w:eastAsia="zh-CN" w:bidi="ar-SA"/>
              </w:rPr>
            </w:pPr>
          </w:p>
          <w:p>
            <w:pPr>
              <w:widowControl/>
              <w:jc w:val="center"/>
              <w:rPr>
                <w:rFonts w:hint="eastAsia" w:ascii="微软雅黑" w:hAnsi="微软雅黑" w:eastAsia="微软雅黑" w:cs="微软雅黑"/>
                <w:kern w:val="2"/>
                <w:sz w:val="18"/>
                <w:szCs w:val="18"/>
                <w:highlight w:val="yellow"/>
                <w:lang w:val="en-US" w:eastAsia="zh-CN" w:bidi="ar-SA"/>
              </w:rPr>
            </w:pPr>
          </w:p>
          <w:p>
            <w:pPr>
              <w:widowControl/>
              <w:jc w:val="both"/>
              <w:rPr>
                <w:rFonts w:hint="default"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活动执行方案</w:t>
            </w:r>
          </w:p>
        </w:tc>
        <w:tc>
          <w:tcPr>
            <w:tcW w:w="489" w:type="dxa"/>
            <w:noWrap w:val="0"/>
            <w:vAlign w:val="center"/>
          </w:tcPr>
          <w:p>
            <w:pPr>
              <w:widowControl/>
              <w:jc w:val="center"/>
              <w:rPr>
                <w:rFonts w:hint="default"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6分</w:t>
            </w:r>
          </w:p>
        </w:tc>
        <w:tc>
          <w:tcPr>
            <w:tcW w:w="6892" w:type="dxa"/>
            <w:noWrap w:val="0"/>
            <w:vAlign w:val="center"/>
          </w:tcPr>
          <w:p>
            <w:pPr>
              <w:widowControl/>
              <w:jc w:val="left"/>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1.印象喀什活动：在古城夜市常态开展以印象喀什为主题的民族歌舞体验活动，活动方案内容包含活动场次，参与人员均满足招标文件要求且方案中活动流程详细，活动安排合理得6分；方案中活动场次，参与人员满足招标文件要求，活动流程笼统，活动安排实用性一般得3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yellow"/>
                <w:lang w:val="en-US" w:eastAsia="zh-CN" w:bidi="ar-SA"/>
              </w:rPr>
            </w:pPr>
          </w:p>
        </w:tc>
        <w:tc>
          <w:tcPr>
            <w:tcW w:w="1184"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489" w:type="dxa"/>
            <w:noWrap w:val="0"/>
            <w:vAlign w:val="center"/>
          </w:tcPr>
          <w:p>
            <w:pPr>
              <w:widowControl/>
              <w:jc w:val="center"/>
              <w:rPr>
                <w:rFonts w:hint="default"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6分</w:t>
            </w:r>
          </w:p>
        </w:tc>
        <w:tc>
          <w:tcPr>
            <w:tcW w:w="6892" w:type="dxa"/>
            <w:noWrap w:val="0"/>
            <w:vAlign w:val="center"/>
          </w:tcPr>
          <w:p>
            <w:pPr>
              <w:widowControl/>
              <w:jc w:val="left"/>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2.丝路驼队活动：在古城景区常态开展以丝路驼队、西域公主选郎等形式的沉浸体验活动，活动方案内容包含活动场次，参与人员均满足招标文件要求且方案中活动流程详细，活动安排合理得6分；方案中活动场次，参与人员满足招标文件要求，活动流程笼统，活动安排实用性一般得3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yellow"/>
                <w:lang w:val="en-US" w:eastAsia="zh-CN" w:bidi="ar-SA"/>
              </w:rPr>
            </w:pPr>
          </w:p>
        </w:tc>
        <w:tc>
          <w:tcPr>
            <w:tcW w:w="1184"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489" w:type="dxa"/>
            <w:noWrap w:val="0"/>
            <w:vAlign w:val="center"/>
          </w:tcPr>
          <w:p>
            <w:pPr>
              <w:widowControl/>
              <w:jc w:val="center"/>
              <w:rPr>
                <w:rFonts w:hint="default"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6分</w:t>
            </w:r>
          </w:p>
        </w:tc>
        <w:tc>
          <w:tcPr>
            <w:tcW w:w="6892" w:type="dxa"/>
            <w:noWrap w:val="0"/>
            <w:vAlign w:val="center"/>
          </w:tcPr>
          <w:p>
            <w:pPr>
              <w:widowControl/>
              <w:jc w:val="left"/>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快闪活动：在古城景区常态开展正能量的互动快闪活动，活动方案内容包含活动场次，参与人员均满足招标文件要求且方案中活动流程详细，活动安排合理得6分；方案中活动场次，参与人员满足招标文件要求，活动流程笼统，活动安排实用性一般得3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活动进度</w:t>
            </w:r>
          </w:p>
        </w:tc>
        <w:tc>
          <w:tcPr>
            <w:tcW w:w="489" w:type="dxa"/>
            <w:noWrap w:val="0"/>
            <w:vAlign w:val="center"/>
          </w:tcPr>
          <w:p>
            <w:pPr>
              <w:widowControl/>
              <w:jc w:val="center"/>
              <w:rPr>
                <w:rFonts w:hint="default"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8分</w:t>
            </w:r>
          </w:p>
        </w:tc>
        <w:tc>
          <w:tcPr>
            <w:tcW w:w="6892"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line="192" w:lineRule="auto"/>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结合项目实际情况,具体特点及实际需求、活动的各个阶段进度安排合理度、可操作性、实用性等方面提供项目实施进度方案、方案全面、条理清晰、时间周期安排合理得8分；方案一般、条理清晰、时间周期安排一般得5分；方案不全面、条理不清晰、时间周期不合理或不提供的此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宣传推广</w:t>
            </w:r>
          </w:p>
        </w:tc>
        <w:tc>
          <w:tcPr>
            <w:tcW w:w="489"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8分</w:t>
            </w:r>
          </w:p>
        </w:tc>
        <w:tc>
          <w:tcPr>
            <w:tcW w:w="6892" w:type="dxa"/>
            <w:noWrap w:val="0"/>
            <w:vAlign w:val="center"/>
          </w:tcPr>
          <w:p>
            <w:pPr>
              <w:widowControl/>
              <w:jc w:val="left"/>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供应商根据采购需求编制宣传策划方案，包含宣传范围、宣传方式、时间。评审组根据宣传推广方案的可行性，有效性强，宣传方式及宣传主题有创新性，宣传文稿示例为原创，能突显出喀什文化特色得8分；宣传推广方案的可行性、有效性一般，宣传方式创新性、互动性，宣传文稿示例一般，能突显出喀什文化特色展现一般得5分；宣传推广方案的可行性、有效性较差，宣传方式不具创新性、互动性，宣传文稿示例较差得1分；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技术合理性</w:t>
            </w:r>
          </w:p>
        </w:tc>
        <w:tc>
          <w:tcPr>
            <w:tcW w:w="489" w:type="dxa"/>
            <w:noWrap w:val="0"/>
            <w:vAlign w:val="center"/>
          </w:tcPr>
          <w:p>
            <w:pPr>
              <w:widowControl/>
              <w:jc w:val="center"/>
              <w:rPr>
                <w:rFonts w:hint="default"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6分</w:t>
            </w:r>
          </w:p>
        </w:tc>
        <w:tc>
          <w:tcPr>
            <w:tcW w:w="6892" w:type="dxa"/>
            <w:noWrap w:val="0"/>
            <w:vAlign w:val="center"/>
          </w:tcPr>
          <w:p>
            <w:pPr>
              <w:widowControl/>
              <w:jc w:val="left"/>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根据对本项目的思路，原则、特点、技术要求的重点、难点理解情况进行评审：供应商对本项目有充分理解，能具体指出本项目技术要求，特点，并充分总结归纳项目中系列活动意义和关键作用的得6分；在此基础上能基本理解并指出对项目技术要求特点的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953" w:type="dxa"/>
            <w:vMerge w:val="restart"/>
            <w:noWrap w:val="0"/>
            <w:vAlign w:val="center"/>
          </w:tcPr>
          <w:p>
            <w:pPr>
              <w:widowControl/>
              <w:jc w:val="center"/>
              <w:rPr>
                <w:rFonts w:hint="eastAsia" w:ascii="微软雅黑" w:hAnsi="微软雅黑" w:eastAsia="微软雅黑" w:cs="微软雅黑"/>
                <w:kern w:val="2"/>
                <w:sz w:val="18"/>
                <w:szCs w:val="18"/>
                <w:highlight w:val="yellow"/>
                <w:lang w:val="en-US" w:eastAsia="zh-CN" w:bidi="ar-SA"/>
              </w:rPr>
            </w:pPr>
            <w:r>
              <w:rPr>
                <w:rFonts w:hint="eastAsia" w:ascii="微软雅黑" w:hAnsi="微软雅黑" w:eastAsia="微软雅黑" w:cs="微软雅黑"/>
                <w:kern w:val="2"/>
                <w:sz w:val="18"/>
                <w:szCs w:val="18"/>
                <w:highlight w:val="none"/>
                <w:lang w:val="en-US" w:eastAsia="zh-CN" w:bidi="ar-SA"/>
              </w:rPr>
              <w:t>商务评分标 准（20分）</w:t>
            </w:r>
          </w:p>
        </w:tc>
        <w:tc>
          <w:tcPr>
            <w:tcW w:w="1184" w:type="dxa"/>
            <w:vMerge w:val="restart"/>
            <w:noWrap w:val="0"/>
            <w:vAlign w:val="center"/>
          </w:tcPr>
          <w:p>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highlight w:val="none"/>
                <w:lang w:val="en-US" w:eastAsia="zh-CN" w:bidi="ar-SA"/>
              </w:rPr>
              <w:t>服务承诺及</w:t>
            </w:r>
          </w:p>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质量保障</w:t>
            </w:r>
          </w:p>
        </w:tc>
        <w:tc>
          <w:tcPr>
            <w:tcW w:w="489" w:type="dxa"/>
            <w:vMerge w:val="restart"/>
            <w:noWrap w:val="0"/>
            <w:vAlign w:val="center"/>
          </w:tcPr>
          <w:p>
            <w:pPr>
              <w:widowControl/>
              <w:jc w:val="center"/>
              <w:rPr>
                <w:rFonts w:hint="default"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 xml:space="preserve">8分 </w:t>
            </w:r>
          </w:p>
        </w:tc>
        <w:tc>
          <w:tcPr>
            <w:tcW w:w="6892" w:type="dxa"/>
            <w:noWrap w:val="0"/>
            <w:vAlign w:val="center"/>
          </w:tcPr>
          <w:p>
            <w:pPr>
              <w:widowControl/>
              <w:numPr>
                <w:ilvl w:val="0"/>
                <w:numId w:val="6"/>
              </w:numPr>
              <w:jc w:val="left"/>
              <w:rPr>
                <w:rFonts w:hint="default"/>
                <w:lang w:val="en-US" w:eastAsia="zh-CN"/>
              </w:rPr>
            </w:pPr>
            <w:r>
              <w:rPr>
                <w:rFonts w:hint="eastAsia" w:ascii="微软雅黑" w:hAnsi="微软雅黑" w:eastAsia="微软雅黑" w:cs="微软雅黑"/>
                <w:color w:val="auto"/>
                <w:kern w:val="2"/>
                <w:sz w:val="18"/>
                <w:szCs w:val="18"/>
                <w:highlight w:val="none"/>
                <w:lang w:val="en-US" w:eastAsia="zh-CN" w:bidi="ar-SA"/>
              </w:rPr>
              <w:t>供应商对项目实施过程中的服务场次及活动参与人员做出实质性承诺及有效措施得2分；  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489"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6892" w:type="dxa"/>
            <w:noWrap w:val="0"/>
            <w:vAlign w:val="center"/>
          </w:tcPr>
          <w:p>
            <w:pPr>
              <w:widowControl/>
              <w:numPr>
                <w:ilvl w:val="0"/>
                <w:numId w:val="0"/>
              </w:numPr>
              <w:jc w:val="left"/>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（2）提出实施过程中可能存在的问题并做出了明确详细的合理性建议得3分；  建议实用性，可行性一般得1分；  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489" w:type="dxa"/>
            <w:vMerge w:val="continue"/>
            <w:noWrap w:val="0"/>
            <w:vAlign w:val="center"/>
          </w:tcPr>
          <w:p>
            <w:pPr>
              <w:widowControl/>
              <w:jc w:val="center"/>
              <w:rPr>
                <w:rFonts w:hint="default" w:ascii="微软雅黑" w:hAnsi="微软雅黑" w:eastAsia="微软雅黑" w:cs="微软雅黑"/>
                <w:kern w:val="2"/>
                <w:sz w:val="18"/>
                <w:szCs w:val="18"/>
                <w:highlight w:val="none"/>
                <w:lang w:val="en-US" w:eastAsia="zh-CN" w:bidi="ar-SA"/>
              </w:rPr>
            </w:pPr>
          </w:p>
        </w:tc>
        <w:tc>
          <w:tcPr>
            <w:tcW w:w="6892" w:type="dxa"/>
            <w:noWrap w:val="0"/>
            <w:vAlign w:val="center"/>
          </w:tcPr>
          <w:p>
            <w:pPr>
              <w:widowControl/>
              <w:jc w:val="left"/>
              <w:rPr>
                <w:rFonts w:hint="default"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（3）根据供应商提供的服务质量保障措施的合理性、全面性及有效性强的得3分；措施合理性、全面性及有效性一般的得1分；不提供不得分。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yellow"/>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应急措施</w:t>
            </w:r>
          </w:p>
        </w:tc>
        <w:tc>
          <w:tcPr>
            <w:tcW w:w="489" w:type="dxa"/>
            <w:noWrap w:val="0"/>
            <w:vAlign w:val="center"/>
          </w:tcPr>
          <w:p>
            <w:pPr>
              <w:widowControl/>
              <w:jc w:val="center"/>
              <w:rPr>
                <w:rFonts w:hint="default"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6分</w:t>
            </w:r>
          </w:p>
        </w:tc>
        <w:tc>
          <w:tcPr>
            <w:tcW w:w="6892" w:type="dxa"/>
            <w:noWrap w:val="0"/>
            <w:vAlign w:val="center"/>
          </w:tcPr>
          <w:p>
            <w:pPr>
              <w:widowControl/>
              <w:jc w:val="left"/>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应急措施包含但不限于以下内容：人员安全防护、交通安全、紧急情况应急措施、疫情防控安全措施等内容，内容全面详细得 6分，措施内容包含不全，片面笼统得3分，不提供得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953" w:type="dxa"/>
            <w:vMerge w:val="continue"/>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p>
        </w:tc>
        <w:tc>
          <w:tcPr>
            <w:tcW w:w="1184"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类似项目业绩</w:t>
            </w:r>
          </w:p>
        </w:tc>
        <w:tc>
          <w:tcPr>
            <w:tcW w:w="489" w:type="dxa"/>
            <w:noWrap w:val="0"/>
            <w:vAlign w:val="center"/>
          </w:tcPr>
          <w:p>
            <w:pPr>
              <w:widowControl/>
              <w:jc w:val="center"/>
              <w:rPr>
                <w:rFonts w:hint="eastAsia" w:ascii="微软雅黑" w:hAnsi="微软雅黑" w:eastAsia="微软雅黑" w:cs="微软雅黑"/>
                <w:kern w:val="2"/>
                <w:sz w:val="18"/>
                <w:szCs w:val="18"/>
                <w:highlight w:val="none"/>
                <w:lang w:val="en-US" w:eastAsia="zh-CN" w:bidi="ar-SA"/>
              </w:rPr>
            </w:pPr>
            <w:r>
              <w:rPr>
                <w:rFonts w:hint="eastAsia" w:ascii="微软雅黑" w:hAnsi="微软雅黑" w:eastAsia="微软雅黑" w:cs="微软雅黑"/>
                <w:kern w:val="2"/>
                <w:sz w:val="18"/>
                <w:szCs w:val="18"/>
                <w:highlight w:val="none"/>
                <w:lang w:val="en-US" w:eastAsia="zh-CN" w:bidi="ar-SA"/>
              </w:rPr>
              <w:t>6分</w:t>
            </w:r>
          </w:p>
        </w:tc>
        <w:tc>
          <w:tcPr>
            <w:tcW w:w="6892" w:type="dxa"/>
            <w:noWrap w:val="0"/>
            <w:vAlign w:val="center"/>
          </w:tcPr>
          <w:p>
            <w:pPr>
              <w:widowControl/>
              <w:jc w:val="left"/>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提供（2019年1月1日-至今）的类似服务业绩，每提供一份得 2分，累计最高可得6分 ，未提供不得分。</w:t>
            </w:r>
          </w:p>
          <w:p>
            <w:pPr>
              <w:widowControl/>
              <w:jc w:val="left"/>
              <w:rPr>
                <w:rFonts w:hint="eastAsia" w:ascii="微软雅黑" w:hAnsi="微软雅黑" w:eastAsia="微软雅黑" w:cs="微软雅黑"/>
                <w:color w:val="auto"/>
                <w:kern w:val="2"/>
                <w:sz w:val="18"/>
                <w:szCs w:val="18"/>
                <w:highlight w:val="none"/>
                <w:lang w:val="en-US" w:eastAsia="zh-CN" w:bidi="ar-SA"/>
              </w:rPr>
            </w:pPr>
            <w:r>
              <w:rPr>
                <w:rFonts w:hint="eastAsia" w:ascii="微软雅黑" w:hAnsi="微软雅黑" w:eastAsia="微软雅黑" w:cs="微软雅黑"/>
                <w:color w:val="auto"/>
                <w:kern w:val="2"/>
                <w:sz w:val="18"/>
                <w:szCs w:val="18"/>
                <w:highlight w:val="none"/>
                <w:lang w:val="en-US" w:eastAsia="zh-CN" w:bidi="ar-SA"/>
              </w:rPr>
              <w:t>注：须提供中标通知书或合同复印件加盖公章，未提供相关证明材料或提供证明材料不能反映出评审因素的不得分。</w:t>
            </w:r>
          </w:p>
        </w:tc>
      </w:tr>
    </w:tbl>
    <w:p>
      <w:pPr>
        <w:pStyle w:val="2"/>
        <w:numPr>
          <w:ilvl w:val="0"/>
          <w:numId w:val="0"/>
        </w:numPr>
        <w:rPr>
          <w:rFonts w:hint="eastAsia" w:ascii="Times New Roman" w:hAnsi="Times New Roman" w:eastAsia="宋体" w:cs="Times New Roman"/>
          <w:b/>
          <w:bCs/>
          <w:kern w:val="2"/>
          <w:sz w:val="28"/>
          <w:szCs w:val="44"/>
          <w:lang w:val="en-US" w:eastAsia="zh-CN" w:bidi="ar-SA"/>
        </w:rPr>
      </w:pPr>
    </w:p>
    <w:p>
      <w:pPr>
        <w:pStyle w:val="34"/>
        <w:snapToGrid w:val="0"/>
        <w:ind w:firstLine="0" w:firstLineChars="0"/>
        <w:textAlignment w:val="baseline"/>
        <w:rPr>
          <w:rFonts w:ascii="微软雅黑" w:hAnsi="微软雅黑" w:eastAsia="微软雅黑" w:cs="微软雅黑"/>
          <w:b/>
          <w:sz w:val="28"/>
          <w:szCs w:val="28"/>
        </w:rPr>
      </w:pPr>
    </w:p>
    <w:bookmarkEnd w:id="819"/>
    <w:bookmarkEnd w:id="820"/>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2"/>
        <w:rPr>
          <w:rFonts w:ascii="微软雅黑" w:hAnsi="微软雅黑" w:eastAsia="微软雅黑" w:cs="微软雅黑"/>
        </w:rPr>
      </w:pPr>
    </w:p>
    <w:p>
      <w:pPr>
        <w:pStyle w:val="5"/>
        <w:rPr>
          <w:rFonts w:hint="eastAsia" w:ascii="微软雅黑" w:hAnsi="微软雅黑" w:eastAsia="微软雅黑" w:cs="微软雅黑"/>
          <w:sz w:val="44"/>
          <w:szCs w:val="32"/>
          <w:u w:val="none"/>
          <w:lang w:eastAsia="zh-CN"/>
        </w:rPr>
      </w:pPr>
    </w:p>
    <w:p>
      <w:pPr>
        <w:pStyle w:val="5"/>
        <w:rPr>
          <w:rFonts w:hint="eastAsia" w:ascii="微软雅黑" w:hAnsi="微软雅黑" w:eastAsia="微软雅黑" w:cs="微软雅黑"/>
          <w:sz w:val="44"/>
          <w:szCs w:val="32"/>
          <w:u w:val="none"/>
          <w:lang w:eastAsia="zh-CN"/>
        </w:rPr>
      </w:pPr>
    </w:p>
    <w:p>
      <w:pPr>
        <w:pStyle w:val="5"/>
        <w:rPr>
          <w:rFonts w:hint="eastAsia" w:ascii="微软雅黑" w:hAnsi="微软雅黑" w:eastAsia="微软雅黑" w:cs="微软雅黑"/>
          <w:sz w:val="44"/>
          <w:szCs w:val="32"/>
          <w:u w:val="none"/>
          <w:lang w:eastAsia="zh-CN"/>
        </w:rPr>
      </w:pPr>
    </w:p>
    <w:p>
      <w:pPr>
        <w:pStyle w:val="5"/>
        <w:rPr>
          <w:rFonts w:ascii="微软雅黑" w:hAnsi="微软雅黑" w:eastAsia="微软雅黑" w:cs="微软雅黑"/>
        </w:rPr>
      </w:pPr>
      <w:r>
        <w:rPr>
          <w:rFonts w:hint="eastAsia" w:ascii="微软雅黑" w:hAnsi="微软雅黑" w:eastAsia="微软雅黑" w:cs="微软雅黑"/>
          <w:sz w:val="44"/>
          <w:szCs w:val="32"/>
          <w:u w:val="none"/>
          <w:lang w:eastAsia="zh-CN"/>
        </w:rPr>
        <w:t>喀什古城丝路风情系列活动服务采购项目</w:t>
      </w:r>
    </w:p>
    <w:p>
      <w:pPr>
        <w:pStyle w:val="2"/>
        <w:rPr>
          <w:rFonts w:ascii="微软雅黑" w:hAnsi="微软雅黑" w:eastAsia="微软雅黑" w:cs="微软雅黑"/>
        </w:rPr>
      </w:pPr>
    </w:p>
    <w:p>
      <w:pPr>
        <w:rPr>
          <w:rFonts w:ascii="微软雅黑" w:hAnsi="微软雅黑" w:eastAsia="微软雅黑" w:cs="微软雅黑"/>
        </w:rPr>
      </w:pPr>
    </w:p>
    <w:p>
      <w:pPr>
        <w:snapToGrid w:val="0"/>
        <w:spacing w:line="240" w:lineRule="atLeast"/>
        <w:ind w:firstLine="2401" w:firstLineChars="500"/>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竞争性磋商文件</w:t>
      </w:r>
    </w:p>
    <w:p>
      <w:pPr>
        <w:snapToGrid w:val="0"/>
        <w:spacing w:line="240" w:lineRule="atLeast"/>
        <w:ind w:left="1080" w:leftChars="257" w:hanging="540"/>
        <w:jc w:val="center"/>
        <w:textAlignment w:val="baseline"/>
        <w:rPr>
          <w:rFonts w:ascii="微软雅黑" w:hAnsi="微软雅黑" w:eastAsia="微软雅黑" w:cs="微软雅黑"/>
          <w:b/>
          <w:sz w:val="48"/>
          <w:szCs w:val="48"/>
        </w:rPr>
      </w:pPr>
    </w:p>
    <w:p>
      <w:pPr>
        <w:snapToGrid w:val="0"/>
        <w:spacing w:line="240" w:lineRule="atLeast"/>
        <w:jc w:val="center"/>
        <w:textAlignment w:val="baseline"/>
        <w:rPr>
          <w:rFonts w:ascii="微软雅黑" w:hAnsi="微软雅黑" w:eastAsia="微软雅黑" w:cs="微软雅黑"/>
          <w:b/>
          <w:sz w:val="36"/>
          <w:szCs w:val="36"/>
        </w:rPr>
      </w:pPr>
      <w:r>
        <w:rPr>
          <w:rFonts w:hint="eastAsia" w:ascii="微软雅黑" w:hAnsi="微软雅黑" w:eastAsia="微软雅黑" w:cs="微软雅黑"/>
          <w:b/>
          <w:sz w:val="36"/>
          <w:szCs w:val="36"/>
          <w:lang w:val="en-US" w:eastAsia="zh-CN"/>
        </w:rPr>
        <w:t>项目</w:t>
      </w:r>
      <w:r>
        <w:rPr>
          <w:rFonts w:hint="eastAsia" w:ascii="微软雅黑" w:hAnsi="微软雅黑" w:eastAsia="微软雅黑" w:cs="微软雅黑"/>
          <w:b/>
          <w:sz w:val="36"/>
          <w:szCs w:val="36"/>
        </w:rPr>
        <w:t>编号：</w:t>
      </w:r>
      <w:r>
        <w:rPr>
          <w:rFonts w:hint="eastAsia" w:ascii="微软雅黑" w:hAnsi="微软雅黑" w:eastAsia="微软雅黑" w:cs="微软雅黑"/>
          <w:b/>
          <w:sz w:val="36"/>
          <w:szCs w:val="36"/>
          <w:lang w:eastAsia="zh-CN"/>
        </w:rPr>
        <w:t>YYXD（CS）2022-03号  </w:t>
      </w:r>
    </w:p>
    <w:p>
      <w:pPr>
        <w:snapToGrid w:val="0"/>
        <w:spacing w:line="240" w:lineRule="atLeast"/>
        <w:ind w:left="1080" w:leftChars="257" w:hanging="540"/>
        <w:jc w:val="center"/>
        <w:textAlignment w:val="baseline"/>
        <w:rPr>
          <w:rFonts w:ascii="微软雅黑" w:hAnsi="微软雅黑" w:eastAsia="微软雅黑" w:cs="微软雅黑"/>
          <w:b/>
          <w:sz w:val="48"/>
          <w:szCs w:val="48"/>
        </w:rPr>
      </w:pPr>
    </w:p>
    <w:p>
      <w:pPr>
        <w:snapToGrid w:val="0"/>
        <w:spacing w:line="240" w:lineRule="atLeast"/>
        <w:textAlignment w:val="baseline"/>
        <w:rPr>
          <w:rFonts w:ascii="微软雅黑" w:hAnsi="微软雅黑" w:eastAsia="微软雅黑" w:cs="微软雅黑"/>
          <w:b/>
          <w:sz w:val="28"/>
        </w:rPr>
      </w:pPr>
    </w:p>
    <w:p>
      <w:pPr>
        <w:snapToGrid w:val="0"/>
        <w:spacing w:line="240" w:lineRule="atLeast"/>
        <w:ind w:left="1976" w:leftChars="941" w:firstLine="1642" w:firstLineChars="342"/>
        <w:textAlignment w:val="baseline"/>
        <w:rPr>
          <w:rFonts w:ascii="微软雅黑" w:hAnsi="微软雅黑" w:eastAsia="微软雅黑" w:cs="微软雅黑"/>
          <w:b/>
          <w:sz w:val="48"/>
          <w:szCs w:val="48"/>
        </w:rPr>
      </w:pPr>
      <w:r>
        <w:rPr>
          <w:rFonts w:hint="eastAsia" w:ascii="微软雅黑" w:hAnsi="微软雅黑" w:eastAsia="微软雅黑" w:cs="微软雅黑"/>
          <w:b/>
          <w:sz w:val="48"/>
          <w:szCs w:val="48"/>
        </w:rPr>
        <w:t>第三册</w:t>
      </w:r>
    </w:p>
    <w:p>
      <w:pPr>
        <w:pStyle w:val="34"/>
        <w:ind w:firstLine="960"/>
        <w:rPr>
          <w:rFonts w:ascii="微软雅黑" w:hAnsi="微软雅黑" w:eastAsia="微软雅黑" w:cs="微软雅黑"/>
          <w:b/>
          <w:sz w:val="48"/>
          <w:szCs w:val="48"/>
        </w:rPr>
      </w:pPr>
    </w:p>
    <w:p>
      <w:pPr>
        <w:pStyle w:val="34"/>
        <w:ind w:firstLine="960"/>
        <w:rPr>
          <w:rFonts w:ascii="微软雅黑" w:hAnsi="微软雅黑" w:eastAsia="微软雅黑" w:cs="微软雅黑"/>
          <w:b/>
          <w:sz w:val="48"/>
          <w:szCs w:val="48"/>
        </w:rPr>
      </w:pPr>
    </w:p>
    <w:p>
      <w:pPr>
        <w:pStyle w:val="34"/>
        <w:ind w:firstLine="960"/>
        <w:rPr>
          <w:rFonts w:ascii="微软雅黑" w:hAnsi="微软雅黑" w:eastAsia="微软雅黑" w:cs="微软雅黑"/>
          <w:b/>
          <w:sz w:val="48"/>
          <w:szCs w:val="48"/>
        </w:rPr>
      </w:pPr>
    </w:p>
    <w:p>
      <w:pPr>
        <w:pStyle w:val="34"/>
        <w:ind w:firstLine="960"/>
        <w:rPr>
          <w:rFonts w:ascii="微软雅黑" w:hAnsi="微软雅黑" w:eastAsia="微软雅黑" w:cs="微软雅黑"/>
          <w:b/>
          <w:sz w:val="48"/>
          <w:szCs w:val="48"/>
        </w:rPr>
      </w:pPr>
    </w:p>
    <w:bookmarkEnd w:id="821"/>
    <w:p>
      <w:pPr>
        <w:pStyle w:val="3"/>
        <w:tabs>
          <w:tab w:val="left" w:pos="0"/>
        </w:tabs>
        <w:spacing w:before="0" w:after="0" w:line="400" w:lineRule="exact"/>
        <w:jc w:val="both"/>
        <w:rPr>
          <w:rFonts w:hint="eastAsia" w:ascii="微软雅黑" w:hAnsi="微软雅黑" w:eastAsia="微软雅黑" w:cs="微软雅黑"/>
        </w:rPr>
      </w:pPr>
      <w:bookmarkStart w:id="822" w:name="_Toc5754"/>
      <w:bookmarkStart w:id="823" w:name="_Toc16642"/>
      <w:bookmarkStart w:id="824" w:name="_Toc514"/>
    </w:p>
    <w:p>
      <w:pPr>
        <w:pStyle w:val="3"/>
        <w:tabs>
          <w:tab w:val="left" w:pos="0"/>
        </w:tabs>
        <w:spacing w:before="0" w:after="0" w:line="400" w:lineRule="exact"/>
        <w:rPr>
          <w:rFonts w:ascii="微软雅黑" w:hAnsi="微软雅黑" w:eastAsia="微软雅黑" w:cs="微软雅黑"/>
        </w:rPr>
      </w:pPr>
      <w:r>
        <w:rPr>
          <w:rFonts w:hint="eastAsia" w:ascii="微软雅黑" w:hAnsi="微软雅黑" w:eastAsia="微软雅黑" w:cs="微软雅黑"/>
        </w:rPr>
        <w:t>第7章  政府采购合同</w:t>
      </w:r>
      <w:bookmarkEnd w:id="822"/>
      <w:bookmarkEnd w:id="823"/>
      <w:bookmarkEnd w:id="824"/>
    </w:p>
    <w:p>
      <w:pPr>
        <w:rPr>
          <w:rFonts w:ascii="微软雅黑" w:hAnsi="微软雅黑" w:eastAsia="微软雅黑" w:cs="微软雅黑"/>
          <w:sz w:val="24"/>
        </w:rPr>
      </w:pPr>
      <w:r>
        <w:rPr>
          <w:rFonts w:hint="eastAsia" w:ascii="微软雅黑" w:hAnsi="微软雅黑" w:eastAsia="微软雅黑" w:cs="微软雅黑"/>
          <w:sz w:val="24"/>
        </w:rPr>
        <w:t xml:space="preserve">合同编号：           </w:t>
      </w:r>
    </w:p>
    <w:p>
      <w:pPr>
        <w:rPr>
          <w:rFonts w:ascii="微软雅黑" w:hAnsi="微软雅黑" w:eastAsia="微软雅黑" w:cs="微软雅黑"/>
          <w:sz w:val="24"/>
        </w:rPr>
      </w:pPr>
    </w:p>
    <w:p>
      <w:pPr>
        <w:rPr>
          <w:rFonts w:ascii="微软雅黑" w:hAnsi="微软雅黑" w:eastAsia="微软雅黑" w:cs="微软雅黑"/>
          <w:sz w:val="24"/>
        </w:rPr>
      </w:pPr>
    </w:p>
    <w:p>
      <w:pPr>
        <w:rPr>
          <w:rFonts w:ascii="微软雅黑" w:hAnsi="微软雅黑" w:eastAsia="微软雅黑" w:cs="微软雅黑"/>
          <w:sz w:val="24"/>
        </w:rPr>
      </w:pPr>
    </w:p>
    <w:p>
      <w:pPr>
        <w:jc w:val="center"/>
        <w:rPr>
          <w:rFonts w:ascii="微软雅黑" w:hAnsi="微软雅黑" w:eastAsia="微软雅黑" w:cs="微软雅黑"/>
          <w:b/>
          <w:bCs/>
          <w:sz w:val="24"/>
        </w:rPr>
      </w:pPr>
      <w:r>
        <w:rPr>
          <w:rFonts w:hint="eastAsia" w:ascii="微软雅黑" w:hAnsi="微软雅黑" w:eastAsia="微软雅黑" w:cs="微软雅黑"/>
          <w:b/>
          <w:bCs/>
          <w:sz w:val="24"/>
        </w:rPr>
        <w:t>政府采购合同参考范本</w:t>
      </w:r>
    </w:p>
    <w:p>
      <w:pPr>
        <w:jc w:val="center"/>
        <w:rPr>
          <w:rFonts w:ascii="微软雅黑" w:hAnsi="微软雅黑" w:eastAsia="微软雅黑" w:cs="微软雅黑"/>
          <w:b/>
          <w:bCs/>
          <w:sz w:val="24"/>
        </w:rPr>
      </w:pPr>
      <w:r>
        <w:rPr>
          <w:rFonts w:hint="eastAsia" w:ascii="微软雅黑" w:hAnsi="微软雅黑" w:eastAsia="微软雅黑" w:cs="微软雅黑"/>
          <w:b/>
          <w:bCs/>
          <w:sz w:val="24"/>
        </w:rPr>
        <w:t>（</w:t>
      </w:r>
      <w:r>
        <w:rPr>
          <w:rFonts w:hint="eastAsia" w:ascii="微软雅黑" w:hAnsi="微软雅黑" w:eastAsia="微软雅黑" w:cs="微软雅黑"/>
          <w:b/>
          <w:bCs/>
          <w:sz w:val="24"/>
          <w:lang w:eastAsia="zh-CN"/>
        </w:rPr>
        <w:t>服务</w:t>
      </w:r>
      <w:r>
        <w:rPr>
          <w:rFonts w:hint="eastAsia" w:ascii="微软雅黑" w:hAnsi="微软雅黑" w:eastAsia="微软雅黑" w:cs="微软雅黑"/>
          <w:b/>
          <w:bCs/>
          <w:sz w:val="24"/>
        </w:rPr>
        <w:t>类）</w:t>
      </w:r>
    </w:p>
    <w:p>
      <w:pPr>
        <w:rPr>
          <w:rFonts w:ascii="微软雅黑" w:hAnsi="微软雅黑" w:eastAsia="微软雅黑" w:cs="微软雅黑"/>
          <w:sz w:val="24"/>
        </w:rPr>
      </w:pPr>
    </w:p>
    <w:p>
      <w:pPr>
        <w:rPr>
          <w:rFonts w:ascii="微软雅黑" w:hAnsi="微软雅黑" w:eastAsia="微软雅黑" w:cs="微软雅黑"/>
          <w:sz w:val="24"/>
        </w:rPr>
      </w:pPr>
    </w:p>
    <w:p>
      <w:pPr>
        <w:pStyle w:val="54"/>
        <w:ind w:firstLine="0"/>
        <w:jc w:val="center"/>
        <w:rPr>
          <w:rFonts w:ascii="微软雅黑" w:hAnsi="微软雅黑" w:eastAsia="微软雅黑" w:cs="微软雅黑"/>
          <w:b/>
          <w:bCs/>
          <w:szCs w:val="24"/>
        </w:rPr>
      </w:pPr>
      <w:r>
        <w:rPr>
          <w:rFonts w:hint="eastAsia" w:ascii="微软雅黑" w:hAnsi="微软雅黑" w:eastAsia="微软雅黑" w:cs="微软雅黑"/>
          <w:b/>
          <w:bCs/>
          <w:szCs w:val="24"/>
        </w:rPr>
        <w:t>第一部分 合同书</w:t>
      </w:r>
    </w:p>
    <w:p>
      <w:pPr>
        <w:rPr>
          <w:rFonts w:ascii="微软雅黑" w:hAnsi="微软雅黑" w:eastAsia="微软雅黑" w:cs="微软雅黑"/>
          <w:sz w:val="24"/>
        </w:rPr>
      </w:pPr>
    </w:p>
    <w:p>
      <w:pPr>
        <w:spacing w:before="120"/>
        <w:ind w:left="960"/>
        <w:rPr>
          <w:rFonts w:ascii="微软雅黑" w:hAnsi="微软雅黑" w:eastAsia="微软雅黑" w:cs="微软雅黑"/>
          <w:sz w:val="24"/>
        </w:rPr>
      </w:pPr>
      <w:r>
        <w:rPr>
          <w:rFonts w:hint="eastAsia" w:ascii="微软雅黑" w:hAnsi="微软雅黑" w:eastAsia="微软雅黑" w:cs="微软雅黑"/>
          <w:sz w:val="24"/>
        </w:rPr>
        <w:t>项目名称：</w:t>
      </w:r>
      <w:r>
        <w:rPr>
          <w:rFonts w:hint="eastAsia" w:ascii="微软雅黑" w:hAnsi="微软雅黑" w:eastAsia="微软雅黑" w:cs="微软雅黑"/>
          <w:sz w:val="24"/>
          <w:u w:val="single"/>
        </w:rPr>
        <w:t xml:space="preserve">                                   </w:t>
      </w:r>
    </w:p>
    <w:p>
      <w:pPr>
        <w:pStyle w:val="42"/>
        <w:spacing w:before="120" w:line="240" w:lineRule="auto"/>
        <w:rPr>
          <w:rFonts w:ascii="微软雅黑" w:hAnsi="微软雅黑" w:eastAsia="微软雅黑" w:cs="微软雅黑"/>
          <w:szCs w:val="24"/>
        </w:rPr>
      </w:pPr>
    </w:p>
    <w:p>
      <w:pPr>
        <w:rPr>
          <w:rFonts w:ascii="微软雅黑" w:hAnsi="微软雅黑" w:eastAsia="微软雅黑" w:cs="微软雅黑"/>
          <w:sz w:val="24"/>
        </w:rPr>
      </w:pPr>
    </w:p>
    <w:p>
      <w:pPr>
        <w:spacing w:before="120"/>
        <w:ind w:left="960"/>
        <w:rPr>
          <w:rFonts w:ascii="微软雅黑" w:hAnsi="微软雅黑" w:eastAsia="微软雅黑" w:cs="微软雅黑"/>
          <w:sz w:val="24"/>
          <w:u w:val="single"/>
        </w:rPr>
      </w:pPr>
      <w:r>
        <w:rPr>
          <w:rFonts w:hint="eastAsia" w:ascii="微软雅黑" w:hAnsi="微软雅黑" w:eastAsia="微软雅黑" w:cs="微软雅黑"/>
          <w:sz w:val="24"/>
        </w:rPr>
        <w:t>甲方：</w:t>
      </w:r>
      <w:r>
        <w:rPr>
          <w:rFonts w:hint="eastAsia" w:ascii="微软雅黑" w:hAnsi="微软雅黑" w:eastAsia="微软雅黑" w:cs="微软雅黑"/>
          <w:sz w:val="24"/>
          <w:u w:val="single"/>
        </w:rPr>
        <w:t xml:space="preserve">                                       </w:t>
      </w:r>
    </w:p>
    <w:p>
      <w:pPr>
        <w:spacing w:before="120"/>
        <w:rPr>
          <w:rFonts w:ascii="微软雅黑" w:hAnsi="微软雅黑" w:eastAsia="微软雅黑" w:cs="微软雅黑"/>
          <w:sz w:val="24"/>
        </w:rPr>
      </w:pPr>
    </w:p>
    <w:p>
      <w:pPr>
        <w:spacing w:before="120"/>
        <w:ind w:left="960"/>
        <w:rPr>
          <w:rFonts w:ascii="微软雅黑" w:hAnsi="微软雅黑" w:eastAsia="微软雅黑" w:cs="微软雅黑"/>
          <w:sz w:val="24"/>
          <w:u w:val="single"/>
        </w:rPr>
      </w:pPr>
      <w:r>
        <w:rPr>
          <w:rFonts w:hint="eastAsia" w:ascii="微软雅黑" w:hAnsi="微软雅黑" w:eastAsia="微软雅黑" w:cs="微软雅黑"/>
          <w:sz w:val="24"/>
        </w:rPr>
        <w:t>乙方：</w:t>
      </w:r>
      <w:r>
        <w:rPr>
          <w:rFonts w:hint="eastAsia" w:ascii="微软雅黑" w:hAnsi="微软雅黑" w:eastAsia="微软雅黑" w:cs="微软雅黑"/>
          <w:sz w:val="24"/>
          <w:u w:val="single"/>
        </w:rPr>
        <w:t xml:space="preserve">                                       </w:t>
      </w:r>
    </w:p>
    <w:p>
      <w:pPr>
        <w:spacing w:before="120"/>
        <w:rPr>
          <w:rFonts w:ascii="微软雅黑" w:hAnsi="微软雅黑" w:eastAsia="微软雅黑" w:cs="微软雅黑"/>
          <w:sz w:val="24"/>
        </w:rPr>
      </w:pPr>
    </w:p>
    <w:p>
      <w:pPr>
        <w:spacing w:before="120"/>
        <w:ind w:firstLine="960" w:firstLineChars="400"/>
        <w:rPr>
          <w:rFonts w:ascii="微软雅黑" w:hAnsi="微软雅黑" w:eastAsia="微软雅黑" w:cs="微软雅黑"/>
          <w:sz w:val="24"/>
          <w:u w:val="single"/>
        </w:rPr>
      </w:pPr>
      <w:r>
        <w:rPr>
          <w:rFonts w:hint="eastAsia" w:ascii="微软雅黑" w:hAnsi="微软雅黑" w:eastAsia="微软雅黑" w:cs="微软雅黑"/>
          <w:sz w:val="24"/>
        </w:rPr>
        <w:t>签订地：</w:t>
      </w:r>
      <w:r>
        <w:rPr>
          <w:rFonts w:hint="eastAsia" w:ascii="微软雅黑" w:hAnsi="微软雅黑" w:eastAsia="微软雅黑" w:cs="微软雅黑"/>
          <w:sz w:val="24"/>
          <w:u w:val="single"/>
        </w:rPr>
        <w:t xml:space="preserve">                                     </w:t>
      </w:r>
    </w:p>
    <w:p>
      <w:pPr>
        <w:spacing w:before="120"/>
        <w:rPr>
          <w:rFonts w:ascii="微软雅黑" w:hAnsi="微软雅黑" w:eastAsia="微软雅黑" w:cs="微软雅黑"/>
          <w:sz w:val="24"/>
        </w:rPr>
      </w:pPr>
    </w:p>
    <w:p>
      <w:pPr>
        <w:spacing w:before="120"/>
        <w:ind w:firstLine="960" w:firstLineChars="400"/>
        <w:rPr>
          <w:rFonts w:ascii="微软雅黑" w:hAnsi="微软雅黑" w:eastAsia="微软雅黑" w:cs="微软雅黑"/>
          <w:sz w:val="24"/>
          <w:u w:val="single"/>
        </w:rPr>
      </w:pPr>
      <w:r>
        <w:rPr>
          <w:rFonts w:hint="eastAsia" w:ascii="微软雅黑" w:hAnsi="微软雅黑" w:eastAsia="微软雅黑" w:cs="微软雅黑"/>
          <w:sz w:val="24"/>
        </w:rPr>
        <w:t>签订日期：</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年</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月</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日</w:t>
      </w:r>
    </w:p>
    <w:p>
      <w:pPr>
        <w:autoSpaceDE w:val="0"/>
        <w:autoSpaceDN w:val="0"/>
        <w:adjustRightInd w:val="0"/>
        <w:ind w:firstLine="640"/>
        <w:jc w:val="center"/>
        <w:rPr>
          <w:rFonts w:ascii="微软雅黑" w:hAnsi="微软雅黑" w:eastAsia="微软雅黑" w:cs="微软雅黑"/>
          <w:sz w:val="24"/>
        </w:rPr>
        <w:sectPr>
          <w:footerReference r:id="rId11" w:type="default"/>
          <w:pgSz w:w="11907" w:h="16840"/>
          <w:pgMar w:top="1474" w:right="1814" w:bottom="1474" w:left="1814" w:header="851" w:footer="851" w:gutter="0"/>
          <w:cols w:space="720" w:num="1"/>
          <w:docGrid w:linePitch="462" w:charSpace="0"/>
        </w:sectPr>
      </w:pPr>
    </w:p>
    <w:p>
      <w:pPr>
        <w:ind w:firstLine="480" w:firstLineChars="200"/>
        <w:rPr>
          <w:rFonts w:ascii="微软雅黑" w:hAnsi="微软雅黑" w:eastAsia="微软雅黑" w:cs="微软雅黑"/>
          <w:sz w:val="24"/>
        </w:rPr>
      </w:pPr>
      <w:bookmarkStart w:id="825" w:name="_Toc2232"/>
      <w:bookmarkStart w:id="826" w:name="_Toc24059"/>
      <w:bookmarkStart w:id="827" w:name="_Toc1846"/>
      <w:bookmarkStart w:id="828" w:name="_Toc3029"/>
      <w:bookmarkStart w:id="829" w:name="_Toc26721"/>
      <w:bookmarkStart w:id="830" w:name="_Toc2659"/>
      <w:r>
        <w:rPr>
          <w:rFonts w:hint="eastAsia" w:ascii="微软雅黑" w:hAnsi="微软雅黑" w:eastAsia="微软雅黑" w:cs="微软雅黑"/>
          <w:sz w:val="24"/>
          <w:u w:val="single"/>
          <w:lang w:val="zh-CN"/>
        </w:rPr>
        <w:t xml:space="preserve">        </w:t>
      </w:r>
      <w:r>
        <w:rPr>
          <w:rFonts w:hint="eastAsia" w:ascii="微软雅黑" w:hAnsi="微软雅黑" w:eastAsia="微软雅黑" w:cs="微软雅黑"/>
          <w:sz w:val="24"/>
          <w:lang w:val="zh-CN"/>
        </w:rPr>
        <w:t>年</w:t>
      </w:r>
      <w:r>
        <w:rPr>
          <w:rFonts w:hint="eastAsia" w:ascii="微软雅黑" w:hAnsi="微软雅黑" w:eastAsia="微软雅黑" w:cs="微软雅黑"/>
          <w:sz w:val="24"/>
          <w:u w:val="single"/>
          <w:lang w:val="zh-CN"/>
        </w:rPr>
        <w:t xml:space="preserve">    </w:t>
      </w:r>
      <w:r>
        <w:rPr>
          <w:rFonts w:hint="eastAsia" w:ascii="微软雅黑" w:hAnsi="微软雅黑" w:eastAsia="微软雅黑" w:cs="微软雅黑"/>
          <w:sz w:val="24"/>
          <w:lang w:val="zh-CN"/>
        </w:rPr>
        <w:t>月</w:t>
      </w:r>
      <w:r>
        <w:rPr>
          <w:rFonts w:hint="eastAsia" w:ascii="微软雅黑" w:hAnsi="微软雅黑" w:eastAsia="微软雅黑" w:cs="微软雅黑"/>
          <w:sz w:val="24"/>
          <w:u w:val="single"/>
          <w:lang w:val="zh-CN"/>
        </w:rPr>
        <w:t xml:space="preserve">    </w:t>
      </w:r>
      <w:r>
        <w:rPr>
          <w:rFonts w:hint="eastAsia" w:ascii="微软雅黑" w:hAnsi="微软雅黑" w:eastAsia="微软雅黑" w:cs="微软雅黑"/>
          <w:sz w:val="24"/>
          <w:lang w:val="zh-CN"/>
        </w:rPr>
        <w:t>日</w:t>
      </w:r>
      <w:r>
        <w:rPr>
          <w:rFonts w:hint="eastAsia" w:ascii="微软雅黑" w:hAnsi="微软雅黑" w:eastAsia="微软雅黑" w:cs="微软雅黑"/>
          <w:sz w:val="24"/>
        </w:rPr>
        <w:t>，</w:t>
      </w:r>
      <w:r>
        <w:rPr>
          <w:rFonts w:hint="eastAsia" w:ascii="微软雅黑" w:hAnsi="微软雅黑" w:eastAsia="微软雅黑" w:cs="微软雅黑"/>
          <w:sz w:val="24"/>
          <w:u w:val="single"/>
        </w:rPr>
        <w:t xml:space="preserve">   （采购人名称）   </w:t>
      </w:r>
      <w:r>
        <w:rPr>
          <w:rFonts w:hint="eastAsia" w:ascii="微软雅黑" w:hAnsi="微软雅黑" w:eastAsia="微软雅黑" w:cs="微软雅黑"/>
          <w:sz w:val="24"/>
        </w:rPr>
        <w:t>以</w:t>
      </w:r>
      <w:r>
        <w:rPr>
          <w:rFonts w:hint="eastAsia" w:ascii="微软雅黑" w:hAnsi="微软雅黑" w:eastAsia="微软雅黑" w:cs="微软雅黑"/>
          <w:sz w:val="24"/>
          <w:u w:val="single"/>
        </w:rPr>
        <w:t xml:space="preserve">   （政府采购方式）  </w:t>
      </w:r>
      <w:r>
        <w:rPr>
          <w:rFonts w:hint="eastAsia" w:ascii="微软雅黑" w:hAnsi="微软雅黑" w:eastAsia="微软雅黑" w:cs="微软雅黑"/>
          <w:sz w:val="24"/>
        </w:rPr>
        <w:t>对</w:t>
      </w:r>
      <w:r>
        <w:rPr>
          <w:rFonts w:hint="eastAsia" w:ascii="微软雅黑" w:hAnsi="微软雅黑" w:eastAsia="微软雅黑" w:cs="微软雅黑"/>
          <w:sz w:val="24"/>
          <w:u w:val="single"/>
        </w:rPr>
        <w:t xml:space="preserve">   （同前页项目名称）   </w:t>
      </w:r>
      <w:r>
        <w:rPr>
          <w:rFonts w:hint="eastAsia" w:ascii="微软雅黑" w:hAnsi="微软雅黑" w:eastAsia="微软雅黑" w:cs="微软雅黑"/>
          <w:sz w:val="24"/>
        </w:rPr>
        <w:t>项目进行了采购。经</w:t>
      </w:r>
      <w:r>
        <w:rPr>
          <w:rFonts w:hint="eastAsia" w:ascii="微软雅黑" w:hAnsi="微软雅黑" w:eastAsia="微软雅黑" w:cs="微软雅黑"/>
          <w:sz w:val="24"/>
          <w:u w:val="single"/>
        </w:rPr>
        <w:t xml:space="preserve">   （相关评定主体名称）   </w:t>
      </w:r>
      <w:r>
        <w:rPr>
          <w:rFonts w:hint="eastAsia" w:ascii="微软雅黑" w:hAnsi="微软雅黑" w:eastAsia="微软雅黑" w:cs="微软雅黑"/>
          <w:sz w:val="24"/>
        </w:rPr>
        <w:t>评定，</w:t>
      </w:r>
      <w:r>
        <w:rPr>
          <w:rFonts w:hint="eastAsia" w:ascii="微软雅黑" w:hAnsi="微软雅黑" w:eastAsia="微软雅黑" w:cs="微软雅黑"/>
          <w:sz w:val="24"/>
          <w:u w:val="single"/>
        </w:rPr>
        <w:t xml:space="preserve">   （中标供应商名称）</w:t>
      </w:r>
      <w:r>
        <w:rPr>
          <w:rFonts w:hint="eastAsia" w:ascii="微软雅黑" w:hAnsi="微软雅黑" w:eastAsia="微软雅黑" w:cs="微软雅黑"/>
          <w:sz w:val="24"/>
        </w:rPr>
        <w:t>为该项目中标供应商。现于中标通知书发出之日起三十日内，按照采购文件确定的事项签订本合同。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sz w:val="24"/>
          <w:u w:val="single"/>
        </w:rPr>
        <w:t xml:space="preserve">   （采购人名称）   </w:t>
      </w:r>
      <w:r>
        <w:rPr>
          <w:rFonts w:hint="eastAsia" w:ascii="微软雅黑" w:hAnsi="微软雅黑" w:eastAsia="微软雅黑" w:cs="微软雅黑"/>
          <w:sz w:val="24"/>
          <w:lang w:val="zh-CN"/>
        </w:rPr>
        <w:t>(以下简称：甲方)和</w:t>
      </w:r>
      <w:r>
        <w:rPr>
          <w:rFonts w:hint="eastAsia" w:ascii="微软雅黑" w:hAnsi="微软雅黑" w:eastAsia="微软雅黑" w:cs="微软雅黑"/>
          <w:sz w:val="24"/>
          <w:u w:val="single"/>
        </w:rPr>
        <w:t xml:space="preserve">   （中标供应商名称）   </w:t>
      </w:r>
      <w:r>
        <w:rPr>
          <w:rFonts w:hint="eastAsia" w:ascii="微软雅黑" w:hAnsi="微软雅黑" w:eastAsia="微软雅黑" w:cs="微软雅黑"/>
          <w:sz w:val="24"/>
          <w:lang w:val="zh-CN"/>
        </w:rPr>
        <w:t>(以下简称：乙方)协商一致，约定以下合同</w:t>
      </w:r>
      <w:r>
        <w:rPr>
          <w:rFonts w:hint="eastAsia" w:ascii="微软雅黑" w:hAnsi="微软雅黑" w:eastAsia="微软雅黑" w:cs="微软雅黑"/>
          <w:sz w:val="24"/>
        </w:rPr>
        <w:t>条款，以兹共同遵守、全面履行。</w:t>
      </w:r>
    </w:p>
    <w:bookmarkEnd w:id="825"/>
    <w:bookmarkEnd w:id="826"/>
    <w:bookmarkEnd w:id="827"/>
    <w:bookmarkEnd w:id="828"/>
    <w:bookmarkEnd w:id="829"/>
    <w:bookmarkEnd w:id="830"/>
    <w:p>
      <w:pPr>
        <w:ind w:firstLine="480" w:firstLineChars="200"/>
        <w:outlineLvl w:val="0"/>
        <w:rPr>
          <w:rFonts w:ascii="微软雅黑" w:hAnsi="微软雅黑" w:eastAsia="微软雅黑" w:cs="微软雅黑"/>
          <w:b/>
          <w:bCs/>
          <w:sz w:val="24"/>
        </w:rPr>
      </w:pPr>
      <w:bookmarkStart w:id="831" w:name="_Toc27428"/>
      <w:bookmarkStart w:id="832" w:name="_Toc24186"/>
      <w:bookmarkStart w:id="833" w:name="_Toc2390"/>
      <w:bookmarkStart w:id="834" w:name="_Toc14766"/>
      <w:bookmarkStart w:id="835" w:name="_Toc6038"/>
      <w:bookmarkStart w:id="836" w:name="_Toc967"/>
      <w:bookmarkStart w:id="837" w:name="_Toc4498"/>
      <w:bookmarkStart w:id="838" w:name="_Toc29481"/>
      <w:bookmarkStart w:id="839" w:name="_Toc18247"/>
      <w:bookmarkStart w:id="840" w:name="_Toc416"/>
      <w:bookmarkStart w:id="841" w:name="_Toc25352"/>
      <w:bookmarkStart w:id="842" w:name="_Toc2048"/>
      <w:bookmarkStart w:id="843" w:name="_Toc20797"/>
      <w:bookmarkStart w:id="844" w:name="_Toc21386"/>
      <w:bookmarkStart w:id="845" w:name="_Toc30575"/>
      <w:bookmarkStart w:id="846" w:name="_Toc27963"/>
      <w:bookmarkStart w:id="847" w:name="_Toc15812"/>
      <w:bookmarkStart w:id="848" w:name="_Toc29751"/>
      <w:bookmarkStart w:id="849" w:name="_Toc4751"/>
      <w:bookmarkStart w:id="850" w:name="_Toc2992"/>
      <w:bookmarkStart w:id="851" w:name="_Toc28090"/>
      <w:r>
        <w:rPr>
          <w:rFonts w:hint="eastAsia" w:ascii="微软雅黑" w:hAnsi="微软雅黑" w:eastAsia="微软雅黑" w:cs="微软雅黑"/>
          <w:b/>
          <w:bCs/>
          <w:sz w:val="24"/>
        </w:rPr>
        <w:t>1.1 合同组成部分</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1.1.1 本合同及其补充合同、变更协议；</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1.1.2 中标通知书；</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1.1.3 投标文件（含澄清或者说明文件）；</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1.1.4 招标文件（含澄清或者修改文件）；</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1.1.5 其他相关采购文件。</w:t>
      </w:r>
    </w:p>
    <w:p>
      <w:pPr>
        <w:ind w:firstLine="480" w:firstLineChars="200"/>
        <w:outlineLvl w:val="0"/>
        <w:rPr>
          <w:rFonts w:hint="eastAsia" w:ascii="微软雅黑" w:hAnsi="微软雅黑" w:eastAsia="微软雅黑" w:cs="微软雅黑"/>
          <w:b/>
          <w:bCs/>
          <w:sz w:val="24"/>
          <w:lang w:val="en-US" w:eastAsia="zh-CN"/>
        </w:rPr>
      </w:pPr>
      <w:bookmarkStart w:id="852" w:name="_Toc4735"/>
      <w:bookmarkStart w:id="853" w:name="_Toc5906"/>
      <w:bookmarkStart w:id="854" w:name="_Toc27318"/>
      <w:bookmarkStart w:id="855" w:name="_Toc32674"/>
      <w:bookmarkStart w:id="856" w:name="_Toc19432"/>
      <w:bookmarkStart w:id="857" w:name="_Toc31632"/>
      <w:bookmarkStart w:id="858" w:name="_Toc14235"/>
      <w:bookmarkStart w:id="859" w:name="_Toc8631"/>
      <w:bookmarkStart w:id="860" w:name="_Toc2579"/>
      <w:bookmarkStart w:id="861" w:name="_Toc21217"/>
      <w:bookmarkStart w:id="862" w:name="_Toc11529"/>
      <w:bookmarkStart w:id="863" w:name="_Toc24413"/>
      <w:bookmarkStart w:id="864" w:name="_Toc7977"/>
      <w:bookmarkStart w:id="865" w:name="_Toc25735"/>
      <w:bookmarkStart w:id="866" w:name="_Toc1446"/>
      <w:bookmarkStart w:id="867" w:name="_Toc31638"/>
      <w:bookmarkStart w:id="868" w:name="_Toc27126"/>
      <w:bookmarkStart w:id="869" w:name="_Toc24300"/>
      <w:bookmarkStart w:id="870" w:name="_Toc17543"/>
      <w:bookmarkStart w:id="871" w:name="_Toc13138"/>
      <w:bookmarkStart w:id="872" w:name="_Toc20325"/>
      <w:bookmarkStart w:id="873" w:name="_Toc25402"/>
      <w:bookmarkStart w:id="874" w:name="_Toc9006"/>
      <w:bookmarkStart w:id="875" w:name="_Toc11238"/>
      <w:bookmarkStart w:id="876" w:name="_Toc15345"/>
      <w:bookmarkStart w:id="877" w:name="_Toc21295"/>
      <w:bookmarkStart w:id="878" w:name="_Toc21690"/>
      <w:r>
        <w:rPr>
          <w:rFonts w:hint="eastAsia" w:ascii="微软雅黑" w:hAnsi="微软雅黑" w:eastAsia="微软雅黑" w:cs="微软雅黑"/>
          <w:b/>
          <w:bCs/>
          <w:sz w:val="24"/>
        </w:rPr>
        <w:t xml:space="preserve">1.2 </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r>
        <w:rPr>
          <w:rFonts w:hint="eastAsia" w:ascii="微软雅黑" w:hAnsi="微软雅黑" w:eastAsia="微软雅黑" w:cs="微软雅黑"/>
          <w:b/>
          <w:bCs/>
          <w:sz w:val="24"/>
          <w:lang w:val="en-US" w:eastAsia="zh-CN"/>
        </w:rPr>
        <w:t>服务</w:t>
      </w:r>
    </w:p>
    <w:p>
      <w:pPr>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rPr>
        <w:t xml:space="preserve">1.2.1 </w:t>
      </w:r>
      <w:r>
        <w:rPr>
          <w:rFonts w:hint="eastAsia" w:ascii="微软雅黑" w:hAnsi="微软雅黑" w:eastAsia="微软雅黑" w:cs="微软雅黑"/>
          <w:sz w:val="24"/>
          <w:lang w:val="en-US" w:eastAsia="zh-CN"/>
        </w:rPr>
        <w:t>服务</w:t>
      </w:r>
      <w:r>
        <w:rPr>
          <w:rFonts w:hint="eastAsia" w:ascii="微软雅黑" w:hAnsi="微软雅黑" w:eastAsia="微软雅黑" w:cs="微软雅黑"/>
          <w:sz w:val="24"/>
        </w:rPr>
        <w:t>名称：</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rPr>
        <w:t xml:space="preserve">1.2.2 </w:t>
      </w:r>
      <w:r>
        <w:rPr>
          <w:rFonts w:hint="eastAsia" w:ascii="微软雅黑" w:hAnsi="微软雅黑" w:eastAsia="微软雅黑" w:cs="微软雅黑"/>
          <w:sz w:val="24"/>
          <w:lang w:val="en-US" w:eastAsia="zh-CN"/>
        </w:rPr>
        <w:t>服务</w:t>
      </w:r>
      <w:r>
        <w:rPr>
          <w:rFonts w:hint="eastAsia" w:ascii="微软雅黑" w:hAnsi="微软雅黑" w:eastAsia="微软雅黑" w:cs="微软雅黑"/>
          <w:sz w:val="24"/>
        </w:rPr>
        <w:t>数量：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 xml:space="preserve">1.2.3 </w:t>
      </w:r>
      <w:r>
        <w:rPr>
          <w:rFonts w:hint="eastAsia" w:ascii="微软雅黑" w:hAnsi="微软雅黑" w:eastAsia="微软雅黑" w:cs="微软雅黑"/>
          <w:sz w:val="24"/>
          <w:lang w:val="en-US" w:eastAsia="zh-CN"/>
        </w:rPr>
        <w:t>服务</w:t>
      </w:r>
      <w:r>
        <w:rPr>
          <w:rFonts w:hint="eastAsia" w:ascii="微软雅黑" w:hAnsi="微软雅黑" w:eastAsia="微软雅黑" w:cs="微软雅黑"/>
          <w:sz w:val="24"/>
        </w:rPr>
        <w:t>质量：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879" w:name="_Toc29540"/>
      <w:bookmarkStart w:id="880" w:name="_Toc21040"/>
      <w:bookmarkStart w:id="881" w:name="_Toc21631"/>
      <w:bookmarkStart w:id="882" w:name="_Toc27282"/>
      <w:bookmarkStart w:id="883" w:name="_Toc21551"/>
      <w:bookmarkStart w:id="884" w:name="_Toc12266"/>
      <w:bookmarkStart w:id="885" w:name="_Toc11045"/>
      <w:bookmarkStart w:id="886" w:name="_Toc6581"/>
      <w:bookmarkStart w:id="887" w:name="_Toc9271"/>
      <w:bookmarkStart w:id="888" w:name="_Toc30667"/>
      <w:bookmarkStart w:id="889" w:name="_Toc19893"/>
      <w:bookmarkStart w:id="890" w:name="_Toc30755"/>
      <w:bookmarkStart w:id="891" w:name="_Toc13898"/>
      <w:bookmarkStart w:id="892" w:name="_Toc9364"/>
      <w:bookmarkStart w:id="893" w:name="_Toc1267"/>
      <w:bookmarkStart w:id="894" w:name="_Toc2897"/>
      <w:bookmarkStart w:id="895" w:name="_Toc11463"/>
      <w:bookmarkStart w:id="896" w:name="_Toc10942"/>
      <w:bookmarkStart w:id="897" w:name="_Toc9579"/>
      <w:bookmarkStart w:id="898" w:name="_Toc19682"/>
      <w:bookmarkStart w:id="899" w:name="_Toc8386"/>
      <w:bookmarkStart w:id="900" w:name="_Toc30388"/>
      <w:bookmarkStart w:id="901" w:name="_Toc25368"/>
      <w:bookmarkStart w:id="902" w:name="_Toc23292"/>
      <w:bookmarkStart w:id="903" w:name="_Toc633"/>
      <w:bookmarkStart w:id="904" w:name="_Toc1528"/>
      <w:bookmarkStart w:id="905" w:name="_Toc31994"/>
      <w:r>
        <w:rPr>
          <w:rFonts w:hint="eastAsia" w:ascii="微软雅黑" w:hAnsi="微软雅黑" w:eastAsia="微软雅黑" w:cs="微软雅黑"/>
          <w:b/>
          <w:bCs/>
          <w:sz w:val="24"/>
        </w:rPr>
        <w:t>1.3 价款</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本合同总价为：￥</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元（大写：</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元人民币）。</w:t>
      </w:r>
    </w:p>
    <w:p>
      <w:pPr>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rPr>
        <w:t>分项价格：</w:t>
      </w:r>
    </w:p>
    <w:tbl>
      <w:tblPr>
        <w:tblStyle w:val="35"/>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2"/>
              <w:jc w:val="center"/>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序号</w:t>
            </w:r>
          </w:p>
        </w:tc>
        <w:tc>
          <w:tcPr>
            <w:tcW w:w="3738" w:type="dxa"/>
            <w:vAlign w:val="center"/>
          </w:tcPr>
          <w:p>
            <w:pPr>
              <w:pStyle w:val="52"/>
              <w:ind w:firstLine="200"/>
              <w:jc w:val="center"/>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分项名称</w:t>
            </w:r>
          </w:p>
        </w:tc>
        <w:tc>
          <w:tcPr>
            <w:tcW w:w="2803" w:type="dxa"/>
            <w:vAlign w:val="center"/>
          </w:tcPr>
          <w:p>
            <w:pPr>
              <w:pStyle w:val="52"/>
              <w:jc w:val="center"/>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2"/>
              <w:ind w:firstLine="200"/>
              <w:jc w:val="center"/>
              <w:rPr>
                <w:rFonts w:ascii="微软雅黑" w:hAnsi="微软雅黑" w:eastAsia="微软雅黑" w:cs="微软雅黑"/>
                <w:kern w:val="2"/>
                <w:sz w:val="24"/>
                <w:szCs w:val="24"/>
              </w:rPr>
            </w:pPr>
          </w:p>
        </w:tc>
        <w:tc>
          <w:tcPr>
            <w:tcW w:w="3738" w:type="dxa"/>
            <w:vAlign w:val="center"/>
          </w:tcPr>
          <w:p>
            <w:pPr>
              <w:pStyle w:val="52"/>
              <w:ind w:firstLine="200"/>
              <w:jc w:val="center"/>
              <w:rPr>
                <w:rFonts w:ascii="微软雅黑" w:hAnsi="微软雅黑" w:eastAsia="微软雅黑" w:cs="微软雅黑"/>
                <w:kern w:val="2"/>
                <w:sz w:val="24"/>
                <w:szCs w:val="24"/>
              </w:rPr>
            </w:pPr>
          </w:p>
        </w:tc>
        <w:tc>
          <w:tcPr>
            <w:tcW w:w="2803" w:type="dxa"/>
            <w:vAlign w:val="center"/>
          </w:tcPr>
          <w:p>
            <w:pPr>
              <w:pStyle w:val="52"/>
              <w:ind w:firstLine="200"/>
              <w:jc w:val="center"/>
              <w:rPr>
                <w:rFonts w:ascii="微软雅黑" w:hAnsi="微软雅黑" w:eastAsia="微软雅黑" w:cs="微软雅黑"/>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52"/>
              <w:ind w:firstLine="200"/>
              <w:jc w:val="center"/>
              <w:rPr>
                <w:rFonts w:ascii="微软雅黑" w:hAnsi="微软雅黑" w:eastAsia="微软雅黑" w:cs="微软雅黑"/>
                <w:kern w:val="2"/>
                <w:sz w:val="24"/>
                <w:szCs w:val="24"/>
              </w:rPr>
            </w:pPr>
          </w:p>
        </w:tc>
        <w:tc>
          <w:tcPr>
            <w:tcW w:w="3738" w:type="dxa"/>
            <w:vAlign w:val="center"/>
          </w:tcPr>
          <w:p>
            <w:pPr>
              <w:pStyle w:val="52"/>
              <w:ind w:firstLine="200"/>
              <w:jc w:val="center"/>
              <w:rPr>
                <w:rFonts w:ascii="微软雅黑" w:hAnsi="微软雅黑" w:eastAsia="微软雅黑" w:cs="微软雅黑"/>
                <w:kern w:val="2"/>
                <w:sz w:val="24"/>
                <w:szCs w:val="24"/>
              </w:rPr>
            </w:pPr>
          </w:p>
        </w:tc>
        <w:tc>
          <w:tcPr>
            <w:tcW w:w="2803" w:type="dxa"/>
            <w:vAlign w:val="center"/>
          </w:tcPr>
          <w:p>
            <w:pPr>
              <w:pStyle w:val="52"/>
              <w:ind w:firstLine="200"/>
              <w:jc w:val="center"/>
              <w:rPr>
                <w:rFonts w:ascii="微软雅黑" w:hAnsi="微软雅黑" w:eastAsia="微软雅黑" w:cs="微软雅黑"/>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52"/>
              <w:ind w:firstLine="200"/>
              <w:jc w:val="center"/>
              <w:rPr>
                <w:rFonts w:ascii="微软雅黑" w:hAnsi="微软雅黑" w:eastAsia="微软雅黑" w:cs="微软雅黑"/>
                <w:kern w:val="2"/>
                <w:sz w:val="24"/>
                <w:szCs w:val="24"/>
              </w:rPr>
            </w:pPr>
            <w:r>
              <w:rPr>
                <w:rFonts w:hint="eastAsia" w:ascii="微软雅黑" w:hAnsi="微软雅黑" w:eastAsia="微软雅黑" w:cs="微软雅黑"/>
                <w:kern w:val="2"/>
                <w:sz w:val="24"/>
                <w:szCs w:val="24"/>
              </w:rPr>
              <w:t>总价</w:t>
            </w:r>
          </w:p>
        </w:tc>
        <w:tc>
          <w:tcPr>
            <w:tcW w:w="2803" w:type="dxa"/>
            <w:vAlign w:val="center"/>
          </w:tcPr>
          <w:p>
            <w:pPr>
              <w:pStyle w:val="52"/>
              <w:ind w:firstLine="200"/>
              <w:jc w:val="center"/>
              <w:rPr>
                <w:rFonts w:ascii="微软雅黑" w:hAnsi="微软雅黑" w:eastAsia="微软雅黑" w:cs="微软雅黑"/>
                <w:kern w:val="2"/>
                <w:sz w:val="24"/>
                <w:szCs w:val="24"/>
              </w:rPr>
            </w:pPr>
          </w:p>
        </w:tc>
      </w:tr>
    </w:tbl>
    <w:p>
      <w:pPr>
        <w:ind w:firstLine="480" w:firstLineChars="200"/>
        <w:outlineLvl w:val="0"/>
        <w:rPr>
          <w:rFonts w:ascii="微软雅黑" w:hAnsi="微软雅黑" w:eastAsia="微软雅黑" w:cs="微软雅黑"/>
          <w:b/>
          <w:bCs/>
          <w:sz w:val="24"/>
        </w:rPr>
      </w:pPr>
      <w:bookmarkStart w:id="906" w:name="_Toc27811"/>
      <w:bookmarkStart w:id="907" w:name="_Toc27817"/>
      <w:bookmarkStart w:id="908" w:name="_Toc26112"/>
      <w:bookmarkStart w:id="909" w:name="_Toc21349"/>
      <w:bookmarkStart w:id="910" w:name="_Toc22618"/>
      <w:bookmarkStart w:id="911" w:name="_Toc1814"/>
      <w:bookmarkStart w:id="912" w:name="_Toc8933"/>
      <w:bookmarkStart w:id="913" w:name="_Toc10340"/>
      <w:bookmarkStart w:id="914" w:name="_Toc28773"/>
      <w:bookmarkStart w:id="915" w:name="_Toc673"/>
      <w:bookmarkStart w:id="916" w:name="_Toc26470"/>
      <w:bookmarkStart w:id="917" w:name="_Toc7458"/>
      <w:bookmarkStart w:id="918" w:name="_Toc24781"/>
      <w:bookmarkStart w:id="919" w:name="_Toc21862"/>
      <w:bookmarkStart w:id="920" w:name="_Toc2285"/>
      <w:bookmarkStart w:id="921" w:name="_Toc21854"/>
      <w:bookmarkStart w:id="922" w:name="_Toc10086"/>
      <w:bookmarkStart w:id="923" w:name="_Toc30643"/>
      <w:bookmarkStart w:id="924" w:name="_Toc21104"/>
      <w:bookmarkStart w:id="925" w:name="_Toc4585"/>
      <w:bookmarkStart w:id="926" w:name="_Toc30507"/>
      <w:bookmarkStart w:id="927" w:name="_Toc44"/>
      <w:bookmarkStart w:id="928" w:name="_Toc7753"/>
      <w:bookmarkStart w:id="929" w:name="_Toc27654"/>
      <w:bookmarkStart w:id="930" w:name="_Toc5736"/>
      <w:bookmarkStart w:id="931" w:name="_Toc7801"/>
      <w:r>
        <w:rPr>
          <w:rFonts w:hint="eastAsia" w:ascii="微软雅黑" w:hAnsi="微软雅黑" w:eastAsia="微软雅黑" w:cs="微软雅黑"/>
          <w:b/>
          <w:bCs/>
          <w:sz w:val="24"/>
        </w:rPr>
        <w:t>1.4 付款方式和发票开具方式</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1.4.1 付款方式：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1.4.2 发票开具方式：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932" w:name="_Toc17448"/>
      <w:bookmarkStart w:id="933" w:name="_Toc4501"/>
      <w:bookmarkStart w:id="934" w:name="_Toc25278"/>
      <w:bookmarkStart w:id="935" w:name="_Toc30563"/>
      <w:bookmarkStart w:id="936" w:name="_Toc16823"/>
      <w:bookmarkStart w:id="937" w:name="_Toc32071"/>
      <w:bookmarkStart w:id="938" w:name="_Toc22861"/>
      <w:bookmarkStart w:id="939" w:name="_Toc4058"/>
      <w:bookmarkStart w:id="940" w:name="_Toc11682"/>
      <w:bookmarkStart w:id="941" w:name="_Toc25427"/>
      <w:bookmarkStart w:id="942" w:name="_Toc10276"/>
      <w:bookmarkStart w:id="943" w:name="_Toc2846"/>
      <w:bookmarkStart w:id="944" w:name="_Toc30447"/>
      <w:bookmarkStart w:id="945" w:name="_Toc28976"/>
      <w:bookmarkStart w:id="946" w:name="_Toc17179"/>
      <w:bookmarkStart w:id="947" w:name="_Toc4377"/>
      <w:bookmarkStart w:id="948" w:name="_Toc32641"/>
      <w:bookmarkStart w:id="949" w:name="_Toc29386"/>
      <w:bookmarkStart w:id="950" w:name="_Toc24072"/>
      <w:bookmarkStart w:id="951" w:name="_Toc19304"/>
      <w:bookmarkStart w:id="952" w:name="_Toc2852"/>
      <w:bookmarkStart w:id="953" w:name="_Toc30894"/>
      <w:bookmarkStart w:id="954" w:name="_Toc26187"/>
      <w:bookmarkStart w:id="955" w:name="_Toc23862"/>
      <w:bookmarkStart w:id="956" w:name="_Toc2750"/>
      <w:bookmarkStart w:id="957" w:name="_Toc2083"/>
      <w:r>
        <w:rPr>
          <w:rFonts w:hint="eastAsia" w:ascii="微软雅黑" w:hAnsi="微软雅黑" w:eastAsia="微软雅黑" w:cs="微软雅黑"/>
          <w:b/>
          <w:bCs/>
          <w:sz w:val="24"/>
        </w:rPr>
        <w:t xml:space="preserve">1.5 </w:t>
      </w:r>
      <w:r>
        <w:rPr>
          <w:rFonts w:hint="eastAsia" w:ascii="微软雅黑" w:hAnsi="微软雅黑" w:eastAsia="微软雅黑" w:cs="微软雅黑"/>
          <w:b/>
          <w:bCs/>
          <w:sz w:val="24"/>
          <w:lang w:val="en-US" w:eastAsia="zh-CN"/>
        </w:rPr>
        <w:t>服务</w:t>
      </w:r>
      <w:r>
        <w:rPr>
          <w:rFonts w:hint="eastAsia" w:ascii="微软雅黑" w:hAnsi="微软雅黑" w:eastAsia="微软雅黑" w:cs="微软雅黑"/>
          <w:b/>
          <w:bCs/>
          <w:sz w:val="24"/>
        </w:rPr>
        <w:t>交付期限、地点和方式</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p>
    <w:p>
      <w:pPr>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rPr>
        <w:t>1.5.1 交付期限：</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1.5.2 交付地点：</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1.5.3 交付方式：</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958" w:name="_Toc10320"/>
      <w:bookmarkStart w:id="959" w:name="_Toc12679"/>
      <w:bookmarkStart w:id="960" w:name="_Toc27250"/>
      <w:bookmarkStart w:id="961" w:name="_Toc13854"/>
      <w:bookmarkStart w:id="962" w:name="_Toc12629"/>
      <w:bookmarkStart w:id="963" w:name="_Toc6841"/>
      <w:bookmarkStart w:id="964" w:name="_Toc15865"/>
      <w:bookmarkStart w:id="965" w:name="_Toc1835"/>
      <w:bookmarkStart w:id="966" w:name="_Toc28455"/>
      <w:bookmarkStart w:id="967" w:name="_Toc21406"/>
      <w:bookmarkStart w:id="968" w:name="_Toc10321"/>
      <w:bookmarkStart w:id="969" w:name="_Toc25443"/>
      <w:bookmarkStart w:id="970" w:name="_Toc29769"/>
      <w:bookmarkStart w:id="971" w:name="_Toc19554"/>
      <w:bookmarkStart w:id="972" w:name="_Toc4190"/>
      <w:bookmarkStart w:id="973" w:name="_Toc12424"/>
      <w:bookmarkStart w:id="974" w:name="_Toc25649"/>
      <w:bookmarkStart w:id="975" w:name="_Toc11237"/>
      <w:bookmarkStart w:id="976" w:name="_Toc26850"/>
      <w:bookmarkStart w:id="977" w:name="_Toc27247"/>
      <w:bookmarkStart w:id="978" w:name="_Toc8754"/>
      <w:bookmarkStart w:id="979" w:name="_Toc8569"/>
      <w:bookmarkStart w:id="980" w:name="_Toc13569"/>
      <w:bookmarkStart w:id="981" w:name="_Toc12988"/>
      <w:bookmarkStart w:id="982" w:name="_Toc12753"/>
      <w:bookmarkStart w:id="983" w:name="_Toc21423"/>
      <w:bookmarkStart w:id="984" w:name="_Toc29941"/>
      <w:r>
        <w:rPr>
          <w:rFonts w:hint="eastAsia" w:ascii="微软雅黑" w:hAnsi="微软雅黑" w:eastAsia="微软雅黑" w:cs="微软雅黑"/>
          <w:b/>
          <w:bCs/>
          <w:sz w:val="24"/>
        </w:rPr>
        <w:t>1.6 违约责任</w:t>
      </w:r>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%计算，最高限额为本合同总价的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%；迟延交付货物的违约金计算数额达到前述最高限额之日起，甲方有权在要求乙方支付违约金的同时，书面通知乙方解除本合同；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%计算，最高限额为本合同总价的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%；迟延付款的违约金计算数额达到前述最高限额之日起，乙方有权在要求甲方支付违约金的同时，书面通知甲方解除本合同；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1.6.6 如果出现政府采购监督管理部门在处理投诉事项期间，书面通知甲方暂停采购活动的情形，或者询问或质疑事项可能影响中标结果的，导致甲方中止履行合同的情形，均不视为甲方违约。</w:t>
      </w:r>
    </w:p>
    <w:p>
      <w:pPr>
        <w:ind w:firstLine="480" w:firstLineChars="200"/>
        <w:outlineLvl w:val="0"/>
        <w:rPr>
          <w:rFonts w:ascii="微软雅黑" w:hAnsi="微软雅黑" w:eastAsia="微软雅黑" w:cs="微软雅黑"/>
          <w:b/>
          <w:bCs/>
          <w:sz w:val="24"/>
        </w:rPr>
      </w:pPr>
      <w:bookmarkStart w:id="985" w:name="_Toc16341"/>
      <w:bookmarkStart w:id="986" w:name="_Toc25915"/>
      <w:bookmarkStart w:id="987" w:name="_Toc20497"/>
      <w:bookmarkStart w:id="988" w:name="_Toc12021"/>
      <w:bookmarkStart w:id="989" w:name="_Toc21643"/>
      <w:bookmarkStart w:id="990" w:name="_Toc15583"/>
      <w:bookmarkStart w:id="991" w:name="_Toc19011"/>
      <w:bookmarkStart w:id="992" w:name="_Toc13308"/>
      <w:bookmarkStart w:id="993" w:name="_Toc28375"/>
      <w:bookmarkStart w:id="994" w:name="_Toc27927"/>
      <w:bookmarkStart w:id="995" w:name="_Toc23654"/>
      <w:bookmarkStart w:id="996" w:name="_Toc20610"/>
      <w:bookmarkStart w:id="997" w:name="_Toc27762"/>
      <w:bookmarkStart w:id="998" w:name="_Toc7216"/>
      <w:bookmarkStart w:id="999" w:name="_Toc31145"/>
      <w:bookmarkStart w:id="1000" w:name="_Toc6344"/>
      <w:bookmarkStart w:id="1001" w:name="_Toc19374"/>
      <w:bookmarkStart w:id="1002" w:name="_Toc3403"/>
      <w:bookmarkStart w:id="1003" w:name="_Toc29338"/>
      <w:bookmarkStart w:id="1004" w:name="_Toc12178"/>
      <w:bookmarkStart w:id="1005" w:name="_Toc16021"/>
      <w:bookmarkStart w:id="1006" w:name="_Toc10217"/>
      <w:bookmarkStart w:id="1007" w:name="_Toc22341"/>
      <w:bookmarkStart w:id="1008" w:name="_Toc9202"/>
      <w:bookmarkStart w:id="1009" w:name="_Toc8914"/>
      <w:bookmarkStart w:id="1010" w:name="_Toc5482"/>
      <w:bookmarkStart w:id="1011" w:name="_Toc24393"/>
      <w:r>
        <w:rPr>
          <w:rFonts w:hint="eastAsia" w:ascii="微软雅黑" w:hAnsi="微软雅黑" w:eastAsia="微软雅黑" w:cs="微软雅黑"/>
          <w:b/>
          <w:bCs/>
          <w:sz w:val="24"/>
        </w:rPr>
        <w:t>1.7 合同争议的解决</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种方式解决：</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1.7.1 将争议提交</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仲裁委员会依申请仲裁时其现行有效的仲裁规则裁决；</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1.7.2 向</w:t>
      </w:r>
      <w:r>
        <w:rPr>
          <w:rFonts w:hint="eastAsia" w:ascii="微软雅黑" w:hAnsi="微软雅黑" w:eastAsia="微软雅黑" w:cs="微软雅黑"/>
          <w:sz w:val="24"/>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sz w:val="24"/>
        </w:rPr>
        <w:t>人民法院起诉。</w:t>
      </w:r>
    </w:p>
    <w:p>
      <w:pPr>
        <w:ind w:firstLine="480" w:firstLineChars="200"/>
        <w:outlineLvl w:val="0"/>
        <w:rPr>
          <w:rFonts w:ascii="微软雅黑" w:hAnsi="微软雅黑" w:eastAsia="微软雅黑" w:cs="微软雅黑"/>
          <w:b/>
          <w:bCs/>
          <w:sz w:val="24"/>
        </w:rPr>
      </w:pPr>
      <w:bookmarkStart w:id="1012" w:name="_Toc15322"/>
      <w:bookmarkStart w:id="1013" w:name="_Toc10043"/>
      <w:bookmarkStart w:id="1014" w:name="_Toc4516"/>
      <w:bookmarkStart w:id="1015" w:name="_Toc10255"/>
      <w:bookmarkStart w:id="1016" w:name="_Toc16410"/>
      <w:bookmarkStart w:id="1017" w:name="_Toc5752"/>
      <w:bookmarkStart w:id="1018" w:name="_Toc20305"/>
      <w:bookmarkStart w:id="1019" w:name="_Toc2901"/>
      <w:bookmarkStart w:id="1020" w:name="_Toc14796"/>
      <w:bookmarkStart w:id="1021" w:name="_Toc2894"/>
      <w:bookmarkStart w:id="1022" w:name="_Toc8975"/>
      <w:bookmarkStart w:id="1023" w:name="_Toc7245"/>
      <w:bookmarkStart w:id="1024" w:name="_Toc10429"/>
      <w:bookmarkStart w:id="1025" w:name="_Toc26231"/>
      <w:bookmarkStart w:id="1026" w:name="_Toc11173"/>
      <w:bookmarkStart w:id="1027" w:name="_Toc30260"/>
      <w:bookmarkStart w:id="1028" w:name="_Toc17113"/>
      <w:bookmarkStart w:id="1029" w:name="_Toc29292"/>
      <w:bookmarkStart w:id="1030" w:name="_Toc9329"/>
      <w:bookmarkStart w:id="1031" w:name="_Toc20192"/>
      <w:bookmarkStart w:id="1032" w:name="_Toc518"/>
      <w:bookmarkStart w:id="1033" w:name="_Toc1647"/>
      <w:bookmarkStart w:id="1034" w:name="_Toc32578"/>
      <w:bookmarkStart w:id="1035" w:name="_Toc5077"/>
      <w:bookmarkStart w:id="1036" w:name="_Toc12946"/>
      <w:bookmarkStart w:id="1037" w:name="_Toc31023"/>
      <w:bookmarkStart w:id="1038" w:name="_Toc6411"/>
      <w:r>
        <w:rPr>
          <w:rFonts w:hint="eastAsia" w:ascii="微软雅黑" w:hAnsi="微软雅黑" w:eastAsia="微软雅黑" w:cs="微软雅黑"/>
          <w:b/>
          <w:bCs/>
          <w:sz w:val="24"/>
        </w:rPr>
        <w:t>1.8 合同生效</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p>
    <w:p>
      <w:pPr>
        <w:ind w:firstLine="480" w:firstLineChars="200"/>
        <w:rPr>
          <w:rFonts w:ascii="微软雅黑" w:hAnsi="微软雅黑" w:eastAsia="微软雅黑" w:cs="微软雅黑"/>
          <w:b/>
          <w:bCs/>
          <w:sz w:val="24"/>
        </w:rPr>
      </w:pPr>
      <w:r>
        <w:rPr>
          <w:rFonts w:hint="eastAsia" w:ascii="微软雅黑" w:hAnsi="微软雅黑" w:eastAsia="微软雅黑" w:cs="微软雅黑"/>
          <w:sz w:val="24"/>
        </w:rPr>
        <w:t>本合同自双方当事人盖章或者签字时生效。</w:t>
      </w:r>
    </w:p>
    <w:p>
      <w:pPr>
        <w:autoSpaceDE w:val="0"/>
        <w:autoSpaceDN w:val="0"/>
        <w:adjustRightInd w:val="0"/>
        <w:rPr>
          <w:rFonts w:ascii="微软雅黑" w:hAnsi="微软雅黑" w:eastAsia="微软雅黑" w:cs="微软雅黑"/>
          <w:sz w:val="24"/>
          <w:lang w:val="zh-CN"/>
        </w:rPr>
      </w:pP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b/>
          <w:bCs/>
          <w:sz w:val="24"/>
          <w:lang w:val="zh-CN"/>
        </w:rPr>
        <w:t>甲方</w:t>
      </w:r>
      <w:r>
        <w:rPr>
          <w:rFonts w:hint="eastAsia" w:ascii="微软雅黑" w:hAnsi="微软雅黑" w:eastAsia="微软雅黑" w:cs="微软雅黑"/>
          <w:sz w:val="24"/>
          <w:lang w:val="zh-CN"/>
        </w:rPr>
        <w:t xml:space="preserve">：                             </w:t>
      </w:r>
      <w:r>
        <w:rPr>
          <w:rFonts w:hint="eastAsia" w:ascii="微软雅黑" w:hAnsi="微软雅黑" w:eastAsia="微软雅黑" w:cs="微软雅黑"/>
          <w:b/>
          <w:bCs/>
          <w:sz w:val="24"/>
          <w:lang w:val="zh-CN"/>
        </w:rPr>
        <w:t xml:space="preserve">      乙方</w:t>
      </w:r>
      <w:r>
        <w:rPr>
          <w:rFonts w:hint="eastAsia" w:ascii="微软雅黑" w:hAnsi="微软雅黑" w:eastAsia="微软雅黑" w:cs="微软雅黑"/>
          <w:sz w:val="24"/>
          <w:lang w:val="zh-CN"/>
        </w:rPr>
        <w:t>：</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统一社会信用代码：                        统一社会信用代码或身份证号码：</w:t>
      </w:r>
    </w:p>
    <w:p>
      <w:pPr>
        <w:autoSpaceDE w:val="0"/>
        <w:autoSpaceDN w:val="0"/>
        <w:adjustRightInd w:val="0"/>
        <w:rPr>
          <w:rFonts w:ascii="微软雅黑" w:hAnsi="微软雅黑" w:eastAsia="微软雅黑" w:cs="微软雅黑"/>
          <w:sz w:val="24"/>
          <w:lang w:val="zh-CN"/>
        </w:rPr>
      </w:pP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住所：                                   住所：</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法定代表人或                             法定代表人</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 xml:space="preserve">授权代表（签字）：                       或授权代表（签字）: </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联系人：                                 联系人：</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约定送达地址：                           约定送达地址：</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邮政编码：                               邮政编码：</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 xml:space="preserve">电话:                                    电话: </w:t>
      </w:r>
    </w:p>
    <w:p>
      <w:pPr>
        <w:autoSpaceDE w:val="0"/>
        <w:autoSpaceDN w:val="0"/>
        <w:adjustRightInd w:val="0"/>
        <w:rPr>
          <w:rFonts w:ascii="微软雅黑" w:hAnsi="微软雅黑" w:eastAsia="微软雅黑" w:cs="微软雅黑"/>
          <w:sz w:val="24"/>
          <w:lang w:val="zh-CN"/>
        </w:rPr>
      </w:pPr>
      <w:r>
        <w:rPr>
          <w:rFonts w:hint="eastAsia" w:ascii="微软雅黑" w:hAnsi="微软雅黑" w:eastAsia="微软雅黑" w:cs="微软雅黑"/>
          <w:sz w:val="24"/>
          <w:lang w:val="zh-CN"/>
        </w:rPr>
        <w:t>传真:                                    传真:</w:t>
      </w:r>
    </w:p>
    <w:p>
      <w:pPr>
        <w:autoSpaceDE w:val="0"/>
        <w:autoSpaceDN w:val="0"/>
        <w:adjustRightInd w:val="0"/>
        <w:rPr>
          <w:rFonts w:ascii="微软雅黑" w:hAnsi="微软雅黑" w:eastAsia="微软雅黑" w:cs="微软雅黑"/>
          <w:sz w:val="24"/>
        </w:rPr>
      </w:pPr>
      <w:r>
        <w:rPr>
          <w:rFonts w:hint="eastAsia" w:ascii="微软雅黑" w:hAnsi="微软雅黑" w:eastAsia="微软雅黑" w:cs="微软雅黑"/>
          <w:sz w:val="24"/>
          <w:lang w:val="zh-CN"/>
        </w:rPr>
        <w:t>电子邮箱：                               电子邮箱：</w:t>
      </w:r>
    </w:p>
    <w:p>
      <w:pPr>
        <w:autoSpaceDE w:val="0"/>
        <w:autoSpaceDN w:val="0"/>
        <w:adjustRightInd w:val="0"/>
        <w:rPr>
          <w:rFonts w:ascii="微软雅黑" w:hAnsi="微软雅黑" w:eastAsia="微软雅黑" w:cs="微软雅黑"/>
          <w:sz w:val="24"/>
        </w:rPr>
      </w:pPr>
      <w:r>
        <w:rPr>
          <w:rFonts w:hint="eastAsia" w:ascii="微软雅黑" w:hAnsi="微软雅黑" w:eastAsia="微软雅黑" w:cs="微软雅黑"/>
          <w:sz w:val="24"/>
        </w:rPr>
        <w:t xml:space="preserve">开户银行：                               开户银行： </w:t>
      </w:r>
    </w:p>
    <w:p>
      <w:pPr>
        <w:autoSpaceDE w:val="0"/>
        <w:autoSpaceDN w:val="0"/>
        <w:adjustRightInd w:val="0"/>
        <w:rPr>
          <w:rFonts w:ascii="微软雅黑" w:hAnsi="微软雅黑" w:eastAsia="微软雅黑" w:cs="微软雅黑"/>
          <w:sz w:val="24"/>
        </w:rPr>
      </w:pPr>
      <w:r>
        <w:rPr>
          <w:rFonts w:hint="eastAsia" w:ascii="微软雅黑" w:hAnsi="微软雅黑" w:eastAsia="微软雅黑" w:cs="微软雅黑"/>
          <w:sz w:val="24"/>
        </w:rPr>
        <w:t xml:space="preserve">开户名称：                               开户名称： </w:t>
      </w:r>
    </w:p>
    <w:p>
      <w:pPr>
        <w:autoSpaceDE w:val="0"/>
        <w:autoSpaceDN w:val="0"/>
        <w:adjustRightInd w:val="0"/>
        <w:rPr>
          <w:rFonts w:ascii="微软雅黑" w:hAnsi="微软雅黑" w:eastAsia="微软雅黑" w:cs="微软雅黑"/>
          <w:sz w:val="24"/>
        </w:rPr>
      </w:pPr>
      <w:r>
        <w:rPr>
          <w:rFonts w:hint="eastAsia" w:ascii="微软雅黑" w:hAnsi="微软雅黑" w:eastAsia="微软雅黑" w:cs="微软雅黑"/>
          <w:sz w:val="24"/>
        </w:rPr>
        <w:t>开户账号：</w:t>
      </w:r>
      <w:r>
        <w:rPr>
          <w:rFonts w:hint="eastAsia" w:ascii="微软雅黑" w:hAnsi="微软雅黑" w:eastAsia="微软雅黑" w:cs="微软雅黑"/>
          <w:sz w:val="24"/>
          <w:lang w:val="zh-CN"/>
        </w:rPr>
        <w:t xml:space="preserve">                               </w:t>
      </w:r>
      <w:r>
        <w:rPr>
          <w:rFonts w:hint="eastAsia" w:ascii="微软雅黑" w:hAnsi="微软雅黑" w:eastAsia="微软雅黑" w:cs="微软雅黑"/>
          <w:sz w:val="24"/>
        </w:rPr>
        <w:t>开户账号：</w:t>
      </w:r>
    </w:p>
    <w:p>
      <w:pPr>
        <w:widowControl/>
        <w:jc w:val="left"/>
        <w:rPr>
          <w:rFonts w:ascii="微软雅黑" w:hAnsi="微软雅黑" w:eastAsia="微软雅黑" w:cs="微软雅黑"/>
          <w:b/>
          <w:bCs/>
          <w:sz w:val="24"/>
        </w:rPr>
      </w:pPr>
      <w:bookmarkStart w:id="1039" w:name="_Toc331685783"/>
    </w:p>
    <w:p>
      <w:pPr>
        <w:widowControl/>
        <w:jc w:val="left"/>
        <w:rPr>
          <w:rFonts w:ascii="微软雅黑" w:hAnsi="微软雅黑" w:eastAsia="微软雅黑" w:cs="微软雅黑"/>
          <w:b/>
          <w:bCs/>
          <w:sz w:val="24"/>
        </w:rPr>
      </w:pPr>
    </w:p>
    <w:p>
      <w:pPr>
        <w:pStyle w:val="54"/>
        <w:ind w:firstLine="200"/>
        <w:jc w:val="center"/>
        <w:rPr>
          <w:rFonts w:ascii="微软雅黑" w:hAnsi="微软雅黑" w:eastAsia="微软雅黑" w:cs="微软雅黑"/>
          <w:b/>
          <w:bCs/>
          <w:szCs w:val="24"/>
        </w:rPr>
      </w:pPr>
      <w:r>
        <w:rPr>
          <w:rFonts w:hint="eastAsia" w:ascii="微软雅黑" w:hAnsi="微软雅黑" w:eastAsia="微软雅黑" w:cs="微软雅黑"/>
          <w:b/>
          <w:bCs/>
          <w:szCs w:val="24"/>
        </w:rPr>
        <w:t>第二部分 合同一般条款</w:t>
      </w:r>
      <w:bookmarkEnd w:id="1039"/>
    </w:p>
    <w:p>
      <w:pPr>
        <w:ind w:firstLine="480" w:firstLineChars="200"/>
        <w:outlineLvl w:val="0"/>
        <w:rPr>
          <w:rFonts w:ascii="微软雅黑" w:hAnsi="微软雅黑" w:eastAsia="微软雅黑" w:cs="微软雅黑"/>
          <w:b/>
          <w:bCs/>
          <w:sz w:val="24"/>
        </w:rPr>
      </w:pPr>
      <w:bookmarkStart w:id="1040" w:name="_Ref467378463"/>
      <w:bookmarkStart w:id="1041" w:name="_Toc28547"/>
      <w:bookmarkStart w:id="1042" w:name="_Toc487900349"/>
      <w:bookmarkStart w:id="1043" w:name="_Toc26936"/>
      <w:bookmarkStart w:id="1044" w:name="_Toc31417"/>
      <w:bookmarkStart w:id="1045" w:name="_Ref467379205"/>
      <w:bookmarkStart w:id="1046" w:name="_Toc10245"/>
      <w:bookmarkStart w:id="1047" w:name="_Ref467379094"/>
      <w:bookmarkStart w:id="1048" w:name="_Toc279701240"/>
      <w:bookmarkStart w:id="1049" w:name="_Toc19614"/>
      <w:bookmarkStart w:id="1050" w:name="_Toc20318"/>
      <w:bookmarkStart w:id="1051" w:name="_Toc14827"/>
      <w:bookmarkStart w:id="1052" w:name="_Toc25554"/>
      <w:bookmarkStart w:id="1053" w:name="_Ref467378499"/>
      <w:bookmarkStart w:id="1054" w:name="_Toc25035"/>
      <w:bookmarkStart w:id="1055" w:name="_Ref467379214"/>
      <w:bookmarkStart w:id="1056" w:name="_Toc28865"/>
      <w:bookmarkStart w:id="1057" w:name="_Toc17718"/>
      <w:bookmarkStart w:id="1058" w:name="_Toc3091"/>
      <w:bookmarkStart w:id="1059" w:name="_Toc510"/>
      <w:bookmarkStart w:id="1060" w:name="_Toc2854"/>
      <w:bookmarkStart w:id="1061" w:name="_Ref467379101"/>
      <w:bookmarkStart w:id="1062" w:name="_Toc21840"/>
      <w:bookmarkStart w:id="1063" w:name="_Toc26015"/>
      <w:bookmarkStart w:id="1064" w:name="_Toc26415"/>
      <w:bookmarkStart w:id="1065" w:name="_Toc18089"/>
      <w:bookmarkStart w:id="1066" w:name="_Toc28763"/>
      <w:bookmarkStart w:id="1067" w:name="_Ref467378404"/>
      <w:bookmarkStart w:id="1068" w:name="_Toc20709"/>
      <w:bookmarkStart w:id="1069" w:name="_Toc2034"/>
      <w:bookmarkStart w:id="1070" w:name="_Toc259093669"/>
      <w:bookmarkStart w:id="1071" w:name="_Toc32624"/>
      <w:bookmarkStart w:id="1072" w:name="_Toc29659"/>
      <w:bookmarkStart w:id="1073" w:name="_Toc5579"/>
      <w:bookmarkStart w:id="1074" w:name="_Ref467379195"/>
      <w:bookmarkStart w:id="1075" w:name="_Toc6182"/>
      <w:bookmarkStart w:id="1076" w:name="_Ref467379225"/>
      <w:bookmarkStart w:id="1077" w:name="_Ref467379109"/>
      <w:bookmarkStart w:id="1078" w:name="_Toc16917"/>
      <w:r>
        <w:rPr>
          <w:rFonts w:hint="eastAsia" w:ascii="微软雅黑" w:hAnsi="微软雅黑" w:eastAsia="微软雅黑" w:cs="微软雅黑"/>
          <w:b/>
          <w:bCs/>
          <w:sz w:val="24"/>
        </w:rPr>
        <w:t>2.1 定义</w:t>
      </w:r>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本合同中的下列词语应按以下内容进行解释：</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2.1.1 “合同”系指采购人和中标供应商签订的载明双方当事人所达成的协议，并包括所有的附件、附录和构成合同的其他文件。</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2.1.2 “合同价”系指根据合同约定，中标供应商在完全履行合同义务后，采购人应支付给中标供应商的价格。</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 “货物”系指中标供应商根据合同约定应向采购人交付的一切各种形态和种类的物品，包括原材料、燃料、设备、机械、仪表、备件、计算机软件、产品等，并包括工具、手册等其他相关资料。</w:t>
      </w:r>
    </w:p>
    <w:p>
      <w:pPr>
        <w:ind w:firstLine="480" w:firstLineChars="200"/>
        <w:rPr>
          <w:rFonts w:ascii="微软雅黑" w:hAnsi="微软雅黑" w:eastAsia="微软雅黑" w:cs="微软雅黑"/>
          <w:sz w:val="24"/>
        </w:rPr>
      </w:pPr>
      <w:bookmarkStart w:id="1079" w:name="_Ref467378840"/>
      <w:r>
        <w:rPr>
          <w:rFonts w:hint="eastAsia" w:ascii="微软雅黑" w:hAnsi="微软雅黑" w:eastAsia="微软雅黑" w:cs="微软雅黑"/>
          <w:sz w:val="24"/>
        </w:rPr>
        <w:t>2.1.4 “甲方”系指与中标供应商签署合同的采购人</w:t>
      </w:r>
      <w:bookmarkEnd w:id="1079"/>
      <w:r>
        <w:rPr>
          <w:rFonts w:hint="eastAsia" w:ascii="微软雅黑" w:hAnsi="微软雅黑" w:eastAsia="微软雅黑" w:cs="微软雅黑"/>
          <w:sz w:val="24"/>
        </w:rPr>
        <w:t>；采购人委托采购代理机构代表其与乙方签订合同的，采购人的授权委托书作为合同附件。</w:t>
      </w:r>
    </w:p>
    <w:p>
      <w:pPr>
        <w:ind w:firstLine="480" w:firstLineChars="200"/>
        <w:rPr>
          <w:rFonts w:ascii="微软雅黑" w:hAnsi="微软雅黑" w:eastAsia="微软雅黑" w:cs="微软雅黑"/>
          <w:sz w:val="24"/>
        </w:rPr>
      </w:pPr>
      <w:bookmarkStart w:id="1080" w:name="_Ref467379400"/>
      <w:r>
        <w:rPr>
          <w:rFonts w:hint="eastAsia" w:ascii="微软雅黑" w:hAnsi="微软雅黑" w:eastAsia="微软雅黑" w:cs="微软雅黑"/>
          <w:sz w:val="24"/>
        </w:rPr>
        <w:t>2.1.5 “乙方”系指根据合同约定交付货物的中标供应商</w:t>
      </w:r>
      <w:bookmarkEnd w:id="1080"/>
      <w:r>
        <w:rPr>
          <w:rFonts w:hint="eastAsia" w:ascii="微软雅黑" w:hAnsi="微软雅黑" w:eastAsia="微软雅黑" w:cs="微软雅黑"/>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ind w:firstLine="480" w:firstLineChars="200"/>
        <w:rPr>
          <w:rFonts w:ascii="微软雅黑" w:hAnsi="微软雅黑" w:eastAsia="微软雅黑" w:cs="微软雅黑"/>
          <w:sz w:val="24"/>
        </w:rPr>
      </w:pPr>
      <w:bookmarkStart w:id="1081" w:name="_Ref467379436"/>
      <w:r>
        <w:rPr>
          <w:rFonts w:hint="eastAsia" w:ascii="微软雅黑" w:hAnsi="微软雅黑" w:eastAsia="微软雅黑" w:cs="微软雅黑"/>
          <w:sz w:val="24"/>
        </w:rPr>
        <w:t>2.1.6 “现场”系指合同约定货物将要运至或者安装的地点。</w:t>
      </w:r>
      <w:bookmarkEnd w:id="1081"/>
    </w:p>
    <w:p>
      <w:pPr>
        <w:ind w:firstLine="480" w:firstLineChars="200"/>
        <w:outlineLvl w:val="0"/>
        <w:rPr>
          <w:rFonts w:ascii="微软雅黑" w:hAnsi="微软雅黑" w:eastAsia="微软雅黑" w:cs="微软雅黑"/>
          <w:b/>
          <w:bCs/>
          <w:sz w:val="24"/>
        </w:rPr>
      </w:pPr>
      <w:bookmarkStart w:id="1082" w:name="_Toc259093670"/>
      <w:bookmarkStart w:id="1083" w:name="_Toc3193"/>
      <w:bookmarkStart w:id="1084" w:name="_Toc32504"/>
      <w:bookmarkStart w:id="1085" w:name="_Toc25266"/>
      <w:bookmarkStart w:id="1086" w:name="_Toc5592"/>
      <w:bookmarkStart w:id="1087" w:name="_Toc6279"/>
      <w:bookmarkStart w:id="1088" w:name="_Toc1447"/>
      <w:bookmarkStart w:id="1089" w:name="_Toc24322"/>
      <w:bookmarkStart w:id="1090" w:name="_Toc1183"/>
      <w:bookmarkStart w:id="1091" w:name="_Toc27635"/>
      <w:bookmarkStart w:id="1092" w:name="_Toc11142"/>
      <w:bookmarkStart w:id="1093" w:name="_Toc23702"/>
      <w:bookmarkStart w:id="1094" w:name="_Toc22122"/>
      <w:bookmarkStart w:id="1095" w:name="_Toc20314"/>
      <w:bookmarkStart w:id="1096" w:name="_Toc279701241"/>
      <w:bookmarkStart w:id="1097" w:name="_Toc7048"/>
      <w:bookmarkStart w:id="1098" w:name="_Toc1221"/>
      <w:bookmarkStart w:id="1099" w:name="_Toc7416"/>
      <w:bookmarkStart w:id="1100" w:name="_Toc13336"/>
      <w:bookmarkStart w:id="1101" w:name="_Toc17151"/>
      <w:bookmarkStart w:id="1102" w:name="_Toc3949"/>
      <w:bookmarkStart w:id="1103" w:name="_Toc487900350"/>
      <w:bookmarkStart w:id="1104" w:name="_Toc19892"/>
      <w:bookmarkStart w:id="1105" w:name="_Toc23689"/>
      <w:bookmarkStart w:id="1106" w:name="_Toc22769"/>
      <w:bookmarkStart w:id="1107" w:name="_Toc24792"/>
      <w:bookmarkStart w:id="1108" w:name="_Toc24523"/>
      <w:bookmarkStart w:id="1109" w:name="_Toc25269"/>
      <w:r>
        <w:rPr>
          <w:rFonts w:hint="eastAsia" w:ascii="微软雅黑" w:hAnsi="微软雅黑" w:eastAsia="微软雅黑" w:cs="微软雅黑"/>
          <w:b/>
          <w:bCs/>
          <w:sz w:val="24"/>
        </w:rPr>
        <w:t>2.2 技术规范</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ind w:firstLine="480" w:firstLineChars="200"/>
        <w:outlineLvl w:val="0"/>
        <w:rPr>
          <w:rFonts w:ascii="微软雅黑" w:hAnsi="微软雅黑" w:eastAsia="微软雅黑" w:cs="微软雅黑"/>
          <w:b/>
          <w:bCs/>
          <w:sz w:val="24"/>
        </w:rPr>
      </w:pPr>
      <w:bookmarkStart w:id="1110" w:name="_Toc487900351"/>
      <w:bookmarkStart w:id="1111" w:name="_Toc24537"/>
      <w:bookmarkStart w:id="1112" w:name="_Toc6835"/>
      <w:bookmarkStart w:id="1113" w:name="_Toc9829"/>
      <w:bookmarkStart w:id="1114" w:name="_Toc14835"/>
      <w:bookmarkStart w:id="1115" w:name="_Toc27853"/>
      <w:bookmarkStart w:id="1116" w:name="_Toc3854"/>
      <w:bookmarkStart w:id="1117" w:name="_Toc10461"/>
      <w:bookmarkStart w:id="1118" w:name="_Toc975"/>
      <w:bookmarkStart w:id="1119" w:name="_Toc23649"/>
      <w:bookmarkStart w:id="1120" w:name="_Toc14632"/>
      <w:bookmarkStart w:id="1121" w:name="_Toc28662"/>
      <w:bookmarkStart w:id="1122" w:name="_Toc32048"/>
      <w:bookmarkStart w:id="1123" w:name="_Toc7722"/>
      <w:bookmarkStart w:id="1124" w:name="_Toc6121"/>
      <w:bookmarkStart w:id="1125" w:name="_Toc17383"/>
      <w:bookmarkStart w:id="1126" w:name="_Toc1649"/>
      <w:bookmarkStart w:id="1127" w:name="_Toc4916"/>
      <w:bookmarkStart w:id="1128" w:name="_Toc31634"/>
      <w:bookmarkStart w:id="1129" w:name="_Toc15733"/>
      <w:bookmarkStart w:id="1130" w:name="_Toc4029"/>
      <w:bookmarkStart w:id="1131" w:name="_Toc279701242"/>
      <w:bookmarkStart w:id="1132" w:name="_Toc30700"/>
      <w:bookmarkStart w:id="1133" w:name="_Toc20130"/>
      <w:bookmarkStart w:id="1134" w:name="_Toc30552"/>
      <w:bookmarkStart w:id="1135" w:name="_Toc18473"/>
      <w:bookmarkStart w:id="1136" w:name="_Toc28946"/>
      <w:bookmarkStart w:id="1137" w:name="_Toc22279"/>
      <w:bookmarkStart w:id="1138" w:name="_Toc259093671"/>
      <w:bookmarkStart w:id="1139" w:name="_Toc23791"/>
      <w:r>
        <w:rPr>
          <w:rFonts w:hint="eastAsia" w:ascii="微软雅黑" w:hAnsi="微软雅黑" w:eastAsia="微软雅黑" w:cs="微软雅黑"/>
          <w:b/>
          <w:bCs/>
          <w:sz w:val="24"/>
        </w:rPr>
        <w:t>2.3 知识产权</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2.3.2具有知识产权的计算机软件等货物的知识产权归属，详见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1140" w:name="_Toc26731"/>
      <w:bookmarkStart w:id="1141" w:name="_Toc12904"/>
      <w:bookmarkStart w:id="1142" w:name="_Toc18554"/>
      <w:bookmarkStart w:id="1143" w:name="_Toc3486"/>
      <w:bookmarkStart w:id="1144" w:name="_Toc23105"/>
      <w:bookmarkStart w:id="1145" w:name="_Toc6781"/>
      <w:bookmarkStart w:id="1146" w:name="_Toc11932"/>
      <w:bookmarkStart w:id="1147" w:name="_Toc24384"/>
      <w:bookmarkStart w:id="1148" w:name="_Toc19638"/>
      <w:bookmarkStart w:id="1149" w:name="_Toc28379"/>
      <w:bookmarkStart w:id="1150" w:name="_Toc17080"/>
      <w:bookmarkStart w:id="1151" w:name="_Toc10546"/>
      <w:bookmarkStart w:id="1152" w:name="_Toc29149"/>
      <w:bookmarkStart w:id="1153" w:name="_Toc10970"/>
      <w:bookmarkStart w:id="1154" w:name="_Toc1877"/>
      <w:bookmarkStart w:id="1155" w:name="_Toc8795"/>
      <w:bookmarkStart w:id="1156" w:name="_Toc21468"/>
      <w:bookmarkStart w:id="1157" w:name="_Toc25767"/>
      <w:bookmarkStart w:id="1158" w:name="_Toc4194"/>
      <w:bookmarkStart w:id="1159" w:name="_Toc12219"/>
      <w:bookmarkStart w:id="1160" w:name="_Toc28170"/>
      <w:bookmarkStart w:id="1161" w:name="_Toc5395"/>
      <w:bookmarkStart w:id="1162" w:name="_Toc28714"/>
      <w:bookmarkStart w:id="1163" w:name="_Toc455"/>
      <w:r>
        <w:rPr>
          <w:rFonts w:hint="eastAsia" w:ascii="微软雅黑" w:hAnsi="微软雅黑" w:eastAsia="微软雅黑" w:cs="微软雅黑"/>
          <w:b/>
          <w:bCs/>
          <w:sz w:val="24"/>
        </w:rPr>
        <w:t>2.4 包装和装运</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2.4.1除</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2.4.2 装运货物的要求和通知，详见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1164" w:name="_Toc487900354"/>
      <w:bookmarkStart w:id="1165" w:name="_Ref467379527"/>
      <w:bookmarkStart w:id="1166" w:name="_Ref467378541"/>
      <w:bookmarkStart w:id="1167" w:name="_Ref467378591"/>
      <w:bookmarkStart w:id="1168" w:name="_Toc259093674"/>
      <w:bookmarkStart w:id="1169" w:name="_Ref467379542"/>
      <w:bookmarkStart w:id="1170" w:name="_Ref467379536"/>
      <w:bookmarkStart w:id="1171" w:name="_Toc279701245"/>
      <w:bookmarkStart w:id="1172" w:name="_Toc21198"/>
      <w:bookmarkStart w:id="1173" w:name="_Toc1580"/>
      <w:bookmarkStart w:id="1174" w:name="_Toc18307"/>
      <w:bookmarkStart w:id="1175" w:name="_Toc22056"/>
      <w:bookmarkStart w:id="1176" w:name="_Toc5927"/>
      <w:bookmarkStart w:id="1177" w:name="_Toc10209"/>
      <w:bookmarkStart w:id="1178" w:name="_Toc4831"/>
      <w:bookmarkStart w:id="1179" w:name="_Toc9681"/>
      <w:bookmarkStart w:id="1180" w:name="_Toc31437"/>
      <w:bookmarkStart w:id="1181" w:name="_Toc24935"/>
      <w:bookmarkStart w:id="1182" w:name="_Toc30272"/>
      <w:bookmarkStart w:id="1183" w:name="_Toc15512"/>
      <w:bookmarkStart w:id="1184" w:name="_Toc12428"/>
      <w:bookmarkStart w:id="1185" w:name="_Toc26182"/>
      <w:bookmarkStart w:id="1186" w:name="_Toc30291"/>
      <w:bookmarkStart w:id="1187" w:name="_Toc28324"/>
      <w:bookmarkStart w:id="1188" w:name="_Toc14100"/>
      <w:bookmarkStart w:id="1189" w:name="_Toc28937"/>
      <w:bookmarkStart w:id="1190" w:name="_Toc19074"/>
      <w:bookmarkStart w:id="1191" w:name="_Toc7299"/>
      <w:bookmarkStart w:id="1192" w:name="_Toc530"/>
      <w:bookmarkStart w:id="1193" w:name="_Toc24299"/>
      <w:bookmarkStart w:id="1194" w:name="_Toc18515"/>
      <w:bookmarkStart w:id="1195" w:name="_Toc2815"/>
      <w:bookmarkStart w:id="1196" w:name="_Toc21410"/>
      <w:bookmarkStart w:id="1197" w:name="_Toc7379"/>
      <w:bookmarkStart w:id="1198" w:name="_Toc30516"/>
      <w:r>
        <w:rPr>
          <w:rFonts w:hint="eastAsia" w:ascii="微软雅黑" w:hAnsi="微软雅黑" w:eastAsia="微软雅黑" w:cs="微软雅黑"/>
          <w:b/>
          <w:bCs/>
          <w:sz w:val="24"/>
        </w:rPr>
        <w:t>2.</w:t>
      </w:r>
      <w:bookmarkEnd w:id="1164"/>
      <w:bookmarkEnd w:id="1165"/>
      <w:bookmarkEnd w:id="1166"/>
      <w:bookmarkEnd w:id="1167"/>
      <w:bookmarkEnd w:id="1168"/>
      <w:bookmarkEnd w:id="1169"/>
      <w:bookmarkEnd w:id="1170"/>
      <w:bookmarkEnd w:id="1171"/>
      <w:r>
        <w:rPr>
          <w:rFonts w:hint="eastAsia" w:ascii="微软雅黑" w:hAnsi="微软雅黑" w:eastAsia="微软雅黑" w:cs="微软雅黑"/>
          <w:b/>
          <w:bCs/>
          <w:sz w:val="24"/>
        </w:rPr>
        <w:t>5 履约检查和问题反馈</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pPr>
        <w:ind w:firstLine="480" w:firstLineChars="200"/>
        <w:rPr>
          <w:rFonts w:ascii="微软雅黑" w:hAnsi="微软雅黑" w:eastAsia="微软雅黑" w:cs="微软雅黑"/>
          <w:sz w:val="24"/>
        </w:rPr>
      </w:pPr>
      <w:bookmarkStart w:id="1199" w:name="_Ref467379657"/>
      <w:r>
        <w:rPr>
          <w:rFonts w:hint="eastAsia" w:ascii="微软雅黑" w:hAnsi="微软雅黑" w:eastAsia="微软雅黑" w:cs="微软雅黑"/>
          <w:sz w:val="24"/>
        </w:rPr>
        <w:t>2.5.1</w:t>
      </w:r>
      <w:bookmarkEnd w:id="1199"/>
      <w:bookmarkStart w:id="1200" w:name="_Toc186431854"/>
      <w:bookmarkStart w:id="1201" w:name="_Ref467379807"/>
      <w:bookmarkStart w:id="1202" w:name="_Toc259093676"/>
      <w:bookmarkStart w:id="1203" w:name="_Ref467379793"/>
      <w:bookmarkStart w:id="1204" w:name="_Toc487900357"/>
      <w:bookmarkStart w:id="1205" w:name="_Toc279701247"/>
      <w:r>
        <w:rPr>
          <w:rFonts w:hint="eastAsia" w:ascii="微软雅黑" w:hAnsi="微软雅黑" w:eastAsia="微软雅黑" w:cs="微软雅黑"/>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2.5.2 合同履行期间，甲方有权将履行过程中出现的问题反馈给乙方，双方当事人应以书面形式约定需要完善和改进的内容</w:t>
      </w:r>
      <w:bookmarkEnd w:id="1200"/>
      <w:bookmarkStart w:id="1206" w:name="_Toc186431855"/>
      <w:r>
        <w:rPr>
          <w:rFonts w:hint="eastAsia" w:ascii="微软雅黑" w:hAnsi="微软雅黑" w:eastAsia="微软雅黑" w:cs="微软雅黑"/>
          <w:sz w:val="24"/>
        </w:rPr>
        <w:t>。</w:t>
      </w:r>
    </w:p>
    <w:bookmarkEnd w:id="1206"/>
    <w:p>
      <w:pPr>
        <w:ind w:firstLine="480" w:firstLineChars="200"/>
        <w:outlineLvl w:val="0"/>
        <w:rPr>
          <w:rFonts w:ascii="微软雅黑" w:hAnsi="微软雅黑" w:eastAsia="微软雅黑" w:cs="微软雅黑"/>
          <w:b/>
          <w:bCs/>
          <w:sz w:val="24"/>
        </w:rPr>
      </w:pPr>
      <w:bookmarkStart w:id="1207" w:name="_Toc8058"/>
      <w:bookmarkStart w:id="1208" w:name="_Toc11522"/>
      <w:bookmarkStart w:id="1209" w:name="_Toc25751"/>
      <w:bookmarkStart w:id="1210" w:name="_Toc22499"/>
      <w:bookmarkStart w:id="1211" w:name="_Toc5363"/>
      <w:bookmarkStart w:id="1212" w:name="_Toc10470"/>
      <w:bookmarkStart w:id="1213" w:name="_Toc3518"/>
      <w:bookmarkStart w:id="1214" w:name="_Toc26298"/>
      <w:bookmarkStart w:id="1215" w:name="_Toc234"/>
      <w:bookmarkStart w:id="1216" w:name="_Toc10980"/>
      <w:bookmarkStart w:id="1217" w:name="_Toc31520"/>
      <w:bookmarkStart w:id="1218" w:name="_Toc12377"/>
      <w:bookmarkStart w:id="1219" w:name="_Toc5304"/>
      <w:bookmarkStart w:id="1220" w:name="_Toc582"/>
      <w:bookmarkStart w:id="1221" w:name="_Toc26245"/>
      <w:bookmarkStart w:id="1222" w:name="_Toc7836"/>
      <w:bookmarkStart w:id="1223" w:name="_Toc24559"/>
      <w:bookmarkStart w:id="1224" w:name="_Toc19219"/>
      <w:bookmarkStart w:id="1225" w:name="_Toc2067"/>
      <w:bookmarkStart w:id="1226" w:name="_Toc15854"/>
      <w:bookmarkStart w:id="1227" w:name="_Toc28451"/>
      <w:bookmarkStart w:id="1228" w:name="_Toc17283"/>
      <w:bookmarkStart w:id="1229" w:name="_Toc12360"/>
      <w:bookmarkStart w:id="1230" w:name="_Toc23261"/>
      <w:bookmarkStart w:id="1231" w:name="_Toc26232"/>
      <w:bookmarkStart w:id="1232" w:name="_Toc9092"/>
      <w:bookmarkStart w:id="1233" w:name="_Toc30354"/>
      <w:r>
        <w:rPr>
          <w:rFonts w:hint="eastAsia" w:ascii="微软雅黑" w:hAnsi="微软雅黑" w:eastAsia="微软雅黑" w:cs="微软雅黑"/>
          <w:b/>
          <w:bCs/>
          <w:sz w:val="24"/>
        </w:rPr>
        <w:t>2.6 结算方式和付款条件</w:t>
      </w:r>
      <w:bookmarkEnd w:id="1201"/>
      <w:bookmarkEnd w:id="1202"/>
      <w:bookmarkEnd w:id="1203"/>
      <w:bookmarkEnd w:id="1204"/>
      <w:bookmarkEnd w:id="1205"/>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1234" w:name="_Toc487900358"/>
      <w:bookmarkStart w:id="1235" w:name="_Ref467379852"/>
      <w:bookmarkStart w:id="1236" w:name="_Ref467379863"/>
      <w:bookmarkStart w:id="1237" w:name="_Toc279701248"/>
      <w:bookmarkStart w:id="1238" w:name="_Ref467379923"/>
      <w:bookmarkStart w:id="1239" w:name="_Toc259093677"/>
      <w:bookmarkStart w:id="1240" w:name="_Toc28781"/>
      <w:bookmarkStart w:id="1241" w:name="_Toc10114"/>
      <w:bookmarkStart w:id="1242" w:name="_Toc6635"/>
      <w:bookmarkStart w:id="1243" w:name="_Toc29616"/>
      <w:bookmarkStart w:id="1244" w:name="_Toc1200"/>
      <w:bookmarkStart w:id="1245" w:name="_Toc8272"/>
      <w:bookmarkStart w:id="1246" w:name="_Toc3828"/>
      <w:bookmarkStart w:id="1247" w:name="_Toc31971"/>
      <w:bookmarkStart w:id="1248" w:name="_Toc774"/>
      <w:bookmarkStart w:id="1249" w:name="_Toc13900"/>
      <w:bookmarkStart w:id="1250" w:name="_Toc11615"/>
      <w:bookmarkStart w:id="1251" w:name="_Toc14491"/>
      <w:bookmarkStart w:id="1252" w:name="_Toc7000"/>
      <w:bookmarkStart w:id="1253" w:name="_Toc9845"/>
      <w:bookmarkStart w:id="1254" w:name="_Toc25277"/>
      <w:bookmarkStart w:id="1255" w:name="_Toc31305"/>
      <w:bookmarkStart w:id="1256" w:name="_Toc24083"/>
      <w:bookmarkStart w:id="1257" w:name="_Toc29030"/>
      <w:bookmarkStart w:id="1258" w:name="_Toc17607"/>
      <w:bookmarkStart w:id="1259" w:name="_Toc16110"/>
      <w:bookmarkStart w:id="1260" w:name="_Toc3225"/>
      <w:bookmarkStart w:id="1261" w:name="_Toc13023"/>
      <w:bookmarkStart w:id="1262" w:name="_Toc14432"/>
      <w:bookmarkStart w:id="1263" w:name="_Toc17051"/>
      <w:bookmarkStart w:id="1264" w:name="_Toc23170"/>
      <w:bookmarkStart w:id="1265" w:name="_Toc17136"/>
      <w:r>
        <w:rPr>
          <w:rFonts w:hint="eastAsia" w:ascii="微软雅黑" w:hAnsi="微软雅黑" w:eastAsia="微软雅黑" w:cs="微软雅黑"/>
          <w:b/>
          <w:bCs/>
          <w:sz w:val="24"/>
        </w:rPr>
        <w:t>2.7 技术资料</w:t>
      </w:r>
      <w:bookmarkEnd w:id="1234"/>
      <w:bookmarkEnd w:id="1235"/>
      <w:bookmarkEnd w:id="1236"/>
      <w:bookmarkEnd w:id="1237"/>
      <w:bookmarkEnd w:id="1238"/>
      <w:bookmarkEnd w:id="1239"/>
      <w:r>
        <w:rPr>
          <w:rFonts w:hint="eastAsia" w:ascii="微软雅黑" w:hAnsi="微软雅黑" w:eastAsia="微软雅黑" w:cs="微软雅黑"/>
          <w:b/>
          <w:bCs/>
          <w:sz w:val="24"/>
        </w:rPr>
        <w:t>和保密义务</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2.7.1 乙方有权依据合同约定和项目需要，向甲方了解有关情况，调阅有关资料等，甲方应予积极配合；</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2.7.2 乙方有义务妥善保管和保护由甲方提供的前款信息和资料等；</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ind w:firstLine="480" w:firstLineChars="200"/>
        <w:outlineLvl w:val="0"/>
        <w:rPr>
          <w:rFonts w:ascii="微软雅黑" w:hAnsi="微软雅黑" w:eastAsia="微软雅黑" w:cs="微软雅黑"/>
          <w:b/>
          <w:bCs/>
          <w:sz w:val="24"/>
        </w:rPr>
      </w:pPr>
      <w:bookmarkStart w:id="1266" w:name="_Toc30477"/>
      <w:bookmarkStart w:id="1267" w:name="_Toc25676"/>
      <w:bookmarkStart w:id="1268" w:name="_Toc26425"/>
      <w:bookmarkStart w:id="1269" w:name="_Toc8288"/>
      <w:bookmarkStart w:id="1270" w:name="_Toc1730"/>
      <w:bookmarkStart w:id="1271" w:name="_Toc21267"/>
      <w:bookmarkStart w:id="1272" w:name="_Toc11328"/>
      <w:bookmarkStart w:id="1273" w:name="_Toc18231"/>
      <w:bookmarkStart w:id="1274" w:name="_Toc19659"/>
      <w:bookmarkStart w:id="1275" w:name="_Toc27453"/>
      <w:bookmarkStart w:id="1276" w:name="_Toc30503"/>
      <w:bookmarkStart w:id="1277" w:name="_Toc11483"/>
      <w:bookmarkStart w:id="1278" w:name="_Toc14045"/>
      <w:bookmarkStart w:id="1279" w:name="_Toc18551"/>
      <w:bookmarkStart w:id="1280" w:name="_Toc7860"/>
      <w:bookmarkStart w:id="1281" w:name="_Toc122"/>
      <w:bookmarkStart w:id="1282" w:name="_Toc4779"/>
      <w:bookmarkStart w:id="1283" w:name="_Toc11530"/>
      <w:bookmarkStart w:id="1284" w:name="_Toc23081"/>
      <w:bookmarkStart w:id="1285" w:name="_Toc3156"/>
      <w:bookmarkStart w:id="1286" w:name="_Toc16190"/>
      <w:bookmarkStart w:id="1287" w:name="_Toc5556"/>
      <w:bookmarkStart w:id="1288" w:name="_Toc5200"/>
      <w:bookmarkStart w:id="1289" w:name="_Toc30167"/>
      <w:bookmarkStart w:id="1290" w:name="_Toc10326"/>
      <w:r>
        <w:rPr>
          <w:rFonts w:hint="eastAsia" w:ascii="微软雅黑" w:hAnsi="微软雅黑" w:eastAsia="微软雅黑" w:cs="微软雅黑"/>
          <w:b/>
          <w:bCs/>
          <w:sz w:val="24"/>
        </w:rPr>
        <w:t>2.8 质量保证</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2.8.1 乙方应建立和完善履行合同的内部质量保证体系，并提供相关内部规章制度给甲方，以便甲方进行监督检查；</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2.8.2 乙方应保证履行合同的人员数量和素质、软件和硬件设备的配置、场地、环境和设施等满足全面履行合同的要求，并应接受甲方的监督检查。</w:t>
      </w:r>
    </w:p>
    <w:p>
      <w:pPr>
        <w:ind w:firstLine="480" w:firstLineChars="200"/>
        <w:outlineLvl w:val="0"/>
        <w:rPr>
          <w:rFonts w:ascii="微软雅黑" w:hAnsi="微软雅黑" w:eastAsia="微软雅黑" w:cs="微软雅黑"/>
          <w:b/>
          <w:bCs/>
          <w:sz w:val="24"/>
        </w:rPr>
      </w:pPr>
      <w:bookmarkStart w:id="1291" w:name="_Toc9742"/>
      <w:bookmarkStart w:id="1292" w:name="_Toc27238"/>
      <w:bookmarkStart w:id="1293" w:name="_Toc14663"/>
      <w:bookmarkStart w:id="1294" w:name="_Toc23172"/>
      <w:bookmarkStart w:id="1295" w:name="_Toc31920"/>
      <w:bookmarkStart w:id="1296" w:name="_Toc26555"/>
      <w:bookmarkStart w:id="1297" w:name="_Toc27234"/>
      <w:bookmarkStart w:id="1298" w:name="_Toc28147"/>
      <w:bookmarkStart w:id="1299" w:name="_Toc15929"/>
      <w:bookmarkStart w:id="1300" w:name="_Toc13410"/>
      <w:bookmarkStart w:id="1301" w:name="_Toc12010"/>
      <w:bookmarkStart w:id="1302" w:name="_Toc17497"/>
      <w:bookmarkStart w:id="1303" w:name="_Toc12966"/>
      <w:bookmarkStart w:id="1304" w:name="_Toc801"/>
      <w:bookmarkStart w:id="1305" w:name="_Toc25529"/>
      <w:bookmarkStart w:id="1306" w:name="_Toc3300"/>
      <w:bookmarkStart w:id="1307" w:name="_Toc15408"/>
      <w:bookmarkStart w:id="1308" w:name="_Toc12408"/>
      <w:bookmarkStart w:id="1309" w:name="_Toc5005"/>
      <w:bookmarkStart w:id="1310" w:name="_Toc17244"/>
      <w:bookmarkStart w:id="1311" w:name="_Toc14596"/>
      <w:bookmarkStart w:id="1312" w:name="_Toc17030"/>
      <w:bookmarkStart w:id="1313" w:name="_Toc22016"/>
      <w:bookmarkStart w:id="1314" w:name="_Toc812"/>
      <w:bookmarkStart w:id="1315" w:name="_Toc487900362"/>
      <w:bookmarkStart w:id="1316" w:name="_Toc259093681"/>
      <w:bookmarkStart w:id="1317" w:name="_Toc279701252"/>
      <w:r>
        <w:rPr>
          <w:rFonts w:hint="eastAsia" w:ascii="微软雅黑" w:hAnsi="微软雅黑" w:eastAsia="微软雅黑" w:cs="微软雅黑"/>
          <w:b/>
          <w:bCs/>
          <w:sz w:val="24"/>
        </w:rPr>
        <w:t>2.9 货物的风险负担</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
    <w:p>
      <w:pPr>
        <w:ind w:firstLine="480" w:firstLineChars="200"/>
        <w:rPr>
          <w:rFonts w:ascii="微软雅黑" w:hAnsi="微软雅黑" w:eastAsia="微软雅黑" w:cs="微软雅黑"/>
          <w:b/>
          <w:bCs/>
          <w:sz w:val="24"/>
        </w:rPr>
      </w:pPr>
      <w:r>
        <w:rPr>
          <w:rFonts w:hint="eastAsia" w:ascii="微软雅黑" w:hAnsi="微软雅黑" w:eastAsia="微软雅黑" w:cs="微软雅黑"/>
          <w:sz w:val="24"/>
        </w:rPr>
        <w:t>货物或者在途货物或者交付给第一承运人后的货物毁损、灭失的风险负担详见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w:t>
      </w:r>
    </w:p>
    <w:p>
      <w:pPr>
        <w:ind w:firstLine="480" w:firstLineChars="200"/>
        <w:outlineLvl w:val="0"/>
        <w:rPr>
          <w:rFonts w:ascii="微软雅黑" w:hAnsi="微软雅黑" w:eastAsia="微软雅黑" w:cs="微软雅黑"/>
          <w:b/>
          <w:bCs/>
          <w:sz w:val="24"/>
        </w:rPr>
      </w:pPr>
      <w:bookmarkStart w:id="1318" w:name="_Toc16001"/>
      <w:bookmarkStart w:id="1319" w:name="_Toc22674"/>
      <w:bookmarkStart w:id="1320" w:name="_Toc14698"/>
      <w:bookmarkStart w:id="1321" w:name="_Toc5196"/>
      <w:bookmarkStart w:id="1322" w:name="_Toc7986"/>
      <w:bookmarkStart w:id="1323" w:name="_Toc20938"/>
      <w:bookmarkStart w:id="1324" w:name="_Toc29192"/>
      <w:bookmarkStart w:id="1325" w:name="_Toc23235"/>
      <w:bookmarkStart w:id="1326" w:name="_Toc11963"/>
      <w:bookmarkStart w:id="1327" w:name="_Toc2"/>
      <w:bookmarkStart w:id="1328" w:name="_Toc15972"/>
      <w:bookmarkStart w:id="1329" w:name="_Toc15465"/>
      <w:bookmarkStart w:id="1330" w:name="_Toc26567"/>
      <w:bookmarkStart w:id="1331" w:name="_Toc6602"/>
      <w:bookmarkStart w:id="1332" w:name="_Toc14055"/>
      <w:bookmarkStart w:id="1333" w:name="_Toc15112"/>
      <w:bookmarkStart w:id="1334" w:name="_Toc1494"/>
      <w:bookmarkStart w:id="1335" w:name="_Toc25663"/>
      <w:bookmarkStart w:id="1336" w:name="_Toc29837"/>
      <w:bookmarkStart w:id="1337" w:name="_Toc17555"/>
      <w:bookmarkStart w:id="1338" w:name="_Toc19684"/>
      <w:bookmarkStart w:id="1339" w:name="_Toc10676"/>
      <w:bookmarkStart w:id="1340" w:name="_Toc1299"/>
      <w:bookmarkStart w:id="1341" w:name="_Toc9785"/>
      <w:bookmarkStart w:id="1342" w:name="_Toc20457"/>
      <w:r>
        <w:rPr>
          <w:rFonts w:hint="eastAsia" w:ascii="微软雅黑" w:hAnsi="微软雅黑" w:eastAsia="微软雅黑" w:cs="微软雅黑"/>
          <w:b/>
          <w:bCs/>
          <w:sz w:val="24"/>
        </w:rPr>
        <w:t>2.10 延迟交货</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ind w:firstLine="480" w:firstLineChars="200"/>
        <w:outlineLvl w:val="0"/>
        <w:rPr>
          <w:rFonts w:ascii="微软雅黑" w:hAnsi="微软雅黑" w:eastAsia="微软雅黑" w:cs="微软雅黑"/>
          <w:b/>
          <w:bCs/>
          <w:sz w:val="24"/>
        </w:rPr>
      </w:pPr>
      <w:bookmarkStart w:id="1343" w:name="_Toc7502"/>
      <w:bookmarkStart w:id="1344" w:name="_Toc30445"/>
      <w:bookmarkStart w:id="1345" w:name="_Toc25791"/>
      <w:bookmarkStart w:id="1346" w:name="_Toc29075"/>
      <w:bookmarkStart w:id="1347" w:name="_Toc9706"/>
      <w:bookmarkStart w:id="1348" w:name="_Toc17237"/>
      <w:bookmarkStart w:id="1349" w:name="_Toc8126"/>
      <w:bookmarkStart w:id="1350" w:name="_Toc8441"/>
      <w:bookmarkStart w:id="1351" w:name="_Toc15143"/>
      <w:bookmarkStart w:id="1352" w:name="_Toc31403"/>
      <w:bookmarkStart w:id="1353" w:name="_Toc14851"/>
      <w:bookmarkStart w:id="1354" w:name="_Toc10956"/>
      <w:bookmarkStart w:id="1355" w:name="_Toc3064"/>
      <w:bookmarkStart w:id="1356" w:name="_Toc7444"/>
      <w:bookmarkStart w:id="1357" w:name="_Toc16528"/>
      <w:bookmarkStart w:id="1358" w:name="_Toc9194"/>
      <w:bookmarkStart w:id="1359" w:name="_Toc507"/>
      <w:bookmarkStart w:id="1360" w:name="_Toc12175"/>
      <w:bookmarkStart w:id="1361" w:name="_Toc16810"/>
      <w:bookmarkStart w:id="1362" w:name="_Toc20266"/>
      <w:bookmarkStart w:id="1363" w:name="_Toc2860"/>
      <w:bookmarkStart w:id="1364" w:name="_Toc25717"/>
      <w:bookmarkStart w:id="1365" w:name="_Toc23198"/>
      <w:bookmarkStart w:id="1366" w:name="_Toc18704"/>
      <w:bookmarkStart w:id="1367" w:name="_Ref467378121"/>
      <w:bookmarkStart w:id="1368" w:name="_Toc487900364"/>
      <w:bookmarkStart w:id="1369" w:name="_Toc259093683"/>
      <w:bookmarkStart w:id="1370" w:name="_Toc279701254"/>
      <w:r>
        <w:rPr>
          <w:rFonts w:hint="eastAsia" w:ascii="微软雅黑" w:hAnsi="微软雅黑" w:eastAsia="微软雅黑" w:cs="微软雅黑"/>
          <w:b/>
          <w:bCs/>
          <w:sz w:val="24"/>
        </w:rPr>
        <w:t>2.11 合同变更</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2.11.2 合同继续履行将损害国家利益和社会公共利益的，双方当事人应当以书面形式变更合同。有过错的一方应当承担赔偿责任，双方当事人都有过错的，各自承担相应的责任。</w:t>
      </w:r>
      <w:bookmarkStart w:id="1371" w:name="_Toc487900369"/>
      <w:bookmarkStart w:id="1372" w:name="_Toc279701259"/>
      <w:bookmarkStart w:id="1373" w:name="_Toc259093688"/>
    </w:p>
    <w:p>
      <w:pPr>
        <w:ind w:firstLine="480" w:firstLineChars="200"/>
        <w:outlineLvl w:val="0"/>
        <w:rPr>
          <w:rFonts w:ascii="微软雅黑" w:hAnsi="微软雅黑" w:eastAsia="微软雅黑" w:cs="微软雅黑"/>
          <w:b/>
          <w:bCs/>
          <w:sz w:val="24"/>
        </w:rPr>
      </w:pPr>
      <w:bookmarkStart w:id="1374" w:name="_Toc8679"/>
      <w:bookmarkStart w:id="1375" w:name="_Toc14895"/>
      <w:bookmarkStart w:id="1376" w:name="_Toc22955"/>
      <w:bookmarkStart w:id="1377" w:name="_Toc2157"/>
      <w:bookmarkStart w:id="1378" w:name="_Toc26864"/>
      <w:bookmarkStart w:id="1379" w:name="_Toc17341"/>
      <w:bookmarkStart w:id="1380" w:name="_Toc3062"/>
      <w:bookmarkStart w:id="1381" w:name="_Toc11626"/>
      <w:bookmarkStart w:id="1382" w:name="_Toc18316"/>
      <w:bookmarkStart w:id="1383" w:name="_Toc10366"/>
      <w:bookmarkStart w:id="1384" w:name="_Toc3928"/>
      <w:bookmarkStart w:id="1385" w:name="_Toc6051"/>
      <w:bookmarkStart w:id="1386" w:name="_Toc19380"/>
      <w:bookmarkStart w:id="1387" w:name="_Toc25508"/>
      <w:bookmarkStart w:id="1388" w:name="_Toc21753"/>
      <w:bookmarkStart w:id="1389" w:name="_Toc3825"/>
      <w:bookmarkStart w:id="1390" w:name="_Toc25092"/>
      <w:bookmarkStart w:id="1391" w:name="_Toc27772"/>
      <w:bookmarkStart w:id="1392" w:name="_Toc32309"/>
      <w:bookmarkStart w:id="1393" w:name="_Toc15237"/>
      <w:bookmarkStart w:id="1394" w:name="_Toc10537"/>
      <w:bookmarkStart w:id="1395" w:name="_Toc26224"/>
      <w:bookmarkStart w:id="1396" w:name="_Toc23079"/>
      <w:bookmarkStart w:id="1397" w:name="_Toc32581"/>
      <w:bookmarkStart w:id="1398" w:name="_Toc3931"/>
      <w:bookmarkStart w:id="1399" w:name="_Toc29045"/>
      <w:bookmarkStart w:id="1400" w:name="_Toc24511"/>
      <w:r>
        <w:rPr>
          <w:rFonts w:hint="eastAsia" w:ascii="微软雅黑" w:hAnsi="微软雅黑" w:eastAsia="微软雅黑" w:cs="微软雅黑"/>
          <w:b/>
          <w:bCs/>
          <w:sz w:val="24"/>
        </w:rPr>
        <w:t>2.12 合同转让</w:t>
      </w:r>
      <w:bookmarkEnd w:id="1371"/>
      <w:bookmarkEnd w:id="1372"/>
      <w:bookmarkEnd w:id="1373"/>
      <w:r>
        <w:rPr>
          <w:rFonts w:hint="eastAsia" w:ascii="微软雅黑" w:hAnsi="微软雅黑" w:eastAsia="微软雅黑" w:cs="微软雅黑"/>
          <w:b/>
          <w:bCs/>
          <w:sz w:val="24"/>
        </w:rPr>
        <w:t>和分包</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ind w:firstLine="480" w:firstLineChars="200"/>
        <w:outlineLvl w:val="0"/>
        <w:rPr>
          <w:rFonts w:ascii="微软雅黑" w:hAnsi="微软雅黑" w:eastAsia="微软雅黑" w:cs="微软雅黑"/>
          <w:b/>
          <w:bCs/>
          <w:sz w:val="24"/>
        </w:rPr>
      </w:pPr>
      <w:bookmarkStart w:id="1401" w:name="_Toc13557"/>
      <w:bookmarkStart w:id="1402" w:name="_Toc5484"/>
      <w:bookmarkStart w:id="1403" w:name="_Toc11104"/>
      <w:bookmarkStart w:id="1404" w:name="_Toc14564"/>
      <w:bookmarkStart w:id="1405" w:name="_Toc31984"/>
      <w:bookmarkStart w:id="1406" w:name="_Toc22326"/>
      <w:bookmarkStart w:id="1407" w:name="_Toc12165"/>
      <w:bookmarkStart w:id="1408" w:name="_Toc7292"/>
      <w:bookmarkStart w:id="1409" w:name="_Toc16893"/>
      <w:bookmarkStart w:id="1410" w:name="_Toc17498"/>
      <w:bookmarkStart w:id="1411" w:name="_Toc2586"/>
      <w:bookmarkStart w:id="1412" w:name="_Toc12809"/>
      <w:bookmarkStart w:id="1413" w:name="_Toc4540"/>
      <w:bookmarkStart w:id="1414" w:name="_Toc3533"/>
      <w:bookmarkStart w:id="1415" w:name="_Toc32515"/>
      <w:bookmarkStart w:id="1416" w:name="_Toc14752"/>
      <w:bookmarkStart w:id="1417" w:name="_Toc19750"/>
      <w:bookmarkStart w:id="1418" w:name="_Toc22191"/>
      <w:bookmarkStart w:id="1419" w:name="_Toc8114"/>
      <w:bookmarkStart w:id="1420" w:name="_Toc14066"/>
      <w:bookmarkStart w:id="1421" w:name="_Toc15741"/>
      <w:bookmarkStart w:id="1422" w:name="_Toc3177"/>
      <w:bookmarkStart w:id="1423" w:name="_Toc13566"/>
      <w:bookmarkStart w:id="1424" w:name="_Toc10688"/>
      <w:bookmarkStart w:id="1425" w:name="_Toc24741"/>
      <w:bookmarkStart w:id="1426" w:name="_Toc32426"/>
      <w:bookmarkStart w:id="1427" w:name="_Toc16508"/>
      <w:r>
        <w:rPr>
          <w:rFonts w:hint="eastAsia" w:ascii="微软雅黑" w:hAnsi="微软雅黑" w:eastAsia="微软雅黑" w:cs="微软雅黑"/>
          <w:b/>
          <w:bCs/>
          <w:sz w:val="24"/>
        </w:rPr>
        <w:t>2.13 不可抗力</w:t>
      </w:r>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2.13.1如果任何一方遭遇法律规定的不可抗力，致使合同履行受阻时，履行合同的期限应予延长，延长的期限应相当于不可抗力所影响的时间；</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2.13.2 因不可抗力致使不能实现合同目的的，当事人可以解除合同；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2.13.3 因不可抗力致使合同有变更必要的，双方当事人应在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约定时间内以书面形式变更合同；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2.13.4受不可抗力影响的一方在不可抗力发生后，应在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约定时间内以书面形式通知对方当事人，并在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约定时间内，将有关部门出具的证明文件送达对方当事人。</w:t>
      </w:r>
    </w:p>
    <w:p>
      <w:pPr>
        <w:ind w:firstLine="480" w:firstLineChars="200"/>
        <w:outlineLvl w:val="0"/>
        <w:rPr>
          <w:rFonts w:ascii="微软雅黑" w:hAnsi="微软雅黑" w:eastAsia="微软雅黑" w:cs="微软雅黑"/>
          <w:b/>
          <w:bCs/>
          <w:sz w:val="24"/>
        </w:rPr>
      </w:pPr>
      <w:bookmarkStart w:id="1428" w:name="_Toc6047"/>
      <w:bookmarkStart w:id="1429" w:name="_Toc32764"/>
      <w:bookmarkStart w:id="1430" w:name="_Toc30676"/>
      <w:bookmarkStart w:id="1431" w:name="_Toc28340"/>
      <w:bookmarkStart w:id="1432" w:name="_Toc28117"/>
      <w:bookmarkStart w:id="1433" w:name="_Toc5884"/>
      <w:bookmarkStart w:id="1434" w:name="_Toc7175"/>
      <w:bookmarkStart w:id="1435" w:name="_Toc11876"/>
      <w:bookmarkStart w:id="1436" w:name="_Toc259093684"/>
      <w:bookmarkStart w:id="1437" w:name="_Toc24010"/>
      <w:bookmarkStart w:id="1438" w:name="_Toc8392"/>
      <w:bookmarkStart w:id="1439" w:name="_Toc12959"/>
      <w:bookmarkStart w:id="1440" w:name="_Toc13910"/>
      <w:bookmarkStart w:id="1441" w:name="_Toc279701255"/>
      <w:bookmarkStart w:id="1442" w:name="_Toc487900365"/>
      <w:bookmarkStart w:id="1443" w:name="_Toc11423"/>
      <w:bookmarkStart w:id="1444" w:name="_Toc4006"/>
      <w:bookmarkStart w:id="1445" w:name="_Toc6969"/>
      <w:bookmarkStart w:id="1446" w:name="_Toc7145"/>
      <w:bookmarkStart w:id="1447" w:name="_Toc16229"/>
      <w:bookmarkStart w:id="1448" w:name="_Toc26085"/>
      <w:bookmarkStart w:id="1449" w:name="_Toc31597"/>
      <w:bookmarkStart w:id="1450" w:name="_Toc19677"/>
      <w:bookmarkStart w:id="1451" w:name="_Toc689"/>
      <w:bookmarkStart w:id="1452" w:name="_Toc25124"/>
      <w:bookmarkStart w:id="1453" w:name="_Toc14542"/>
      <w:bookmarkStart w:id="1454" w:name="_Toc1584"/>
      <w:bookmarkStart w:id="1455" w:name="_Toc6676"/>
      <w:bookmarkStart w:id="1456" w:name="_Toc6288"/>
      <w:bookmarkStart w:id="1457" w:name="_Toc10528"/>
      <w:r>
        <w:rPr>
          <w:rFonts w:hint="eastAsia" w:ascii="微软雅黑" w:hAnsi="微软雅黑" w:eastAsia="微软雅黑" w:cs="微软雅黑"/>
          <w:b/>
          <w:bCs/>
          <w:sz w:val="24"/>
        </w:rPr>
        <w:t>2.14 税费</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与合同有关的一切税费，均按照中华人民共和国法律的相关规定。</w:t>
      </w:r>
    </w:p>
    <w:p>
      <w:pPr>
        <w:ind w:firstLine="480" w:firstLineChars="200"/>
        <w:outlineLvl w:val="0"/>
        <w:rPr>
          <w:rFonts w:ascii="微软雅黑" w:hAnsi="微软雅黑" w:eastAsia="微软雅黑" w:cs="微软雅黑"/>
          <w:b/>
          <w:bCs/>
          <w:sz w:val="24"/>
        </w:rPr>
      </w:pPr>
      <w:bookmarkStart w:id="1458" w:name="_Toc27541"/>
      <w:bookmarkStart w:id="1459" w:name="_Toc25260"/>
      <w:bookmarkStart w:id="1460" w:name="_Toc487900368"/>
      <w:bookmarkStart w:id="1461" w:name="_Toc7117"/>
      <w:bookmarkStart w:id="1462" w:name="_Toc21290"/>
      <w:bookmarkStart w:id="1463" w:name="_Toc17523"/>
      <w:bookmarkStart w:id="1464" w:name="_Toc22239"/>
      <w:bookmarkStart w:id="1465" w:name="_Toc13488"/>
      <w:bookmarkStart w:id="1466" w:name="_Toc259093687"/>
      <w:bookmarkStart w:id="1467" w:name="_Toc15527"/>
      <w:bookmarkStart w:id="1468" w:name="_Toc22846"/>
      <w:bookmarkStart w:id="1469" w:name="_Toc23266"/>
      <w:bookmarkStart w:id="1470" w:name="_Toc20594"/>
      <w:bookmarkStart w:id="1471" w:name="_Toc16959"/>
      <w:bookmarkStart w:id="1472" w:name="_Toc15256"/>
      <w:bookmarkStart w:id="1473" w:name="_Toc279701258"/>
      <w:bookmarkStart w:id="1474" w:name="_Toc27709"/>
      <w:bookmarkStart w:id="1475" w:name="_Toc515"/>
      <w:bookmarkStart w:id="1476" w:name="_Toc24862"/>
      <w:bookmarkStart w:id="1477" w:name="_Toc29993"/>
      <w:bookmarkStart w:id="1478" w:name="_Toc11308"/>
      <w:bookmarkStart w:id="1479" w:name="_Toc25055"/>
      <w:bookmarkStart w:id="1480" w:name="_Toc8298"/>
      <w:bookmarkStart w:id="1481" w:name="_Toc12141"/>
      <w:bookmarkStart w:id="1482" w:name="_Toc7102"/>
      <w:bookmarkStart w:id="1483" w:name="_Toc29869"/>
      <w:bookmarkStart w:id="1484" w:name="_Toc13626"/>
      <w:bookmarkStart w:id="1485" w:name="_Toc8934"/>
      <w:bookmarkStart w:id="1486" w:name="_Toc14403"/>
      <w:r>
        <w:rPr>
          <w:rFonts w:hint="eastAsia" w:ascii="微软雅黑" w:hAnsi="微软雅黑" w:eastAsia="微软雅黑" w:cs="微软雅黑"/>
          <w:b/>
          <w:bCs/>
          <w:sz w:val="24"/>
        </w:rPr>
        <w:t>2.15 乙方破产</w:t>
      </w:r>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ind w:firstLine="480" w:firstLineChars="200"/>
        <w:outlineLvl w:val="0"/>
        <w:rPr>
          <w:rFonts w:ascii="微软雅黑" w:hAnsi="微软雅黑" w:eastAsia="微软雅黑" w:cs="微软雅黑"/>
          <w:b/>
          <w:bCs/>
          <w:sz w:val="24"/>
        </w:rPr>
      </w:pPr>
      <w:bookmarkStart w:id="1487" w:name="_Toc31639"/>
      <w:bookmarkStart w:id="1488" w:name="_Toc19709"/>
      <w:bookmarkStart w:id="1489" w:name="_Toc24867"/>
      <w:bookmarkStart w:id="1490" w:name="_Toc15605"/>
      <w:bookmarkStart w:id="1491" w:name="_Toc16990"/>
      <w:bookmarkStart w:id="1492" w:name="_Toc23040"/>
      <w:bookmarkStart w:id="1493" w:name="_Toc24066"/>
      <w:bookmarkStart w:id="1494" w:name="_Toc15387"/>
      <w:bookmarkStart w:id="1495" w:name="_Toc1303"/>
      <w:bookmarkStart w:id="1496" w:name="_Toc29333"/>
      <w:bookmarkStart w:id="1497" w:name="_Toc27106"/>
      <w:bookmarkStart w:id="1498" w:name="_Toc9318"/>
      <w:bookmarkStart w:id="1499" w:name="_Toc6134"/>
      <w:bookmarkStart w:id="1500" w:name="_Toc32508"/>
      <w:bookmarkStart w:id="1501" w:name="_Toc30362"/>
      <w:bookmarkStart w:id="1502" w:name="_Toc25273"/>
      <w:bookmarkStart w:id="1503" w:name="_Toc4013"/>
      <w:bookmarkStart w:id="1504" w:name="_Toc12606"/>
      <w:bookmarkStart w:id="1505" w:name="_Toc1942"/>
      <w:bookmarkStart w:id="1506" w:name="_Toc4227"/>
      <w:bookmarkStart w:id="1507" w:name="_Toc29764"/>
      <w:bookmarkStart w:id="1508" w:name="_Toc818"/>
      <w:bookmarkStart w:id="1509" w:name="_Toc24976"/>
      <w:bookmarkStart w:id="1510" w:name="_Toc110"/>
      <w:bookmarkStart w:id="1511" w:name="_Toc15445"/>
      <w:bookmarkStart w:id="1512" w:name="_Toc13815"/>
      <w:bookmarkStart w:id="1513" w:name="_Toc26255"/>
      <w:r>
        <w:rPr>
          <w:rFonts w:hint="eastAsia" w:ascii="微软雅黑" w:hAnsi="微软雅黑" w:eastAsia="微软雅黑" w:cs="微软雅黑"/>
          <w:b/>
          <w:bCs/>
          <w:sz w:val="24"/>
        </w:rPr>
        <w:t>2.16 合同中止、终止</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2.16.1 双方当事人不得擅自中止或者终止合同；</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2.16.2合同继续履行将损害国家利益和社会公共利益的，双方当事人应当中止或者终止合同。有过错的一方应当承担赔偿责任，双方当事人都有过错的，各自承担相应的责任。</w:t>
      </w:r>
    </w:p>
    <w:p>
      <w:pPr>
        <w:ind w:firstLine="480" w:firstLineChars="200"/>
        <w:outlineLvl w:val="0"/>
        <w:rPr>
          <w:rFonts w:ascii="微软雅黑" w:hAnsi="微软雅黑" w:eastAsia="微软雅黑" w:cs="微软雅黑"/>
          <w:b/>
          <w:bCs/>
          <w:sz w:val="24"/>
        </w:rPr>
      </w:pPr>
      <w:bookmarkStart w:id="1514" w:name="_Toc20145"/>
      <w:bookmarkStart w:id="1515" w:name="_Toc31577"/>
      <w:bookmarkStart w:id="1516" w:name="_Toc4807"/>
      <w:bookmarkStart w:id="1517" w:name="_Toc14563"/>
      <w:bookmarkStart w:id="1518" w:name="_Toc13848"/>
      <w:bookmarkStart w:id="1519" w:name="_Toc6596"/>
      <w:bookmarkStart w:id="1520" w:name="_Toc21636"/>
      <w:bookmarkStart w:id="1521" w:name="_Toc11637"/>
      <w:bookmarkStart w:id="1522" w:name="_Toc30476"/>
      <w:bookmarkStart w:id="1523" w:name="_Toc6704"/>
      <w:bookmarkStart w:id="1524" w:name="_Toc28303"/>
      <w:bookmarkStart w:id="1525" w:name="_Toc26299"/>
      <w:bookmarkStart w:id="1526" w:name="_Toc25358"/>
      <w:bookmarkStart w:id="1527" w:name="_Toc30958"/>
      <w:bookmarkStart w:id="1528" w:name="_Toc14890"/>
      <w:bookmarkStart w:id="1529" w:name="_Toc24731"/>
      <w:bookmarkStart w:id="1530" w:name="_Toc30133"/>
      <w:bookmarkStart w:id="1531" w:name="_Toc25710"/>
      <w:bookmarkStart w:id="1532" w:name="_Toc1125"/>
      <w:bookmarkStart w:id="1533" w:name="_Toc19755"/>
      <w:bookmarkStart w:id="1534" w:name="_Toc28047"/>
      <w:bookmarkStart w:id="1535" w:name="_Toc11658"/>
      <w:bookmarkStart w:id="1536" w:name="_Toc25230"/>
      <w:bookmarkStart w:id="1537" w:name="_Toc6244"/>
      <w:bookmarkStart w:id="1538" w:name="_Toc25516"/>
      <w:bookmarkStart w:id="1539" w:name="_Toc4111"/>
      <w:r>
        <w:rPr>
          <w:rFonts w:hint="eastAsia" w:ascii="微软雅黑" w:hAnsi="微软雅黑" w:eastAsia="微软雅黑" w:cs="微软雅黑"/>
          <w:b/>
          <w:bCs/>
          <w:sz w:val="24"/>
        </w:rPr>
        <w:t>2.17 检验和验收</w:t>
      </w:r>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pPr>
        <w:tabs>
          <w:tab w:val="left" w:pos="360"/>
          <w:tab w:val="left" w:pos="540"/>
          <w:tab w:val="left" w:pos="1080"/>
        </w:tabs>
        <w:ind w:firstLine="480" w:firstLineChars="200"/>
        <w:rPr>
          <w:rFonts w:ascii="微软雅黑" w:hAnsi="微软雅黑" w:eastAsia="微软雅黑" w:cs="微软雅黑"/>
          <w:sz w:val="24"/>
        </w:rPr>
      </w:pPr>
      <w:r>
        <w:rPr>
          <w:rFonts w:hint="eastAsia" w:ascii="微软雅黑" w:hAnsi="微软雅黑" w:eastAsia="微软雅黑" w:cs="微软雅黑"/>
          <w:sz w:val="24"/>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约定时间内组织验收，并可依法邀请相关方参加，验收应出具验收书。</w:t>
      </w:r>
    </w:p>
    <w:p>
      <w:pPr>
        <w:tabs>
          <w:tab w:val="left" w:pos="360"/>
          <w:tab w:val="left" w:pos="540"/>
          <w:tab w:val="left" w:pos="1080"/>
        </w:tabs>
        <w:ind w:firstLine="480" w:firstLineChars="200"/>
        <w:rPr>
          <w:rFonts w:ascii="微软雅黑" w:hAnsi="微软雅黑" w:eastAsia="微软雅黑" w:cs="微软雅黑"/>
          <w:sz w:val="24"/>
        </w:rPr>
      </w:pPr>
      <w:r>
        <w:rPr>
          <w:rFonts w:hint="eastAsia" w:ascii="微软雅黑" w:hAnsi="微软雅黑" w:eastAsia="微软雅黑" w:cs="微软雅黑"/>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ind w:firstLine="480" w:firstLineChars="200"/>
        <w:rPr>
          <w:rFonts w:ascii="微软雅黑" w:hAnsi="微软雅黑" w:eastAsia="微软雅黑" w:cs="微软雅黑"/>
          <w:sz w:val="24"/>
        </w:rPr>
      </w:pPr>
      <w:r>
        <w:rPr>
          <w:rFonts w:hint="eastAsia" w:ascii="微软雅黑" w:hAnsi="微软雅黑" w:eastAsia="微软雅黑" w:cs="微软雅黑"/>
          <w:sz w:val="24"/>
        </w:rPr>
        <w:t>2.17.3 检验和验收标准、程序等具体内容以及前述验收书的效力详见</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i/>
          <w:iCs/>
          <w:sz w:val="24"/>
        </w:rPr>
        <w:t>。</w:t>
      </w:r>
    </w:p>
    <w:bookmarkEnd w:id="1367"/>
    <w:bookmarkEnd w:id="1368"/>
    <w:bookmarkEnd w:id="1369"/>
    <w:bookmarkEnd w:id="1370"/>
    <w:p>
      <w:pPr>
        <w:ind w:firstLine="480" w:firstLineChars="200"/>
        <w:outlineLvl w:val="0"/>
        <w:rPr>
          <w:rFonts w:ascii="微软雅黑" w:hAnsi="微软雅黑" w:eastAsia="微软雅黑" w:cs="微软雅黑"/>
          <w:b/>
          <w:bCs/>
          <w:sz w:val="24"/>
        </w:rPr>
      </w:pPr>
      <w:bookmarkStart w:id="1540" w:name="_Toc259093690"/>
      <w:bookmarkStart w:id="1541" w:name="_Toc279701261"/>
      <w:bookmarkStart w:id="1542" w:name="_Toc487900371"/>
      <w:bookmarkStart w:id="1543" w:name="_Toc31945"/>
      <w:bookmarkStart w:id="1544" w:name="_Toc26823"/>
      <w:bookmarkStart w:id="1545" w:name="_Toc14242"/>
      <w:bookmarkStart w:id="1546" w:name="_Toc7641"/>
      <w:bookmarkStart w:id="1547" w:name="_Toc26892"/>
      <w:bookmarkStart w:id="1548" w:name="_Toc8125"/>
      <w:bookmarkStart w:id="1549" w:name="_Toc13576"/>
      <w:bookmarkStart w:id="1550" w:name="_Toc22021"/>
      <w:bookmarkStart w:id="1551" w:name="_Toc17313"/>
      <w:bookmarkStart w:id="1552" w:name="_Toc10130"/>
      <w:bookmarkStart w:id="1553" w:name="_Toc17270"/>
      <w:bookmarkStart w:id="1554" w:name="_Toc13220"/>
      <w:bookmarkStart w:id="1555" w:name="_Toc11284"/>
      <w:bookmarkStart w:id="1556" w:name="_Toc725"/>
      <w:bookmarkStart w:id="1557" w:name="_Toc25182"/>
      <w:bookmarkStart w:id="1558" w:name="_Toc23633"/>
      <w:bookmarkStart w:id="1559" w:name="_Toc4983"/>
      <w:bookmarkStart w:id="1560" w:name="_Toc14665"/>
      <w:bookmarkStart w:id="1561" w:name="_Toc12094"/>
      <w:bookmarkStart w:id="1562" w:name="_Toc12493"/>
      <w:bookmarkStart w:id="1563" w:name="_Toc19604"/>
      <w:bookmarkStart w:id="1564" w:name="_Toc9266"/>
      <w:bookmarkStart w:id="1565" w:name="_Toc27621"/>
      <w:bookmarkStart w:id="1566" w:name="_Toc15037"/>
      <w:bookmarkStart w:id="1567" w:name="_Toc7660"/>
      <w:bookmarkStart w:id="1568" w:name="_Toc8096"/>
      <w:bookmarkStart w:id="1569" w:name="_Toc29267"/>
      <w:r>
        <w:rPr>
          <w:rFonts w:hint="eastAsia" w:ascii="微软雅黑" w:hAnsi="微软雅黑" w:eastAsia="微软雅黑" w:cs="微软雅黑"/>
          <w:b/>
          <w:bCs/>
          <w:sz w:val="24"/>
        </w:rPr>
        <w:t>2.18 通知</w:t>
      </w:r>
      <w:bookmarkEnd w:id="1540"/>
      <w:bookmarkEnd w:id="1541"/>
      <w:bookmarkEnd w:id="1542"/>
      <w:r>
        <w:rPr>
          <w:rFonts w:hint="eastAsia" w:ascii="微软雅黑" w:hAnsi="微软雅黑" w:eastAsia="微软雅黑" w:cs="微软雅黑"/>
          <w:b/>
          <w:bCs/>
          <w:sz w:val="24"/>
        </w:rPr>
        <w:t>和送达</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p>
    <w:p>
      <w:pPr>
        <w:ind w:firstLine="480" w:firstLineChars="200"/>
        <w:rPr>
          <w:rFonts w:ascii="微软雅黑" w:hAnsi="微软雅黑" w:eastAsia="微软雅黑" w:cs="微软雅黑"/>
          <w:sz w:val="24"/>
        </w:rPr>
      </w:pPr>
      <w:bookmarkStart w:id="1570" w:name="_Toc3135"/>
      <w:bookmarkStart w:id="1571" w:name="_Toc6698"/>
      <w:bookmarkStart w:id="1572" w:name="_Toc279701262"/>
      <w:bookmarkStart w:id="1573" w:name="_Toc259093691"/>
      <w:bookmarkStart w:id="1574" w:name="_Toc487900372"/>
      <w:r>
        <w:rPr>
          <w:rFonts w:hint="eastAsia" w:ascii="微软雅黑" w:hAnsi="微软雅黑" w:eastAsia="微软雅黑" w:cs="微软雅黑"/>
          <w:sz w:val="24"/>
        </w:rPr>
        <w:t>2.18.1 任何一方因履行合同而以合同第一部分尾部所列明的</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发出的所有通知、文件、材料，均视为已向对方当事人送达；任何一方变更上述送达方式或者地址的，应于</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个工作日内书面通知对方当事人，在对方当事人收到有关变更通知之前，变更前的约定送达方式或者地址仍视为有效。</w:t>
      </w:r>
      <w:bookmarkEnd w:id="1570"/>
      <w:bookmarkEnd w:id="1571"/>
    </w:p>
    <w:p>
      <w:pPr>
        <w:ind w:firstLine="480" w:firstLineChars="200"/>
        <w:rPr>
          <w:rFonts w:ascii="微软雅黑" w:hAnsi="微软雅黑" w:eastAsia="微软雅黑" w:cs="微软雅黑"/>
          <w:sz w:val="24"/>
        </w:rPr>
      </w:pPr>
      <w:bookmarkStart w:id="1575" w:name="_Toc23128"/>
      <w:bookmarkStart w:id="1576" w:name="_Toc23294"/>
      <w:r>
        <w:rPr>
          <w:rFonts w:hint="eastAsia" w:ascii="微软雅黑" w:hAnsi="微软雅黑" w:eastAsia="微软雅黑" w:cs="微软雅黑"/>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575"/>
      <w:bookmarkEnd w:id="1576"/>
    </w:p>
    <w:p>
      <w:pPr>
        <w:ind w:firstLine="480" w:firstLineChars="200"/>
        <w:outlineLvl w:val="0"/>
        <w:rPr>
          <w:rFonts w:ascii="微软雅黑" w:hAnsi="微软雅黑" w:eastAsia="微软雅黑" w:cs="微软雅黑"/>
          <w:b/>
          <w:bCs/>
          <w:sz w:val="24"/>
        </w:rPr>
      </w:pPr>
      <w:bookmarkStart w:id="1577" w:name="_Toc14810"/>
      <w:bookmarkStart w:id="1578" w:name="_Toc4241"/>
      <w:bookmarkStart w:id="1579" w:name="_Toc20837"/>
      <w:bookmarkStart w:id="1580" w:name="_Toc21464"/>
      <w:bookmarkStart w:id="1581" w:name="_Toc30497"/>
      <w:bookmarkStart w:id="1582" w:name="_Toc31861"/>
      <w:bookmarkStart w:id="1583" w:name="_Toc12721"/>
      <w:bookmarkStart w:id="1584" w:name="_Toc18621"/>
      <w:bookmarkStart w:id="1585" w:name="_Toc20309"/>
      <w:bookmarkStart w:id="1586" w:name="_Toc29312"/>
      <w:bookmarkStart w:id="1587" w:name="_Toc10932"/>
      <w:bookmarkStart w:id="1588" w:name="_Toc27038"/>
      <w:bookmarkStart w:id="1589" w:name="_Toc21923"/>
      <w:bookmarkStart w:id="1590" w:name="_Toc4355"/>
      <w:bookmarkStart w:id="1591" w:name="_Toc4747"/>
      <w:bookmarkStart w:id="1592" w:name="_Toc7942"/>
      <w:bookmarkStart w:id="1593" w:name="_Toc5141"/>
      <w:bookmarkStart w:id="1594" w:name="_Toc11892"/>
      <w:bookmarkStart w:id="1595" w:name="_Toc2100"/>
      <w:bookmarkStart w:id="1596" w:name="_Toc2623"/>
      <w:bookmarkStart w:id="1597" w:name="_Toc20914"/>
      <w:bookmarkStart w:id="1598" w:name="_Toc18540"/>
      <w:bookmarkStart w:id="1599" w:name="_Toc12120"/>
      <w:bookmarkStart w:id="1600" w:name="_Toc31104"/>
      <w:bookmarkStart w:id="1601" w:name="_Toc9371"/>
      <w:bookmarkStart w:id="1602" w:name="_Toc30599"/>
      <w:bookmarkStart w:id="1603" w:name="_Toc15273"/>
      <w:r>
        <w:rPr>
          <w:rFonts w:hint="eastAsia" w:ascii="微软雅黑" w:hAnsi="微软雅黑" w:eastAsia="微软雅黑" w:cs="微软雅黑"/>
          <w:b/>
          <w:bCs/>
          <w:sz w:val="24"/>
        </w:rPr>
        <w:t>2.19 计量单位</w:t>
      </w:r>
      <w:bookmarkEnd w:id="1572"/>
      <w:bookmarkEnd w:id="1573"/>
      <w:bookmarkEnd w:id="1574"/>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除技术规范中另有规定外,合同的计量单位均使用国家法定计量单位。</w:t>
      </w:r>
    </w:p>
    <w:p>
      <w:pPr>
        <w:ind w:firstLine="480" w:firstLineChars="200"/>
        <w:outlineLvl w:val="0"/>
        <w:rPr>
          <w:rFonts w:ascii="微软雅黑" w:hAnsi="微软雅黑" w:eastAsia="微软雅黑" w:cs="微软雅黑"/>
          <w:b/>
          <w:bCs/>
          <w:sz w:val="24"/>
        </w:rPr>
      </w:pPr>
      <w:bookmarkStart w:id="1604" w:name="_Toc6555"/>
      <w:bookmarkStart w:id="1605" w:name="_Toc12773"/>
      <w:bookmarkStart w:id="1606" w:name="_Toc17517"/>
      <w:bookmarkStart w:id="1607" w:name="_Toc32583"/>
      <w:bookmarkStart w:id="1608" w:name="_Toc27589"/>
      <w:bookmarkStart w:id="1609" w:name="_Toc18634"/>
      <w:bookmarkStart w:id="1610" w:name="_Toc10585"/>
      <w:bookmarkStart w:id="1611" w:name="_Toc10830"/>
      <w:bookmarkStart w:id="1612" w:name="_Toc1728"/>
      <w:bookmarkStart w:id="1613" w:name="_Toc9178"/>
      <w:bookmarkStart w:id="1614" w:name="_Toc18567"/>
      <w:bookmarkStart w:id="1615" w:name="_Toc10330"/>
      <w:bookmarkStart w:id="1616" w:name="_Toc19154"/>
      <w:bookmarkStart w:id="1617" w:name="_Toc16663"/>
      <w:bookmarkStart w:id="1618" w:name="_Toc15261"/>
      <w:bookmarkStart w:id="1619" w:name="_Toc5796"/>
      <w:bookmarkStart w:id="1620" w:name="_Toc21181"/>
      <w:bookmarkStart w:id="1621" w:name="_Toc13041"/>
      <w:bookmarkStart w:id="1622" w:name="_Toc16880"/>
      <w:bookmarkStart w:id="1623" w:name="_Toc15868"/>
      <w:bookmarkStart w:id="1624" w:name="_Toc9626"/>
      <w:bookmarkStart w:id="1625" w:name="_Toc259093692"/>
      <w:bookmarkStart w:id="1626" w:name="_Toc279701263"/>
      <w:bookmarkStart w:id="1627" w:name="_Toc487900373"/>
      <w:bookmarkStart w:id="1628" w:name="_Toc13131"/>
      <w:bookmarkStart w:id="1629" w:name="_Toc28784"/>
      <w:bookmarkStart w:id="1630" w:name="_Toc15288"/>
      <w:bookmarkStart w:id="1631" w:name="_Toc11130"/>
      <w:bookmarkStart w:id="1632" w:name="_Toc20624"/>
      <w:r>
        <w:rPr>
          <w:rFonts w:hint="eastAsia" w:ascii="微软雅黑" w:hAnsi="微软雅黑" w:eastAsia="微软雅黑" w:cs="微软雅黑"/>
          <w:b/>
          <w:bCs/>
          <w:sz w:val="24"/>
        </w:rPr>
        <w:t>2.20 合同使用的文字和适用的法律</w:t>
      </w:r>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2.20.1 合同使用汉语书就、变更和解释；</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2.20.2 合同适用中华人民共和国法律。</w:t>
      </w:r>
    </w:p>
    <w:p>
      <w:pPr>
        <w:ind w:firstLine="480" w:firstLineChars="200"/>
        <w:outlineLvl w:val="0"/>
        <w:rPr>
          <w:rFonts w:ascii="微软雅黑" w:hAnsi="微软雅黑" w:eastAsia="微软雅黑" w:cs="微软雅黑"/>
          <w:b/>
          <w:bCs/>
          <w:sz w:val="24"/>
        </w:rPr>
      </w:pPr>
      <w:bookmarkStart w:id="1633" w:name="_Toc279701264"/>
      <w:bookmarkStart w:id="1634" w:name="_Toc3148"/>
      <w:bookmarkStart w:id="1635" w:name="_Toc14964"/>
      <w:bookmarkStart w:id="1636" w:name="_Toc3838"/>
      <w:bookmarkStart w:id="1637" w:name="_Toc7159"/>
      <w:bookmarkStart w:id="1638" w:name="_Toc32497"/>
      <w:bookmarkStart w:id="1639" w:name="_Toc12004"/>
      <w:bookmarkStart w:id="1640" w:name="_Toc15434"/>
      <w:bookmarkStart w:id="1641" w:name="_Toc1670"/>
      <w:bookmarkStart w:id="1642" w:name="_Toc14308"/>
      <w:bookmarkStart w:id="1643" w:name="_Toc25551"/>
      <w:bookmarkStart w:id="1644" w:name="_Toc18845"/>
      <w:bookmarkStart w:id="1645" w:name="_Toc5000"/>
      <w:bookmarkStart w:id="1646" w:name="_Toc26372"/>
      <w:bookmarkStart w:id="1647" w:name="_Toc28767"/>
      <w:bookmarkStart w:id="1648" w:name="_Toc259093693"/>
      <w:bookmarkStart w:id="1649" w:name="_Toc22858"/>
      <w:bookmarkStart w:id="1650" w:name="_Toc31421"/>
      <w:bookmarkStart w:id="1651" w:name="_Toc11628"/>
      <w:bookmarkStart w:id="1652" w:name="_Toc5571"/>
      <w:bookmarkStart w:id="1653" w:name="_Toc638"/>
      <w:bookmarkStart w:id="1654" w:name="_Toc12711"/>
      <w:bookmarkStart w:id="1655" w:name="_Toc29073"/>
      <w:bookmarkStart w:id="1656" w:name="_Toc9739"/>
      <w:bookmarkStart w:id="1657" w:name="_Toc30675"/>
      <w:bookmarkStart w:id="1658" w:name="_Toc31790"/>
      <w:bookmarkStart w:id="1659" w:name="_Toc16673"/>
      <w:bookmarkStart w:id="1660" w:name="_Toc8602"/>
      <w:bookmarkStart w:id="1661" w:name="_Toc487900374"/>
      <w:r>
        <w:rPr>
          <w:rFonts w:hint="eastAsia" w:ascii="微软雅黑" w:hAnsi="微软雅黑" w:eastAsia="微软雅黑" w:cs="微软雅黑"/>
          <w:b/>
          <w:bCs/>
          <w:sz w:val="24"/>
        </w:rPr>
        <w:t>2.21 履约保证金</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2.21.1 采购文件要求乙方提交履约保证金的，乙方应按</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约定的方式，以支票、汇票、本票或者金融机构、担保机构出具的保函等非现金形式，提交不超过合同价10%的履约保证金；</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2.21.2  履约保证金在</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约定期间内或者货物质量保证期内不予退还或者应完全有效，前述约定期间届满或者货物质量保证期届满之日起</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个工作日内，甲方应将履约保证金退还乙方；</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661"/>
    <w:p>
      <w:pPr>
        <w:ind w:firstLine="480" w:firstLineChars="200"/>
        <w:outlineLvl w:val="0"/>
        <w:rPr>
          <w:rFonts w:ascii="微软雅黑" w:hAnsi="微软雅黑" w:eastAsia="微软雅黑" w:cs="微软雅黑"/>
          <w:b/>
          <w:bCs/>
          <w:sz w:val="24"/>
        </w:rPr>
      </w:pPr>
      <w:bookmarkStart w:id="1662" w:name="_Toc30847"/>
      <w:bookmarkStart w:id="1663" w:name="_Toc25691"/>
      <w:bookmarkStart w:id="1664" w:name="_Toc8867"/>
      <w:bookmarkStart w:id="1665" w:name="_Toc19890"/>
      <w:bookmarkStart w:id="1666" w:name="_Toc30496"/>
      <w:bookmarkStart w:id="1667" w:name="_Toc23799"/>
      <w:bookmarkStart w:id="1668" w:name="_Toc12034"/>
      <w:bookmarkStart w:id="1669" w:name="_Toc24807"/>
      <w:bookmarkStart w:id="1670" w:name="_Toc27563"/>
      <w:bookmarkStart w:id="1671" w:name="_Toc20802"/>
      <w:bookmarkStart w:id="1672" w:name="_Toc2720"/>
      <w:bookmarkStart w:id="1673" w:name="_Toc22821"/>
      <w:bookmarkStart w:id="1674" w:name="_Toc21772"/>
      <w:bookmarkStart w:id="1675" w:name="_Toc32408"/>
      <w:bookmarkStart w:id="1676" w:name="_Toc4077"/>
      <w:bookmarkStart w:id="1677" w:name="_Toc14217"/>
      <w:bookmarkStart w:id="1678" w:name="_Toc6885"/>
      <w:bookmarkStart w:id="1679" w:name="_Toc22496"/>
      <w:bookmarkStart w:id="1680" w:name="_Toc16431"/>
      <w:bookmarkStart w:id="1681" w:name="_Toc24006"/>
      <w:bookmarkStart w:id="1682" w:name="_Toc10801"/>
      <w:bookmarkStart w:id="1683" w:name="_Toc8495"/>
      <w:bookmarkStart w:id="1684" w:name="_Toc14001"/>
      <w:bookmarkStart w:id="1685" w:name="_Toc16450"/>
      <w:bookmarkStart w:id="1686" w:name="_Toc17310"/>
      <w:bookmarkStart w:id="1687" w:name="_Toc11103"/>
      <w:r>
        <w:rPr>
          <w:rFonts w:hint="eastAsia" w:ascii="微软雅黑" w:hAnsi="微软雅黑" w:eastAsia="微软雅黑" w:cs="微软雅黑"/>
          <w:b/>
          <w:bCs/>
          <w:sz w:val="24"/>
        </w:rPr>
        <w:t>2.22 合同份数</w:t>
      </w:r>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合同份数按</w:t>
      </w:r>
      <w:r>
        <w:rPr>
          <w:rFonts w:hint="eastAsia" w:ascii="微软雅黑" w:hAnsi="微软雅黑" w:eastAsia="微软雅黑" w:cs="微软雅黑"/>
          <w:b/>
          <w:bCs/>
          <w:i/>
          <w:iCs/>
          <w:sz w:val="24"/>
          <w:u w:val="single"/>
        </w:rPr>
        <w:t>合同专用条款</w:t>
      </w:r>
      <w:r>
        <w:rPr>
          <w:rFonts w:hint="eastAsia" w:ascii="微软雅黑" w:hAnsi="微软雅黑" w:eastAsia="微软雅黑" w:cs="微软雅黑"/>
          <w:sz w:val="24"/>
        </w:rPr>
        <w:t>规定，每份均具有同等法律效力。</w:t>
      </w:r>
    </w:p>
    <w:p>
      <w:pPr>
        <w:pStyle w:val="54"/>
        <w:ind w:firstLine="0"/>
        <w:jc w:val="center"/>
        <w:rPr>
          <w:rFonts w:ascii="微软雅黑" w:hAnsi="微软雅黑" w:eastAsia="微软雅黑" w:cs="微软雅黑"/>
          <w:b/>
          <w:bCs/>
          <w:szCs w:val="24"/>
        </w:rPr>
      </w:pPr>
      <w:bookmarkStart w:id="1688" w:name="_Toc331685784"/>
    </w:p>
    <w:p>
      <w:pPr>
        <w:pStyle w:val="54"/>
        <w:ind w:firstLine="0"/>
        <w:jc w:val="both"/>
        <w:rPr>
          <w:rFonts w:ascii="微软雅黑" w:hAnsi="微软雅黑" w:eastAsia="微软雅黑" w:cs="微软雅黑"/>
          <w:b/>
          <w:bCs/>
          <w:szCs w:val="24"/>
        </w:rPr>
      </w:pPr>
    </w:p>
    <w:p>
      <w:pPr>
        <w:pStyle w:val="54"/>
        <w:ind w:firstLine="0"/>
        <w:jc w:val="center"/>
        <w:rPr>
          <w:rFonts w:ascii="微软雅黑" w:hAnsi="微软雅黑" w:eastAsia="微软雅黑" w:cs="微软雅黑"/>
          <w:b/>
          <w:bCs/>
          <w:szCs w:val="24"/>
        </w:rPr>
      </w:pPr>
      <w:r>
        <w:rPr>
          <w:rFonts w:hint="eastAsia" w:ascii="微软雅黑" w:hAnsi="微软雅黑" w:eastAsia="微软雅黑" w:cs="微软雅黑"/>
          <w:b/>
          <w:bCs/>
          <w:szCs w:val="24"/>
        </w:rPr>
        <w:t>第三部分  合同专用条款</w:t>
      </w:r>
      <w:bookmarkEnd w:id="1688"/>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8434" w:type="dxa"/>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jc w:val="center"/>
              <w:rPr>
                <w:rFonts w:ascii="微软雅黑" w:hAnsi="微软雅黑" w:eastAsia="微软雅黑" w:cs="微软雅黑"/>
                <w:b/>
                <w:bCs/>
                <w:sz w:val="24"/>
              </w:rPr>
            </w:pPr>
            <w:r>
              <w:rPr>
                <w:rFonts w:hint="eastAsia" w:ascii="微软雅黑" w:hAnsi="微软雅黑" w:eastAsia="微软雅黑" w:cs="微软雅黑"/>
                <w:b/>
                <w:bCs/>
                <w:sz w:val="24"/>
              </w:rPr>
              <w:t>条款号</w:t>
            </w:r>
          </w:p>
        </w:tc>
        <w:tc>
          <w:tcPr>
            <w:tcW w:w="7633" w:type="dxa"/>
            <w:vAlign w:val="center"/>
          </w:tcPr>
          <w:p>
            <w:pPr>
              <w:jc w:val="center"/>
              <w:rPr>
                <w:rFonts w:ascii="微软雅黑" w:hAnsi="微软雅黑" w:eastAsia="微软雅黑" w:cs="微软雅黑"/>
                <w:b/>
                <w:bCs/>
                <w:sz w:val="24"/>
              </w:rPr>
            </w:pPr>
            <w:r>
              <w:rPr>
                <w:rFonts w:hint="eastAsia" w:ascii="微软雅黑" w:hAnsi="微软雅黑" w:eastAsia="微软雅黑" w:cs="微软雅黑"/>
                <w:b/>
                <w:bCs/>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rPr>
                <w:rFonts w:ascii="微软雅黑" w:hAnsi="微软雅黑" w:eastAsia="微软雅黑" w:cs="微软雅黑"/>
                <w:sz w:val="24"/>
              </w:rPr>
            </w:pPr>
          </w:p>
        </w:tc>
        <w:tc>
          <w:tcPr>
            <w:tcW w:w="7633" w:type="dxa"/>
            <w:vAlign w:val="center"/>
          </w:tcPr>
          <w:p>
            <w:pPr>
              <w:rPr>
                <w:rFonts w:ascii="微软雅黑" w:hAnsi="微软雅黑" w:eastAsia="微软雅黑" w:cs="微软雅黑"/>
                <w:sz w:val="24"/>
              </w:rPr>
            </w:pPr>
          </w:p>
        </w:tc>
      </w:tr>
    </w:tbl>
    <w:p>
      <w:pPr>
        <w:pStyle w:val="6"/>
        <w:snapToGrid w:val="0"/>
        <w:ind w:firstLine="0"/>
        <w:textAlignment w:val="baseline"/>
        <w:rPr>
          <w:rFonts w:ascii="微软雅黑" w:hAnsi="微软雅黑" w:eastAsia="微软雅黑" w:cs="微软雅黑"/>
          <w:szCs w:val="24"/>
        </w:rPr>
      </w:pPr>
    </w:p>
    <w:sectPr>
      <w:headerReference r:id="rId12" w:type="default"/>
      <w:footerReference r:id="rId13" w:type="default"/>
      <w:pgSz w:w="11905" w:h="16838"/>
      <w:pgMar w:top="1440" w:right="1797" w:bottom="1440" w:left="1797" w:header="851" w:footer="992" w:gutter="0"/>
      <w:cols w:space="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rFonts w:hint="eastAsia"/>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HC3k+fKAQAAkgMAAA4AAAAAAAAAAQAgAAAAHwEAAGRycy9lMm9E&#10;b2MueG1sUEsFBgAAAAAGAAYAWQEAAFsFAAAAAA==&#10;">
              <v:fill on="f" focussize="0,0"/>
              <v:stroke on="f"/>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rect>
          </w:pict>
        </mc:Fallback>
      </mc:AlternateContent>
    </w:r>
  </w:p>
  <w:p>
    <w:pPr>
      <w:pStyle w:val="2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102" name="410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2"/>
                          </w:pPr>
                          <w:r>
                            <w:fldChar w:fldCharType="begin"/>
                          </w:r>
                          <w:r>
                            <w:instrText xml:space="preserve"> PAGE  \* MERGEFORMAT </w:instrText>
                          </w:r>
                          <w:r>
                            <w:fldChar w:fldCharType="separate"/>
                          </w:r>
                          <w:r>
                            <w:t>78</w:t>
                          </w:r>
                          <w:r>
                            <w:fldChar w:fldCharType="end"/>
                          </w:r>
                        </w:p>
                      </w:txbxContent>
                    </wps:txbx>
                    <wps:bodyPr wrap="none" lIns="0" tIns="0" rIns="0" bIns="0" upright="1">
                      <a:spAutoFit/>
                    </wps:bodyPr>
                  </wps:wsp>
                </a:graphicData>
              </a:graphic>
            </wp:anchor>
          </w:drawing>
        </mc:Choice>
        <mc:Fallback>
          <w:pict>
            <v:rect id="4109"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JJmlZWvAQAA&#10;gAMAAA4AAAAAAAAAAQAgAAAAHwEAAGRycy9lMm9Eb2MueG1sUEsFBgAAAAAGAAYAWQEAAEAFAAAA&#10;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78</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2"/>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6tC2rKAQAAkgMAAA4AAABkcnMvZTJvRG9jLnhtbK1TzY7TMBC+I/EO&#10;lu80abWgKm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Y3y/I1Z05YevPLj++Xn78v&#10;v76xm+RQH7Cigw/hHqYMKUxyhxZs+pIQNmRXz1dX1RCZpM3lerVel2S4pNqcEE7xeD0AxnfKW5aC&#10;mgM9W3ZTnD5gHI/OR1I349Lq/J02ZqymnSLRHImlKA77YWK7982ZVNLQE3jn4StnPT15zR1NOGfm&#10;vSNH03TMAczBfg6Ek3Sx5iMvDG+PkdpnbqnZ2GHiQE+V1U1jlWbh7zyfevyV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O6tC2rKAQAAkgMAAA4AAAAAAAAAAQAgAAAAHwEAAGRycy9lMm9E&#10;b2MueG1sUEsFBgAAAAAGAAYAWQEAAFsFAAAAAA==&#10;">
              <v:fill on="f" focussize="0,0"/>
              <v:stroke on="f"/>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left"/>
    </w:pPr>
    <w:r>
      <w:rPr>
        <w:rFonts w:ascii="Cambria" w:hAnsi="Cambria"/>
        <w:vanish/>
        <w:sz w:val="32"/>
        <w:szCs w:val="32"/>
        <w:highlight w:val="yellow"/>
      </w:rPr>
      <w:t>&lt;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double" w:color="auto" w:sz="8" w:space="1"/>
      </w:pBdr>
      <w:tabs>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6353FD"/>
    <w:multiLevelType w:val="singleLevel"/>
    <w:tmpl w:val="D76353FD"/>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00000003"/>
    <w:multiLevelType w:val="multilevel"/>
    <w:tmpl w:val="00000003"/>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7"/>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3">
    <w:nsid w:val="0053208E"/>
    <w:multiLevelType w:val="multilevel"/>
    <w:tmpl w:val="0053208E"/>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1216518B"/>
    <w:multiLevelType w:val="singleLevel"/>
    <w:tmpl w:val="1216518B"/>
    <w:lvl w:ilvl="0" w:tentative="0">
      <w:start w:val="2"/>
      <w:numFmt w:val="decimal"/>
      <w:suff w:val="nothing"/>
      <w:lvlText w:val="%1、"/>
      <w:lvlJc w:val="left"/>
    </w:lvl>
  </w:abstractNum>
  <w:abstractNum w:abstractNumId="5">
    <w:nsid w:val="4BD70471"/>
    <w:multiLevelType w:val="singleLevel"/>
    <w:tmpl w:val="4BD70471"/>
    <w:lvl w:ilvl="0" w:tentative="0">
      <w:start w:val="1"/>
      <w:numFmt w:val="decimal"/>
      <w:suff w:val="nothing"/>
      <w:lvlText w:val="（%1）"/>
      <w:lvlJc w:val="left"/>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NmJkYTNmMzhiN2E5NzJjNTE5MGMwMjE5YTRkZTgifQ=="/>
  </w:docVars>
  <w:rsids>
    <w:rsidRoot w:val="00A2385F"/>
    <w:rsid w:val="000F38AC"/>
    <w:rsid w:val="0095072D"/>
    <w:rsid w:val="00A2385F"/>
    <w:rsid w:val="015F799E"/>
    <w:rsid w:val="01C8665F"/>
    <w:rsid w:val="01F91A55"/>
    <w:rsid w:val="0357490B"/>
    <w:rsid w:val="037A7357"/>
    <w:rsid w:val="038F46AF"/>
    <w:rsid w:val="03D537F4"/>
    <w:rsid w:val="03E0794E"/>
    <w:rsid w:val="058E6362"/>
    <w:rsid w:val="05F73C41"/>
    <w:rsid w:val="0623110D"/>
    <w:rsid w:val="08BD64A0"/>
    <w:rsid w:val="08E774C9"/>
    <w:rsid w:val="0A3A1714"/>
    <w:rsid w:val="0AC7367C"/>
    <w:rsid w:val="0B621250"/>
    <w:rsid w:val="0C521CE9"/>
    <w:rsid w:val="0CAD23B9"/>
    <w:rsid w:val="0D7455A3"/>
    <w:rsid w:val="0DD405FA"/>
    <w:rsid w:val="0EAB58E7"/>
    <w:rsid w:val="0F005241"/>
    <w:rsid w:val="0F6B200C"/>
    <w:rsid w:val="1000305A"/>
    <w:rsid w:val="10101588"/>
    <w:rsid w:val="10FC5772"/>
    <w:rsid w:val="110479E2"/>
    <w:rsid w:val="123511CC"/>
    <w:rsid w:val="139F773F"/>
    <w:rsid w:val="13D26C95"/>
    <w:rsid w:val="148574A7"/>
    <w:rsid w:val="14A82C52"/>
    <w:rsid w:val="151A3941"/>
    <w:rsid w:val="15CE57D6"/>
    <w:rsid w:val="1634517A"/>
    <w:rsid w:val="165767A3"/>
    <w:rsid w:val="178C0BA2"/>
    <w:rsid w:val="17F80002"/>
    <w:rsid w:val="18C20499"/>
    <w:rsid w:val="18D6574D"/>
    <w:rsid w:val="19164ED0"/>
    <w:rsid w:val="19314B62"/>
    <w:rsid w:val="1C207D0F"/>
    <w:rsid w:val="1CC3520E"/>
    <w:rsid w:val="1CDA25A1"/>
    <w:rsid w:val="1D277877"/>
    <w:rsid w:val="1D743260"/>
    <w:rsid w:val="1DEA4650"/>
    <w:rsid w:val="1FFF4ECD"/>
    <w:rsid w:val="22245E0F"/>
    <w:rsid w:val="22815279"/>
    <w:rsid w:val="22AC6FF8"/>
    <w:rsid w:val="230848F4"/>
    <w:rsid w:val="237C678F"/>
    <w:rsid w:val="23D14939"/>
    <w:rsid w:val="23DD7E55"/>
    <w:rsid w:val="240903CF"/>
    <w:rsid w:val="24F6601B"/>
    <w:rsid w:val="2519147E"/>
    <w:rsid w:val="263409D8"/>
    <w:rsid w:val="272A101D"/>
    <w:rsid w:val="27872A26"/>
    <w:rsid w:val="27E36205"/>
    <w:rsid w:val="281401B5"/>
    <w:rsid w:val="286478B1"/>
    <w:rsid w:val="290704EB"/>
    <w:rsid w:val="29B72037"/>
    <w:rsid w:val="2A302281"/>
    <w:rsid w:val="2A81244C"/>
    <w:rsid w:val="2AED3A81"/>
    <w:rsid w:val="2AFD4BC9"/>
    <w:rsid w:val="2B0B7174"/>
    <w:rsid w:val="2B126D70"/>
    <w:rsid w:val="2E520033"/>
    <w:rsid w:val="2EE74CC4"/>
    <w:rsid w:val="2F5A3596"/>
    <w:rsid w:val="2F7C05F5"/>
    <w:rsid w:val="2FC736C3"/>
    <w:rsid w:val="30146B38"/>
    <w:rsid w:val="30A92F6D"/>
    <w:rsid w:val="310830DD"/>
    <w:rsid w:val="32013655"/>
    <w:rsid w:val="32823B2C"/>
    <w:rsid w:val="33FC7332"/>
    <w:rsid w:val="34140466"/>
    <w:rsid w:val="34322C38"/>
    <w:rsid w:val="3463797D"/>
    <w:rsid w:val="353C17D5"/>
    <w:rsid w:val="35413331"/>
    <w:rsid w:val="3584022D"/>
    <w:rsid w:val="37534C3F"/>
    <w:rsid w:val="38332A6A"/>
    <w:rsid w:val="389F03A2"/>
    <w:rsid w:val="39133108"/>
    <w:rsid w:val="3A020D2D"/>
    <w:rsid w:val="3A05121A"/>
    <w:rsid w:val="3A7047C3"/>
    <w:rsid w:val="3B9A58DA"/>
    <w:rsid w:val="3CE55790"/>
    <w:rsid w:val="3E1E0C36"/>
    <w:rsid w:val="41F01892"/>
    <w:rsid w:val="4229039A"/>
    <w:rsid w:val="426865E9"/>
    <w:rsid w:val="441722AF"/>
    <w:rsid w:val="44882363"/>
    <w:rsid w:val="44E9040B"/>
    <w:rsid w:val="453B195E"/>
    <w:rsid w:val="454642B2"/>
    <w:rsid w:val="46C77189"/>
    <w:rsid w:val="47B854A7"/>
    <w:rsid w:val="489B0B03"/>
    <w:rsid w:val="48FE05B4"/>
    <w:rsid w:val="4A5613B9"/>
    <w:rsid w:val="4A7A248C"/>
    <w:rsid w:val="4AB01740"/>
    <w:rsid w:val="4B752CD7"/>
    <w:rsid w:val="4F440D42"/>
    <w:rsid w:val="4FC15398"/>
    <w:rsid w:val="508B2644"/>
    <w:rsid w:val="5194281F"/>
    <w:rsid w:val="52DB0053"/>
    <w:rsid w:val="536C41FF"/>
    <w:rsid w:val="54E13EC1"/>
    <w:rsid w:val="557F487D"/>
    <w:rsid w:val="55F35D59"/>
    <w:rsid w:val="564A1244"/>
    <w:rsid w:val="56B01A40"/>
    <w:rsid w:val="5A1D50FD"/>
    <w:rsid w:val="5BB417E9"/>
    <w:rsid w:val="5BF668B3"/>
    <w:rsid w:val="5CC340BC"/>
    <w:rsid w:val="5CC82976"/>
    <w:rsid w:val="5DB54F91"/>
    <w:rsid w:val="5E1D07CE"/>
    <w:rsid w:val="5FFB117B"/>
    <w:rsid w:val="60210872"/>
    <w:rsid w:val="60C76855"/>
    <w:rsid w:val="62383234"/>
    <w:rsid w:val="62F3173B"/>
    <w:rsid w:val="63582DE4"/>
    <w:rsid w:val="63754DC9"/>
    <w:rsid w:val="63B40255"/>
    <w:rsid w:val="644A2608"/>
    <w:rsid w:val="6489776B"/>
    <w:rsid w:val="64AE2680"/>
    <w:rsid w:val="65274743"/>
    <w:rsid w:val="66325FB6"/>
    <w:rsid w:val="665D2FCE"/>
    <w:rsid w:val="667B0788"/>
    <w:rsid w:val="66F01AFE"/>
    <w:rsid w:val="671C1C79"/>
    <w:rsid w:val="6753700F"/>
    <w:rsid w:val="68365B9D"/>
    <w:rsid w:val="69145FFC"/>
    <w:rsid w:val="693D63AD"/>
    <w:rsid w:val="694420C2"/>
    <w:rsid w:val="6964737C"/>
    <w:rsid w:val="69F20D98"/>
    <w:rsid w:val="6AF53C10"/>
    <w:rsid w:val="6B916EFE"/>
    <w:rsid w:val="6BA90BFA"/>
    <w:rsid w:val="6E330BE2"/>
    <w:rsid w:val="6F4F63A9"/>
    <w:rsid w:val="70E066B6"/>
    <w:rsid w:val="70E900C9"/>
    <w:rsid w:val="71F4477B"/>
    <w:rsid w:val="740A4EF9"/>
    <w:rsid w:val="76457868"/>
    <w:rsid w:val="76D36F81"/>
    <w:rsid w:val="783C0878"/>
    <w:rsid w:val="78B05D33"/>
    <w:rsid w:val="7AB90AA5"/>
    <w:rsid w:val="7CF61934"/>
    <w:rsid w:val="7DA44C8F"/>
    <w:rsid w:val="7EC9085D"/>
    <w:rsid w:val="7EEE138D"/>
    <w:rsid w:val="7F1B1D7C"/>
    <w:rsid w:val="7F8E776A"/>
    <w:rsid w:val="7FAC155A"/>
    <w:rsid w:val="7FD3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6"/>
    <w:unhideWhenUsed/>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78"/>
    <w:unhideWhenUsed/>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semiHidden/>
    <w:unhideWhenUsed/>
    <w:qFormat/>
    <w:uiPriority w:val="9"/>
    <w:pPr>
      <w:keepNext/>
      <w:keepLines/>
      <w:numPr>
        <w:ilvl w:val="3"/>
        <w:numId w:val="1"/>
      </w:numPr>
      <w:spacing w:before="260" w:after="260"/>
      <w:ind w:firstLine="482" w:firstLineChars="200"/>
      <w:jc w:val="left"/>
      <w:outlineLvl w:val="3"/>
    </w:pPr>
    <w:rPr>
      <w:rFonts w:ascii="Arial" w:hAnsi="Arial"/>
      <w:b/>
      <w:sz w:val="1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c 7"/>
    <w:basedOn w:val="1"/>
    <w:next w:val="1"/>
    <w:qFormat/>
    <w:uiPriority w:val="39"/>
    <w:pPr>
      <w:ind w:left="2520" w:leftChars="1200"/>
    </w:pPr>
  </w:style>
  <w:style w:type="paragraph" w:styleId="9">
    <w:name w:val="Document Map"/>
    <w:basedOn w:val="1"/>
    <w:link w:val="70"/>
    <w:qFormat/>
    <w:uiPriority w:val="0"/>
    <w:rPr>
      <w:rFonts w:ascii="宋体"/>
      <w:sz w:val="18"/>
      <w:szCs w:val="18"/>
    </w:r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link w:val="76"/>
    <w:qFormat/>
    <w:uiPriority w:val="99"/>
    <w:pPr>
      <w:jc w:val="left"/>
    </w:pPr>
  </w:style>
  <w:style w:type="paragraph" w:styleId="12">
    <w:name w:val="Body Text"/>
    <w:basedOn w:val="1"/>
    <w:next w:val="1"/>
    <w:link w:val="75"/>
    <w:qFormat/>
    <w:uiPriority w:val="0"/>
    <w:pPr>
      <w:tabs>
        <w:tab w:val="left" w:pos="567"/>
      </w:tabs>
      <w:spacing w:before="120" w:line="22" w:lineRule="atLeast"/>
    </w:pPr>
    <w:rPr>
      <w:rFonts w:ascii="宋体" w:hAnsi="宋体"/>
      <w:sz w:val="24"/>
    </w:rPr>
  </w:style>
  <w:style w:type="paragraph" w:styleId="13">
    <w:name w:val="Body Text Indent"/>
    <w:basedOn w:val="1"/>
    <w:qFormat/>
    <w:uiPriority w:val="0"/>
    <w:pPr>
      <w:spacing w:line="360" w:lineRule="auto"/>
      <w:ind w:firstLine="570"/>
    </w:pPr>
    <w:rPr>
      <w:sz w:val="24"/>
    </w:rPr>
  </w:style>
  <w:style w:type="paragraph" w:styleId="14">
    <w:name w:val="Block Text"/>
    <w:basedOn w:val="1"/>
    <w:qFormat/>
    <w:uiPriority w:val="99"/>
    <w:pPr>
      <w:spacing w:after="120"/>
      <w:ind w:left="1440" w:leftChars="700" w:right="1440" w:rightChars="700"/>
    </w:pPr>
  </w:style>
  <w:style w:type="paragraph" w:styleId="15">
    <w:name w:val="toc 5"/>
    <w:basedOn w:val="1"/>
    <w:next w:val="1"/>
    <w:qFormat/>
    <w:uiPriority w:val="39"/>
    <w:pPr>
      <w:ind w:left="1680" w:leftChars="800"/>
    </w:pPr>
  </w:style>
  <w:style w:type="paragraph" w:styleId="16">
    <w:name w:val="toc 3"/>
    <w:basedOn w:val="1"/>
    <w:next w:val="1"/>
    <w:qFormat/>
    <w:uiPriority w:val="39"/>
    <w:pPr>
      <w:tabs>
        <w:tab w:val="left" w:pos="1260"/>
        <w:tab w:val="right" w:leader="dot" w:pos="8630"/>
      </w:tabs>
      <w:ind w:left="840" w:leftChars="400"/>
    </w:pPr>
  </w:style>
  <w:style w:type="paragraph" w:styleId="17">
    <w:name w:val="Plain Text"/>
    <w:basedOn w:val="1"/>
    <w:link w:val="74"/>
    <w:qFormat/>
    <w:uiPriority w:val="0"/>
    <w:rPr>
      <w:rFonts w:ascii="宋体" w:hAnsi="Courier New"/>
      <w:szCs w:val="20"/>
    </w:rPr>
  </w:style>
  <w:style w:type="paragraph" w:styleId="18">
    <w:name w:val="toc 8"/>
    <w:basedOn w:val="1"/>
    <w:next w:val="1"/>
    <w:qFormat/>
    <w:uiPriority w:val="39"/>
    <w:pPr>
      <w:ind w:left="2940" w:leftChars="1400"/>
    </w:pPr>
  </w:style>
  <w:style w:type="paragraph" w:styleId="19">
    <w:name w:val="Date"/>
    <w:basedOn w:val="1"/>
    <w:next w:val="1"/>
    <w:link w:val="71"/>
    <w:qFormat/>
    <w:uiPriority w:val="0"/>
    <w:pPr>
      <w:ind w:left="100" w:leftChars="2500"/>
    </w:pPr>
    <w:rPr>
      <w:rFonts w:ascii="仿宋_GB2312" w:hAnsi="宋体" w:eastAsia="仿宋_GB2312"/>
      <w:color w:val="000000"/>
      <w:sz w:val="24"/>
    </w:rPr>
  </w:style>
  <w:style w:type="paragraph" w:styleId="20">
    <w:name w:val="Body Text Indent 2"/>
    <w:basedOn w:val="1"/>
    <w:qFormat/>
    <w:uiPriority w:val="0"/>
    <w:pPr>
      <w:ind w:firstLine="480" w:firstLineChars="200"/>
    </w:pPr>
    <w:rPr>
      <w:rFonts w:ascii="仿宋_GB2312" w:eastAsia="仿宋_GB2312"/>
      <w:sz w:val="24"/>
    </w:rPr>
  </w:style>
  <w:style w:type="paragraph" w:styleId="21">
    <w:name w:val="Balloon Text"/>
    <w:basedOn w:val="1"/>
    <w:link w:val="67"/>
    <w:qFormat/>
    <w:uiPriority w:val="0"/>
    <w:rPr>
      <w:sz w:val="18"/>
      <w:szCs w:val="18"/>
    </w:rPr>
  </w:style>
  <w:style w:type="paragraph" w:styleId="22">
    <w:name w:val="footer"/>
    <w:basedOn w:val="1"/>
    <w:link w:val="6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61"/>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toc 6"/>
    <w:basedOn w:val="1"/>
    <w:next w:val="1"/>
    <w:qFormat/>
    <w:uiPriority w:val="39"/>
    <w:pPr>
      <w:ind w:left="2100" w:leftChars="1000"/>
    </w:pPr>
  </w:style>
  <w:style w:type="paragraph" w:styleId="2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39"/>
    <w:pPr>
      <w:ind w:left="420" w:leftChars="200"/>
    </w:pPr>
  </w:style>
  <w:style w:type="paragraph" w:styleId="29">
    <w:name w:val="toc 9"/>
    <w:basedOn w:val="1"/>
    <w:next w:val="1"/>
    <w:qFormat/>
    <w:uiPriority w:val="39"/>
    <w:pPr>
      <w:ind w:left="3360" w:leftChars="1600"/>
    </w:pPr>
  </w:style>
  <w:style w:type="paragraph" w:styleId="30">
    <w:name w:val="Normal (Web)"/>
    <w:basedOn w:val="1"/>
    <w:qFormat/>
    <w:uiPriority w:val="99"/>
    <w:pPr>
      <w:spacing w:before="75" w:after="75"/>
      <w:jc w:val="left"/>
    </w:pPr>
    <w:rPr>
      <w:kern w:val="0"/>
      <w:sz w:val="24"/>
    </w:rPr>
  </w:style>
  <w:style w:type="paragraph" w:styleId="31">
    <w:name w:val="index 1"/>
    <w:basedOn w:val="1"/>
    <w:next w:val="1"/>
    <w:qFormat/>
    <w:uiPriority w:val="0"/>
    <w:rPr>
      <w:szCs w:val="20"/>
    </w:rPr>
  </w:style>
  <w:style w:type="paragraph" w:styleId="32">
    <w:name w:val="annotation subject"/>
    <w:basedOn w:val="11"/>
    <w:next w:val="11"/>
    <w:link w:val="77"/>
    <w:qFormat/>
    <w:uiPriority w:val="0"/>
    <w:rPr>
      <w:b/>
      <w:bCs/>
    </w:rPr>
  </w:style>
  <w:style w:type="paragraph" w:styleId="33">
    <w:name w:val="Body Text First Indent"/>
    <w:basedOn w:val="12"/>
    <w:next w:val="1"/>
    <w:qFormat/>
    <w:uiPriority w:val="0"/>
    <w:pPr>
      <w:ind w:firstLine="420" w:firstLineChars="100"/>
    </w:pPr>
  </w:style>
  <w:style w:type="paragraph" w:styleId="34">
    <w:name w:val="Body Text First Indent 2"/>
    <w:basedOn w:val="13"/>
    <w:qFormat/>
    <w:uiPriority w:val="0"/>
    <w:pPr>
      <w:ind w:firstLine="420" w:firstLineChars="2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paragraph" w:customStyle="1" w:styleId="42">
    <w:name w:val="索引 11"/>
    <w:basedOn w:val="1"/>
    <w:next w:val="1"/>
    <w:qFormat/>
    <w:uiPriority w:val="0"/>
    <w:pPr>
      <w:spacing w:line="360" w:lineRule="auto"/>
    </w:pPr>
    <w:rPr>
      <w:rFonts w:ascii="仿宋_GB2312" w:eastAsia="仿宋_GB2312"/>
      <w:sz w:val="24"/>
      <w:szCs w:val="20"/>
    </w:rPr>
  </w:style>
  <w:style w:type="paragraph" w:customStyle="1" w:styleId="43">
    <w:name w:val="列出段落1"/>
    <w:basedOn w:val="1"/>
    <w:qFormat/>
    <w:uiPriority w:val="34"/>
    <w:pPr>
      <w:widowControl/>
      <w:ind w:firstLine="420" w:firstLineChars="200"/>
      <w:jc w:val="left"/>
    </w:pPr>
    <w:rPr>
      <w:kern w:val="0"/>
      <w:sz w:val="24"/>
    </w:rPr>
  </w:style>
  <w:style w:type="paragraph" w:customStyle="1" w:styleId="44">
    <w:name w:val="列出段落11"/>
    <w:basedOn w:val="1"/>
    <w:next w:val="43"/>
    <w:qFormat/>
    <w:uiPriority w:val="34"/>
    <w:pPr>
      <w:widowControl/>
      <w:ind w:firstLine="420" w:firstLineChars="200"/>
      <w:jc w:val="left"/>
    </w:pPr>
    <w:rPr>
      <w:rFonts w:ascii="宋体" w:hAnsi="宋体" w:cs="宋体"/>
      <w:kern w:val="0"/>
      <w:sz w:val="24"/>
    </w:rPr>
  </w:style>
  <w:style w:type="paragraph" w:customStyle="1" w:styleId="45">
    <w:name w:val="List Paragraph1"/>
    <w:basedOn w:val="1"/>
    <w:qFormat/>
    <w:uiPriority w:val="34"/>
    <w:pPr>
      <w:ind w:firstLine="420" w:firstLineChars="200"/>
    </w:pPr>
  </w:style>
  <w:style w:type="paragraph" w:customStyle="1" w:styleId="46">
    <w:name w:val="Table Paragraph"/>
    <w:basedOn w:val="1"/>
    <w:qFormat/>
    <w:uiPriority w:val="1"/>
    <w:pPr>
      <w:widowControl/>
      <w:jc w:val="left"/>
    </w:pPr>
    <w:rPr>
      <w:rFonts w:ascii="宋体" w:hAnsi="宋体" w:cs="宋体"/>
      <w:kern w:val="0"/>
      <w:szCs w:val="20"/>
      <w:lang w:val="zh-CN" w:bidi="zh-CN"/>
    </w:rPr>
  </w:style>
  <w:style w:type="paragraph" w:customStyle="1" w:styleId="47">
    <w:name w:val="p0"/>
    <w:basedOn w:val="1"/>
    <w:qFormat/>
    <w:uiPriority w:val="0"/>
    <w:pPr>
      <w:widowControl/>
    </w:pPr>
    <w:rPr>
      <w:kern w:val="0"/>
      <w:szCs w:val="21"/>
    </w:rPr>
  </w:style>
  <w:style w:type="paragraph" w:customStyle="1" w:styleId="48">
    <w:name w:val="图例"/>
    <w:basedOn w:val="1"/>
    <w:qFormat/>
    <w:uiPriority w:val="0"/>
    <w:pPr>
      <w:spacing w:before="120" w:after="120" w:line="360" w:lineRule="auto"/>
      <w:jc w:val="center"/>
    </w:pPr>
    <w:rPr>
      <w:rFonts w:eastAsia="仿宋_GB2312"/>
      <w:b/>
      <w:sz w:val="24"/>
    </w:rPr>
  </w:style>
  <w:style w:type="paragraph" w:customStyle="1" w:styleId="4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0">
    <w:name w:val="正文段"/>
    <w:basedOn w:val="1"/>
    <w:qFormat/>
    <w:uiPriority w:val="0"/>
    <w:pPr>
      <w:widowControl/>
      <w:snapToGrid w:val="0"/>
      <w:spacing w:afterLines="50"/>
      <w:ind w:firstLine="200" w:firstLineChars="200"/>
    </w:pPr>
    <w:rPr>
      <w:kern w:val="0"/>
      <w:sz w:val="24"/>
    </w:rPr>
  </w:style>
  <w:style w:type="paragraph" w:customStyle="1" w:styleId="51">
    <w:name w:val="首行缩进"/>
    <w:basedOn w:val="1"/>
    <w:qFormat/>
    <w:uiPriority w:val="0"/>
    <w:pPr>
      <w:ind w:firstLine="480" w:firstLineChars="200"/>
    </w:pPr>
    <w:rPr>
      <w:lang w:val="zh-CN"/>
    </w:rPr>
  </w:style>
  <w:style w:type="paragraph" w:customStyle="1" w:styleId="52">
    <w:name w:val="纯文本1"/>
    <w:basedOn w:val="1"/>
    <w:link w:val="68"/>
    <w:qFormat/>
    <w:uiPriority w:val="0"/>
    <w:rPr>
      <w:rFonts w:ascii="宋体" w:hAnsi="Courier New"/>
      <w:kern w:val="0"/>
      <w:sz w:val="20"/>
      <w:szCs w:val="20"/>
    </w:rPr>
  </w:style>
  <w:style w:type="paragraph" w:customStyle="1" w:styleId="53">
    <w:name w:val="Char"/>
    <w:basedOn w:val="1"/>
    <w:qFormat/>
    <w:uiPriority w:val="0"/>
    <w:pPr>
      <w:tabs>
        <w:tab w:val="left" w:pos="360"/>
      </w:tabs>
    </w:pPr>
    <w:rPr>
      <w:sz w:val="24"/>
    </w:rPr>
  </w:style>
  <w:style w:type="paragraph" w:customStyle="1" w:styleId="54">
    <w:name w:val="正文缩进1"/>
    <w:basedOn w:val="1"/>
    <w:link w:val="57"/>
    <w:qFormat/>
    <w:uiPriority w:val="0"/>
    <w:pPr>
      <w:autoSpaceDE w:val="0"/>
      <w:autoSpaceDN w:val="0"/>
      <w:adjustRightInd w:val="0"/>
      <w:ind w:firstLine="420"/>
      <w:jc w:val="left"/>
    </w:pPr>
    <w:rPr>
      <w:rFonts w:ascii="宋体"/>
      <w:kern w:val="0"/>
      <w:sz w:val="24"/>
      <w:szCs w:val="20"/>
    </w:rPr>
  </w:style>
  <w:style w:type="paragraph" w:customStyle="1" w:styleId="5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56">
    <w:name w:val="font91"/>
    <w:basedOn w:val="37"/>
    <w:qFormat/>
    <w:uiPriority w:val="0"/>
    <w:rPr>
      <w:rFonts w:hint="eastAsia" w:ascii="宋体" w:hAnsi="宋体" w:eastAsia="宋体" w:cs="宋体"/>
      <w:color w:val="000000"/>
      <w:sz w:val="20"/>
      <w:szCs w:val="20"/>
      <w:u w:val="none"/>
      <w:vertAlign w:val="subscript"/>
    </w:rPr>
  </w:style>
  <w:style w:type="character" w:customStyle="1" w:styleId="57">
    <w:name w:val="正文缩进 Char1"/>
    <w:link w:val="54"/>
    <w:qFormat/>
    <w:uiPriority w:val="0"/>
    <w:rPr>
      <w:rFonts w:ascii="宋体"/>
      <w:sz w:val="24"/>
    </w:rPr>
  </w:style>
  <w:style w:type="character" w:customStyle="1" w:styleId="58">
    <w:name w:val="批注主题 Char1"/>
    <w:qFormat/>
    <w:uiPriority w:val="99"/>
    <w:rPr>
      <w:b/>
      <w:bCs/>
      <w:kern w:val="2"/>
      <w:sz w:val="21"/>
      <w:szCs w:val="24"/>
    </w:rPr>
  </w:style>
  <w:style w:type="character" w:customStyle="1" w:styleId="59">
    <w:name w:val="font31"/>
    <w:basedOn w:val="37"/>
    <w:qFormat/>
    <w:uiPriority w:val="0"/>
    <w:rPr>
      <w:rFonts w:hint="eastAsia" w:ascii="宋体" w:hAnsi="宋体" w:eastAsia="宋体" w:cs="宋体"/>
      <w:color w:val="404040"/>
      <w:sz w:val="20"/>
      <w:szCs w:val="20"/>
      <w:u w:val="none"/>
    </w:rPr>
  </w:style>
  <w:style w:type="character" w:customStyle="1" w:styleId="60">
    <w:name w:val="font61"/>
    <w:basedOn w:val="37"/>
    <w:qFormat/>
    <w:uiPriority w:val="0"/>
    <w:rPr>
      <w:rFonts w:hint="eastAsia" w:ascii="宋体" w:hAnsi="宋体" w:eastAsia="宋体" w:cs="宋体"/>
      <w:color w:val="333333"/>
      <w:sz w:val="20"/>
      <w:szCs w:val="20"/>
      <w:u w:val="none"/>
    </w:rPr>
  </w:style>
  <w:style w:type="character" w:customStyle="1" w:styleId="61">
    <w:name w:val="页眉 字符"/>
    <w:link w:val="23"/>
    <w:qFormat/>
    <w:uiPriority w:val="99"/>
    <w:rPr>
      <w:kern w:val="2"/>
      <w:sz w:val="18"/>
      <w:szCs w:val="18"/>
    </w:rPr>
  </w:style>
  <w:style w:type="character" w:customStyle="1" w:styleId="62">
    <w:name w:val="批注文字 Char1"/>
    <w:qFormat/>
    <w:uiPriority w:val="99"/>
    <w:rPr>
      <w:kern w:val="2"/>
      <w:sz w:val="21"/>
      <w:szCs w:val="24"/>
    </w:rPr>
  </w:style>
  <w:style w:type="character" w:customStyle="1" w:styleId="63">
    <w:name w:val="font41"/>
    <w:basedOn w:val="37"/>
    <w:qFormat/>
    <w:uiPriority w:val="0"/>
    <w:rPr>
      <w:rFonts w:hint="eastAsia" w:ascii="宋体" w:hAnsi="宋体" w:eastAsia="宋体" w:cs="宋体"/>
      <w:color w:val="000000"/>
      <w:sz w:val="20"/>
      <w:szCs w:val="20"/>
      <w:u w:val="none"/>
    </w:rPr>
  </w:style>
  <w:style w:type="character" w:customStyle="1" w:styleId="64">
    <w:name w:val="页脚 字符"/>
    <w:link w:val="22"/>
    <w:qFormat/>
    <w:uiPriority w:val="99"/>
    <w:rPr>
      <w:rFonts w:ascii="宋体"/>
      <w:sz w:val="18"/>
    </w:rPr>
  </w:style>
  <w:style w:type="character" w:customStyle="1" w:styleId="65">
    <w:name w:val="font101"/>
    <w:basedOn w:val="37"/>
    <w:qFormat/>
    <w:uiPriority w:val="0"/>
    <w:rPr>
      <w:rFonts w:hint="eastAsia" w:ascii="宋体" w:hAnsi="宋体" w:eastAsia="宋体" w:cs="宋体"/>
      <w:color w:val="000000"/>
      <w:sz w:val="20"/>
      <w:szCs w:val="20"/>
      <w:u w:val="none"/>
    </w:rPr>
  </w:style>
  <w:style w:type="character" w:customStyle="1" w:styleId="66">
    <w:name w:val="标题 2 字符"/>
    <w:link w:val="4"/>
    <w:qFormat/>
    <w:uiPriority w:val="0"/>
    <w:rPr>
      <w:rFonts w:ascii="Arial" w:hAnsi="Arial" w:eastAsia="黑体"/>
      <w:b/>
      <w:sz w:val="30"/>
    </w:rPr>
  </w:style>
  <w:style w:type="character" w:customStyle="1" w:styleId="67">
    <w:name w:val="批注框文本 字符"/>
    <w:link w:val="21"/>
    <w:qFormat/>
    <w:uiPriority w:val="0"/>
    <w:rPr>
      <w:kern w:val="2"/>
      <w:sz w:val="18"/>
      <w:szCs w:val="18"/>
    </w:rPr>
  </w:style>
  <w:style w:type="character" w:customStyle="1" w:styleId="68">
    <w:name w:val="纯文本 Char1"/>
    <w:link w:val="52"/>
    <w:qFormat/>
    <w:uiPriority w:val="0"/>
    <w:rPr>
      <w:rFonts w:ascii="宋体" w:hAnsi="Courier New"/>
    </w:rPr>
  </w:style>
  <w:style w:type="character" w:customStyle="1" w:styleId="69">
    <w:name w:val="font81"/>
    <w:basedOn w:val="37"/>
    <w:qFormat/>
    <w:uiPriority w:val="0"/>
    <w:rPr>
      <w:rFonts w:hint="eastAsia" w:ascii="宋体" w:hAnsi="宋体" w:eastAsia="宋体" w:cs="宋体"/>
      <w:color w:val="404040"/>
      <w:sz w:val="20"/>
      <w:szCs w:val="20"/>
      <w:u w:val="none"/>
    </w:rPr>
  </w:style>
  <w:style w:type="character" w:customStyle="1" w:styleId="70">
    <w:name w:val="文档结构图 字符"/>
    <w:basedOn w:val="37"/>
    <w:link w:val="9"/>
    <w:qFormat/>
    <w:uiPriority w:val="0"/>
    <w:rPr>
      <w:rFonts w:ascii="宋体"/>
      <w:kern w:val="2"/>
      <w:sz w:val="18"/>
      <w:szCs w:val="18"/>
    </w:rPr>
  </w:style>
  <w:style w:type="character" w:customStyle="1" w:styleId="71">
    <w:name w:val="日期 字符"/>
    <w:link w:val="19"/>
    <w:qFormat/>
    <w:uiPriority w:val="0"/>
    <w:rPr>
      <w:rFonts w:ascii="仿宋_GB2312" w:hAnsi="宋体" w:eastAsia="仿宋_GB2312"/>
      <w:color w:val="000000"/>
      <w:kern w:val="2"/>
      <w:sz w:val="24"/>
      <w:szCs w:val="24"/>
    </w:rPr>
  </w:style>
  <w:style w:type="character" w:customStyle="1" w:styleId="72">
    <w:name w:val="页眉 Char1"/>
    <w:qFormat/>
    <w:uiPriority w:val="99"/>
    <w:rPr>
      <w:kern w:val="2"/>
      <w:sz w:val="18"/>
      <w:szCs w:val="18"/>
    </w:rPr>
  </w:style>
  <w:style w:type="character" w:customStyle="1" w:styleId="73">
    <w:name w:val="批注框文本 Char1"/>
    <w:qFormat/>
    <w:uiPriority w:val="99"/>
    <w:rPr>
      <w:kern w:val="2"/>
      <w:sz w:val="18"/>
      <w:szCs w:val="18"/>
    </w:rPr>
  </w:style>
  <w:style w:type="character" w:customStyle="1" w:styleId="74">
    <w:name w:val="纯文本 字符"/>
    <w:link w:val="17"/>
    <w:qFormat/>
    <w:uiPriority w:val="0"/>
    <w:rPr>
      <w:rFonts w:ascii="宋体" w:hAnsi="Courier New"/>
      <w:kern w:val="2"/>
      <w:sz w:val="21"/>
    </w:rPr>
  </w:style>
  <w:style w:type="character" w:customStyle="1" w:styleId="75">
    <w:name w:val="正文文本 字符"/>
    <w:link w:val="12"/>
    <w:qFormat/>
    <w:uiPriority w:val="0"/>
    <w:rPr>
      <w:rFonts w:ascii="宋体" w:hAnsi="宋体"/>
      <w:kern w:val="2"/>
      <w:sz w:val="24"/>
      <w:szCs w:val="24"/>
    </w:rPr>
  </w:style>
  <w:style w:type="character" w:customStyle="1" w:styleId="76">
    <w:name w:val="批注文字 字符"/>
    <w:link w:val="11"/>
    <w:qFormat/>
    <w:uiPriority w:val="99"/>
    <w:rPr>
      <w:kern w:val="2"/>
      <w:sz w:val="21"/>
      <w:szCs w:val="24"/>
    </w:rPr>
  </w:style>
  <w:style w:type="character" w:customStyle="1" w:styleId="77">
    <w:name w:val="批注主题 字符"/>
    <w:link w:val="32"/>
    <w:qFormat/>
    <w:uiPriority w:val="0"/>
    <w:rPr>
      <w:b/>
      <w:bCs/>
      <w:kern w:val="2"/>
      <w:sz w:val="21"/>
      <w:szCs w:val="24"/>
    </w:rPr>
  </w:style>
  <w:style w:type="character" w:customStyle="1" w:styleId="78">
    <w:name w:val="标题 3 字符"/>
    <w:link w:val="5"/>
    <w:qFormat/>
    <w:uiPriority w:val="0"/>
    <w:rPr>
      <w:rFonts w:ascii="宋体"/>
      <w:b/>
      <w:sz w:val="24"/>
      <w:u w:val="single"/>
    </w:rPr>
  </w:style>
  <w:style w:type="character" w:customStyle="1" w:styleId="79">
    <w:name w:val="标题 1 字符"/>
    <w:link w:val="3"/>
    <w:qFormat/>
    <w:uiPriority w:val="0"/>
    <w:rPr>
      <w:rFonts w:ascii="宋体"/>
      <w:b/>
      <w:kern w:val="44"/>
      <w:sz w:val="32"/>
    </w:rPr>
  </w:style>
  <w:style w:type="paragraph" w:styleId="80">
    <w:name w:val="List Paragraph"/>
    <w:basedOn w:val="1"/>
    <w:qFormat/>
    <w:uiPriority w:val="34"/>
    <w:pPr>
      <w:ind w:firstLine="420" w:firstLineChars="200"/>
    </w:pPr>
    <w:rPr>
      <w:rFonts w:ascii="Calibri" w:hAnsi="Calibri"/>
      <w:szCs w:val="22"/>
    </w:rPr>
  </w:style>
  <w:style w:type="paragraph" w:customStyle="1" w:styleId="81">
    <w:name w:val="样式 正文（首行缩进两字） + 首行缩进:  2 字符2"/>
    <w:basedOn w:val="6"/>
    <w:qFormat/>
    <w:uiPriority w:val="0"/>
    <w:pPr>
      <w:spacing w:line="360" w:lineRule="auto"/>
      <w:ind w:firstLine="0"/>
      <w:textAlignment w:val="baseline"/>
    </w:pPr>
    <w:rPr>
      <w:rFonts w:hAnsi="宋体" w:eastAsia="楷体_GB2312" w:cs="宋体"/>
      <w:bCs/>
      <w:kern w:val="2"/>
      <w:sz w:val="21"/>
      <w:szCs w:val="21"/>
    </w:rPr>
  </w:style>
  <w:style w:type="paragraph" w:customStyle="1" w:styleId="82">
    <w:name w:val="PlainText"/>
    <w:basedOn w:val="1"/>
    <w:qFormat/>
    <w:uiPriority w:val="0"/>
    <w:pPr>
      <w:textAlignment w:val="baseline"/>
    </w:pPr>
    <w:rPr>
      <w:rFonts w:ascii="宋体" w:hAnsi="Courier New"/>
      <w:szCs w:val="20"/>
    </w:rPr>
  </w:style>
  <w:style w:type="character" w:customStyle="1" w:styleId="83">
    <w:name w:val="NormalCharacter"/>
    <w:qFormat/>
    <w:uiPriority w:val="0"/>
    <w:rPr>
      <w:rFonts w:ascii="Times New Roman" w:hAnsi="Times New Roman" w:eastAsia="宋体" w:cs="Times New Roman"/>
      <w:kern w:val="2"/>
      <w:sz w:val="21"/>
      <w:szCs w:val="24"/>
      <w:lang w:val="en-US" w:eastAsia="zh-CN" w:bidi="ar-SA"/>
    </w:rPr>
  </w:style>
  <w:style w:type="character" w:customStyle="1" w:styleId="84">
    <w:name w:val="fontstyle01"/>
    <w:qFormat/>
    <w:uiPriority w:val="0"/>
    <w:rPr>
      <w:rFonts w:hint="eastAsia" w:ascii="宋体" w:hAnsi="宋体" w:eastAsia="宋体"/>
      <w:color w:val="000000"/>
      <w:sz w:val="22"/>
      <w:szCs w:val="22"/>
    </w:rPr>
  </w:style>
  <w:style w:type="paragraph" w:customStyle="1" w:styleId="85">
    <w:name w:val="正文1"/>
    <w:qFormat/>
    <w:uiPriority w:val="0"/>
    <w:pPr>
      <w:jc w:val="both"/>
    </w:pPr>
    <w:rPr>
      <w:rFonts w:ascii="Calibri" w:hAnsi="Calibri" w:eastAsia="宋体" w:cs="宋体"/>
      <w:kern w:val="2"/>
      <w:sz w:val="21"/>
      <w:szCs w:val="21"/>
      <w:lang w:val="en-US" w:eastAsia="zh-CN" w:bidi="ar-SA"/>
    </w:rPr>
  </w:style>
  <w:style w:type="character" w:customStyle="1" w:styleId="86">
    <w:name w:val="font11"/>
    <w:basedOn w:val="37"/>
    <w:qFormat/>
    <w:uiPriority w:val="0"/>
    <w:rPr>
      <w:rFonts w:hint="eastAsia" w:ascii="宋体" w:hAnsi="宋体" w:eastAsia="宋体" w:cs="宋体"/>
      <w:color w:val="000000"/>
      <w:sz w:val="18"/>
      <w:szCs w:val="18"/>
      <w:u w:val="none"/>
    </w:rPr>
  </w:style>
  <w:style w:type="character" w:customStyle="1" w:styleId="87">
    <w:name w:val="font71"/>
    <w:basedOn w:val="37"/>
    <w:qFormat/>
    <w:uiPriority w:val="0"/>
    <w:rPr>
      <w:rFonts w:hint="eastAsia" w:ascii="宋体" w:hAnsi="宋体" w:eastAsia="宋体" w:cs="宋体"/>
      <w:color w:val="000000"/>
      <w:sz w:val="18"/>
      <w:szCs w:val="18"/>
      <w:u w:val="none"/>
    </w:rPr>
  </w:style>
  <w:style w:type="character" w:customStyle="1" w:styleId="88">
    <w:name w:val="font112"/>
    <w:basedOn w:val="37"/>
    <w:qFormat/>
    <w:uiPriority w:val="0"/>
    <w:rPr>
      <w:rFonts w:hint="default" w:ascii="Calibri" w:hAnsi="Calibri" w:cs="Calibri"/>
      <w:color w:val="000000"/>
      <w:sz w:val="18"/>
      <w:szCs w:val="18"/>
      <w:u w:val="none"/>
    </w:rPr>
  </w:style>
  <w:style w:type="character" w:customStyle="1" w:styleId="89">
    <w:name w:val="font21"/>
    <w:basedOn w:val="37"/>
    <w:qFormat/>
    <w:uiPriority w:val="0"/>
    <w:rPr>
      <w:rFonts w:hint="eastAsia" w:ascii="宋体" w:hAnsi="宋体" w:eastAsia="宋体" w:cs="宋体"/>
      <w:color w:val="000000"/>
      <w:sz w:val="12"/>
      <w:szCs w:val="12"/>
      <w:u w:val="none"/>
    </w:rPr>
  </w:style>
  <w:style w:type="paragraph" w:customStyle="1" w:styleId="90">
    <w:name w:val="正文（绿盟科技）"/>
    <w:basedOn w:val="1"/>
    <w:qFormat/>
    <w:uiPriority w:val="0"/>
    <w:pPr>
      <w:widowControl/>
      <w:spacing w:line="300" w:lineRule="auto"/>
      <w:jc w:val="left"/>
    </w:pPr>
    <w:rPr>
      <w:rFonts w:ascii="Arial" w:hAnsi="Arial" w:cs="黑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34348</Words>
  <Characters>36551</Characters>
  <Lines>434</Lines>
  <Paragraphs>122</Paragraphs>
  <TotalTime>18</TotalTime>
  <ScaleCrop>false</ScaleCrop>
  <LinksUpToDate>false</LinksUpToDate>
  <CharactersWithSpaces>41658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August。</cp:lastModifiedBy>
  <cp:lastPrinted>2021-08-11T06:03:00Z</cp:lastPrinted>
  <dcterms:modified xsi:type="dcterms:W3CDTF">2016-12-31T18:50:39Z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247387AA513E48969F9C1A7AF3AA0C98</vt:lpwstr>
  </property>
</Properties>
</file>