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156" w:afterLines="50"/>
        <w:ind w:left="-850" w:leftChars="-405" w:right="-625"/>
        <w:jc w:val="center"/>
        <w:rPr>
          <w:rFonts w:ascii="新宋体" w:hAnsi="新宋体" w:eastAsia="新宋体"/>
          <w:b/>
          <w:sz w:val="40"/>
          <w:szCs w:val="40"/>
          <w:highlight w:val="none"/>
        </w:rPr>
      </w:pPr>
    </w:p>
    <w:p>
      <w:pPr>
        <w:spacing w:after="156" w:afterLines="50"/>
        <w:ind w:left="-850" w:leftChars="-405" w:right="-625"/>
        <w:jc w:val="center"/>
        <w:rPr>
          <w:rFonts w:hint="eastAsia" w:ascii="新宋体" w:hAnsi="新宋体" w:eastAsia="新宋体"/>
          <w:b/>
          <w:sz w:val="40"/>
          <w:szCs w:val="40"/>
          <w:highlight w:val="none"/>
          <w:lang w:eastAsia="zh-CN"/>
        </w:rPr>
      </w:pPr>
      <w:r>
        <w:rPr>
          <w:rFonts w:hint="eastAsia" w:ascii="新宋体" w:hAnsi="新宋体" w:eastAsia="新宋体"/>
          <w:b/>
          <w:sz w:val="40"/>
          <w:szCs w:val="40"/>
          <w:highlight w:val="none"/>
          <w:lang w:eastAsia="zh-CN"/>
        </w:rPr>
        <w:t>2023年阿克陶县机关事业单位基本养老保险保值增值</w:t>
      </w:r>
    </w:p>
    <w:p>
      <w:pPr>
        <w:spacing w:after="156" w:afterLines="50"/>
        <w:ind w:left="-850" w:leftChars="-405" w:right="-625"/>
        <w:jc w:val="center"/>
        <w:rPr>
          <w:rFonts w:hint="eastAsia" w:ascii="新宋体" w:hAnsi="新宋体" w:eastAsia="新宋体"/>
          <w:b/>
          <w:sz w:val="40"/>
          <w:szCs w:val="40"/>
          <w:highlight w:val="none"/>
          <w:lang w:eastAsia="zh-CN"/>
        </w:rPr>
      </w:pPr>
      <w:r>
        <w:rPr>
          <w:rFonts w:hint="eastAsia" w:ascii="新宋体" w:hAnsi="新宋体" w:eastAsia="新宋体"/>
          <w:b/>
          <w:sz w:val="40"/>
          <w:szCs w:val="40"/>
          <w:highlight w:val="none"/>
          <w:lang w:eastAsia="zh-CN"/>
        </w:rPr>
        <w:t>定期存款项目（</w:t>
      </w:r>
      <w:r>
        <w:rPr>
          <w:rFonts w:hint="eastAsia" w:ascii="新宋体" w:hAnsi="新宋体" w:eastAsia="新宋体"/>
          <w:b/>
          <w:sz w:val="40"/>
          <w:szCs w:val="40"/>
          <w:highlight w:val="none"/>
          <w:lang w:val="en-US" w:eastAsia="zh-CN"/>
        </w:rPr>
        <w:t>二次</w:t>
      </w:r>
      <w:r>
        <w:rPr>
          <w:rFonts w:hint="eastAsia" w:ascii="新宋体" w:hAnsi="新宋体" w:eastAsia="新宋体"/>
          <w:b/>
          <w:sz w:val="40"/>
          <w:szCs w:val="40"/>
          <w:highlight w:val="none"/>
          <w:lang w:eastAsia="zh-CN"/>
        </w:rPr>
        <w:t>）</w:t>
      </w:r>
    </w:p>
    <w:p>
      <w:pPr>
        <w:spacing w:after="156" w:afterLines="50"/>
        <w:ind w:left="-850" w:leftChars="-405" w:right="-625"/>
        <w:jc w:val="center"/>
        <w:rPr>
          <w:rFonts w:ascii="宋体"/>
          <w:bCs/>
          <w:color w:val="0000FF"/>
          <w:sz w:val="28"/>
          <w:szCs w:val="28"/>
          <w:highlight w:val="none"/>
        </w:rPr>
      </w:pPr>
    </w:p>
    <w:p>
      <w:pPr>
        <w:spacing w:after="156" w:afterLines="50"/>
        <w:ind w:left="-850" w:leftChars="-405" w:right="-625" w:firstLine="3920" w:firstLineChars="1400"/>
        <w:rPr>
          <w:rFonts w:hint="default" w:ascii="宋体" w:eastAsia="宋体"/>
          <w:bCs/>
          <w:sz w:val="28"/>
          <w:szCs w:val="28"/>
          <w:highlight w:val="none"/>
          <w:lang w:val="en-US" w:eastAsia="zh-CN"/>
        </w:rPr>
      </w:pPr>
      <w:r>
        <w:rPr>
          <w:rFonts w:hint="eastAsia" w:ascii="宋体"/>
          <w:bCs/>
          <w:sz w:val="28"/>
          <w:szCs w:val="28"/>
          <w:highlight w:val="none"/>
        </w:rPr>
        <w:t>项目编号：</w:t>
      </w:r>
      <w:r>
        <w:rPr>
          <w:rFonts w:hint="eastAsia"/>
          <w:b/>
          <w:bCs/>
          <w:sz w:val="32"/>
          <w:szCs w:val="32"/>
          <w:highlight w:val="none"/>
          <w:lang w:eastAsia="zh-CN"/>
        </w:rPr>
        <w:t>AKTZBCG-</w:t>
      </w:r>
      <w:r>
        <w:rPr>
          <w:rFonts w:hint="eastAsia"/>
          <w:b/>
          <w:bCs/>
          <w:sz w:val="32"/>
          <w:szCs w:val="32"/>
          <w:highlight w:val="none"/>
          <w:lang w:val="en-US" w:eastAsia="zh-CN"/>
        </w:rPr>
        <w:t>-</w:t>
      </w:r>
      <w:r>
        <w:rPr>
          <w:rFonts w:hint="eastAsia"/>
          <w:b/>
          <w:bCs/>
          <w:sz w:val="32"/>
          <w:szCs w:val="32"/>
          <w:highlight w:val="none"/>
          <w:lang w:eastAsia="zh-CN"/>
        </w:rPr>
        <w:t>202</w:t>
      </w:r>
      <w:r>
        <w:rPr>
          <w:rFonts w:hint="eastAsia"/>
          <w:b/>
          <w:bCs/>
          <w:sz w:val="32"/>
          <w:szCs w:val="32"/>
          <w:highlight w:val="none"/>
          <w:lang w:val="en-US" w:eastAsia="zh-CN"/>
        </w:rPr>
        <w:t>3061</w:t>
      </w:r>
    </w:p>
    <w:p>
      <w:pPr>
        <w:rPr>
          <w:rFonts w:ascii="宋体"/>
          <w:bCs/>
          <w:szCs w:val="21"/>
          <w:highlight w:val="none"/>
        </w:rPr>
      </w:pPr>
    </w:p>
    <w:p>
      <w:pPr>
        <w:rPr>
          <w:rFonts w:ascii="宋体"/>
          <w:bCs/>
          <w:szCs w:val="21"/>
          <w:highlight w:val="none"/>
        </w:rPr>
      </w:pPr>
    </w:p>
    <w:p>
      <w:pPr>
        <w:jc w:val="center"/>
        <w:rPr>
          <w:rFonts w:hint="eastAsia" w:ascii="宋体" w:hAnsi="宋体" w:eastAsia="宋体" w:cs="宋体"/>
          <w:b/>
          <w:sz w:val="100"/>
          <w:szCs w:val="100"/>
          <w:highlight w:val="none"/>
        </w:rPr>
      </w:pPr>
      <w:r>
        <w:rPr>
          <w:rFonts w:hint="eastAsia" w:ascii="宋体" w:hAnsi="宋体" w:eastAsia="宋体" w:cs="宋体"/>
          <w:b/>
          <w:sz w:val="100"/>
          <w:szCs w:val="100"/>
          <w:highlight w:val="none"/>
        </w:rPr>
        <w:t>磋</w:t>
      </w:r>
    </w:p>
    <w:p>
      <w:pPr>
        <w:jc w:val="center"/>
        <w:rPr>
          <w:rFonts w:hint="eastAsia" w:ascii="宋体" w:hAnsi="宋体" w:eastAsia="宋体" w:cs="宋体"/>
          <w:b/>
          <w:sz w:val="100"/>
          <w:szCs w:val="100"/>
          <w:highlight w:val="none"/>
        </w:rPr>
      </w:pPr>
      <w:r>
        <w:rPr>
          <w:rFonts w:hint="eastAsia" w:ascii="宋体" w:hAnsi="宋体" w:eastAsia="宋体" w:cs="宋体"/>
          <w:b/>
          <w:sz w:val="100"/>
          <w:szCs w:val="100"/>
          <w:highlight w:val="none"/>
        </w:rPr>
        <w:t>商</w:t>
      </w:r>
    </w:p>
    <w:p>
      <w:pPr>
        <w:jc w:val="center"/>
        <w:rPr>
          <w:rFonts w:hint="eastAsia" w:ascii="宋体" w:hAnsi="宋体" w:eastAsia="宋体" w:cs="宋体"/>
          <w:b/>
          <w:sz w:val="100"/>
          <w:szCs w:val="100"/>
          <w:highlight w:val="none"/>
        </w:rPr>
      </w:pPr>
      <w:r>
        <w:rPr>
          <w:rFonts w:hint="eastAsia" w:ascii="宋体" w:hAnsi="宋体" w:eastAsia="宋体" w:cs="宋体"/>
          <w:b/>
          <w:sz w:val="100"/>
          <w:szCs w:val="100"/>
          <w:highlight w:val="none"/>
        </w:rPr>
        <w:t>文</w:t>
      </w:r>
    </w:p>
    <w:p>
      <w:pPr>
        <w:jc w:val="center"/>
        <w:rPr>
          <w:rFonts w:hint="eastAsia" w:ascii="宋体" w:hAnsi="宋体" w:eastAsia="宋体" w:cs="宋体"/>
          <w:b/>
          <w:sz w:val="100"/>
          <w:szCs w:val="100"/>
          <w:highlight w:val="none"/>
        </w:rPr>
      </w:pPr>
      <w:r>
        <w:rPr>
          <w:rFonts w:hint="eastAsia" w:ascii="宋体" w:hAnsi="宋体" w:eastAsia="宋体" w:cs="宋体"/>
          <w:b/>
          <w:sz w:val="100"/>
          <w:szCs w:val="100"/>
          <w:highlight w:val="none"/>
        </w:rPr>
        <w:t>件</w:t>
      </w:r>
    </w:p>
    <w:p>
      <w:pPr>
        <w:rPr>
          <w:rFonts w:ascii="宋体"/>
          <w:sz w:val="28"/>
          <w:szCs w:val="28"/>
          <w:highlight w:val="none"/>
        </w:rPr>
      </w:pPr>
    </w:p>
    <w:p>
      <w:pPr>
        <w:ind w:left="2138" w:leftChars="304" w:hanging="1500" w:hangingChars="500"/>
        <w:rPr>
          <w:rFonts w:ascii="宋体"/>
          <w:b/>
          <w:sz w:val="30"/>
          <w:szCs w:val="30"/>
          <w:highlight w:val="none"/>
        </w:rPr>
      </w:pPr>
      <w:r>
        <w:rPr>
          <w:rFonts w:hint="eastAsia" w:ascii="宋体"/>
          <w:b/>
          <w:sz w:val="30"/>
          <w:szCs w:val="30"/>
          <w:highlight w:val="none"/>
        </w:rPr>
        <w:t>招 标 人：</w:t>
      </w:r>
      <w:r>
        <w:rPr>
          <w:rFonts w:hint="eastAsia" w:ascii="宋体"/>
          <w:b/>
          <w:sz w:val="30"/>
          <w:szCs w:val="30"/>
          <w:highlight w:val="none"/>
          <w:lang w:eastAsia="zh-CN"/>
        </w:rPr>
        <w:t>阿克陶县财政局</w:t>
      </w:r>
      <w:r>
        <w:rPr>
          <w:rFonts w:hint="eastAsia" w:ascii="宋体"/>
          <w:b/>
          <w:sz w:val="30"/>
          <w:szCs w:val="30"/>
          <w:highlight w:val="none"/>
        </w:rPr>
        <w:t>（盖章）</w:t>
      </w:r>
      <w:r>
        <w:rPr>
          <w:rFonts w:hint="eastAsia" w:ascii="仿宋" w:hAnsi="仿宋" w:eastAsia="仿宋" w:cs="宋体"/>
          <w:sz w:val="30"/>
          <w:szCs w:val="30"/>
          <w:highlight w:val="none"/>
        </w:rPr>
        <w:t xml:space="preserve">  </w:t>
      </w:r>
    </w:p>
    <w:p>
      <w:pPr>
        <w:rPr>
          <w:rFonts w:ascii="宋体"/>
          <w:b/>
          <w:sz w:val="30"/>
          <w:szCs w:val="30"/>
          <w:highlight w:val="none"/>
        </w:rPr>
      </w:pPr>
    </w:p>
    <w:p>
      <w:pPr>
        <w:ind w:firstLine="600" w:firstLineChars="200"/>
        <w:rPr>
          <w:rFonts w:ascii="宋体"/>
          <w:b/>
          <w:sz w:val="30"/>
          <w:szCs w:val="30"/>
          <w:highlight w:val="none"/>
          <w:u w:val="single"/>
        </w:rPr>
      </w:pPr>
      <w:r>
        <w:rPr>
          <w:rFonts w:hint="eastAsia" w:ascii="宋体"/>
          <w:b/>
          <w:sz w:val="30"/>
          <w:szCs w:val="30"/>
          <w:highlight w:val="none"/>
        </w:rPr>
        <w:t>招标代理机构：</w:t>
      </w:r>
      <w:r>
        <w:rPr>
          <w:rFonts w:hint="eastAsia" w:ascii="宋体"/>
          <w:b/>
          <w:sz w:val="30"/>
          <w:szCs w:val="30"/>
          <w:highlight w:val="none"/>
          <w:lang w:eastAsia="zh-CN"/>
        </w:rPr>
        <w:t>中科建疆工程管理有限公司</w:t>
      </w:r>
      <w:r>
        <w:rPr>
          <w:rFonts w:hint="eastAsia" w:ascii="宋体"/>
          <w:b/>
          <w:sz w:val="30"/>
          <w:szCs w:val="30"/>
          <w:highlight w:val="none"/>
        </w:rPr>
        <w:t>（盖章）</w:t>
      </w:r>
    </w:p>
    <w:p>
      <w:pPr>
        <w:jc w:val="center"/>
        <w:rPr>
          <w:rFonts w:ascii="宋体"/>
          <w:b/>
          <w:sz w:val="32"/>
          <w:szCs w:val="32"/>
          <w:highlight w:val="none"/>
        </w:rPr>
      </w:pPr>
    </w:p>
    <w:p>
      <w:pPr>
        <w:jc w:val="center"/>
        <w:rPr>
          <w:b/>
          <w:sz w:val="36"/>
          <w:highlight w:val="none"/>
        </w:rPr>
      </w:pPr>
    </w:p>
    <w:p>
      <w:pPr>
        <w:jc w:val="center"/>
        <w:rPr>
          <w:b/>
          <w:sz w:val="36"/>
          <w:highlight w:val="none"/>
        </w:rPr>
      </w:pPr>
    </w:p>
    <w:p>
      <w:pPr>
        <w:jc w:val="center"/>
        <w:rPr>
          <w:b/>
          <w:sz w:val="36"/>
          <w:highlight w:val="none"/>
        </w:rPr>
      </w:pPr>
      <w:r>
        <w:rPr>
          <w:rFonts w:hint="eastAsia"/>
          <w:b/>
          <w:sz w:val="36"/>
          <w:highlight w:val="none"/>
        </w:rPr>
        <w:t>目  录</w:t>
      </w:r>
    </w:p>
    <w:p>
      <w:pPr>
        <w:spacing w:line="360" w:lineRule="exact"/>
        <w:jc w:val="center"/>
        <w:rPr>
          <w:b/>
          <w:sz w:val="36"/>
          <w:highlight w:val="none"/>
        </w:rPr>
      </w:pPr>
    </w:p>
    <w:p>
      <w:pPr>
        <w:pStyle w:val="17"/>
        <w:tabs>
          <w:tab w:val="right" w:leader="dot" w:pos="9968"/>
        </w:tabs>
        <w:rPr>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TOC \o "1-3" \h \z \u </w:instrText>
      </w:r>
      <w:r>
        <w:rPr>
          <w:rFonts w:hint="eastAsia" w:ascii="宋体" w:hAnsi="宋体" w:cs="宋体"/>
          <w:sz w:val="24"/>
          <w:highlight w:val="none"/>
        </w:rPr>
        <w:fldChar w:fldCharType="separate"/>
      </w:r>
      <w:r>
        <w:rPr>
          <w:highlight w:val="none"/>
        </w:rPr>
        <w:fldChar w:fldCharType="begin"/>
      </w:r>
      <w:r>
        <w:rPr>
          <w:highlight w:val="none"/>
        </w:rPr>
        <w:instrText xml:space="preserve"> HYPERLINK \l "_Toc26892" </w:instrText>
      </w:r>
      <w:r>
        <w:rPr>
          <w:highlight w:val="none"/>
        </w:rPr>
        <w:fldChar w:fldCharType="separate"/>
      </w:r>
      <w:r>
        <w:rPr>
          <w:rFonts w:ascii="宋体"/>
          <w:bCs/>
          <w:szCs w:val="32"/>
          <w:highlight w:val="none"/>
        </w:rPr>
        <w:t xml:space="preserve">第一章 </w:t>
      </w:r>
      <w:r>
        <w:rPr>
          <w:rFonts w:hint="eastAsia" w:ascii="宋体"/>
          <w:bCs/>
          <w:szCs w:val="32"/>
          <w:highlight w:val="none"/>
        </w:rPr>
        <w:t>招标公告</w:t>
      </w:r>
      <w:r>
        <w:rPr>
          <w:highlight w:val="none"/>
        </w:rPr>
        <w:tab/>
      </w:r>
      <w:r>
        <w:rPr>
          <w:highlight w:val="none"/>
        </w:rPr>
        <w:fldChar w:fldCharType="end"/>
      </w:r>
    </w:p>
    <w:p>
      <w:pPr>
        <w:pStyle w:val="17"/>
        <w:tabs>
          <w:tab w:val="right" w:leader="dot" w:pos="9968"/>
        </w:tabs>
        <w:rPr>
          <w:highlight w:val="none"/>
        </w:rPr>
      </w:pPr>
      <w:r>
        <w:rPr>
          <w:highlight w:val="none"/>
        </w:rPr>
        <w:fldChar w:fldCharType="begin"/>
      </w:r>
      <w:r>
        <w:rPr>
          <w:highlight w:val="none"/>
        </w:rPr>
        <w:instrText xml:space="preserve"> HYPERLINK \l "_Toc6289" </w:instrText>
      </w:r>
      <w:r>
        <w:rPr>
          <w:highlight w:val="none"/>
        </w:rPr>
        <w:fldChar w:fldCharType="separate"/>
      </w:r>
      <w:r>
        <w:rPr>
          <w:rFonts w:hint="eastAsia" w:ascii="宋体"/>
          <w:szCs w:val="28"/>
          <w:highlight w:val="none"/>
          <w:lang w:eastAsia="zh-CN"/>
        </w:rPr>
        <w:t>2023年阿克陶县机关事业单位基本养老保险保值增值定期存款项目（二次）</w:t>
      </w:r>
      <w:r>
        <w:rPr>
          <w:rFonts w:hint="eastAsia" w:ascii="宋体"/>
          <w:szCs w:val="28"/>
          <w:highlight w:val="none"/>
        </w:rPr>
        <w:t>竞争性磋商公告</w:t>
      </w:r>
      <w:r>
        <w:rPr>
          <w:highlight w:val="none"/>
        </w:rPr>
        <w:tab/>
      </w:r>
      <w:r>
        <w:rPr>
          <w:highlight w:val="none"/>
        </w:rPr>
        <w:fldChar w:fldCharType="end"/>
      </w:r>
    </w:p>
    <w:p>
      <w:pPr>
        <w:pStyle w:val="17"/>
        <w:tabs>
          <w:tab w:val="right" w:leader="dot" w:pos="9968"/>
        </w:tabs>
        <w:rPr>
          <w:highlight w:val="none"/>
        </w:rPr>
      </w:pPr>
      <w:r>
        <w:rPr>
          <w:highlight w:val="none"/>
        </w:rPr>
        <w:fldChar w:fldCharType="begin"/>
      </w:r>
      <w:r>
        <w:rPr>
          <w:highlight w:val="none"/>
        </w:rPr>
        <w:instrText xml:space="preserve"> HYPERLINK \l "_Toc6038" </w:instrText>
      </w:r>
      <w:r>
        <w:rPr>
          <w:highlight w:val="none"/>
        </w:rPr>
        <w:fldChar w:fldCharType="separate"/>
      </w:r>
      <w:r>
        <w:rPr>
          <w:rFonts w:hint="eastAsia" w:ascii="宋体"/>
          <w:szCs w:val="32"/>
          <w:highlight w:val="none"/>
        </w:rPr>
        <w:t>第二章 投标人须知</w:t>
      </w:r>
      <w:r>
        <w:rPr>
          <w:highlight w:val="none"/>
        </w:rPr>
        <w:tab/>
      </w:r>
      <w:r>
        <w:rPr>
          <w:highlight w:val="none"/>
        </w:rPr>
        <w:fldChar w:fldCharType="end"/>
      </w:r>
    </w:p>
    <w:p>
      <w:pPr>
        <w:pStyle w:val="19"/>
        <w:tabs>
          <w:tab w:val="right" w:leader="dot" w:pos="9968"/>
        </w:tabs>
        <w:ind w:left="420"/>
        <w:rPr>
          <w:highlight w:val="none"/>
        </w:rPr>
      </w:pPr>
      <w:r>
        <w:rPr>
          <w:highlight w:val="none"/>
        </w:rPr>
        <w:fldChar w:fldCharType="begin"/>
      </w:r>
      <w:r>
        <w:rPr>
          <w:highlight w:val="none"/>
        </w:rPr>
        <w:instrText xml:space="preserve"> HYPERLINK \l "_Toc26232" </w:instrText>
      </w:r>
      <w:r>
        <w:rPr>
          <w:highlight w:val="none"/>
        </w:rPr>
        <w:fldChar w:fldCharType="separate"/>
      </w:r>
      <w:r>
        <w:rPr>
          <w:rFonts w:hint="eastAsia" w:ascii="宋体"/>
          <w:szCs w:val="32"/>
          <w:highlight w:val="none"/>
        </w:rPr>
        <w:t>一、</w:t>
      </w:r>
      <w:r>
        <w:rPr>
          <w:rFonts w:hint="eastAsia" w:ascii="宋体"/>
          <w:szCs w:val="28"/>
          <w:highlight w:val="none"/>
        </w:rPr>
        <w:t>投标人须知前附表</w:t>
      </w:r>
      <w:r>
        <w:rPr>
          <w:highlight w:val="none"/>
        </w:rPr>
        <w:tab/>
      </w:r>
      <w:r>
        <w:rPr>
          <w:highlight w:val="none"/>
        </w:rPr>
        <w:fldChar w:fldCharType="end"/>
      </w:r>
    </w:p>
    <w:p>
      <w:pPr>
        <w:pStyle w:val="19"/>
        <w:tabs>
          <w:tab w:val="right" w:leader="dot" w:pos="9968"/>
        </w:tabs>
        <w:ind w:left="420"/>
        <w:rPr>
          <w:highlight w:val="none"/>
        </w:rPr>
      </w:pPr>
      <w:r>
        <w:rPr>
          <w:highlight w:val="none"/>
        </w:rPr>
        <w:fldChar w:fldCharType="begin"/>
      </w:r>
      <w:r>
        <w:rPr>
          <w:highlight w:val="none"/>
        </w:rPr>
        <w:instrText xml:space="preserve"> HYPERLINK \l "_Toc30705" </w:instrText>
      </w:r>
      <w:r>
        <w:rPr>
          <w:highlight w:val="none"/>
        </w:rPr>
        <w:fldChar w:fldCharType="separate"/>
      </w:r>
      <w:r>
        <w:rPr>
          <w:rFonts w:hint="eastAsia" w:ascii="宋体"/>
          <w:szCs w:val="28"/>
          <w:highlight w:val="none"/>
        </w:rPr>
        <w:t>二、投标人须知</w:t>
      </w:r>
      <w:r>
        <w:rPr>
          <w:highlight w:val="none"/>
        </w:rPr>
        <w:tab/>
      </w:r>
      <w:r>
        <w:rPr>
          <w:highlight w:val="none"/>
        </w:rPr>
        <w:fldChar w:fldCharType="end"/>
      </w:r>
    </w:p>
    <w:p>
      <w:pPr>
        <w:pStyle w:val="11"/>
        <w:tabs>
          <w:tab w:val="right" w:leader="dot" w:pos="9968"/>
          <w:tab w:val="clear" w:pos="9288"/>
        </w:tabs>
        <w:ind w:left="840"/>
        <w:rPr>
          <w:highlight w:val="none"/>
        </w:rPr>
      </w:pPr>
      <w:r>
        <w:rPr>
          <w:highlight w:val="none"/>
        </w:rPr>
        <w:fldChar w:fldCharType="begin"/>
      </w:r>
      <w:r>
        <w:rPr>
          <w:highlight w:val="none"/>
        </w:rPr>
        <w:instrText xml:space="preserve"> HYPERLINK \l "_Toc25428" </w:instrText>
      </w:r>
      <w:r>
        <w:rPr>
          <w:highlight w:val="none"/>
        </w:rPr>
        <w:fldChar w:fldCharType="separate"/>
      </w:r>
      <w:r>
        <w:rPr>
          <w:rFonts w:hint="eastAsia"/>
          <w:szCs w:val="28"/>
          <w:highlight w:val="none"/>
        </w:rPr>
        <w:t>（一）</w:t>
      </w:r>
      <w:r>
        <w:rPr>
          <w:rFonts w:hint="eastAsia"/>
          <w:szCs w:val="32"/>
          <w:highlight w:val="none"/>
        </w:rPr>
        <w:t>总  则</w:t>
      </w:r>
      <w:r>
        <w:rPr>
          <w:highlight w:val="none"/>
        </w:rPr>
        <w:tab/>
      </w:r>
      <w:r>
        <w:rPr>
          <w:highlight w:val="none"/>
        </w:rPr>
        <w:fldChar w:fldCharType="end"/>
      </w:r>
    </w:p>
    <w:p>
      <w:pPr>
        <w:pStyle w:val="11"/>
        <w:tabs>
          <w:tab w:val="right" w:leader="dot" w:pos="9968"/>
          <w:tab w:val="clear" w:pos="9288"/>
        </w:tabs>
        <w:ind w:left="840"/>
        <w:rPr>
          <w:highlight w:val="none"/>
        </w:rPr>
      </w:pPr>
      <w:r>
        <w:rPr>
          <w:highlight w:val="none"/>
        </w:rPr>
        <w:fldChar w:fldCharType="begin"/>
      </w:r>
      <w:r>
        <w:rPr>
          <w:highlight w:val="none"/>
        </w:rPr>
        <w:instrText xml:space="preserve"> HYPERLINK \l "_Toc13107" </w:instrText>
      </w:r>
      <w:r>
        <w:rPr>
          <w:highlight w:val="none"/>
        </w:rPr>
        <w:fldChar w:fldCharType="separate"/>
      </w:r>
      <w:r>
        <w:rPr>
          <w:rFonts w:hint="eastAsia"/>
          <w:szCs w:val="28"/>
          <w:highlight w:val="none"/>
        </w:rPr>
        <w:t>（二）磋商文件</w:t>
      </w:r>
      <w:r>
        <w:rPr>
          <w:highlight w:val="none"/>
        </w:rPr>
        <w:tab/>
      </w:r>
      <w:r>
        <w:rPr>
          <w:highlight w:val="none"/>
        </w:rPr>
        <w:fldChar w:fldCharType="end"/>
      </w:r>
    </w:p>
    <w:p>
      <w:pPr>
        <w:pStyle w:val="11"/>
        <w:tabs>
          <w:tab w:val="right" w:leader="dot" w:pos="9968"/>
          <w:tab w:val="clear" w:pos="9288"/>
        </w:tabs>
        <w:ind w:left="840"/>
        <w:rPr>
          <w:highlight w:val="none"/>
        </w:rPr>
      </w:pPr>
      <w:r>
        <w:rPr>
          <w:highlight w:val="none"/>
        </w:rPr>
        <w:fldChar w:fldCharType="begin"/>
      </w:r>
      <w:r>
        <w:rPr>
          <w:highlight w:val="none"/>
        </w:rPr>
        <w:instrText xml:space="preserve"> HYPERLINK \l "_Toc31024" </w:instrText>
      </w:r>
      <w:r>
        <w:rPr>
          <w:highlight w:val="none"/>
        </w:rPr>
        <w:fldChar w:fldCharType="separate"/>
      </w:r>
      <w:r>
        <w:rPr>
          <w:rFonts w:hint="eastAsia"/>
          <w:szCs w:val="28"/>
          <w:highlight w:val="none"/>
        </w:rPr>
        <w:t>（三）响应文件的编制</w:t>
      </w:r>
      <w:r>
        <w:rPr>
          <w:highlight w:val="none"/>
        </w:rPr>
        <w:tab/>
      </w:r>
      <w:r>
        <w:rPr>
          <w:highlight w:val="none"/>
        </w:rPr>
        <w:fldChar w:fldCharType="end"/>
      </w:r>
    </w:p>
    <w:p>
      <w:pPr>
        <w:pStyle w:val="17"/>
        <w:tabs>
          <w:tab w:val="right" w:leader="dot" w:pos="9968"/>
        </w:tabs>
        <w:rPr>
          <w:highlight w:val="none"/>
        </w:rPr>
      </w:pPr>
      <w:r>
        <w:rPr>
          <w:highlight w:val="none"/>
        </w:rPr>
        <w:fldChar w:fldCharType="begin"/>
      </w:r>
      <w:r>
        <w:rPr>
          <w:highlight w:val="none"/>
        </w:rPr>
        <w:instrText xml:space="preserve"> HYPERLINK \l "_Toc859" </w:instrText>
      </w:r>
      <w:r>
        <w:rPr>
          <w:highlight w:val="none"/>
        </w:rPr>
        <w:fldChar w:fldCharType="separate"/>
      </w:r>
      <w:r>
        <w:rPr>
          <w:rFonts w:hint="eastAsia"/>
          <w:szCs w:val="28"/>
          <w:highlight w:val="none"/>
        </w:rPr>
        <w:t>（四）投标文件的制作、上传及递交要求</w:t>
      </w:r>
      <w:r>
        <w:rPr>
          <w:highlight w:val="none"/>
        </w:rPr>
        <w:tab/>
      </w:r>
      <w:r>
        <w:rPr>
          <w:highlight w:val="none"/>
        </w:rPr>
        <w:fldChar w:fldCharType="end"/>
      </w:r>
    </w:p>
    <w:p>
      <w:pPr>
        <w:pStyle w:val="11"/>
        <w:tabs>
          <w:tab w:val="right" w:leader="dot" w:pos="9968"/>
          <w:tab w:val="clear" w:pos="9288"/>
        </w:tabs>
        <w:ind w:left="840"/>
        <w:rPr>
          <w:highlight w:val="none"/>
        </w:rPr>
      </w:pPr>
      <w:r>
        <w:rPr>
          <w:highlight w:val="none"/>
        </w:rPr>
        <w:fldChar w:fldCharType="begin"/>
      </w:r>
      <w:r>
        <w:rPr>
          <w:highlight w:val="none"/>
        </w:rPr>
        <w:instrText xml:space="preserve"> HYPERLINK \l "_Toc6569" </w:instrText>
      </w:r>
      <w:r>
        <w:rPr>
          <w:highlight w:val="none"/>
        </w:rPr>
        <w:fldChar w:fldCharType="separate"/>
      </w:r>
      <w:r>
        <w:rPr>
          <w:rFonts w:hint="eastAsia" w:ascii="黑体" w:eastAsia="黑体"/>
          <w:szCs w:val="28"/>
          <w:highlight w:val="none"/>
        </w:rPr>
        <w:t>（五）开 标、评标和定标</w:t>
      </w:r>
      <w:r>
        <w:rPr>
          <w:highlight w:val="none"/>
        </w:rPr>
        <w:tab/>
      </w:r>
      <w:r>
        <w:rPr>
          <w:highlight w:val="none"/>
        </w:rPr>
        <w:fldChar w:fldCharType="end"/>
      </w:r>
    </w:p>
    <w:p>
      <w:pPr>
        <w:pStyle w:val="11"/>
        <w:tabs>
          <w:tab w:val="right" w:leader="dot" w:pos="9968"/>
          <w:tab w:val="clear" w:pos="9288"/>
        </w:tabs>
        <w:ind w:left="840"/>
        <w:rPr>
          <w:highlight w:val="none"/>
        </w:rPr>
      </w:pPr>
      <w:r>
        <w:rPr>
          <w:highlight w:val="none"/>
        </w:rPr>
        <w:fldChar w:fldCharType="begin"/>
      </w:r>
      <w:r>
        <w:rPr>
          <w:highlight w:val="none"/>
        </w:rPr>
        <w:instrText xml:space="preserve"> HYPERLINK \l "_Toc7364" </w:instrText>
      </w:r>
      <w:r>
        <w:rPr>
          <w:highlight w:val="none"/>
        </w:rPr>
        <w:fldChar w:fldCharType="separate"/>
      </w:r>
      <w:r>
        <w:rPr>
          <w:rFonts w:hint="eastAsia" w:hAnsi="宋体" w:cs="宋体"/>
          <w:szCs w:val="21"/>
          <w:highlight w:val="none"/>
        </w:rPr>
        <w:t>29.2</w:t>
      </w:r>
      <w:r>
        <w:rPr>
          <w:rFonts w:hint="eastAsia" w:hAnsi="宋体" w:cs="宋体"/>
          <w:bCs/>
          <w:szCs w:val="21"/>
          <w:highlight w:val="none"/>
        </w:rPr>
        <w:t>开标程序（先资格、商务技术后报价）</w:t>
      </w:r>
      <w:r>
        <w:rPr>
          <w:highlight w:val="none"/>
        </w:rPr>
        <w:tab/>
      </w:r>
      <w:r>
        <w:rPr>
          <w:highlight w:val="none"/>
        </w:rPr>
        <w:fldChar w:fldCharType="end"/>
      </w:r>
    </w:p>
    <w:p>
      <w:pPr>
        <w:pStyle w:val="11"/>
        <w:tabs>
          <w:tab w:val="right" w:leader="dot" w:pos="9968"/>
          <w:tab w:val="clear" w:pos="9288"/>
        </w:tabs>
        <w:ind w:left="840"/>
        <w:rPr>
          <w:highlight w:val="none"/>
        </w:rPr>
      </w:pPr>
      <w:r>
        <w:rPr>
          <w:highlight w:val="none"/>
        </w:rPr>
        <w:fldChar w:fldCharType="begin"/>
      </w:r>
      <w:r>
        <w:rPr>
          <w:highlight w:val="none"/>
        </w:rPr>
        <w:instrText xml:space="preserve"> HYPERLINK \l "_Toc21524" </w:instrText>
      </w:r>
      <w:r>
        <w:rPr>
          <w:highlight w:val="none"/>
        </w:rPr>
        <w:fldChar w:fldCharType="separate"/>
      </w:r>
      <w:r>
        <w:rPr>
          <w:rFonts w:hint="eastAsia" w:ascii="黑体" w:eastAsia="黑体"/>
          <w:szCs w:val="28"/>
          <w:highlight w:val="none"/>
        </w:rPr>
        <w:t>（六）合同的授予</w:t>
      </w:r>
      <w:r>
        <w:rPr>
          <w:highlight w:val="none"/>
        </w:rPr>
        <w:tab/>
      </w:r>
      <w:r>
        <w:rPr>
          <w:highlight w:val="none"/>
        </w:rPr>
        <w:fldChar w:fldCharType="end"/>
      </w:r>
    </w:p>
    <w:p>
      <w:pPr>
        <w:pStyle w:val="11"/>
        <w:tabs>
          <w:tab w:val="right" w:leader="dot" w:pos="9968"/>
          <w:tab w:val="clear" w:pos="9288"/>
        </w:tabs>
        <w:ind w:left="840"/>
        <w:rPr>
          <w:highlight w:val="none"/>
        </w:rPr>
      </w:pPr>
      <w:r>
        <w:rPr>
          <w:highlight w:val="none"/>
        </w:rPr>
        <w:fldChar w:fldCharType="begin"/>
      </w:r>
      <w:r>
        <w:rPr>
          <w:highlight w:val="none"/>
        </w:rPr>
        <w:instrText xml:space="preserve"> HYPERLINK \l "_Toc29743" </w:instrText>
      </w:r>
      <w:r>
        <w:rPr>
          <w:highlight w:val="none"/>
        </w:rPr>
        <w:fldChar w:fldCharType="separate"/>
      </w:r>
      <w:r>
        <w:rPr>
          <w:rFonts w:hint="eastAsia" w:ascii="黑体" w:eastAsia="黑体"/>
          <w:szCs w:val="28"/>
          <w:highlight w:val="none"/>
        </w:rPr>
        <w:t>（七）纪律和监督</w:t>
      </w:r>
      <w:r>
        <w:rPr>
          <w:highlight w:val="none"/>
        </w:rPr>
        <w:tab/>
      </w:r>
      <w:r>
        <w:rPr>
          <w:highlight w:val="none"/>
        </w:rPr>
        <w:fldChar w:fldCharType="end"/>
      </w:r>
    </w:p>
    <w:p>
      <w:pPr>
        <w:pStyle w:val="17"/>
        <w:tabs>
          <w:tab w:val="right" w:leader="dot" w:pos="9968"/>
        </w:tabs>
        <w:rPr>
          <w:highlight w:val="none"/>
        </w:rPr>
      </w:pPr>
      <w:r>
        <w:rPr>
          <w:highlight w:val="none"/>
        </w:rPr>
        <w:fldChar w:fldCharType="begin"/>
      </w:r>
      <w:r>
        <w:rPr>
          <w:highlight w:val="none"/>
        </w:rPr>
        <w:instrText xml:space="preserve"> HYPERLINK \l "_Toc27114" </w:instrText>
      </w:r>
      <w:r>
        <w:rPr>
          <w:highlight w:val="none"/>
        </w:rPr>
        <w:fldChar w:fldCharType="separate"/>
      </w:r>
      <w:r>
        <w:rPr>
          <w:rFonts w:hint="eastAsia" w:ascii="宋体" w:hAnsi="宋体" w:cs="宋体"/>
          <w:bCs/>
          <w:szCs w:val="32"/>
          <w:highlight w:val="none"/>
        </w:rPr>
        <w:t>投诉相关说明</w:t>
      </w:r>
      <w:r>
        <w:rPr>
          <w:highlight w:val="none"/>
        </w:rPr>
        <w:tab/>
      </w:r>
      <w:r>
        <w:rPr>
          <w:highlight w:val="none"/>
        </w:rPr>
        <w:fldChar w:fldCharType="end"/>
      </w:r>
    </w:p>
    <w:p>
      <w:pPr>
        <w:pStyle w:val="17"/>
        <w:tabs>
          <w:tab w:val="right" w:leader="dot" w:pos="9968"/>
        </w:tabs>
        <w:rPr>
          <w:highlight w:val="none"/>
        </w:rPr>
      </w:pPr>
      <w:r>
        <w:rPr>
          <w:highlight w:val="none"/>
        </w:rPr>
        <w:fldChar w:fldCharType="begin"/>
      </w:r>
      <w:r>
        <w:rPr>
          <w:highlight w:val="none"/>
        </w:rPr>
        <w:instrText xml:space="preserve"> HYPERLINK \l "_Toc19974" </w:instrText>
      </w:r>
      <w:r>
        <w:rPr>
          <w:highlight w:val="none"/>
        </w:rPr>
        <w:fldChar w:fldCharType="separate"/>
      </w:r>
      <w:r>
        <w:rPr>
          <w:rFonts w:hint="eastAsia" w:ascii="宋体" w:hAnsi="宋体" w:cs="宋体"/>
          <w:bCs/>
          <w:szCs w:val="21"/>
          <w:highlight w:val="none"/>
        </w:rPr>
        <w:t>一、 质疑前置及时间要求</w:t>
      </w:r>
      <w:r>
        <w:rPr>
          <w:highlight w:val="none"/>
        </w:rPr>
        <w:tab/>
      </w:r>
      <w:r>
        <w:rPr>
          <w:highlight w:val="none"/>
        </w:rPr>
        <w:fldChar w:fldCharType="end"/>
      </w:r>
    </w:p>
    <w:p>
      <w:pPr>
        <w:pStyle w:val="17"/>
        <w:tabs>
          <w:tab w:val="right" w:leader="dot" w:pos="9968"/>
        </w:tabs>
        <w:rPr>
          <w:highlight w:val="none"/>
        </w:rPr>
      </w:pPr>
      <w:r>
        <w:rPr>
          <w:highlight w:val="none"/>
        </w:rPr>
        <w:fldChar w:fldCharType="begin"/>
      </w:r>
      <w:r>
        <w:rPr>
          <w:highlight w:val="none"/>
        </w:rPr>
        <w:instrText xml:space="preserve"> HYPERLINK \l "_Toc15224" </w:instrText>
      </w:r>
      <w:r>
        <w:rPr>
          <w:highlight w:val="none"/>
        </w:rPr>
        <w:fldChar w:fldCharType="separate"/>
      </w:r>
      <w:r>
        <w:rPr>
          <w:rFonts w:hint="eastAsia" w:ascii="宋体" w:hAnsi="宋体" w:cs="宋体"/>
          <w:bCs/>
          <w:szCs w:val="21"/>
          <w:highlight w:val="none"/>
        </w:rPr>
        <w:t>二、书面方式</w:t>
      </w:r>
      <w:r>
        <w:rPr>
          <w:highlight w:val="none"/>
        </w:rPr>
        <w:tab/>
      </w:r>
      <w:r>
        <w:rPr>
          <w:highlight w:val="none"/>
        </w:rPr>
        <w:fldChar w:fldCharType="end"/>
      </w:r>
    </w:p>
    <w:p>
      <w:pPr>
        <w:pStyle w:val="17"/>
        <w:tabs>
          <w:tab w:val="right" w:leader="dot" w:pos="9968"/>
        </w:tabs>
        <w:rPr>
          <w:highlight w:val="none"/>
        </w:rPr>
      </w:pPr>
      <w:r>
        <w:rPr>
          <w:highlight w:val="none"/>
        </w:rPr>
        <w:fldChar w:fldCharType="begin"/>
      </w:r>
      <w:r>
        <w:rPr>
          <w:highlight w:val="none"/>
        </w:rPr>
        <w:instrText xml:space="preserve"> HYPERLINK \l "_Toc10437" </w:instrText>
      </w:r>
      <w:r>
        <w:rPr>
          <w:highlight w:val="none"/>
        </w:rPr>
        <w:fldChar w:fldCharType="separate"/>
      </w:r>
      <w:r>
        <w:rPr>
          <w:rFonts w:hint="eastAsia" w:ascii="宋体" w:hAnsi="宋体" w:cs="宋体"/>
          <w:bCs/>
          <w:szCs w:val="21"/>
          <w:highlight w:val="none"/>
        </w:rPr>
        <w:t>三、虚假、恶意投诉法律责任</w:t>
      </w:r>
      <w:r>
        <w:rPr>
          <w:highlight w:val="none"/>
        </w:rPr>
        <w:tab/>
      </w:r>
      <w:r>
        <w:rPr>
          <w:highlight w:val="none"/>
        </w:rPr>
        <w:fldChar w:fldCharType="end"/>
      </w:r>
    </w:p>
    <w:p>
      <w:pPr>
        <w:pStyle w:val="17"/>
        <w:tabs>
          <w:tab w:val="right" w:leader="dot" w:pos="9968"/>
        </w:tabs>
        <w:rPr>
          <w:highlight w:val="none"/>
        </w:rPr>
      </w:pPr>
      <w:r>
        <w:rPr>
          <w:highlight w:val="none"/>
        </w:rPr>
        <w:fldChar w:fldCharType="begin"/>
      </w:r>
      <w:r>
        <w:rPr>
          <w:highlight w:val="none"/>
        </w:rPr>
        <w:instrText xml:space="preserve"> HYPERLINK \l "_Toc30496" </w:instrText>
      </w:r>
      <w:r>
        <w:rPr>
          <w:highlight w:val="none"/>
        </w:rPr>
        <w:fldChar w:fldCharType="separate"/>
      </w:r>
      <w:r>
        <w:rPr>
          <w:rFonts w:hint="eastAsia" w:ascii="宋体" w:hAnsi="宋体" w:cs="宋体"/>
          <w:bCs/>
          <w:szCs w:val="32"/>
          <w:highlight w:val="none"/>
        </w:rPr>
        <w:t>质疑函范本</w:t>
      </w:r>
      <w:r>
        <w:rPr>
          <w:highlight w:val="none"/>
        </w:rPr>
        <w:tab/>
      </w:r>
      <w:r>
        <w:rPr>
          <w:highlight w:val="none"/>
        </w:rPr>
        <w:fldChar w:fldCharType="end"/>
      </w:r>
    </w:p>
    <w:p>
      <w:pPr>
        <w:pStyle w:val="17"/>
        <w:tabs>
          <w:tab w:val="right" w:leader="dot" w:pos="9968"/>
        </w:tabs>
        <w:rPr>
          <w:highlight w:val="none"/>
        </w:rPr>
      </w:pPr>
      <w:r>
        <w:rPr>
          <w:highlight w:val="none"/>
        </w:rPr>
        <w:fldChar w:fldCharType="begin"/>
      </w:r>
      <w:r>
        <w:rPr>
          <w:highlight w:val="none"/>
        </w:rPr>
        <w:instrText xml:space="preserve"> HYPERLINK \l "_Toc25524" </w:instrText>
      </w:r>
      <w:r>
        <w:rPr>
          <w:highlight w:val="none"/>
        </w:rPr>
        <w:fldChar w:fldCharType="separate"/>
      </w:r>
      <w:r>
        <w:rPr>
          <w:rFonts w:hint="eastAsia" w:ascii="宋体" w:hAnsi="宋体" w:cs="宋体"/>
          <w:bCs/>
          <w:szCs w:val="21"/>
          <w:highlight w:val="none"/>
        </w:rPr>
        <w:t>一、质疑供应商基本信息</w:t>
      </w:r>
      <w:r>
        <w:rPr>
          <w:highlight w:val="none"/>
        </w:rPr>
        <w:tab/>
      </w:r>
      <w:r>
        <w:rPr>
          <w:highlight w:val="none"/>
        </w:rPr>
        <w:fldChar w:fldCharType="end"/>
      </w:r>
    </w:p>
    <w:p>
      <w:pPr>
        <w:pStyle w:val="17"/>
        <w:tabs>
          <w:tab w:val="right" w:leader="dot" w:pos="9968"/>
        </w:tabs>
        <w:rPr>
          <w:highlight w:val="none"/>
        </w:rPr>
      </w:pPr>
      <w:r>
        <w:rPr>
          <w:highlight w:val="none"/>
        </w:rPr>
        <w:fldChar w:fldCharType="begin"/>
      </w:r>
      <w:r>
        <w:rPr>
          <w:highlight w:val="none"/>
        </w:rPr>
        <w:instrText xml:space="preserve"> HYPERLINK \l "_Toc19533" </w:instrText>
      </w:r>
      <w:r>
        <w:rPr>
          <w:highlight w:val="none"/>
        </w:rPr>
        <w:fldChar w:fldCharType="separate"/>
      </w:r>
      <w:r>
        <w:rPr>
          <w:rFonts w:hint="eastAsia" w:ascii="宋体" w:hAnsi="宋体" w:cs="宋体"/>
          <w:bCs/>
          <w:szCs w:val="21"/>
          <w:highlight w:val="none"/>
        </w:rPr>
        <w:t>二、质疑项目基本情况</w:t>
      </w:r>
      <w:r>
        <w:rPr>
          <w:highlight w:val="none"/>
        </w:rPr>
        <w:tab/>
      </w:r>
      <w:r>
        <w:rPr>
          <w:highlight w:val="none"/>
        </w:rPr>
        <w:fldChar w:fldCharType="end"/>
      </w:r>
    </w:p>
    <w:p>
      <w:pPr>
        <w:pStyle w:val="17"/>
        <w:tabs>
          <w:tab w:val="right" w:leader="dot" w:pos="9968"/>
        </w:tabs>
        <w:rPr>
          <w:highlight w:val="none"/>
        </w:rPr>
      </w:pPr>
      <w:r>
        <w:rPr>
          <w:highlight w:val="none"/>
        </w:rPr>
        <w:fldChar w:fldCharType="begin"/>
      </w:r>
      <w:r>
        <w:rPr>
          <w:highlight w:val="none"/>
        </w:rPr>
        <w:instrText xml:space="preserve"> HYPERLINK \l "_Toc25298" </w:instrText>
      </w:r>
      <w:r>
        <w:rPr>
          <w:highlight w:val="none"/>
        </w:rPr>
        <w:fldChar w:fldCharType="separate"/>
      </w:r>
      <w:r>
        <w:rPr>
          <w:rFonts w:hint="eastAsia" w:ascii="宋体" w:hAnsi="宋体" w:cs="宋体"/>
          <w:bCs/>
          <w:szCs w:val="21"/>
          <w:highlight w:val="none"/>
        </w:rPr>
        <w:t>三、质疑事项具体内容</w:t>
      </w:r>
      <w:r>
        <w:rPr>
          <w:highlight w:val="none"/>
        </w:rPr>
        <w:tab/>
      </w:r>
      <w:r>
        <w:rPr>
          <w:highlight w:val="none"/>
        </w:rPr>
        <w:fldChar w:fldCharType="end"/>
      </w:r>
    </w:p>
    <w:p>
      <w:pPr>
        <w:pStyle w:val="17"/>
        <w:tabs>
          <w:tab w:val="right" w:leader="dot" w:pos="9968"/>
        </w:tabs>
        <w:rPr>
          <w:highlight w:val="none"/>
        </w:rPr>
      </w:pPr>
      <w:r>
        <w:rPr>
          <w:highlight w:val="none"/>
        </w:rPr>
        <w:fldChar w:fldCharType="begin"/>
      </w:r>
      <w:r>
        <w:rPr>
          <w:highlight w:val="none"/>
        </w:rPr>
        <w:instrText xml:space="preserve"> HYPERLINK \l "_Toc20488" </w:instrText>
      </w:r>
      <w:r>
        <w:rPr>
          <w:highlight w:val="none"/>
        </w:rPr>
        <w:fldChar w:fldCharType="separate"/>
      </w:r>
      <w:r>
        <w:rPr>
          <w:rFonts w:hint="eastAsia" w:ascii="宋体" w:hAnsi="宋体" w:cs="宋体"/>
          <w:bCs/>
          <w:szCs w:val="21"/>
          <w:highlight w:val="none"/>
        </w:rPr>
        <w:t>四、与质疑事项相关的质疑请求</w:t>
      </w:r>
      <w:r>
        <w:rPr>
          <w:highlight w:val="none"/>
        </w:rPr>
        <w:tab/>
      </w:r>
      <w:r>
        <w:rPr>
          <w:highlight w:val="none"/>
        </w:rPr>
        <w:fldChar w:fldCharType="end"/>
      </w:r>
    </w:p>
    <w:p>
      <w:pPr>
        <w:pStyle w:val="17"/>
        <w:tabs>
          <w:tab w:val="right" w:leader="dot" w:pos="9968"/>
        </w:tabs>
        <w:rPr>
          <w:highlight w:val="none"/>
        </w:rPr>
      </w:pPr>
      <w:r>
        <w:rPr>
          <w:highlight w:val="none"/>
        </w:rPr>
        <w:fldChar w:fldCharType="begin"/>
      </w:r>
      <w:r>
        <w:rPr>
          <w:highlight w:val="none"/>
        </w:rPr>
        <w:instrText xml:space="preserve"> HYPERLINK \l "_Toc7619" </w:instrText>
      </w:r>
      <w:r>
        <w:rPr>
          <w:highlight w:val="none"/>
        </w:rPr>
        <w:fldChar w:fldCharType="separate"/>
      </w:r>
      <w:r>
        <w:rPr>
          <w:rFonts w:hint="eastAsia" w:ascii="黑体" w:eastAsia="黑体"/>
          <w:szCs w:val="30"/>
          <w:highlight w:val="none"/>
        </w:rPr>
        <w:t>第三章  评标办法</w:t>
      </w:r>
      <w:r>
        <w:rPr>
          <w:highlight w:val="none"/>
        </w:rPr>
        <w:tab/>
      </w:r>
      <w:r>
        <w:rPr>
          <w:highlight w:val="none"/>
        </w:rPr>
        <w:fldChar w:fldCharType="end"/>
      </w:r>
    </w:p>
    <w:p>
      <w:pPr>
        <w:pStyle w:val="19"/>
        <w:tabs>
          <w:tab w:val="right" w:leader="dot" w:pos="9968"/>
        </w:tabs>
        <w:ind w:left="420"/>
        <w:rPr>
          <w:highlight w:val="none"/>
        </w:rPr>
      </w:pPr>
      <w:r>
        <w:rPr>
          <w:highlight w:val="none"/>
        </w:rPr>
        <w:fldChar w:fldCharType="begin"/>
      </w:r>
      <w:r>
        <w:rPr>
          <w:highlight w:val="none"/>
        </w:rPr>
        <w:instrText xml:space="preserve"> HYPERLINK \l "_Toc15723" </w:instrText>
      </w:r>
      <w:r>
        <w:rPr>
          <w:highlight w:val="none"/>
        </w:rPr>
        <w:fldChar w:fldCharType="separate"/>
      </w:r>
      <w:r>
        <w:rPr>
          <w:rFonts w:hint="eastAsia" w:ascii="宋体"/>
          <w:szCs w:val="28"/>
          <w:highlight w:val="none"/>
        </w:rPr>
        <w:t>一  总  则</w:t>
      </w:r>
      <w:r>
        <w:rPr>
          <w:highlight w:val="none"/>
        </w:rPr>
        <w:tab/>
      </w:r>
      <w:r>
        <w:rPr>
          <w:highlight w:val="none"/>
        </w:rPr>
        <w:fldChar w:fldCharType="end"/>
      </w:r>
    </w:p>
    <w:p>
      <w:pPr>
        <w:pStyle w:val="19"/>
        <w:tabs>
          <w:tab w:val="right" w:leader="dot" w:pos="9968"/>
        </w:tabs>
        <w:ind w:left="420"/>
        <w:rPr>
          <w:highlight w:val="none"/>
        </w:rPr>
      </w:pPr>
      <w:r>
        <w:rPr>
          <w:highlight w:val="none"/>
        </w:rPr>
        <w:fldChar w:fldCharType="begin"/>
      </w:r>
      <w:r>
        <w:rPr>
          <w:highlight w:val="none"/>
        </w:rPr>
        <w:instrText xml:space="preserve"> HYPERLINK \l "_Toc10523" </w:instrText>
      </w:r>
      <w:r>
        <w:rPr>
          <w:highlight w:val="none"/>
        </w:rPr>
        <w:fldChar w:fldCharType="separate"/>
      </w:r>
      <w:r>
        <w:rPr>
          <w:rFonts w:hint="eastAsia" w:ascii="宋体" w:hAnsi="宋体" w:cs="宋体"/>
          <w:highlight w:val="none"/>
        </w:rPr>
        <w:t>  </w:t>
      </w:r>
      <w:r>
        <w:rPr>
          <w:rFonts w:hint="eastAsia" w:ascii="宋体" w:hAnsi="宋体" w:cs="宋体"/>
          <w:kern w:val="0"/>
          <w:szCs w:val="21"/>
          <w:highlight w:val="none"/>
        </w:rPr>
        <w:t>磋商小组应当根据综合评分情况，按照评审得分由高到低顺序推荐3名以上成交候选供应商符合《政府采购竞争性磋商采购方式管理暂行办法》法</w:t>
      </w:r>
      <w:r>
        <w:rPr>
          <w:rFonts w:ascii="宋体" w:hAnsi="宋体" w:cs="宋体"/>
          <w:kern w:val="0"/>
          <w:szCs w:val="21"/>
          <w:highlight w:val="none"/>
        </w:rPr>
        <w:t>第二十五条磋商小组应当根据综合评分情况，按照评审得分由高到低顺序推荐3名以上成交候选供应商。符合本办法第二十一条第三款情形的，可以推荐2家成交候选供应商</w:t>
      </w:r>
      <w:r>
        <w:rPr>
          <w:rFonts w:hint="eastAsia" w:ascii="宋体" w:hAnsi="宋体" w:cs="宋体"/>
          <w:kern w:val="0"/>
          <w:szCs w:val="21"/>
          <w:highlight w:val="none"/>
        </w:rPr>
        <w:t>。评审得分相同的，按照最后报价由低到高的顺序推荐。评审得分且最后报价相同的，按照技术指标优劣顺序推荐。</w:t>
      </w:r>
      <w:r>
        <w:rPr>
          <w:highlight w:val="none"/>
        </w:rPr>
        <w:tab/>
      </w:r>
      <w:r>
        <w:rPr>
          <w:highlight w:val="none"/>
        </w:rPr>
        <w:fldChar w:fldCharType="end"/>
      </w:r>
    </w:p>
    <w:p>
      <w:pPr>
        <w:pStyle w:val="19"/>
        <w:tabs>
          <w:tab w:val="right" w:leader="dot" w:pos="9968"/>
        </w:tabs>
        <w:ind w:left="420"/>
        <w:rPr>
          <w:highlight w:val="none"/>
        </w:rPr>
      </w:pPr>
      <w:r>
        <w:rPr>
          <w:highlight w:val="none"/>
        </w:rPr>
        <w:fldChar w:fldCharType="begin"/>
      </w:r>
      <w:r>
        <w:rPr>
          <w:highlight w:val="none"/>
        </w:rPr>
        <w:instrText xml:space="preserve"> HYPERLINK \l "_Toc5760" </w:instrText>
      </w:r>
      <w:r>
        <w:rPr>
          <w:highlight w:val="none"/>
        </w:rPr>
        <w:fldChar w:fldCharType="separate"/>
      </w:r>
      <w:r>
        <w:rPr>
          <w:rFonts w:hint="eastAsia" w:ascii="宋体"/>
          <w:szCs w:val="28"/>
          <w:highlight w:val="none"/>
        </w:rPr>
        <w:t>二  投标文件初审</w:t>
      </w:r>
      <w:r>
        <w:rPr>
          <w:highlight w:val="none"/>
        </w:rPr>
        <w:tab/>
      </w:r>
      <w:r>
        <w:rPr>
          <w:highlight w:val="none"/>
        </w:rPr>
        <w:fldChar w:fldCharType="end"/>
      </w:r>
    </w:p>
    <w:p>
      <w:pPr>
        <w:pStyle w:val="19"/>
        <w:tabs>
          <w:tab w:val="right" w:leader="dot" w:pos="9968"/>
        </w:tabs>
        <w:ind w:left="420"/>
        <w:rPr>
          <w:highlight w:val="none"/>
        </w:rPr>
      </w:pPr>
      <w:r>
        <w:rPr>
          <w:highlight w:val="none"/>
        </w:rPr>
        <w:fldChar w:fldCharType="begin"/>
      </w:r>
      <w:r>
        <w:rPr>
          <w:highlight w:val="none"/>
        </w:rPr>
        <w:instrText xml:space="preserve"> HYPERLINK \l "_Toc19366" </w:instrText>
      </w:r>
      <w:r>
        <w:rPr>
          <w:highlight w:val="none"/>
        </w:rPr>
        <w:fldChar w:fldCharType="separate"/>
      </w:r>
      <w:r>
        <w:rPr>
          <w:rFonts w:hint="eastAsia" w:ascii="宋体"/>
          <w:szCs w:val="28"/>
          <w:highlight w:val="none"/>
        </w:rPr>
        <w:t xml:space="preserve">三  </w:t>
      </w:r>
      <w:r>
        <w:rPr>
          <w:rFonts w:hint="eastAsia" w:ascii="宋体"/>
          <w:highlight w:val="none"/>
        </w:rPr>
        <w:t>投标文件的澄清和补正</w:t>
      </w:r>
      <w:r>
        <w:rPr>
          <w:highlight w:val="none"/>
        </w:rPr>
        <w:tab/>
      </w:r>
      <w:r>
        <w:rPr>
          <w:highlight w:val="none"/>
        </w:rPr>
        <w:fldChar w:fldCharType="end"/>
      </w:r>
    </w:p>
    <w:p>
      <w:pPr>
        <w:pStyle w:val="19"/>
        <w:tabs>
          <w:tab w:val="right" w:leader="dot" w:pos="9968"/>
        </w:tabs>
        <w:ind w:left="420"/>
        <w:rPr>
          <w:highlight w:val="none"/>
        </w:rPr>
      </w:pPr>
      <w:r>
        <w:rPr>
          <w:highlight w:val="none"/>
        </w:rPr>
        <w:fldChar w:fldCharType="begin"/>
      </w:r>
      <w:r>
        <w:rPr>
          <w:highlight w:val="none"/>
        </w:rPr>
        <w:instrText xml:space="preserve"> HYPERLINK \l "_Toc18469" </w:instrText>
      </w:r>
      <w:r>
        <w:rPr>
          <w:highlight w:val="none"/>
        </w:rPr>
        <w:fldChar w:fldCharType="separate"/>
      </w:r>
      <w:r>
        <w:rPr>
          <w:rFonts w:hint="eastAsia" w:ascii="宋体"/>
          <w:highlight w:val="none"/>
        </w:rPr>
        <w:t>四 比较与评价</w:t>
      </w:r>
      <w:r>
        <w:rPr>
          <w:highlight w:val="none"/>
        </w:rPr>
        <w:tab/>
      </w:r>
      <w:r>
        <w:rPr>
          <w:highlight w:val="none"/>
        </w:rPr>
        <w:fldChar w:fldCharType="end"/>
      </w:r>
    </w:p>
    <w:p>
      <w:pPr>
        <w:pStyle w:val="17"/>
        <w:tabs>
          <w:tab w:val="right" w:leader="dot" w:pos="9968"/>
        </w:tabs>
        <w:rPr>
          <w:highlight w:val="none"/>
        </w:rPr>
      </w:pPr>
      <w:r>
        <w:rPr>
          <w:highlight w:val="none"/>
        </w:rPr>
        <w:fldChar w:fldCharType="begin"/>
      </w:r>
      <w:r>
        <w:rPr>
          <w:highlight w:val="none"/>
        </w:rPr>
        <w:instrText xml:space="preserve"> HYPERLINK \l "_Toc767" </w:instrText>
      </w:r>
      <w:r>
        <w:rPr>
          <w:highlight w:val="none"/>
        </w:rPr>
        <w:fldChar w:fldCharType="separate"/>
      </w:r>
      <w:r>
        <w:rPr>
          <w:rFonts w:hint="eastAsia" w:ascii="宋体"/>
          <w:szCs w:val="32"/>
          <w:highlight w:val="none"/>
        </w:rPr>
        <w:t>第四章 技术规格、数量及质量要求</w:t>
      </w:r>
      <w:r>
        <w:rPr>
          <w:highlight w:val="none"/>
        </w:rPr>
        <w:tab/>
      </w:r>
      <w:r>
        <w:rPr>
          <w:highlight w:val="none"/>
        </w:rPr>
        <w:fldChar w:fldCharType="end"/>
      </w:r>
    </w:p>
    <w:p>
      <w:pPr>
        <w:pStyle w:val="19"/>
        <w:tabs>
          <w:tab w:val="right" w:leader="dot" w:pos="9968"/>
        </w:tabs>
        <w:ind w:left="420"/>
        <w:rPr>
          <w:highlight w:val="none"/>
        </w:rPr>
      </w:pPr>
      <w:r>
        <w:rPr>
          <w:highlight w:val="none"/>
        </w:rPr>
        <w:fldChar w:fldCharType="begin"/>
      </w:r>
      <w:r>
        <w:rPr>
          <w:highlight w:val="none"/>
        </w:rPr>
        <w:instrText xml:space="preserve"> HYPERLINK \l "_Toc29918" </w:instrText>
      </w:r>
      <w:r>
        <w:rPr>
          <w:highlight w:val="none"/>
        </w:rPr>
        <w:fldChar w:fldCharType="separate"/>
      </w:r>
      <w:r>
        <w:rPr>
          <w:rFonts w:hint="eastAsia" w:ascii="宋体"/>
          <w:szCs w:val="30"/>
          <w:highlight w:val="none"/>
        </w:rPr>
        <w:t>第五章 合同条款及格式</w:t>
      </w:r>
      <w:r>
        <w:rPr>
          <w:highlight w:val="none"/>
        </w:rPr>
        <w:tab/>
      </w:r>
      <w:r>
        <w:rPr>
          <w:highlight w:val="none"/>
        </w:rPr>
        <w:fldChar w:fldCharType="end"/>
      </w:r>
    </w:p>
    <w:p>
      <w:pPr>
        <w:pStyle w:val="19"/>
        <w:tabs>
          <w:tab w:val="right" w:leader="dot" w:pos="9968"/>
        </w:tabs>
        <w:ind w:left="420"/>
        <w:rPr>
          <w:highlight w:val="none"/>
        </w:rPr>
      </w:pPr>
      <w:r>
        <w:rPr>
          <w:highlight w:val="none"/>
        </w:rPr>
        <w:fldChar w:fldCharType="begin"/>
      </w:r>
      <w:r>
        <w:rPr>
          <w:highlight w:val="none"/>
        </w:rPr>
        <w:instrText xml:space="preserve"> HYPERLINK \l "_Toc23978" </w:instrText>
      </w:r>
      <w:r>
        <w:rPr>
          <w:highlight w:val="none"/>
        </w:rPr>
        <w:fldChar w:fldCharType="separate"/>
      </w:r>
      <w:r>
        <w:rPr>
          <w:rFonts w:hint="eastAsia" w:ascii="宋体" w:hAnsi="宋体" w:cs="宋体"/>
          <w:szCs w:val="21"/>
          <w:highlight w:val="none"/>
        </w:rPr>
        <w:t>（本合同为合同样稿，最终稿由供需双方协商后确定）</w:t>
      </w:r>
      <w:r>
        <w:rPr>
          <w:highlight w:val="none"/>
        </w:rPr>
        <w:tab/>
      </w:r>
      <w:r>
        <w:rPr>
          <w:highlight w:val="none"/>
        </w:rPr>
        <w:fldChar w:fldCharType="end"/>
      </w:r>
    </w:p>
    <w:p>
      <w:pPr>
        <w:pStyle w:val="19"/>
        <w:tabs>
          <w:tab w:val="right" w:leader="dot" w:pos="9968"/>
        </w:tabs>
        <w:ind w:left="420"/>
        <w:rPr>
          <w:highlight w:val="none"/>
        </w:rPr>
      </w:pPr>
      <w:r>
        <w:rPr>
          <w:highlight w:val="none"/>
        </w:rPr>
        <w:fldChar w:fldCharType="begin"/>
      </w:r>
      <w:r>
        <w:rPr>
          <w:highlight w:val="none"/>
        </w:rPr>
        <w:instrText xml:space="preserve"> HYPERLINK \l "_Toc14079" </w:instrText>
      </w:r>
      <w:r>
        <w:rPr>
          <w:highlight w:val="none"/>
        </w:rPr>
        <w:fldChar w:fldCharType="separate"/>
      </w:r>
      <w:r>
        <w:rPr>
          <w:rFonts w:ascii="宋体" w:hAnsi="宋体"/>
          <w:szCs w:val="30"/>
          <w:highlight w:val="none"/>
        </w:rPr>
        <w:t xml:space="preserve">一 </w:t>
      </w:r>
      <w:r>
        <w:rPr>
          <w:rFonts w:hint="eastAsia" w:ascii="宋体"/>
          <w:szCs w:val="30"/>
          <w:highlight w:val="none"/>
        </w:rPr>
        <w:t>合同协议书</w:t>
      </w:r>
      <w:r>
        <w:rPr>
          <w:highlight w:val="none"/>
        </w:rPr>
        <w:tab/>
      </w:r>
      <w:r>
        <w:rPr>
          <w:highlight w:val="none"/>
        </w:rPr>
        <w:fldChar w:fldCharType="end"/>
      </w:r>
    </w:p>
    <w:p>
      <w:pPr>
        <w:pStyle w:val="19"/>
        <w:tabs>
          <w:tab w:val="right" w:leader="dot" w:pos="9968"/>
        </w:tabs>
        <w:ind w:left="420"/>
        <w:rPr>
          <w:highlight w:val="none"/>
        </w:rPr>
      </w:pPr>
      <w:r>
        <w:rPr>
          <w:highlight w:val="none"/>
        </w:rPr>
        <w:fldChar w:fldCharType="begin"/>
      </w:r>
      <w:r>
        <w:rPr>
          <w:highlight w:val="none"/>
        </w:rPr>
        <w:instrText xml:space="preserve"> HYPERLINK \l "_Toc17151" </w:instrText>
      </w:r>
      <w:r>
        <w:rPr>
          <w:highlight w:val="none"/>
        </w:rPr>
        <w:fldChar w:fldCharType="separate"/>
      </w:r>
      <w:r>
        <w:rPr>
          <w:rFonts w:hint="eastAsia" w:ascii="黑体" w:eastAsia="黑体"/>
          <w:szCs w:val="30"/>
          <w:highlight w:val="none"/>
        </w:rPr>
        <w:t>二  合同条款</w:t>
      </w:r>
      <w:r>
        <w:rPr>
          <w:highlight w:val="none"/>
        </w:rPr>
        <w:tab/>
      </w:r>
      <w:r>
        <w:rPr>
          <w:highlight w:val="none"/>
        </w:rPr>
        <w:fldChar w:fldCharType="end"/>
      </w:r>
    </w:p>
    <w:p>
      <w:pPr>
        <w:pStyle w:val="17"/>
        <w:tabs>
          <w:tab w:val="right" w:leader="dot" w:pos="9968"/>
        </w:tabs>
        <w:rPr>
          <w:highlight w:val="none"/>
        </w:rPr>
      </w:pPr>
      <w:r>
        <w:rPr>
          <w:highlight w:val="none"/>
        </w:rPr>
        <w:fldChar w:fldCharType="begin"/>
      </w:r>
      <w:r>
        <w:rPr>
          <w:highlight w:val="none"/>
        </w:rPr>
        <w:instrText xml:space="preserve"> HYPERLINK \l "_Toc7538" </w:instrText>
      </w:r>
      <w:r>
        <w:rPr>
          <w:highlight w:val="none"/>
        </w:rPr>
        <w:fldChar w:fldCharType="separate"/>
      </w:r>
      <w:r>
        <w:rPr>
          <w:rFonts w:hint="eastAsia" w:ascii="宋体"/>
          <w:szCs w:val="30"/>
          <w:highlight w:val="none"/>
        </w:rPr>
        <w:t>第六章  投标文件格式</w:t>
      </w:r>
      <w:r>
        <w:rPr>
          <w:highlight w:val="none"/>
        </w:rPr>
        <w:tab/>
      </w:r>
      <w:r>
        <w:rPr>
          <w:highlight w:val="none"/>
        </w:rPr>
        <w:fldChar w:fldCharType="end"/>
      </w:r>
    </w:p>
    <w:p>
      <w:pPr>
        <w:pStyle w:val="19"/>
        <w:tabs>
          <w:tab w:val="right" w:leader="dot" w:pos="9968"/>
        </w:tabs>
        <w:ind w:left="420"/>
        <w:rPr>
          <w:highlight w:val="none"/>
        </w:rPr>
      </w:pPr>
      <w:r>
        <w:rPr>
          <w:highlight w:val="none"/>
        </w:rPr>
        <w:fldChar w:fldCharType="begin"/>
      </w:r>
      <w:r>
        <w:rPr>
          <w:highlight w:val="none"/>
        </w:rPr>
        <w:instrText xml:space="preserve"> HYPERLINK \l "_Toc32624" </w:instrText>
      </w:r>
      <w:r>
        <w:rPr>
          <w:highlight w:val="none"/>
        </w:rPr>
        <w:fldChar w:fldCharType="separate"/>
      </w:r>
      <w:r>
        <w:rPr>
          <w:rFonts w:hint="eastAsia" w:ascii="宋体" w:hAnsi="宋体" w:cs="宋体"/>
          <w:bCs/>
          <w:highlight w:val="none"/>
        </w:rPr>
        <w:t>第一部分 开标一览表及资格证明文件</w:t>
      </w:r>
      <w:r>
        <w:rPr>
          <w:highlight w:val="none"/>
        </w:rPr>
        <w:tab/>
      </w:r>
      <w:r>
        <w:rPr>
          <w:highlight w:val="none"/>
        </w:rPr>
        <w:fldChar w:fldCharType="end"/>
      </w:r>
    </w:p>
    <w:p>
      <w:pPr>
        <w:pStyle w:val="19"/>
        <w:tabs>
          <w:tab w:val="right" w:leader="dot" w:pos="9968"/>
        </w:tabs>
        <w:ind w:left="420"/>
        <w:rPr>
          <w:highlight w:val="none"/>
        </w:rPr>
      </w:pPr>
      <w:r>
        <w:rPr>
          <w:highlight w:val="none"/>
        </w:rPr>
        <w:fldChar w:fldCharType="begin"/>
      </w:r>
      <w:r>
        <w:rPr>
          <w:highlight w:val="none"/>
        </w:rPr>
        <w:instrText xml:space="preserve"> HYPERLINK \l "_Toc32612" </w:instrText>
      </w:r>
      <w:r>
        <w:rPr>
          <w:highlight w:val="none"/>
        </w:rPr>
        <w:fldChar w:fldCharType="separate"/>
      </w:r>
      <w:r>
        <w:rPr>
          <w:rFonts w:hint="eastAsia" w:ascii="宋体" w:hAnsi="宋体" w:cs="宋体"/>
          <w:highlight w:val="none"/>
        </w:rPr>
        <w:t>1、开标一览表（投标文件格式一）</w:t>
      </w:r>
      <w:r>
        <w:rPr>
          <w:highlight w:val="none"/>
        </w:rPr>
        <w:tab/>
      </w:r>
      <w:r>
        <w:rPr>
          <w:highlight w:val="none"/>
        </w:rPr>
        <w:fldChar w:fldCharType="end"/>
      </w:r>
    </w:p>
    <w:p>
      <w:pPr>
        <w:pStyle w:val="19"/>
        <w:tabs>
          <w:tab w:val="right" w:leader="dot" w:pos="9968"/>
        </w:tabs>
        <w:ind w:left="420"/>
        <w:rPr>
          <w:highlight w:val="none"/>
        </w:rPr>
      </w:pPr>
      <w:r>
        <w:rPr>
          <w:highlight w:val="none"/>
        </w:rPr>
        <w:fldChar w:fldCharType="begin"/>
      </w:r>
      <w:r>
        <w:rPr>
          <w:highlight w:val="none"/>
        </w:rPr>
        <w:instrText xml:space="preserve"> HYPERLINK \l "_Toc24555" </w:instrText>
      </w:r>
      <w:r>
        <w:rPr>
          <w:highlight w:val="none"/>
        </w:rPr>
        <w:fldChar w:fldCharType="separate"/>
      </w:r>
      <w:r>
        <w:rPr>
          <w:rFonts w:hint="eastAsia" w:ascii="宋体" w:hAnsi="宋体" w:cs="宋体"/>
          <w:highlight w:val="none"/>
        </w:rPr>
        <w:t>2、 法人或者非法人组织的营业执照等证明文件或自然人的身份证明</w:t>
      </w:r>
      <w:r>
        <w:rPr>
          <w:highlight w:val="none"/>
        </w:rPr>
        <w:tab/>
      </w:r>
      <w:r>
        <w:rPr>
          <w:highlight w:val="none"/>
        </w:rPr>
        <w:fldChar w:fldCharType="end"/>
      </w:r>
    </w:p>
    <w:p>
      <w:pPr>
        <w:pStyle w:val="19"/>
        <w:tabs>
          <w:tab w:val="right" w:leader="dot" w:pos="9968"/>
        </w:tabs>
        <w:ind w:left="420"/>
        <w:rPr>
          <w:highlight w:val="none"/>
        </w:rPr>
      </w:pPr>
      <w:r>
        <w:rPr>
          <w:highlight w:val="none"/>
        </w:rPr>
        <w:fldChar w:fldCharType="begin"/>
      </w:r>
      <w:r>
        <w:rPr>
          <w:highlight w:val="none"/>
        </w:rPr>
        <w:instrText xml:space="preserve"> HYPERLINK \l "_Toc26267" </w:instrText>
      </w:r>
      <w:r>
        <w:rPr>
          <w:highlight w:val="none"/>
        </w:rPr>
        <w:fldChar w:fldCharType="separate"/>
      </w:r>
      <w:r>
        <w:rPr>
          <w:rFonts w:hint="eastAsia" w:ascii="宋体" w:hAnsi="宋体" w:cs="宋体"/>
          <w:highlight w:val="none"/>
        </w:rPr>
        <w:t>3 、法定代表人资格证明书（见投标文件格式二，自然人投标的无需提供）</w:t>
      </w:r>
      <w:r>
        <w:rPr>
          <w:highlight w:val="none"/>
        </w:rPr>
        <w:tab/>
      </w:r>
      <w:r>
        <w:rPr>
          <w:highlight w:val="none"/>
        </w:rPr>
        <w:fldChar w:fldCharType="end"/>
      </w:r>
    </w:p>
    <w:p>
      <w:pPr>
        <w:pStyle w:val="19"/>
        <w:tabs>
          <w:tab w:val="right" w:leader="dot" w:pos="9968"/>
        </w:tabs>
        <w:ind w:left="420"/>
        <w:rPr>
          <w:highlight w:val="none"/>
        </w:rPr>
      </w:pPr>
      <w:r>
        <w:rPr>
          <w:highlight w:val="none"/>
        </w:rPr>
        <w:fldChar w:fldCharType="begin"/>
      </w:r>
      <w:r>
        <w:rPr>
          <w:highlight w:val="none"/>
        </w:rPr>
        <w:instrText xml:space="preserve"> HYPERLINK \l "_Toc15724" </w:instrText>
      </w:r>
      <w:r>
        <w:rPr>
          <w:highlight w:val="none"/>
        </w:rPr>
        <w:fldChar w:fldCharType="separate"/>
      </w:r>
      <w:r>
        <w:rPr>
          <w:rFonts w:hint="eastAsia" w:ascii="宋体" w:hAnsi="宋体" w:cs="宋体"/>
          <w:highlight w:val="none"/>
        </w:rPr>
        <w:t>4 、法定代表人授权委托书(投标文件格式三，自然人投标的无需提供)</w:t>
      </w:r>
      <w:r>
        <w:rPr>
          <w:highlight w:val="none"/>
        </w:rPr>
        <w:tab/>
      </w:r>
      <w:r>
        <w:rPr>
          <w:highlight w:val="none"/>
        </w:rPr>
        <w:fldChar w:fldCharType="end"/>
      </w:r>
    </w:p>
    <w:p>
      <w:pPr>
        <w:pStyle w:val="19"/>
        <w:tabs>
          <w:tab w:val="right" w:leader="dot" w:pos="9968"/>
        </w:tabs>
        <w:ind w:left="420"/>
        <w:rPr>
          <w:highlight w:val="none"/>
        </w:rPr>
      </w:pPr>
      <w:r>
        <w:rPr>
          <w:highlight w:val="none"/>
        </w:rPr>
        <w:fldChar w:fldCharType="begin"/>
      </w:r>
      <w:r>
        <w:rPr>
          <w:highlight w:val="none"/>
        </w:rPr>
        <w:instrText xml:space="preserve"> HYPERLINK \l "_Toc3400" </w:instrText>
      </w:r>
      <w:r>
        <w:rPr>
          <w:highlight w:val="none"/>
        </w:rPr>
        <w:fldChar w:fldCharType="separate"/>
      </w:r>
      <w:r>
        <w:rPr>
          <w:rFonts w:hint="eastAsia" w:ascii="宋体" w:hAnsi="宋体" w:cs="宋体"/>
          <w:highlight w:val="none"/>
        </w:rPr>
        <w:t>5、投标保证金缴纳凭证或投标担保函</w:t>
      </w:r>
      <w:r>
        <w:rPr>
          <w:highlight w:val="none"/>
        </w:rPr>
        <w:tab/>
      </w:r>
      <w:r>
        <w:rPr>
          <w:highlight w:val="none"/>
        </w:rPr>
        <w:fldChar w:fldCharType="end"/>
      </w:r>
    </w:p>
    <w:p>
      <w:pPr>
        <w:pStyle w:val="19"/>
        <w:tabs>
          <w:tab w:val="right" w:leader="dot" w:pos="9968"/>
        </w:tabs>
        <w:ind w:left="420"/>
        <w:rPr>
          <w:highlight w:val="none"/>
        </w:rPr>
      </w:pPr>
      <w:r>
        <w:rPr>
          <w:highlight w:val="none"/>
        </w:rPr>
        <w:fldChar w:fldCharType="begin"/>
      </w:r>
      <w:r>
        <w:rPr>
          <w:highlight w:val="none"/>
        </w:rPr>
        <w:instrText xml:space="preserve"> HYPERLINK \l "_Toc8696" </w:instrText>
      </w:r>
      <w:r>
        <w:rPr>
          <w:highlight w:val="none"/>
        </w:rPr>
        <w:fldChar w:fldCharType="separate"/>
      </w:r>
      <w:r>
        <w:rPr>
          <w:rFonts w:hint="eastAsia" w:ascii="宋体" w:hAnsi="宋体" w:cs="宋体"/>
          <w:highlight w:val="none"/>
        </w:rPr>
        <w:t>6、社会保障资金的缴纳记录</w:t>
      </w:r>
      <w:r>
        <w:rPr>
          <w:highlight w:val="none"/>
        </w:rPr>
        <w:tab/>
      </w:r>
      <w:r>
        <w:rPr>
          <w:highlight w:val="none"/>
        </w:rPr>
        <w:fldChar w:fldCharType="end"/>
      </w:r>
    </w:p>
    <w:p>
      <w:pPr>
        <w:pStyle w:val="19"/>
        <w:tabs>
          <w:tab w:val="right" w:leader="dot" w:pos="9968"/>
        </w:tabs>
        <w:ind w:left="420"/>
        <w:rPr>
          <w:rFonts w:ascii="宋体" w:hAnsi="宋体" w:cs="宋体"/>
          <w:highlight w:val="none"/>
        </w:rPr>
      </w:pPr>
      <w:r>
        <w:rPr>
          <w:highlight w:val="none"/>
        </w:rPr>
        <w:fldChar w:fldCharType="begin"/>
      </w:r>
      <w:r>
        <w:rPr>
          <w:highlight w:val="none"/>
        </w:rPr>
        <w:instrText xml:space="preserve"> HYPERLINK \l "_Toc5004" </w:instrText>
      </w:r>
      <w:r>
        <w:rPr>
          <w:highlight w:val="none"/>
        </w:rPr>
        <w:fldChar w:fldCharType="separate"/>
      </w:r>
      <w:r>
        <w:rPr>
          <w:rFonts w:hint="eastAsia" w:ascii="宋体" w:hAnsi="宋体" w:cs="宋体"/>
          <w:highlight w:val="none"/>
        </w:rPr>
        <w:t>7、参加政府采购活动前3年内在经营活动中没有重大违法记录的书面声明</w:t>
      </w:r>
      <w:r>
        <w:rPr>
          <w:highlight w:val="none"/>
        </w:rPr>
        <w:tab/>
      </w:r>
      <w:r>
        <w:rPr>
          <w:highlight w:val="none"/>
        </w:rPr>
        <w:fldChar w:fldCharType="end"/>
      </w:r>
    </w:p>
    <w:p>
      <w:pPr>
        <w:pStyle w:val="19"/>
        <w:tabs>
          <w:tab w:val="right" w:leader="dot" w:pos="9968"/>
        </w:tabs>
        <w:ind w:left="420"/>
        <w:rPr>
          <w:highlight w:val="none"/>
        </w:rPr>
      </w:pPr>
      <w:r>
        <w:rPr>
          <w:highlight w:val="none"/>
        </w:rPr>
        <w:fldChar w:fldCharType="begin"/>
      </w:r>
      <w:r>
        <w:rPr>
          <w:highlight w:val="none"/>
        </w:rPr>
        <w:instrText xml:space="preserve"> HYPERLINK \l "_Toc15000" </w:instrText>
      </w:r>
      <w:r>
        <w:rPr>
          <w:highlight w:val="none"/>
        </w:rPr>
        <w:fldChar w:fldCharType="separate"/>
      </w:r>
      <w:r>
        <w:rPr>
          <w:rFonts w:hint="eastAsia" w:ascii="宋体" w:hAnsi="宋体" w:cs="宋体"/>
          <w:highlight w:val="none"/>
        </w:rPr>
        <w:t>8、 投标人须知资料表要求的其他资格证明文件</w:t>
      </w:r>
      <w:r>
        <w:rPr>
          <w:highlight w:val="none"/>
        </w:rPr>
        <w:tab/>
      </w:r>
      <w:r>
        <w:rPr>
          <w:highlight w:val="none"/>
        </w:rPr>
        <w:fldChar w:fldCharType="end"/>
      </w:r>
    </w:p>
    <w:p>
      <w:pPr>
        <w:pStyle w:val="17"/>
        <w:tabs>
          <w:tab w:val="right" w:leader="dot" w:pos="9968"/>
        </w:tabs>
        <w:rPr>
          <w:highlight w:val="none"/>
        </w:rPr>
      </w:pPr>
      <w:r>
        <w:rPr>
          <w:highlight w:val="none"/>
        </w:rPr>
        <w:fldChar w:fldCharType="begin"/>
      </w:r>
      <w:r>
        <w:rPr>
          <w:highlight w:val="none"/>
        </w:rPr>
        <w:instrText xml:space="preserve"> HYPERLINK \l "_Toc29196" </w:instrText>
      </w:r>
      <w:r>
        <w:rPr>
          <w:highlight w:val="none"/>
        </w:rPr>
        <w:fldChar w:fldCharType="separate"/>
      </w:r>
      <w:r>
        <w:rPr>
          <w:rFonts w:hint="eastAsia"/>
          <w:szCs w:val="32"/>
          <w:highlight w:val="none"/>
        </w:rPr>
        <w:t>第二部分  商务及技术文件</w:t>
      </w:r>
      <w:r>
        <w:rPr>
          <w:highlight w:val="none"/>
        </w:rPr>
        <w:tab/>
      </w:r>
      <w:r>
        <w:rPr>
          <w:highlight w:val="none"/>
        </w:rPr>
        <w:fldChar w:fldCharType="end"/>
      </w:r>
    </w:p>
    <w:p>
      <w:pPr>
        <w:pStyle w:val="19"/>
        <w:tabs>
          <w:tab w:val="right" w:leader="dot" w:pos="9968"/>
        </w:tabs>
        <w:ind w:left="420"/>
        <w:rPr>
          <w:highlight w:val="none"/>
        </w:rPr>
      </w:pPr>
      <w:r>
        <w:rPr>
          <w:highlight w:val="none"/>
        </w:rPr>
        <w:fldChar w:fldCharType="begin"/>
      </w:r>
      <w:r>
        <w:rPr>
          <w:highlight w:val="none"/>
        </w:rPr>
        <w:instrText xml:space="preserve"> HYPERLINK \l "_Toc9747" </w:instrText>
      </w:r>
      <w:r>
        <w:rPr>
          <w:highlight w:val="none"/>
        </w:rPr>
        <w:fldChar w:fldCharType="separate"/>
      </w:r>
      <w:r>
        <w:rPr>
          <w:rFonts w:hint="eastAsia" w:ascii="宋体" w:hAnsi="宋体" w:cs="宋体"/>
          <w:bCs/>
          <w:highlight w:val="none"/>
        </w:rPr>
        <w:t>1 、投标书（投标文件格式五）</w:t>
      </w:r>
      <w:r>
        <w:rPr>
          <w:highlight w:val="none"/>
        </w:rPr>
        <w:tab/>
      </w:r>
      <w:r>
        <w:rPr>
          <w:highlight w:val="none"/>
        </w:rPr>
        <w:fldChar w:fldCharType="end"/>
      </w:r>
    </w:p>
    <w:p>
      <w:pPr>
        <w:pStyle w:val="19"/>
        <w:tabs>
          <w:tab w:val="right" w:leader="dot" w:pos="9968"/>
        </w:tabs>
        <w:ind w:left="420"/>
        <w:rPr>
          <w:highlight w:val="none"/>
        </w:rPr>
      </w:pPr>
      <w:r>
        <w:rPr>
          <w:highlight w:val="none"/>
        </w:rPr>
        <w:fldChar w:fldCharType="begin"/>
      </w:r>
      <w:r>
        <w:rPr>
          <w:highlight w:val="none"/>
        </w:rPr>
        <w:instrText xml:space="preserve"> HYPERLINK \l "_Toc6732" </w:instrText>
      </w:r>
      <w:r>
        <w:rPr>
          <w:highlight w:val="none"/>
        </w:rPr>
        <w:fldChar w:fldCharType="separate"/>
      </w:r>
      <w:r>
        <w:rPr>
          <w:rFonts w:hint="eastAsia" w:ascii="宋体" w:hAnsi="宋体" w:cs="宋体"/>
          <w:bCs/>
          <w:highlight w:val="none"/>
        </w:rPr>
        <w:t>2 、投标分项报价表（投标文件格式六）</w:t>
      </w:r>
      <w:r>
        <w:rPr>
          <w:highlight w:val="none"/>
        </w:rPr>
        <w:tab/>
      </w:r>
      <w:r>
        <w:rPr>
          <w:highlight w:val="none"/>
        </w:rPr>
        <w:fldChar w:fldCharType="end"/>
      </w:r>
    </w:p>
    <w:p>
      <w:pPr>
        <w:pStyle w:val="19"/>
        <w:tabs>
          <w:tab w:val="right" w:leader="dot" w:pos="9968"/>
        </w:tabs>
        <w:ind w:left="420"/>
        <w:rPr>
          <w:highlight w:val="none"/>
        </w:rPr>
      </w:pPr>
      <w:r>
        <w:rPr>
          <w:highlight w:val="none"/>
        </w:rPr>
        <w:fldChar w:fldCharType="begin"/>
      </w:r>
      <w:r>
        <w:rPr>
          <w:highlight w:val="none"/>
        </w:rPr>
        <w:instrText xml:space="preserve"> HYPERLINK \l "_Toc28266" </w:instrText>
      </w:r>
      <w:r>
        <w:rPr>
          <w:highlight w:val="none"/>
        </w:rPr>
        <w:fldChar w:fldCharType="separate"/>
      </w:r>
      <w:r>
        <w:rPr>
          <w:rFonts w:hint="eastAsia" w:ascii="宋体" w:hAnsi="宋体" w:cs="宋体"/>
          <w:bCs/>
          <w:highlight w:val="none"/>
        </w:rPr>
        <w:t>3、货物说明一览表（投标文件格式七）</w:t>
      </w:r>
      <w:r>
        <w:rPr>
          <w:highlight w:val="none"/>
        </w:rPr>
        <w:tab/>
      </w:r>
      <w:r>
        <w:rPr>
          <w:highlight w:val="none"/>
        </w:rPr>
        <w:fldChar w:fldCharType="end"/>
      </w:r>
    </w:p>
    <w:p>
      <w:pPr>
        <w:pStyle w:val="19"/>
        <w:tabs>
          <w:tab w:val="right" w:leader="dot" w:pos="9968"/>
        </w:tabs>
        <w:ind w:left="420"/>
        <w:rPr>
          <w:highlight w:val="none"/>
        </w:rPr>
      </w:pPr>
      <w:r>
        <w:rPr>
          <w:highlight w:val="none"/>
        </w:rPr>
        <w:fldChar w:fldCharType="begin"/>
      </w:r>
      <w:r>
        <w:rPr>
          <w:highlight w:val="none"/>
        </w:rPr>
        <w:instrText xml:space="preserve"> HYPERLINK \l "_Toc31394" </w:instrText>
      </w:r>
      <w:r>
        <w:rPr>
          <w:highlight w:val="none"/>
        </w:rPr>
        <w:fldChar w:fldCharType="separate"/>
      </w:r>
      <w:r>
        <w:rPr>
          <w:rFonts w:hint="eastAsia" w:ascii="宋体" w:hAnsi="宋体" w:cs="宋体"/>
          <w:bCs/>
          <w:highlight w:val="none"/>
        </w:rPr>
        <w:t>4、技术规格偏离表（投标文件格式八）</w:t>
      </w:r>
      <w:r>
        <w:rPr>
          <w:highlight w:val="none"/>
        </w:rPr>
        <w:tab/>
      </w:r>
      <w:r>
        <w:rPr>
          <w:highlight w:val="none"/>
        </w:rPr>
        <w:fldChar w:fldCharType="end"/>
      </w:r>
    </w:p>
    <w:p>
      <w:pPr>
        <w:pStyle w:val="19"/>
        <w:tabs>
          <w:tab w:val="right" w:leader="dot" w:pos="9968"/>
        </w:tabs>
        <w:ind w:left="420"/>
        <w:rPr>
          <w:highlight w:val="none"/>
        </w:rPr>
      </w:pPr>
      <w:r>
        <w:rPr>
          <w:highlight w:val="none"/>
        </w:rPr>
        <w:fldChar w:fldCharType="begin"/>
      </w:r>
      <w:r>
        <w:rPr>
          <w:highlight w:val="none"/>
        </w:rPr>
        <w:instrText xml:space="preserve"> HYPERLINK \l "_Toc11124" </w:instrText>
      </w:r>
      <w:r>
        <w:rPr>
          <w:highlight w:val="none"/>
        </w:rPr>
        <w:fldChar w:fldCharType="separate"/>
      </w:r>
      <w:r>
        <w:rPr>
          <w:rFonts w:hint="eastAsia" w:ascii="宋体" w:hAnsi="宋体" w:cs="宋体"/>
          <w:bCs/>
          <w:highlight w:val="none"/>
        </w:rPr>
        <w:t>5、商务条款偏离表（投标文件格式九）</w:t>
      </w:r>
      <w:r>
        <w:rPr>
          <w:highlight w:val="none"/>
        </w:rPr>
        <w:tab/>
      </w:r>
      <w:r>
        <w:rPr>
          <w:highlight w:val="none"/>
        </w:rPr>
        <w:fldChar w:fldCharType="end"/>
      </w:r>
    </w:p>
    <w:p>
      <w:pPr>
        <w:pStyle w:val="19"/>
        <w:tabs>
          <w:tab w:val="right" w:leader="dot" w:pos="9968"/>
        </w:tabs>
        <w:ind w:left="420"/>
        <w:rPr>
          <w:highlight w:val="none"/>
        </w:rPr>
      </w:pPr>
      <w:r>
        <w:rPr>
          <w:highlight w:val="none"/>
        </w:rPr>
        <w:fldChar w:fldCharType="begin"/>
      </w:r>
      <w:r>
        <w:rPr>
          <w:highlight w:val="none"/>
        </w:rPr>
        <w:instrText xml:space="preserve"> HYPERLINK \l "_Toc2816" </w:instrText>
      </w:r>
      <w:r>
        <w:rPr>
          <w:highlight w:val="none"/>
        </w:rPr>
        <w:fldChar w:fldCharType="separate"/>
      </w:r>
      <w:r>
        <w:rPr>
          <w:rFonts w:hint="eastAsia" w:ascii="宋体" w:hAnsi="宋体" w:cs="宋体"/>
          <w:bCs/>
          <w:highlight w:val="none"/>
        </w:rPr>
        <w:t>6、投标人关联单位的说明</w:t>
      </w:r>
      <w:r>
        <w:rPr>
          <w:highlight w:val="none"/>
        </w:rPr>
        <w:tab/>
      </w:r>
      <w:r>
        <w:rPr>
          <w:highlight w:val="none"/>
        </w:rPr>
        <w:fldChar w:fldCharType="end"/>
      </w:r>
    </w:p>
    <w:p>
      <w:pPr>
        <w:pStyle w:val="19"/>
        <w:tabs>
          <w:tab w:val="right" w:leader="dot" w:pos="9968"/>
        </w:tabs>
        <w:ind w:left="420"/>
        <w:rPr>
          <w:highlight w:val="none"/>
        </w:rPr>
      </w:pPr>
      <w:r>
        <w:rPr>
          <w:highlight w:val="none"/>
        </w:rPr>
        <w:fldChar w:fldCharType="begin"/>
      </w:r>
      <w:r>
        <w:rPr>
          <w:highlight w:val="none"/>
        </w:rPr>
        <w:instrText xml:space="preserve"> HYPERLINK \l "_Toc32515" </w:instrText>
      </w:r>
      <w:r>
        <w:rPr>
          <w:highlight w:val="none"/>
        </w:rPr>
        <w:fldChar w:fldCharType="separate"/>
      </w:r>
      <w:r>
        <w:rPr>
          <w:rFonts w:hint="eastAsia" w:ascii="宋体" w:hAnsi="宋体" w:cs="宋体"/>
          <w:bCs/>
          <w:highlight w:val="none"/>
        </w:rPr>
        <w:t>7、评分标准和细则中技术部分证明材料（格式自拟）</w:t>
      </w:r>
      <w:r>
        <w:rPr>
          <w:highlight w:val="none"/>
        </w:rPr>
        <w:tab/>
      </w:r>
      <w:r>
        <w:rPr>
          <w:highlight w:val="none"/>
        </w:rPr>
        <w:fldChar w:fldCharType="end"/>
      </w:r>
    </w:p>
    <w:p>
      <w:pPr>
        <w:pStyle w:val="19"/>
        <w:tabs>
          <w:tab w:val="right" w:leader="dot" w:pos="9968"/>
        </w:tabs>
        <w:ind w:left="420"/>
        <w:rPr>
          <w:highlight w:val="none"/>
        </w:rPr>
      </w:pPr>
      <w:r>
        <w:rPr>
          <w:highlight w:val="none"/>
        </w:rPr>
        <w:fldChar w:fldCharType="begin"/>
      </w:r>
      <w:r>
        <w:rPr>
          <w:highlight w:val="none"/>
        </w:rPr>
        <w:instrText xml:space="preserve"> HYPERLINK \l "_Toc28913" </w:instrText>
      </w:r>
      <w:r>
        <w:rPr>
          <w:highlight w:val="none"/>
        </w:rPr>
        <w:fldChar w:fldCharType="separate"/>
      </w:r>
      <w:r>
        <w:rPr>
          <w:rFonts w:hint="eastAsia" w:ascii="宋体" w:hAnsi="宋体" w:cs="宋体"/>
          <w:bCs/>
          <w:highlight w:val="none"/>
        </w:rPr>
        <w:t>8、评分标准和细则中商务部分证明材料（格式自拟）</w:t>
      </w:r>
      <w:r>
        <w:rPr>
          <w:highlight w:val="none"/>
        </w:rPr>
        <w:tab/>
      </w:r>
      <w:r>
        <w:rPr>
          <w:highlight w:val="none"/>
        </w:rPr>
        <w:fldChar w:fldCharType="end"/>
      </w:r>
    </w:p>
    <w:p>
      <w:pPr>
        <w:pStyle w:val="19"/>
        <w:tabs>
          <w:tab w:val="right" w:leader="dot" w:pos="9968"/>
        </w:tabs>
        <w:ind w:left="420"/>
        <w:rPr>
          <w:highlight w:val="none"/>
        </w:rPr>
      </w:pPr>
      <w:r>
        <w:rPr>
          <w:highlight w:val="none"/>
        </w:rPr>
        <w:fldChar w:fldCharType="begin"/>
      </w:r>
      <w:r>
        <w:rPr>
          <w:highlight w:val="none"/>
        </w:rPr>
        <w:instrText xml:space="preserve"> HYPERLINK \l "_Toc24437" </w:instrText>
      </w:r>
      <w:r>
        <w:rPr>
          <w:highlight w:val="none"/>
        </w:rPr>
        <w:fldChar w:fldCharType="separate"/>
      </w:r>
      <w:r>
        <w:rPr>
          <w:rFonts w:hint="eastAsia" w:ascii="宋体" w:hAnsi="宋体" w:cs="宋体"/>
          <w:bCs/>
          <w:highlight w:val="none"/>
        </w:rPr>
        <w:t>9、投标人认为有必要提供的其他证明材料（格式自拟）</w:t>
      </w:r>
      <w:r>
        <w:rPr>
          <w:highlight w:val="none"/>
        </w:rPr>
        <w:tab/>
      </w:r>
      <w:r>
        <w:rPr>
          <w:highlight w:val="none"/>
        </w:rPr>
        <w:fldChar w:fldCharType="end"/>
      </w:r>
    </w:p>
    <w:p>
      <w:pPr>
        <w:spacing w:line="440" w:lineRule="exact"/>
        <w:ind w:firstLine="420" w:firstLineChars="200"/>
        <w:jc w:val="left"/>
        <w:rPr>
          <w:rFonts w:ascii="宋体" w:hAnsi="宋体" w:cs="宋体"/>
          <w:sz w:val="24"/>
          <w:highlight w:val="none"/>
        </w:rPr>
      </w:pPr>
      <w:r>
        <w:rPr>
          <w:rFonts w:hint="eastAsia" w:ascii="宋体" w:hAnsi="宋体" w:cs="宋体"/>
          <w:highlight w:val="none"/>
        </w:rPr>
        <w:fldChar w:fldCharType="end"/>
      </w:r>
      <w:r>
        <w:rPr>
          <w:rFonts w:hint="eastAsia" w:ascii="宋体" w:hAnsi="宋体" w:cs="宋体"/>
          <w:highlight w:val="none"/>
        </w:rPr>
        <w:t>10、关于对本投标文件（响应文件）中资料真实性的承诺.......................................</w:t>
      </w:r>
    </w:p>
    <w:p>
      <w:pPr>
        <w:spacing w:line="420" w:lineRule="exact"/>
        <w:jc w:val="center"/>
        <w:outlineLvl w:val="0"/>
        <w:rPr>
          <w:rFonts w:ascii="宋体"/>
          <w:b/>
          <w:bCs/>
          <w:sz w:val="32"/>
          <w:szCs w:val="32"/>
          <w:highlight w:val="none"/>
        </w:rPr>
      </w:pPr>
      <w:r>
        <w:rPr>
          <w:rFonts w:hint="eastAsia" w:ascii="宋体" w:hAnsi="宋体" w:cs="宋体"/>
          <w:sz w:val="24"/>
          <w:highlight w:val="none"/>
        </w:rPr>
        <w:br w:type="page"/>
      </w:r>
      <w:bookmarkStart w:id="0" w:name="_Toc26892"/>
      <w:r>
        <w:rPr>
          <w:rFonts w:hint="eastAsia" w:ascii="宋体"/>
          <w:b/>
          <w:bCs/>
          <w:sz w:val="32"/>
          <w:szCs w:val="32"/>
          <w:highlight w:val="none"/>
        </w:rPr>
        <w:t>第一章招标公告</w:t>
      </w:r>
      <w:bookmarkEnd w:id="0"/>
    </w:p>
    <w:p>
      <w:pPr>
        <w:pStyle w:val="3"/>
        <w:tabs>
          <w:tab w:val="left" w:pos="0"/>
        </w:tabs>
        <w:autoSpaceDE w:val="0"/>
        <w:autoSpaceDN w:val="0"/>
        <w:adjustRightInd w:val="0"/>
        <w:spacing w:before="0" w:after="0" w:line="360" w:lineRule="auto"/>
        <w:jc w:val="center"/>
        <w:rPr>
          <w:rFonts w:hint="eastAsia" w:ascii="仿宋" w:hAnsi="仿宋" w:eastAsia="仿宋" w:cs="仿宋"/>
          <w:sz w:val="28"/>
          <w:szCs w:val="28"/>
          <w:highlight w:val="none"/>
          <w:shd w:val="clear" w:color="auto" w:fill="FFFFFF"/>
          <w:lang w:eastAsia="zh-CN"/>
        </w:rPr>
      </w:pPr>
      <w:bookmarkStart w:id="1" w:name="_Toc6038"/>
      <w:r>
        <w:rPr>
          <w:rFonts w:hint="eastAsia" w:ascii="仿宋" w:hAnsi="仿宋" w:eastAsia="仿宋" w:cs="仿宋"/>
          <w:sz w:val="28"/>
          <w:szCs w:val="28"/>
          <w:highlight w:val="none"/>
          <w:shd w:val="clear" w:color="auto" w:fill="FFFFFF"/>
          <w:lang w:eastAsia="zh-CN"/>
        </w:rPr>
        <w:t>2023年阿克陶县机关事业单位基本养老保险保值增值定期存款项目（二次）</w:t>
      </w:r>
    </w:p>
    <w:p>
      <w:pPr>
        <w:pStyle w:val="3"/>
        <w:tabs>
          <w:tab w:val="left" w:pos="0"/>
        </w:tabs>
        <w:autoSpaceDE w:val="0"/>
        <w:autoSpaceDN w:val="0"/>
        <w:adjustRightInd w:val="0"/>
        <w:spacing w:before="0" w:after="0" w:line="360" w:lineRule="auto"/>
        <w:jc w:val="center"/>
        <w:rPr>
          <w:highlight w:val="none"/>
        </w:rPr>
      </w:pPr>
      <w:r>
        <w:rPr>
          <w:rFonts w:hint="eastAsia" w:ascii="仿宋" w:hAnsi="仿宋" w:eastAsia="仿宋" w:cs="仿宋"/>
          <w:sz w:val="28"/>
          <w:szCs w:val="28"/>
          <w:highlight w:val="none"/>
          <w:shd w:val="clear" w:color="auto" w:fill="FFFFFF"/>
        </w:rPr>
        <w:t>竞争性磋商公告</w:t>
      </w:r>
    </w:p>
    <w:p>
      <w:pPr>
        <w:pBdr>
          <w:top w:val="single" w:color="auto" w:sz="4" w:space="1"/>
          <w:left w:val="single" w:color="auto" w:sz="4" w:space="4"/>
          <w:bottom w:val="single" w:color="auto" w:sz="4" w:space="1"/>
          <w:right w:val="single" w:color="auto" w:sz="4" w:space="4"/>
        </w:pBdr>
        <w:spacing w:line="320" w:lineRule="exact"/>
        <w:rPr>
          <w:rFonts w:ascii="仿宋" w:hAnsi="仿宋" w:eastAsia="仿宋" w:cs="仿宋"/>
          <w:szCs w:val="21"/>
          <w:highlight w:val="none"/>
        </w:rPr>
      </w:pPr>
      <w:r>
        <w:rPr>
          <w:rFonts w:hint="eastAsia" w:ascii="仿宋" w:hAnsi="仿宋" w:eastAsia="仿宋" w:cs="仿宋"/>
          <w:szCs w:val="21"/>
          <w:highlight w:val="none"/>
        </w:rPr>
        <w:t>项目概况</w:t>
      </w:r>
    </w:p>
    <w:p>
      <w:pPr>
        <w:pBdr>
          <w:top w:val="single" w:color="auto" w:sz="4" w:space="1"/>
          <w:left w:val="single" w:color="auto" w:sz="4" w:space="4"/>
          <w:bottom w:val="single" w:color="auto" w:sz="4" w:space="1"/>
          <w:right w:val="single" w:color="auto" w:sz="4" w:space="4"/>
        </w:pBdr>
        <w:spacing w:line="320" w:lineRule="exact"/>
        <w:ind w:firstLine="420" w:firstLineChars="200"/>
        <w:rPr>
          <w:rFonts w:ascii="仿宋" w:hAnsi="仿宋" w:eastAsia="仿宋" w:cs="仿宋"/>
          <w:kern w:val="0"/>
          <w:szCs w:val="21"/>
          <w:highlight w:val="none"/>
        </w:rPr>
      </w:pPr>
      <w:r>
        <w:rPr>
          <w:rFonts w:hint="eastAsia" w:ascii="仿宋" w:hAnsi="仿宋" w:eastAsia="仿宋" w:cs="仿宋"/>
          <w:szCs w:val="21"/>
          <w:highlight w:val="none"/>
        </w:rPr>
        <w:t xml:space="preserve"> </w:t>
      </w:r>
      <w:r>
        <w:rPr>
          <w:rFonts w:hint="eastAsia" w:ascii="仿宋" w:hAnsi="仿宋" w:eastAsia="仿宋" w:cs="仿宋"/>
          <w:szCs w:val="21"/>
          <w:highlight w:val="none"/>
          <w:lang w:eastAsia="zh-CN"/>
        </w:rPr>
        <w:t>2023年阿克陶县机关事业单位基本养老保险保值增值定期存款项目（二次）</w:t>
      </w:r>
      <w:r>
        <w:rPr>
          <w:rFonts w:hint="eastAsia" w:ascii="仿宋" w:hAnsi="仿宋" w:eastAsia="仿宋" w:cs="仿宋"/>
          <w:szCs w:val="21"/>
          <w:highlight w:val="none"/>
        </w:rPr>
        <w:t>的潜在投标人应在供应商登陆政采云平台http://www.zcygov.cn/，在线申请获取竞争性磋商文件（登录政府采购云平台 → 项目采购 → 获取竞争性磋商文件→申请，审核通过后可下载竞争性磋商文件，如有操作性问题，可与政采云在线客服进行咨询，咨询电话：</w:t>
      </w:r>
      <w:r>
        <w:rPr>
          <w:rFonts w:hint="eastAsia" w:ascii="仿宋" w:hAnsi="仿宋" w:eastAsia="仿宋" w:cs="仿宋"/>
          <w:szCs w:val="21"/>
          <w:highlight w:val="none"/>
          <w:lang w:eastAsia="zh-CN"/>
        </w:rPr>
        <w:t>95763</w:t>
      </w:r>
      <w:r>
        <w:rPr>
          <w:rFonts w:hint="eastAsia" w:ascii="仿宋" w:hAnsi="仿宋" w:eastAsia="仿宋" w:cs="仿宋"/>
          <w:szCs w:val="21"/>
          <w:highlight w:val="none"/>
        </w:rPr>
        <w:t>）。获取竞争性磋商文件，并于</w:t>
      </w:r>
      <w:r>
        <w:rPr>
          <w:rFonts w:hint="eastAsia" w:ascii="仿宋" w:hAnsi="仿宋" w:eastAsia="仿宋" w:cs="仿宋"/>
          <w:color w:val="0000FF"/>
          <w:szCs w:val="21"/>
          <w:highlight w:val="none"/>
        </w:rPr>
        <w:t>202</w:t>
      </w:r>
      <w:r>
        <w:rPr>
          <w:rFonts w:hint="eastAsia" w:ascii="仿宋" w:hAnsi="仿宋" w:eastAsia="仿宋" w:cs="仿宋"/>
          <w:color w:val="0000FF"/>
          <w:szCs w:val="21"/>
          <w:highlight w:val="none"/>
          <w:lang w:val="en-US" w:eastAsia="zh-CN"/>
        </w:rPr>
        <w:t>3</w:t>
      </w:r>
      <w:r>
        <w:rPr>
          <w:rFonts w:hint="eastAsia" w:ascii="仿宋" w:hAnsi="仿宋" w:eastAsia="仿宋" w:cs="仿宋"/>
          <w:color w:val="0000FF"/>
          <w:szCs w:val="21"/>
          <w:highlight w:val="none"/>
        </w:rPr>
        <w:t>年</w:t>
      </w:r>
      <w:r>
        <w:rPr>
          <w:rFonts w:hint="eastAsia" w:ascii="仿宋" w:hAnsi="仿宋" w:eastAsia="仿宋" w:cs="仿宋"/>
          <w:color w:val="0000FF"/>
          <w:szCs w:val="21"/>
          <w:highlight w:val="none"/>
          <w:lang w:val="en-US" w:eastAsia="zh-CN"/>
        </w:rPr>
        <w:t>10</w:t>
      </w:r>
      <w:r>
        <w:rPr>
          <w:rFonts w:hint="eastAsia" w:ascii="仿宋" w:hAnsi="仿宋" w:eastAsia="仿宋" w:cs="仿宋"/>
          <w:color w:val="0000FF"/>
          <w:szCs w:val="21"/>
          <w:highlight w:val="none"/>
        </w:rPr>
        <w:t>月</w:t>
      </w:r>
      <w:r>
        <w:rPr>
          <w:rFonts w:hint="eastAsia" w:ascii="仿宋" w:hAnsi="仿宋" w:eastAsia="仿宋" w:cs="仿宋"/>
          <w:color w:val="0000FF"/>
          <w:szCs w:val="21"/>
          <w:highlight w:val="none"/>
          <w:lang w:val="en-US" w:eastAsia="zh-CN"/>
        </w:rPr>
        <w:t>11</w:t>
      </w:r>
      <w:r>
        <w:rPr>
          <w:rFonts w:hint="eastAsia" w:ascii="仿宋" w:hAnsi="仿宋" w:eastAsia="仿宋" w:cs="仿宋"/>
          <w:color w:val="0000FF"/>
          <w:szCs w:val="21"/>
          <w:highlight w:val="none"/>
        </w:rPr>
        <w:t>日11：00</w:t>
      </w:r>
      <w:r>
        <w:rPr>
          <w:rFonts w:hint="eastAsia" w:ascii="仿宋" w:hAnsi="仿宋" w:eastAsia="仿宋" w:cs="仿宋"/>
          <w:szCs w:val="21"/>
          <w:highlight w:val="none"/>
        </w:rPr>
        <w:t>（北京时间）前（上传）电子投标文件。</w:t>
      </w:r>
      <w:bookmarkStart w:id="2" w:name="_Toc35393798"/>
      <w:bookmarkStart w:id="3" w:name="_Toc28359089"/>
      <w:bookmarkStart w:id="4" w:name="_Toc28359012"/>
      <w:bookmarkStart w:id="5" w:name="_Toc35393629"/>
    </w:p>
    <w:bookmarkEnd w:id="2"/>
    <w:bookmarkEnd w:id="3"/>
    <w:bookmarkEnd w:id="4"/>
    <w:bookmarkEnd w:id="5"/>
    <w:p>
      <w:pPr>
        <w:spacing w:line="320" w:lineRule="exact"/>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一、项目基本情况</w:t>
      </w:r>
    </w:p>
    <w:p>
      <w:pPr>
        <w:spacing w:line="320" w:lineRule="exact"/>
        <w:ind w:firstLine="420" w:firstLineChars="200"/>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rPr>
        <w:t>项目编号：</w:t>
      </w:r>
      <w:r>
        <w:rPr>
          <w:rFonts w:hint="eastAsia" w:ascii="仿宋" w:hAnsi="仿宋" w:eastAsia="仿宋" w:cs="仿宋"/>
          <w:kern w:val="0"/>
          <w:szCs w:val="21"/>
          <w:highlight w:val="none"/>
          <w:lang w:eastAsia="zh-CN"/>
        </w:rPr>
        <w:t>AKTZBCG-</w:t>
      </w:r>
      <w:r>
        <w:rPr>
          <w:rFonts w:hint="eastAsia" w:ascii="仿宋" w:hAnsi="仿宋" w:eastAsia="仿宋" w:cs="仿宋"/>
          <w:kern w:val="0"/>
          <w:szCs w:val="21"/>
          <w:highlight w:val="none"/>
          <w:lang w:val="en-US" w:eastAsia="zh-CN"/>
        </w:rPr>
        <w:t>-</w:t>
      </w:r>
      <w:r>
        <w:rPr>
          <w:rFonts w:hint="eastAsia" w:ascii="仿宋" w:hAnsi="仿宋" w:eastAsia="仿宋" w:cs="仿宋"/>
          <w:kern w:val="0"/>
          <w:szCs w:val="21"/>
          <w:highlight w:val="none"/>
          <w:lang w:eastAsia="zh-CN"/>
        </w:rPr>
        <w:t>202</w:t>
      </w:r>
      <w:r>
        <w:rPr>
          <w:rFonts w:hint="eastAsia" w:ascii="仿宋" w:hAnsi="仿宋" w:eastAsia="仿宋" w:cs="仿宋"/>
          <w:kern w:val="0"/>
          <w:szCs w:val="21"/>
          <w:highlight w:val="none"/>
          <w:lang w:val="en-US" w:eastAsia="zh-CN"/>
        </w:rPr>
        <w:t>3061</w:t>
      </w:r>
    </w:p>
    <w:p>
      <w:pPr>
        <w:spacing w:line="320" w:lineRule="exact"/>
        <w:ind w:firstLine="420" w:firstLineChars="200"/>
        <w:rPr>
          <w:rFonts w:hint="eastAsia" w:ascii="仿宋" w:hAnsi="仿宋" w:eastAsia="仿宋" w:cs="仿宋"/>
          <w:szCs w:val="21"/>
          <w:highlight w:val="none"/>
          <w:lang w:eastAsia="zh-CN"/>
        </w:rPr>
      </w:pPr>
      <w:r>
        <w:rPr>
          <w:rFonts w:hint="eastAsia" w:ascii="仿宋" w:hAnsi="仿宋" w:eastAsia="仿宋" w:cs="仿宋"/>
          <w:kern w:val="0"/>
          <w:szCs w:val="21"/>
          <w:highlight w:val="none"/>
        </w:rPr>
        <w:t xml:space="preserve">项目名称： </w:t>
      </w:r>
      <w:r>
        <w:rPr>
          <w:rFonts w:hint="eastAsia" w:ascii="仿宋" w:hAnsi="仿宋" w:eastAsia="仿宋" w:cs="仿宋"/>
          <w:kern w:val="0"/>
          <w:szCs w:val="21"/>
          <w:highlight w:val="none"/>
          <w:lang w:eastAsia="zh-CN"/>
        </w:rPr>
        <w:t>2023年阿克陶县机关事业单位基本养老保险保值增值定期存款项目（二次）</w:t>
      </w:r>
    </w:p>
    <w:p>
      <w:pPr>
        <w:spacing w:line="3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采购方式：竞争性磋商</w:t>
      </w:r>
    </w:p>
    <w:p>
      <w:pPr>
        <w:spacing w:line="3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预算金额：</w:t>
      </w:r>
      <w:r>
        <w:rPr>
          <w:rFonts w:hint="eastAsia" w:ascii="仿宋" w:hAnsi="仿宋" w:eastAsia="仿宋" w:cs="仿宋"/>
          <w:szCs w:val="21"/>
          <w:highlight w:val="none"/>
          <w:lang w:eastAsia="zh-CN"/>
        </w:rPr>
        <w:t>1</w:t>
      </w:r>
      <w:r>
        <w:rPr>
          <w:rFonts w:hint="eastAsia" w:ascii="仿宋" w:hAnsi="仿宋" w:eastAsia="仿宋" w:cs="仿宋"/>
          <w:szCs w:val="21"/>
          <w:highlight w:val="none"/>
        </w:rPr>
        <w:t>元</w:t>
      </w:r>
    </w:p>
    <w:p>
      <w:pPr>
        <w:spacing w:line="3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最高限价：</w:t>
      </w:r>
      <w:r>
        <w:rPr>
          <w:rFonts w:hint="eastAsia" w:ascii="仿宋" w:hAnsi="仿宋" w:eastAsia="仿宋" w:cs="仿宋"/>
          <w:szCs w:val="21"/>
          <w:highlight w:val="none"/>
          <w:lang w:eastAsia="zh-CN"/>
        </w:rPr>
        <w:t>1</w:t>
      </w:r>
      <w:r>
        <w:rPr>
          <w:rFonts w:hint="eastAsia" w:ascii="仿宋" w:hAnsi="仿宋" w:eastAsia="仿宋" w:cs="仿宋"/>
          <w:szCs w:val="21"/>
          <w:highlight w:val="none"/>
        </w:rPr>
        <w:t>元</w:t>
      </w:r>
    </w:p>
    <w:p>
      <w:pPr>
        <w:spacing w:line="320" w:lineRule="exact"/>
        <w:ind w:left="1470" w:leftChars="200" w:hanging="1050" w:hangingChars="500"/>
        <w:rPr>
          <w:rFonts w:hint="eastAsia" w:ascii="仿宋" w:hAnsi="仿宋" w:eastAsia="仿宋" w:cs="仿宋"/>
          <w:szCs w:val="21"/>
          <w:highlight w:val="none"/>
          <w:lang w:eastAsia="zh-CN"/>
        </w:rPr>
      </w:pPr>
      <w:r>
        <w:rPr>
          <w:rFonts w:hint="eastAsia" w:ascii="仿宋" w:hAnsi="仿宋" w:eastAsia="仿宋" w:cs="仿宋"/>
          <w:szCs w:val="21"/>
          <w:highlight w:val="none"/>
        </w:rPr>
        <w:t>采购需求：阿克陶县机关事业单位基本养老保险保值增值定期存款</w:t>
      </w:r>
      <w:r>
        <w:rPr>
          <w:rFonts w:hint="eastAsia" w:ascii="仿宋" w:hAnsi="仿宋" w:eastAsia="仿宋" w:cs="仿宋"/>
          <w:szCs w:val="21"/>
          <w:highlight w:val="none"/>
          <w:lang w:eastAsia="zh-CN"/>
        </w:rPr>
        <w:t>定点银行采购</w:t>
      </w:r>
    </w:p>
    <w:p>
      <w:pPr>
        <w:spacing w:line="320" w:lineRule="exact"/>
        <w:ind w:firstLine="420" w:firstLineChars="200"/>
        <w:rPr>
          <w:rFonts w:ascii="仿宋" w:hAnsi="仿宋" w:eastAsia="仿宋" w:cs="仿宋"/>
          <w:kern w:val="0"/>
          <w:szCs w:val="21"/>
          <w:highlight w:val="none"/>
        </w:rPr>
      </w:pPr>
      <w:r>
        <w:rPr>
          <w:rFonts w:hint="eastAsia" w:ascii="仿宋" w:hAnsi="仿宋" w:eastAsia="仿宋" w:cs="仿宋"/>
          <w:szCs w:val="21"/>
          <w:highlight w:val="none"/>
        </w:rPr>
        <w:t>合同履</w:t>
      </w:r>
      <w:r>
        <w:rPr>
          <w:rFonts w:hint="eastAsia" w:ascii="仿宋" w:hAnsi="仿宋" w:eastAsia="仿宋" w:cs="仿宋"/>
          <w:kern w:val="0"/>
          <w:szCs w:val="21"/>
          <w:highlight w:val="none"/>
        </w:rPr>
        <w:t>行期限：详见竞争性磋商文件</w:t>
      </w:r>
    </w:p>
    <w:p>
      <w:pPr>
        <w:spacing w:line="320" w:lineRule="exact"/>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本项目（否）接受联合体投标。</w:t>
      </w:r>
    </w:p>
    <w:p>
      <w:pPr>
        <w:spacing w:line="320" w:lineRule="exact"/>
        <w:ind w:firstLine="420" w:firstLineChars="200"/>
        <w:rPr>
          <w:rFonts w:ascii="仿宋" w:hAnsi="仿宋" w:eastAsia="仿宋" w:cs="仿宋"/>
          <w:szCs w:val="21"/>
          <w:highlight w:val="none"/>
        </w:rPr>
      </w:pPr>
      <w:bookmarkStart w:id="6" w:name="_Toc35393799"/>
      <w:bookmarkStart w:id="7" w:name="_Toc35393630"/>
      <w:bookmarkStart w:id="8" w:name="_Toc28359090"/>
      <w:bookmarkStart w:id="9" w:name="_Toc28359013"/>
      <w:r>
        <w:rPr>
          <w:rFonts w:hint="eastAsia" w:ascii="仿宋" w:hAnsi="仿宋" w:eastAsia="仿宋" w:cs="仿宋"/>
          <w:kern w:val="0"/>
          <w:szCs w:val="21"/>
          <w:highlight w:val="none"/>
        </w:rPr>
        <w:t>二、申请</w:t>
      </w:r>
      <w:r>
        <w:rPr>
          <w:rFonts w:hint="eastAsia" w:ascii="仿宋" w:hAnsi="仿宋" w:eastAsia="仿宋" w:cs="仿宋"/>
          <w:szCs w:val="21"/>
          <w:highlight w:val="none"/>
        </w:rPr>
        <w:t>人的资格要求：</w:t>
      </w:r>
      <w:bookmarkEnd w:id="6"/>
      <w:bookmarkEnd w:id="7"/>
      <w:bookmarkEnd w:id="8"/>
      <w:bookmarkEnd w:id="9"/>
    </w:p>
    <w:p>
      <w:pPr>
        <w:spacing w:line="3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1.满足《中华人民共和国政府采购法》第二十二条规定；</w:t>
      </w:r>
    </w:p>
    <w:p>
      <w:pPr>
        <w:spacing w:line="320" w:lineRule="exact"/>
        <w:ind w:firstLine="420" w:firstLineChars="200"/>
        <w:rPr>
          <w:rFonts w:hint="eastAsia" w:ascii="仿宋" w:hAnsi="仿宋" w:eastAsia="仿宋" w:cs="仿宋"/>
          <w:szCs w:val="21"/>
          <w:highlight w:val="none"/>
        </w:rPr>
      </w:pPr>
      <w:bookmarkStart w:id="10" w:name="_Toc28359014"/>
      <w:bookmarkStart w:id="11" w:name="_Toc28359091"/>
      <w:r>
        <w:rPr>
          <w:rFonts w:hint="eastAsia" w:ascii="仿宋" w:hAnsi="仿宋" w:eastAsia="仿宋" w:cs="仿宋"/>
          <w:szCs w:val="21"/>
          <w:highlight w:val="none"/>
        </w:rPr>
        <w:t>2.落实政府采购政策需满足的资格要求：标项1：</w:t>
      </w:r>
    </w:p>
    <w:p>
      <w:pPr>
        <w:spacing w:line="3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3.本项目的特定资格要求：</w:t>
      </w:r>
    </w:p>
    <w:p>
      <w:pPr>
        <w:spacing w:line="320" w:lineRule="exact"/>
        <w:ind w:firstLine="420" w:firstLineChars="200"/>
        <w:rPr>
          <w:rFonts w:hint="eastAsia" w:ascii="仿宋" w:hAnsi="仿宋" w:eastAsia="仿宋" w:cs="仿宋"/>
          <w:szCs w:val="21"/>
          <w:highlight w:val="none"/>
        </w:rPr>
      </w:pPr>
      <w:bookmarkStart w:id="12" w:name="_Toc35393800"/>
      <w:bookmarkStart w:id="13" w:name="_Toc35393631"/>
      <w:r>
        <w:rPr>
          <w:rFonts w:hint="eastAsia" w:ascii="仿宋" w:hAnsi="仿宋" w:eastAsia="仿宋" w:cs="仿宋"/>
          <w:szCs w:val="21"/>
          <w:highlight w:val="none"/>
        </w:rPr>
        <w:t>（1)具备三证合一营业执照副本；</w:t>
      </w:r>
    </w:p>
    <w:p>
      <w:pPr>
        <w:spacing w:line="320" w:lineRule="exact"/>
        <w:ind w:firstLine="420" w:firstLineChars="200"/>
        <w:rPr>
          <w:rFonts w:hint="eastAsia" w:ascii="仿宋" w:hAnsi="仿宋" w:eastAsia="仿宋" w:cs="仿宋"/>
          <w:szCs w:val="21"/>
          <w:highlight w:val="none"/>
        </w:rPr>
      </w:pPr>
      <w:r>
        <w:rPr>
          <w:rFonts w:hint="eastAsia" w:ascii="仿宋" w:hAnsi="仿宋" w:eastAsia="仿宋" w:cs="仿宋"/>
          <w:b/>
          <w:bCs/>
          <w:szCs w:val="21"/>
          <w:highlight w:val="none"/>
        </w:rPr>
        <w:t>（2)法定代表人（负责人）参加提供法定代表人（负责人）证明书，委托代理人参加提供法人代表（负责人）授权委托书；投标银行为非法人机构的，提供上一级银行负责人授权委托书。</w:t>
      </w:r>
    </w:p>
    <w:p>
      <w:pPr>
        <w:spacing w:line="32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（3)参加采购活动前三年内，在经营活动中没有重大违法记录，供应商须提供 “信用中国”网站（http://www.creditchina.gov.cn/）、“中国政府采购网”网站（http://www.ccgp.gov.cn）无违法违规行为的查询纪录（提供查询结果网页截图并加盖供应商公章）。</w:t>
      </w:r>
    </w:p>
    <w:p>
      <w:pPr>
        <w:spacing w:line="32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w:t>
      </w:r>
      <w:r>
        <w:rPr>
          <w:rFonts w:hint="eastAsia" w:ascii="仿宋" w:hAnsi="仿宋" w:eastAsia="仿宋" w:cs="仿宋"/>
          <w:szCs w:val="21"/>
          <w:highlight w:val="none"/>
          <w:lang w:eastAsia="zh-CN"/>
        </w:rPr>
        <w:t>持有中国银行业监督管理委员会有效的《中华人民共和国金融许可证》或《金融机构营业许可证》。</w:t>
      </w:r>
      <w:r>
        <w:rPr>
          <w:rFonts w:hint="eastAsia" w:ascii="仿宋" w:hAnsi="仿宋" w:eastAsia="仿宋" w:cs="仿宋"/>
          <w:szCs w:val="21"/>
          <w:highlight w:val="none"/>
        </w:rPr>
        <w:t>。</w:t>
      </w:r>
    </w:p>
    <w:p>
      <w:pPr>
        <w:spacing w:line="320" w:lineRule="exact"/>
        <w:ind w:firstLine="420" w:firstLineChars="200"/>
        <w:rPr>
          <w:rFonts w:hint="eastAsia" w:ascii="仿宋" w:hAnsi="仿宋" w:eastAsia="仿宋" w:cs="仿宋"/>
          <w:szCs w:val="21"/>
          <w:highlight w:val="none"/>
          <w:lang w:eastAsia="zh-CN"/>
        </w:rPr>
      </w:pPr>
      <w:r>
        <w:rPr>
          <w:rFonts w:hint="eastAsia" w:ascii="仿宋" w:hAnsi="仿宋" w:eastAsia="仿宋" w:cs="仿宋"/>
          <w:szCs w:val="21"/>
          <w:highlight w:val="none"/>
        </w:rPr>
        <w:t>（5）</w:t>
      </w:r>
      <w:r>
        <w:rPr>
          <w:rFonts w:hint="eastAsia" w:ascii="仿宋" w:hAnsi="仿宋" w:eastAsia="仿宋" w:cs="仿宋"/>
          <w:szCs w:val="21"/>
          <w:highlight w:val="none"/>
          <w:lang w:eastAsia="zh-CN"/>
        </w:rPr>
        <w:t>投标企业须提供投标人（被授权在职人员）近6个月有效的社保证明；</w:t>
      </w:r>
    </w:p>
    <w:p>
      <w:pPr>
        <w:spacing w:line="320" w:lineRule="exact"/>
        <w:ind w:firstLine="420" w:firstLineChars="200"/>
        <w:rPr>
          <w:rFonts w:ascii="仿宋" w:hAnsi="仿宋" w:eastAsia="仿宋" w:cs="仿宋"/>
          <w:szCs w:val="21"/>
          <w:highlight w:val="none"/>
        </w:rPr>
      </w:pPr>
      <w:r>
        <w:rPr>
          <w:rFonts w:hint="eastAsia" w:ascii="仿宋" w:hAnsi="仿宋" w:eastAsia="仿宋" w:cs="仿宋"/>
          <w:kern w:val="0"/>
          <w:szCs w:val="21"/>
          <w:highlight w:val="none"/>
        </w:rPr>
        <w:t>三、获取</w:t>
      </w:r>
      <w:bookmarkEnd w:id="10"/>
      <w:bookmarkEnd w:id="11"/>
      <w:bookmarkEnd w:id="12"/>
      <w:bookmarkEnd w:id="13"/>
      <w:r>
        <w:rPr>
          <w:rFonts w:hint="eastAsia" w:ascii="仿宋" w:hAnsi="仿宋" w:eastAsia="仿宋" w:cs="仿宋"/>
          <w:kern w:val="0"/>
          <w:szCs w:val="21"/>
          <w:highlight w:val="none"/>
        </w:rPr>
        <w:t>竞</w:t>
      </w:r>
      <w:r>
        <w:rPr>
          <w:rFonts w:hint="eastAsia" w:ascii="仿宋" w:hAnsi="仿宋" w:eastAsia="仿宋" w:cs="仿宋"/>
          <w:szCs w:val="21"/>
          <w:highlight w:val="none"/>
        </w:rPr>
        <w:t>争性磋商文件</w:t>
      </w:r>
    </w:p>
    <w:p>
      <w:pPr>
        <w:spacing w:line="3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 1、 时间：</w:t>
      </w:r>
      <w:r>
        <w:rPr>
          <w:rFonts w:hint="eastAsia" w:ascii="仿宋" w:hAnsi="仿宋" w:eastAsia="仿宋" w:cs="仿宋"/>
          <w:b/>
          <w:bCs/>
          <w:color w:val="0000FF"/>
          <w:szCs w:val="21"/>
          <w:highlight w:val="none"/>
        </w:rPr>
        <w:t>202</w:t>
      </w:r>
      <w:r>
        <w:rPr>
          <w:rFonts w:hint="eastAsia" w:ascii="仿宋" w:hAnsi="仿宋" w:eastAsia="仿宋" w:cs="仿宋"/>
          <w:b/>
          <w:bCs/>
          <w:color w:val="0000FF"/>
          <w:szCs w:val="21"/>
          <w:highlight w:val="none"/>
          <w:lang w:val="en-US" w:eastAsia="zh-CN"/>
        </w:rPr>
        <w:t>3</w:t>
      </w:r>
      <w:r>
        <w:rPr>
          <w:rFonts w:hint="eastAsia" w:ascii="仿宋" w:hAnsi="仿宋" w:eastAsia="仿宋" w:cs="仿宋"/>
          <w:b/>
          <w:bCs/>
          <w:color w:val="0000FF"/>
          <w:szCs w:val="21"/>
          <w:highlight w:val="none"/>
        </w:rPr>
        <w:t>年</w:t>
      </w:r>
      <w:r>
        <w:rPr>
          <w:rFonts w:hint="eastAsia" w:ascii="仿宋" w:hAnsi="仿宋" w:eastAsia="仿宋" w:cs="仿宋"/>
          <w:b/>
          <w:bCs/>
          <w:color w:val="0000FF"/>
          <w:szCs w:val="21"/>
          <w:highlight w:val="none"/>
          <w:lang w:val="en-US" w:eastAsia="zh-CN"/>
        </w:rPr>
        <w:t>9</w:t>
      </w:r>
      <w:r>
        <w:rPr>
          <w:rFonts w:hint="eastAsia" w:ascii="仿宋" w:hAnsi="仿宋" w:eastAsia="仿宋" w:cs="仿宋"/>
          <w:b/>
          <w:bCs/>
          <w:color w:val="0000FF"/>
          <w:szCs w:val="21"/>
          <w:highlight w:val="none"/>
        </w:rPr>
        <w:t>月</w:t>
      </w:r>
      <w:r>
        <w:rPr>
          <w:rFonts w:hint="eastAsia" w:ascii="仿宋" w:hAnsi="仿宋" w:eastAsia="仿宋" w:cs="仿宋"/>
          <w:b/>
          <w:bCs/>
          <w:color w:val="0000FF"/>
          <w:szCs w:val="21"/>
          <w:highlight w:val="none"/>
          <w:lang w:val="en-US" w:eastAsia="zh-CN"/>
        </w:rPr>
        <w:t>26</w:t>
      </w:r>
      <w:r>
        <w:rPr>
          <w:rFonts w:hint="eastAsia" w:ascii="仿宋" w:hAnsi="仿宋" w:eastAsia="仿宋" w:cs="仿宋"/>
          <w:b/>
          <w:bCs/>
          <w:color w:val="0000FF"/>
          <w:szCs w:val="21"/>
          <w:highlight w:val="none"/>
        </w:rPr>
        <w:t>日至202</w:t>
      </w:r>
      <w:r>
        <w:rPr>
          <w:rFonts w:hint="eastAsia" w:ascii="仿宋" w:hAnsi="仿宋" w:eastAsia="仿宋" w:cs="仿宋"/>
          <w:b/>
          <w:bCs/>
          <w:color w:val="0000FF"/>
          <w:szCs w:val="21"/>
          <w:highlight w:val="none"/>
          <w:lang w:val="en-US" w:eastAsia="zh-CN"/>
        </w:rPr>
        <w:t>3</w:t>
      </w:r>
      <w:r>
        <w:rPr>
          <w:rFonts w:hint="eastAsia" w:ascii="仿宋" w:hAnsi="仿宋" w:eastAsia="仿宋" w:cs="仿宋"/>
          <w:b/>
          <w:bCs/>
          <w:color w:val="0000FF"/>
          <w:szCs w:val="21"/>
          <w:highlight w:val="none"/>
        </w:rPr>
        <w:t>年</w:t>
      </w:r>
      <w:r>
        <w:rPr>
          <w:rFonts w:hint="eastAsia" w:ascii="仿宋" w:hAnsi="仿宋" w:eastAsia="仿宋" w:cs="仿宋"/>
          <w:b/>
          <w:bCs/>
          <w:color w:val="0000FF"/>
          <w:szCs w:val="21"/>
          <w:highlight w:val="none"/>
          <w:lang w:val="en-US" w:eastAsia="zh-CN"/>
        </w:rPr>
        <w:t>10</w:t>
      </w:r>
      <w:r>
        <w:rPr>
          <w:rFonts w:hint="eastAsia" w:ascii="仿宋" w:hAnsi="仿宋" w:eastAsia="仿宋" w:cs="仿宋"/>
          <w:b/>
          <w:bCs/>
          <w:color w:val="0000FF"/>
          <w:szCs w:val="21"/>
          <w:highlight w:val="none"/>
        </w:rPr>
        <w:t>月</w:t>
      </w:r>
      <w:r>
        <w:rPr>
          <w:rFonts w:hint="eastAsia" w:ascii="仿宋" w:hAnsi="仿宋" w:eastAsia="仿宋" w:cs="仿宋"/>
          <w:b/>
          <w:bCs/>
          <w:color w:val="0000FF"/>
          <w:szCs w:val="21"/>
          <w:highlight w:val="none"/>
          <w:lang w:val="en-US" w:eastAsia="zh-CN"/>
        </w:rPr>
        <w:t>9</w:t>
      </w:r>
      <w:r>
        <w:rPr>
          <w:rFonts w:hint="eastAsia" w:ascii="仿宋" w:hAnsi="仿宋" w:eastAsia="仿宋" w:cs="仿宋"/>
          <w:b/>
          <w:bCs/>
          <w:color w:val="0000FF"/>
          <w:szCs w:val="21"/>
          <w:highlight w:val="none"/>
        </w:rPr>
        <w:t>日，每天上午</w:t>
      </w:r>
      <w:r>
        <w:rPr>
          <w:rFonts w:hint="eastAsia" w:ascii="仿宋" w:hAnsi="仿宋" w:eastAsia="仿宋" w:cs="仿宋"/>
          <w:b/>
          <w:bCs/>
          <w:color w:val="0000FF"/>
          <w:szCs w:val="21"/>
          <w:highlight w:val="none"/>
          <w:lang w:eastAsia="zh-CN"/>
        </w:rPr>
        <w:t>10:00至13:30</w:t>
      </w:r>
      <w:r>
        <w:rPr>
          <w:rFonts w:hint="eastAsia" w:ascii="仿宋" w:hAnsi="仿宋" w:eastAsia="仿宋" w:cs="仿宋"/>
          <w:b/>
          <w:bCs/>
          <w:color w:val="0000FF"/>
          <w:szCs w:val="21"/>
          <w:highlight w:val="none"/>
        </w:rPr>
        <w:t>，下午</w:t>
      </w:r>
      <w:r>
        <w:rPr>
          <w:rFonts w:hint="eastAsia" w:ascii="仿宋" w:hAnsi="仿宋" w:eastAsia="仿宋" w:cs="仿宋"/>
          <w:b/>
          <w:bCs/>
          <w:color w:val="0000FF"/>
          <w:szCs w:val="21"/>
          <w:highlight w:val="none"/>
          <w:lang w:eastAsia="zh-CN"/>
        </w:rPr>
        <w:t>16:</w:t>
      </w:r>
      <w:r>
        <w:rPr>
          <w:rFonts w:hint="eastAsia" w:ascii="仿宋" w:hAnsi="仿宋" w:eastAsia="仿宋" w:cs="仿宋"/>
          <w:b/>
          <w:bCs/>
          <w:color w:val="0000FF"/>
          <w:szCs w:val="21"/>
          <w:highlight w:val="none"/>
          <w:lang w:val="en-US" w:eastAsia="zh-CN"/>
        </w:rPr>
        <w:t>3</w:t>
      </w:r>
      <w:r>
        <w:rPr>
          <w:rFonts w:hint="eastAsia" w:ascii="仿宋" w:hAnsi="仿宋" w:eastAsia="仿宋" w:cs="仿宋"/>
          <w:b/>
          <w:bCs/>
          <w:color w:val="0000FF"/>
          <w:szCs w:val="21"/>
          <w:highlight w:val="none"/>
          <w:lang w:eastAsia="zh-CN"/>
        </w:rPr>
        <w:t>0至20：00</w:t>
      </w:r>
      <w:r>
        <w:rPr>
          <w:rFonts w:hint="eastAsia" w:ascii="仿宋" w:hAnsi="仿宋" w:eastAsia="仿宋" w:cs="仿宋"/>
          <w:szCs w:val="21"/>
          <w:highlight w:val="none"/>
        </w:rPr>
        <w:t>（北京时间，法定节假日除外）</w:t>
      </w:r>
    </w:p>
    <w:p>
      <w:pPr>
        <w:spacing w:line="3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2、地点：供应商</w:t>
      </w:r>
      <w:r>
        <w:rPr>
          <w:rFonts w:hint="eastAsia" w:ascii="仿宋" w:hAnsi="仿宋" w:eastAsia="仿宋" w:cs="仿宋"/>
          <w:szCs w:val="21"/>
          <w:highlight w:val="none"/>
          <w:lang w:val="en-US" w:eastAsia="zh-CN"/>
        </w:rPr>
        <w:t>登录</w:t>
      </w:r>
      <w:r>
        <w:rPr>
          <w:rFonts w:hint="eastAsia" w:ascii="仿宋" w:hAnsi="仿宋" w:eastAsia="仿宋" w:cs="仿宋"/>
          <w:szCs w:val="21"/>
          <w:highlight w:val="none"/>
        </w:rPr>
        <w:t>政采云平台http://www.zcygov.cn/，在线申请获取竞争性磋商文件（登录政府采购云平台 → 项目采购 → 获取竞争性磋商文件→申请，审核通过后可下载竞争性磋商文件，如有操作性问题，可与政采云在线客服进行咨询，咨询电话：</w:t>
      </w:r>
      <w:r>
        <w:rPr>
          <w:rFonts w:hint="eastAsia" w:ascii="仿宋" w:hAnsi="仿宋" w:eastAsia="仿宋" w:cs="仿宋"/>
          <w:szCs w:val="21"/>
          <w:highlight w:val="none"/>
          <w:lang w:eastAsia="zh-CN"/>
        </w:rPr>
        <w:t>95763</w:t>
      </w:r>
      <w:r>
        <w:rPr>
          <w:rFonts w:hint="eastAsia" w:ascii="仿宋" w:hAnsi="仿宋" w:eastAsia="仿宋" w:cs="仿宋"/>
          <w:szCs w:val="21"/>
          <w:highlight w:val="none"/>
        </w:rPr>
        <w:t>）。 </w:t>
      </w:r>
    </w:p>
    <w:p>
      <w:pPr>
        <w:spacing w:line="3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3、方式：（1）线上获取（登录政府采购云平台 → 项目采购 → 获取竞争性磋商文件→ 申请，审核通过后可下载竞争性磋商文件）。本次招标不提供纸质版竞争性磋商文件。（2）供应商获取竞争性磋商文件前应注册成为政府采购云平台正式供应商。</w:t>
      </w:r>
    </w:p>
    <w:p>
      <w:pPr>
        <w:spacing w:line="3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4、售价：0元</w:t>
      </w:r>
    </w:p>
    <w:p>
      <w:pPr>
        <w:spacing w:line="320" w:lineRule="exact"/>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四、提交投标文件截止时间、开标时间和地点</w:t>
      </w:r>
    </w:p>
    <w:p>
      <w:pPr>
        <w:spacing w:line="3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截止时间：202</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年</w:t>
      </w:r>
      <w:r>
        <w:rPr>
          <w:rFonts w:hint="eastAsia" w:ascii="仿宋" w:hAnsi="仿宋" w:eastAsia="仿宋" w:cs="仿宋"/>
          <w:szCs w:val="21"/>
          <w:highlight w:val="none"/>
          <w:lang w:val="en-US" w:eastAsia="zh-CN"/>
        </w:rPr>
        <w:t>10</w:t>
      </w:r>
      <w:r>
        <w:rPr>
          <w:rFonts w:hint="eastAsia" w:ascii="仿宋" w:hAnsi="仿宋" w:eastAsia="仿宋" w:cs="仿宋"/>
          <w:szCs w:val="21"/>
          <w:highlight w:val="none"/>
        </w:rPr>
        <w:t>月</w:t>
      </w:r>
      <w:r>
        <w:rPr>
          <w:rFonts w:hint="eastAsia" w:ascii="仿宋" w:hAnsi="仿宋" w:eastAsia="仿宋" w:cs="仿宋"/>
          <w:szCs w:val="21"/>
          <w:highlight w:val="none"/>
          <w:lang w:val="en-US" w:eastAsia="zh-CN"/>
        </w:rPr>
        <w:t>11</w:t>
      </w:r>
      <w:r>
        <w:rPr>
          <w:rFonts w:hint="eastAsia" w:ascii="仿宋" w:hAnsi="仿宋" w:eastAsia="仿宋" w:cs="仿宋"/>
          <w:szCs w:val="21"/>
          <w:highlight w:val="none"/>
        </w:rPr>
        <w:t>日11：00（北京时间）</w:t>
      </w:r>
    </w:p>
    <w:p>
      <w:pPr>
        <w:spacing w:line="3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投标地点：政府采购云平台（www.zcygov.cn）</w:t>
      </w:r>
    </w:p>
    <w:p>
      <w:pPr>
        <w:spacing w:line="3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供应商应于202</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年</w:t>
      </w:r>
      <w:r>
        <w:rPr>
          <w:rFonts w:hint="eastAsia" w:ascii="仿宋" w:hAnsi="仿宋" w:eastAsia="仿宋" w:cs="仿宋"/>
          <w:szCs w:val="21"/>
          <w:highlight w:val="none"/>
          <w:lang w:val="en-US" w:eastAsia="zh-CN"/>
        </w:rPr>
        <w:t>10</w:t>
      </w:r>
      <w:r>
        <w:rPr>
          <w:rFonts w:hint="eastAsia" w:ascii="仿宋" w:hAnsi="仿宋" w:eastAsia="仿宋" w:cs="仿宋"/>
          <w:szCs w:val="21"/>
          <w:highlight w:val="none"/>
        </w:rPr>
        <w:t>月</w:t>
      </w:r>
      <w:r>
        <w:rPr>
          <w:rFonts w:hint="eastAsia" w:ascii="仿宋" w:hAnsi="仿宋" w:eastAsia="仿宋" w:cs="仿宋"/>
          <w:szCs w:val="21"/>
          <w:highlight w:val="none"/>
          <w:lang w:val="en-US" w:eastAsia="zh-CN"/>
        </w:rPr>
        <w:t>11</w:t>
      </w:r>
      <w:r>
        <w:rPr>
          <w:rFonts w:hint="eastAsia" w:ascii="仿宋" w:hAnsi="仿宋" w:eastAsia="仿宋" w:cs="仿宋"/>
          <w:szCs w:val="21"/>
          <w:highlight w:val="none"/>
        </w:rPr>
        <w:t>日11：00（北京时间）之前将电子投标文件上传到“政采云”平台。</w:t>
      </w:r>
    </w:p>
    <w:p>
      <w:pPr>
        <w:spacing w:line="3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开标时间：202</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年</w:t>
      </w:r>
      <w:r>
        <w:rPr>
          <w:rFonts w:hint="eastAsia" w:ascii="仿宋" w:hAnsi="仿宋" w:eastAsia="仿宋" w:cs="仿宋"/>
          <w:szCs w:val="21"/>
          <w:highlight w:val="none"/>
          <w:lang w:val="en-US" w:eastAsia="zh-CN"/>
        </w:rPr>
        <w:t>10</w:t>
      </w:r>
      <w:r>
        <w:rPr>
          <w:rFonts w:hint="eastAsia" w:ascii="仿宋" w:hAnsi="仿宋" w:eastAsia="仿宋" w:cs="仿宋"/>
          <w:szCs w:val="21"/>
          <w:highlight w:val="none"/>
        </w:rPr>
        <w:t>月</w:t>
      </w:r>
      <w:r>
        <w:rPr>
          <w:rFonts w:hint="eastAsia" w:ascii="仿宋" w:hAnsi="仿宋" w:eastAsia="仿宋" w:cs="仿宋"/>
          <w:szCs w:val="21"/>
          <w:highlight w:val="none"/>
          <w:lang w:val="en-US" w:eastAsia="zh-CN"/>
        </w:rPr>
        <w:t>11</w:t>
      </w:r>
      <w:r>
        <w:rPr>
          <w:rFonts w:hint="eastAsia" w:ascii="仿宋" w:hAnsi="仿宋" w:eastAsia="仿宋" w:cs="仿宋"/>
          <w:szCs w:val="21"/>
          <w:highlight w:val="none"/>
        </w:rPr>
        <w:t>日11：00（北京时间）</w:t>
      </w:r>
    </w:p>
    <w:p>
      <w:pPr>
        <w:spacing w:line="3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开标地点：在政府采购云平台（www.zcygov.cn）上开启投标文件</w:t>
      </w:r>
    </w:p>
    <w:p>
      <w:pPr>
        <w:spacing w:line="320" w:lineRule="exact"/>
        <w:ind w:firstLine="420" w:firstLineChars="200"/>
        <w:rPr>
          <w:rFonts w:ascii="仿宋" w:hAnsi="仿宋" w:eastAsia="仿宋" w:cs="仿宋"/>
          <w:kern w:val="0"/>
          <w:szCs w:val="21"/>
          <w:highlight w:val="none"/>
        </w:rPr>
      </w:pPr>
      <w:r>
        <w:rPr>
          <w:rFonts w:hint="eastAsia" w:ascii="仿宋" w:hAnsi="仿宋" w:eastAsia="仿宋" w:cs="仿宋"/>
          <w:szCs w:val="21"/>
          <w:highlight w:val="none"/>
        </w:rPr>
        <w:t>开标时间后，待采购组织机构发出解密通知后30分钟内，供应商须登录“政采云”平台，</w:t>
      </w:r>
      <w:r>
        <w:rPr>
          <w:rFonts w:hint="eastAsia" w:ascii="仿宋" w:hAnsi="仿宋" w:eastAsia="仿宋" w:cs="仿宋"/>
          <w:kern w:val="0"/>
          <w:szCs w:val="21"/>
          <w:highlight w:val="none"/>
        </w:rPr>
        <w:t>用“项目采购-开标评标”功能解密投标文件。</w:t>
      </w:r>
    </w:p>
    <w:p>
      <w:pPr>
        <w:spacing w:line="320" w:lineRule="exact"/>
        <w:ind w:firstLine="420" w:firstLineChars="200"/>
        <w:rPr>
          <w:rFonts w:ascii="仿宋" w:hAnsi="仿宋" w:eastAsia="仿宋" w:cs="仿宋"/>
          <w:kern w:val="0"/>
          <w:szCs w:val="21"/>
          <w:highlight w:val="none"/>
        </w:rPr>
      </w:pPr>
      <w:bookmarkStart w:id="14" w:name="_Toc35393803"/>
      <w:bookmarkStart w:id="15" w:name="_Toc35393634"/>
      <w:bookmarkStart w:id="16" w:name="_Toc28359094"/>
      <w:bookmarkStart w:id="17" w:name="_Toc28359017"/>
      <w:r>
        <w:rPr>
          <w:rFonts w:hint="eastAsia" w:ascii="仿宋" w:hAnsi="仿宋" w:eastAsia="仿宋" w:cs="仿宋"/>
          <w:kern w:val="0"/>
          <w:szCs w:val="21"/>
          <w:highlight w:val="none"/>
        </w:rPr>
        <w:t>五、公告期限</w:t>
      </w:r>
      <w:bookmarkEnd w:id="14"/>
      <w:bookmarkEnd w:id="15"/>
      <w:bookmarkEnd w:id="16"/>
      <w:bookmarkEnd w:id="17"/>
    </w:p>
    <w:p>
      <w:pPr>
        <w:spacing w:line="320" w:lineRule="exact"/>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自本公告发布之日起3个工作日。</w:t>
      </w:r>
    </w:p>
    <w:p>
      <w:pPr>
        <w:spacing w:line="320" w:lineRule="exact"/>
        <w:ind w:firstLine="420" w:firstLineChars="200"/>
        <w:rPr>
          <w:rFonts w:ascii="仿宋" w:hAnsi="仿宋" w:eastAsia="仿宋" w:cs="仿宋"/>
          <w:szCs w:val="21"/>
          <w:highlight w:val="none"/>
        </w:rPr>
      </w:pPr>
      <w:bookmarkStart w:id="18" w:name="_Toc35393635"/>
      <w:bookmarkStart w:id="19" w:name="_Toc35393804"/>
      <w:r>
        <w:rPr>
          <w:rFonts w:hint="eastAsia" w:ascii="仿宋" w:hAnsi="仿宋" w:eastAsia="仿宋" w:cs="仿宋"/>
          <w:szCs w:val="21"/>
          <w:highlight w:val="none"/>
        </w:rPr>
        <w:t>六、其他补充事宜</w:t>
      </w:r>
      <w:bookmarkEnd w:id="18"/>
      <w:bookmarkEnd w:id="19"/>
    </w:p>
    <w:p>
      <w:pPr>
        <w:spacing w:line="3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1.本项目采用全流程不见面电子开评标，投标供应商需要使用CA加密设备，供应商可通过新疆数字证书认证中心官网（https://www.xjca.com.cn/）或下载“新疆政务通”APP自行进行申领。</w:t>
      </w:r>
    </w:p>
    <w:p>
      <w:pPr>
        <w:spacing w:line="3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2.本项目实行网上投标，采用加密电子投标文件(供应商须使用CA加密设备通过政采云电子投标客户端制作投标文件)。若供应商参与投标，自行承担投标一切费用。</w:t>
      </w:r>
    </w:p>
    <w:p>
      <w:pPr>
        <w:spacing w:line="3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spacing w:line="3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w:t>
      </w:r>
      <w:r>
        <w:rPr>
          <w:rFonts w:hint="eastAsia" w:ascii="仿宋" w:hAnsi="仿宋" w:eastAsia="仿宋" w:cs="仿宋"/>
          <w:szCs w:val="21"/>
          <w:highlight w:val="none"/>
          <w:lang w:eastAsia="zh-CN"/>
        </w:rPr>
        <w:t>95763</w:t>
      </w:r>
      <w:r>
        <w:rPr>
          <w:rFonts w:hint="eastAsia" w:ascii="仿宋" w:hAnsi="仿宋" w:eastAsia="仿宋" w:cs="仿宋"/>
          <w:szCs w:val="21"/>
          <w:highlight w:val="none"/>
        </w:rPr>
        <w:t>进行咨询。</w:t>
      </w:r>
    </w:p>
    <w:p>
      <w:pPr>
        <w:spacing w:line="3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5.供应商在开标时须使用制作加密电子投标文件所使用的CA锁及电脑，电脑须提前配置好浏览器（建议使用谷歌浏览器），以便开标时解锁。</w:t>
      </w:r>
    </w:p>
    <w:p>
      <w:pPr>
        <w:spacing w:line="32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6.供应商对不见面开评标系统的技术操作咨询，可通过</w:t>
      </w:r>
      <w:r>
        <w:rPr>
          <w:highlight w:val="none"/>
        </w:rPr>
        <w:fldChar w:fldCharType="begin"/>
      </w:r>
      <w:r>
        <w:rPr>
          <w:highlight w:val="none"/>
        </w:rPr>
        <w:instrText xml:space="preserve"> HYPERLINK "https://edu.zcygov.cn/luban/xinjiang-e-biding自助查询，也可在政采云帮助中心常见问题解答和操作流程讲解视频中自助查询，网址" </w:instrText>
      </w:r>
      <w:r>
        <w:rPr>
          <w:highlight w:val="none"/>
        </w:rPr>
        <w:fldChar w:fldCharType="separate"/>
      </w:r>
      <w:r>
        <w:rPr>
          <w:rFonts w:hint="eastAsia" w:ascii="仿宋" w:hAnsi="仿宋" w:eastAsia="仿宋" w:cs="仿宋"/>
          <w:szCs w:val="21"/>
          <w:highlight w:val="none"/>
        </w:rPr>
        <w:t>https://edu.zcygov.cn/luban/xinjiang-e-biding自助查询，也可在政采云帮助中心常见问题解答和操作流程讲解视频中自助查询，网址</w:t>
      </w:r>
      <w:r>
        <w:rPr>
          <w:rFonts w:hint="eastAsia" w:ascii="仿宋" w:hAnsi="仿宋" w:eastAsia="仿宋" w:cs="仿宋"/>
          <w:szCs w:val="21"/>
          <w:highlight w:val="none"/>
        </w:rPr>
        <w:fldChar w:fldCharType="end"/>
      </w:r>
      <w:r>
        <w:rPr>
          <w:rFonts w:hint="eastAsia" w:ascii="仿宋" w:hAnsi="仿宋" w:eastAsia="仿宋" w:cs="仿宋"/>
          <w:szCs w:val="21"/>
          <w:highlight w:val="none"/>
        </w:rPr>
        <w:t>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二十群：35547618、二十一群：44303812，钉钉工具软件具有回放功能，直播培训结束后可在钉钉群中回放观看学习。</w:t>
      </w:r>
    </w:p>
    <w:p>
      <w:pPr>
        <w:spacing w:line="3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7.为了保证开评标顺利进行，政采云线上开标功能完全实现，供应商开标所使用的电脑设备须具有视频及语音功能。</w:t>
      </w:r>
    </w:p>
    <w:p>
      <w:pPr>
        <w:ind w:left="420" w:leftChars="200"/>
        <w:rPr>
          <w:rFonts w:ascii="仿宋" w:hAnsi="仿宋" w:eastAsia="仿宋" w:cs="仿宋"/>
          <w:b/>
          <w:bCs/>
          <w:szCs w:val="21"/>
          <w:highlight w:val="none"/>
        </w:rPr>
      </w:pPr>
      <w:r>
        <w:rPr>
          <w:rFonts w:ascii="仿宋" w:hAnsi="仿宋" w:eastAsia="仿宋" w:cs="仿宋"/>
          <w:b/>
          <w:bCs/>
          <w:szCs w:val="21"/>
          <w:highlight w:val="none"/>
        </w:rPr>
        <w:t>特别提示：</w:t>
      </w:r>
    </w:p>
    <w:p>
      <w:pPr>
        <w:ind w:left="420" w:leftChars="200"/>
        <w:rPr>
          <w:rFonts w:ascii="仿宋" w:hAnsi="仿宋" w:eastAsia="仿宋" w:cs="仿宋"/>
          <w:szCs w:val="21"/>
          <w:highlight w:val="none"/>
        </w:rPr>
      </w:pPr>
      <w:r>
        <w:rPr>
          <w:rFonts w:ascii="仿宋" w:hAnsi="仿宋" w:eastAsia="仿宋" w:cs="仿宋"/>
          <w:szCs w:val="21"/>
          <w:highlight w:val="none"/>
        </w:rPr>
        <w:t>1、超过200万元的货物和服务采购项目、超过400万元的工程采购项目中适宜由中小企业提供的，预留该部分采购项目预算总额的40%以上专门面向中小企业采购，其中预留给小微企业的比例不低于60%。</w:t>
      </w:r>
    </w:p>
    <w:p>
      <w:pPr>
        <w:ind w:left="420" w:leftChars="200"/>
        <w:rPr>
          <w:rFonts w:ascii="仿宋" w:hAnsi="仿宋" w:eastAsia="仿宋" w:cs="仿宋"/>
          <w:szCs w:val="21"/>
          <w:highlight w:val="none"/>
        </w:rPr>
      </w:pPr>
      <w:r>
        <w:rPr>
          <w:rFonts w:ascii="仿宋" w:hAnsi="仿宋" w:eastAsia="仿宋" w:cs="仿宋"/>
          <w:szCs w:val="21"/>
          <w:highlight w:val="none"/>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ind w:left="420" w:leftChars="200"/>
        <w:rPr>
          <w:highlight w:val="none"/>
        </w:rPr>
      </w:pPr>
      <w:r>
        <w:rPr>
          <w:rFonts w:ascii="仿宋" w:hAnsi="仿宋" w:eastAsia="仿宋" w:cs="仿宋"/>
          <w:szCs w:val="21"/>
          <w:highlight w:val="none"/>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ind w:firstLine="420" w:firstLineChars="200"/>
        <w:rPr>
          <w:rFonts w:ascii="仿宋" w:hAnsi="仿宋" w:eastAsia="仿宋" w:cs="仿宋"/>
          <w:kern w:val="0"/>
          <w:szCs w:val="21"/>
          <w:highlight w:val="none"/>
        </w:rPr>
      </w:pPr>
      <w:bookmarkStart w:id="20" w:name="_Toc35393805"/>
      <w:bookmarkStart w:id="21" w:name="_Toc28359018"/>
      <w:bookmarkStart w:id="22" w:name="_Toc35393636"/>
      <w:bookmarkStart w:id="23" w:name="_Toc28359095"/>
    </w:p>
    <w:p>
      <w:pPr>
        <w:ind w:firstLine="420" w:firstLineChars="200"/>
        <w:rPr>
          <w:rFonts w:ascii="仿宋" w:hAnsi="仿宋" w:eastAsia="仿宋"/>
          <w:szCs w:val="21"/>
          <w:highlight w:val="none"/>
        </w:rPr>
      </w:pPr>
      <w:r>
        <w:rPr>
          <w:rFonts w:hint="eastAsia" w:ascii="仿宋" w:hAnsi="仿宋" w:eastAsia="仿宋" w:cs="仿宋"/>
          <w:kern w:val="0"/>
          <w:szCs w:val="21"/>
          <w:highlight w:val="none"/>
        </w:rPr>
        <w:t>七、凡对</w:t>
      </w:r>
      <w:r>
        <w:rPr>
          <w:rFonts w:hint="eastAsia" w:ascii="仿宋" w:hAnsi="仿宋" w:eastAsia="仿宋" w:cs="仿宋"/>
          <w:szCs w:val="21"/>
          <w:highlight w:val="none"/>
        </w:rPr>
        <w:t>本次采购提出询问，请按以下方式联系。</w:t>
      </w:r>
      <w:bookmarkEnd w:id="20"/>
      <w:bookmarkEnd w:id="21"/>
      <w:bookmarkEnd w:id="22"/>
      <w:bookmarkEnd w:id="23"/>
    </w:p>
    <w:p>
      <w:pPr>
        <w:ind w:firstLine="420" w:firstLineChars="200"/>
        <w:rPr>
          <w:rFonts w:ascii="仿宋" w:hAnsi="仿宋" w:eastAsia="仿宋" w:cs="仿宋"/>
          <w:szCs w:val="21"/>
          <w:highlight w:val="none"/>
        </w:rPr>
      </w:pPr>
      <w:r>
        <w:rPr>
          <w:rFonts w:hint="eastAsia" w:ascii="仿宋" w:hAnsi="仿宋" w:eastAsia="仿宋" w:cs="仿宋"/>
          <w:szCs w:val="21"/>
          <w:highlight w:val="none"/>
        </w:rPr>
        <w:t>1.采购人信息</w:t>
      </w:r>
    </w:p>
    <w:p>
      <w:pPr>
        <w:ind w:firstLine="420" w:firstLineChars="200"/>
        <w:rPr>
          <w:rFonts w:hint="eastAsia" w:ascii="仿宋" w:hAnsi="仿宋" w:eastAsia="仿宋" w:cs="仿宋"/>
          <w:szCs w:val="21"/>
          <w:highlight w:val="none"/>
          <w:lang w:eastAsia="zh-CN"/>
        </w:rPr>
      </w:pPr>
      <w:r>
        <w:rPr>
          <w:rFonts w:hint="eastAsia" w:ascii="仿宋" w:hAnsi="仿宋" w:eastAsia="仿宋" w:cs="仿宋"/>
          <w:szCs w:val="21"/>
          <w:highlight w:val="none"/>
        </w:rPr>
        <w:t>名 称：</w:t>
      </w:r>
      <w:r>
        <w:rPr>
          <w:rFonts w:hint="eastAsia" w:ascii="仿宋" w:hAnsi="仿宋" w:eastAsia="仿宋" w:cs="仿宋"/>
          <w:szCs w:val="21"/>
          <w:highlight w:val="none"/>
          <w:lang w:eastAsia="zh-CN"/>
        </w:rPr>
        <w:t>阿克陶县财政局</w:t>
      </w:r>
    </w:p>
    <w:p>
      <w:pPr>
        <w:ind w:firstLine="420" w:firstLineChars="200"/>
        <w:rPr>
          <w:rFonts w:ascii="仿宋" w:hAnsi="仿宋" w:eastAsia="仿宋" w:cs="仿宋"/>
          <w:szCs w:val="21"/>
          <w:highlight w:val="none"/>
        </w:rPr>
      </w:pPr>
      <w:r>
        <w:rPr>
          <w:rFonts w:hint="eastAsia" w:ascii="仿宋" w:hAnsi="仿宋" w:eastAsia="仿宋" w:cs="仿宋"/>
          <w:szCs w:val="21"/>
          <w:highlight w:val="none"/>
        </w:rPr>
        <w:t>地 址：阿克陶县</w:t>
      </w:r>
    </w:p>
    <w:p>
      <w:pPr>
        <w:ind w:firstLine="420" w:firstLineChars="200"/>
        <w:rPr>
          <w:rFonts w:hint="default" w:ascii="仿宋" w:hAnsi="仿宋" w:eastAsia="仿宋" w:cs="仿宋"/>
          <w:szCs w:val="21"/>
          <w:highlight w:val="none"/>
          <w:lang w:val="en-US" w:eastAsia="zh-CN"/>
        </w:rPr>
      </w:pPr>
      <w:r>
        <w:rPr>
          <w:rFonts w:hint="eastAsia" w:ascii="仿宋" w:hAnsi="仿宋" w:eastAsia="仿宋" w:cs="仿宋"/>
          <w:szCs w:val="21"/>
          <w:highlight w:val="none"/>
        </w:rPr>
        <w:t>联系方式：</w:t>
      </w:r>
      <w:r>
        <w:rPr>
          <w:rFonts w:hint="eastAsia" w:ascii="仿宋" w:hAnsi="仿宋" w:eastAsia="仿宋" w:cs="仿宋"/>
          <w:szCs w:val="21"/>
          <w:highlight w:val="none"/>
          <w:lang w:val="en-US" w:eastAsia="zh-CN"/>
        </w:rPr>
        <w:t>18609080695</w:t>
      </w:r>
    </w:p>
    <w:p>
      <w:pPr>
        <w:ind w:firstLine="420" w:firstLineChars="200"/>
        <w:rPr>
          <w:rFonts w:ascii="仿宋" w:hAnsi="仿宋" w:eastAsia="仿宋" w:cs="仿宋"/>
          <w:szCs w:val="21"/>
          <w:highlight w:val="none"/>
        </w:rPr>
      </w:pPr>
      <w:r>
        <w:rPr>
          <w:rFonts w:hint="eastAsia" w:ascii="仿宋" w:hAnsi="仿宋" w:eastAsia="仿宋" w:cs="仿宋"/>
          <w:szCs w:val="21"/>
          <w:highlight w:val="none"/>
        </w:rPr>
        <w:t>2.采购代理机构信息</w:t>
      </w:r>
    </w:p>
    <w:p>
      <w:pPr>
        <w:ind w:firstLine="420" w:firstLineChars="200"/>
        <w:rPr>
          <w:rFonts w:hint="eastAsia" w:ascii="仿宋" w:hAnsi="仿宋" w:eastAsia="仿宋" w:cs="仿宋"/>
          <w:szCs w:val="21"/>
          <w:highlight w:val="none"/>
          <w:lang w:eastAsia="zh-CN"/>
        </w:rPr>
      </w:pPr>
      <w:r>
        <w:rPr>
          <w:rFonts w:hint="eastAsia" w:ascii="仿宋" w:hAnsi="仿宋" w:eastAsia="仿宋" w:cs="仿宋"/>
          <w:szCs w:val="21"/>
          <w:highlight w:val="none"/>
        </w:rPr>
        <w:t>名 称：</w:t>
      </w:r>
      <w:r>
        <w:rPr>
          <w:rFonts w:hint="eastAsia" w:ascii="仿宋" w:hAnsi="仿宋" w:eastAsia="仿宋" w:cs="仿宋"/>
          <w:szCs w:val="21"/>
          <w:highlight w:val="none"/>
          <w:lang w:eastAsia="zh-CN"/>
        </w:rPr>
        <w:t>中科建疆工程管理有限公司</w:t>
      </w:r>
    </w:p>
    <w:p>
      <w:pPr>
        <w:ind w:firstLine="420" w:firstLineChars="200"/>
        <w:rPr>
          <w:rFonts w:ascii="仿宋" w:hAnsi="仿宋" w:eastAsia="仿宋" w:cs="仿宋"/>
          <w:szCs w:val="21"/>
          <w:highlight w:val="none"/>
        </w:rPr>
      </w:pPr>
      <w:r>
        <w:rPr>
          <w:rFonts w:hint="eastAsia" w:ascii="仿宋" w:hAnsi="仿宋" w:eastAsia="仿宋" w:cs="仿宋"/>
          <w:szCs w:val="21"/>
          <w:highlight w:val="none"/>
        </w:rPr>
        <w:t xml:space="preserve">地 址：阿克陶县发展大厦5楼     </w:t>
      </w:r>
    </w:p>
    <w:p>
      <w:pPr>
        <w:ind w:firstLine="420" w:firstLineChars="200"/>
        <w:rPr>
          <w:rFonts w:hint="default" w:ascii="仿宋" w:hAnsi="仿宋" w:eastAsia="仿宋" w:cs="仿宋"/>
          <w:szCs w:val="21"/>
          <w:highlight w:val="none"/>
          <w:lang w:val="en-US" w:eastAsia="zh-CN"/>
        </w:rPr>
      </w:pPr>
      <w:r>
        <w:rPr>
          <w:rFonts w:hint="eastAsia" w:ascii="仿宋" w:hAnsi="仿宋" w:eastAsia="仿宋" w:cs="仿宋"/>
          <w:szCs w:val="21"/>
          <w:highlight w:val="none"/>
        </w:rPr>
        <w:t xml:space="preserve"> 联系方式：</w:t>
      </w:r>
      <w:r>
        <w:rPr>
          <w:rFonts w:hint="eastAsia" w:ascii="仿宋" w:hAnsi="仿宋" w:eastAsia="仿宋" w:cs="仿宋"/>
          <w:szCs w:val="21"/>
          <w:highlight w:val="none"/>
          <w:lang w:eastAsia="zh-CN"/>
        </w:rPr>
        <w:t>邓</w:t>
      </w:r>
      <w:r>
        <w:rPr>
          <w:rFonts w:hint="eastAsia" w:ascii="仿宋" w:hAnsi="仿宋" w:eastAsia="仿宋" w:cs="仿宋"/>
          <w:szCs w:val="21"/>
          <w:highlight w:val="none"/>
        </w:rPr>
        <w:t xml:space="preserve">女士 </w:t>
      </w:r>
      <w:r>
        <w:rPr>
          <w:rFonts w:hint="eastAsia" w:ascii="仿宋" w:hAnsi="仿宋" w:eastAsia="仿宋" w:cs="仿宋"/>
          <w:szCs w:val="21"/>
          <w:highlight w:val="none"/>
          <w:lang w:eastAsia="zh-CN"/>
        </w:rPr>
        <w:t>133</w:t>
      </w:r>
      <w:r>
        <w:rPr>
          <w:rFonts w:hint="eastAsia" w:ascii="仿宋" w:hAnsi="仿宋" w:eastAsia="仿宋" w:cs="仿宋"/>
          <w:szCs w:val="21"/>
          <w:highlight w:val="none"/>
          <w:lang w:val="en-US" w:eastAsia="zh-CN"/>
        </w:rPr>
        <w:t>64782532</w:t>
      </w:r>
    </w:p>
    <w:p>
      <w:pPr>
        <w:spacing w:line="500" w:lineRule="exact"/>
        <w:jc w:val="center"/>
        <w:outlineLvl w:val="0"/>
        <w:rPr>
          <w:rFonts w:ascii="宋体"/>
          <w:b/>
          <w:sz w:val="32"/>
          <w:szCs w:val="32"/>
          <w:highlight w:val="none"/>
        </w:rPr>
      </w:pPr>
    </w:p>
    <w:p>
      <w:pPr>
        <w:spacing w:line="500" w:lineRule="exact"/>
        <w:jc w:val="center"/>
        <w:outlineLvl w:val="0"/>
        <w:rPr>
          <w:rFonts w:ascii="宋体"/>
          <w:b/>
          <w:sz w:val="32"/>
          <w:szCs w:val="32"/>
          <w:highlight w:val="none"/>
        </w:rPr>
      </w:pPr>
    </w:p>
    <w:p>
      <w:pPr>
        <w:spacing w:line="500" w:lineRule="exact"/>
        <w:jc w:val="center"/>
        <w:outlineLvl w:val="0"/>
        <w:rPr>
          <w:rFonts w:ascii="宋体"/>
          <w:b/>
          <w:sz w:val="32"/>
          <w:szCs w:val="32"/>
          <w:highlight w:val="none"/>
        </w:rPr>
      </w:pPr>
    </w:p>
    <w:p>
      <w:pPr>
        <w:spacing w:line="500" w:lineRule="exact"/>
        <w:jc w:val="center"/>
        <w:outlineLvl w:val="0"/>
        <w:rPr>
          <w:rFonts w:ascii="宋体"/>
          <w:b/>
          <w:sz w:val="32"/>
          <w:szCs w:val="32"/>
          <w:highlight w:val="none"/>
        </w:rPr>
      </w:pPr>
    </w:p>
    <w:p>
      <w:pPr>
        <w:spacing w:line="500" w:lineRule="exact"/>
        <w:jc w:val="center"/>
        <w:outlineLvl w:val="0"/>
        <w:rPr>
          <w:rFonts w:ascii="宋体"/>
          <w:b/>
          <w:sz w:val="32"/>
          <w:szCs w:val="32"/>
          <w:highlight w:val="none"/>
        </w:rPr>
      </w:pPr>
    </w:p>
    <w:p>
      <w:pPr>
        <w:spacing w:line="500" w:lineRule="exact"/>
        <w:jc w:val="center"/>
        <w:outlineLvl w:val="0"/>
        <w:rPr>
          <w:rFonts w:ascii="宋体"/>
          <w:b/>
          <w:sz w:val="32"/>
          <w:szCs w:val="32"/>
          <w:highlight w:val="none"/>
        </w:rPr>
      </w:pPr>
    </w:p>
    <w:p>
      <w:pPr>
        <w:spacing w:line="500" w:lineRule="exact"/>
        <w:jc w:val="center"/>
        <w:outlineLvl w:val="0"/>
        <w:rPr>
          <w:rFonts w:ascii="宋体"/>
          <w:b/>
          <w:sz w:val="32"/>
          <w:szCs w:val="32"/>
          <w:highlight w:val="none"/>
        </w:rPr>
      </w:pPr>
    </w:p>
    <w:p>
      <w:pPr>
        <w:spacing w:line="500" w:lineRule="exact"/>
        <w:jc w:val="center"/>
        <w:outlineLvl w:val="0"/>
        <w:rPr>
          <w:rFonts w:ascii="宋体"/>
          <w:b/>
          <w:sz w:val="32"/>
          <w:szCs w:val="32"/>
          <w:highlight w:val="none"/>
        </w:rPr>
      </w:pPr>
    </w:p>
    <w:p>
      <w:pPr>
        <w:spacing w:line="500" w:lineRule="exact"/>
        <w:jc w:val="center"/>
        <w:outlineLvl w:val="0"/>
        <w:rPr>
          <w:rFonts w:ascii="宋体"/>
          <w:b/>
          <w:sz w:val="32"/>
          <w:szCs w:val="32"/>
          <w:highlight w:val="none"/>
        </w:rPr>
      </w:pPr>
    </w:p>
    <w:p>
      <w:pPr>
        <w:spacing w:line="500" w:lineRule="exact"/>
        <w:jc w:val="center"/>
        <w:outlineLvl w:val="0"/>
        <w:rPr>
          <w:rFonts w:ascii="宋体"/>
          <w:b/>
          <w:sz w:val="32"/>
          <w:szCs w:val="32"/>
          <w:highlight w:val="none"/>
        </w:rPr>
      </w:pPr>
    </w:p>
    <w:p>
      <w:pPr>
        <w:spacing w:line="500" w:lineRule="exact"/>
        <w:jc w:val="center"/>
        <w:outlineLvl w:val="0"/>
        <w:rPr>
          <w:rFonts w:ascii="宋体"/>
          <w:b/>
          <w:sz w:val="32"/>
          <w:szCs w:val="32"/>
          <w:highlight w:val="none"/>
        </w:rPr>
      </w:pPr>
    </w:p>
    <w:p>
      <w:pPr>
        <w:spacing w:line="500" w:lineRule="exact"/>
        <w:jc w:val="center"/>
        <w:outlineLvl w:val="0"/>
        <w:rPr>
          <w:rFonts w:ascii="宋体"/>
          <w:b/>
          <w:sz w:val="32"/>
          <w:szCs w:val="32"/>
          <w:highlight w:val="none"/>
        </w:rPr>
      </w:pPr>
    </w:p>
    <w:p>
      <w:pPr>
        <w:spacing w:line="500" w:lineRule="exact"/>
        <w:jc w:val="center"/>
        <w:outlineLvl w:val="0"/>
        <w:rPr>
          <w:rFonts w:ascii="宋体"/>
          <w:b/>
          <w:sz w:val="32"/>
          <w:szCs w:val="32"/>
          <w:highlight w:val="none"/>
        </w:rPr>
      </w:pPr>
    </w:p>
    <w:p>
      <w:pPr>
        <w:spacing w:line="500" w:lineRule="exact"/>
        <w:jc w:val="center"/>
        <w:outlineLvl w:val="0"/>
        <w:rPr>
          <w:rFonts w:ascii="宋体"/>
          <w:b/>
          <w:sz w:val="32"/>
          <w:szCs w:val="32"/>
          <w:highlight w:val="none"/>
        </w:rPr>
      </w:pPr>
    </w:p>
    <w:p>
      <w:pPr>
        <w:spacing w:line="500" w:lineRule="exact"/>
        <w:jc w:val="center"/>
        <w:outlineLvl w:val="0"/>
        <w:rPr>
          <w:rFonts w:ascii="宋体"/>
          <w:b/>
          <w:sz w:val="32"/>
          <w:szCs w:val="32"/>
          <w:highlight w:val="none"/>
        </w:rPr>
      </w:pPr>
    </w:p>
    <w:p>
      <w:pPr>
        <w:spacing w:line="500" w:lineRule="exact"/>
        <w:jc w:val="center"/>
        <w:outlineLvl w:val="0"/>
        <w:rPr>
          <w:rFonts w:ascii="宋体"/>
          <w:b/>
          <w:sz w:val="32"/>
          <w:szCs w:val="32"/>
          <w:highlight w:val="none"/>
        </w:rPr>
      </w:pPr>
    </w:p>
    <w:p>
      <w:pPr>
        <w:pStyle w:val="34"/>
        <w:rPr>
          <w:b/>
          <w:color w:val="auto"/>
          <w:sz w:val="32"/>
          <w:szCs w:val="32"/>
          <w:highlight w:val="none"/>
        </w:rPr>
      </w:pPr>
    </w:p>
    <w:p>
      <w:pPr>
        <w:rPr>
          <w:rFonts w:hint="eastAsia" w:ascii="宋体"/>
          <w:b/>
          <w:sz w:val="32"/>
          <w:szCs w:val="32"/>
          <w:highlight w:val="none"/>
        </w:rPr>
      </w:pPr>
      <w:r>
        <w:rPr>
          <w:rFonts w:hint="eastAsia" w:ascii="宋体"/>
          <w:b/>
          <w:sz w:val="32"/>
          <w:szCs w:val="32"/>
          <w:highlight w:val="none"/>
        </w:rPr>
        <w:br w:type="page"/>
      </w:r>
    </w:p>
    <w:p>
      <w:pPr>
        <w:spacing w:line="500" w:lineRule="exact"/>
        <w:jc w:val="center"/>
        <w:outlineLvl w:val="0"/>
        <w:rPr>
          <w:rFonts w:ascii="宋体"/>
          <w:b/>
          <w:sz w:val="32"/>
          <w:szCs w:val="32"/>
          <w:highlight w:val="none"/>
        </w:rPr>
      </w:pPr>
      <w:r>
        <w:rPr>
          <w:rFonts w:hint="eastAsia" w:ascii="宋体"/>
          <w:b/>
          <w:sz w:val="32"/>
          <w:szCs w:val="32"/>
          <w:highlight w:val="none"/>
        </w:rPr>
        <w:t>第二章 投标人须知</w:t>
      </w:r>
      <w:bookmarkEnd w:id="1"/>
    </w:p>
    <w:p>
      <w:pPr>
        <w:snapToGrid w:val="0"/>
        <w:spacing w:line="500" w:lineRule="exact"/>
        <w:jc w:val="center"/>
        <w:outlineLvl w:val="1"/>
        <w:rPr>
          <w:rFonts w:ascii="宋体"/>
          <w:b/>
          <w:sz w:val="28"/>
          <w:szCs w:val="28"/>
          <w:highlight w:val="none"/>
        </w:rPr>
      </w:pPr>
      <w:bookmarkStart w:id="24" w:name="_Toc26232"/>
      <w:r>
        <w:rPr>
          <w:rFonts w:hint="eastAsia" w:ascii="宋体"/>
          <w:b/>
          <w:sz w:val="32"/>
          <w:szCs w:val="32"/>
          <w:highlight w:val="none"/>
        </w:rPr>
        <w:t>一、</w:t>
      </w:r>
      <w:r>
        <w:rPr>
          <w:rFonts w:hint="eastAsia" w:ascii="宋体"/>
          <w:b/>
          <w:sz w:val="28"/>
          <w:szCs w:val="28"/>
          <w:highlight w:val="none"/>
        </w:rPr>
        <w:t>投标人须知前附表</w:t>
      </w:r>
      <w:bookmarkEnd w:id="24"/>
    </w:p>
    <w:tbl>
      <w:tblPr>
        <w:tblStyle w:val="24"/>
        <w:tblW w:w="4671"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498"/>
        <w:gridCol w:w="1549"/>
        <w:gridCol w:w="7467"/>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9" w:hRule="atLeast"/>
          <w:jc w:val="center"/>
        </w:trPr>
        <w:tc>
          <w:tcPr>
            <w:tcW w:w="262" w:type="pct"/>
            <w:vAlign w:val="center"/>
          </w:tcPr>
          <w:p>
            <w:pPr>
              <w:pStyle w:val="12"/>
              <w:snapToGrid w:val="0"/>
              <w:spacing w:line="290" w:lineRule="exact"/>
              <w:ind w:left="-94" w:leftChars="-45" w:right="-81" w:rightChars="-39"/>
              <w:jc w:val="center"/>
              <w:rPr>
                <w:b/>
                <w:color w:val="auto"/>
                <w:szCs w:val="21"/>
                <w:highlight w:val="none"/>
              </w:rPr>
            </w:pPr>
            <w:r>
              <w:rPr>
                <w:rFonts w:hint="eastAsia"/>
                <w:b/>
                <w:color w:val="auto"/>
                <w:szCs w:val="21"/>
                <w:highlight w:val="none"/>
              </w:rPr>
              <w:t>条款号</w:t>
            </w:r>
          </w:p>
        </w:tc>
        <w:tc>
          <w:tcPr>
            <w:tcW w:w="814" w:type="pct"/>
            <w:vAlign w:val="center"/>
          </w:tcPr>
          <w:p>
            <w:pPr>
              <w:pStyle w:val="12"/>
              <w:snapToGrid w:val="0"/>
              <w:spacing w:line="290" w:lineRule="exact"/>
              <w:jc w:val="center"/>
              <w:rPr>
                <w:b/>
                <w:color w:val="auto"/>
                <w:szCs w:val="21"/>
                <w:highlight w:val="none"/>
              </w:rPr>
            </w:pPr>
            <w:r>
              <w:rPr>
                <w:rFonts w:hint="eastAsia"/>
                <w:b/>
                <w:color w:val="auto"/>
                <w:szCs w:val="21"/>
                <w:highlight w:val="none"/>
              </w:rPr>
              <w:t>内容</w:t>
            </w:r>
          </w:p>
        </w:tc>
        <w:tc>
          <w:tcPr>
            <w:tcW w:w="3923" w:type="pct"/>
            <w:vAlign w:val="center"/>
          </w:tcPr>
          <w:p>
            <w:pPr>
              <w:pStyle w:val="12"/>
              <w:snapToGrid w:val="0"/>
              <w:spacing w:line="290" w:lineRule="exact"/>
              <w:jc w:val="center"/>
              <w:rPr>
                <w:b/>
                <w:color w:val="auto"/>
                <w:szCs w:val="21"/>
                <w:highlight w:val="none"/>
              </w:rPr>
            </w:pPr>
            <w:r>
              <w:rPr>
                <w:rFonts w:hint="eastAsia"/>
                <w:b/>
                <w:color w:val="auto"/>
                <w:szCs w:val="21"/>
                <w:highlight w:val="none"/>
              </w:rPr>
              <w:t>说明与要求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3" w:hRule="atLeast"/>
          <w:jc w:val="center"/>
        </w:trPr>
        <w:tc>
          <w:tcPr>
            <w:tcW w:w="262" w:type="pct"/>
            <w:vAlign w:val="center"/>
          </w:tcPr>
          <w:p>
            <w:pPr>
              <w:pStyle w:val="12"/>
              <w:snapToGrid w:val="0"/>
              <w:spacing w:line="290" w:lineRule="exact"/>
              <w:jc w:val="center"/>
              <w:rPr>
                <w:color w:val="auto"/>
                <w:szCs w:val="21"/>
                <w:highlight w:val="none"/>
              </w:rPr>
            </w:pPr>
            <w:r>
              <w:rPr>
                <w:rFonts w:hint="eastAsia"/>
                <w:color w:val="auto"/>
                <w:szCs w:val="21"/>
                <w:highlight w:val="none"/>
              </w:rPr>
              <w:t>1</w:t>
            </w:r>
          </w:p>
        </w:tc>
        <w:tc>
          <w:tcPr>
            <w:tcW w:w="814" w:type="pct"/>
            <w:vAlign w:val="center"/>
          </w:tcPr>
          <w:p>
            <w:pPr>
              <w:widowControl/>
              <w:spacing w:line="290" w:lineRule="exact"/>
              <w:jc w:val="left"/>
              <w:rPr>
                <w:highlight w:val="none"/>
              </w:rPr>
            </w:pPr>
            <w:r>
              <w:rPr>
                <w:rFonts w:hint="eastAsia"/>
                <w:highlight w:val="none"/>
              </w:rPr>
              <w:t>项目名称</w:t>
            </w:r>
          </w:p>
          <w:p>
            <w:pPr>
              <w:widowControl/>
              <w:spacing w:line="290" w:lineRule="exact"/>
              <w:jc w:val="left"/>
              <w:rPr>
                <w:highlight w:val="none"/>
              </w:rPr>
            </w:pPr>
            <w:r>
              <w:rPr>
                <w:rFonts w:hint="eastAsia"/>
                <w:highlight w:val="none"/>
              </w:rPr>
              <w:t>项目编号</w:t>
            </w:r>
          </w:p>
          <w:p>
            <w:pPr>
              <w:widowControl/>
              <w:spacing w:line="290" w:lineRule="exact"/>
              <w:jc w:val="left"/>
              <w:rPr>
                <w:highlight w:val="none"/>
              </w:rPr>
            </w:pPr>
            <w:r>
              <w:rPr>
                <w:rFonts w:hint="eastAsia"/>
                <w:highlight w:val="none"/>
              </w:rPr>
              <w:t>采购内容</w:t>
            </w:r>
          </w:p>
          <w:p>
            <w:pPr>
              <w:widowControl/>
              <w:spacing w:line="290" w:lineRule="exact"/>
              <w:jc w:val="left"/>
              <w:rPr>
                <w:highlight w:val="none"/>
              </w:rPr>
            </w:pPr>
          </w:p>
        </w:tc>
        <w:tc>
          <w:tcPr>
            <w:tcW w:w="3923" w:type="pct"/>
            <w:vAlign w:val="center"/>
          </w:tcPr>
          <w:p>
            <w:pPr>
              <w:widowControl/>
              <w:spacing w:line="290" w:lineRule="exact"/>
              <w:rPr>
                <w:rFonts w:hint="eastAsia" w:eastAsia="宋体"/>
                <w:highlight w:val="none"/>
                <w:lang w:eastAsia="zh-CN"/>
              </w:rPr>
            </w:pPr>
            <w:r>
              <w:rPr>
                <w:rFonts w:hint="eastAsia"/>
                <w:highlight w:val="none"/>
              </w:rPr>
              <w:t>项目名称：</w:t>
            </w:r>
            <w:r>
              <w:rPr>
                <w:rFonts w:hint="eastAsia"/>
                <w:highlight w:val="none"/>
                <w:lang w:eastAsia="zh-CN"/>
              </w:rPr>
              <w:t>2023年阿克陶县机关事业单位基本养老保险保值增值定期存款项目（二次）</w:t>
            </w:r>
          </w:p>
          <w:p>
            <w:pPr>
              <w:widowControl/>
              <w:spacing w:line="290" w:lineRule="exact"/>
              <w:rPr>
                <w:rFonts w:hint="eastAsia"/>
                <w:highlight w:val="none"/>
              </w:rPr>
            </w:pPr>
            <w:r>
              <w:rPr>
                <w:rFonts w:hint="eastAsia"/>
                <w:highlight w:val="none"/>
              </w:rPr>
              <w:t>项目编号：AKTZBCG--2023061</w:t>
            </w:r>
          </w:p>
          <w:p>
            <w:pPr>
              <w:widowControl/>
              <w:spacing w:line="290" w:lineRule="exact"/>
              <w:rPr>
                <w:rFonts w:hint="eastAsia" w:eastAsia="宋体"/>
                <w:highlight w:val="none"/>
                <w:lang w:eastAsia="zh-CN"/>
              </w:rPr>
            </w:pPr>
            <w:r>
              <w:rPr>
                <w:rFonts w:hint="eastAsia"/>
                <w:highlight w:val="none"/>
              </w:rPr>
              <w:t>采购内容：</w:t>
            </w:r>
            <w:r>
              <w:rPr>
                <w:rFonts w:hint="eastAsia"/>
                <w:highlight w:val="none"/>
                <w:lang w:eastAsia="zh-CN"/>
              </w:rPr>
              <w:t>阿克陶县机关事业单位基本养老保险保值增值定期存款定点银行采购</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9" w:hRule="atLeast"/>
          <w:jc w:val="center"/>
        </w:trPr>
        <w:tc>
          <w:tcPr>
            <w:tcW w:w="262" w:type="pct"/>
            <w:vAlign w:val="center"/>
          </w:tcPr>
          <w:p>
            <w:pPr>
              <w:pStyle w:val="12"/>
              <w:snapToGrid w:val="0"/>
              <w:spacing w:line="290" w:lineRule="exact"/>
              <w:jc w:val="center"/>
              <w:rPr>
                <w:color w:val="auto"/>
                <w:szCs w:val="21"/>
                <w:highlight w:val="none"/>
              </w:rPr>
            </w:pPr>
            <w:r>
              <w:rPr>
                <w:rFonts w:hint="eastAsia"/>
                <w:color w:val="auto"/>
                <w:szCs w:val="21"/>
                <w:highlight w:val="none"/>
              </w:rPr>
              <w:t>2</w:t>
            </w:r>
          </w:p>
        </w:tc>
        <w:tc>
          <w:tcPr>
            <w:tcW w:w="814" w:type="pct"/>
            <w:vAlign w:val="center"/>
          </w:tcPr>
          <w:p>
            <w:pPr>
              <w:widowControl/>
              <w:spacing w:line="290" w:lineRule="exact"/>
              <w:jc w:val="left"/>
              <w:rPr>
                <w:szCs w:val="21"/>
                <w:highlight w:val="none"/>
              </w:rPr>
            </w:pPr>
            <w:r>
              <w:rPr>
                <w:rFonts w:hint="eastAsia" w:ascii="宋体" w:hAnsi="宋体" w:cs="宋体"/>
                <w:szCs w:val="21"/>
                <w:highlight w:val="none"/>
              </w:rPr>
              <w:t>采购人息</w:t>
            </w:r>
          </w:p>
        </w:tc>
        <w:tc>
          <w:tcPr>
            <w:tcW w:w="3923" w:type="pct"/>
            <w:vAlign w:val="center"/>
          </w:tcPr>
          <w:p>
            <w:pPr>
              <w:widowControl/>
              <w:spacing w:line="290" w:lineRule="exact"/>
              <w:jc w:val="left"/>
              <w:rPr>
                <w:rFonts w:ascii="宋体" w:hAnsi="宋体" w:cs="宋体"/>
                <w:kern w:val="0"/>
                <w:szCs w:val="21"/>
                <w:highlight w:val="none"/>
              </w:rPr>
            </w:pPr>
            <w:r>
              <w:rPr>
                <w:rFonts w:hint="eastAsia" w:ascii="宋体" w:hAnsi="宋体" w:cs="宋体"/>
                <w:kern w:val="0"/>
                <w:szCs w:val="21"/>
                <w:highlight w:val="none"/>
              </w:rPr>
              <w:t>采购单位：</w:t>
            </w:r>
            <w:r>
              <w:rPr>
                <w:rFonts w:hint="eastAsia" w:ascii="宋体" w:hAnsi="宋体" w:cs="宋体"/>
                <w:kern w:val="0"/>
                <w:szCs w:val="21"/>
                <w:highlight w:val="none"/>
                <w:lang w:eastAsia="zh-CN"/>
              </w:rPr>
              <w:t>阿克陶县财政局</w:t>
            </w:r>
            <w:r>
              <w:rPr>
                <w:rFonts w:hint="eastAsia" w:ascii="宋体" w:hAnsi="宋体" w:cs="宋体"/>
                <w:kern w:val="0"/>
                <w:szCs w:val="21"/>
                <w:highlight w:val="none"/>
              </w:rPr>
              <w:t xml:space="preserve">  </w:t>
            </w:r>
          </w:p>
          <w:p>
            <w:pPr>
              <w:widowControl/>
              <w:spacing w:line="290" w:lineRule="exact"/>
              <w:rPr>
                <w:szCs w:val="21"/>
                <w:highlight w:val="none"/>
              </w:rPr>
            </w:pPr>
            <w:r>
              <w:rPr>
                <w:rFonts w:hint="eastAsia" w:ascii="宋体" w:hAnsi="宋体" w:cs="宋体"/>
                <w:szCs w:val="21"/>
                <w:highlight w:val="none"/>
                <w:shd w:val="clear" w:color="auto" w:fill="FFFFFF"/>
              </w:rPr>
              <w:t xml:space="preserve">联 系 人： </w:t>
            </w:r>
            <w:r>
              <w:rPr>
                <w:rFonts w:hint="eastAsia" w:ascii="宋体" w:hAnsi="宋体" w:cs="宋体"/>
                <w:szCs w:val="21"/>
                <w:highlight w:val="none"/>
                <w:shd w:val="clear" w:color="auto" w:fill="FFFFFF"/>
                <w:lang w:eastAsia="zh-CN"/>
              </w:rPr>
              <w:t>董先生</w:t>
            </w:r>
            <w:r>
              <w:rPr>
                <w:rFonts w:hint="eastAsia" w:ascii="宋体" w:hAnsi="宋体" w:cs="宋体"/>
                <w:szCs w:val="21"/>
                <w:highlight w:val="none"/>
                <w:shd w:val="clear" w:color="auto" w:fill="FFFFFF"/>
              </w:rPr>
              <w:t xml:space="preserve">     联系电话：</w:t>
            </w:r>
            <w:r>
              <w:rPr>
                <w:rFonts w:hint="eastAsia" w:ascii="仿宋" w:hAnsi="仿宋" w:eastAsia="仿宋"/>
                <w:szCs w:val="21"/>
                <w:highlight w:val="none"/>
                <w:lang w:eastAsia="zh-CN"/>
              </w:rPr>
              <w:t>18609080695</w:t>
            </w:r>
            <w:r>
              <w:rPr>
                <w:rFonts w:hint="eastAsia" w:ascii="宋体" w:hAnsi="宋体" w:cs="宋体"/>
                <w:szCs w:val="21"/>
                <w:highlight w:val="none"/>
                <w:shd w:val="clear" w:color="auto" w:fill="FFFFFF"/>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62" w:type="pct"/>
            <w:vAlign w:val="center"/>
          </w:tcPr>
          <w:p>
            <w:pPr>
              <w:pStyle w:val="12"/>
              <w:snapToGrid w:val="0"/>
              <w:spacing w:line="290" w:lineRule="exact"/>
              <w:jc w:val="center"/>
              <w:rPr>
                <w:color w:val="auto"/>
                <w:szCs w:val="21"/>
                <w:highlight w:val="none"/>
              </w:rPr>
            </w:pPr>
            <w:r>
              <w:rPr>
                <w:rFonts w:hint="eastAsia"/>
                <w:color w:val="auto"/>
                <w:szCs w:val="21"/>
                <w:highlight w:val="none"/>
              </w:rPr>
              <w:t>3</w:t>
            </w:r>
          </w:p>
        </w:tc>
        <w:tc>
          <w:tcPr>
            <w:tcW w:w="814" w:type="pct"/>
            <w:vAlign w:val="center"/>
          </w:tcPr>
          <w:p>
            <w:pPr>
              <w:widowControl/>
              <w:spacing w:line="290" w:lineRule="exact"/>
              <w:jc w:val="left"/>
              <w:rPr>
                <w:szCs w:val="21"/>
                <w:highlight w:val="none"/>
              </w:rPr>
            </w:pPr>
            <w:r>
              <w:rPr>
                <w:rFonts w:hint="eastAsia" w:ascii="宋体" w:hAnsi="宋体" w:cs="宋体"/>
                <w:szCs w:val="21"/>
                <w:highlight w:val="none"/>
              </w:rPr>
              <w:t>采购代理机构</w:t>
            </w:r>
          </w:p>
        </w:tc>
        <w:tc>
          <w:tcPr>
            <w:tcW w:w="3923" w:type="pct"/>
            <w:vAlign w:val="center"/>
          </w:tcPr>
          <w:p>
            <w:pPr>
              <w:widowControl/>
              <w:spacing w:line="290" w:lineRule="exact"/>
              <w:rPr>
                <w:rFonts w:hint="eastAsia" w:ascii="宋体" w:hAnsi="宋体" w:eastAsia="宋体" w:cs="宋体"/>
                <w:kern w:val="0"/>
                <w:szCs w:val="21"/>
                <w:highlight w:val="none"/>
                <w:lang w:eastAsia="zh-CN"/>
              </w:rPr>
            </w:pPr>
            <w:r>
              <w:rPr>
                <w:rFonts w:hint="eastAsia" w:ascii="宋体" w:hAnsi="宋体" w:cs="宋体"/>
                <w:kern w:val="0"/>
                <w:szCs w:val="21"/>
                <w:highlight w:val="none"/>
              </w:rPr>
              <w:t>名  称：</w:t>
            </w:r>
            <w:r>
              <w:rPr>
                <w:rFonts w:hint="eastAsia" w:ascii="宋体" w:hAnsi="宋体" w:cs="宋体"/>
                <w:kern w:val="0"/>
                <w:szCs w:val="21"/>
                <w:highlight w:val="none"/>
                <w:lang w:eastAsia="zh-CN"/>
              </w:rPr>
              <w:t>中科建疆工程管理有限公司</w:t>
            </w:r>
          </w:p>
          <w:p>
            <w:pPr>
              <w:widowControl/>
              <w:spacing w:line="290" w:lineRule="exact"/>
              <w:rPr>
                <w:rFonts w:ascii="宋体" w:hAnsi="宋体" w:cs="宋体"/>
                <w:kern w:val="0"/>
                <w:szCs w:val="21"/>
                <w:highlight w:val="none"/>
              </w:rPr>
            </w:pPr>
            <w:r>
              <w:rPr>
                <w:rFonts w:hint="eastAsia" w:ascii="宋体" w:hAnsi="宋体" w:cs="宋体"/>
                <w:kern w:val="0"/>
                <w:szCs w:val="21"/>
                <w:highlight w:val="none"/>
              </w:rPr>
              <w:t xml:space="preserve">地  址：阿克陶县发展大厦5楼 </w:t>
            </w:r>
          </w:p>
          <w:p>
            <w:pPr>
              <w:widowControl/>
              <w:spacing w:line="290" w:lineRule="exact"/>
              <w:rPr>
                <w:rFonts w:hint="default" w:eastAsia="宋体"/>
                <w:szCs w:val="21"/>
                <w:highlight w:val="none"/>
                <w:lang w:val="en-US" w:eastAsia="zh-CN"/>
              </w:rPr>
            </w:pPr>
            <w:r>
              <w:rPr>
                <w:rFonts w:hint="eastAsia" w:ascii="宋体" w:hAnsi="宋体" w:cs="宋体"/>
                <w:kern w:val="0"/>
                <w:szCs w:val="21"/>
                <w:highlight w:val="none"/>
              </w:rPr>
              <w:t>联系人：</w:t>
            </w:r>
            <w:r>
              <w:rPr>
                <w:rFonts w:hint="eastAsia" w:ascii="宋体" w:hAnsi="宋体" w:cs="宋体"/>
                <w:kern w:val="0"/>
                <w:szCs w:val="21"/>
                <w:highlight w:val="none"/>
                <w:lang w:eastAsia="zh-CN"/>
              </w:rPr>
              <w:t>邓</w:t>
            </w:r>
            <w:r>
              <w:rPr>
                <w:rFonts w:hint="eastAsia" w:ascii="宋体" w:hAnsi="宋体" w:cs="宋体"/>
                <w:kern w:val="0"/>
                <w:szCs w:val="21"/>
                <w:highlight w:val="none"/>
              </w:rPr>
              <w:t xml:space="preserve">女士    </w:t>
            </w:r>
            <w:r>
              <w:rPr>
                <w:rFonts w:hint="eastAsia" w:ascii="宋体" w:hAnsi="宋体" w:cs="宋体"/>
                <w:szCs w:val="21"/>
                <w:highlight w:val="none"/>
                <w:shd w:val="clear" w:color="auto" w:fill="FFFFFF"/>
              </w:rPr>
              <w:t>联系</w:t>
            </w:r>
            <w:r>
              <w:rPr>
                <w:rFonts w:hint="eastAsia" w:ascii="宋体" w:hAnsi="宋体" w:cs="宋体"/>
                <w:kern w:val="0"/>
                <w:szCs w:val="21"/>
                <w:highlight w:val="none"/>
              </w:rPr>
              <w:t>电话：</w:t>
            </w:r>
            <w:r>
              <w:rPr>
                <w:rFonts w:hint="eastAsia" w:ascii="宋体" w:hAnsi="宋体" w:cs="宋体"/>
                <w:szCs w:val="21"/>
                <w:highlight w:val="none"/>
                <w:lang w:val="en-US" w:eastAsia="zh-CN" w:bidi="ar"/>
              </w:rPr>
              <w:t>13364782532</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9" w:hRule="atLeast"/>
          <w:jc w:val="center"/>
        </w:trPr>
        <w:tc>
          <w:tcPr>
            <w:tcW w:w="262" w:type="pct"/>
            <w:vAlign w:val="center"/>
          </w:tcPr>
          <w:p>
            <w:pPr>
              <w:pStyle w:val="12"/>
              <w:snapToGrid w:val="0"/>
              <w:spacing w:line="290" w:lineRule="exact"/>
              <w:jc w:val="center"/>
              <w:rPr>
                <w:color w:val="auto"/>
                <w:szCs w:val="21"/>
                <w:highlight w:val="none"/>
              </w:rPr>
            </w:pPr>
            <w:r>
              <w:rPr>
                <w:rFonts w:hint="eastAsia"/>
                <w:color w:val="auto"/>
                <w:szCs w:val="21"/>
                <w:highlight w:val="none"/>
              </w:rPr>
              <w:t>4</w:t>
            </w:r>
          </w:p>
        </w:tc>
        <w:tc>
          <w:tcPr>
            <w:tcW w:w="814" w:type="pct"/>
            <w:vAlign w:val="center"/>
          </w:tcPr>
          <w:p>
            <w:pPr>
              <w:widowControl/>
              <w:spacing w:line="290" w:lineRule="exact"/>
              <w:jc w:val="left"/>
              <w:rPr>
                <w:szCs w:val="21"/>
                <w:highlight w:val="none"/>
              </w:rPr>
            </w:pPr>
            <w:r>
              <w:rPr>
                <w:rFonts w:hint="eastAsia" w:ascii="宋体" w:hAnsi="宋体" w:cs="宋体"/>
                <w:szCs w:val="21"/>
                <w:highlight w:val="none"/>
              </w:rPr>
              <w:t>最终服务地点</w:t>
            </w:r>
          </w:p>
        </w:tc>
        <w:tc>
          <w:tcPr>
            <w:tcW w:w="3923" w:type="pct"/>
            <w:vAlign w:val="center"/>
          </w:tcPr>
          <w:p>
            <w:pPr>
              <w:widowControl/>
              <w:spacing w:line="290" w:lineRule="exac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阿克陶县</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62" w:type="pct"/>
            <w:vAlign w:val="center"/>
          </w:tcPr>
          <w:p>
            <w:pPr>
              <w:pStyle w:val="12"/>
              <w:snapToGrid w:val="0"/>
              <w:spacing w:line="290" w:lineRule="exact"/>
              <w:jc w:val="center"/>
              <w:rPr>
                <w:color w:val="auto"/>
                <w:szCs w:val="21"/>
                <w:highlight w:val="none"/>
              </w:rPr>
            </w:pPr>
            <w:r>
              <w:rPr>
                <w:rFonts w:hint="eastAsia"/>
                <w:color w:val="auto"/>
                <w:szCs w:val="21"/>
                <w:highlight w:val="none"/>
              </w:rPr>
              <w:t>5</w:t>
            </w:r>
          </w:p>
        </w:tc>
        <w:tc>
          <w:tcPr>
            <w:tcW w:w="814" w:type="pct"/>
            <w:vAlign w:val="center"/>
          </w:tcPr>
          <w:p>
            <w:pPr>
              <w:widowControl/>
              <w:spacing w:line="290" w:lineRule="exact"/>
              <w:jc w:val="left"/>
              <w:rPr>
                <w:szCs w:val="21"/>
                <w:highlight w:val="none"/>
              </w:rPr>
            </w:pPr>
            <w:r>
              <w:rPr>
                <w:rFonts w:hint="eastAsia" w:ascii="宋体" w:hAnsi="宋体" w:cs="宋体"/>
                <w:szCs w:val="21"/>
                <w:highlight w:val="none"/>
              </w:rPr>
              <w:t>付款方式</w:t>
            </w:r>
          </w:p>
        </w:tc>
        <w:tc>
          <w:tcPr>
            <w:tcW w:w="3923" w:type="pct"/>
            <w:vAlign w:val="center"/>
          </w:tcPr>
          <w:p>
            <w:pPr>
              <w:widowControl/>
              <w:spacing w:line="290" w:lineRule="exact"/>
              <w:jc w:val="left"/>
              <w:rPr>
                <w:rFonts w:ascii="宋体" w:hAnsi="宋体" w:cs="宋体"/>
                <w:szCs w:val="21"/>
                <w:highlight w:val="none"/>
              </w:rPr>
            </w:pPr>
            <w:r>
              <w:rPr>
                <w:rFonts w:hint="eastAsia" w:ascii="宋体" w:hAnsi="宋体" w:cs="宋体"/>
                <w:szCs w:val="21"/>
                <w:highlight w:val="none"/>
              </w:rPr>
              <w:t>本项目牵涉服务款项，无付款方式。</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2" w:hRule="atLeast"/>
          <w:jc w:val="center"/>
        </w:trPr>
        <w:tc>
          <w:tcPr>
            <w:tcW w:w="262" w:type="pct"/>
            <w:vAlign w:val="center"/>
          </w:tcPr>
          <w:p>
            <w:pPr>
              <w:pStyle w:val="12"/>
              <w:snapToGrid w:val="0"/>
              <w:spacing w:line="290" w:lineRule="exact"/>
              <w:jc w:val="center"/>
              <w:rPr>
                <w:color w:val="auto"/>
                <w:szCs w:val="21"/>
                <w:highlight w:val="none"/>
              </w:rPr>
            </w:pPr>
            <w:r>
              <w:rPr>
                <w:rFonts w:hint="eastAsia"/>
                <w:color w:val="auto"/>
                <w:szCs w:val="21"/>
                <w:highlight w:val="none"/>
              </w:rPr>
              <w:t>6</w:t>
            </w:r>
          </w:p>
        </w:tc>
        <w:tc>
          <w:tcPr>
            <w:tcW w:w="814" w:type="pct"/>
            <w:vAlign w:val="center"/>
          </w:tcPr>
          <w:p>
            <w:pPr>
              <w:widowControl/>
              <w:spacing w:line="290" w:lineRule="exact"/>
              <w:jc w:val="left"/>
              <w:rPr>
                <w:szCs w:val="21"/>
                <w:highlight w:val="none"/>
              </w:rPr>
            </w:pPr>
            <w:r>
              <w:rPr>
                <w:rFonts w:hint="eastAsia"/>
                <w:highlight w:val="none"/>
                <w:lang w:eastAsia="zh-CN"/>
              </w:rPr>
              <w:t>服务</w:t>
            </w:r>
            <w:r>
              <w:rPr>
                <w:rFonts w:hint="eastAsia"/>
                <w:highlight w:val="none"/>
              </w:rPr>
              <w:t>期</w:t>
            </w:r>
          </w:p>
        </w:tc>
        <w:tc>
          <w:tcPr>
            <w:tcW w:w="3923" w:type="pct"/>
            <w:vAlign w:val="center"/>
          </w:tcPr>
          <w:p>
            <w:pPr>
              <w:spacing w:line="290" w:lineRule="exact"/>
              <w:jc w:val="left"/>
              <w:rPr>
                <w:rFonts w:hint="eastAsia" w:eastAsia="宋体"/>
                <w:szCs w:val="21"/>
                <w:highlight w:val="none"/>
                <w:lang w:eastAsia="zh-CN"/>
              </w:rPr>
            </w:pPr>
            <w:r>
              <w:rPr>
                <w:rFonts w:hint="eastAsia"/>
                <w:b/>
                <w:bCs/>
                <w:highlight w:val="none"/>
                <w:lang w:val="en-US" w:eastAsia="zh-CN"/>
              </w:rPr>
              <w:t>1年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62" w:type="pct"/>
            <w:vAlign w:val="center"/>
          </w:tcPr>
          <w:p>
            <w:pPr>
              <w:pStyle w:val="12"/>
              <w:snapToGrid w:val="0"/>
              <w:spacing w:line="290" w:lineRule="exact"/>
              <w:jc w:val="center"/>
              <w:rPr>
                <w:color w:val="auto"/>
                <w:szCs w:val="21"/>
                <w:highlight w:val="none"/>
              </w:rPr>
            </w:pPr>
            <w:r>
              <w:rPr>
                <w:rFonts w:hint="eastAsia"/>
                <w:color w:val="auto"/>
                <w:szCs w:val="21"/>
                <w:highlight w:val="none"/>
              </w:rPr>
              <w:t>7</w:t>
            </w:r>
          </w:p>
        </w:tc>
        <w:tc>
          <w:tcPr>
            <w:tcW w:w="814" w:type="pct"/>
            <w:vAlign w:val="center"/>
          </w:tcPr>
          <w:p>
            <w:pPr>
              <w:pStyle w:val="12"/>
              <w:snapToGrid w:val="0"/>
              <w:spacing w:line="290" w:lineRule="exact"/>
              <w:jc w:val="left"/>
              <w:rPr>
                <w:color w:val="auto"/>
                <w:szCs w:val="21"/>
                <w:highlight w:val="none"/>
              </w:rPr>
            </w:pPr>
            <w:r>
              <w:rPr>
                <w:rFonts w:hint="eastAsia"/>
                <w:color w:val="auto"/>
                <w:szCs w:val="21"/>
                <w:highlight w:val="none"/>
              </w:rPr>
              <w:t xml:space="preserve">资金来源                                                                                                                                                                 </w:t>
            </w:r>
          </w:p>
        </w:tc>
        <w:tc>
          <w:tcPr>
            <w:tcW w:w="3923" w:type="pct"/>
            <w:vAlign w:val="center"/>
          </w:tcPr>
          <w:p>
            <w:pPr>
              <w:pStyle w:val="12"/>
              <w:snapToGrid w:val="0"/>
              <w:spacing w:line="290" w:lineRule="exact"/>
              <w:rPr>
                <w:rFonts w:hint="eastAsia" w:eastAsia="宋体"/>
                <w:color w:val="auto"/>
                <w:szCs w:val="21"/>
                <w:highlight w:val="none"/>
                <w:lang w:eastAsia="zh-CN"/>
              </w:rPr>
            </w:pPr>
            <w:r>
              <w:rPr>
                <w:rFonts w:hint="eastAsia"/>
                <w:color w:val="auto"/>
                <w:szCs w:val="21"/>
                <w:highlight w:val="none"/>
                <w:lang w:eastAsia="zh-CN"/>
              </w:rPr>
              <w:t>财政资金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262" w:type="pct"/>
            <w:vAlign w:val="center"/>
          </w:tcPr>
          <w:p>
            <w:pPr>
              <w:pStyle w:val="12"/>
              <w:snapToGrid w:val="0"/>
              <w:spacing w:line="290" w:lineRule="exact"/>
              <w:jc w:val="center"/>
              <w:rPr>
                <w:color w:val="auto"/>
                <w:szCs w:val="21"/>
                <w:highlight w:val="none"/>
              </w:rPr>
            </w:pPr>
            <w:r>
              <w:rPr>
                <w:rFonts w:hint="eastAsia"/>
                <w:color w:val="auto"/>
                <w:szCs w:val="21"/>
                <w:highlight w:val="none"/>
              </w:rPr>
              <w:t>8</w:t>
            </w:r>
          </w:p>
        </w:tc>
        <w:tc>
          <w:tcPr>
            <w:tcW w:w="814" w:type="pct"/>
            <w:vAlign w:val="center"/>
          </w:tcPr>
          <w:p>
            <w:pPr>
              <w:pStyle w:val="12"/>
              <w:snapToGrid w:val="0"/>
              <w:spacing w:line="290" w:lineRule="exact"/>
              <w:jc w:val="left"/>
              <w:rPr>
                <w:color w:val="auto"/>
                <w:szCs w:val="21"/>
                <w:highlight w:val="none"/>
              </w:rPr>
            </w:pPr>
            <w:r>
              <w:rPr>
                <w:rFonts w:hint="eastAsia"/>
                <w:color w:val="auto"/>
                <w:szCs w:val="21"/>
                <w:highlight w:val="none"/>
              </w:rPr>
              <w:t>招标方式</w:t>
            </w:r>
          </w:p>
        </w:tc>
        <w:tc>
          <w:tcPr>
            <w:tcW w:w="3923" w:type="pct"/>
            <w:vAlign w:val="center"/>
          </w:tcPr>
          <w:p>
            <w:pPr>
              <w:pStyle w:val="12"/>
              <w:snapToGrid w:val="0"/>
              <w:spacing w:line="290" w:lineRule="exact"/>
              <w:rPr>
                <w:color w:val="auto"/>
                <w:szCs w:val="21"/>
                <w:highlight w:val="none"/>
              </w:rPr>
            </w:pPr>
            <w:r>
              <w:rPr>
                <w:rFonts w:hint="eastAsia"/>
                <w:color w:val="auto"/>
                <w:szCs w:val="21"/>
                <w:highlight w:val="none"/>
              </w:rPr>
              <w:t>竞争性磋商招标</w:t>
            </w:r>
            <w:r>
              <w:rPr>
                <w:rFonts w:hint="eastAsia" w:hAnsi="宋体" w:cs="宋体-18030"/>
                <w:b/>
                <w:color w:val="auto"/>
                <w:szCs w:val="21"/>
                <w:highlight w:val="none"/>
              </w:rPr>
              <w:t>(本项目采用网上电子招投标)</w:t>
            </w:r>
            <w:r>
              <w:rPr>
                <w:rFonts w:hint="eastAsia"/>
                <w:color w:val="auto"/>
                <w:szCs w:val="21"/>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262" w:type="pct"/>
            <w:vAlign w:val="center"/>
          </w:tcPr>
          <w:p>
            <w:pPr>
              <w:pStyle w:val="12"/>
              <w:snapToGrid w:val="0"/>
              <w:spacing w:line="290" w:lineRule="exact"/>
              <w:jc w:val="center"/>
              <w:rPr>
                <w:color w:val="auto"/>
                <w:szCs w:val="21"/>
                <w:highlight w:val="none"/>
              </w:rPr>
            </w:pPr>
            <w:r>
              <w:rPr>
                <w:rFonts w:hint="eastAsia"/>
                <w:color w:val="auto"/>
                <w:szCs w:val="21"/>
                <w:highlight w:val="none"/>
              </w:rPr>
              <w:t>9</w:t>
            </w:r>
          </w:p>
        </w:tc>
        <w:tc>
          <w:tcPr>
            <w:tcW w:w="814" w:type="pct"/>
            <w:vAlign w:val="center"/>
          </w:tcPr>
          <w:p>
            <w:pPr>
              <w:pStyle w:val="12"/>
              <w:snapToGrid w:val="0"/>
              <w:spacing w:line="290" w:lineRule="exact"/>
              <w:jc w:val="center"/>
              <w:rPr>
                <w:color w:val="auto"/>
                <w:szCs w:val="21"/>
                <w:highlight w:val="none"/>
              </w:rPr>
            </w:pPr>
            <w:r>
              <w:rPr>
                <w:rFonts w:hint="eastAsia"/>
                <w:color w:val="auto"/>
                <w:szCs w:val="21"/>
                <w:highlight w:val="none"/>
              </w:rPr>
              <w:t>投标人资格条件及其他要求</w:t>
            </w:r>
          </w:p>
        </w:tc>
        <w:tc>
          <w:tcPr>
            <w:tcW w:w="3923" w:type="pct"/>
            <w:vAlign w:val="center"/>
          </w:tcPr>
          <w:p>
            <w:pPr>
              <w:snapToGrid w:val="0"/>
              <w:spacing w:line="290" w:lineRule="exact"/>
              <w:rPr>
                <w:rFonts w:ascii="宋体"/>
                <w:szCs w:val="21"/>
                <w:highlight w:val="none"/>
                <w:u w:color="000000"/>
              </w:rPr>
            </w:pPr>
            <w:r>
              <w:rPr>
                <w:rFonts w:hint="eastAsia" w:ascii="宋体"/>
                <w:szCs w:val="21"/>
                <w:highlight w:val="none"/>
                <w:u w:color="000000"/>
              </w:rPr>
              <w:t>1、符合《中华人民共和国政府采购法》第二十二条规定；</w:t>
            </w:r>
          </w:p>
          <w:p>
            <w:pPr>
              <w:snapToGrid w:val="0"/>
              <w:spacing w:line="290" w:lineRule="exact"/>
              <w:rPr>
                <w:rFonts w:hint="eastAsia" w:ascii="宋体"/>
                <w:szCs w:val="21"/>
                <w:highlight w:val="none"/>
                <w:u w:color="000000"/>
              </w:rPr>
            </w:pPr>
            <w:r>
              <w:rPr>
                <w:rFonts w:hint="eastAsia" w:ascii="宋体"/>
                <w:szCs w:val="21"/>
                <w:highlight w:val="none"/>
                <w:u w:color="000000"/>
              </w:rPr>
              <w:t>（1)具备三证合一营业执照副本；</w:t>
            </w:r>
          </w:p>
          <w:p>
            <w:pPr>
              <w:snapToGrid w:val="0"/>
              <w:spacing w:line="290" w:lineRule="exact"/>
              <w:rPr>
                <w:rFonts w:hint="eastAsia" w:ascii="宋体"/>
                <w:szCs w:val="21"/>
                <w:highlight w:val="none"/>
                <w:u w:color="000000"/>
              </w:rPr>
            </w:pPr>
            <w:r>
              <w:rPr>
                <w:rFonts w:hint="eastAsia" w:ascii="宋体"/>
                <w:szCs w:val="21"/>
                <w:highlight w:val="none"/>
                <w:u w:color="000000"/>
              </w:rPr>
              <w:t>（2)法定代表人（负责人）参加提供法定代表人（负责人）证明书，委托代理人参加提供法人代表（负责人）授权委托书；投标银行为非法人机构的，提供上一级银行负责人授权委托书。</w:t>
            </w:r>
          </w:p>
          <w:p>
            <w:pPr>
              <w:snapToGrid w:val="0"/>
              <w:spacing w:line="290" w:lineRule="exact"/>
              <w:rPr>
                <w:rFonts w:hint="eastAsia" w:ascii="宋体"/>
                <w:szCs w:val="21"/>
                <w:highlight w:val="none"/>
                <w:u w:color="000000"/>
              </w:rPr>
            </w:pPr>
            <w:r>
              <w:rPr>
                <w:rFonts w:hint="eastAsia" w:ascii="宋体"/>
                <w:szCs w:val="21"/>
                <w:highlight w:val="none"/>
                <w:u w:color="000000"/>
              </w:rPr>
              <w:t>(3)参加采购活动前三年内，在经营活动中没有重大违法记录，供应商须提供 “信用中国”网站（http://www.creditchina.gov.cn/）、“中国政府采购网”网站（http://www.ccgp.gov.cn）无违法违规行为的查询纪录（提供查询结果网页截图并加盖供应商公章）。</w:t>
            </w:r>
          </w:p>
          <w:p>
            <w:pPr>
              <w:snapToGrid w:val="0"/>
              <w:spacing w:line="290" w:lineRule="exact"/>
              <w:rPr>
                <w:rFonts w:hint="eastAsia" w:ascii="宋体"/>
                <w:szCs w:val="21"/>
                <w:highlight w:val="none"/>
                <w:u w:color="000000"/>
              </w:rPr>
            </w:pPr>
            <w:r>
              <w:rPr>
                <w:rFonts w:hint="eastAsia" w:ascii="宋体"/>
                <w:szCs w:val="21"/>
                <w:highlight w:val="none"/>
                <w:u w:color="000000"/>
              </w:rPr>
              <w:t>（4）</w:t>
            </w:r>
            <w:r>
              <w:rPr>
                <w:rFonts w:hint="eastAsia" w:ascii="宋体"/>
                <w:szCs w:val="21"/>
                <w:highlight w:val="none"/>
                <w:u w:color="000000"/>
                <w:lang w:eastAsia="zh-CN"/>
              </w:rPr>
              <w:t>持有中国银行业监督管理委员会有效的《中华人民共和国金融许可证》或《金融机构营业许可证》。</w:t>
            </w:r>
            <w:r>
              <w:rPr>
                <w:rFonts w:hint="eastAsia" w:ascii="宋体"/>
                <w:szCs w:val="21"/>
                <w:highlight w:val="none"/>
                <w:u w:color="000000"/>
              </w:rPr>
              <w:t>。</w:t>
            </w:r>
          </w:p>
          <w:p>
            <w:pPr>
              <w:snapToGrid w:val="0"/>
              <w:spacing w:line="290" w:lineRule="exact"/>
              <w:rPr>
                <w:rFonts w:ascii="宋体"/>
                <w:szCs w:val="21"/>
                <w:highlight w:val="none"/>
                <w:u w:color="000000"/>
              </w:rPr>
            </w:pPr>
            <w:r>
              <w:rPr>
                <w:rFonts w:hint="eastAsia" w:ascii="宋体"/>
                <w:szCs w:val="21"/>
                <w:highlight w:val="none"/>
                <w:u w:color="000000"/>
              </w:rPr>
              <w:t>（5）</w:t>
            </w:r>
            <w:r>
              <w:rPr>
                <w:rFonts w:hint="eastAsia" w:ascii="宋体"/>
                <w:szCs w:val="21"/>
                <w:highlight w:val="none"/>
                <w:u w:color="000000"/>
                <w:lang w:eastAsia="zh-CN"/>
              </w:rPr>
              <w:t>投标企业须提供投标人（被授权在职人员）近6个月有效的社保证明；</w:t>
            </w:r>
            <w:r>
              <w:rPr>
                <w:rFonts w:hint="eastAsia" w:ascii="宋体"/>
                <w:szCs w:val="21"/>
                <w:highlight w:val="none"/>
                <w:u w:color="000000"/>
              </w:rPr>
              <w:t>7、本项目不接受联合体投标。</w:t>
            </w:r>
          </w:p>
          <w:p>
            <w:pPr>
              <w:pStyle w:val="35"/>
              <w:rPr>
                <w:highlight w:val="none"/>
              </w:rPr>
            </w:pPr>
            <w:r>
              <w:rPr>
                <w:rFonts w:hint="eastAsia" w:hAnsi="Times New Roman"/>
                <w:kern w:val="2"/>
                <w:sz w:val="21"/>
                <w:szCs w:val="21"/>
                <w:highlight w:val="none"/>
                <w:u w:color="000000"/>
                <w:lang w:val="en-US"/>
              </w:rPr>
              <w:t>其他说明：（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262" w:type="pct"/>
            <w:vAlign w:val="center"/>
          </w:tcPr>
          <w:p>
            <w:pPr>
              <w:pStyle w:val="12"/>
              <w:snapToGrid w:val="0"/>
              <w:spacing w:line="290" w:lineRule="exact"/>
              <w:jc w:val="center"/>
              <w:rPr>
                <w:color w:val="auto"/>
                <w:szCs w:val="21"/>
                <w:highlight w:val="none"/>
              </w:rPr>
            </w:pPr>
            <w:r>
              <w:rPr>
                <w:rFonts w:hint="eastAsia"/>
                <w:color w:val="auto"/>
                <w:szCs w:val="21"/>
                <w:highlight w:val="none"/>
              </w:rPr>
              <w:t>10</w:t>
            </w:r>
          </w:p>
        </w:tc>
        <w:tc>
          <w:tcPr>
            <w:tcW w:w="814" w:type="pct"/>
            <w:vAlign w:val="center"/>
          </w:tcPr>
          <w:p>
            <w:pPr>
              <w:pStyle w:val="12"/>
              <w:snapToGrid w:val="0"/>
              <w:spacing w:line="290" w:lineRule="exact"/>
              <w:jc w:val="center"/>
              <w:rPr>
                <w:color w:val="auto"/>
                <w:szCs w:val="21"/>
                <w:highlight w:val="none"/>
              </w:rPr>
            </w:pPr>
            <w:r>
              <w:rPr>
                <w:rFonts w:hint="eastAsia"/>
                <w:color w:val="auto"/>
                <w:szCs w:val="21"/>
                <w:highlight w:val="none"/>
              </w:rPr>
              <w:t>供应商信用查询</w:t>
            </w:r>
          </w:p>
        </w:tc>
        <w:tc>
          <w:tcPr>
            <w:tcW w:w="3923" w:type="pct"/>
            <w:vAlign w:val="center"/>
          </w:tcPr>
          <w:p>
            <w:pPr>
              <w:pStyle w:val="12"/>
              <w:snapToGrid w:val="0"/>
              <w:spacing w:line="290" w:lineRule="exact"/>
              <w:jc w:val="left"/>
              <w:rPr>
                <w:color w:val="auto"/>
                <w:szCs w:val="21"/>
                <w:highlight w:val="none"/>
              </w:rPr>
            </w:pPr>
            <w:r>
              <w:rPr>
                <w:rFonts w:hint="eastAsia"/>
                <w:color w:val="auto"/>
                <w:szCs w:val="21"/>
                <w:highlight w:val="none"/>
              </w:rPr>
              <w:t>1、查询渠道：信用中国（网址：http://www.creditchina.gov.cn）、中国政府采购网(网址：http://www.ccgp.gov.cn）。</w:t>
            </w:r>
          </w:p>
          <w:p>
            <w:pPr>
              <w:pStyle w:val="12"/>
              <w:snapToGrid w:val="0"/>
              <w:spacing w:line="290" w:lineRule="exact"/>
              <w:jc w:val="left"/>
              <w:rPr>
                <w:color w:val="auto"/>
                <w:szCs w:val="21"/>
                <w:highlight w:val="none"/>
              </w:rPr>
            </w:pPr>
            <w:r>
              <w:rPr>
                <w:rFonts w:hint="eastAsia"/>
                <w:color w:val="auto"/>
                <w:szCs w:val="21"/>
                <w:highlight w:val="none"/>
              </w:rPr>
              <w:t>2、截止时点：开标后评标前。</w:t>
            </w:r>
          </w:p>
          <w:p>
            <w:pPr>
              <w:pStyle w:val="12"/>
              <w:snapToGrid w:val="0"/>
              <w:spacing w:line="290" w:lineRule="exact"/>
              <w:jc w:val="left"/>
              <w:rPr>
                <w:color w:val="auto"/>
                <w:szCs w:val="21"/>
                <w:highlight w:val="none"/>
              </w:rPr>
            </w:pPr>
            <w:r>
              <w:rPr>
                <w:rFonts w:hint="eastAsia"/>
                <w:color w:val="auto"/>
                <w:szCs w:val="21"/>
                <w:highlight w:val="none"/>
              </w:rPr>
              <w:t>3、信用信息查询记录和证据留存的具体方式：由采购组织机构在规定查询时间内打印信用信息查询记录并归入项目档案。</w:t>
            </w:r>
          </w:p>
          <w:p>
            <w:pPr>
              <w:pStyle w:val="12"/>
              <w:snapToGrid w:val="0"/>
              <w:spacing w:line="290" w:lineRule="exact"/>
              <w:jc w:val="left"/>
              <w:rPr>
                <w:color w:val="auto"/>
                <w:szCs w:val="21"/>
                <w:highlight w:val="none"/>
              </w:rPr>
            </w:pPr>
            <w:r>
              <w:rPr>
                <w:rFonts w:hint="eastAsia"/>
                <w:color w:val="auto"/>
                <w:szCs w:val="21"/>
                <w:highlight w:val="none"/>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62" w:type="pct"/>
            <w:vAlign w:val="center"/>
          </w:tcPr>
          <w:p>
            <w:pPr>
              <w:pStyle w:val="12"/>
              <w:snapToGrid w:val="0"/>
              <w:spacing w:line="290" w:lineRule="exact"/>
              <w:jc w:val="center"/>
              <w:rPr>
                <w:color w:val="auto"/>
                <w:szCs w:val="21"/>
                <w:highlight w:val="none"/>
              </w:rPr>
            </w:pPr>
            <w:r>
              <w:rPr>
                <w:rFonts w:hint="eastAsia"/>
                <w:color w:val="auto"/>
                <w:szCs w:val="21"/>
                <w:highlight w:val="none"/>
              </w:rPr>
              <w:t>11</w:t>
            </w:r>
          </w:p>
        </w:tc>
        <w:tc>
          <w:tcPr>
            <w:tcW w:w="814" w:type="pct"/>
            <w:vAlign w:val="center"/>
          </w:tcPr>
          <w:p>
            <w:pPr>
              <w:pStyle w:val="12"/>
              <w:snapToGrid w:val="0"/>
              <w:spacing w:line="290" w:lineRule="exact"/>
              <w:jc w:val="left"/>
              <w:rPr>
                <w:color w:val="auto"/>
                <w:szCs w:val="21"/>
                <w:highlight w:val="none"/>
              </w:rPr>
            </w:pPr>
            <w:r>
              <w:rPr>
                <w:rFonts w:hint="eastAsia"/>
                <w:color w:val="auto"/>
                <w:szCs w:val="21"/>
                <w:highlight w:val="none"/>
              </w:rPr>
              <w:t>踏勘现场</w:t>
            </w:r>
          </w:p>
        </w:tc>
        <w:tc>
          <w:tcPr>
            <w:tcW w:w="3923" w:type="pct"/>
            <w:vAlign w:val="center"/>
          </w:tcPr>
          <w:p>
            <w:pPr>
              <w:pStyle w:val="12"/>
              <w:snapToGrid w:val="0"/>
              <w:spacing w:line="290" w:lineRule="exact"/>
              <w:rPr>
                <w:color w:val="auto"/>
                <w:szCs w:val="21"/>
                <w:highlight w:val="none"/>
              </w:rPr>
            </w:pPr>
            <w:r>
              <w:rPr>
                <w:rFonts w:hint="eastAsia"/>
                <w:color w:val="auto"/>
                <w:szCs w:val="21"/>
                <w:highlight w:val="none"/>
              </w:rPr>
              <w:t>不组织,投标人自行组织踏勘现场。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62" w:type="pct"/>
            <w:vAlign w:val="center"/>
          </w:tcPr>
          <w:p>
            <w:pPr>
              <w:pStyle w:val="12"/>
              <w:snapToGrid w:val="0"/>
              <w:spacing w:line="290" w:lineRule="exact"/>
              <w:jc w:val="center"/>
              <w:rPr>
                <w:color w:val="auto"/>
                <w:szCs w:val="21"/>
                <w:highlight w:val="none"/>
              </w:rPr>
            </w:pPr>
            <w:r>
              <w:rPr>
                <w:rFonts w:hint="eastAsia"/>
                <w:color w:val="auto"/>
                <w:szCs w:val="21"/>
                <w:highlight w:val="none"/>
              </w:rPr>
              <w:t>12</w:t>
            </w:r>
          </w:p>
        </w:tc>
        <w:tc>
          <w:tcPr>
            <w:tcW w:w="814" w:type="pct"/>
            <w:vAlign w:val="center"/>
          </w:tcPr>
          <w:p>
            <w:pPr>
              <w:pStyle w:val="12"/>
              <w:snapToGrid w:val="0"/>
              <w:spacing w:line="290" w:lineRule="exact"/>
              <w:jc w:val="left"/>
              <w:rPr>
                <w:color w:val="auto"/>
                <w:szCs w:val="21"/>
                <w:highlight w:val="none"/>
              </w:rPr>
            </w:pPr>
            <w:r>
              <w:rPr>
                <w:rFonts w:hint="eastAsia"/>
                <w:color w:val="auto"/>
                <w:szCs w:val="21"/>
                <w:highlight w:val="none"/>
              </w:rPr>
              <w:t>投标预备会</w:t>
            </w:r>
          </w:p>
        </w:tc>
        <w:tc>
          <w:tcPr>
            <w:tcW w:w="3923" w:type="pct"/>
            <w:vAlign w:val="center"/>
          </w:tcPr>
          <w:p>
            <w:pPr>
              <w:pStyle w:val="12"/>
              <w:snapToGrid w:val="0"/>
              <w:spacing w:line="290" w:lineRule="exact"/>
              <w:rPr>
                <w:color w:val="auto"/>
                <w:szCs w:val="21"/>
                <w:highlight w:val="none"/>
              </w:rPr>
            </w:pPr>
            <w:r>
              <w:rPr>
                <w:rFonts w:hint="eastAsia"/>
                <w:color w:val="auto"/>
                <w:szCs w:val="21"/>
                <w:highlight w:val="none"/>
              </w:rPr>
              <w:t>不召开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62" w:type="pct"/>
            <w:vAlign w:val="center"/>
          </w:tcPr>
          <w:p>
            <w:pPr>
              <w:snapToGrid w:val="0"/>
              <w:spacing w:line="290" w:lineRule="exact"/>
              <w:jc w:val="center"/>
              <w:rPr>
                <w:szCs w:val="21"/>
                <w:highlight w:val="none"/>
              </w:rPr>
            </w:pPr>
            <w:r>
              <w:rPr>
                <w:rFonts w:hint="eastAsia" w:ascii="宋体" w:cs="宋体"/>
                <w:szCs w:val="21"/>
                <w:highlight w:val="none"/>
              </w:rPr>
              <w:t>13</w:t>
            </w:r>
          </w:p>
        </w:tc>
        <w:tc>
          <w:tcPr>
            <w:tcW w:w="814" w:type="pct"/>
            <w:vAlign w:val="center"/>
          </w:tcPr>
          <w:p>
            <w:pPr>
              <w:pStyle w:val="12"/>
              <w:snapToGrid w:val="0"/>
              <w:spacing w:line="290" w:lineRule="exact"/>
              <w:jc w:val="left"/>
              <w:rPr>
                <w:color w:val="auto"/>
                <w:szCs w:val="21"/>
                <w:highlight w:val="none"/>
              </w:rPr>
            </w:pPr>
            <w:r>
              <w:rPr>
                <w:rFonts w:hint="eastAsia"/>
                <w:color w:val="auto"/>
                <w:szCs w:val="21"/>
                <w:highlight w:val="none"/>
              </w:rPr>
              <w:t>联合体投标</w:t>
            </w:r>
          </w:p>
        </w:tc>
        <w:tc>
          <w:tcPr>
            <w:tcW w:w="3923" w:type="pct"/>
            <w:vAlign w:val="center"/>
          </w:tcPr>
          <w:p>
            <w:pPr>
              <w:spacing w:line="290" w:lineRule="exact"/>
              <w:rPr>
                <w:rFonts w:ascii="宋体" w:hAnsi="宋体" w:cs="宋体"/>
                <w:szCs w:val="21"/>
                <w:highlight w:val="none"/>
              </w:rPr>
            </w:pPr>
            <w:r>
              <w:rPr>
                <w:rFonts w:hint="eastAsia" w:hAnsi="宋体" w:cs="宋体"/>
                <w:szCs w:val="21"/>
                <w:highlight w:val="none"/>
              </w:rPr>
              <w:t>☑</w:t>
            </w:r>
            <w:r>
              <w:rPr>
                <w:rFonts w:hint="eastAsia" w:ascii="宋体" w:hAnsi="宋体" w:cs="宋体"/>
                <w:szCs w:val="21"/>
                <w:highlight w:val="none"/>
              </w:rPr>
              <w:t>不接受</w:t>
            </w:r>
          </w:p>
          <w:p>
            <w:pPr>
              <w:pStyle w:val="12"/>
              <w:snapToGrid w:val="0"/>
              <w:spacing w:line="290" w:lineRule="exact"/>
              <w:rPr>
                <w:color w:val="auto"/>
                <w:szCs w:val="21"/>
                <w:highlight w:val="none"/>
              </w:rPr>
            </w:pPr>
            <w:r>
              <w:rPr>
                <w:rFonts w:hint="eastAsia" w:hAnsi="宋体" w:cs="宋体"/>
                <w:color w:val="auto"/>
                <w:szCs w:val="21"/>
                <w:highlight w:val="none"/>
              </w:rPr>
              <w:t>□接受</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7" w:hRule="atLeast"/>
          <w:jc w:val="center"/>
        </w:trPr>
        <w:tc>
          <w:tcPr>
            <w:tcW w:w="262" w:type="pct"/>
            <w:vAlign w:val="center"/>
          </w:tcPr>
          <w:p>
            <w:pPr>
              <w:snapToGrid w:val="0"/>
              <w:spacing w:line="290" w:lineRule="exact"/>
              <w:jc w:val="center"/>
              <w:rPr>
                <w:rFonts w:ascii="宋体" w:cs="宋体"/>
                <w:szCs w:val="21"/>
                <w:highlight w:val="none"/>
              </w:rPr>
            </w:pPr>
            <w:r>
              <w:rPr>
                <w:rFonts w:hint="eastAsia" w:ascii="宋体" w:cs="宋体"/>
                <w:szCs w:val="21"/>
                <w:highlight w:val="none"/>
              </w:rPr>
              <w:t>14</w:t>
            </w:r>
          </w:p>
        </w:tc>
        <w:tc>
          <w:tcPr>
            <w:tcW w:w="814" w:type="pct"/>
            <w:vAlign w:val="center"/>
          </w:tcPr>
          <w:p>
            <w:pPr>
              <w:snapToGrid w:val="0"/>
              <w:spacing w:line="290" w:lineRule="exact"/>
              <w:jc w:val="left"/>
              <w:rPr>
                <w:rFonts w:ascii="宋体"/>
                <w:szCs w:val="21"/>
                <w:highlight w:val="none"/>
              </w:rPr>
            </w:pPr>
            <w:r>
              <w:rPr>
                <w:rFonts w:hint="eastAsia" w:ascii="宋体"/>
                <w:szCs w:val="21"/>
                <w:highlight w:val="none"/>
              </w:rPr>
              <w:t>招标代理费</w:t>
            </w:r>
          </w:p>
        </w:tc>
        <w:tc>
          <w:tcPr>
            <w:tcW w:w="3923" w:type="pct"/>
            <w:vAlign w:val="center"/>
          </w:tcPr>
          <w:p>
            <w:pPr>
              <w:snapToGrid w:val="0"/>
              <w:spacing w:line="290" w:lineRule="exact"/>
              <w:rPr>
                <w:rFonts w:ascii="宋体" w:hAnsi="宋体" w:cs="宋体"/>
                <w:b/>
                <w:bCs/>
                <w:snapToGrid w:val="0"/>
                <w:szCs w:val="21"/>
                <w:highlight w:val="none"/>
              </w:rPr>
            </w:pPr>
            <w:r>
              <w:rPr>
                <w:rFonts w:hint="eastAsia" w:ascii="宋体" w:hAnsi="宋体" w:cs="宋体"/>
                <w:b/>
                <w:bCs/>
                <w:snapToGrid w:val="0"/>
                <w:szCs w:val="21"/>
                <w:highlight w:val="none"/>
              </w:rPr>
              <w:t>中标单位在领取本项目成交通知书时，按照《国家计委关于印发招标代理服务收费管理暂行办法的通知（计价格[2002]1980号）及《招标代理服务收费有关问题》（发改办价格〔2003〕857号文）中规定由中标单位向招标代理机构支付本项目代理费。收费标准如下：</w:t>
            </w:r>
          </w:p>
          <w:p>
            <w:pPr>
              <w:snapToGrid w:val="0"/>
              <w:spacing w:line="290" w:lineRule="exact"/>
              <w:rPr>
                <w:rFonts w:ascii="宋体" w:hAnsi="宋体" w:cs="宋体"/>
                <w:snapToGrid w:val="0"/>
                <w:szCs w:val="21"/>
                <w:highlight w:val="none"/>
              </w:rPr>
            </w:pPr>
            <w:r>
              <w:rPr>
                <w:rFonts w:hint="eastAsia" w:ascii="宋体" w:hAnsi="宋体" w:cs="宋体"/>
                <w:snapToGrid w:val="0"/>
                <w:szCs w:val="21"/>
                <w:highlight w:val="none"/>
              </w:rPr>
              <w:t>招标代理服务收费标准</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3"/>
              <w:gridCol w:w="1546"/>
              <w:gridCol w:w="1907"/>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953" w:type="dxa"/>
                </w:tcPr>
                <w:p>
                  <w:pPr>
                    <w:snapToGrid w:val="0"/>
                    <w:spacing w:line="290" w:lineRule="exact"/>
                    <w:rPr>
                      <w:rFonts w:ascii="宋体" w:hAnsi="宋体" w:cs="宋体"/>
                      <w:snapToGrid w:val="0"/>
                      <w:szCs w:val="21"/>
                      <w:highlight w:val="none"/>
                    </w:rPr>
                  </w:pPr>
                  <w:r>
                    <w:rPr>
                      <w:rFonts w:hint="eastAsia" w:ascii="宋体" w:hAnsi="宋体" w:cs="宋体"/>
                      <w:snapToGrid w:val="0"/>
                      <w:szCs w:val="21"/>
                      <w:highlight w:val="none"/>
                    </w:rPr>
                    <w:t>中标金额（万元）</w:t>
                  </w:r>
                </w:p>
              </w:tc>
              <w:tc>
                <w:tcPr>
                  <w:tcW w:w="1546" w:type="dxa"/>
                </w:tcPr>
                <w:p>
                  <w:pPr>
                    <w:snapToGrid w:val="0"/>
                    <w:spacing w:line="290" w:lineRule="exact"/>
                    <w:rPr>
                      <w:rFonts w:ascii="宋体" w:hAnsi="宋体" w:cs="宋体"/>
                      <w:snapToGrid w:val="0"/>
                      <w:szCs w:val="21"/>
                      <w:highlight w:val="none"/>
                    </w:rPr>
                  </w:pPr>
                  <w:r>
                    <w:rPr>
                      <w:rFonts w:hint="eastAsia" w:ascii="宋体" w:hAnsi="宋体" w:cs="宋体"/>
                      <w:snapToGrid w:val="0"/>
                      <w:szCs w:val="21"/>
                      <w:highlight w:val="none"/>
                    </w:rPr>
                    <w:t>货物招标</w:t>
                  </w:r>
                </w:p>
              </w:tc>
              <w:tc>
                <w:tcPr>
                  <w:tcW w:w="1907" w:type="dxa"/>
                </w:tcPr>
                <w:p>
                  <w:pPr>
                    <w:snapToGrid w:val="0"/>
                    <w:spacing w:line="290" w:lineRule="exact"/>
                    <w:rPr>
                      <w:rFonts w:ascii="宋体" w:hAnsi="宋体" w:cs="宋体"/>
                      <w:snapToGrid w:val="0"/>
                      <w:szCs w:val="21"/>
                      <w:highlight w:val="none"/>
                    </w:rPr>
                  </w:pPr>
                  <w:r>
                    <w:rPr>
                      <w:rFonts w:hint="eastAsia" w:ascii="宋体" w:hAnsi="宋体" w:cs="宋体"/>
                      <w:snapToGrid w:val="0"/>
                      <w:szCs w:val="21"/>
                      <w:highlight w:val="none"/>
                    </w:rPr>
                    <w:t>服务招标</w:t>
                  </w:r>
                </w:p>
              </w:tc>
              <w:tc>
                <w:tcPr>
                  <w:tcW w:w="1292" w:type="dxa"/>
                </w:tcPr>
                <w:p>
                  <w:pPr>
                    <w:snapToGrid w:val="0"/>
                    <w:spacing w:line="290" w:lineRule="exact"/>
                    <w:rPr>
                      <w:rFonts w:ascii="宋体" w:hAnsi="宋体" w:cs="宋体"/>
                      <w:snapToGrid w:val="0"/>
                      <w:szCs w:val="21"/>
                      <w:highlight w:val="none"/>
                    </w:rPr>
                  </w:pPr>
                  <w:r>
                    <w:rPr>
                      <w:rFonts w:hint="eastAsia" w:ascii="宋体" w:hAnsi="宋体" w:cs="宋体"/>
                      <w:snapToGrid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953" w:type="dxa"/>
                  <w:vAlign w:val="center"/>
                </w:tcPr>
                <w:p>
                  <w:pPr>
                    <w:snapToGrid w:val="0"/>
                    <w:spacing w:line="290" w:lineRule="exact"/>
                    <w:rPr>
                      <w:rFonts w:ascii="宋体" w:hAnsi="宋体" w:cs="宋体"/>
                      <w:snapToGrid w:val="0"/>
                      <w:szCs w:val="21"/>
                      <w:highlight w:val="none"/>
                    </w:rPr>
                  </w:pPr>
                  <w:r>
                    <w:rPr>
                      <w:rFonts w:hint="eastAsia" w:ascii="宋体" w:hAnsi="宋体" w:cs="宋体"/>
                      <w:snapToGrid w:val="0"/>
                      <w:szCs w:val="21"/>
                      <w:highlight w:val="none"/>
                    </w:rPr>
                    <w:t>100以下</w:t>
                  </w:r>
                </w:p>
              </w:tc>
              <w:tc>
                <w:tcPr>
                  <w:tcW w:w="1546" w:type="dxa"/>
                  <w:vAlign w:val="center"/>
                </w:tcPr>
                <w:p>
                  <w:pPr>
                    <w:snapToGrid w:val="0"/>
                    <w:spacing w:line="290" w:lineRule="exact"/>
                    <w:rPr>
                      <w:rFonts w:ascii="宋体" w:hAnsi="宋体" w:cs="宋体"/>
                      <w:snapToGrid w:val="0"/>
                      <w:szCs w:val="21"/>
                      <w:highlight w:val="none"/>
                    </w:rPr>
                  </w:pPr>
                  <w:r>
                    <w:rPr>
                      <w:rFonts w:hint="eastAsia" w:ascii="宋体" w:hAnsi="宋体" w:cs="宋体"/>
                      <w:snapToGrid w:val="0"/>
                      <w:szCs w:val="21"/>
                      <w:highlight w:val="none"/>
                    </w:rPr>
                    <w:t>1.50%</w:t>
                  </w:r>
                </w:p>
              </w:tc>
              <w:tc>
                <w:tcPr>
                  <w:tcW w:w="1907" w:type="dxa"/>
                  <w:vAlign w:val="center"/>
                </w:tcPr>
                <w:p>
                  <w:pPr>
                    <w:snapToGrid w:val="0"/>
                    <w:spacing w:line="290" w:lineRule="exact"/>
                    <w:rPr>
                      <w:rFonts w:ascii="宋体" w:hAnsi="宋体" w:cs="宋体"/>
                      <w:snapToGrid w:val="0"/>
                      <w:szCs w:val="21"/>
                      <w:highlight w:val="none"/>
                    </w:rPr>
                  </w:pPr>
                  <w:r>
                    <w:rPr>
                      <w:rFonts w:hint="eastAsia" w:ascii="宋体" w:hAnsi="宋体" w:cs="宋体"/>
                      <w:snapToGrid w:val="0"/>
                      <w:szCs w:val="21"/>
                      <w:highlight w:val="none"/>
                    </w:rPr>
                    <w:t>1.50%</w:t>
                  </w:r>
                </w:p>
              </w:tc>
              <w:tc>
                <w:tcPr>
                  <w:tcW w:w="1292" w:type="dxa"/>
                </w:tcPr>
                <w:p>
                  <w:pPr>
                    <w:snapToGrid w:val="0"/>
                    <w:spacing w:line="290" w:lineRule="exact"/>
                    <w:rPr>
                      <w:rFonts w:ascii="宋体" w:hAnsi="宋体" w:cs="宋体"/>
                      <w:snapToGrid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953" w:type="dxa"/>
                  <w:vAlign w:val="center"/>
                </w:tcPr>
                <w:p>
                  <w:pPr>
                    <w:snapToGrid w:val="0"/>
                    <w:spacing w:line="290" w:lineRule="exact"/>
                    <w:rPr>
                      <w:rFonts w:ascii="宋体" w:hAnsi="宋体" w:cs="宋体"/>
                      <w:snapToGrid w:val="0"/>
                      <w:szCs w:val="21"/>
                      <w:highlight w:val="none"/>
                    </w:rPr>
                  </w:pPr>
                  <w:r>
                    <w:rPr>
                      <w:rFonts w:hint="eastAsia" w:ascii="宋体" w:hAnsi="宋体" w:cs="宋体"/>
                      <w:snapToGrid w:val="0"/>
                      <w:szCs w:val="21"/>
                      <w:highlight w:val="none"/>
                    </w:rPr>
                    <w:t>100-500</w:t>
                  </w:r>
                </w:p>
              </w:tc>
              <w:tc>
                <w:tcPr>
                  <w:tcW w:w="1546" w:type="dxa"/>
                  <w:vAlign w:val="center"/>
                </w:tcPr>
                <w:p>
                  <w:pPr>
                    <w:snapToGrid w:val="0"/>
                    <w:spacing w:line="290" w:lineRule="exact"/>
                    <w:rPr>
                      <w:rFonts w:ascii="宋体" w:hAnsi="宋体" w:cs="宋体"/>
                      <w:snapToGrid w:val="0"/>
                      <w:szCs w:val="21"/>
                      <w:highlight w:val="none"/>
                    </w:rPr>
                  </w:pPr>
                  <w:r>
                    <w:rPr>
                      <w:rFonts w:hint="eastAsia" w:ascii="宋体" w:hAnsi="宋体" w:cs="宋体"/>
                      <w:snapToGrid w:val="0"/>
                      <w:szCs w:val="21"/>
                      <w:highlight w:val="none"/>
                    </w:rPr>
                    <w:t>1.10%</w:t>
                  </w:r>
                </w:p>
              </w:tc>
              <w:tc>
                <w:tcPr>
                  <w:tcW w:w="1907" w:type="dxa"/>
                  <w:vAlign w:val="center"/>
                </w:tcPr>
                <w:p>
                  <w:pPr>
                    <w:snapToGrid w:val="0"/>
                    <w:spacing w:line="290" w:lineRule="exact"/>
                    <w:rPr>
                      <w:rFonts w:ascii="宋体" w:hAnsi="宋体" w:cs="宋体"/>
                      <w:snapToGrid w:val="0"/>
                      <w:szCs w:val="21"/>
                      <w:highlight w:val="none"/>
                    </w:rPr>
                  </w:pPr>
                  <w:r>
                    <w:rPr>
                      <w:rFonts w:hint="eastAsia" w:ascii="宋体" w:hAnsi="宋体" w:cs="宋体"/>
                      <w:snapToGrid w:val="0"/>
                      <w:szCs w:val="21"/>
                      <w:highlight w:val="none"/>
                    </w:rPr>
                    <w:t>0.80%</w:t>
                  </w:r>
                </w:p>
              </w:tc>
              <w:tc>
                <w:tcPr>
                  <w:tcW w:w="1292" w:type="dxa"/>
                </w:tcPr>
                <w:p>
                  <w:pPr>
                    <w:snapToGrid w:val="0"/>
                    <w:spacing w:line="290" w:lineRule="exact"/>
                    <w:rPr>
                      <w:rFonts w:ascii="宋体" w:hAnsi="宋体" w:cs="宋体"/>
                      <w:snapToGrid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953" w:type="dxa"/>
                  <w:vAlign w:val="center"/>
                </w:tcPr>
                <w:p>
                  <w:pPr>
                    <w:snapToGrid w:val="0"/>
                    <w:spacing w:line="290" w:lineRule="exact"/>
                    <w:rPr>
                      <w:rFonts w:ascii="宋体" w:hAnsi="宋体" w:cs="宋体"/>
                      <w:snapToGrid w:val="0"/>
                      <w:szCs w:val="21"/>
                      <w:highlight w:val="none"/>
                    </w:rPr>
                  </w:pPr>
                  <w:r>
                    <w:rPr>
                      <w:rFonts w:hint="eastAsia" w:ascii="宋体" w:hAnsi="宋体" w:cs="宋体"/>
                      <w:snapToGrid w:val="0"/>
                      <w:szCs w:val="21"/>
                      <w:highlight w:val="none"/>
                    </w:rPr>
                    <w:t>500-1000</w:t>
                  </w:r>
                </w:p>
              </w:tc>
              <w:tc>
                <w:tcPr>
                  <w:tcW w:w="1546" w:type="dxa"/>
                  <w:vAlign w:val="center"/>
                </w:tcPr>
                <w:p>
                  <w:pPr>
                    <w:snapToGrid w:val="0"/>
                    <w:spacing w:line="290" w:lineRule="exact"/>
                    <w:rPr>
                      <w:rFonts w:ascii="宋体" w:hAnsi="宋体" w:cs="宋体"/>
                      <w:snapToGrid w:val="0"/>
                      <w:szCs w:val="21"/>
                      <w:highlight w:val="none"/>
                    </w:rPr>
                  </w:pPr>
                  <w:r>
                    <w:rPr>
                      <w:rFonts w:hint="eastAsia" w:ascii="宋体" w:hAnsi="宋体" w:cs="宋体"/>
                      <w:snapToGrid w:val="0"/>
                      <w:szCs w:val="21"/>
                      <w:highlight w:val="none"/>
                    </w:rPr>
                    <w:t>0.80%</w:t>
                  </w:r>
                </w:p>
              </w:tc>
              <w:tc>
                <w:tcPr>
                  <w:tcW w:w="1907" w:type="dxa"/>
                  <w:vAlign w:val="center"/>
                </w:tcPr>
                <w:p>
                  <w:pPr>
                    <w:snapToGrid w:val="0"/>
                    <w:spacing w:line="290" w:lineRule="exact"/>
                    <w:rPr>
                      <w:rFonts w:ascii="宋体" w:hAnsi="宋体" w:cs="宋体"/>
                      <w:snapToGrid w:val="0"/>
                      <w:szCs w:val="21"/>
                      <w:highlight w:val="none"/>
                    </w:rPr>
                  </w:pPr>
                  <w:r>
                    <w:rPr>
                      <w:rFonts w:hint="eastAsia" w:ascii="宋体" w:hAnsi="宋体" w:cs="宋体"/>
                      <w:snapToGrid w:val="0"/>
                      <w:szCs w:val="21"/>
                      <w:highlight w:val="none"/>
                    </w:rPr>
                    <w:t>0.45%</w:t>
                  </w:r>
                </w:p>
              </w:tc>
              <w:tc>
                <w:tcPr>
                  <w:tcW w:w="1292" w:type="dxa"/>
                </w:tcPr>
                <w:p>
                  <w:pPr>
                    <w:snapToGrid w:val="0"/>
                    <w:spacing w:line="290" w:lineRule="exact"/>
                    <w:rPr>
                      <w:rFonts w:ascii="宋体" w:hAnsi="宋体" w:cs="宋体"/>
                      <w:snapToGrid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953" w:type="dxa"/>
                  <w:vAlign w:val="center"/>
                </w:tcPr>
                <w:p>
                  <w:pPr>
                    <w:snapToGrid w:val="0"/>
                    <w:spacing w:line="290" w:lineRule="exact"/>
                    <w:rPr>
                      <w:rFonts w:ascii="宋体" w:hAnsi="宋体" w:cs="宋体"/>
                      <w:snapToGrid w:val="0"/>
                      <w:szCs w:val="21"/>
                      <w:highlight w:val="none"/>
                    </w:rPr>
                  </w:pPr>
                  <w:r>
                    <w:rPr>
                      <w:rFonts w:hint="eastAsia" w:ascii="宋体" w:hAnsi="宋体" w:cs="宋体"/>
                      <w:snapToGrid w:val="0"/>
                      <w:szCs w:val="21"/>
                      <w:highlight w:val="none"/>
                    </w:rPr>
                    <w:t>1000-5000</w:t>
                  </w:r>
                </w:p>
              </w:tc>
              <w:tc>
                <w:tcPr>
                  <w:tcW w:w="1546" w:type="dxa"/>
                  <w:vAlign w:val="center"/>
                </w:tcPr>
                <w:p>
                  <w:pPr>
                    <w:snapToGrid w:val="0"/>
                    <w:spacing w:line="290" w:lineRule="exact"/>
                    <w:rPr>
                      <w:rFonts w:ascii="宋体" w:hAnsi="宋体" w:cs="宋体"/>
                      <w:snapToGrid w:val="0"/>
                      <w:szCs w:val="21"/>
                      <w:highlight w:val="none"/>
                    </w:rPr>
                  </w:pPr>
                  <w:r>
                    <w:rPr>
                      <w:rFonts w:hint="eastAsia" w:ascii="宋体" w:hAnsi="宋体" w:cs="宋体"/>
                      <w:snapToGrid w:val="0"/>
                      <w:szCs w:val="21"/>
                      <w:highlight w:val="none"/>
                    </w:rPr>
                    <w:t>0.50%</w:t>
                  </w:r>
                </w:p>
              </w:tc>
              <w:tc>
                <w:tcPr>
                  <w:tcW w:w="1907" w:type="dxa"/>
                  <w:vAlign w:val="center"/>
                </w:tcPr>
                <w:p>
                  <w:pPr>
                    <w:snapToGrid w:val="0"/>
                    <w:spacing w:line="290" w:lineRule="exact"/>
                    <w:rPr>
                      <w:rFonts w:ascii="宋体" w:hAnsi="宋体" w:cs="宋体"/>
                      <w:snapToGrid w:val="0"/>
                      <w:szCs w:val="21"/>
                      <w:highlight w:val="none"/>
                    </w:rPr>
                  </w:pPr>
                  <w:r>
                    <w:rPr>
                      <w:rFonts w:hint="eastAsia" w:ascii="宋体" w:hAnsi="宋体" w:cs="宋体"/>
                      <w:snapToGrid w:val="0"/>
                      <w:szCs w:val="21"/>
                      <w:highlight w:val="none"/>
                    </w:rPr>
                    <w:t>0.25%</w:t>
                  </w:r>
                </w:p>
              </w:tc>
              <w:tc>
                <w:tcPr>
                  <w:tcW w:w="1292" w:type="dxa"/>
                </w:tcPr>
                <w:p>
                  <w:pPr>
                    <w:snapToGrid w:val="0"/>
                    <w:spacing w:line="290" w:lineRule="exact"/>
                    <w:rPr>
                      <w:rFonts w:ascii="宋体" w:hAnsi="宋体" w:cs="宋体"/>
                      <w:snapToGrid w:val="0"/>
                      <w:szCs w:val="21"/>
                      <w:highlight w:val="none"/>
                    </w:rPr>
                  </w:pPr>
                </w:p>
              </w:tc>
            </w:tr>
          </w:tbl>
          <w:p>
            <w:pPr>
              <w:snapToGrid w:val="0"/>
              <w:spacing w:line="290" w:lineRule="exact"/>
              <w:rPr>
                <w:rFonts w:ascii="宋体" w:hAnsi="宋体" w:cs="宋体"/>
                <w:snapToGrid w:val="0"/>
                <w:szCs w:val="21"/>
                <w:highlight w:val="none"/>
              </w:rPr>
            </w:pPr>
            <w:r>
              <w:rPr>
                <w:rFonts w:hint="eastAsia" w:ascii="宋体" w:hAnsi="宋体" w:cs="宋体"/>
                <w:snapToGrid w:val="0"/>
                <w:szCs w:val="21"/>
                <w:highlight w:val="none"/>
              </w:rPr>
              <w:t>招标代理服务收费按差额定率累进法计算。例如：某项目招标代理业务中标金额为2000万元，计算招标代理服务收费额如下：</w:t>
            </w:r>
          </w:p>
          <w:p>
            <w:pPr>
              <w:snapToGrid w:val="0"/>
              <w:spacing w:line="290" w:lineRule="exact"/>
              <w:rPr>
                <w:rFonts w:ascii="宋体" w:hAnsi="宋体" w:cs="宋体"/>
                <w:snapToGrid w:val="0"/>
                <w:szCs w:val="21"/>
                <w:highlight w:val="none"/>
              </w:rPr>
            </w:pPr>
            <w:r>
              <w:rPr>
                <w:rFonts w:hint="eastAsia" w:ascii="宋体" w:hAnsi="宋体" w:cs="宋体"/>
                <w:snapToGrid w:val="0"/>
                <w:szCs w:val="21"/>
                <w:highlight w:val="none"/>
              </w:rPr>
              <w:t xml:space="preserve"> 100万元×1.50%=1.5（万元）；</w:t>
            </w:r>
          </w:p>
          <w:p>
            <w:pPr>
              <w:snapToGrid w:val="0"/>
              <w:spacing w:line="290" w:lineRule="exact"/>
              <w:rPr>
                <w:rFonts w:ascii="宋体" w:hAnsi="宋体" w:cs="宋体"/>
                <w:snapToGrid w:val="0"/>
                <w:szCs w:val="21"/>
                <w:highlight w:val="none"/>
              </w:rPr>
            </w:pPr>
            <w:r>
              <w:rPr>
                <w:rFonts w:hint="eastAsia" w:ascii="宋体" w:hAnsi="宋体" w:cs="宋体"/>
                <w:snapToGrid w:val="0"/>
                <w:szCs w:val="21"/>
                <w:highlight w:val="none"/>
              </w:rPr>
              <w:t>（500-100）万元×1.10%=4.4（万元）</w:t>
            </w:r>
          </w:p>
          <w:p>
            <w:pPr>
              <w:snapToGrid w:val="0"/>
              <w:spacing w:line="290" w:lineRule="exact"/>
              <w:rPr>
                <w:rFonts w:ascii="宋体" w:hAnsi="宋体" w:cs="宋体"/>
                <w:snapToGrid w:val="0"/>
                <w:szCs w:val="21"/>
                <w:highlight w:val="none"/>
              </w:rPr>
            </w:pPr>
            <w:r>
              <w:rPr>
                <w:rFonts w:hint="eastAsia" w:ascii="宋体" w:hAnsi="宋体" w:cs="宋体"/>
                <w:snapToGrid w:val="0"/>
                <w:szCs w:val="21"/>
                <w:highlight w:val="none"/>
              </w:rPr>
              <w:t>（1000-500）万元×0.80%=4.0（万元）</w:t>
            </w:r>
          </w:p>
          <w:p>
            <w:pPr>
              <w:snapToGrid w:val="0"/>
              <w:spacing w:line="290" w:lineRule="exact"/>
              <w:rPr>
                <w:rFonts w:ascii="宋体" w:hAnsi="宋体" w:cs="宋体"/>
                <w:snapToGrid w:val="0"/>
                <w:szCs w:val="21"/>
                <w:highlight w:val="none"/>
              </w:rPr>
            </w:pPr>
            <w:r>
              <w:rPr>
                <w:rFonts w:hint="eastAsia" w:ascii="宋体" w:hAnsi="宋体" w:cs="宋体"/>
                <w:snapToGrid w:val="0"/>
                <w:szCs w:val="21"/>
                <w:highlight w:val="none"/>
              </w:rPr>
              <w:t>（2000-1000）万元×0.50%=5.0（万元）</w:t>
            </w:r>
          </w:p>
          <w:p>
            <w:pPr>
              <w:snapToGrid w:val="0"/>
              <w:spacing w:line="290" w:lineRule="exact"/>
              <w:rPr>
                <w:rFonts w:hint="eastAsia" w:ascii="宋体" w:hAnsi="宋体" w:cs="宋体"/>
                <w:snapToGrid w:val="0"/>
                <w:szCs w:val="21"/>
                <w:highlight w:val="none"/>
              </w:rPr>
            </w:pPr>
            <w:r>
              <w:rPr>
                <w:rFonts w:hint="eastAsia" w:ascii="宋体" w:hAnsi="宋体" w:cs="宋体"/>
                <w:snapToGrid w:val="0"/>
                <w:szCs w:val="21"/>
                <w:highlight w:val="none"/>
              </w:rPr>
              <w:t>合计收费=1.5+4.4+4.0+5.0=14.9(万元)</w:t>
            </w:r>
          </w:p>
          <w:p>
            <w:pPr>
              <w:pStyle w:val="32"/>
              <w:numPr>
                <w:ilvl w:val="4"/>
                <w:numId w:val="0"/>
              </w:numPr>
              <w:rPr>
                <w:highlight w:val="none"/>
              </w:rPr>
            </w:pPr>
            <w:r>
              <w:rPr>
                <w:rFonts w:hint="eastAsia" w:ascii="宋体" w:hAnsi="宋体" w:cs="宋体"/>
                <w:snapToGrid w:val="0"/>
                <w:szCs w:val="21"/>
                <w:highlight w:val="none"/>
                <w:lang w:eastAsia="zh-CN"/>
              </w:rPr>
              <w:t>本项目招标代理费以双方协议价为准。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62" w:type="pct"/>
            <w:vAlign w:val="center"/>
          </w:tcPr>
          <w:p>
            <w:pPr>
              <w:pStyle w:val="12"/>
              <w:snapToGrid w:val="0"/>
              <w:spacing w:line="290" w:lineRule="exact"/>
              <w:jc w:val="center"/>
              <w:rPr>
                <w:rFonts w:cs="宋体"/>
                <w:color w:val="auto"/>
                <w:szCs w:val="21"/>
                <w:highlight w:val="none"/>
              </w:rPr>
            </w:pPr>
            <w:r>
              <w:rPr>
                <w:rFonts w:hint="eastAsia"/>
                <w:color w:val="auto"/>
                <w:szCs w:val="21"/>
                <w:highlight w:val="none"/>
              </w:rPr>
              <w:t>15</w:t>
            </w:r>
          </w:p>
        </w:tc>
        <w:tc>
          <w:tcPr>
            <w:tcW w:w="814" w:type="pct"/>
            <w:vAlign w:val="center"/>
          </w:tcPr>
          <w:p>
            <w:pPr>
              <w:snapToGrid w:val="0"/>
              <w:spacing w:line="290" w:lineRule="exact"/>
              <w:jc w:val="left"/>
              <w:rPr>
                <w:rFonts w:ascii="宋体"/>
                <w:szCs w:val="21"/>
                <w:highlight w:val="none"/>
              </w:rPr>
            </w:pPr>
            <w:r>
              <w:rPr>
                <w:rFonts w:hint="eastAsia" w:ascii="宋体"/>
                <w:szCs w:val="21"/>
                <w:highlight w:val="none"/>
              </w:rPr>
              <w:t>最高投标限价</w:t>
            </w:r>
          </w:p>
        </w:tc>
        <w:tc>
          <w:tcPr>
            <w:tcW w:w="3923" w:type="pct"/>
            <w:vAlign w:val="center"/>
          </w:tcPr>
          <w:p>
            <w:pPr>
              <w:snapToGrid w:val="0"/>
              <w:spacing w:line="290" w:lineRule="exact"/>
              <w:rPr>
                <w:rFonts w:ascii="宋体" w:hAnsi="宋体"/>
                <w:szCs w:val="21"/>
                <w:highlight w:val="none"/>
              </w:rPr>
            </w:pPr>
            <w:r>
              <w:rPr>
                <w:rFonts w:hint="eastAsia" w:ascii="宋体" w:hAnsi="宋体" w:cs="宋体"/>
                <w:color w:val="auto"/>
                <w:szCs w:val="21"/>
                <w:highlight w:val="none"/>
              </w:rPr>
              <w:t>招标人设置投标报价最高上限：</w:t>
            </w:r>
            <w:r>
              <w:rPr>
                <w:rFonts w:hint="eastAsia" w:ascii="宋体" w:hAnsi="宋体" w:cs="宋体"/>
                <w:color w:val="auto"/>
                <w:szCs w:val="21"/>
                <w:highlight w:val="none"/>
                <w:u w:val="singl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62" w:type="pct"/>
            <w:vAlign w:val="center"/>
          </w:tcPr>
          <w:p>
            <w:pPr>
              <w:snapToGrid w:val="0"/>
              <w:spacing w:line="290" w:lineRule="exact"/>
              <w:jc w:val="center"/>
              <w:rPr>
                <w:szCs w:val="21"/>
                <w:highlight w:val="none"/>
              </w:rPr>
            </w:pPr>
            <w:r>
              <w:rPr>
                <w:rFonts w:hint="eastAsia" w:ascii="宋体" w:cs="宋体"/>
                <w:szCs w:val="21"/>
                <w:highlight w:val="none"/>
              </w:rPr>
              <w:t>16</w:t>
            </w:r>
          </w:p>
        </w:tc>
        <w:tc>
          <w:tcPr>
            <w:tcW w:w="814" w:type="pct"/>
            <w:vAlign w:val="center"/>
          </w:tcPr>
          <w:p>
            <w:pPr>
              <w:pStyle w:val="12"/>
              <w:snapToGrid w:val="0"/>
              <w:spacing w:line="290" w:lineRule="exact"/>
              <w:jc w:val="left"/>
              <w:rPr>
                <w:color w:val="auto"/>
                <w:szCs w:val="21"/>
                <w:highlight w:val="none"/>
              </w:rPr>
            </w:pPr>
            <w:r>
              <w:rPr>
                <w:color w:val="auto"/>
                <w:szCs w:val="21"/>
                <w:highlight w:val="none"/>
              </w:rPr>
              <w:t>投标有效期</w:t>
            </w:r>
          </w:p>
        </w:tc>
        <w:tc>
          <w:tcPr>
            <w:tcW w:w="3923" w:type="pct"/>
            <w:vAlign w:val="center"/>
          </w:tcPr>
          <w:p>
            <w:pPr>
              <w:pStyle w:val="12"/>
              <w:snapToGrid w:val="0"/>
              <w:spacing w:line="290" w:lineRule="exact"/>
              <w:rPr>
                <w:color w:val="auto"/>
                <w:szCs w:val="21"/>
                <w:highlight w:val="none"/>
              </w:rPr>
            </w:pPr>
            <w:r>
              <w:rPr>
                <w:rFonts w:hint="eastAsia"/>
                <w:color w:val="auto"/>
                <w:szCs w:val="21"/>
                <w:highlight w:val="none"/>
              </w:rPr>
              <w:t>投标有效期为</w:t>
            </w:r>
            <w:r>
              <w:rPr>
                <w:rFonts w:hint="eastAsia"/>
                <w:color w:val="auto"/>
                <w:szCs w:val="21"/>
                <w:highlight w:val="none"/>
                <w:u w:val="single"/>
              </w:rPr>
              <w:t xml:space="preserve"> 60 </w:t>
            </w:r>
            <w:r>
              <w:rPr>
                <w:rFonts w:hint="eastAsia"/>
                <w:color w:val="auto"/>
                <w:szCs w:val="21"/>
                <w:highlight w:val="none"/>
              </w:rPr>
              <w:t>日历天（从投标截止之日算起）。在此期限内，凡符合本采购文件要求的投标文件均保持有效。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75" w:hRule="atLeast"/>
          <w:jc w:val="center"/>
        </w:trPr>
        <w:tc>
          <w:tcPr>
            <w:tcW w:w="262" w:type="pct"/>
            <w:vMerge w:val="restart"/>
            <w:vAlign w:val="center"/>
          </w:tcPr>
          <w:p>
            <w:pPr>
              <w:pStyle w:val="12"/>
              <w:snapToGrid w:val="0"/>
              <w:spacing w:line="290" w:lineRule="exact"/>
              <w:jc w:val="center"/>
              <w:rPr>
                <w:rFonts w:cs="宋体"/>
                <w:color w:val="auto"/>
                <w:szCs w:val="21"/>
                <w:highlight w:val="none"/>
              </w:rPr>
            </w:pPr>
            <w:r>
              <w:rPr>
                <w:rFonts w:hint="eastAsia"/>
                <w:color w:val="auto"/>
                <w:szCs w:val="21"/>
                <w:highlight w:val="none"/>
              </w:rPr>
              <w:t>17</w:t>
            </w:r>
          </w:p>
        </w:tc>
        <w:tc>
          <w:tcPr>
            <w:tcW w:w="814" w:type="pct"/>
            <w:tcBorders>
              <w:bottom w:val="single" w:color="auto" w:sz="4" w:space="0"/>
            </w:tcBorders>
            <w:vAlign w:val="center"/>
          </w:tcPr>
          <w:p>
            <w:pPr>
              <w:snapToGrid w:val="0"/>
              <w:spacing w:line="290" w:lineRule="exact"/>
              <w:jc w:val="left"/>
              <w:rPr>
                <w:rFonts w:ascii="宋体"/>
                <w:szCs w:val="21"/>
                <w:highlight w:val="none"/>
              </w:rPr>
            </w:pPr>
            <w:r>
              <w:rPr>
                <w:rFonts w:hint="eastAsia" w:ascii="宋体"/>
                <w:szCs w:val="21"/>
                <w:highlight w:val="none"/>
              </w:rPr>
              <w:t>投标保证金</w:t>
            </w:r>
          </w:p>
        </w:tc>
        <w:tc>
          <w:tcPr>
            <w:tcW w:w="3923" w:type="pct"/>
            <w:tcBorders>
              <w:bottom w:val="single" w:color="auto" w:sz="4" w:space="0"/>
            </w:tcBorders>
          </w:tcPr>
          <w:p>
            <w:pPr>
              <w:snapToGrid w:val="0"/>
              <w:spacing w:line="290" w:lineRule="exact"/>
              <w:rPr>
                <w:rFonts w:ascii="宋体" w:hAnsi="宋体" w:cs="宋体-18030"/>
                <w:szCs w:val="21"/>
                <w:highlight w:val="none"/>
              </w:rPr>
            </w:pPr>
            <w:r>
              <w:rPr>
                <w:rFonts w:hint="eastAsia" w:ascii="宋体" w:hAnsi="宋体" w:cs="宋体-18030"/>
                <w:b/>
                <w:bCs/>
                <w:szCs w:val="21"/>
                <w:highlight w:val="none"/>
              </w:rPr>
              <w:t>投标保证金交纳方式：</w:t>
            </w:r>
            <w:r>
              <w:rPr>
                <w:rFonts w:hint="eastAsia" w:ascii="宋体" w:hAnsi="宋体" w:cs="宋体-18030"/>
                <w:szCs w:val="21"/>
                <w:highlight w:val="none"/>
              </w:rPr>
              <w:t>投标保证金应当以支票、汇票、本票、网上银行支付或者金融机构、担保机构出具的保函等非现金形式交纳。</w:t>
            </w:r>
          </w:p>
          <w:p>
            <w:pPr>
              <w:snapToGrid w:val="0"/>
              <w:spacing w:line="290" w:lineRule="exact"/>
              <w:rPr>
                <w:rFonts w:ascii="宋体" w:hAnsi="宋体" w:cs="宋体-18030"/>
                <w:szCs w:val="21"/>
                <w:highlight w:val="none"/>
              </w:rPr>
            </w:pPr>
            <w:r>
              <w:rPr>
                <w:rFonts w:hint="eastAsia" w:ascii="宋体" w:hAnsi="宋体" w:cs="宋体-18030"/>
                <w:b/>
                <w:bCs/>
                <w:szCs w:val="21"/>
                <w:highlight w:val="none"/>
              </w:rPr>
              <w:t>投标保证金的金额：10000.00元（壹万元整）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62" w:type="pct"/>
            <w:vMerge w:val="continue"/>
            <w:vAlign w:val="center"/>
          </w:tcPr>
          <w:p>
            <w:pPr>
              <w:snapToGrid w:val="0"/>
              <w:spacing w:line="290" w:lineRule="exact"/>
              <w:jc w:val="center"/>
              <w:rPr>
                <w:rFonts w:ascii="宋体" w:cs="宋体"/>
                <w:szCs w:val="21"/>
                <w:highlight w:val="none"/>
              </w:rPr>
            </w:pPr>
          </w:p>
        </w:tc>
        <w:tc>
          <w:tcPr>
            <w:tcW w:w="4737" w:type="pct"/>
            <w:gridSpan w:val="2"/>
            <w:tcBorders>
              <w:top w:val="single" w:color="auto" w:sz="4" w:space="0"/>
            </w:tcBorders>
            <w:vAlign w:val="center"/>
          </w:tcPr>
          <w:p>
            <w:pPr>
              <w:snapToGrid w:val="0"/>
              <w:spacing w:line="290" w:lineRule="exact"/>
              <w:ind w:firstLine="210" w:firstLineChars="100"/>
              <w:rPr>
                <w:rFonts w:ascii="宋体" w:hAnsi="宋体"/>
                <w:szCs w:val="21"/>
                <w:highlight w:val="none"/>
              </w:rPr>
            </w:pPr>
            <w:r>
              <w:rPr>
                <w:rFonts w:hint="eastAsia" w:ascii="宋体" w:hAnsi="宋体"/>
                <w:szCs w:val="21"/>
                <w:highlight w:val="none"/>
              </w:rPr>
              <w:t>投标保证金交纳要求：</w:t>
            </w:r>
          </w:p>
          <w:p>
            <w:pPr>
              <w:snapToGrid w:val="0"/>
              <w:spacing w:line="290" w:lineRule="exact"/>
              <w:ind w:firstLine="210" w:firstLineChars="100"/>
              <w:rPr>
                <w:rFonts w:ascii="宋体" w:hAnsi="宋体"/>
                <w:szCs w:val="21"/>
                <w:highlight w:val="none"/>
              </w:rPr>
            </w:pPr>
            <w:r>
              <w:rPr>
                <w:rFonts w:hint="eastAsia" w:ascii="宋体" w:hAnsi="宋体"/>
                <w:szCs w:val="21"/>
                <w:highlight w:val="none"/>
              </w:rPr>
              <w:t>1、投标保证金以电汇、网银等转账形式提交的，应在投标截止时间</w:t>
            </w:r>
            <w:r>
              <w:rPr>
                <w:rFonts w:hint="eastAsia" w:ascii="宋体" w:hAnsi="宋体"/>
                <w:color w:val="0000FF"/>
                <w:szCs w:val="21"/>
                <w:highlight w:val="none"/>
                <w:shd w:val="clear"/>
              </w:rPr>
              <w:t>202</w:t>
            </w:r>
            <w:r>
              <w:rPr>
                <w:rFonts w:hint="eastAsia" w:ascii="宋体" w:hAnsi="宋体"/>
                <w:color w:val="0000FF"/>
                <w:szCs w:val="21"/>
                <w:highlight w:val="none"/>
                <w:shd w:val="clear"/>
                <w:lang w:val="en-US" w:eastAsia="zh-CN"/>
              </w:rPr>
              <w:t>3</w:t>
            </w:r>
            <w:r>
              <w:rPr>
                <w:rFonts w:hint="eastAsia" w:ascii="宋体" w:hAnsi="宋体"/>
                <w:color w:val="0000FF"/>
                <w:szCs w:val="21"/>
                <w:highlight w:val="none"/>
                <w:shd w:val="clear"/>
              </w:rPr>
              <w:t>年</w:t>
            </w:r>
            <w:r>
              <w:rPr>
                <w:rFonts w:hint="eastAsia" w:ascii="宋体" w:hAnsi="宋体"/>
                <w:color w:val="0000FF"/>
                <w:szCs w:val="21"/>
                <w:highlight w:val="none"/>
                <w:shd w:val="clear"/>
                <w:lang w:val="en-US" w:eastAsia="zh-CN"/>
              </w:rPr>
              <w:t>10</w:t>
            </w:r>
            <w:r>
              <w:rPr>
                <w:rFonts w:hint="eastAsia" w:ascii="宋体" w:hAnsi="宋体"/>
                <w:color w:val="0000FF"/>
                <w:szCs w:val="21"/>
                <w:highlight w:val="none"/>
                <w:shd w:val="clear"/>
              </w:rPr>
              <w:t>月</w:t>
            </w:r>
            <w:r>
              <w:rPr>
                <w:rFonts w:hint="eastAsia" w:ascii="宋体" w:hAnsi="宋体"/>
                <w:color w:val="0000FF"/>
                <w:szCs w:val="21"/>
                <w:highlight w:val="none"/>
                <w:shd w:val="clear"/>
                <w:lang w:val="en-US" w:eastAsia="zh-CN"/>
              </w:rPr>
              <w:t>9</w:t>
            </w:r>
            <w:r>
              <w:rPr>
                <w:rFonts w:hint="eastAsia" w:ascii="宋体" w:hAnsi="宋体"/>
                <w:color w:val="0000FF"/>
                <w:szCs w:val="21"/>
                <w:highlight w:val="none"/>
                <w:shd w:val="clear"/>
              </w:rPr>
              <w:t>日下午</w:t>
            </w:r>
            <w:r>
              <w:rPr>
                <w:rFonts w:hint="eastAsia" w:ascii="宋体" w:hAnsi="宋体"/>
                <w:color w:val="0000FF"/>
                <w:szCs w:val="21"/>
                <w:highlight w:val="none"/>
                <w:shd w:val="clear"/>
                <w:lang w:val="en-US" w:eastAsia="zh-CN"/>
              </w:rPr>
              <w:t>20</w:t>
            </w:r>
            <w:r>
              <w:rPr>
                <w:rFonts w:hint="eastAsia" w:ascii="宋体" w:hAnsi="宋体"/>
                <w:color w:val="0000FF"/>
                <w:szCs w:val="21"/>
                <w:highlight w:val="none"/>
                <w:shd w:val="clear"/>
              </w:rPr>
              <w:t>：</w:t>
            </w:r>
            <w:r>
              <w:rPr>
                <w:rFonts w:hint="eastAsia" w:ascii="宋体" w:hAnsi="宋体"/>
                <w:color w:val="0000FF"/>
                <w:szCs w:val="21"/>
                <w:highlight w:val="none"/>
                <w:shd w:val="clear"/>
                <w:lang w:val="en-US" w:eastAsia="zh-CN"/>
              </w:rPr>
              <w:t>00</w:t>
            </w:r>
            <w:r>
              <w:rPr>
                <w:rFonts w:hint="eastAsia" w:ascii="宋体" w:hAnsi="宋体"/>
                <w:color w:val="0000FF"/>
                <w:szCs w:val="21"/>
                <w:highlight w:val="none"/>
                <w:shd w:val="clear"/>
              </w:rPr>
              <w:t>时</w:t>
            </w:r>
            <w:r>
              <w:rPr>
                <w:rFonts w:hint="eastAsia" w:ascii="宋体" w:hAnsi="宋体"/>
                <w:color w:val="auto"/>
                <w:szCs w:val="21"/>
                <w:highlight w:val="none"/>
                <w:shd w:val="clear"/>
              </w:rPr>
              <w:t>（</w:t>
            </w:r>
            <w:r>
              <w:rPr>
                <w:rFonts w:hint="eastAsia" w:ascii="宋体" w:hAnsi="宋体"/>
                <w:szCs w:val="21"/>
                <w:highlight w:val="none"/>
              </w:rPr>
              <w:t>北京时间）前以总公司的基本账户一次性汇入指定账户（以到账时间为准），必须写清楚某某公司某某项目保证金,不接受现金及任何个人汇款。确认到账后，持银行交款单、基本户开户许可证（基本存款账户信息）到阿克陶县政务服务和公共资源交易中心二楼换取票据收据，项目开具的票据收据复印件须扫描上传，标书内附有此票据收据。</w:t>
            </w:r>
          </w:p>
          <w:p>
            <w:pPr>
              <w:snapToGrid w:val="0"/>
              <w:spacing w:line="290" w:lineRule="exact"/>
              <w:ind w:firstLine="210" w:firstLineChars="100"/>
              <w:rPr>
                <w:rFonts w:ascii="宋体" w:hAnsi="宋体"/>
                <w:szCs w:val="21"/>
                <w:highlight w:val="none"/>
              </w:rPr>
            </w:pPr>
            <w:r>
              <w:rPr>
                <w:rFonts w:hint="eastAsia" w:ascii="宋体" w:hAnsi="宋体"/>
                <w:szCs w:val="21"/>
                <w:highlight w:val="none"/>
              </w:rPr>
              <w:t>2、投标保证金以保函等票据形式提交的，金融机构、担保机构出具的票据原件须扫描上传，标书内附有此票据。</w:t>
            </w:r>
          </w:p>
          <w:p>
            <w:pPr>
              <w:snapToGrid w:val="0"/>
              <w:spacing w:line="290" w:lineRule="exact"/>
              <w:ind w:firstLine="210" w:firstLineChars="100"/>
              <w:rPr>
                <w:rFonts w:ascii="宋体" w:hAnsi="宋体"/>
                <w:szCs w:val="21"/>
                <w:highlight w:val="none"/>
              </w:rPr>
            </w:pPr>
            <w:r>
              <w:rPr>
                <w:rFonts w:hint="eastAsia" w:ascii="宋体" w:hAnsi="宋体"/>
                <w:szCs w:val="21"/>
                <w:highlight w:val="none"/>
              </w:rPr>
              <w:t>3、有效投标保证金成功交纳后，截止开标时间，供应商无正当理由不参加该项目投标且不递交弃标函，投标保证金不予退还。</w:t>
            </w:r>
          </w:p>
          <w:p>
            <w:pPr>
              <w:snapToGrid w:val="0"/>
              <w:spacing w:line="290" w:lineRule="exact"/>
              <w:ind w:firstLine="210" w:firstLineChars="100"/>
              <w:rPr>
                <w:rFonts w:ascii="宋体" w:hAnsi="宋体"/>
                <w:b/>
                <w:bCs/>
                <w:szCs w:val="21"/>
                <w:highlight w:val="none"/>
              </w:rPr>
            </w:pPr>
            <w:r>
              <w:rPr>
                <w:rFonts w:hint="eastAsia" w:ascii="宋体" w:hAnsi="宋体"/>
                <w:b/>
                <w:bCs/>
                <w:szCs w:val="21"/>
                <w:highlight w:val="none"/>
              </w:rPr>
              <w:t>户  名：阿克陶县政务服务和公共资源交易中心</w:t>
            </w:r>
          </w:p>
          <w:p>
            <w:pPr>
              <w:snapToGrid w:val="0"/>
              <w:spacing w:line="290" w:lineRule="exact"/>
              <w:ind w:firstLine="210" w:firstLineChars="100"/>
              <w:rPr>
                <w:rFonts w:ascii="宋体" w:hAnsi="宋体"/>
                <w:b/>
                <w:bCs/>
                <w:szCs w:val="21"/>
                <w:highlight w:val="none"/>
              </w:rPr>
            </w:pPr>
            <w:r>
              <w:rPr>
                <w:rFonts w:hint="eastAsia" w:ascii="宋体" w:hAnsi="宋体"/>
                <w:b/>
                <w:bCs/>
                <w:szCs w:val="21"/>
                <w:highlight w:val="none"/>
              </w:rPr>
              <w:t>账  号：30465101040026944</w:t>
            </w:r>
            <w:bookmarkStart w:id="128" w:name="_GoBack"/>
            <w:bookmarkEnd w:id="128"/>
          </w:p>
          <w:p>
            <w:pPr>
              <w:snapToGrid w:val="0"/>
              <w:spacing w:line="290" w:lineRule="exact"/>
              <w:ind w:firstLine="210" w:firstLineChars="100"/>
              <w:rPr>
                <w:rFonts w:ascii="宋体" w:hAnsi="宋体"/>
                <w:b/>
                <w:bCs/>
                <w:szCs w:val="21"/>
                <w:highlight w:val="none"/>
              </w:rPr>
            </w:pPr>
            <w:r>
              <w:rPr>
                <w:rFonts w:hint="eastAsia" w:ascii="宋体" w:hAnsi="宋体"/>
                <w:b/>
                <w:bCs/>
                <w:szCs w:val="21"/>
                <w:highlight w:val="none"/>
              </w:rPr>
              <w:t>行  名：中国农业银行阿克陶县支行营业部 </w:t>
            </w:r>
          </w:p>
          <w:p>
            <w:pPr>
              <w:snapToGrid w:val="0"/>
              <w:spacing w:line="290" w:lineRule="exact"/>
              <w:ind w:firstLine="210" w:firstLineChars="100"/>
              <w:rPr>
                <w:rFonts w:ascii="宋体" w:hAnsi="宋体"/>
                <w:b/>
                <w:bCs/>
                <w:szCs w:val="21"/>
                <w:highlight w:val="none"/>
              </w:rPr>
            </w:pPr>
            <w:r>
              <w:rPr>
                <w:rFonts w:hint="eastAsia" w:ascii="宋体" w:hAnsi="宋体"/>
                <w:b/>
                <w:bCs/>
                <w:szCs w:val="21"/>
                <w:highlight w:val="none"/>
              </w:rPr>
              <w:t>行  号：103893246513</w:t>
            </w:r>
          </w:p>
          <w:p>
            <w:pPr>
              <w:snapToGrid w:val="0"/>
              <w:spacing w:line="290" w:lineRule="exact"/>
              <w:ind w:firstLine="210" w:firstLineChars="100"/>
              <w:rPr>
                <w:rFonts w:ascii="宋体" w:hAnsi="宋体"/>
                <w:b/>
                <w:bCs/>
                <w:szCs w:val="21"/>
                <w:highlight w:val="none"/>
              </w:rPr>
            </w:pPr>
            <w:r>
              <w:rPr>
                <w:rFonts w:hint="eastAsia" w:ascii="宋体" w:hAnsi="宋体"/>
                <w:b/>
                <w:bCs/>
                <w:szCs w:val="21"/>
                <w:highlight w:val="none"/>
              </w:rPr>
              <w:t>联 系 人：邓先生  </w:t>
            </w:r>
          </w:p>
          <w:p>
            <w:pPr>
              <w:snapToGrid w:val="0"/>
              <w:spacing w:line="290" w:lineRule="exact"/>
              <w:ind w:firstLine="210" w:firstLineChars="100"/>
              <w:rPr>
                <w:rFonts w:ascii="宋体" w:hAnsi="宋体"/>
                <w:b/>
                <w:bCs/>
                <w:szCs w:val="21"/>
                <w:highlight w:val="none"/>
              </w:rPr>
            </w:pPr>
            <w:r>
              <w:rPr>
                <w:rFonts w:hint="eastAsia" w:ascii="宋体" w:hAnsi="宋体"/>
                <w:b/>
                <w:bCs/>
                <w:szCs w:val="21"/>
                <w:highlight w:val="none"/>
              </w:rPr>
              <w:t>电   话：18719937118  0908-5724161</w:t>
            </w:r>
          </w:p>
          <w:p>
            <w:pPr>
              <w:snapToGrid w:val="0"/>
              <w:spacing w:line="290" w:lineRule="exact"/>
              <w:ind w:firstLine="210" w:firstLineChars="100"/>
              <w:rPr>
                <w:rFonts w:ascii="宋体" w:hAnsi="宋体"/>
                <w:szCs w:val="21"/>
                <w:highlight w:val="none"/>
              </w:rPr>
            </w:pPr>
            <w:r>
              <w:rPr>
                <w:rFonts w:hint="eastAsia" w:ascii="宋体" w:hAnsi="宋体"/>
                <w:b/>
                <w:bCs/>
                <w:szCs w:val="21"/>
                <w:highlight w:val="none"/>
              </w:rPr>
              <w:t>投标保证金退还：1、中标供应商持合同和票据收据5日内办理；2、未中标供应商持收据5日内办理；3、因供应商自身原因耽搁领取，超过退还时限，不承担延后退还责任。</w:t>
            </w:r>
            <w:r>
              <w:rPr>
                <w:rFonts w:hint="eastAsia" w:ascii="宋体" w:hAnsi="宋体"/>
                <w:szCs w:val="21"/>
                <w:highlight w:val="none"/>
              </w:rPr>
              <w:t xml:space="preserve"> </w:t>
            </w:r>
            <w:r>
              <w:rPr>
                <w:rFonts w:hint="eastAsia" w:ascii="宋体" w:hAnsi="宋体" w:cs="宋体"/>
                <w:color w:val="000000"/>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4" w:hRule="atLeast"/>
          <w:jc w:val="center"/>
        </w:trPr>
        <w:tc>
          <w:tcPr>
            <w:tcW w:w="262" w:type="pct"/>
            <w:vAlign w:val="center"/>
          </w:tcPr>
          <w:p>
            <w:pPr>
              <w:snapToGrid w:val="0"/>
              <w:spacing w:line="290" w:lineRule="exact"/>
              <w:jc w:val="center"/>
              <w:rPr>
                <w:szCs w:val="21"/>
                <w:highlight w:val="none"/>
              </w:rPr>
            </w:pPr>
            <w:r>
              <w:rPr>
                <w:rFonts w:hint="eastAsia" w:ascii="宋体" w:cs="宋体"/>
                <w:szCs w:val="21"/>
                <w:highlight w:val="none"/>
              </w:rPr>
              <w:t>18</w:t>
            </w:r>
          </w:p>
        </w:tc>
        <w:tc>
          <w:tcPr>
            <w:tcW w:w="814" w:type="pct"/>
            <w:vAlign w:val="center"/>
          </w:tcPr>
          <w:p>
            <w:pPr>
              <w:pStyle w:val="12"/>
              <w:snapToGrid w:val="0"/>
              <w:spacing w:line="290" w:lineRule="exact"/>
              <w:rPr>
                <w:color w:val="auto"/>
                <w:szCs w:val="21"/>
                <w:highlight w:val="none"/>
              </w:rPr>
            </w:pPr>
            <w:r>
              <w:rPr>
                <w:rFonts w:hint="eastAsia"/>
                <w:color w:val="auto"/>
                <w:szCs w:val="21"/>
                <w:highlight w:val="none"/>
              </w:rPr>
              <w:t>投标文件形式</w:t>
            </w:r>
          </w:p>
        </w:tc>
        <w:tc>
          <w:tcPr>
            <w:tcW w:w="3923" w:type="pct"/>
            <w:vAlign w:val="center"/>
          </w:tcPr>
          <w:p>
            <w:pPr>
              <w:pStyle w:val="12"/>
              <w:snapToGrid w:val="0"/>
              <w:spacing w:line="290" w:lineRule="exact"/>
              <w:rPr>
                <w:color w:val="auto"/>
                <w:szCs w:val="21"/>
                <w:highlight w:val="none"/>
              </w:rPr>
            </w:pPr>
            <w:r>
              <w:rPr>
                <w:rFonts w:hint="eastAsia"/>
                <w:color w:val="auto"/>
                <w:szCs w:val="21"/>
                <w:highlight w:val="none"/>
              </w:rPr>
              <w:t>电子投标文件包括“电子加密投标文件”和“备份投标文件”，在投标文件编制完成后同时生成。</w:t>
            </w:r>
          </w:p>
          <w:p>
            <w:pPr>
              <w:pStyle w:val="12"/>
              <w:snapToGrid w:val="0"/>
              <w:spacing w:line="290" w:lineRule="exact"/>
              <w:rPr>
                <w:color w:val="auto"/>
                <w:szCs w:val="21"/>
                <w:highlight w:val="none"/>
              </w:rPr>
            </w:pPr>
            <w:r>
              <w:rPr>
                <w:rFonts w:hint="eastAsia"/>
                <w:color w:val="auto"/>
                <w:szCs w:val="21"/>
                <w:highlight w:val="none"/>
              </w:rPr>
              <w:t>1、“电子加密投标文件” 是指通过“政采云电子交易客户端”完成投标文件编制后生成并加密的数据电文形式的投标文件。</w:t>
            </w:r>
          </w:p>
          <w:p>
            <w:pPr>
              <w:pStyle w:val="12"/>
              <w:snapToGrid w:val="0"/>
              <w:spacing w:line="290" w:lineRule="exact"/>
              <w:rPr>
                <w:color w:val="auto"/>
                <w:szCs w:val="21"/>
                <w:highlight w:val="none"/>
              </w:rPr>
            </w:pPr>
            <w:r>
              <w:rPr>
                <w:rFonts w:hint="eastAsia"/>
                <w:color w:val="auto"/>
                <w:szCs w:val="21"/>
                <w:highlight w:val="none"/>
              </w:rPr>
              <w:t>2、“备份投标文件”是指与“电子加密投标文件”同时生成的数据电文形式的电子文件（备份标书，用于供应商标书解密异常时应急使用），其他方式编制的备份投标文件视为无效备份投标文件。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62" w:type="pct"/>
            <w:vAlign w:val="center"/>
          </w:tcPr>
          <w:p>
            <w:pPr>
              <w:snapToGrid w:val="0"/>
              <w:spacing w:line="290" w:lineRule="exact"/>
              <w:ind w:left="-77" w:leftChars="-37" w:right="-94" w:rightChars="-45"/>
              <w:jc w:val="center"/>
              <w:rPr>
                <w:rFonts w:ascii="宋体" w:cs="宋体"/>
                <w:szCs w:val="21"/>
                <w:highlight w:val="none"/>
              </w:rPr>
            </w:pPr>
            <w:r>
              <w:rPr>
                <w:rFonts w:hint="eastAsia" w:ascii="宋体" w:cs="宋体"/>
                <w:szCs w:val="21"/>
                <w:highlight w:val="none"/>
              </w:rPr>
              <w:t>19</w:t>
            </w:r>
          </w:p>
        </w:tc>
        <w:tc>
          <w:tcPr>
            <w:tcW w:w="814" w:type="pct"/>
            <w:vAlign w:val="center"/>
          </w:tcPr>
          <w:p>
            <w:pPr>
              <w:pStyle w:val="12"/>
              <w:snapToGrid w:val="0"/>
              <w:spacing w:line="290" w:lineRule="exact"/>
              <w:rPr>
                <w:color w:val="auto"/>
                <w:szCs w:val="21"/>
                <w:highlight w:val="none"/>
              </w:rPr>
            </w:pPr>
            <w:r>
              <w:rPr>
                <w:rFonts w:hint="eastAsia"/>
                <w:b/>
                <w:bCs/>
                <w:color w:val="auto"/>
                <w:szCs w:val="21"/>
                <w:highlight w:val="none"/>
              </w:rPr>
              <w:t>投标文件份数及要求</w:t>
            </w:r>
          </w:p>
        </w:tc>
        <w:tc>
          <w:tcPr>
            <w:tcW w:w="3923" w:type="pct"/>
            <w:vAlign w:val="center"/>
          </w:tcPr>
          <w:p>
            <w:pPr>
              <w:pStyle w:val="12"/>
              <w:snapToGrid w:val="0"/>
              <w:spacing w:line="290" w:lineRule="exact"/>
              <w:rPr>
                <w:b/>
                <w:bCs/>
                <w:color w:val="auto"/>
                <w:szCs w:val="21"/>
                <w:highlight w:val="none"/>
              </w:rPr>
            </w:pPr>
            <w:r>
              <w:rPr>
                <w:rFonts w:hint="eastAsia"/>
                <w:b/>
                <w:bCs/>
                <w:color w:val="auto"/>
                <w:szCs w:val="21"/>
                <w:highlight w:val="none"/>
              </w:rPr>
              <w:t>1、一份电子加密标书（“.jmbs”格式），一份备份标书文件（“.bfbs”格式）。</w:t>
            </w:r>
          </w:p>
          <w:p>
            <w:pPr>
              <w:pStyle w:val="12"/>
              <w:snapToGrid w:val="0"/>
              <w:spacing w:line="290" w:lineRule="exact"/>
              <w:rPr>
                <w:b/>
                <w:bCs/>
                <w:color w:val="auto"/>
                <w:szCs w:val="21"/>
                <w:highlight w:val="none"/>
              </w:rPr>
            </w:pPr>
            <w:r>
              <w:rPr>
                <w:rFonts w:hint="eastAsia"/>
                <w:b/>
                <w:bCs/>
                <w:color w:val="auto"/>
                <w:szCs w:val="21"/>
                <w:highlight w:val="none"/>
              </w:rPr>
              <w:t>2、每份电子投标文件应包括</w:t>
            </w:r>
            <w:r>
              <w:rPr>
                <w:rFonts w:hint="eastAsia" w:hAnsi="宋体"/>
                <w:b/>
                <w:bCs/>
                <w:color w:val="auto"/>
                <w:szCs w:val="21"/>
                <w:highlight w:val="none"/>
              </w:rPr>
              <w:t>资格证明文件和商务及技术文件两部分。</w:t>
            </w:r>
          </w:p>
          <w:p>
            <w:pPr>
              <w:pStyle w:val="12"/>
              <w:snapToGrid w:val="0"/>
              <w:spacing w:line="290" w:lineRule="exact"/>
              <w:rPr>
                <w:color w:val="auto"/>
                <w:szCs w:val="21"/>
                <w:highlight w:val="none"/>
              </w:rPr>
            </w:pPr>
            <w:r>
              <w:rPr>
                <w:rFonts w:hint="eastAsia"/>
                <w:b/>
                <w:bCs/>
                <w:color w:val="auto"/>
                <w:szCs w:val="21"/>
                <w:highlight w:val="none"/>
              </w:rPr>
              <w:t>3、</w:t>
            </w:r>
            <w:r>
              <w:rPr>
                <w:rFonts w:hint="eastAsia"/>
                <w:b/>
                <w:bCs/>
                <w:color w:val="auto"/>
                <w:szCs w:val="21"/>
                <w:highlight w:val="none"/>
                <w:u w:val="single"/>
              </w:rPr>
              <w:t>待开标结束后，中标企业请于</w:t>
            </w:r>
            <w:r>
              <w:rPr>
                <w:rFonts w:hint="eastAsia"/>
                <w:b/>
                <w:bCs/>
                <w:color w:val="0000FF"/>
                <w:szCs w:val="21"/>
                <w:highlight w:val="none"/>
                <w:u w:val="single"/>
              </w:rPr>
              <w:t>202</w:t>
            </w:r>
            <w:r>
              <w:rPr>
                <w:rFonts w:hint="eastAsia"/>
                <w:b/>
                <w:bCs/>
                <w:color w:val="0000FF"/>
                <w:szCs w:val="21"/>
                <w:highlight w:val="none"/>
                <w:u w:val="single"/>
                <w:lang w:val="en-US" w:eastAsia="zh-CN"/>
              </w:rPr>
              <w:t>3</w:t>
            </w:r>
            <w:r>
              <w:rPr>
                <w:rFonts w:hint="eastAsia"/>
                <w:b/>
                <w:bCs/>
                <w:color w:val="0000FF"/>
                <w:szCs w:val="21"/>
                <w:highlight w:val="none"/>
                <w:u w:val="single"/>
              </w:rPr>
              <w:t>年</w:t>
            </w:r>
            <w:r>
              <w:rPr>
                <w:rFonts w:hint="eastAsia"/>
                <w:b/>
                <w:bCs/>
                <w:color w:val="0000FF"/>
                <w:szCs w:val="21"/>
                <w:highlight w:val="none"/>
                <w:u w:val="single"/>
                <w:lang w:val="en-US" w:eastAsia="zh-CN"/>
              </w:rPr>
              <w:t>10</w:t>
            </w:r>
            <w:r>
              <w:rPr>
                <w:rFonts w:hint="eastAsia"/>
                <w:b/>
                <w:bCs/>
                <w:color w:val="0000FF"/>
                <w:szCs w:val="21"/>
                <w:highlight w:val="none"/>
                <w:u w:val="single"/>
              </w:rPr>
              <w:t>月</w:t>
            </w:r>
            <w:r>
              <w:rPr>
                <w:rFonts w:hint="eastAsia"/>
                <w:b/>
                <w:bCs/>
                <w:color w:val="0000FF"/>
                <w:szCs w:val="21"/>
                <w:highlight w:val="none"/>
                <w:u w:val="single"/>
                <w:lang w:val="en-US" w:eastAsia="zh-CN"/>
              </w:rPr>
              <w:t>18</w:t>
            </w:r>
            <w:r>
              <w:rPr>
                <w:rFonts w:hint="eastAsia"/>
                <w:b/>
                <w:bCs/>
                <w:color w:val="0000FF"/>
                <w:szCs w:val="21"/>
                <w:highlight w:val="none"/>
                <w:u w:val="single"/>
              </w:rPr>
              <w:t>日</w:t>
            </w:r>
            <w:r>
              <w:rPr>
                <w:rFonts w:hint="eastAsia"/>
                <w:b/>
                <w:bCs/>
                <w:color w:val="0000FF"/>
                <w:szCs w:val="21"/>
                <w:highlight w:val="none"/>
                <w:u w:val="single"/>
                <w:lang w:val="en-US" w:eastAsia="zh-CN"/>
              </w:rPr>
              <w:t>19</w:t>
            </w:r>
            <w:r>
              <w:rPr>
                <w:rFonts w:hint="eastAsia"/>
                <w:b/>
                <w:bCs/>
                <w:color w:val="0000FF"/>
                <w:szCs w:val="21"/>
                <w:highlight w:val="none"/>
                <w:u w:val="single"/>
              </w:rPr>
              <w:t>:</w:t>
            </w:r>
            <w:r>
              <w:rPr>
                <w:rFonts w:hint="eastAsia"/>
                <w:b/>
                <w:bCs/>
                <w:color w:val="0000FF"/>
                <w:szCs w:val="21"/>
                <w:highlight w:val="none"/>
                <w:u w:val="single"/>
                <w:lang w:val="en-US" w:eastAsia="zh-CN"/>
              </w:rPr>
              <w:t>3</w:t>
            </w:r>
            <w:r>
              <w:rPr>
                <w:rFonts w:hint="eastAsia"/>
                <w:b/>
                <w:bCs/>
                <w:color w:val="0000FF"/>
                <w:szCs w:val="21"/>
                <w:highlight w:val="none"/>
                <w:u w:val="single"/>
              </w:rPr>
              <w:t>0</w:t>
            </w:r>
            <w:r>
              <w:rPr>
                <w:rFonts w:hint="eastAsia"/>
                <w:b/>
                <w:bCs/>
                <w:color w:val="auto"/>
                <w:szCs w:val="21"/>
                <w:highlight w:val="none"/>
                <w:u w:val="single"/>
              </w:rPr>
              <w:t>前提供纸质投标文件（一正三副）并承诺与电子投标文件内容一致的承诺书至</w:t>
            </w:r>
            <w:r>
              <w:rPr>
                <w:rFonts w:hint="eastAsia"/>
                <w:b/>
                <w:bCs/>
                <w:color w:val="auto"/>
                <w:szCs w:val="21"/>
                <w:highlight w:val="none"/>
                <w:u w:val="single"/>
                <w:lang w:eastAsia="zh-CN"/>
              </w:rPr>
              <w:t>中科建疆工程管理有限公司</w:t>
            </w:r>
            <w:r>
              <w:rPr>
                <w:rFonts w:hint="eastAsia"/>
                <w:b/>
                <w:bCs/>
                <w:color w:val="auto"/>
                <w:szCs w:val="21"/>
                <w:highlight w:val="none"/>
                <w:u w:val="single"/>
              </w:rPr>
              <w:t>（阿克陶县发展大厦5楼）。投标人可采用邮寄方式提供纸质版投标文件（收件地址：阿克陶县发展大厦5楼，收件人：</w:t>
            </w:r>
            <w:r>
              <w:rPr>
                <w:rFonts w:hint="eastAsia"/>
                <w:b/>
                <w:bCs/>
                <w:color w:val="auto"/>
                <w:szCs w:val="21"/>
                <w:highlight w:val="none"/>
                <w:u w:val="single"/>
                <w:lang w:eastAsia="zh-CN"/>
              </w:rPr>
              <w:t>邓</w:t>
            </w:r>
            <w:r>
              <w:rPr>
                <w:rFonts w:hint="eastAsia"/>
                <w:b/>
                <w:bCs/>
                <w:color w:val="auto"/>
                <w:szCs w:val="21"/>
                <w:highlight w:val="none"/>
                <w:u w:val="single"/>
              </w:rPr>
              <w:t>女士，电话：</w:t>
            </w:r>
            <w:r>
              <w:rPr>
                <w:rFonts w:hint="eastAsia"/>
                <w:b/>
                <w:bCs/>
                <w:color w:val="auto"/>
                <w:szCs w:val="21"/>
                <w:highlight w:val="none"/>
                <w:u w:val="single"/>
                <w:lang w:eastAsia="zh-CN"/>
              </w:rPr>
              <w:t>13364782532</w:t>
            </w:r>
            <w:r>
              <w:rPr>
                <w:rFonts w:hint="eastAsia"/>
                <w:b/>
                <w:bCs/>
                <w:color w:val="auto"/>
                <w:szCs w:val="21"/>
                <w:highlight w:val="none"/>
                <w:u w:val="single"/>
              </w:rPr>
              <w:t>），费用自行承担。</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0" w:hRule="atLeast"/>
          <w:jc w:val="center"/>
        </w:trPr>
        <w:tc>
          <w:tcPr>
            <w:tcW w:w="262" w:type="pct"/>
            <w:vMerge w:val="restart"/>
            <w:vAlign w:val="center"/>
          </w:tcPr>
          <w:p>
            <w:pPr>
              <w:snapToGrid w:val="0"/>
              <w:spacing w:line="290" w:lineRule="exact"/>
              <w:ind w:left="-77" w:leftChars="-37" w:right="-94" w:rightChars="-45"/>
              <w:jc w:val="center"/>
              <w:rPr>
                <w:rFonts w:ascii="宋体" w:cs="宋体"/>
                <w:szCs w:val="21"/>
                <w:highlight w:val="none"/>
              </w:rPr>
            </w:pPr>
            <w:r>
              <w:rPr>
                <w:rFonts w:hint="eastAsia" w:ascii="宋体" w:cs="宋体"/>
                <w:szCs w:val="21"/>
                <w:highlight w:val="none"/>
              </w:rPr>
              <w:t>20</w:t>
            </w:r>
          </w:p>
        </w:tc>
        <w:tc>
          <w:tcPr>
            <w:tcW w:w="814" w:type="pct"/>
            <w:vMerge w:val="restart"/>
            <w:vAlign w:val="center"/>
          </w:tcPr>
          <w:p>
            <w:pPr>
              <w:pStyle w:val="12"/>
              <w:snapToGrid w:val="0"/>
              <w:spacing w:line="290" w:lineRule="exact"/>
              <w:rPr>
                <w:rFonts w:hAnsi="宋体" w:cs="宋体"/>
                <w:bCs/>
                <w:color w:val="auto"/>
                <w:szCs w:val="21"/>
                <w:highlight w:val="none"/>
              </w:rPr>
            </w:pPr>
            <w:r>
              <w:rPr>
                <w:rFonts w:hint="eastAsia" w:hAnsi="宋体" w:cs="宋体"/>
                <w:b/>
                <w:bCs/>
                <w:color w:val="auto"/>
                <w:szCs w:val="21"/>
                <w:highlight w:val="none"/>
                <w:lang w:bidi="zh-CN"/>
              </w:rPr>
              <w:t>投标文件的上传和递交</w:t>
            </w:r>
          </w:p>
        </w:tc>
        <w:tc>
          <w:tcPr>
            <w:tcW w:w="3923" w:type="pct"/>
            <w:vAlign w:val="center"/>
          </w:tcPr>
          <w:p>
            <w:pPr>
              <w:pStyle w:val="12"/>
              <w:snapToGrid w:val="0"/>
              <w:spacing w:line="290" w:lineRule="exact"/>
              <w:rPr>
                <w:color w:val="auto"/>
                <w:szCs w:val="21"/>
                <w:highlight w:val="none"/>
                <w:u w:val="single"/>
              </w:rPr>
            </w:pPr>
            <w:r>
              <w:rPr>
                <w:rFonts w:hint="eastAsia"/>
                <w:color w:val="auto"/>
                <w:szCs w:val="21"/>
                <w:highlight w:val="none"/>
              </w:rPr>
              <w:t>1.电子加密投标文件：投标文件制作完成并生成加密标书，在投标截止时间前，供应商需将加密的投标文件上传至政采云平台，</w:t>
            </w:r>
            <w:r>
              <w:rPr>
                <w:rFonts w:hint="eastAsia"/>
                <w:b/>
                <w:bCs/>
                <w:color w:val="auto"/>
                <w:szCs w:val="21"/>
                <w:highlight w:val="none"/>
                <w:u w:val="single"/>
              </w:rPr>
              <w:t>在开标时间开始后，待采购组织机构发出解密通知后30分钟内解密投标文件。</w:t>
            </w:r>
          </w:p>
          <w:p>
            <w:pPr>
              <w:pStyle w:val="12"/>
              <w:snapToGrid w:val="0"/>
              <w:spacing w:line="290" w:lineRule="exact"/>
              <w:rPr>
                <w:color w:val="auto"/>
                <w:szCs w:val="21"/>
                <w:highlight w:val="none"/>
              </w:rPr>
            </w:pPr>
            <w:r>
              <w:rPr>
                <w:rFonts w:hint="eastAsia"/>
                <w:color w:val="auto"/>
                <w:szCs w:val="21"/>
                <w:highlight w:val="none"/>
              </w:rPr>
              <w:t>a.供应商未能在投标截止时间前成功上传电子加密投标文件的投标无效。</w:t>
            </w:r>
          </w:p>
          <w:p>
            <w:pPr>
              <w:pStyle w:val="12"/>
              <w:snapToGrid w:val="0"/>
              <w:spacing w:line="290" w:lineRule="exact"/>
              <w:rPr>
                <w:color w:val="auto"/>
                <w:szCs w:val="21"/>
                <w:highlight w:val="none"/>
              </w:rPr>
            </w:pPr>
            <w:r>
              <w:rPr>
                <w:rFonts w:hint="eastAsia"/>
                <w:color w:val="auto"/>
                <w:szCs w:val="21"/>
                <w:highlight w:val="none"/>
              </w:rPr>
              <w:t>b.供应商成功上传电子加密投标文件后，可自行打印投标文件接收回执。</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0" w:hRule="atLeast"/>
          <w:jc w:val="center"/>
        </w:trPr>
        <w:tc>
          <w:tcPr>
            <w:tcW w:w="262" w:type="pct"/>
            <w:vMerge w:val="continue"/>
            <w:vAlign w:val="center"/>
          </w:tcPr>
          <w:p>
            <w:pPr>
              <w:widowControl/>
              <w:snapToGrid w:val="0"/>
              <w:spacing w:line="290" w:lineRule="exact"/>
              <w:ind w:firstLine="88" w:firstLineChars="42"/>
              <w:jc w:val="left"/>
              <w:rPr>
                <w:szCs w:val="21"/>
                <w:highlight w:val="none"/>
              </w:rPr>
            </w:pPr>
          </w:p>
        </w:tc>
        <w:tc>
          <w:tcPr>
            <w:tcW w:w="814" w:type="pct"/>
            <w:vMerge w:val="continue"/>
            <w:vAlign w:val="center"/>
          </w:tcPr>
          <w:p>
            <w:pPr>
              <w:pStyle w:val="12"/>
              <w:snapToGrid w:val="0"/>
              <w:spacing w:line="290" w:lineRule="exact"/>
              <w:rPr>
                <w:rFonts w:hAnsi="宋体" w:cs="宋体"/>
                <w:color w:val="auto"/>
                <w:szCs w:val="21"/>
                <w:highlight w:val="none"/>
              </w:rPr>
            </w:pPr>
          </w:p>
        </w:tc>
        <w:tc>
          <w:tcPr>
            <w:tcW w:w="3923" w:type="pct"/>
            <w:vAlign w:val="center"/>
          </w:tcPr>
          <w:p>
            <w:pPr>
              <w:pStyle w:val="12"/>
              <w:snapToGrid w:val="0"/>
              <w:spacing w:line="290" w:lineRule="exact"/>
              <w:rPr>
                <w:color w:val="auto"/>
                <w:szCs w:val="21"/>
                <w:highlight w:val="none"/>
              </w:rPr>
            </w:pPr>
            <w:r>
              <w:rPr>
                <w:rFonts w:hint="eastAsia"/>
                <w:color w:val="auto"/>
                <w:szCs w:val="21"/>
                <w:highlight w:val="none"/>
              </w:rPr>
              <w:t>2.备份投标文件：供应商在投标截止时间前将加密的投标文件上传至政府采购云平台，还可以在投标截止时间前以电子邮件方式提供备份投标文件1份（接收人邮箱：</w:t>
            </w:r>
            <w:r>
              <w:rPr>
                <w:rFonts w:hint="eastAsia"/>
                <w:color w:val="auto"/>
                <w:szCs w:val="21"/>
                <w:highlight w:val="none"/>
                <w:lang w:eastAsia="zh-CN"/>
              </w:rPr>
              <w:t>759733443</w:t>
            </w:r>
            <w:r>
              <w:rPr>
                <w:rFonts w:hint="eastAsia"/>
                <w:color w:val="auto"/>
                <w:szCs w:val="21"/>
                <w:highlight w:val="none"/>
              </w:rPr>
              <w:t>@qq.cpm，接收人：刘女士，电话：</w:t>
            </w:r>
            <w:r>
              <w:rPr>
                <w:rFonts w:hint="eastAsia"/>
                <w:color w:val="auto"/>
                <w:szCs w:val="21"/>
                <w:highlight w:val="none"/>
                <w:lang w:eastAsia="zh-CN"/>
              </w:rPr>
              <w:t>13364782532</w:t>
            </w:r>
            <w:r>
              <w:rPr>
                <w:rFonts w:hint="eastAsia"/>
                <w:color w:val="auto"/>
                <w:szCs w:val="21"/>
                <w:highlight w:val="none"/>
              </w:rPr>
              <w:t>），“备份投标文件”由供应商自愿提供，采购文件不作强制性要求；如不提供或未按要求提供的，当电子投标文件无法解密时，将导致无备份投标文件而失去投标资格。</w:t>
            </w:r>
          </w:p>
          <w:p>
            <w:pPr>
              <w:pStyle w:val="12"/>
              <w:snapToGrid w:val="0"/>
              <w:spacing w:line="290" w:lineRule="exact"/>
              <w:rPr>
                <w:color w:val="auto"/>
                <w:szCs w:val="21"/>
                <w:highlight w:val="none"/>
              </w:rPr>
            </w:pPr>
            <w:r>
              <w:rPr>
                <w:rFonts w:hint="eastAsia"/>
                <w:color w:val="auto"/>
                <w:szCs w:val="21"/>
                <w:highlight w:val="none"/>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pStyle w:val="12"/>
              <w:snapToGrid w:val="0"/>
              <w:spacing w:line="290" w:lineRule="exact"/>
              <w:rPr>
                <w:color w:val="auto"/>
                <w:szCs w:val="21"/>
                <w:highlight w:val="none"/>
              </w:rPr>
            </w:pPr>
            <w:r>
              <w:rPr>
                <w:rFonts w:hint="eastAsia"/>
                <w:color w:val="auto"/>
                <w:szCs w:val="21"/>
                <w:highlight w:val="none"/>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7" w:hRule="atLeast"/>
          <w:jc w:val="center"/>
        </w:trPr>
        <w:tc>
          <w:tcPr>
            <w:tcW w:w="262" w:type="pct"/>
            <w:vAlign w:val="center"/>
          </w:tcPr>
          <w:p>
            <w:pPr>
              <w:snapToGrid w:val="0"/>
              <w:spacing w:line="290" w:lineRule="exact"/>
              <w:ind w:left="-77" w:leftChars="-37" w:right="-94" w:rightChars="-45"/>
              <w:jc w:val="center"/>
              <w:rPr>
                <w:rFonts w:ascii="宋体" w:cs="宋体"/>
                <w:szCs w:val="21"/>
                <w:highlight w:val="none"/>
              </w:rPr>
            </w:pPr>
            <w:r>
              <w:rPr>
                <w:rFonts w:hint="eastAsia" w:ascii="宋体" w:cs="宋体"/>
                <w:szCs w:val="21"/>
                <w:highlight w:val="none"/>
              </w:rPr>
              <w:t>21</w:t>
            </w:r>
          </w:p>
        </w:tc>
        <w:tc>
          <w:tcPr>
            <w:tcW w:w="814" w:type="pct"/>
            <w:vAlign w:val="center"/>
          </w:tcPr>
          <w:p>
            <w:pPr>
              <w:snapToGrid w:val="0"/>
              <w:spacing w:line="290" w:lineRule="exact"/>
              <w:jc w:val="left"/>
              <w:rPr>
                <w:rFonts w:ascii="宋体"/>
                <w:szCs w:val="21"/>
                <w:highlight w:val="none"/>
              </w:rPr>
            </w:pPr>
            <w:r>
              <w:rPr>
                <w:rFonts w:hint="eastAsia" w:ascii="宋体"/>
                <w:szCs w:val="21"/>
                <w:highlight w:val="none"/>
              </w:rPr>
              <w:t>投标截止时间及地点</w:t>
            </w:r>
          </w:p>
        </w:tc>
        <w:tc>
          <w:tcPr>
            <w:tcW w:w="3923" w:type="pct"/>
            <w:vAlign w:val="center"/>
          </w:tcPr>
          <w:p>
            <w:pPr>
              <w:snapToGrid w:val="0"/>
              <w:spacing w:line="290" w:lineRule="exact"/>
              <w:ind w:firstLine="18" w:firstLineChars="9"/>
              <w:rPr>
                <w:b/>
                <w:bCs/>
                <w:szCs w:val="21"/>
                <w:highlight w:val="none"/>
              </w:rPr>
            </w:pPr>
            <w:r>
              <w:rPr>
                <w:rFonts w:hint="eastAsia" w:ascii="宋体"/>
                <w:b/>
                <w:bCs/>
                <w:szCs w:val="21"/>
                <w:highlight w:val="none"/>
              </w:rPr>
              <w:t>投标截止时间</w:t>
            </w:r>
            <w:r>
              <w:rPr>
                <w:rFonts w:hint="eastAsia"/>
                <w:b/>
                <w:bCs/>
                <w:szCs w:val="21"/>
                <w:highlight w:val="none"/>
              </w:rPr>
              <w:t>：</w:t>
            </w:r>
            <w:r>
              <w:rPr>
                <w:rFonts w:hint="eastAsia"/>
                <w:b/>
                <w:bCs/>
                <w:color w:val="0000FF"/>
                <w:szCs w:val="21"/>
                <w:highlight w:val="none"/>
              </w:rPr>
              <w:t>2023年10月</w:t>
            </w:r>
            <w:r>
              <w:rPr>
                <w:rFonts w:hint="eastAsia"/>
                <w:b/>
                <w:bCs/>
                <w:color w:val="0000FF"/>
                <w:szCs w:val="21"/>
                <w:highlight w:val="none"/>
                <w:lang w:val="en-US" w:eastAsia="zh-CN"/>
              </w:rPr>
              <w:t>11</w:t>
            </w:r>
            <w:r>
              <w:rPr>
                <w:rFonts w:hint="eastAsia"/>
                <w:b/>
                <w:bCs/>
                <w:color w:val="0000FF"/>
                <w:szCs w:val="21"/>
                <w:highlight w:val="none"/>
              </w:rPr>
              <w:t>日11：00</w:t>
            </w:r>
            <w:r>
              <w:rPr>
                <w:rFonts w:hint="eastAsia"/>
                <w:b/>
                <w:bCs/>
                <w:szCs w:val="21"/>
                <w:highlight w:val="none"/>
              </w:rPr>
              <w:t>（北京时间）</w:t>
            </w:r>
          </w:p>
          <w:p>
            <w:pPr>
              <w:snapToGrid w:val="0"/>
              <w:spacing w:line="290" w:lineRule="exact"/>
              <w:ind w:firstLine="18" w:firstLineChars="9"/>
              <w:rPr>
                <w:szCs w:val="21"/>
                <w:highlight w:val="none"/>
              </w:rPr>
            </w:pPr>
            <w:r>
              <w:rPr>
                <w:rFonts w:hint="eastAsia"/>
                <w:b/>
                <w:bCs/>
                <w:szCs w:val="21"/>
                <w:highlight w:val="none"/>
              </w:rPr>
              <w:t>投标地点：新疆政府采购云平台（www.zcygov.cn）</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62" w:type="pct"/>
            <w:vAlign w:val="center"/>
          </w:tcPr>
          <w:p>
            <w:pPr>
              <w:pStyle w:val="12"/>
              <w:snapToGrid w:val="0"/>
              <w:spacing w:line="290" w:lineRule="exact"/>
              <w:ind w:left="-77" w:leftChars="-37" w:right="-94" w:rightChars="-45"/>
              <w:jc w:val="center"/>
              <w:rPr>
                <w:rFonts w:cs="宋体"/>
                <w:color w:val="auto"/>
                <w:szCs w:val="21"/>
                <w:highlight w:val="none"/>
              </w:rPr>
            </w:pPr>
            <w:r>
              <w:rPr>
                <w:rFonts w:hint="eastAsia"/>
                <w:color w:val="auto"/>
                <w:szCs w:val="21"/>
                <w:highlight w:val="none"/>
              </w:rPr>
              <w:t>22</w:t>
            </w:r>
          </w:p>
        </w:tc>
        <w:tc>
          <w:tcPr>
            <w:tcW w:w="814" w:type="pct"/>
            <w:vAlign w:val="center"/>
          </w:tcPr>
          <w:p>
            <w:pPr>
              <w:snapToGrid w:val="0"/>
              <w:spacing w:line="290" w:lineRule="exact"/>
              <w:jc w:val="left"/>
              <w:rPr>
                <w:rFonts w:ascii="宋体"/>
                <w:szCs w:val="21"/>
                <w:highlight w:val="none"/>
              </w:rPr>
            </w:pPr>
            <w:r>
              <w:rPr>
                <w:rFonts w:hint="eastAsia" w:ascii="宋体"/>
                <w:szCs w:val="21"/>
                <w:highlight w:val="none"/>
              </w:rPr>
              <w:t>开标时间及地点</w:t>
            </w:r>
          </w:p>
        </w:tc>
        <w:tc>
          <w:tcPr>
            <w:tcW w:w="3923" w:type="pct"/>
            <w:vAlign w:val="center"/>
          </w:tcPr>
          <w:p>
            <w:pPr>
              <w:snapToGrid w:val="0"/>
              <w:spacing w:line="290" w:lineRule="exact"/>
              <w:ind w:firstLine="18" w:firstLineChars="9"/>
              <w:rPr>
                <w:b/>
                <w:bCs/>
                <w:szCs w:val="21"/>
                <w:highlight w:val="none"/>
              </w:rPr>
            </w:pPr>
            <w:r>
              <w:rPr>
                <w:rFonts w:hint="eastAsia"/>
                <w:b/>
                <w:bCs/>
                <w:szCs w:val="21"/>
                <w:highlight w:val="none"/>
              </w:rPr>
              <w:t>开标时间：同投标截止时间</w:t>
            </w:r>
          </w:p>
          <w:p>
            <w:pPr>
              <w:snapToGrid w:val="0"/>
              <w:spacing w:line="290" w:lineRule="exact"/>
              <w:ind w:firstLine="18" w:firstLineChars="9"/>
              <w:rPr>
                <w:szCs w:val="21"/>
                <w:highlight w:val="none"/>
              </w:rPr>
            </w:pPr>
            <w:r>
              <w:rPr>
                <w:rFonts w:hint="eastAsia"/>
                <w:b/>
                <w:bCs/>
                <w:szCs w:val="21"/>
                <w:highlight w:val="none"/>
              </w:rPr>
              <w:t>开标地点：在新疆政府采购云平台（www.zcygov.cn）上开启投标文件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262" w:type="pct"/>
            <w:vAlign w:val="center"/>
          </w:tcPr>
          <w:p>
            <w:pPr>
              <w:pStyle w:val="12"/>
              <w:snapToGrid w:val="0"/>
              <w:spacing w:line="290" w:lineRule="exact"/>
              <w:ind w:left="-77" w:leftChars="-37" w:right="-94" w:rightChars="-45"/>
              <w:jc w:val="center"/>
              <w:rPr>
                <w:color w:val="auto"/>
                <w:szCs w:val="21"/>
                <w:highlight w:val="none"/>
              </w:rPr>
            </w:pPr>
            <w:r>
              <w:rPr>
                <w:rFonts w:hint="eastAsia"/>
                <w:color w:val="auto"/>
                <w:szCs w:val="21"/>
                <w:highlight w:val="none"/>
              </w:rPr>
              <w:t>23</w:t>
            </w:r>
          </w:p>
        </w:tc>
        <w:tc>
          <w:tcPr>
            <w:tcW w:w="814" w:type="pct"/>
            <w:vAlign w:val="center"/>
          </w:tcPr>
          <w:p>
            <w:pPr>
              <w:pStyle w:val="12"/>
              <w:snapToGrid w:val="0"/>
              <w:spacing w:line="290" w:lineRule="exact"/>
              <w:jc w:val="left"/>
              <w:rPr>
                <w:color w:val="auto"/>
                <w:szCs w:val="21"/>
                <w:highlight w:val="none"/>
              </w:rPr>
            </w:pPr>
            <w:r>
              <w:rPr>
                <w:rFonts w:hint="eastAsia"/>
                <w:color w:val="auto"/>
                <w:szCs w:val="21"/>
                <w:highlight w:val="none"/>
              </w:rPr>
              <w:t>评标委员会的组建</w:t>
            </w:r>
          </w:p>
        </w:tc>
        <w:tc>
          <w:tcPr>
            <w:tcW w:w="3923" w:type="pct"/>
          </w:tcPr>
          <w:p>
            <w:pPr>
              <w:pStyle w:val="12"/>
              <w:snapToGrid w:val="0"/>
              <w:spacing w:line="290" w:lineRule="exact"/>
              <w:rPr>
                <w:color w:val="auto"/>
                <w:szCs w:val="21"/>
                <w:highlight w:val="none"/>
              </w:rPr>
            </w:pPr>
            <w:r>
              <w:rPr>
                <w:rFonts w:hint="eastAsia"/>
                <w:color w:val="auto"/>
                <w:szCs w:val="21"/>
                <w:highlight w:val="none"/>
              </w:rPr>
              <w:t>评标委员会由招标人依法组建；</w:t>
            </w:r>
          </w:p>
          <w:p>
            <w:pPr>
              <w:pStyle w:val="12"/>
              <w:snapToGrid w:val="0"/>
              <w:spacing w:line="290" w:lineRule="exact"/>
              <w:rPr>
                <w:color w:val="auto"/>
                <w:szCs w:val="21"/>
                <w:highlight w:val="none"/>
              </w:rPr>
            </w:pPr>
            <w:r>
              <w:rPr>
                <w:rFonts w:hint="eastAsia"/>
                <w:color w:val="auto"/>
                <w:szCs w:val="21"/>
                <w:highlight w:val="none"/>
              </w:rPr>
              <w:t>评标专家确定方式：从政采云专家库中随机抽取。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262" w:type="pct"/>
            <w:vAlign w:val="center"/>
          </w:tcPr>
          <w:p>
            <w:pPr>
              <w:pStyle w:val="12"/>
              <w:snapToGrid w:val="0"/>
              <w:spacing w:line="290" w:lineRule="exact"/>
              <w:ind w:left="-77" w:leftChars="-37" w:right="-94" w:rightChars="-45"/>
              <w:jc w:val="center"/>
              <w:rPr>
                <w:color w:val="auto"/>
                <w:szCs w:val="21"/>
                <w:highlight w:val="none"/>
              </w:rPr>
            </w:pPr>
            <w:r>
              <w:rPr>
                <w:rFonts w:hint="eastAsia"/>
                <w:color w:val="auto"/>
                <w:szCs w:val="21"/>
                <w:highlight w:val="none"/>
              </w:rPr>
              <w:t>24</w:t>
            </w:r>
          </w:p>
        </w:tc>
        <w:tc>
          <w:tcPr>
            <w:tcW w:w="814" w:type="pct"/>
            <w:vAlign w:val="center"/>
          </w:tcPr>
          <w:p>
            <w:pPr>
              <w:pStyle w:val="12"/>
              <w:snapToGrid w:val="0"/>
              <w:spacing w:line="290" w:lineRule="exact"/>
              <w:jc w:val="left"/>
              <w:rPr>
                <w:color w:val="auto"/>
                <w:szCs w:val="21"/>
                <w:highlight w:val="none"/>
              </w:rPr>
            </w:pPr>
            <w:r>
              <w:rPr>
                <w:rFonts w:hint="eastAsia"/>
                <w:color w:val="auto"/>
                <w:szCs w:val="21"/>
                <w:highlight w:val="none"/>
              </w:rPr>
              <w:t>是否授权评标委员会确定中标候选人</w:t>
            </w:r>
          </w:p>
        </w:tc>
        <w:tc>
          <w:tcPr>
            <w:tcW w:w="3923" w:type="pct"/>
            <w:vAlign w:val="center"/>
          </w:tcPr>
          <w:p>
            <w:pPr>
              <w:pStyle w:val="12"/>
              <w:snapToGrid w:val="0"/>
              <w:spacing w:line="290" w:lineRule="exact"/>
              <w:rPr>
                <w:color w:val="auto"/>
                <w:szCs w:val="21"/>
                <w:highlight w:val="none"/>
              </w:rPr>
            </w:pPr>
            <w:r>
              <w:rPr>
                <w:rFonts w:hint="eastAsia" w:hAnsi="宋体"/>
                <w:color w:val="auto"/>
                <w:szCs w:val="21"/>
                <w:highlight w:val="none"/>
              </w:rPr>
              <w:t>是，评标委员会推荐3名成交候选人。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262" w:type="pct"/>
            <w:vAlign w:val="center"/>
          </w:tcPr>
          <w:p>
            <w:pPr>
              <w:snapToGrid w:val="0"/>
              <w:spacing w:line="290" w:lineRule="exact"/>
              <w:ind w:left="-77" w:leftChars="-37" w:right="-94" w:rightChars="-45"/>
              <w:jc w:val="center"/>
              <w:rPr>
                <w:szCs w:val="21"/>
                <w:highlight w:val="none"/>
              </w:rPr>
            </w:pPr>
            <w:r>
              <w:rPr>
                <w:rFonts w:hint="eastAsia" w:ascii="宋体" w:cs="宋体"/>
                <w:szCs w:val="21"/>
                <w:highlight w:val="none"/>
              </w:rPr>
              <w:t>25</w:t>
            </w:r>
          </w:p>
        </w:tc>
        <w:tc>
          <w:tcPr>
            <w:tcW w:w="814" w:type="pct"/>
            <w:vAlign w:val="center"/>
          </w:tcPr>
          <w:p>
            <w:pPr>
              <w:pStyle w:val="12"/>
              <w:snapToGrid w:val="0"/>
              <w:spacing w:line="290" w:lineRule="exact"/>
              <w:jc w:val="left"/>
              <w:rPr>
                <w:color w:val="auto"/>
                <w:szCs w:val="21"/>
                <w:highlight w:val="none"/>
              </w:rPr>
            </w:pPr>
            <w:r>
              <w:rPr>
                <w:rFonts w:hint="eastAsia"/>
                <w:color w:val="auto"/>
                <w:szCs w:val="21"/>
                <w:highlight w:val="none"/>
              </w:rPr>
              <w:t>中标候选人公示媒介</w:t>
            </w:r>
          </w:p>
        </w:tc>
        <w:tc>
          <w:tcPr>
            <w:tcW w:w="3923" w:type="pct"/>
            <w:vAlign w:val="center"/>
          </w:tcPr>
          <w:p>
            <w:pPr>
              <w:pStyle w:val="12"/>
              <w:snapToGrid w:val="0"/>
              <w:spacing w:line="290" w:lineRule="exact"/>
              <w:rPr>
                <w:color w:val="auto"/>
                <w:szCs w:val="21"/>
                <w:highlight w:val="none"/>
              </w:rPr>
            </w:pPr>
            <w:r>
              <w:rPr>
                <w:rFonts w:hint="eastAsia" w:ascii="Times New Roman"/>
                <w:color w:val="auto"/>
                <w:szCs w:val="21"/>
                <w:highlight w:val="none"/>
              </w:rPr>
              <w:t>克州公共资源交易中心网、新疆政府采购网，公示期为一个工作日。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50" w:hRule="atLeast"/>
          <w:jc w:val="center"/>
        </w:trPr>
        <w:tc>
          <w:tcPr>
            <w:tcW w:w="262" w:type="pct"/>
            <w:vAlign w:val="center"/>
          </w:tcPr>
          <w:p>
            <w:pPr>
              <w:snapToGrid w:val="0"/>
              <w:spacing w:line="290" w:lineRule="exact"/>
              <w:jc w:val="center"/>
              <w:rPr>
                <w:rFonts w:ascii="宋体" w:cs="宋体"/>
                <w:szCs w:val="21"/>
                <w:highlight w:val="none"/>
              </w:rPr>
            </w:pPr>
            <w:r>
              <w:rPr>
                <w:rFonts w:hint="eastAsia" w:ascii="宋体" w:hAnsi="宋体" w:cs="宋体"/>
                <w:szCs w:val="21"/>
                <w:highlight w:val="none"/>
              </w:rPr>
              <w:t>26</w:t>
            </w:r>
          </w:p>
        </w:tc>
        <w:tc>
          <w:tcPr>
            <w:tcW w:w="814" w:type="pct"/>
            <w:vAlign w:val="center"/>
          </w:tcPr>
          <w:p>
            <w:pPr>
              <w:snapToGrid w:val="0"/>
              <w:spacing w:line="290" w:lineRule="exact"/>
              <w:jc w:val="left"/>
              <w:rPr>
                <w:rFonts w:ascii="宋体"/>
                <w:szCs w:val="21"/>
                <w:highlight w:val="none"/>
              </w:rPr>
            </w:pPr>
            <w:r>
              <w:rPr>
                <w:rFonts w:hint="eastAsia" w:ascii="宋体"/>
                <w:szCs w:val="21"/>
                <w:highlight w:val="none"/>
              </w:rPr>
              <w:t>履约担保</w:t>
            </w:r>
          </w:p>
        </w:tc>
        <w:tc>
          <w:tcPr>
            <w:tcW w:w="3923" w:type="pct"/>
          </w:tcPr>
          <w:p>
            <w:pPr>
              <w:snapToGrid w:val="0"/>
              <w:spacing w:line="290" w:lineRule="exact"/>
              <w:rPr>
                <w:rFonts w:ascii="宋体"/>
                <w:szCs w:val="21"/>
                <w:highlight w:val="none"/>
              </w:rPr>
            </w:pPr>
            <w:r>
              <w:rPr>
                <w:rFonts w:hint="eastAsia" w:ascii="宋体"/>
                <w:szCs w:val="21"/>
                <w:highlight w:val="none"/>
              </w:rPr>
              <w:t>中标供应商在合同签订后5个工作日内向采购人交纳不超过中标价</w:t>
            </w:r>
            <w:r>
              <w:rPr>
                <w:rFonts w:hint="eastAsia" w:ascii="宋体"/>
                <w:szCs w:val="21"/>
                <w:highlight w:val="none"/>
                <w:u w:val="single"/>
                <w:lang w:val="en-US" w:eastAsia="zh-CN"/>
              </w:rPr>
              <w:t>/</w:t>
            </w:r>
            <w:r>
              <w:rPr>
                <w:rFonts w:hint="eastAsia" w:ascii="宋体"/>
                <w:szCs w:val="21"/>
                <w:highlight w:val="none"/>
              </w:rPr>
              <w:t>的履约保证金（鼓励以银行、保险公司出具的履约保函形式提交；若以电汇、银行转账方式提交的，必须转到采购人的指定账户），如果中标供应商在建设期内没有涉及采购人的应付而未付金额或违约行为，采购人在项目验收合格后或提前终止合同后全额无息退还履约保证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83" w:hRule="atLeast"/>
          <w:jc w:val="center"/>
        </w:trPr>
        <w:tc>
          <w:tcPr>
            <w:tcW w:w="262" w:type="pct"/>
            <w:vAlign w:val="center"/>
          </w:tcPr>
          <w:p>
            <w:pPr>
              <w:snapToGrid w:val="0"/>
              <w:spacing w:line="290" w:lineRule="exact"/>
              <w:jc w:val="center"/>
              <w:rPr>
                <w:rFonts w:ascii="宋体" w:hAnsi="宋体" w:cs="宋体"/>
                <w:szCs w:val="21"/>
                <w:highlight w:val="none"/>
              </w:rPr>
            </w:pPr>
            <w:r>
              <w:rPr>
                <w:rFonts w:hint="eastAsia" w:ascii="宋体" w:hAnsi="宋体" w:cs="宋体"/>
                <w:szCs w:val="21"/>
                <w:highlight w:val="none"/>
              </w:rPr>
              <w:t>27</w:t>
            </w:r>
          </w:p>
        </w:tc>
        <w:tc>
          <w:tcPr>
            <w:tcW w:w="814" w:type="pct"/>
            <w:vAlign w:val="center"/>
          </w:tcPr>
          <w:p>
            <w:pPr>
              <w:snapToGrid w:val="0"/>
              <w:spacing w:line="290" w:lineRule="exact"/>
              <w:rPr>
                <w:rFonts w:ascii="宋体" w:hAnsi="宋体" w:cs="宋体"/>
                <w:szCs w:val="21"/>
                <w:highlight w:val="none"/>
              </w:rPr>
            </w:pPr>
            <w:r>
              <w:rPr>
                <w:rFonts w:hint="eastAsia" w:ascii="宋体" w:hAnsi="宋体" w:cs="宋体"/>
                <w:szCs w:val="21"/>
                <w:highlight w:val="none"/>
              </w:rPr>
              <w:t>磋商文件领取</w:t>
            </w:r>
          </w:p>
        </w:tc>
        <w:tc>
          <w:tcPr>
            <w:tcW w:w="3923" w:type="pct"/>
          </w:tcPr>
          <w:p>
            <w:pPr>
              <w:snapToGrid w:val="0"/>
              <w:spacing w:line="290" w:lineRule="exact"/>
              <w:rPr>
                <w:rFonts w:hint="eastAsia" w:ascii="宋体" w:hAnsi="宋体" w:eastAsia="宋体" w:cs="宋体"/>
                <w:color w:val="0000FF"/>
                <w:szCs w:val="21"/>
                <w:highlight w:val="none"/>
                <w:lang w:eastAsia="zh-CN"/>
              </w:rPr>
            </w:pPr>
            <w:r>
              <w:rPr>
                <w:rFonts w:hint="eastAsia" w:ascii="宋体" w:hAnsi="宋体" w:cs="宋体"/>
                <w:color w:val="0000FF"/>
                <w:szCs w:val="21"/>
                <w:highlight w:val="none"/>
              </w:rPr>
              <w:t>时间：2023年9月2</w:t>
            </w:r>
            <w:r>
              <w:rPr>
                <w:rFonts w:hint="eastAsia" w:ascii="宋体" w:hAnsi="宋体" w:cs="宋体"/>
                <w:color w:val="0000FF"/>
                <w:szCs w:val="21"/>
                <w:highlight w:val="none"/>
                <w:lang w:val="en-US" w:eastAsia="zh-CN"/>
              </w:rPr>
              <w:t>6</w:t>
            </w:r>
            <w:r>
              <w:rPr>
                <w:rFonts w:hint="eastAsia" w:ascii="宋体" w:hAnsi="宋体" w:cs="宋体"/>
                <w:color w:val="0000FF"/>
                <w:szCs w:val="21"/>
                <w:highlight w:val="none"/>
              </w:rPr>
              <w:t>日至2023年</w:t>
            </w:r>
            <w:r>
              <w:rPr>
                <w:rFonts w:hint="eastAsia" w:ascii="宋体" w:hAnsi="宋体" w:cs="宋体"/>
                <w:color w:val="0000FF"/>
                <w:szCs w:val="21"/>
                <w:highlight w:val="none"/>
                <w:lang w:val="en-US" w:eastAsia="zh-CN"/>
              </w:rPr>
              <w:t>10</w:t>
            </w:r>
            <w:r>
              <w:rPr>
                <w:rFonts w:hint="eastAsia" w:ascii="宋体" w:hAnsi="宋体" w:cs="宋体"/>
                <w:color w:val="0000FF"/>
                <w:szCs w:val="21"/>
                <w:highlight w:val="none"/>
              </w:rPr>
              <w:t>月</w:t>
            </w:r>
            <w:r>
              <w:rPr>
                <w:rFonts w:hint="eastAsia" w:ascii="宋体" w:hAnsi="宋体" w:cs="宋体"/>
                <w:color w:val="0000FF"/>
                <w:szCs w:val="21"/>
                <w:highlight w:val="none"/>
                <w:lang w:val="en-US" w:eastAsia="zh-CN"/>
              </w:rPr>
              <w:t>09</w:t>
            </w:r>
            <w:r>
              <w:rPr>
                <w:rFonts w:hint="eastAsia" w:ascii="宋体" w:hAnsi="宋体" w:cs="宋体"/>
                <w:color w:val="0000FF"/>
                <w:szCs w:val="21"/>
                <w:highlight w:val="none"/>
              </w:rPr>
              <w:t>日，每天上午10:00至13:30，下午16:30至20：00</w:t>
            </w:r>
            <w:r>
              <w:rPr>
                <w:rFonts w:hint="eastAsia" w:ascii="宋体" w:hAnsi="宋体" w:cs="宋体"/>
                <w:color w:val="0000FF"/>
                <w:szCs w:val="21"/>
                <w:highlight w:val="none"/>
                <w:lang w:eastAsia="zh-CN"/>
              </w:rPr>
              <w:t>（北京时间）</w:t>
            </w:r>
          </w:p>
          <w:p>
            <w:pPr>
              <w:snapToGrid w:val="0"/>
              <w:spacing w:line="290" w:lineRule="exact"/>
              <w:rPr>
                <w:rFonts w:ascii="宋体" w:hAnsi="宋体" w:cs="宋体"/>
                <w:szCs w:val="21"/>
                <w:highlight w:val="none"/>
              </w:rPr>
            </w:pPr>
            <w:r>
              <w:rPr>
                <w:rFonts w:hint="eastAsia" w:ascii="宋体" w:hAnsi="宋体" w:cs="宋体"/>
                <w:szCs w:val="21"/>
                <w:highlight w:val="none"/>
              </w:rPr>
              <w:t>地点：供应商登陆政采云平台http://www.zcygov.cn/，在线申请获取磋商文件（登录政府采购云平台 → 项目采购 → 获取磋商文件→申请，审核通过后可下载磋商文件，如有操作性问题，可与政采云在线客服进行咨询，咨询电话：</w:t>
            </w:r>
            <w:r>
              <w:rPr>
                <w:rFonts w:hint="eastAsia" w:ascii="宋体" w:hAnsi="宋体" w:cs="宋体"/>
                <w:szCs w:val="21"/>
                <w:highlight w:val="none"/>
                <w:lang w:eastAsia="zh-CN"/>
              </w:rPr>
              <w:t>95763</w:t>
            </w:r>
            <w:r>
              <w:rPr>
                <w:rFonts w:hint="eastAsia" w:ascii="宋体" w:hAnsi="宋体" w:cs="宋体"/>
                <w:szCs w:val="21"/>
                <w:highlight w:val="none"/>
              </w:rPr>
              <w:t>）。</w:t>
            </w:r>
          </w:p>
          <w:p>
            <w:pPr>
              <w:snapToGrid w:val="0"/>
              <w:spacing w:line="290" w:lineRule="exact"/>
              <w:rPr>
                <w:rFonts w:ascii="宋体" w:hAnsi="宋体" w:cs="宋体"/>
                <w:szCs w:val="21"/>
                <w:highlight w:val="none"/>
              </w:rPr>
            </w:pPr>
            <w:r>
              <w:rPr>
                <w:rFonts w:hint="eastAsia" w:ascii="宋体" w:hAnsi="宋体" w:cs="宋体"/>
                <w:szCs w:val="21"/>
                <w:highlight w:val="none"/>
              </w:rPr>
              <w:t>方式：（1）线上获取（登录政府采购云平台 → 项目采购 → 获取磋商文件→ 申请，审核通过后可下载磋商文件）。本次招标不提供纸质版磋商文件。</w:t>
            </w:r>
          </w:p>
          <w:p>
            <w:pPr>
              <w:snapToGrid w:val="0"/>
              <w:spacing w:line="290" w:lineRule="exact"/>
              <w:rPr>
                <w:rFonts w:ascii="宋体" w:hAnsi="宋体" w:cs="宋体"/>
                <w:szCs w:val="21"/>
                <w:highlight w:val="none"/>
              </w:rPr>
            </w:pPr>
            <w:r>
              <w:rPr>
                <w:rFonts w:hint="eastAsia" w:ascii="宋体" w:hAnsi="宋体" w:cs="宋体"/>
                <w:szCs w:val="21"/>
                <w:highlight w:val="none"/>
              </w:rPr>
              <w:t>（2）供应商获取磋商文件前应注册成为政府采购云平台正式供应商。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62" w:type="pct"/>
            <w:vMerge w:val="restart"/>
            <w:vAlign w:val="center"/>
          </w:tcPr>
          <w:p>
            <w:pPr>
              <w:snapToGrid w:val="0"/>
              <w:spacing w:line="290" w:lineRule="exact"/>
              <w:jc w:val="center"/>
              <w:rPr>
                <w:rFonts w:ascii="宋体" w:hAnsi="宋体" w:cs="宋体"/>
                <w:szCs w:val="21"/>
                <w:highlight w:val="none"/>
              </w:rPr>
            </w:pPr>
            <w:r>
              <w:rPr>
                <w:rFonts w:hint="eastAsia" w:ascii="宋体" w:hAnsi="宋体" w:cs="宋体"/>
                <w:szCs w:val="21"/>
                <w:highlight w:val="none"/>
              </w:rPr>
              <w:t>28</w:t>
            </w:r>
          </w:p>
        </w:tc>
        <w:tc>
          <w:tcPr>
            <w:tcW w:w="814" w:type="pct"/>
            <w:vMerge w:val="restart"/>
            <w:vAlign w:val="center"/>
          </w:tcPr>
          <w:p>
            <w:pPr>
              <w:snapToGrid w:val="0"/>
              <w:spacing w:line="290" w:lineRule="exact"/>
              <w:jc w:val="center"/>
              <w:rPr>
                <w:rFonts w:ascii="宋体" w:hAnsi="宋体"/>
                <w:b/>
                <w:szCs w:val="21"/>
                <w:highlight w:val="none"/>
              </w:rPr>
            </w:pPr>
            <w:r>
              <w:rPr>
                <w:rFonts w:hint="eastAsia" w:ascii="宋体" w:hAnsi="宋体"/>
                <w:b/>
                <w:szCs w:val="21"/>
                <w:highlight w:val="none"/>
              </w:rPr>
              <w:t>重要说明</w:t>
            </w:r>
          </w:p>
        </w:tc>
        <w:tc>
          <w:tcPr>
            <w:tcW w:w="3923" w:type="pct"/>
          </w:tcPr>
          <w:p>
            <w:pPr>
              <w:snapToGrid w:val="0"/>
              <w:spacing w:line="290" w:lineRule="exact"/>
              <w:jc w:val="left"/>
              <w:rPr>
                <w:rFonts w:ascii="宋体" w:hAnsi="宋体" w:cs="宋体"/>
                <w:szCs w:val="21"/>
                <w:highlight w:val="none"/>
              </w:rPr>
            </w:pPr>
            <w:r>
              <w:rPr>
                <w:rFonts w:hint="eastAsia" w:ascii="宋体" w:hAnsi="宋体" w:cs="宋体"/>
                <w:szCs w:val="21"/>
                <w:highlight w:val="none"/>
              </w:rPr>
              <w:t>1.本项目采用全流程不见面电子开评标，投标供应商需要使用CA加密设备，供应商可通过新疆数字证书认证中心官网（https://www.xjca.com.cn/）或下载“新疆政务通”APP自行进行申领。</w:t>
            </w:r>
          </w:p>
          <w:p>
            <w:pPr>
              <w:snapToGrid w:val="0"/>
              <w:spacing w:line="290" w:lineRule="exact"/>
              <w:jc w:val="left"/>
              <w:rPr>
                <w:rFonts w:ascii="宋体" w:hAnsi="宋体" w:cs="宋体"/>
                <w:szCs w:val="21"/>
                <w:highlight w:val="none"/>
              </w:rPr>
            </w:pPr>
            <w:r>
              <w:rPr>
                <w:rFonts w:hint="eastAsia" w:ascii="宋体" w:hAnsi="宋体" w:cs="宋体"/>
                <w:szCs w:val="21"/>
                <w:highlight w:val="none"/>
              </w:rPr>
              <w:t>2.本项目实行网上投标，采用加密电子投标文件(供应商须使用CA加密设备通过政采云电子投标客户端制作投标文件)。若供应商参与投标，自行承担投标一切费用。</w:t>
            </w:r>
          </w:p>
          <w:p>
            <w:pPr>
              <w:snapToGrid w:val="0"/>
              <w:spacing w:line="290" w:lineRule="exact"/>
              <w:jc w:val="left"/>
              <w:rPr>
                <w:rFonts w:ascii="宋体" w:hAnsi="宋体" w:cs="宋体"/>
                <w:szCs w:val="21"/>
                <w:highlight w:val="none"/>
              </w:rPr>
            </w:pPr>
            <w:r>
              <w:rPr>
                <w:rFonts w:hint="eastAsia" w:ascii="宋体" w:hAnsi="宋体" w:cs="宋体"/>
                <w:szCs w:val="21"/>
                <w:highlight w:val="none"/>
              </w:rPr>
              <w:t>3.各供应商在开标前应确保成为新疆维吾尔自治区政府采购网正式注册入库供应商，并完成CA数字证书申领。因未注册入库、未办理CA数字证书等原因造成无法投标或投标失败等后果由供应商自行承担。</w:t>
            </w:r>
          </w:p>
          <w:p>
            <w:pPr>
              <w:snapToGrid w:val="0"/>
              <w:spacing w:line="290" w:lineRule="exact"/>
              <w:jc w:val="left"/>
              <w:rPr>
                <w:rFonts w:ascii="宋体" w:hAnsi="宋体" w:cs="宋体"/>
                <w:szCs w:val="21"/>
                <w:highlight w:val="none"/>
              </w:rPr>
            </w:pPr>
            <w:r>
              <w:rPr>
                <w:rFonts w:hint="eastAsia" w:ascii="宋体" w:hAnsi="宋体" w:cs="宋体"/>
                <w:szCs w:val="21"/>
                <w:highlight w:val="none"/>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w:t>
            </w:r>
            <w:r>
              <w:rPr>
                <w:rFonts w:hint="eastAsia" w:ascii="宋体" w:hAnsi="宋体" w:cs="宋体"/>
                <w:szCs w:val="21"/>
                <w:highlight w:val="none"/>
                <w:lang w:eastAsia="zh-CN"/>
              </w:rPr>
              <w:t>95763</w:t>
            </w:r>
            <w:r>
              <w:rPr>
                <w:rFonts w:hint="eastAsia" w:ascii="宋体" w:hAnsi="宋体" w:cs="宋体"/>
                <w:szCs w:val="21"/>
                <w:highlight w:val="none"/>
              </w:rPr>
              <w:t>进行咨询。</w:t>
            </w:r>
          </w:p>
          <w:p>
            <w:pPr>
              <w:snapToGrid w:val="0"/>
              <w:spacing w:line="290" w:lineRule="exact"/>
              <w:jc w:val="left"/>
              <w:rPr>
                <w:rFonts w:ascii="宋体" w:hAnsi="宋体" w:cs="宋体"/>
                <w:szCs w:val="21"/>
                <w:highlight w:val="none"/>
              </w:rPr>
            </w:pPr>
            <w:r>
              <w:rPr>
                <w:rFonts w:hint="eastAsia" w:ascii="宋体" w:hAnsi="宋体" w:cs="宋体"/>
                <w:szCs w:val="21"/>
                <w:highlight w:val="none"/>
              </w:rPr>
              <w:t>5.供应商在开标时须使用制作加密电子投标文件所使用的CA锁及电脑，电脑须提前配置好浏览器（建议使用谷歌浏览器），以便开标时解锁。</w:t>
            </w:r>
          </w:p>
          <w:p>
            <w:pPr>
              <w:snapToGrid w:val="0"/>
              <w:spacing w:line="290" w:lineRule="exact"/>
              <w:jc w:val="left"/>
              <w:rPr>
                <w:rFonts w:ascii="宋体" w:hAnsi="宋体" w:cs="宋体"/>
                <w:szCs w:val="21"/>
                <w:highlight w:val="none"/>
              </w:rPr>
            </w:pPr>
            <w:r>
              <w:rPr>
                <w:rFonts w:hint="eastAsia" w:ascii="宋体" w:hAnsi="宋体" w:cs="宋体"/>
                <w:szCs w:val="21"/>
                <w:highlight w:val="none"/>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snapToGrid w:val="0"/>
              <w:spacing w:line="290" w:lineRule="exact"/>
              <w:jc w:val="left"/>
              <w:rPr>
                <w:rFonts w:ascii="宋体" w:hAnsi="宋体" w:cs="宋体"/>
                <w:szCs w:val="21"/>
                <w:highlight w:val="none"/>
              </w:rPr>
            </w:pPr>
            <w:r>
              <w:rPr>
                <w:rFonts w:hint="eastAsia" w:ascii="宋体" w:hAnsi="宋体" w:cs="宋体"/>
                <w:szCs w:val="21"/>
                <w:highlight w:val="none"/>
              </w:rPr>
              <w:t>7.为了保证开评标顺利进行，政采云线上开标功能完全实现，供应商开标所使用的电脑设备须具有视频及语音功能。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40" w:hRule="atLeast"/>
          <w:jc w:val="center"/>
        </w:trPr>
        <w:tc>
          <w:tcPr>
            <w:tcW w:w="262" w:type="pct"/>
            <w:vMerge w:val="continue"/>
            <w:vAlign w:val="center"/>
          </w:tcPr>
          <w:p>
            <w:pPr>
              <w:snapToGrid w:val="0"/>
              <w:spacing w:line="290" w:lineRule="exact"/>
              <w:rPr>
                <w:rFonts w:ascii="宋体" w:hAnsi="宋体"/>
                <w:b/>
                <w:szCs w:val="21"/>
                <w:highlight w:val="none"/>
              </w:rPr>
            </w:pPr>
          </w:p>
        </w:tc>
        <w:tc>
          <w:tcPr>
            <w:tcW w:w="814" w:type="pct"/>
            <w:vMerge w:val="continue"/>
            <w:vAlign w:val="center"/>
          </w:tcPr>
          <w:p>
            <w:pPr>
              <w:snapToGrid w:val="0"/>
              <w:spacing w:line="290" w:lineRule="exact"/>
              <w:rPr>
                <w:rFonts w:ascii="宋体" w:hAnsi="宋体"/>
                <w:b/>
                <w:szCs w:val="21"/>
                <w:highlight w:val="none"/>
              </w:rPr>
            </w:pPr>
          </w:p>
        </w:tc>
        <w:tc>
          <w:tcPr>
            <w:tcW w:w="3923" w:type="pct"/>
          </w:tcPr>
          <w:p>
            <w:pPr>
              <w:snapToGrid w:val="0"/>
              <w:spacing w:line="290" w:lineRule="exact"/>
              <w:ind w:firstLine="420" w:firstLineChars="200"/>
              <w:rPr>
                <w:rFonts w:ascii="宋体" w:hAnsi="宋体" w:cs="宋体"/>
                <w:b/>
                <w:szCs w:val="21"/>
                <w:highlight w:val="none"/>
              </w:rPr>
            </w:pPr>
            <w:r>
              <w:rPr>
                <w:rFonts w:hint="eastAsia" w:ascii="宋体" w:hAnsi="宋体" w:cs="宋体"/>
                <w:b/>
                <w:szCs w:val="21"/>
                <w:highlight w:val="none"/>
              </w:rPr>
              <w:t>1、电子招投标情况说明：</w:t>
            </w:r>
          </w:p>
          <w:p>
            <w:pPr>
              <w:snapToGrid w:val="0"/>
              <w:spacing w:line="290" w:lineRule="exact"/>
              <w:ind w:firstLine="420" w:firstLineChars="200"/>
              <w:rPr>
                <w:rFonts w:ascii="宋体" w:hAnsi="宋体" w:cs="宋体"/>
                <w:szCs w:val="21"/>
                <w:highlight w:val="none"/>
              </w:rPr>
            </w:pPr>
            <w:r>
              <w:rPr>
                <w:rFonts w:hint="eastAsia" w:ascii="宋体" w:hAnsi="宋体" w:cs="宋体"/>
                <w:szCs w:val="21"/>
                <w:highlight w:val="none"/>
              </w:rPr>
              <w:t>（1）</w:t>
            </w:r>
            <w:r>
              <w:rPr>
                <w:rFonts w:hint="eastAsia" w:ascii="宋体" w:hAnsi="宋体" w:cs="宋体"/>
                <w:b/>
                <w:szCs w:val="21"/>
                <w:highlight w:val="none"/>
              </w:rPr>
              <w:t>电子招投标</w:t>
            </w:r>
            <w:r>
              <w:rPr>
                <w:rFonts w:hint="eastAsia" w:ascii="宋体" w:hAnsi="宋体" w:cs="宋体"/>
                <w:szCs w:val="21"/>
                <w:highlight w:val="none"/>
              </w:rPr>
              <w:t>：本项目以数据电文形式，依托“政府采购云平台（www.zcygov.cn）”进行招投标活动</w:t>
            </w:r>
            <w:r>
              <w:rPr>
                <w:rFonts w:hint="eastAsia" w:ascii="宋体" w:hAnsi="宋体" w:cs="宋体"/>
                <w:b/>
                <w:bCs/>
                <w:szCs w:val="21"/>
                <w:highlight w:val="none"/>
              </w:rPr>
              <w:t>。</w:t>
            </w:r>
          </w:p>
          <w:p>
            <w:pPr>
              <w:snapToGrid w:val="0"/>
              <w:spacing w:line="290" w:lineRule="exact"/>
              <w:ind w:firstLine="420" w:firstLineChars="200"/>
              <w:rPr>
                <w:rFonts w:ascii="宋体" w:hAnsi="宋体" w:cs="宋体"/>
                <w:szCs w:val="21"/>
                <w:highlight w:val="none"/>
              </w:rPr>
            </w:pPr>
            <w:r>
              <w:rPr>
                <w:rFonts w:hint="eastAsia" w:ascii="宋体" w:hAnsi="宋体" w:cs="宋体"/>
                <w:szCs w:val="21"/>
                <w:highlight w:val="none"/>
              </w:rPr>
              <w:t>（2）</w:t>
            </w:r>
            <w:r>
              <w:rPr>
                <w:rFonts w:hint="eastAsia" w:ascii="宋体" w:hAnsi="宋体" w:cs="宋体"/>
                <w:b/>
                <w:szCs w:val="21"/>
                <w:highlight w:val="none"/>
              </w:rPr>
              <w:t>投标准备</w:t>
            </w:r>
            <w:r>
              <w:rPr>
                <w:rFonts w:hint="eastAsia" w:ascii="宋体" w:hAnsi="宋体" w:cs="宋体"/>
                <w:szCs w:val="21"/>
                <w:highlight w:val="none"/>
              </w:rPr>
              <w:t>：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ind w:firstLine="420" w:firstLineChars="200"/>
              <w:rPr>
                <w:rFonts w:ascii="仿宋" w:hAnsi="仿宋" w:eastAsia="仿宋" w:cs="仿宋"/>
                <w:szCs w:val="21"/>
                <w:highlight w:val="none"/>
              </w:rPr>
            </w:pPr>
            <w:r>
              <w:rPr>
                <w:rFonts w:hint="eastAsia" w:ascii="宋体" w:hAnsi="宋体" w:cs="宋体"/>
                <w:szCs w:val="21"/>
                <w:highlight w:val="none"/>
              </w:rPr>
              <w:t>（3）</w:t>
            </w:r>
            <w:r>
              <w:rPr>
                <w:rFonts w:hint="eastAsia" w:ascii="宋体" w:hAnsi="宋体" w:cs="宋体"/>
                <w:b/>
                <w:szCs w:val="21"/>
                <w:highlight w:val="none"/>
              </w:rPr>
              <w:t>采购文件的获取</w:t>
            </w:r>
            <w:r>
              <w:rPr>
                <w:rFonts w:hint="eastAsia" w:ascii="宋体" w:hAnsi="宋体" w:cs="宋体"/>
                <w:szCs w:val="21"/>
                <w:highlight w:val="none"/>
              </w:rPr>
              <w:t>：使用账号登录或者</w:t>
            </w:r>
            <w:r>
              <w:rPr>
                <w:rFonts w:hint="eastAsia" w:ascii="宋体" w:hAnsi="宋体" w:cs="宋体"/>
                <w:szCs w:val="21"/>
                <w:highlight w:val="none"/>
                <w:lang w:bidi="zh-CN"/>
              </w:rPr>
              <w:t>短信验证码</w:t>
            </w:r>
            <w:r>
              <w:rPr>
                <w:rFonts w:hint="eastAsia" w:ascii="宋体" w:hAnsi="宋体" w:cs="宋体"/>
                <w:szCs w:val="21"/>
                <w:highlight w:val="none"/>
              </w:rPr>
              <w:t>或者使用CA登录政采云平台；进入“项目采购”应用，在获取采购文件菜单中选择项目，获取采购文件。</w:t>
            </w:r>
          </w:p>
          <w:p>
            <w:pPr>
              <w:snapToGrid w:val="0"/>
              <w:spacing w:line="290" w:lineRule="exact"/>
              <w:ind w:firstLine="420" w:firstLineChars="200"/>
              <w:rPr>
                <w:rFonts w:ascii="宋体" w:hAnsi="宋体" w:cs="宋体"/>
                <w:szCs w:val="21"/>
                <w:highlight w:val="none"/>
              </w:rPr>
            </w:pPr>
            <w:r>
              <w:rPr>
                <w:rFonts w:hint="eastAsia" w:ascii="宋体" w:hAnsi="宋体" w:cs="宋体"/>
                <w:szCs w:val="21"/>
                <w:highlight w:val="none"/>
              </w:rPr>
              <w:t>（4）</w:t>
            </w:r>
            <w:r>
              <w:rPr>
                <w:rFonts w:hint="eastAsia" w:ascii="宋体" w:hAnsi="宋体" w:cs="宋体"/>
                <w:b/>
                <w:szCs w:val="21"/>
                <w:highlight w:val="none"/>
              </w:rPr>
              <w:t>投标文件的制作</w:t>
            </w:r>
            <w:r>
              <w:rPr>
                <w:rFonts w:hint="eastAsia" w:ascii="宋体" w:hAnsi="宋体" w:cs="宋体"/>
                <w:szCs w:val="21"/>
                <w:highlight w:val="none"/>
              </w:rPr>
              <w:t>：在“政采云电子交易客户端”中完成“填写基本信息”、“导入投标文件”、“标书关联”、“标书检查”、“电子签名”、“生成电子标书”等操作。</w:t>
            </w:r>
          </w:p>
          <w:p>
            <w:pPr>
              <w:snapToGrid w:val="0"/>
              <w:spacing w:line="290" w:lineRule="exact"/>
              <w:ind w:firstLine="420" w:firstLineChars="200"/>
              <w:rPr>
                <w:rFonts w:ascii="宋体" w:hAnsi="宋体" w:cs="宋体"/>
                <w:szCs w:val="21"/>
                <w:highlight w:val="none"/>
              </w:rPr>
            </w:pPr>
            <w:r>
              <w:rPr>
                <w:rFonts w:hint="eastAsia" w:ascii="宋体" w:hAnsi="宋体" w:cs="宋体"/>
                <w:szCs w:val="21"/>
                <w:highlight w:val="none"/>
              </w:rPr>
              <w:t>（5）</w:t>
            </w:r>
            <w:r>
              <w:rPr>
                <w:rFonts w:hint="eastAsia" w:ascii="宋体" w:hAnsi="宋体" w:cs="宋体"/>
                <w:b/>
                <w:szCs w:val="21"/>
                <w:highlight w:val="none"/>
              </w:rPr>
              <w:t>投标文件的传输递交</w:t>
            </w:r>
            <w:r>
              <w:rPr>
                <w:rFonts w:hint="eastAsia" w:ascii="宋体" w:hAnsi="宋体" w:cs="宋体"/>
                <w:szCs w:val="21"/>
                <w:highlight w:val="none"/>
              </w:rPr>
              <w:t>：供应商在投标截止时间前将加密的投标文件上传至政府采购云平台，还可以在投标截止时间前以电子邮件方式提供备份投标文件1份（接收人邮箱：</w:t>
            </w:r>
            <w:r>
              <w:rPr>
                <w:rFonts w:hint="eastAsia" w:ascii="宋体" w:hAnsi="宋体" w:cs="宋体"/>
                <w:szCs w:val="21"/>
                <w:highlight w:val="none"/>
                <w:lang w:eastAsia="zh-CN"/>
              </w:rPr>
              <w:t>759733443</w:t>
            </w:r>
            <w:r>
              <w:rPr>
                <w:rFonts w:hint="eastAsia" w:ascii="宋体" w:hAnsi="宋体" w:cs="宋体"/>
                <w:szCs w:val="21"/>
                <w:highlight w:val="none"/>
              </w:rPr>
              <w:t>@qq.cpm，接收人：</w:t>
            </w:r>
            <w:r>
              <w:rPr>
                <w:rFonts w:hint="eastAsia" w:ascii="宋体" w:hAnsi="宋体" w:cs="宋体"/>
                <w:szCs w:val="21"/>
                <w:highlight w:val="none"/>
                <w:lang w:eastAsia="zh-CN"/>
              </w:rPr>
              <w:t>邓</w:t>
            </w:r>
            <w:r>
              <w:rPr>
                <w:rFonts w:hint="eastAsia" w:ascii="宋体" w:hAnsi="宋体" w:cs="宋体"/>
                <w:szCs w:val="21"/>
                <w:highlight w:val="none"/>
              </w:rPr>
              <w:t>女士，电话：</w:t>
            </w:r>
            <w:r>
              <w:rPr>
                <w:rFonts w:hint="eastAsia" w:ascii="宋体" w:hAnsi="宋体" w:cs="宋体"/>
                <w:szCs w:val="21"/>
                <w:highlight w:val="none"/>
                <w:lang w:eastAsia="zh-CN"/>
              </w:rPr>
              <w:t>13364782532</w:t>
            </w:r>
            <w:r>
              <w:rPr>
                <w:rFonts w:hint="eastAsia" w:ascii="宋体" w:hAnsi="宋体" w:cs="宋体"/>
                <w:szCs w:val="21"/>
                <w:highlight w:val="none"/>
              </w:rPr>
              <w:t>），</w:t>
            </w:r>
            <w:r>
              <w:rPr>
                <w:rFonts w:hint="eastAsia" w:ascii="宋体" w:hAnsi="宋体" w:cs="宋体"/>
                <w:b/>
                <w:bCs/>
                <w:szCs w:val="21"/>
                <w:highlight w:val="none"/>
                <w:lang w:bidi="zh-CN"/>
              </w:rPr>
              <w:t>备份投标文件可以打包压缩并加密，压缩包命名为“XX单位备份投标文件”，加密密码由供应商自行保管（“备份投标文件”由供应商自愿提供，采购文件不作强制性要求；如不提供或未按要求提供的，当电子投标文件无法解密时，将导致无备份投标文件而失去投标资格）</w:t>
            </w:r>
            <w:r>
              <w:rPr>
                <w:rFonts w:hint="eastAsia" w:ascii="宋体" w:hAnsi="宋体" w:cs="宋体"/>
                <w:szCs w:val="21"/>
                <w:highlight w:val="none"/>
              </w:rPr>
              <w:t>。</w:t>
            </w:r>
          </w:p>
          <w:p>
            <w:pPr>
              <w:snapToGrid w:val="0"/>
              <w:spacing w:line="290" w:lineRule="exact"/>
              <w:ind w:firstLine="420" w:firstLineChars="200"/>
              <w:rPr>
                <w:rFonts w:ascii="宋体" w:hAnsi="宋体" w:cs="宋体"/>
                <w:szCs w:val="21"/>
                <w:highlight w:val="none"/>
              </w:rPr>
            </w:pPr>
            <w:r>
              <w:rPr>
                <w:rFonts w:hint="eastAsia" w:ascii="宋体" w:hAnsi="宋体" w:cs="宋体"/>
                <w:szCs w:val="21"/>
                <w:highlight w:val="none"/>
              </w:rPr>
              <w:t>（6）</w:t>
            </w:r>
            <w:r>
              <w:rPr>
                <w:rFonts w:hint="eastAsia" w:ascii="宋体" w:hAnsi="宋体" w:cs="宋体"/>
                <w:b/>
                <w:szCs w:val="21"/>
                <w:highlight w:val="none"/>
              </w:rPr>
              <w:t>投标文件的解密</w:t>
            </w:r>
            <w:r>
              <w:rPr>
                <w:rFonts w:hint="eastAsia" w:ascii="宋体" w:hAnsi="宋体" w:cs="宋体"/>
                <w:szCs w:val="21"/>
                <w:highlight w:val="none"/>
              </w:rPr>
              <w:t>：供应商按照平台提示和采购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snapToGrid w:val="0"/>
              <w:spacing w:line="290" w:lineRule="exact"/>
              <w:ind w:firstLine="420" w:firstLineChars="200"/>
              <w:rPr>
                <w:rFonts w:ascii="宋体" w:hAnsi="宋体" w:cs="宋体"/>
                <w:szCs w:val="21"/>
                <w:highlight w:val="none"/>
              </w:rPr>
            </w:pPr>
            <w:r>
              <w:rPr>
                <w:rFonts w:hint="eastAsia" w:ascii="宋体" w:hAnsi="宋体" w:cs="宋体"/>
                <w:szCs w:val="21"/>
                <w:highlight w:val="none"/>
              </w:rPr>
              <w:t>（7）</w:t>
            </w:r>
            <w:r>
              <w:rPr>
                <w:rFonts w:hint="eastAsia" w:ascii="宋体" w:hAnsi="宋体" w:cs="宋体"/>
                <w:b/>
                <w:szCs w:val="21"/>
                <w:highlight w:val="none"/>
              </w:rPr>
              <w:t>具体操作指南</w:t>
            </w:r>
            <w:r>
              <w:rPr>
                <w:rFonts w:hint="eastAsia" w:ascii="宋体" w:hAnsi="宋体" w:cs="宋体"/>
                <w:szCs w:val="21"/>
                <w:highlight w:val="none"/>
              </w:rPr>
              <w:t>：详见政采云平台“服务中心-帮助文档-项目采购-操作流程-电子招投标-政府采购项目电子交易管理操作指南-供应商”。</w:t>
            </w:r>
          </w:p>
          <w:p>
            <w:pPr>
              <w:snapToGrid w:val="0"/>
              <w:spacing w:line="290" w:lineRule="exact"/>
              <w:ind w:firstLine="420" w:firstLineChars="200"/>
              <w:rPr>
                <w:rFonts w:ascii="宋体" w:hAnsi="宋体" w:cs="宋体"/>
                <w:szCs w:val="21"/>
                <w:highlight w:val="none"/>
              </w:rPr>
            </w:pPr>
            <w:r>
              <w:rPr>
                <w:rFonts w:hint="eastAsia" w:ascii="宋体" w:hAnsi="宋体" w:cs="宋体"/>
                <w:szCs w:val="21"/>
                <w:highlight w:val="none"/>
              </w:rPr>
              <w:t>（8）供应商在进行上述操作时，如遇技术问题可登录政采云（https://</w:t>
            </w:r>
            <w:r>
              <w:rPr>
                <w:highlight w:val="none"/>
              </w:rPr>
              <w:fldChar w:fldCharType="begin"/>
            </w:r>
            <w:r>
              <w:rPr>
                <w:highlight w:val="none"/>
              </w:rPr>
              <w:instrText xml:space="preserve"> HYPERLINK "http://www.zcygov.cn/" \h </w:instrText>
            </w:r>
            <w:r>
              <w:rPr>
                <w:highlight w:val="none"/>
              </w:rPr>
              <w:fldChar w:fldCharType="separate"/>
            </w:r>
            <w:r>
              <w:rPr>
                <w:rFonts w:hint="eastAsia" w:ascii="宋体" w:hAnsi="宋体" w:cs="宋体"/>
                <w:szCs w:val="21"/>
                <w:highlight w:val="none"/>
              </w:rPr>
              <w:t>www.zcygov.cn/</w:t>
            </w:r>
            <w:r>
              <w:rPr>
                <w:rFonts w:hint="eastAsia" w:ascii="宋体" w:hAnsi="宋体" w:cs="宋体"/>
                <w:szCs w:val="21"/>
                <w:highlight w:val="none"/>
              </w:rPr>
              <w:fldChar w:fldCharType="end"/>
            </w:r>
            <w:r>
              <w:rPr>
                <w:rFonts w:hint="eastAsia" w:ascii="宋体" w:hAnsi="宋体" w:cs="宋体"/>
                <w:szCs w:val="21"/>
                <w:highlight w:val="none"/>
              </w:rPr>
              <w:t xml:space="preserve">），点击右侧咨询小采，获取采小蜜智能服务管家帮助，或拨打政采云服务热线 </w:t>
            </w:r>
            <w:r>
              <w:rPr>
                <w:rFonts w:hint="eastAsia" w:ascii="宋体" w:hAnsi="宋体" w:cs="宋体"/>
                <w:szCs w:val="21"/>
                <w:highlight w:val="none"/>
                <w:lang w:eastAsia="zh-CN"/>
              </w:rPr>
              <w:t>95763</w:t>
            </w:r>
            <w:r>
              <w:rPr>
                <w:rFonts w:hint="eastAsia" w:ascii="宋体" w:hAnsi="宋体" w:cs="宋体"/>
                <w:szCs w:val="21"/>
                <w:highlight w:val="none"/>
              </w:rPr>
              <w:t xml:space="preserve"> 获取热线服务帮助。</w:t>
            </w:r>
          </w:p>
          <w:p>
            <w:pPr>
              <w:pStyle w:val="6"/>
              <w:adjustRightInd/>
              <w:snapToGrid w:val="0"/>
              <w:spacing w:line="290" w:lineRule="exact"/>
              <w:ind w:firstLine="420" w:firstLineChars="200"/>
              <w:textAlignment w:val="auto"/>
              <w:rPr>
                <w:rFonts w:ascii="宋体" w:hAnsi="宋体" w:cs="宋体"/>
                <w:bCs/>
                <w:sz w:val="21"/>
                <w:szCs w:val="21"/>
                <w:highlight w:val="none"/>
              </w:rPr>
            </w:pPr>
            <w:r>
              <w:rPr>
                <w:rFonts w:hint="eastAsia" w:ascii="宋体" w:hAnsi="宋体" w:cs="宋体"/>
                <w:bCs/>
                <w:sz w:val="21"/>
                <w:szCs w:val="21"/>
                <w:highlight w:val="none"/>
              </w:rPr>
              <w:t>温馨提醒：供应商应提前上传，以便在上传时遇到技术问题，有充足的时间请教平台的技术人员。</w:t>
            </w:r>
          </w:p>
          <w:p>
            <w:pPr>
              <w:snapToGrid w:val="0"/>
              <w:spacing w:line="290" w:lineRule="exact"/>
              <w:ind w:firstLine="403" w:firstLineChars="192"/>
              <w:rPr>
                <w:rFonts w:ascii="宋体" w:hAnsi="宋体" w:cs="宋体"/>
                <w:szCs w:val="21"/>
                <w:highlight w:val="none"/>
              </w:rPr>
            </w:pPr>
            <w:r>
              <w:rPr>
                <w:rFonts w:hint="eastAsia" w:ascii="宋体" w:hAnsi="宋体" w:cs="宋体"/>
                <w:bCs/>
                <w:szCs w:val="21"/>
                <w:highlight w:val="none"/>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w:t>
            </w:r>
            <w:r>
              <w:rPr>
                <w:rFonts w:hint="eastAsia" w:ascii="宋体" w:hAnsi="宋体" w:cs="宋体"/>
                <w:szCs w:val="21"/>
                <w:highlight w:val="none"/>
              </w:rPr>
              <w:t>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中国政府采购网下载专区下载。</w:t>
            </w:r>
            <w:r>
              <w:rPr>
                <w:rFonts w:hint="eastAsia" w:ascii="宋体" w:hAnsi="宋体" w:cs="宋体"/>
                <w:bCs/>
                <w:szCs w:val="21"/>
                <w:highlight w:val="none"/>
              </w:rPr>
              <w:t>未按规定获取采购文件或逾期提出的不予受理、答复。</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96" w:hRule="atLeast"/>
          <w:jc w:val="center"/>
        </w:trPr>
        <w:tc>
          <w:tcPr>
            <w:tcW w:w="262" w:type="pct"/>
            <w:tcBorders>
              <w:right w:val="single" w:color="auto" w:sz="4" w:space="0"/>
            </w:tcBorders>
            <w:vAlign w:val="center"/>
          </w:tcPr>
          <w:p>
            <w:pPr>
              <w:snapToGrid w:val="0"/>
              <w:spacing w:line="290" w:lineRule="exact"/>
              <w:rPr>
                <w:b/>
                <w:szCs w:val="21"/>
                <w:highlight w:val="none"/>
              </w:rPr>
            </w:pPr>
            <w:r>
              <w:rPr>
                <w:rFonts w:hint="eastAsia"/>
                <w:bCs/>
                <w:szCs w:val="21"/>
                <w:highlight w:val="none"/>
              </w:rPr>
              <w:t>29</w:t>
            </w:r>
          </w:p>
        </w:tc>
        <w:tc>
          <w:tcPr>
            <w:tcW w:w="4737" w:type="pct"/>
            <w:gridSpan w:val="2"/>
            <w:tcBorders>
              <w:left w:val="single" w:color="auto" w:sz="4" w:space="0"/>
            </w:tcBorders>
            <w:vAlign w:val="center"/>
          </w:tcPr>
          <w:p>
            <w:pPr>
              <w:spacing w:line="400" w:lineRule="exact"/>
              <w:rPr>
                <w:rFonts w:ascii="宋体" w:hAnsi="宋体" w:cs="宋体"/>
                <w:kern w:val="0"/>
                <w:szCs w:val="21"/>
                <w:highlight w:val="none"/>
              </w:rPr>
            </w:pPr>
            <w:r>
              <w:rPr>
                <w:rFonts w:hint="eastAsia" w:ascii="宋体" w:hAnsi="宋体" w:cs="宋体"/>
                <w:kern w:val="0"/>
                <w:szCs w:val="21"/>
                <w:highlight w:val="none"/>
              </w:rPr>
              <w:t>注：</w:t>
            </w:r>
          </w:p>
          <w:p>
            <w:pPr>
              <w:spacing w:line="400" w:lineRule="exact"/>
              <w:rPr>
                <w:rFonts w:ascii="宋体" w:hAnsi="宋体" w:cs="宋体"/>
                <w:kern w:val="0"/>
                <w:szCs w:val="21"/>
                <w:highlight w:val="none"/>
              </w:rPr>
            </w:pPr>
            <w:r>
              <w:rPr>
                <w:rFonts w:hint="eastAsia" w:ascii="宋体" w:hAnsi="宋体" w:cs="宋体"/>
                <w:kern w:val="0"/>
                <w:szCs w:val="21"/>
                <w:highlight w:val="none"/>
              </w:rPr>
              <w:t>1、除法律、法规和规章规定外，竞争性磋商文件中用“拒绝”、“不接受”、“无效”、“不得”等文字规定，对其中任何一条的偏离，在评审时将其视为无效文件。未用上述文字规定或符号标注的条款为非实质性要求条款(即一般条款)。</w:t>
            </w:r>
          </w:p>
          <w:p>
            <w:pPr>
              <w:spacing w:line="400" w:lineRule="exact"/>
              <w:rPr>
                <w:rFonts w:ascii="宋体" w:hAnsi="宋体" w:cs="宋体"/>
                <w:kern w:val="0"/>
                <w:szCs w:val="21"/>
                <w:highlight w:val="none"/>
              </w:rPr>
            </w:pPr>
            <w:r>
              <w:rPr>
                <w:rFonts w:hint="eastAsia" w:ascii="宋体" w:hAnsi="宋体" w:cs="宋体"/>
                <w:kern w:val="0"/>
                <w:szCs w:val="21"/>
                <w:highlight w:val="none"/>
              </w:rPr>
              <w:t>2、除非另有特殊说明，若本竞争性磋商文件中引用了某一品牌、型号或生产供应商名称，均是指参照该品牌、型号或生产供应商的产品或服务，所引用的品牌、型号或生产供应商不构成对投标的限制。若采用的外文术语与某一供应商或某一产品使用的术语相同，并非表示指定了该供应商或该产品。</w:t>
            </w:r>
          </w:p>
          <w:p>
            <w:pPr>
              <w:snapToGrid w:val="0"/>
              <w:spacing w:line="290" w:lineRule="exact"/>
              <w:jc w:val="left"/>
              <w:rPr>
                <w:b/>
                <w:szCs w:val="21"/>
                <w:highlight w:val="none"/>
              </w:rPr>
            </w:pPr>
            <w:r>
              <w:rPr>
                <w:rFonts w:hint="eastAsia" w:ascii="宋体" w:hAnsi="宋体" w:cs="宋体"/>
                <w:kern w:val="0"/>
                <w:szCs w:val="21"/>
                <w:highlight w:val="none"/>
              </w:rPr>
              <w:t>3、磋商响应文件中的报价为一次报价，各投标单位进行二次报价（磋商），投标报价评审以二次报价为准，最终成交价以二次报价为准。一次报价不得高于总投资，二次报价不得高于一次报价。</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96" w:hRule="atLeast"/>
          <w:jc w:val="center"/>
        </w:trPr>
        <w:tc>
          <w:tcPr>
            <w:tcW w:w="262" w:type="pct"/>
            <w:tcBorders>
              <w:right w:val="single" w:color="auto" w:sz="4" w:space="0"/>
            </w:tcBorders>
            <w:vAlign w:val="center"/>
          </w:tcPr>
          <w:p>
            <w:pPr>
              <w:snapToGrid w:val="0"/>
              <w:spacing w:line="290" w:lineRule="exact"/>
              <w:rPr>
                <w:bCs/>
                <w:szCs w:val="21"/>
                <w:highlight w:val="none"/>
              </w:rPr>
            </w:pPr>
            <w:r>
              <w:rPr>
                <w:rFonts w:hint="eastAsia"/>
                <w:bCs/>
                <w:szCs w:val="21"/>
                <w:highlight w:val="none"/>
              </w:rPr>
              <w:t>30</w:t>
            </w:r>
          </w:p>
        </w:tc>
        <w:tc>
          <w:tcPr>
            <w:tcW w:w="4737" w:type="pct"/>
            <w:gridSpan w:val="2"/>
            <w:tcBorders>
              <w:left w:val="single" w:color="auto" w:sz="4" w:space="0"/>
            </w:tcBorders>
            <w:vAlign w:val="center"/>
          </w:tcPr>
          <w:p>
            <w:pPr>
              <w:spacing w:line="400" w:lineRule="exact"/>
              <w:rPr>
                <w:b/>
                <w:bCs/>
                <w:highlight w:val="none"/>
              </w:rPr>
            </w:pPr>
            <w:r>
              <w:rPr>
                <w:rFonts w:hint="eastAsia"/>
                <w:b/>
                <w:bCs/>
                <w:highlight w:val="none"/>
              </w:rPr>
              <w:t>中小微企业政策文件</w:t>
            </w:r>
          </w:p>
          <w:p>
            <w:pPr>
              <w:snapToGrid w:val="0"/>
              <w:spacing w:line="290" w:lineRule="exact"/>
              <w:outlineLvl w:val="0"/>
              <w:rPr>
                <w:highlight w:val="none"/>
              </w:rPr>
            </w:pPr>
            <w:r>
              <w:rPr>
                <w:rFonts w:hint="eastAsia"/>
                <w:highlight w:val="none"/>
              </w:rPr>
              <w:t>（1）根据财政部、工业和信息化部关于印发《政府采购促进中小企业发展管理办法》的通知（财库[2020]46号）及财库[2022]19号，投标人及其所投产品的制造商均属于《工业和信息化部、国家统计局、国家发展和改革委员会、财政部关于印发中小企业划型标准规定的通知》（工信部联企业[2011]300号）中规定的小型、微型企业标准的，按询价通知书格式提供《中小企业声明函》。</w:t>
            </w:r>
          </w:p>
          <w:p>
            <w:pPr>
              <w:snapToGrid w:val="0"/>
              <w:spacing w:line="290" w:lineRule="exact"/>
              <w:outlineLvl w:val="0"/>
              <w:rPr>
                <w:highlight w:val="none"/>
              </w:rPr>
            </w:pPr>
            <w:r>
              <w:rPr>
                <w:rFonts w:hint="eastAsia"/>
                <w:highlight w:val="none"/>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p>
            <w:pPr>
              <w:snapToGrid w:val="0"/>
              <w:spacing w:line="290" w:lineRule="exact"/>
              <w:jc w:val="left"/>
              <w:rPr>
                <w:highlight w:val="none"/>
              </w:rPr>
            </w:pPr>
            <w:r>
              <w:rPr>
                <w:rFonts w:hint="eastAsia"/>
                <w:highlight w:val="none"/>
              </w:rPr>
              <w:t>（3）根据财政部、民政部、中国残疾人联合会《关于促进残疾人就业政府采购政策的通知》（财库[2017]141号），在政府采购活动中，残疾人福利性单位视同小型、微型企业。投标人属于残疾人福利性单位的，按照询价通知书格式提供残疾人福利性单位声明函。</w:t>
            </w:r>
          </w:p>
          <w:p>
            <w:pPr>
              <w:pStyle w:val="34"/>
              <w:rPr>
                <w:rFonts w:hAnsi="宋体"/>
                <w:b/>
                <w:bCs/>
                <w:szCs w:val="21"/>
                <w:highlight w:val="none"/>
              </w:rPr>
            </w:pPr>
            <w:r>
              <w:rPr>
                <w:rFonts w:hint="eastAsia" w:hAnsi="宋体"/>
                <w:b/>
                <w:bCs/>
                <w:szCs w:val="21"/>
                <w:highlight w:val="none"/>
              </w:rPr>
              <w:t>中小微企业政策文件说明</w:t>
            </w:r>
          </w:p>
          <w:p>
            <w:pPr>
              <w:snapToGrid w:val="0"/>
              <w:spacing w:line="290" w:lineRule="exact"/>
              <w:outlineLvl w:val="0"/>
              <w:rPr>
                <w:rFonts w:ascii="宋体" w:hAnsi="宋体" w:cs="宋体"/>
                <w:bCs/>
                <w:szCs w:val="21"/>
                <w:highlight w:val="none"/>
              </w:rPr>
            </w:pPr>
            <w:r>
              <w:rPr>
                <w:rFonts w:hint="eastAsia" w:ascii="宋体" w:hAnsi="宋体" w:cs="宋体"/>
                <w:bCs/>
                <w:szCs w:val="21"/>
                <w:highlight w:val="none"/>
              </w:rPr>
              <w:t>（1）支持中小企业发展：给予小型和微型企业产品的价格10%-20%的扣除，用扣除后的价格参与评审。残疾人福利性单位视同小型、微型企业，享受同等价格扣除，但同时属于残疾人福利性单位和小微企业的，不重复价格扣除。</w:t>
            </w:r>
          </w:p>
          <w:p>
            <w:pPr>
              <w:pStyle w:val="34"/>
              <w:rPr>
                <w:rFonts w:hAnsi="宋体"/>
                <w:szCs w:val="21"/>
                <w:highlight w:val="none"/>
              </w:rPr>
            </w:pPr>
            <w:r>
              <w:rPr>
                <w:rFonts w:hint="eastAsia" w:hAnsi="宋体"/>
                <w:szCs w:val="21"/>
                <w:highlight w:val="none"/>
              </w:rPr>
              <w:t>（2）不符合上述适用情形的投标人无需提供上述声明函件。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16" w:hRule="atLeast"/>
          <w:jc w:val="center"/>
        </w:trPr>
        <w:tc>
          <w:tcPr>
            <w:tcW w:w="5000" w:type="pct"/>
            <w:gridSpan w:val="3"/>
            <w:vAlign w:val="center"/>
          </w:tcPr>
          <w:p>
            <w:pPr>
              <w:snapToGrid w:val="0"/>
              <w:spacing w:line="290" w:lineRule="exact"/>
              <w:jc w:val="left"/>
              <w:rPr>
                <w:b/>
                <w:szCs w:val="21"/>
                <w:highlight w:val="none"/>
              </w:rPr>
            </w:pPr>
            <w:r>
              <w:rPr>
                <w:rFonts w:hint="eastAsia"/>
                <w:b/>
                <w:szCs w:val="21"/>
                <w:highlight w:val="none"/>
              </w:rPr>
              <w:t>备注：投标人使用相同IP地址的，一经发现，相关部门将进一步核实，查实后按串通投标处理。</w:t>
            </w:r>
          </w:p>
          <w:p>
            <w:pPr>
              <w:snapToGrid w:val="0"/>
              <w:spacing w:line="290" w:lineRule="exact"/>
              <w:jc w:val="left"/>
              <w:rPr>
                <w:b/>
                <w:szCs w:val="21"/>
                <w:highlight w:val="none"/>
              </w:rPr>
            </w:pPr>
            <w:r>
              <w:rPr>
                <w:rFonts w:hint="eastAsia"/>
                <w:b/>
                <w:szCs w:val="21"/>
                <w:highlight w:val="none"/>
              </w:rPr>
              <w:t>如询价通知书中内容与投标须知前附表中内容不一致以投标须知前附表中的内容为准。</w:t>
            </w:r>
          </w:p>
          <w:p>
            <w:pPr>
              <w:snapToGrid w:val="0"/>
              <w:spacing w:line="290" w:lineRule="exact"/>
              <w:jc w:val="left"/>
              <w:rPr>
                <w:b/>
                <w:szCs w:val="21"/>
                <w:highlight w:val="none"/>
              </w:rPr>
            </w:pPr>
            <w:r>
              <w:rPr>
                <w:rFonts w:hint="eastAsia"/>
                <w:b/>
                <w:szCs w:val="21"/>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pageBreakBefore/>
        <w:spacing w:before="312" w:beforeLines="100" w:after="312" w:afterLines="100" w:line="440" w:lineRule="exact"/>
        <w:jc w:val="center"/>
        <w:outlineLvl w:val="1"/>
        <w:rPr>
          <w:rFonts w:ascii="宋体"/>
          <w:b/>
          <w:sz w:val="28"/>
          <w:szCs w:val="32"/>
          <w:highlight w:val="none"/>
        </w:rPr>
      </w:pPr>
      <w:bookmarkStart w:id="25" w:name="_Toc30705"/>
      <w:r>
        <w:rPr>
          <w:rFonts w:hint="eastAsia" w:ascii="宋体"/>
          <w:b/>
          <w:sz w:val="28"/>
          <w:szCs w:val="28"/>
          <w:highlight w:val="none"/>
        </w:rPr>
        <w:t>二、投标人须知</w:t>
      </w:r>
      <w:bookmarkEnd w:id="25"/>
    </w:p>
    <w:p>
      <w:pPr>
        <w:spacing w:line="440" w:lineRule="exact"/>
        <w:jc w:val="center"/>
        <w:outlineLvl w:val="2"/>
        <w:rPr>
          <w:rFonts w:ascii="宋体"/>
          <w:sz w:val="28"/>
          <w:szCs w:val="28"/>
          <w:highlight w:val="none"/>
        </w:rPr>
      </w:pPr>
      <w:bookmarkStart w:id="26" w:name="_Toc469495724"/>
      <w:bookmarkStart w:id="27" w:name="_Toc25428"/>
      <w:r>
        <w:rPr>
          <w:rFonts w:hint="eastAsia" w:ascii="宋体"/>
          <w:b/>
          <w:sz w:val="28"/>
          <w:szCs w:val="28"/>
          <w:highlight w:val="none"/>
        </w:rPr>
        <w:t>（一）</w:t>
      </w:r>
      <w:r>
        <w:rPr>
          <w:rFonts w:hint="eastAsia" w:ascii="宋体"/>
          <w:b/>
          <w:sz w:val="28"/>
          <w:szCs w:val="32"/>
          <w:highlight w:val="none"/>
        </w:rPr>
        <w:t>总  则</w:t>
      </w:r>
      <w:bookmarkEnd w:id="26"/>
      <w:bookmarkEnd w:id="27"/>
    </w:p>
    <w:p>
      <w:pPr>
        <w:snapToGrid w:val="0"/>
        <w:spacing w:line="440" w:lineRule="exact"/>
        <w:ind w:firstLine="420" w:firstLineChars="200"/>
        <w:rPr>
          <w:rFonts w:ascii="宋体"/>
          <w:b/>
          <w:szCs w:val="21"/>
          <w:highlight w:val="none"/>
        </w:rPr>
      </w:pPr>
      <w:r>
        <w:rPr>
          <w:rFonts w:hint="eastAsia" w:ascii="宋体"/>
          <w:b/>
          <w:szCs w:val="21"/>
          <w:highlight w:val="none"/>
        </w:rPr>
        <w:t>1.项目概况</w:t>
      </w:r>
    </w:p>
    <w:p>
      <w:pPr>
        <w:snapToGrid w:val="0"/>
        <w:spacing w:line="440" w:lineRule="exact"/>
        <w:ind w:firstLine="420" w:firstLineChars="200"/>
        <w:rPr>
          <w:rFonts w:ascii="宋体"/>
          <w:szCs w:val="21"/>
          <w:highlight w:val="none"/>
          <w:u w:val="single"/>
        </w:rPr>
      </w:pPr>
      <w:r>
        <w:rPr>
          <w:rFonts w:hint="eastAsia" w:ascii="宋体"/>
          <w:szCs w:val="21"/>
          <w:highlight w:val="none"/>
        </w:rPr>
        <w:t>1.1本次招标采购项目名称：见投标人须知前附表。</w:t>
      </w:r>
    </w:p>
    <w:p>
      <w:pPr>
        <w:snapToGrid w:val="0"/>
        <w:spacing w:line="440" w:lineRule="exact"/>
        <w:ind w:firstLine="420" w:firstLineChars="200"/>
        <w:rPr>
          <w:rFonts w:ascii="宋体"/>
          <w:szCs w:val="21"/>
          <w:highlight w:val="none"/>
          <w:u w:val="single"/>
        </w:rPr>
      </w:pPr>
      <w:r>
        <w:rPr>
          <w:rFonts w:hint="eastAsia" w:ascii="宋体"/>
          <w:szCs w:val="21"/>
          <w:highlight w:val="none"/>
        </w:rPr>
        <w:t xml:space="preserve">               项目编号：见投标人须知前附表。</w:t>
      </w:r>
    </w:p>
    <w:p>
      <w:pPr>
        <w:snapToGrid w:val="0"/>
        <w:spacing w:line="440" w:lineRule="exact"/>
        <w:ind w:firstLine="420" w:firstLineChars="200"/>
        <w:rPr>
          <w:rFonts w:ascii="宋体"/>
          <w:szCs w:val="21"/>
          <w:highlight w:val="none"/>
          <w:u w:val="single"/>
        </w:rPr>
      </w:pPr>
      <w:r>
        <w:rPr>
          <w:rFonts w:hint="eastAsia" w:ascii="宋体"/>
          <w:szCs w:val="21"/>
          <w:highlight w:val="none"/>
        </w:rPr>
        <w:t xml:space="preserve">                 招标人：见投标人须知前附表。</w:t>
      </w:r>
    </w:p>
    <w:p>
      <w:pPr>
        <w:snapToGrid w:val="0"/>
        <w:spacing w:line="440" w:lineRule="exact"/>
        <w:ind w:firstLine="420" w:firstLineChars="200"/>
        <w:rPr>
          <w:rFonts w:ascii="宋体"/>
          <w:szCs w:val="21"/>
          <w:highlight w:val="none"/>
          <w:u w:val="single"/>
        </w:rPr>
      </w:pPr>
      <w:r>
        <w:rPr>
          <w:rFonts w:hint="eastAsia" w:ascii="宋体"/>
          <w:szCs w:val="21"/>
          <w:highlight w:val="none"/>
        </w:rPr>
        <w:t xml:space="preserve">      供货期（服务周期）：见投标人须知前附表。</w:t>
      </w:r>
    </w:p>
    <w:p>
      <w:pPr>
        <w:snapToGrid w:val="0"/>
        <w:spacing w:line="440" w:lineRule="exact"/>
        <w:ind w:firstLine="420" w:firstLineChars="200"/>
        <w:rPr>
          <w:rFonts w:ascii="宋体"/>
          <w:szCs w:val="21"/>
          <w:highlight w:val="none"/>
          <w:u w:val="single"/>
        </w:rPr>
      </w:pPr>
      <w:r>
        <w:rPr>
          <w:rFonts w:hint="eastAsia" w:ascii="宋体"/>
          <w:szCs w:val="21"/>
          <w:highlight w:val="none"/>
        </w:rPr>
        <w:t xml:space="preserve">               供货地点：见投标人须知前附表。</w:t>
      </w:r>
    </w:p>
    <w:p>
      <w:pPr>
        <w:snapToGrid w:val="0"/>
        <w:spacing w:line="440" w:lineRule="exact"/>
        <w:ind w:firstLine="420" w:firstLineChars="200"/>
        <w:rPr>
          <w:rFonts w:ascii="宋体"/>
          <w:szCs w:val="21"/>
          <w:highlight w:val="none"/>
          <w:u w:val="single"/>
        </w:rPr>
      </w:pPr>
      <w:r>
        <w:rPr>
          <w:rFonts w:hint="eastAsia" w:ascii="宋体"/>
          <w:szCs w:val="21"/>
          <w:highlight w:val="none"/>
        </w:rPr>
        <w:t>1.2招标人及联系人: 见投标人须知前附表。</w:t>
      </w:r>
    </w:p>
    <w:p>
      <w:pPr>
        <w:snapToGrid w:val="0"/>
        <w:spacing w:line="440" w:lineRule="exact"/>
        <w:ind w:firstLine="525" w:firstLineChars="250"/>
        <w:rPr>
          <w:rFonts w:ascii="宋体"/>
          <w:szCs w:val="21"/>
          <w:highlight w:val="none"/>
          <w:u w:val="single"/>
        </w:rPr>
      </w:pPr>
      <w:r>
        <w:rPr>
          <w:rFonts w:hint="eastAsia" w:ascii="宋体"/>
          <w:szCs w:val="21"/>
          <w:highlight w:val="none"/>
        </w:rPr>
        <w:t xml:space="preserve"> 代理机构及联系人: 见投标人须知前附表。</w:t>
      </w:r>
    </w:p>
    <w:p>
      <w:pPr>
        <w:snapToGrid w:val="0"/>
        <w:spacing w:line="440" w:lineRule="exact"/>
        <w:ind w:firstLine="420" w:firstLineChars="200"/>
        <w:rPr>
          <w:rFonts w:ascii="宋体"/>
          <w:szCs w:val="21"/>
          <w:highlight w:val="none"/>
        </w:rPr>
      </w:pPr>
      <w:r>
        <w:rPr>
          <w:rFonts w:hint="eastAsia" w:ascii="宋体"/>
          <w:szCs w:val="21"/>
          <w:highlight w:val="none"/>
        </w:rPr>
        <w:t>1.3资金来源：见投标人须知前附表。</w:t>
      </w:r>
    </w:p>
    <w:p>
      <w:pPr>
        <w:snapToGrid w:val="0"/>
        <w:spacing w:line="440" w:lineRule="exact"/>
        <w:ind w:firstLine="420" w:firstLineChars="200"/>
        <w:rPr>
          <w:rFonts w:ascii="宋体"/>
          <w:szCs w:val="21"/>
          <w:highlight w:val="none"/>
        </w:rPr>
      </w:pPr>
      <w:r>
        <w:rPr>
          <w:rFonts w:hint="eastAsia" w:ascii="宋体"/>
          <w:szCs w:val="21"/>
          <w:highlight w:val="none"/>
        </w:rPr>
        <w:t>1.4本项目预算：见投标人须知前附表。</w:t>
      </w:r>
    </w:p>
    <w:p>
      <w:pPr>
        <w:snapToGrid w:val="0"/>
        <w:spacing w:line="440" w:lineRule="exact"/>
        <w:ind w:firstLine="420" w:firstLineChars="200"/>
        <w:rPr>
          <w:rFonts w:ascii="宋体"/>
          <w:szCs w:val="21"/>
          <w:highlight w:val="none"/>
        </w:rPr>
      </w:pPr>
      <w:r>
        <w:rPr>
          <w:rFonts w:hint="eastAsia" w:ascii="宋体"/>
          <w:szCs w:val="21"/>
          <w:highlight w:val="none"/>
        </w:rPr>
        <w:t>1.5本项目控制价：见投标人须知前附表。</w:t>
      </w:r>
    </w:p>
    <w:p>
      <w:pPr>
        <w:snapToGrid w:val="0"/>
        <w:spacing w:line="440" w:lineRule="exact"/>
        <w:ind w:firstLine="420" w:firstLineChars="200"/>
        <w:rPr>
          <w:rFonts w:ascii="宋体"/>
          <w:b/>
          <w:szCs w:val="21"/>
          <w:highlight w:val="none"/>
        </w:rPr>
      </w:pPr>
      <w:r>
        <w:rPr>
          <w:rFonts w:hint="eastAsia" w:ascii="宋体"/>
          <w:b/>
          <w:szCs w:val="21"/>
          <w:highlight w:val="none"/>
        </w:rPr>
        <w:t>2.招标范围：</w:t>
      </w:r>
    </w:p>
    <w:p>
      <w:pPr>
        <w:snapToGrid w:val="0"/>
        <w:spacing w:line="440" w:lineRule="exact"/>
        <w:ind w:firstLine="420" w:firstLineChars="200"/>
        <w:rPr>
          <w:rFonts w:ascii="宋体"/>
          <w:szCs w:val="21"/>
          <w:highlight w:val="none"/>
          <w:u w:val="single"/>
        </w:rPr>
      </w:pPr>
      <w:r>
        <w:rPr>
          <w:rFonts w:hint="eastAsia" w:ascii="宋体"/>
          <w:szCs w:val="21"/>
          <w:highlight w:val="none"/>
        </w:rPr>
        <w:t>2.1 采购内容：见投标人须知前附表。</w:t>
      </w:r>
    </w:p>
    <w:p>
      <w:pPr>
        <w:snapToGrid w:val="0"/>
        <w:spacing w:line="440" w:lineRule="exact"/>
        <w:ind w:firstLine="420" w:firstLineChars="200"/>
        <w:rPr>
          <w:rFonts w:ascii="宋体"/>
          <w:szCs w:val="21"/>
          <w:highlight w:val="none"/>
        </w:rPr>
      </w:pPr>
      <w:r>
        <w:rPr>
          <w:rFonts w:hint="eastAsia" w:ascii="宋体"/>
          <w:szCs w:val="21"/>
          <w:highlight w:val="none"/>
        </w:rPr>
        <w:t>2.2 技术要求：详见采购文件第四章采购内容及技术要求。</w:t>
      </w:r>
    </w:p>
    <w:p>
      <w:pPr>
        <w:snapToGrid w:val="0"/>
        <w:spacing w:line="440" w:lineRule="exact"/>
        <w:ind w:firstLine="420" w:firstLineChars="200"/>
        <w:rPr>
          <w:rFonts w:ascii="宋体"/>
          <w:b/>
          <w:szCs w:val="21"/>
          <w:highlight w:val="none"/>
        </w:rPr>
      </w:pPr>
      <w:r>
        <w:rPr>
          <w:rFonts w:hint="eastAsia" w:ascii="宋体"/>
          <w:b/>
          <w:szCs w:val="21"/>
          <w:highlight w:val="none"/>
        </w:rPr>
        <w:t>3.标包划分：</w:t>
      </w:r>
    </w:p>
    <w:p>
      <w:pPr>
        <w:snapToGrid w:val="0"/>
        <w:spacing w:line="440" w:lineRule="exact"/>
        <w:ind w:firstLine="420" w:firstLineChars="200"/>
        <w:jc w:val="left"/>
        <w:rPr>
          <w:rFonts w:ascii="宋体"/>
          <w:szCs w:val="21"/>
          <w:highlight w:val="none"/>
        </w:rPr>
      </w:pPr>
      <w:r>
        <w:rPr>
          <w:rFonts w:hint="eastAsia" w:ascii="宋体"/>
          <w:szCs w:val="21"/>
          <w:highlight w:val="none"/>
        </w:rPr>
        <w:t>3.1本项目划分：</w:t>
      </w:r>
      <w:r>
        <w:rPr>
          <w:rFonts w:hint="eastAsia" w:ascii="宋体"/>
          <w:szCs w:val="21"/>
          <w:highlight w:val="none"/>
          <w:u w:val="single"/>
        </w:rPr>
        <w:t xml:space="preserve"> 1 </w:t>
      </w:r>
      <w:r>
        <w:rPr>
          <w:rFonts w:hint="eastAsia" w:ascii="宋体"/>
          <w:szCs w:val="21"/>
          <w:highlight w:val="none"/>
        </w:rPr>
        <w:t xml:space="preserve"> </w:t>
      </w:r>
      <w:r>
        <w:rPr>
          <w:rFonts w:hint="eastAsia"/>
          <w:szCs w:val="21"/>
          <w:highlight w:val="none"/>
        </w:rPr>
        <w:t>个标包</w:t>
      </w:r>
      <w:r>
        <w:rPr>
          <w:rFonts w:hint="eastAsia" w:ascii="宋体" w:hAnsi="宋体" w:cs="宋体"/>
          <w:kern w:val="0"/>
          <w:szCs w:val="21"/>
          <w:highlight w:val="none"/>
        </w:rPr>
        <w:t>。</w:t>
      </w:r>
    </w:p>
    <w:p>
      <w:pPr>
        <w:snapToGrid w:val="0"/>
        <w:spacing w:line="440" w:lineRule="exact"/>
        <w:ind w:firstLine="420" w:firstLineChars="200"/>
        <w:rPr>
          <w:rFonts w:ascii="宋体"/>
          <w:b/>
          <w:szCs w:val="21"/>
          <w:highlight w:val="none"/>
        </w:rPr>
      </w:pPr>
      <w:r>
        <w:rPr>
          <w:rFonts w:hint="eastAsia" w:ascii="宋体"/>
          <w:b/>
          <w:szCs w:val="21"/>
          <w:highlight w:val="none"/>
        </w:rPr>
        <w:t>4.招标方式：</w:t>
      </w:r>
    </w:p>
    <w:p>
      <w:pPr>
        <w:snapToGrid w:val="0"/>
        <w:spacing w:line="440" w:lineRule="exact"/>
        <w:ind w:firstLine="420" w:firstLineChars="200"/>
        <w:rPr>
          <w:rFonts w:ascii="宋体"/>
          <w:szCs w:val="21"/>
          <w:highlight w:val="none"/>
        </w:rPr>
      </w:pPr>
      <w:r>
        <w:rPr>
          <w:rFonts w:hint="eastAsia" w:ascii="宋体"/>
          <w:szCs w:val="21"/>
          <w:highlight w:val="none"/>
        </w:rPr>
        <w:t>4.1本项目招标方式：见投标人须知前附表。</w:t>
      </w:r>
    </w:p>
    <w:p>
      <w:pPr>
        <w:snapToGrid w:val="0"/>
        <w:spacing w:line="440" w:lineRule="exact"/>
        <w:ind w:firstLine="420" w:firstLineChars="200"/>
        <w:rPr>
          <w:rFonts w:ascii="宋体"/>
          <w:b/>
          <w:szCs w:val="21"/>
          <w:highlight w:val="none"/>
        </w:rPr>
      </w:pPr>
      <w:r>
        <w:rPr>
          <w:rFonts w:hint="eastAsia" w:ascii="宋体"/>
          <w:b/>
          <w:szCs w:val="21"/>
          <w:highlight w:val="none"/>
        </w:rPr>
        <w:t>5.计价方式：</w:t>
      </w:r>
    </w:p>
    <w:p>
      <w:pPr>
        <w:snapToGrid w:val="0"/>
        <w:spacing w:line="440" w:lineRule="exact"/>
        <w:ind w:firstLine="420" w:firstLineChars="200"/>
        <w:rPr>
          <w:rFonts w:ascii="宋体"/>
          <w:szCs w:val="21"/>
          <w:highlight w:val="none"/>
        </w:rPr>
      </w:pPr>
      <w:r>
        <w:rPr>
          <w:rFonts w:hint="eastAsia" w:ascii="宋体"/>
          <w:szCs w:val="21"/>
          <w:highlight w:val="none"/>
        </w:rPr>
        <w:t>5.1本次招标项目合同采用</w:t>
      </w:r>
      <w:r>
        <w:rPr>
          <w:rFonts w:hint="eastAsia" w:ascii="宋体"/>
          <w:szCs w:val="21"/>
          <w:highlight w:val="none"/>
          <w:u w:val="single"/>
        </w:rPr>
        <w:t xml:space="preserve">   固定总价 。</w:t>
      </w:r>
    </w:p>
    <w:p>
      <w:pPr>
        <w:snapToGrid w:val="0"/>
        <w:spacing w:line="440" w:lineRule="exact"/>
        <w:ind w:firstLine="420" w:firstLineChars="200"/>
        <w:rPr>
          <w:rFonts w:ascii="宋体"/>
          <w:b/>
          <w:szCs w:val="21"/>
          <w:highlight w:val="none"/>
        </w:rPr>
      </w:pPr>
      <w:r>
        <w:rPr>
          <w:rFonts w:hint="eastAsia" w:ascii="宋体"/>
          <w:b/>
          <w:szCs w:val="21"/>
          <w:highlight w:val="none"/>
        </w:rPr>
        <w:t>6.评标办法：</w:t>
      </w:r>
    </w:p>
    <w:p>
      <w:pPr>
        <w:snapToGrid w:val="0"/>
        <w:spacing w:line="440" w:lineRule="exact"/>
        <w:ind w:firstLine="420" w:firstLineChars="200"/>
        <w:rPr>
          <w:rFonts w:ascii="宋体"/>
          <w:szCs w:val="21"/>
          <w:highlight w:val="none"/>
        </w:rPr>
      </w:pPr>
      <w:r>
        <w:rPr>
          <w:rFonts w:hint="eastAsia" w:ascii="宋体"/>
          <w:szCs w:val="21"/>
          <w:highlight w:val="none"/>
        </w:rPr>
        <w:t>6.1本次招标评标采用</w:t>
      </w:r>
      <w:r>
        <w:rPr>
          <w:rFonts w:hint="eastAsia" w:ascii="宋体"/>
          <w:szCs w:val="21"/>
          <w:highlight w:val="none"/>
          <w:u w:val="single"/>
        </w:rPr>
        <w:t xml:space="preserve">  符合磋商文件的综合评分法 </w:t>
      </w:r>
      <w:r>
        <w:rPr>
          <w:rFonts w:hint="eastAsia" w:ascii="宋体"/>
          <w:szCs w:val="21"/>
          <w:highlight w:val="none"/>
        </w:rPr>
        <w:t>（详见第三章评标办法）</w:t>
      </w:r>
    </w:p>
    <w:p>
      <w:pPr>
        <w:snapToGrid w:val="0"/>
        <w:spacing w:line="440" w:lineRule="exact"/>
        <w:ind w:firstLine="420" w:firstLineChars="200"/>
        <w:rPr>
          <w:rFonts w:ascii="宋体"/>
          <w:b/>
          <w:szCs w:val="21"/>
          <w:highlight w:val="none"/>
        </w:rPr>
      </w:pPr>
      <w:r>
        <w:rPr>
          <w:rFonts w:hint="eastAsia" w:ascii="宋体"/>
          <w:b/>
          <w:szCs w:val="21"/>
          <w:highlight w:val="none"/>
        </w:rPr>
        <w:t>7.投标人资格：</w:t>
      </w:r>
    </w:p>
    <w:p>
      <w:pPr>
        <w:snapToGrid w:val="0"/>
        <w:spacing w:line="440" w:lineRule="exact"/>
        <w:ind w:firstLine="420" w:firstLineChars="200"/>
        <w:rPr>
          <w:rFonts w:ascii="宋体"/>
          <w:szCs w:val="21"/>
          <w:highlight w:val="none"/>
        </w:rPr>
      </w:pPr>
      <w:r>
        <w:rPr>
          <w:rFonts w:hint="eastAsia" w:ascii="宋体"/>
          <w:szCs w:val="21"/>
          <w:highlight w:val="none"/>
        </w:rPr>
        <w:t>7.1参与采购活动的投标人必须是满足《中华人民共和国政府采购法》规定条件的法人、其他组织或者自然人：</w:t>
      </w:r>
    </w:p>
    <w:p>
      <w:pPr>
        <w:snapToGrid w:val="0"/>
        <w:spacing w:line="440" w:lineRule="exact"/>
        <w:ind w:firstLine="420" w:firstLineChars="200"/>
        <w:rPr>
          <w:rFonts w:ascii="宋体"/>
          <w:szCs w:val="21"/>
          <w:highlight w:val="none"/>
        </w:rPr>
      </w:pPr>
      <w:r>
        <w:rPr>
          <w:rFonts w:hint="eastAsia" w:ascii="宋体"/>
          <w:szCs w:val="21"/>
          <w:highlight w:val="none"/>
        </w:rPr>
        <w:t>7.2由于政府采购项目的差异性，投标人在参与具体政府采购项目活动时，应仔细阅读该项目的资质要求,具体见投标人须知前附表。</w:t>
      </w:r>
    </w:p>
    <w:p>
      <w:pPr>
        <w:snapToGrid w:val="0"/>
        <w:spacing w:line="440" w:lineRule="exact"/>
        <w:ind w:firstLine="420" w:firstLineChars="200"/>
        <w:rPr>
          <w:rFonts w:ascii="宋体"/>
          <w:szCs w:val="21"/>
          <w:highlight w:val="none"/>
        </w:rPr>
      </w:pPr>
      <w:r>
        <w:rPr>
          <w:rFonts w:hint="eastAsia" w:ascii="宋体"/>
          <w:szCs w:val="21"/>
          <w:highlight w:val="none"/>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pPr>
        <w:snapToGrid w:val="0"/>
        <w:spacing w:line="440" w:lineRule="exact"/>
        <w:ind w:firstLine="420" w:firstLineChars="200"/>
        <w:rPr>
          <w:rFonts w:ascii="宋体"/>
          <w:szCs w:val="21"/>
          <w:highlight w:val="none"/>
        </w:rPr>
      </w:pPr>
      <w:r>
        <w:rPr>
          <w:rFonts w:hint="eastAsia" w:ascii="宋体"/>
          <w:szCs w:val="21"/>
          <w:highlight w:val="none"/>
        </w:rPr>
        <w:t>7.4投标人必须确保自己在信息库中注册的信息真实、准确，并保证投标文件中的有关信息与库中的信息相一致。否则，投标人因此蒙受损失，招标人概不负责。</w:t>
      </w:r>
    </w:p>
    <w:p>
      <w:pPr>
        <w:spacing w:line="440" w:lineRule="exact"/>
        <w:ind w:firstLine="420" w:firstLineChars="200"/>
        <w:rPr>
          <w:b/>
          <w:szCs w:val="21"/>
          <w:highlight w:val="none"/>
        </w:rPr>
      </w:pPr>
      <w:r>
        <w:rPr>
          <w:rFonts w:hint="eastAsia"/>
          <w:b/>
          <w:szCs w:val="21"/>
          <w:highlight w:val="none"/>
        </w:rPr>
        <w:t>8. 投标费用</w:t>
      </w:r>
    </w:p>
    <w:p>
      <w:pPr>
        <w:snapToGrid w:val="0"/>
        <w:spacing w:line="440" w:lineRule="exact"/>
        <w:ind w:firstLine="420" w:firstLineChars="200"/>
        <w:rPr>
          <w:rFonts w:ascii="宋体"/>
          <w:szCs w:val="21"/>
          <w:highlight w:val="none"/>
        </w:rPr>
      </w:pPr>
      <w:r>
        <w:rPr>
          <w:rFonts w:hint="eastAsia" w:ascii="宋体"/>
          <w:szCs w:val="21"/>
          <w:highlight w:val="none"/>
        </w:rPr>
        <w:t>8.1投标人准备和参加投标活动发生的费用自理。</w:t>
      </w:r>
    </w:p>
    <w:p>
      <w:pPr>
        <w:spacing w:line="440" w:lineRule="exact"/>
        <w:ind w:firstLine="420" w:firstLineChars="200"/>
        <w:rPr>
          <w:b/>
          <w:szCs w:val="21"/>
          <w:highlight w:val="none"/>
        </w:rPr>
      </w:pPr>
      <w:r>
        <w:rPr>
          <w:rFonts w:hint="eastAsia"/>
          <w:b/>
          <w:szCs w:val="21"/>
          <w:highlight w:val="none"/>
        </w:rPr>
        <w:t>9.</w:t>
      </w:r>
      <w:bookmarkStart w:id="28" w:name="_Toc247513962"/>
      <w:bookmarkStart w:id="29" w:name="_Toc152042315"/>
      <w:bookmarkStart w:id="30" w:name="_Toc152045539"/>
      <w:bookmarkStart w:id="31" w:name="_Toc296602429"/>
      <w:bookmarkStart w:id="32" w:name="_Toc144974507"/>
      <w:bookmarkStart w:id="33" w:name="_Toc247592876"/>
      <w:bookmarkStart w:id="34" w:name="_Toc247527563"/>
      <w:r>
        <w:rPr>
          <w:rFonts w:hint="eastAsia"/>
          <w:b/>
          <w:szCs w:val="21"/>
          <w:highlight w:val="none"/>
        </w:rPr>
        <w:t xml:space="preserve"> 踏勘现场</w:t>
      </w:r>
      <w:bookmarkEnd w:id="28"/>
      <w:bookmarkEnd w:id="29"/>
      <w:bookmarkEnd w:id="30"/>
      <w:bookmarkEnd w:id="31"/>
      <w:bookmarkEnd w:id="32"/>
      <w:bookmarkEnd w:id="33"/>
      <w:bookmarkEnd w:id="34"/>
    </w:p>
    <w:p>
      <w:pPr>
        <w:spacing w:line="440" w:lineRule="exact"/>
        <w:ind w:firstLine="409" w:firstLineChars="195"/>
        <w:rPr>
          <w:rFonts w:ascii="宋体"/>
          <w:szCs w:val="21"/>
          <w:highlight w:val="none"/>
        </w:rPr>
      </w:pPr>
      <w:r>
        <w:rPr>
          <w:rFonts w:hint="eastAsia" w:ascii="宋体"/>
          <w:szCs w:val="21"/>
          <w:highlight w:val="none"/>
        </w:rPr>
        <w:t>9.1 投标人须知前附表规定组织踏勘现场的，招标人按投标人须知前附表规定的时间、地点组织投标人踏勘项目现场。如需踏勘现场，</w:t>
      </w:r>
      <w:r>
        <w:rPr>
          <w:rFonts w:hint="eastAsia"/>
          <w:highlight w:val="none"/>
        </w:rPr>
        <w:t>投标人自行踏勘现场的，可咨询本项目采购人或采购代理机构联系人。</w:t>
      </w:r>
      <w:r>
        <w:rPr>
          <w:rFonts w:hint="eastAsia"/>
          <w:b/>
          <w:bCs/>
          <w:highlight w:val="none"/>
        </w:rPr>
        <w:t>投标人自行踏勘现场的，可咨询本项目采购人或采购代理机构联系人。</w:t>
      </w:r>
      <w:r>
        <w:rPr>
          <w:rFonts w:hint="eastAsia" w:ascii="宋体"/>
          <w:b/>
          <w:bCs/>
          <w:szCs w:val="21"/>
          <w:highlight w:val="none"/>
        </w:rPr>
        <w:t xml:space="preserve"> </w:t>
      </w:r>
    </w:p>
    <w:p>
      <w:pPr>
        <w:spacing w:line="440" w:lineRule="exact"/>
        <w:ind w:firstLine="409" w:firstLineChars="195"/>
        <w:rPr>
          <w:rFonts w:ascii="宋体"/>
          <w:szCs w:val="21"/>
          <w:highlight w:val="none"/>
        </w:rPr>
      </w:pPr>
      <w:r>
        <w:rPr>
          <w:rFonts w:hint="eastAsia" w:ascii="宋体"/>
          <w:szCs w:val="21"/>
          <w:highlight w:val="none"/>
        </w:rPr>
        <w:t>9.2 投标人踏勘现场发生的费用自理。</w:t>
      </w:r>
    </w:p>
    <w:p>
      <w:pPr>
        <w:spacing w:line="440" w:lineRule="exact"/>
        <w:ind w:firstLine="409" w:firstLineChars="195"/>
        <w:rPr>
          <w:rFonts w:ascii="宋体"/>
          <w:szCs w:val="21"/>
          <w:highlight w:val="none"/>
        </w:rPr>
      </w:pPr>
      <w:r>
        <w:rPr>
          <w:rFonts w:hint="eastAsia" w:ascii="宋体"/>
          <w:szCs w:val="21"/>
          <w:highlight w:val="none"/>
        </w:rPr>
        <w:t>9.3 除招标人的原因外，投标人自行负责在踏勘现场中所发生的人员伤亡和财产损失。</w:t>
      </w:r>
    </w:p>
    <w:p>
      <w:pPr>
        <w:spacing w:line="440" w:lineRule="exact"/>
        <w:ind w:firstLine="409" w:firstLineChars="195"/>
        <w:rPr>
          <w:rFonts w:ascii="宋体"/>
          <w:szCs w:val="21"/>
          <w:highlight w:val="none"/>
        </w:rPr>
      </w:pPr>
      <w:r>
        <w:rPr>
          <w:rFonts w:hint="eastAsia" w:ascii="宋体"/>
          <w:szCs w:val="21"/>
          <w:highlight w:val="none"/>
        </w:rPr>
        <w:t>9.4 招标人在踏勘现场中介绍的场地和相关的周边环境情况，供投标人在编制投标文件时参考，招标人不对投标人据此作出的判断和决策负责。</w:t>
      </w:r>
      <w:bookmarkStart w:id="35" w:name="_Toc296602430"/>
      <w:bookmarkStart w:id="36" w:name="_Toc247592877"/>
      <w:bookmarkStart w:id="37" w:name="_Toc152042316"/>
      <w:bookmarkStart w:id="38" w:name="_Toc247513963"/>
      <w:bookmarkStart w:id="39" w:name="_Toc152045540"/>
      <w:bookmarkStart w:id="40" w:name="_Toc144974508"/>
      <w:bookmarkStart w:id="41" w:name="_Toc247527564"/>
    </w:p>
    <w:p>
      <w:pPr>
        <w:spacing w:line="440" w:lineRule="exact"/>
        <w:ind w:firstLine="420" w:firstLineChars="200"/>
        <w:rPr>
          <w:b/>
          <w:szCs w:val="21"/>
          <w:highlight w:val="none"/>
        </w:rPr>
      </w:pPr>
      <w:r>
        <w:rPr>
          <w:rFonts w:hint="eastAsia"/>
          <w:b/>
          <w:szCs w:val="21"/>
          <w:highlight w:val="none"/>
        </w:rPr>
        <w:t>10. 投标预备会</w:t>
      </w:r>
      <w:bookmarkEnd w:id="35"/>
      <w:bookmarkEnd w:id="36"/>
      <w:bookmarkEnd w:id="37"/>
      <w:bookmarkEnd w:id="38"/>
      <w:bookmarkEnd w:id="39"/>
      <w:bookmarkEnd w:id="40"/>
      <w:bookmarkEnd w:id="41"/>
    </w:p>
    <w:p>
      <w:pPr>
        <w:spacing w:line="440" w:lineRule="exact"/>
        <w:ind w:firstLine="409" w:firstLineChars="195"/>
        <w:rPr>
          <w:rFonts w:ascii="宋体"/>
          <w:szCs w:val="21"/>
          <w:highlight w:val="none"/>
        </w:rPr>
      </w:pPr>
      <w:r>
        <w:rPr>
          <w:rFonts w:hint="eastAsia" w:ascii="宋体"/>
          <w:szCs w:val="21"/>
          <w:highlight w:val="none"/>
        </w:rPr>
        <w:t>10.1投标人须知前附表规定召开投标预备会的，招标人按投标人须知前附表规定的时间和地点召开投标预备会，澄清投标人提出的问题。</w:t>
      </w:r>
    </w:p>
    <w:p>
      <w:pPr>
        <w:spacing w:line="440" w:lineRule="exact"/>
        <w:ind w:firstLine="409" w:firstLineChars="195"/>
        <w:rPr>
          <w:rFonts w:ascii="宋体"/>
          <w:szCs w:val="21"/>
          <w:highlight w:val="none"/>
        </w:rPr>
      </w:pPr>
      <w:r>
        <w:rPr>
          <w:rFonts w:hint="eastAsia" w:ascii="宋体"/>
          <w:szCs w:val="21"/>
          <w:highlight w:val="none"/>
        </w:rPr>
        <w:t>10.2投标人应在投标人须知前附表规定的时间前，将提出的问题送达招标人，以便招标人澄清。</w:t>
      </w:r>
    </w:p>
    <w:p>
      <w:pPr>
        <w:spacing w:line="440" w:lineRule="exact"/>
        <w:ind w:firstLine="409" w:firstLineChars="195"/>
        <w:rPr>
          <w:rFonts w:ascii="宋体"/>
          <w:szCs w:val="21"/>
          <w:highlight w:val="none"/>
        </w:rPr>
      </w:pPr>
      <w:r>
        <w:rPr>
          <w:rFonts w:hint="eastAsia" w:ascii="宋体"/>
          <w:szCs w:val="21"/>
          <w:highlight w:val="none"/>
        </w:rPr>
        <w:t>10.3招标人在投标人须知前附表规定的时间，将对投标人所提的问题进行澄清。该澄清内容为采购文件的组成部分。</w:t>
      </w:r>
    </w:p>
    <w:p>
      <w:pPr>
        <w:spacing w:line="440" w:lineRule="exact"/>
        <w:ind w:firstLine="420" w:firstLineChars="200"/>
        <w:rPr>
          <w:b/>
          <w:szCs w:val="21"/>
          <w:highlight w:val="none"/>
        </w:rPr>
      </w:pPr>
      <w:r>
        <w:rPr>
          <w:rFonts w:hint="eastAsia"/>
          <w:b/>
          <w:szCs w:val="21"/>
          <w:highlight w:val="none"/>
        </w:rPr>
        <w:t>11. 联合投标</w:t>
      </w:r>
    </w:p>
    <w:p>
      <w:pPr>
        <w:spacing w:line="440" w:lineRule="exact"/>
        <w:ind w:firstLine="409" w:firstLineChars="195"/>
        <w:rPr>
          <w:rFonts w:ascii="宋体"/>
          <w:szCs w:val="21"/>
          <w:highlight w:val="none"/>
        </w:rPr>
      </w:pPr>
      <w:r>
        <w:rPr>
          <w:rFonts w:hint="eastAsia" w:ascii="宋体"/>
          <w:szCs w:val="21"/>
          <w:highlight w:val="none"/>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pPr>
        <w:spacing w:line="400" w:lineRule="exact"/>
        <w:ind w:firstLine="409" w:firstLineChars="195"/>
        <w:rPr>
          <w:rFonts w:ascii="宋体"/>
          <w:szCs w:val="21"/>
          <w:highlight w:val="none"/>
        </w:rPr>
      </w:pPr>
      <w:r>
        <w:rPr>
          <w:rFonts w:hint="eastAsia" w:ascii="宋体"/>
          <w:szCs w:val="21"/>
          <w:highlight w:val="none"/>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pacing w:line="400" w:lineRule="exact"/>
        <w:ind w:firstLine="411" w:firstLineChars="196"/>
        <w:rPr>
          <w:rFonts w:ascii="宋体"/>
          <w:szCs w:val="21"/>
          <w:highlight w:val="none"/>
        </w:rPr>
      </w:pPr>
      <w:r>
        <w:rPr>
          <w:rFonts w:hint="eastAsia" w:ascii="宋体"/>
          <w:szCs w:val="21"/>
          <w:highlight w:val="none"/>
        </w:rPr>
        <w:t>11</w:t>
      </w:r>
      <w:r>
        <w:rPr>
          <w:rFonts w:ascii="宋体"/>
          <w:szCs w:val="21"/>
          <w:highlight w:val="none"/>
        </w:rPr>
        <w:t>.</w:t>
      </w:r>
      <w:r>
        <w:rPr>
          <w:rFonts w:hint="eastAsia" w:ascii="宋体"/>
          <w:szCs w:val="21"/>
          <w:highlight w:val="none"/>
        </w:rPr>
        <w:t>3 联合体应当确定其中一个单位为投标的全权代表，负责参加投标的一切事务，并承担投标及履约中应承担的全部责任与义务。</w:t>
      </w:r>
    </w:p>
    <w:p>
      <w:pPr>
        <w:pStyle w:val="10"/>
        <w:spacing w:after="0" w:line="400" w:lineRule="exact"/>
        <w:ind w:left="0" w:leftChars="0" w:firstLine="424" w:firstLineChars="202"/>
        <w:rPr>
          <w:rFonts w:ascii="宋体"/>
          <w:szCs w:val="21"/>
          <w:highlight w:val="none"/>
        </w:rPr>
      </w:pPr>
      <w:r>
        <w:rPr>
          <w:rFonts w:hint="eastAsia" w:ascii="宋体"/>
          <w:szCs w:val="21"/>
          <w:highlight w:val="none"/>
        </w:rPr>
        <w:t>11</w:t>
      </w:r>
      <w:r>
        <w:rPr>
          <w:rFonts w:ascii="宋体"/>
          <w:szCs w:val="21"/>
          <w:highlight w:val="none"/>
        </w:rPr>
        <w:t>.</w:t>
      </w:r>
      <w:r>
        <w:rPr>
          <w:rFonts w:hint="eastAsia" w:ascii="宋体"/>
          <w:szCs w:val="21"/>
          <w:highlight w:val="none"/>
        </w:rPr>
        <w:t>4 联合体各方应当共同与招标人签订采购合同，就采购合同约定的事项对招标人承担连带责任。</w:t>
      </w:r>
    </w:p>
    <w:p>
      <w:pPr>
        <w:spacing w:line="440" w:lineRule="exact"/>
        <w:ind w:firstLine="411" w:firstLineChars="196"/>
        <w:jc w:val="left"/>
        <w:rPr>
          <w:rFonts w:ascii="宋体"/>
          <w:b/>
          <w:szCs w:val="21"/>
          <w:highlight w:val="none"/>
        </w:rPr>
      </w:pPr>
      <w:r>
        <w:rPr>
          <w:rFonts w:hint="eastAsia" w:ascii="宋体"/>
          <w:b/>
          <w:szCs w:val="21"/>
          <w:highlight w:val="none"/>
        </w:rPr>
        <w:t>12.招标代理费</w:t>
      </w:r>
    </w:p>
    <w:p>
      <w:pPr>
        <w:spacing w:line="360" w:lineRule="auto"/>
        <w:ind w:firstLine="420" w:firstLineChars="200"/>
        <w:rPr>
          <w:rFonts w:ascii="宋体" w:hAnsi="宋体" w:cs="宋体"/>
          <w:b/>
          <w:szCs w:val="21"/>
          <w:highlight w:val="none"/>
        </w:rPr>
      </w:pPr>
      <w:r>
        <w:rPr>
          <w:rFonts w:hint="eastAsia" w:ascii="宋体"/>
          <w:bCs/>
          <w:szCs w:val="21"/>
          <w:highlight w:val="none"/>
        </w:rPr>
        <w:t>12.1</w:t>
      </w:r>
      <w:r>
        <w:rPr>
          <w:rFonts w:hint="eastAsia" w:ascii="宋体"/>
          <w:szCs w:val="21"/>
          <w:highlight w:val="none"/>
        </w:rPr>
        <w:t>中标单位在领取本项目中标通知书时，按照《国家计委关于印发招标代理服务收费管理暂行办法的通知（计价格[2002]1980号）及《招标代理服务收费有关问题》（发改办价格〔2003〕857号文）中规定由中标单位向招标代理机构支付本项目代理费。收费标准如下：</w:t>
      </w:r>
    </w:p>
    <w:p>
      <w:pPr>
        <w:spacing w:line="360" w:lineRule="auto"/>
        <w:ind w:firstLine="420" w:firstLineChars="200"/>
        <w:jc w:val="center"/>
        <w:rPr>
          <w:rFonts w:ascii="宋体" w:hAnsi="宋体" w:cs="宋体"/>
          <w:b/>
          <w:szCs w:val="21"/>
          <w:highlight w:val="none"/>
        </w:rPr>
      </w:pPr>
      <w:r>
        <w:rPr>
          <w:rFonts w:hint="eastAsia" w:ascii="宋体" w:hAnsi="宋体" w:cs="宋体"/>
          <w:b/>
          <w:szCs w:val="21"/>
          <w:highlight w:val="none"/>
        </w:rPr>
        <w:t>招标代理服务收费标准</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146"/>
        <w:gridCol w:w="2146"/>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393" w:type="dxa"/>
          </w:tcPr>
          <w:p>
            <w:pPr>
              <w:spacing w:line="300" w:lineRule="exact"/>
              <w:jc w:val="center"/>
              <w:rPr>
                <w:rFonts w:ascii="宋体" w:hAnsi="宋体" w:cs="宋体"/>
                <w:szCs w:val="21"/>
                <w:highlight w:val="none"/>
              </w:rPr>
            </w:pPr>
            <w:r>
              <w:rPr>
                <w:rFonts w:hint="eastAsia" w:ascii="宋体" w:hAnsi="宋体" w:cs="宋体"/>
                <w:szCs w:val="21"/>
                <w:highlight w:val="none"/>
              </w:rPr>
              <w:t>中标金额（万元）</w:t>
            </w:r>
          </w:p>
        </w:tc>
        <w:tc>
          <w:tcPr>
            <w:tcW w:w="2146" w:type="dxa"/>
          </w:tcPr>
          <w:p>
            <w:pPr>
              <w:spacing w:line="300" w:lineRule="exact"/>
              <w:jc w:val="center"/>
              <w:rPr>
                <w:rFonts w:ascii="宋体" w:hAnsi="宋体" w:cs="宋体"/>
                <w:szCs w:val="21"/>
                <w:highlight w:val="none"/>
              </w:rPr>
            </w:pPr>
            <w:r>
              <w:rPr>
                <w:rFonts w:hint="eastAsia" w:ascii="宋体" w:hAnsi="宋体" w:cs="宋体"/>
                <w:szCs w:val="21"/>
                <w:highlight w:val="none"/>
              </w:rPr>
              <w:t>货物招标</w:t>
            </w:r>
          </w:p>
        </w:tc>
        <w:tc>
          <w:tcPr>
            <w:tcW w:w="2146" w:type="dxa"/>
          </w:tcPr>
          <w:p>
            <w:pPr>
              <w:spacing w:line="300" w:lineRule="exact"/>
              <w:jc w:val="center"/>
              <w:rPr>
                <w:rFonts w:ascii="宋体" w:hAnsi="宋体" w:cs="宋体"/>
                <w:szCs w:val="21"/>
                <w:highlight w:val="none"/>
              </w:rPr>
            </w:pPr>
            <w:r>
              <w:rPr>
                <w:rFonts w:hint="eastAsia" w:ascii="宋体" w:hAnsi="宋体" w:cs="宋体"/>
                <w:szCs w:val="21"/>
                <w:highlight w:val="none"/>
              </w:rPr>
              <w:t>服务招标</w:t>
            </w:r>
          </w:p>
        </w:tc>
        <w:tc>
          <w:tcPr>
            <w:tcW w:w="1841" w:type="dxa"/>
          </w:tcPr>
          <w:p>
            <w:pPr>
              <w:spacing w:line="300" w:lineRule="exact"/>
              <w:jc w:val="center"/>
              <w:rPr>
                <w:rFonts w:ascii="宋体" w:hAnsi="宋体" w:cs="宋体"/>
                <w:szCs w:val="21"/>
                <w:highlight w:val="none"/>
              </w:rPr>
            </w:pPr>
            <w:r>
              <w:rPr>
                <w:rFonts w:hint="eastAsia" w:ascii="宋体" w:hAnsi="宋体" w:cs="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393" w:type="dxa"/>
            <w:vAlign w:val="center"/>
          </w:tcPr>
          <w:p>
            <w:pPr>
              <w:spacing w:line="300" w:lineRule="exact"/>
              <w:jc w:val="center"/>
              <w:rPr>
                <w:rFonts w:ascii="宋体" w:hAnsi="宋体" w:cs="宋体"/>
                <w:szCs w:val="21"/>
                <w:highlight w:val="none"/>
              </w:rPr>
            </w:pPr>
            <w:r>
              <w:rPr>
                <w:rFonts w:hint="eastAsia" w:ascii="宋体" w:hAnsi="宋体" w:cs="宋体"/>
                <w:szCs w:val="21"/>
                <w:highlight w:val="none"/>
              </w:rPr>
              <w:t>100以下</w:t>
            </w:r>
          </w:p>
        </w:tc>
        <w:tc>
          <w:tcPr>
            <w:tcW w:w="2146" w:type="dxa"/>
            <w:vAlign w:val="center"/>
          </w:tcPr>
          <w:p>
            <w:pPr>
              <w:spacing w:line="300" w:lineRule="exact"/>
              <w:jc w:val="center"/>
              <w:rPr>
                <w:rFonts w:ascii="宋体" w:hAnsi="宋体" w:cs="宋体"/>
                <w:szCs w:val="21"/>
                <w:highlight w:val="none"/>
              </w:rPr>
            </w:pPr>
            <w:r>
              <w:rPr>
                <w:rFonts w:hint="eastAsia" w:ascii="宋体" w:hAnsi="宋体" w:cs="宋体"/>
                <w:szCs w:val="21"/>
                <w:highlight w:val="none"/>
              </w:rPr>
              <w:t>1.50%</w:t>
            </w:r>
          </w:p>
        </w:tc>
        <w:tc>
          <w:tcPr>
            <w:tcW w:w="2146" w:type="dxa"/>
            <w:vAlign w:val="center"/>
          </w:tcPr>
          <w:p>
            <w:pPr>
              <w:spacing w:line="300" w:lineRule="exact"/>
              <w:jc w:val="center"/>
              <w:rPr>
                <w:rFonts w:ascii="宋体" w:hAnsi="宋体" w:cs="宋体"/>
                <w:szCs w:val="21"/>
                <w:highlight w:val="none"/>
              </w:rPr>
            </w:pPr>
            <w:r>
              <w:rPr>
                <w:rFonts w:hint="eastAsia" w:ascii="宋体" w:hAnsi="宋体" w:cs="宋体"/>
                <w:szCs w:val="21"/>
                <w:highlight w:val="none"/>
              </w:rPr>
              <w:t>1.50%</w:t>
            </w:r>
          </w:p>
        </w:tc>
        <w:tc>
          <w:tcPr>
            <w:tcW w:w="1841" w:type="dxa"/>
          </w:tcPr>
          <w:p>
            <w:pPr>
              <w:spacing w:line="30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393" w:type="dxa"/>
            <w:vAlign w:val="center"/>
          </w:tcPr>
          <w:p>
            <w:pPr>
              <w:spacing w:line="300" w:lineRule="exact"/>
              <w:jc w:val="center"/>
              <w:rPr>
                <w:rFonts w:ascii="宋体" w:hAnsi="宋体" w:cs="宋体"/>
                <w:szCs w:val="21"/>
                <w:highlight w:val="none"/>
              </w:rPr>
            </w:pPr>
            <w:r>
              <w:rPr>
                <w:rFonts w:hint="eastAsia" w:ascii="宋体" w:hAnsi="宋体" w:cs="宋体"/>
                <w:szCs w:val="21"/>
                <w:highlight w:val="none"/>
              </w:rPr>
              <w:t>100-500</w:t>
            </w:r>
          </w:p>
        </w:tc>
        <w:tc>
          <w:tcPr>
            <w:tcW w:w="2146" w:type="dxa"/>
            <w:vAlign w:val="center"/>
          </w:tcPr>
          <w:p>
            <w:pPr>
              <w:spacing w:line="300" w:lineRule="exact"/>
              <w:jc w:val="center"/>
              <w:rPr>
                <w:rFonts w:ascii="宋体" w:hAnsi="宋体" w:cs="宋体"/>
                <w:szCs w:val="21"/>
                <w:highlight w:val="none"/>
              </w:rPr>
            </w:pPr>
            <w:r>
              <w:rPr>
                <w:rFonts w:hint="eastAsia" w:ascii="宋体" w:hAnsi="宋体" w:cs="宋体"/>
                <w:szCs w:val="21"/>
                <w:highlight w:val="none"/>
              </w:rPr>
              <w:t>1.10%</w:t>
            </w:r>
          </w:p>
        </w:tc>
        <w:tc>
          <w:tcPr>
            <w:tcW w:w="2146" w:type="dxa"/>
            <w:vAlign w:val="center"/>
          </w:tcPr>
          <w:p>
            <w:pPr>
              <w:spacing w:line="300" w:lineRule="exact"/>
              <w:jc w:val="center"/>
              <w:rPr>
                <w:rFonts w:ascii="宋体" w:hAnsi="宋体" w:cs="宋体"/>
                <w:szCs w:val="21"/>
                <w:highlight w:val="none"/>
              </w:rPr>
            </w:pPr>
            <w:r>
              <w:rPr>
                <w:rFonts w:hint="eastAsia" w:ascii="宋体" w:hAnsi="宋体" w:cs="宋体"/>
                <w:szCs w:val="21"/>
                <w:highlight w:val="none"/>
              </w:rPr>
              <w:t>0.80%</w:t>
            </w:r>
          </w:p>
        </w:tc>
        <w:tc>
          <w:tcPr>
            <w:tcW w:w="1841" w:type="dxa"/>
          </w:tcPr>
          <w:p>
            <w:pPr>
              <w:spacing w:line="30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393" w:type="dxa"/>
            <w:vAlign w:val="center"/>
          </w:tcPr>
          <w:p>
            <w:pPr>
              <w:spacing w:line="300" w:lineRule="exact"/>
              <w:jc w:val="center"/>
              <w:rPr>
                <w:rFonts w:ascii="宋体" w:hAnsi="宋体" w:cs="宋体"/>
                <w:szCs w:val="21"/>
                <w:highlight w:val="none"/>
              </w:rPr>
            </w:pPr>
            <w:r>
              <w:rPr>
                <w:rFonts w:hint="eastAsia" w:ascii="宋体" w:hAnsi="宋体" w:cs="宋体"/>
                <w:szCs w:val="21"/>
                <w:highlight w:val="none"/>
              </w:rPr>
              <w:t>500-1000</w:t>
            </w:r>
          </w:p>
        </w:tc>
        <w:tc>
          <w:tcPr>
            <w:tcW w:w="2146" w:type="dxa"/>
            <w:vAlign w:val="center"/>
          </w:tcPr>
          <w:p>
            <w:pPr>
              <w:spacing w:line="300" w:lineRule="exact"/>
              <w:jc w:val="center"/>
              <w:rPr>
                <w:rFonts w:ascii="宋体" w:hAnsi="宋体" w:cs="宋体"/>
                <w:szCs w:val="21"/>
                <w:highlight w:val="none"/>
              </w:rPr>
            </w:pPr>
            <w:r>
              <w:rPr>
                <w:rFonts w:hint="eastAsia" w:ascii="宋体" w:hAnsi="宋体" w:cs="宋体"/>
                <w:szCs w:val="21"/>
                <w:highlight w:val="none"/>
              </w:rPr>
              <w:t>0.80%</w:t>
            </w:r>
          </w:p>
        </w:tc>
        <w:tc>
          <w:tcPr>
            <w:tcW w:w="2146" w:type="dxa"/>
            <w:vAlign w:val="center"/>
          </w:tcPr>
          <w:p>
            <w:pPr>
              <w:spacing w:line="300" w:lineRule="exact"/>
              <w:jc w:val="center"/>
              <w:rPr>
                <w:rFonts w:ascii="宋体" w:hAnsi="宋体" w:cs="宋体"/>
                <w:szCs w:val="21"/>
                <w:highlight w:val="none"/>
              </w:rPr>
            </w:pPr>
            <w:r>
              <w:rPr>
                <w:rFonts w:hint="eastAsia" w:ascii="宋体" w:hAnsi="宋体" w:cs="宋体"/>
                <w:szCs w:val="21"/>
                <w:highlight w:val="none"/>
              </w:rPr>
              <w:t>0.45%</w:t>
            </w:r>
          </w:p>
        </w:tc>
        <w:tc>
          <w:tcPr>
            <w:tcW w:w="1841" w:type="dxa"/>
          </w:tcPr>
          <w:p>
            <w:pPr>
              <w:spacing w:line="30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93" w:type="dxa"/>
            <w:vAlign w:val="center"/>
          </w:tcPr>
          <w:p>
            <w:pPr>
              <w:spacing w:line="300" w:lineRule="exact"/>
              <w:jc w:val="center"/>
              <w:rPr>
                <w:rFonts w:ascii="宋体" w:hAnsi="宋体" w:cs="宋体"/>
                <w:szCs w:val="21"/>
                <w:highlight w:val="none"/>
              </w:rPr>
            </w:pPr>
            <w:r>
              <w:rPr>
                <w:rFonts w:hint="eastAsia" w:ascii="宋体" w:hAnsi="宋体" w:cs="宋体"/>
                <w:szCs w:val="21"/>
                <w:highlight w:val="none"/>
              </w:rPr>
              <w:t>1000-5000</w:t>
            </w:r>
          </w:p>
        </w:tc>
        <w:tc>
          <w:tcPr>
            <w:tcW w:w="2146" w:type="dxa"/>
            <w:vAlign w:val="center"/>
          </w:tcPr>
          <w:p>
            <w:pPr>
              <w:spacing w:line="300" w:lineRule="exact"/>
              <w:jc w:val="center"/>
              <w:rPr>
                <w:rFonts w:ascii="宋体" w:hAnsi="宋体" w:cs="宋体"/>
                <w:szCs w:val="21"/>
                <w:highlight w:val="none"/>
              </w:rPr>
            </w:pPr>
            <w:r>
              <w:rPr>
                <w:rFonts w:hint="eastAsia" w:ascii="宋体" w:hAnsi="宋体" w:cs="宋体"/>
                <w:szCs w:val="21"/>
                <w:highlight w:val="none"/>
              </w:rPr>
              <w:t>0.50%</w:t>
            </w:r>
          </w:p>
        </w:tc>
        <w:tc>
          <w:tcPr>
            <w:tcW w:w="2146" w:type="dxa"/>
            <w:vAlign w:val="center"/>
          </w:tcPr>
          <w:p>
            <w:pPr>
              <w:spacing w:line="300" w:lineRule="exact"/>
              <w:jc w:val="center"/>
              <w:rPr>
                <w:rFonts w:ascii="宋体" w:hAnsi="宋体" w:cs="宋体"/>
                <w:szCs w:val="21"/>
                <w:highlight w:val="none"/>
              </w:rPr>
            </w:pPr>
            <w:r>
              <w:rPr>
                <w:rFonts w:hint="eastAsia" w:ascii="宋体" w:hAnsi="宋体" w:cs="宋体"/>
                <w:szCs w:val="21"/>
                <w:highlight w:val="none"/>
              </w:rPr>
              <w:t>0.25%</w:t>
            </w:r>
          </w:p>
        </w:tc>
        <w:tc>
          <w:tcPr>
            <w:tcW w:w="1841" w:type="dxa"/>
          </w:tcPr>
          <w:p>
            <w:pPr>
              <w:spacing w:line="300" w:lineRule="exact"/>
              <w:jc w:val="center"/>
              <w:rPr>
                <w:rFonts w:ascii="宋体" w:hAnsi="宋体" w:cs="宋体"/>
                <w:szCs w:val="21"/>
                <w:highlight w:val="none"/>
              </w:rPr>
            </w:pPr>
          </w:p>
        </w:tc>
      </w:tr>
    </w:tbl>
    <w:p>
      <w:pPr>
        <w:spacing w:line="360" w:lineRule="auto"/>
        <w:ind w:firstLine="420" w:firstLineChars="200"/>
        <w:rPr>
          <w:rFonts w:ascii="宋体" w:hAnsi="宋体" w:cs="宋体"/>
          <w:szCs w:val="21"/>
          <w:highlight w:val="none"/>
        </w:rPr>
      </w:pPr>
      <w:r>
        <w:rPr>
          <w:rFonts w:hint="eastAsia" w:ascii="宋体" w:hAnsi="宋体" w:cs="宋体"/>
          <w:szCs w:val="21"/>
          <w:highlight w:val="none"/>
        </w:rPr>
        <w:t>招标代理服务收费按差额定率累进法计算。例如：某项目招标代理业务中标金额为2000万元，计算招标代理服务收费额如下：</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 100万元×1.50%=1.5（万元）；</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（500-100）万元×1.10%=4.4（万元）</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（1000-500）万元×0.80%=4.0（万元）</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（2000-1000）万元×0.50%=5.0（万元）</w:t>
      </w:r>
    </w:p>
    <w:p>
      <w:pPr>
        <w:spacing w:line="440" w:lineRule="exact"/>
        <w:ind w:left="210" w:leftChars="100" w:firstLine="315" w:firstLineChars="150"/>
        <w:jc w:val="left"/>
        <w:rPr>
          <w:rFonts w:ascii="宋体"/>
          <w:bCs/>
          <w:szCs w:val="21"/>
          <w:highlight w:val="none"/>
        </w:rPr>
      </w:pPr>
      <w:r>
        <w:rPr>
          <w:rFonts w:hint="eastAsia" w:ascii="宋体" w:hAnsi="宋体" w:cs="宋体"/>
          <w:szCs w:val="21"/>
          <w:highlight w:val="none"/>
        </w:rPr>
        <w:t>合计收费=1.5+4.4+4.0+5.0=14.9(万元)</w:t>
      </w:r>
    </w:p>
    <w:p>
      <w:pPr>
        <w:spacing w:line="440" w:lineRule="exact"/>
        <w:ind w:firstLine="420" w:firstLineChars="200"/>
        <w:rPr>
          <w:b/>
          <w:szCs w:val="21"/>
          <w:highlight w:val="none"/>
        </w:rPr>
      </w:pPr>
      <w:r>
        <w:rPr>
          <w:rFonts w:hint="eastAsia"/>
          <w:b/>
          <w:szCs w:val="21"/>
          <w:highlight w:val="none"/>
        </w:rPr>
        <w:t>13.投标人应注意的事项</w:t>
      </w:r>
    </w:p>
    <w:p>
      <w:pPr>
        <w:spacing w:line="440" w:lineRule="exact"/>
        <w:ind w:firstLine="420" w:firstLineChars="200"/>
        <w:rPr>
          <w:rFonts w:ascii="宋体"/>
          <w:bCs/>
          <w:szCs w:val="21"/>
          <w:highlight w:val="none"/>
        </w:rPr>
      </w:pPr>
      <w:r>
        <w:rPr>
          <w:rFonts w:hint="eastAsia" w:ascii="宋体" w:hAnsi="宋体"/>
          <w:szCs w:val="21"/>
          <w:highlight w:val="none"/>
        </w:rPr>
        <w:t>13.1投标人一旦按规定缴纳了投标保证金并参加投标，即被认为接受了本采购文件中的所有条件和规定。投标人必须严格按采购文件的要求编制投标文件，投标文件宜编制页码和目录，以便评委审核。否则，由此产生的一切后果由投标人承担。</w:t>
      </w:r>
    </w:p>
    <w:p>
      <w:pPr>
        <w:spacing w:line="440" w:lineRule="exact"/>
        <w:ind w:firstLine="420" w:firstLineChars="200"/>
        <w:rPr>
          <w:rFonts w:ascii="宋体"/>
          <w:bCs/>
          <w:szCs w:val="21"/>
          <w:highlight w:val="none"/>
        </w:rPr>
      </w:pPr>
      <w:r>
        <w:rPr>
          <w:rFonts w:hint="eastAsia" w:ascii="宋体"/>
          <w:bCs/>
          <w:szCs w:val="21"/>
          <w:highlight w:val="none"/>
        </w:rPr>
        <w:t>13.2 投标人对采购内容中规定的技术参数、规格等要求必须完全响应或优于采购文件中的要求。</w:t>
      </w:r>
    </w:p>
    <w:p>
      <w:pPr>
        <w:spacing w:line="440" w:lineRule="exact"/>
        <w:ind w:firstLine="411" w:firstLineChars="196"/>
        <w:rPr>
          <w:rFonts w:ascii="宋体"/>
          <w:bCs/>
          <w:szCs w:val="21"/>
          <w:highlight w:val="none"/>
        </w:rPr>
      </w:pPr>
      <w:r>
        <w:rPr>
          <w:rFonts w:hint="eastAsia" w:ascii="宋体"/>
          <w:bCs/>
          <w:szCs w:val="21"/>
          <w:highlight w:val="none"/>
        </w:rPr>
        <w:t>13.3所有投标人的投标保证金都应在采购文件规定的投标保证金缴纳截止日期前缴纳。</w:t>
      </w:r>
    </w:p>
    <w:p>
      <w:pPr>
        <w:spacing w:line="440" w:lineRule="exact"/>
        <w:ind w:firstLine="411" w:firstLineChars="196"/>
        <w:rPr>
          <w:rFonts w:ascii="宋体"/>
          <w:bCs/>
          <w:szCs w:val="21"/>
          <w:highlight w:val="none"/>
        </w:rPr>
      </w:pPr>
      <w:r>
        <w:rPr>
          <w:rFonts w:hint="eastAsia" w:ascii="宋体"/>
          <w:bCs/>
          <w:szCs w:val="21"/>
          <w:highlight w:val="none"/>
        </w:rPr>
        <w:t>13.4</w:t>
      </w:r>
      <w:r>
        <w:rPr>
          <w:rFonts w:ascii="宋体"/>
          <w:bCs/>
          <w:szCs w:val="21"/>
          <w:highlight w:val="none"/>
        </w:rPr>
        <w:t>单位负责人为同一人或者存在直接控股、管理关系的不同供应商，不得参加同一合同项下的政府采购活动。</w:t>
      </w:r>
      <w:r>
        <w:rPr>
          <w:rFonts w:ascii="宋体" w:hAnsi="宋体" w:cs="宋体"/>
          <w:szCs w:val="21"/>
          <w:highlight w:val="none"/>
        </w:rPr>
        <w:t>为采购项目提供整体设计、规范编制或者项目管理、监理、检测等服务的供应商，不得再参加该采购项目的其他采购活动。</w:t>
      </w:r>
    </w:p>
    <w:p>
      <w:pPr>
        <w:snapToGrid w:val="0"/>
        <w:spacing w:line="440" w:lineRule="exact"/>
        <w:ind w:firstLine="420" w:firstLineChars="200"/>
        <w:rPr>
          <w:rFonts w:ascii="宋体"/>
          <w:szCs w:val="21"/>
          <w:highlight w:val="none"/>
        </w:rPr>
      </w:pPr>
      <w:r>
        <w:rPr>
          <w:rFonts w:hint="eastAsia" w:ascii="宋体"/>
          <w:bCs/>
          <w:szCs w:val="21"/>
          <w:highlight w:val="none"/>
        </w:rPr>
        <w:t>13.5本项目只接受</w:t>
      </w:r>
      <w:r>
        <w:rPr>
          <w:rFonts w:hint="eastAsia" w:ascii="宋体"/>
          <w:szCs w:val="21"/>
          <w:highlight w:val="none"/>
        </w:rPr>
        <w:t>成为新疆维吾尔自治区政府采购网正式注册入库并完成CA数字证书申领供应商参与投标。因未注册入库、未办理CA数字证书等原因造成无法投标或投标失败等后果由供应商自行承担。</w:t>
      </w:r>
    </w:p>
    <w:p>
      <w:pPr>
        <w:wordWrap w:val="0"/>
        <w:spacing w:line="440" w:lineRule="exact"/>
        <w:ind w:firstLine="420" w:firstLineChars="200"/>
        <w:rPr>
          <w:rFonts w:ascii="宋体"/>
          <w:bCs/>
          <w:szCs w:val="21"/>
          <w:highlight w:val="none"/>
        </w:rPr>
      </w:pPr>
      <w:r>
        <w:rPr>
          <w:rFonts w:hint="eastAsia" w:ascii="宋体"/>
          <w:bCs/>
          <w:szCs w:val="21"/>
          <w:highlight w:val="none"/>
        </w:rPr>
        <w:t>13.6  投标人被视为充分熟悉本招标项目所在地的与履行合同有关的各种情况，包括但不限于：</w:t>
      </w:r>
    </w:p>
    <w:p>
      <w:pPr>
        <w:spacing w:line="400" w:lineRule="exact"/>
        <w:ind w:firstLine="315" w:firstLineChars="150"/>
        <w:rPr>
          <w:rFonts w:ascii="宋体"/>
          <w:bCs/>
          <w:szCs w:val="21"/>
          <w:highlight w:val="none"/>
        </w:rPr>
      </w:pPr>
      <w:r>
        <w:rPr>
          <w:rFonts w:hint="eastAsia" w:ascii="宋体"/>
          <w:bCs/>
          <w:szCs w:val="21"/>
          <w:highlight w:val="none"/>
        </w:rPr>
        <w:t>（1）国家对本次投标货物和服务的生产、安装调试、验收、维修等有关法律、法规及行业管理标准；</w:t>
      </w:r>
    </w:p>
    <w:p>
      <w:pPr>
        <w:spacing w:line="400" w:lineRule="exact"/>
        <w:ind w:firstLine="315" w:firstLineChars="150"/>
        <w:rPr>
          <w:rFonts w:ascii="宋体"/>
          <w:bCs/>
          <w:szCs w:val="21"/>
          <w:highlight w:val="none"/>
        </w:rPr>
      </w:pPr>
      <w:r>
        <w:rPr>
          <w:rFonts w:hint="eastAsia" w:ascii="宋体"/>
          <w:bCs/>
          <w:szCs w:val="21"/>
          <w:highlight w:val="none"/>
        </w:rPr>
        <w:t>（2）本地区有关管理部门的相关规定；</w:t>
      </w:r>
    </w:p>
    <w:p>
      <w:pPr>
        <w:spacing w:line="400" w:lineRule="exact"/>
        <w:ind w:firstLine="315" w:firstLineChars="150"/>
        <w:rPr>
          <w:rFonts w:ascii="宋体"/>
          <w:bCs/>
          <w:szCs w:val="21"/>
          <w:highlight w:val="none"/>
        </w:rPr>
      </w:pPr>
      <w:r>
        <w:rPr>
          <w:rFonts w:hint="eastAsia" w:ascii="宋体"/>
          <w:bCs/>
          <w:szCs w:val="21"/>
          <w:highlight w:val="none"/>
        </w:rPr>
        <w:t>（3）招标人的相关场地情况、基础建设、电力供应情况及相关设计标准。</w:t>
      </w:r>
    </w:p>
    <w:p>
      <w:pPr>
        <w:spacing w:line="400" w:lineRule="exact"/>
        <w:ind w:firstLine="315" w:firstLineChars="150"/>
        <w:rPr>
          <w:rFonts w:ascii="宋体"/>
          <w:bCs/>
          <w:szCs w:val="21"/>
          <w:highlight w:val="none"/>
        </w:rPr>
      </w:pPr>
      <w:r>
        <w:rPr>
          <w:rFonts w:hint="eastAsia" w:ascii="宋体"/>
          <w:bCs/>
          <w:szCs w:val="21"/>
          <w:highlight w:val="none"/>
        </w:rPr>
        <w:t>本采购文件不再对上述情况进行描述。</w:t>
      </w:r>
    </w:p>
    <w:p>
      <w:pPr>
        <w:spacing w:before="312" w:beforeLines="100" w:after="312" w:afterLines="100" w:line="440" w:lineRule="exact"/>
        <w:jc w:val="center"/>
        <w:outlineLvl w:val="2"/>
        <w:rPr>
          <w:rFonts w:ascii="宋体"/>
          <w:b/>
          <w:sz w:val="28"/>
          <w:szCs w:val="28"/>
          <w:highlight w:val="none"/>
        </w:rPr>
      </w:pPr>
      <w:bookmarkStart w:id="42" w:name="_Toc469495725"/>
    </w:p>
    <w:p>
      <w:pPr>
        <w:spacing w:before="312" w:beforeLines="100" w:after="312" w:afterLines="100" w:line="440" w:lineRule="exact"/>
        <w:jc w:val="center"/>
        <w:outlineLvl w:val="2"/>
        <w:rPr>
          <w:rFonts w:ascii="宋体"/>
          <w:b/>
          <w:sz w:val="28"/>
          <w:szCs w:val="28"/>
          <w:highlight w:val="none"/>
        </w:rPr>
      </w:pPr>
    </w:p>
    <w:p>
      <w:pPr>
        <w:spacing w:before="312" w:beforeLines="100" w:after="312" w:afterLines="100" w:line="440" w:lineRule="exact"/>
        <w:jc w:val="center"/>
        <w:outlineLvl w:val="2"/>
        <w:rPr>
          <w:rFonts w:ascii="宋体"/>
          <w:b/>
          <w:sz w:val="28"/>
          <w:szCs w:val="28"/>
          <w:highlight w:val="none"/>
        </w:rPr>
      </w:pPr>
      <w:bookmarkStart w:id="43" w:name="_Toc13107"/>
      <w:r>
        <w:rPr>
          <w:rFonts w:hint="eastAsia" w:ascii="宋体"/>
          <w:b/>
          <w:sz w:val="28"/>
          <w:szCs w:val="28"/>
          <w:highlight w:val="none"/>
        </w:rPr>
        <w:t>（二）</w:t>
      </w:r>
      <w:bookmarkEnd w:id="42"/>
      <w:r>
        <w:rPr>
          <w:rFonts w:hint="eastAsia" w:ascii="宋体"/>
          <w:b/>
          <w:sz w:val="28"/>
          <w:szCs w:val="28"/>
          <w:highlight w:val="none"/>
        </w:rPr>
        <w:t>磋商文件</w:t>
      </w:r>
      <w:bookmarkEnd w:id="43"/>
    </w:p>
    <w:p>
      <w:pPr>
        <w:spacing w:line="440" w:lineRule="exact"/>
        <w:ind w:firstLine="420" w:firstLineChars="200"/>
        <w:rPr>
          <w:b/>
          <w:szCs w:val="21"/>
          <w:highlight w:val="none"/>
        </w:rPr>
      </w:pPr>
      <w:r>
        <w:rPr>
          <w:rFonts w:hint="eastAsia"/>
          <w:b/>
          <w:szCs w:val="21"/>
          <w:highlight w:val="none"/>
        </w:rPr>
        <w:t>15. 采购文件的编制依据</w:t>
      </w:r>
    </w:p>
    <w:p>
      <w:pPr>
        <w:spacing w:line="440" w:lineRule="exact"/>
        <w:ind w:firstLine="420" w:firstLineChars="200"/>
        <w:rPr>
          <w:rFonts w:ascii="宋体"/>
          <w:szCs w:val="21"/>
          <w:highlight w:val="none"/>
        </w:rPr>
      </w:pPr>
      <w:r>
        <w:rPr>
          <w:rFonts w:hint="eastAsia" w:ascii="宋体"/>
          <w:szCs w:val="21"/>
          <w:highlight w:val="none"/>
        </w:rPr>
        <w:t>根据《中华人民共和国政府采购法》、《政府采购货物和服务招标投标管理办法》和《中华人民共和国合同法》</w:t>
      </w:r>
      <w:r>
        <w:rPr>
          <w:rFonts w:hint="eastAsia" w:ascii="宋体"/>
          <w:spacing w:val="-2"/>
          <w:szCs w:val="21"/>
          <w:highlight w:val="none"/>
        </w:rPr>
        <w:t>等相关法律法规和规章及部、省、市级规范性文件的规定，编制本采购文件。</w:t>
      </w:r>
    </w:p>
    <w:p>
      <w:pPr>
        <w:spacing w:line="440" w:lineRule="exact"/>
        <w:ind w:firstLine="420" w:firstLineChars="200"/>
        <w:rPr>
          <w:b/>
          <w:szCs w:val="21"/>
          <w:highlight w:val="none"/>
        </w:rPr>
      </w:pPr>
      <w:r>
        <w:rPr>
          <w:rFonts w:hint="eastAsia"/>
          <w:b/>
          <w:szCs w:val="21"/>
          <w:highlight w:val="none"/>
        </w:rPr>
        <w:t>16. 磋商文件的组成</w:t>
      </w:r>
    </w:p>
    <w:p>
      <w:pPr>
        <w:spacing w:line="440" w:lineRule="exact"/>
        <w:ind w:firstLine="420" w:firstLineChars="200"/>
        <w:rPr>
          <w:rFonts w:ascii="宋体"/>
          <w:szCs w:val="21"/>
          <w:highlight w:val="none"/>
        </w:rPr>
      </w:pPr>
      <w:r>
        <w:rPr>
          <w:rFonts w:hint="eastAsia" w:ascii="宋体"/>
          <w:szCs w:val="21"/>
          <w:highlight w:val="none"/>
        </w:rPr>
        <w:t>16.1 磋商文件包括内容：</w:t>
      </w:r>
    </w:p>
    <w:p>
      <w:pPr>
        <w:spacing w:line="440" w:lineRule="exact"/>
        <w:ind w:firstLine="1470" w:firstLineChars="700"/>
        <w:rPr>
          <w:rFonts w:ascii="宋体"/>
          <w:szCs w:val="21"/>
          <w:highlight w:val="none"/>
        </w:rPr>
      </w:pPr>
      <w:r>
        <w:rPr>
          <w:rFonts w:hint="eastAsia" w:ascii="宋体"/>
          <w:szCs w:val="21"/>
          <w:highlight w:val="none"/>
        </w:rPr>
        <w:t xml:space="preserve">第一章  </w:t>
      </w:r>
      <w:r>
        <w:rPr>
          <w:rFonts w:hint="eastAsia"/>
          <w:bCs/>
          <w:szCs w:val="21"/>
          <w:highlight w:val="none"/>
        </w:rPr>
        <w:t>磋商</w:t>
      </w:r>
      <w:r>
        <w:rPr>
          <w:rFonts w:hint="eastAsia" w:ascii="宋体"/>
          <w:szCs w:val="21"/>
          <w:highlight w:val="none"/>
        </w:rPr>
        <w:t>公告</w:t>
      </w:r>
    </w:p>
    <w:p>
      <w:pPr>
        <w:spacing w:line="440" w:lineRule="exact"/>
        <w:ind w:firstLine="1470" w:firstLineChars="700"/>
        <w:rPr>
          <w:rFonts w:ascii="宋体"/>
          <w:szCs w:val="21"/>
          <w:highlight w:val="none"/>
        </w:rPr>
      </w:pPr>
      <w:r>
        <w:rPr>
          <w:rFonts w:hint="eastAsia" w:ascii="宋体"/>
          <w:szCs w:val="21"/>
          <w:highlight w:val="none"/>
        </w:rPr>
        <w:t>第二章  投标须知</w:t>
      </w:r>
    </w:p>
    <w:p>
      <w:pPr>
        <w:spacing w:line="440" w:lineRule="exact"/>
        <w:ind w:firstLine="1470" w:firstLineChars="700"/>
        <w:rPr>
          <w:rFonts w:ascii="宋体"/>
          <w:szCs w:val="21"/>
          <w:highlight w:val="none"/>
        </w:rPr>
      </w:pPr>
      <w:r>
        <w:rPr>
          <w:rFonts w:hint="eastAsia" w:ascii="宋体"/>
          <w:szCs w:val="21"/>
          <w:highlight w:val="none"/>
        </w:rPr>
        <w:t>第三章  评标办法</w:t>
      </w:r>
    </w:p>
    <w:p>
      <w:pPr>
        <w:spacing w:line="440" w:lineRule="exact"/>
        <w:ind w:firstLine="1470" w:firstLineChars="700"/>
        <w:rPr>
          <w:rFonts w:ascii="宋体"/>
          <w:szCs w:val="21"/>
          <w:highlight w:val="none"/>
        </w:rPr>
      </w:pPr>
      <w:r>
        <w:rPr>
          <w:rFonts w:hint="eastAsia" w:ascii="宋体"/>
          <w:szCs w:val="21"/>
          <w:highlight w:val="none"/>
        </w:rPr>
        <w:t>第四章  采购内容及技术要求</w:t>
      </w:r>
    </w:p>
    <w:p>
      <w:pPr>
        <w:spacing w:line="440" w:lineRule="exact"/>
        <w:ind w:firstLine="1470" w:firstLineChars="700"/>
        <w:rPr>
          <w:rFonts w:ascii="宋体"/>
          <w:szCs w:val="21"/>
          <w:highlight w:val="none"/>
        </w:rPr>
      </w:pPr>
      <w:r>
        <w:rPr>
          <w:rFonts w:hint="eastAsia" w:ascii="宋体"/>
          <w:szCs w:val="21"/>
          <w:highlight w:val="none"/>
        </w:rPr>
        <w:t>第五章  合同条款及格式</w:t>
      </w:r>
    </w:p>
    <w:p>
      <w:pPr>
        <w:spacing w:line="440" w:lineRule="exact"/>
        <w:ind w:firstLine="1470" w:firstLineChars="700"/>
        <w:rPr>
          <w:rFonts w:ascii="宋体"/>
          <w:szCs w:val="21"/>
          <w:highlight w:val="none"/>
        </w:rPr>
      </w:pPr>
      <w:r>
        <w:rPr>
          <w:rFonts w:hint="eastAsia" w:ascii="宋体"/>
          <w:szCs w:val="21"/>
          <w:highlight w:val="none"/>
        </w:rPr>
        <w:t>第六章  投标文件格式文本</w:t>
      </w:r>
    </w:p>
    <w:p>
      <w:pPr>
        <w:spacing w:line="440" w:lineRule="exact"/>
        <w:ind w:firstLine="1470" w:firstLineChars="700"/>
        <w:rPr>
          <w:rFonts w:ascii="宋体"/>
          <w:szCs w:val="21"/>
          <w:highlight w:val="none"/>
        </w:rPr>
      </w:pPr>
      <w:r>
        <w:rPr>
          <w:rFonts w:hint="eastAsia" w:ascii="宋体"/>
          <w:szCs w:val="21"/>
          <w:highlight w:val="none"/>
        </w:rPr>
        <w:t>第七章  招标单位、招标代理机构对本文件的确认</w:t>
      </w:r>
    </w:p>
    <w:p>
      <w:pPr>
        <w:spacing w:line="440" w:lineRule="exact"/>
        <w:rPr>
          <w:rFonts w:ascii="宋体"/>
          <w:szCs w:val="21"/>
          <w:highlight w:val="none"/>
        </w:rPr>
      </w:pPr>
      <w:r>
        <w:rPr>
          <w:rFonts w:hint="eastAsia" w:ascii="宋体"/>
          <w:szCs w:val="21"/>
          <w:highlight w:val="none"/>
        </w:rPr>
        <w:t xml:space="preserve">   16.2 除16.1内容外，招标答疑亦为采购文件的组成部分，对招标人和投标人起约束作用。</w:t>
      </w:r>
    </w:p>
    <w:p>
      <w:pPr>
        <w:pStyle w:val="12"/>
        <w:wordWrap w:val="0"/>
        <w:spacing w:line="400" w:lineRule="exact"/>
        <w:rPr>
          <w:color w:val="auto"/>
          <w:szCs w:val="21"/>
          <w:highlight w:val="none"/>
        </w:rPr>
      </w:pPr>
      <w:r>
        <w:rPr>
          <w:rFonts w:hint="eastAsia"/>
          <w:color w:val="auto"/>
          <w:szCs w:val="21"/>
          <w:highlight w:val="none"/>
        </w:rPr>
        <w:t xml:space="preserve">   16.3投标人应仔细阅读和检查采购文件的全部内容。如发现缺页或附件不全，应及时向招标人提出，以便补齐。如有疑问，投标人应在以书面形式一次性向采购人和采购代理机构提出同一环节的质疑。</w:t>
      </w:r>
    </w:p>
    <w:p>
      <w:pPr>
        <w:wordWrap w:val="0"/>
        <w:spacing w:line="440" w:lineRule="exact"/>
        <w:rPr>
          <w:rFonts w:ascii="宋体"/>
          <w:szCs w:val="21"/>
          <w:highlight w:val="none"/>
        </w:rPr>
      </w:pPr>
      <w:r>
        <w:rPr>
          <w:rFonts w:hint="eastAsia" w:ascii="宋体"/>
          <w:szCs w:val="21"/>
          <w:highlight w:val="none"/>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采购文件的澄清将在政采云平台“更正公告”栏目予以公告，但不指明澄清问题的来源。如果澄清内容影响投标文件编制的，将相应延长投标截止时间。</w:t>
      </w:r>
    </w:p>
    <w:p>
      <w:pPr>
        <w:spacing w:line="440" w:lineRule="exact"/>
        <w:ind w:firstLine="420" w:firstLineChars="200"/>
        <w:rPr>
          <w:rFonts w:ascii="宋体"/>
          <w:b/>
          <w:bCs/>
          <w:szCs w:val="21"/>
          <w:highlight w:val="none"/>
        </w:rPr>
      </w:pPr>
      <w:r>
        <w:rPr>
          <w:rFonts w:hint="eastAsia" w:ascii="宋体"/>
          <w:b/>
          <w:bCs/>
          <w:szCs w:val="21"/>
          <w:highlight w:val="none"/>
        </w:rPr>
        <w:t>17. 磋商文件的修改、补充、解释</w:t>
      </w:r>
    </w:p>
    <w:p>
      <w:pPr>
        <w:wordWrap w:val="0"/>
        <w:spacing w:line="400" w:lineRule="exact"/>
        <w:ind w:firstLine="315" w:firstLineChars="150"/>
        <w:rPr>
          <w:rFonts w:ascii="宋体" w:hAnsi="宋体"/>
          <w:szCs w:val="21"/>
          <w:highlight w:val="none"/>
        </w:rPr>
      </w:pPr>
      <w:r>
        <w:rPr>
          <w:rFonts w:hint="eastAsia" w:ascii="宋体" w:hAnsi="宋体"/>
          <w:szCs w:val="21"/>
          <w:highlight w:val="none"/>
        </w:rPr>
        <w:t>17.1磋商文件发出后，招标人在规定的投标截止时间前可对采购文件进行必要的修改和补充，并以更正公告形式在政采云平台 “更正公告”栏目予以公告，请各位投标人注意查看有关澄清内容，如不及时查看造成后果由投标人自负。采购文件的修改、补充等内容作为采购文件的组成部分，具有约束作用。</w:t>
      </w:r>
    </w:p>
    <w:p>
      <w:pPr>
        <w:wordWrap w:val="0"/>
        <w:spacing w:line="400" w:lineRule="exact"/>
        <w:ind w:firstLine="315" w:firstLineChars="150"/>
        <w:rPr>
          <w:rFonts w:ascii="宋体" w:hAnsi="宋体"/>
          <w:szCs w:val="21"/>
          <w:highlight w:val="none"/>
        </w:rPr>
      </w:pPr>
      <w:r>
        <w:rPr>
          <w:rFonts w:hint="eastAsia" w:ascii="宋体" w:hAnsi="宋体"/>
          <w:szCs w:val="21"/>
          <w:highlight w:val="none"/>
        </w:rPr>
        <w:t xml:space="preserve">17.2 采购代理机构可视采购具体情况对已发出的采购文件进行必要的澄清、修改或者补充。澄清、修改或者补充的内容可能影响投标文件编制的，应当在投标截止时间至少5日前，在原公告发布媒体上发布澄清公告，澄清或者修改的内容为采购文件的组成部分；不足5日的，应当顺延提交投标文件的截止时间。       </w:t>
      </w:r>
      <w:r>
        <w:rPr>
          <w:rFonts w:hint="eastAsia" w:ascii="宋体" w:hAnsi="宋体"/>
          <w:bCs/>
          <w:szCs w:val="21"/>
          <w:highlight w:val="none"/>
        </w:rPr>
        <w:t xml:space="preserve">17.3 </w:t>
      </w:r>
      <w:r>
        <w:rPr>
          <w:rFonts w:hint="eastAsia" w:ascii="宋体" w:hAnsi="宋体"/>
          <w:szCs w:val="21"/>
          <w:highlight w:val="none"/>
        </w:rPr>
        <w:t>供应商在规定的时间内未对采购文件提出疑问、质疑或要求澄清的，将视其为无异议。</w:t>
      </w:r>
    </w:p>
    <w:p>
      <w:pPr>
        <w:spacing w:line="400" w:lineRule="exact"/>
        <w:ind w:firstLine="420" w:firstLineChars="200"/>
        <w:rPr>
          <w:rFonts w:ascii="宋体" w:hAnsi="宋体"/>
          <w:bCs/>
          <w:szCs w:val="21"/>
          <w:highlight w:val="none"/>
        </w:rPr>
      </w:pPr>
      <w:r>
        <w:rPr>
          <w:rFonts w:hint="eastAsia" w:ascii="宋体" w:hAnsi="宋体"/>
          <w:bCs/>
          <w:szCs w:val="21"/>
          <w:highlight w:val="none"/>
        </w:rPr>
        <w:t xml:space="preserve">17.4 磋商文件的解释 </w:t>
      </w:r>
    </w:p>
    <w:p>
      <w:pPr>
        <w:spacing w:line="400" w:lineRule="exact"/>
        <w:ind w:firstLine="420" w:firstLineChars="200"/>
        <w:rPr>
          <w:rFonts w:ascii="宋体" w:hAnsi="宋体"/>
          <w:szCs w:val="21"/>
          <w:highlight w:val="none"/>
        </w:rPr>
      </w:pPr>
      <w:r>
        <w:rPr>
          <w:rFonts w:hint="eastAsia" w:ascii="宋体" w:hAnsi="宋体"/>
          <w:szCs w:val="21"/>
          <w:highlight w:val="none"/>
        </w:rPr>
        <w:t>本磋商文件由招标人（或其委托的招标代理机构）负责解释。</w:t>
      </w:r>
    </w:p>
    <w:p>
      <w:pPr>
        <w:spacing w:line="400" w:lineRule="exact"/>
        <w:rPr>
          <w:rFonts w:ascii="宋体" w:hAnsi="宋体"/>
          <w:b/>
          <w:szCs w:val="21"/>
          <w:highlight w:val="none"/>
        </w:rPr>
      </w:pPr>
      <w:r>
        <w:rPr>
          <w:rFonts w:hint="eastAsia" w:ascii="宋体" w:hAnsi="宋体" w:cs="宋体"/>
          <w:b/>
          <w:szCs w:val="21"/>
          <w:highlight w:val="none"/>
        </w:rPr>
        <w:t xml:space="preserve">   </w:t>
      </w:r>
      <w:r>
        <w:rPr>
          <w:rFonts w:hint="eastAsia"/>
          <w:b/>
          <w:szCs w:val="21"/>
          <w:highlight w:val="none"/>
        </w:rPr>
        <w:t xml:space="preserve">18. </w:t>
      </w:r>
      <w:r>
        <w:rPr>
          <w:rFonts w:hint="eastAsia" w:ascii="宋体" w:hAnsi="宋体"/>
          <w:b/>
          <w:szCs w:val="21"/>
          <w:highlight w:val="none"/>
        </w:rPr>
        <w:t>磋商文件的发出</w:t>
      </w:r>
    </w:p>
    <w:p>
      <w:pPr>
        <w:spacing w:line="400" w:lineRule="exact"/>
        <w:ind w:firstLine="315" w:firstLineChars="150"/>
        <w:rPr>
          <w:rFonts w:ascii="宋体" w:hAnsi="宋体"/>
          <w:szCs w:val="21"/>
          <w:highlight w:val="none"/>
        </w:rPr>
      </w:pPr>
      <w:r>
        <w:rPr>
          <w:rFonts w:hint="eastAsia" w:ascii="宋体" w:hAnsi="宋体"/>
          <w:szCs w:val="21"/>
          <w:highlight w:val="none"/>
        </w:rPr>
        <w:t>18.1  磋商文件、磋商文件的澄清、修改、补充及招标答疑等均应报相关部门备案后，方可发出。</w:t>
      </w:r>
    </w:p>
    <w:p>
      <w:pPr>
        <w:spacing w:line="440" w:lineRule="exact"/>
        <w:ind w:firstLine="279" w:firstLineChars="133"/>
        <w:rPr>
          <w:rFonts w:ascii="宋体"/>
          <w:szCs w:val="21"/>
          <w:highlight w:val="none"/>
        </w:rPr>
      </w:pPr>
      <w:bookmarkStart w:id="44" w:name="_Toc469495726"/>
      <w:r>
        <w:rPr>
          <w:rFonts w:hint="eastAsia"/>
          <w:b/>
          <w:szCs w:val="21"/>
          <w:highlight w:val="none"/>
        </w:rPr>
        <w:t xml:space="preserve">19. </w:t>
      </w:r>
      <w:r>
        <w:rPr>
          <w:rFonts w:hint="eastAsia" w:ascii="宋体"/>
          <w:szCs w:val="21"/>
          <w:highlight w:val="none"/>
        </w:rPr>
        <w:t>凡需要设置样品情形时，必须明确是否需要随样品提交检测报告，并明确检测机构的要求、检测内容、中标样品封存等事项。（评标委员会无法判断样品是否合格且样品需要提供给第三方权威检测机构检测的,在投标人提供招标人认可的第三方权威检测机构检测报告后，评标委员会推荐的中标候选人方可生效，采购人或代理机构发布中标（成交）结果公告。</w:t>
      </w:r>
    </w:p>
    <w:p>
      <w:pPr>
        <w:spacing w:line="400" w:lineRule="exact"/>
        <w:ind w:firstLine="420"/>
        <w:rPr>
          <w:rFonts w:ascii="宋体"/>
          <w:szCs w:val="21"/>
          <w:highlight w:val="none"/>
        </w:rPr>
      </w:pPr>
      <w:r>
        <w:rPr>
          <w:rFonts w:hint="eastAsia" w:ascii="宋体"/>
          <w:szCs w:val="21"/>
          <w:highlight w:val="none"/>
        </w:rPr>
        <w:t>采购文件中应明确样品送检方式、检测费用支付方法、投标人在规定时间内无法提供第三方权威检测机构检测报告的处理方式。（采购人根据项目需求按上述要求自行描述）</w:t>
      </w:r>
    </w:p>
    <w:p>
      <w:pPr>
        <w:spacing w:before="312" w:beforeLines="100" w:after="312" w:afterLines="100" w:line="440" w:lineRule="exact"/>
        <w:jc w:val="center"/>
        <w:outlineLvl w:val="2"/>
        <w:rPr>
          <w:rFonts w:ascii="宋体"/>
          <w:b/>
          <w:sz w:val="28"/>
          <w:szCs w:val="28"/>
          <w:highlight w:val="none"/>
        </w:rPr>
      </w:pPr>
      <w:bookmarkStart w:id="45" w:name="_Toc31024"/>
      <w:r>
        <w:rPr>
          <w:rFonts w:hint="eastAsia" w:ascii="宋体"/>
          <w:b/>
          <w:sz w:val="28"/>
          <w:szCs w:val="28"/>
          <w:highlight w:val="none"/>
        </w:rPr>
        <w:t>（三）响应文件的编制</w:t>
      </w:r>
      <w:bookmarkEnd w:id="44"/>
      <w:bookmarkEnd w:id="45"/>
    </w:p>
    <w:p>
      <w:pPr>
        <w:spacing w:line="440" w:lineRule="exact"/>
        <w:ind w:firstLine="304" w:firstLineChars="145"/>
        <w:rPr>
          <w:rFonts w:ascii="宋体" w:cs="宋体"/>
          <w:b/>
          <w:szCs w:val="21"/>
          <w:highlight w:val="none"/>
        </w:rPr>
      </w:pPr>
      <w:r>
        <w:rPr>
          <w:rFonts w:hint="eastAsia"/>
          <w:b/>
          <w:szCs w:val="21"/>
          <w:highlight w:val="none"/>
        </w:rPr>
        <w:t xml:space="preserve">20. </w:t>
      </w:r>
      <w:r>
        <w:rPr>
          <w:rFonts w:hint="eastAsia" w:ascii="宋体" w:cs="宋体"/>
          <w:b/>
          <w:szCs w:val="21"/>
          <w:highlight w:val="none"/>
        </w:rPr>
        <w:t>投标的语言及度量衡单位</w:t>
      </w:r>
    </w:p>
    <w:p>
      <w:pPr>
        <w:spacing w:line="440" w:lineRule="exact"/>
        <w:ind w:firstLine="283" w:firstLineChars="135"/>
        <w:rPr>
          <w:rFonts w:ascii="宋体"/>
          <w:szCs w:val="21"/>
          <w:highlight w:val="none"/>
        </w:rPr>
      </w:pPr>
      <w:r>
        <w:rPr>
          <w:rFonts w:hint="eastAsia" w:ascii="宋体"/>
          <w:szCs w:val="21"/>
          <w:highlight w:val="none"/>
        </w:rPr>
        <w:t>20.1</w:t>
      </w:r>
      <w:r>
        <w:rPr>
          <w:rFonts w:ascii="宋体" w:hAnsi="宋体"/>
          <w:szCs w:val="21"/>
          <w:highlight w:val="none"/>
        </w:rPr>
        <w:t>投标人</w:t>
      </w:r>
      <w:r>
        <w:rPr>
          <w:rFonts w:hint="eastAsia" w:ascii="宋体" w:hAnsi="宋体"/>
          <w:szCs w:val="21"/>
          <w:highlight w:val="none"/>
        </w:rPr>
        <w:t>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spacing w:line="440" w:lineRule="exact"/>
        <w:ind w:firstLine="283" w:firstLineChars="135"/>
        <w:rPr>
          <w:rFonts w:ascii="宋体"/>
          <w:szCs w:val="21"/>
          <w:highlight w:val="none"/>
        </w:rPr>
      </w:pPr>
      <w:r>
        <w:rPr>
          <w:rFonts w:hint="eastAsia" w:ascii="宋体"/>
          <w:szCs w:val="21"/>
          <w:highlight w:val="none"/>
        </w:rPr>
        <w:t xml:space="preserve"> 20.2除采购文件中另有规定外，投标书所使用的度量衡均须采用法定计量单位。</w:t>
      </w:r>
    </w:p>
    <w:p>
      <w:pPr>
        <w:spacing w:line="400" w:lineRule="exact"/>
        <w:ind w:firstLine="205" w:firstLineChars="98"/>
        <w:rPr>
          <w:rFonts w:ascii="宋体" w:hAnsi="宋体"/>
          <w:b/>
          <w:szCs w:val="21"/>
          <w:highlight w:val="none"/>
        </w:rPr>
      </w:pPr>
      <w:r>
        <w:rPr>
          <w:rFonts w:hint="eastAsia"/>
          <w:b/>
          <w:szCs w:val="21"/>
          <w:highlight w:val="none"/>
        </w:rPr>
        <w:t>21. 响应</w:t>
      </w:r>
      <w:r>
        <w:rPr>
          <w:rFonts w:hint="eastAsia" w:ascii="宋体" w:hAnsi="宋体"/>
          <w:b/>
          <w:szCs w:val="21"/>
          <w:highlight w:val="none"/>
        </w:rPr>
        <w:t>文件的组成</w:t>
      </w:r>
    </w:p>
    <w:p>
      <w:pPr>
        <w:spacing w:line="400" w:lineRule="exact"/>
        <w:ind w:firstLine="417" w:firstLineChars="199"/>
        <w:rPr>
          <w:rFonts w:hint="eastAsia" w:ascii="宋体" w:hAnsi="宋体"/>
          <w:szCs w:val="21"/>
          <w:highlight w:val="none"/>
        </w:rPr>
      </w:pPr>
      <w:r>
        <w:rPr>
          <w:rFonts w:hint="eastAsia" w:ascii="宋体" w:hAnsi="宋体"/>
          <w:szCs w:val="21"/>
          <w:highlight w:val="none"/>
        </w:rPr>
        <w:t>1、商务部分</w:t>
      </w:r>
    </w:p>
    <w:p>
      <w:pPr>
        <w:spacing w:line="400" w:lineRule="exact"/>
        <w:ind w:firstLine="417" w:firstLineChars="199"/>
        <w:rPr>
          <w:rFonts w:hint="eastAsia" w:ascii="宋体" w:hAnsi="宋体"/>
          <w:szCs w:val="21"/>
          <w:highlight w:val="none"/>
        </w:rPr>
      </w:pPr>
      <w:r>
        <w:rPr>
          <w:rFonts w:hint="eastAsia" w:ascii="宋体" w:hAnsi="宋体"/>
          <w:szCs w:val="21"/>
          <w:highlight w:val="none"/>
        </w:rPr>
        <w:t>(1)投标函；</w:t>
      </w:r>
    </w:p>
    <w:p>
      <w:pPr>
        <w:spacing w:line="400" w:lineRule="exact"/>
        <w:ind w:firstLine="417" w:firstLineChars="199"/>
        <w:rPr>
          <w:rFonts w:hint="eastAsia" w:ascii="宋体" w:hAnsi="宋体"/>
          <w:szCs w:val="21"/>
          <w:highlight w:val="none"/>
        </w:rPr>
      </w:pPr>
      <w:r>
        <w:rPr>
          <w:rFonts w:hint="eastAsia" w:ascii="宋体" w:hAnsi="宋体"/>
          <w:szCs w:val="21"/>
          <w:highlight w:val="none"/>
        </w:rPr>
        <w:t xml:space="preserve">(2)法定代表人（负责人）身份证明（附法定代表人身份证复印件）； </w:t>
      </w:r>
    </w:p>
    <w:p>
      <w:pPr>
        <w:spacing w:line="400" w:lineRule="exact"/>
        <w:ind w:firstLine="417" w:firstLineChars="199"/>
        <w:rPr>
          <w:rFonts w:hint="eastAsia" w:ascii="宋体" w:hAnsi="宋体"/>
          <w:szCs w:val="21"/>
          <w:highlight w:val="none"/>
        </w:rPr>
      </w:pPr>
      <w:r>
        <w:rPr>
          <w:rFonts w:hint="eastAsia" w:ascii="宋体" w:hAnsi="宋体"/>
          <w:szCs w:val="21"/>
          <w:highlight w:val="none"/>
        </w:rPr>
        <w:t>(3)授权委托书（附被授权人身份证复印件）；</w:t>
      </w:r>
    </w:p>
    <w:p>
      <w:pPr>
        <w:spacing w:line="400" w:lineRule="exact"/>
        <w:ind w:firstLine="417" w:firstLineChars="199"/>
        <w:rPr>
          <w:rFonts w:hint="eastAsia" w:ascii="宋体" w:hAnsi="宋体"/>
          <w:szCs w:val="21"/>
          <w:highlight w:val="none"/>
        </w:rPr>
      </w:pPr>
      <w:r>
        <w:rPr>
          <w:rFonts w:hint="eastAsia" w:ascii="宋体" w:hAnsi="宋体"/>
          <w:szCs w:val="21"/>
          <w:highlight w:val="none"/>
        </w:rPr>
        <w:t>(4)上级银行授权委托书</w:t>
      </w:r>
    </w:p>
    <w:p>
      <w:pPr>
        <w:spacing w:line="400" w:lineRule="exact"/>
        <w:ind w:firstLine="417" w:firstLineChars="199"/>
        <w:rPr>
          <w:rFonts w:hint="eastAsia" w:ascii="宋体" w:hAnsi="宋体"/>
          <w:szCs w:val="21"/>
          <w:highlight w:val="none"/>
        </w:rPr>
      </w:pPr>
      <w:r>
        <w:rPr>
          <w:rFonts w:hint="eastAsia" w:ascii="宋体" w:hAnsi="宋体"/>
          <w:szCs w:val="21"/>
          <w:highlight w:val="none"/>
        </w:rPr>
        <w:t xml:space="preserve">(5)投标保证金缴纳凭证或投标担保函 </w:t>
      </w:r>
    </w:p>
    <w:p>
      <w:pPr>
        <w:spacing w:line="400" w:lineRule="exact"/>
        <w:ind w:firstLine="417" w:firstLineChars="199"/>
        <w:rPr>
          <w:rFonts w:hint="eastAsia" w:ascii="宋体" w:hAnsi="宋体"/>
          <w:szCs w:val="21"/>
          <w:highlight w:val="none"/>
        </w:rPr>
      </w:pPr>
      <w:r>
        <w:rPr>
          <w:rFonts w:hint="eastAsia" w:ascii="宋体" w:hAnsi="宋体"/>
          <w:szCs w:val="21"/>
          <w:highlight w:val="none"/>
        </w:rPr>
        <w:t>(6)开标一览表；</w:t>
      </w:r>
    </w:p>
    <w:p>
      <w:pPr>
        <w:spacing w:line="400" w:lineRule="exact"/>
        <w:ind w:firstLine="417" w:firstLineChars="199"/>
        <w:rPr>
          <w:rFonts w:hint="eastAsia" w:ascii="宋体" w:hAnsi="宋体"/>
          <w:szCs w:val="21"/>
          <w:highlight w:val="none"/>
        </w:rPr>
      </w:pPr>
      <w:r>
        <w:rPr>
          <w:rFonts w:hint="eastAsia" w:ascii="宋体" w:hAnsi="宋体"/>
          <w:szCs w:val="21"/>
          <w:highlight w:val="none"/>
        </w:rPr>
        <w:t>(7)投标人基本情况；</w:t>
      </w:r>
    </w:p>
    <w:p>
      <w:pPr>
        <w:spacing w:line="400" w:lineRule="exact"/>
        <w:ind w:firstLine="417" w:firstLineChars="199"/>
        <w:rPr>
          <w:rFonts w:hint="eastAsia" w:ascii="宋体" w:hAnsi="宋体"/>
          <w:szCs w:val="21"/>
          <w:highlight w:val="none"/>
        </w:rPr>
      </w:pPr>
      <w:r>
        <w:rPr>
          <w:rFonts w:hint="eastAsia" w:ascii="宋体" w:hAnsi="宋体"/>
          <w:szCs w:val="21"/>
          <w:highlight w:val="none"/>
        </w:rPr>
        <w:t>1）投标人基本情况表；</w:t>
      </w:r>
    </w:p>
    <w:p>
      <w:pPr>
        <w:spacing w:line="400" w:lineRule="exact"/>
        <w:ind w:firstLine="417" w:firstLineChars="199"/>
        <w:rPr>
          <w:rFonts w:hint="eastAsia" w:ascii="宋体" w:hAnsi="宋体"/>
          <w:szCs w:val="21"/>
          <w:highlight w:val="none"/>
        </w:rPr>
      </w:pPr>
      <w:r>
        <w:rPr>
          <w:rFonts w:hint="eastAsia" w:ascii="宋体" w:hAnsi="宋体"/>
          <w:szCs w:val="21"/>
          <w:highlight w:val="none"/>
        </w:rPr>
        <w:t>2）三证合一的营业执照</w:t>
      </w:r>
    </w:p>
    <w:p>
      <w:pPr>
        <w:spacing w:line="400" w:lineRule="exact"/>
        <w:ind w:firstLine="417" w:firstLineChars="199"/>
        <w:rPr>
          <w:rFonts w:hint="eastAsia" w:ascii="宋体" w:hAnsi="宋体"/>
          <w:szCs w:val="21"/>
          <w:highlight w:val="none"/>
        </w:rPr>
      </w:pPr>
      <w:r>
        <w:rPr>
          <w:rFonts w:hint="eastAsia" w:ascii="宋体" w:hAnsi="宋体"/>
          <w:szCs w:val="21"/>
          <w:highlight w:val="none"/>
        </w:rPr>
        <w:t>3）近一年的财务状况相关材料（财务审计报告或财务报表）</w:t>
      </w:r>
    </w:p>
    <w:p>
      <w:pPr>
        <w:spacing w:line="400" w:lineRule="exact"/>
        <w:ind w:firstLine="417" w:firstLineChars="199"/>
        <w:rPr>
          <w:rFonts w:hint="eastAsia" w:ascii="宋体" w:hAnsi="宋体"/>
          <w:szCs w:val="21"/>
          <w:highlight w:val="none"/>
        </w:rPr>
      </w:pPr>
      <w:r>
        <w:rPr>
          <w:rFonts w:hint="eastAsia" w:ascii="宋体" w:hAnsi="宋体"/>
          <w:szCs w:val="21"/>
          <w:highlight w:val="none"/>
        </w:rPr>
        <w:t>4）单位社会保障缴费证明；</w:t>
      </w:r>
    </w:p>
    <w:p>
      <w:pPr>
        <w:spacing w:line="400" w:lineRule="exact"/>
        <w:ind w:firstLine="417" w:firstLineChars="199"/>
        <w:rPr>
          <w:rFonts w:hint="eastAsia" w:ascii="宋体" w:hAnsi="宋体" w:eastAsia="宋体"/>
          <w:szCs w:val="21"/>
          <w:highlight w:val="none"/>
          <w:lang w:eastAsia="zh-CN"/>
        </w:rPr>
      </w:pPr>
      <w:r>
        <w:rPr>
          <w:rFonts w:hint="eastAsia" w:ascii="宋体" w:hAnsi="宋体"/>
          <w:szCs w:val="21"/>
          <w:highlight w:val="none"/>
        </w:rPr>
        <w:t>5）</w:t>
      </w:r>
      <w:r>
        <w:rPr>
          <w:rFonts w:hint="eastAsia" w:ascii="宋体" w:hAnsi="宋体"/>
          <w:szCs w:val="21"/>
          <w:highlight w:val="none"/>
          <w:lang w:eastAsia="zh-CN"/>
        </w:rPr>
        <w:t>投标企业须提供投标人（被授权在职人员）近6个月有效的社保证明；</w:t>
      </w:r>
    </w:p>
    <w:p>
      <w:pPr>
        <w:spacing w:line="400" w:lineRule="exact"/>
        <w:ind w:firstLine="417" w:firstLineChars="199"/>
        <w:rPr>
          <w:rFonts w:hint="eastAsia" w:ascii="宋体" w:hAnsi="宋体"/>
          <w:szCs w:val="21"/>
          <w:highlight w:val="none"/>
        </w:rPr>
      </w:pPr>
      <w:r>
        <w:rPr>
          <w:rFonts w:hint="eastAsia" w:ascii="宋体" w:hAnsi="宋体"/>
          <w:szCs w:val="21"/>
          <w:highlight w:val="none"/>
        </w:rPr>
        <w:t xml:space="preserve">(8)商务条款偏离表； </w:t>
      </w:r>
    </w:p>
    <w:p>
      <w:pPr>
        <w:spacing w:line="400" w:lineRule="exact"/>
        <w:ind w:firstLine="417" w:firstLineChars="199"/>
        <w:rPr>
          <w:rFonts w:hint="eastAsia" w:ascii="宋体" w:hAnsi="宋体"/>
          <w:szCs w:val="21"/>
          <w:highlight w:val="none"/>
        </w:rPr>
      </w:pPr>
      <w:r>
        <w:rPr>
          <w:rFonts w:hint="eastAsia" w:ascii="宋体" w:hAnsi="宋体"/>
          <w:szCs w:val="21"/>
          <w:highlight w:val="none"/>
        </w:rPr>
        <w:t>(9)近三年（20</w:t>
      </w:r>
      <w:r>
        <w:rPr>
          <w:rFonts w:hint="eastAsia" w:ascii="宋体" w:hAnsi="宋体"/>
          <w:szCs w:val="21"/>
          <w:highlight w:val="none"/>
          <w:lang w:val="en-US" w:eastAsia="zh-CN"/>
        </w:rPr>
        <w:t>20</w:t>
      </w:r>
      <w:r>
        <w:rPr>
          <w:rFonts w:hint="eastAsia" w:ascii="宋体" w:hAnsi="宋体"/>
          <w:szCs w:val="21"/>
          <w:highlight w:val="none"/>
        </w:rPr>
        <w:t>年1月1日至今）类似项目业绩</w:t>
      </w:r>
      <w:r>
        <w:rPr>
          <w:rFonts w:hint="eastAsia" w:ascii="宋体" w:hAnsi="宋体"/>
          <w:szCs w:val="21"/>
          <w:highlight w:val="none"/>
          <w:lang w:eastAsia="zh-CN"/>
        </w:rPr>
        <w:t>（如有）</w:t>
      </w:r>
      <w:r>
        <w:rPr>
          <w:rFonts w:hint="eastAsia" w:ascii="宋体" w:hAnsi="宋体"/>
          <w:szCs w:val="21"/>
          <w:highlight w:val="none"/>
        </w:rPr>
        <w:t xml:space="preserve">； </w:t>
      </w:r>
    </w:p>
    <w:p>
      <w:pPr>
        <w:spacing w:line="400" w:lineRule="exact"/>
        <w:ind w:firstLine="417" w:firstLineChars="199"/>
        <w:rPr>
          <w:rFonts w:hint="eastAsia" w:ascii="宋体" w:hAnsi="宋体"/>
          <w:szCs w:val="21"/>
          <w:highlight w:val="none"/>
        </w:rPr>
      </w:pPr>
      <w:r>
        <w:rPr>
          <w:rFonts w:hint="eastAsia" w:ascii="宋体" w:hAnsi="宋体"/>
          <w:szCs w:val="21"/>
          <w:highlight w:val="none"/>
        </w:rPr>
        <w:t>(10)中小企业声明函（符合本声明函填写）</w:t>
      </w:r>
      <w:r>
        <w:rPr>
          <w:rFonts w:hint="eastAsia" w:ascii="宋体" w:hAnsi="宋体"/>
          <w:szCs w:val="21"/>
          <w:highlight w:val="none"/>
          <w:lang w:eastAsia="zh-CN"/>
        </w:rPr>
        <w:t>（本项目不适用）</w:t>
      </w:r>
      <w:r>
        <w:rPr>
          <w:rFonts w:hint="eastAsia" w:ascii="宋体" w:hAnsi="宋体"/>
          <w:szCs w:val="21"/>
          <w:highlight w:val="none"/>
        </w:rPr>
        <w:t>；</w:t>
      </w:r>
    </w:p>
    <w:p>
      <w:pPr>
        <w:spacing w:line="400" w:lineRule="exact"/>
        <w:ind w:firstLine="417" w:firstLineChars="199"/>
        <w:rPr>
          <w:rFonts w:hint="eastAsia" w:ascii="宋体" w:hAnsi="宋体"/>
          <w:szCs w:val="21"/>
          <w:highlight w:val="none"/>
        </w:rPr>
      </w:pPr>
      <w:r>
        <w:rPr>
          <w:rFonts w:hint="eastAsia" w:ascii="宋体" w:hAnsi="宋体"/>
          <w:szCs w:val="21"/>
          <w:highlight w:val="none"/>
        </w:rPr>
        <w:t>(11)残疾人福利性单位声明函（符合本声明函填写） ；</w:t>
      </w:r>
    </w:p>
    <w:p>
      <w:pPr>
        <w:spacing w:line="400" w:lineRule="exact"/>
        <w:ind w:firstLine="417" w:firstLineChars="199"/>
        <w:rPr>
          <w:rFonts w:hint="eastAsia" w:ascii="宋体" w:hAnsi="宋体"/>
          <w:szCs w:val="21"/>
          <w:highlight w:val="none"/>
        </w:rPr>
      </w:pPr>
      <w:r>
        <w:rPr>
          <w:rFonts w:hint="eastAsia" w:ascii="宋体" w:hAnsi="宋体"/>
          <w:szCs w:val="21"/>
          <w:highlight w:val="none"/>
        </w:rPr>
        <w:t>(12)其他商务资格证明资料（格式自定）。</w:t>
      </w:r>
    </w:p>
    <w:p>
      <w:pPr>
        <w:spacing w:line="400" w:lineRule="exact"/>
        <w:ind w:firstLine="417" w:firstLineChars="199"/>
        <w:rPr>
          <w:rFonts w:hint="eastAsia" w:ascii="宋体" w:hAnsi="宋体"/>
          <w:szCs w:val="21"/>
          <w:highlight w:val="none"/>
        </w:rPr>
      </w:pPr>
      <w:r>
        <w:rPr>
          <w:rFonts w:hint="eastAsia" w:ascii="宋体" w:hAnsi="宋体"/>
          <w:szCs w:val="21"/>
          <w:highlight w:val="none"/>
        </w:rPr>
        <w:t>2、技术部分</w:t>
      </w:r>
    </w:p>
    <w:p>
      <w:pPr>
        <w:spacing w:line="400" w:lineRule="exact"/>
        <w:ind w:firstLine="417" w:firstLineChars="199"/>
        <w:rPr>
          <w:rFonts w:hint="eastAsia" w:ascii="宋体" w:hAnsi="宋体"/>
          <w:szCs w:val="21"/>
          <w:highlight w:val="none"/>
        </w:rPr>
      </w:pPr>
      <w:r>
        <w:rPr>
          <w:rFonts w:hint="eastAsia" w:ascii="宋体" w:hAnsi="宋体"/>
          <w:szCs w:val="21"/>
          <w:highlight w:val="none"/>
        </w:rPr>
        <w:t>（13）技术方案（投标人自行编写的技术文件）</w:t>
      </w:r>
    </w:p>
    <w:p>
      <w:pPr>
        <w:spacing w:line="400" w:lineRule="exact"/>
        <w:ind w:firstLine="417" w:firstLineChars="199"/>
        <w:rPr>
          <w:rFonts w:hint="eastAsia" w:ascii="宋体" w:hAnsi="宋体"/>
          <w:szCs w:val="21"/>
          <w:highlight w:val="none"/>
        </w:rPr>
      </w:pPr>
      <w:r>
        <w:rPr>
          <w:rFonts w:hint="eastAsia" w:ascii="宋体" w:hAnsi="宋体"/>
          <w:szCs w:val="21"/>
          <w:highlight w:val="none"/>
        </w:rPr>
        <w:t>(14)投标人认为需要提交的技术资料（根据评审标准自行添加）</w:t>
      </w:r>
    </w:p>
    <w:p>
      <w:pPr>
        <w:spacing w:line="400" w:lineRule="exact"/>
        <w:ind w:firstLine="417" w:firstLineChars="199"/>
        <w:rPr>
          <w:rFonts w:ascii="宋体"/>
          <w:szCs w:val="21"/>
          <w:highlight w:val="none"/>
        </w:rPr>
      </w:pPr>
      <w:r>
        <w:rPr>
          <w:rFonts w:hint="eastAsia" w:ascii="宋体" w:hAnsi="宋体" w:cs="宋体"/>
          <w:b/>
          <w:kern w:val="0"/>
          <w:szCs w:val="21"/>
          <w:highlight w:val="none"/>
          <w:u w:val="single"/>
        </w:rPr>
        <w:t>注：以上材料须逐页加盖单位公章。</w:t>
      </w:r>
    </w:p>
    <w:p>
      <w:pPr>
        <w:spacing w:line="400" w:lineRule="exact"/>
        <w:ind w:firstLine="417" w:firstLineChars="199"/>
        <w:rPr>
          <w:rFonts w:ascii="宋体" w:hAnsi="宋体"/>
          <w:szCs w:val="21"/>
          <w:highlight w:val="none"/>
        </w:rPr>
      </w:pPr>
      <w:r>
        <w:rPr>
          <w:rFonts w:hint="eastAsia" w:ascii="宋体"/>
          <w:szCs w:val="21"/>
          <w:highlight w:val="none"/>
        </w:rPr>
        <w:t>21.</w:t>
      </w:r>
      <w:r>
        <w:rPr>
          <w:rFonts w:hint="eastAsia" w:ascii="宋体"/>
          <w:szCs w:val="21"/>
          <w:highlight w:val="none"/>
          <w:lang w:val="en-US" w:eastAsia="zh-CN"/>
        </w:rPr>
        <w:t>1</w:t>
      </w:r>
      <w:r>
        <w:rPr>
          <w:rFonts w:hint="eastAsia" w:ascii="宋体" w:hAnsi="宋体"/>
          <w:szCs w:val="21"/>
          <w:highlight w:val="none"/>
        </w:rPr>
        <w:t>投标文件的要求</w:t>
      </w:r>
    </w:p>
    <w:p>
      <w:pPr>
        <w:spacing w:line="400" w:lineRule="exact"/>
        <w:ind w:firstLine="417" w:firstLineChars="199"/>
        <w:rPr>
          <w:rFonts w:ascii="宋体" w:hAnsi="宋体"/>
          <w:szCs w:val="21"/>
          <w:highlight w:val="none"/>
        </w:rPr>
      </w:pPr>
      <w:r>
        <w:rPr>
          <w:rFonts w:hint="eastAsia" w:ascii="宋体" w:hAnsi="宋体"/>
          <w:szCs w:val="21"/>
          <w:highlight w:val="none"/>
        </w:rPr>
        <w:t>（1）供应商应仔细阅读采购文件的所有内容，按照采购文件的要求详细编制投标文件，所提交的全部资料必须真实有效，并且要保证字迹清晰易于辨认。投标文件应对采购文件实质性内容作出响应，否则按无效标处理。</w:t>
      </w:r>
    </w:p>
    <w:p>
      <w:pPr>
        <w:spacing w:line="400" w:lineRule="exact"/>
        <w:ind w:firstLine="417" w:firstLineChars="199"/>
        <w:rPr>
          <w:rFonts w:ascii="宋体" w:hAnsi="宋体"/>
          <w:szCs w:val="21"/>
          <w:highlight w:val="none"/>
        </w:rPr>
      </w:pPr>
      <w:r>
        <w:rPr>
          <w:rFonts w:hint="eastAsia" w:ascii="宋体" w:hAnsi="宋体"/>
          <w:szCs w:val="21"/>
          <w:highlight w:val="none"/>
        </w:rPr>
        <w:t>（2）投标文件格式应按本采购文件第六章格式要求编制，不得对采购文件格式进行增删更改，否则按无效标处理。</w:t>
      </w:r>
    </w:p>
    <w:p>
      <w:pPr>
        <w:spacing w:line="400" w:lineRule="exact"/>
        <w:ind w:firstLine="417" w:firstLineChars="199"/>
        <w:rPr>
          <w:rFonts w:ascii="宋体" w:hAnsi="宋体"/>
          <w:szCs w:val="21"/>
          <w:highlight w:val="none"/>
        </w:rPr>
      </w:pPr>
      <w:r>
        <w:rPr>
          <w:rFonts w:hint="eastAsia" w:ascii="宋体" w:hAnsi="宋体"/>
          <w:szCs w:val="21"/>
          <w:highlight w:val="none"/>
        </w:rPr>
        <w:t xml:space="preserve">（3）对采购文件格式可更改的例外情况：采购文件第六章附件格式要求中明确规定表格中行数不够用时可按相同格式增加行数，其他一切内容和格式不得更改。 </w:t>
      </w:r>
    </w:p>
    <w:p>
      <w:pPr>
        <w:spacing w:line="400" w:lineRule="exact"/>
        <w:ind w:firstLine="417" w:firstLineChars="199"/>
        <w:rPr>
          <w:rFonts w:ascii="宋体" w:hAnsi="宋体"/>
          <w:szCs w:val="21"/>
          <w:highlight w:val="none"/>
        </w:rPr>
      </w:pPr>
      <w:r>
        <w:rPr>
          <w:rFonts w:hint="eastAsia" w:ascii="宋体" w:hAnsi="宋体"/>
          <w:szCs w:val="21"/>
          <w:highlight w:val="none"/>
        </w:rPr>
        <w:t>（4）投标文件为电子投标文件，电子投标文件按“政采云供应商项目采购-电子招投标操作指南”及本采购文件要求制作、加密传输。</w:t>
      </w:r>
    </w:p>
    <w:p>
      <w:pPr>
        <w:spacing w:line="400" w:lineRule="exact"/>
        <w:ind w:firstLine="417" w:firstLineChars="199"/>
        <w:rPr>
          <w:rFonts w:ascii="宋体"/>
          <w:szCs w:val="21"/>
          <w:highlight w:val="none"/>
        </w:rPr>
      </w:pPr>
      <w:r>
        <w:rPr>
          <w:rFonts w:hint="eastAsia" w:ascii="宋体" w:hAnsi="宋体"/>
          <w:szCs w:val="21"/>
          <w:highlight w:val="none"/>
        </w:rPr>
        <w:t>（5）投标文件未在投标截止时间前完成传输的，视为投标文件撤回；投标文件未按时解密也未提供备份投标文件的，亦视为投标文件撤回。</w:t>
      </w:r>
    </w:p>
    <w:p>
      <w:pPr>
        <w:spacing w:line="440" w:lineRule="exact"/>
        <w:ind w:firstLine="420" w:firstLineChars="200"/>
        <w:rPr>
          <w:rFonts w:ascii="宋体"/>
          <w:szCs w:val="21"/>
          <w:highlight w:val="none"/>
        </w:rPr>
      </w:pPr>
      <w:r>
        <w:rPr>
          <w:rFonts w:hint="eastAsia" w:ascii="宋体"/>
          <w:b/>
          <w:szCs w:val="21"/>
          <w:highlight w:val="none"/>
        </w:rPr>
        <w:t>22</w:t>
      </w:r>
      <w:r>
        <w:rPr>
          <w:rFonts w:hint="eastAsia" w:ascii="宋体"/>
          <w:szCs w:val="21"/>
          <w:highlight w:val="none"/>
        </w:rPr>
        <w:t>.</w:t>
      </w:r>
      <w:r>
        <w:rPr>
          <w:rFonts w:hint="eastAsia" w:ascii="宋体"/>
          <w:b/>
          <w:szCs w:val="21"/>
          <w:highlight w:val="none"/>
        </w:rPr>
        <w:t>磋商报价</w:t>
      </w:r>
    </w:p>
    <w:p>
      <w:pPr>
        <w:spacing w:line="440" w:lineRule="exact"/>
        <w:ind w:firstLine="420" w:firstLineChars="200"/>
        <w:rPr>
          <w:rFonts w:hint="eastAsia" w:ascii="宋体"/>
          <w:szCs w:val="21"/>
          <w:highlight w:val="none"/>
        </w:rPr>
      </w:pPr>
      <w:r>
        <w:rPr>
          <w:rFonts w:hint="eastAsia" w:ascii="宋体"/>
          <w:szCs w:val="21"/>
          <w:highlight w:val="none"/>
          <w:lang w:val="en-US" w:eastAsia="zh-CN"/>
        </w:rPr>
        <w:t>22.</w:t>
      </w:r>
      <w:r>
        <w:rPr>
          <w:rFonts w:hint="eastAsia" w:ascii="宋体"/>
          <w:szCs w:val="21"/>
          <w:highlight w:val="none"/>
        </w:rPr>
        <w:t>1本项目报价为分次报价，供应商响应文件中的报价作为第一次报价；以最终竞争性磋商报价作为评审价。</w:t>
      </w:r>
    </w:p>
    <w:p>
      <w:pPr>
        <w:spacing w:line="440" w:lineRule="exact"/>
        <w:ind w:firstLine="420" w:firstLineChars="200"/>
        <w:rPr>
          <w:rFonts w:hint="eastAsia" w:ascii="宋体"/>
          <w:szCs w:val="21"/>
          <w:highlight w:val="none"/>
        </w:rPr>
      </w:pPr>
      <w:r>
        <w:rPr>
          <w:rFonts w:hint="eastAsia" w:ascii="宋体"/>
          <w:szCs w:val="21"/>
          <w:highlight w:val="none"/>
          <w:lang w:val="en-US" w:eastAsia="zh-CN"/>
        </w:rPr>
        <w:t>22.</w:t>
      </w:r>
      <w:r>
        <w:rPr>
          <w:rFonts w:hint="eastAsia" w:ascii="宋体"/>
          <w:szCs w:val="21"/>
          <w:highlight w:val="none"/>
        </w:rPr>
        <w:t>2凡要求供应商考虑在报价中的内容供应商在响应文件中没有考虑、没有计入的或未单独列出，采购人认为供应商已将此项费用涵盖在其它费用价格中。</w:t>
      </w:r>
    </w:p>
    <w:p>
      <w:pPr>
        <w:spacing w:line="440" w:lineRule="exact"/>
        <w:ind w:firstLine="420" w:firstLineChars="200"/>
        <w:rPr>
          <w:rFonts w:hint="eastAsia" w:ascii="宋体"/>
          <w:szCs w:val="21"/>
          <w:highlight w:val="none"/>
        </w:rPr>
      </w:pPr>
      <w:r>
        <w:rPr>
          <w:rFonts w:hint="eastAsia" w:ascii="宋体"/>
          <w:szCs w:val="21"/>
          <w:highlight w:val="none"/>
          <w:lang w:val="en-US" w:eastAsia="zh-CN"/>
        </w:rPr>
        <w:t>22.</w:t>
      </w:r>
      <w:r>
        <w:rPr>
          <w:rFonts w:hint="eastAsia" w:ascii="宋体"/>
          <w:szCs w:val="21"/>
          <w:highlight w:val="none"/>
        </w:rPr>
        <w:t>3报价注意事项：</w:t>
      </w:r>
    </w:p>
    <w:p>
      <w:pPr>
        <w:spacing w:line="440" w:lineRule="exact"/>
        <w:ind w:firstLine="420" w:firstLineChars="200"/>
        <w:rPr>
          <w:rFonts w:hint="eastAsia" w:ascii="宋体"/>
          <w:szCs w:val="21"/>
          <w:highlight w:val="none"/>
        </w:rPr>
      </w:pPr>
      <w:r>
        <w:rPr>
          <w:rFonts w:hint="eastAsia" w:ascii="宋体"/>
          <w:szCs w:val="21"/>
          <w:highlight w:val="none"/>
        </w:rPr>
        <w:t>（1）价格一律以（年）利率计算，以%为单位标准；</w:t>
      </w:r>
    </w:p>
    <w:p>
      <w:pPr>
        <w:spacing w:line="440" w:lineRule="exact"/>
        <w:ind w:firstLine="420" w:firstLineChars="200"/>
        <w:rPr>
          <w:rFonts w:hint="eastAsia" w:ascii="宋体"/>
          <w:szCs w:val="21"/>
          <w:highlight w:val="none"/>
        </w:rPr>
      </w:pPr>
      <w:r>
        <w:rPr>
          <w:rFonts w:hint="eastAsia" w:ascii="宋体"/>
          <w:szCs w:val="21"/>
          <w:highlight w:val="none"/>
        </w:rPr>
        <w:t>（2）供应商报价时应充分考虑所有可能影响到报价的报价因素，一旦招标结束最终成交，总价将固定，不予调整。如发生漏、缺、少项，都将被认为是成交人的报价让利行为，损失自负。</w:t>
      </w:r>
    </w:p>
    <w:p>
      <w:pPr>
        <w:spacing w:line="440" w:lineRule="exact"/>
        <w:ind w:firstLine="420" w:firstLineChars="200"/>
        <w:rPr>
          <w:rFonts w:ascii="宋体"/>
          <w:b/>
          <w:szCs w:val="21"/>
          <w:highlight w:val="none"/>
        </w:rPr>
      </w:pPr>
      <w:r>
        <w:rPr>
          <w:rFonts w:hint="eastAsia" w:ascii="宋体"/>
          <w:b/>
          <w:szCs w:val="21"/>
          <w:highlight w:val="none"/>
        </w:rPr>
        <w:t>23. 投标有效期</w:t>
      </w:r>
    </w:p>
    <w:p>
      <w:pPr>
        <w:spacing w:line="440" w:lineRule="exact"/>
        <w:ind w:firstLine="420" w:firstLineChars="200"/>
        <w:rPr>
          <w:rFonts w:ascii="宋体"/>
          <w:szCs w:val="21"/>
          <w:highlight w:val="none"/>
        </w:rPr>
      </w:pPr>
      <w:r>
        <w:rPr>
          <w:rFonts w:hint="eastAsia" w:ascii="宋体"/>
          <w:szCs w:val="21"/>
          <w:highlight w:val="none"/>
        </w:rPr>
        <w:t>23.1 除投标人须知前附表另有规定外，投标有效期为60天。</w:t>
      </w:r>
    </w:p>
    <w:p>
      <w:pPr>
        <w:spacing w:line="440" w:lineRule="exact"/>
        <w:ind w:firstLine="420" w:firstLineChars="200"/>
        <w:rPr>
          <w:rFonts w:ascii="宋体"/>
          <w:szCs w:val="21"/>
          <w:highlight w:val="none"/>
        </w:rPr>
      </w:pPr>
      <w:r>
        <w:rPr>
          <w:rFonts w:hint="eastAsia" w:ascii="宋体"/>
          <w:szCs w:val="21"/>
          <w:highlight w:val="none"/>
        </w:rPr>
        <w:t>23.2在投标有效期内，投标人撤销或修改其投标文件的，应承担采购文件和法律规定的责任。</w:t>
      </w:r>
    </w:p>
    <w:p>
      <w:pPr>
        <w:spacing w:line="440" w:lineRule="exact"/>
        <w:ind w:firstLine="420" w:firstLineChars="200"/>
        <w:rPr>
          <w:rFonts w:ascii="宋体"/>
          <w:szCs w:val="21"/>
          <w:highlight w:val="none"/>
        </w:rPr>
      </w:pPr>
      <w:r>
        <w:rPr>
          <w:rFonts w:hint="eastAsia" w:ascii="宋体"/>
          <w:szCs w:val="21"/>
          <w:highlight w:val="none"/>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440" w:lineRule="exact"/>
        <w:ind w:firstLine="403" w:firstLineChars="192"/>
        <w:rPr>
          <w:rFonts w:ascii="宋体"/>
          <w:b/>
          <w:szCs w:val="21"/>
          <w:highlight w:val="none"/>
        </w:rPr>
      </w:pPr>
      <w:r>
        <w:rPr>
          <w:rFonts w:hint="eastAsia" w:ascii="宋体"/>
          <w:b/>
          <w:szCs w:val="21"/>
          <w:highlight w:val="none"/>
        </w:rPr>
        <w:t>24. 投标保证金</w:t>
      </w:r>
    </w:p>
    <w:p>
      <w:pPr>
        <w:spacing w:line="400" w:lineRule="exact"/>
        <w:ind w:firstLine="420" w:firstLineChars="200"/>
        <w:rPr>
          <w:rFonts w:ascii="宋体"/>
          <w:szCs w:val="21"/>
          <w:highlight w:val="none"/>
        </w:rPr>
      </w:pPr>
      <w:r>
        <w:rPr>
          <w:rFonts w:hint="eastAsia" w:ascii="宋体"/>
          <w:szCs w:val="21"/>
          <w:highlight w:val="none"/>
        </w:rPr>
        <w:t>24.1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pacing w:line="400" w:lineRule="exact"/>
        <w:ind w:firstLine="420" w:firstLineChars="200"/>
        <w:rPr>
          <w:rFonts w:ascii="宋体"/>
          <w:szCs w:val="21"/>
          <w:highlight w:val="none"/>
        </w:rPr>
      </w:pPr>
      <w:r>
        <w:rPr>
          <w:rFonts w:hint="eastAsia" w:ascii="宋体"/>
          <w:szCs w:val="21"/>
          <w:highlight w:val="none"/>
        </w:rPr>
        <w:t>24.2自中标通知书发出之日起5个工作日内退还未中标投标人的投标保证金，自政府采购合同签订之日起5个工作日内退还中标人的投标保证金。</w:t>
      </w:r>
    </w:p>
    <w:p>
      <w:pPr>
        <w:spacing w:line="400" w:lineRule="exact"/>
        <w:ind w:firstLine="420" w:firstLineChars="200"/>
        <w:rPr>
          <w:rFonts w:ascii="宋体"/>
          <w:szCs w:val="21"/>
          <w:highlight w:val="none"/>
        </w:rPr>
      </w:pPr>
      <w:r>
        <w:rPr>
          <w:rFonts w:hint="eastAsia" w:ascii="宋体"/>
          <w:szCs w:val="21"/>
          <w:highlight w:val="none"/>
        </w:rPr>
        <w:t xml:space="preserve">24.3有下列情形之一的，投标保证金将不予退还： </w:t>
      </w:r>
    </w:p>
    <w:p>
      <w:pPr>
        <w:spacing w:line="400" w:lineRule="exact"/>
        <w:ind w:firstLine="420" w:firstLineChars="200"/>
        <w:rPr>
          <w:rFonts w:ascii="宋体"/>
          <w:szCs w:val="21"/>
          <w:highlight w:val="none"/>
        </w:rPr>
      </w:pPr>
      <w:r>
        <w:rPr>
          <w:rFonts w:hint="eastAsia" w:ascii="宋体"/>
          <w:szCs w:val="21"/>
          <w:highlight w:val="none"/>
        </w:rPr>
        <w:t>（1）投标人在规定的投标有效期内撤回或修改其投标文件；</w:t>
      </w:r>
    </w:p>
    <w:p>
      <w:pPr>
        <w:spacing w:line="400" w:lineRule="exact"/>
        <w:ind w:firstLine="420" w:firstLineChars="200"/>
        <w:rPr>
          <w:rFonts w:ascii="宋体"/>
          <w:szCs w:val="21"/>
          <w:highlight w:val="none"/>
        </w:rPr>
      </w:pPr>
      <w:r>
        <w:rPr>
          <w:rFonts w:hint="eastAsia" w:ascii="宋体"/>
          <w:szCs w:val="21"/>
          <w:highlight w:val="none"/>
        </w:rPr>
        <w:t>（2）成交通知书发出后三十天内，中标人无正当理由拒签合同协议书或未按采购文件规定提交履约担保。</w:t>
      </w:r>
    </w:p>
    <w:p>
      <w:pPr>
        <w:spacing w:line="400" w:lineRule="exact"/>
        <w:ind w:firstLine="420" w:firstLineChars="200"/>
        <w:rPr>
          <w:rFonts w:ascii="宋体"/>
          <w:szCs w:val="21"/>
          <w:highlight w:val="none"/>
        </w:rPr>
      </w:pPr>
      <w:r>
        <w:rPr>
          <w:rFonts w:hint="eastAsia" w:ascii="宋体"/>
          <w:szCs w:val="21"/>
          <w:highlight w:val="none"/>
        </w:rPr>
        <w:t>（3）提供虚假材料谋取中标的；</w:t>
      </w:r>
    </w:p>
    <w:p>
      <w:pPr>
        <w:spacing w:line="400" w:lineRule="exact"/>
        <w:ind w:firstLine="420" w:firstLineChars="200"/>
        <w:rPr>
          <w:rFonts w:ascii="宋体"/>
          <w:szCs w:val="21"/>
          <w:highlight w:val="none"/>
        </w:rPr>
      </w:pPr>
      <w:r>
        <w:rPr>
          <w:rFonts w:hint="eastAsia" w:ascii="宋体"/>
          <w:szCs w:val="21"/>
          <w:highlight w:val="none"/>
        </w:rPr>
        <w:t>（4）经查实属于陪标、串通投标的等。</w:t>
      </w:r>
    </w:p>
    <w:p>
      <w:pPr>
        <w:spacing w:line="400" w:lineRule="exact"/>
        <w:ind w:firstLine="420" w:firstLineChars="200"/>
        <w:rPr>
          <w:rFonts w:ascii="宋体"/>
          <w:szCs w:val="21"/>
          <w:highlight w:val="none"/>
        </w:rPr>
      </w:pPr>
      <w:bookmarkStart w:id="46" w:name="_Toc469495727"/>
      <w:r>
        <w:rPr>
          <w:rFonts w:hint="eastAsia" w:ascii="宋体"/>
          <w:szCs w:val="21"/>
          <w:highlight w:val="none"/>
        </w:rPr>
        <w:t>24.4投标保证金按投标人须知前附表第24条规定执行。</w:t>
      </w:r>
    </w:p>
    <w:p>
      <w:pPr>
        <w:pStyle w:val="3"/>
        <w:jc w:val="center"/>
        <w:rPr>
          <w:sz w:val="28"/>
          <w:szCs w:val="28"/>
          <w:highlight w:val="none"/>
        </w:rPr>
      </w:pPr>
      <w:bookmarkStart w:id="47" w:name="_Toc859"/>
      <w:r>
        <w:rPr>
          <w:rFonts w:hint="eastAsia"/>
          <w:sz w:val="28"/>
          <w:szCs w:val="28"/>
          <w:highlight w:val="none"/>
        </w:rPr>
        <w:t>（四）</w:t>
      </w:r>
      <w:bookmarkEnd w:id="46"/>
      <w:r>
        <w:rPr>
          <w:rFonts w:hint="eastAsia"/>
          <w:sz w:val="28"/>
          <w:szCs w:val="28"/>
          <w:highlight w:val="none"/>
        </w:rPr>
        <w:t>投标文件的制作、上传及递交要求</w:t>
      </w:r>
      <w:bookmarkEnd w:id="47"/>
    </w:p>
    <w:p>
      <w:pPr>
        <w:snapToGrid w:val="0"/>
        <w:spacing w:line="360" w:lineRule="auto"/>
        <w:ind w:firstLine="420" w:firstLineChars="200"/>
        <w:rPr>
          <w:rFonts w:ascii="宋体" w:hAnsi="宋体" w:cs="宋体"/>
          <w:b/>
          <w:szCs w:val="21"/>
          <w:highlight w:val="none"/>
        </w:rPr>
      </w:pPr>
      <w:r>
        <w:rPr>
          <w:rFonts w:hint="eastAsia" w:ascii="宋体" w:hAnsi="宋体" w:cs="宋体"/>
          <w:b/>
          <w:bCs/>
          <w:szCs w:val="21"/>
          <w:highlight w:val="none"/>
        </w:rPr>
        <w:t>25.投标文件的制作要求</w:t>
      </w:r>
    </w:p>
    <w:p>
      <w:pPr>
        <w:pStyle w:val="6"/>
        <w:snapToGrid w:val="0"/>
        <w:spacing w:line="360" w:lineRule="auto"/>
        <w:rPr>
          <w:rFonts w:ascii="宋体" w:hAnsi="宋体" w:cs="宋体"/>
          <w:sz w:val="21"/>
          <w:szCs w:val="21"/>
          <w:highlight w:val="none"/>
        </w:rPr>
      </w:pPr>
      <w:r>
        <w:rPr>
          <w:rFonts w:hint="eastAsia" w:ascii="宋体" w:hAnsi="宋体" w:cs="宋体"/>
          <w:bCs/>
          <w:sz w:val="21"/>
          <w:szCs w:val="21"/>
          <w:highlight w:val="none"/>
        </w:rPr>
        <w:t>（1）供应商应按照投标文件组成内容及项目招标需求和新疆政府采购云平台要求制作投标文件，不按采购文件和新疆政府采购云平台要求制作投标文件的将视情况处理（拒收等），由此产生的责任由供应商自行承担。</w:t>
      </w:r>
    </w:p>
    <w:p>
      <w:pPr>
        <w:pStyle w:val="6"/>
        <w:snapToGrid w:val="0"/>
        <w:spacing w:line="360" w:lineRule="auto"/>
        <w:ind w:firstLine="420" w:firstLineChars="200"/>
        <w:rPr>
          <w:rFonts w:ascii="宋体" w:hAnsi="宋体" w:cs="宋体"/>
          <w:sz w:val="21"/>
          <w:szCs w:val="21"/>
          <w:highlight w:val="none"/>
        </w:rPr>
      </w:pPr>
      <w:r>
        <w:rPr>
          <w:rFonts w:hint="eastAsia" w:ascii="宋体" w:hAnsi="宋体" w:cs="宋体"/>
          <w:bCs/>
          <w:sz w:val="21"/>
          <w:szCs w:val="21"/>
          <w:highlight w:val="none"/>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6"/>
        <w:snapToGrid w:val="0"/>
        <w:spacing w:line="360"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备份电子投标文件：通过“政采云”平台电子投标工具制作投标文件所产生的备份文件。</w:t>
      </w:r>
    </w:p>
    <w:p>
      <w:pPr>
        <w:pStyle w:val="6"/>
        <w:snapToGrid w:val="0"/>
        <w:spacing w:line="360" w:lineRule="auto"/>
        <w:rPr>
          <w:rFonts w:ascii="宋体" w:hAnsi="宋体" w:cs="宋体"/>
          <w:bCs/>
          <w:sz w:val="21"/>
          <w:szCs w:val="21"/>
          <w:highlight w:val="none"/>
        </w:rPr>
      </w:pPr>
      <w:r>
        <w:rPr>
          <w:rFonts w:hint="eastAsia" w:ascii="宋体" w:hAnsi="宋体" w:cs="宋体"/>
          <w:bCs/>
          <w:sz w:val="21"/>
          <w:szCs w:val="21"/>
          <w:highlight w:val="none"/>
        </w:rPr>
        <w:t>（2）供应商应对所提供的全部资料的真实性、有效性承担法律责任，电子投标文件中所须加盖公章部分均采用CA签章。</w:t>
      </w:r>
    </w:p>
    <w:p>
      <w:pPr>
        <w:pStyle w:val="6"/>
        <w:snapToGrid w:val="0"/>
        <w:spacing w:line="360" w:lineRule="auto"/>
        <w:rPr>
          <w:rFonts w:ascii="宋体" w:hAnsi="宋体" w:cs="宋体"/>
          <w:bCs/>
          <w:sz w:val="21"/>
          <w:szCs w:val="21"/>
          <w:highlight w:val="none"/>
        </w:rPr>
      </w:pPr>
      <w:r>
        <w:rPr>
          <w:rFonts w:hint="eastAsia" w:ascii="宋体" w:hAnsi="宋体" w:cs="宋体"/>
          <w:bCs/>
          <w:sz w:val="21"/>
          <w:szCs w:val="21"/>
          <w:highlight w:val="none"/>
        </w:rPr>
        <w:t>（3）投标文件以及供应商与采购组织机构就有关投标事宜的所有来往函电，均应以中文汉语书写。除签字、盖章、专用名称等特殊情形外，以中文汉语以外的文字表述的投标文件视同未提供。</w:t>
      </w:r>
    </w:p>
    <w:p>
      <w:pPr>
        <w:pStyle w:val="6"/>
        <w:snapToGrid w:val="0"/>
        <w:spacing w:line="360" w:lineRule="auto"/>
        <w:rPr>
          <w:rFonts w:ascii="宋体" w:hAnsi="宋体" w:cs="宋体"/>
          <w:bCs/>
          <w:sz w:val="21"/>
          <w:szCs w:val="21"/>
          <w:highlight w:val="none"/>
        </w:rPr>
      </w:pPr>
      <w:r>
        <w:rPr>
          <w:rFonts w:hint="eastAsia" w:ascii="宋体" w:hAnsi="宋体" w:cs="宋体"/>
          <w:bCs/>
          <w:sz w:val="21"/>
          <w:szCs w:val="21"/>
          <w:highlight w:val="none"/>
        </w:rPr>
        <w:t>（4）投标计量单位，采购文件已有明确规定的，使用采购文件规定的计量单位；采购文件没有规定的，应采用中华人民共和国法定计量单位（货币单位：人民币元）。</w:t>
      </w:r>
    </w:p>
    <w:p>
      <w:pPr>
        <w:pStyle w:val="6"/>
        <w:snapToGrid w:val="0"/>
        <w:spacing w:line="360" w:lineRule="auto"/>
        <w:rPr>
          <w:rFonts w:ascii="宋体" w:hAnsi="宋体" w:cs="宋体"/>
          <w:bCs/>
          <w:sz w:val="21"/>
          <w:szCs w:val="21"/>
          <w:highlight w:val="none"/>
        </w:rPr>
      </w:pPr>
      <w:r>
        <w:rPr>
          <w:rFonts w:hint="eastAsia" w:ascii="宋体" w:hAnsi="宋体" w:cs="宋体"/>
          <w:bCs/>
          <w:sz w:val="21"/>
          <w:szCs w:val="21"/>
          <w:highlight w:val="none"/>
        </w:rPr>
        <w:t>（5）若供应商不按采购文件的要求提供资格审查材料，其风险由供应商自行承担。</w:t>
      </w:r>
    </w:p>
    <w:p>
      <w:pPr>
        <w:pStyle w:val="6"/>
        <w:snapToGrid w:val="0"/>
        <w:spacing w:line="360" w:lineRule="auto"/>
        <w:rPr>
          <w:rFonts w:ascii="宋体" w:hAnsi="宋体" w:cs="宋体"/>
          <w:bCs/>
          <w:sz w:val="21"/>
          <w:szCs w:val="21"/>
          <w:highlight w:val="none"/>
        </w:rPr>
      </w:pPr>
      <w:r>
        <w:rPr>
          <w:rFonts w:hint="eastAsia" w:ascii="宋体" w:hAnsi="宋体" w:cs="宋体"/>
          <w:bCs/>
          <w:sz w:val="21"/>
          <w:szCs w:val="21"/>
          <w:highlight w:val="none"/>
        </w:rPr>
        <w:t>（6）与本次投标无关的内容请不要制作在内，确保投标文件有针对性、简洁明了。</w:t>
      </w:r>
    </w:p>
    <w:p>
      <w:pPr>
        <w:snapToGrid w:val="0"/>
        <w:spacing w:line="360" w:lineRule="auto"/>
        <w:ind w:firstLine="420" w:firstLineChars="200"/>
        <w:rPr>
          <w:rFonts w:ascii="宋体" w:hAnsi="宋体" w:cs="宋体"/>
          <w:b/>
          <w:szCs w:val="21"/>
          <w:highlight w:val="none"/>
        </w:rPr>
      </w:pPr>
      <w:r>
        <w:rPr>
          <w:rFonts w:hint="eastAsia" w:ascii="宋体" w:hAnsi="宋体" w:cs="宋体"/>
          <w:b/>
          <w:bCs/>
          <w:szCs w:val="21"/>
          <w:highlight w:val="none"/>
        </w:rPr>
        <w:t>26.投标文件的上传</w:t>
      </w:r>
    </w:p>
    <w:p>
      <w:pPr>
        <w:pStyle w:val="6"/>
        <w:snapToGrid w:val="0"/>
        <w:spacing w:line="360" w:lineRule="auto"/>
        <w:rPr>
          <w:rFonts w:ascii="宋体" w:hAnsi="宋体" w:cs="宋体"/>
          <w:b/>
          <w:bCs/>
          <w:sz w:val="21"/>
          <w:szCs w:val="21"/>
          <w:highlight w:val="none"/>
        </w:rPr>
      </w:pPr>
      <w:r>
        <w:rPr>
          <w:rFonts w:hint="eastAsia" w:ascii="宋体" w:hAnsi="宋体" w:cs="宋体"/>
          <w:b/>
          <w:bCs/>
          <w:sz w:val="21"/>
          <w:szCs w:val="21"/>
          <w:highlight w:val="none"/>
        </w:rPr>
        <w:t>（1）</w:t>
      </w:r>
      <w:r>
        <w:rPr>
          <w:rFonts w:hint="eastAsia" w:ascii="宋体" w:hAnsi="宋体" w:cs="宋体"/>
          <w:b/>
          <w:bCs/>
          <w:sz w:val="21"/>
          <w:szCs w:val="21"/>
          <w:highlight w:val="none"/>
          <w:lang w:bidi="zh-CN"/>
        </w:rPr>
        <w:t>电子加密投标文件（“.jmbs”格式）</w:t>
      </w:r>
      <w:r>
        <w:rPr>
          <w:rFonts w:hint="eastAsia" w:ascii="宋体" w:hAnsi="宋体" w:cs="宋体"/>
          <w:b/>
          <w:bCs/>
          <w:sz w:val="21"/>
          <w:szCs w:val="21"/>
          <w:highlight w:val="none"/>
        </w:rPr>
        <w:t>：</w:t>
      </w:r>
    </w:p>
    <w:p>
      <w:pPr>
        <w:pStyle w:val="6"/>
        <w:snapToGrid w:val="0"/>
        <w:spacing w:line="360" w:lineRule="auto"/>
        <w:ind w:firstLine="525" w:firstLineChars="250"/>
        <w:rPr>
          <w:rFonts w:ascii="宋体" w:hAnsi="宋体" w:cs="宋体"/>
          <w:bCs/>
          <w:sz w:val="21"/>
          <w:szCs w:val="21"/>
          <w:highlight w:val="none"/>
          <w:lang w:bidi="zh-CN"/>
        </w:rPr>
      </w:pPr>
      <w:r>
        <w:rPr>
          <w:rFonts w:hint="eastAsia" w:ascii="宋体" w:hAnsi="宋体" w:cs="宋体"/>
          <w:bCs/>
          <w:sz w:val="21"/>
          <w:szCs w:val="21"/>
          <w:highlight w:val="none"/>
          <w:lang w:bidi="zh-CN"/>
        </w:rPr>
        <w:t>a.</w:t>
      </w:r>
      <w:r>
        <w:rPr>
          <w:rFonts w:hint="eastAsia" w:ascii="宋体" w:hAnsi="宋体" w:cs="宋体"/>
          <w:bCs/>
          <w:sz w:val="21"/>
          <w:szCs w:val="21"/>
          <w:highlight w:val="none"/>
        </w:rPr>
        <w:t xml:space="preserve"> </w:t>
      </w:r>
      <w:r>
        <w:rPr>
          <w:rFonts w:hint="eastAsia" w:ascii="宋体" w:hAnsi="宋体" w:cs="宋体"/>
          <w:bCs/>
          <w:sz w:val="21"/>
          <w:szCs w:val="21"/>
          <w:highlight w:val="none"/>
          <w:lang w:bidi="zh-CN"/>
        </w:rPr>
        <w:t>供应商应在投标截止时间前将电子加密投标文件成功上传递交至新疆政府采购云平台，否则投标无效；</w:t>
      </w:r>
    </w:p>
    <w:p>
      <w:pPr>
        <w:pStyle w:val="6"/>
        <w:snapToGrid w:val="0"/>
        <w:spacing w:line="360" w:lineRule="auto"/>
        <w:ind w:firstLine="525" w:firstLineChars="250"/>
        <w:rPr>
          <w:rFonts w:ascii="宋体" w:hAnsi="宋体" w:cs="宋体"/>
          <w:bCs/>
          <w:sz w:val="21"/>
          <w:szCs w:val="21"/>
          <w:highlight w:val="none"/>
        </w:rPr>
      </w:pPr>
      <w:r>
        <w:rPr>
          <w:rFonts w:hint="eastAsia" w:ascii="宋体" w:hAnsi="宋体" w:cs="宋体"/>
          <w:bCs/>
          <w:sz w:val="21"/>
          <w:szCs w:val="21"/>
          <w:highlight w:val="none"/>
          <w:lang w:bidi="zh-CN"/>
        </w:rPr>
        <w:t>b.供应商成功上传电子加密投标文件后，可自行打印投标文件接收回执。</w:t>
      </w:r>
    </w:p>
    <w:p>
      <w:pPr>
        <w:pStyle w:val="6"/>
        <w:snapToGrid w:val="0"/>
        <w:spacing w:line="360" w:lineRule="auto"/>
        <w:rPr>
          <w:rFonts w:ascii="宋体" w:hAnsi="宋体" w:cs="宋体"/>
          <w:b/>
          <w:bCs/>
          <w:sz w:val="21"/>
          <w:szCs w:val="21"/>
          <w:highlight w:val="none"/>
          <w:lang w:bidi="zh-CN"/>
        </w:rPr>
      </w:pPr>
      <w:r>
        <w:rPr>
          <w:rFonts w:hint="eastAsia" w:ascii="宋体" w:hAnsi="宋体" w:cs="宋体"/>
          <w:b/>
          <w:bCs/>
          <w:sz w:val="21"/>
          <w:szCs w:val="21"/>
          <w:highlight w:val="none"/>
        </w:rPr>
        <w:t>（2）</w:t>
      </w:r>
      <w:r>
        <w:rPr>
          <w:rFonts w:hint="eastAsia" w:ascii="宋体" w:hAnsi="宋体" w:cs="宋体"/>
          <w:b/>
          <w:bCs/>
          <w:sz w:val="21"/>
          <w:szCs w:val="21"/>
          <w:highlight w:val="none"/>
          <w:lang w:bidi="zh-CN"/>
        </w:rPr>
        <w:t>备份投标文件（“.bfbs”格式）：</w:t>
      </w:r>
    </w:p>
    <w:p>
      <w:pPr>
        <w:pStyle w:val="6"/>
        <w:snapToGrid w:val="0"/>
        <w:spacing w:line="360" w:lineRule="auto"/>
        <w:ind w:firstLine="525" w:firstLineChars="250"/>
        <w:rPr>
          <w:rFonts w:ascii="宋体" w:hAnsi="宋体" w:cs="宋体"/>
          <w:color w:val="auto"/>
          <w:sz w:val="21"/>
          <w:szCs w:val="21"/>
          <w:highlight w:val="none"/>
          <w:lang w:bidi="zh-CN"/>
        </w:rPr>
      </w:pPr>
      <w:r>
        <w:rPr>
          <w:rFonts w:hint="eastAsia" w:ascii="宋体" w:hAnsi="宋体" w:cs="宋体"/>
          <w:bCs/>
          <w:sz w:val="21"/>
          <w:szCs w:val="21"/>
          <w:highlight w:val="none"/>
          <w:lang w:bidi="zh-CN"/>
        </w:rPr>
        <w:t>a.供应商可以将备份投标文件打包压缩并加密，压缩包命名为“XX单位备份投标文件”，加密密码由供应商自行保管；送达时间以采购代理机构实际接收时间为准。</w:t>
      </w:r>
      <w:r>
        <w:rPr>
          <w:rFonts w:hint="eastAsia" w:ascii="宋体" w:hAnsi="宋体" w:cs="宋体"/>
          <w:sz w:val="21"/>
          <w:szCs w:val="21"/>
          <w:highlight w:val="none"/>
          <w:lang w:bidi="zh-CN"/>
        </w:rPr>
        <w:t>“备份投标文件”以投标截止时间前指定接收邮箱最终收到的文件为准，逾期或未按要求提供的视为未提供，建议供应商提前1日办理邮件提</w:t>
      </w:r>
      <w:r>
        <w:rPr>
          <w:rFonts w:hint="eastAsia" w:ascii="宋体" w:hAnsi="宋体" w:cs="宋体"/>
          <w:color w:val="auto"/>
          <w:sz w:val="21"/>
          <w:szCs w:val="21"/>
          <w:highlight w:val="none"/>
          <w:lang w:bidi="zh-CN"/>
        </w:rPr>
        <w:t>供事宜（接收人邮箱：</w:t>
      </w:r>
      <w:r>
        <w:rPr>
          <w:color w:val="auto"/>
          <w:highlight w:val="none"/>
          <w:u w:val="single"/>
        </w:rPr>
        <w:fldChar w:fldCharType="begin"/>
      </w:r>
      <w:r>
        <w:rPr>
          <w:color w:val="auto"/>
          <w:highlight w:val="none"/>
          <w:u w:val="single"/>
        </w:rPr>
        <w:instrText xml:space="preserve"> HYPERLINK "mailto:1207446769@qq.com，接收人：陈加轲，电话：15157655122" </w:instrText>
      </w:r>
      <w:r>
        <w:rPr>
          <w:color w:val="auto"/>
          <w:highlight w:val="none"/>
          <w:u w:val="single"/>
        </w:rPr>
        <w:fldChar w:fldCharType="separate"/>
      </w:r>
      <w:r>
        <w:rPr>
          <w:rFonts w:hint="eastAsia" w:ascii="宋体" w:hAnsi="宋体" w:cs="宋体"/>
          <w:color w:val="auto"/>
          <w:sz w:val="21"/>
          <w:szCs w:val="21"/>
          <w:highlight w:val="none"/>
          <w:u w:val="single"/>
          <w:lang w:bidi="zh-CN"/>
        </w:rPr>
        <w:t>759733443@qq.cpm</w:t>
      </w:r>
      <w:r>
        <w:rPr>
          <w:rStyle w:val="30"/>
          <w:rFonts w:hint="eastAsia" w:ascii="宋体" w:hAnsi="宋体" w:cs="宋体"/>
          <w:color w:val="auto"/>
          <w:sz w:val="21"/>
          <w:szCs w:val="21"/>
          <w:highlight w:val="none"/>
          <w:u w:val="single"/>
          <w:lang w:bidi="zh-CN"/>
        </w:rPr>
        <w:t>，接收人：邓</w:t>
      </w:r>
      <w:r>
        <w:rPr>
          <w:rFonts w:hint="eastAsia" w:ascii="宋体" w:hAnsi="宋体" w:cs="宋体"/>
          <w:color w:val="auto"/>
          <w:sz w:val="21"/>
          <w:szCs w:val="21"/>
          <w:highlight w:val="none"/>
          <w:u w:val="single"/>
          <w:lang w:bidi="zh-CN"/>
        </w:rPr>
        <w:t>女士</w:t>
      </w:r>
      <w:r>
        <w:rPr>
          <w:rStyle w:val="30"/>
          <w:rFonts w:hint="eastAsia" w:ascii="宋体" w:hAnsi="宋体" w:cs="宋体"/>
          <w:color w:val="auto"/>
          <w:sz w:val="21"/>
          <w:szCs w:val="21"/>
          <w:highlight w:val="none"/>
          <w:u w:val="single"/>
          <w:lang w:bidi="zh-CN"/>
        </w:rPr>
        <w:t>，电话：</w:t>
      </w:r>
      <w:r>
        <w:rPr>
          <w:rFonts w:hint="eastAsia" w:ascii="宋体" w:hAnsi="宋体" w:cs="宋体"/>
          <w:color w:val="auto"/>
          <w:sz w:val="21"/>
          <w:szCs w:val="21"/>
          <w:highlight w:val="none"/>
          <w:u w:val="single"/>
          <w:lang w:bidi="zh-CN"/>
        </w:rPr>
        <w:t>1</w:t>
      </w:r>
      <w:r>
        <w:rPr>
          <w:rFonts w:hint="eastAsia" w:ascii="宋体" w:hAnsi="宋体" w:cs="宋体"/>
          <w:color w:val="auto"/>
          <w:sz w:val="21"/>
          <w:szCs w:val="21"/>
          <w:highlight w:val="none"/>
          <w:u w:val="single"/>
          <w:lang w:bidi="zh-CN"/>
        </w:rPr>
        <w:fldChar w:fldCharType="end"/>
      </w:r>
      <w:r>
        <w:rPr>
          <w:rFonts w:hint="eastAsia" w:ascii="宋体" w:hAnsi="宋体" w:cs="宋体"/>
          <w:color w:val="auto"/>
          <w:sz w:val="21"/>
          <w:szCs w:val="21"/>
          <w:highlight w:val="none"/>
          <w:u w:val="single"/>
          <w:lang w:val="en-US" w:bidi="zh-CN"/>
        </w:rPr>
        <w:t>3364782532</w:t>
      </w:r>
      <w:r>
        <w:rPr>
          <w:rFonts w:hint="eastAsia" w:ascii="宋体" w:hAnsi="宋体" w:cs="宋体"/>
          <w:color w:val="auto"/>
          <w:sz w:val="21"/>
          <w:szCs w:val="21"/>
          <w:highlight w:val="none"/>
          <w:lang w:bidi="zh-CN"/>
        </w:rPr>
        <w:t>）；</w:t>
      </w:r>
    </w:p>
    <w:p>
      <w:pPr>
        <w:pStyle w:val="6"/>
        <w:snapToGrid w:val="0"/>
        <w:spacing w:line="360" w:lineRule="auto"/>
        <w:ind w:firstLine="525" w:firstLineChars="250"/>
        <w:rPr>
          <w:rFonts w:ascii="宋体" w:hAnsi="宋体" w:cs="宋体"/>
          <w:bCs/>
          <w:sz w:val="21"/>
          <w:szCs w:val="21"/>
          <w:highlight w:val="none"/>
          <w:lang w:bidi="zh-CN"/>
        </w:rPr>
      </w:pPr>
      <w:r>
        <w:rPr>
          <w:rFonts w:hint="eastAsia" w:ascii="宋体" w:hAnsi="宋体" w:cs="宋体"/>
          <w:bCs/>
          <w:sz w:val="21"/>
          <w:szCs w:val="21"/>
          <w:highlight w:val="none"/>
          <w:lang w:bidi="zh-CN"/>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snapToGrid w:val="0"/>
        <w:spacing w:line="360" w:lineRule="auto"/>
        <w:ind w:firstLine="420" w:firstLineChars="200"/>
        <w:rPr>
          <w:rFonts w:ascii="宋体" w:hAnsi="宋体" w:cs="宋体"/>
          <w:b/>
          <w:szCs w:val="21"/>
          <w:highlight w:val="none"/>
        </w:rPr>
      </w:pPr>
      <w:r>
        <w:rPr>
          <w:rFonts w:hint="eastAsia" w:ascii="宋体" w:hAnsi="宋体" w:cs="宋体"/>
          <w:b/>
          <w:bCs/>
          <w:szCs w:val="21"/>
          <w:highlight w:val="none"/>
        </w:rPr>
        <w:t>27.</w:t>
      </w:r>
      <w:r>
        <w:rPr>
          <w:rFonts w:hint="eastAsia" w:ascii="宋体" w:hAnsi="宋体" w:cs="宋体"/>
          <w:b/>
          <w:szCs w:val="21"/>
          <w:highlight w:val="none"/>
        </w:rPr>
        <w:t>投标文件的递交要求</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（1）供应商须按照采购文件和政采云平台的要求编制并加密投标文件。在投标文件递交截止时间以前完成投标文件的传输递交，截止时间后递交的投标文件，将被拒收。</w:t>
      </w:r>
    </w:p>
    <w:p>
      <w:pPr>
        <w:tabs>
          <w:tab w:val="left" w:pos="1418"/>
        </w:tabs>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（2）备份电子投标文件必须在投标截止时间前送达指定的投标地点。备份电子投标文件在截止时间后提交，采购组织机构将拒绝接收。</w:t>
      </w:r>
    </w:p>
    <w:p>
      <w:pPr>
        <w:tabs>
          <w:tab w:val="left" w:pos="1418"/>
        </w:tabs>
        <w:autoSpaceDE w:val="0"/>
        <w:autoSpaceDN w:val="0"/>
        <w:adjustRightInd w:val="0"/>
        <w:snapToGrid w:val="0"/>
        <w:spacing w:line="360" w:lineRule="auto"/>
        <w:ind w:firstLine="420" w:firstLineChars="200"/>
        <w:rPr>
          <w:rFonts w:ascii="宋体" w:hAnsi="宋体"/>
          <w:szCs w:val="21"/>
          <w:highlight w:val="none"/>
        </w:rPr>
      </w:pPr>
      <w:r>
        <w:rPr>
          <w:rFonts w:hint="eastAsia" w:ascii="宋体" w:hAnsi="宋体" w:cs="宋体"/>
          <w:szCs w:val="21"/>
          <w:highlight w:val="none"/>
        </w:rPr>
        <w:t>（3）如有特殊情况，采购组织机构延长截止时间和开标时间，采购组织机构和供应商的权利和义务将受到新的截止时间和开标时间的约束。</w:t>
      </w:r>
    </w:p>
    <w:p>
      <w:pPr>
        <w:snapToGrid w:val="0"/>
        <w:spacing w:line="360" w:lineRule="auto"/>
        <w:ind w:firstLine="420" w:firstLineChars="200"/>
        <w:rPr>
          <w:rFonts w:ascii="宋体" w:hAnsi="宋体" w:cs="宋体"/>
          <w:b/>
          <w:bCs/>
          <w:szCs w:val="21"/>
          <w:highlight w:val="none"/>
        </w:rPr>
      </w:pPr>
      <w:r>
        <w:rPr>
          <w:rFonts w:hint="eastAsia" w:ascii="宋体" w:hAnsi="宋体" w:cs="宋体"/>
          <w:b/>
          <w:bCs/>
          <w:szCs w:val="21"/>
          <w:highlight w:val="none"/>
        </w:rPr>
        <w:t>28．投标文件的补充、修改与撤回</w:t>
      </w:r>
    </w:p>
    <w:p>
      <w:pPr>
        <w:tabs>
          <w:tab w:val="left" w:pos="960"/>
          <w:tab w:val="left" w:pos="1418"/>
        </w:tabs>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spacing w:before="312" w:beforeLines="100" w:after="312" w:afterLines="100" w:line="440" w:lineRule="exact"/>
        <w:jc w:val="center"/>
        <w:outlineLvl w:val="2"/>
        <w:rPr>
          <w:rFonts w:ascii="黑体" w:eastAsia="黑体"/>
          <w:sz w:val="28"/>
          <w:szCs w:val="28"/>
          <w:highlight w:val="none"/>
        </w:rPr>
      </w:pPr>
      <w:bookmarkStart w:id="48" w:name="_Toc469495728"/>
      <w:bookmarkStart w:id="49" w:name="_Toc6569"/>
      <w:r>
        <w:rPr>
          <w:rFonts w:hint="eastAsia" w:ascii="黑体" w:eastAsia="黑体"/>
          <w:sz w:val="28"/>
          <w:szCs w:val="28"/>
          <w:highlight w:val="none"/>
        </w:rPr>
        <w:t>（五）开 标、评标和定标</w:t>
      </w:r>
      <w:bookmarkEnd w:id="48"/>
      <w:bookmarkEnd w:id="49"/>
    </w:p>
    <w:p>
      <w:pPr>
        <w:snapToGrid w:val="0"/>
        <w:spacing w:line="360" w:lineRule="auto"/>
        <w:ind w:firstLine="420" w:firstLineChars="200"/>
        <w:rPr>
          <w:rFonts w:ascii="宋体" w:hAnsi="宋体" w:cs="宋体"/>
          <w:b/>
          <w:bCs/>
          <w:szCs w:val="21"/>
          <w:highlight w:val="none"/>
        </w:rPr>
      </w:pPr>
      <w:r>
        <w:rPr>
          <w:rFonts w:hint="eastAsia" w:ascii="宋体" w:hAnsi="宋体" w:cs="宋体"/>
          <w:b/>
          <w:bCs/>
          <w:szCs w:val="21"/>
          <w:highlight w:val="none"/>
        </w:rPr>
        <w:t>29. 开标</w:t>
      </w:r>
    </w:p>
    <w:p>
      <w:pPr>
        <w:snapToGrid w:val="0"/>
        <w:spacing w:line="360" w:lineRule="auto"/>
        <w:ind w:firstLine="420" w:firstLineChars="200"/>
        <w:rPr>
          <w:rFonts w:ascii="宋体" w:hAnsi="宋体" w:cs="宋体"/>
          <w:b/>
          <w:bCs/>
          <w:szCs w:val="21"/>
          <w:highlight w:val="none"/>
        </w:rPr>
      </w:pPr>
      <w:bookmarkStart w:id="50" w:name="_Toc73975822"/>
      <w:r>
        <w:rPr>
          <w:rFonts w:hint="eastAsia" w:ascii="宋体" w:hAnsi="宋体" w:cs="宋体"/>
          <w:b/>
          <w:bCs/>
          <w:szCs w:val="21"/>
          <w:highlight w:val="none"/>
        </w:rPr>
        <w:t>29.1开标邀请</w:t>
      </w:r>
      <w:bookmarkEnd w:id="50"/>
    </w:p>
    <w:p>
      <w:pPr>
        <w:pStyle w:val="12"/>
        <w:snapToGrid w:val="0"/>
        <w:spacing w:line="360" w:lineRule="auto"/>
        <w:ind w:firstLine="420" w:firstLineChars="200"/>
        <w:rPr>
          <w:rFonts w:hAnsi="宋体" w:cs="宋体"/>
          <w:bCs/>
          <w:color w:val="auto"/>
          <w:szCs w:val="21"/>
          <w:highlight w:val="none"/>
        </w:rPr>
      </w:pPr>
      <w:r>
        <w:rPr>
          <w:rFonts w:hint="eastAsia" w:hAnsi="宋体" w:cs="宋体"/>
          <w:bCs/>
          <w:color w:val="auto"/>
          <w:szCs w:val="21"/>
          <w:highlight w:val="none"/>
        </w:rPr>
        <w:t>（1）开标准备：本项目开标的准备工作由采购组织机构负责落实，开标过程由采购组织机构负责记录；</w:t>
      </w:r>
    </w:p>
    <w:p>
      <w:pPr>
        <w:pStyle w:val="12"/>
        <w:snapToGrid w:val="0"/>
        <w:spacing w:line="360" w:lineRule="auto"/>
        <w:ind w:firstLine="420" w:firstLineChars="200"/>
        <w:rPr>
          <w:rFonts w:hAnsi="宋体" w:cs="宋体"/>
          <w:bCs/>
          <w:color w:val="auto"/>
          <w:szCs w:val="21"/>
          <w:highlight w:val="none"/>
        </w:rPr>
      </w:pPr>
      <w:r>
        <w:rPr>
          <w:rFonts w:hint="eastAsia" w:hAnsi="宋体" w:cs="宋体"/>
          <w:bCs/>
          <w:color w:val="auto"/>
          <w:szCs w:val="21"/>
          <w:highlight w:val="none"/>
        </w:rPr>
        <w:t>（2）开标主持：本项目开标由采购人或者采购代理机构主持；</w:t>
      </w:r>
    </w:p>
    <w:p>
      <w:pPr>
        <w:pStyle w:val="12"/>
        <w:snapToGrid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（3）开标邀请：本项目采用电子交易，采购组织机构将按照采购文件规定的时间通过“新疆政府采购云平台，网址：</w:t>
      </w:r>
      <w:r>
        <w:rPr>
          <w:highlight w:val="none"/>
        </w:rPr>
        <w:fldChar w:fldCharType="begin"/>
      </w:r>
      <w:r>
        <w:rPr>
          <w:highlight w:val="none"/>
        </w:rPr>
        <w:instrText xml:space="preserve"> HYPERLINK "http://www.zcygov.cn" </w:instrText>
      </w:r>
      <w:r>
        <w:rPr>
          <w:highlight w:val="none"/>
        </w:rPr>
        <w:fldChar w:fldCharType="separate"/>
      </w:r>
      <w:r>
        <w:rPr>
          <w:rStyle w:val="30"/>
          <w:rFonts w:hint="eastAsia" w:hAnsi="宋体" w:cs="宋体"/>
          <w:color w:val="auto"/>
          <w:szCs w:val="21"/>
          <w:highlight w:val="none"/>
          <w:u w:val="none"/>
        </w:rPr>
        <w:t>www.zcygov.cn</w:t>
      </w:r>
      <w:r>
        <w:rPr>
          <w:rStyle w:val="30"/>
          <w:rFonts w:hint="eastAsia" w:hAnsi="宋体" w:cs="宋体"/>
          <w:color w:val="auto"/>
          <w:szCs w:val="21"/>
          <w:highlight w:val="none"/>
          <w:u w:val="none"/>
        </w:rPr>
        <w:fldChar w:fldCharType="end"/>
      </w:r>
      <w:r>
        <w:rPr>
          <w:rFonts w:hint="eastAsia" w:hAnsi="宋体" w:cs="宋体"/>
          <w:color w:val="auto"/>
          <w:szCs w:val="21"/>
          <w:highlight w:val="none"/>
        </w:rPr>
        <w:t>”组织开标、开启投标响应文件，所有供应商均应当准时在线参加。</w:t>
      </w:r>
    </w:p>
    <w:p>
      <w:pPr>
        <w:pStyle w:val="12"/>
        <w:snapToGrid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napToGrid w:val="0"/>
        <w:spacing w:line="360" w:lineRule="auto"/>
        <w:ind w:firstLine="420" w:firstLineChars="200"/>
        <w:outlineLvl w:val="2"/>
        <w:rPr>
          <w:rFonts w:ascii="宋体" w:hAnsi="宋体" w:cs="宋体"/>
          <w:b/>
          <w:szCs w:val="21"/>
          <w:highlight w:val="none"/>
        </w:rPr>
      </w:pPr>
      <w:bookmarkStart w:id="51" w:name="_Toc7364"/>
      <w:bookmarkStart w:id="52" w:name="_Toc73975823"/>
      <w:r>
        <w:rPr>
          <w:rFonts w:hint="eastAsia" w:ascii="宋体" w:hAnsi="宋体" w:cs="宋体"/>
          <w:b/>
          <w:szCs w:val="21"/>
          <w:highlight w:val="none"/>
        </w:rPr>
        <w:t>29.2</w:t>
      </w:r>
      <w:r>
        <w:rPr>
          <w:rFonts w:hint="eastAsia" w:ascii="宋体" w:hAnsi="宋体" w:cs="宋体"/>
          <w:b/>
          <w:bCs/>
          <w:szCs w:val="21"/>
          <w:highlight w:val="none"/>
        </w:rPr>
        <w:t>开标程序</w:t>
      </w:r>
      <w:bookmarkEnd w:id="51"/>
      <w:bookmarkEnd w:id="52"/>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（1）开标时间到后，主持人宣布开标会议开始。</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w:t>
      </w:r>
      <w:r>
        <w:rPr>
          <w:rFonts w:hint="eastAsia" w:ascii="宋体" w:hAnsi="宋体" w:cs="宋体"/>
          <w:kern w:val="0"/>
          <w:szCs w:val="21"/>
          <w:highlight w:val="none"/>
        </w:rPr>
        <w:t>投标文件解密（</w:t>
      </w:r>
      <w:r>
        <w:rPr>
          <w:rFonts w:hint="eastAsia" w:ascii="宋体" w:hAnsi="宋体" w:cs="宋体"/>
          <w:b/>
          <w:kern w:val="0"/>
          <w:szCs w:val="21"/>
          <w:highlight w:val="none"/>
        </w:rPr>
        <w:t>解密规定见《供应商须知前附表》</w:t>
      </w:r>
      <w:r>
        <w:rPr>
          <w:rFonts w:hint="eastAsia" w:ascii="宋体" w:hAnsi="宋体" w:cs="宋体"/>
          <w:kern w:val="0"/>
          <w:szCs w:val="21"/>
          <w:highlight w:val="none"/>
        </w:rPr>
        <w:t>）</w:t>
      </w:r>
      <w:r>
        <w:rPr>
          <w:rFonts w:hint="eastAsia" w:ascii="宋体" w:hAnsi="宋体" w:cs="宋体"/>
          <w:szCs w:val="21"/>
          <w:highlight w:val="none"/>
        </w:rPr>
        <w:t>。</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w:t>
      </w:r>
      <w:r>
        <w:rPr>
          <w:rFonts w:hint="eastAsia" w:ascii="宋体" w:hAnsi="宋体" w:cs="宋体"/>
          <w:kern w:val="0"/>
          <w:szCs w:val="21"/>
          <w:highlight w:val="none"/>
        </w:rPr>
        <w:t>投标文件解密异常情况处理（</w:t>
      </w:r>
      <w:r>
        <w:rPr>
          <w:rFonts w:hint="eastAsia" w:ascii="宋体" w:hAnsi="宋体" w:cs="宋体"/>
          <w:b/>
          <w:kern w:val="0"/>
          <w:szCs w:val="21"/>
          <w:highlight w:val="none"/>
        </w:rPr>
        <w:t>处理办法见《供应商须知前附表》</w:t>
      </w:r>
      <w:r>
        <w:rPr>
          <w:rFonts w:hint="eastAsia" w:ascii="宋体" w:hAnsi="宋体" w:cs="宋体"/>
          <w:kern w:val="0"/>
          <w:szCs w:val="21"/>
          <w:highlight w:val="none"/>
        </w:rPr>
        <w:t>）</w:t>
      </w:r>
      <w:r>
        <w:rPr>
          <w:rFonts w:hint="eastAsia" w:ascii="宋体" w:hAnsi="宋体" w:cs="宋体"/>
          <w:szCs w:val="21"/>
          <w:highlight w:val="none"/>
        </w:rPr>
        <w:t>。</w:t>
      </w:r>
    </w:p>
    <w:p>
      <w:pPr>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（4）公布投标文件解密情况（投标文件成功解密的供应商名单等信息），组织签署</w:t>
      </w:r>
      <w:r>
        <w:rPr>
          <w:rFonts w:hint="eastAsia" w:ascii="宋体" w:hAnsi="宋体" w:cs="宋体"/>
          <w:b/>
          <w:bCs/>
          <w:kern w:val="0"/>
          <w:szCs w:val="21"/>
          <w:highlight w:val="none"/>
        </w:rPr>
        <w:t>《政府采购活动现场确认声明书》（疫情防控期间，将通过电子邮件形式组织签署），供应商应在20分钟内通过邮件形式将经签署的《政府采购活动现场确认声明书》发送至采购代理机构指定邮箱</w:t>
      </w:r>
      <w:r>
        <w:rPr>
          <w:rFonts w:hint="eastAsia" w:ascii="宋体" w:hAnsi="宋体" w:cs="宋体"/>
          <w:b/>
          <w:bCs/>
          <w:kern w:val="0"/>
          <w:szCs w:val="21"/>
          <w:highlight w:val="none"/>
          <w:lang w:eastAsia="zh-CN"/>
        </w:rPr>
        <w:t>759733443</w:t>
      </w:r>
      <w:r>
        <w:rPr>
          <w:rFonts w:hint="eastAsia" w:ascii="宋体" w:hAnsi="宋体" w:cs="宋体"/>
          <w:b/>
          <w:bCs/>
          <w:kern w:val="0"/>
          <w:szCs w:val="21"/>
          <w:highlight w:val="none"/>
        </w:rPr>
        <w:t>@qq.cpm ，逾期发送或未发送的视为无异议</w:t>
      </w:r>
      <w:r>
        <w:rPr>
          <w:rFonts w:hint="eastAsia" w:ascii="宋体" w:hAnsi="宋体" w:cs="宋体"/>
          <w:kern w:val="0"/>
          <w:szCs w:val="21"/>
          <w:highlight w:val="none"/>
        </w:rPr>
        <w:t>。</w:t>
      </w:r>
    </w:p>
    <w:p>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（5）开启标书信息。标书信息开启后，首先由采购人或采购代理机构或评审小组依法对投标供应商的资格证明文件进行审查（具体见本章“29.3 投标供应商资格审查”）， 审查结束公布投标供应商的资格符合情况。资格审查未获通过的供应商，其商务技术文件及报价文件不再进入评审。</w:t>
      </w:r>
    </w:p>
    <w:p>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（6）商务技术评审结束后，主持人公布商务技术评审无效投标供应商名单和商务技术评审有效投标供应商名单及其商务技术得分情况</w:t>
      </w:r>
      <w:r>
        <w:rPr>
          <w:rFonts w:hint="eastAsia" w:ascii="宋体" w:hAnsi="宋体" w:cs="宋体"/>
          <w:szCs w:val="21"/>
          <w:highlight w:val="none"/>
        </w:rPr>
        <w:t>。</w:t>
      </w:r>
      <w:r>
        <w:rPr>
          <w:rFonts w:hint="eastAsia" w:ascii="宋体" w:hAnsi="宋体" w:cs="宋体"/>
          <w:kern w:val="0"/>
          <w:szCs w:val="21"/>
          <w:highlight w:val="none"/>
        </w:rPr>
        <w:t>商务技术评审无效的供应商，其报价不再进入评审。</w:t>
      </w:r>
    </w:p>
    <w:p>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（7）开启有效投标供应商的报价，公布开标一览表有关内容，</w:t>
      </w:r>
      <w:r>
        <w:rPr>
          <w:rFonts w:hint="eastAsia" w:ascii="宋体" w:hAnsi="宋体" w:cs="宋体"/>
          <w:szCs w:val="21"/>
          <w:highlight w:val="none"/>
          <w:lang w:bidi="zh-CN"/>
        </w:rPr>
        <w:t>并【开启签字时段】，供应商对开标纪录进行在线签字确认（不予确认的应说明理由，否则视为无异议）</w:t>
      </w:r>
      <w:r>
        <w:rPr>
          <w:rFonts w:hint="eastAsia" w:ascii="宋体" w:hAnsi="宋体" w:cs="宋体"/>
          <w:kern w:val="0"/>
          <w:szCs w:val="21"/>
          <w:highlight w:val="none"/>
        </w:rPr>
        <w:t>。开标结束后，由评标委员会对报价的合理性、准确性等进行审查核实</w:t>
      </w:r>
      <w:r>
        <w:rPr>
          <w:rFonts w:hint="eastAsia" w:ascii="宋体" w:hAnsi="宋体" w:cs="宋体"/>
          <w:szCs w:val="21"/>
          <w:highlight w:val="none"/>
        </w:rPr>
        <w:t>。</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（8）</w:t>
      </w:r>
      <w:r>
        <w:rPr>
          <w:rFonts w:hint="eastAsia" w:ascii="宋体" w:hAnsi="宋体" w:cs="宋体"/>
          <w:kern w:val="0"/>
          <w:szCs w:val="21"/>
          <w:highlight w:val="none"/>
        </w:rPr>
        <w:t>评审结束后，采购代理机构在系统上公布评审结果。</w:t>
      </w:r>
    </w:p>
    <w:p>
      <w:pPr>
        <w:snapToGrid w:val="0"/>
        <w:spacing w:line="360" w:lineRule="auto"/>
        <w:ind w:left="480"/>
        <w:rPr>
          <w:rFonts w:ascii="宋体" w:hAnsi="宋体" w:cs="宋体"/>
          <w:b/>
          <w:szCs w:val="21"/>
          <w:highlight w:val="none"/>
        </w:rPr>
      </w:pPr>
      <w:r>
        <w:rPr>
          <w:rFonts w:hint="eastAsia" w:ascii="宋体" w:hAnsi="宋体" w:cs="宋体"/>
          <w:b/>
          <w:szCs w:val="21"/>
          <w:highlight w:val="none"/>
        </w:rPr>
        <w:t>特别情况说明：</w:t>
      </w:r>
    </w:p>
    <w:p>
      <w:pPr>
        <w:snapToGrid w:val="0"/>
        <w:spacing w:line="360" w:lineRule="auto"/>
        <w:ind w:firstLine="371" w:firstLineChars="177"/>
        <w:jc w:val="left"/>
        <w:rPr>
          <w:rFonts w:ascii="宋体" w:hAnsi="宋体" w:cs="宋体"/>
          <w:b/>
          <w:kern w:val="0"/>
          <w:szCs w:val="21"/>
          <w:highlight w:val="none"/>
        </w:rPr>
      </w:pPr>
      <w:r>
        <w:rPr>
          <w:rFonts w:hint="eastAsia" w:ascii="宋体" w:hAnsi="宋体" w:cs="宋体"/>
          <w:b/>
          <w:kern w:val="0"/>
          <w:szCs w:val="21"/>
          <w:highlight w:val="none"/>
        </w:rPr>
        <w:t>（1）本项目采用电子交易，如遇“新疆政府采购云平台”电子化开标或评审程序调整的，按调整后程序执行。</w:t>
      </w:r>
    </w:p>
    <w:p>
      <w:pPr>
        <w:snapToGrid w:val="0"/>
        <w:spacing w:line="360" w:lineRule="auto"/>
        <w:ind w:firstLine="371" w:firstLineChars="177"/>
        <w:jc w:val="left"/>
        <w:rPr>
          <w:rFonts w:ascii="宋体" w:hAnsi="宋体" w:cs="宋体"/>
          <w:b/>
          <w:kern w:val="0"/>
          <w:szCs w:val="21"/>
          <w:highlight w:val="none"/>
        </w:rPr>
      </w:pPr>
      <w:r>
        <w:rPr>
          <w:rFonts w:hint="eastAsia" w:ascii="宋体" w:hAnsi="宋体" w:cs="宋体"/>
          <w:b/>
          <w:kern w:val="0"/>
          <w:szCs w:val="21"/>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宋体" w:hAnsi="宋体" w:cs="宋体"/>
          <w:b/>
          <w:kern w:val="0"/>
          <w:szCs w:val="21"/>
          <w:highlight w:val="none"/>
          <w:u w:val="single"/>
        </w:rPr>
        <w:t>请供应商保证办理投标事宜人员电话畅通、网络在线，签字或盖章确认的时间为20分钟。如未及时签字或盖章确认的，视为无异议</w:t>
      </w:r>
      <w:r>
        <w:rPr>
          <w:rFonts w:hint="eastAsia" w:ascii="宋体" w:hAnsi="宋体" w:cs="宋体"/>
          <w:b/>
          <w:kern w:val="0"/>
          <w:szCs w:val="21"/>
          <w:highlight w:val="none"/>
        </w:rPr>
        <w:t>。</w:t>
      </w:r>
    </w:p>
    <w:p>
      <w:pPr>
        <w:snapToGrid w:val="0"/>
        <w:spacing w:line="360" w:lineRule="auto"/>
        <w:ind w:firstLine="420" w:firstLineChars="200"/>
        <w:rPr>
          <w:rFonts w:ascii="宋体" w:hAnsi="宋体" w:cs="宋体"/>
          <w:b/>
          <w:kern w:val="0"/>
          <w:szCs w:val="21"/>
          <w:highlight w:val="none"/>
        </w:rPr>
      </w:pPr>
      <w:r>
        <w:rPr>
          <w:rFonts w:hint="eastAsia" w:ascii="宋体" w:hAnsi="宋体" w:cs="宋体"/>
          <w:b/>
          <w:kern w:val="0"/>
          <w:szCs w:val="21"/>
          <w:highlight w:val="none"/>
        </w:rPr>
        <w:t>29.3 投标供应商资格审查：</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w:t>
      </w:r>
      <w:r>
        <w:rPr>
          <w:rFonts w:hint="eastAsia" w:ascii="宋体" w:hAnsi="宋体" w:cs="宋体"/>
          <w:bCs/>
          <w:kern w:val="0"/>
          <w:szCs w:val="21"/>
          <w:highlight w:val="none"/>
        </w:rPr>
        <w:t>开标（标书信息开启）后，采购人或采购代理机构或</w:t>
      </w:r>
      <w:r>
        <w:rPr>
          <w:rFonts w:hint="eastAsia" w:ascii="宋体" w:hAnsi="宋体" w:cs="宋体"/>
          <w:kern w:val="0"/>
          <w:szCs w:val="21"/>
          <w:highlight w:val="none"/>
        </w:rPr>
        <w:t>评审小组</w:t>
      </w:r>
      <w:r>
        <w:rPr>
          <w:rFonts w:hint="eastAsia" w:ascii="宋体" w:hAnsi="宋体" w:cs="宋体"/>
          <w:bCs/>
          <w:kern w:val="0"/>
          <w:szCs w:val="21"/>
          <w:highlight w:val="none"/>
        </w:rPr>
        <w:t>首先依法对投标供应商的资格文件进行审查，审查各投标供应商的资格符合情况。</w:t>
      </w:r>
      <w:r>
        <w:rPr>
          <w:rFonts w:hint="eastAsia" w:ascii="宋体" w:hAnsi="宋体" w:cs="宋体"/>
          <w:szCs w:val="21"/>
          <w:highlight w:val="none"/>
        </w:rPr>
        <w:t>采购人或采购代理机构</w:t>
      </w:r>
      <w:r>
        <w:rPr>
          <w:rFonts w:hint="eastAsia" w:ascii="宋体" w:hAnsi="宋体" w:cs="宋体"/>
          <w:bCs/>
          <w:kern w:val="0"/>
          <w:szCs w:val="21"/>
          <w:highlight w:val="none"/>
        </w:rPr>
        <w:t>或</w:t>
      </w:r>
      <w:r>
        <w:rPr>
          <w:rFonts w:hint="eastAsia" w:ascii="宋体" w:hAnsi="宋体" w:cs="宋体"/>
          <w:kern w:val="0"/>
          <w:szCs w:val="21"/>
          <w:highlight w:val="none"/>
        </w:rPr>
        <w:t>评审小组</w:t>
      </w:r>
      <w:r>
        <w:rPr>
          <w:rFonts w:hint="eastAsia" w:ascii="宋体" w:hAnsi="宋体" w:cs="宋体"/>
          <w:szCs w:val="21"/>
          <w:highlight w:val="none"/>
        </w:rPr>
        <w:t>对投标供应商所提交的资格证明材料仅负审核的责任。如发现投标供应商所提交的资格证明材料不合法或与事实不符，采购人可取消其中标资格并追究投标供应商的法律责任。</w:t>
      </w:r>
    </w:p>
    <w:p>
      <w:pPr>
        <w:pStyle w:val="6"/>
        <w:snapToGrid w:val="0"/>
        <w:spacing w:line="360" w:lineRule="auto"/>
        <w:rPr>
          <w:rFonts w:ascii="宋体" w:hAnsi="宋体" w:cs="宋体"/>
          <w:bCs/>
          <w:sz w:val="21"/>
          <w:szCs w:val="21"/>
          <w:highlight w:val="none"/>
        </w:rPr>
      </w:pPr>
      <w:r>
        <w:rPr>
          <w:rFonts w:hint="eastAsia" w:ascii="宋体" w:hAnsi="宋体" w:cs="宋体"/>
          <w:bCs/>
          <w:sz w:val="21"/>
          <w:szCs w:val="21"/>
          <w:highlight w:val="none"/>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pStyle w:val="6"/>
        <w:snapToGrid w:val="0"/>
        <w:spacing w:line="360" w:lineRule="auto"/>
        <w:rPr>
          <w:rFonts w:ascii="宋体" w:hAnsi="宋体" w:cs="宋体"/>
          <w:bCs/>
          <w:sz w:val="21"/>
          <w:szCs w:val="21"/>
          <w:highlight w:val="none"/>
        </w:rPr>
      </w:pPr>
      <w:r>
        <w:rPr>
          <w:rFonts w:hint="eastAsia" w:ascii="宋体" w:hAnsi="宋体" w:cs="宋体"/>
          <w:bCs/>
          <w:sz w:val="21"/>
          <w:szCs w:val="21"/>
          <w:highlight w:val="none"/>
        </w:rPr>
        <w:t>（3）供应商信用记录查询与使用：见《供应商须知前附表》。</w:t>
      </w:r>
    </w:p>
    <w:p>
      <w:pPr>
        <w:widowControl/>
        <w:spacing w:line="440" w:lineRule="exact"/>
        <w:ind w:firstLine="210" w:firstLineChars="100"/>
        <w:rPr>
          <w:rFonts w:ascii="宋体"/>
          <w:szCs w:val="21"/>
          <w:highlight w:val="none"/>
        </w:rPr>
      </w:pPr>
      <w:r>
        <w:rPr>
          <w:rFonts w:hint="eastAsia" w:ascii="宋体"/>
          <w:szCs w:val="21"/>
          <w:highlight w:val="none"/>
        </w:rPr>
        <w:t>30.评审工作的组织</w:t>
      </w:r>
    </w:p>
    <w:p>
      <w:pPr>
        <w:widowControl/>
        <w:spacing w:line="440" w:lineRule="exact"/>
        <w:ind w:firstLine="210" w:firstLineChars="100"/>
        <w:rPr>
          <w:rFonts w:ascii="宋体"/>
          <w:szCs w:val="21"/>
          <w:highlight w:val="none"/>
        </w:rPr>
      </w:pPr>
      <w:r>
        <w:rPr>
          <w:rFonts w:hint="eastAsia" w:ascii="宋体"/>
          <w:szCs w:val="21"/>
          <w:highlight w:val="none"/>
        </w:rPr>
        <w:t>采购人或采购代理机构负责组织本项目的评审工作，并依据《政府采购货物和服务招标投标管理办法（财政部第87号令）》第四十五条的相关规定履行职责。</w:t>
      </w:r>
    </w:p>
    <w:p>
      <w:pPr>
        <w:widowControl/>
        <w:spacing w:line="440" w:lineRule="exact"/>
        <w:ind w:firstLine="210" w:firstLineChars="100"/>
        <w:rPr>
          <w:rFonts w:ascii="宋体"/>
          <w:szCs w:val="21"/>
          <w:highlight w:val="none"/>
        </w:rPr>
      </w:pPr>
      <w:r>
        <w:rPr>
          <w:rFonts w:hint="eastAsia" w:ascii="宋体"/>
          <w:szCs w:val="21"/>
          <w:highlight w:val="none"/>
        </w:rPr>
        <w:t>31. 评标委员会的组建</w:t>
      </w:r>
    </w:p>
    <w:p>
      <w:pPr>
        <w:widowControl/>
        <w:spacing w:line="440" w:lineRule="exact"/>
        <w:ind w:firstLine="210" w:firstLineChars="100"/>
        <w:rPr>
          <w:rFonts w:ascii="宋体"/>
          <w:szCs w:val="21"/>
          <w:highlight w:val="none"/>
        </w:rPr>
      </w:pPr>
      <w:r>
        <w:rPr>
          <w:rFonts w:hint="eastAsia" w:ascii="宋体"/>
          <w:szCs w:val="21"/>
          <w:highlight w:val="none"/>
        </w:rPr>
        <w:t>31.1评标委员会由采购人或采购代理机构依法组建，成员由采购人代表和评审专家组成，成员人数为3人或以上单数，其中评审专家不少于成员总数的三分之二。</w:t>
      </w:r>
    </w:p>
    <w:p>
      <w:pPr>
        <w:widowControl/>
        <w:spacing w:line="440" w:lineRule="exact"/>
        <w:ind w:firstLine="210" w:firstLineChars="100"/>
        <w:rPr>
          <w:rFonts w:ascii="宋体"/>
          <w:szCs w:val="21"/>
          <w:highlight w:val="none"/>
        </w:rPr>
      </w:pPr>
      <w:r>
        <w:rPr>
          <w:rFonts w:hint="eastAsia" w:ascii="宋体"/>
          <w:szCs w:val="21"/>
          <w:highlight w:val="none"/>
        </w:rPr>
        <w:t>31.2评审专家从新疆政府采购云平台专家库中通过随机方式抽取产生。评标委员会成员名单在采购结果公告前保密。</w:t>
      </w:r>
    </w:p>
    <w:p>
      <w:pPr>
        <w:widowControl/>
        <w:spacing w:line="440" w:lineRule="exact"/>
        <w:ind w:firstLine="210" w:firstLineChars="100"/>
        <w:rPr>
          <w:rFonts w:ascii="宋体"/>
          <w:szCs w:val="21"/>
          <w:highlight w:val="none"/>
        </w:rPr>
      </w:pPr>
      <w:r>
        <w:rPr>
          <w:rFonts w:hint="eastAsia" w:ascii="宋体"/>
          <w:szCs w:val="21"/>
          <w:highlight w:val="none"/>
        </w:rPr>
        <w:t>32.评标委员会的职责</w:t>
      </w:r>
    </w:p>
    <w:p>
      <w:pPr>
        <w:widowControl/>
        <w:spacing w:line="440" w:lineRule="exact"/>
        <w:ind w:firstLine="210" w:firstLineChars="100"/>
        <w:rPr>
          <w:rFonts w:ascii="宋体"/>
          <w:szCs w:val="21"/>
          <w:highlight w:val="none"/>
        </w:rPr>
      </w:pPr>
      <w:r>
        <w:rPr>
          <w:rFonts w:hint="eastAsia" w:ascii="宋体"/>
          <w:szCs w:val="21"/>
          <w:highlight w:val="none"/>
        </w:rPr>
        <w:t>32.1审查、评价投标文件是否符合采购文件的商务、技术等实质性要求。</w:t>
      </w:r>
    </w:p>
    <w:p>
      <w:pPr>
        <w:widowControl/>
        <w:spacing w:line="440" w:lineRule="exact"/>
        <w:ind w:firstLine="210" w:firstLineChars="100"/>
        <w:rPr>
          <w:rFonts w:ascii="宋体"/>
          <w:szCs w:val="21"/>
          <w:highlight w:val="none"/>
        </w:rPr>
      </w:pPr>
      <w:r>
        <w:rPr>
          <w:rFonts w:hint="eastAsia" w:ascii="宋体"/>
          <w:szCs w:val="21"/>
          <w:highlight w:val="none"/>
        </w:rPr>
        <w:t>32.2要求供应商对投标文件有关事项作出澄清或者说明。</w:t>
      </w:r>
    </w:p>
    <w:p>
      <w:pPr>
        <w:widowControl/>
        <w:spacing w:line="440" w:lineRule="exact"/>
        <w:ind w:firstLine="210" w:firstLineChars="100"/>
        <w:rPr>
          <w:rFonts w:ascii="宋体"/>
          <w:szCs w:val="21"/>
          <w:highlight w:val="none"/>
        </w:rPr>
      </w:pPr>
      <w:r>
        <w:rPr>
          <w:rFonts w:hint="eastAsia" w:ascii="宋体"/>
          <w:szCs w:val="21"/>
          <w:highlight w:val="none"/>
        </w:rPr>
        <w:t>32.3对投标文件进行比较和评价。</w:t>
      </w:r>
    </w:p>
    <w:p>
      <w:pPr>
        <w:widowControl/>
        <w:spacing w:line="440" w:lineRule="exact"/>
        <w:ind w:firstLine="210" w:firstLineChars="100"/>
        <w:rPr>
          <w:rFonts w:ascii="宋体"/>
          <w:szCs w:val="21"/>
          <w:highlight w:val="none"/>
        </w:rPr>
      </w:pPr>
      <w:r>
        <w:rPr>
          <w:rFonts w:hint="eastAsia" w:ascii="宋体"/>
          <w:szCs w:val="21"/>
          <w:highlight w:val="none"/>
        </w:rPr>
        <w:t>32.4确定中标候选人名单，以及根据采购人委托直接确定中标人。</w:t>
      </w:r>
    </w:p>
    <w:p>
      <w:pPr>
        <w:widowControl/>
        <w:spacing w:line="440" w:lineRule="exact"/>
        <w:ind w:firstLine="210" w:firstLineChars="100"/>
        <w:rPr>
          <w:rFonts w:ascii="宋体"/>
          <w:szCs w:val="21"/>
          <w:highlight w:val="none"/>
        </w:rPr>
      </w:pPr>
      <w:r>
        <w:rPr>
          <w:rFonts w:hint="eastAsia" w:ascii="宋体"/>
          <w:szCs w:val="21"/>
          <w:highlight w:val="none"/>
        </w:rPr>
        <w:t>32.5向采购人、采购代理机构或者有关部门报告评审中发现的违法行为。</w:t>
      </w:r>
    </w:p>
    <w:p>
      <w:pPr>
        <w:widowControl/>
        <w:spacing w:line="440" w:lineRule="exact"/>
        <w:ind w:firstLine="210" w:firstLineChars="100"/>
        <w:rPr>
          <w:rFonts w:ascii="宋体"/>
          <w:szCs w:val="21"/>
          <w:highlight w:val="none"/>
        </w:rPr>
      </w:pPr>
      <w:r>
        <w:rPr>
          <w:rFonts w:hint="eastAsia" w:ascii="宋体"/>
          <w:szCs w:val="21"/>
          <w:highlight w:val="none"/>
        </w:rPr>
        <w:t>33. 评标原则</w:t>
      </w:r>
    </w:p>
    <w:p>
      <w:pPr>
        <w:widowControl/>
        <w:spacing w:line="440" w:lineRule="exact"/>
        <w:ind w:firstLine="210" w:firstLineChars="100"/>
        <w:rPr>
          <w:rFonts w:ascii="宋体"/>
          <w:szCs w:val="21"/>
          <w:highlight w:val="none"/>
        </w:rPr>
      </w:pPr>
      <w:r>
        <w:rPr>
          <w:rFonts w:hint="eastAsia" w:ascii="宋体"/>
          <w:szCs w:val="21"/>
          <w:highlight w:val="none"/>
        </w:rPr>
        <w:t>33.1评标委员会将遵循公平、公正、科学的原则，对供应商提交的投标文件进行综合评审，评标委员会按照采购文件规定的评标细则进行评分。</w:t>
      </w:r>
    </w:p>
    <w:p>
      <w:pPr>
        <w:widowControl/>
        <w:spacing w:line="440" w:lineRule="exact"/>
        <w:ind w:firstLine="210" w:firstLineChars="100"/>
        <w:rPr>
          <w:rFonts w:ascii="宋体"/>
          <w:szCs w:val="21"/>
          <w:highlight w:val="none"/>
        </w:rPr>
      </w:pPr>
      <w:r>
        <w:rPr>
          <w:rFonts w:hint="eastAsia" w:ascii="宋体"/>
          <w:szCs w:val="21"/>
          <w:highlight w:val="none"/>
        </w:rPr>
        <w:t xml:space="preserve">33.2客观公正对待所有供应商，对所有投标评价均采用相同的程序和标准。 </w:t>
      </w:r>
    </w:p>
    <w:p>
      <w:pPr>
        <w:widowControl/>
        <w:spacing w:line="440" w:lineRule="exact"/>
        <w:ind w:firstLine="210" w:firstLineChars="100"/>
        <w:rPr>
          <w:rFonts w:ascii="宋体"/>
          <w:szCs w:val="21"/>
          <w:highlight w:val="none"/>
        </w:rPr>
      </w:pPr>
      <w:r>
        <w:rPr>
          <w:rFonts w:hint="eastAsia" w:ascii="宋体"/>
          <w:szCs w:val="21"/>
          <w:highlight w:val="none"/>
        </w:rPr>
        <w:t>33.3评标委员会成员对需要共同认定的事项存在争议的，按照少数服从多数的原则作出结论。持不同意见的评标委员会成员应当在评审报告上签署不同意见及理由，否则视为同意评审报告。</w:t>
      </w:r>
    </w:p>
    <w:p>
      <w:pPr>
        <w:widowControl/>
        <w:spacing w:line="440" w:lineRule="exact"/>
        <w:ind w:firstLine="210" w:firstLineChars="100"/>
        <w:rPr>
          <w:rFonts w:ascii="宋体"/>
          <w:szCs w:val="21"/>
          <w:highlight w:val="none"/>
        </w:rPr>
      </w:pPr>
      <w:r>
        <w:rPr>
          <w:rFonts w:hint="eastAsia" w:ascii="宋体"/>
          <w:szCs w:val="21"/>
          <w:highlight w:val="none"/>
        </w:rPr>
        <w:t>33.4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pPr>
        <w:widowControl/>
        <w:spacing w:line="440" w:lineRule="exact"/>
        <w:ind w:firstLine="210" w:firstLineChars="100"/>
        <w:rPr>
          <w:rFonts w:ascii="宋体"/>
          <w:szCs w:val="21"/>
          <w:highlight w:val="none"/>
        </w:rPr>
      </w:pPr>
      <w:r>
        <w:rPr>
          <w:rFonts w:hint="eastAsia" w:ascii="宋体"/>
          <w:szCs w:val="21"/>
          <w:highlight w:val="none"/>
        </w:rPr>
        <w:t xml:space="preserve">非单一产品采购项目，采购人应当根据采购项目技术构成、产品价格比重等合理确定核心产品，并在采购文件中载明。多家供应商提供的核心产品品牌相同的，按前款规定处理。      </w:t>
      </w:r>
    </w:p>
    <w:p>
      <w:pPr>
        <w:widowControl/>
        <w:spacing w:line="440" w:lineRule="exact"/>
        <w:ind w:firstLine="210" w:firstLineChars="100"/>
        <w:rPr>
          <w:rFonts w:ascii="宋体"/>
          <w:szCs w:val="21"/>
          <w:highlight w:val="none"/>
        </w:rPr>
      </w:pPr>
      <w:r>
        <w:rPr>
          <w:rFonts w:hint="eastAsia" w:ascii="宋体"/>
          <w:szCs w:val="21"/>
          <w:highlight w:val="none"/>
        </w:rPr>
        <w:t>34. 评委纪律</w:t>
      </w:r>
    </w:p>
    <w:p>
      <w:pPr>
        <w:widowControl/>
        <w:spacing w:line="440" w:lineRule="exact"/>
        <w:ind w:firstLine="210" w:firstLineChars="100"/>
        <w:rPr>
          <w:rFonts w:ascii="宋体"/>
          <w:szCs w:val="21"/>
          <w:highlight w:val="none"/>
        </w:rPr>
      </w:pPr>
      <w:r>
        <w:rPr>
          <w:rFonts w:hint="eastAsia" w:ascii="宋体"/>
          <w:szCs w:val="21"/>
          <w:highlight w:val="none"/>
        </w:rPr>
        <w:t>评标委员会成员必须严格遵守保密规定，不得泄露评审的有关情况，任何单位和个人不得干扰、影响评标的正常进行，评标委员会成员不得私下与投标供应商接触，不得出现新疆政府采购活动现场组织管理办法中规定的其他禁止行为。</w:t>
      </w:r>
    </w:p>
    <w:p>
      <w:pPr>
        <w:widowControl/>
        <w:spacing w:line="440" w:lineRule="exact"/>
        <w:ind w:firstLine="210" w:firstLineChars="100"/>
        <w:rPr>
          <w:rFonts w:ascii="宋体"/>
          <w:szCs w:val="21"/>
          <w:highlight w:val="none"/>
        </w:rPr>
      </w:pPr>
      <w:r>
        <w:rPr>
          <w:rFonts w:hint="eastAsia" w:ascii="宋体"/>
          <w:szCs w:val="21"/>
          <w:highlight w:val="none"/>
        </w:rPr>
        <w:t>35.评标程序</w:t>
      </w:r>
    </w:p>
    <w:p>
      <w:pPr>
        <w:widowControl/>
        <w:spacing w:line="440" w:lineRule="exact"/>
        <w:ind w:firstLine="210" w:firstLineChars="100"/>
        <w:rPr>
          <w:rFonts w:ascii="宋体"/>
          <w:szCs w:val="21"/>
          <w:highlight w:val="none"/>
        </w:rPr>
      </w:pPr>
      <w:r>
        <w:rPr>
          <w:rFonts w:hint="eastAsia" w:ascii="宋体"/>
          <w:szCs w:val="21"/>
          <w:highlight w:val="none"/>
        </w:rPr>
        <w:t>35.1 在评审专家中推选评标委员会组长，采购人代表不得担任评标委员会组长。</w:t>
      </w:r>
    </w:p>
    <w:p>
      <w:pPr>
        <w:widowControl/>
        <w:spacing w:line="440" w:lineRule="exact"/>
        <w:ind w:firstLine="210" w:firstLineChars="100"/>
        <w:rPr>
          <w:rFonts w:ascii="宋体"/>
          <w:szCs w:val="21"/>
          <w:highlight w:val="none"/>
        </w:rPr>
      </w:pPr>
      <w:r>
        <w:rPr>
          <w:rFonts w:hint="eastAsia" w:ascii="宋体"/>
          <w:szCs w:val="21"/>
          <w:highlight w:val="none"/>
        </w:rPr>
        <w:t>35.2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pacing w:line="440" w:lineRule="exact"/>
        <w:ind w:firstLine="210" w:firstLineChars="100"/>
        <w:rPr>
          <w:rFonts w:ascii="宋体"/>
          <w:szCs w:val="21"/>
          <w:highlight w:val="none"/>
        </w:rPr>
      </w:pPr>
      <w:r>
        <w:rPr>
          <w:rFonts w:hint="eastAsia" w:ascii="宋体"/>
          <w:szCs w:val="21"/>
          <w:highlight w:val="none"/>
        </w:rPr>
        <w:t>35.3 评审人员对符合资格的供应商的投标文件的有效性、符合性、完整性和响应程度进行审查，确定是否对采购文件作出实质性响应。</w:t>
      </w:r>
    </w:p>
    <w:p>
      <w:pPr>
        <w:widowControl/>
        <w:spacing w:line="440" w:lineRule="exact"/>
        <w:ind w:firstLine="210" w:firstLineChars="100"/>
        <w:rPr>
          <w:rFonts w:ascii="宋体"/>
          <w:szCs w:val="21"/>
          <w:highlight w:val="none"/>
        </w:rPr>
      </w:pPr>
      <w:r>
        <w:rPr>
          <w:rFonts w:hint="eastAsia" w:ascii="宋体"/>
          <w:szCs w:val="21"/>
          <w:highlight w:val="none"/>
        </w:rPr>
        <w:t>35.4 评审人员按采购文件规定的评审方法和评审标准，依法独立对供应商投标文件进行评估、比较，并给予评价或打分，不受任何单位和个人的干预。</w:t>
      </w:r>
    </w:p>
    <w:p>
      <w:pPr>
        <w:adjustRightInd w:val="0"/>
        <w:spacing w:line="360" w:lineRule="auto"/>
        <w:ind w:firstLine="411" w:firstLineChars="196"/>
        <w:rPr>
          <w:rFonts w:ascii="仿宋" w:hAnsi="仿宋" w:eastAsia="仿宋" w:cs="仿宋"/>
          <w:kern w:val="0"/>
          <w:sz w:val="24"/>
          <w:highlight w:val="none"/>
        </w:rPr>
      </w:pPr>
      <w:r>
        <w:rPr>
          <w:rFonts w:hint="eastAsia" w:ascii="宋体"/>
          <w:szCs w:val="21"/>
          <w:highlight w:val="none"/>
        </w:rPr>
        <w:t>35.5符合性审查。</w:t>
      </w:r>
      <w:r>
        <w:rPr>
          <w:rFonts w:hint="eastAsia" w:ascii="宋体" w:hAnsi="宋体" w:cs="宋体"/>
          <w:kern w:val="0"/>
          <w:szCs w:val="21"/>
          <w:highlight w:val="none"/>
        </w:rPr>
        <w:t>磋商小组应当对符合资格的磋商供应商的磋商响应文件进行符合性审查，以确定其是否满足采购文件的实质性要求。不满足采购文件的实质性要求的，投标无效。</w:t>
      </w:r>
    </w:p>
    <w:p>
      <w:pPr>
        <w:adjustRightInd w:val="0"/>
        <w:spacing w:line="360" w:lineRule="auto"/>
        <w:ind w:firstLine="411" w:firstLineChars="196"/>
        <w:rPr>
          <w:rFonts w:ascii="宋体"/>
          <w:szCs w:val="21"/>
          <w:highlight w:val="none"/>
        </w:rPr>
      </w:pPr>
      <w:r>
        <w:rPr>
          <w:rFonts w:hint="eastAsia" w:ascii="宋体"/>
          <w:szCs w:val="21"/>
          <w:highlight w:val="none"/>
        </w:rPr>
        <w:t>35.6与各磋商响应方进行磋商。</w:t>
      </w:r>
    </w:p>
    <w:p>
      <w:pPr>
        <w:adjustRightInd w:val="0"/>
        <w:spacing w:line="360" w:lineRule="auto"/>
        <w:ind w:firstLine="411" w:firstLineChars="196"/>
        <w:rPr>
          <w:rFonts w:ascii="宋体" w:hAnsi="宋体" w:cs="宋体"/>
          <w:kern w:val="0"/>
          <w:szCs w:val="21"/>
          <w:highlight w:val="none"/>
        </w:rPr>
      </w:pPr>
      <w:r>
        <w:rPr>
          <w:rFonts w:hint="eastAsia" w:ascii="宋体" w:hAnsi="宋体" w:cs="宋体"/>
          <w:kern w:val="0"/>
          <w:szCs w:val="21"/>
          <w:highlight w:val="none"/>
        </w:rPr>
        <w:t>1.磋商小组与符合要求的供应商进行磋商。磋商小组所有成员按照响应文件递交签到次序集中与单一供应商分别进行磋商，并给予所有参加磋商的供应商平等的磋商机会。磋商过程中，磋商小组可以根据磋商情况调整轮次。</w:t>
      </w:r>
    </w:p>
    <w:p>
      <w:pPr>
        <w:adjustRightInd w:val="0"/>
        <w:spacing w:line="360" w:lineRule="auto"/>
        <w:ind w:firstLine="411" w:firstLineChars="196"/>
        <w:rPr>
          <w:rFonts w:ascii="宋体" w:hAnsi="宋体" w:cs="宋体"/>
          <w:kern w:val="0"/>
          <w:szCs w:val="21"/>
          <w:highlight w:val="none"/>
        </w:rPr>
      </w:pPr>
      <w:r>
        <w:rPr>
          <w:rFonts w:hint="eastAsia" w:ascii="宋体" w:hAnsi="宋体" w:cs="宋体"/>
          <w:kern w:val="0"/>
          <w:szCs w:val="21"/>
          <w:highlight w:val="none"/>
        </w:rPr>
        <w:t>2.经磋商确定采购文件的变动情况。对采购文件作出的实质性变动是采购文件的有效组成部分，磋商小组应当及时以书面形式同时通知所有参加磋商的供应商。</w:t>
      </w:r>
    </w:p>
    <w:p>
      <w:pPr>
        <w:adjustRightInd w:val="0"/>
        <w:spacing w:line="360" w:lineRule="auto"/>
        <w:ind w:firstLine="411" w:firstLineChars="196"/>
        <w:rPr>
          <w:rFonts w:ascii="宋体" w:hAnsi="宋体" w:cs="宋体"/>
          <w:kern w:val="0"/>
          <w:szCs w:val="21"/>
          <w:highlight w:val="none"/>
        </w:rPr>
      </w:pPr>
      <w:r>
        <w:rPr>
          <w:rFonts w:hint="eastAsia" w:ascii="宋体" w:hAnsi="宋体" w:cs="宋体"/>
          <w:kern w:val="0"/>
          <w:szCs w:val="21"/>
          <w:highlight w:val="none"/>
        </w:rPr>
        <w:t>3.磋商小组应当按照采购文件中规定的评标方法和标准，对符合性审查合格的响应文件进行商务和技术评估，综合比较与评价。磋商小组各成员应当独立对每个磋商响应方的商务和技术文件进行评价，并汇总商务技术得分情况。</w:t>
      </w:r>
    </w:p>
    <w:p>
      <w:pPr>
        <w:adjustRightInd w:val="0"/>
        <w:spacing w:line="360" w:lineRule="auto"/>
        <w:ind w:firstLine="411" w:firstLineChars="196"/>
        <w:rPr>
          <w:rFonts w:ascii="宋体" w:hAnsi="宋体" w:cs="宋体"/>
          <w:kern w:val="0"/>
          <w:szCs w:val="21"/>
          <w:highlight w:val="none"/>
        </w:rPr>
      </w:pPr>
      <w:r>
        <w:rPr>
          <w:rFonts w:hint="eastAsia" w:ascii="宋体" w:hAnsi="宋体" w:cs="宋体"/>
          <w:kern w:val="0"/>
          <w:szCs w:val="21"/>
          <w:highlight w:val="none"/>
        </w:rPr>
        <w:t>4.各磋商响应方在本项目全部磋商结束后在规定时间内进行最后报价（供应商需在30分钟内线上提交最终报价）。</w:t>
      </w:r>
    </w:p>
    <w:p>
      <w:pPr>
        <w:adjustRightInd w:val="0"/>
        <w:spacing w:line="360" w:lineRule="auto"/>
        <w:ind w:firstLine="411" w:firstLineChars="196"/>
        <w:rPr>
          <w:rFonts w:ascii="仿宋" w:hAnsi="仿宋" w:eastAsia="仿宋" w:cs="仿宋"/>
          <w:kern w:val="0"/>
          <w:sz w:val="24"/>
          <w:highlight w:val="none"/>
        </w:rPr>
      </w:pPr>
      <w:r>
        <w:rPr>
          <w:rFonts w:hint="eastAsia" w:ascii="宋体"/>
          <w:szCs w:val="21"/>
          <w:highlight w:val="none"/>
        </w:rPr>
        <w:t>35.7汇总商务技术得分。</w:t>
      </w:r>
      <w:r>
        <w:rPr>
          <w:rFonts w:hint="eastAsia" w:ascii="宋体" w:hAnsi="宋体" w:cs="宋体"/>
          <w:kern w:val="0"/>
          <w:szCs w:val="21"/>
          <w:highlight w:val="none"/>
        </w:rPr>
        <w:t>磋商小组各成员应当独立对每个磋商供应商的商务和技术文件进行评价，并汇总商务技术得分情况。</w:t>
      </w:r>
    </w:p>
    <w:p>
      <w:pPr>
        <w:adjustRightInd w:val="0"/>
        <w:spacing w:line="360" w:lineRule="auto"/>
        <w:ind w:firstLine="411" w:firstLineChars="196"/>
        <w:rPr>
          <w:rFonts w:ascii="宋体"/>
          <w:szCs w:val="21"/>
          <w:highlight w:val="none"/>
        </w:rPr>
      </w:pPr>
      <w:r>
        <w:rPr>
          <w:rFonts w:hint="eastAsia" w:ascii="宋体"/>
          <w:szCs w:val="21"/>
          <w:highlight w:val="none"/>
        </w:rPr>
        <w:t>35.8报价评审。</w:t>
      </w:r>
    </w:p>
    <w:p>
      <w:pPr>
        <w:widowControl/>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1.磋商响应文件报价出现前后不一致的，按照下列规定修正：</w:t>
      </w:r>
    </w:p>
    <w:p>
      <w:pPr>
        <w:widowControl/>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2.磋商响应文件中开标一览表(报价表)内容与磋商响应文件中相应内容不一致的，以开标一览表(报价表)为准;</w:t>
      </w:r>
    </w:p>
    <w:p>
      <w:pPr>
        <w:widowControl/>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3.大写金额和小写金额不一致的，以大写金额为准;</w:t>
      </w:r>
    </w:p>
    <w:p>
      <w:pPr>
        <w:widowControl/>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4.单价金额小数点或者百分比有明显错位的，以开标一览表的总价为准，并修改单价;</w:t>
      </w:r>
    </w:p>
    <w:p>
      <w:pPr>
        <w:widowControl/>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5.总价金额与按单价汇总金额不一致的，以单价金额计算结果为准。</w:t>
      </w:r>
    </w:p>
    <w:p>
      <w:pPr>
        <w:widowControl/>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6.同时出现两种以上不一致的，按照规定的顺序修正。</w:t>
      </w:r>
    </w:p>
    <w:p>
      <w:pPr>
        <w:widowControl/>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7.磋商响应文件出现不是唯一的、有选择性投标报价的，投标无效。</w:t>
      </w:r>
    </w:p>
    <w:p>
      <w:pPr>
        <w:widowControl/>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8.投标报价超过采购文件中规定的预算金额或者最高限价的，投标无效。</w:t>
      </w:r>
    </w:p>
    <w:p>
      <w:pPr>
        <w:widowControl/>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9.磋商小组认为磋商供应商的报价明显低于其他通过符合性审查磋商供应商的报价，有可能影响产品质量或者不能诚信履约的，应当要求其在合理的时间内提供书面说明，必要时提交相关证明材料;磋商供应商不能证明其报价合理性的，磋商小组应当将其作为无效投标处理。</w:t>
      </w:r>
    </w:p>
    <w:p>
      <w:pPr>
        <w:widowControl/>
        <w:spacing w:line="440" w:lineRule="exact"/>
        <w:ind w:firstLine="420" w:firstLineChars="200"/>
        <w:rPr>
          <w:rFonts w:ascii="宋体" w:hAnsi="宋体" w:cs="宋体"/>
          <w:kern w:val="0"/>
          <w:szCs w:val="21"/>
          <w:highlight w:val="none"/>
        </w:rPr>
      </w:pPr>
      <w:r>
        <w:rPr>
          <w:rFonts w:hint="eastAsia" w:ascii="宋体"/>
          <w:szCs w:val="21"/>
          <w:highlight w:val="none"/>
        </w:rPr>
        <w:t>35.9排序与推荐。</w:t>
      </w:r>
      <w:r>
        <w:rPr>
          <w:rFonts w:hint="eastAsia" w:ascii="宋体" w:hAnsi="宋体" w:cs="宋体"/>
          <w:kern w:val="0"/>
          <w:szCs w:val="21"/>
          <w:highlight w:val="none"/>
        </w:rPr>
        <w:t>采用综合评分法的，评标结果按评审后得分由高到低顺序排列。得分相同的，按投标报价由低到高顺序排列。得分且投标报价相同的并列。响应文件满足招标文件全部实质性要求，且按照评审因素的量化指标评审得分最高的投标人为排名第一的中标候选人。</w:t>
      </w:r>
    </w:p>
    <w:p>
      <w:pPr>
        <w:widowControl/>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pPr>
        <w:rPr>
          <w:highlight w:val="none"/>
        </w:rPr>
      </w:pPr>
    </w:p>
    <w:p>
      <w:pPr>
        <w:widowControl/>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综合评分法货物项目的价格分值占总分值的比重(即权值)为</w:t>
      </w:r>
      <w:r>
        <w:rPr>
          <w:rFonts w:hint="eastAsia" w:ascii="宋体" w:hAnsi="宋体" w:cs="宋体"/>
          <w:kern w:val="0"/>
          <w:szCs w:val="21"/>
          <w:highlight w:val="none"/>
          <w:lang w:val="en-US" w:eastAsia="zh-CN"/>
        </w:rPr>
        <w:t>20</w:t>
      </w:r>
      <w:r>
        <w:rPr>
          <w:rFonts w:hint="eastAsia" w:ascii="宋体" w:hAnsi="宋体" w:cs="宋体"/>
          <w:kern w:val="0"/>
          <w:szCs w:val="21"/>
          <w:highlight w:val="none"/>
        </w:rPr>
        <w:t>％，采购项目中含不同采购对象的，以占项目资金比例最高的采购对象确定其项目属性。其价格不列为评分因素，有特殊情况需要在上述规定范围外设定价格分权重的。</w:t>
      </w:r>
    </w:p>
    <w:p>
      <w:pPr>
        <w:widowControl/>
        <w:spacing w:line="440" w:lineRule="exact"/>
        <w:ind w:firstLine="480"/>
        <w:rPr>
          <w:rFonts w:ascii="宋体" w:hAnsi="宋体" w:cs="宋体"/>
          <w:kern w:val="0"/>
          <w:szCs w:val="21"/>
          <w:highlight w:val="none"/>
        </w:rPr>
      </w:pPr>
      <w:r>
        <w:rPr>
          <w:rFonts w:hint="eastAsia" w:ascii="宋体" w:hAnsi="宋体" w:cs="宋体"/>
          <w:kern w:val="0"/>
          <w:szCs w:val="21"/>
          <w:highlight w:val="none"/>
        </w:rPr>
        <w:t>综合评分法中的价格分统一采用</w:t>
      </w:r>
      <w:r>
        <w:rPr>
          <w:rFonts w:hint="eastAsia" w:ascii="宋体" w:hAnsi="宋体" w:cs="宋体"/>
          <w:kern w:val="0"/>
          <w:szCs w:val="21"/>
          <w:highlight w:val="none"/>
          <w:lang w:eastAsia="zh-CN"/>
        </w:rPr>
        <w:t>高</w:t>
      </w:r>
      <w:r>
        <w:rPr>
          <w:rFonts w:hint="eastAsia" w:ascii="宋体" w:hAnsi="宋体" w:cs="宋体"/>
          <w:kern w:val="0"/>
          <w:szCs w:val="21"/>
          <w:highlight w:val="none"/>
        </w:rPr>
        <w:t>价优先法计算，即满足磋商文件要求且最后报价最</w:t>
      </w:r>
      <w:r>
        <w:rPr>
          <w:rFonts w:hint="eastAsia" w:ascii="宋体" w:hAnsi="宋体" w:cs="宋体"/>
          <w:kern w:val="0"/>
          <w:szCs w:val="21"/>
          <w:highlight w:val="none"/>
          <w:lang w:eastAsia="zh-CN"/>
        </w:rPr>
        <w:t>高</w:t>
      </w:r>
      <w:r>
        <w:rPr>
          <w:rFonts w:hint="eastAsia" w:ascii="宋体" w:hAnsi="宋体" w:cs="宋体"/>
          <w:kern w:val="0"/>
          <w:szCs w:val="21"/>
          <w:highlight w:val="none"/>
        </w:rPr>
        <w:t>的供应商的价格为招标基准价，其价格分为满分。其他供应商的价格分统一按照下列公式计算：</w:t>
      </w:r>
    </w:p>
    <w:p>
      <w:pPr>
        <w:widowControl/>
        <w:spacing w:line="440" w:lineRule="exact"/>
        <w:ind w:firstLine="480"/>
        <w:rPr>
          <w:rFonts w:ascii="宋体" w:hAnsi="宋体" w:cs="宋体"/>
          <w:kern w:val="0"/>
          <w:szCs w:val="21"/>
          <w:highlight w:val="none"/>
        </w:rPr>
      </w:pPr>
      <w:r>
        <w:rPr>
          <w:rFonts w:hint="eastAsia" w:ascii="宋体" w:hAnsi="宋体" w:cs="宋体"/>
          <w:kern w:val="0"/>
          <w:szCs w:val="21"/>
          <w:highlight w:val="none"/>
        </w:rPr>
        <w:t>投标报价得分=（基准价/投标报价）×价格权值×100</w:t>
      </w:r>
    </w:p>
    <w:p>
      <w:pPr>
        <w:widowControl/>
        <w:spacing w:line="440" w:lineRule="exact"/>
        <w:ind w:firstLine="480"/>
        <w:rPr>
          <w:rFonts w:ascii="宋体"/>
          <w:szCs w:val="21"/>
          <w:highlight w:val="none"/>
        </w:rPr>
      </w:pPr>
      <w:r>
        <w:rPr>
          <w:rFonts w:hint="eastAsia" w:ascii="宋体" w:hAnsi="宋体" w:cs="宋体"/>
          <w:kern w:val="0"/>
          <w:szCs w:val="21"/>
          <w:highlight w:val="none"/>
        </w:rPr>
        <w:t>项目评审过程中，不得去掉最后报价中的最高报价和最低报价。</w:t>
      </w:r>
    </w:p>
    <w:p>
      <w:pPr>
        <w:widowControl/>
        <w:spacing w:line="440" w:lineRule="exact"/>
        <w:ind w:firstLine="210" w:firstLineChars="100"/>
        <w:rPr>
          <w:rFonts w:ascii="宋体"/>
          <w:szCs w:val="21"/>
          <w:highlight w:val="none"/>
        </w:rPr>
      </w:pPr>
      <w:r>
        <w:rPr>
          <w:rFonts w:hint="eastAsia" w:ascii="宋体"/>
          <w:szCs w:val="21"/>
          <w:highlight w:val="none"/>
        </w:rPr>
        <w:t>35.5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widowControl/>
        <w:spacing w:line="440" w:lineRule="exact"/>
        <w:ind w:firstLine="210" w:firstLineChars="100"/>
        <w:rPr>
          <w:rFonts w:ascii="宋体"/>
          <w:szCs w:val="21"/>
          <w:highlight w:val="none"/>
        </w:rPr>
      </w:pPr>
      <w:r>
        <w:rPr>
          <w:rFonts w:hint="eastAsia" w:ascii="宋体"/>
          <w:szCs w:val="21"/>
          <w:highlight w:val="none"/>
        </w:rPr>
        <w:t>35.6 评审人员需对采购方工作人员唱票或统计的评审结果进行确认，现场监督员应对评审结果签署监督意见。如发现分值汇总计算错误、分项评分超出评分标准范围、客观评分不一致以及存在评分畸高、畸低（其总评分偏</w:t>
      </w:r>
      <w:r>
        <w:rPr>
          <w:rFonts w:hint="eastAsia" w:ascii="宋体"/>
          <w:color w:val="auto"/>
          <w:szCs w:val="21"/>
          <w:highlight w:val="none"/>
        </w:rPr>
        <w:t>离平均分30%以上的）情</w:t>
      </w:r>
      <w:r>
        <w:rPr>
          <w:rFonts w:hint="eastAsia" w:ascii="宋体"/>
          <w:szCs w:val="21"/>
          <w:highlight w:val="none"/>
        </w:rPr>
        <w:t>形的，应由相关人员当场改正或作出书面说明；拒不改正又不作书面说明的，由现场监督员如实记载后存入项目档案资料。</w:t>
      </w:r>
    </w:p>
    <w:p>
      <w:pPr>
        <w:widowControl/>
        <w:spacing w:line="440" w:lineRule="exact"/>
        <w:ind w:firstLine="210" w:firstLineChars="100"/>
        <w:rPr>
          <w:rFonts w:ascii="宋体"/>
          <w:szCs w:val="21"/>
          <w:highlight w:val="none"/>
        </w:rPr>
      </w:pPr>
      <w:r>
        <w:rPr>
          <w:rFonts w:hint="eastAsia" w:ascii="宋体"/>
          <w:szCs w:val="21"/>
          <w:highlight w:val="none"/>
        </w:rPr>
        <w:t>35.7 评标委员会根据评审汇总情况和采购文件规定确定中标候选供应商排序名单。</w:t>
      </w:r>
    </w:p>
    <w:p>
      <w:pPr>
        <w:widowControl/>
        <w:spacing w:line="440" w:lineRule="exact"/>
        <w:ind w:firstLine="210" w:firstLineChars="100"/>
        <w:rPr>
          <w:rFonts w:ascii="宋体"/>
          <w:szCs w:val="21"/>
          <w:highlight w:val="none"/>
        </w:rPr>
      </w:pPr>
      <w:r>
        <w:rPr>
          <w:rFonts w:hint="eastAsia" w:ascii="宋体"/>
          <w:szCs w:val="21"/>
          <w:highlight w:val="none"/>
        </w:rPr>
        <w:t xml:space="preserve">35.8 起草评审报告，所有评审人员须在评审报告上签字确认，对自己的评审意见承担法律责任。 </w:t>
      </w:r>
    </w:p>
    <w:p>
      <w:pPr>
        <w:widowControl/>
        <w:spacing w:line="440" w:lineRule="exact"/>
        <w:ind w:firstLine="210" w:firstLineChars="100"/>
        <w:rPr>
          <w:rFonts w:ascii="宋体"/>
          <w:szCs w:val="21"/>
          <w:highlight w:val="none"/>
        </w:rPr>
      </w:pPr>
      <w:r>
        <w:rPr>
          <w:rFonts w:hint="eastAsia" w:ascii="宋体"/>
          <w:szCs w:val="21"/>
          <w:highlight w:val="none"/>
        </w:rPr>
        <w:t>35.9 采购组织机构对评标委员会评审专家进行评价。</w:t>
      </w:r>
    </w:p>
    <w:p>
      <w:pPr>
        <w:widowControl/>
        <w:spacing w:line="440" w:lineRule="exact"/>
        <w:ind w:firstLine="210" w:firstLineChars="100"/>
        <w:rPr>
          <w:rFonts w:ascii="宋体"/>
          <w:szCs w:val="21"/>
          <w:highlight w:val="none"/>
        </w:rPr>
      </w:pPr>
      <w:r>
        <w:rPr>
          <w:rFonts w:hint="eastAsia" w:ascii="宋体"/>
          <w:szCs w:val="21"/>
          <w:highlight w:val="none"/>
        </w:rPr>
        <w:t>35.10 修改评审结果</w:t>
      </w:r>
    </w:p>
    <w:p>
      <w:pPr>
        <w:widowControl/>
        <w:spacing w:line="440" w:lineRule="exact"/>
        <w:ind w:firstLine="210" w:firstLineChars="100"/>
        <w:rPr>
          <w:rFonts w:ascii="宋体"/>
          <w:szCs w:val="21"/>
          <w:highlight w:val="none"/>
        </w:rPr>
      </w:pPr>
      <w:r>
        <w:rPr>
          <w:rFonts w:hint="eastAsia" w:ascii="宋体"/>
          <w:szCs w:val="21"/>
          <w:highlight w:val="none"/>
        </w:rPr>
        <w:t>评标结果汇总完成后，除下列情形外，任何人不得修改评标结果：</w:t>
      </w:r>
    </w:p>
    <w:p>
      <w:pPr>
        <w:widowControl/>
        <w:spacing w:line="440" w:lineRule="exact"/>
        <w:ind w:firstLine="210" w:firstLineChars="100"/>
        <w:rPr>
          <w:rFonts w:ascii="宋体"/>
          <w:szCs w:val="21"/>
          <w:highlight w:val="none"/>
        </w:rPr>
      </w:pPr>
      <w:r>
        <w:rPr>
          <w:rFonts w:hint="eastAsia" w:ascii="宋体"/>
          <w:szCs w:val="21"/>
          <w:highlight w:val="none"/>
        </w:rPr>
        <w:t>（1）分值汇总计算错误的；</w:t>
      </w:r>
    </w:p>
    <w:p>
      <w:pPr>
        <w:widowControl/>
        <w:spacing w:line="440" w:lineRule="exact"/>
        <w:ind w:firstLine="210" w:firstLineChars="100"/>
        <w:rPr>
          <w:rFonts w:ascii="宋体"/>
          <w:szCs w:val="21"/>
          <w:highlight w:val="none"/>
        </w:rPr>
      </w:pPr>
      <w:r>
        <w:rPr>
          <w:rFonts w:hint="eastAsia" w:ascii="宋体"/>
          <w:szCs w:val="21"/>
          <w:highlight w:val="none"/>
        </w:rPr>
        <w:t>（2）分项评分超出评分标准范围的；</w:t>
      </w:r>
    </w:p>
    <w:p>
      <w:pPr>
        <w:widowControl/>
        <w:spacing w:line="440" w:lineRule="exact"/>
        <w:ind w:firstLine="210" w:firstLineChars="100"/>
        <w:rPr>
          <w:rFonts w:ascii="宋体"/>
          <w:szCs w:val="21"/>
          <w:highlight w:val="none"/>
        </w:rPr>
      </w:pPr>
      <w:r>
        <w:rPr>
          <w:rFonts w:hint="eastAsia" w:ascii="宋体"/>
          <w:szCs w:val="21"/>
          <w:highlight w:val="none"/>
        </w:rPr>
        <w:t>（3）评标委员会成员对客观评审因素评分不一致的；</w:t>
      </w:r>
    </w:p>
    <w:p>
      <w:pPr>
        <w:widowControl/>
        <w:spacing w:line="440" w:lineRule="exact"/>
        <w:ind w:firstLine="210" w:firstLineChars="100"/>
        <w:rPr>
          <w:rFonts w:ascii="宋体"/>
          <w:szCs w:val="21"/>
          <w:highlight w:val="none"/>
        </w:rPr>
      </w:pPr>
      <w:r>
        <w:rPr>
          <w:rFonts w:hint="eastAsia" w:ascii="宋体"/>
          <w:szCs w:val="21"/>
          <w:highlight w:val="none"/>
        </w:rPr>
        <w:t>（4）经评标委员会认定评分畸高、畸低的。</w:t>
      </w:r>
    </w:p>
    <w:p>
      <w:pPr>
        <w:widowControl/>
        <w:spacing w:line="440" w:lineRule="exact"/>
        <w:ind w:firstLine="210" w:firstLineChars="100"/>
        <w:rPr>
          <w:rFonts w:ascii="宋体"/>
          <w:szCs w:val="21"/>
          <w:highlight w:val="none"/>
        </w:rPr>
      </w:pPr>
      <w:r>
        <w:rPr>
          <w:rFonts w:hint="eastAsia" w:ascii="宋体"/>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pacing w:line="440" w:lineRule="exact"/>
        <w:ind w:firstLine="210" w:firstLineChars="100"/>
        <w:jc w:val="left"/>
        <w:rPr>
          <w:rFonts w:ascii="宋体"/>
          <w:szCs w:val="21"/>
          <w:highlight w:val="none"/>
        </w:rPr>
      </w:pPr>
      <w:r>
        <w:rPr>
          <w:rFonts w:hint="eastAsia" w:ascii="宋体"/>
          <w:szCs w:val="21"/>
          <w:highlight w:val="none"/>
        </w:rPr>
        <w:t>36．澄清、说明或补正的形式</w:t>
      </w:r>
    </w:p>
    <w:p>
      <w:pPr>
        <w:spacing w:line="440" w:lineRule="exact"/>
        <w:ind w:firstLine="210" w:firstLineChars="100"/>
        <w:jc w:val="left"/>
        <w:rPr>
          <w:rFonts w:ascii="宋体"/>
          <w:szCs w:val="21"/>
          <w:highlight w:val="none"/>
        </w:rPr>
      </w:pPr>
      <w:r>
        <w:rPr>
          <w:rFonts w:hint="eastAsia" w:ascii="宋体"/>
          <w:szCs w:val="21"/>
          <w:highlight w:val="none"/>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宋体"/>
          <w:b/>
          <w:bCs/>
          <w:szCs w:val="21"/>
          <w:highlight w:val="none"/>
        </w:rPr>
        <w:t>投标供应商澄清、说明或补正时间为20分钟</w:t>
      </w:r>
      <w:r>
        <w:rPr>
          <w:rFonts w:hint="eastAsia" w:ascii="宋体"/>
          <w:szCs w:val="21"/>
          <w:highlight w:val="none"/>
        </w:rPr>
        <w:t>。</w:t>
      </w:r>
    </w:p>
    <w:p>
      <w:pPr>
        <w:spacing w:line="440" w:lineRule="exact"/>
        <w:ind w:firstLine="210" w:firstLineChars="100"/>
        <w:jc w:val="left"/>
        <w:rPr>
          <w:rFonts w:ascii="宋体"/>
          <w:szCs w:val="21"/>
          <w:highlight w:val="none"/>
        </w:rPr>
      </w:pPr>
      <w:r>
        <w:rPr>
          <w:rFonts w:hint="eastAsia" w:ascii="宋体"/>
          <w:szCs w:val="21"/>
          <w:highlight w:val="none"/>
        </w:rPr>
        <w:t>36.2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pacing w:line="440" w:lineRule="exact"/>
        <w:ind w:firstLine="210" w:firstLineChars="100"/>
        <w:jc w:val="left"/>
        <w:rPr>
          <w:rFonts w:ascii="宋体"/>
          <w:szCs w:val="21"/>
          <w:highlight w:val="none"/>
        </w:rPr>
      </w:pPr>
      <w:r>
        <w:rPr>
          <w:rFonts w:hint="eastAsia" w:ascii="宋体"/>
          <w:szCs w:val="21"/>
          <w:highlight w:val="none"/>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pacing w:line="440" w:lineRule="exact"/>
        <w:ind w:firstLine="210" w:firstLineChars="100"/>
        <w:jc w:val="left"/>
        <w:rPr>
          <w:rFonts w:ascii="宋体"/>
          <w:szCs w:val="21"/>
          <w:highlight w:val="none"/>
        </w:rPr>
      </w:pPr>
      <w:r>
        <w:rPr>
          <w:rFonts w:hint="eastAsia" w:ascii="宋体"/>
          <w:szCs w:val="21"/>
          <w:highlight w:val="none"/>
        </w:rPr>
        <w:t>37．错误修正的原则</w:t>
      </w:r>
    </w:p>
    <w:p>
      <w:pPr>
        <w:spacing w:line="440" w:lineRule="exact"/>
        <w:ind w:firstLine="210" w:firstLineChars="100"/>
        <w:jc w:val="left"/>
        <w:rPr>
          <w:rFonts w:ascii="宋体"/>
          <w:szCs w:val="21"/>
          <w:highlight w:val="none"/>
        </w:rPr>
      </w:pPr>
      <w:r>
        <w:rPr>
          <w:rFonts w:hint="eastAsia" w:ascii="宋体"/>
          <w:szCs w:val="21"/>
          <w:highlight w:val="none"/>
        </w:rPr>
        <w:t>电子交易平台客户端里开标一览表录入的投标报价或优惠率与扫描上传的报价文件信息不一致的，以扫描上传的报价文件信息为准进行修正。</w:t>
      </w:r>
    </w:p>
    <w:p>
      <w:pPr>
        <w:spacing w:line="440" w:lineRule="exact"/>
        <w:ind w:firstLine="210" w:firstLineChars="100"/>
        <w:jc w:val="left"/>
        <w:rPr>
          <w:rFonts w:ascii="宋体"/>
          <w:szCs w:val="21"/>
          <w:highlight w:val="none"/>
        </w:rPr>
      </w:pPr>
      <w:r>
        <w:rPr>
          <w:rFonts w:hint="eastAsia" w:ascii="宋体"/>
          <w:szCs w:val="21"/>
          <w:highlight w:val="none"/>
        </w:rPr>
        <w:t>投标文件报价出现前后不一致的，除采购文件另有规定外，按照下列规定修正：</w:t>
      </w:r>
    </w:p>
    <w:p>
      <w:pPr>
        <w:spacing w:line="440" w:lineRule="exact"/>
        <w:ind w:firstLine="210" w:firstLineChars="100"/>
        <w:jc w:val="left"/>
        <w:rPr>
          <w:rFonts w:ascii="宋体"/>
          <w:szCs w:val="21"/>
          <w:highlight w:val="none"/>
        </w:rPr>
      </w:pPr>
      <w:r>
        <w:rPr>
          <w:rFonts w:hint="eastAsia" w:ascii="宋体"/>
          <w:szCs w:val="21"/>
          <w:highlight w:val="none"/>
        </w:rPr>
        <w:t>37.1 投标函中表述的内容与报价表中不一致的，以报价表为准；报价表中的内容与报价明细表不一致的，以报价表为准；</w:t>
      </w:r>
    </w:p>
    <w:p>
      <w:pPr>
        <w:spacing w:line="440" w:lineRule="exact"/>
        <w:ind w:firstLine="210" w:firstLineChars="100"/>
        <w:jc w:val="left"/>
        <w:rPr>
          <w:rFonts w:ascii="宋体"/>
          <w:szCs w:val="21"/>
          <w:highlight w:val="none"/>
        </w:rPr>
      </w:pPr>
      <w:r>
        <w:rPr>
          <w:rFonts w:hint="eastAsia" w:ascii="宋体"/>
          <w:szCs w:val="21"/>
          <w:highlight w:val="none"/>
        </w:rPr>
        <w:t>37.2 投标文件中的大写金额和小写金额不一致的，以大写金额为准；</w:t>
      </w:r>
    </w:p>
    <w:p>
      <w:pPr>
        <w:spacing w:line="440" w:lineRule="exact"/>
        <w:ind w:firstLine="210" w:firstLineChars="100"/>
        <w:jc w:val="left"/>
        <w:rPr>
          <w:rFonts w:ascii="宋体"/>
          <w:szCs w:val="21"/>
          <w:highlight w:val="none"/>
        </w:rPr>
      </w:pPr>
      <w:r>
        <w:rPr>
          <w:rFonts w:hint="eastAsia" w:ascii="宋体"/>
          <w:szCs w:val="21"/>
          <w:highlight w:val="none"/>
        </w:rPr>
        <w:t>37.3 单价金额小数点或者百分比有明显错位的，以开标一览表的总价为准，并修改单价；</w:t>
      </w:r>
    </w:p>
    <w:p>
      <w:pPr>
        <w:spacing w:line="440" w:lineRule="exact"/>
        <w:ind w:firstLine="210" w:firstLineChars="100"/>
        <w:jc w:val="left"/>
        <w:rPr>
          <w:rFonts w:ascii="宋体"/>
          <w:szCs w:val="21"/>
          <w:highlight w:val="none"/>
        </w:rPr>
      </w:pPr>
      <w:r>
        <w:rPr>
          <w:rFonts w:hint="eastAsia" w:ascii="宋体"/>
          <w:szCs w:val="21"/>
          <w:highlight w:val="none"/>
        </w:rPr>
        <w:t>37.4 总价金额与按单价汇总金额不一致的，以单价金额计算结果为准；</w:t>
      </w:r>
    </w:p>
    <w:p>
      <w:pPr>
        <w:spacing w:line="440" w:lineRule="exact"/>
        <w:ind w:firstLine="210" w:firstLineChars="100"/>
        <w:jc w:val="left"/>
        <w:rPr>
          <w:rFonts w:ascii="宋体"/>
          <w:szCs w:val="21"/>
          <w:highlight w:val="none"/>
        </w:rPr>
      </w:pPr>
      <w:r>
        <w:rPr>
          <w:rFonts w:hint="eastAsia" w:ascii="宋体"/>
          <w:szCs w:val="21"/>
          <w:highlight w:val="none"/>
        </w:rPr>
        <w:t>37.5 若用文字表示的数值与用数字表示的数值不一致，以文字表示的数值为准；</w:t>
      </w:r>
    </w:p>
    <w:p>
      <w:pPr>
        <w:spacing w:line="440" w:lineRule="exact"/>
        <w:ind w:firstLine="210" w:firstLineChars="100"/>
        <w:jc w:val="left"/>
        <w:rPr>
          <w:rFonts w:ascii="宋体"/>
          <w:szCs w:val="21"/>
          <w:highlight w:val="none"/>
        </w:rPr>
      </w:pPr>
      <w:r>
        <w:rPr>
          <w:rFonts w:hint="eastAsia" w:ascii="宋体"/>
          <w:szCs w:val="21"/>
          <w:highlight w:val="none"/>
        </w:rPr>
        <w:t>37.6 如有多报（指数量超出采购文件需求）、重报（指同一货物重复报价），其投标总价在评标过程中不予调整，如其中标，其合同价按其投标单价予以调整；</w:t>
      </w:r>
    </w:p>
    <w:p>
      <w:pPr>
        <w:spacing w:line="440" w:lineRule="exact"/>
        <w:ind w:firstLine="210" w:firstLineChars="100"/>
        <w:jc w:val="left"/>
        <w:rPr>
          <w:rFonts w:ascii="宋体"/>
          <w:szCs w:val="21"/>
          <w:highlight w:val="none"/>
        </w:rPr>
      </w:pPr>
      <w:r>
        <w:rPr>
          <w:rFonts w:hint="eastAsia" w:ascii="宋体"/>
          <w:szCs w:val="21"/>
          <w:highlight w:val="none"/>
        </w:rPr>
        <w:t>37.7 对不同文字文本投标文件的解释发生异议的，以中文文本为准；</w:t>
      </w:r>
    </w:p>
    <w:p>
      <w:pPr>
        <w:spacing w:line="440" w:lineRule="exact"/>
        <w:ind w:firstLine="210" w:firstLineChars="100"/>
        <w:jc w:val="left"/>
        <w:rPr>
          <w:rFonts w:ascii="宋体"/>
          <w:b/>
          <w:bCs/>
          <w:szCs w:val="21"/>
          <w:highlight w:val="none"/>
        </w:rPr>
      </w:pPr>
      <w:r>
        <w:rPr>
          <w:rFonts w:hint="eastAsia" w:ascii="宋体"/>
          <w:szCs w:val="21"/>
          <w:highlight w:val="none"/>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宋体"/>
          <w:b/>
          <w:bCs/>
          <w:szCs w:val="21"/>
          <w:highlight w:val="none"/>
        </w:rPr>
        <w:t>修正应当采用电子询标的形式，并加盖公章（电子印章）。</w:t>
      </w:r>
    </w:p>
    <w:p>
      <w:pPr>
        <w:spacing w:line="440" w:lineRule="exact"/>
        <w:ind w:firstLine="210" w:firstLineChars="100"/>
        <w:jc w:val="left"/>
        <w:rPr>
          <w:rFonts w:ascii="宋体"/>
          <w:szCs w:val="21"/>
          <w:highlight w:val="none"/>
        </w:rPr>
      </w:pPr>
      <w:r>
        <w:rPr>
          <w:rFonts w:hint="eastAsia" w:ascii="宋体"/>
          <w:szCs w:val="21"/>
          <w:highlight w:val="none"/>
        </w:rPr>
        <w:t>38．无效投标文件</w:t>
      </w:r>
    </w:p>
    <w:p>
      <w:pPr>
        <w:spacing w:line="440" w:lineRule="exact"/>
        <w:ind w:firstLine="210" w:firstLineChars="100"/>
        <w:jc w:val="left"/>
        <w:rPr>
          <w:rFonts w:ascii="宋体"/>
          <w:szCs w:val="21"/>
          <w:highlight w:val="none"/>
        </w:rPr>
      </w:pPr>
      <w:r>
        <w:rPr>
          <w:rFonts w:hint="eastAsia" w:ascii="宋体"/>
          <w:szCs w:val="21"/>
          <w:highlight w:val="none"/>
        </w:rPr>
        <w:t>有下列情形之一的，投标文件按无效标处理：</w:t>
      </w:r>
    </w:p>
    <w:p>
      <w:pPr>
        <w:spacing w:line="440" w:lineRule="exact"/>
        <w:ind w:firstLine="210" w:firstLineChars="100"/>
        <w:jc w:val="left"/>
        <w:rPr>
          <w:rFonts w:ascii="宋体"/>
          <w:szCs w:val="21"/>
          <w:highlight w:val="none"/>
        </w:rPr>
      </w:pPr>
      <w:r>
        <w:rPr>
          <w:rFonts w:hint="eastAsia" w:ascii="宋体"/>
          <w:szCs w:val="21"/>
          <w:highlight w:val="none"/>
        </w:rPr>
        <w:t>38.1 报名的投标人与参加投标的投标人发生实质性变更的且未提供有效证明的；</w:t>
      </w:r>
    </w:p>
    <w:p>
      <w:pPr>
        <w:spacing w:line="440" w:lineRule="exact"/>
        <w:ind w:firstLine="210" w:firstLineChars="100"/>
        <w:jc w:val="left"/>
        <w:rPr>
          <w:rFonts w:ascii="宋体"/>
          <w:szCs w:val="21"/>
          <w:highlight w:val="none"/>
        </w:rPr>
      </w:pPr>
      <w:r>
        <w:rPr>
          <w:rFonts w:hint="eastAsia" w:ascii="宋体"/>
          <w:szCs w:val="21"/>
          <w:highlight w:val="none"/>
        </w:rPr>
        <w:t>38.2投标人提交两份或两份以上内容不同的投标文件，未声明哪一份有效的；</w:t>
      </w:r>
    </w:p>
    <w:p>
      <w:pPr>
        <w:spacing w:line="440" w:lineRule="exact"/>
        <w:ind w:firstLine="210" w:firstLineChars="100"/>
        <w:jc w:val="left"/>
        <w:rPr>
          <w:rFonts w:ascii="宋体"/>
          <w:szCs w:val="21"/>
          <w:highlight w:val="none"/>
        </w:rPr>
      </w:pPr>
      <w:r>
        <w:rPr>
          <w:rFonts w:hint="eastAsia" w:ascii="宋体"/>
          <w:szCs w:val="21"/>
          <w:highlight w:val="none"/>
        </w:rPr>
        <w:t>38.3 投标文件非投标人法定代表人签署的，未提供或提供无效的法定代表人授权书；</w:t>
      </w:r>
    </w:p>
    <w:p>
      <w:pPr>
        <w:spacing w:line="440" w:lineRule="exact"/>
        <w:ind w:firstLine="210" w:firstLineChars="100"/>
        <w:jc w:val="left"/>
        <w:rPr>
          <w:rFonts w:ascii="宋体"/>
          <w:szCs w:val="21"/>
          <w:highlight w:val="none"/>
        </w:rPr>
      </w:pPr>
      <w:r>
        <w:rPr>
          <w:rFonts w:hint="eastAsia" w:ascii="宋体"/>
          <w:szCs w:val="21"/>
          <w:highlight w:val="none"/>
        </w:rPr>
        <w:t>38.4 未按磋商文件规定装订；</w:t>
      </w:r>
    </w:p>
    <w:p>
      <w:pPr>
        <w:spacing w:line="440" w:lineRule="exact"/>
        <w:ind w:firstLine="210" w:firstLineChars="100"/>
        <w:jc w:val="left"/>
        <w:rPr>
          <w:rFonts w:ascii="宋体"/>
          <w:szCs w:val="21"/>
          <w:highlight w:val="none"/>
        </w:rPr>
      </w:pPr>
      <w:r>
        <w:rPr>
          <w:rFonts w:hint="eastAsia" w:ascii="宋体"/>
          <w:szCs w:val="21"/>
          <w:highlight w:val="none"/>
        </w:rPr>
        <w:t>38.5 投标文件内容未按磋商文件规定签字或盖章的；</w:t>
      </w:r>
    </w:p>
    <w:p>
      <w:pPr>
        <w:spacing w:line="440" w:lineRule="exact"/>
        <w:ind w:firstLine="210" w:firstLineChars="100"/>
        <w:jc w:val="left"/>
        <w:rPr>
          <w:rFonts w:ascii="宋体"/>
          <w:szCs w:val="21"/>
          <w:highlight w:val="none"/>
        </w:rPr>
      </w:pPr>
      <w:r>
        <w:rPr>
          <w:rFonts w:hint="eastAsia" w:ascii="宋体"/>
          <w:szCs w:val="21"/>
          <w:highlight w:val="none"/>
        </w:rPr>
        <w:t>38.6 投标文件组成漏项或未按规定的格式编制或投标文件正、副本份数不足或内容不全或内容字迹模糊辨认不清的等而导致评标活动无法正常进行；</w:t>
      </w:r>
    </w:p>
    <w:p>
      <w:pPr>
        <w:spacing w:line="440" w:lineRule="exact"/>
        <w:ind w:firstLine="210" w:firstLineChars="100"/>
        <w:jc w:val="left"/>
        <w:rPr>
          <w:rFonts w:ascii="宋体"/>
          <w:szCs w:val="21"/>
          <w:highlight w:val="none"/>
        </w:rPr>
      </w:pPr>
      <w:r>
        <w:rPr>
          <w:rFonts w:hint="eastAsia" w:ascii="宋体"/>
          <w:szCs w:val="21"/>
          <w:highlight w:val="none"/>
        </w:rPr>
        <w:t>38.7 投标人未按磋商文件变更通知更改投标文件的；</w:t>
      </w:r>
    </w:p>
    <w:p>
      <w:pPr>
        <w:spacing w:line="440" w:lineRule="exact"/>
        <w:ind w:firstLine="210" w:firstLineChars="100"/>
        <w:jc w:val="left"/>
        <w:rPr>
          <w:rFonts w:ascii="宋体"/>
          <w:szCs w:val="21"/>
          <w:highlight w:val="none"/>
        </w:rPr>
      </w:pPr>
      <w:r>
        <w:rPr>
          <w:rFonts w:hint="eastAsia" w:ascii="宋体"/>
          <w:szCs w:val="21"/>
          <w:highlight w:val="none"/>
        </w:rPr>
        <w:t>38.8 《开标一览表》和《投标分项报价表》内容不完整且不接受修正意见或字迹不能辨认的或未提供；</w:t>
      </w:r>
    </w:p>
    <w:p>
      <w:pPr>
        <w:spacing w:line="440" w:lineRule="exact"/>
        <w:ind w:firstLine="210" w:firstLineChars="100"/>
        <w:jc w:val="left"/>
        <w:rPr>
          <w:rFonts w:ascii="宋体"/>
          <w:szCs w:val="21"/>
          <w:highlight w:val="none"/>
        </w:rPr>
      </w:pPr>
      <w:r>
        <w:rPr>
          <w:rFonts w:hint="eastAsia" w:ascii="宋体"/>
          <w:szCs w:val="21"/>
          <w:highlight w:val="none"/>
        </w:rPr>
        <w:t>38.9 标项投标报价超过磋商文件规定的预算金额或最高限价</w:t>
      </w:r>
    </w:p>
    <w:p>
      <w:pPr>
        <w:spacing w:line="440" w:lineRule="exact"/>
        <w:ind w:firstLine="210" w:firstLineChars="100"/>
        <w:jc w:val="left"/>
        <w:rPr>
          <w:rFonts w:ascii="宋体"/>
          <w:szCs w:val="21"/>
          <w:highlight w:val="none"/>
        </w:rPr>
      </w:pPr>
      <w:r>
        <w:rPr>
          <w:rFonts w:hint="eastAsia" w:ascii="宋体"/>
          <w:szCs w:val="21"/>
          <w:highlight w:val="none"/>
        </w:rPr>
        <w:t>38.10 因投标人原因编制错误造成经评标委员会修正后的报价达到或超过投标报价的0.5%；</w:t>
      </w:r>
    </w:p>
    <w:p>
      <w:pPr>
        <w:spacing w:line="440" w:lineRule="exact"/>
        <w:ind w:firstLine="210" w:firstLineChars="100"/>
        <w:jc w:val="left"/>
        <w:rPr>
          <w:rFonts w:ascii="宋体"/>
          <w:szCs w:val="21"/>
          <w:highlight w:val="none"/>
        </w:rPr>
      </w:pPr>
      <w:r>
        <w:rPr>
          <w:rFonts w:hint="eastAsia" w:ascii="宋体"/>
          <w:szCs w:val="21"/>
          <w:highlight w:val="none"/>
        </w:rPr>
        <w:t>38.11 投标人的报价明显低于其他通过符合性审查投标人的报价，有可能影响产品质量或者不能诚信履约的，且在规定时间内不能合理说明原因并提供证明材料的；</w:t>
      </w:r>
    </w:p>
    <w:p>
      <w:pPr>
        <w:spacing w:line="440" w:lineRule="exact"/>
        <w:ind w:firstLine="210" w:firstLineChars="100"/>
        <w:jc w:val="left"/>
        <w:rPr>
          <w:rFonts w:ascii="宋体"/>
          <w:szCs w:val="21"/>
          <w:highlight w:val="none"/>
        </w:rPr>
      </w:pPr>
      <w:r>
        <w:rPr>
          <w:rFonts w:hint="eastAsia" w:ascii="宋体"/>
          <w:szCs w:val="21"/>
          <w:highlight w:val="none"/>
        </w:rPr>
        <w:t>38.12 未实质性响应磋商文件中条款要求的投标文件；</w:t>
      </w:r>
    </w:p>
    <w:p>
      <w:pPr>
        <w:spacing w:line="440" w:lineRule="exact"/>
        <w:ind w:firstLine="210" w:firstLineChars="100"/>
        <w:jc w:val="left"/>
        <w:rPr>
          <w:rFonts w:ascii="宋体"/>
          <w:szCs w:val="21"/>
          <w:highlight w:val="none"/>
        </w:rPr>
      </w:pPr>
      <w:r>
        <w:rPr>
          <w:rFonts w:hint="eastAsia" w:ascii="宋体"/>
          <w:szCs w:val="21"/>
          <w:highlight w:val="none"/>
        </w:rPr>
        <w:t>38.13 不符合招标范围、技术规格、技术标准的要求无法满足采购人使用要求；</w:t>
      </w:r>
    </w:p>
    <w:p>
      <w:pPr>
        <w:spacing w:line="440" w:lineRule="exact"/>
        <w:ind w:firstLine="210" w:firstLineChars="100"/>
        <w:jc w:val="left"/>
        <w:rPr>
          <w:rFonts w:ascii="宋体"/>
          <w:szCs w:val="21"/>
          <w:highlight w:val="none"/>
        </w:rPr>
      </w:pPr>
      <w:r>
        <w:rPr>
          <w:rFonts w:hint="eastAsia" w:ascii="宋体"/>
          <w:szCs w:val="21"/>
          <w:highlight w:val="none"/>
        </w:rPr>
        <w:t>38.14 投标文件附有采购人不能接受的条款；</w:t>
      </w:r>
    </w:p>
    <w:p>
      <w:pPr>
        <w:spacing w:line="440" w:lineRule="exact"/>
        <w:ind w:firstLine="210" w:firstLineChars="100"/>
        <w:jc w:val="left"/>
        <w:rPr>
          <w:rFonts w:ascii="宋体"/>
          <w:szCs w:val="21"/>
          <w:highlight w:val="none"/>
        </w:rPr>
      </w:pPr>
      <w:r>
        <w:rPr>
          <w:rFonts w:hint="eastAsia" w:ascii="宋体"/>
          <w:szCs w:val="21"/>
          <w:highlight w:val="none"/>
        </w:rPr>
        <w:t>38.15 投标文件中提供了赠品或者与本项目采购无关的其他商品、服务；</w:t>
      </w:r>
    </w:p>
    <w:p>
      <w:pPr>
        <w:spacing w:line="440" w:lineRule="exact"/>
        <w:ind w:firstLine="210" w:firstLineChars="100"/>
        <w:jc w:val="left"/>
        <w:rPr>
          <w:rFonts w:ascii="宋体"/>
          <w:szCs w:val="21"/>
          <w:highlight w:val="none"/>
        </w:rPr>
      </w:pPr>
      <w:r>
        <w:rPr>
          <w:rFonts w:hint="eastAsia" w:ascii="宋体"/>
          <w:szCs w:val="21"/>
          <w:highlight w:val="none"/>
        </w:rPr>
        <w:t>38.16 投标文件中承诺的投标有效期少于磋商文件中载明的投标有效期；</w:t>
      </w:r>
    </w:p>
    <w:p>
      <w:pPr>
        <w:spacing w:line="440" w:lineRule="exact"/>
        <w:ind w:firstLine="210" w:firstLineChars="100"/>
        <w:jc w:val="left"/>
        <w:rPr>
          <w:rFonts w:ascii="宋体"/>
          <w:szCs w:val="21"/>
          <w:highlight w:val="none"/>
        </w:rPr>
      </w:pPr>
      <w:r>
        <w:rPr>
          <w:rFonts w:hint="eastAsia" w:ascii="宋体"/>
          <w:szCs w:val="21"/>
          <w:highlight w:val="none"/>
        </w:rPr>
        <w:t>38.17投标人串通投标，妨碍其他投标人的竞争行为，损害采购人或者其他投标人的合法权益；</w:t>
      </w:r>
    </w:p>
    <w:p>
      <w:pPr>
        <w:spacing w:line="440" w:lineRule="exact"/>
        <w:ind w:firstLine="210" w:firstLineChars="100"/>
        <w:jc w:val="left"/>
        <w:rPr>
          <w:rFonts w:ascii="宋体"/>
          <w:szCs w:val="21"/>
          <w:highlight w:val="none"/>
        </w:rPr>
      </w:pPr>
      <w:r>
        <w:rPr>
          <w:rFonts w:hint="eastAsia" w:ascii="宋体"/>
          <w:szCs w:val="21"/>
          <w:highlight w:val="none"/>
        </w:rPr>
        <w:t>38.18违反国家及政府部门相关法律、法规、文件规定或经评标委员会认定的其他属于重大偏离；</w:t>
      </w:r>
    </w:p>
    <w:p>
      <w:pPr>
        <w:spacing w:line="440" w:lineRule="exact"/>
        <w:ind w:firstLine="210" w:firstLineChars="100"/>
        <w:jc w:val="left"/>
        <w:rPr>
          <w:rFonts w:ascii="宋体"/>
          <w:szCs w:val="21"/>
          <w:highlight w:val="none"/>
        </w:rPr>
      </w:pPr>
      <w:r>
        <w:rPr>
          <w:rFonts w:hint="eastAsia" w:ascii="宋体"/>
          <w:szCs w:val="21"/>
          <w:highlight w:val="none"/>
        </w:rPr>
        <w:t>39．废标</w:t>
      </w:r>
    </w:p>
    <w:p>
      <w:pPr>
        <w:spacing w:line="440" w:lineRule="exact"/>
        <w:ind w:firstLine="210" w:firstLineChars="100"/>
        <w:jc w:val="left"/>
        <w:rPr>
          <w:rFonts w:ascii="宋体"/>
          <w:szCs w:val="21"/>
          <w:highlight w:val="none"/>
        </w:rPr>
      </w:pPr>
      <w:r>
        <w:rPr>
          <w:rFonts w:hint="eastAsia" w:ascii="宋体"/>
          <w:szCs w:val="21"/>
          <w:highlight w:val="none"/>
        </w:rPr>
        <w:t>39.1 符合磋商文件规定废标情形的；</w:t>
      </w:r>
    </w:p>
    <w:p>
      <w:pPr>
        <w:spacing w:line="440" w:lineRule="exact"/>
        <w:ind w:firstLine="210" w:firstLineChars="100"/>
        <w:jc w:val="left"/>
        <w:rPr>
          <w:rFonts w:ascii="宋体"/>
          <w:szCs w:val="21"/>
          <w:highlight w:val="none"/>
        </w:rPr>
      </w:pPr>
      <w:r>
        <w:rPr>
          <w:rFonts w:hint="eastAsia" w:ascii="宋体"/>
          <w:szCs w:val="21"/>
          <w:highlight w:val="none"/>
        </w:rPr>
        <w:t>39.2 出现影响采购公正的违法、违规行为的；</w:t>
      </w:r>
    </w:p>
    <w:p>
      <w:pPr>
        <w:spacing w:line="440" w:lineRule="exact"/>
        <w:ind w:firstLine="210" w:firstLineChars="100"/>
        <w:jc w:val="left"/>
        <w:rPr>
          <w:rFonts w:ascii="宋体"/>
          <w:szCs w:val="21"/>
          <w:highlight w:val="none"/>
        </w:rPr>
      </w:pPr>
      <w:r>
        <w:rPr>
          <w:rFonts w:hint="eastAsia" w:ascii="宋体"/>
          <w:szCs w:val="21"/>
          <w:highlight w:val="none"/>
        </w:rPr>
        <w:t>39.3 供应商的报价均超过了采购预算（或最高限价），采购人不能支付的;</w:t>
      </w:r>
    </w:p>
    <w:p>
      <w:pPr>
        <w:spacing w:line="440" w:lineRule="exact"/>
        <w:ind w:firstLine="210" w:firstLineChars="100"/>
        <w:jc w:val="left"/>
        <w:rPr>
          <w:rFonts w:ascii="宋体"/>
          <w:szCs w:val="21"/>
          <w:highlight w:val="none"/>
        </w:rPr>
      </w:pPr>
      <w:r>
        <w:rPr>
          <w:rFonts w:hint="eastAsia" w:ascii="宋体"/>
          <w:szCs w:val="21"/>
          <w:highlight w:val="none"/>
        </w:rPr>
        <w:t>39.4 因重大变故，采购任务取消的。</w:t>
      </w:r>
    </w:p>
    <w:p>
      <w:pPr>
        <w:spacing w:line="440" w:lineRule="exact"/>
        <w:ind w:firstLine="210" w:firstLineChars="100"/>
        <w:jc w:val="left"/>
        <w:rPr>
          <w:rFonts w:ascii="宋体"/>
          <w:szCs w:val="21"/>
          <w:highlight w:val="none"/>
        </w:rPr>
      </w:pPr>
      <w:r>
        <w:rPr>
          <w:rFonts w:hint="eastAsia" w:ascii="宋体"/>
          <w:szCs w:val="21"/>
          <w:highlight w:val="none"/>
        </w:rPr>
        <w:t>40．突发情况处理</w:t>
      </w:r>
    </w:p>
    <w:p>
      <w:pPr>
        <w:spacing w:line="440" w:lineRule="exact"/>
        <w:ind w:firstLine="210" w:firstLineChars="100"/>
        <w:jc w:val="left"/>
        <w:rPr>
          <w:rFonts w:ascii="宋体"/>
          <w:szCs w:val="21"/>
          <w:highlight w:val="none"/>
        </w:rPr>
      </w:pPr>
      <w:r>
        <w:rPr>
          <w:rFonts w:hint="eastAsia" w:ascii="宋体"/>
          <w:szCs w:val="21"/>
          <w:highlight w:val="none"/>
        </w:rPr>
        <w:t>40.1 采购过程中出现以下情形，导致电子交易平台无法正常运行，或者无法保证电子交易的公平、公正和安全时，采购组织机构可中止电子交易活动：</w:t>
      </w:r>
    </w:p>
    <w:p>
      <w:pPr>
        <w:spacing w:line="440" w:lineRule="exact"/>
        <w:ind w:firstLine="210" w:firstLineChars="100"/>
        <w:jc w:val="left"/>
        <w:rPr>
          <w:rFonts w:ascii="宋体"/>
          <w:szCs w:val="21"/>
          <w:highlight w:val="none"/>
        </w:rPr>
      </w:pPr>
      <w:r>
        <w:rPr>
          <w:rFonts w:hint="eastAsia" w:ascii="宋体"/>
          <w:szCs w:val="21"/>
          <w:highlight w:val="none"/>
        </w:rPr>
        <w:t xml:space="preserve">（1）电子交易平台发生故障而无法登录访问的； </w:t>
      </w:r>
    </w:p>
    <w:p>
      <w:pPr>
        <w:spacing w:line="440" w:lineRule="exact"/>
        <w:ind w:firstLine="210" w:firstLineChars="100"/>
        <w:jc w:val="left"/>
        <w:rPr>
          <w:rFonts w:ascii="宋体"/>
          <w:szCs w:val="21"/>
          <w:highlight w:val="none"/>
        </w:rPr>
      </w:pPr>
      <w:r>
        <w:rPr>
          <w:rFonts w:hint="eastAsia" w:ascii="宋体"/>
          <w:szCs w:val="21"/>
          <w:highlight w:val="none"/>
        </w:rPr>
        <w:t>（2）电子交易平台应用或数据库出现错误，不能进行正常操作的；</w:t>
      </w:r>
    </w:p>
    <w:p>
      <w:pPr>
        <w:spacing w:line="440" w:lineRule="exact"/>
        <w:ind w:firstLine="210" w:firstLineChars="100"/>
        <w:jc w:val="left"/>
        <w:rPr>
          <w:rFonts w:ascii="宋体"/>
          <w:szCs w:val="21"/>
          <w:highlight w:val="none"/>
        </w:rPr>
      </w:pPr>
      <w:r>
        <w:rPr>
          <w:rFonts w:hint="eastAsia" w:ascii="宋体"/>
          <w:szCs w:val="21"/>
          <w:highlight w:val="none"/>
        </w:rPr>
        <w:t>（3）电子交易平台发现严重安全漏洞，有潜在泄密危险的；</w:t>
      </w:r>
    </w:p>
    <w:p>
      <w:pPr>
        <w:spacing w:line="440" w:lineRule="exact"/>
        <w:ind w:firstLine="210" w:firstLineChars="100"/>
        <w:jc w:val="left"/>
        <w:rPr>
          <w:rFonts w:ascii="宋体"/>
          <w:szCs w:val="21"/>
          <w:highlight w:val="none"/>
        </w:rPr>
      </w:pPr>
      <w:r>
        <w:rPr>
          <w:rFonts w:hint="eastAsia" w:ascii="宋体"/>
          <w:szCs w:val="21"/>
          <w:highlight w:val="none"/>
        </w:rPr>
        <w:t xml:space="preserve">（4）病毒发作导致不能进行正常操作的； </w:t>
      </w:r>
    </w:p>
    <w:p>
      <w:pPr>
        <w:spacing w:line="440" w:lineRule="exact"/>
        <w:ind w:firstLine="210" w:firstLineChars="100"/>
        <w:jc w:val="left"/>
        <w:rPr>
          <w:rFonts w:ascii="宋体"/>
          <w:szCs w:val="21"/>
          <w:highlight w:val="none"/>
        </w:rPr>
      </w:pPr>
      <w:r>
        <w:rPr>
          <w:rFonts w:hint="eastAsia" w:ascii="宋体"/>
          <w:szCs w:val="21"/>
          <w:highlight w:val="none"/>
        </w:rPr>
        <w:t>（5）其他无法保证电子交易的公平、公正和安全的情况。</w:t>
      </w:r>
    </w:p>
    <w:p>
      <w:pPr>
        <w:spacing w:line="440" w:lineRule="exact"/>
        <w:ind w:firstLine="210" w:firstLineChars="100"/>
        <w:jc w:val="left"/>
        <w:rPr>
          <w:rFonts w:ascii="宋体"/>
          <w:szCs w:val="21"/>
          <w:highlight w:val="none"/>
        </w:rPr>
      </w:pPr>
      <w:r>
        <w:rPr>
          <w:rFonts w:hint="eastAsia" w:ascii="宋体"/>
          <w:szCs w:val="21"/>
          <w:highlight w:val="none"/>
        </w:rPr>
        <w:t>出现前款规定情形，不影响采购公平、公正性的，采购组织机构可以待上述情形消除后继续组织电子交易活动，也可以决定某些环节以纸质形式进行；影响或可能影响采购公平、公正性的，应当重新采购。</w:t>
      </w:r>
    </w:p>
    <w:p>
      <w:pPr>
        <w:spacing w:line="440" w:lineRule="exact"/>
        <w:ind w:firstLine="210" w:firstLineChars="100"/>
        <w:jc w:val="left"/>
        <w:rPr>
          <w:rFonts w:ascii="宋体"/>
          <w:szCs w:val="21"/>
          <w:highlight w:val="none"/>
        </w:rPr>
      </w:pPr>
      <w:r>
        <w:rPr>
          <w:rFonts w:hint="eastAsia" w:ascii="宋体"/>
          <w:szCs w:val="21"/>
          <w:highlight w:val="none"/>
        </w:rPr>
        <w:t>40.2 采购代理机构或评审小组因不可抗力（不可抗力包括但不限于自然灾害、断电、传播疫病等）原因造成电子交易活动无法正常运行的，将采取以下措施：</w:t>
      </w:r>
    </w:p>
    <w:p>
      <w:pPr>
        <w:spacing w:line="440" w:lineRule="exact"/>
        <w:ind w:firstLine="210" w:firstLineChars="100"/>
        <w:jc w:val="left"/>
        <w:rPr>
          <w:rFonts w:ascii="宋体"/>
          <w:szCs w:val="21"/>
          <w:highlight w:val="none"/>
        </w:rPr>
      </w:pPr>
      <w:r>
        <w:rPr>
          <w:rFonts w:hint="eastAsia" w:ascii="宋体"/>
          <w:szCs w:val="21"/>
          <w:highlight w:val="none"/>
        </w:rPr>
        <w:t xml:space="preserve">（1）短时间内能消除不可抗力因素的，采购代理机构或评审小组在消除不可抗力因素后继续组织电子交易活动； </w:t>
      </w:r>
    </w:p>
    <w:p>
      <w:pPr>
        <w:spacing w:line="440" w:lineRule="exact"/>
        <w:ind w:firstLine="210" w:firstLineChars="100"/>
        <w:jc w:val="left"/>
        <w:rPr>
          <w:rFonts w:ascii="宋体"/>
          <w:szCs w:val="21"/>
          <w:highlight w:val="none"/>
        </w:rPr>
      </w:pPr>
      <w:r>
        <w:rPr>
          <w:rFonts w:hint="eastAsia" w:ascii="宋体"/>
          <w:szCs w:val="21"/>
          <w:highlight w:val="none"/>
        </w:rPr>
        <w:t>（2）长时间内无法消除不可抗力因素的，采购代理机构或评审小组将中止电子交易活动。中止电子交易活动的，采购人应当重新组织政府采购活动。</w:t>
      </w:r>
    </w:p>
    <w:p>
      <w:pPr>
        <w:snapToGrid w:val="0"/>
        <w:spacing w:line="360" w:lineRule="exact"/>
        <w:ind w:firstLine="421"/>
        <w:rPr>
          <w:rFonts w:ascii="宋体"/>
          <w:b/>
          <w:szCs w:val="21"/>
          <w:highlight w:val="none"/>
        </w:rPr>
      </w:pPr>
      <w:r>
        <w:rPr>
          <w:rFonts w:hint="eastAsia" w:ascii="宋体"/>
          <w:b/>
          <w:szCs w:val="21"/>
          <w:highlight w:val="none"/>
        </w:rPr>
        <w:t>41. 定标</w:t>
      </w:r>
    </w:p>
    <w:p>
      <w:pPr>
        <w:spacing w:line="440" w:lineRule="exact"/>
        <w:ind w:firstLine="210" w:firstLineChars="100"/>
        <w:jc w:val="left"/>
        <w:rPr>
          <w:rFonts w:ascii="宋体"/>
          <w:szCs w:val="21"/>
          <w:highlight w:val="none"/>
        </w:rPr>
      </w:pPr>
      <w:r>
        <w:rPr>
          <w:rFonts w:hint="eastAsia" w:ascii="宋体"/>
          <w:szCs w:val="21"/>
          <w:highlight w:val="none"/>
        </w:rPr>
        <w:t xml:space="preserve">    </w:t>
      </w:r>
      <w:bookmarkStart w:id="53" w:name="_Toc469495729"/>
      <w:r>
        <w:rPr>
          <w:rFonts w:hint="eastAsia" w:ascii="宋体"/>
          <w:szCs w:val="21"/>
          <w:highlight w:val="none"/>
        </w:rPr>
        <w:t>41.1采购结果确认（确定中标供应商）</w:t>
      </w:r>
    </w:p>
    <w:p>
      <w:pPr>
        <w:spacing w:line="440" w:lineRule="exact"/>
        <w:ind w:firstLine="210" w:firstLineChars="100"/>
        <w:jc w:val="left"/>
        <w:rPr>
          <w:rFonts w:ascii="宋体"/>
          <w:szCs w:val="21"/>
          <w:highlight w:val="none"/>
        </w:rPr>
      </w:pPr>
      <w:r>
        <w:rPr>
          <w:rFonts w:hint="eastAsia" w:ascii="宋体"/>
          <w:szCs w:val="21"/>
          <w:highlight w:val="none"/>
        </w:rPr>
        <w:t>采购结果确认（确定中标供应商）：本项目由采购人根据评标委员会提交的《评审报告》，通过“政府采购云平台”依法确认采购结果、确定中标供应商。具体流程如下：</w:t>
      </w:r>
    </w:p>
    <w:p>
      <w:pPr>
        <w:spacing w:line="440" w:lineRule="exact"/>
        <w:ind w:firstLine="210" w:firstLineChars="100"/>
        <w:jc w:val="left"/>
        <w:rPr>
          <w:rFonts w:ascii="宋体"/>
          <w:szCs w:val="21"/>
          <w:highlight w:val="none"/>
        </w:rPr>
      </w:pPr>
      <w:r>
        <w:rPr>
          <w:rFonts w:hint="eastAsia" w:ascii="宋体"/>
          <w:szCs w:val="21"/>
          <w:highlight w:val="none"/>
        </w:rPr>
        <w:t>（1）采购代理机构将在评审结束后2个工作日内将评审报告送采购人。</w:t>
      </w:r>
    </w:p>
    <w:p>
      <w:pPr>
        <w:spacing w:line="440" w:lineRule="exact"/>
        <w:ind w:firstLine="210" w:firstLineChars="100"/>
        <w:jc w:val="left"/>
        <w:rPr>
          <w:rFonts w:ascii="宋体"/>
          <w:szCs w:val="21"/>
          <w:highlight w:val="none"/>
        </w:rPr>
      </w:pPr>
      <w:r>
        <w:rPr>
          <w:rFonts w:hint="eastAsia" w:ascii="宋体"/>
          <w:szCs w:val="21"/>
          <w:highlight w:val="none"/>
        </w:rPr>
        <w:t xml:space="preserve">（2）采购人将在收到评审报告之日起5个工作日内，在评审报告推荐的中标候选供应商名单中按顺序确定中标供应商，并将确认意见以书面形式回复采购代理机构。 </w:t>
      </w:r>
    </w:p>
    <w:p>
      <w:pPr>
        <w:spacing w:line="440" w:lineRule="exact"/>
        <w:ind w:firstLine="210" w:firstLineChars="100"/>
        <w:jc w:val="left"/>
        <w:rPr>
          <w:rFonts w:ascii="宋体"/>
          <w:b/>
          <w:bCs/>
          <w:szCs w:val="21"/>
          <w:highlight w:val="none"/>
        </w:rPr>
      </w:pPr>
      <w:r>
        <w:rPr>
          <w:rFonts w:hint="eastAsia" w:ascii="宋体"/>
          <w:szCs w:val="21"/>
          <w:highlight w:val="none"/>
        </w:rPr>
        <w:t>41.2采购结果经采购人确认后2个工作日内，采购代理机构将在</w:t>
      </w:r>
      <w:r>
        <w:rPr>
          <w:rFonts w:hint="eastAsia" w:ascii="宋体"/>
          <w:b/>
          <w:bCs/>
          <w:szCs w:val="21"/>
          <w:highlight w:val="none"/>
        </w:rPr>
        <w:t>克州公共资源交易中心网、新疆政府采购网（www.zjzfcg.gov.cn）上公告采购结果，中标公告期限为1个工作日。</w:t>
      </w:r>
    </w:p>
    <w:p>
      <w:pPr>
        <w:spacing w:line="440" w:lineRule="exact"/>
        <w:ind w:firstLine="210" w:firstLineChars="100"/>
        <w:jc w:val="left"/>
        <w:rPr>
          <w:rFonts w:ascii="宋体"/>
          <w:szCs w:val="21"/>
          <w:highlight w:val="none"/>
        </w:rPr>
      </w:pPr>
      <w:r>
        <w:rPr>
          <w:rFonts w:hint="eastAsia" w:ascii="宋体"/>
          <w:szCs w:val="21"/>
          <w:highlight w:val="none"/>
        </w:rPr>
        <w:t>42. 成交通知书</w:t>
      </w:r>
    </w:p>
    <w:p>
      <w:pPr>
        <w:spacing w:line="440" w:lineRule="exact"/>
        <w:ind w:firstLine="210" w:firstLineChars="100"/>
        <w:jc w:val="left"/>
        <w:rPr>
          <w:rFonts w:ascii="宋体"/>
          <w:szCs w:val="21"/>
          <w:highlight w:val="none"/>
        </w:rPr>
      </w:pPr>
      <w:r>
        <w:rPr>
          <w:rFonts w:hint="eastAsia" w:ascii="宋体"/>
          <w:szCs w:val="21"/>
          <w:highlight w:val="none"/>
        </w:rPr>
        <w:t>42.1</w:t>
      </w:r>
      <w:r>
        <w:rPr>
          <w:rFonts w:hint="eastAsia" w:ascii="宋体" w:hAnsi="宋体" w:cs="宋体"/>
          <w:szCs w:val="21"/>
          <w:highlight w:val="none"/>
        </w:rPr>
        <w:t>在成交通知书发出前，招标人将中标侯选人的情况在克州公共资源交易中心网、新疆政府采购网予以公示，</w:t>
      </w:r>
      <w:r>
        <w:rPr>
          <w:rFonts w:hint="eastAsia" w:ascii="宋体" w:hAnsi="宋体" w:cs="宋体"/>
          <w:b/>
          <w:bCs/>
          <w:szCs w:val="21"/>
          <w:highlight w:val="none"/>
        </w:rPr>
        <w:t>公示期为一个工作日。待公示期结束后，</w:t>
      </w:r>
      <w:r>
        <w:rPr>
          <w:rFonts w:hint="eastAsia" w:ascii="宋体"/>
          <w:szCs w:val="21"/>
          <w:highlight w:val="none"/>
        </w:rPr>
        <w:t>采购组织机构向中标人发出中标通知书。</w:t>
      </w:r>
    </w:p>
    <w:p>
      <w:pPr>
        <w:spacing w:line="440" w:lineRule="exact"/>
        <w:ind w:firstLine="210" w:firstLineChars="100"/>
        <w:jc w:val="left"/>
        <w:rPr>
          <w:rFonts w:ascii="宋体"/>
          <w:szCs w:val="21"/>
          <w:highlight w:val="none"/>
        </w:rPr>
      </w:pPr>
      <w:r>
        <w:rPr>
          <w:rFonts w:hint="eastAsia" w:ascii="宋体"/>
          <w:szCs w:val="21"/>
          <w:highlight w:val="none"/>
        </w:rPr>
        <w:t>42.2成交通知书作为签订合同的重要依据，对采购人和中标供应商均具有法律效力。采购人改变中标结果或者中标供应商放弃中标项目的都应承担法律责任。成交供应商不得向他人转让中标项目，也不得将中标项目肢解后分别向他人转让。</w:t>
      </w:r>
    </w:p>
    <w:p>
      <w:pPr>
        <w:spacing w:before="156" w:beforeLines="50" w:line="440" w:lineRule="exact"/>
        <w:jc w:val="center"/>
        <w:outlineLvl w:val="2"/>
        <w:rPr>
          <w:rFonts w:ascii="黑体" w:eastAsia="黑体"/>
          <w:sz w:val="24"/>
          <w:highlight w:val="none"/>
        </w:rPr>
      </w:pPr>
      <w:bookmarkStart w:id="54" w:name="_Toc21524"/>
      <w:r>
        <w:rPr>
          <w:rFonts w:hint="eastAsia" w:ascii="黑体" w:eastAsia="黑体"/>
          <w:sz w:val="28"/>
          <w:szCs w:val="28"/>
          <w:highlight w:val="none"/>
        </w:rPr>
        <w:t>（六）合同的授予</w:t>
      </w:r>
      <w:bookmarkEnd w:id="53"/>
      <w:bookmarkEnd w:id="54"/>
    </w:p>
    <w:p>
      <w:pPr>
        <w:spacing w:line="440" w:lineRule="exact"/>
        <w:ind w:firstLine="210" w:firstLineChars="100"/>
        <w:jc w:val="left"/>
        <w:rPr>
          <w:rFonts w:ascii="宋体"/>
          <w:szCs w:val="21"/>
          <w:highlight w:val="none"/>
        </w:rPr>
      </w:pPr>
      <w:bookmarkStart w:id="55" w:name="_Toc73975842"/>
      <w:bookmarkStart w:id="56" w:name="_Toc469495730"/>
      <w:r>
        <w:rPr>
          <w:rFonts w:hint="eastAsia" w:ascii="宋体"/>
          <w:szCs w:val="21"/>
          <w:highlight w:val="none"/>
        </w:rPr>
        <w:t>43．履约保证金</w:t>
      </w:r>
      <w:bookmarkEnd w:id="55"/>
    </w:p>
    <w:p>
      <w:pPr>
        <w:spacing w:line="440" w:lineRule="exact"/>
        <w:ind w:firstLine="210" w:firstLineChars="100"/>
        <w:jc w:val="left"/>
        <w:rPr>
          <w:rFonts w:ascii="宋体"/>
          <w:szCs w:val="21"/>
          <w:highlight w:val="none"/>
        </w:rPr>
      </w:pPr>
      <w:r>
        <w:rPr>
          <w:rFonts w:hint="eastAsia" w:ascii="宋体"/>
          <w:szCs w:val="21"/>
          <w:highlight w:val="none"/>
        </w:rPr>
        <w:t>43.1 中标供应商在签订合同后5个工作日内向采购人交纳不超过中标价</w:t>
      </w:r>
      <w:r>
        <w:rPr>
          <w:rFonts w:hint="eastAsia" w:ascii="宋体"/>
          <w:szCs w:val="21"/>
          <w:highlight w:val="none"/>
          <w:u w:val="single"/>
          <w:lang w:val="en-US" w:eastAsia="zh-CN"/>
        </w:rPr>
        <w:t>/</w:t>
      </w:r>
      <w:r>
        <w:rPr>
          <w:rFonts w:hint="eastAsia" w:ascii="宋体"/>
          <w:szCs w:val="21"/>
          <w:highlight w:val="none"/>
        </w:rPr>
        <w:t>的履约保证金（鼓励以银行、保险公司出具的履约保函形式提交；若以电汇、银行转账方式提交的，必须转到采购人的指定账户）。</w:t>
      </w:r>
    </w:p>
    <w:p>
      <w:pPr>
        <w:spacing w:line="440" w:lineRule="exact"/>
        <w:ind w:firstLine="210" w:firstLineChars="100"/>
        <w:jc w:val="left"/>
        <w:rPr>
          <w:rFonts w:ascii="宋体"/>
          <w:szCs w:val="21"/>
          <w:highlight w:val="none"/>
        </w:rPr>
      </w:pPr>
      <w:r>
        <w:rPr>
          <w:rFonts w:hint="eastAsia" w:ascii="宋体"/>
          <w:szCs w:val="21"/>
          <w:highlight w:val="none"/>
        </w:rPr>
        <w:t>43.2 签订合同后，如中标供应商不按合同约定履约的，履约保证金不予退还，履约保证金不足以赔偿损失的，按实际损失赔偿。</w:t>
      </w:r>
    </w:p>
    <w:p>
      <w:pPr>
        <w:spacing w:line="440" w:lineRule="exact"/>
        <w:ind w:firstLine="210" w:firstLineChars="100"/>
        <w:jc w:val="left"/>
        <w:rPr>
          <w:rFonts w:ascii="宋体"/>
          <w:szCs w:val="21"/>
          <w:highlight w:val="none"/>
        </w:rPr>
      </w:pPr>
      <w:r>
        <w:rPr>
          <w:rFonts w:hint="eastAsia" w:ascii="宋体"/>
          <w:szCs w:val="21"/>
          <w:highlight w:val="none"/>
        </w:rPr>
        <w:t>43.3 如果中标供应商在建设期内没有涉及采购人的应付而未付金额或违约行为，采购人在项目验收合格后或提前终止合同后全额无息退还履约保证金。</w:t>
      </w:r>
    </w:p>
    <w:p>
      <w:pPr>
        <w:spacing w:line="440" w:lineRule="exact"/>
        <w:ind w:firstLine="210" w:firstLineChars="100"/>
        <w:jc w:val="left"/>
        <w:rPr>
          <w:rFonts w:ascii="宋体"/>
          <w:szCs w:val="21"/>
          <w:highlight w:val="none"/>
        </w:rPr>
      </w:pPr>
      <w:bookmarkStart w:id="57" w:name="_Toc73975843"/>
      <w:r>
        <w:rPr>
          <w:rFonts w:hint="eastAsia" w:ascii="宋体"/>
          <w:szCs w:val="21"/>
          <w:highlight w:val="none"/>
        </w:rPr>
        <w:t>44．签订合同及公告</w:t>
      </w:r>
      <w:bookmarkEnd w:id="57"/>
    </w:p>
    <w:p>
      <w:pPr>
        <w:spacing w:line="440" w:lineRule="exact"/>
        <w:ind w:firstLine="210" w:firstLineChars="100"/>
        <w:jc w:val="left"/>
        <w:rPr>
          <w:rFonts w:ascii="宋体"/>
          <w:szCs w:val="21"/>
          <w:highlight w:val="none"/>
        </w:rPr>
      </w:pPr>
      <w:r>
        <w:rPr>
          <w:rFonts w:hint="eastAsia" w:ascii="宋体"/>
          <w:szCs w:val="21"/>
          <w:highlight w:val="none"/>
        </w:rPr>
        <w:t>44.1采购人在中标通知书发出之日起30日内与中标供应商签订合同。</w:t>
      </w:r>
    </w:p>
    <w:p>
      <w:pPr>
        <w:spacing w:line="440" w:lineRule="exact"/>
        <w:ind w:firstLine="210" w:firstLineChars="100"/>
        <w:jc w:val="left"/>
        <w:rPr>
          <w:rFonts w:ascii="宋体"/>
          <w:szCs w:val="21"/>
          <w:highlight w:val="none"/>
        </w:rPr>
      </w:pPr>
      <w:r>
        <w:rPr>
          <w:rFonts w:hint="eastAsia" w:ascii="宋体"/>
          <w:szCs w:val="21"/>
          <w:highlight w:val="none"/>
        </w:rPr>
        <w:t>44.2中标供应商拖延、拒签合同的,取消中标资格。</w:t>
      </w:r>
    </w:p>
    <w:p>
      <w:pPr>
        <w:spacing w:line="440" w:lineRule="exact"/>
        <w:ind w:firstLine="210" w:firstLineChars="100"/>
        <w:jc w:val="left"/>
        <w:rPr>
          <w:rFonts w:ascii="宋体"/>
          <w:szCs w:val="21"/>
          <w:highlight w:val="none"/>
        </w:rPr>
      </w:pPr>
      <w:r>
        <w:rPr>
          <w:rFonts w:hint="eastAsia" w:ascii="宋体"/>
          <w:szCs w:val="21"/>
          <w:highlight w:val="none"/>
        </w:rPr>
        <w:t>44.3 采购文件、中标供应商的投标文件及评标过程中有关澄清文件等均作为签订合同的依据。所签订的合同不得对采购文件和中标供应商的投标文件的内容作实质性修改。</w:t>
      </w:r>
    </w:p>
    <w:p>
      <w:pPr>
        <w:spacing w:line="440" w:lineRule="exact"/>
        <w:ind w:firstLine="210" w:firstLineChars="100"/>
        <w:jc w:val="left"/>
        <w:rPr>
          <w:rFonts w:ascii="宋体"/>
          <w:szCs w:val="21"/>
          <w:highlight w:val="none"/>
        </w:rPr>
      </w:pPr>
      <w:r>
        <w:rPr>
          <w:rFonts w:hint="eastAsia" w:ascii="宋体"/>
          <w:szCs w:val="21"/>
          <w:highlight w:val="none"/>
        </w:rPr>
        <w:t>44.4采购人应当自政府采购合同签订之日起2个工作日内，在省级以上财政部门指定的政府采购信息发布媒体及相关网站上公告。</w:t>
      </w:r>
    </w:p>
    <w:p>
      <w:pPr>
        <w:spacing w:line="440" w:lineRule="exact"/>
        <w:ind w:firstLine="210" w:firstLineChars="100"/>
        <w:jc w:val="left"/>
        <w:rPr>
          <w:rFonts w:ascii="宋体"/>
          <w:szCs w:val="21"/>
          <w:highlight w:val="none"/>
        </w:rPr>
      </w:pPr>
      <w:r>
        <w:rPr>
          <w:rFonts w:hint="eastAsia" w:ascii="宋体"/>
          <w:szCs w:val="21"/>
          <w:highlight w:val="none"/>
        </w:rPr>
        <w:t>44.5采购人应当自政府采购合同签订之日起7个工作日内，将政府采购合同副本报同级人民政府财政部门备案以及采购代理机构存档。</w:t>
      </w:r>
    </w:p>
    <w:p>
      <w:pPr>
        <w:adjustRightInd w:val="0"/>
        <w:snapToGrid w:val="0"/>
        <w:spacing w:line="440" w:lineRule="exact"/>
        <w:jc w:val="center"/>
        <w:outlineLvl w:val="2"/>
        <w:rPr>
          <w:rFonts w:ascii="黑体" w:eastAsia="黑体"/>
          <w:sz w:val="28"/>
          <w:szCs w:val="28"/>
          <w:highlight w:val="none"/>
        </w:rPr>
      </w:pPr>
      <w:bookmarkStart w:id="58" w:name="_Toc29743"/>
      <w:r>
        <w:rPr>
          <w:rFonts w:hint="eastAsia" w:ascii="黑体" w:eastAsia="黑体"/>
          <w:sz w:val="28"/>
          <w:szCs w:val="28"/>
          <w:highlight w:val="none"/>
        </w:rPr>
        <w:t>（七）纪律和监督</w:t>
      </w:r>
      <w:bookmarkEnd w:id="56"/>
      <w:bookmarkEnd w:id="58"/>
    </w:p>
    <w:p>
      <w:pPr>
        <w:spacing w:line="440" w:lineRule="exact"/>
        <w:ind w:firstLine="308" w:firstLineChars="147"/>
        <w:jc w:val="left"/>
        <w:rPr>
          <w:rFonts w:ascii="宋体"/>
          <w:b/>
          <w:szCs w:val="21"/>
          <w:highlight w:val="none"/>
        </w:rPr>
      </w:pPr>
      <w:r>
        <w:rPr>
          <w:rFonts w:hint="eastAsia" w:ascii="宋体"/>
          <w:b/>
          <w:szCs w:val="21"/>
          <w:highlight w:val="none"/>
        </w:rPr>
        <w:t xml:space="preserve">45. 对招标人的纪律要求 </w:t>
      </w:r>
    </w:p>
    <w:p>
      <w:pPr>
        <w:adjustRightInd w:val="0"/>
        <w:snapToGrid w:val="0"/>
        <w:spacing w:line="440" w:lineRule="exact"/>
        <w:ind w:firstLine="315" w:firstLineChars="150"/>
        <w:rPr>
          <w:rFonts w:ascii="宋体"/>
          <w:kern w:val="10"/>
          <w:szCs w:val="21"/>
          <w:highlight w:val="none"/>
        </w:rPr>
      </w:pPr>
      <w:r>
        <w:rPr>
          <w:rFonts w:hint="eastAsia" w:ascii="宋体"/>
          <w:kern w:val="10"/>
          <w:szCs w:val="21"/>
          <w:highlight w:val="none"/>
        </w:rPr>
        <w:t xml:space="preserve">45.1招标人不得泄漏招标投标活动中应当保密的情况和资料，不得与投标人串通损害国家利益，社会公共利益或者他人合法权益。 </w:t>
      </w:r>
    </w:p>
    <w:p>
      <w:pPr>
        <w:spacing w:line="440" w:lineRule="exact"/>
        <w:ind w:firstLine="308" w:firstLineChars="147"/>
        <w:jc w:val="left"/>
        <w:rPr>
          <w:rFonts w:ascii="宋体"/>
          <w:b/>
          <w:szCs w:val="21"/>
          <w:highlight w:val="none"/>
        </w:rPr>
      </w:pPr>
      <w:r>
        <w:rPr>
          <w:rFonts w:hint="eastAsia" w:ascii="宋体"/>
          <w:b/>
          <w:szCs w:val="21"/>
          <w:highlight w:val="none"/>
        </w:rPr>
        <w:t xml:space="preserve">46. 对投标人的纪律要求 </w:t>
      </w:r>
    </w:p>
    <w:p>
      <w:pPr>
        <w:adjustRightInd w:val="0"/>
        <w:snapToGrid w:val="0"/>
        <w:spacing w:line="440" w:lineRule="exact"/>
        <w:ind w:firstLine="315" w:firstLineChars="150"/>
        <w:rPr>
          <w:rFonts w:ascii="宋体"/>
          <w:kern w:val="10"/>
          <w:szCs w:val="21"/>
          <w:highlight w:val="none"/>
        </w:rPr>
      </w:pPr>
      <w:r>
        <w:rPr>
          <w:rFonts w:hint="eastAsia" w:ascii="宋体"/>
          <w:kern w:val="10"/>
          <w:szCs w:val="21"/>
          <w:highlight w:val="none"/>
        </w:rPr>
        <w:t>46.1投标人不得相互串通投标或者与招标人串通投标，不得向招标人或者评标委员会成员行贿谋取中标，不得以他人名义投标或者以其他方式弄虚作假骗取中标；投标人不得以任何方式干扰、影响评标工作。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440" w:lineRule="exact"/>
        <w:ind w:firstLine="308" w:firstLineChars="147"/>
        <w:jc w:val="left"/>
        <w:rPr>
          <w:rFonts w:ascii="宋体"/>
          <w:b/>
          <w:szCs w:val="21"/>
          <w:highlight w:val="none"/>
        </w:rPr>
      </w:pPr>
      <w:r>
        <w:rPr>
          <w:rFonts w:hint="eastAsia" w:ascii="宋体"/>
          <w:b/>
          <w:szCs w:val="21"/>
          <w:highlight w:val="none"/>
        </w:rPr>
        <w:t xml:space="preserve">47. 对评标委员会成员的纪律要求 </w:t>
      </w:r>
    </w:p>
    <w:p>
      <w:pPr>
        <w:adjustRightInd w:val="0"/>
        <w:snapToGrid w:val="0"/>
        <w:spacing w:line="440" w:lineRule="exact"/>
        <w:ind w:firstLine="315" w:firstLineChars="150"/>
        <w:rPr>
          <w:rFonts w:ascii="宋体"/>
          <w:kern w:val="10"/>
          <w:szCs w:val="21"/>
          <w:highlight w:val="none"/>
        </w:rPr>
      </w:pPr>
      <w:r>
        <w:rPr>
          <w:rFonts w:hint="eastAsia" w:ascii="宋体"/>
          <w:kern w:val="10"/>
          <w:szCs w:val="21"/>
          <w:highlight w:val="none"/>
        </w:rPr>
        <w:t>47.1评标委员会成员不得收受他人的财物或者其他好处，不得向他人透漏对投标文件的评审和比较、中标候选人的推荐情况以及评标有关的其他情况。</w:t>
      </w:r>
    </w:p>
    <w:p>
      <w:pPr>
        <w:adjustRightInd w:val="0"/>
        <w:snapToGrid w:val="0"/>
        <w:spacing w:line="440" w:lineRule="exact"/>
        <w:ind w:firstLine="315" w:firstLineChars="150"/>
        <w:rPr>
          <w:rFonts w:ascii="宋体"/>
          <w:kern w:val="10"/>
          <w:szCs w:val="21"/>
          <w:highlight w:val="none"/>
        </w:rPr>
      </w:pPr>
      <w:r>
        <w:rPr>
          <w:rFonts w:hint="eastAsia" w:ascii="宋体"/>
          <w:kern w:val="10"/>
          <w:szCs w:val="21"/>
          <w:highlight w:val="none"/>
        </w:rPr>
        <w:t xml:space="preserve">47.2在评标活动中，评标委员会成员不得擅离职守，影响评标程序正常进行，不得使用第三章“评标办法”没有规定的评审因素和标准进行评标。 </w:t>
      </w:r>
    </w:p>
    <w:p>
      <w:pPr>
        <w:spacing w:line="440" w:lineRule="exact"/>
        <w:ind w:firstLine="308" w:firstLineChars="147"/>
        <w:jc w:val="left"/>
        <w:rPr>
          <w:rFonts w:ascii="宋体"/>
          <w:b/>
          <w:szCs w:val="21"/>
          <w:highlight w:val="none"/>
        </w:rPr>
      </w:pPr>
      <w:r>
        <w:rPr>
          <w:rFonts w:hint="eastAsia" w:ascii="宋体"/>
          <w:b/>
          <w:szCs w:val="21"/>
          <w:highlight w:val="none"/>
        </w:rPr>
        <w:t xml:space="preserve">48. 对与评标活动有关的工作人员的纪律要求 </w:t>
      </w:r>
    </w:p>
    <w:p>
      <w:pPr>
        <w:adjustRightInd w:val="0"/>
        <w:snapToGrid w:val="0"/>
        <w:spacing w:line="440" w:lineRule="exact"/>
        <w:ind w:firstLine="315" w:firstLineChars="150"/>
        <w:rPr>
          <w:rFonts w:ascii="宋体"/>
          <w:kern w:val="10"/>
          <w:szCs w:val="21"/>
          <w:highlight w:val="none"/>
        </w:rPr>
      </w:pPr>
      <w:r>
        <w:rPr>
          <w:rFonts w:hint="eastAsia" w:ascii="宋体"/>
          <w:kern w:val="10"/>
          <w:szCs w:val="21"/>
          <w:highlight w:val="none"/>
        </w:rPr>
        <w:t>48.1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before="156" w:beforeLines="50" w:after="156" w:afterLines="50" w:line="500" w:lineRule="exact"/>
        <w:jc w:val="center"/>
        <w:rPr>
          <w:rFonts w:ascii="黑体" w:hAnsi="宋体" w:eastAsia="黑体"/>
          <w:sz w:val="28"/>
          <w:szCs w:val="28"/>
          <w:highlight w:val="none"/>
        </w:rPr>
      </w:pPr>
      <w:r>
        <w:rPr>
          <w:rFonts w:hint="eastAsia" w:ascii="黑体" w:eastAsia="黑体"/>
          <w:sz w:val="28"/>
          <w:szCs w:val="28"/>
          <w:highlight w:val="none"/>
        </w:rPr>
        <w:t>（八）</w:t>
      </w:r>
      <w:r>
        <w:rPr>
          <w:rFonts w:hint="eastAsia" w:ascii="黑体" w:hAnsi="宋体" w:eastAsia="黑体"/>
          <w:sz w:val="28"/>
          <w:szCs w:val="28"/>
          <w:highlight w:val="none"/>
        </w:rPr>
        <w:t>质疑与投诉</w:t>
      </w:r>
    </w:p>
    <w:p>
      <w:pPr>
        <w:spacing w:line="440" w:lineRule="exact"/>
        <w:ind w:firstLine="210" w:firstLineChars="100"/>
        <w:jc w:val="left"/>
        <w:rPr>
          <w:rFonts w:ascii="宋体"/>
          <w:szCs w:val="21"/>
          <w:highlight w:val="none"/>
        </w:rPr>
      </w:pPr>
      <w:r>
        <w:rPr>
          <w:rFonts w:hint="eastAsia" w:ascii="宋体"/>
          <w:szCs w:val="21"/>
          <w:highlight w:val="none"/>
        </w:rPr>
        <w:t>49．质疑和投诉</w:t>
      </w:r>
    </w:p>
    <w:p>
      <w:pPr>
        <w:spacing w:line="440" w:lineRule="exact"/>
        <w:ind w:firstLine="210" w:firstLineChars="100"/>
        <w:jc w:val="left"/>
        <w:rPr>
          <w:rFonts w:ascii="宋体"/>
          <w:szCs w:val="21"/>
          <w:highlight w:val="none"/>
        </w:rPr>
      </w:pPr>
      <w:r>
        <w:rPr>
          <w:rFonts w:hint="eastAsia" w:ascii="宋体"/>
          <w:szCs w:val="21"/>
          <w:highlight w:val="none"/>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pacing w:line="440" w:lineRule="exact"/>
        <w:ind w:firstLine="210" w:firstLineChars="100"/>
        <w:jc w:val="left"/>
        <w:rPr>
          <w:rFonts w:ascii="宋体"/>
          <w:szCs w:val="21"/>
          <w:highlight w:val="none"/>
        </w:rPr>
      </w:pPr>
      <w:r>
        <w:rPr>
          <w:rFonts w:hint="eastAsia" w:ascii="宋体"/>
          <w:szCs w:val="21"/>
          <w:highlight w:val="none"/>
        </w:rPr>
        <w:t>（一）对可以质疑的采购文件提出质疑的，为收到采购文件之日或者采购文件公告期限届满之日；</w:t>
      </w:r>
    </w:p>
    <w:p>
      <w:pPr>
        <w:spacing w:line="440" w:lineRule="exact"/>
        <w:ind w:firstLine="210" w:firstLineChars="100"/>
        <w:jc w:val="left"/>
        <w:rPr>
          <w:rFonts w:ascii="宋体"/>
          <w:szCs w:val="21"/>
          <w:highlight w:val="none"/>
        </w:rPr>
      </w:pPr>
      <w:r>
        <w:rPr>
          <w:rFonts w:hint="eastAsia" w:ascii="宋体"/>
          <w:szCs w:val="21"/>
          <w:highlight w:val="none"/>
        </w:rPr>
        <w:t>（二）对采购过程提出质疑的，为各采购程序环节结束之日；</w:t>
      </w:r>
    </w:p>
    <w:p>
      <w:pPr>
        <w:spacing w:line="440" w:lineRule="exact"/>
        <w:ind w:firstLine="210" w:firstLineChars="100"/>
        <w:jc w:val="left"/>
        <w:rPr>
          <w:rFonts w:ascii="宋体"/>
          <w:szCs w:val="21"/>
          <w:highlight w:val="none"/>
        </w:rPr>
      </w:pPr>
      <w:r>
        <w:rPr>
          <w:rFonts w:hint="eastAsia" w:ascii="宋体"/>
          <w:szCs w:val="21"/>
          <w:highlight w:val="none"/>
        </w:rPr>
        <w:t>（三）对中标或者成交结果提出质疑的，为中标或者成交结果公告期限届满之日。</w:t>
      </w:r>
    </w:p>
    <w:p>
      <w:pPr>
        <w:spacing w:line="440" w:lineRule="exact"/>
        <w:ind w:firstLine="210" w:firstLineChars="100"/>
        <w:jc w:val="left"/>
        <w:rPr>
          <w:rFonts w:ascii="宋体"/>
          <w:szCs w:val="21"/>
          <w:highlight w:val="none"/>
        </w:rPr>
      </w:pPr>
      <w:r>
        <w:rPr>
          <w:rFonts w:hint="eastAsia" w:ascii="宋体"/>
          <w:szCs w:val="21"/>
          <w:highlight w:val="none"/>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pacing w:line="440" w:lineRule="exact"/>
        <w:ind w:firstLine="210" w:firstLineChars="100"/>
        <w:jc w:val="left"/>
        <w:rPr>
          <w:rFonts w:ascii="宋体"/>
          <w:szCs w:val="21"/>
          <w:highlight w:val="none"/>
        </w:rPr>
      </w:pPr>
      <w:r>
        <w:rPr>
          <w:rFonts w:hint="eastAsia" w:ascii="宋体"/>
          <w:szCs w:val="21"/>
          <w:highlight w:val="none"/>
        </w:rPr>
        <w:t>供应商为自然人的，应当由本人签字；供应商为法人或者其他组织的，应当由法定代表人、主要负责人，或者其授权代表签字或者盖章，并加盖公章。</w:t>
      </w:r>
    </w:p>
    <w:p>
      <w:pPr>
        <w:spacing w:line="440" w:lineRule="exact"/>
        <w:ind w:firstLine="210" w:firstLineChars="100"/>
        <w:jc w:val="left"/>
        <w:rPr>
          <w:rFonts w:ascii="宋体"/>
          <w:szCs w:val="21"/>
          <w:highlight w:val="none"/>
        </w:rPr>
      </w:pPr>
      <w:r>
        <w:rPr>
          <w:rFonts w:hint="eastAsia" w:ascii="宋体"/>
          <w:szCs w:val="21"/>
          <w:highlight w:val="none"/>
        </w:rPr>
        <w:t>49.3供应商质疑、投诉应当有明确的请求和必要的证明材料。供应商投诉的事项不得超出已质疑事项的范围。采购人及采购代理机构按《政府采购质疑和投诉办法》进行处理供应商质疑事项。</w:t>
      </w:r>
    </w:p>
    <w:p>
      <w:pPr>
        <w:spacing w:line="440" w:lineRule="exact"/>
        <w:ind w:firstLine="210" w:firstLineChars="100"/>
        <w:jc w:val="left"/>
        <w:rPr>
          <w:rFonts w:ascii="宋体"/>
          <w:szCs w:val="21"/>
          <w:highlight w:val="none"/>
        </w:rPr>
      </w:pPr>
      <w:r>
        <w:rPr>
          <w:rFonts w:hint="eastAsia" w:ascii="宋体"/>
          <w:szCs w:val="21"/>
          <w:highlight w:val="none"/>
        </w:rPr>
        <w:t>49.4质疑供应商对采购人、采购代理机构的质疑答复不满意，或者采购人、采购代理机构未在规定期限内作出答复的，供应商可以在答复期满后15个工作日内向同级财政部门提起投诉。</w:t>
      </w:r>
    </w:p>
    <w:p>
      <w:pPr>
        <w:spacing w:line="440" w:lineRule="exact"/>
        <w:ind w:firstLine="210" w:firstLineChars="100"/>
        <w:jc w:val="left"/>
        <w:rPr>
          <w:rFonts w:ascii="宋体"/>
          <w:szCs w:val="21"/>
          <w:highlight w:val="none"/>
        </w:rPr>
      </w:pPr>
      <w:r>
        <w:rPr>
          <w:rFonts w:hint="eastAsia" w:ascii="宋体"/>
          <w:szCs w:val="21"/>
          <w:highlight w:val="none"/>
        </w:rPr>
        <w:t>49.5供应商有下列情形之一的，将其列入不良行为记录名单：</w:t>
      </w:r>
    </w:p>
    <w:p>
      <w:pPr>
        <w:spacing w:line="440" w:lineRule="exact"/>
        <w:ind w:firstLine="210" w:firstLineChars="100"/>
        <w:jc w:val="left"/>
        <w:rPr>
          <w:rFonts w:ascii="宋体"/>
          <w:szCs w:val="21"/>
          <w:highlight w:val="none"/>
        </w:rPr>
      </w:pPr>
      <w:r>
        <w:rPr>
          <w:rFonts w:hint="eastAsia" w:ascii="宋体"/>
          <w:szCs w:val="21"/>
          <w:highlight w:val="none"/>
        </w:rPr>
        <w:t>（一）一年内三次以上质疑均查无实据的；</w:t>
      </w:r>
    </w:p>
    <w:p>
      <w:pPr>
        <w:spacing w:line="440" w:lineRule="exact"/>
        <w:ind w:firstLine="210" w:firstLineChars="100"/>
        <w:jc w:val="left"/>
        <w:rPr>
          <w:rFonts w:ascii="宋体"/>
          <w:szCs w:val="21"/>
          <w:highlight w:val="none"/>
        </w:rPr>
      </w:pPr>
      <w:r>
        <w:rPr>
          <w:rFonts w:hint="eastAsia" w:ascii="宋体"/>
          <w:szCs w:val="21"/>
          <w:highlight w:val="none"/>
        </w:rPr>
        <w:t>（二）捏造事实或者提供虚假质疑材料的。</w:t>
      </w:r>
    </w:p>
    <w:p>
      <w:pPr>
        <w:spacing w:line="440" w:lineRule="exact"/>
        <w:ind w:firstLine="210" w:firstLineChars="100"/>
        <w:jc w:val="left"/>
        <w:rPr>
          <w:rFonts w:ascii="宋体"/>
          <w:szCs w:val="21"/>
          <w:highlight w:val="none"/>
        </w:rPr>
      </w:pPr>
      <w:r>
        <w:rPr>
          <w:rFonts w:hint="eastAsia" w:ascii="宋体"/>
          <w:szCs w:val="21"/>
          <w:highlight w:val="none"/>
        </w:rPr>
        <w:t>（三）以非法手段取得证明材料。证据来源的合法性存在明显疑问，质疑人无法证明其取得方式合法的，视为以非法手段取得证明材料。</w:t>
      </w:r>
    </w:p>
    <w:p>
      <w:pPr>
        <w:jc w:val="left"/>
        <w:rPr>
          <w:rFonts w:ascii="宋体" w:hAnsi="宋体" w:cs="宋体"/>
          <w:b/>
          <w:bCs/>
          <w:szCs w:val="21"/>
          <w:highlight w:val="none"/>
        </w:rPr>
      </w:pPr>
    </w:p>
    <w:p>
      <w:pPr>
        <w:jc w:val="left"/>
        <w:rPr>
          <w:rFonts w:ascii="宋体" w:hAnsi="宋体" w:cs="宋体"/>
          <w:b/>
          <w:bCs/>
          <w:szCs w:val="21"/>
          <w:highlight w:val="none"/>
        </w:rPr>
      </w:pPr>
    </w:p>
    <w:p>
      <w:pPr>
        <w:jc w:val="left"/>
        <w:rPr>
          <w:rFonts w:ascii="宋体" w:hAnsi="宋体" w:cs="宋体"/>
          <w:b/>
          <w:bCs/>
          <w:szCs w:val="21"/>
          <w:highlight w:val="none"/>
        </w:rPr>
      </w:pPr>
    </w:p>
    <w:p>
      <w:pPr>
        <w:jc w:val="left"/>
        <w:rPr>
          <w:rFonts w:ascii="宋体" w:hAnsi="宋体" w:cs="宋体"/>
          <w:b/>
          <w:bCs/>
          <w:szCs w:val="21"/>
          <w:highlight w:val="none"/>
        </w:rPr>
      </w:pPr>
    </w:p>
    <w:p>
      <w:pPr>
        <w:jc w:val="left"/>
        <w:rPr>
          <w:rFonts w:ascii="宋体" w:hAnsi="宋体" w:cs="宋体"/>
          <w:b/>
          <w:bCs/>
          <w:szCs w:val="21"/>
          <w:highlight w:val="none"/>
        </w:rPr>
      </w:pPr>
    </w:p>
    <w:p>
      <w:pPr>
        <w:jc w:val="left"/>
        <w:rPr>
          <w:rFonts w:ascii="宋体" w:hAnsi="宋体" w:cs="宋体"/>
          <w:b/>
          <w:bCs/>
          <w:szCs w:val="21"/>
          <w:highlight w:val="none"/>
        </w:rPr>
      </w:pPr>
    </w:p>
    <w:p>
      <w:pPr>
        <w:jc w:val="left"/>
        <w:rPr>
          <w:rFonts w:ascii="宋体" w:hAnsi="宋体" w:cs="宋体"/>
          <w:b/>
          <w:bCs/>
          <w:szCs w:val="21"/>
          <w:highlight w:val="none"/>
        </w:rPr>
      </w:pPr>
    </w:p>
    <w:p>
      <w:pPr>
        <w:jc w:val="left"/>
        <w:rPr>
          <w:rFonts w:ascii="宋体" w:hAnsi="宋体" w:cs="宋体"/>
          <w:b/>
          <w:bCs/>
          <w:szCs w:val="21"/>
          <w:highlight w:val="none"/>
        </w:rPr>
      </w:pPr>
    </w:p>
    <w:p>
      <w:pPr>
        <w:jc w:val="left"/>
        <w:rPr>
          <w:rFonts w:ascii="宋体" w:hAnsi="宋体" w:cs="宋体"/>
          <w:b/>
          <w:bCs/>
          <w:szCs w:val="21"/>
          <w:highlight w:val="none"/>
        </w:rPr>
      </w:pPr>
    </w:p>
    <w:p>
      <w:pPr>
        <w:jc w:val="left"/>
        <w:rPr>
          <w:rFonts w:ascii="宋体" w:hAnsi="宋体" w:cs="宋体"/>
          <w:b/>
          <w:bCs/>
          <w:szCs w:val="21"/>
          <w:highlight w:val="none"/>
        </w:rPr>
      </w:pPr>
    </w:p>
    <w:p>
      <w:pPr>
        <w:jc w:val="left"/>
        <w:rPr>
          <w:rFonts w:ascii="宋体" w:hAnsi="宋体" w:cs="宋体"/>
          <w:b/>
          <w:bCs/>
          <w:szCs w:val="21"/>
          <w:highlight w:val="none"/>
        </w:rPr>
      </w:pPr>
    </w:p>
    <w:p>
      <w:pPr>
        <w:jc w:val="left"/>
        <w:rPr>
          <w:rFonts w:ascii="宋体" w:hAnsi="宋体" w:cs="宋体"/>
          <w:b/>
          <w:bCs/>
          <w:szCs w:val="21"/>
          <w:highlight w:val="none"/>
        </w:rPr>
      </w:pPr>
    </w:p>
    <w:p>
      <w:pPr>
        <w:jc w:val="left"/>
        <w:rPr>
          <w:rFonts w:ascii="宋体" w:hAnsi="宋体" w:cs="宋体"/>
          <w:b/>
          <w:bCs/>
          <w:szCs w:val="21"/>
          <w:highlight w:val="none"/>
        </w:rPr>
      </w:pPr>
    </w:p>
    <w:p>
      <w:pPr>
        <w:jc w:val="left"/>
        <w:rPr>
          <w:rFonts w:ascii="宋体" w:hAnsi="宋体" w:cs="宋体"/>
          <w:b/>
          <w:bCs/>
          <w:szCs w:val="21"/>
          <w:highlight w:val="none"/>
        </w:rPr>
      </w:pPr>
    </w:p>
    <w:p>
      <w:pPr>
        <w:jc w:val="left"/>
        <w:rPr>
          <w:rFonts w:ascii="宋体" w:hAnsi="宋体" w:cs="宋体"/>
          <w:b/>
          <w:bCs/>
          <w:szCs w:val="21"/>
          <w:highlight w:val="none"/>
        </w:rPr>
      </w:pPr>
    </w:p>
    <w:p>
      <w:pPr>
        <w:jc w:val="left"/>
        <w:rPr>
          <w:rFonts w:ascii="宋体" w:hAnsi="宋体" w:cs="宋体"/>
          <w:b/>
          <w:bCs/>
          <w:szCs w:val="21"/>
          <w:highlight w:val="none"/>
        </w:rPr>
      </w:pPr>
    </w:p>
    <w:p>
      <w:pPr>
        <w:jc w:val="left"/>
        <w:rPr>
          <w:rFonts w:ascii="宋体" w:hAnsi="宋体" w:cs="宋体"/>
          <w:b/>
          <w:bCs/>
          <w:szCs w:val="21"/>
          <w:highlight w:val="none"/>
        </w:rPr>
      </w:pPr>
    </w:p>
    <w:p>
      <w:pPr>
        <w:jc w:val="left"/>
        <w:rPr>
          <w:rFonts w:ascii="宋体" w:hAnsi="宋体" w:cs="宋体"/>
          <w:b/>
          <w:bCs/>
          <w:szCs w:val="21"/>
          <w:highlight w:val="none"/>
        </w:rPr>
      </w:pPr>
    </w:p>
    <w:p>
      <w:pPr>
        <w:jc w:val="left"/>
        <w:rPr>
          <w:rFonts w:ascii="宋体" w:hAnsi="宋体" w:cs="宋体"/>
          <w:b/>
          <w:bCs/>
          <w:szCs w:val="21"/>
          <w:highlight w:val="none"/>
        </w:rPr>
      </w:pPr>
    </w:p>
    <w:p>
      <w:pPr>
        <w:jc w:val="left"/>
        <w:rPr>
          <w:rFonts w:ascii="宋体" w:hAnsi="宋体" w:cs="宋体"/>
          <w:b/>
          <w:bCs/>
          <w:szCs w:val="21"/>
          <w:highlight w:val="none"/>
        </w:rPr>
      </w:pPr>
    </w:p>
    <w:p>
      <w:pPr>
        <w:jc w:val="left"/>
        <w:rPr>
          <w:rFonts w:ascii="宋体" w:hAnsi="宋体" w:cs="宋体"/>
          <w:b/>
          <w:bCs/>
          <w:szCs w:val="21"/>
          <w:highlight w:val="none"/>
        </w:rPr>
      </w:pPr>
    </w:p>
    <w:p>
      <w:pPr>
        <w:jc w:val="left"/>
        <w:rPr>
          <w:rFonts w:ascii="宋体" w:hAnsi="宋体" w:cs="宋体"/>
          <w:b/>
          <w:bCs/>
          <w:szCs w:val="21"/>
          <w:highlight w:val="none"/>
        </w:rPr>
      </w:pPr>
    </w:p>
    <w:p>
      <w:pPr>
        <w:jc w:val="left"/>
        <w:rPr>
          <w:rFonts w:ascii="宋体" w:hAnsi="宋体" w:cs="宋体"/>
          <w:b/>
          <w:bCs/>
          <w:szCs w:val="21"/>
          <w:highlight w:val="none"/>
        </w:rPr>
      </w:pPr>
    </w:p>
    <w:p>
      <w:pPr>
        <w:jc w:val="left"/>
        <w:rPr>
          <w:rFonts w:ascii="宋体" w:hAnsi="宋体" w:cs="宋体"/>
          <w:b/>
          <w:bCs/>
          <w:szCs w:val="21"/>
          <w:highlight w:val="none"/>
        </w:rPr>
      </w:pPr>
    </w:p>
    <w:p>
      <w:pPr>
        <w:jc w:val="left"/>
        <w:rPr>
          <w:rFonts w:ascii="宋体" w:hAnsi="宋体" w:cs="宋体"/>
          <w:b/>
          <w:bCs/>
          <w:szCs w:val="21"/>
          <w:highlight w:val="none"/>
        </w:rPr>
      </w:pPr>
    </w:p>
    <w:p>
      <w:pPr>
        <w:jc w:val="left"/>
        <w:rPr>
          <w:rFonts w:ascii="宋体" w:hAnsi="宋体" w:cs="宋体"/>
          <w:b/>
          <w:bCs/>
          <w:szCs w:val="21"/>
          <w:highlight w:val="none"/>
        </w:rPr>
      </w:pPr>
    </w:p>
    <w:p>
      <w:pPr>
        <w:jc w:val="left"/>
        <w:rPr>
          <w:rFonts w:ascii="宋体" w:hAnsi="宋体" w:cs="宋体"/>
          <w:b/>
          <w:bCs/>
          <w:szCs w:val="21"/>
          <w:highlight w:val="none"/>
        </w:rPr>
      </w:pPr>
    </w:p>
    <w:p>
      <w:pPr>
        <w:jc w:val="left"/>
        <w:rPr>
          <w:rFonts w:ascii="宋体" w:hAnsi="宋体" w:cs="宋体"/>
          <w:b/>
          <w:bCs/>
          <w:szCs w:val="21"/>
          <w:highlight w:val="none"/>
        </w:rPr>
      </w:pPr>
    </w:p>
    <w:p>
      <w:pPr>
        <w:jc w:val="left"/>
        <w:rPr>
          <w:rFonts w:ascii="宋体" w:hAnsi="宋体" w:cs="宋体"/>
          <w:b/>
          <w:bCs/>
          <w:szCs w:val="21"/>
          <w:highlight w:val="none"/>
        </w:rPr>
      </w:pPr>
    </w:p>
    <w:p>
      <w:pPr>
        <w:jc w:val="left"/>
        <w:rPr>
          <w:rFonts w:ascii="宋体" w:hAnsi="宋体" w:cs="宋体"/>
          <w:b/>
          <w:bCs/>
          <w:szCs w:val="21"/>
          <w:highlight w:val="none"/>
        </w:rPr>
      </w:pPr>
    </w:p>
    <w:p>
      <w:pPr>
        <w:jc w:val="left"/>
        <w:rPr>
          <w:rFonts w:ascii="宋体" w:hAnsi="宋体" w:cs="宋体"/>
          <w:b/>
          <w:bCs/>
          <w:szCs w:val="21"/>
          <w:highlight w:val="none"/>
        </w:rPr>
      </w:pPr>
    </w:p>
    <w:p>
      <w:pPr>
        <w:jc w:val="left"/>
        <w:rPr>
          <w:rFonts w:ascii="宋体" w:hAnsi="宋体" w:cs="宋体"/>
          <w:b/>
          <w:bCs/>
          <w:szCs w:val="21"/>
          <w:highlight w:val="none"/>
        </w:rPr>
      </w:pPr>
    </w:p>
    <w:p>
      <w:pPr>
        <w:jc w:val="left"/>
        <w:rPr>
          <w:rFonts w:ascii="宋体" w:hAnsi="宋体" w:cs="宋体"/>
          <w:b/>
          <w:bCs/>
          <w:szCs w:val="21"/>
          <w:highlight w:val="none"/>
        </w:rPr>
      </w:pPr>
    </w:p>
    <w:p>
      <w:pPr>
        <w:jc w:val="left"/>
        <w:rPr>
          <w:rFonts w:ascii="宋体" w:hAnsi="宋体" w:cs="宋体"/>
          <w:b/>
          <w:bCs/>
          <w:szCs w:val="21"/>
          <w:highlight w:val="none"/>
        </w:rPr>
      </w:pPr>
    </w:p>
    <w:p>
      <w:pPr>
        <w:jc w:val="left"/>
        <w:rPr>
          <w:rFonts w:ascii="宋体" w:hAnsi="宋体" w:cs="宋体"/>
          <w:b/>
          <w:bCs/>
          <w:szCs w:val="21"/>
          <w:highlight w:val="none"/>
        </w:rPr>
      </w:pPr>
    </w:p>
    <w:p>
      <w:pPr>
        <w:jc w:val="left"/>
        <w:rPr>
          <w:rFonts w:ascii="宋体" w:hAnsi="宋体" w:cs="宋体"/>
          <w:b/>
          <w:bCs/>
          <w:szCs w:val="21"/>
          <w:highlight w:val="none"/>
        </w:rPr>
      </w:pPr>
    </w:p>
    <w:p>
      <w:pPr>
        <w:rPr>
          <w:rFonts w:hint="eastAsia" w:ascii="宋体" w:hAnsi="宋体" w:cs="宋体"/>
          <w:b/>
          <w:bCs/>
          <w:szCs w:val="21"/>
          <w:highlight w:val="none"/>
        </w:rPr>
      </w:pPr>
      <w:r>
        <w:rPr>
          <w:rFonts w:hint="eastAsia" w:ascii="宋体" w:hAnsi="宋体" w:cs="宋体"/>
          <w:b/>
          <w:bCs/>
          <w:szCs w:val="21"/>
          <w:highlight w:val="none"/>
        </w:rPr>
        <w:br w:type="page"/>
      </w:r>
    </w:p>
    <w:p>
      <w:pPr>
        <w:jc w:val="left"/>
        <w:rPr>
          <w:rFonts w:ascii="宋体" w:hAnsi="宋体" w:cs="宋体"/>
          <w:b/>
          <w:bCs/>
          <w:szCs w:val="21"/>
          <w:highlight w:val="none"/>
        </w:rPr>
      </w:pPr>
      <w:r>
        <w:rPr>
          <w:rFonts w:hint="eastAsia" w:ascii="宋体" w:hAnsi="宋体" w:cs="宋体"/>
          <w:b/>
          <w:bCs/>
          <w:szCs w:val="21"/>
          <w:highlight w:val="none"/>
        </w:rPr>
        <w:t>附件：</w:t>
      </w:r>
    </w:p>
    <w:p>
      <w:pPr>
        <w:jc w:val="center"/>
        <w:rPr>
          <w:rFonts w:ascii="宋体" w:hAnsi="宋体" w:cs="宋体"/>
          <w:b/>
          <w:bCs/>
          <w:sz w:val="32"/>
          <w:szCs w:val="32"/>
          <w:highlight w:val="none"/>
        </w:rPr>
      </w:pPr>
    </w:p>
    <w:p>
      <w:pPr>
        <w:jc w:val="center"/>
        <w:rPr>
          <w:rFonts w:ascii="宋体" w:hAnsi="宋体" w:cs="宋体"/>
          <w:b/>
          <w:bCs/>
          <w:sz w:val="28"/>
          <w:szCs w:val="28"/>
          <w:highlight w:val="none"/>
        </w:rPr>
      </w:pPr>
      <w:r>
        <w:rPr>
          <w:rFonts w:hint="eastAsia" w:ascii="宋体" w:hAnsi="宋体" w:cs="宋体"/>
          <w:b/>
          <w:bCs/>
          <w:sz w:val="32"/>
          <w:szCs w:val="32"/>
          <w:highlight w:val="none"/>
        </w:rPr>
        <w:t>政府采购投诉书（范本）、质疑函范本</w:t>
      </w:r>
    </w:p>
    <w:p>
      <w:pPr>
        <w:spacing w:line="400" w:lineRule="exact"/>
        <w:jc w:val="center"/>
        <w:rPr>
          <w:rFonts w:ascii="宋体" w:hAnsi="宋体" w:cs="宋体"/>
          <w:sz w:val="24"/>
          <w:highlight w:val="none"/>
          <w:u w:val="single"/>
        </w:rPr>
      </w:pPr>
      <w:r>
        <w:rPr>
          <w:rFonts w:hint="eastAsia" w:ascii="宋体" w:hAnsi="宋体" w:cs="宋体"/>
          <w:b/>
          <w:bCs/>
          <w:sz w:val="28"/>
          <w:szCs w:val="28"/>
          <w:highlight w:val="none"/>
        </w:rPr>
        <w:t>政府采购投诉书（范本）</w:t>
      </w:r>
    </w:p>
    <w:p>
      <w:pPr>
        <w:spacing w:line="400" w:lineRule="exact"/>
        <w:rPr>
          <w:rFonts w:ascii="宋体" w:hAnsi="宋体" w:cs="宋体"/>
          <w:szCs w:val="21"/>
          <w:highlight w:val="none"/>
        </w:rPr>
      </w:pPr>
      <w:r>
        <w:rPr>
          <w:rFonts w:hint="eastAsia" w:ascii="宋体" w:hAnsi="宋体" w:cs="宋体"/>
          <w:szCs w:val="21"/>
          <w:highlight w:val="none"/>
        </w:rPr>
        <w:t>投诉人：</w:t>
      </w:r>
      <w:r>
        <w:rPr>
          <w:rFonts w:hint="eastAsia" w:ascii="宋体" w:hAnsi="宋体" w:cs="宋体"/>
          <w:szCs w:val="21"/>
          <w:highlight w:val="none"/>
          <w:u w:val="single"/>
        </w:rPr>
        <w:t xml:space="preserve">              </w:t>
      </w:r>
      <w:r>
        <w:rPr>
          <w:rFonts w:hint="eastAsia" w:ascii="宋体" w:hAnsi="宋体" w:cs="宋体"/>
          <w:szCs w:val="21"/>
          <w:highlight w:val="none"/>
        </w:rPr>
        <w:t xml:space="preserve">     法定代表人：</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400" w:lineRule="exact"/>
        <w:rPr>
          <w:rFonts w:ascii="宋体" w:hAnsi="宋体" w:cs="宋体"/>
          <w:szCs w:val="21"/>
          <w:highlight w:val="none"/>
        </w:rPr>
      </w:pPr>
      <w:r>
        <w:rPr>
          <w:rFonts w:hint="eastAsia" w:ascii="宋体" w:hAnsi="宋体" w:cs="宋体"/>
          <w:szCs w:val="21"/>
          <w:highlight w:val="none"/>
        </w:rPr>
        <w:t>地址：</w:t>
      </w:r>
      <w:r>
        <w:rPr>
          <w:rFonts w:hint="eastAsia" w:ascii="宋体" w:hAnsi="宋体" w:cs="宋体"/>
          <w:szCs w:val="21"/>
          <w:highlight w:val="none"/>
          <w:u w:val="single"/>
        </w:rPr>
        <w:t xml:space="preserve">                </w:t>
      </w:r>
      <w:r>
        <w:rPr>
          <w:rFonts w:hint="eastAsia" w:ascii="宋体" w:hAnsi="宋体" w:cs="宋体"/>
          <w:szCs w:val="21"/>
          <w:highlight w:val="none"/>
        </w:rPr>
        <w:t xml:space="preserve">           电话：</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400" w:lineRule="exact"/>
        <w:rPr>
          <w:rFonts w:ascii="宋体" w:hAnsi="宋体" w:cs="宋体"/>
          <w:szCs w:val="21"/>
          <w:highlight w:val="none"/>
        </w:rPr>
      </w:pPr>
      <w:r>
        <w:rPr>
          <w:rFonts w:hint="eastAsia" w:ascii="宋体" w:hAnsi="宋体" w:cs="宋体"/>
          <w:szCs w:val="21"/>
          <w:highlight w:val="none"/>
        </w:rPr>
        <w:t>委托代理人姓名：</w:t>
      </w:r>
      <w:r>
        <w:rPr>
          <w:rFonts w:hint="eastAsia" w:ascii="宋体" w:hAnsi="宋体" w:cs="宋体"/>
          <w:szCs w:val="21"/>
          <w:highlight w:val="none"/>
          <w:u w:val="single"/>
        </w:rPr>
        <w:t xml:space="preserve">      </w:t>
      </w:r>
      <w:r>
        <w:rPr>
          <w:rFonts w:hint="eastAsia" w:ascii="宋体" w:hAnsi="宋体" w:cs="宋体"/>
          <w:szCs w:val="21"/>
          <w:highlight w:val="none"/>
        </w:rPr>
        <w:t xml:space="preserve">           职务：</w:t>
      </w:r>
      <w:r>
        <w:rPr>
          <w:rFonts w:hint="eastAsia" w:ascii="宋体" w:hAnsi="宋体" w:cs="宋体"/>
          <w:szCs w:val="21"/>
          <w:highlight w:val="none"/>
          <w:u w:val="single"/>
        </w:rPr>
        <w:t xml:space="preserve">               </w:t>
      </w:r>
    </w:p>
    <w:p>
      <w:pPr>
        <w:spacing w:line="400" w:lineRule="exact"/>
        <w:rPr>
          <w:rFonts w:ascii="宋体" w:hAnsi="宋体" w:cs="宋体"/>
          <w:szCs w:val="21"/>
          <w:highlight w:val="none"/>
        </w:rPr>
      </w:pPr>
      <w:r>
        <w:rPr>
          <w:rFonts w:hint="eastAsia" w:ascii="宋体" w:hAnsi="宋体" w:cs="宋体"/>
          <w:szCs w:val="21"/>
          <w:highlight w:val="none"/>
        </w:rPr>
        <w:t>住址：</w:t>
      </w:r>
      <w:r>
        <w:rPr>
          <w:rFonts w:hint="eastAsia" w:ascii="宋体" w:hAnsi="宋体" w:cs="宋体"/>
          <w:szCs w:val="21"/>
          <w:highlight w:val="none"/>
          <w:u w:val="single"/>
        </w:rPr>
        <w:t xml:space="preserve">                </w:t>
      </w:r>
      <w:r>
        <w:rPr>
          <w:rFonts w:hint="eastAsia" w:ascii="宋体" w:hAnsi="宋体" w:cs="宋体"/>
          <w:szCs w:val="21"/>
          <w:highlight w:val="none"/>
        </w:rPr>
        <w:t xml:space="preserve">       联系电话：</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400" w:lineRule="exact"/>
        <w:rPr>
          <w:rFonts w:ascii="宋体" w:hAnsi="宋体" w:cs="宋体"/>
          <w:szCs w:val="21"/>
          <w:highlight w:val="none"/>
        </w:rPr>
      </w:pPr>
      <w:r>
        <w:rPr>
          <w:rFonts w:hint="eastAsia" w:ascii="宋体" w:hAnsi="宋体" w:cs="宋体"/>
          <w:szCs w:val="21"/>
          <w:highlight w:val="none"/>
        </w:rPr>
        <w:t>被投诉人：</w:t>
      </w:r>
      <w:r>
        <w:rPr>
          <w:rFonts w:hint="eastAsia" w:ascii="宋体" w:hAnsi="宋体" w:cs="宋体"/>
          <w:szCs w:val="21"/>
          <w:highlight w:val="none"/>
          <w:u w:val="single"/>
        </w:rPr>
        <w:t xml:space="preserve">           </w:t>
      </w:r>
      <w:r>
        <w:rPr>
          <w:rFonts w:hint="eastAsia" w:ascii="宋体" w:hAnsi="宋体" w:cs="宋体"/>
          <w:szCs w:val="21"/>
          <w:highlight w:val="none"/>
        </w:rPr>
        <w:t xml:space="preserve">      法定代表人：</w:t>
      </w:r>
      <w:r>
        <w:rPr>
          <w:rFonts w:hint="eastAsia" w:ascii="宋体" w:hAnsi="宋体" w:cs="宋体"/>
          <w:szCs w:val="21"/>
          <w:highlight w:val="none"/>
          <w:u w:val="single"/>
        </w:rPr>
        <w:t xml:space="preserve">         </w:t>
      </w:r>
    </w:p>
    <w:p>
      <w:pPr>
        <w:spacing w:line="400" w:lineRule="exact"/>
        <w:rPr>
          <w:rFonts w:ascii="宋体" w:hAnsi="宋体" w:cs="宋体"/>
          <w:szCs w:val="21"/>
          <w:highlight w:val="none"/>
          <w:u w:val="single"/>
        </w:rPr>
      </w:pPr>
      <w:r>
        <w:rPr>
          <w:rFonts w:hint="eastAsia" w:ascii="宋体" w:hAnsi="宋体" w:cs="宋体"/>
          <w:szCs w:val="21"/>
          <w:highlight w:val="none"/>
        </w:rPr>
        <w:t>地址：</w:t>
      </w:r>
      <w:r>
        <w:rPr>
          <w:rFonts w:hint="eastAsia" w:ascii="宋体" w:hAnsi="宋体" w:cs="宋体"/>
          <w:szCs w:val="21"/>
          <w:highlight w:val="none"/>
          <w:u w:val="single"/>
        </w:rPr>
        <w:t xml:space="preserve">               </w:t>
      </w:r>
      <w:r>
        <w:rPr>
          <w:rFonts w:hint="eastAsia" w:ascii="宋体" w:hAnsi="宋体" w:cs="宋体"/>
          <w:szCs w:val="21"/>
          <w:highlight w:val="none"/>
        </w:rPr>
        <w:t>          电话：</w:t>
      </w:r>
      <w:r>
        <w:rPr>
          <w:rFonts w:hint="eastAsia" w:ascii="宋体" w:hAnsi="宋体" w:cs="宋体"/>
          <w:szCs w:val="21"/>
          <w:highlight w:val="none"/>
          <w:u w:val="single"/>
        </w:rPr>
        <w:t xml:space="preserve">               </w:t>
      </w:r>
    </w:p>
    <w:p>
      <w:pPr>
        <w:spacing w:line="400" w:lineRule="exact"/>
        <w:ind w:firstLine="420" w:firstLineChars="200"/>
        <w:rPr>
          <w:rFonts w:ascii="宋体" w:hAnsi="宋体" w:cs="宋体"/>
          <w:szCs w:val="21"/>
          <w:highlight w:val="none"/>
        </w:rPr>
      </w:pP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我公司参加了</w:t>
      </w:r>
      <w:r>
        <w:rPr>
          <w:rFonts w:hint="eastAsia" w:ascii="宋体" w:hAnsi="宋体" w:cs="宋体"/>
          <w:szCs w:val="21"/>
          <w:highlight w:val="none"/>
          <w:u w:val="single"/>
        </w:rPr>
        <w:t xml:space="preserve">     </w:t>
      </w:r>
      <w:r>
        <w:rPr>
          <w:rFonts w:hint="eastAsia" w:ascii="宋体" w:hAnsi="宋体" w:cs="宋体"/>
          <w:szCs w:val="21"/>
          <w:highlight w:val="none"/>
        </w:rPr>
        <w:t xml:space="preserve">年 </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日被投诉人组织的</w:t>
      </w:r>
      <w:r>
        <w:rPr>
          <w:rFonts w:hint="eastAsia" w:ascii="宋体" w:hAnsi="宋体" w:cs="宋体"/>
          <w:szCs w:val="21"/>
          <w:highlight w:val="none"/>
          <w:u w:val="single"/>
        </w:rPr>
        <w:t>（采购人）（项目名称）（项目编号）</w:t>
      </w:r>
      <w:r>
        <w:rPr>
          <w:rFonts w:hint="eastAsia" w:ascii="宋体" w:hAnsi="宋体" w:cs="宋体"/>
          <w:szCs w:val="21"/>
          <w:highlight w:val="none"/>
        </w:rPr>
        <w:t>的采购活动，我公司认为该项目的</w:t>
      </w:r>
      <w:r>
        <w:rPr>
          <w:rFonts w:hint="eastAsia" w:ascii="宋体" w:hAnsi="宋体" w:cs="宋体"/>
          <w:szCs w:val="21"/>
          <w:highlight w:val="none"/>
          <w:u w:val="single"/>
        </w:rPr>
        <w:t>（采购文件/采购过程/中标（中标）结果）</w:t>
      </w:r>
      <w:r>
        <w:rPr>
          <w:rFonts w:hint="eastAsia" w:ascii="宋体" w:hAnsi="宋体" w:cs="宋体"/>
          <w:szCs w:val="21"/>
          <w:highlight w:val="none"/>
        </w:rPr>
        <w:t>损害了我公司权益，对此，我公司于</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日向</w:t>
      </w:r>
      <w:r>
        <w:rPr>
          <w:rFonts w:hint="eastAsia" w:ascii="宋体" w:hAnsi="宋体" w:cs="宋体"/>
          <w:szCs w:val="21"/>
          <w:highlight w:val="none"/>
          <w:u w:val="single"/>
        </w:rPr>
        <w:t>（采购人或者政府采购代理机构）</w:t>
      </w:r>
      <w:r>
        <w:rPr>
          <w:rFonts w:hint="eastAsia" w:ascii="宋体" w:hAnsi="宋体" w:cs="宋体"/>
          <w:szCs w:val="21"/>
          <w:highlight w:val="none"/>
        </w:rPr>
        <w:t>提出了质疑，</w:t>
      </w:r>
      <w:r>
        <w:rPr>
          <w:rFonts w:hint="eastAsia" w:ascii="宋体" w:hAnsi="宋体" w:cs="宋体"/>
          <w:szCs w:val="21"/>
          <w:highlight w:val="none"/>
          <w:u w:val="single"/>
        </w:rPr>
        <w:t>（其于    年  月  日作出书面答复，因对其作出的答复不满意）/（被质疑人未在法定期内予以答复，按照政府采购有关规定）</w:t>
      </w:r>
      <w:r>
        <w:rPr>
          <w:rFonts w:hint="eastAsia" w:ascii="宋体" w:hAnsi="宋体" w:cs="宋体"/>
          <w:szCs w:val="21"/>
          <w:highlight w:val="none"/>
        </w:rPr>
        <w:t>，现向贵机关提起投诉：</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u w:val="single"/>
        </w:rPr>
        <w:t>具体的投诉事项及事实依据；</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u w:val="single"/>
        </w:rPr>
        <w:t>质疑和质疑答复情况简要描述；</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u w:val="single"/>
        </w:rPr>
        <w:t>投诉请求。</w:t>
      </w:r>
    </w:p>
    <w:p>
      <w:pPr>
        <w:spacing w:line="400" w:lineRule="exact"/>
        <w:rPr>
          <w:rFonts w:ascii="宋体" w:hAnsi="宋体" w:cs="宋体"/>
          <w:szCs w:val="21"/>
          <w:highlight w:val="none"/>
        </w:rPr>
      </w:pPr>
      <w:r>
        <w:rPr>
          <w:rFonts w:hint="eastAsia" w:ascii="宋体" w:hAnsi="宋体" w:cs="宋体"/>
          <w:szCs w:val="21"/>
          <w:highlight w:val="none"/>
        </w:rPr>
        <w:t>附件：</w:t>
      </w:r>
    </w:p>
    <w:p>
      <w:pPr>
        <w:spacing w:line="400" w:lineRule="exact"/>
        <w:rPr>
          <w:rFonts w:ascii="宋体" w:hAnsi="宋体" w:cs="宋体"/>
          <w:szCs w:val="21"/>
          <w:highlight w:val="none"/>
        </w:rPr>
      </w:pPr>
      <w:r>
        <w:rPr>
          <w:rFonts w:hint="eastAsia" w:ascii="宋体" w:hAnsi="宋体" w:cs="宋体"/>
          <w:szCs w:val="21"/>
          <w:highlight w:val="none"/>
        </w:rPr>
        <w:t>1.质疑书和质疑答复书；</w:t>
      </w:r>
    </w:p>
    <w:p>
      <w:pPr>
        <w:spacing w:line="400" w:lineRule="exact"/>
        <w:rPr>
          <w:rFonts w:ascii="宋体" w:hAnsi="宋体" w:cs="宋体"/>
          <w:szCs w:val="21"/>
          <w:highlight w:val="none"/>
        </w:rPr>
      </w:pPr>
      <w:r>
        <w:rPr>
          <w:rFonts w:hint="eastAsia" w:ascii="宋体" w:hAnsi="宋体" w:cs="宋体"/>
          <w:szCs w:val="21"/>
          <w:highlight w:val="none"/>
        </w:rPr>
        <w:t>2.证据材料（需注明证据来源），证人的姓名、住址和联系方式等；</w:t>
      </w:r>
    </w:p>
    <w:p>
      <w:pPr>
        <w:spacing w:line="400" w:lineRule="exact"/>
        <w:rPr>
          <w:rFonts w:ascii="宋体" w:hAnsi="宋体" w:cs="宋体"/>
          <w:szCs w:val="21"/>
          <w:highlight w:val="none"/>
        </w:rPr>
      </w:pPr>
      <w:r>
        <w:rPr>
          <w:rFonts w:hint="eastAsia" w:ascii="宋体" w:hAnsi="宋体" w:cs="宋体"/>
          <w:szCs w:val="21"/>
          <w:highlight w:val="none"/>
        </w:rPr>
        <w:t>3.营业执照；</w:t>
      </w:r>
    </w:p>
    <w:p>
      <w:pPr>
        <w:spacing w:line="400" w:lineRule="exact"/>
        <w:rPr>
          <w:rFonts w:ascii="宋体" w:hAnsi="宋体" w:cs="宋体"/>
          <w:szCs w:val="21"/>
          <w:highlight w:val="none"/>
        </w:rPr>
      </w:pPr>
      <w:r>
        <w:rPr>
          <w:rFonts w:hint="eastAsia" w:ascii="宋体" w:hAnsi="宋体" w:cs="宋体"/>
          <w:szCs w:val="21"/>
          <w:highlight w:val="none"/>
        </w:rPr>
        <w:t>4.法定代表人身份证明函</w:t>
      </w:r>
    </w:p>
    <w:p>
      <w:pPr>
        <w:spacing w:line="400" w:lineRule="exact"/>
        <w:rPr>
          <w:rFonts w:ascii="宋体" w:hAnsi="宋体" w:cs="宋体"/>
          <w:szCs w:val="21"/>
          <w:highlight w:val="none"/>
        </w:rPr>
      </w:pPr>
      <w:r>
        <w:rPr>
          <w:rFonts w:hint="eastAsia" w:ascii="宋体" w:hAnsi="宋体" w:cs="宋体"/>
          <w:szCs w:val="21"/>
          <w:highlight w:val="none"/>
        </w:rPr>
        <w:t>5.法定代表人授权委托书（包含法定代表人和委托代理人的身份证复印件）；</w:t>
      </w:r>
    </w:p>
    <w:p>
      <w:pPr>
        <w:spacing w:line="400" w:lineRule="exact"/>
        <w:rPr>
          <w:rFonts w:ascii="宋体" w:hAnsi="宋体" w:cs="宋体"/>
          <w:szCs w:val="21"/>
          <w:highlight w:val="none"/>
        </w:rPr>
      </w:pPr>
      <w:r>
        <w:rPr>
          <w:rFonts w:hint="eastAsia" w:ascii="宋体" w:hAnsi="宋体" w:cs="宋体"/>
          <w:szCs w:val="21"/>
          <w:highlight w:val="none"/>
        </w:rPr>
        <w:t>6.政府采购监管部门认为应当提供的其它材料。</w:t>
      </w:r>
    </w:p>
    <w:p>
      <w:pPr>
        <w:spacing w:line="400" w:lineRule="exact"/>
        <w:jc w:val="right"/>
        <w:rPr>
          <w:rFonts w:ascii="宋体" w:hAnsi="宋体" w:cs="宋体"/>
          <w:szCs w:val="21"/>
          <w:highlight w:val="none"/>
        </w:rPr>
      </w:pPr>
      <w:r>
        <w:rPr>
          <w:rFonts w:hint="eastAsia" w:ascii="宋体" w:hAnsi="宋体" w:cs="宋体"/>
          <w:szCs w:val="21"/>
          <w:highlight w:val="none"/>
        </w:rPr>
        <w:t>投诉供应商：（盖章）</w:t>
      </w:r>
    </w:p>
    <w:p>
      <w:pPr>
        <w:spacing w:line="400" w:lineRule="exact"/>
        <w:rPr>
          <w:rFonts w:ascii="宋体" w:hAnsi="宋体" w:cs="宋体"/>
          <w:szCs w:val="21"/>
          <w:highlight w:val="none"/>
        </w:rPr>
      </w:pPr>
      <w:r>
        <w:rPr>
          <w:rFonts w:hint="eastAsia" w:ascii="宋体" w:hAnsi="宋体" w:cs="宋体"/>
          <w:szCs w:val="21"/>
          <w:highlight w:val="none"/>
        </w:rPr>
        <w:t xml:space="preserve">                  法定代表人（或主要负责人）：（签字）</w:t>
      </w:r>
    </w:p>
    <w:p>
      <w:pPr>
        <w:spacing w:line="400" w:lineRule="exact"/>
        <w:ind w:firstLine="3360" w:firstLineChars="1600"/>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spacing w:line="400" w:lineRule="exact"/>
        <w:rPr>
          <w:rFonts w:ascii="宋体" w:hAnsi="宋体" w:cs="宋体"/>
          <w:szCs w:val="21"/>
          <w:highlight w:val="none"/>
        </w:rPr>
      </w:pPr>
    </w:p>
    <w:p>
      <w:pPr>
        <w:spacing w:line="400" w:lineRule="exact"/>
        <w:jc w:val="right"/>
        <w:rPr>
          <w:rFonts w:ascii="宋体" w:hAnsi="宋体" w:cs="宋体"/>
          <w:szCs w:val="21"/>
          <w:highlight w:val="none"/>
        </w:rPr>
      </w:pPr>
      <w:r>
        <w:rPr>
          <w:rFonts w:hint="eastAsia" w:ascii="宋体" w:hAnsi="宋体" w:cs="宋体"/>
          <w:szCs w:val="21"/>
          <w:highlight w:val="none"/>
        </w:rPr>
        <w:t>本投诉书正本叁份，副本</w:t>
      </w:r>
      <w:r>
        <w:rPr>
          <w:rFonts w:hint="eastAsia" w:ascii="宋体" w:hAnsi="宋体" w:cs="宋体"/>
          <w:szCs w:val="21"/>
          <w:highlight w:val="none"/>
          <w:u w:val="single"/>
        </w:rPr>
        <w:t xml:space="preserve">   </w:t>
      </w:r>
      <w:r>
        <w:rPr>
          <w:rFonts w:hint="eastAsia" w:ascii="宋体" w:hAnsi="宋体" w:cs="宋体"/>
          <w:szCs w:val="21"/>
          <w:highlight w:val="none"/>
        </w:rPr>
        <w:t>份并附电子文档。</w:t>
      </w:r>
    </w:p>
    <w:p>
      <w:pPr>
        <w:ind w:left="7951" w:hanging="7920" w:hangingChars="1800"/>
        <w:jc w:val="center"/>
        <w:rPr>
          <w:rFonts w:ascii="宋体" w:hAnsi="宋体" w:cs="宋体"/>
          <w:b/>
          <w:bCs/>
          <w:sz w:val="44"/>
          <w:szCs w:val="44"/>
          <w:highlight w:val="none"/>
        </w:rPr>
      </w:pPr>
    </w:p>
    <w:p>
      <w:pPr>
        <w:ind w:left="5783" w:hanging="5760" w:hangingChars="1800"/>
        <w:jc w:val="center"/>
        <w:outlineLvl w:val="0"/>
        <w:rPr>
          <w:rFonts w:ascii="宋体" w:hAnsi="宋体" w:cs="宋体"/>
          <w:b/>
          <w:bCs/>
          <w:sz w:val="32"/>
          <w:szCs w:val="32"/>
          <w:highlight w:val="none"/>
        </w:rPr>
      </w:pPr>
      <w:bookmarkStart w:id="59" w:name="_Toc17515"/>
    </w:p>
    <w:p>
      <w:pPr>
        <w:ind w:left="5783" w:hanging="5760" w:hangingChars="1800"/>
        <w:jc w:val="center"/>
        <w:outlineLvl w:val="0"/>
        <w:rPr>
          <w:rFonts w:ascii="宋体" w:hAnsi="宋体" w:cs="宋体"/>
          <w:b/>
          <w:bCs/>
          <w:sz w:val="32"/>
          <w:szCs w:val="32"/>
          <w:highlight w:val="none"/>
        </w:rPr>
      </w:pPr>
    </w:p>
    <w:p>
      <w:pPr>
        <w:jc w:val="center"/>
        <w:outlineLvl w:val="0"/>
        <w:rPr>
          <w:rFonts w:ascii="宋体" w:hAnsi="宋体" w:cs="宋体"/>
          <w:sz w:val="32"/>
          <w:szCs w:val="32"/>
          <w:highlight w:val="none"/>
        </w:rPr>
      </w:pPr>
      <w:bookmarkStart w:id="60" w:name="_Toc27114"/>
      <w:r>
        <w:rPr>
          <w:rFonts w:hint="eastAsia" w:ascii="宋体" w:hAnsi="宋体" w:cs="宋体"/>
          <w:b/>
          <w:bCs/>
          <w:sz w:val="32"/>
          <w:szCs w:val="32"/>
          <w:highlight w:val="none"/>
        </w:rPr>
        <w:t>投诉相关说明</w:t>
      </w:r>
      <w:bookmarkEnd w:id="59"/>
      <w:bookmarkEnd w:id="60"/>
    </w:p>
    <w:p>
      <w:pPr>
        <w:widowControl/>
        <w:spacing w:line="400" w:lineRule="exact"/>
        <w:ind w:firstLine="420"/>
        <w:jc w:val="left"/>
        <w:rPr>
          <w:rFonts w:ascii="宋体" w:hAnsi="宋体" w:cs="宋体"/>
          <w:szCs w:val="21"/>
          <w:highlight w:val="none"/>
        </w:rPr>
      </w:pPr>
      <w:r>
        <w:rPr>
          <w:rFonts w:hint="eastAsia" w:ascii="宋体" w:hAnsi="宋体" w:cs="宋体"/>
          <w:szCs w:val="21"/>
          <w:highlight w:val="none"/>
        </w:rPr>
        <w:t>投诉人应当满足《政府采购法》、《政府采购法实施条例》和《政府采购供应商投诉处理办法》的相关规定。</w:t>
      </w:r>
    </w:p>
    <w:p>
      <w:pPr>
        <w:numPr>
          <w:ilvl w:val="0"/>
          <w:numId w:val="3"/>
        </w:numPr>
        <w:spacing w:line="400" w:lineRule="exact"/>
        <w:ind w:left="3998" w:leftChars="304" w:hanging="3360" w:hangingChars="1600"/>
        <w:outlineLvl w:val="0"/>
        <w:rPr>
          <w:rFonts w:ascii="宋体" w:hAnsi="宋体" w:cs="宋体"/>
          <w:b/>
          <w:bCs/>
          <w:szCs w:val="21"/>
          <w:highlight w:val="none"/>
        </w:rPr>
      </w:pPr>
      <w:bookmarkStart w:id="61" w:name="_Toc19974"/>
      <w:bookmarkStart w:id="62" w:name="_Toc11499"/>
      <w:r>
        <w:rPr>
          <w:rFonts w:hint="eastAsia" w:ascii="宋体" w:hAnsi="宋体" w:cs="宋体"/>
          <w:b/>
          <w:bCs/>
          <w:szCs w:val="21"/>
          <w:highlight w:val="none"/>
        </w:rPr>
        <w:t>质疑前置及时间要求</w:t>
      </w:r>
      <w:bookmarkEnd w:id="61"/>
      <w:bookmarkEnd w:id="62"/>
    </w:p>
    <w:p>
      <w:pPr>
        <w:widowControl/>
        <w:spacing w:line="400" w:lineRule="exact"/>
        <w:ind w:firstLine="420"/>
        <w:jc w:val="left"/>
        <w:rPr>
          <w:rFonts w:ascii="宋体" w:hAnsi="宋体" w:cs="宋体"/>
          <w:kern w:val="0"/>
          <w:szCs w:val="21"/>
          <w:highlight w:val="none"/>
          <w:shd w:val="clear" w:color="auto" w:fill="FFFFFF"/>
        </w:rPr>
      </w:pPr>
      <w:r>
        <w:rPr>
          <w:rFonts w:hint="eastAsia" w:ascii="宋体" w:hAnsi="宋体" w:cs="宋体"/>
          <w:szCs w:val="21"/>
          <w:highlight w:val="none"/>
        </w:rPr>
        <w:t>《中华人民共和国政府采购法》</w:t>
      </w:r>
      <w:r>
        <w:rPr>
          <w:rFonts w:hint="eastAsia" w:ascii="宋体" w:hAnsi="宋体" w:cs="宋体"/>
          <w:kern w:val="0"/>
          <w:szCs w:val="21"/>
          <w:highlight w:val="none"/>
          <w:shd w:val="clear" w:color="auto" w:fill="FFFFFF"/>
        </w:rPr>
        <w:t>第五十一条：供应商对政府采购活动事项有疑问的，可以向采购人提出询问，采购人应当及时作出答复，但答复的内容不得涉及商业秘密。</w:t>
      </w:r>
    </w:p>
    <w:p>
      <w:pPr>
        <w:widowControl/>
        <w:spacing w:line="400" w:lineRule="exact"/>
        <w:ind w:firstLine="420"/>
        <w:jc w:val="left"/>
        <w:rPr>
          <w:rFonts w:ascii="宋体" w:hAnsi="宋体" w:cs="宋体"/>
          <w:szCs w:val="21"/>
          <w:highlight w:val="none"/>
        </w:rPr>
      </w:pPr>
      <w:r>
        <w:rPr>
          <w:rFonts w:hint="eastAsia" w:ascii="宋体" w:hAnsi="宋体" w:cs="宋体"/>
          <w:kern w:val="0"/>
          <w:szCs w:val="21"/>
          <w:highlight w:val="none"/>
          <w:shd w:val="clear" w:color="auto" w:fill="FFFFFF"/>
        </w:rPr>
        <w:t xml:space="preserve"> 第五十二条：供应商认为采购文件、采购过程和中标、中标结果使自己的权益受到损害的，可以在知道或者应知其权益受到损害之日起七个工作日内，以书面形式向采购人提出质疑。</w:t>
      </w:r>
    </w:p>
    <w:p>
      <w:pPr>
        <w:widowControl/>
        <w:spacing w:line="400" w:lineRule="exact"/>
        <w:ind w:firstLine="42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pPr>
        <w:widowControl/>
        <w:spacing w:line="400" w:lineRule="exact"/>
        <w:ind w:firstLine="42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widowControl/>
        <w:spacing w:line="400" w:lineRule="exact"/>
        <w:ind w:firstLine="420"/>
        <w:jc w:val="left"/>
        <w:rPr>
          <w:rFonts w:ascii="宋体" w:hAnsi="宋体" w:cs="宋体"/>
          <w:szCs w:val="21"/>
          <w:highlight w:val="none"/>
        </w:rPr>
      </w:pPr>
      <w:r>
        <w:rPr>
          <w:rFonts w:hint="eastAsia" w:ascii="宋体" w:hAnsi="宋体" w:cs="宋体"/>
          <w:kern w:val="0"/>
          <w:szCs w:val="21"/>
          <w:highlight w:val="none"/>
          <w:shd w:val="clear" w:color="auto" w:fill="FFFFFF"/>
        </w:rPr>
        <w:t xml:space="preserve">  《政府采购实施条例》第五十五条：供应商质疑、投诉应当有明确的请求和必要的证明材料。供应商投诉的事项不得超出质疑事项的范围。</w:t>
      </w:r>
    </w:p>
    <w:p>
      <w:pPr>
        <w:spacing w:line="400" w:lineRule="exact"/>
        <w:ind w:left="3780" w:hanging="3780" w:hangingChars="1800"/>
        <w:outlineLvl w:val="0"/>
        <w:rPr>
          <w:rFonts w:ascii="宋体" w:hAnsi="宋体" w:cs="宋体"/>
          <w:szCs w:val="21"/>
          <w:highlight w:val="none"/>
        </w:rPr>
      </w:pPr>
      <w:r>
        <w:rPr>
          <w:rFonts w:hint="eastAsia" w:ascii="宋体" w:hAnsi="宋体" w:cs="宋体"/>
          <w:szCs w:val="21"/>
          <w:highlight w:val="none"/>
        </w:rPr>
        <w:t xml:space="preserve"> </w:t>
      </w:r>
      <w:r>
        <w:rPr>
          <w:rFonts w:hint="eastAsia" w:ascii="宋体" w:hAnsi="宋体" w:cs="宋体"/>
          <w:b/>
          <w:bCs/>
          <w:szCs w:val="21"/>
          <w:highlight w:val="none"/>
        </w:rPr>
        <w:t xml:space="preserve">   </w:t>
      </w:r>
      <w:bookmarkStart w:id="63" w:name="_Toc15224"/>
      <w:bookmarkStart w:id="64" w:name="_Toc13508"/>
      <w:r>
        <w:rPr>
          <w:rFonts w:hint="eastAsia" w:ascii="宋体" w:hAnsi="宋体" w:cs="宋体"/>
          <w:b/>
          <w:bCs/>
          <w:szCs w:val="21"/>
          <w:highlight w:val="none"/>
        </w:rPr>
        <w:t>二、书面方式</w:t>
      </w:r>
      <w:bookmarkEnd w:id="63"/>
      <w:bookmarkEnd w:id="64"/>
    </w:p>
    <w:p>
      <w:pPr>
        <w:spacing w:line="400" w:lineRule="exact"/>
        <w:ind w:left="3780" w:hanging="3780" w:hangingChars="1800"/>
        <w:rPr>
          <w:rFonts w:ascii="宋体" w:hAnsi="宋体" w:cs="宋体"/>
          <w:szCs w:val="21"/>
          <w:highlight w:val="none"/>
        </w:rPr>
      </w:pPr>
      <w:r>
        <w:rPr>
          <w:rFonts w:hint="eastAsia" w:ascii="宋体" w:hAnsi="宋体" w:cs="宋体"/>
          <w:szCs w:val="21"/>
          <w:highlight w:val="none"/>
        </w:rPr>
        <w:t xml:space="preserve">    《政府采购供应商投诉处理办法》第八条：投诉人投诉</w:t>
      </w:r>
    </w:p>
    <w:p>
      <w:pPr>
        <w:spacing w:line="400" w:lineRule="exact"/>
        <w:rPr>
          <w:rFonts w:ascii="宋体" w:hAnsi="宋体" w:cs="宋体"/>
          <w:szCs w:val="21"/>
          <w:highlight w:val="none"/>
        </w:rPr>
      </w:pPr>
      <w:r>
        <w:rPr>
          <w:rFonts w:hint="eastAsia" w:ascii="宋体" w:hAnsi="宋体" w:cs="宋体"/>
          <w:szCs w:val="21"/>
          <w:highlight w:val="none"/>
        </w:rPr>
        <w:t>时，应当提交投诉书，并按照被投诉人以及与投诉事项有关的供应商数量提供投诉书的副本。</w:t>
      </w:r>
    </w:p>
    <w:p>
      <w:pPr>
        <w:spacing w:line="400" w:lineRule="exact"/>
        <w:ind w:left="3780" w:hanging="3780" w:hangingChars="1800"/>
        <w:rPr>
          <w:rFonts w:ascii="宋体" w:hAnsi="宋体" w:cs="宋体"/>
          <w:szCs w:val="21"/>
          <w:highlight w:val="none"/>
        </w:rPr>
      </w:pPr>
      <w:r>
        <w:rPr>
          <w:rFonts w:hint="eastAsia" w:ascii="宋体" w:hAnsi="宋体" w:cs="宋体"/>
          <w:szCs w:val="21"/>
          <w:highlight w:val="none"/>
        </w:rPr>
        <w:t xml:space="preserve">   投诉书应当包括下列主要内容：</w:t>
      </w:r>
    </w:p>
    <w:p>
      <w:pPr>
        <w:numPr>
          <w:ilvl w:val="0"/>
          <w:numId w:val="4"/>
        </w:numPr>
        <w:spacing w:line="400" w:lineRule="exact"/>
        <w:rPr>
          <w:rFonts w:ascii="宋体" w:hAnsi="宋体" w:cs="宋体"/>
          <w:szCs w:val="21"/>
          <w:highlight w:val="none"/>
        </w:rPr>
      </w:pPr>
      <w:r>
        <w:rPr>
          <w:rFonts w:hint="eastAsia" w:ascii="宋体" w:hAnsi="宋体" w:cs="宋体"/>
          <w:szCs w:val="21"/>
          <w:highlight w:val="none"/>
        </w:rPr>
        <w:t>投诉人和被投诉人的名称、地址、电话等；</w:t>
      </w:r>
    </w:p>
    <w:p>
      <w:pPr>
        <w:numPr>
          <w:ilvl w:val="0"/>
          <w:numId w:val="4"/>
        </w:numPr>
        <w:spacing w:line="400" w:lineRule="exact"/>
        <w:rPr>
          <w:rFonts w:ascii="宋体" w:hAnsi="宋体" w:cs="宋体"/>
          <w:szCs w:val="21"/>
          <w:highlight w:val="none"/>
        </w:rPr>
      </w:pPr>
      <w:r>
        <w:rPr>
          <w:rFonts w:hint="eastAsia" w:ascii="宋体" w:hAnsi="宋体" w:cs="宋体"/>
          <w:szCs w:val="21"/>
          <w:highlight w:val="none"/>
        </w:rPr>
        <w:t>具体的投诉事项及事实依据；</w:t>
      </w:r>
    </w:p>
    <w:p>
      <w:pPr>
        <w:numPr>
          <w:ilvl w:val="0"/>
          <w:numId w:val="4"/>
        </w:numPr>
        <w:spacing w:line="400" w:lineRule="exact"/>
        <w:rPr>
          <w:rFonts w:ascii="宋体" w:hAnsi="宋体" w:cs="宋体"/>
          <w:szCs w:val="21"/>
          <w:highlight w:val="none"/>
        </w:rPr>
      </w:pPr>
      <w:r>
        <w:rPr>
          <w:rFonts w:hint="eastAsia" w:ascii="宋体" w:hAnsi="宋体" w:cs="宋体"/>
          <w:szCs w:val="21"/>
          <w:highlight w:val="none"/>
        </w:rPr>
        <w:t>质疑和质疑答复情况及相关证明材料；</w:t>
      </w:r>
    </w:p>
    <w:p>
      <w:pPr>
        <w:numPr>
          <w:ilvl w:val="0"/>
          <w:numId w:val="4"/>
        </w:numPr>
        <w:spacing w:line="400" w:lineRule="exact"/>
        <w:rPr>
          <w:rFonts w:ascii="宋体" w:hAnsi="宋体" w:cs="宋体"/>
          <w:szCs w:val="21"/>
          <w:highlight w:val="none"/>
        </w:rPr>
      </w:pPr>
      <w:r>
        <w:rPr>
          <w:rFonts w:hint="eastAsia" w:ascii="宋体" w:hAnsi="宋体" w:cs="宋体"/>
          <w:szCs w:val="21"/>
          <w:highlight w:val="none"/>
        </w:rPr>
        <w:t>提起投诉的日期。</w:t>
      </w:r>
    </w:p>
    <w:p>
      <w:pPr>
        <w:spacing w:line="400" w:lineRule="exact"/>
        <w:ind w:firstLine="645"/>
        <w:rPr>
          <w:rFonts w:ascii="宋体" w:hAnsi="宋体" w:cs="宋体"/>
          <w:szCs w:val="21"/>
          <w:highlight w:val="none"/>
        </w:rPr>
      </w:pPr>
      <w:r>
        <w:rPr>
          <w:rFonts w:hint="eastAsia" w:ascii="宋体" w:hAnsi="宋体" w:cs="宋体"/>
          <w:szCs w:val="21"/>
          <w:highlight w:val="none"/>
        </w:rPr>
        <w:t>投诉书应当署名。投诉人为自然人，应当由本人签字；投诉人为法人或者其他组织的，应当由法定代表人或者主要负责人签字并加盖公章。</w:t>
      </w:r>
    </w:p>
    <w:p>
      <w:pPr>
        <w:spacing w:line="400" w:lineRule="exact"/>
        <w:ind w:firstLine="645"/>
        <w:rPr>
          <w:rFonts w:ascii="宋体" w:hAnsi="宋体" w:cs="宋体"/>
          <w:szCs w:val="21"/>
          <w:highlight w:val="none"/>
        </w:rPr>
      </w:pPr>
      <w:r>
        <w:rPr>
          <w:rFonts w:hint="eastAsia" w:ascii="宋体" w:hAnsi="宋体" w:cs="宋体"/>
          <w:szCs w:val="21"/>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spacing w:line="400" w:lineRule="exact"/>
        <w:ind w:firstLine="645"/>
        <w:rPr>
          <w:rFonts w:ascii="宋体" w:hAnsi="宋体" w:cs="宋体"/>
          <w:szCs w:val="21"/>
          <w:highlight w:val="none"/>
        </w:rPr>
      </w:pPr>
      <w:r>
        <w:rPr>
          <w:rFonts w:hint="eastAsia" w:ascii="宋体" w:hAnsi="宋体" w:cs="宋体"/>
          <w:szCs w:val="21"/>
          <w:highlight w:val="none"/>
        </w:rPr>
        <w:t>《政府采购供应商投诉处理办法》第十条：投诉人提起投诉应当符合下列条件：</w:t>
      </w:r>
    </w:p>
    <w:p>
      <w:pPr>
        <w:numPr>
          <w:ilvl w:val="0"/>
          <w:numId w:val="5"/>
        </w:numPr>
        <w:spacing w:line="400" w:lineRule="exact"/>
        <w:rPr>
          <w:rFonts w:ascii="宋体" w:hAnsi="宋体" w:cs="宋体"/>
          <w:szCs w:val="21"/>
          <w:highlight w:val="none"/>
        </w:rPr>
      </w:pPr>
      <w:r>
        <w:rPr>
          <w:rFonts w:hint="eastAsia" w:ascii="宋体" w:hAnsi="宋体" w:cs="宋体"/>
          <w:szCs w:val="21"/>
          <w:highlight w:val="none"/>
        </w:rPr>
        <w:t>投诉人是参与所投诉政府采购活动的供应商；</w:t>
      </w:r>
    </w:p>
    <w:p>
      <w:pPr>
        <w:numPr>
          <w:ilvl w:val="0"/>
          <w:numId w:val="5"/>
        </w:numPr>
        <w:spacing w:line="400" w:lineRule="exact"/>
        <w:rPr>
          <w:rFonts w:ascii="宋体" w:hAnsi="宋体" w:cs="宋体"/>
          <w:szCs w:val="21"/>
          <w:highlight w:val="none"/>
        </w:rPr>
      </w:pPr>
      <w:r>
        <w:rPr>
          <w:rFonts w:hint="eastAsia" w:ascii="宋体" w:hAnsi="宋体" w:cs="宋体"/>
          <w:szCs w:val="21"/>
          <w:highlight w:val="none"/>
        </w:rPr>
        <w:t>提起投诉诉前已依法进行质疑；</w:t>
      </w:r>
    </w:p>
    <w:p>
      <w:pPr>
        <w:numPr>
          <w:ilvl w:val="0"/>
          <w:numId w:val="5"/>
        </w:numPr>
        <w:spacing w:line="400" w:lineRule="exact"/>
        <w:rPr>
          <w:rFonts w:ascii="宋体" w:hAnsi="宋体" w:cs="宋体"/>
          <w:szCs w:val="21"/>
          <w:highlight w:val="none"/>
        </w:rPr>
      </w:pPr>
      <w:r>
        <w:rPr>
          <w:rFonts w:hint="eastAsia" w:ascii="宋体" w:hAnsi="宋体" w:cs="宋体"/>
          <w:szCs w:val="21"/>
          <w:highlight w:val="none"/>
        </w:rPr>
        <w:t>投诉书内容符合本办法的规定；</w:t>
      </w:r>
    </w:p>
    <w:p>
      <w:pPr>
        <w:numPr>
          <w:ilvl w:val="0"/>
          <w:numId w:val="5"/>
        </w:numPr>
        <w:spacing w:line="400" w:lineRule="exact"/>
        <w:rPr>
          <w:rFonts w:ascii="宋体" w:hAnsi="宋体" w:cs="宋体"/>
          <w:szCs w:val="21"/>
          <w:highlight w:val="none"/>
        </w:rPr>
      </w:pPr>
      <w:r>
        <w:rPr>
          <w:rFonts w:hint="eastAsia" w:ascii="宋体" w:hAnsi="宋体" w:cs="宋体"/>
          <w:szCs w:val="21"/>
          <w:highlight w:val="none"/>
        </w:rPr>
        <w:t>在投诉有效期内提起投诉；</w:t>
      </w:r>
    </w:p>
    <w:p>
      <w:pPr>
        <w:numPr>
          <w:ilvl w:val="0"/>
          <w:numId w:val="5"/>
        </w:numPr>
        <w:spacing w:line="400" w:lineRule="exact"/>
        <w:rPr>
          <w:rFonts w:ascii="宋体" w:hAnsi="宋体" w:cs="宋体"/>
          <w:szCs w:val="21"/>
          <w:highlight w:val="none"/>
        </w:rPr>
      </w:pPr>
      <w:r>
        <w:rPr>
          <w:rFonts w:hint="eastAsia" w:ascii="宋体" w:hAnsi="宋体" w:cs="宋体"/>
          <w:szCs w:val="21"/>
          <w:highlight w:val="none"/>
        </w:rPr>
        <w:t>属于本级财政部门管辖；</w:t>
      </w:r>
    </w:p>
    <w:p>
      <w:pPr>
        <w:numPr>
          <w:ilvl w:val="0"/>
          <w:numId w:val="5"/>
        </w:numPr>
        <w:spacing w:line="400" w:lineRule="exact"/>
        <w:rPr>
          <w:rFonts w:ascii="宋体" w:hAnsi="宋体" w:cs="宋体"/>
          <w:szCs w:val="21"/>
          <w:highlight w:val="none"/>
        </w:rPr>
      </w:pPr>
      <w:r>
        <w:rPr>
          <w:rFonts w:hint="eastAsia" w:ascii="宋体" w:hAnsi="宋体" w:cs="宋体"/>
          <w:szCs w:val="21"/>
          <w:highlight w:val="none"/>
        </w:rPr>
        <w:t>同一投诉事项未经财政部门投诉处理；</w:t>
      </w:r>
    </w:p>
    <w:p>
      <w:pPr>
        <w:numPr>
          <w:ilvl w:val="0"/>
          <w:numId w:val="5"/>
        </w:numPr>
        <w:spacing w:line="400" w:lineRule="exact"/>
        <w:rPr>
          <w:rFonts w:ascii="宋体" w:hAnsi="宋体" w:cs="宋体"/>
          <w:szCs w:val="21"/>
          <w:highlight w:val="none"/>
        </w:rPr>
      </w:pPr>
      <w:r>
        <w:rPr>
          <w:rFonts w:hint="eastAsia" w:ascii="宋体" w:hAnsi="宋体" w:cs="宋体"/>
          <w:szCs w:val="21"/>
          <w:highlight w:val="none"/>
        </w:rPr>
        <w:t>国务院财政部门规定的其他条件。</w:t>
      </w:r>
    </w:p>
    <w:p>
      <w:pPr>
        <w:spacing w:line="400" w:lineRule="exact"/>
        <w:ind w:left="3780" w:hanging="3780" w:hangingChars="1800"/>
        <w:rPr>
          <w:rFonts w:ascii="宋体" w:hAnsi="宋体" w:cs="宋体"/>
          <w:szCs w:val="21"/>
          <w:highlight w:val="none"/>
        </w:rPr>
      </w:pPr>
      <w:r>
        <w:rPr>
          <w:rFonts w:hint="eastAsia" w:ascii="宋体" w:hAnsi="宋体" w:cs="宋体"/>
          <w:szCs w:val="21"/>
          <w:highlight w:val="none"/>
        </w:rPr>
        <w:t xml:space="preserve">   </w:t>
      </w:r>
    </w:p>
    <w:p>
      <w:pPr>
        <w:outlineLvl w:val="0"/>
        <w:rPr>
          <w:szCs w:val="21"/>
          <w:highlight w:val="none"/>
        </w:rPr>
      </w:pPr>
      <w:r>
        <w:rPr>
          <w:rFonts w:hint="eastAsia"/>
          <w:szCs w:val="21"/>
          <w:highlight w:val="none"/>
        </w:rPr>
        <w:t xml:space="preserve"> </w:t>
      </w:r>
      <w:r>
        <w:rPr>
          <w:rFonts w:hint="eastAsia" w:ascii="宋体" w:hAnsi="宋体" w:cs="宋体"/>
          <w:b/>
          <w:bCs/>
          <w:szCs w:val="21"/>
          <w:highlight w:val="none"/>
        </w:rPr>
        <w:t xml:space="preserve">   </w:t>
      </w:r>
      <w:bookmarkStart w:id="65" w:name="_Toc10437"/>
      <w:bookmarkStart w:id="66" w:name="_Toc5978"/>
      <w:r>
        <w:rPr>
          <w:rFonts w:hint="eastAsia" w:ascii="宋体" w:hAnsi="宋体" w:cs="宋体"/>
          <w:b/>
          <w:bCs/>
          <w:szCs w:val="21"/>
          <w:highlight w:val="none"/>
        </w:rPr>
        <w:t>三、虚假、恶意投诉法律责任</w:t>
      </w:r>
      <w:bookmarkEnd w:id="65"/>
      <w:bookmarkEnd w:id="66"/>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第七十三条：供应商捏造实施、提供虚假材料或者以非法手段取得证明材料进行投诉的，由财政部门列入不良行为记录名单，禁止其1至3年内参加政府采购活动。</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《政府采购供应商投诉处理办法》第二十六条：投诉人有下列情形之一的，属于虚假、恶意投诉，财政部门应当驳回投诉，将其列入不良行为记录名单，并依法予以处罚：</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（一）1年内3次以上投诉均查无实据的；</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（二）捏造事实或者提供虚假投诉材料的。</w:t>
      </w:r>
    </w:p>
    <w:p>
      <w:pPr>
        <w:spacing w:line="400" w:lineRule="exact"/>
        <w:rPr>
          <w:rFonts w:ascii="宋体" w:hAnsi="宋体" w:cs="宋体"/>
          <w:szCs w:val="21"/>
          <w:highlight w:val="none"/>
        </w:rPr>
      </w:pPr>
    </w:p>
    <w:p>
      <w:pPr>
        <w:spacing w:line="400" w:lineRule="exact"/>
        <w:rPr>
          <w:rFonts w:ascii="宋体" w:hAnsi="宋体" w:cs="宋体"/>
          <w:szCs w:val="21"/>
          <w:highlight w:val="none"/>
        </w:rPr>
      </w:pPr>
    </w:p>
    <w:p>
      <w:pPr>
        <w:rPr>
          <w:rFonts w:ascii="宋体" w:hAnsi="宋体" w:cs="宋体"/>
          <w:szCs w:val="21"/>
          <w:highlight w:val="none"/>
        </w:rPr>
      </w:pPr>
      <w:r>
        <w:rPr>
          <w:rFonts w:hint="eastAsia" w:ascii="宋体" w:hAnsi="宋体" w:cs="宋体"/>
          <w:szCs w:val="21"/>
          <w:highlight w:val="none"/>
        </w:rPr>
        <w:t>递交投诉书地址：阿克陶县财政局政府采购办</w:t>
      </w:r>
    </w:p>
    <w:p>
      <w:pPr>
        <w:jc w:val="right"/>
        <w:rPr>
          <w:rFonts w:ascii="宋体" w:hAnsi="宋体" w:cs="宋体"/>
          <w:sz w:val="32"/>
          <w:szCs w:val="32"/>
          <w:highlight w:val="none"/>
        </w:rPr>
      </w:pPr>
    </w:p>
    <w:p>
      <w:pPr>
        <w:spacing w:line="540" w:lineRule="exact"/>
        <w:jc w:val="center"/>
        <w:rPr>
          <w:rFonts w:ascii="宋体" w:hAnsi="宋体" w:cs="宋体"/>
          <w:b/>
          <w:bCs/>
          <w:sz w:val="44"/>
          <w:szCs w:val="44"/>
          <w:highlight w:val="none"/>
        </w:rPr>
      </w:pPr>
    </w:p>
    <w:p>
      <w:pPr>
        <w:spacing w:line="540" w:lineRule="exact"/>
        <w:jc w:val="center"/>
        <w:rPr>
          <w:rFonts w:ascii="宋体" w:hAnsi="宋体" w:cs="宋体"/>
          <w:b/>
          <w:bCs/>
          <w:sz w:val="44"/>
          <w:szCs w:val="44"/>
          <w:highlight w:val="none"/>
        </w:rPr>
      </w:pPr>
    </w:p>
    <w:p>
      <w:pPr>
        <w:spacing w:line="540" w:lineRule="exact"/>
        <w:jc w:val="center"/>
        <w:rPr>
          <w:rFonts w:ascii="宋体" w:hAnsi="宋体" w:cs="宋体"/>
          <w:b/>
          <w:bCs/>
          <w:sz w:val="44"/>
          <w:szCs w:val="44"/>
          <w:highlight w:val="none"/>
        </w:rPr>
      </w:pPr>
    </w:p>
    <w:p>
      <w:pPr>
        <w:spacing w:line="540" w:lineRule="exact"/>
        <w:jc w:val="center"/>
        <w:rPr>
          <w:rFonts w:ascii="宋体" w:hAnsi="宋体" w:cs="宋体"/>
          <w:b/>
          <w:bCs/>
          <w:sz w:val="44"/>
          <w:szCs w:val="44"/>
          <w:highlight w:val="none"/>
        </w:rPr>
      </w:pPr>
    </w:p>
    <w:p>
      <w:pPr>
        <w:spacing w:line="540" w:lineRule="exact"/>
        <w:jc w:val="center"/>
        <w:outlineLvl w:val="0"/>
        <w:rPr>
          <w:rFonts w:ascii="宋体" w:hAnsi="宋体" w:cs="宋体"/>
          <w:b/>
          <w:bCs/>
          <w:sz w:val="32"/>
          <w:szCs w:val="32"/>
          <w:highlight w:val="none"/>
        </w:rPr>
      </w:pPr>
      <w:bookmarkStart w:id="67" w:name="_Toc1697"/>
    </w:p>
    <w:p>
      <w:pPr>
        <w:spacing w:line="540" w:lineRule="exact"/>
        <w:jc w:val="center"/>
        <w:outlineLvl w:val="0"/>
        <w:rPr>
          <w:rFonts w:ascii="宋体" w:hAnsi="宋体" w:cs="宋体"/>
          <w:b/>
          <w:bCs/>
          <w:sz w:val="32"/>
          <w:szCs w:val="32"/>
          <w:highlight w:val="none"/>
        </w:rPr>
      </w:pPr>
    </w:p>
    <w:p>
      <w:pPr>
        <w:spacing w:line="540" w:lineRule="exact"/>
        <w:jc w:val="center"/>
        <w:outlineLvl w:val="0"/>
        <w:rPr>
          <w:rFonts w:ascii="宋体" w:hAnsi="宋体" w:cs="宋体"/>
          <w:b/>
          <w:bCs/>
          <w:sz w:val="32"/>
          <w:szCs w:val="32"/>
          <w:highlight w:val="none"/>
        </w:rPr>
      </w:pPr>
    </w:p>
    <w:p>
      <w:pPr>
        <w:spacing w:line="540" w:lineRule="exact"/>
        <w:jc w:val="center"/>
        <w:outlineLvl w:val="0"/>
        <w:rPr>
          <w:rFonts w:ascii="宋体" w:hAnsi="宋体" w:cs="宋体"/>
          <w:b/>
          <w:bCs/>
          <w:sz w:val="32"/>
          <w:szCs w:val="32"/>
          <w:highlight w:val="none"/>
        </w:rPr>
      </w:pPr>
    </w:p>
    <w:p>
      <w:pPr>
        <w:spacing w:line="540" w:lineRule="exact"/>
        <w:jc w:val="center"/>
        <w:outlineLvl w:val="0"/>
        <w:rPr>
          <w:rFonts w:ascii="宋体" w:hAnsi="宋体" w:cs="宋体"/>
          <w:b/>
          <w:bCs/>
          <w:sz w:val="32"/>
          <w:szCs w:val="32"/>
          <w:highlight w:val="none"/>
        </w:rPr>
      </w:pPr>
    </w:p>
    <w:p>
      <w:pPr>
        <w:spacing w:line="540" w:lineRule="exact"/>
        <w:jc w:val="center"/>
        <w:outlineLvl w:val="0"/>
        <w:rPr>
          <w:rFonts w:ascii="宋体" w:hAnsi="宋体" w:cs="宋体"/>
          <w:b/>
          <w:bCs/>
          <w:sz w:val="32"/>
          <w:szCs w:val="32"/>
          <w:highlight w:val="none"/>
        </w:rPr>
      </w:pPr>
    </w:p>
    <w:p>
      <w:pPr>
        <w:spacing w:line="540" w:lineRule="exact"/>
        <w:jc w:val="center"/>
        <w:outlineLvl w:val="0"/>
        <w:rPr>
          <w:rFonts w:ascii="宋体" w:hAnsi="宋体" w:cs="宋体"/>
          <w:b/>
          <w:bCs/>
          <w:sz w:val="32"/>
          <w:szCs w:val="32"/>
          <w:highlight w:val="none"/>
        </w:rPr>
      </w:pPr>
    </w:p>
    <w:p>
      <w:pPr>
        <w:spacing w:line="540" w:lineRule="exact"/>
        <w:jc w:val="center"/>
        <w:outlineLvl w:val="0"/>
        <w:rPr>
          <w:rFonts w:ascii="宋体" w:hAnsi="宋体" w:cs="宋体"/>
          <w:b/>
          <w:bCs/>
          <w:sz w:val="32"/>
          <w:szCs w:val="32"/>
          <w:highlight w:val="none"/>
        </w:rPr>
      </w:pPr>
    </w:p>
    <w:p>
      <w:pPr>
        <w:spacing w:line="540" w:lineRule="exact"/>
        <w:jc w:val="center"/>
        <w:outlineLvl w:val="0"/>
        <w:rPr>
          <w:rFonts w:ascii="宋体" w:hAnsi="宋体" w:cs="宋体"/>
          <w:b/>
          <w:bCs/>
          <w:sz w:val="32"/>
          <w:szCs w:val="32"/>
          <w:highlight w:val="none"/>
        </w:rPr>
      </w:pPr>
    </w:p>
    <w:p>
      <w:pPr>
        <w:spacing w:line="540" w:lineRule="exact"/>
        <w:jc w:val="center"/>
        <w:outlineLvl w:val="0"/>
        <w:rPr>
          <w:rFonts w:ascii="宋体" w:hAnsi="宋体" w:cs="宋体"/>
          <w:b/>
          <w:bCs/>
          <w:sz w:val="32"/>
          <w:szCs w:val="32"/>
          <w:highlight w:val="none"/>
        </w:rPr>
      </w:pPr>
      <w:bookmarkStart w:id="68" w:name="_Toc30496"/>
    </w:p>
    <w:p>
      <w:pPr>
        <w:spacing w:line="540" w:lineRule="exact"/>
        <w:jc w:val="center"/>
        <w:outlineLvl w:val="0"/>
        <w:rPr>
          <w:rFonts w:ascii="宋体" w:hAnsi="宋体" w:cs="宋体"/>
          <w:b/>
          <w:bCs/>
          <w:sz w:val="32"/>
          <w:szCs w:val="32"/>
          <w:highlight w:val="none"/>
        </w:rPr>
      </w:pPr>
    </w:p>
    <w:p>
      <w:pPr>
        <w:spacing w:line="540" w:lineRule="exact"/>
        <w:jc w:val="center"/>
        <w:outlineLvl w:val="0"/>
        <w:rPr>
          <w:rFonts w:ascii="宋体" w:hAnsi="宋体" w:cs="宋体"/>
          <w:b/>
          <w:bCs/>
          <w:sz w:val="32"/>
          <w:szCs w:val="32"/>
          <w:highlight w:val="none"/>
        </w:rPr>
      </w:pPr>
    </w:p>
    <w:p>
      <w:pPr>
        <w:rPr>
          <w:rFonts w:ascii="宋体" w:hAnsi="宋体" w:cs="宋体"/>
          <w:b/>
          <w:bCs/>
          <w:sz w:val="32"/>
          <w:szCs w:val="32"/>
          <w:highlight w:val="none"/>
        </w:rPr>
      </w:pPr>
      <w:r>
        <w:rPr>
          <w:rFonts w:hint="eastAsia" w:ascii="宋体" w:hAnsi="宋体" w:cs="宋体"/>
          <w:b/>
          <w:bCs/>
          <w:sz w:val="32"/>
          <w:szCs w:val="32"/>
          <w:highlight w:val="none"/>
        </w:rPr>
        <w:br w:type="page"/>
      </w:r>
    </w:p>
    <w:p>
      <w:pPr>
        <w:spacing w:line="540" w:lineRule="exact"/>
        <w:jc w:val="center"/>
        <w:outlineLvl w:val="0"/>
        <w:rPr>
          <w:rFonts w:ascii="宋体" w:hAnsi="宋体" w:cs="宋体"/>
          <w:b/>
          <w:bCs/>
          <w:sz w:val="32"/>
          <w:szCs w:val="32"/>
          <w:highlight w:val="none"/>
        </w:rPr>
      </w:pPr>
      <w:r>
        <w:rPr>
          <w:rFonts w:hint="eastAsia" w:ascii="宋体" w:hAnsi="宋体" w:cs="宋体"/>
          <w:b/>
          <w:bCs/>
          <w:sz w:val="32"/>
          <w:szCs w:val="32"/>
          <w:highlight w:val="none"/>
        </w:rPr>
        <w:t>质疑函范本</w:t>
      </w:r>
      <w:bookmarkEnd w:id="67"/>
      <w:bookmarkEnd w:id="68"/>
    </w:p>
    <w:p>
      <w:pPr>
        <w:adjustRightInd w:val="0"/>
        <w:snapToGrid w:val="0"/>
        <w:spacing w:before="312" w:beforeLines="100" w:line="540" w:lineRule="exact"/>
        <w:ind w:firstLine="420" w:firstLineChars="200"/>
        <w:outlineLvl w:val="0"/>
        <w:rPr>
          <w:rFonts w:ascii="宋体" w:hAnsi="宋体" w:cs="宋体"/>
          <w:bCs/>
          <w:szCs w:val="21"/>
          <w:highlight w:val="none"/>
        </w:rPr>
      </w:pPr>
      <w:bookmarkStart w:id="69" w:name="_Toc9061"/>
      <w:bookmarkStart w:id="70" w:name="_Toc25524"/>
      <w:r>
        <w:rPr>
          <w:rFonts w:hint="eastAsia" w:ascii="宋体" w:hAnsi="宋体" w:cs="宋体"/>
          <w:bCs/>
          <w:szCs w:val="21"/>
          <w:highlight w:val="none"/>
        </w:rPr>
        <w:t>一、质疑供应商基本信息</w:t>
      </w:r>
      <w:bookmarkEnd w:id="69"/>
      <w:bookmarkEnd w:id="70"/>
    </w:p>
    <w:p>
      <w:pPr>
        <w:adjustRightInd w:val="0"/>
        <w:snapToGrid w:val="0"/>
        <w:spacing w:line="540" w:lineRule="exact"/>
        <w:ind w:firstLine="420" w:firstLineChars="200"/>
        <w:rPr>
          <w:rFonts w:ascii="宋体" w:hAnsi="宋体" w:cs="宋体"/>
          <w:szCs w:val="21"/>
          <w:highlight w:val="none"/>
          <w:u w:val="dotted"/>
        </w:rPr>
      </w:pPr>
      <w:r>
        <w:rPr>
          <w:rFonts w:hint="eastAsia" w:ascii="宋体" w:hAnsi="宋体" w:cs="宋体"/>
          <w:szCs w:val="21"/>
          <w:highlight w:val="none"/>
        </w:rPr>
        <w:t>质疑供应商：</w:t>
      </w:r>
      <w:r>
        <w:rPr>
          <w:rFonts w:hint="eastAsia" w:ascii="宋体" w:hAnsi="宋体" w:cs="宋体"/>
          <w:szCs w:val="21"/>
          <w:highlight w:val="none"/>
          <w:u w:val="dotted"/>
        </w:rPr>
        <w:t xml:space="preserve">                         </w:t>
      </w:r>
    </w:p>
    <w:p>
      <w:pPr>
        <w:adjustRightInd w:val="0"/>
        <w:snapToGrid w:val="0"/>
        <w:spacing w:line="540" w:lineRule="exact"/>
        <w:ind w:firstLine="420" w:firstLineChars="200"/>
        <w:rPr>
          <w:rFonts w:ascii="宋体" w:hAnsi="宋体" w:cs="宋体"/>
          <w:szCs w:val="21"/>
          <w:highlight w:val="none"/>
        </w:rPr>
      </w:pPr>
      <w:r>
        <w:rPr>
          <w:rFonts w:hint="eastAsia" w:ascii="宋体" w:hAnsi="宋体" w:cs="宋体"/>
          <w:szCs w:val="21"/>
          <w:highlight w:val="none"/>
        </w:rPr>
        <w:t>地址：</w:t>
      </w:r>
      <w:r>
        <w:rPr>
          <w:rFonts w:hint="eastAsia" w:ascii="宋体" w:hAnsi="宋体" w:cs="宋体"/>
          <w:szCs w:val="21"/>
          <w:highlight w:val="none"/>
          <w:u w:val="dotted"/>
        </w:rPr>
        <w:t xml:space="preserve">                          </w:t>
      </w:r>
      <w:r>
        <w:rPr>
          <w:rFonts w:hint="eastAsia" w:ascii="宋体" w:hAnsi="宋体" w:cs="宋体"/>
          <w:szCs w:val="21"/>
          <w:highlight w:val="none"/>
        </w:rPr>
        <w:t>邮编：</w:t>
      </w:r>
      <w:r>
        <w:rPr>
          <w:rFonts w:hint="eastAsia" w:ascii="宋体" w:hAnsi="宋体" w:cs="宋体"/>
          <w:szCs w:val="21"/>
          <w:highlight w:val="none"/>
          <w:u w:val="dotted"/>
        </w:rPr>
        <w:t xml:space="preserve">            </w:t>
      </w:r>
    </w:p>
    <w:p>
      <w:pPr>
        <w:adjustRightInd w:val="0"/>
        <w:snapToGrid w:val="0"/>
        <w:spacing w:line="540" w:lineRule="exact"/>
        <w:ind w:firstLine="420" w:firstLineChars="200"/>
        <w:rPr>
          <w:rFonts w:ascii="宋体" w:hAnsi="宋体" w:cs="宋体"/>
          <w:szCs w:val="21"/>
          <w:highlight w:val="none"/>
        </w:rPr>
      </w:pPr>
      <w:r>
        <w:rPr>
          <w:rFonts w:hint="eastAsia" w:ascii="宋体" w:hAnsi="宋体" w:cs="宋体"/>
          <w:szCs w:val="21"/>
          <w:highlight w:val="none"/>
        </w:rPr>
        <w:t>联系人：</w:t>
      </w:r>
      <w:r>
        <w:rPr>
          <w:rFonts w:hint="eastAsia" w:ascii="宋体" w:hAnsi="宋体" w:cs="宋体"/>
          <w:szCs w:val="21"/>
          <w:highlight w:val="none"/>
          <w:u w:val="dotted"/>
        </w:rPr>
        <w:t xml:space="preserve">                      </w:t>
      </w:r>
      <w:r>
        <w:rPr>
          <w:rFonts w:hint="eastAsia" w:ascii="宋体" w:hAnsi="宋体" w:cs="宋体"/>
          <w:szCs w:val="21"/>
          <w:highlight w:val="none"/>
        </w:rPr>
        <w:t>联系电话：</w:t>
      </w:r>
      <w:r>
        <w:rPr>
          <w:rFonts w:hint="eastAsia" w:ascii="宋体" w:hAnsi="宋体" w:cs="宋体"/>
          <w:szCs w:val="21"/>
          <w:highlight w:val="none"/>
          <w:u w:val="dotted"/>
        </w:rPr>
        <w:t xml:space="preserve">            </w:t>
      </w:r>
    </w:p>
    <w:p>
      <w:pPr>
        <w:adjustRightInd w:val="0"/>
        <w:snapToGrid w:val="0"/>
        <w:spacing w:line="540" w:lineRule="exact"/>
        <w:ind w:firstLine="420" w:firstLineChars="200"/>
        <w:rPr>
          <w:rFonts w:ascii="宋体" w:hAnsi="宋体" w:cs="宋体"/>
          <w:szCs w:val="21"/>
          <w:highlight w:val="none"/>
          <w:u w:val="dotted"/>
        </w:rPr>
      </w:pPr>
      <w:r>
        <w:rPr>
          <w:rFonts w:hint="eastAsia" w:ascii="宋体" w:hAnsi="宋体" w:cs="宋体"/>
          <w:szCs w:val="21"/>
          <w:highlight w:val="none"/>
        </w:rPr>
        <w:t>授权代表：</w:t>
      </w:r>
      <w:r>
        <w:rPr>
          <w:rFonts w:hint="eastAsia" w:ascii="宋体" w:hAnsi="宋体" w:cs="宋体"/>
          <w:szCs w:val="21"/>
          <w:highlight w:val="none"/>
          <w:u w:val="dotted"/>
        </w:rPr>
        <w:t xml:space="preserve">                                          </w:t>
      </w:r>
    </w:p>
    <w:p>
      <w:pPr>
        <w:adjustRightInd w:val="0"/>
        <w:snapToGrid w:val="0"/>
        <w:spacing w:line="540" w:lineRule="exact"/>
        <w:ind w:firstLine="420" w:firstLineChars="200"/>
        <w:rPr>
          <w:rFonts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dotted"/>
        </w:rPr>
        <w:t xml:space="preserve">                                          </w:t>
      </w:r>
    </w:p>
    <w:p>
      <w:pPr>
        <w:adjustRightInd w:val="0"/>
        <w:snapToGrid w:val="0"/>
        <w:spacing w:line="540" w:lineRule="exact"/>
        <w:ind w:firstLine="420" w:firstLineChars="200"/>
        <w:rPr>
          <w:rFonts w:ascii="宋体" w:hAnsi="宋体" w:cs="宋体"/>
          <w:szCs w:val="21"/>
          <w:highlight w:val="none"/>
        </w:rPr>
      </w:pPr>
      <w:r>
        <w:rPr>
          <w:rFonts w:hint="eastAsia" w:ascii="宋体" w:hAnsi="宋体" w:cs="宋体"/>
          <w:szCs w:val="21"/>
          <w:highlight w:val="none"/>
        </w:rPr>
        <w:t xml:space="preserve">地址： </w:t>
      </w:r>
      <w:r>
        <w:rPr>
          <w:rFonts w:hint="eastAsia" w:ascii="宋体" w:hAnsi="宋体" w:cs="宋体"/>
          <w:szCs w:val="21"/>
          <w:highlight w:val="none"/>
          <w:u w:val="dotted"/>
        </w:rPr>
        <w:t xml:space="preserve">                        </w:t>
      </w:r>
      <w:r>
        <w:rPr>
          <w:rFonts w:hint="eastAsia" w:ascii="宋体" w:hAnsi="宋体" w:cs="宋体"/>
          <w:szCs w:val="21"/>
          <w:highlight w:val="none"/>
        </w:rPr>
        <w:t>邮编：</w:t>
      </w:r>
      <w:r>
        <w:rPr>
          <w:rFonts w:hint="eastAsia" w:ascii="宋体" w:hAnsi="宋体" w:cs="宋体"/>
          <w:szCs w:val="21"/>
          <w:highlight w:val="none"/>
          <w:u w:val="dotted"/>
        </w:rPr>
        <w:t xml:space="preserve">               </w:t>
      </w:r>
    </w:p>
    <w:p>
      <w:pPr>
        <w:adjustRightInd w:val="0"/>
        <w:snapToGrid w:val="0"/>
        <w:spacing w:line="540" w:lineRule="exact"/>
        <w:ind w:firstLine="420" w:firstLineChars="200"/>
        <w:outlineLvl w:val="0"/>
        <w:rPr>
          <w:rFonts w:ascii="宋体" w:hAnsi="宋体" w:cs="宋体"/>
          <w:bCs/>
          <w:szCs w:val="21"/>
          <w:highlight w:val="none"/>
        </w:rPr>
      </w:pPr>
      <w:bookmarkStart w:id="71" w:name="_Toc15938"/>
      <w:bookmarkStart w:id="72" w:name="_Toc19533"/>
      <w:r>
        <w:rPr>
          <w:rFonts w:hint="eastAsia" w:ascii="宋体" w:hAnsi="宋体" w:cs="宋体"/>
          <w:bCs/>
          <w:szCs w:val="21"/>
          <w:highlight w:val="none"/>
        </w:rPr>
        <w:t>二、质疑项目基本情况</w:t>
      </w:r>
      <w:bookmarkEnd w:id="71"/>
      <w:bookmarkEnd w:id="72"/>
    </w:p>
    <w:p>
      <w:pPr>
        <w:adjustRightInd w:val="0"/>
        <w:snapToGrid w:val="0"/>
        <w:spacing w:line="540" w:lineRule="exact"/>
        <w:ind w:firstLine="420" w:firstLineChars="200"/>
        <w:rPr>
          <w:rFonts w:ascii="宋体" w:hAnsi="宋体" w:cs="宋体"/>
          <w:szCs w:val="21"/>
          <w:highlight w:val="none"/>
        </w:rPr>
      </w:pPr>
      <w:r>
        <w:rPr>
          <w:rFonts w:hint="eastAsia" w:ascii="宋体" w:hAnsi="宋体" w:cs="宋体"/>
          <w:szCs w:val="21"/>
          <w:highlight w:val="none"/>
        </w:rPr>
        <w:t>质疑项目的名称：</w:t>
      </w:r>
      <w:r>
        <w:rPr>
          <w:rFonts w:hint="eastAsia" w:ascii="宋体" w:hAnsi="宋体" w:cs="宋体"/>
          <w:szCs w:val="21"/>
          <w:highlight w:val="none"/>
          <w:u w:val="dotted"/>
        </w:rPr>
        <w:t xml:space="preserve">                                     </w:t>
      </w:r>
    </w:p>
    <w:p>
      <w:pPr>
        <w:adjustRightInd w:val="0"/>
        <w:snapToGrid w:val="0"/>
        <w:spacing w:line="540" w:lineRule="exact"/>
        <w:ind w:firstLine="420" w:firstLineChars="200"/>
        <w:rPr>
          <w:rFonts w:ascii="宋体" w:hAnsi="宋体" w:cs="宋体"/>
          <w:szCs w:val="21"/>
          <w:highlight w:val="none"/>
        </w:rPr>
      </w:pPr>
      <w:r>
        <w:rPr>
          <w:rFonts w:hint="eastAsia" w:ascii="宋体" w:hAnsi="宋体" w:cs="宋体"/>
          <w:szCs w:val="21"/>
          <w:highlight w:val="none"/>
        </w:rPr>
        <w:t>质疑项目的编号：</w:t>
      </w:r>
      <w:r>
        <w:rPr>
          <w:rFonts w:hint="eastAsia" w:ascii="宋体" w:hAnsi="宋体" w:cs="宋体"/>
          <w:szCs w:val="21"/>
          <w:highlight w:val="none"/>
          <w:u w:val="dotted"/>
        </w:rPr>
        <w:t xml:space="preserve">               </w:t>
      </w:r>
      <w:r>
        <w:rPr>
          <w:rFonts w:hint="eastAsia" w:ascii="宋体" w:hAnsi="宋体" w:cs="宋体"/>
          <w:szCs w:val="21"/>
          <w:highlight w:val="none"/>
        </w:rPr>
        <w:t>包号：</w:t>
      </w:r>
      <w:r>
        <w:rPr>
          <w:rFonts w:hint="eastAsia" w:ascii="宋体" w:hAnsi="宋体" w:cs="宋体"/>
          <w:szCs w:val="21"/>
          <w:highlight w:val="none"/>
          <w:u w:val="dotted"/>
        </w:rPr>
        <w:t xml:space="preserve">                </w:t>
      </w:r>
    </w:p>
    <w:p>
      <w:pPr>
        <w:adjustRightInd w:val="0"/>
        <w:snapToGrid w:val="0"/>
        <w:spacing w:line="540" w:lineRule="exact"/>
        <w:ind w:firstLine="420" w:firstLineChars="200"/>
        <w:rPr>
          <w:rFonts w:ascii="宋体" w:hAnsi="宋体" w:cs="宋体"/>
          <w:szCs w:val="21"/>
          <w:highlight w:val="none"/>
          <w:u w:val="dotted"/>
        </w:rPr>
      </w:pPr>
      <w:r>
        <w:rPr>
          <w:rFonts w:hint="eastAsia" w:ascii="宋体" w:hAnsi="宋体" w:cs="宋体"/>
          <w:szCs w:val="21"/>
          <w:highlight w:val="none"/>
        </w:rPr>
        <w:t>采购人名称：</w:t>
      </w:r>
      <w:r>
        <w:rPr>
          <w:rFonts w:hint="eastAsia" w:ascii="宋体" w:hAnsi="宋体" w:cs="宋体"/>
          <w:szCs w:val="21"/>
          <w:highlight w:val="none"/>
          <w:u w:val="dotted"/>
        </w:rPr>
        <w:t xml:space="preserve">                                         </w:t>
      </w:r>
    </w:p>
    <w:p>
      <w:pPr>
        <w:adjustRightInd w:val="0"/>
        <w:snapToGrid w:val="0"/>
        <w:spacing w:line="540" w:lineRule="exact"/>
        <w:ind w:firstLine="420" w:firstLineChars="200"/>
        <w:rPr>
          <w:rFonts w:ascii="宋体" w:hAnsi="宋体" w:cs="宋体"/>
          <w:szCs w:val="21"/>
          <w:highlight w:val="none"/>
        </w:rPr>
      </w:pPr>
      <w:r>
        <w:rPr>
          <w:rFonts w:hint="eastAsia" w:ascii="宋体" w:hAnsi="宋体" w:cs="宋体"/>
          <w:szCs w:val="21"/>
          <w:highlight w:val="none"/>
        </w:rPr>
        <w:t>采购文件获取日期：</w:t>
      </w:r>
      <w:r>
        <w:rPr>
          <w:rFonts w:hint="eastAsia" w:ascii="宋体" w:hAnsi="宋体" w:cs="宋体"/>
          <w:szCs w:val="21"/>
          <w:highlight w:val="none"/>
          <w:u w:val="dotted"/>
        </w:rPr>
        <w:t xml:space="preserve">                                   </w:t>
      </w:r>
    </w:p>
    <w:p>
      <w:pPr>
        <w:adjustRightInd w:val="0"/>
        <w:snapToGrid w:val="0"/>
        <w:spacing w:line="540" w:lineRule="exact"/>
        <w:ind w:firstLine="420" w:firstLineChars="200"/>
        <w:outlineLvl w:val="0"/>
        <w:rPr>
          <w:rFonts w:ascii="宋体" w:hAnsi="宋体" w:cs="宋体"/>
          <w:bCs/>
          <w:szCs w:val="21"/>
          <w:highlight w:val="none"/>
        </w:rPr>
      </w:pPr>
      <w:bookmarkStart w:id="73" w:name="_Toc18271"/>
      <w:bookmarkStart w:id="74" w:name="_Toc25298"/>
      <w:r>
        <w:rPr>
          <w:rFonts w:hint="eastAsia" w:ascii="宋体" w:hAnsi="宋体" w:cs="宋体"/>
          <w:bCs/>
          <w:szCs w:val="21"/>
          <w:highlight w:val="none"/>
        </w:rPr>
        <w:t>三、质疑事项具体内容</w:t>
      </w:r>
      <w:bookmarkEnd w:id="73"/>
      <w:bookmarkEnd w:id="74"/>
    </w:p>
    <w:p>
      <w:pPr>
        <w:adjustRightInd w:val="0"/>
        <w:snapToGrid w:val="0"/>
        <w:spacing w:line="540" w:lineRule="exact"/>
        <w:ind w:firstLine="420" w:firstLineChars="200"/>
        <w:rPr>
          <w:rFonts w:ascii="宋体" w:hAnsi="宋体" w:cs="宋体"/>
          <w:szCs w:val="21"/>
          <w:highlight w:val="none"/>
          <w:u w:val="dotted"/>
        </w:rPr>
      </w:pPr>
      <w:r>
        <w:rPr>
          <w:rFonts w:hint="eastAsia" w:ascii="宋体" w:hAnsi="宋体" w:cs="宋体"/>
          <w:szCs w:val="21"/>
          <w:highlight w:val="none"/>
        </w:rPr>
        <w:t>质疑事项1：</w:t>
      </w:r>
      <w:r>
        <w:rPr>
          <w:rFonts w:hint="eastAsia" w:ascii="宋体" w:hAnsi="宋体" w:cs="宋体"/>
          <w:szCs w:val="21"/>
          <w:highlight w:val="none"/>
          <w:u w:val="dotted"/>
        </w:rPr>
        <w:t xml:space="preserve">                                         </w:t>
      </w:r>
    </w:p>
    <w:p>
      <w:pPr>
        <w:adjustRightInd w:val="0"/>
        <w:snapToGrid w:val="0"/>
        <w:spacing w:line="540" w:lineRule="exact"/>
        <w:ind w:firstLine="420" w:firstLineChars="200"/>
        <w:rPr>
          <w:rFonts w:ascii="宋体" w:hAnsi="宋体" w:cs="宋体"/>
          <w:szCs w:val="21"/>
          <w:highlight w:val="none"/>
        </w:rPr>
      </w:pPr>
      <w:r>
        <w:rPr>
          <w:rFonts w:hint="eastAsia" w:ascii="宋体" w:hAnsi="宋体" w:cs="宋体"/>
          <w:szCs w:val="21"/>
          <w:highlight w:val="none"/>
        </w:rPr>
        <w:t>事实依据：</w:t>
      </w:r>
      <w:r>
        <w:rPr>
          <w:rFonts w:hint="eastAsia" w:ascii="宋体" w:hAnsi="宋体" w:cs="宋体"/>
          <w:szCs w:val="21"/>
          <w:highlight w:val="none"/>
          <w:u w:val="dotted"/>
        </w:rPr>
        <w:t xml:space="preserve">                                           </w:t>
      </w:r>
    </w:p>
    <w:p>
      <w:pPr>
        <w:adjustRightInd w:val="0"/>
        <w:snapToGrid w:val="0"/>
        <w:spacing w:line="540" w:lineRule="exact"/>
        <w:ind w:firstLine="420" w:firstLineChars="200"/>
        <w:rPr>
          <w:rFonts w:ascii="宋体" w:hAnsi="宋体" w:cs="宋体"/>
          <w:szCs w:val="21"/>
          <w:highlight w:val="none"/>
          <w:u w:val="dotted"/>
        </w:rPr>
      </w:pPr>
      <w:r>
        <w:rPr>
          <w:rFonts w:hint="eastAsia" w:ascii="宋体" w:hAnsi="宋体" w:cs="宋体"/>
          <w:szCs w:val="21"/>
          <w:highlight w:val="none"/>
        </w:rPr>
        <w:t>法律依据：</w:t>
      </w:r>
      <w:r>
        <w:rPr>
          <w:rFonts w:hint="eastAsia" w:ascii="宋体" w:hAnsi="宋体" w:cs="宋体"/>
          <w:szCs w:val="21"/>
          <w:highlight w:val="none"/>
          <w:u w:val="dotted"/>
        </w:rPr>
        <w:t xml:space="preserve">                                           </w:t>
      </w:r>
    </w:p>
    <w:p>
      <w:pPr>
        <w:adjustRightInd w:val="0"/>
        <w:snapToGrid w:val="0"/>
        <w:spacing w:line="540" w:lineRule="exact"/>
        <w:ind w:firstLine="420" w:firstLineChars="200"/>
        <w:rPr>
          <w:rFonts w:ascii="宋体" w:hAnsi="宋体" w:cs="宋体"/>
          <w:szCs w:val="21"/>
          <w:highlight w:val="none"/>
          <w:u w:val="dotted"/>
        </w:rPr>
      </w:pPr>
      <w:r>
        <w:rPr>
          <w:rFonts w:hint="eastAsia" w:ascii="宋体" w:hAnsi="宋体" w:cs="宋体"/>
          <w:szCs w:val="21"/>
          <w:highlight w:val="none"/>
        </w:rPr>
        <w:t>质疑事项2</w:t>
      </w:r>
    </w:p>
    <w:p>
      <w:pPr>
        <w:adjustRightInd w:val="0"/>
        <w:snapToGrid w:val="0"/>
        <w:spacing w:line="540" w:lineRule="exact"/>
        <w:ind w:firstLine="420" w:firstLineChars="200"/>
        <w:rPr>
          <w:rFonts w:ascii="宋体" w:hAnsi="宋体" w:cs="宋体"/>
          <w:szCs w:val="21"/>
          <w:highlight w:val="none"/>
        </w:rPr>
      </w:pPr>
      <w:r>
        <w:rPr>
          <w:rFonts w:hint="eastAsia" w:ascii="宋体" w:hAnsi="宋体" w:cs="宋体"/>
          <w:szCs w:val="21"/>
          <w:highlight w:val="none"/>
        </w:rPr>
        <w:t>……</w:t>
      </w:r>
    </w:p>
    <w:p>
      <w:pPr>
        <w:adjustRightInd w:val="0"/>
        <w:snapToGrid w:val="0"/>
        <w:spacing w:line="540" w:lineRule="exact"/>
        <w:ind w:firstLine="420" w:firstLineChars="200"/>
        <w:outlineLvl w:val="0"/>
        <w:rPr>
          <w:rFonts w:ascii="宋体" w:hAnsi="宋体" w:cs="宋体"/>
          <w:bCs/>
          <w:szCs w:val="21"/>
          <w:highlight w:val="none"/>
        </w:rPr>
      </w:pPr>
      <w:bookmarkStart w:id="75" w:name="_Toc22365"/>
      <w:bookmarkStart w:id="76" w:name="_Toc20488"/>
      <w:r>
        <w:rPr>
          <w:rFonts w:hint="eastAsia" w:ascii="宋体" w:hAnsi="宋体" w:cs="宋体"/>
          <w:bCs/>
          <w:szCs w:val="21"/>
          <w:highlight w:val="none"/>
        </w:rPr>
        <w:t>四、与质疑事项相关的质疑请求</w:t>
      </w:r>
      <w:bookmarkEnd w:id="75"/>
      <w:bookmarkEnd w:id="76"/>
    </w:p>
    <w:p>
      <w:pPr>
        <w:adjustRightInd w:val="0"/>
        <w:snapToGrid w:val="0"/>
        <w:spacing w:line="540" w:lineRule="exact"/>
        <w:ind w:firstLine="420" w:firstLineChars="200"/>
        <w:rPr>
          <w:rFonts w:ascii="宋体" w:hAnsi="宋体" w:cs="宋体"/>
          <w:szCs w:val="21"/>
          <w:highlight w:val="none"/>
          <w:u w:val="dotted"/>
        </w:rPr>
      </w:pPr>
      <w:r>
        <w:rPr>
          <w:rFonts w:hint="eastAsia" w:ascii="宋体" w:hAnsi="宋体" w:cs="宋体"/>
          <w:szCs w:val="21"/>
          <w:highlight w:val="none"/>
        </w:rPr>
        <w:t>请求：</w:t>
      </w:r>
      <w:r>
        <w:rPr>
          <w:rFonts w:hint="eastAsia" w:ascii="宋体" w:hAnsi="宋体" w:cs="宋体"/>
          <w:szCs w:val="21"/>
          <w:highlight w:val="none"/>
          <w:u w:val="dotted"/>
        </w:rPr>
        <w:t xml:space="preserve">                                               </w:t>
      </w:r>
    </w:p>
    <w:p>
      <w:pPr>
        <w:spacing w:line="540" w:lineRule="exact"/>
        <w:ind w:firstLine="420" w:firstLineChars="200"/>
        <w:rPr>
          <w:rFonts w:ascii="宋体" w:hAnsi="宋体" w:cs="宋体"/>
          <w:szCs w:val="21"/>
          <w:highlight w:val="none"/>
        </w:rPr>
      </w:pPr>
      <w:r>
        <w:rPr>
          <w:rFonts w:hint="eastAsia" w:ascii="宋体" w:hAnsi="宋体" w:cs="宋体"/>
          <w:szCs w:val="21"/>
          <w:highlight w:val="none"/>
        </w:rPr>
        <w:t xml:space="preserve">签字(签章)：                   公章：                      </w:t>
      </w:r>
    </w:p>
    <w:p>
      <w:pPr>
        <w:spacing w:line="540" w:lineRule="exact"/>
        <w:ind w:firstLine="420" w:firstLineChars="200"/>
        <w:rPr>
          <w:rFonts w:ascii="宋体" w:hAnsi="宋体" w:cs="宋体"/>
          <w:b/>
          <w:bCs/>
          <w:szCs w:val="21"/>
          <w:highlight w:val="none"/>
        </w:rPr>
      </w:pPr>
      <w:r>
        <w:rPr>
          <w:rFonts w:hint="eastAsia" w:ascii="宋体" w:hAnsi="宋体" w:cs="宋体"/>
          <w:szCs w:val="21"/>
          <w:highlight w:val="none"/>
        </w:rPr>
        <w:t xml:space="preserve">日期：    </w:t>
      </w:r>
    </w:p>
    <w:p>
      <w:pPr>
        <w:pageBreakBefore/>
        <w:spacing w:line="440" w:lineRule="exact"/>
        <w:jc w:val="center"/>
        <w:outlineLvl w:val="0"/>
        <w:rPr>
          <w:rFonts w:ascii="黑体" w:eastAsia="黑体"/>
          <w:sz w:val="30"/>
          <w:szCs w:val="30"/>
          <w:highlight w:val="none"/>
        </w:rPr>
      </w:pPr>
      <w:bookmarkStart w:id="77" w:name="_Toc7619"/>
      <w:r>
        <w:rPr>
          <w:rFonts w:hint="eastAsia" w:ascii="黑体" w:eastAsia="黑体"/>
          <w:sz w:val="30"/>
          <w:szCs w:val="30"/>
          <w:highlight w:val="none"/>
        </w:rPr>
        <w:t>第三章  评标办法</w:t>
      </w:r>
      <w:bookmarkEnd w:id="77"/>
    </w:p>
    <w:p>
      <w:pPr>
        <w:jc w:val="center"/>
        <w:outlineLvl w:val="1"/>
        <w:rPr>
          <w:rFonts w:ascii="宋体"/>
          <w:b/>
          <w:sz w:val="28"/>
          <w:szCs w:val="28"/>
          <w:highlight w:val="none"/>
        </w:rPr>
      </w:pPr>
      <w:bookmarkStart w:id="78" w:name="_Toc15723"/>
      <w:bookmarkStart w:id="79" w:name="_Toc362983802"/>
      <w:bookmarkStart w:id="80" w:name="_Toc267320058"/>
      <w:bookmarkStart w:id="81" w:name="_Toc363135205"/>
      <w:r>
        <w:rPr>
          <w:rFonts w:hint="eastAsia" w:ascii="宋体"/>
          <w:b/>
          <w:sz w:val="28"/>
          <w:szCs w:val="28"/>
          <w:highlight w:val="none"/>
        </w:rPr>
        <w:t>一  总  则</w:t>
      </w:r>
      <w:bookmarkEnd w:id="78"/>
    </w:p>
    <w:p>
      <w:pPr>
        <w:tabs>
          <w:tab w:val="left" w:pos="567"/>
          <w:tab w:val="left" w:pos="600"/>
        </w:tabs>
        <w:spacing w:line="440" w:lineRule="exact"/>
        <w:ind w:firstLine="535" w:firstLineChars="255"/>
        <w:rPr>
          <w:rFonts w:ascii="宋体" w:hAnsi="宋体" w:cs="宋体"/>
          <w:szCs w:val="21"/>
          <w:highlight w:val="none"/>
        </w:rPr>
      </w:pPr>
      <w:r>
        <w:rPr>
          <w:rFonts w:hint="eastAsia" w:ascii="宋体" w:hAnsi="宋体" w:cs="宋体"/>
          <w:szCs w:val="21"/>
          <w:highlight w:val="none"/>
        </w:rPr>
        <w:t>1、一般规定</w:t>
      </w:r>
    </w:p>
    <w:p>
      <w:pPr>
        <w:spacing w:line="440" w:lineRule="exact"/>
        <w:ind w:firstLine="535" w:firstLineChars="255"/>
        <w:rPr>
          <w:rFonts w:ascii="宋体" w:hAnsi="宋体" w:cs="宋体"/>
          <w:szCs w:val="21"/>
          <w:highlight w:val="none"/>
        </w:rPr>
      </w:pPr>
      <w:r>
        <w:rPr>
          <w:rFonts w:hint="eastAsia" w:ascii="宋体" w:hAnsi="宋体" w:cs="宋体"/>
          <w:szCs w:val="21"/>
          <w:highlight w:val="none"/>
        </w:rPr>
        <w:t>1.1本项目的招标按照《中华人民共和国政府采购法》、《政府采购服务和服务招标磋商管理办法》、《政府采购竞争性磋商采购方式管理暂行办法》及政府采购的有关规定进行。</w:t>
      </w:r>
    </w:p>
    <w:p>
      <w:pPr>
        <w:spacing w:line="440" w:lineRule="exact"/>
        <w:ind w:firstLine="535" w:firstLineChars="255"/>
        <w:rPr>
          <w:rFonts w:ascii="宋体" w:hAnsi="宋体" w:cs="宋体"/>
          <w:szCs w:val="21"/>
          <w:highlight w:val="none"/>
        </w:rPr>
      </w:pPr>
      <w:r>
        <w:rPr>
          <w:rFonts w:hint="eastAsia" w:ascii="宋体" w:hAnsi="宋体" w:cs="宋体"/>
          <w:szCs w:val="21"/>
          <w:highlight w:val="none"/>
        </w:rPr>
        <w:t>1.2评标必须遵循公开、公平、公正、诚实信用的原则。</w:t>
      </w:r>
    </w:p>
    <w:p>
      <w:pPr>
        <w:spacing w:line="440" w:lineRule="exact"/>
        <w:ind w:firstLine="535" w:firstLineChars="255"/>
        <w:rPr>
          <w:rFonts w:ascii="宋体" w:hAnsi="宋体" w:cs="宋体"/>
          <w:szCs w:val="21"/>
          <w:highlight w:val="none"/>
        </w:rPr>
      </w:pPr>
      <w:r>
        <w:rPr>
          <w:rFonts w:hint="eastAsia" w:ascii="宋体" w:hAnsi="宋体" w:cs="宋体"/>
          <w:szCs w:val="21"/>
          <w:highlight w:val="none"/>
        </w:rPr>
        <w:t>1.3招标代理机构组织招标、开标、评标工作，全过程接受政府采购有关部门的监督、管理和指导。</w:t>
      </w:r>
    </w:p>
    <w:p>
      <w:pPr>
        <w:spacing w:line="440" w:lineRule="exact"/>
        <w:ind w:firstLine="535" w:firstLineChars="255"/>
        <w:rPr>
          <w:rFonts w:ascii="宋体" w:hAnsi="宋体" w:cs="宋体"/>
          <w:szCs w:val="21"/>
          <w:highlight w:val="none"/>
        </w:rPr>
      </w:pPr>
      <w:r>
        <w:rPr>
          <w:rFonts w:hint="eastAsia" w:ascii="宋体" w:hAnsi="宋体" w:cs="宋体"/>
          <w:szCs w:val="21"/>
          <w:highlight w:val="none"/>
        </w:rPr>
        <w:t>1.4评标按照磋商文件规定的内容进行，采取综合比较和分项打分相结合的评标方法（综合评分法），避免纯技术或纯经济的倾向。</w:t>
      </w:r>
    </w:p>
    <w:p>
      <w:pPr>
        <w:spacing w:line="440" w:lineRule="exact"/>
        <w:ind w:firstLine="535" w:firstLineChars="255"/>
        <w:rPr>
          <w:rFonts w:ascii="宋体" w:hAnsi="宋体" w:cs="宋体"/>
          <w:szCs w:val="21"/>
          <w:highlight w:val="none"/>
        </w:rPr>
      </w:pPr>
      <w:r>
        <w:rPr>
          <w:rFonts w:hint="eastAsia" w:ascii="宋体" w:hAnsi="宋体" w:cs="宋体"/>
          <w:szCs w:val="21"/>
          <w:highlight w:val="none"/>
        </w:rPr>
        <w:t>1.5本办法的评标对象是指供应商按照磋商文件要求提供的有效响应文件，包括供应商应磋商小组要求对原响应文件作出的正式书面澄清文件。</w:t>
      </w:r>
    </w:p>
    <w:p>
      <w:pPr>
        <w:tabs>
          <w:tab w:val="left" w:pos="567"/>
          <w:tab w:val="left" w:pos="600"/>
        </w:tabs>
        <w:spacing w:line="440" w:lineRule="exact"/>
        <w:ind w:firstLine="535" w:firstLineChars="255"/>
        <w:rPr>
          <w:rFonts w:ascii="宋体" w:hAnsi="宋体" w:cs="宋体"/>
          <w:szCs w:val="21"/>
          <w:highlight w:val="none"/>
        </w:rPr>
      </w:pPr>
      <w:r>
        <w:rPr>
          <w:rFonts w:hint="eastAsia" w:ascii="宋体" w:hAnsi="宋体" w:cs="宋体"/>
          <w:szCs w:val="21"/>
          <w:highlight w:val="none"/>
        </w:rPr>
        <w:t>2、磋商组织机构的组成</w:t>
      </w:r>
    </w:p>
    <w:p>
      <w:pPr>
        <w:tabs>
          <w:tab w:val="left" w:pos="567"/>
          <w:tab w:val="left" w:pos="1145"/>
        </w:tabs>
        <w:spacing w:line="440" w:lineRule="exact"/>
        <w:ind w:firstLine="535" w:firstLineChars="255"/>
        <w:rPr>
          <w:rFonts w:ascii="宋体" w:hAnsi="宋体" w:cs="宋体"/>
          <w:szCs w:val="21"/>
          <w:highlight w:val="none"/>
        </w:rPr>
      </w:pPr>
      <w:r>
        <w:rPr>
          <w:rFonts w:hint="eastAsia" w:ascii="宋体" w:hAnsi="宋体" w:cs="宋体"/>
          <w:szCs w:val="21"/>
          <w:highlight w:val="none"/>
        </w:rPr>
        <w:t>2.1磋商小组成员由招标人的代表和随机抽取的有关方面的</w:t>
      </w:r>
      <w:r>
        <w:rPr>
          <w:rFonts w:hint="eastAsia" w:ascii="宋体" w:hAnsi="宋体" w:cs="宋体"/>
          <w:b/>
          <w:bCs/>
          <w:szCs w:val="21"/>
          <w:highlight w:val="none"/>
        </w:rPr>
        <w:t>专</w:t>
      </w:r>
      <w:r>
        <w:rPr>
          <w:rFonts w:hint="eastAsia" w:ascii="宋体" w:hAnsi="宋体" w:cs="宋体"/>
          <w:b/>
          <w:bCs/>
          <w:szCs w:val="21"/>
          <w:highlight w:val="none"/>
          <w:u w:val="single"/>
        </w:rPr>
        <w:t>家4名组成，成员为5人</w:t>
      </w:r>
      <w:r>
        <w:rPr>
          <w:rFonts w:hint="eastAsia" w:ascii="宋体" w:hAnsi="宋体" w:cs="宋体"/>
          <w:szCs w:val="21"/>
          <w:highlight w:val="none"/>
        </w:rPr>
        <w:t>，磋商小组的成员在评标过程中</w:t>
      </w:r>
      <w:r>
        <w:rPr>
          <w:rFonts w:hint="eastAsia" w:ascii="宋体" w:hAnsi="宋体" w:cs="宋体"/>
          <w:szCs w:val="21"/>
          <w:highlight w:val="none"/>
          <w:lang w:val="zh-CN"/>
        </w:rPr>
        <w:t>必须严格遵守政府采购的有关规定</w:t>
      </w:r>
      <w:r>
        <w:rPr>
          <w:rFonts w:hint="eastAsia" w:ascii="宋体" w:hAnsi="宋体" w:cs="宋体"/>
          <w:szCs w:val="21"/>
          <w:highlight w:val="none"/>
        </w:rPr>
        <w:t>。专家从当地专家库中随机抽取产生。</w:t>
      </w:r>
    </w:p>
    <w:p>
      <w:pPr>
        <w:tabs>
          <w:tab w:val="left" w:pos="567"/>
          <w:tab w:val="left" w:pos="1145"/>
        </w:tabs>
        <w:spacing w:line="440" w:lineRule="exact"/>
        <w:ind w:firstLine="535" w:firstLineChars="255"/>
        <w:rPr>
          <w:rFonts w:ascii="宋体" w:hAnsi="宋体" w:cs="宋体"/>
          <w:szCs w:val="21"/>
          <w:highlight w:val="none"/>
        </w:rPr>
      </w:pPr>
      <w:r>
        <w:rPr>
          <w:rFonts w:hint="eastAsia" w:ascii="宋体" w:hAnsi="宋体" w:cs="宋体"/>
          <w:szCs w:val="21"/>
          <w:highlight w:val="none"/>
        </w:rPr>
        <w:t>2.2评标工作组由招标人及有关专家组成，由磋商小组确认，并接受其领导。</w:t>
      </w:r>
    </w:p>
    <w:p>
      <w:pPr>
        <w:tabs>
          <w:tab w:val="left" w:pos="567"/>
          <w:tab w:val="left" w:pos="1145"/>
        </w:tabs>
        <w:spacing w:line="440" w:lineRule="exact"/>
        <w:ind w:firstLine="535" w:firstLineChars="255"/>
        <w:rPr>
          <w:rFonts w:ascii="宋体" w:hAnsi="宋体" w:cs="宋体"/>
          <w:szCs w:val="21"/>
          <w:highlight w:val="none"/>
        </w:rPr>
      </w:pPr>
      <w:r>
        <w:rPr>
          <w:rFonts w:hint="eastAsia" w:ascii="宋体" w:hAnsi="宋体" w:cs="宋体"/>
          <w:szCs w:val="21"/>
          <w:highlight w:val="none"/>
        </w:rPr>
        <w:t>2.3磋商小组应相对独立工作，负责评标、撰写技术、商务评标报告。采购代理机构负责评标过程中资料的保管、发放、回收，整理、汇总评标资料。</w:t>
      </w:r>
    </w:p>
    <w:p>
      <w:pPr>
        <w:tabs>
          <w:tab w:val="left" w:pos="567"/>
          <w:tab w:val="left" w:pos="600"/>
        </w:tabs>
        <w:spacing w:line="440" w:lineRule="exact"/>
        <w:ind w:firstLine="535" w:firstLineChars="255"/>
        <w:rPr>
          <w:rFonts w:ascii="宋体" w:hAnsi="宋体" w:cs="宋体"/>
          <w:szCs w:val="21"/>
          <w:highlight w:val="none"/>
        </w:rPr>
      </w:pPr>
      <w:r>
        <w:rPr>
          <w:rFonts w:hint="eastAsia" w:ascii="宋体" w:hAnsi="宋体" w:cs="宋体"/>
          <w:szCs w:val="21"/>
          <w:highlight w:val="none"/>
        </w:rPr>
        <w:t>3、磋商小组职责</w:t>
      </w:r>
    </w:p>
    <w:p>
      <w:pPr>
        <w:pStyle w:val="52"/>
        <w:spacing w:before="0" w:beforeAutospacing="0" w:after="0" w:afterAutospacing="0" w:line="440" w:lineRule="exact"/>
        <w:ind w:firstLine="535" w:firstLineChars="255"/>
        <w:rPr>
          <w:rFonts w:ascii="宋体" w:hAnsi="宋体" w:cs="宋体"/>
          <w:color w:val="auto"/>
          <w:sz w:val="21"/>
          <w:szCs w:val="21"/>
          <w:highlight w:val="none"/>
        </w:rPr>
      </w:pPr>
      <w:r>
        <w:rPr>
          <w:rFonts w:hint="eastAsia" w:ascii="宋体" w:hAnsi="宋体" w:cs="宋体"/>
          <w:color w:val="auto"/>
          <w:sz w:val="21"/>
          <w:szCs w:val="21"/>
          <w:highlight w:val="none"/>
        </w:rPr>
        <w:t>3.1审查磋商文件是否符合磋商文件要求，并作出评价；</w:t>
      </w:r>
    </w:p>
    <w:p>
      <w:pPr>
        <w:pStyle w:val="52"/>
        <w:spacing w:before="0" w:beforeAutospacing="0" w:after="0" w:afterAutospacing="0" w:line="440" w:lineRule="exact"/>
        <w:ind w:firstLine="535" w:firstLineChars="255"/>
        <w:rPr>
          <w:rFonts w:ascii="宋体" w:hAnsi="宋体" w:cs="宋体"/>
          <w:color w:val="auto"/>
          <w:sz w:val="21"/>
          <w:szCs w:val="21"/>
          <w:highlight w:val="none"/>
        </w:rPr>
      </w:pPr>
      <w:r>
        <w:rPr>
          <w:rFonts w:hint="eastAsia" w:ascii="宋体" w:hAnsi="宋体" w:cs="宋体"/>
          <w:color w:val="auto"/>
          <w:sz w:val="21"/>
          <w:szCs w:val="21"/>
          <w:highlight w:val="none"/>
        </w:rPr>
        <w:t>3.2要求供应商对磋商文件有关事项作出解释或者澄清；</w:t>
      </w:r>
    </w:p>
    <w:p>
      <w:pPr>
        <w:pStyle w:val="52"/>
        <w:spacing w:before="0" w:beforeAutospacing="0" w:after="0" w:afterAutospacing="0" w:line="440" w:lineRule="exact"/>
        <w:ind w:firstLine="535" w:firstLineChars="255"/>
        <w:rPr>
          <w:rFonts w:ascii="宋体" w:hAnsi="宋体" w:cs="宋体"/>
          <w:color w:val="auto"/>
          <w:sz w:val="21"/>
          <w:szCs w:val="21"/>
          <w:highlight w:val="none"/>
        </w:rPr>
      </w:pPr>
      <w:r>
        <w:rPr>
          <w:rFonts w:hint="eastAsia" w:ascii="宋体" w:hAnsi="宋体" w:cs="宋体"/>
          <w:color w:val="auto"/>
          <w:sz w:val="21"/>
          <w:szCs w:val="21"/>
          <w:highlight w:val="none"/>
        </w:rPr>
        <w:t>3.3推荐成交候选人名单；</w:t>
      </w:r>
    </w:p>
    <w:p>
      <w:pPr>
        <w:pStyle w:val="52"/>
        <w:spacing w:before="0" w:beforeAutospacing="0" w:after="0" w:afterAutospacing="0" w:line="440" w:lineRule="exact"/>
        <w:ind w:firstLine="535" w:firstLineChars="255"/>
        <w:rPr>
          <w:rFonts w:ascii="宋体" w:hAnsi="宋体" w:cs="宋体"/>
          <w:color w:val="auto"/>
          <w:sz w:val="21"/>
          <w:szCs w:val="21"/>
          <w:highlight w:val="none"/>
        </w:rPr>
      </w:pPr>
      <w:r>
        <w:rPr>
          <w:rFonts w:hint="eastAsia" w:ascii="宋体" w:hAnsi="宋体" w:cs="宋体"/>
          <w:color w:val="auto"/>
          <w:sz w:val="21"/>
          <w:szCs w:val="21"/>
          <w:highlight w:val="none"/>
        </w:rPr>
        <w:t>3.4向招标人、招标代理机构或者有关部门报告非法干预评标工作的行为。</w:t>
      </w:r>
    </w:p>
    <w:p>
      <w:pPr>
        <w:tabs>
          <w:tab w:val="left" w:pos="567"/>
          <w:tab w:val="left" w:pos="600"/>
        </w:tabs>
        <w:spacing w:line="440" w:lineRule="exact"/>
        <w:ind w:firstLine="535" w:firstLineChars="255"/>
        <w:rPr>
          <w:rFonts w:ascii="宋体" w:hAnsi="宋体" w:cs="宋体"/>
          <w:szCs w:val="21"/>
          <w:highlight w:val="none"/>
        </w:rPr>
      </w:pPr>
      <w:r>
        <w:rPr>
          <w:rFonts w:hint="eastAsia" w:ascii="宋体" w:hAnsi="宋体" w:cs="宋体"/>
          <w:szCs w:val="21"/>
          <w:highlight w:val="none"/>
        </w:rPr>
        <w:t>4、磋商小组义务</w:t>
      </w:r>
    </w:p>
    <w:p>
      <w:pPr>
        <w:tabs>
          <w:tab w:val="left" w:pos="567"/>
          <w:tab w:val="left" w:pos="600"/>
        </w:tabs>
        <w:spacing w:line="440" w:lineRule="exact"/>
        <w:ind w:firstLine="535" w:firstLineChars="255"/>
        <w:rPr>
          <w:rFonts w:ascii="宋体" w:hAnsi="宋体" w:cs="宋体"/>
          <w:szCs w:val="21"/>
          <w:highlight w:val="none"/>
        </w:rPr>
      </w:pPr>
      <w:r>
        <w:rPr>
          <w:rFonts w:hint="eastAsia" w:ascii="宋体" w:hAnsi="宋体" w:cs="宋体"/>
          <w:szCs w:val="21"/>
          <w:highlight w:val="none"/>
        </w:rPr>
        <w:t>4.1遵纪守法，客观、公正、廉洁地履行职责；</w:t>
      </w:r>
    </w:p>
    <w:p>
      <w:pPr>
        <w:tabs>
          <w:tab w:val="left" w:pos="567"/>
          <w:tab w:val="left" w:pos="600"/>
        </w:tabs>
        <w:spacing w:line="440" w:lineRule="exact"/>
        <w:ind w:firstLine="535" w:firstLineChars="255"/>
        <w:rPr>
          <w:rFonts w:ascii="宋体" w:hAnsi="宋体" w:cs="宋体"/>
          <w:szCs w:val="21"/>
          <w:highlight w:val="none"/>
        </w:rPr>
      </w:pPr>
      <w:r>
        <w:rPr>
          <w:rFonts w:hint="eastAsia" w:ascii="宋体" w:hAnsi="宋体" w:cs="宋体"/>
          <w:szCs w:val="21"/>
          <w:highlight w:val="none"/>
        </w:rPr>
        <w:t>4.2按照磋商文件规定的评标方法和评标标准进行评标，对评审意见承担个人责任；</w:t>
      </w:r>
    </w:p>
    <w:p>
      <w:pPr>
        <w:tabs>
          <w:tab w:val="left" w:pos="567"/>
          <w:tab w:val="left" w:pos="600"/>
        </w:tabs>
        <w:spacing w:line="440" w:lineRule="exact"/>
        <w:ind w:firstLine="535" w:firstLineChars="255"/>
        <w:rPr>
          <w:rFonts w:ascii="宋体" w:hAnsi="宋体" w:cs="宋体"/>
          <w:szCs w:val="21"/>
          <w:highlight w:val="none"/>
        </w:rPr>
      </w:pPr>
      <w:r>
        <w:rPr>
          <w:rFonts w:hint="eastAsia" w:ascii="宋体" w:hAnsi="宋体" w:cs="宋体"/>
          <w:szCs w:val="21"/>
          <w:highlight w:val="none"/>
        </w:rPr>
        <w:t>4.3对评标过程和结果，以及供应商的商业秘密保密；</w:t>
      </w:r>
    </w:p>
    <w:p>
      <w:pPr>
        <w:tabs>
          <w:tab w:val="left" w:pos="567"/>
          <w:tab w:val="left" w:pos="600"/>
        </w:tabs>
        <w:spacing w:line="440" w:lineRule="exact"/>
        <w:ind w:firstLine="535" w:firstLineChars="255"/>
        <w:rPr>
          <w:rFonts w:ascii="宋体" w:hAnsi="宋体" w:cs="宋体"/>
          <w:szCs w:val="21"/>
          <w:highlight w:val="none"/>
        </w:rPr>
      </w:pPr>
      <w:r>
        <w:rPr>
          <w:rFonts w:hint="eastAsia" w:ascii="宋体" w:hAnsi="宋体" w:cs="宋体"/>
          <w:szCs w:val="21"/>
          <w:highlight w:val="none"/>
        </w:rPr>
        <w:t>4.4参与评标报告的起草；</w:t>
      </w:r>
    </w:p>
    <w:p>
      <w:pPr>
        <w:tabs>
          <w:tab w:val="left" w:pos="567"/>
          <w:tab w:val="left" w:pos="600"/>
        </w:tabs>
        <w:spacing w:line="440" w:lineRule="exact"/>
        <w:ind w:firstLine="535" w:firstLineChars="255"/>
        <w:rPr>
          <w:rFonts w:ascii="宋体" w:hAnsi="宋体" w:cs="宋体"/>
          <w:szCs w:val="21"/>
          <w:highlight w:val="none"/>
        </w:rPr>
      </w:pPr>
      <w:r>
        <w:rPr>
          <w:rFonts w:hint="eastAsia" w:ascii="宋体" w:hAnsi="宋体" w:cs="宋体"/>
          <w:szCs w:val="21"/>
          <w:highlight w:val="none"/>
        </w:rPr>
        <w:t>4.5配合有关部门的投诉处理工作；</w:t>
      </w:r>
    </w:p>
    <w:p>
      <w:pPr>
        <w:tabs>
          <w:tab w:val="left" w:pos="567"/>
          <w:tab w:val="left" w:pos="600"/>
        </w:tabs>
        <w:spacing w:line="440" w:lineRule="exact"/>
        <w:ind w:firstLine="535" w:firstLineChars="255"/>
        <w:rPr>
          <w:rFonts w:ascii="宋体" w:hAnsi="宋体" w:cs="宋体"/>
          <w:szCs w:val="21"/>
          <w:highlight w:val="none"/>
        </w:rPr>
      </w:pPr>
      <w:r>
        <w:rPr>
          <w:rFonts w:hint="eastAsia" w:ascii="宋体" w:hAnsi="宋体" w:cs="宋体"/>
          <w:szCs w:val="21"/>
          <w:highlight w:val="none"/>
        </w:rPr>
        <w:t>4.6配合招标人、招标代理机构答复磋商供应商提出的质疑。</w:t>
      </w:r>
    </w:p>
    <w:p>
      <w:pPr>
        <w:tabs>
          <w:tab w:val="left" w:pos="1547"/>
        </w:tabs>
        <w:spacing w:line="440" w:lineRule="exact"/>
        <w:ind w:firstLine="535" w:firstLineChars="255"/>
        <w:rPr>
          <w:rFonts w:ascii="宋体" w:hAnsi="宋体" w:cs="宋体"/>
          <w:szCs w:val="21"/>
          <w:highlight w:val="none"/>
        </w:rPr>
      </w:pPr>
      <w:r>
        <w:rPr>
          <w:rFonts w:hint="eastAsia" w:ascii="宋体" w:hAnsi="宋体" w:cs="宋体"/>
          <w:szCs w:val="21"/>
          <w:highlight w:val="none"/>
        </w:rPr>
        <w:t>5、 评标程序</w:t>
      </w:r>
    </w:p>
    <w:p>
      <w:pPr>
        <w:pStyle w:val="20"/>
        <w:tabs>
          <w:tab w:val="left" w:pos="720"/>
          <w:tab w:val="clear" w:pos="0"/>
        </w:tabs>
        <w:spacing w:line="440" w:lineRule="exact"/>
        <w:ind w:firstLine="535" w:firstLineChars="255"/>
        <w:rPr>
          <w:rFonts w:ascii="宋体" w:hAnsi="宋体" w:cs="宋体"/>
          <w:bCs/>
          <w:color w:val="auto"/>
          <w:szCs w:val="21"/>
          <w:highlight w:val="none"/>
        </w:rPr>
      </w:pPr>
      <w:r>
        <w:rPr>
          <w:rFonts w:hint="eastAsia" w:ascii="宋体" w:hAnsi="宋体" w:cs="宋体"/>
          <w:bCs/>
          <w:color w:val="auto"/>
          <w:szCs w:val="21"/>
          <w:highlight w:val="none"/>
        </w:rPr>
        <w:t>5.1本次评标首先由磋商小组对供应商的响应文件进行初审，对未能通过初审的响应文件作废标处理；</w:t>
      </w:r>
    </w:p>
    <w:p>
      <w:pPr>
        <w:tabs>
          <w:tab w:val="left" w:pos="720"/>
        </w:tabs>
        <w:spacing w:line="440" w:lineRule="exact"/>
        <w:ind w:firstLine="535" w:firstLineChars="255"/>
        <w:rPr>
          <w:rFonts w:ascii="宋体" w:hAnsi="宋体" w:cs="宋体"/>
          <w:szCs w:val="21"/>
          <w:highlight w:val="none"/>
        </w:rPr>
      </w:pPr>
      <w:r>
        <w:rPr>
          <w:rFonts w:hint="eastAsia" w:ascii="宋体" w:hAnsi="宋体" w:cs="宋体"/>
          <w:szCs w:val="21"/>
          <w:highlight w:val="none"/>
        </w:rPr>
        <w:t>5.2对通过初审的供应商的响应文件进行详细的比较和评价。如需要，进行必要的澄清工作；</w:t>
      </w:r>
    </w:p>
    <w:p>
      <w:pPr>
        <w:spacing w:line="360" w:lineRule="auto"/>
        <w:rPr>
          <w:rFonts w:ascii="宋体"/>
          <w:color w:val="000000"/>
          <w:szCs w:val="21"/>
          <w:highlight w:val="none"/>
        </w:rPr>
      </w:pPr>
      <w:r>
        <w:rPr>
          <w:rFonts w:hint="eastAsia" w:ascii="宋体" w:hAnsi="宋体" w:cs="宋体"/>
          <w:szCs w:val="21"/>
          <w:highlight w:val="none"/>
        </w:rPr>
        <w:t xml:space="preserve">     5.3</w:t>
      </w:r>
      <w:r>
        <w:rPr>
          <w:rFonts w:hint="eastAsia" w:ascii="宋体"/>
          <w:color w:val="000000"/>
          <w:szCs w:val="21"/>
          <w:highlight w:val="none"/>
        </w:rPr>
        <w:t>评标报告与推荐成交候选人</w:t>
      </w:r>
    </w:p>
    <w:p>
      <w:pPr>
        <w:widowControl/>
        <w:spacing w:line="440" w:lineRule="exact"/>
        <w:ind w:firstLine="480"/>
        <w:rPr>
          <w:rFonts w:ascii="宋体" w:hAnsi="宋体" w:cs="宋体"/>
          <w:kern w:val="0"/>
          <w:szCs w:val="21"/>
          <w:highlight w:val="none"/>
        </w:rPr>
      </w:pPr>
      <w:r>
        <w:rPr>
          <w:rFonts w:hint="eastAsia" w:ascii="宋体" w:hAnsi="宋体" w:cs="宋体"/>
          <w:szCs w:val="21"/>
          <w:highlight w:val="none"/>
        </w:rPr>
        <w:t>5.3</w:t>
      </w:r>
      <w:r>
        <w:rPr>
          <w:rFonts w:hint="eastAsia" w:ascii="宋体" w:hAnsi="宋体" w:cs="宋体"/>
          <w:kern w:val="0"/>
          <w:szCs w:val="21"/>
          <w:highlight w:val="none"/>
        </w:rPr>
        <w:t>磋商小组各成员应当独立对每个有效响应的文件进行评价、打分，然后汇总每个供应商每项评分因素的得分。</w:t>
      </w:r>
    </w:p>
    <w:p>
      <w:pPr>
        <w:widowControl/>
        <w:spacing w:line="440" w:lineRule="exact"/>
        <w:ind w:firstLine="480"/>
        <w:rPr>
          <w:rFonts w:ascii="宋体" w:hAnsi="宋体" w:cs="宋体"/>
          <w:kern w:val="0"/>
          <w:szCs w:val="21"/>
          <w:highlight w:val="none"/>
        </w:rPr>
      </w:pPr>
      <w:r>
        <w:rPr>
          <w:rFonts w:hint="eastAsia" w:ascii="宋体" w:hAnsi="宋体" w:cs="宋体"/>
          <w:kern w:val="0"/>
          <w:szCs w:val="21"/>
          <w:highlight w:val="none"/>
        </w:rPr>
        <w:t>　综合评分法服务项目的价格分值占总分值的比重(即权值)为</w:t>
      </w:r>
      <w:r>
        <w:rPr>
          <w:rFonts w:hint="eastAsia" w:ascii="宋体" w:hAnsi="宋体" w:cs="宋体"/>
          <w:kern w:val="0"/>
          <w:szCs w:val="21"/>
          <w:highlight w:val="none"/>
          <w:lang w:val="en-US" w:eastAsia="zh-CN"/>
        </w:rPr>
        <w:t>20</w:t>
      </w:r>
      <w:r>
        <w:rPr>
          <w:rFonts w:hint="eastAsia" w:ascii="宋体" w:hAnsi="宋体" w:cs="宋体"/>
          <w:kern w:val="0"/>
          <w:szCs w:val="21"/>
          <w:highlight w:val="none"/>
        </w:rPr>
        <w:t>％，采购项目中含不同采购对象的，以占项目资金比例最高的采购对象确定其项目属性。其价格不列为评分因素，有特殊情况需要在上述规定范围外设定价格分权重的。</w:t>
      </w:r>
    </w:p>
    <w:p>
      <w:pPr>
        <w:widowControl/>
        <w:spacing w:line="440" w:lineRule="exact"/>
        <w:ind w:firstLine="480"/>
        <w:rPr>
          <w:rFonts w:ascii="宋体" w:hAnsi="宋体" w:cs="宋体"/>
          <w:kern w:val="0"/>
          <w:szCs w:val="21"/>
          <w:highlight w:val="none"/>
        </w:rPr>
      </w:pPr>
      <w:r>
        <w:rPr>
          <w:rFonts w:hint="eastAsia" w:ascii="宋体" w:hAnsi="宋体" w:cs="宋体"/>
          <w:kern w:val="0"/>
          <w:szCs w:val="21"/>
          <w:highlight w:val="none"/>
        </w:rPr>
        <w:t>　综合评分法中的价格分统一采用</w:t>
      </w:r>
      <w:r>
        <w:rPr>
          <w:rFonts w:hint="eastAsia" w:ascii="宋体" w:hAnsi="宋体" w:cs="宋体"/>
          <w:kern w:val="0"/>
          <w:szCs w:val="21"/>
          <w:highlight w:val="none"/>
          <w:lang w:eastAsia="zh-CN"/>
        </w:rPr>
        <w:t>高</w:t>
      </w:r>
      <w:r>
        <w:rPr>
          <w:rFonts w:hint="eastAsia" w:ascii="宋体" w:hAnsi="宋体" w:cs="宋体"/>
          <w:kern w:val="0"/>
          <w:szCs w:val="21"/>
          <w:highlight w:val="none"/>
        </w:rPr>
        <w:t>价优先法计算，即满足磋商文件要求且最后报价最</w:t>
      </w:r>
      <w:r>
        <w:rPr>
          <w:rFonts w:hint="eastAsia" w:ascii="宋体" w:hAnsi="宋体" w:cs="宋体"/>
          <w:kern w:val="0"/>
          <w:szCs w:val="21"/>
          <w:highlight w:val="none"/>
          <w:lang w:eastAsia="zh-CN"/>
        </w:rPr>
        <w:t>高</w:t>
      </w:r>
      <w:r>
        <w:rPr>
          <w:rFonts w:hint="eastAsia" w:ascii="宋体" w:hAnsi="宋体" w:cs="宋体"/>
          <w:kern w:val="0"/>
          <w:szCs w:val="21"/>
          <w:highlight w:val="none"/>
        </w:rPr>
        <w:t>的供应商的价格为磋商基准价，其价格分为满分。其他供应商的价格分统一按照下列公式计算：</w:t>
      </w:r>
    </w:p>
    <w:p>
      <w:pPr>
        <w:widowControl/>
        <w:spacing w:line="440" w:lineRule="exact"/>
        <w:ind w:firstLine="480"/>
        <w:rPr>
          <w:rFonts w:ascii="宋体" w:hAnsi="宋体" w:cs="宋体"/>
          <w:kern w:val="0"/>
          <w:szCs w:val="21"/>
          <w:highlight w:val="none"/>
        </w:rPr>
      </w:pPr>
      <w:r>
        <w:rPr>
          <w:rFonts w:hint="eastAsia" w:ascii="宋体" w:hAnsi="宋体" w:cs="宋体"/>
          <w:kern w:val="0"/>
          <w:szCs w:val="21"/>
          <w:highlight w:val="none"/>
        </w:rPr>
        <w:t>　磋商报价得分=（磋商基准价/最后磋商报价）×价格权值×100</w:t>
      </w:r>
    </w:p>
    <w:p>
      <w:pPr>
        <w:widowControl/>
        <w:spacing w:line="440" w:lineRule="exact"/>
        <w:ind w:firstLine="480"/>
        <w:rPr>
          <w:rFonts w:ascii="宋体" w:hAnsi="宋体" w:cs="宋体"/>
          <w:kern w:val="0"/>
          <w:szCs w:val="21"/>
          <w:highlight w:val="none"/>
        </w:rPr>
      </w:pPr>
      <w:r>
        <w:rPr>
          <w:rFonts w:hint="eastAsia" w:ascii="宋体" w:hAnsi="宋体" w:cs="宋体"/>
          <w:kern w:val="0"/>
          <w:szCs w:val="21"/>
          <w:highlight w:val="none"/>
        </w:rPr>
        <w:t>　项目评审过程中，不得去掉最后报价中的最高报价和最低报价。</w:t>
      </w:r>
    </w:p>
    <w:p>
      <w:pPr>
        <w:jc w:val="left"/>
        <w:outlineLvl w:val="1"/>
        <w:rPr>
          <w:rFonts w:ascii="宋体" w:hAnsi="宋体" w:cs="宋体"/>
          <w:kern w:val="0"/>
          <w:szCs w:val="21"/>
          <w:highlight w:val="none"/>
        </w:rPr>
      </w:pPr>
      <w:bookmarkStart w:id="82" w:name="_Toc10523"/>
      <w:r>
        <w:rPr>
          <w:rFonts w:hint="eastAsia" w:ascii="宋体" w:hAnsi="宋体" w:cs="宋体"/>
          <w:kern w:val="0"/>
          <w:szCs w:val="21"/>
          <w:highlight w:val="none"/>
        </w:rPr>
        <w:t>  磋商小组应当根据综合评分情况，按照评审得分由高到低顺序推荐3名以上成交候选供应商符合《政府采购竞争性磋商采购方式管理暂行办法》法第二十五条磋商小组应当根据综合评分情况，按照评审得分由高到低顺序推荐3名以上成交候选供应商。符合本办法第二十一条第三款情形的，可以推荐2家成交候选供应商。评审得分相同的，按照最后报价由低到高的顺序推荐。评审得分且最后报价相同的，按照技术指标优劣顺序推荐。</w:t>
      </w:r>
      <w:bookmarkEnd w:id="82"/>
    </w:p>
    <w:p>
      <w:pPr>
        <w:jc w:val="left"/>
        <w:outlineLvl w:val="1"/>
        <w:rPr>
          <w:rFonts w:ascii="宋体"/>
          <w:b/>
          <w:sz w:val="28"/>
          <w:szCs w:val="28"/>
          <w:highlight w:val="none"/>
        </w:rPr>
      </w:pPr>
    </w:p>
    <w:p>
      <w:pPr>
        <w:jc w:val="center"/>
        <w:outlineLvl w:val="1"/>
        <w:rPr>
          <w:rFonts w:ascii="宋体"/>
          <w:b/>
          <w:sz w:val="28"/>
          <w:szCs w:val="28"/>
          <w:highlight w:val="none"/>
        </w:rPr>
      </w:pPr>
    </w:p>
    <w:p>
      <w:pPr>
        <w:jc w:val="center"/>
        <w:outlineLvl w:val="1"/>
        <w:rPr>
          <w:rFonts w:ascii="宋体"/>
          <w:b/>
          <w:sz w:val="28"/>
          <w:szCs w:val="28"/>
          <w:highlight w:val="none"/>
        </w:rPr>
      </w:pPr>
    </w:p>
    <w:p>
      <w:pPr>
        <w:jc w:val="center"/>
        <w:outlineLvl w:val="1"/>
        <w:rPr>
          <w:rFonts w:ascii="宋体"/>
          <w:b/>
          <w:sz w:val="28"/>
          <w:szCs w:val="28"/>
          <w:highlight w:val="none"/>
        </w:rPr>
      </w:pPr>
    </w:p>
    <w:p>
      <w:pPr>
        <w:jc w:val="center"/>
        <w:outlineLvl w:val="1"/>
        <w:rPr>
          <w:rFonts w:ascii="宋体"/>
          <w:b/>
          <w:sz w:val="28"/>
          <w:szCs w:val="28"/>
          <w:highlight w:val="none"/>
        </w:rPr>
      </w:pPr>
    </w:p>
    <w:p>
      <w:pPr>
        <w:jc w:val="center"/>
        <w:outlineLvl w:val="1"/>
        <w:rPr>
          <w:rFonts w:ascii="宋体"/>
          <w:b/>
          <w:sz w:val="28"/>
          <w:szCs w:val="28"/>
          <w:highlight w:val="none"/>
        </w:rPr>
      </w:pPr>
    </w:p>
    <w:p>
      <w:pPr>
        <w:jc w:val="center"/>
        <w:outlineLvl w:val="1"/>
        <w:rPr>
          <w:rFonts w:ascii="宋体"/>
          <w:b/>
          <w:sz w:val="28"/>
          <w:szCs w:val="28"/>
          <w:highlight w:val="none"/>
        </w:rPr>
      </w:pPr>
    </w:p>
    <w:p>
      <w:pPr>
        <w:jc w:val="center"/>
        <w:outlineLvl w:val="1"/>
        <w:rPr>
          <w:rFonts w:ascii="宋体"/>
          <w:b/>
          <w:sz w:val="28"/>
          <w:szCs w:val="28"/>
          <w:highlight w:val="none"/>
        </w:rPr>
      </w:pPr>
    </w:p>
    <w:p>
      <w:pPr>
        <w:jc w:val="center"/>
        <w:outlineLvl w:val="1"/>
        <w:rPr>
          <w:rFonts w:ascii="宋体"/>
          <w:b/>
          <w:sz w:val="28"/>
          <w:szCs w:val="28"/>
          <w:highlight w:val="none"/>
        </w:rPr>
      </w:pPr>
    </w:p>
    <w:p>
      <w:pPr>
        <w:jc w:val="center"/>
        <w:outlineLvl w:val="1"/>
        <w:rPr>
          <w:rFonts w:ascii="宋体"/>
          <w:b/>
          <w:sz w:val="28"/>
          <w:szCs w:val="28"/>
          <w:highlight w:val="none"/>
        </w:rPr>
      </w:pPr>
    </w:p>
    <w:p>
      <w:pPr>
        <w:jc w:val="center"/>
        <w:outlineLvl w:val="1"/>
        <w:rPr>
          <w:rFonts w:ascii="宋体"/>
          <w:b/>
          <w:sz w:val="28"/>
          <w:szCs w:val="28"/>
          <w:highlight w:val="none"/>
        </w:rPr>
      </w:pPr>
    </w:p>
    <w:p>
      <w:pPr>
        <w:jc w:val="center"/>
        <w:outlineLvl w:val="1"/>
        <w:rPr>
          <w:rFonts w:ascii="宋体"/>
          <w:b/>
          <w:sz w:val="28"/>
          <w:szCs w:val="28"/>
          <w:highlight w:val="none"/>
        </w:rPr>
      </w:pPr>
    </w:p>
    <w:p>
      <w:pPr>
        <w:jc w:val="center"/>
        <w:outlineLvl w:val="1"/>
        <w:rPr>
          <w:rFonts w:ascii="宋体"/>
          <w:b/>
          <w:sz w:val="28"/>
          <w:szCs w:val="28"/>
          <w:highlight w:val="none"/>
        </w:rPr>
      </w:pPr>
    </w:p>
    <w:p>
      <w:pPr>
        <w:jc w:val="center"/>
        <w:outlineLvl w:val="1"/>
        <w:rPr>
          <w:rFonts w:ascii="宋体"/>
          <w:b/>
          <w:sz w:val="28"/>
          <w:szCs w:val="28"/>
          <w:highlight w:val="none"/>
        </w:rPr>
      </w:pPr>
      <w:bookmarkStart w:id="83" w:name="_Toc5760"/>
      <w:r>
        <w:rPr>
          <w:rFonts w:hint="eastAsia" w:ascii="宋体"/>
          <w:b/>
          <w:sz w:val="28"/>
          <w:szCs w:val="28"/>
          <w:highlight w:val="none"/>
        </w:rPr>
        <w:t>二  投标文件初审</w:t>
      </w:r>
      <w:bookmarkEnd w:id="79"/>
      <w:bookmarkEnd w:id="83"/>
    </w:p>
    <w:p>
      <w:pPr>
        <w:spacing w:line="400" w:lineRule="exact"/>
        <w:ind w:firstLine="308" w:firstLineChars="147"/>
        <w:rPr>
          <w:rFonts w:ascii="宋体"/>
          <w:b/>
          <w:szCs w:val="21"/>
          <w:highlight w:val="none"/>
        </w:rPr>
      </w:pPr>
      <w:r>
        <w:rPr>
          <w:rFonts w:hint="eastAsia" w:ascii="宋体"/>
          <w:b/>
          <w:szCs w:val="21"/>
          <w:highlight w:val="none"/>
        </w:rPr>
        <w:t>6.资格性审查:</w:t>
      </w:r>
    </w:p>
    <w:p>
      <w:pPr>
        <w:spacing w:line="400" w:lineRule="exact"/>
        <w:ind w:firstLine="308" w:firstLineChars="147"/>
        <w:rPr>
          <w:szCs w:val="21"/>
          <w:highlight w:val="none"/>
        </w:rPr>
      </w:pPr>
      <w:r>
        <w:rPr>
          <w:rFonts w:hint="eastAsia" w:ascii="宋体"/>
          <w:szCs w:val="21"/>
          <w:highlight w:val="none"/>
        </w:rPr>
        <w:t>6.1</w:t>
      </w:r>
      <w:r>
        <w:rPr>
          <w:rFonts w:hint="eastAsia"/>
          <w:szCs w:val="21"/>
          <w:highlight w:val="none"/>
        </w:rPr>
        <w:t>评审细则</w:t>
      </w:r>
    </w:p>
    <w:tbl>
      <w:tblPr>
        <w:tblStyle w:val="24"/>
        <w:tblW w:w="9060" w:type="dxa"/>
        <w:jc w:val="center"/>
        <w:tblLayout w:type="fixed"/>
        <w:tblCellMar>
          <w:top w:w="0" w:type="dxa"/>
          <w:left w:w="15" w:type="dxa"/>
          <w:bottom w:w="0" w:type="dxa"/>
          <w:right w:w="15" w:type="dxa"/>
        </w:tblCellMar>
      </w:tblPr>
      <w:tblGrid>
        <w:gridCol w:w="885"/>
        <w:gridCol w:w="8175"/>
      </w:tblGrid>
      <w:tr>
        <w:tblPrEx>
          <w:tblCellMar>
            <w:top w:w="0" w:type="dxa"/>
            <w:left w:w="15" w:type="dxa"/>
            <w:bottom w:w="0" w:type="dxa"/>
            <w:right w:w="15" w:type="dxa"/>
          </w:tblCellMar>
        </w:tblPrEx>
        <w:trPr>
          <w:trHeight w:val="429" w:hRule="atLeast"/>
          <w:jc w:val="center"/>
        </w:trPr>
        <w:tc>
          <w:tcPr>
            <w:tcW w:w="885" w:type="dxa"/>
            <w:tcBorders>
              <w:top w:val="single" w:color="000000" w:sz="4" w:space="0"/>
              <w:left w:val="single" w:color="000000" w:sz="4" w:space="0"/>
              <w:bottom w:val="single" w:color="auto" w:sz="4" w:space="0"/>
              <w:right w:val="single" w:color="000000" w:sz="4" w:space="0"/>
            </w:tcBorders>
            <w:vAlign w:val="center"/>
          </w:tcPr>
          <w:p>
            <w:pPr>
              <w:autoSpaceDN w:val="0"/>
              <w:spacing w:line="440" w:lineRule="exact"/>
              <w:jc w:val="center"/>
              <w:textAlignment w:val="center"/>
              <w:rPr>
                <w:rFonts w:ascii="仿宋" w:hAnsi="仿宋" w:eastAsia="仿宋" w:cs="仿宋"/>
                <w:color w:val="auto"/>
                <w:highlight w:val="none"/>
              </w:rPr>
            </w:pPr>
            <w:r>
              <w:rPr>
                <w:rFonts w:hint="eastAsia" w:ascii="仿宋" w:hAnsi="仿宋" w:eastAsia="仿宋" w:cs="仿宋"/>
                <w:color w:val="auto"/>
                <w:highlight w:val="none"/>
              </w:rPr>
              <w:t>序号</w:t>
            </w:r>
          </w:p>
        </w:tc>
        <w:tc>
          <w:tcPr>
            <w:tcW w:w="817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仿宋" w:hAnsi="仿宋" w:eastAsia="仿宋" w:cs="仿宋"/>
                <w:color w:val="auto"/>
                <w:highlight w:val="none"/>
              </w:rPr>
            </w:pPr>
            <w:r>
              <w:rPr>
                <w:rFonts w:hint="eastAsia" w:ascii="仿宋" w:hAnsi="仿宋" w:eastAsia="仿宋" w:cs="仿宋"/>
                <w:color w:val="auto"/>
                <w:highlight w:val="none"/>
              </w:rPr>
              <w:t>资质审查</w:t>
            </w:r>
          </w:p>
        </w:tc>
      </w:tr>
      <w:tr>
        <w:tblPrEx>
          <w:tblCellMar>
            <w:top w:w="0" w:type="dxa"/>
            <w:left w:w="15" w:type="dxa"/>
            <w:bottom w:w="0" w:type="dxa"/>
            <w:right w:w="15" w:type="dxa"/>
          </w:tblCellMar>
        </w:tblPrEx>
        <w:trPr>
          <w:trHeight w:val="387"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pPr>
              <w:autoSpaceDN w:val="0"/>
              <w:spacing w:line="440" w:lineRule="exact"/>
              <w:jc w:val="center"/>
              <w:textAlignment w:val="center"/>
              <w:rPr>
                <w:rFonts w:ascii="仿宋" w:hAnsi="仿宋" w:eastAsia="仿宋" w:cs="仿宋"/>
                <w:color w:val="auto"/>
                <w:highlight w:val="none"/>
              </w:rPr>
            </w:pPr>
            <w:r>
              <w:rPr>
                <w:rFonts w:hint="eastAsia" w:ascii="仿宋" w:hAnsi="仿宋" w:eastAsia="仿宋" w:cs="仿宋"/>
                <w:color w:val="auto"/>
                <w:highlight w:val="none"/>
              </w:rPr>
              <w:t>1</w:t>
            </w:r>
          </w:p>
        </w:tc>
        <w:tc>
          <w:tcPr>
            <w:tcW w:w="8175" w:type="dxa"/>
            <w:tcBorders>
              <w:top w:val="single" w:color="000000" w:sz="4" w:space="0"/>
              <w:left w:val="single" w:color="auto" w:sz="4" w:space="0"/>
              <w:bottom w:val="single" w:color="000000" w:sz="4" w:space="0"/>
              <w:right w:val="single" w:color="000000" w:sz="4" w:space="0"/>
            </w:tcBorders>
            <w:vAlign w:val="center"/>
          </w:tcPr>
          <w:p>
            <w:pPr>
              <w:autoSpaceDN w:val="0"/>
              <w:spacing w:line="440" w:lineRule="exact"/>
              <w:textAlignment w:val="center"/>
              <w:rPr>
                <w:rFonts w:ascii="仿宋" w:hAnsi="仿宋" w:eastAsia="仿宋" w:cs="仿宋"/>
                <w:color w:val="auto"/>
                <w:highlight w:val="none"/>
              </w:rPr>
            </w:pPr>
            <w:r>
              <w:rPr>
                <w:rFonts w:hint="eastAsia" w:ascii="仿宋" w:hAnsi="仿宋" w:eastAsia="仿宋" w:cs="仿宋"/>
                <w:color w:val="auto"/>
                <w:highlight w:val="none"/>
                <w:lang w:eastAsia="zh-CN"/>
              </w:rPr>
              <w:t>具备三证合一营业执照副本</w:t>
            </w:r>
          </w:p>
        </w:tc>
      </w:tr>
      <w:tr>
        <w:tblPrEx>
          <w:tblCellMar>
            <w:top w:w="0" w:type="dxa"/>
            <w:left w:w="15" w:type="dxa"/>
            <w:bottom w:w="0" w:type="dxa"/>
            <w:right w:w="15" w:type="dxa"/>
          </w:tblCellMar>
        </w:tblPrEx>
        <w:trPr>
          <w:trHeight w:val="1136"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pPr>
              <w:autoSpaceDN w:val="0"/>
              <w:spacing w:line="440" w:lineRule="exact"/>
              <w:jc w:val="center"/>
              <w:textAlignment w:val="center"/>
              <w:rPr>
                <w:rFonts w:ascii="仿宋" w:hAnsi="仿宋" w:eastAsia="仿宋" w:cs="仿宋"/>
                <w:color w:val="auto"/>
                <w:highlight w:val="none"/>
              </w:rPr>
            </w:pPr>
            <w:r>
              <w:rPr>
                <w:rFonts w:hint="eastAsia" w:ascii="仿宋" w:hAnsi="仿宋" w:eastAsia="仿宋" w:cs="仿宋"/>
                <w:color w:val="auto"/>
                <w:highlight w:val="none"/>
              </w:rPr>
              <w:t>2</w:t>
            </w:r>
          </w:p>
        </w:tc>
        <w:tc>
          <w:tcPr>
            <w:tcW w:w="8175" w:type="dxa"/>
            <w:tcBorders>
              <w:top w:val="single" w:color="000000" w:sz="4" w:space="0"/>
              <w:left w:val="single" w:color="auto" w:sz="4" w:space="0"/>
              <w:bottom w:val="single" w:color="000000" w:sz="4" w:space="0"/>
              <w:right w:val="single" w:color="000000" w:sz="4" w:space="0"/>
            </w:tcBorders>
            <w:vAlign w:val="center"/>
          </w:tcPr>
          <w:p>
            <w:pPr>
              <w:rPr>
                <w:rFonts w:ascii="仿宋" w:hAnsi="仿宋" w:eastAsia="仿宋" w:cs="仿宋"/>
                <w:color w:val="auto"/>
                <w:highlight w:val="none"/>
              </w:rPr>
            </w:pPr>
            <w:r>
              <w:rPr>
                <w:rFonts w:hint="eastAsia" w:ascii="仿宋" w:hAnsi="仿宋" w:eastAsia="仿宋" w:cs="仿宋"/>
                <w:color w:val="auto"/>
                <w:highlight w:val="none"/>
                <w:lang w:eastAsia="zh-CN"/>
              </w:rPr>
              <w:t>法定代表人（负责人）参加提供法定代表人（负责人）证明书，委托代理人参加提供法人代表（负责人）授权委托书；投标银行为非法人机构的，提供上一级银行负责人授权委托书</w:t>
            </w:r>
            <w:r>
              <w:rPr>
                <w:rFonts w:hint="eastAsia" w:ascii="仿宋" w:hAnsi="仿宋" w:eastAsia="仿宋" w:cs="仿宋"/>
                <w:color w:val="auto"/>
                <w:highlight w:val="none"/>
              </w:rPr>
              <w:t>；</w:t>
            </w:r>
          </w:p>
        </w:tc>
      </w:tr>
      <w:tr>
        <w:tblPrEx>
          <w:tblCellMar>
            <w:top w:w="0" w:type="dxa"/>
            <w:left w:w="15" w:type="dxa"/>
            <w:bottom w:w="0" w:type="dxa"/>
            <w:right w:w="15" w:type="dxa"/>
          </w:tblCellMar>
        </w:tblPrEx>
        <w:trPr>
          <w:trHeight w:val="982"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pPr>
              <w:autoSpaceDN w:val="0"/>
              <w:spacing w:line="440" w:lineRule="exact"/>
              <w:jc w:val="center"/>
              <w:textAlignment w:val="center"/>
              <w:rPr>
                <w:rFonts w:ascii="仿宋" w:hAnsi="仿宋" w:eastAsia="仿宋" w:cs="仿宋"/>
                <w:color w:val="auto"/>
                <w:highlight w:val="none"/>
              </w:rPr>
            </w:pPr>
            <w:r>
              <w:rPr>
                <w:rFonts w:hint="eastAsia" w:ascii="仿宋" w:hAnsi="仿宋" w:eastAsia="仿宋" w:cs="仿宋"/>
                <w:color w:val="auto"/>
                <w:highlight w:val="none"/>
              </w:rPr>
              <w:t>3</w:t>
            </w:r>
          </w:p>
        </w:tc>
        <w:tc>
          <w:tcPr>
            <w:tcW w:w="8175" w:type="dxa"/>
            <w:tcBorders>
              <w:top w:val="single" w:color="000000" w:sz="4" w:space="0"/>
              <w:left w:val="single" w:color="auto" w:sz="4" w:space="0"/>
              <w:bottom w:val="single" w:color="000000" w:sz="4" w:space="0"/>
              <w:right w:val="single" w:color="000000" w:sz="4" w:space="0"/>
            </w:tcBorders>
            <w:vAlign w:val="center"/>
          </w:tcPr>
          <w:p>
            <w:pPr>
              <w:rPr>
                <w:rFonts w:ascii="仿宋" w:hAnsi="仿宋" w:eastAsia="仿宋" w:cs="仿宋"/>
                <w:color w:val="auto"/>
                <w:highlight w:val="none"/>
              </w:rPr>
            </w:pPr>
            <w:r>
              <w:rPr>
                <w:rFonts w:hint="eastAsia" w:ascii="仿宋" w:hAnsi="仿宋" w:eastAsia="仿宋" w:cs="仿宋"/>
                <w:color w:val="auto"/>
                <w:highlight w:val="none"/>
                <w:lang w:eastAsia="zh-CN"/>
              </w:rPr>
              <w:t>参加采购活动前三年内，在经营活动中没有重大违法记录，供应商须提供 “信用中国”网站（http://www.creditchina.gov.cn/）、“中国政府采购网”网站（http://www.ccgp.gov.cn）无违法违规行为的查询纪录（提供查询结果网页截图并加盖供应商公章）</w:t>
            </w:r>
          </w:p>
        </w:tc>
      </w:tr>
      <w:tr>
        <w:tblPrEx>
          <w:tblCellMar>
            <w:top w:w="0" w:type="dxa"/>
            <w:left w:w="15" w:type="dxa"/>
            <w:bottom w:w="0" w:type="dxa"/>
            <w:right w:w="15" w:type="dxa"/>
          </w:tblCellMar>
        </w:tblPrEx>
        <w:trPr>
          <w:trHeight w:val="365"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pPr>
              <w:autoSpaceDN w:val="0"/>
              <w:spacing w:line="440" w:lineRule="exact"/>
              <w:jc w:val="center"/>
              <w:textAlignment w:val="center"/>
              <w:rPr>
                <w:rFonts w:ascii="仿宋" w:hAnsi="仿宋" w:eastAsia="仿宋" w:cs="仿宋"/>
                <w:color w:val="auto"/>
                <w:highlight w:val="none"/>
              </w:rPr>
            </w:pPr>
            <w:r>
              <w:rPr>
                <w:rFonts w:hint="eastAsia" w:ascii="仿宋" w:hAnsi="仿宋" w:eastAsia="仿宋" w:cs="仿宋"/>
                <w:color w:val="auto"/>
                <w:highlight w:val="none"/>
              </w:rPr>
              <w:t>4</w:t>
            </w:r>
          </w:p>
        </w:tc>
        <w:tc>
          <w:tcPr>
            <w:tcW w:w="8175" w:type="dxa"/>
            <w:tcBorders>
              <w:top w:val="single" w:color="000000" w:sz="4" w:space="0"/>
              <w:left w:val="single" w:color="auto" w:sz="4" w:space="0"/>
              <w:bottom w:val="single" w:color="000000" w:sz="4" w:space="0"/>
              <w:right w:val="single" w:color="000000" w:sz="4" w:space="0"/>
            </w:tcBorders>
            <w:vAlign w:val="center"/>
          </w:tcPr>
          <w:p>
            <w:pPr>
              <w:autoSpaceDN w:val="0"/>
              <w:spacing w:line="440" w:lineRule="exact"/>
              <w:textAlignment w:val="center"/>
              <w:rPr>
                <w:rFonts w:ascii="仿宋" w:hAnsi="仿宋" w:eastAsia="仿宋" w:cs="仿宋"/>
                <w:color w:val="auto"/>
                <w:highlight w:val="none"/>
              </w:rPr>
            </w:pPr>
            <w:r>
              <w:rPr>
                <w:rFonts w:hint="eastAsia" w:ascii="仿宋" w:hAnsi="仿宋" w:eastAsia="仿宋" w:cs="仿宋"/>
                <w:color w:val="auto"/>
                <w:highlight w:val="none"/>
                <w:lang w:eastAsia="zh-CN"/>
              </w:rPr>
              <w:t>持有中国银行业监督管理委员会有效的《中华人民共和国金融许可证》或《金融机构营业许可证》。</w:t>
            </w:r>
          </w:p>
        </w:tc>
      </w:tr>
      <w:tr>
        <w:tblPrEx>
          <w:tblCellMar>
            <w:top w:w="0" w:type="dxa"/>
            <w:left w:w="15" w:type="dxa"/>
            <w:bottom w:w="0" w:type="dxa"/>
            <w:right w:w="15" w:type="dxa"/>
          </w:tblCellMar>
        </w:tblPrEx>
        <w:trPr>
          <w:trHeight w:val="371"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pPr>
              <w:autoSpaceDN w:val="0"/>
              <w:spacing w:line="440" w:lineRule="exact"/>
              <w:jc w:val="center"/>
              <w:textAlignment w:val="center"/>
              <w:rPr>
                <w:rFonts w:ascii="仿宋" w:hAnsi="仿宋" w:eastAsia="仿宋" w:cs="仿宋"/>
                <w:color w:val="auto"/>
                <w:highlight w:val="none"/>
              </w:rPr>
            </w:pPr>
            <w:r>
              <w:rPr>
                <w:rFonts w:hint="eastAsia" w:ascii="仿宋" w:hAnsi="仿宋" w:eastAsia="仿宋" w:cs="仿宋"/>
                <w:color w:val="auto"/>
                <w:highlight w:val="none"/>
              </w:rPr>
              <w:t>5</w:t>
            </w:r>
          </w:p>
        </w:tc>
        <w:tc>
          <w:tcPr>
            <w:tcW w:w="8175" w:type="dxa"/>
            <w:tcBorders>
              <w:top w:val="single" w:color="000000" w:sz="4" w:space="0"/>
              <w:left w:val="single" w:color="auto" w:sz="4" w:space="0"/>
              <w:bottom w:val="single" w:color="000000" w:sz="4" w:space="0"/>
              <w:right w:val="single" w:color="000000" w:sz="4" w:space="0"/>
            </w:tcBorders>
            <w:vAlign w:val="center"/>
          </w:tcPr>
          <w:p>
            <w:pPr>
              <w:autoSpaceDN w:val="0"/>
              <w:spacing w:line="440" w:lineRule="exact"/>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投标企业须提供投标人（被授权在职人员）近</w:t>
            </w:r>
            <w:r>
              <w:rPr>
                <w:rFonts w:hint="eastAsia" w:ascii="仿宋" w:hAnsi="仿宋" w:eastAsia="仿宋" w:cs="仿宋"/>
                <w:color w:val="auto"/>
                <w:highlight w:val="none"/>
                <w:lang w:val="en-US" w:eastAsia="zh-CN"/>
              </w:rPr>
              <w:t>6个月</w:t>
            </w:r>
            <w:r>
              <w:rPr>
                <w:rFonts w:hint="eastAsia" w:ascii="仿宋" w:hAnsi="仿宋" w:eastAsia="仿宋" w:cs="仿宋"/>
                <w:color w:val="auto"/>
                <w:highlight w:val="none"/>
                <w:lang w:eastAsia="zh-CN"/>
              </w:rPr>
              <w:t>有效的社保证明</w:t>
            </w:r>
          </w:p>
        </w:tc>
      </w:tr>
      <w:tr>
        <w:tblPrEx>
          <w:tblCellMar>
            <w:top w:w="0" w:type="dxa"/>
            <w:left w:w="15" w:type="dxa"/>
            <w:bottom w:w="0" w:type="dxa"/>
            <w:right w:w="15" w:type="dxa"/>
          </w:tblCellMar>
        </w:tblPrEx>
        <w:trPr>
          <w:trHeight w:val="372"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pPr>
              <w:autoSpaceDN w:val="0"/>
              <w:spacing w:line="440" w:lineRule="exact"/>
              <w:jc w:val="center"/>
              <w:textAlignment w:val="center"/>
              <w:rPr>
                <w:rFonts w:ascii="仿宋" w:hAnsi="仿宋" w:eastAsia="仿宋" w:cs="仿宋"/>
                <w:color w:val="auto"/>
                <w:highlight w:val="none"/>
              </w:rPr>
            </w:pPr>
            <w:r>
              <w:rPr>
                <w:rFonts w:hint="eastAsia" w:ascii="仿宋" w:hAnsi="仿宋" w:eastAsia="仿宋" w:cs="仿宋"/>
                <w:color w:val="auto"/>
                <w:highlight w:val="none"/>
              </w:rPr>
              <w:t>6</w:t>
            </w:r>
          </w:p>
        </w:tc>
        <w:tc>
          <w:tcPr>
            <w:tcW w:w="8175" w:type="dxa"/>
            <w:tcBorders>
              <w:top w:val="single" w:color="000000" w:sz="4" w:space="0"/>
              <w:left w:val="single" w:color="auto" w:sz="4" w:space="0"/>
              <w:bottom w:val="single" w:color="000000" w:sz="4" w:space="0"/>
              <w:right w:val="single" w:color="000000" w:sz="4" w:space="0"/>
            </w:tcBorders>
            <w:vAlign w:val="center"/>
          </w:tcPr>
          <w:p>
            <w:pPr>
              <w:autoSpaceDN w:val="0"/>
              <w:spacing w:line="440" w:lineRule="exact"/>
              <w:textAlignment w:val="center"/>
              <w:rPr>
                <w:rFonts w:ascii="仿宋" w:hAnsi="仿宋" w:eastAsia="仿宋" w:cs="仿宋"/>
                <w:color w:val="auto"/>
                <w:highlight w:val="none"/>
              </w:rPr>
            </w:pPr>
            <w:r>
              <w:rPr>
                <w:rFonts w:hint="eastAsia" w:ascii="仿宋" w:hAnsi="仿宋" w:eastAsia="仿宋" w:cs="仿宋"/>
                <w:color w:val="auto"/>
                <w:highlight w:val="none"/>
                <w:lang w:eastAsia="zh-CN"/>
              </w:rPr>
              <w:t>投标</w:t>
            </w:r>
            <w:r>
              <w:rPr>
                <w:rFonts w:hint="eastAsia" w:ascii="仿宋" w:hAnsi="仿宋" w:eastAsia="仿宋" w:cs="仿宋"/>
                <w:color w:val="auto"/>
                <w:highlight w:val="none"/>
              </w:rPr>
              <w:t>保证金收据</w:t>
            </w:r>
            <w:r>
              <w:rPr>
                <w:rFonts w:hint="eastAsia" w:ascii="仿宋" w:hAnsi="仿宋" w:eastAsia="仿宋" w:cs="仿宋"/>
                <w:color w:val="auto"/>
                <w:highlight w:val="none"/>
                <w:lang w:eastAsia="zh-CN"/>
              </w:rPr>
              <w:t>或保函</w:t>
            </w:r>
          </w:p>
        </w:tc>
      </w:tr>
      <w:tr>
        <w:tblPrEx>
          <w:tblCellMar>
            <w:top w:w="0" w:type="dxa"/>
            <w:left w:w="15" w:type="dxa"/>
            <w:bottom w:w="0" w:type="dxa"/>
            <w:right w:w="15" w:type="dxa"/>
          </w:tblCellMar>
        </w:tblPrEx>
        <w:trPr>
          <w:trHeight w:val="123" w:hRule="atLeast"/>
          <w:jc w:val="center"/>
        </w:trPr>
        <w:tc>
          <w:tcPr>
            <w:tcW w:w="9060"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仿宋" w:hAnsi="仿宋" w:eastAsia="仿宋" w:cs="仿宋"/>
                <w:color w:val="auto"/>
                <w:highlight w:val="none"/>
              </w:rPr>
            </w:pPr>
            <w:r>
              <w:rPr>
                <w:rFonts w:hint="eastAsia" w:ascii="仿宋" w:hAnsi="仿宋" w:eastAsia="仿宋" w:cs="仿宋"/>
                <w:color w:val="auto"/>
                <w:highlight w:val="none"/>
              </w:rPr>
              <w:t>符合通过打“√”，不通过打“×”审查不通过的为投标无效。</w:t>
            </w:r>
          </w:p>
        </w:tc>
      </w:tr>
    </w:tbl>
    <w:p>
      <w:pPr>
        <w:spacing w:line="400" w:lineRule="exact"/>
        <w:ind w:firstLine="506" w:firstLineChars="241"/>
        <w:rPr>
          <w:rFonts w:ascii="宋体"/>
          <w:b/>
          <w:szCs w:val="21"/>
          <w:highlight w:val="none"/>
        </w:rPr>
      </w:pPr>
      <w:r>
        <w:rPr>
          <w:rFonts w:hint="eastAsia" w:ascii="宋体" w:hAnsi="宋体"/>
          <w:b/>
          <w:szCs w:val="21"/>
          <w:highlight w:val="none"/>
        </w:rPr>
        <w:t>6.2如评标专家在检验电子标书过程中，如果由于投标人自身原因导致评标专家无法查看并检验电子标书中以上相关资料的，否决其投标。即使投标单位将原件携带至现场的，同样按无效投标处理。</w:t>
      </w:r>
    </w:p>
    <w:p>
      <w:pPr>
        <w:spacing w:before="156" w:beforeLines="50" w:line="440" w:lineRule="exact"/>
        <w:ind w:firstLine="308" w:firstLineChars="147"/>
        <w:rPr>
          <w:rFonts w:ascii="宋体"/>
          <w:b/>
          <w:szCs w:val="21"/>
          <w:highlight w:val="none"/>
        </w:rPr>
      </w:pPr>
      <w:r>
        <w:rPr>
          <w:rFonts w:hint="eastAsia" w:ascii="宋体"/>
          <w:b/>
          <w:szCs w:val="21"/>
          <w:highlight w:val="none"/>
        </w:rPr>
        <w:t>7.符合性审查</w:t>
      </w:r>
    </w:p>
    <w:p>
      <w:pPr>
        <w:spacing w:line="440" w:lineRule="exact"/>
        <w:ind w:firstLine="315" w:firstLineChars="150"/>
        <w:rPr>
          <w:rFonts w:ascii="宋体"/>
          <w:szCs w:val="21"/>
          <w:highlight w:val="none"/>
        </w:rPr>
      </w:pPr>
      <w:r>
        <w:rPr>
          <w:rFonts w:hint="eastAsia" w:ascii="宋体"/>
          <w:szCs w:val="21"/>
          <w:highlight w:val="none"/>
        </w:rPr>
        <w:t>7．1评审细则</w:t>
      </w:r>
    </w:p>
    <w:tbl>
      <w:tblPr>
        <w:tblStyle w:val="24"/>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8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18" w:type="dxa"/>
            <w:vAlign w:val="center"/>
          </w:tcPr>
          <w:p>
            <w:pPr>
              <w:spacing w:line="440" w:lineRule="exact"/>
              <w:rPr>
                <w:rFonts w:ascii="仿宋" w:hAnsi="仿宋" w:eastAsia="仿宋" w:cs="仿宋"/>
                <w:bCs/>
                <w:color w:val="auto"/>
                <w:highlight w:val="none"/>
              </w:rPr>
            </w:pPr>
            <w:r>
              <w:rPr>
                <w:rFonts w:hint="eastAsia" w:ascii="仿宋" w:hAnsi="仿宋" w:eastAsia="仿宋" w:cs="仿宋"/>
                <w:bCs/>
                <w:color w:val="auto"/>
                <w:highlight w:val="none"/>
              </w:rPr>
              <w:t>序号</w:t>
            </w:r>
          </w:p>
        </w:tc>
        <w:tc>
          <w:tcPr>
            <w:tcW w:w="8322" w:type="dxa"/>
            <w:vAlign w:val="center"/>
          </w:tcPr>
          <w:p>
            <w:pPr>
              <w:spacing w:line="440" w:lineRule="exact"/>
              <w:jc w:val="center"/>
              <w:rPr>
                <w:rFonts w:ascii="仿宋" w:hAnsi="仿宋" w:eastAsia="仿宋" w:cs="仿宋"/>
                <w:bCs/>
                <w:color w:val="auto"/>
                <w:highlight w:val="none"/>
              </w:rPr>
            </w:pPr>
            <w:r>
              <w:rPr>
                <w:rFonts w:hint="eastAsia" w:ascii="仿宋" w:hAnsi="仿宋" w:eastAsia="仿宋" w:cs="仿宋"/>
                <w:bCs/>
                <w:color w:val="auto"/>
                <w:highlight w:val="none"/>
              </w:rPr>
              <w:t>符合性审查要求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18" w:type="dxa"/>
            <w:vAlign w:val="center"/>
          </w:tcPr>
          <w:p>
            <w:pPr>
              <w:spacing w:line="440" w:lineRule="exact"/>
              <w:jc w:val="center"/>
              <w:rPr>
                <w:rFonts w:ascii="仿宋" w:hAnsi="仿宋" w:eastAsia="仿宋" w:cs="仿宋"/>
                <w:bCs/>
                <w:color w:val="auto"/>
                <w:highlight w:val="none"/>
              </w:rPr>
            </w:pPr>
            <w:r>
              <w:rPr>
                <w:rFonts w:hint="eastAsia" w:ascii="仿宋" w:hAnsi="仿宋" w:eastAsia="仿宋" w:cs="仿宋"/>
                <w:bCs/>
                <w:color w:val="auto"/>
                <w:highlight w:val="none"/>
              </w:rPr>
              <w:t>1</w:t>
            </w:r>
          </w:p>
        </w:tc>
        <w:tc>
          <w:tcPr>
            <w:tcW w:w="8322" w:type="dxa"/>
            <w:vAlign w:val="center"/>
          </w:tcPr>
          <w:p>
            <w:pPr>
              <w:spacing w:line="440" w:lineRule="exact"/>
              <w:rPr>
                <w:rFonts w:hint="default"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由政府立项核准，审批的采购项目。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18" w:type="dxa"/>
            <w:vAlign w:val="center"/>
          </w:tcPr>
          <w:p>
            <w:pPr>
              <w:spacing w:line="440" w:lineRule="exact"/>
              <w:jc w:val="center"/>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2</w:t>
            </w:r>
          </w:p>
        </w:tc>
        <w:tc>
          <w:tcPr>
            <w:tcW w:w="8322" w:type="dxa"/>
            <w:vAlign w:val="center"/>
          </w:tcPr>
          <w:p>
            <w:pPr>
              <w:spacing w:line="440" w:lineRule="exact"/>
              <w:rPr>
                <w:rFonts w:hint="eastAsia" w:ascii="仿宋" w:hAnsi="仿宋" w:eastAsia="仿宋" w:cs="仿宋"/>
                <w:bCs/>
                <w:color w:val="auto"/>
                <w:highlight w:val="none"/>
              </w:rPr>
            </w:pPr>
            <w:r>
              <w:rPr>
                <w:rFonts w:hint="eastAsia" w:ascii="仿宋" w:hAnsi="仿宋" w:eastAsia="仿宋" w:cs="仿宋"/>
                <w:bCs/>
                <w:color w:val="auto"/>
                <w:highlight w:val="none"/>
              </w:rPr>
              <w:t>投标</w:t>
            </w:r>
            <w:r>
              <w:rPr>
                <w:rFonts w:hint="eastAsia" w:ascii="仿宋" w:hAnsi="仿宋" w:eastAsia="仿宋" w:cs="仿宋"/>
                <w:bCs/>
                <w:color w:val="auto"/>
                <w:highlight w:val="none"/>
                <w:lang w:eastAsia="zh-CN"/>
              </w:rPr>
              <w:t>企业</w:t>
            </w:r>
            <w:r>
              <w:rPr>
                <w:rFonts w:hint="eastAsia" w:ascii="仿宋" w:hAnsi="仿宋" w:eastAsia="仿宋" w:cs="仿宋"/>
                <w:bCs/>
                <w:color w:val="auto"/>
                <w:highlight w:val="none"/>
              </w:rPr>
              <w:t>名称是否与营业执照一致</w:t>
            </w:r>
            <w:r>
              <w:rPr>
                <w:rFonts w:hint="eastAsia" w:ascii="仿宋" w:hAnsi="仿宋" w:eastAsia="仿宋" w:cs="仿宋"/>
                <w:bCs/>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18" w:type="dxa"/>
            <w:vAlign w:val="center"/>
          </w:tcPr>
          <w:p>
            <w:pPr>
              <w:spacing w:line="440" w:lineRule="exact"/>
              <w:jc w:val="center"/>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val="en-US" w:eastAsia="zh-CN"/>
              </w:rPr>
              <w:t>3</w:t>
            </w:r>
          </w:p>
        </w:tc>
        <w:tc>
          <w:tcPr>
            <w:tcW w:w="8322" w:type="dxa"/>
            <w:vAlign w:val="center"/>
          </w:tcPr>
          <w:p>
            <w:pPr>
              <w:spacing w:line="440" w:lineRule="exact"/>
              <w:rPr>
                <w:rFonts w:ascii="仿宋" w:hAnsi="仿宋" w:eastAsia="仿宋" w:cs="仿宋"/>
                <w:bCs/>
                <w:color w:val="auto"/>
                <w:highlight w:val="none"/>
                <w:lang w:eastAsia="zh-CN"/>
              </w:rPr>
            </w:pPr>
            <w:r>
              <w:rPr>
                <w:rFonts w:hint="eastAsia" w:ascii="仿宋" w:hAnsi="仿宋" w:eastAsia="仿宋" w:cs="仿宋"/>
                <w:bCs/>
                <w:color w:val="auto"/>
                <w:highlight w:val="none"/>
                <w:lang w:eastAsia="zh-CN"/>
              </w:rPr>
              <w:t>响应文件</w:t>
            </w:r>
            <w:r>
              <w:rPr>
                <w:rFonts w:hint="eastAsia" w:ascii="仿宋" w:hAnsi="仿宋" w:eastAsia="仿宋" w:cs="仿宋"/>
                <w:bCs/>
                <w:color w:val="auto"/>
                <w:highlight w:val="none"/>
              </w:rPr>
              <w:t>是否按</w:t>
            </w:r>
            <w:r>
              <w:rPr>
                <w:rFonts w:hint="eastAsia" w:ascii="仿宋" w:hAnsi="仿宋" w:eastAsia="仿宋" w:cs="仿宋"/>
                <w:bCs/>
                <w:color w:val="auto"/>
                <w:highlight w:val="none"/>
                <w:lang w:eastAsia="zh-CN"/>
              </w:rPr>
              <w:t>磋商文件</w:t>
            </w:r>
            <w:r>
              <w:rPr>
                <w:rFonts w:hint="eastAsia" w:ascii="仿宋" w:hAnsi="仿宋" w:eastAsia="仿宋" w:cs="仿宋"/>
                <w:bCs/>
                <w:color w:val="auto"/>
                <w:highlight w:val="none"/>
              </w:rPr>
              <w:t>的格式提供或按规定签章的</w:t>
            </w:r>
            <w:r>
              <w:rPr>
                <w:rFonts w:hint="eastAsia" w:ascii="仿宋" w:hAnsi="仿宋" w:eastAsia="仿宋" w:cs="仿宋"/>
                <w:bCs/>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pPr>
              <w:spacing w:line="440" w:lineRule="exact"/>
              <w:jc w:val="center"/>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val="en-US" w:eastAsia="zh-CN"/>
              </w:rPr>
              <w:t>4</w:t>
            </w:r>
          </w:p>
        </w:tc>
        <w:tc>
          <w:tcPr>
            <w:tcW w:w="8322" w:type="dxa"/>
            <w:vAlign w:val="center"/>
          </w:tcPr>
          <w:p>
            <w:pPr>
              <w:spacing w:line="440" w:lineRule="exact"/>
              <w:rPr>
                <w:rFonts w:ascii="仿宋" w:hAnsi="仿宋" w:eastAsia="仿宋" w:cs="仿宋"/>
                <w:bCs/>
                <w:color w:val="auto"/>
                <w:highlight w:val="none"/>
                <w:lang w:eastAsia="zh-CN"/>
              </w:rPr>
            </w:pPr>
            <w:r>
              <w:rPr>
                <w:rFonts w:hint="eastAsia" w:ascii="仿宋" w:hAnsi="仿宋" w:eastAsia="仿宋" w:cs="仿宋"/>
                <w:bCs/>
                <w:color w:val="auto"/>
                <w:highlight w:val="none"/>
              </w:rPr>
              <w:t>服务期限是否符合</w:t>
            </w:r>
            <w:r>
              <w:rPr>
                <w:rFonts w:hint="eastAsia" w:ascii="仿宋" w:hAnsi="仿宋" w:eastAsia="仿宋" w:cs="仿宋"/>
                <w:bCs/>
                <w:color w:val="auto"/>
                <w:highlight w:val="none"/>
                <w:lang w:eastAsia="zh-CN"/>
              </w:rPr>
              <w:t>磋商文件</w:t>
            </w:r>
            <w:r>
              <w:rPr>
                <w:rFonts w:hint="eastAsia" w:ascii="仿宋" w:hAnsi="仿宋" w:eastAsia="仿宋" w:cs="仿宋"/>
                <w:bCs/>
                <w:color w:val="auto"/>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718" w:type="dxa"/>
            <w:vAlign w:val="center"/>
          </w:tcPr>
          <w:p>
            <w:pPr>
              <w:spacing w:line="440" w:lineRule="exact"/>
              <w:jc w:val="center"/>
              <w:rPr>
                <w:rFonts w:ascii="仿宋" w:hAnsi="仿宋" w:eastAsia="仿宋" w:cs="仿宋"/>
                <w:bCs/>
                <w:color w:val="auto"/>
                <w:highlight w:val="none"/>
                <w:lang w:eastAsia="zh-CN"/>
              </w:rPr>
            </w:pPr>
            <w:r>
              <w:rPr>
                <w:rFonts w:hint="eastAsia" w:ascii="仿宋" w:hAnsi="仿宋" w:eastAsia="仿宋" w:cs="仿宋"/>
                <w:bCs/>
                <w:color w:val="auto"/>
                <w:highlight w:val="none"/>
                <w:lang w:val="en-US" w:eastAsia="zh-CN"/>
              </w:rPr>
              <w:t>5</w:t>
            </w:r>
          </w:p>
        </w:tc>
        <w:tc>
          <w:tcPr>
            <w:tcW w:w="8322" w:type="dxa"/>
            <w:vAlign w:val="center"/>
          </w:tcPr>
          <w:p>
            <w:pPr>
              <w:spacing w:line="440" w:lineRule="exact"/>
              <w:rPr>
                <w:rFonts w:ascii="仿宋" w:hAnsi="仿宋" w:eastAsia="仿宋" w:cs="仿宋"/>
                <w:color w:val="auto"/>
                <w:highlight w:val="none"/>
              </w:rPr>
            </w:pP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18" w:type="dxa"/>
            <w:vAlign w:val="center"/>
          </w:tcPr>
          <w:p>
            <w:pPr>
              <w:spacing w:line="440" w:lineRule="exact"/>
              <w:jc w:val="center"/>
              <w:rPr>
                <w:rFonts w:ascii="仿宋" w:hAnsi="仿宋" w:eastAsia="仿宋" w:cs="仿宋"/>
                <w:bCs/>
                <w:color w:val="auto"/>
                <w:highlight w:val="none"/>
                <w:lang w:eastAsia="zh-CN"/>
              </w:rPr>
            </w:pPr>
            <w:r>
              <w:rPr>
                <w:rFonts w:hint="eastAsia" w:ascii="仿宋" w:hAnsi="仿宋" w:eastAsia="仿宋" w:cs="仿宋"/>
                <w:bCs/>
                <w:color w:val="auto"/>
                <w:highlight w:val="none"/>
                <w:lang w:val="en-US" w:eastAsia="zh-CN"/>
              </w:rPr>
              <w:t>6</w:t>
            </w:r>
          </w:p>
        </w:tc>
        <w:tc>
          <w:tcPr>
            <w:tcW w:w="8322" w:type="dxa"/>
            <w:vAlign w:val="center"/>
          </w:tcPr>
          <w:p>
            <w:pPr>
              <w:rPr>
                <w:rFonts w:ascii="仿宋" w:hAnsi="仿宋" w:eastAsia="仿宋" w:cs="仿宋"/>
                <w:bCs/>
                <w:color w:val="auto"/>
                <w:highlight w:val="none"/>
              </w:rPr>
            </w:pPr>
            <w:r>
              <w:rPr>
                <w:rFonts w:hint="eastAsia" w:ascii="仿宋" w:hAnsi="仿宋" w:eastAsia="仿宋" w:cs="仿宋"/>
                <w:bCs/>
                <w:color w:val="auto"/>
                <w:highlight w:val="none"/>
              </w:rPr>
              <w:t>未附有</w:t>
            </w:r>
            <w:r>
              <w:rPr>
                <w:rFonts w:hint="eastAsia" w:ascii="仿宋" w:hAnsi="仿宋" w:eastAsia="仿宋" w:cs="仿宋"/>
                <w:bCs/>
                <w:color w:val="auto"/>
                <w:highlight w:val="none"/>
                <w:lang w:eastAsia="zh-CN"/>
              </w:rPr>
              <w:t>采购</w:t>
            </w:r>
            <w:r>
              <w:rPr>
                <w:rFonts w:hint="eastAsia" w:ascii="仿宋" w:hAnsi="仿宋" w:eastAsia="仿宋" w:cs="仿宋"/>
                <w:bCs/>
                <w:color w:val="auto"/>
                <w:highlight w:val="none"/>
              </w:rPr>
              <w:t>人不能接受的附加条件及法律、法规和</w:t>
            </w:r>
            <w:r>
              <w:rPr>
                <w:rFonts w:hint="eastAsia" w:ascii="仿宋" w:hAnsi="仿宋" w:eastAsia="仿宋" w:cs="仿宋"/>
                <w:bCs/>
                <w:color w:val="auto"/>
                <w:highlight w:val="none"/>
                <w:lang w:eastAsia="zh-CN"/>
              </w:rPr>
              <w:t>磋商文件</w:t>
            </w:r>
            <w:r>
              <w:rPr>
                <w:rFonts w:hint="eastAsia" w:ascii="仿宋" w:hAnsi="仿宋" w:eastAsia="仿宋" w:cs="仿宋"/>
                <w:bCs/>
                <w:color w:val="auto"/>
                <w:highlight w:val="none"/>
              </w:rPr>
              <w:t>规定的其他无效情形。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9040" w:type="dxa"/>
            <w:gridSpan w:val="2"/>
            <w:vAlign w:val="center"/>
          </w:tcPr>
          <w:p>
            <w:pPr>
              <w:spacing w:line="440" w:lineRule="exact"/>
              <w:rPr>
                <w:rFonts w:ascii="仿宋" w:hAnsi="仿宋" w:eastAsia="仿宋" w:cs="仿宋"/>
                <w:bCs/>
                <w:color w:val="auto"/>
                <w:highlight w:val="none"/>
              </w:rPr>
            </w:pPr>
            <w:r>
              <w:rPr>
                <w:rFonts w:hint="eastAsia" w:ascii="仿宋" w:hAnsi="仿宋" w:eastAsia="仿宋" w:cs="仿宋"/>
                <w:bCs/>
                <w:color w:val="auto"/>
                <w:highlight w:val="none"/>
              </w:rPr>
              <w:t>（符合通过打“√”，不通过打“×”；</w:t>
            </w:r>
            <w:r>
              <w:rPr>
                <w:rFonts w:hint="eastAsia" w:ascii="仿宋" w:hAnsi="仿宋" w:eastAsia="仿宋" w:cs="仿宋"/>
                <w:color w:val="auto"/>
                <w:highlight w:val="none"/>
              </w:rPr>
              <w:t>评审专家对响应文件进行审查，审查不通过的将投标无效。</w:t>
            </w:r>
            <w:r>
              <w:rPr>
                <w:rFonts w:hint="eastAsia" w:ascii="仿宋" w:hAnsi="仿宋" w:eastAsia="仿宋" w:cs="仿宋"/>
                <w:bCs/>
                <w:color w:val="auto"/>
                <w:highlight w:val="none"/>
              </w:rPr>
              <w:t>）</w:t>
            </w:r>
          </w:p>
        </w:tc>
      </w:tr>
    </w:tbl>
    <w:p>
      <w:pPr>
        <w:rPr>
          <w:highlight w:val="none"/>
        </w:rPr>
      </w:pPr>
    </w:p>
    <w:p>
      <w:pPr>
        <w:spacing w:line="400" w:lineRule="exact"/>
        <w:ind w:firstLine="506" w:firstLineChars="241"/>
        <w:rPr>
          <w:rFonts w:ascii="宋体"/>
          <w:szCs w:val="21"/>
          <w:highlight w:val="none"/>
        </w:rPr>
      </w:pPr>
      <w:r>
        <w:rPr>
          <w:rFonts w:hint="eastAsia" w:ascii="宋体"/>
          <w:szCs w:val="21"/>
          <w:highlight w:val="none"/>
        </w:rPr>
        <w:t>7.2评委会判定投标文件的响应性只根据投标文件本身的内容，而不寻求外部的证据，但投标有不真实不正确的内容时除外。</w:t>
      </w:r>
    </w:p>
    <w:p>
      <w:pPr>
        <w:spacing w:line="400" w:lineRule="exact"/>
        <w:ind w:firstLine="506" w:firstLineChars="241"/>
        <w:rPr>
          <w:rFonts w:ascii="宋体"/>
          <w:szCs w:val="21"/>
          <w:highlight w:val="none"/>
        </w:rPr>
      </w:pPr>
      <w:r>
        <w:rPr>
          <w:rFonts w:hint="eastAsia" w:ascii="宋体"/>
          <w:szCs w:val="21"/>
          <w:highlight w:val="none"/>
        </w:rPr>
        <w:t>7.3如果投标文件实质上没有响应采购文件的要求，评委会将予以拒绝，投标人不得通过修正或撤销不符合要求的偏离或保留，而使其投标成为实质上响应的投标。</w:t>
      </w:r>
    </w:p>
    <w:p>
      <w:pPr>
        <w:spacing w:line="400" w:lineRule="exact"/>
        <w:ind w:firstLine="420" w:firstLineChars="200"/>
        <w:rPr>
          <w:rFonts w:ascii="宋体"/>
          <w:szCs w:val="21"/>
          <w:highlight w:val="none"/>
        </w:rPr>
      </w:pPr>
      <w:r>
        <w:rPr>
          <w:rFonts w:hint="eastAsia" w:ascii="宋体"/>
          <w:szCs w:val="21"/>
          <w:highlight w:val="none"/>
        </w:rPr>
        <w:t xml:space="preserve"> 7.4投标人可在现场20分钟内对评标委员会的评审结论提出异议，评标委员会根据采购文件及有关规定对投标人的异议进行复议</w:t>
      </w:r>
    </w:p>
    <w:p>
      <w:pPr>
        <w:spacing w:line="400" w:lineRule="exact"/>
        <w:ind w:firstLine="525" w:firstLineChars="250"/>
        <w:rPr>
          <w:rFonts w:ascii="宋体"/>
          <w:szCs w:val="21"/>
          <w:highlight w:val="none"/>
        </w:rPr>
      </w:pPr>
      <w:r>
        <w:rPr>
          <w:rFonts w:hint="eastAsia" w:ascii="宋体"/>
          <w:szCs w:val="21"/>
          <w:highlight w:val="none"/>
        </w:rPr>
        <w:t>7.5只有通过初审的投标人才能进入下一步评标程序。</w:t>
      </w:r>
    </w:p>
    <w:p>
      <w:pPr>
        <w:spacing w:line="400" w:lineRule="exact"/>
        <w:ind w:firstLine="420" w:firstLineChars="200"/>
        <w:rPr>
          <w:rFonts w:ascii="宋体"/>
          <w:szCs w:val="21"/>
          <w:highlight w:val="none"/>
        </w:rPr>
      </w:pPr>
      <w:r>
        <w:rPr>
          <w:rFonts w:hint="eastAsia" w:ascii="宋体" w:hAnsi="宋体"/>
          <w:b/>
          <w:szCs w:val="21"/>
          <w:highlight w:val="none"/>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pPr>
        <w:spacing w:before="156" w:beforeLines="50" w:line="400" w:lineRule="exact"/>
        <w:jc w:val="center"/>
        <w:outlineLvl w:val="1"/>
        <w:rPr>
          <w:rFonts w:ascii="宋体"/>
          <w:b/>
          <w:sz w:val="24"/>
          <w:highlight w:val="none"/>
        </w:rPr>
      </w:pPr>
      <w:bookmarkStart w:id="84" w:name="_Toc19366"/>
      <w:bookmarkStart w:id="85" w:name="_Toc362983803"/>
      <w:r>
        <w:rPr>
          <w:rFonts w:hint="eastAsia" w:ascii="宋体"/>
          <w:b/>
          <w:sz w:val="28"/>
          <w:szCs w:val="28"/>
          <w:highlight w:val="none"/>
        </w:rPr>
        <w:t xml:space="preserve">三  </w:t>
      </w:r>
      <w:r>
        <w:rPr>
          <w:rFonts w:hint="eastAsia" w:ascii="宋体"/>
          <w:b/>
          <w:sz w:val="24"/>
          <w:highlight w:val="none"/>
        </w:rPr>
        <w:t>投标文件的澄清和补正</w:t>
      </w:r>
      <w:bookmarkEnd w:id="84"/>
      <w:bookmarkEnd w:id="85"/>
    </w:p>
    <w:p>
      <w:pPr>
        <w:spacing w:line="440" w:lineRule="exact"/>
        <w:ind w:firstLine="210" w:firstLineChars="100"/>
        <w:jc w:val="left"/>
        <w:rPr>
          <w:rFonts w:ascii="宋体"/>
          <w:szCs w:val="21"/>
          <w:highlight w:val="none"/>
        </w:rPr>
      </w:pPr>
      <w:r>
        <w:rPr>
          <w:rFonts w:hint="eastAsia" w:ascii="宋体"/>
          <w:szCs w:val="21"/>
          <w:highlight w:val="none"/>
        </w:rPr>
        <w:t>8．澄清、说明或补正的形式</w:t>
      </w:r>
    </w:p>
    <w:p>
      <w:pPr>
        <w:spacing w:line="440" w:lineRule="exact"/>
        <w:ind w:firstLine="210" w:firstLineChars="100"/>
        <w:jc w:val="left"/>
        <w:rPr>
          <w:rFonts w:ascii="宋体"/>
          <w:szCs w:val="21"/>
          <w:highlight w:val="none"/>
        </w:rPr>
      </w:pPr>
      <w:r>
        <w:rPr>
          <w:rFonts w:hint="eastAsia" w:ascii="宋体"/>
          <w:szCs w:val="21"/>
          <w:highlight w:val="none"/>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pacing w:line="440" w:lineRule="exact"/>
        <w:ind w:firstLine="210" w:firstLineChars="100"/>
        <w:jc w:val="left"/>
        <w:rPr>
          <w:rFonts w:ascii="宋体"/>
          <w:szCs w:val="21"/>
          <w:highlight w:val="none"/>
        </w:rPr>
      </w:pPr>
      <w:r>
        <w:rPr>
          <w:rFonts w:hint="eastAsia" w:ascii="宋体"/>
          <w:szCs w:val="21"/>
          <w:highlight w:val="none"/>
        </w:rPr>
        <w:t>8.2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pacing w:line="440" w:lineRule="exact"/>
        <w:ind w:firstLine="210" w:firstLineChars="100"/>
        <w:jc w:val="left"/>
        <w:rPr>
          <w:rFonts w:ascii="宋体"/>
          <w:szCs w:val="21"/>
          <w:highlight w:val="none"/>
        </w:rPr>
      </w:pPr>
      <w:r>
        <w:rPr>
          <w:rFonts w:hint="eastAsia" w:ascii="宋体"/>
          <w:szCs w:val="21"/>
          <w:highlight w:val="none"/>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pacing w:line="440" w:lineRule="exact"/>
        <w:ind w:firstLine="210" w:firstLineChars="100"/>
        <w:jc w:val="left"/>
        <w:rPr>
          <w:rFonts w:ascii="宋体"/>
          <w:szCs w:val="21"/>
          <w:highlight w:val="none"/>
        </w:rPr>
      </w:pPr>
      <w:r>
        <w:rPr>
          <w:rFonts w:hint="eastAsia" w:ascii="宋体"/>
          <w:szCs w:val="21"/>
          <w:highlight w:val="none"/>
        </w:rPr>
        <w:t>9．错误修正的原则</w:t>
      </w:r>
    </w:p>
    <w:p>
      <w:pPr>
        <w:spacing w:line="440" w:lineRule="exact"/>
        <w:ind w:firstLine="210" w:firstLineChars="100"/>
        <w:jc w:val="left"/>
        <w:rPr>
          <w:rFonts w:ascii="宋体"/>
          <w:szCs w:val="21"/>
          <w:highlight w:val="none"/>
        </w:rPr>
      </w:pPr>
      <w:r>
        <w:rPr>
          <w:rFonts w:hint="eastAsia" w:ascii="宋体"/>
          <w:szCs w:val="21"/>
          <w:highlight w:val="none"/>
        </w:rPr>
        <w:t>电子交易平台客户端里开标一览表录入的投标报价或优惠率与扫描上传的报价文件信息不一致的，以扫描上传的报价文件信息为准进行修正。</w:t>
      </w:r>
    </w:p>
    <w:p>
      <w:pPr>
        <w:spacing w:line="440" w:lineRule="exact"/>
        <w:ind w:firstLine="210" w:firstLineChars="100"/>
        <w:jc w:val="left"/>
        <w:rPr>
          <w:rFonts w:ascii="宋体"/>
          <w:szCs w:val="21"/>
          <w:highlight w:val="none"/>
        </w:rPr>
      </w:pPr>
      <w:r>
        <w:rPr>
          <w:rFonts w:hint="eastAsia" w:ascii="宋体"/>
          <w:szCs w:val="21"/>
          <w:highlight w:val="none"/>
        </w:rPr>
        <w:t>投标文件报价出现前后不一致的，除采购文件另有规定外，按照下列规定修正：</w:t>
      </w:r>
    </w:p>
    <w:p>
      <w:pPr>
        <w:spacing w:line="440" w:lineRule="exact"/>
        <w:ind w:firstLine="210" w:firstLineChars="100"/>
        <w:jc w:val="left"/>
        <w:rPr>
          <w:rFonts w:ascii="宋体"/>
          <w:szCs w:val="21"/>
          <w:highlight w:val="none"/>
        </w:rPr>
      </w:pPr>
      <w:r>
        <w:rPr>
          <w:rFonts w:hint="eastAsia" w:ascii="宋体"/>
          <w:szCs w:val="21"/>
          <w:highlight w:val="none"/>
        </w:rPr>
        <w:t>9.1 投标函中表述的内容与报价表中不一致的，以报价表为准；报价表中的内容与报价明细表不一致的，以报价表为准；</w:t>
      </w:r>
    </w:p>
    <w:p>
      <w:pPr>
        <w:spacing w:line="440" w:lineRule="exact"/>
        <w:ind w:firstLine="210" w:firstLineChars="100"/>
        <w:jc w:val="left"/>
        <w:rPr>
          <w:rFonts w:ascii="宋体"/>
          <w:szCs w:val="21"/>
          <w:highlight w:val="none"/>
        </w:rPr>
      </w:pPr>
      <w:r>
        <w:rPr>
          <w:rFonts w:hint="eastAsia" w:ascii="宋体"/>
          <w:szCs w:val="21"/>
          <w:highlight w:val="none"/>
        </w:rPr>
        <w:t>9.2 投标文件中的大写金额和小写金额不一致的，以大写金额为准；</w:t>
      </w:r>
    </w:p>
    <w:p>
      <w:pPr>
        <w:spacing w:line="440" w:lineRule="exact"/>
        <w:ind w:firstLine="210" w:firstLineChars="100"/>
        <w:jc w:val="left"/>
        <w:rPr>
          <w:rFonts w:ascii="宋体"/>
          <w:szCs w:val="21"/>
          <w:highlight w:val="none"/>
        </w:rPr>
      </w:pPr>
      <w:r>
        <w:rPr>
          <w:rFonts w:hint="eastAsia" w:ascii="宋体"/>
          <w:szCs w:val="21"/>
          <w:highlight w:val="none"/>
        </w:rPr>
        <w:t>9.3 单价金额小数点或者百分比有明显错位的，以开标一览表的总价为准，并修改单价；</w:t>
      </w:r>
    </w:p>
    <w:p>
      <w:pPr>
        <w:spacing w:line="440" w:lineRule="exact"/>
        <w:ind w:firstLine="210" w:firstLineChars="100"/>
        <w:jc w:val="left"/>
        <w:rPr>
          <w:rFonts w:ascii="宋体"/>
          <w:szCs w:val="21"/>
          <w:highlight w:val="none"/>
        </w:rPr>
      </w:pPr>
      <w:r>
        <w:rPr>
          <w:rFonts w:hint="eastAsia" w:ascii="宋体"/>
          <w:szCs w:val="21"/>
          <w:highlight w:val="none"/>
        </w:rPr>
        <w:t>9.4 总价金额与按单价汇总金额不一致的，以单价金额计算结果为准；</w:t>
      </w:r>
    </w:p>
    <w:p>
      <w:pPr>
        <w:spacing w:line="440" w:lineRule="exact"/>
        <w:ind w:firstLine="210" w:firstLineChars="100"/>
        <w:jc w:val="left"/>
        <w:rPr>
          <w:rFonts w:ascii="宋体"/>
          <w:szCs w:val="21"/>
          <w:highlight w:val="none"/>
        </w:rPr>
      </w:pPr>
      <w:r>
        <w:rPr>
          <w:rFonts w:hint="eastAsia" w:ascii="宋体"/>
          <w:szCs w:val="21"/>
          <w:highlight w:val="none"/>
        </w:rPr>
        <w:t>9.5 若用文字表示的数值与用数字表示的数值不一致，以文字表示的数值为准；</w:t>
      </w:r>
    </w:p>
    <w:p>
      <w:pPr>
        <w:spacing w:line="440" w:lineRule="exact"/>
        <w:ind w:firstLine="210" w:firstLineChars="100"/>
        <w:jc w:val="left"/>
        <w:rPr>
          <w:rFonts w:ascii="宋体"/>
          <w:szCs w:val="21"/>
          <w:highlight w:val="none"/>
        </w:rPr>
      </w:pPr>
      <w:r>
        <w:rPr>
          <w:rFonts w:hint="eastAsia" w:ascii="宋体"/>
          <w:szCs w:val="21"/>
          <w:highlight w:val="none"/>
        </w:rPr>
        <w:t>9.6 如有多报（指数量超出采购文件需求）、重报（指同一货物重复报价），其投标总价在评标过程中不予调整，如其中标，其合同价按其投标单价予以调整；</w:t>
      </w:r>
    </w:p>
    <w:p>
      <w:pPr>
        <w:spacing w:line="440" w:lineRule="exact"/>
        <w:ind w:firstLine="210" w:firstLineChars="100"/>
        <w:jc w:val="left"/>
        <w:rPr>
          <w:rFonts w:ascii="宋体"/>
          <w:szCs w:val="21"/>
          <w:highlight w:val="none"/>
        </w:rPr>
      </w:pPr>
      <w:r>
        <w:rPr>
          <w:rFonts w:hint="eastAsia" w:ascii="宋体"/>
          <w:szCs w:val="21"/>
          <w:highlight w:val="none"/>
        </w:rPr>
        <w:t>9.7 对不同文字文本投标文件的解释发生异议的，以中文文本为准；</w:t>
      </w:r>
    </w:p>
    <w:p>
      <w:pPr>
        <w:spacing w:line="440" w:lineRule="exact"/>
        <w:ind w:firstLine="210" w:firstLineChars="100"/>
        <w:jc w:val="left"/>
        <w:rPr>
          <w:rFonts w:ascii="宋体"/>
          <w:szCs w:val="21"/>
          <w:highlight w:val="none"/>
        </w:rPr>
      </w:pPr>
      <w:r>
        <w:rPr>
          <w:rFonts w:hint="eastAsia" w:ascii="宋体"/>
          <w:szCs w:val="21"/>
          <w:highlight w:val="none"/>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spacing w:line="400" w:lineRule="exact"/>
        <w:jc w:val="center"/>
        <w:outlineLvl w:val="1"/>
        <w:rPr>
          <w:rFonts w:ascii="宋体"/>
          <w:b/>
          <w:sz w:val="24"/>
          <w:highlight w:val="none"/>
        </w:rPr>
      </w:pPr>
      <w:bookmarkStart w:id="86" w:name="_Toc18469"/>
      <w:r>
        <w:rPr>
          <w:rFonts w:hint="eastAsia" w:ascii="宋体"/>
          <w:b/>
          <w:sz w:val="24"/>
          <w:highlight w:val="none"/>
        </w:rPr>
        <w:t>四 比较与评价</w:t>
      </w:r>
      <w:bookmarkEnd w:id="86"/>
    </w:p>
    <w:p>
      <w:pPr>
        <w:tabs>
          <w:tab w:val="left" w:pos="720"/>
        </w:tabs>
        <w:spacing w:line="440" w:lineRule="exact"/>
        <w:ind w:firstLine="535" w:firstLineChars="255"/>
        <w:rPr>
          <w:rFonts w:ascii="宋体" w:hAnsi="宋体" w:cs="宋体"/>
          <w:szCs w:val="21"/>
          <w:highlight w:val="none"/>
        </w:rPr>
      </w:pPr>
      <w:bookmarkStart w:id="87" w:name="_Toc362983805"/>
      <w:r>
        <w:rPr>
          <w:rFonts w:hint="eastAsia" w:ascii="宋体" w:hAnsi="宋体" w:cs="宋体"/>
          <w:szCs w:val="21"/>
          <w:highlight w:val="none"/>
        </w:rPr>
        <w:t>10.1评标委员会按磋商文件中规定的评标方法和标准，对资格性检查和符合性检查合格的投标文件进行商务和技术评估、综合比较与评价。</w:t>
      </w:r>
    </w:p>
    <w:p>
      <w:pPr>
        <w:spacing w:line="440" w:lineRule="exact"/>
        <w:ind w:firstLine="539" w:firstLineChars="257"/>
        <w:rPr>
          <w:rFonts w:ascii="宋体" w:hAnsi="宋体" w:cs="宋体"/>
          <w:szCs w:val="21"/>
          <w:highlight w:val="none"/>
        </w:rPr>
      </w:pPr>
      <w:r>
        <w:rPr>
          <w:rFonts w:hint="eastAsia" w:ascii="宋体" w:hAnsi="宋体" w:cs="宋体"/>
          <w:szCs w:val="21"/>
          <w:highlight w:val="none"/>
        </w:rPr>
        <w:t>10.2评标委员会根据商务和技术评估的结果，采用综合评分法，分别对投标文件的商务、技术、价格等内容进行打分。其中，商务评估、技术评估、价格评估的评分权值（详见附件1）。</w:t>
      </w:r>
    </w:p>
    <w:p>
      <w:pPr>
        <w:spacing w:line="440" w:lineRule="exact"/>
        <w:ind w:firstLine="539" w:firstLineChars="257"/>
        <w:rPr>
          <w:rFonts w:ascii="宋体" w:hAnsi="宋体" w:cs="宋体"/>
          <w:bCs/>
          <w:szCs w:val="21"/>
          <w:highlight w:val="none"/>
        </w:rPr>
      </w:pPr>
      <w:r>
        <w:rPr>
          <w:rFonts w:hint="eastAsia" w:ascii="宋体" w:hAnsi="宋体" w:cs="宋体"/>
          <w:szCs w:val="21"/>
          <w:highlight w:val="none"/>
        </w:rPr>
        <w:t>10.</w:t>
      </w:r>
      <w:r>
        <w:rPr>
          <w:rFonts w:hint="eastAsia" w:ascii="宋体" w:hAnsi="宋体" w:cs="宋体"/>
          <w:bCs/>
          <w:szCs w:val="21"/>
          <w:highlight w:val="none"/>
        </w:rPr>
        <w:t>2.1评委打分办法</w:t>
      </w:r>
    </w:p>
    <w:p>
      <w:pPr>
        <w:spacing w:line="440" w:lineRule="exact"/>
        <w:ind w:firstLine="539" w:firstLineChars="257"/>
        <w:rPr>
          <w:rFonts w:ascii="宋体" w:hAnsi="宋体" w:cs="宋体"/>
          <w:szCs w:val="21"/>
          <w:highlight w:val="none"/>
        </w:rPr>
      </w:pPr>
      <w:r>
        <w:rPr>
          <w:rFonts w:hint="eastAsia" w:ascii="宋体" w:hAnsi="宋体" w:cs="宋体"/>
          <w:bCs/>
          <w:szCs w:val="21"/>
          <w:highlight w:val="none"/>
        </w:rPr>
        <w:t>（1）</w:t>
      </w:r>
      <w:r>
        <w:rPr>
          <w:rFonts w:hint="eastAsia" w:ascii="宋体" w:hAnsi="宋体" w:cs="宋体"/>
          <w:szCs w:val="21"/>
          <w:highlight w:val="none"/>
        </w:rPr>
        <w:t>参加评分的评委应尽力体现客观、实事求是，避免学派偏见和个人偏好。</w:t>
      </w:r>
    </w:p>
    <w:p>
      <w:pPr>
        <w:spacing w:line="440" w:lineRule="exact"/>
        <w:ind w:firstLine="539" w:firstLineChars="257"/>
        <w:rPr>
          <w:rFonts w:ascii="宋体" w:hAnsi="宋体" w:cs="宋体"/>
          <w:szCs w:val="21"/>
          <w:highlight w:val="none"/>
        </w:rPr>
      </w:pPr>
      <w:r>
        <w:rPr>
          <w:rFonts w:hint="eastAsia" w:ascii="宋体" w:hAnsi="宋体" w:cs="宋体"/>
          <w:szCs w:val="21"/>
          <w:highlight w:val="none"/>
        </w:rPr>
        <w:t>（2）衡量、对比的依据，应以磋商文件、投标文件、提供的正式试验数据、质询澄清中的文字为准，口头回答和收集的资料只作为参考。</w:t>
      </w:r>
    </w:p>
    <w:p>
      <w:pPr>
        <w:spacing w:line="440" w:lineRule="exact"/>
        <w:ind w:firstLine="539" w:firstLineChars="257"/>
        <w:rPr>
          <w:rFonts w:ascii="宋体" w:hAnsi="宋体" w:cs="宋体"/>
          <w:szCs w:val="21"/>
          <w:highlight w:val="none"/>
        </w:rPr>
      </w:pPr>
      <w:r>
        <w:rPr>
          <w:rFonts w:hint="eastAsia" w:ascii="宋体" w:hAnsi="宋体" w:cs="宋体"/>
          <w:szCs w:val="21"/>
          <w:highlight w:val="none"/>
        </w:rPr>
        <w:t>（3）评分主要是为比较各投标人的价格、商务和技术综合排序。</w:t>
      </w:r>
    </w:p>
    <w:p>
      <w:pPr>
        <w:spacing w:line="440" w:lineRule="exact"/>
        <w:ind w:firstLine="539" w:firstLineChars="257"/>
        <w:rPr>
          <w:rFonts w:ascii="宋体" w:hAnsi="宋体" w:cs="宋体"/>
          <w:szCs w:val="21"/>
          <w:highlight w:val="none"/>
        </w:rPr>
      </w:pPr>
      <w:r>
        <w:rPr>
          <w:rFonts w:hint="eastAsia" w:ascii="宋体" w:hAnsi="宋体" w:cs="宋体"/>
          <w:szCs w:val="21"/>
          <w:highlight w:val="none"/>
        </w:rPr>
        <w:t>（4）评委打分采取记名形式。</w:t>
      </w:r>
    </w:p>
    <w:p>
      <w:pPr>
        <w:spacing w:line="440" w:lineRule="exact"/>
        <w:ind w:firstLine="539" w:firstLineChars="257"/>
        <w:rPr>
          <w:rFonts w:ascii="宋体" w:hAnsi="宋体" w:cs="宋体"/>
          <w:szCs w:val="21"/>
          <w:highlight w:val="none"/>
        </w:rPr>
      </w:pPr>
      <w:r>
        <w:rPr>
          <w:rFonts w:hint="eastAsia" w:ascii="宋体" w:hAnsi="宋体" w:cs="宋体"/>
          <w:szCs w:val="21"/>
          <w:highlight w:val="none"/>
        </w:rPr>
        <w:t>（5）各评委根据提供的技术打分表独立自主打分，任何人不得要求评委统一打分或统一确定等次顺序。</w:t>
      </w:r>
    </w:p>
    <w:p>
      <w:pPr>
        <w:spacing w:line="440" w:lineRule="exact"/>
        <w:ind w:firstLine="539" w:firstLineChars="257"/>
        <w:rPr>
          <w:rFonts w:ascii="宋体" w:hAnsi="宋体" w:cs="宋体"/>
          <w:szCs w:val="21"/>
          <w:highlight w:val="none"/>
        </w:rPr>
      </w:pPr>
      <w:r>
        <w:rPr>
          <w:rFonts w:hint="eastAsia" w:ascii="宋体" w:hAnsi="宋体" w:cs="宋体"/>
          <w:szCs w:val="21"/>
          <w:highlight w:val="none"/>
        </w:rPr>
        <w:t>（6）对打分表中的每项条款，各评委应根据投标文件、澄清材料、磋商文件要求，按满足的程度给投标人打分。</w:t>
      </w:r>
    </w:p>
    <w:p>
      <w:pPr>
        <w:spacing w:line="440" w:lineRule="exact"/>
        <w:ind w:firstLine="539" w:firstLineChars="257"/>
        <w:rPr>
          <w:rFonts w:ascii="宋体" w:hAnsi="宋体" w:cs="宋体"/>
          <w:szCs w:val="21"/>
          <w:highlight w:val="none"/>
        </w:rPr>
      </w:pPr>
      <w:r>
        <w:rPr>
          <w:rFonts w:hint="eastAsia" w:ascii="宋体" w:hAnsi="宋体" w:cs="宋体"/>
          <w:szCs w:val="21"/>
          <w:highlight w:val="none"/>
        </w:rPr>
        <w:t>（7）评分程序</w:t>
      </w:r>
    </w:p>
    <w:p>
      <w:pPr>
        <w:spacing w:line="440" w:lineRule="exact"/>
        <w:ind w:firstLine="539" w:firstLineChars="257"/>
        <w:rPr>
          <w:rFonts w:ascii="宋体" w:hAnsi="宋体" w:cs="宋体"/>
          <w:szCs w:val="21"/>
          <w:highlight w:val="none"/>
        </w:rPr>
      </w:pPr>
      <w:r>
        <w:rPr>
          <w:rFonts w:hint="eastAsia" w:ascii="宋体" w:hAnsi="宋体" w:cs="宋体"/>
          <w:szCs w:val="21"/>
          <w:highlight w:val="none"/>
        </w:rPr>
        <w:t>1)就投标人的投标文件对照整理出商务、技术评标因素对比表、偏差表，并在经过校核的基础上逐项打分。</w:t>
      </w:r>
    </w:p>
    <w:p>
      <w:pPr>
        <w:spacing w:line="440" w:lineRule="exact"/>
        <w:ind w:firstLine="539" w:firstLineChars="257"/>
        <w:rPr>
          <w:rFonts w:ascii="宋体" w:hAnsi="宋体" w:cs="宋体"/>
          <w:szCs w:val="21"/>
          <w:highlight w:val="none"/>
        </w:rPr>
      </w:pPr>
      <w:r>
        <w:rPr>
          <w:rFonts w:hint="eastAsia" w:ascii="宋体" w:hAnsi="宋体" w:cs="宋体"/>
          <w:szCs w:val="21"/>
          <w:highlight w:val="none"/>
        </w:rPr>
        <w:t>2)各评委独立完成打分后，将评分表交给代理机构，由代理机构组织进行分数统计。</w:t>
      </w:r>
    </w:p>
    <w:p>
      <w:pPr>
        <w:spacing w:line="440" w:lineRule="exact"/>
        <w:ind w:firstLine="539" w:firstLineChars="257"/>
        <w:rPr>
          <w:rFonts w:ascii="宋体" w:hAnsi="宋体" w:cs="宋体"/>
          <w:szCs w:val="21"/>
          <w:highlight w:val="none"/>
        </w:rPr>
      </w:pPr>
      <w:r>
        <w:rPr>
          <w:rFonts w:hint="eastAsia" w:ascii="宋体" w:hAnsi="宋体" w:cs="宋体"/>
          <w:szCs w:val="21"/>
          <w:highlight w:val="none"/>
        </w:rPr>
        <w:t>3)最终汇总表中各投标人得分应为评委打分的算术平均值。</w:t>
      </w:r>
    </w:p>
    <w:p>
      <w:pPr>
        <w:rPr>
          <w:rFonts w:ascii="宋体" w:hAnsi="宋体" w:cs="宋体"/>
          <w:b/>
          <w:sz w:val="22"/>
          <w:szCs w:val="22"/>
          <w:highlight w:val="none"/>
        </w:rPr>
      </w:pPr>
      <w:r>
        <w:rPr>
          <w:rFonts w:hint="eastAsia" w:ascii="宋体" w:hAnsi="宋体" w:cs="宋体"/>
          <w:szCs w:val="21"/>
          <w:highlight w:val="none"/>
        </w:rPr>
        <w:t>（8）评分标准和细则（综合评分法评分标准）</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8"/>
        <w:gridCol w:w="1714"/>
        <w:gridCol w:w="5951"/>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48"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序号</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rPr>
                <w:rFonts w:hint="eastAsia" w:ascii="宋体" w:hAnsi="宋体" w:cs="宋体"/>
                <w:szCs w:val="21"/>
                <w:highlight w:val="none"/>
              </w:rPr>
            </w:pPr>
            <w:r>
              <w:rPr>
                <w:rFonts w:hint="eastAsia" w:ascii="宋体" w:hAnsi="宋体" w:cs="宋体"/>
                <w:szCs w:val="21"/>
                <w:highlight w:val="none"/>
                <w:lang w:val="en-US" w:eastAsia="zh-CN"/>
              </w:rPr>
              <w:t>主要评价指标</w:t>
            </w:r>
          </w:p>
        </w:tc>
        <w:tc>
          <w:tcPr>
            <w:tcW w:w="5951"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ind w:firstLine="539" w:firstLineChars="257"/>
              <w:rPr>
                <w:rFonts w:hint="eastAsia" w:ascii="宋体" w:hAnsi="宋体" w:cs="宋体"/>
                <w:szCs w:val="21"/>
                <w:highlight w:val="none"/>
              </w:rPr>
            </w:pPr>
            <w:r>
              <w:rPr>
                <w:rFonts w:hint="eastAsia" w:ascii="宋体" w:hAnsi="宋体" w:cs="宋体"/>
                <w:szCs w:val="21"/>
                <w:highlight w:val="none"/>
                <w:lang w:val="en-US" w:eastAsia="zh-CN"/>
              </w:rPr>
              <w:t>评分标准</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rPr>
                <w:rFonts w:hint="eastAsia" w:ascii="宋体" w:hAnsi="宋体" w:cs="宋体"/>
                <w:szCs w:val="21"/>
                <w:highlight w:val="none"/>
              </w:rPr>
            </w:pPr>
            <w:r>
              <w:rPr>
                <w:rFonts w:hint="eastAsia" w:ascii="宋体" w:hAnsi="宋体" w:cs="宋体"/>
                <w:szCs w:val="21"/>
                <w:highlight w:val="none"/>
                <w:lang w:val="en-US" w:eastAsia="zh-CN"/>
              </w:rPr>
              <w:t>标准分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8"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ind w:firstLine="539" w:firstLineChars="257"/>
              <w:rPr>
                <w:rFonts w:hint="eastAsia" w:ascii="宋体" w:hAnsi="宋体" w:cs="宋体"/>
                <w:szCs w:val="21"/>
                <w:highlight w:val="none"/>
                <w:lang w:val="en-US" w:eastAsia="zh-CN"/>
              </w:rPr>
            </w:pPr>
            <w:r>
              <w:rPr>
                <w:rFonts w:hint="eastAsia" w:ascii="宋体" w:hAnsi="宋体" w:cs="宋体"/>
                <w:szCs w:val="21"/>
                <w:highlight w:val="none"/>
                <w:lang w:val="en-US" w:eastAsia="zh-CN"/>
              </w:rPr>
              <w:t>11</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利率水平</w:t>
            </w:r>
          </w:p>
          <w:p>
            <w:pPr>
              <w:spacing w:line="44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（权重20%）</w:t>
            </w:r>
          </w:p>
        </w:tc>
        <w:tc>
          <w:tcPr>
            <w:tcW w:w="5951"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指参与银行提供的协定存款、通知存款、定期存款利率水平。</w:t>
            </w:r>
          </w:p>
          <w:p>
            <w:pPr>
              <w:spacing w:line="44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（完全满足磋商文件要求的投标报价中最高价为评标基准价，按照下列公式计算每个投标的投标价格得分）投标报价得分=（投标报价/基准价）×20%×100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ind w:firstLine="539" w:firstLineChars="257"/>
              <w:rPr>
                <w:rFonts w:hint="eastAsia" w:ascii="宋体" w:hAnsi="宋体" w:cs="宋体"/>
                <w:szCs w:val="21"/>
                <w:highlight w:val="none"/>
                <w:lang w:val="en-US" w:eastAsia="zh-CN"/>
              </w:rPr>
            </w:pPr>
            <w:r>
              <w:rPr>
                <w:rFonts w:hint="eastAsia" w:ascii="宋体" w:hAnsi="宋体" w:cs="宋体"/>
                <w:szCs w:val="21"/>
                <w:highlight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48"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ind w:firstLine="539" w:firstLineChars="257"/>
              <w:rPr>
                <w:rFonts w:hint="eastAsia" w:ascii="宋体" w:hAnsi="宋体" w:cs="宋体"/>
                <w:szCs w:val="21"/>
                <w:highlight w:val="none"/>
              </w:rPr>
            </w:pPr>
            <w:r>
              <w:rPr>
                <w:rFonts w:hint="eastAsia" w:ascii="宋体" w:hAnsi="宋体" w:cs="宋体"/>
                <w:szCs w:val="21"/>
                <w:highlight w:val="none"/>
                <w:lang w:val="en-US" w:eastAsia="zh-CN"/>
              </w:rPr>
              <w:t>12</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存贷比</w:t>
            </w:r>
          </w:p>
          <w:p>
            <w:pPr>
              <w:spacing w:line="44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（权重30%）</w:t>
            </w:r>
          </w:p>
        </w:tc>
        <w:tc>
          <w:tcPr>
            <w:tcW w:w="5951"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根据各家银行招标日前季度末贷款余额与存款余额的比率衡量各家银行在金融支持阿克陶县经济发展的实际情况进行排名，第一名得30分，从第二名开始依次递减5分，排名相同，按同档计分。</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ind w:firstLine="539" w:firstLineChars="257"/>
              <w:rPr>
                <w:rFonts w:hint="default" w:ascii="宋体" w:hAnsi="宋体" w:cs="宋体"/>
                <w:szCs w:val="21"/>
                <w:highlight w:val="none"/>
                <w:lang w:val="en-US"/>
              </w:rPr>
            </w:pPr>
            <w:r>
              <w:rPr>
                <w:rFonts w:hint="eastAsia" w:ascii="宋体" w:hAnsi="宋体" w:cs="宋体"/>
                <w:szCs w:val="21"/>
                <w:highlight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48" w:type="dxa"/>
            <w:tcBorders>
              <w:top w:val="single" w:color="000000" w:sz="4" w:space="0"/>
              <w:left w:val="single" w:color="000000" w:sz="4" w:space="0"/>
              <w:bottom w:val="single" w:color="auto" w:sz="4" w:space="0"/>
              <w:right w:val="single" w:color="000000" w:sz="4" w:space="0"/>
            </w:tcBorders>
            <w:noWrap w:val="0"/>
            <w:vAlign w:val="center"/>
          </w:tcPr>
          <w:p>
            <w:pPr>
              <w:spacing w:line="440" w:lineRule="exact"/>
              <w:ind w:firstLine="539" w:firstLineChars="257"/>
              <w:rPr>
                <w:rFonts w:hint="eastAsia" w:ascii="宋体" w:hAnsi="宋体" w:cs="宋体"/>
                <w:szCs w:val="21"/>
                <w:highlight w:val="none"/>
              </w:rPr>
            </w:pPr>
            <w:r>
              <w:rPr>
                <w:rFonts w:hint="eastAsia" w:ascii="宋体" w:hAnsi="宋体" w:cs="宋体"/>
                <w:szCs w:val="21"/>
                <w:highlight w:val="none"/>
                <w:lang w:val="en-US" w:eastAsia="zh-CN"/>
              </w:rPr>
              <w:t>33</w:t>
            </w:r>
          </w:p>
        </w:tc>
        <w:tc>
          <w:tcPr>
            <w:tcW w:w="1714" w:type="dxa"/>
            <w:tcBorders>
              <w:top w:val="single" w:color="000000" w:sz="4" w:space="0"/>
              <w:left w:val="single" w:color="000000" w:sz="4" w:space="0"/>
              <w:bottom w:val="single" w:color="auto" w:sz="4" w:space="0"/>
              <w:right w:val="single" w:color="000000" w:sz="4" w:space="0"/>
            </w:tcBorders>
            <w:noWrap w:val="0"/>
            <w:vAlign w:val="center"/>
          </w:tcPr>
          <w:p>
            <w:pPr>
              <w:spacing w:line="44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服务水平</w:t>
            </w:r>
          </w:p>
          <w:p>
            <w:pPr>
              <w:spacing w:line="440" w:lineRule="exact"/>
              <w:rPr>
                <w:rFonts w:hint="eastAsia" w:ascii="宋体" w:hAnsi="宋体" w:cs="宋体"/>
                <w:szCs w:val="21"/>
                <w:highlight w:val="none"/>
              </w:rPr>
            </w:pPr>
            <w:r>
              <w:rPr>
                <w:rFonts w:hint="eastAsia" w:ascii="宋体" w:hAnsi="宋体" w:cs="宋体"/>
                <w:szCs w:val="21"/>
                <w:highlight w:val="none"/>
                <w:lang w:val="en-US" w:eastAsia="zh-CN"/>
              </w:rPr>
              <w:t>（权重10%）</w:t>
            </w:r>
          </w:p>
        </w:tc>
        <w:tc>
          <w:tcPr>
            <w:tcW w:w="5951" w:type="dxa"/>
            <w:tcBorders>
              <w:top w:val="single" w:color="000000" w:sz="4" w:space="0"/>
              <w:left w:val="single" w:color="000000" w:sz="4" w:space="0"/>
              <w:bottom w:val="single" w:color="auto" w:sz="4" w:space="0"/>
              <w:right w:val="single" w:color="000000" w:sz="4" w:space="0"/>
            </w:tcBorders>
            <w:noWrap w:val="0"/>
            <w:vAlign w:val="center"/>
          </w:tcPr>
          <w:p>
            <w:pPr>
              <w:spacing w:line="440" w:lineRule="exact"/>
              <w:rPr>
                <w:rFonts w:hint="default" w:ascii="宋体" w:hAnsi="宋体" w:cs="宋体"/>
                <w:szCs w:val="21"/>
                <w:highlight w:val="none"/>
                <w:lang w:val="en-US"/>
              </w:rPr>
            </w:pPr>
            <w:r>
              <w:rPr>
                <w:rFonts w:hint="eastAsia" w:ascii="宋体" w:hAnsi="宋体" w:cs="宋体"/>
                <w:szCs w:val="21"/>
                <w:highlight w:val="none"/>
                <w:lang w:val="en-US" w:eastAsia="zh-CN"/>
              </w:rPr>
              <w:t>资金存放银行提供的支付结算、对账结算等金融服务的能力和水平方面的评价。优的得10分，良好的得8分，好的得6分；一般得4分；差的得2分。</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ind w:firstLine="539" w:firstLineChars="257"/>
              <w:rPr>
                <w:rFonts w:hint="eastAsia" w:ascii="宋体" w:hAnsi="宋体" w:cs="宋体"/>
                <w:szCs w:val="21"/>
                <w:highlight w:val="none"/>
              </w:rPr>
            </w:pPr>
            <w:r>
              <w:rPr>
                <w:rFonts w:hint="eastAsia" w:ascii="宋体" w:hAnsi="宋体" w:cs="宋体"/>
                <w:szCs w:val="21"/>
                <w:highlight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4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539" w:firstLineChars="257"/>
              <w:rPr>
                <w:rFonts w:hint="eastAsia" w:ascii="宋体" w:hAnsi="宋体" w:cs="宋体"/>
                <w:szCs w:val="21"/>
                <w:highlight w:val="none"/>
              </w:rPr>
            </w:pPr>
            <w:r>
              <w:rPr>
                <w:rFonts w:hint="eastAsia" w:ascii="宋体" w:hAnsi="宋体" w:cs="宋体"/>
                <w:szCs w:val="21"/>
                <w:highlight w:val="none"/>
                <w:lang w:val="en-US" w:eastAsia="zh-CN"/>
              </w:rPr>
              <w:t>44</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szCs w:val="21"/>
                <w:highlight w:val="none"/>
              </w:rPr>
            </w:pPr>
            <w:r>
              <w:rPr>
                <w:rFonts w:hint="eastAsia" w:ascii="宋体" w:hAnsi="宋体" w:cs="宋体"/>
                <w:szCs w:val="21"/>
                <w:highlight w:val="none"/>
                <w:lang w:val="en-US" w:eastAsia="zh-CN"/>
              </w:rPr>
              <w:t>贡献度指标</w:t>
            </w:r>
            <w:r>
              <w:rPr>
                <w:rFonts w:hint="eastAsia" w:ascii="宋体" w:hAnsi="宋体" w:cs="宋体"/>
                <w:szCs w:val="21"/>
                <w:highlight w:val="none"/>
                <w:lang w:val="en-US" w:eastAsia="zh-CN"/>
              </w:rPr>
              <w:br w:type="textWrapping"/>
            </w:r>
            <w:r>
              <w:rPr>
                <w:rFonts w:hint="eastAsia" w:ascii="宋体" w:hAnsi="宋体" w:cs="宋体"/>
                <w:szCs w:val="21"/>
                <w:highlight w:val="none"/>
                <w:lang w:val="en-US" w:eastAsia="zh-CN"/>
              </w:rPr>
              <w:t>（权重40%）</w:t>
            </w:r>
          </w:p>
        </w:tc>
        <w:tc>
          <w:tcPr>
            <w:tcW w:w="59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default" w:ascii="宋体" w:hAnsi="宋体" w:cs="宋体"/>
                <w:szCs w:val="21"/>
                <w:highlight w:val="none"/>
                <w:lang w:val="en-US"/>
              </w:rPr>
            </w:pPr>
            <w:r>
              <w:rPr>
                <w:rFonts w:hint="eastAsia" w:ascii="宋体" w:hAnsi="宋体" w:cs="宋体"/>
                <w:szCs w:val="21"/>
                <w:highlight w:val="none"/>
                <w:lang w:val="en-US" w:eastAsia="zh-CN"/>
              </w:rPr>
              <w:t>以阿克陶县各家银行招标日前季度末贷款余额占阿克陶县银行全部贷款余额总额的比重进行排名，排名第一得40分，从第二名开始依次递减5分，排名相同，按同档计分。</w:t>
            </w:r>
          </w:p>
        </w:tc>
        <w:tc>
          <w:tcPr>
            <w:tcW w:w="1080" w:type="dxa"/>
            <w:tcBorders>
              <w:top w:val="single" w:color="000000" w:sz="4" w:space="0"/>
              <w:left w:val="single" w:color="auto" w:sz="4" w:space="0"/>
              <w:bottom w:val="single" w:color="000000" w:sz="4" w:space="0"/>
              <w:right w:val="single" w:color="000000" w:sz="4" w:space="0"/>
            </w:tcBorders>
            <w:noWrap w:val="0"/>
            <w:vAlign w:val="center"/>
          </w:tcPr>
          <w:p>
            <w:pPr>
              <w:spacing w:line="440" w:lineRule="exact"/>
              <w:ind w:firstLine="539" w:firstLineChars="257"/>
              <w:rPr>
                <w:rFonts w:hint="eastAsia" w:ascii="宋体" w:hAnsi="宋体" w:cs="宋体"/>
                <w:szCs w:val="21"/>
                <w:highlight w:val="none"/>
              </w:rPr>
            </w:pPr>
            <w:r>
              <w:rPr>
                <w:rFonts w:hint="eastAsia" w:ascii="宋体" w:hAnsi="宋体" w:cs="宋体"/>
                <w:szCs w:val="21"/>
                <w:highlight w:val="none"/>
                <w:lang w:val="en-US" w:eastAsia="zh-CN"/>
              </w:rPr>
              <w:t>40</w:t>
            </w:r>
          </w:p>
        </w:tc>
      </w:tr>
    </w:tbl>
    <w:p>
      <w:pPr>
        <w:spacing w:line="440" w:lineRule="exact"/>
        <w:ind w:firstLine="210" w:firstLineChars="100"/>
        <w:rPr>
          <w:rFonts w:ascii="宋体" w:hAnsi="宋体" w:cs="宋体"/>
          <w:szCs w:val="21"/>
          <w:highlight w:val="none"/>
        </w:rPr>
      </w:pPr>
      <w:r>
        <w:rPr>
          <w:rFonts w:hint="eastAsia" w:ascii="宋体" w:hAnsi="宋体" w:cs="宋体"/>
          <w:szCs w:val="21"/>
          <w:highlight w:val="none"/>
        </w:rPr>
        <w:t>备注:1、根据《政府采购服务和服务招投标管理办法》第87号令第六十条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40" w:lineRule="exact"/>
        <w:ind w:firstLine="539" w:firstLineChars="257"/>
        <w:rPr>
          <w:rFonts w:ascii="宋体" w:hAnsi="宋体" w:cs="宋体"/>
          <w:szCs w:val="21"/>
          <w:highlight w:val="none"/>
        </w:rPr>
      </w:pPr>
      <w:r>
        <w:rPr>
          <w:rFonts w:hint="eastAsia" w:ascii="宋体" w:hAnsi="宋体" w:cs="宋体"/>
          <w:szCs w:val="21"/>
          <w:highlight w:val="none"/>
        </w:rPr>
        <w:t>2、供应商在评标过程中，所进行的力图影响评标结果的不符合招标规则的活动，可能导致其被取消中标资格。</w:t>
      </w:r>
    </w:p>
    <w:p>
      <w:pPr>
        <w:spacing w:line="440" w:lineRule="exact"/>
        <w:ind w:firstLine="539" w:firstLineChars="257"/>
        <w:rPr>
          <w:rFonts w:ascii="宋体" w:hAnsi="宋体" w:cs="宋体"/>
          <w:szCs w:val="21"/>
          <w:highlight w:val="none"/>
        </w:rPr>
      </w:pPr>
      <w:r>
        <w:rPr>
          <w:rFonts w:hint="eastAsia" w:ascii="宋体" w:hAnsi="宋体" w:cs="宋体"/>
          <w:szCs w:val="21"/>
          <w:highlight w:val="none"/>
        </w:rPr>
        <w:t>3、与磋商文件有重大偏离的投标文件将被拒绝。</w:t>
      </w:r>
    </w:p>
    <w:p>
      <w:pPr>
        <w:spacing w:line="440" w:lineRule="exact"/>
        <w:ind w:firstLine="539" w:firstLineChars="257"/>
        <w:rPr>
          <w:rFonts w:ascii="宋体" w:hAnsi="宋体" w:cs="宋体"/>
          <w:szCs w:val="21"/>
          <w:highlight w:val="none"/>
        </w:rPr>
      </w:pPr>
      <w:r>
        <w:rPr>
          <w:rFonts w:hint="eastAsia" w:ascii="宋体" w:hAnsi="宋体" w:cs="宋体"/>
          <w:szCs w:val="21"/>
          <w:highlight w:val="none"/>
        </w:rPr>
        <w:t>附：对于商务部分（投标报价）的评分，按以下方法进行：价格分统一采用</w:t>
      </w:r>
      <w:r>
        <w:rPr>
          <w:rFonts w:hint="eastAsia" w:ascii="宋体" w:hAnsi="宋体" w:cs="宋体"/>
          <w:szCs w:val="21"/>
          <w:highlight w:val="none"/>
          <w:lang w:eastAsia="zh-CN"/>
        </w:rPr>
        <w:t>高</w:t>
      </w:r>
      <w:r>
        <w:rPr>
          <w:rFonts w:hint="eastAsia" w:ascii="宋体" w:hAnsi="宋体" w:cs="宋体"/>
          <w:szCs w:val="21"/>
          <w:highlight w:val="none"/>
        </w:rPr>
        <w:t>价优先法计算，即满足磋商文件要求且评标价格最</w:t>
      </w:r>
      <w:r>
        <w:rPr>
          <w:rFonts w:hint="eastAsia" w:ascii="宋体" w:hAnsi="宋体" w:cs="宋体"/>
          <w:szCs w:val="21"/>
          <w:highlight w:val="none"/>
          <w:lang w:eastAsia="zh-CN"/>
        </w:rPr>
        <w:t>高</w:t>
      </w:r>
      <w:r>
        <w:rPr>
          <w:rFonts w:hint="eastAsia" w:ascii="宋体" w:hAnsi="宋体" w:cs="宋体"/>
          <w:szCs w:val="21"/>
          <w:highlight w:val="none"/>
        </w:rPr>
        <w:t>的报价为评标基准价，其价格分为满分。其他投标人的价格分统一按照下列公式计算：报价得分=(评标基准价／评标价格)×</w:t>
      </w:r>
      <w:r>
        <w:rPr>
          <w:rFonts w:hint="eastAsia" w:ascii="宋体" w:hAnsi="宋体" w:cs="宋体"/>
          <w:szCs w:val="21"/>
          <w:highlight w:val="none"/>
          <w:lang w:val="en-US" w:eastAsia="zh-CN"/>
        </w:rPr>
        <w:t>20</w:t>
      </w:r>
      <w:r>
        <w:rPr>
          <w:rFonts w:hint="eastAsia" w:ascii="宋体" w:hAnsi="宋体" w:cs="宋体"/>
          <w:szCs w:val="21"/>
          <w:highlight w:val="none"/>
        </w:rPr>
        <w:t>%×100</w:t>
      </w:r>
    </w:p>
    <w:bookmarkEnd w:id="87"/>
    <w:p>
      <w:pPr>
        <w:spacing w:line="440" w:lineRule="exact"/>
        <w:ind w:firstLine="539" w:firstLineChars="257"/>
        <w:rPr>
          <w:rFonts w:ascii="宋体" w:hAnsi="宋体" w:cs="宋体"/>
          <w:szCs w:val="21"/>
          <w:highlight w:val="none"/>
        </w:rPr>
      </w:pPr>
      <w:r>
        <w:rPr>
          <w:rFonts w:hint="eastAsia" w:ascii="宋体" w:hAnsi="宋体" w:cs="宋体"/>
          <w:szCs w:val="21"/>
          <w:highlight w:val="none"/>
        </w:rPr>
        <w:t>4、各评标委员会成员对每个投标人的上述指标的打分（除报价外）的算术平均分，加上经计算的报价得分，即为该投标人的最终综合评估分。评标委员会将按投标人得分顺序由高到低依次排名，得分相同的，按投标报价由低到高顺序排列。得分及报价相同的，按技术指标优劣顺序排列。得分最高的前一名至前三名投标人将成为成交候选人。</w:t>
      </w:r>
    </w:p>
    <w:p>
      <w:pPr>
        <w:spacing w:line="440" w:lineRule="exact"/>
        <w:ind w:firstLine="539" w:firstLineChars="257"/>
        <w:rPr>
          <w:rFonts w:ascii="宋体" w:hAnsi="宋体" w:cs="宋体"/>
          <w:szCs w:val="21"/>
          <w:highlight w:val="none"/>
        </w:rPr>
      </w:pPr>
      <w:r>
        <w:rPr>
          <w:rFonts w:hint="eastAsia" w:ascii="宋体" w:hAnsi="宋体" w:cs="宋体"/>
          <w:szCs w:val="21"/>
          <w:highlight w:val="none"/>
        </w:rPr>
        <w:t>5、最低报价不作为评标的唯一依据。采购人不承诺将合同授予报价最低的投标人。</w:t>
      </w:r>
    </w:p>
    <w:p>
      <w:pPr>
        <w:spacing w:line="440" w:lineRule="exact"/>
        <w:ind w:firstLine="539" w:firstLineChars="257"/>
        <w:rPr>
          <w:rFonts w:ascii="宋体" w:hAnsi="宋体" w:cs="宋体"/>
          <w:szCs w:val="21"/>
          <w:highlight w:val="none"/>
        </w:rPr>
      </w:pPr>
      <w:r>
        <w:rPr>
          <w:rFonts w:hint="eastAsia" w:ascii="宋体" w:hAnsi="宋体" w:cs="宋体"/>
          <w:szCs w:val="21"/>
          <w:highlight w:val="none"/>
        </w:rPr>
        <w:t>6、经评标委员会评议，认为投标报价过高、超出采购人预算的项目，可以不确立中标人，做为废标处理。</w:t>
      </w:r>
    </w:p>
    <w:bookmarkEnd w:id="80"/>
    <w:p>
      <w:pPr>
        <w:snapToGrid w:val="0"/>
        <w:spacing w:line="400" w:lineRule="exact"/>
        <w:ind w:firstLine="420" w:firstLineChars="200"/>
        <w:rPr>
          <w:rFonts w:ascii="宋体" w:hAnsi="宋体"/>
          <w:b/>
          <w:szCs w:val="21"/>
          <w:highlight w:val="none"/>
        </w:rPr>
      </w:pPr>
      <w:r>
        <w:rPr>
          <w:rFonts w:hint="eastAsia" w:ascii="宋体" w:hAnsi="宋体"/>
          <w:b/>
          <w:szCs w:val="21"/>
          <w:highlight w:val="none"/>
        </w:rPr>
        <w:t>12.无效投标条款</w:t>
      </w:r>
    </w:p>
    <w:p>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12.1投标文件有下列情形之一的,其投标文件拒收:</w:t>
      </w:r>
    </w:p>
    <w:p>
      <w:pPr>
        <w:snapToGrid w:val="0"/>
        <w:spacing w:line="400" w:lineRule="exact"/>
        <w:rPr>
          <w:rFonts w:ascii="宋体" w:hAnsi="宋体" w:cs="宋体"/>
          <w:b/>
          <w:bCs/>
          <w:szCs w:val="21"/>
          <w:highlight w:val="none"/>
        </w:rPr>
      </w:pPr>
      <w:r>
        <w:rPr>
          <w:rFonts w:hint="eastAsia" w:ascii="宋体" w:hAnsi="宋体" w:cs="宋体"/>
          <w:szCs w:val="21"/>
          <w:highlight w:val="none"/>
        </w:rPr>
        <w:t xml:space="preserve">   </w:t>
      </w:r>
      <w:r>
        <w:rPr>
          <w:rFonts w:hint="eastAsia" w:ascii="宋体" w:hAnsi="宋体" w:cs="宋体"/>
          <w:b/>
          <w:bCs/>
          <w:szCs w:val="21"/>
          <w:highlight w:val="none"/>
        </w:rPr>
        <w:t xml:space="preserve"> (1) 未在开标截止时间前通过网上招标投标系统递交有效电子投标文件的，开标系统不予接收。</w:t>
      </w:r>
    </w:p>
    <w:p>
      <w:pPr>
        <w:snapToGrid w:val="0"/>
        <w:spacing w:line="400" w:lineRule="exact"/>
        <w:ind w:firstLine="420" w:firstLineChars="200"/>
        <w:rPr>
          <w:rFonts w:ascii="宋体" w:hAnsi="宋体" w:cs="宋体"/>
          <w:b/>
          <w:bCs/>
          <w:szCs w:val="21"/>
          <w:highlight w:val="none"/>
        </w:rPr>
      </w:pPr>
      <w:r>
        <w:rPr>
          <w:rFonts w:hint="eastAsia" w:ascii="宋体" w:hAnsi="宋体" w:cs="宋体"/>
          <w:b/>
          <w:bCs/>
          <w:szCs w:val="21"/>
          <w:highlight w:val="none"/>
        </w:rPr>
        <w:t>（2）</w:t>
      </w:r>
      <w:r>
        <w:rPr>
          <w:rFonts w:hint="eastAsia" w:ascii="宋体" w:hAnsi="宋体"/>
          <w:b/>
          <w:szCs w:val="21"/>
          <w:highlight w:val="none"/>
        </w:rPr>
        <w:t>所有投标人应在规定时间里完成投标文件的解密工作</w:t>
      </w:r>
      <w:r>
        <w:rPr>
          <w:rFonts w:hint="eastAsia" w:ascii="宋体" w:hAnsi="宋体"/>
          <w:b/>
          <w:bCs/>
          <w:szCs w:val="21"/>
          <w:highlight w:val="none"/>
        </w:rPr>
        <w:t>【投标人使用其有效加密锁（CA锁）进行解密（因投标人原因未能提供有效CA锁对其投标文件进行解密的，其投标文件按无效标处理），以网上招投标系统解密倒计时为准】</w:t>
      </w:r>
      <w:r>
        <w:rPr>
          <w:rFonts w:hint="eastAsia" w:ascii="宋体" w:hAnsi="宋体"/>
          <w:b/>
          <w:szCs w:val="21"/>
          <w:highlight w:val="none"/>
        </w:rPr>
        <w:t>，因系统原因未能成功解密的投标文件，可导入备份投标文件。备份投标文件也无法导入的，则投标文件被否决。</w:t>
      </w:r>
    </w:p>
    <w:p>
      <w:pPr>
        <w:snapToGrid w:val="0"/>
        <w:spacing w:line="400" w:lineRule="exact"/>
        <w:rPr>
          <w:rFonts w:ascii="宋体" w:hAnsi="宋体" w:cs="宋体"/>
          <w:szCs w:val="21"/>
          <w:highlight w:val="none"/>
        </w:rPr>
      </w:pPr>
      <w:r>
        <w:rPr>
          <w:rFonts w:hint="eastAsia" w:ascii="宋体" w:hAnsi="宋体" w:cs="宋体"/>
          <w:szCs w:val="21"/>
          <w:highlight w:val="none"/>
        </w:rPr>
        <w:t xml:space="preserve">  12.2投标人有下列情形之一的,资格审查后其投标作无效投标处理：</w:t>
      </w:r>
    </w:p>
    <w:p>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(1)法定代表人参加开标会议未携带有效的法定代表人身份证明原件和本人身份证的；委托代理人参加开标会议未携带有效的法定代表人授权书和本人身份证；</w:t>
      </w:r>
    </w:p>
    <w:p>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(2)投标人为本项目提供招标代理服务的；</w:t>
      </w:r>
    </w:p>
    <w:p>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(3)投标人与在本项目代理机构存在相互任职或工作的；</w:t>
      </w:r>
    </w:p>
    <w:p>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(4)投标保证金未按规定要求缴纳的；</w:t>
      </w:r>
    </w:p>
    <w:p>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(5)</w:t>
      </w:r>
      <w:r>
        <w:rPr>
          <w:rFonts w:hint="eastAsia" w:ascii="宋体" w:hAnsi="宋体"/>
          <w:b/>
          <w:bCs/>
          <w:szCs w:val="21"/>
          <w:highlight w:val="none"/>
        </w:rPr>
        <w:t>评标专家无法查看并检验电子标书中相关资料的；</w:t>
      </w:r>
    </w:p>
    <w:p>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(6)联合体投标未提交联合体协议的；</w:t>
      </w:r>
    </w:p>
    <w:p>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(7)被暂停营业的；</w:t>
      </w:r>
    </w:p>
    <w:p>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(8)被暂停或取消投标资格的；</w:t>
      </w:r>
    </w:p>
    <w:p>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(9)财产被接管或冻结的；</w:t>
      </w:r>
    </w:p>
    <w:p>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(10)投标人单位负责人为同一人或者存在控股、管理关系的不同单位的；</w:t>
      </w:r>
    </w:p>
    <w:p>
      <w:pPr>
        <w:snapToGrid w:val="0"/>
        <w:spacing w:line="400" w:lineRule="exact"/>
        <w:ind w:firstLine="315" w:firstLineChars="150"/>
        <w:rPr>
          <w:rFonts w:ascii="宋体" w:hAnsi="宋体" w:cs="宋体"/>
          <w:szCs w:val="21"/>
          <w:highlight w:val="none"/>
        </w:rPr>
      </w:pPr>
      <w:r>
        <w:rPr>
          <w:rFonts w:hint="eastAsia" w:ascii="宋体" w:hAnsi="宋体" w:cs="宋体"/>
          <w:szCs w:val="21"/>
          <w:highlight w:val="none"/>
        </w:rPr>
        <w:t>（11）投标人基本资格条件和特定资格条件中有一项及以上不符合要求的；</w:t>
      </w:r>
    </w:p>
    <w:p>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（12）投标人使用相同的MAC地址进行报名的；</w:t>
      </w:r>
    </w:p>
    <w:p>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（13）其它情形，经评标委员会委提出按无效投标处理，并经公共资源交易监督部门核准的；</w:t>
      </w:r>
    </w:p>
    <w:p>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（14）投标人使用相同IP地址报名的，一经发现，监管部门将进一步核实，查实后按串通投标处理；</w:t>
      </w:r>
    </w:p>
    <w:p>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（15）采购文件规定的其它无效投标情形。</w:t>
      </w:r>
    </w:p>
    <w:p>
      <w:pPr>
        <w:snapToGrid w:val="0"/>
        <w:spacing w:line="400" w:lineRule="exact"/>
        <w:rPr>
          <w:rFonts w:ascii="宋体" w:hAnsi="宋体" w:cs="宋体"/>
          <w:szCs w:val="21"/>
          <w:highlight w:val="none"/>
        </w:rPr>
      </w:pPr>
      <w:r>
        <w:rPr>
          <w:rFonts w:hint="eastAsia" w:ascii="宋体" w:hAnsi="宋体" w:cs="宋体"/>
          <w:szCs w:val="21"/>
          <w:highlight w:val="none"/>
        </w:rPr>
        <w:t xml:space="preserve">   12.3 投标人有下列情形之一的,符合性审查后其投标按无效投标处理：</w:t>
      </w:r>
    </w:p>
    <w:p>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(1) 投标文件签字、盖章不全，经评标委员会一致认定对开评标内容有实质性影响并经监督部门核准的；</w:t>
      </w:r>
    </w:p>
    <w:p>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(2)未按规定的格式填写，实质性内容不全或关键字迹模糊、无法辨认; 经监督部门核准的；</w:t>
      </w:r>
    </w:p>
    <w:p>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(4)同一投标人提交两个以上不同的投标文件或者投标报价，但采购文件规定提交备选方案的除外；</w:t>
      </w:r>
    </w:p>
    <w:p>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(3)投标文件没有对采购文件的实质性要求和条件作出响应;</w:t>
      </w:r>
    </w:p>
    <w:p>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(4)投标报价超出规定的投标限价或公布的采购预算的；注：投标人的投标报价各项单价均不得高于磋商文件给定的单价最高限价，否则，其投标文件将按无效投标处理。</w:t>
      </w:r>
    </w:p>
    <w:p>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(5)不按评标委员会要求澄清、说明或补正的，或者评标委员会根据采购文件的规定对采购文件的计算错误进行修正后，投标人不接受修正的投标报价的。</w:t>
      </w:r>
    </w:p>
    <w:p>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（6）其它情形，经评标委员会委提出按无效投标处理，并经公共资源交易监督部门核准的；</w:t>
      </w:r>
    </w:p>
    <w:p>
      <w:pPr>
        <w:widowControl/>
        <w:spacing w:line="500" w:lineRule="exact"/>
        <w:ind w:firstLine="420" w:firstLineChars="200"/>
        <w:jc w:val="left"/>
        <w:rPr>
          <w:rFonts w:ascii="Tahoma" w:hAnsi="Tahoma" w:eastAsia="Tahoma" w:cs="Tahoma"/>
          <w:szCs w:val="21"/>
          <w:highlight w:val="none"/>
        </w:rPr>
      </w:pPr>
      <w:r>
        <w:rPr>
          <w:rFonts w:hint="eastAsia" w:ascii="宋体" w:hAnsi="宋体" w:cs="宋体"/>
          <w:szCs w:val="21"/>
          <w:highlight w:val="none"/>
        </w:rPr>
        <w:t>（7）</w:t>
      </w:r>
      <w:r>
        <w:rPr>
          <w:rFonts w:ascii="Tahoma" w:hAnsi="Tahoma" w:eastAsia="Tahoma" w:cs="Tahoma"/>
          <w:kern w:val="0"/>
          <w:szCs w:val="21"/>
          <w:highlight w:val="none"/>
          <w:shd w:val="clear" w:color="auto" w:fill="FFFFFF"/>
          <w:lang w:bidi="ar"/>
        </w:rPr>
        <w:t>未按照</w:t>
      </w:r>
      <w:r>
        <w:rPr>
          <w:rFonts w:hint="eastAsia" w:ascii="Tahoma" w:hAnsi="Tahoma" w:cs="Tahoma"/>
          <w:kern w:val="0"/>
          <w:szCs w:val="21"/>
          <w:highlight w:val="none"/>
          <w:shd w:val="clear" w:color="auto" w:fill="FFFFFF"/>
          <w:lang w:bidi="ar"/>
        </w:rPr>
        <w:t>磋商文件</w:t>
      </w:r>
      <w:r>
        <w:rPr>
          <w:rFonts w:ascii="Tahoma" w:hAnsi="Tahoma" w:eastAsia="Tahoma" w:cs="Tahoma"/>
          <w:kern w:val="0"/>
          <w:szCs w:val="21"/>
          <w:highlight w:val="none"/>
          <w:shd w:val="clear" w:color="auto" w:fill="FFFFFF"/>
          <w:lang w:bidi="ar"/>
        </w:rPr>
        <w:t>的规定提交投标保证金的；</w:t>
      </w:r>
    </w:p>
    <w:p>
      <w:pPr>
        <w:widowControl/>
        <w:spacing w:line="500" w:lineRule="exact"/>
        <w:ind w:firstLine="420" w:firstLineChars="200"/>
        <w:jc w:val="left"/>
        <w:rPr>
          <w:rFonts w:ascii="Tahoma" w:hAnsi="Tahoma" w:eastAsia="Tahoma" w:cs="Tahoma"/>
          <w:szCs w:val="21"/>
          <w:highlight w:val="none"/>
        </w:rPr>
      </w:pPr>
      <w:r>
        <w:rPr>
          <w:rFonts w:hint="eastAsia" w:ascii="宋体" w:hAnsi="宋体" w:cs="宋体"/>
          <w:szCs w:val="21"/>
          <w:highlight w:val="none"/>
        </w:rPr>
        <w:t>（8）</w:t>
      </w:r>
      <w:r>
        <w:rPr>
          <w:rFonts w:ascii="Tahoma" w:hAnsi="Tahoma" w:eastAsia="Tahoma" w:cs="Tahoma"/>
          <w:kern w:val="0"/>
          <w:szCs w:val="21"/>
          <w:highlight w:val="none"/>
          <w:shd w:val="clear" w:color="auto" w:fill="FFFFFF"/>
          <w:lang w:bidi="ar"/>
        </w:rPr>
        <w:t>投标文件含有采购人不能接受的附加条件的;</w:t>
      </w:r>
    </w:p>
    <w:p>
      <w:pPr>
        <w:tabs>
          <w:tab w:val="left" w:pos="1123"/>
        </w:tabs>
        <w:snapToGrid w:val="0"/>
        <w:spacing w:line="500" w:lineRule="exact"/>
        <w:ind w:firstLine="420" w:firstLineChars="200"/>
        <w:rPr>
          <w:rFonts w:ascii="宋体" w:hAnsi="宋体" w:cs="宋体"/>
          <w:szCs w:val="21"/>
          <w:highlight w:val="none"/>
        </w:rPr>
      </w:pPr>
      <w:r>
        <w:rPr>
          <w:rFonts w:hint="eastAsia" w:ascii="宋体" w:hAnsi="宋体" w:cs="宋体"/>
          <w:szCs w:val="21"/>
          <w:highlight w:val="none"/>
        </w:rPr>
        <w:t>（9）采购文件规定的其它无效投标情形。</w:t>
      </w:r>
    </w:p>
    <w:p>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12.4 投标人有下列情形之一的, 详细评审后其投标按无效投标处理：</w:t>
      </w:r>
    </w:p>
    <w:p>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(1)投标产品不符合必须强制执行的国家标准的；</w:t>
      </w:r>
    </w:p>
    <w:p>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(2)投标人有串通投标、弄虚作假、行贿等违法行为；</w:t>
      </w:r>
    </w:p>
    <w:p>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(3)投标文件含有违反国家法律、法规的内容，或附有招标人不能接受的条件的；</w:t>
      </w:r>
    </w:p>
    <w:p>
      <w:pPr>
        <w:spacing w:line="360" w:lineRule="auto"/>
        <w:ind w:firstLine="315" w:firstLineChars="150"/>
        <w:rPr>
          <w:rFonts w:ascii="宋体" w:hAnsi="宋体" w:cs="宋体"/>
          <w:szCs w:val="21"/>
          <w:highlight w:val="none"/>
        </w:rPr>
      </w:pPr>
      <w:r>
        <w:rPr>
          <w:rFonts w:hint="eastAsia" w:ascii="宋体" w:hAnsi="宋体" w:cs="宋体"/>
          <w:szCs w:val="21"/>
          <w:highlight w:val="none"/>
        </w:rPr>
        <w:t>（4）在同一项目（或同一标段）中有多个投标人有效投标报价接近最高限价，且评标委员会认为报价出现异常的，可以宣布其投标无效；</w:t>
      </w:r>
    </w:p>
    <w:p>
      <w:pPr>
        <w:spacing w:line="360" w:lineRule="auto"/>
        <w:ind w:firstLine="315" w:firstLineChars="150"/>
        <w:rPr>
          <w:rFonts w:ascii="宋体" w:hAnsi="宋体" w:cs="宋体"/>
          <w:szCs w:val="21"/>
          <w:highlight w:val="none"/>
        </w:rPr>
      </w:pPr>
      <w:r>
        <w:rPr>
          <w:rFonts w:hint="eastAsia" w:ascii="宋体" w:hAnsi="宋体" w:cs="宋体"/>
          <w:szCs w:val="21"/>
          <w:highlight w:val="none"/>
        </w:rPr>
        <w:t>（5）</w:t>
      </w:r>
      <w:r>
        <w:rPr>
          <w:rFonts w:ascii="宋体" w:hAnsi="宋体" w:cs="宋体"/>
          <w:szCs w:val="21"/>
          <w:highlight w:val="none"/>
        </w:rPr>
        <w:t>报价明显低于其他投标人，且不能证明报价合理性的投标无效</w:t>
      </w:r>
      <w:r>
        <w:rPr>
          <w:rFonts w:hint="eastAsia" w:ascii="宋体" w:hAnsi="宋体" w:cs="宋体"/>
          <w:szCs w:val="21"/>
          <w:highlight w:val="none"/>
        </w:rPr>
        <w:t>；</w:t>
      </w:r>
    </w:p>
    <w:p>
      <w:pPr>
        <w:spacing w:line="360" w:lineRule="auto"/>
        <w:ind w:firstLine="315" w:firstLineChars="150"/>
        <w:rPr>
          <w:rFonts w:ascii="宋体" w:hAnsi="宋体" w:cs="宋体"/>
          <w:szCs w:val="21"/>
          <w:highlight w:val="none"/>
        </w:rPr>
      </w:pPr>
      <w:r>
        <w:rPr>
          <w:rFonts w:hint="eastAsia" w:ascii="宋体" w:hAnsi="宋体" w:cs="宋体"/>
          <w:szCs w:val="21"/>
          <w:highlight w:val="none"/>
        </w:rPr>
        <w:t>（6）</w:t>
      </w:r>
      <w:r>
        <w:rPr>
          <w:rFonts w:ascii="宋体" w:hAnsi="宋体" w:cs="宋体"/>
          <w:szCs w:val="21"/>
          <w:highlight w:val="none"/>
        </w:rPr>
        <w:t>拒不确认评标委员会评审修正的投标无效</w:t>
      </w:r>
      <w:r>
        <w:rPr>
          <w:rFonts w:hint="eastAsia" w:ascii="宋体" w:hAnsi="宋体" w:cs="宋体"/>
          <w:szCs w:val="21"/>
          <w:highlight w:val="none"/>
        </w:rPr>
        <w:t>；</w:t>
      </w:r>
    </w:p>
    <w:p>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（7）其它情形，经评标委员会委提出按无效投标处理，并经公共资源交易监督部门核准的；</w:t>
      </w:r>
    </w:p>
    <w:p>
      <w:pPr>
        <w:snapToGrid w:val="0"/>
        <w:spacing w:line="400" w:lineRule="exact"/>
        <w:ind w:firstLine="420" w:firstLineChars="200"/>
        <w:rPr>
          <w:rFonts w:ascii="宋体"/>
          <w:szCs w:val="21"/>
          <w:highlight w:val="none"/>
        </w:rPr>
      </w:pPr>
      <w:r>
        <w:rPr>
          <w:rFonts w:hint="eastAsia" w:ascii="宋体" w:hAnsi="宋体" w:cs="宋体"/>
          <w:szCs w:val="21"/>
          <w:highlight w:val="none"/>
        </w:rPr>
        <w:t>（8）采购文件规定的其它无效投标情形。</w:t>
      </w:r>
    </w:p>
    <w:p>
      <w:pPr>
        <w:pageBreakBefore/>
        <w:spacing w:line="360" w:lineRule="auto"/>
        <w:jc w:val="center"/>
        <w:outlineLvl w:val="0"/>
        <w:rPr>
          <w:rFonts w:ascii="宋体"/>
          <w:b/>
          <w:sz w:val="32"/>
          <w:szCs w:val="32"/>
          <w:highlight w:val="none"/>
        </w:rPr>
        <w:sectPr>
          <w:headerReference r:id="rId3" w:type="default"/>
          <w:footerReference r:id="rId4" w:type="default"/>
          <w:pgSz w:w="11906" w:h="16838"/>
          <w:pgMar w:top="1157" w:right="969" w:bottom="1157" w:left="969" w:header="851" w:footer="992" w:gutter="0"/>
          <w:pgNumType w:start="1"/>
          <w:cols w:space="720" w:num="1"/>
          <w:docGrid w:type="linesAndChars" w:linePitch="312" w:charSpace="0"/>
        </w:sectPr>
      </w:pPr>
      <w:bookmarkStart w:id="88" w:name="OLE_LINK4"/>
    </w:p>
    <w:p>
      <w:pPr>
        <w:pageBreakBefore/>
        <w:numPr>
          <w:ilvl w:val="0"/>
          <w:numId w:val="6"/>
        </w:numPr>
        <w:spacing w:line="360" w:lineRule="auto"/>
        <w:jc w:val="center"/>
        <w:outlineLvl w:val="0"/>
        <w:rPr>
          <w:rFonts w:hAnsi="宋体"/>
          <w:b/>
          <w:sz w:val="28"/>
          <w:szCs w:val="28"/>
          <w:highlight w:val="none"/>
        </w:rPr>
      </w:pPr>
      <w:r>
        <w:rPr>
          <w:rFonts w:hint="eastAsia" w:ascii="宋体"/>
          <w:b/>
          <w:sz w:val="32"/>
          <w:szCs w:val="32"/>
          <w:highlight w:val="none"/>
        </w:rPr>
        <w:t xml:space="preserve"> </w:t>
      </w:r>
      <w:bookmarkEnd w:id="81"/>
      <w:r>
        <w:rPr>
          <w:rFonts w:hint="eastAsia" w:ascii="宋体"/>
          <w:b/>
          <w:sz w:val="32"/>
          <w:szCs w:val="32"/>
          <w:highlight w:val="none"/>
        </w:rPr>
        <w:t>招标项目技术要求及服务内容</w:t>
      </w:r>
    </w:p>
    <w:p>
      <w:pPr>
        <w:pStyle w:val="2"/>
        <w:rPr>
          <w:rFonts w:hint="eastAsia" w:ascii="宋体"/>
          <w:szCs w:val="21"/>
          <w:highlight w:val="none"/>
        </w:rPr>
      </w:pPr>
      <w:r>
        <w:rPr>
          <w:rFonts w:hint="eastAsia" w:ascii="宋体"/>
          <w:szCs w:val="21"/>
          <w:highlight w:val="none"/>
        </w:rPr>
        <w:t>本项目为</w:t>
      </w:r>
      <w:r>
        <w:rPr>
          <w:rFonts w:hint="eastAsia" w:ascii="宋体"/>
          <w:szCs w:val="21"/>
          <w:highlight w:val="none"/>
          <w:lang w:eastAsia="zh-CN"/>
        </w:rPr>
        <w:t>2023年阿克陶县机关事业单位基本养老保险保值增值定期存款项目（二次）</w:t>
      </w:r>
      <w:r>
        <w:rPr>
          <w:rFonts w:hint="eastAsia" w:ascii="宋体"/>
          <w:szCs w:val="21"/>
          <w:highlight w:val="none"/>
        </w:rPr>
        <w:t>，本次招标遵循公开、公平、公正的原则，相关参数及要求由采购人提供的清单为准，具体要求详见清单，如下：</w:t>
      </w:r>
    </w:p>
    <w:p>
      <w:pPr>
        <w:pStyle w:val="2"/>
        <w:rPr>
          <w:rFonts w:hint="eastAsia" w:ascii="宋体"/>
          <w:szCs w:val="21"/>
          <w:highlight w:val="none"/>
        </w:rPr>
      </w:pPr>
      <w:r>
        <w:rPr>
          <w:rFonts w:hint="eastAsia" w:ascii="宋体"/>
          <w:szCs w:val="21"/>
          <w:highlight w:val="none"/>
        </w:rPr>
        <w:t>一、服务内容</w:t>
      </w:r>
    </w:p>
    <w:p>
      <w:pPr>
        <w:pStyle w:val="2"/>
        <w:rPr>
          <w:rFonts w:hint="eastAsia" w:ascii="宋体"/>
          <w:szCs w:val="21"/>
          <w:highlight w:val="none"/>
        </w:rPr>
      </w:pPr>
      <w:r>
        <w:rPr>
          <w:rFonts w:hint="eastAsia" w:ascii="宋体"/>
          <w:szCs w:val="21"/>
          <w:highlight w:val="none"/>
        </w:rPr>
        <w:t>1.参加本次竞争性磋商的供应商应严格遵照执行《自治区本级财政专户资金保值增值业务操作办法（暂行）》（新财库〔2019〕44号）及相关政策规定。</w:t>
      </w:r>
    </w:p>
    <w:p>
      <w:pPr>
        <w:pStyle w:val="2"/>
        <w:rPr>
          <w:rFonts w:hint="eastAsia" w:ascii="宋体"/>
          <w:szCs w:val="21"/>
          <w:highlight w:val="none"/>
        </w:rPr>
      </w:pPr>
      <w:r>
        <w:rPr>
          <w:rFonts w:hint="eastAsia" w:ascii="宋体"/>
          <w:szCs w:val="21"/>
          <w:highlight w:val="none"/>
        </w:rPr>
        <w:t>2.成交供应商对吸纳的定期存款的存放不得要求开立银行结算账户，成交供应商应加强对吸纳的定期存款的监督管理，确保定期存款资金安全。</w:t>
      </w:r>
    </w:p>
    <w:p>
      <w:pPr>
        <w:pStyle w:val="2"/>
        <w:rPr>
          <w:rFonts w:hint="eastAsia" w:ascii="宋体"/>
          <w:szCs w:val="21"/>
          <w:highlight w:val="none"/>
        </w:rPr>
      </w:pPr>
      <w:r>
        <w:rPr>
          <w:rFonts w:hint="eastAsia" w:ascii="宋体"/>
          <w:szCs w:val="21"/>
          <w:highlight w:val="none"/>
        </w:rPr>
        <w:t xml:space="preserve">3.成交供应商接受阿克陶县财政局和上级财政部门对财政专户资金和社保基金存放管理的监督和检查，遇有重大情况及时向财政部门报告，并保证信息的真实性和准确性。 </w:t>
      </w:r>
    </w:p>
    <w:p>
      <w:pPr>
        <w:pStyle w:val="2"/>
        <w:rPr>
          <w:rFonts w:hint="eastAsia" w:ascii="宋体"/>
          <w:szCs w:val="21"/>
          <w:highlight w:val="none"/>
        </w:rPr>
      </w:pPr>
      <w:r>
        <w:rPr>
          <w:rFonts w:hint="eastAsia" w:ascii="宋体"/>
          <w:szCs w:val="21"/>
          <w:highlight w:val="none"/>
        </w:rPr>
        <w:t>4.定期存款（含大额定期存单）利率以各供应商成交时承诺的存款利率计算。</w:t>
      </w:r>
    </w:p>
    <w:p>
      <w:pPr>
        <w:pStyle w:val="2"/>
        <w:rPr>
          <w:rFonts w:hint="eastAsia" w:ascii="宋体"/>
          <w:szCs w:val="21"/>
          <w:highlight w:val="none"/>
        </w:rPr>
      </w:pPr>
      <w:r>
        <w:rPr>
          <w:rFonts w:hint="eastAsia" w:ascii="宋体"/>
          <w:szCs w:val="21"/>
          <w:highlight w:val="none"/>
        </w:rPr>
        <w:t>5.存放资金的成交供应商应依法依规开展财政专户资金和社保基金存放业务，确保资金安全。未按规定办理资金存放业务，造成相关资金风险或损失的，要承担相应法律责任，并全额赔偿造成的损失。</w:t>
      </w:r>
    </w:p>
    <w:p>
      <w:pPr>
        <w:pStyle w:val="2"/>
        <w:rPr>
          <w:rFonts w:hint="eastAsia" w:ascii="宋体"/>
          <w:szCs w:val="21"/>
          <w:highlight w:val="none"/>
        </w:rPr>
      </w:pPr>
      <w:r>
        <w:rPr>
          <w:rFonts w:hint="eastAsia" w:ascii="宋体"/>
          <w:szCs w:val="21"/>
          <w:highlight w:val="none"/>
        </w:rPr>
        <w:t>6.磋商活动结束后，阿克陶县财政局将组织对各成交供应商的数据真实性检查和比对，如经查实数据为虚假数据的，将停止该行参与资格2年，并收回已经存放的资金，收回的额度在其他成交候选供应商顺延分配。</w:t>
      </w:r>
    </w:p>
    <w:p>
      <w:pPr>
        <w:pStyle w:val="2"/>
        <w:rPr>
          <w:rFonts w:hint="eastAsia" w:ascii="宋体"/>
          <w:szCs w:val="21"/>
          <w:highlight w:val="none"/>
        </w:rPr>
      </w:pPr>
      <w:r>
        <w:rPr>
          <w:rFonts w:hint="eastAsia" w:ascii="宋体"/>
          <w:szCs w:val="21"/>
          <w:highlight w:val="none"/>
        </w:rPr>
        <w:t>7.成交供应商出现以下行为或者情形之一的，应主动向财政局报告。财政局视情节轻重，将采取暂停资金存放业务、取消分配额度、收回已经存放资金等措施进行处理，同时成交供应商要承担违约责任。</w:t>
      </w:r>
    </w:p>
    <w:p>
      <w:pPr>
        <w:pStyle w:val="2"/>
        <w:rPr>
          <w:rFonts w:hint="eastAsia" w:ascii="宋体"/>
          <w:szCs w:val="21"/>
          <w:highlight w:val="none"/>
        </w:rPr>
      </w:pPr>
      <w:r>
        <w:rPr>
          <w:rFonts w:hint="eastAsia" w:ascii="宋体"/>
          <w:szCs w:val="21"/>
          <w:highlight w:val="none"/>
        </w:rPr>
        <w:t>（1）未按规定及时足额汇划到期本息的；</w:t>
      </w:r>
    </w:p>
    <w:p>
      <w:pPr>
        <w:pStyle w:val="2"/>
        <w:rPr>
          <w:rFonts w:hint="eastAsia" w:ascii="宋体"/>
          <w:szCs w:val="21"/>
          <w:highlight w:val="none"/>
        </w:rPr>
      </w:pPr>
      <w:r>
        <w:rPr>
          <w:rFonts w:hint="eastAsia" w:ascii="宋体"/>
          <w:szCs w:val="21"/>
          <w:highlight w:val="none"/>
        </w:rPr>
        <w:t>（2）出现重大违法违规，导致财务恶化或引起信用危机的；</w:t>
      </w:r>
    </w:p>
    <w:p>
      <w:pPr>
        <w:pStyle w:val="2"/>
        <w:rPr>
          <w:rFonts w:hint="eastAsia" w:ascii="宋体"/>
          <w:szCs w:val="21"/>
          <w:highlight w:val="none"/>
        </w:rPr>
      </w:pPr>
      <w:r>
        <w:rPr>
          <w:rFonts w:hint="eastAsia" w:ascii="宋体"/>
          <w:szCs w:val="21"/>
          <w:highlight w:val="none"/>
        </w:rPr>
        <w:t>（3）出现重大安全风险事件或者经营状况影响资金存放安全的；</w:t>
      </w:r>
    </w:p>
    <w:p>
      <w:pPr>
        <w:pStyle w:val="2"/>
        <w:rPr>
          <w:rFonts w:hint="eastAsia" w:ascii="宋体"/>
          <w:szCs w:val="21"/>
          <w:highlight w:val="none"/>
        </w:rPr>
      </w:pPr>
      <w:r>
        <w:rPr>
          <w:rFonts w:hint="eastAsia" w:ascii="宋体"/>
          <w:szCs w:val="21"/>
          <w:highlight w:val="none"/>
        </w:rPr>
        <w:t>（4）存在弄虚作假等严重不正当竞争行为的（包括提供文件资料和证明材料不真实，数据弄虚作假）；</w:t>
      </w:r>
    </w:p>
    <w:p>
      <w:pPr>
        <w:pStyle w:val="2"/>
        <w:rPr>
          <w:rFonts w:hint="eastAsia" w:ascii="宋体"/>
          <w:szCs w:val="21"/>
          <w:highlight w:val="none"/>
        </w:rPr>
      </w:pPr>
      <w:r>
        <w:rPr>
          <w:rFonts w:hint="eastAsia" w:ascii="宋体"/>
          <w:szCs w:val="21"/>
          <w:highlight w:val="none"/>
        </w:rPr>
        <w:t>（5）经核实未遵守廉政承诺或者在资金存放中存在其他利益输送行为的；</w:t>
      </w:r>
    </w:p>
    <w:p>
      <w:pPr>
        <w:pStyle w:val="2"/>
        <w:rPr>
          <w:rFonts w:hint="eastAsia" w:ascii="宋体"/>
          <w:szCs w:val="21"/>
          <w:highlight w:val="none"/>
        </w:rPr>
      </w:pPr>
      <w:r>
        <w:rPr>
          <w:rFonts w:hint="eastAsia" w:ascii="宋体"/>
          <w:szCs w:val="21"/>
          <w:highlight w:val="none"/>
        </w:rPr>
        <w:t>（6）可能危及财政专户资金和社保基金安全的其他情况。</w:t>
      </w:r>
    </w:p>
    <w:p>
      <w:pPr>
        <w:pStyle w:val="2"/>
        <w:rPr>
          <w:rFonts w:hint="eastAsia" w:ascii="宋体"/>
          <w:szCs w:val="21"/>
          <w:highlight w:val="none"/>
        </w:rPr>
      </w:pPr>
      <w:r>
        <w:rPr>
          <w:rFonts w:hint="eastAsia" w:ascii="宋体"/>
          <w:szCs w:val="21"/>
          <w:highlight w:val="none"/>
        </w:rPr>
        <w:t>8. 成交供应商指定的承办银行网点与定期存款最终存放银行网点一致，并承诺在中标后不得改变和转移。</w:t>
      </w:r>
    </w:p>
    <w:p>
      <w:pPr>
        <w:pStyle w:val="2"/>
        <w:rPr>
          <w:rFonts w:hint="eastAsia" w:ascii="宋体"/>
          <w:szCs w:val="21"/>
          <w:highlight w:val="none"/>
        </w:rPr>
      </w:pPr>
      <w:r>
        <w:rPr>
          <w:rFonts w:hint="eastAsia" w:ascii="宋体"/>
          <w:szCs w:val="21"/>
          <w:highlight w:val="none"/>
        </w:rPr>
        <w:t>9.采购人根据工作需求，有权提前支取定期大额存款。</w:t>
      </w:r>
    </w:p>
    <w:p>
      <w:pPr>
        <w:pStyle w:val="2"/>
        <w:rPr>
          <w:rFonts w:hint="eastAsia" w:ascii="宋体"/>
          <w:szCs w:val="21"/>
          <w:highlight w:val="none"/>
        </w:rPr>
      </w:pPr>
      <w:r>
        <w:rPr>
          <w:rFonts w:hint="eastAsia" w:ascii="宋体"/>
          <w:szCs w:val="21"/>
          <w:highlight w:val="none"/>
        </w:rPr>
        <w:t>10.严禁成交供应商将财政性资金存款购买理财产品。</w:t>
      </w:r>
    </w:p>
    <w:p>
      <w:pPr>
        <w:pStyle w:val="2"/>
        <w:rPr>
          <w:rFonts w:hint="eastAsia" w:ascii="宋体"/>
          <w:szCs w:val="21"/>
          <w:highlight w:val="none"/>
        </w:rPr>
      </w:pPr>
      <w:r>
        <w:rPr>
          <w:rFonts w:hint="eastAsia" w:ascii="宋体"/>
          <w:szCs w:val="21"/>
          <w:highlight w:val="none"/>
        </w:rPr>
        <w:t>11.提供存款证明一式两份。</w:t>
      </w:r>
    </w:p>
    <w:p>
      <w:pPr>
        <w:pStyle w:val="2"/>
        <w:rPr>
          <w:rFonts w:hint="eastAsia" w:ascii="宋体"/>
          <w:szCs w:val="21"/>
          <w:highlight w:val="none"/>
        </w:rPr>
      </w:pPr>
      <w:r>
        <w:rPr>
          <w:rFonts w:hint="eastAsia" w:ascii="宋体"/>
          <w:szCs w:val="21"/>
          <w:highlight w:val="none"/>
        </w:rPr>
        <w:t>12.本次竞争性磋商成交供应商1名。</w:t>
      </w:r>
    </w:p>
    <w:p>
      <w:pPr>
        <w:pStyle w:val="2"/>
        <w:rPr>
          <w:rFonts w:hint="eastAsia" w:ascii="宋体"/>
          <w:szCs w:val="21"/>
          <w:highlight w:val="none"/>
        </w:rPr>
      </w:pPr>
      <w:r>
        <w:rPr>
          <w:rFonts w:hint="eastAsia" w:ascii="宋体"/>
          <w:szCs w:val="21"/>
          <w:highlight w:val="none"/>
        </w:rPr>
        <w:t>13.根据磋商小组综合打分情况，综合得分排名第一名的供应商为本采购项目资金存放的成交供应商，如出现并列名次，以支持国有企业和中小微企业发展得分较高的供应商作为优先排名。</w:t>
      </w:r>
    </w:p>
    <w:p>
      <w:pPr>
        <w:pStyle w:val="2"/>
        <w:rPr>
          <w:rFonts w:hint="eastAsia" w:ascii="宋体"/>
          <w:szCs w:val="21"/>
          <w:highlight w:val="none"/>
        </w:rPr>
      </w:pPr>
      <w:r>
        <w:rPr>
          <w:rFonts w:hint="eastAsia" w:ascii="宋体"/>
          <w:szCs w:val="21"/>
          <w:highlight w:val="none"/>
        </w:rPr>
        <w:t>二、服务期限及地点：</w:t>
      </w:r>
    </w:p>
    <w:p>
      <w:pPr>
        <w:pStyle w:val="2"/>
        <w:rPr>
          <w:rFonts w:hint="eastAsia" w:ascii="宋体" w:eastAsia="宋体"/>
          <w:szCs w:val="21"/>
          <w:highlight w:val="none"/>
          <w:lang w:eastAsia="zh-CN"/>
        </w:rPr>
      </w:pPr>
      <w:r>
        <w:rPr>
          <w:rFonts w:hint="eastAsia" w:ascii="宋体"/>
          <w:szCs w:val="21"/>
          <w:highlight w:val="none"/>
        </w:rPr>
        <w:t>服务期限：本期存款期限一年。</w:t>
      </w:r>
      <w:r>
        <w:rPr>
          <w:rFonts w:hint="eastAsia" w:ascii="宋体"/>
          <w:szCs w:val="21"/>
          <w:highlight w:val="none"/>
          <w:lang w:eastAsia="zh-CN"/>
        </w:rPr>
        <w:t>（在服务期限内，甲方可自行调整资金定期存款分配，如定期一年、定期六个月、定期三个月）</w:t>
      </w:r>
    </w:p>
    <w:p>
      <w:pPr>
        <w:pStyle w:val="2"/>
        <w:rPr>
          <w:rFonts w:hint="eastAsia" w:ascii="宋体"/>
          <w:szCs w:val="21"/>
          <w:highlight w:val="none"/>
        </w:rPr>
      </w:pPr>
      <w:r>
        <w:rPr>
          <w:rFonts w:hint="eastAsia" w:ascii="宋体"/>
          <w:szCs w:val="21"/>
          <w:highlight w:val="none"/>
        </w:rPr>
        <w:t>服务地点：阿克陶县。</w:t>
      </w:r>
    </w:p>
    <w:p>
      <w:pPr>
        <w:pStyle w:val="2"/>
        <w:rPr>
          <w:rFonts w:hint="eastAsia" w:ascii="宋体"/>
          <w:szCs w:val="21"/>
          <w:highlight w:val="none"/>
        </w:rPr>
      </w:pPr>
      <w:r>
        <w:rPr>
          <w:rFonts w:hint="eastAsia" w:ascii="宋体"/>
          <w:szCs w:val="21"/>
          <w:highlight w:val="none"/>
        </w:rPr>
        <w:t>三、项目类型：本项目属于其他未列明行业项目。</w:t>
      </w:r>
    </w:p>
    <w:p>
      <w:pPr>
        <w:pStyle w:val="2"/>
        <w:rPr>
          <w:rFonts w:hint="eastAsia" w:ascii="宋体"/>
          <w:szCs w:val="21"/>
          <w:highlight w:val="none"/>
        </w:rPr>
      </w:pPr>
      <w:r>
        <w:rPr>
          <w:rFonts w:hint="eastAsia" w:ascii="宋体"/>
          <w:szCs w:val="21"/>
          <w:highlight w:val="none"/>
        </w:rPr>
        <w:t>四 、合同签订时间及地点：</w:t>
      </w:r>
    </w:p>
    <w:p>
      <w:pPr>
        <w:pStyle w:val="2"/>
        <w:rPr>
          <w:rFonts w:hint="eastAsia" w:ascii="宋体"/>
          <w:szCs w:val="21"/>
          <w:highlight w:val="none"/>
        </w:rPr>
      </w:pPr>
      <w:r>
        <w:rPr>
          <w:rFonts w:hint="eastAsia" w:ascii="宋体"/>
          <w:szCs w:val="21"/>
          <w:highlight w:val="none"/>
        </w:rPr>
        <w:t>时间：采购人应当自中标通知书发出之日起30日内，按照招标文件和中标人投标文件的规定，与中标人签订书面合同。所签订的合同不得对招标文件确定的事项和中标人投标文件作实质性修改。</w:t>
      </w:r>
    </w:p>
    <w:p>
      <w:pPr>
        <w:pStyle w:val="2"/>
        <w:rPr>
          <w:rFonts w:ascii="宋体"/>
          <w:szCs w:val="21"/>
          <w:highlight w:val="none"/>
        </w:rPr>
      </w:pPr>
      <w:r>
        <w:rPr>
          <w:rFonts w:hint="eastAsia" w:ascii="宋体"/>
          <w:szCs w:val="21"/>
          <w:highlight w:val="none"/>
        </w:rPr>
        <w:t>地点：阿克陶县财政局支付中心办公室。</w:t>
      </w:r>
    </w:p>
    <w:p>
      <w:pPr>
        <w:pStyle w:val="2"/>
        <w:rPr>
          <w:rFonts w:ascii="宋体"/>
          <w:szCs w:val="21"/>
          <w:highlight w:val="none"/>
        </w:rPr>
      </w:pPr>
    </w:p>
    <w:p>
      <w:pPr>
        <w:pStyle w:val="2"/>
        <w:rPr>
          <w:rFonts w:ascii="宋体"/>
          <w:szCs w:val="21"/>
          <w:highlight w:val="none"/>
        </w:rPr>
      </w:pPr>
    </w:p>
    <w:p>
      <w:pPr>
        <w:pStyle w:val="2"/>
        <w:rPr>
          <w:rFonts w:ascii="宋体"/>
          <w:szCs w:val="21"/>
          <w:highlight w:val="none"/>
        </w:rPr>
      </w:pPr>
    </w:p>
    <w:p>
      <w:pPr>
        <w:pStyle w:val="2"/>
        <w:rPr>
          <w:rFonts w:ascii="宋体"/>
          <w:szCs w:val="21"/>
          <w:highlight w:val="none"/>
        </w:rPr>
      </w:pPr>
    </w:p>
    <w:bookmarkEnd w:id="88"/>
    <w:p>
      <w:pPr>
        <w:rPr>
          <w:rFonts w:hint="eastAsia" w:ascii="宋体"/>
          <w:b/>
          <w:sz w:val="30"/>
          <w:szCs w:val="30"/>
          <w:highlight w:val="none"/>
        </w:rPr>
      </w:pPr>
      <w:r>
        <w:rPr>
          <w:rFonts w:hint="eastAsia" w:ascii="宋体"/>
          <w:b/>
          <w:sz w:val="30"/>
          <w:szCs w:val="30"/>
          <w:highlight w:val="none"/>
        </w:rPr>
        <w:br w:type="page"/>
      </w:r>
    </w:p>
    <w:p>
      <w:pPr>
        <w:numPr>
          <w:ilvl w:val="0"/>
          <w:numId w:val="6"/>
        </w:numPr>
        <w:spacing w:line="480" w:lineRule="exact"/>
        <w:ind w:left="0" w:leftChars="0" w:firstLine="0" w:firstLineChars="0"/>
        <w:jc w:val="center"/>
        <w:outlineLvl w:val="1"/>
        <w:rPr>
          <w:rFonts w:hint="eastAsia" w:ascii="宋体"/>
          <w:b/>
          <w:sz w:val="30"/>
          <w:szCs w:val="30"/>
          <w:highlight w:val="none"/>
          <w:lang w:eastAsia="zh-CN"/>
        </w:rPr>
      </w:pPr>
      <w:bookmarkStart w:id="89" w:name="_Toc29918"/>
      <w:r>
        <w:rPr>
          <w:rFonts w:hint="eastAsia" w:ascii="宋体"/>
          <w:b/>
          <w:sz w:val="30"/>
          <w:szCs w:val="30"/>
          <w:highlight w:val="none"/>
        </w:rPr>
        <w:t>合同</w:t>
      </w:r>
      <w:bookmarkEnd w:id="89"/>
      <w:bookmarkStart w:id="90" w:name="_Toc20669"/>
      <w:r>
        <w:rPr>
          <w:rFonts w:hint="eastAsia" w:ascii="宋体"/>
          <w:b/>
          <w:sz w:val="30"/>
          <w:szCs w:val="30"/>
          <w:highlight w:val="none"/>
          <w:lang w:eastAsia="zh-CN"/>
        </w:rPr>
        <w:t>部分（参考）</w:t>
      </w:r>
    </w:p>
    <w:p>
      <w:pPr>
        <w:spacing w:line="360" w:lineRule="auto"/>
        <w:ind w:left="-575" w:leftChars="-270" w:firstLine="486" w:firstLineChars="200"/>
        <w:jc w:val="center"/>
        <w:rPr>
          <w:rFonts w:hint="eastAsia" w:ascii="仿宋" w:hAnsi="仿宋" w:eastAsia="仿宋" w:cs="仿宋"/>
          <w:color w:val="auto"/>
          <w:kern w:val="44"/>
          <w:sz w:val="24"/>
          <w:szCs w:val="24"/>
          <w:highlight w:val="none"/>
        </w:rPr>
      </w:pPr>
      <w:r>
        <w:rPr>
          <w:rFonts w:hint="eastAsia" w:ascii="仿宋" w:hAnsi="仿宋" w:eastAsia="仿宋" w:cs="仿宋"/>
          <w:color w:val="auto"/>
          <w:kern w:val="44"/>
          <w:sz w:val="24"/>
          <w:szCs w:val="24"/>
          <w:highlight w:val="none"/>
        </w:rPr>
        <w:t>请参照合同参考范本订立合同。</w:t>
      </w:r>
    </w:p>
    <w:p>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甲方：</w:t>
      </w:r>
    </w:p>
    <w:p>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乙方：</w:t>
      </w:r>
    </w:p>
    <w:p>
      <w:pPr>
        <w:widowControl w:val="0"/>
        <w:wordWrap/>
        <w:adjustRightInd/>
        <w:snapToGrid/>
        <w:spacing w:line="440" w:lineRule="exact"/>
        <w:jc w:val="center"/>
        <w:textAlignment w:val="auto"/>
        <w:rPr>
          <w:rFonts w:hint="eastAsia" w:ascii="仿宋" w:hAnsi="仿宋" w:eastAsia="仿宋" w:cs="仿宋"/>
          <w:b w:val="0"/>
          <w:bCs w:val="0"/>
          <w:color w:val="auto"/>
          <w:sz w:val="24"/>
          <w:highlight w:val="none"/>
        </w:rPr>
      </w:pPr>
      <w:bookmarkStart w:id="91" w:name="_Toc20772"/>
      <w:bookmarkStart w:id="92" w:name="_Toc31612"/>
      <w:r>
        <w:rPr>
          <w:rFonts w:hint="eastAsia" w:ascii="仿宋" w:hAnsi="仿宋" w:eastAsia="仿宋" w:cs="仿宋"/>
          <w:b w:val="0"/>
          <w:bCs w:val="0"/>
          <w:color w:val="auto"/>
          <w:sz w:val="24"/>
          <w:highlight w:val="none"/>
        </w:rPr>
        <w:t>第一条  总则</w:t>
      </w:r>
      <w:bookmarkEnd w:id="91"/>
      <w:bookmarkEnd w:id="92"/>
    </w:p>
    <w:p>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根据《中华人民共和国</w:t>
      </w:r>
      <w:r>
        <w:rPr>
          <w:rFonts w:hint="eastAsia" w:ascii="仿宋" w:hAnsi="仿宋" w:eastAsia="仿宋" w:cs="仿宋"/>
          <w:b w:val="0"/>
          <w:bCs w:val="0"/>
          <w:color w:val="auto"/>
          <w:sz w:val="24"/>
          <w:highlight w:val="none"/>
          <w:lang w:val="en-US" w:eastAsia="zh-CN"/>
        </w:rPr>
        <w:t>民法典</w:t>
      </w:r>
      <w:r>
        <w:rPr>
          <w:rFonts w:hint="eastAsia" w:ascii="仿宋" w:hAnsi="仿宋" w:eastAsia="仿宋" w:cs="仿宋"/>
          <w:b w:val="0"/>
          <w:bCs w:val="0"/>
          <w:color w:val="auto"/>
          <w:sz w:val="24"/>
          <w:highlight w:val="none"/>
        </w:rPr>
        <w:t>》有关规定，甲方就</w:t>
      </w:r>
      <w:r>
        <w:rPr>
          <w:rFonts w:hint="eastAsia" w:ascii="仿宋" w:hAnsi="仿宋" w:eastAsia="仿宋" w:cs="仿宋"/>
          <w:b w:val="0"/>
          <w:bCs w:val="0"/>
          <w:color w:val="auto"/>
          <w:sz w:val="24"/>
          <w:highlight w:val="none"/>
          <w:lang w:val="en-US" w:eastAsia="zh-CN"/>
        </w:rPr>
        <w:t>2023年阿克陶县机关事业单位基本养老保险保值增值定期存款项目（二次）</w:t>
      </w:r>
      <w:r>
        <w:rPr>
          <w:rFonts w:hint="eastAsia" w:ascii="仿宋" w:hAnsi="仿宋" w:eastAsia="仿宋" w:cs="仿宋"/>
          <w:b w:val="0"/>
          <w:bCs w:val="0"/>
          <w:color w:val="auto"/>
          <w:sz w:val="24"/>
          <w:highlight w:val="none"/>
        </w:rPr>
        <w:t>，在乙方开展定期存款操作事宜，经甲乙双方平等协商，签订本协议。</w:t>
      </w:r>
    </w:p>
    <w:p>
      <w:pPr>
        <w:widowControl w:val="0"/>
        <w:numPr>
          <w:ilvl w:val="0"/>
          <w:numId w:val="7"/>
        </w:numPr>
        <w:wordWrap/>
        <w:adjustRightInd/>
        <w:snapToGrid/>
        <w:spacing w:line="440" w:lineRule="exact"/>
        <w:jc w:val="center"/>
        <w:textAlignment w:val="auto"/>
        <w:rPr>
          <w:rFonts w:hint="eastAsia" w:ascii="仿宋" w:hAnsi="仿宋" w:eastAsia="仿宋" w:cs="仿宋"/>
          <w:b w:val="0"/>
          <w:bCs w:val="0"/>
          <w:color w:val="auto"/>
          <w:sz w:val="24"/>
          <w:highlight w:val="none"/>
        </w:rPr>
      </w:pPr>
      <w:bookmarkStart w:id="93" w:name="_Toc26688"/>
      <w:bookmarkStart w:id="94" w:name="_Toc26580"/>
      <w:r>
        <w:rPr>
          <w:rFonts w:hint="eastAsia" w:ascii="仿宋" w:hAnsi="仿宋" w:eastAsia="仿宋" w:cs="仿宋"/>
          <w:b w:val="0"/>
          <w:bCs w:val="0"/>
          <w:color w:val="auto"/>
          <w:sz w:val="24"/>
          <w:highlight w:val="none"/>
        </w:rPr>
        <w:t>甲方权利和义务</w:t>
      </w:r>
      <w:bookmarkEnd w:id="93"/>
      <w:bookmarkEnd w:id="94"/>
      <w:bookmarkStart w:id="95" w:name="_Toc22131"/>
    </w:p>
    <w:p>
      <w:pPr>
        <w:widowControl w:val="0"/>
        <w:numPr>
          <w:ilvl w:val="0"/>
          <w:numId w:val="0"/>
        </w:numPr>
        <w:wordWrap/>
        <w:adjustRightInd/>
        <w:snapToGrid/>
        <w:spacing w:line="440" w:lineRule="exact"/>
        <w:ind w:leftChars="0" w:right="0"/>
        <w:textAlignment w:val="auto"/>
        <w:outlineLvl w:val="2"/>
        <w:rPr>
          <w:rFonts w:hint="eastAsia" w:ascii="仿宋" w:hAnsi="仿宋" w:eastAsia="仿宋" w:cs="仿宋"/>
          <w:b w:val="0"/>
          <w:bCs w:val="0"/>
          <w:color w:val="auto"/>
          <w:sz w:val="24"/>
          <w:highlight w:val="none"/>
        </w:rPr>
      </w:pPr>
      <w:bookmarkStart w:id="96" w:name="_Toc736"/>
      <w:r>
        <w:rPr>
          <w:rFonts w:hint="eastAsia" w:ascii="仿宋" w:hAnsi="仿宋" w:eastAsia="仿宋" w:cs="仿宋"/>
          <w:b w:val="0"/>
          <w:bCs w:val="0"/>
          <w:color w:val="auto"/>
          <w:sz w:val="24"/>
          <w:highlight w:val="none"/>
        </w:rPr>
        <w:t>（一）权利</w:t>
      </w:r>
      <w:bookmarkEnd w:id="95"/>
      <w:bookmarkEnd w:id="96"/>
    </w:p>
    <w:p>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1.组织实施</w:t>
      </w:r>
      <w:r>
        <w:rPr>
          <w:rFonts w:hint="eastAsia" w:ascii="仿宋" w:hAnsi="仿宋" w:eastAsia="仿宋" w:cs="仿宋"/>
          <w:b w:val="0"/>
          <w:bCs w:val="0"/>
          <w:color w:val="auto"/>
          <w:sz w:val="24"/>
          <w:highlight w:val="none"/>
          <w:lang w:eastAsia="zh-CN"/>
        </w:rPr>
        <w:t>阿克陶县</w:t>
      </w:r>
      <w:r>
        <w:rPr>
          <w:rFonts w:hint="eastAsia" w:ascii="仿宋" w:hAnsi="仿宋" w:eastAsia="仿宋" w:cs="仿宋"/>
          <w:b w:val="0"/>
          <w:bCs w:val="0"/>
          <w:color w:val="auto"/>
          <w:sz w:val="24"/>
          <w:highlight w:val="none"/>
        </w:rPr>
        <w:t>财政局</w:t>
      </w:r>
      <w:r>
        <w:rPr>
          <w:rFonts w:hint="eastAsia" w:ascii="仿宋" w:hAnsi="仿宋" w:eastAsia="仿宋" w:cs="仿宋"/>
          <w:b w:val="0"/>
          <w:bCs w:val="0"/>
          <w:color w:val="auto"/>
          <w:sz w:val="24"/>
          <w:highlight w:val="none"/>
          <w:lang w:eastAsia="zh-CN"/>
        </w:rPr>
        <w:t>2023年阿克陶县机关事业单位基本养老保险保值增值定期存款项目（二次）</w:t>
      </w:r>
      <w:r>
        <w:rPr>
          <w:rFonts w:hint="eastAsia" w:ascii="仿宋" w:hAnsi="仿宋" w:eastAsia="仿宋" w:cs="仿宋"/>
          <w:b w:val="0"/>
          <w:bCs w:val="0"/>
          <w:color w:val="auto"/>
          <w:sz w:val="24"/>
          <w:highlight w:val="none"/>
        </w:rPr>
        <w:t>管理工作；</w:t>
      </w:r>
    </w:p>
    <w:p>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2.依据中标结果，组织分配资金，确定资金存放开展时间和资金存放期限；</w:t>
      </w:r>
    </w:p>
    <w:p>
      <w:pPr>
        <w:widowControl w:val="0"/>
        <w:wordWrap/>
        <w:adjustRightInd/>
        <w:snapToGrid/>
        <w:spacing w:line="440" w:lineRule="exact"/>
        <w:ind w:left="213" w:leftChars="100" w:firstLine="243" w:firstLineChars="100"/>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3.乙方未及时、足额划转到期的定期大额存款本息时，甲方有权向乙方催缴资金；到期日后的第2个工作日，乙方仍未足额划转存款本息，甲方按有关规定对乙方总行追索；</w:t>
      </w:r>
    </w:p>
    <w:p>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4.对乙方参与财政专户资金的管理活动实施监督检查；</w:t>
      </w:r>
    </w:p>
    <w:p>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5.根据管理需要提前收回存放在乙方的全部或部分定期存款，存款利率按照已经存放的期限取整月执行中标利率执行；</w:t>
      </w:r>
    </w:p>
    <w:p>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6.负责解释本协议的有关条款。</w:t>
      </w:r>
    </w:p>
    <w:p>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7.对乙方有关违约行为进行认定和追责处理；</w:t>
      </w:r>
    </w:p>
    <w:p>
      <w:pPr>
        <w:widowControl w:val="0"/>
        <w:wordWrap/>
        <w:adjustRightInd/>
        <w:snapToGrid/>
        <w:spacing w:line="440" w:lineRule="exact"/>
        <w:ind w:firstLine="243" w:firstLineChars="100"/>
        <w:jc w:val="both"/>
        <w:textAlignment w:val="auto"/>
        <w:outlineLvl w:val="2"/>
        <w:rPr>
          <w:rFonts w:hint="eastAsia" w:ascii="仿宋" w:hAnsi="仿宋" w:eastAsia="仿宋" w:cs="仿宋"/>
          <w:b w:val="0"/>
          <w:bCs w:val="0"/>
          <w:color w:val="auto"/>
          <w:sz w:val="24"/>
          <w:highlight w:val="none"/>
        </w:rPr>
      </w:pPr>
      <w:bookmarkStart w:id="97" w:name="_Toc3762"/>
      <w:bookmarkStart w:id="98" w:name="_Toc26947"/>
      <w:r>
        <w:rPr>
          <w:rFonts w:hint="eastAsia" w:ascii="仿宋" w:hAnsi="仿宋" w:eastAsia="仿宋" w:cs="仿宋"/>
          <w:b w:val="0"/>
          <w:bCs w:val="0"/>
          <w:color w:val="auto"/>
          <w:sz w:val="24"/>
          <w:highlight w:val="none"/>
        </w:rPr>
        <w:t>（二）义务</w:t>
      </w:r>
      <w:bookmarkEnd w:id="97"/>
      <w:bookmarkEnd w:id="98"/>
    </w:p>
    <w:p>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1.根据乙方中标结果，依据分配的额度，将定期存大额款拨付到乙方备案的定期大额存款收款账户；</w:t>
      </w:r>
    </w:p>
    <w:p>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2.配合乙方开展定期大额存款资金存放手续履行，作好财政专户资金定期存款账务核算对账工作。</w:t>
      </w:r>
    </w:p>
    <w:p>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3.提前收回存款时，提前2个工作日通知乙方。</w:t>
      </w:r>
    </w:p>
    <w:p>
      <w:pPr>
        <w:widowControl w:val="0"/>
        <w:wordWrap/>
        <w:adjustRightInd/>
        <w:snapToGrid/>
        <w:spacing w:line="440" w:lineRule="exact"/>
        <w:jc w:val="center"/>
        <w:textAlignment w:val="auto"/>
        <w:rPr>
          <w:rFonts w:hint="eastAsia" w:ascii="仿宋" w:hAnsi="仿宋" w:eastAsia="仿宋" w:cs="仿宋"/>
          <w:b w:val="0"/>
          <w:bCs w:val="0"/>
          <w:color w:val="auto"/>
          <w:sz w:val="24"/>
          <w:highlight w:val="none"/>
        </w:rPr>
      </w:pPr>
      <w:bookmarkStart w:id="99" w:name="_Toc24760"/>
      <w:bookmarkStart w:id="100" w:name="_Toc17699"/>
      <w:r>
        <w:rPr>
          <w:rFonts w:hint="eastAsia" w:ascii="仿宋" w:hAnsi="仿宋" w:eastAsia="仿宋" w:cs="仿宋"/>
          <w:b w:val="0"/>
          <w:bCs w:val="0"/>
          <w:color w:val="auto"/>
          <w:sz w:val="24"/>
          <w:highlight w:val="none"/>
        </w:rPr>
        <w:t>第三条  乙方权利和义务</w:t>
      </w:r>
      <w:bookmarkEnd w:id="99"/>
      <w:bookmarkEnd w:id="100"/>
    </w:p>
    <w:p>
      <w:pPr>
        <w:widowControl w:val="0"/>
        <w:wordWrap/>
        <w:adjustRightInd/>
        <w:snapToGrid/>
        <w:spacing w:line="440" w:lineRule="exact"/>
        <w:ind w:firstLine="486" w:firstLineChars="200"/>
        <w:textAlignment w:val="auto"/>
        <w:outlineLvl w:val="2"/>
        <w:rPr>
          <w:rFonts w:hint="eastAsia" w:ascii="仿宋" w:hAnsi="仿宋" w:eastAsia="仿宋" w:cs="仿宋"/>
          <w:b w:val="0"/>
          <w:bCs w:val="0"/>
          <w:color w:val="auto"/>
          <w:sz w:val="24"/>
          <w:highlight w:val="none"/>
        </w:rPr>
      </w:pPr>
      <w:bookmarkStart w:id="101" w:name="_Toc31526"/>
      <w:bookmarkStart w:id="102" w:name="_Toc3382"/>
      <w:r>
        <w:rPr>
          <w:rFonts w:hint="eastAsia" w:ascii="仿宋" w:hAnsi="仿宋" w:eastAsia="仿宋" w:cs="仿宋"/>
          <w:b w:val="0"/>
          <w:bCs w:val="0"/>
          <w:color w:val="auto"/>
          <w:sz w:val="24"/>
          <w:highlight w:val="none"/>
        </w:rPr>
        <w:t>（一）权利</w:t>
      </w:r>
      <w:bookmarkEnd w:id="101"/>
      <w:bookmarkEnd w:id="102"/>
    </w:p>
    <w:p>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1.中标后按照规定获得定期大额存款资金；</w:t>
      </w:r>
    </w:p>
    <w:p>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2.向甲方提出改进财政专户资金管理工作的政策建议；</w:t>
      </w:r>
    </w:p>
    <w:p>
      <w:pPr>
        <w:widowControl w:val="0"/>
        <w:wordWrap/>
        <w:adjustRightInd/>
        <w:snapToGrid/>
        <w:spacing w:line="440" w:lineRule="exact"/>
        <w:ind w:firstLine="486" w:firstLineChars="200"/>
        <w:textAlignment w:val="auto"/>
        <w:outlineLvl w:val="2"/>
        <w:rPr>
          <w:rFonts w:hint="eastAsia" w:ascii="仿宋" w:hAnsi="仿宋" w:eastAsia="仿宋" w:cs="仿宋"/>
          <w:b w:val="0"/>
          <w:bCs w:val="0"/>
          <w:color w:val="auto"/>
          <w:sz w:val="24"/>
          <w:highlight w:val="none"/>
        </w:rPr>
      </w:pPr>
      <w:bookmarkStart w:id="103" w:name="_Toc6136"/>
      <w:bookmarkStart w:id="104" w:name="_Toc27208"/>
      <w:r>
        <w:rPr>
          <w:rFonts w:hint="eastAsia" w:ascii="仿宋" w:hAnsi="仿宋" w:eastAsia="仿宋" w:cs="仿宋"/>
          <w:b w:val="0"/>
          <w:bCs w:val="0"/>
          <w:color w:val="auto"/>
          <w:sz w:val="24"/>
          <w:highlight w:val="none"/>
        </w:rPr>
        <w:t>（二）义务</w:t>
      </w:r>
      <w:bookmarkEnd w:id="103"/>
      <w:bookmarkEnd w:id="104"/>
    </w:p>
    <w:p>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1.服从甲方在财政专户资金开展定期大额存款操作中的管理和政策解读；</w:t>
      </w:r>
    </w:p>
    <w:p>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2.依据投标承诺的大额存款利率和服务要求，准确办理定期大额存款有关手续。</w:t>
      </w:r>
    </w:p>
    <w:p>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3.收到甲方划拨定期大额存款当天向甲方开具定期大额存款证明，当天起息；</w:t>
      </w:r>
    </w:p>
    <w:p>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3.按法律法规要求规范办理定期大额存款，确保资金安全；</w:t>
      </w:r>
    </w:p>
    <w:p>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4.定期大额存款到期，及时将存款本金和利息足额分开划回至</w:t>
      </w:r>
      <w:r>
        <w:rPr>
          <w:rFonts w:hint="eastAsia" w:ascii="仿宋" w:hAnsi="仿宋" w:eastAsia="仿宋" w:cs="仿宋"/>
          <w:b w:val="0"/>
          <w:bCs w:val="0"/>
          <w:color w:val="auto"/>
          <w:sz w:val="24"/>
          <w:highlight w:val="none"/>
          <w:lang w:eastAsia="zh-CN"/>
        </w:rPr>
        <w:t>阿克陶县</w:t>
      </w:r>
      <w:r>
        <w:rPr>
          <w:rFonts w:hint="eastAsia" w:ascii="仿宋" w:hAnsi="仿宋" w:eastAsia="仿宋" w:cs="仿宋"/>
          <w:b w:val="0"/>
          <w:bCs w:val="0"/>
          <w:color w:val="auto"/>
          <w:sz w:val="24"/>
          <w:highlight w:val="none"/>
        </w:rPr>
        <w:t>财政局指定账户；若</w:t>
      </w:r>
      <w:r>
        <w:rPr>
          <w:rFonts w:hint="eastAsia" w:ascii="仿宋" w:hAnsi="仿宋" w:eastAsia="仿宋" w:cs="仿宋"/>
          <w:b w:val="0"/>
          <w:bCs w:val="0"/>
          <w:color w:val="auto"/>
          <w:sz w:val="24"/>
          <w:highlight w:val="none"/>
          <w:lang w:eastAsia="zh-CN"/>
        </w:rPr>
        <w:t>甲方</w:t>
      </w:r>
      <w:r>
        <w:rPr>
          <w:rFonts w:hint="eastAsia" w:ascii="仿宋" w:hAnsi="仿宋" w:eastAsia="仿宋" w:cs="仿宋"/>
          <w:b w:val="0"/>
          <w:bCs w:val="0"/>
          <w:color w:val="auto"/>
          <w:sz w:val="24"/>
          <w:highlight w:val="none"/>
        </w:rPr>
        <w:t>提前支取，及时配合甲方办理；</w:t>
      </w:r>
    </w:p>
    <w:p>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5.协议生效期间，接受甲方有关定期大额存款的监督与检查；</w:t>
      </w:r>
    </w:p>
    <w:p>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6.出现可能影响定期大额存款资金安全的特殊重大事项等情况时，及时报告甲方。</w:t>
      </w:r>
    </w:p>
    <w:p>
      <w:pPr>
        <w:widowControl w:val="0"/>
        <w:wordWrap/>
        <w:adjustRightInd/>
        <w:snapToGrid/>
        <w:spacing w:line="440" w:lineRule="exact"/>
        <w:jc w:val="center"/>
        <w:textAlignment w:val="auto"/>
        <w:rPr>
          <w:rFonts w:hint="eastAsia" w:ascii="仿宋" w:hAnsi="仿宋" w:eastAsia="仿宋" w:cs="仿宋"/>
          <w:b w:val="0"/>
          <w:bCs w:val="0"/>
          <w:color w:val="auto"/>
          <w:sz w:val="24"/>
          <w:highlight w:val="none"/>
        </w:rPr>
      </w:pPr>
      <w:bookmarkStart w:id="105" w:name="_Toc7989"/>
      <w:bookmarkStart w:id="106" w:name="_Toc1652"/>
      <w:r>
        <w:rPr>
          <w:rFonts w:hint="eastAsia" w:ascii="仿宋" w:hAnsi="仿宋" w:eastAsia="仿宋" w:cs="仿宋"/>
          <w:b w:val="0"/>
          <w:bCs w:val="0"/>
          <w:color w:val="auto"/>
          <w:sz w:val="24"/>
          <w:highlight w:val="none"/>
        </w:rPr>
        <w:t>第四条   违约责任</w:t>
      </w:r>
      <w:bookmarkEnd w:id="105"/>
      <w:bookmarkEnd w:id="106"/>
    </w:p>
    <w:p>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1.乙方未及时按规定划回到期定期大额存款本金和利息的，按照逾期金额和时间，按日息0.05%向甲方支付违约金，直至全部资金收回。</w:t>
      </w:r>
    </w:p>
    <w:p>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2.乙方在办理定期大额存款过程中存在不遵守法律法规和有关制度办法规定造成甲方资金损失的，乙方赔偿甲方损失，甲方取消其有关财政业务代理资格。</w:t>
      </w:r>
    </w:p>
    <w:p>
      <w:pPr>
        <w:widowControl w:val="0"/>
        <w:wordWrap/>
        <w:adjustRightInd/>
        <w:snapToGrid/>
        <w:spacing w:line="440" w:lineRule="exact"/>
        <w:jc w:val="center"/>
        <w:textAlignment w:val="auto"/>
        <w:rPr>
          <w:rFonts w:hint="eastAsia" w:ascii="仿宋" w:hAnsi="仿宋" w:eastAsia="仿宋" w:cs="仿宋"/>
          <w:b w:val="0"/>
          <w:bCs w:val="0"/>
          <w:color w:val="auto"/>
          <w:sz w:val="24"/>
          <w:highlight w:val="none"/>
        </w:rPr>
      </w:pPr>
      <w:bookmarkStart w:id="107" w:name="_Toc24994"/>
      <w:bookmarkStart w:id="108" w:name="_Toc17779"/>
      <w:r>
        <w:rPr>
          <w:rFonts w:hint="eastAsia" w:ascii="仿宋" w:hAnsi="仿宋" w:eastAsia="仿宋" w:cs="仿宋"/>
          <w:b w:val="0"/>
          <w:bCs w:val="0"/>
          <w:color w:val="auto"/>
          <w:sz w:val="24"/>
          <w:highlight w:val="none"/>
        </w:rPr>
        <w:t>第五条   附则</w:t>
      </w:r>
      <w:bookmarkEnd w:id="107"/>
      <w:bookmarkEnd w:id="108"/>
    </w:p>
    <w:p>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1.本协议未定事宜及对本协议的修改和解释，由甲方以书面形式作出；如乙方对本协议产生异议，由双方根据相关规定协商解决。</w:t>
      </w:r>
    </w:p>
    <w:p>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2.本协议签订后，如无重大政策变更，一年内开展的定期大额存款业务，延用本协议规定，不再逐次签订。</w:t>
      </w:r>
    </w:p>
    <w:p>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3.本协议经甲、乙双方法定代表人或授权代表</w:t>
      </w:r>
      <w:r>
        <w:rPr>
          <w:rFonts w:hint="eastAsia" w:ascii="仿宋" w:hAnsi="仿宋" w:eastAsia="仿宋" w:cs="仿宋"/>
          <w:b w:val="0"/>
          <w:bCs w:val="0"/>
          <w:color w:val="auto"/>
          <w:sz w:val="24"/>
          <w:highlight w:val="none"/>
          <w:lang w:eastAsia="zh-CN"/>
        </w:rPr>
        <w:t>签章</w:t>
      </w:r>
      <w:r>
        <w:rPr>
          <w:rFonts w:hint="eastAsia" w:ascii="仿宋" w:hAnsi="仿宋" w:eastAsia="仿宋" w:cs="仿宋"/>
          <w:b w:val="0"/>
          <w:bCs w:val="0"/>
          <w:color w:val="auto"/>
          <w:sz w:val="24"/>
          <w:highlight w:val="none"/>
        </w:rPr>
        <w:t>盖章后生效，定期存款到期后，甲方收回到期本息全部资金后失效。</w:t>
      </w:r>
    </w:p>
    <w:p>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4.本协议一式肆份，甲、乙双方各执贰份，具有同等法律效力。</w:t>
      </w:r>
    </w:p>
    <w:p>
      <w:pPr>
        <w:widowControl w:val="0"/>
        <w:wordWrap/>
        <w:adjustRightInd/>
        <w:snapToGrid/>
        <w:spacing w:line="440" w:lineRule="exact"/>
        <w:textAlignment w:val="auto"/>
        <w:rPr>
          <w:rFonts w:hint="eastAsia" w:ascii="仿宋" w:hAnsi="仿宋" w:eastAsia="仿宋" w:cs="仿宋"/>
          <w:b w:val="0"/>
          <w:bCs w:val="0"/>
          <w:color w:val="auto"/>
          <w:sz w:val="24"/>
          <w:highlight w:val="none"/>
        </w:rPr>
      </w:pPr>
    </w:p>
    <w:p>
      <w:pPr>
        <w:widowControl w:val="0"/>
        <w:wordWrap/>
        <w:adjustRightInd/>
        <w:snapToGrid/>
        <w:spacing w:line="440" w:lineRule="exact"/>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甲方代表签章:                      乙方代表签章:</w:t>
      </w:r>
    </w:p>
    <w:p>
      <w:pPr>
        <w:widowControl w:val="0"/>
        <w:wordWrap/>
        <w:adjustRightInd/>
        <w:snapToGrid/>
        <w:spacing w:line="440" w:lineRule="exact"/>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(公章)                             (公章)</w:t>
      </w:r>
    </w:p>
    <w:p>
      <w:pPr>
        <w:widowControl w:val="0"/>
        <w:wordWrap/>
        <w:adjustRightInd/>
        <w:snapToGrid/>
        <w:spacing w:line="440" w:lineRule="exact"/>
        <w:textAlignment w:val="auto"/>
        <w:rPr>
          <w:rFonts w:hint="eastAsia" w:ascii="仿宋" w:hAnsi="仿宋" w:eastAsia="仿宋" w:cs="仿宋"/>
          <w:b w:val="0"/>
          <w:bCs w:val="0"/>
          <w:color w:val="auto"/>
          <w:sz w:val="24"/>
          <w:highlight w:val="none"/>
        </w:rPr>
      </w:pPr>
    </w:p>
    <w:p>
      <w:pPr>
        <w:widowControl w:val="0"/>
        <w:wordWrap/>
        <w:adjustRightInd/>
        <w:snapToGrid/>
        <w:spacing w:line="440" w:lineRule="exact"/>
        <w:textAlignment w:val="auto"/>
        <w:rPr>
          <w:rFonts w:hint="eastAsia" w:ascii="仿宋" w:hAnsi="仿宋" w:eastAsia="仿宋" w:cs="仿宋"/>
          <w:b w:val="0"/>
          <w:bCs w:val="0"/>
          <w:color w:val="auto"/>
          <w:sz w:val="24"/>
          <w:highlight w:val="none"/>
        </w:rPr>
      </w:pPr>
    </w:p>
    <w:p>
      <w:pPr>
        <w:pStyle w:val="2"/>
        <w:numPr>
          <w:ilvl w:val="0"/>
          <w:numId w:val="0"/>
        </w:numPr>
        <w:ind w:leftChars="0"/>
        <w:rPr>
          <w:rFonts w:hint="eastAsia"/>
          <w:highlight w:val="none"/>
          <w:lang w:eastAsia="zh-CN"/>
        </w:rPr>
      </w:pPr>
      <w:r>
        <w:rPr>
          <w:rFonts w:hint="eastAsia" w:ascii="仿宋" w:hAnsi="仿宋" w:eastAsia="仿宋" w:cs="仿宋"/>
          <w:b w:val="0"/>
          <w:bCs w:val="0"/>
          <w:color w:val="auto"/>
          <w:sz w:val="24"/>
          <w:highlight w:val="none"/>
        </w:rPr>
        <w:t>年    月    日                     年    月    日</w:t>
      </w:r>
    </w:p>
    <w:bookmarkEnd w:id="90"/>
    <w:p>
      <w:pPr>
        <w:pageBreakBefore/>
        <w:jc w:val="center"/>
        <w:outlineLvl w:val="0"/>
        <w:rPr>
          <w:rFonts w:ascii="宋体"/>
          <w:b/>
          <w:sz w:val="30"/>
          <w:szCs w:val="30"/>
          <w:highlight w:val="none"/>
        </w:rPr>
      </w:pPr>
      <w:bookmarkStart w:id="109" w:name="_Toc7538"/>
      <w:r>
        <w:rPr>
          <w:rFonts w:hint="eastAsia" w:ascii="宋体"/>
          <w:b/>
          <w:sz w:val="30"/>
          <w:szCs w:val="30"/>
          <w:highlight w:val="none"/>
        </w:rPr>
        <w:t>第六章  投标文件格式</w:t>
      </w:r>
      <w:bookmarkEnd w:id="109"/>
    </w:p>
    <w:p>
      <w:pPr>
        <w:spacing w:line="240" w:lineRule="atLeast"/>
        <w:ind w:left="745" w:leftChars="350" w:firstLine="121" w:firstLineChars="50"/>
        <w:rPr>
          <w:rFonts w:ascii="仿宋" w:hAnsi="仿宋" w:eastAsia="仿宋" w:cs="仿宋"/>
          <w:sz w:val="24"/>
          <w:highlight w:val="none"/>
        </w:rPr>
      </w:pPr>
    </w:p>
    <w:p>
      <w:pPr>
        <w:tabs>
          <w:tab w:val="left" w:pos="5580"/>
        </w:tabs>
        <w:spacing w:line="500" w:lineRule="atLeast"/>
        <w:ind w:left="1" w:firstLine="500" w:firstLineChars="235"/>
        <w:rPr>
          <w:rFonts w:hint="eastAsia" w:ascii="宋体" w:hAnsi="宋体" w:cs="宋体"/>
          <w:b/>
          <w:bCs/>
          <w:highlight w:val="none"/>
        </w:rPr>
      </w:pPr>
      <w:r>
        <w:rPr>
          <w:rFonts w:hint="eastAsia" w:ascii="宋体" w:hAnsi="宋体" w:cs="宋体"/>
          <w:b/>
          <w:bCs/>
          <w:highlight w:val="none"/>
        </w:rPr>
        <w:t>商务部分</w:t>
      </w:r>
    </w:p>
    <w:p>
      <w:pPr>
        <w:tabs>
          <w:tab w:val="left" w:pos="5580"/>
        </w:tabs>
        <w:spacing w:line="500" w:lineRule="atLeast"/>
        <w:ind w:left="1" w:firstLine="500" w:firstLineChars="235"/>
        <w:rPr>
          <w:rFonts w:hint="eastAsia" w:ascii="宋体" w:hAnsi="宋体" w:cs="宋体"/>
          <w:b w:val="0"/>
          <w:bCs w:val="0"/>
          <w:highlight w:val="none"/>
        </w:rPr>
      </w:pPr>
      <w:r>
        <w:rPr>
          <w:rFonts w:hint="eastAsia" w:ascii="宋体" w:hAnsi="宋体" w:cs="宋体"/>
          <w:b w:val="0"/>
          <w:bCs w:val="0"/>
          <w:highlight w:val="none"/>
        </w:rPr>
        <w:t>一、投标函</w:t>
      </w:r>
    </w:p>
    <w:p>
      <w:pPr>
        <w:tabs>
          <w:tab w:val="left" w:pos="5580"/>
        </w:tabs>
        <w:spacing w:line="500" w:lineRule="atLeast"/>
        <w:ind w:left="1" w:firstLine="500" w:firstLineChars="235"/>
        <w:rPr>
          <w:rFonts w:hint="eastAsia" w:ascii="宋体" w:hAnsi="宋体" w:cs="宋体"/>
          <w:b w:val="0"/>
          <w:bCs w:val="0"/>
          <w:highlight w:val="none"/>
        </w:rPr>
      </w:pPr>
      <w:r>
        <w:rPr>
          <w:rFonts w:hint="eastAsia" w:ascii="宋体" w:hAnsi="宋体" w:cs="宋体"/>
          <w:b w:val="0"/>
          <w:bCs w:val="0"/>
          <w:highlight w:val="none"/>
        </w:rPr>
        <w:t>二、法定代表人身份证明（附法定代表人身份证复印件）；</w:t>
      </w:r>
    </w:p>
    <w:p>
      <w:pPr>
        <w:tabs>
          <w:tab w:val="left" w:pos="5580"/>
        </w:tabs>
        <w:spacing w:line="500" w:lineRule="atLeast"/>
        <w:ind w:left="1" w:firstLine="500" w:firstLineChars="235"/>
        <w:rPr>
          <w:rFonts w:hint="eastAsia" w:ascii="宋体" w:hAnsi="宋体" w:cs="宋体"/>
          <w:b w:val="0"/>
          <w:bCs w:val="0"/>
          <w:highlight w:val="none"/>
        </w:rPr>
      </w:pPr>
      <w:r>
        <w:rPr>
          <w:rFonts w:hint="eastAsia" w:ascii="宋体" w:hAnsi="宋体" w:cs="宋体"/>
          <w:b w:val="0"/>
          <w:bCs w:val="0"/>
          <w:highlight w:val="none"/>
        </w:rPr>
        <w:t>三、授权委托书（附被授权人身份证复印件）；</w:t>
      </w:r>
    </w:p>
    <w:p>
      <w:pPr>
        <w:tabs>
          <w:tab w:val="left" w:pos="5580"/>
        </w:tabs>
        <w:spacing w:line="500" w:lineRule="atLeast"/>
        <w:ind w:left="1" w:firstLine="500" w:firstLineChars="235"/>
        <w:rPr>
          <w:rFonts w:hint="eastAsia" w:ascii="宋体" w:hAnsi="宋体" w:cs="宋体"/>
          <w:b w:val="0"/>
          <w:bCs w:val="0"/>
          <w:highlight w:val="none"/>
        </w:rPr>
      </w:pPr>
      <w:r>
        <w:rPr>
          <w:rFonts w:hint="eastAsia" w:ascii="宋体" w:hAnsi="宋体" w:cs="宋体"/>
          <w:b w:val="0"/>
          <w:bCs w:val="0"/>
          <w:highlight w:val="none"/>
        </w:rPr>
        <w:t>四、上级银行授权委托书</w:t>
      </w:r>
    </w:p>
    <w:p>
      <w:pPr>
        <w:tabs>
          <w:tab w:val="left" w:pos="5580"/>
        </w:tabs>
        <w:spacing w:line="500" w:lineRule="atLeast"/>
        <w:ind w:left="1" w:firstLine="500" w:firstLineChars="235"/>
        <w:rPr>
          <w:rFonts w:hint="eastAsia" w:ascii="宋体" w:hAnsi="宋体" w:cs="宋体"/>
          <w:b w:val="0"/>
          <w:bCs w:val="0"/>
          <w:highlight w:val="none"/>
        </w:rPr>
      </w:pPr>
      <w:r>
        <w:rPr>
          <w:rFonts w:hint="eastAsia" w:ascii="宋体" w:hAnsi="宋体" w:cs="宋体"/>
          <w:b w:val="0"/>
          <w:bCs w:val="0"/>
          <w:highlight w:val="none"/>
        </w:rPr>
        <w:t>五、投标保证金缴纳凭证或投标担保函</w:t>
      </w:r>
    </w:p>
    <w:p>
      <w:pPr>
        <w:tabs>
          <w:tab w:val="left" w:pos="5580"/>
        </w:tabs>
        <w:spacing w:line="500" w:lineRule="atLeast"/>
        <w:ind w:left="1" w:firstLine="500" w:firstLineChars="235"/>
        <w:rPr>
          <w:rFonts w:hint="eastAsia" w:ascii="宋体" w:hAnsi="宋体" w:cs="宋体"/>
          <w:b w:val="0"/>
          <w:bCs w:val="0"/>
          <w:highlight w:val="none"/>
        </w:rPr>
      </w:pPr>
      <w:r>
        <w:rPr>
          <w:rFonts w:hint="eastAsia" w:ascii="宋体" w:hAnsi="宋体" w:cs="宋体"/>
          <w:b w:val="0"/>
          <w:bCs w:val="0"/>
          <w:highlight w:val="none"/>
        </w:rPr>
        <w:t>六、开标一览表；</w:t>
      </w:r>
    </w:p>
    <w:p>
      <w:pPr>
        <w:tabs>
          <w:tab w:val="left" w:pos="5580"/>
        </w:tabs>
        <w:spacing w:line="500" w:lineRule="atLeast"/>
        <w:ind w:left="1" w:firstLine="500" w:firstLineChars="235"/>
        <w:rPr>
          <w:rFonts w:hint="eastAsia" w:ascii="宋体" w:hAnsi="宋体" w:cs="宋体"/>
          <w:b w:val="0"/>
          <w:bCs w:val="0"/>
          <w:highlight w:val="none"/>
        </w:rPr>
      </w:pPr>
      <w:r>
        <w:rPr>
          <w:rFonts w:hint="eastAsia" w:ascii="宋体" w:hAnsi="宋体" w:cs="宋体"/>
          <w:b w:val="0"/>
          <w:bCs w:val="0"/>
          <w:highlight w:val="none"/>
        </w:rPr>
        <w:t>七、投标人基本情况；</w:t>
      </w:r>
    </w:p>
    <w:p>
      <w:pPr>
        <w:tabs>
          <w:tab w:val="left" w:pos="5580"/>
        </w:tabs>
        <w:spacing w:line="500" w:lineRule="atLeast"/>
        <w:ind w:left="1" w:firstLine="500" w:firstLineChars="235"/>
        <w:rPr>
          <w:rFonts w:hint="eastAsia" w:ascii="宋体" w:hAnsi="宋体" w:cs="宋体"/>
          <w:b w:val="0"/>
          <w:bCs w:val="0"/>
          <w:highlight w:val="none"/>
        </w:rPr>
      </w:pPr>
      <w:r>
        <w:rPr>
          <w:rFonts w:hint="eastAsia" w:ascii="宋体" w:hAnsi="宋体" w:cs="宋体"/>
          <w:b w:val="0"/>
          <w:bCs w:val="0"/>
          <w:highlight w:val="none"/>
        </w:rPr>
        <w:t>1）投标人基本情况表；</w:t>
      </w:r>
    </w:p>
    <w:p>
      <w:pPr>
        <w:tabs>
          <w:tab w:val="left" w:pos="5580"/>
        </w:tabs>
        <w:spacing w:line="500" w:lineRule="atLeast"/>
        <w:ind w:left="1" w:firstLine="500" w:firstLineChars="235"/>
        <w:rPr>
          <w:rFonts w:hint="eastAsia" w:ascii="宋体" w:hAnsi="宋体" w:cs="宋体"/>
          <w:b w:val="0"/>
          <w:bCs w:val="0"/>
          <w:highlight w:val="none"/>
        </w:rPr>
      </w:pPr>
      <w:r>
        <w:rPr>
          <w:rFonts w:hint="eastAsia" w:ascii="宋体" w:hAnsi="宋体" w:cs="宋体"/>
          <w:b w:val="0"/>
          <w:bCs w:val="0"/>
          <w:highlight w:val="none"/>
        </w:rPr>
        <w:t>2）三证合一的营业执照；</w:t>
      </w:r>
    </w:p>
    <w:p>
      <w:pPr>
        <w:tabs>
          <w:tab w:val="left" w:pos="5580"/>
        </w:tabs>
        <w:spacing w:line="500" w:lineRule="atLeast"/>
        <w:ind w:left="1" w:firstLine="500" w:firstLineChars="235"/>
        <w:rPr>
          <w:rFonts w:hint="eastAsia" w:ascii="宋体" w:hAnsi="宋体" w:cs="宋体"/>
          <w:b w:val="0"/>
          <w:bCs w:val="0"/>
          <w:highlight w:val="none"/>
        </w:rPr>
      </w:pPr>
      <w:r>
        <w:rPr>
          <w:rFonts w:hint="eastAsia" w:ascii="宋体" w:hAnsi="宋体" w:cs="宋体"/>
          <w:b w:val="0"/>
          <w:bCs w:val="0"/>
          <w:highlight w:val="none"/>
        </w:rPr>
        <w:t>3）近一年的财务状况相关材料（财务审计报告或财务报表）</w:t>
      </w:r>
    </w:p>
    <w:p>
      <w:pPr>
        <w:tabs>
          <w:tab w:val="left" w:pos="5580"/>
        </w:tabs>
        <w:spacing w:line="500" w:lineRule="atLeast"/>
        <w:ind w:left="1" w:firstLine="500" w:firstLineChars="235"/>
        <w:rPr>
          <w:rFonts w:hint="eastAsia" w:ascii="宋体" w:hAnsi="宋体" w:cs="宋体"/>
          <w:b w:val="0"/>
          <w:bCs w:val="0"/>
          <w:highlight w:val="none"/>
        </w:rPr>
      </w:pPr>
      <w:r>
        <w:rPr>
          <w:rFonts w:hint="eastAsia" w:ascii="宋体" w:hAnsi="宋体" w:cs="宋体"/>
          <w:b w:val="0"/>
          <w:bCs w:val="0"/>
          <w:highlight w:val="none"/>
        </w:rPr>
        <w:t>4）单位社会保障缴费证明；</w:t>
      </w:r>
    </w:p>
    <w:p>
      <w:pPr>
        <w:tabs>
          <w:tab w:val="left" w:pos="5580"/>
        </w:tabs>
        <w:spacing w:line="500" w:lineRule="atLeast"/>
        <w:ind w:left="1" w:firstLine="500" w:firstLineChars="235"/>
        <w:rPr>
          <w:rFonts w:hint="eastAsia" w:ascii="宋体" w:hAnsi="宋体" w:eastAsia="宋体" w:cs="宋体"/>
          <w:b w:val="0"/>
          <w:bCs w:val="0"/>
          <w:highlight w:val="none"/>
          <w:lang w:eastAsia="zh-CN"/>
        </w:rPr>
      </w:pPr>
      <w:r>
        <w:rPr>
          <w:rFonts w:hint="eastAsia" w:ascii="宋体" w:hAnsi="宋体" w:cs="宋体"/>
          <w:b w:val="0"/>
          <w:bCs w:val="0"/>
          <w:highlight w:val="none"/>
        </w:rPr>
        <w:t>5）</w:t>
      </w:r>
      <w:r>
        <w:rPr>
          <w:rFonts w:hint="eastAsia" w:ascii="宋体" w:hAnsi="宋体" w:cs="宋体"/>
          <w:b w:val="0"/>
          <w:bCs w:val="0"/>
          <w:highlight w:val="none"/>
          <w:lang w:eastAsia="zh-CN"/>
        </w:rPr>
        <w:t>投标企业须提供投标人（被授权在职人员）近6个月有效的社保证明；</w:t>
      </w:r>
    </w:p>
    <w:p>
      <w:pPr>
        <w:tabs>
          <w:tab w:val="left" w:pos="5580"/>
        </w:tabs>
        <w:spacing w:line="500" w:lineRule="atLeast"/>
        <w:ind w:left="1" w:firstLine="500" w:firstLineChars="235"/>
        <w:rPr>
          <w:rFonts w:hint="eastAsia" w:ascii="宋体" w:hAnsi="宋体" w:cs="宋体"/>
          <w:b w:val="0"/>
          <w:bCs w:val="0"/>
          <w:highlight w:val="none"/>
        </w:rPr>
      </w:pPr>
      <w:r>
        <w:rPr>
          <w:rFonts w:hint="eastAsia" w:ascii="宋体" w:hAnsi="宋体" w:cs="宋体"/>
          <w:b w:val="0"/>
          <w:bCs w:val="0"/>
          <w:highlight w:val="none"/>
        </w:rPr>
        <w:t xml:space="preserve">八、商务条款偏离表； </w:t>
      </w:r>
    </w:p>
    <w:p>
      <w:pPr>
        <w:tabs>
          <w:tab w:val="left" w:pos="5580"/>
        </w:tabs>
        <w:spacing w:line="500" w:lineRule="atLeast"/>
        <w:ind w:left="1" w:firstLine="500" w:firstLineChars="235"/>
        <w:rPr>
          <w:rFonts w:hint="eastAsia" w:ascii="宋体" w:hAnsi="宋体" w:cs="宋体"/>
          <w:b w:val="0"/>
          <w:bCs w:val="0"/>
          <w:highlight w:val="none"/>
        </w:rPr>
      </w:pPr>
      <w:r>
        <w:rPr>
          <w:rFonts w:hint="eastAsia" w:ascii="宋体" w:hAnsi="宋体" w:cs="宋体"/>
          <w:b w:val="0"/>
          <w:bCs w:val="0"/>
          <w:highlight w:val="none"/>
        </w:rPr>
        <w:t>九、近三年（20</w:t>
      </w:r>
      <w:r>
        <w:rPr>
          <w:rFonts w:hint="eastAsia" w:ascii="宋体" w:hAnsi="宋体" w:cs="宋体"/>
          <w:b w:val="0"/>
          <w:bCs w:val="0"/>
          <w:highlight w:val="none"/>
          <w:lang w:val="en-US" w:eastAsia="zh-CN"/>
        </w:rPr>
        <w:t>20</w:t>
      </w:r>
      <w:r>
        <w:rPr>
          <w:rFonts w:hint="eastAsia" w:ascii="宋体" w:hAnsi="宋体" w:cs="宋体"/>
          <w:b w:val="0"/>
          <w:bCs w:val="0"/>
          <w:highlight w:val="none"/>
        </w:rPr>
        <w:t>年1月1日至今）类似项目业绩</w:t>
      </w:r>
      <w:r>
        <w:rPr>
          <w:rFonts w:hint="eastAsia" w:ascii="宋体" w:hAnsi="宋体" w:cs="宋体"/>
          <w:b w:val="0"/>
          <w:bCs w:val="0"/>
          <w:highlight w:val="none"/>
          <w:lang w:eastAsia="zh-CN"/>
        </w:rPr>
        <w:t>（如有）</w:t>
      </w:r>
      <w:r>
        <w:rPr>
          <w:rFonts w:hint="eastAsia" w:ascii="宋体" w:hAnsi="宋体" w:cs="宋体"/>
          <w:b w:val="0"/>
          <w:bCs w:val="0"/>
          <w:highlight w:val="none"/>
        </w:rPr>
        <w:t xml:space="preserve">； </w:t>
      </w:r>
    </w:p>
    <w:p>
      <w:pPr>
        <w:tabs>
          <w:tab w:val="left" w:pos="5580"/>
        </w:tabs>
        <w:spacing w:line="500" w:lineRule="atLeast"/>
        <w:ind w:left="1" w:firstLine="500" w:firstLineChars="235"/>
        <w:rPr>
          <w:rFonts w:hint="eastAsia" w:ascii="宋体" w:hAnsi="宋体" w:cs="宋体"/>
          <w:b w:val="0"/>
          <w:bCs w:val="0"/>
          <w:highlight w:val="none"/>
        </w:rPr>
      </w:pPr>
      <w:r>
        <w:rPr>
          <w:rFonts w:hint="eastAsia" w:ascii="宋体" w:hAnsi="宋体" w:cs="宋体"/>
          <w:b w:val="0"/>
          <w:bCs w:val="0"/>
          <w:highlight w:val="none"/>
        </w:rPr>
        <w:t>十、中小企业声明函（符合本声明函填写）；</w:t>
      </w:r>
    </w:p>
    <w:p>
      <w:pPr>
        <w:tabs>
          <w:tab w:val="left" w:pos="5580"/>
        </w:tabs>
        <w:spacing w:line="500" w:lineRule="atLeast"/>
        <w:ind w:left="1" w:firstLine="500" w:firstLineChars="235"/>
        <w:rPr>
          <w:rFonts w:hint="eastAsia" w:ascii="宋体" w:hAnsi="宋体" w:cs="宋体"/>
          <w:b w:val="0"/>
          <w:bCs w:val="0"/>
          <w:highlight w:val="none"/>
        </w:rPr>
      </w:pPr>
      <w:r>
        <w:rPr>
          <w:rFonts w:hint="eastAsia" w:ascii="宋体" w:hAnsi="宋体" w:cs="宋体"/>
          <w:b w:val="0"/>
          <w:bCs w:val="0"/>
          <w:highlight w:val="none"/>
        </w:rPr>
        <w:t>十一、残疾人福利性单位声明函（符合本声明函填写） ；</w:t>
      </w:r>
    </w:p>
    <w:p>
      <w:pPr>
        <w:tabs>
          <w:tab w:val="left" w:pos="5580"/>
        </w:tabs>
        <w:spacing w:line="500" w:lineRule="atLeast"/>
        <w:ind w:left="1" w:firstLine="500" w:firstLineChars="235"/>
        <w:rPr>
          <w:rFonts w:hint="eastAsia" w:ascii="宋体" w:hAnsi="宋体" w:cs="宋体"/>
          <w:b w:val="0"/>
          <w:bCs w:val="0"/>
          <w:highlight w:val="none"/>
        </w:rPr>
      </w:pPr>
      <w:r>
        <w:rPr>
          <w:rFonts w:hint="eastAsia" w:ascii="宋体" w:hAnsi="宋体" w:cs="宋体"/>
          <w:b w:val="0"/>
          <w:bCs w:val="0"/>
          <w:highlight w:val="none"/>
        </w:rPr>
        <w:t>十二、其他商务资格证明资料（格式自定）。</w:t>
      </w:r>
    </w:p>
    <w:p>
      <w:pPr>
        <w:tabs>
          <w:tab w:val="left" w:pos="5580"/>
        </w:tabs>
        <w:spacing w:line="500" w:lineRule="atLeast"/>
        <w:ind w:left="1" w:firstLine="500" w:firstLineChars="235"/>
        <w:rPr>
          <w:rFonts w:hint="eastAsia" w:ascii="宋体" w:hAnsi="宋体" w:cs="宋体"/>
          <w:b/>
          <w:bCs/>
          <w:highlight w:val="none"/>
        </w:rPr>
      </w:pPr>
      <w:r>
        <w:rPr>
          <w:rFonts w:hint="eastAsia" w:ascii="宋体" w:hAnsi="宋体" w:cs="宋体"/>
          <w:b/>
          <w:bCs/>
          <w:highlight w:val="none"/>
        </w:rPr>
        <w:t>技术部分</w:t>
      </w:r>
    </w:p>
    <w:p>
      <w:pPr>
        <w:tabs>
          <w:tab w:val="left" w:pos="5580"/>
        </w:tabs>
        <w:spacing w:line="500" w:lineRule="atLeast"/>
        <w:ind w:left="1" w:firstLine="500" w:firstLineChars="235"/>
        <w:rPr>
          <w:rFonts w:hint="eastAsia" w:ascii="宋体" w:hAnsi="宋体" w:cs="宋体"/>
          <w:b w:val="0"/>
          <w:bCs w:val="0"/>
          <w:highlight w:val="none"/>
        </w:rPr>
      </w:pPr>
      <w:r>
        <w:rPr>
          <w:rFonts w:hint="eastAsia" w:ascii="宋体" w:hAnsi="宋体" w:cs="宋体"/>
          <w:b w:val="0"/>
          <w:bCs w:val="0"/>
          <w:highlight w:val="none"/>
        </w:rPr>
        <w:t>十三、技术方案（投标人自行编写的技术文件）</w:t>
      </w:r>
    </w:p>
    <w:p>
      <w:pPr>
        <w:tabs>
          <w:tab w:val="left" w:pos="5580"/>
        </w:tabs>
        <w:spacing w:line="500" w:lineRule="atLeast"/>
        <w:ind w:left="1" w:firstLine="500" w:firstLineChars="235"/>
        <w:rPr>
          <w:rFonts w:ascii="宋体" w:hAnsi="宋体" w:cs="宋体"/>
          <w:b w:val="0"/>
          <w:bCs w:val="0"/>
          <w:sz w:val="24"/>
          <w:highlight w:val="none"/>
        </w:rPr>
      </w:pPr>
      <w:r>
        <w:rPr>
          <w:rFonts w:hint="eastAsia" w:ascii="宋体" w:hAnsi="宋体" w:cs="宋体"/>
          <w:b w:val="0"/>
          <w:bCs w:val="0"/>
          <w:highlight w:val="none"/>
        </w:rPr>
        <w:t>十四、投标人认为需要提交的技术资料（根据评审标准自行添加）</w:t>
      </w:r>
    </w:p>
    <w:p>
      <w:pPr>
        <w:tabs>
          <w:tab w:val="left" w:pos="5580"/>
        </w:tabs>
        <w:spacing w:line="240" w:lineRule="atLeast"/>
        <w:ind w:left="1" w:firstLine="571" w:firstLineChars="235"/>
        <w:rPr>
          <w:rFonts w:ascii="宋体" w:hAnsi="宋体" w:cs="宋体"/>
          <w:sz w:val="24"/>
          <w:highlight w:val="none"/>
        </w:rPr>
      </w:pPr>
    </w:p>
    <w:p>
      <w:pPr>
        <w:tabs>
          <w:tab w:val="left" w:pos="5580"/>
        </w:tabs>
        <w:spacing w:line="240" w:lineRule="atLeast"/>
        <w:ind w:left="1" w:firstLine="571" w:firstLineChars="235"/>
        <w:rPr>
          <w:rFonts w:ascii="宋体" w:hAnsi="宋体" w:cs="宋体"/>
          <w:sz w:val="24"/>
          <w:highlight w:val="none"/>
        </w:rPr>
      </w:pPr>
    </w:p>
    <w:p>
      <w:pPr>
        <w:tabs>
          <w:tab w:val="left" w:pos="5580"/>
        </w:tabs>
        <w:spacing w:line="240" w:lineRule="atLeast"/>
        <w:ind w:left="1" w:firstLine="571" w:firstLineChars="235"/>
        <w:rPr>
          <w:rFonts w:ascii="宋体" w:hAnsi="宋体" w:cs="宋体"/>
          <w:sz w:val="24"/>
          <w:highlight w:val="none"/>
        </w:rPr>
      </w:pPr>
    </w:p>
    <w:p>
      <w:pPr>
        <w:tabs>
          <w:tab w:val="left" w:pos="5580"/>
        </w:tabs>
        <w:spacing w:line="240" w:lineRule="atLeast"/>
        <w:ind w:left="1" w:firstLine="571" w:firstLineChars="235"/>
        <w:rPr>
          <w:rFonts w:ascii="宋体" w:hAnsi="宋体" w:cs="宋体"/>
          <w:sz w:val="24"/>
          <w:highlight w:val="none"/>
        </w:rPr>
      </w:pPr>
    </w:p>
    <w:p>
      <w:pPr>
        <w:tabs>
          <w:tab w:val="left" w:pos="5580"/>
        </w:tabs>
        <w:spacing w:line="240" w:lineRule="atLeast"/>
        <w:ind w:left="1" w:firstLine="571" w:firstLineChars="235"/>
        <w:rPr>
          <w:rFonts w:ascii="宋体" w:hAnsi="宋体" w:cs="宋体"/>
          <w:sz w:val="24"/>
          <w:highlight w:val="none"/>
        </w:rPr>
      </w:pPr>
    </w:p>
    <w:p>
      <w:pPr>
        <w:rPr>
          <w:highlight w:val="none"/>
        </w:rPr>
      </w:pPr>
      <w:r>
        <w:rPr>
          <w:highlight w:val="none"/>
        </w:rPr>
        <w:br w:type="page"/>
      </w:r>
    </w:p>
    <w:p>
      <w:pPr>
        <w:pStyle w:val="9"/>
        <w:numPr>
          <w:ilvl w:val="0"/>
          <w:numId w:val="0"/>
        </w:numPr>
        <w:kinsoku w:val="0"/>
        <w:overflowPunct w:val="0"/>
        <w:spacing w:before="130" w:line="355" w:lineRule="auto"/>
        <w:ind w:left="480" w:right="7"/>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商务部分</w:t>
      </w:r>
    </w:p>
    <w:p>
      <w:pPr>
        <w:pStyle w:val="9"/>
        <w:numPr>
          <w:ilvl w:val="0"/>
          <w:numId w:val="0"/>
        </w:numPr>
        <w:kinsoku w:val="0"/>
        <w:overflowPunct w:val="0"/>
        <w:spacing w:before="130" w:line="355" w:lineRule="auto"/>
        <w:ind w:left="480" w:right="7"/>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一、投标函</w:t>
      </w:r>
    </w:p>
    <w:p>
      <w:pPr>
        <w:spacing w:line="440" w:lineRule="exact"/>
        <w:ind w:firstLine="426" w:firstLineChars="200"/>
        <w:jc w:val="both"/>
        <w:rPr>
          <w:rFonts w:ascii="仿宋" w:hAnsi="仿宋" w:eastAsia="仿宋" w:cs="仿宋"/>
          <w:color w:val="auto"/>
          <w:highlight w:val="none"/>
          <w:u w:val="single"/>
        </w:rPr>
      </w:pPr>
      <w:r>
        <w:rPr>
          <w:rFonts w:hint="eastAsia" w:ascii="仿宋" w:hAnsi="仿宋" w:eastAsia="仿宋" w:cs="仿宋"/>
          <w:color w:val="auto"/>
          <w:highlight w:val="none"/>
        </w:rPr>
        <w:t>致：</w:t>
      </w:r>
      <w:r>
        <w:rPr>
          <w:rFonts w:hint="eastAsia" w:ascii="仿宋" w:hAnsi="仿宋" w:eastAsia="仿宋" w:cs="仿宋"/>
          <w:color w:val="auto"/>
          <w:highlight w:val="none"/>
          <w:u w:val="single"/>
        </w:rPr>
        <w:t xml:space="preserve">                     </w:t>
      </w:r>
    </w:p>
    <w:p>
      <w:pPr>
        <w:spacing w:line="440" w:lineRule="exact"/>
        <w:ind w:firstLine="426" w:firstLineChars="200"/>
        <w:jc w:val="both"/>
        <w:rPr>
          <w:rFonts w:ascii="仿宋" w:hAnsi="仿宋" w:eastAsia="仿宋" w:cs="仿宋"/>
          <w:color w:val="auto"/>
          <w:highlight w:val="none"/>
        </w:rPr>
      </w:pPr>
      <w:r>
        <w:rPr>
          <w:rFonts w:hint="eastAsia" w:ascii="仿宋" w:hAnsi="仿宋" w:eastAsia="仿宋" w:cs="仿宋"/>
          <w:color w:val="auto"/>
          <w:highlight w:val="none"/>
        </w:rPr>
        <w:t>为响应你方组织的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项目的招标[项目编号为：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，我方愿参与投标。</w:t>
      </w:r>
    </w:p>
    <w:p>
      <w:pPr>
        <w:spacing w:line="440" w:lineRule="exact"/>
        <w:ind w:firstLine="426" w:firstLineChars="200"/>
        <w:rPr>
          <w:rFonts w:ascii="仿宋" w:hAnsi="仿宋" w:eastAsia="仿宋" w:cs="仿宋"/>
          <w:color w:val="auto"/>
          <w:highlight w:val="none"/>
        </w:rPr>
      </w:pPr>
      <w:r>
        <w:rPr>
          <w:rFonts w:hint="eastAsia" w:ascii="仿宋" w:hAnsi="仿宋" w:eastAsia="仿宋" w:cs="仿宋"/>
          <w:color w:val="auto"/>
          <w:highlight w:val="none"/>
        </w:rPr>
        <w:t>我方确认收到贵方提供的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lang w:eastAsia="zh-CN"/>
        </w:rPr>
        <w:t>磋商文件</w:t>
      </w:r>
      <w:r>
        <w:rPr>
          <w:rFonts w:hint="eastAsia" w:ascii="仿宋" w:hAnsi="仿宋" w:eastAsia="仿宋" w:cs="仿宋"/>
          <w:color w:val="auto"/>
          <w:highlight w:val="none"/>
        </w:rPr>
        <w:t>的全部内容。</w:t>
      </w:r>
    </w:p>
    <w:p>
      <w:pPr>
        <w:spacing w:line="440" w:lineRule="exact"/>
        <w:ind w:firstLine="426" w:firstLineChars="200"/>
        <w:rPr>
          <w:rFonts w:ascii="仿宋" w:hAnsi="仿宋" w:eastAsia="仿宋" w:cs="仿宋"/>
          <w:color w:val="auto"/>
          <w:highlight w:val="none"/>
        </w:rPr>
      </w:pPr>
      <w:r>
        <w:rPr>
          <w:rFonts w:hint="eastAsia" w:ascii="仿宋" w:hAnsi="仿宋" w:eastAsia="仿宋" w:cs="仿宋"/>
          <w:color w:val="auto"/>
          <w:highlight w:val="none"/>
        </w:rPr>
        <w:t>我方在参与投标前已详细研究了</w:t>
      </w:r>
      <w:r>
        <w:rPr>
          <w:rFonts w:hint="eastAsia" w:ascii="仿宋" w:hAnsi="仿宋" w:eastAsia="仿宋" w:cs="仿宋"/>
          <w:color w:val="auto"/>
          <w:highlight w:val="none"/>
          <w:lang w:eastAsia="zh-CN"/>
        </w:rPr>
        <w:t>磋商文件</w:t>
      </w:r>
      <w:r>
        <w:rPr>
          <w:rFonts w:hint="eastAsia" w:ascii="仿宋" w:hAnsi="仿宋" w:eastAsia="仿宋" w:cs="仿宋"/>
          <w:color w:val="auto"/>
          <w:highlight w:val="none"/>
        </w:rPr>
        <w:t>的所有内容，包括澄清、修改文件（如果有）和所有已提供的参考资料以及有关附件，我方完全明白并认为此</w:t>
      </w:r>
      <w:r>
        <w:rPr>
          <w:rFonts w:hint="eastAsia" w:ascii="仿宋" w:hAnsi="仿宋" w:eastAsia="仿宋" w:cs="仿宋"/>
          <w:color w:val="auto"/>
          <w:highlight w:val="none"/>
          <w:lang w:eastAsia="zh-CN"/>
        </w:rPr>
        <w:t>磋商文件</w:t>
      </w:r>
      <w:r>
        <w:rPr>
          <w:rFonts w:hint="eastAsia" w:ascii="仿宋" w:hAnsi="仿宋" w:eastAsia="仿宋" w:cs="仿宋"/>
          <w:color w:val="auto"/>
          <w:highlight w:val="none"/>
        </w:rPr>
        <w:t>没有倾向性，也不存在排斥潜在报价投标人的内容，我方同意</w:t>
      </w:r>
      <w:r>
        <w:rPr>
          <w:rFonts w:hint="eastAsia" w:ascii="仿宋" w:hAnsi="仿宋" w:eastAsia="仿宋" w:cs="仿宋"/>
          <w:color w:val="auto"/>
          <w:highlight w:val="none"/>
          <w:lang w:eastAsia="zh-CN"/>
        </w:rPr>
        <w:t>磋商文件</w:t>
      </w:r>
      <w:r>
        <w:rPr>
          <w:rFonts w:hint="eastAsia" w:ascii="仿宋" w:hAnsi="仿宋" w:eastAsia="仿宋" w:cs="仿宋"/>
          <w:color w:val="auto"/>
          <w:highlight w:val="none"/>
        </w:rPr>
        <w:t>的相关条款，放弃对</w:t>
      </w:r>
      <w:r>
        <w:rPr>
          <w:rFonts w:hint="eastAsia" w:ascii="仿宋" w:hAnsi="仿宋" w:eastAsia="仿宋" w:cs="仿宋"/>
          <w:color w:val="auto"/>
          <w:highlight w:val="none"/>
          <w:lang w:eastAsia="zh-CN"/>
        </w:rPr>
        <w:t>磋商文件</w:t>
      </w:r>
      <w:r>
        <w:rPr>
          <w:rFonts w:hint="eastAsia" w:ascii="仿宋" w:hAnsi="仿宋" w:eastAsia="仿宋" w:cs="仿宋"/>
          <w:color w:val="auto"/>
          <w:highlight w:val="none"/>
        </w:rPr>
        <w:t>提出误解和质疑的一切权力。</w:t>
      </w:r>
    </w:p>
    <w:p>
      <w:pPr>
        <w:spacing w:line="440" w:lineRule="exact"/>
        <w:ind w:firstLine="426" w:firstLineChars="200"/>
        <w:rPr>
          <w:rFonts w:ascii="仿宋" w:hAnsi="仿宋" w:eastAsia="仿宋" w:cs="仿宋"/>
          <w:color w:val="auto"/>
          <w:highlight w:val="none"/>
        </w:rPr>
      </w:pPr>
      <w:r>
        <w:rPr>
          <w:rFonts w:hint="eastAsia" w:ascii="仿宋" w:hAnsi="仿宋" w:eastAsia="仿宋" w:cs="仿宋"/>
          <w:color w:val="auto"/>
          <w:highlight w:val="none"/>
          <w:u w:val="single"/>
        </w:rPr>
        <w:t xml:space="preserve">      (投标人名称)      </w:t>
      </w:r>
      <w:r>
        <w:rPr>
          <w:rFonts w:hint="eastAsia" w:ascii="仿宋" w:hAnsi="仿宋" w:eastAsia="仿宋" w:cs="仿宋"/>
          <w:color w:val="auto"/>
          <w:highlight w:val="none"/>
        </w:rPr>
        <w:t>作为投标人正式授权</w:t>
      </w:r>
      <w:r>
        <w:rPr>
          <w:rFonts w:hint="eastAsia" w:ascii="仿宋" w:hAnsi="仿宋" w:eastAsia="仿宋" w:cs="仿宋"/>
          <w:color w:val="auto"/>
          <w:highlight w:val="none"/>
          <w:u w:val="single"/>
        </w:rPr>
        <w:t xml:space="preserve">  (授权代表全名, 职务)  </w:t>
      </w:r>
      <w:r>
        <w:rPr>
          <w:rFonts w:hint="eastAsia" w:ascii="仿宋" w:hAnsi="仿宋" w:eastAsia="仿宋" w:cs="仿宋"/>
          <w:color w:val="auto"/>
          <w:highlight w:val="none"/>
        </w:rPr>
        <w:t>代表我方全权处理有关本报价的一切事宜。</w:t>
      </w:r>
    </w:p>
    <w:p>
      <w:pPr>
        <w:spacing w:line="440" w:lineRule="exact"/>
        <w:ind w:firstLine="426" w:firstLineChars="200"/>
        <w:rPr>
          <w:rFonts w:ascii="仿宋" w:hAnsi="仿宋" w:eastAsia="仿宋" w:cs="仿宋"/>
          <w:color w:val="auto"/>
          <w:highlight w:val="none"/>
        </w:rPr>
      </w:pPr>
      <w:r>
        <w:rPr>
          <w:rFonts w:hint="eastAsia" w:ascii="仿宋" w:hAnsi="仿宋" w:eastAsia="仿宋" w:cs="仿宋"/>
          <w:color w:val="auto"/>
          <w:highlight w:val="none"/>
        </w:rPr>
        <w:t>我方已完全明白</w:t>
      </w:r>
      <w:r>
        <w:rPr>
          <w:rFonts w:hint="eastAsia" w:ascii="仿宋" w:hAnsi="仿宋" w:eastAsia="仿宋" w:cs="仿宋"/>
          <w:color w:val="auto"/>
          <w:highlight w:val="none"/>
          <w:lang w:eastAsia="zh-CN"/>
        </w:rPr>
        <w:t>磋商文件</w:t>
      </w:r>
      <w:r>
        <w:rPr>
          <w:rFonts w:hint="eastAsia" w:ascii="仿宋" w:hAnsi="仿宋" w:eastAsia="仿宋" w:cs="仿宋"/>
          <w:color w:val="auto"/>
          <w:highlight w:val="none"/>
        </w:rPr>
        <w:t>的所有条款要求，并申明如下：</w:t>
      </w:r>
    </w:p>
    <w:p>
      <w:pPr>
        <w:spacing w:line="480" w:lineRule="exact"/>
        <w:ind w:firstLine="426" w:firstLineChars="200"/>
        <w:rPr>
          <w:rFonts w:ascii="仿宋" w:hAnsi="仿宋" w:eastAsia="仿宋" w:cs="仿宋"/>
          <w:color w:val="auto"/>
          <w:highlight w:val="none"/>
        </w:rPr>
      </w:pPr>
      <w:r>
        <w:rPr>
          <w:rFonts w:hint="eastAsia" w:ascii="仿宋" w:hAnsi="仿宋" w:eastAsia="仿宋" w:cs="仿宋"/>
          <w:color w:val="auto"/>
          <w:highlight w:val="none"/>
        </w:rPr>
        <w:t>（一）按</w:t>
      </w:r>
      <w:r>
        <w:rPr>
          <w:rFonts w:hint="eastAsia" w:ascii="仿宋" w:hAnsi="仿宋" w:eastAsia="仿宋" w:cs="仿宋"/>
          <w:color w:val="auto"/>
          <w:highlight w:val="none"/>
          <w:lang w:eastAsia="zh-CN"/>
        </w:rPr>
        <w:t>磋商文件</w:t>
      </w:r>
      <w:r>
        <w:rPr>
          <w:rFonts w:hint="eastAsia" w:ascii="仿宋" w:hAnsi="仿宋" w:eastAsia="仿宋" w:cs="仿宋"/>
          <w:color w:val="auto"/>
          <w:highlight w:val="none"/>
        </w:rPr>
        <w:t>提供的全部货物与相关服务的投标总价详见《报价一览表》。</w:t>
      </w:r>
    </w:p>
    <w:p>
      <w:pPr>
        <w:spacing w:line="480" w:lineRule="exact"/>
        <w:ind w:firstLine="426" w:firstLineChars="200"/>
        <w:rPr>
          <w:rFonts w:ascii="仿宋" w:hAnsi="仿宋" w:eastAsia="仿宋" w:cs="仿宋"/>
          <w:color w:val="auto"/>
          <w:highlight w:val="none"/>
        </w:rPr>
      </w:pPr>
      <w:r>
        <w:rPr>
          <w:rFonts w:hint="eastAsia" w:ascii="仿宋" w:hAnsi="仿宋" w:eastAsia="仿宋" w:cs="仿宋"/>
          <w:color w:val="auto"/>
          <w:highlight w:val="none"/>
        </w:rPr>
        <w:t>（二）本</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的有效期为投标截止时间起</w:t>
      </w:r>
      <w:r>
        <w:rPr>
          <w:rFonts w:hint="eastAsia" w:ascii="仿宋" w:hAnsi="仿宋" w:eastAsia="仿宋" w:cs="仿宋"/>
          <w:color w:val="auto"/>
          <w:highlight w:val="none"/>
          <w:u w:val="single"/>
          <w:lang w:eastAsia="zh-CN"/>
        </w:rPr>
        <w:t>60</w:t>
      </w:r>
      <w:r>
        <w:rPr>
          <w:rFonts w:hint="eastAsia" w:ascii="仿宋" w:hAnsi="仿宋" w:eastAsia="仿宋" w:cs="仿宋"/>
          <w:color w:val="auto"/>
          <w:highlight w:val="none"/>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26" w:firstLineChars="200"/>
        <w:rPr>
          <w:rFonts w:ascii="仿宋" w:hAnsi="仿宋" w:eastAsia="仿宋" w:cs="仿宋"/>
          <w:color w:val="auto"/>
          <w:highlight w:val="none"/>
        </w:rPr>
      </w:pPr>
      <w:r>
        <w:rPr>
          <w:rFonts w:hint="eastAsia" w:ascii="仿宋" w:hAnsi="仿宋" w:eastAsia="仿宋" w:cs="仿宋"/>
          <w:color w:val="auto"/>
          <w:highlight w:val="none"/>
        </w:rPr>
        <w:t>（三）我方同意按照贵方可能提出的要求而提供与投标有关的任何其它数据、信息或资料。</w:t>
      </w:r>
    </w:p>
    <w:p>
      <w:pPr>
        <w:spacing w:line="480" w:lineRule="exact"/>
        <w:ind w:firstLine="426" w:firstLineChars="200"/>
        <w:rPr>
          <w:rFonts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eastAsia="zh-CN"/>
        </w:rPr>
        <w:t>四</w:t>
      </w:r>
      <w:r>
        <w:rPr>
          <w:rFonts w:hint="eastAsia" w:ascii="仿宋" w:hAnsi="仿宋" w:eastAsia="仿宋" w:cs="仿宋"/>
          <w:color w:val="auto"/>
          <w:highlight w:val="none"/>
        </w:rPr>
        <w:t>）我方如果中标，将保证履行</w:t>
      </w:r>
      <w:r>
        <w:rPr>
          <w:rFonts w:hint="eastAsia" w:ascii="仿宋" w:hAnsi="仿宋" w:eastAsia="仿宋" w:cs="仿宋"/>
          <w:color w:val="auto"/>
          <w:highlight w:val="none"/>
          <w:lang w:eastAsia="zh-CN"/>
        </w:rPr>
        <w:t>磋商文件</w:t>
      </w:r>
      <w:r>
        <w:rPr>
          <w:rFonts w:hint="eastAsia" w:ascii="仿宋" w:hAnsi="仿宋" w:eastAsia="仿宋" w:cs="仿宋"/>
          <w:color w:val="auto"/>
          <w:highlight w:val="none"/>
        </w:rPr>
        <w:t>及其澄清、修改文件（如果有）中的全部责任和义务，按质、按量、按期完成《招标内容》及《合同书》中的全部任务。</w:t>
      </w:r>
    </w:p>
    <w:p>
      <w:pPr>
        <w:spacing w:line="480" w:lineRule="exact"/>
        <w:ind w:firstLine="426" w:firstLineChars="200"/>
        <w:rPr>
          <w:rFonts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eastAsia="zh-CN"/>
        </w:rPr>
        <w:t>五</w:t>
      </w:r>
      <w:r>
        <w:rPr>
          <w:rFonts w:hint="eastAsia" w:ascii="仿宋" w:hAnsi="仿宋" w:eastAsia="仿宋" w:cs="仿宋"/>
          <w:color w:val="auto"/>
          <w:highlight w:val="none"/>
        </w:rPr>
        <w:t>）如我方被授予合同，我方承诺支付就本次招标应支付或将支付的中标服务费（详见按</w:t>
      </w:r>
      <w:r>
        <w:rPr>
          <w:rFonts w:hint="eastAsia" w:ascii="仿宋" w:hAnsi="仿宋" w:eastAsia="仿宋" w:cs="仿宋"/>
          <w:color w:val="auto"/>
          <w:highlight w:val="none"/>
          <w:lang w:eastAsia="zh-CN"/>
        </w:rPr>
        <w:t>磋商文件</w:t>
      </w:r>
      <w:r>
        <w:rPr>
          <w:rFonts w:hint="eastAsia" w:ascii="仿宋" w:hAnsi="仿宋" w:eastAsia="仿宋" w:cs="仿宋"/>
          <w:color w:val="auto"/>
          <w:highlight w:val="none"/>
        </w:rPr>
        <w:t>要求格式填写的《中标服务费支付承诺书》）。</w:t>
      </w:r>
    </w:p>
    <w:p>
      <w:pPr>
        <w:spacing w:line="480" w:lineRule="exact"/>
        <w:ind w:firstLine="426" w:firstLineChars="200"/>
        <w:rPr>
          <w:rFonts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eastAsia="zh-CN"/>
        </w:rPr>
        <w:t>六</w:t>
      </w:r>
      <w:r>
        <w:rPr>
          <w:rFonts w:hint="eastAsia" w:ascii="仿宋" w:hAnsi="仿宋" w:eastAsia="仿宋" w:cs="仿宋"/>
          <w:color w:val="auto"/>
          <w:highlight w:val="none"/>
        </w:rPr>
        <w:t>）我方作为在法律、财务和运作上独立于采购人、招标代理机构的投标人，在此保证所提交的所有文件和全部说明是真实的和正确的。</w:t>
      </w:r>
    </w:p>
    <w:p>
      <w:pPr>
        <w:spacing w:line="480" w:lineRule="exact"/>
        <w:ind w:firstLine="426" w:firstLineChars="200"/>
        <w:rPr>
          <w:rFonts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eastAsia="zh-CN"/>
        </w:rPr>
        <w:t>七</w:t>
      </w:r>
      <w:r>
        <w:rPr>
          <w:rFonts w:hint="eastAsia" w:ascii="仿宋" w:hAnsi="仿宋" w:eastAsia="仿宋" w:cs="仿宋"/>
          <w:color w:val="auto"/>
          <w:highlight w:val="none"/>
        </w:rPr>
        <w:t>）我方与其他投标人不存在单位负责人为同一人或者存在直接控股、管理关系。</w:t>
      </w:r>
    </w:p>
    <w:p>
      <w:pPr>
        <w:spacing w:line="480" w:lineRule="exact"/>
        <w:ind w:firstLine="426" w:firstLineChars="200"/>
        <w:rPr>
          <w:rFonts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eastAsia="zh-CN"/>
        </w:rPr>
        <w:t>八</w:t>
      </w:r>
      <w:r>
        <w:rPr>
          <w:rFonts w:hint="eastAsia" w:ascii="仿宋" w:hAnsi="仿宋" w:eastAsia="仿宋" w:cs="仿宋"/>
          <w:color w:val="auto"/>
          <w:highlight w:val="none"/>
        </w:rPr>
        <w:t>）我方具备《政府采购法》第二十二条规定的条件，承诺如下：</w:t>
      </w:r>
    </w:p>
    <w:p>
      <w:pPr>
        <w:spacing w:line="440" w:lineRule="exact"/>
        <w:ind w:firstLine="426" w:firstLineChars="200"/>
        <w:rPr>
          <w:rFonts w:ascii="仿宋" w:hAnsi="仿宋" w:eastAsia="仿宋" w:cs="仿宋"/>
          <w:color w:val="auto"/>
          <w:highlight w:val="none"/>
        </w:rPr>
      </w:pPr>
      <w:r>
        <w:rPr>
          <w:rFonts w:hint="eastAsia" w:ascii="仿宋" w:hAnsi="仿宋" w:eastAsia="仿宋" w:cs="仿宋"/>
          <w:color w:val="auto"/>
          <w:highlight w:val="none"/>
        </w:rPr>
        <w:t>（1）我方已依法缴纳了各项税费及社会保险费用，如有需要，可随时向采购人提供近三个月内的相关缴费证明，以便核查。</w:t>
      </w:r>
    </w:p>
    <w:p>
      <w:pPr>
        <w:spacing w:line="440" w:lineRule="exact"/>
        <w:ind w:firstLine="426" w:firstLineChars="200"/>
        <w:rPr>
          <w:rFonts w:ascii="仿宋" w:hAnsi="仿宋" w:eastAsia="仿宋" w:cs="仿宋"/>
          <w:color w:val="auto"/>
          <w:highlight w:val="none"/>
        </w:rPr>
      </w:pPr>
      <w:r>
        <w:rPr>
          <w:rFonts w:hint="eastAsia" w:ascii="仿宋" w:hAnsi="仿宋" w:eastAsia="仿宋" w:cs="仿宋"/>
          <w:color w:val="auto"/>
          <w:highlight w:val="none"/>
        </w:rPr>
        <w:t>（2）我方已依法建立健全的财务会计制度，如有需要，可随时向采购人提供相关的证明材料，以便核查。</w:t>
      </w:r>
    </w:p>
    <w:p>
      <w:pPr>
        <w:spacing w:line="440" w:lineRule="exact"/>
        <w:ind w:firstLine="426" w:firstLineChars="200"/>
        <w:rPr>
          <w:rFonts w:ascii="仿宋" w:hAnsi="仿宋" w:eastAsia="仿宋" w:cs="仿宋"/>
          <w:color w:val="auto"/>
          <w:highlight w:val="none"/>
        </w:rPr>
      </w:pPr>
      <w:r>
        <w:rPr>
          <w:rFonts w:hint="eastAsia" w:ascii="仿宋" w:hAnsi="仿宋" w:eastAsia="仿宋" w:cs="仿宋"/>
          <w:color w:val="auto"/>
          <w:highlight w:val="none"/>
        </w:rPr>
        <w:t>（3）我方参加本项目政府采购活动前3年内在经营活动中没有重大违法记录。</w:t>
      </w:r>
    </w:p>
    <w:p>
      <w:pPr>
        <w:spacing w:line="440" w:lineRule="exact"/>
        <w:ind w:firstLine="426" w:firstLineChars="200"/>
        <w:rPr>
          <w:rFonts w:ascii="仿宋" w:hAnsi="仿宋" w:eastAsia="仿宋" w:cs="仿宋"/>
          <w:color w:val="auto"/>
          <w:highlight w:val="none"/>
        </w:rPr>
      </w:pPr>
      <w:r>
        <w:rPr>
          <w:rFonts w:hint="eastAsia" w:ascii="仿宋" w:hAnsi="仿宋" w:eastAsia="仿宋" w:cs="仿宋"/>
          <w:color w:val="auto"/>
          <w:highlight w:val="none"/>
        </w:rPr>
        <w:t>（4）我方具备履行合同所必需的设备和专业技术能力。</w:t>
      </w:r>
    </w:p>
    <w:p>
      <w:pPr>
        <w:spacing w:line="440" w:lineRule="exact"/>
        <w:ind w:firstLine="426" w:firstLineChars="200"/>
        <w:rPr>
          <w:rFonts w:ascii="仿宋" w:hAnsi="仿宋" w:eastAsia="仿宋" w:cs="仿宋"/>
          <w:color w:val="auto"/>
          <w:highlight w:val="none"/>
        </w:rPr>
      </w:pPr>
      <w:r>
        <w:rPr>
          <w:rFonts w:hint="eastAsia" w:ascii="仿宋" w:hAnsi="仿宋" w:eastAsia="仿宋" w:cs="仿宋"/>
          <w:color w:val="auto"/>
          <w:highlight w:val="none"/>
        </w:rPr>
        <w:t>（5）我方符合法律、行政法规规定的其他条件。</w:t>
      </w:r>
    </w:p>
    <w:p>
      <w:pPr>
        <w:spacing w:line="440" w:lineRule="exact"/>
        <w:ind w:firstLine="426" w:firstLineChars="200"/>
        <w:rPr>
          <w:rFonts w:ascii="仿宋" w:hAnsi="仿宋" w:eastAsia="仿宋" w:cs="仿宋"/>
          <w:color w:val="auto"/>
          <w:highlight w:val="none"/>
        </w:rPr>
      </w:pPr>
      <w:r>
        <w:rPr>
          <w:rFonts w:hint="eastAsia" w:ascii="仿宋" w:hAnsi="仿宋" w:eastAsia="仿宋" w:cs="仿宋"/>
          <w:color w:val="auto"/>
          <w:highlight w:val="none"/>
        </w:rPr>
        <w:t>以上内容如有虚假或与事实不符的，评审委员会可将我方做无效投标处理，我方愿意承担相应的法律责任。</w:t>
      </w:r>
    </w:p>
    <w:p>
      <w:pPr>
        <w:spacing w:line="440" w:lineRule="exact"/>
        <w:ind w:firstLine="426" w:firstLineChars="200"/>
        <w:rPr>
          <w:rFonts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eastAsia="zh-CN"/>
        </w:rPr>
        <w:t>九</w:t>
      </w:r>
      <w:r>
        <w:rPr>
          <w:rFonts w:hint="eastAsia" w:ascii="仿宋" w:hAnsi="仿宋" w:eastAsia="仿宋" w:cs="仿宋"/>
          <w:color w:val="auto"/>
          <w:highlight w:val="none"/>
        </w:rPr>
        <w:t>）我方对在本函及</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中所作的所有承诺承担法律责任。</w:t>
      </w:r>
    </w:p>
    <w:p>
      <w:pPr>
        <w:spacing w:line="440" w:lineRule="exact"/>
        <w:ind w:firstLine="426" w:firstLineChars="200"/>
        <w:rPr>
          <w:rFonts w:ascii="仿宋" w:hAnsi="仿宋" w:eastAsia="仿宋" w:cs="仿宋"/>
          <w:color w:val="auto"/>
          <w:highlight w:val="none"/>
        </w:rPr>
      </w:pPr>
      <w:r>
        <w:rPr>
          <w:rFonts w:hint="eastAsia" w:ascii="仿宋" w:hAnsi="仿宋" w:eastAsia="仿宋" w:cs="仿宋"/>
          <w:color w:val="auto"/>
          <w:highlight w:val="none"/>
        </w:rPr>
        <w:t>（十）所有与本招标有关的函件请发往下列地址：</w:t>
      </w:r>
    </w:p>
    <w:p>
      <w:pPr>
        <w:spacing w:line="440" w:lineRule="exact"/>
        <w:rPr>
          <w:rFonts w:ascii="仿宋" w:hAnsi="仿宋" w:eastAsia="仿宋" w:cs="仿宋"/>
          <w:color w:val="auto"/>
          <w:highlight w:val="none"/>
        </w:rPr>
      </w:pPr>
      <w:r>
        <w:rPr>
          <w:rFonts w:hint="eastAsia" w:ascii="仿宋" w:hAnsi="仿宋" w:eastAsia="仿宋" w:cs="仿宋"/>
          <w:color w:val="auto"/>
          <w:highlight w:val="none"/>
        </w:rPr>
        <w:t>地    址：</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.邮政编码：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pPr>
        <w:spacing w:line="440" w:lineRule="exact"/>
        <w:rPr>
          <w:rFonts w:ascii="仿宋" w:hAnsi="仿宋" w:eastAsia="仿宋" w:cs="仿宋"/>
          <w:color w:val="auto"/>
          <w:highlight w:val="none"/>
        </w:rPr>
      </w:pPr>
      <w:r>
        <w:rPr>
          <w:rFonts w:hint="eastAsia" w:ascii="仿宋" w:hAnsi="仿宋" w:eastAsia="仿宋" w:cs="仿宋"/>
          <w:color w:val="auto"/>
          <w:highlight w:val="none"/>
        </w:rPr>
        <w:t>电    话：</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.传    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pPr>
        <w:spacing w:line="440" w:lineRule="exact"/>
        <w:rPr>
          <w:rFonts w:ascii="仿宋" w:hAnsi="仿宋" w:eastAsia="仿宋" w:cs="仿宋"/>
          <w:color w:val="auto"/>
          <w:highlight w:val="none"/>
        </w:rPr>
      </w:pPr>
      <w:r>
        <w:rPr>
          <w:rFonts w:hint="eastAsia" w:ascii="仿宋" w:hAnsi="仿宋" w:eastAsia="仿宋" w:cs="仿宋"/>
          <w:color w:val="auto"/>
          <w:highlight w:val="none"/>
        </w:rPr>
        <w:t>代表姓名：</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.职    务：</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pPr>
        <w:spacing w:line="440" w:lineRule="exact"/>
        <w:ind w:right="480"/>
        <w:jc w:val="right"/>
        <w:rPr>
          <w:rFonts w:ascii="仿宋" w:hAnsi="仿宋" w:eastAsia="仿宋" w:cs="仿宋"/>
          <w:color w:val="auto"/>
          <w:highlight w:val="none"/>
        </w:rPr>
      </w:pPr>
      <w:r>
        <w:rPr>
          <w:rFonts w:hint="eastAsia" w:ascii="仿宋" w:hAnsi="仿宋" w:eastAsia="仿宋" w:cs="仿宋"/>
          <w:color w:val="auto"/>
          <w:highlight w:val="none"/>
        </w:rPr>
        <w:t>投标人：</w:t>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（公章） </w:t>
      </w:r>
    </w:p>
    <w:p>
      <w:pPr>
        <w:wordWrap w:val="0"/>
        <w:spacing w:line="440" w:lineRule="exact"/>
        <w:ind w:firstLine="426" w:firstLineChars="200"/>
        <w:jc w:val="right"/>
        <w:rPr>
          <w:rFonts w:ascii="仿宋" w:hAnsi="仿宋" w:eastAsia="仿宋" w:cs="仿宋"/>
          <w:color w:val="auto"/>
          <w:highlight w:val="none"/>
        </w:rPr>
      </w:pPr>
      <w:r>
        <w:rPr>
          <w:rFonts w:hint="eastAsia" w:ascii="仿宋" w:hAnsi="仿宋" w:eastAsia="仿宋" w:cs="仿宋"/>
          <w:color w:val="auto"/>
          <w:highlight w:val="none"/>
        </w:rPr>
        <w:t>法定代表人或委托人：</w:t>
      </w:r>
      <w:r>
        <w:rPr>
          <w:rFonts w:hint="eastAsia" w:ascii="仿宋" w:hAnsi="仿宋" w:eastAsia="仿宋" w:cs="仿宋"/>
          <w:color w:val="auto"/>
          <w:highlight w:val="none"/>
        </w:rPr>
        <w:tab/>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签章</w:t>
      </w:r>
      <w:r>
        <w:rPr>
          <w:rFonts w:hint="eastAsia" w:ascii="仿宋" w:hAnsi="仿宋" w:eastAsia="仿宋" w:cs="仿宋"/>
          <w:color w:val="auto"/>
          <w:highlight w:val="none"/>
        </w:rPr>
        <w:t xml:space="preserve">）  </w:t>
      </w:r>
    </w:p>
    <w:p>
      <w:pPr>
        <w:wordWrap w:val="0"/>
        <w:spacing w:line="440" w:lineRule="exact"/>
        <w:ind w:firstLine="426" w:firstLineChars="200"/>
        <w:jc w:val="right"/>
        <w:rPr>
          <w:rFonts w:ascii="仿宋" w:hAnsi="仿宋" w:eastAsia="仿宋" w:cs="仿宋"/>
          <w:color w:val="auto"/>
          <w:highlight w:val="non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highlight w:val="none"/>
        </w:rPr>
        <w:t>年</w:t>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pPr>
        <w:pStyle w:val="9"/>
        <w:numPr>
          <w:ilvl w:val="0"/>
          <w:numId w:val="0"/>
        </w:numPr>
        <w:kinsoku w:val="0"/>
        <w:overflowPunct w:val="0"/>
        <w:spacing w:before="34" w:line="440" w:lineRule="exact"/>
        <w:ind w:left="480" w:right="126"/>
        <w:jc w:val="center"/>
        <w:rPr>
          <w:rFonts w:ascii="仿宋" w:hAnsi="仿宋" w:eastAsia="仿宋" w:cs="仿宋"/>
          <w:color w:val="auto"/>
          <w:sz w:val="36"/>
          <w:szCs w:val="36"/>
          <w:highlight w:val="none"/>
        </w:rPr>
      </w:pPr>
      <w:r>
        <w:rPr>
          <w:rFonts w:hint="eastAsia" w:ascii="仿宋" w:hAnsi="仿宋" w:eastAsia="仿宋" w:cs="仿宋"/>
          <w:color w:val="auto"/>
          <w:highlight w:val="none"/>
        </w:rPr>
        <w:br w:type="page"/>
      </w:r>
      <w:r>
        <w:rPr>
          <w:rFonts w:hint="eastAsia" w:ascii="仿宋" w:hAnsi="仿宋" w:eastAsia="仿宋" w:cs="仿宋"/>
          <w:b/>
          <w:bCs/>
          <w:color w:val="auto"/>
          <w:sz w:val="36"/>
          <w:szCs w:val="36"/>
          <w:highlight w:val="none"/>
        </w:rPr>
        <w:t>二、法定代表人身份证明</w:t>
      </w:r>
    </w:p>
    <w:p>
      <w:pPr>
        <w:spacing w:line="420" w:lineRule="exact"/>
        <w:ind w:firstLine="426" w:firstLineChars="200"/>
        <w:rPr>
          <w:rFonts w:ascii="仿宋" w:hAnsi="仿宋" w:eastAsia="仿宋" w:cs="仿宋"/>
          <w:color w:val="auto"/>
          <w:highlight w:val="none"/>
          <w:u w:val="single"/>
        </w:rPr>
      </w:pPr>
      <w:r>
        <w:rPr>
          <w:rFonts w:hint="eastAsia" w:ascii="仿宋" w:hAnsi="仿宋" w:eastAsia="仿宋" w:cs="仿宋"/>
          <w:color w:val="auto"/>
          <w:highlight w:val="none"/>
        </w:rPr>
        <w:t>投标单位名称：</w:t>
      </w:r>
      <w:r>
        <w:rPr>
          <w:rFonts w:hint="eastAsia" w:ascii="仿宋" w:hAnsi="仿宋" w:eastAsia="仿宋" w:cs="仿宋"/>
          <w:color w:val="auto"/>
          <w:highlight w:val="none"/>
          <w:u w:val="single"/>
        </w:rPr>
        <w:t xml:space="preserve">                       </w:t>
      </w:r>
    </w:p>
    <w:p>
      <w:pPr>
        <w:spacing w:line="420" w:lineRule="exact"/>
        <w:ind w:firstLine="426" w:firstLineChars="200"/>
        <w:rPr>
          <w:rFonts w:ascii="仿宋" w:hAnsi="仿宋" w:eastAsia="仿宋" w:cs="仿宋"/>
          <w:color w:val="auto"/>
          <w:highlight w:val="none"/>
          <w:u w:val="single"/>
        </w:rPr>
      </w:pPr>
      <w:r>
        <w:rPr>
          <w:rFonts w:hint="eastAsia" w:ascii="仿宋" w:hAnsi="仿宋" w:eastAsia="仿宋" w:cs="仿宋"/>
          <w:color w:val="auto"/>
          <w:highlight w:val="none"/>
        </w:rPr>
        <w:t>单位性质：</w:t>
      </w:r>
      <w:r>
        <w:rPr>
          <w:rFonts w:hint="eastAsia" w:ascii="仿宋" w:hAnsi="仿宋" w:eastAsia="仿宋" w:cs="仿宋"/>
          <w:color w:val="auto"/>
          <w:highlight w:val="none"/>
          <w:u w:val="single"/>
        </w:rPr>
        <w:t xml:space="preserve">                           </w:t>
      </w:r>
    </w:p>
    <w:p>
      <w:pPr>
        <w:spacing w:line="420" w:lineRule="exact"/>
        <w:ind w:firstLine="426" w:firstLineChars="200"/>
        <w:rPr>
          <w:rFonts w:ascii="仿宋" w:hAnsi="仿宋" w:eastAsia="仿宋" w:cs="仿宋"/>
          <w:color w:val="auto"/>
          <w:highlight w:val="none"/>
          <w:u w:val="single"/>
        </w:rPr>
      </w:pPr>
      <w:r>
        <w:rPr>
          <w:rFonts w:hint="eastAsia" w:ascii="仿宋" w:hAnsi="仿宋" w:eastAsia="仿宋" w:cs="仿宋"/>
          <w:color w:val="auto"/>
          <w:highlight w:val="none"/>
        </w:rPr>
        <w:t>地址：</w:t>
      </w:r>
      <w:r>
        <w:rPr>
          <w:rFonts w:hint="eastAsia" w:ascii="仿宋" w:hAnsi="仿宋" w:eastAsia="仿宋" w:cs="仿宋"/>
          <w:color w:val="auto"/>
          <w:highlight w:val="none"/>
          <w:u w:val="single"/>
        </w:rPr>
        <w:t xml:space="preserve">                               </w:t>
      </w:r>
    </w:p>
    <w:p>
      <w:pPr>
        <w:spacing w:line="420" w:lineRule="exact"/>
        <w:ind w:firstLine="426" w:firstLineChars="200"/>
        <w:rPr>
          <w:rFonts w:ascii="仿宋" w:hAnsi="仿宋" w:eastAsia="仿宋" w:cs="仿宋"/>
          <w:color w:val="auto"/>
          <w:highlight w:val="none"/>
        </w:rPr>
      </w:pPr>
      <w:r>
        <w:rPr>
          <w:rFonts w:hint="eastAsia" w:ascii="仿宋" w:hAnsi="仿宋" w:eastAsia="仿宋" w:cs="仿宋"/>
          <w:color w:val="auto"/>
          <w:highlight w:val="none"/>
        </w:rPr>
        <w:t>成立时间：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pPr>
        <w:spacing w:line="420" w:lineRule="exact"/>
        <w:ind w:firstLine="426" w:firstLineChars="200"/>
        <w:rPr>
          <w:rFonts w:ascii="仿宋" w:hAnsi="仿宋" w:eastAsia="仿宋" w:cs="仿宋"/>
          <w:color w:val="auto"/>
          <w:highlight w:val="none"/>
          <w:u w:val="single"/>
        </w:rPr>
      </w:pPr>
      <w:r>
        <w:rPr>
          <w:rFonts w:hint="eastAsia" w:ascii="仿宋" w:hAnsi="仿宋" w:eastAsia="仿宋" w:cs="仿宋"/>
          <w:color w:val="auto"/>
          <w:highlight w:val="none"/>
        </w:rPr>
        <w:t>经营期限：</w:t>
      </w:r>
      <w:r>
        <w:rPr>
          <w:rFonts w:hint="eastAsia" w:ascii="仿宋" w:hAnsi="仿宋" w:eastAsia="仿宋" w:cs="仿宋"/>
          <w:color w:val="auto"/>
          <w:highlight w:val="none"/>
          <w:u w:val="single"/>
        </w:rPr>
        <w:t xml:space="preserve">             </w:t>
      </w:r>
    </w:p>
    <w:p>
      <w:pPr>
        <w:spacing w:line="420" w:lineRule="exact"/>
        <w:ind w:firstLine="426" w:firstLineChars="200"/>
        <w:rPr>
          <w:rFonts w:ascii="仿宋" w:hAnsi="仿宋" w:eastAsia="仿宋" w:cs="仿宋"/>
          <w:color w:val="auto"/>
          <w:highlight w:val="none"/>
          <w:u w:val="single"/>
        </w:rPr>
      </w:pPr>
      <w:r>
        <w:rPr>
          <w:rFonts w:hint="eastAsia" w:ascii="仿宋" w:hAnsi="仿宋" w:eastAsia="仿宋" w:cs="仿宋"/>
          <w:color w:val="auto"/>
          <w:highlight w:val="none"/>
        </w:rPr>
        <w:t>姓名：</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性别：</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年龄：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职务：</w:t>
      </w:r>
      <w:r>
        <w:rPr>
          <w:rFonts w:hint="eastAsia" w:ascii="仿宋" w:hAnsi="仿宋" w:eastAsia="仿宋" w:cs="仿宋"/>
          <w:color w:val="auto"/>
          <w:highlight w:val="none"/>
          <w:u w:val="single"/>
        </w:rPr>
        <w:t xml:space="preserve">           </w:t>
      </w:r>
    </w:p>
    <w:p>
      <w:pPr>
        <w:spacing w:line="420" w:lineRule="exact"/>
        <w:ind w:firstLine="426" w:firstLineChars="200"/>
        <w:rPr>
          <w:rFonts w:ascii="仿宋" w:hAnsi="仿宋" w:eastAsia="仿宋" w:cs="仿宋"/>
          <w:color w:val="auto"/>
          <w:highlight w:val="none"/>
          <w:u w:val="single"/>
        </w:rPr>
      </w:pPr>
      <w:r>
        <w:rPr>
          <w:rFonts w:hint="eastAsia" w:ascii="仿宋" w:hAnsi="仿宋" w:eastAsia="仿宋" w:cs="仿宋"/>
          <w:color w:val="auto"/>
          <w:highlight w:val="none"/>
        </w:rPr>
        <w:t>身份证号码：</w:t>
      </w:r>
      <w:r>
        <w:rPr>
          <w:rFonts w:hint="eastAsia" w:ascii="仿宋" w:hAnsi="仿宋" w:eastAsia="仿宋" w:cs="仿宋"/>
          <w:color w:val="auto"/>
          <w:highlight w:val="none"/>
          <w:u w:val="single"/>
        </w:rPr>
        <w:t xml:space="preserve">                                  </w:t>
      </w:r>
    </w:p>
    <w:p>
      <w:pPr>
        <w:spacing w:line="420" w:lineRule="exact"/>
        <w:ind w:firstLine="426" w:firstLineChars="200"/>
        <w:rPr>
          <w:rFonts w:ascii="仿宋" w:hAnsi="仿宋" w:eastAsia="仿宋" w:cs="仿宋"/>
          <w:color w:val="auto"/>
          <w:highlight w:val="none"/>
        </w:rPr>
      </w:pPr>
      <w:r>
        <w:rPr>
          <w:rFonts w:hint="eastAsia" w:ascii="仿宋" w:hAnsi="仿宋" w:eastAsia="仿宋" w:cs="仿宋"/>
          <w:color w:val="auto"/>
          <w:highlight w:val="none"/>
        </w:rPr>
        <w:t>系</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（投标单位名称）的法定代表人。</w:t>
      </w:r>
    </w:p>
    <w:p>
      <w:pPr>
        <w:spacing w:line="420" w:lineRule="exact"/>
        <w:ind w:firstLine="852" w:firstLineChars="400"/>
        <w:rPr>
          <w:rFonts w:ascii="仿宋" w:hAnsi="仿宋" w:eastAsia="仿宋" w:cs="仿宋"/>
          <w:color w:val="auto"/>
          <w:highlight w:val="none"/>
        </w:rPr>
      </w:pPr>
      <w:r>
        <w:rPr>
          <w:rFonts w:hint="eastAsia" w:ascii="仿宋" w:hAnsi="仿宋" w:eastAsia="仿宋" w:cs="仿宋"/>
          <w:color w:val="auto"/>
          <w:highlight w:val="none"/>
        </w:rPr>
        <w:t>特此证明。</w:t>
      </w:r>
    </w:p>
    <w:p>
      <w:pPr>
        <w:pStyle w:val="9"/>
        <w:numPr>
          <w:ilvl w:val="0"/>
          <w:numId w:val="0"/>
        </w:numPr>
        <w:kinsoku w:val="0"/>
        <w:overflowPunct w:val="0"/>
        <w:rPr>
          <w:rFonts w:ascii="仿宋" w:hAnsi="仿宋" w:eastAsia="仿宋" w:cs="仿宋"/>
          <w:color w:val="auto"/>
          <w:sz w:val="20"/>
          <w:szCs w:val="20"/>
          <w:highlight w:val="none"/>
        </w:rPr>
      </w:pPr>
    </w:p>
    <w:p>
      <w:pPr>
        <w:pStyle w:val="9"/>
        <w:numPr>
          <w:ilvl w:val="0"/>
          <w:numId w:val="0"/>
        </w:numPr>
        <w:kinsoku w:val="0"/>
        <w:overflowPunct w:val="0"/>
        <w:spacing w:before="7"/>
        <w:ind w:leftChars="0" w:right="0"/>
        <w:rPr>
          <w:rFonts w:hint="eastAsia" w:ascii="仿宋" w:hAnsi="仿宋" w:eastAsia="仿宋" w:cs="仿宋"/>
          <w:color w:val="auto"/>
          <w:sz w:val="25"/>
          <w:szCs w:val="25"/>
          <w:highlight w:val="none"/>
        </w:rPr>
      </w:pPr>
    </w:p>
    <w:p>
      <w:pPr>
        <w:pStyle w:val="9"/>
        <w:numPr>
          <w:ilvl w:val="0"/>
          <w:numId w:val="0"/>
        </w:numPr>
        <w:kinsoku w:val="0"/>
        <w:overflowPunct w:val="0"/>
        <w:spacing w:before="7"/>
        <w:rPr>
          <w:rFonts w:ascii="仿宋" w:hAnsi="仿宋" w:eastAsia="仿宋" w:cs="仿宋"/>
          <w:color w:val="auto"/>
          <w:sz w:val="25"/>
          <w:szCs w:val="25"/>
          <w:highlight w:val="none"/>
        </w:rPr>
      </w:pPr>
      <w:r>
        <w:rPr>
          <w:rFonts w:hint="eastAsia" w:ascii="仿宋" w:hAnsi="仿宋" w:eastAsia="仿宋" w:cs="仿宋"/>
          <w:color w:val="auto"/>
          <w:spacing w:val="0"/>
          <w:w w:val="100"/>
          <w:position w:val="0"/>
          <w:sz w:val="20"/>
          <w:szCs w:val="20"/>
          <w:highlight w:val="none"/>
          <w:shd w:val="clear" w:color="auto" w:fill="auto"/>
          <w:lang w:val="en-US" w:eastAsia="en-US" w:bidi="en-US"/>
        </w:rPr>
        <mc:AlternateContent>
          <mc:Choice Requires="wpg">
            <w:drawing>
              <wp:inline distT="0" distB="0" distL="114300" distR="114300">
                <wp:extent cx="5136515" cy="1458595"/>
                <wp:effectExtent l="1905" t="1905" r="5080" b="6350"/>
                <wp:docPr id="36" name="组合 36"/>
                <wp:cNvGraphicFramePr/>
                <a:graphic xmlns:a="http://schemas.openxmlformats.org/drawingml/2006/main">
                  <a:graphicData uri="http://schemas.microsoft.com/office/word/2010/wordprocessingGroup">
                    <wpg:wgp>
                      <wpg:cNvGrpSpPr/>
                      <wpg:grpSpPr>
                        <a:xfrm>
                          <a:off x="0" y="0"/>
                          <a:ext cx="5136515" cy="1458595"/>
                          <a:chOff x="4" y="4"/>
                          <a:chExt cx="8094" cy="2302"/>
                        </a:xfrm>
                      </wpg:grpSpPr>
                      <wps:wsp>
                        <wps:cNvPr id="24" name="任意多边形 24"/>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25" name="任意多边形 25"/>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26" name="任意多边形 26"/>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27" name="任意多边形 27"/>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28" name="任意多边形 28"/>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29" name="任意多边形 29"/>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30" name="任意多边形 30"/>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31" name="任意多边形 31"/>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32" name="任意多边形 32"/>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33" name="任意多边形 33"/>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34" name="矩形 34"/>
                        <wps:cNvSpPr/>
                        <wps:spPr>
                          <a:xfrm>
                            <a:off x="19" y="19"/>
                            <a:ext cx="4025" cy="2258"/>
                          </a:xfrm>
                          <a:prstGeom prst="rect">
                            <a:avLst/>
                          </a:prstGeom>
                          <a:noFill/>
                          <a:ln>
                            <a:noFill/>
                          </a:ln>
                        </wps:spPr>
                        <wps:txbx>
                          <w:txbxContent>
                            <w:p>
                              <w:pPr>
                                <w:pStyle w:val="9"/>
                                <w:numPr>
                                  <w:ilvl w:val="0"/>
                                  <w:numId w:val="0"/>
                                </w:numPr>
                                <w:kinsoku w:val="0"/>
                                <w:overflowPunct w:val="0"/>
                                <w:spacing w:before="13"/>
                                <w:ind w:leftChars="0" w:right="0"/>
                                <w:rPr>
                                  <w:rFonts w:hint="eastAsia"/>
                                  <w:sz w:val="28"/>
                                  <w:szCs w:val="28"/>
                                </w:rPr>
                              </w:pPr>
                            </w:p>
                            <w:p>
                              <w:pPr>
                                <w:pStyle w:val="9"/>
                                <w:numPr>
                                  <w:ilvl w:val="0"/>
                                  <w:numId w:val="0"/>
                                </w:numPr>
                                <w:kinsoku w:val="0"/>
                                <w:overflowPunct w:val="0"/>
                                <w:ind w:right="0"/>
                                <w:jc w:val="center"/>
                              </w:pPr>
                              <w:r>
                                <w:rPr>
                                  <w:rFonts w:hint="eastAsia"/>
                                </w:rPr>
                                <w:t>法定代表人身份证复印件（正面）</w:t>
                              </w:r>
                            </w:p>
                          </w:txbxContent>
                        </wps:txbx>
                        <wps:bodyPr lIns="0" tIns="0" rIns="0" bIns="0" upright="1"/>
                      </wps:wsp>
                      <wps:wsp>
                        <wps:cNvPr id="35" name="矩形 35"/>
                        <wps:cNvSpPr/>
                        <wps:spPr>
                          <a:xfrm>
                            <a:off x="4044" y="19"/>
                            <a:ext cx="4025" cy="2258"/>
                          </a:xfrm>
                          <a:prstGeom prst="rect">
                            <a:avLst/>
                          </a:prstGeom>
                          <a:noFill/>
                          <a:ln>
                            <a:noFill/>
                          </a:ln>
                        </wps:spPr>
                        <wps:txbx>
                          <w:txbxContent>
                            <w:p>
                              <w:pPr>
                                <w:pStyle w:val="9"/>
                                <w:numPr>
                                  <w:ilvl w:val="0"/>
                                  <w:numId w:val="0"/>
                                </w:numPr>
                                <w:kinsoku w:val="0"/>
                                <w:overflowPunct w:val="0"/>
                                <w:spacing w:before="13"/>
                                <w:ind w:leftChars="0" w:right="0"/>
                                <w:rPr>
                                  <w:rFonts w:hint="eastAsia"/>
                                  <w:sz w:val="28"/>
                                  <w:szCs w:val="28"/>
                                </w:rPr>
                              </w:pPr>
                            </w:p>
                            <w:p>
                              <w:pPr>
                                <w:pStyle w:val="9"/>
                                <w:numPr>
                                  <w:ilvl w:val="0"/>
                                  <w:numId w:val="0"/>
                                </w:numPr>
                                <w:kinsoku w:val="0"/>
                                <w:overflowPunct w:val="0"/>
                                <w:ind w:right="0"/>
                              </w:pPr>
                              <w:r>
                                <w:rPr>
                                  <w:rFonts w:hint="eastAsia"/>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origin="4,4" coordsize="8094,2302"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">
                <o:lock v:ext="edit" aspectratio="f"/>
                <v:shape id="_x0000_s1026" o:spid="_x0000_s1026" o:spt="100" style="position:absolute;left:4;top:9;height:20;width:8079;" filled="f" stroked="t" coordsize="8079,20" o:gfxdata="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y7ni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TYA+87wAAADb&#10;AAAADwAAAGRycy9kb3ducmV2LnhtbEWPQYvCMBSE7wv+h/AEb2tSQXGr0YMiiIsH6/6AR/NsS5uX&#10;kkSt++s3Cwt7HGbmG2a9HWwnHuRD41hDNlUgiEtnGq40fF0P70sQISIb7ByThhcF2G5Gb2vMjXvy&#10;hR5FrESCcMhRQx1jn0sZyposhqnriZN3c95iTNJX0nh8Jrjt5EyphbTYcFqosaddTWVb3K2GvffX&#10;s+xvxffpc++ySrXzj6HVejLO1ApEpCH+h//aR6NhNoffL+kHyM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2APvO8AAAA&#10;2w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vVKghLwAAADb&#10;AAAADwAAAGRycy9kb3ducmV2LnhtbEWPQYvCMBSE7wv+h/CEva1JBUWr0YMiLMoerP6AR/NsS5uX&#10;kkTt7q83Cwt7HGbmG2a9HWwnHuRD41hDNlEgiEtnGq40XC+HjwWIEJENdo5JwzcF2G5Gb2vMjXvy&#10;mR5FrESCcMhRQx1jn0sZyposhonriZN3c95iTNJX0nh8Jrjt5FSpubTYcFqosaddTWVb3K2GvfeX&#10;L9nfip/jae+ySrWz5dBq/T7O1ApEpCH+h//an0bDdA6/X9IPkJ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1SoIS8AAAA&#10;2w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tCBwD70AAADb&#10;AAAADwAAAGRycy9kb3ducmV2LnhtbEWPT2sCMRTE74V+h/AK3mrigq1sjR6k/qE9VT14fGzebhY3&#10;L0sSdf32plDocZiZ3zDz5eA6caUQW88aJmMFgrjypuVGw/Gwfp2BiAnZYOeZNNwpwnLx/DTH0vgb&#10;/9B1nxqRIRxL1GBT6kspY2XJYRz7njh7tQ8OU5ahkSbgLcNdJwul3qTDlvOCxZ5Wlqrz/uI0fNd1&#10;cQ6q+Jputp+Iw7RtTnal9ehloj5AJBrSf/ivvTMainf4/Z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IHAP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szEw77gAAADb&#10;AAAADwAAAGRycy9kb3ducmV2LnhtbEVPy2oCMRTdF/yHcIVuiiYKyjgaXYgFoSvHdn+ZXCeDk5sx&#10;ic+vbxaFLg/nvdo8XCduFGLrWcNkrEAQ19603Gj4Pn6OChAxIRvsPJOGJ0XYrAdvKyyNv/OBblVq&#10;RA7hWKIGm1JfShlrSw7j2PfEmTv54DBlGBppAt5zuOvkVKm5dNhybrDY09ZSfa6uTsPr9LGf7Szu&#10;qrr4UV/FYnvBUGn9PpyoJYhEj/Qv/nPvjYZpHpu/5B8g17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zEw77gAAADbAAAA&#10;DwAAAAAAAAABACAAAAAiAAAAZHJzL2Rvd25yZXYueG1sUEsBAhQAFAAAAAgAh07iQDMvBZ47AAAA&#10;OQAAABAAAAAAAAAAAQAgAAAABwEAAGRycy9zaGFwZXhtbC54bWxQSwUGAAAAAAYABgBbAQAAsQMA&#10;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Sw69rr4AAADb&#10;AAAADwAAAGRycy9kb3ducmV2LnhtbEWPT4vCMBTE74LfIbwFL7JNFRGtjSK7CB6E9d9hvT2aZ1u3&#10;eSlNtPrtN4LgcZiZ3zDp4m4qcaPGlZYVDKIYBHFmdcm5guNh9TkB4TyyxsoyKXiQg8W820kx0bbl&#10;Hd32PhcBwi5BBYX3dSKlywoy6CJbEwfvbBuDPsgml7rBNsBNJYdxPJYGSw4LBdb0VVD2t78aBe36&#10;W5ZH/5P1893mMJr+LuvLaatU72MQz0B4uvt3+NVeawXDKTy/hB8g5/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69rr4A&#10;AADb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3lvR67cAAADb&#10;AAAADwAAAGRycy9kb3ducmV2LnhtbEVPy4rCMBTdC/MP4Q6407QWRTrGIoUBV8L42F+aO02xuWmT&#10;jI+/N4sBl4fz3lQP24sb+dA5VpDPMxDEjdMdtwrOp+/ZGkSIyBp7x6TgSQGq7cdkg6V2d/6h2zG2&#10;IoVwKFGBiXEopQyNIYth7gbixP06bzEm6FupPd5TuO3lIstW0mLHqcHgQLWh5nr8swp8E2o9FqO5&#10;1OPhwjsc3KpYKjX9zLMvEJEe8S3+d++1giKtT1/SD5Db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eW9HrtwAAANsAAAAP&#10;AAAAAAAAAAEAIAAAACIAAABkcnMvZG93bnJldi54bWxQSwECFAAUAAAACACHTuJAMy8FnjsAAAA5&#10;AAAAEAAAAAAAAAABACAAAAAGAQAAZHJzL3NoYXBleG1sLnhtbFBLBQYAAAAABgAGAFsBAACwAwAA&#10;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sRd0cLsAAADb&#10;AAAADwAAAGRycy9kb3ducmV2LnhtbEWPwWrDMBBE74X+g9hCb43smpjgRgnFUOipUCe5L9bGMrVW&#10;tqTG7t9XgUCOw8y8Ybb7xQ7iQj70jhXkqwwEcet0z52C4+HjZQMiRGSNg2NS8EcB9rvHhy1W2s38&#10;TZcmdiJBOFSowMQ4VlKG1pDFsHIjcfLOzluMSfpOao9zgttBvmZZKS32nBYMjlQban+aX6vAt6HW&#10;UzGZUz19nfgdR1cWa6Wen/LsDUSkJd7Dt/anVlDkcP2SfoDc/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Rd0cL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QcXqB7kAAADb&#10;AAAADwAAAGRycy9kb3ducmV2LnhtbEWPW4vCMBSE3wX/QziCb5pqUaQaZSkI+yR4ez80x6Zsc9Im&#10;8bL/3iws+DjMzDfMZveyrXiQD41jBbNpBoK4crrhWsHlvJ+sQISIrLF1TAp+KcBuOxxssNDuyUd6&#10;nGItEoRDgQpMjF0hZagMWQxT1xEn7+a8xZikr6X2+Exw28p5li2lxYbTgsGOSkPVz+luFfgqlLrP&#10;e3Mt+8OVv7Bzy3yh1Hg0y9YgIr3iJ/zf/tYK8jn8fUk/QG7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HF6ge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uzfikr0AAADb&#10;AAAADwAAAGRycy9kb3ducmV2LnhtbEWPQWvCQBSE74L/YXkFb7qxKUVTV8Gi1ksRY6HXZ/aZDWbf&#10;huwa7b/vCoLHYWa+YWaLm61FR62vHCsYjxIQxIXTFZcKfg7r4QSED8gaa8ek4I88LOb93gwz7a68&#10;py4PpYgQ9hkqMCE0mZS+MGTRj1xDHL2Tay2GKNtS6havEW5r+Zok79JixXHBYEOfhopzfrEKzr4z&#10;y+Pb5muX8vR7kh9Xze9ppdTgZZx8gAh0C8/wo73VCtIU7l/iD5D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N+KSvQAA&#10;ANsAAAAPAAAAAAAAAAEAIAAAACIAAABkcnMvZG93bnJldi54bWxQSwECFAAUAAAACACHTuJAMy8F&#10;njsAAAA5AAAAEAAAAAAAAAABACAAAAAMAQAAZHJzL3NoYXBleG1sLnhtbFBLBQYAAAAABgAGAFsB&#10;AAC2AwAAAAA=&#10;" path="m0,0l0,2277e">
                  <v:fill on="f" focussize="0,0"/>
                  <v:stroke weight="0.48pt" color="#000000" joinstyle="round"/>
                  <v:imagedata o:title=""/>
                  <o:lock v:ext="edit" aspectratio="f"/>
                </v:shape>
                <v:rect id="_x0000_s1026" o:spid="_x0000_s1026" o:spt="1" style="position:absolute;left:19;top:19;height:2258;width:4025;" filled="f" stroked="f" coordsize="21600,21600" o:gfxdata="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UH7b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9"/>
                          <w:numPr>
                            <w:ilvl w:val="0"/>
                            <w:numId w:val="0"/>
                          </w:numPr>
                          <w:kinsoku w:val="0"/>
                          <w:overflowPunct w:val="0"/>
                          <w:spacing w:before="13"/>
                          <w:ind w:leftChars="0" w:right="0"/>
                          <w:rPr>
                            <w:rFonts w:hint="eastAsia"/>
                            <w:sz w:val="28"/>
                            <w:szCs w:val="28"/>
                          </w:rPr>
                        </w:pPr>
                      </w:p>
                      <w:p>
                        <w:pPr>
                          <w:pStyle w:val="9"/>
                          <w:numPr>
                            <w:ilvl w:val="0"/>
                            <w:numId w:val="0"/>
                          </w:numPr>
                          <w:kinsoku w:val="0"/>
                          <w:overflowPunct w:val="0"/>
                          <w:ind w:right="0"/>
                          <w:jc w:val="center"/>
                        </w:pPr>
                        <w:r>
                          <w:rPr>
                            <w:rFonts w:hint="eastAsia"/>
                          </w:rPr>
                          <w:t>法定代表人身份证复印件（正面）</w:t>
                        </w:r>
                      </w:p>
                    </w:txbxContent>
                  </v:textbox>
                </v:rect>
                <v:rect id="_x0000_s1026" o:spid="_x0000_s1026" o:spt="1" style="position:absolute;left:4044;top:19;height:2258;width:4025;" filled="f" stroked="f" coordsize="21600,21600" o:gfxdata="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g1e9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9"/>
                          <w:numPr>
                            <w:ilvl w:val="0"/>
                            <w:numId w:val="0"/>
                          </w:numPr>
                          <w:kinsoku w:val="0"/>
                          <w:overflowPunct w:val="0"/>
                          <w:spacing w:before="13"/>
                          <w:ind w:leftChars="0" w:right="0"/>
                          <w:rPr>
                            <w:rFonts w:hint="eastAsia"/>
                            <w:sz w:val="28"/>
                            <w:szCs w:val="28"/>
                          </w:rPr>
                        </w:pPr>
                      </w:p>
                      <w:p>
                        <w:pPr>
                          <w:pStyle w:val="9"/>
                          <w:numPr>
                            <w:ilvl w:val="0"/>
                            <w:numId w:val="0"/>
                          </w:numPr>
                          <w:kinsoku w:val="0"/>
                          <w:overflowPunct w:val="0"/>
                          <w:ind w:right="0"/>
                        </w:pPr>
                        <w:r>
                          <w:rPr>
                            <w:rFonts w:hint="eastAsia"/>
                          </w:rPr>
                          <w:t>法定代表人身份证复印件（反面）</w:t>
                        </w:r>
                      </w:p>
                    </w:txbxContent>
                  </v:textbox>
                </v:rect>
                <w10:wrap type="none"/>
                <w10:anchorlock/>
              </v:group>
            </w:pict>
          </mc:Fallback>
        </mc:AlternateContent>
      </w:r>
    </w:p>
    <w:p>
      <w:pPr>
        <w:wordWrap w:val="0"/>
        <w:spacing w:line="420" w:lineRule="exact"/>
        <w:ind w:firstLine="426" w:firstLineChars="200"/>
        <w:jc w:val="right"/>
        <w:rPr>
          <w:rFonts w:ascii="仿宋" w:hAnsi="仿宋" w:eastAsia="仿宋" w:cs="仿宋"/>
          <w:color w:val="auto"/>
          <w:highlight w:val="none"/>
        </w:rPr>
      </w:pPr>
    </w:p>
    <w:p>
      <w:pPr>
        <w:pStyle w:val="2"/>
        <w:wordWrap/>
        <w:rPr>
          <w:rFonts w:ascii="仿宋" w:hAnsi="仿宋" w:eastAsia="仿宋" w:cs="仿宋"/>
          <w:color w:val="auto"/>
          <w:highlight w:val="none"/>
        </w:rPr>
      </w:pPr>
    </w:p>
    <w:p>
      <w:pPr>
        <w:pStyle w:val="2"/>
        <w:wordWrap/>
        <w:rPr>
          <w:rFonts w:ascii="仿宋" w:hAnsi="仿宋" w:eastAsia="仿宋" w:cs="仿宋"/>
          <w:color w:val="auto"/>
          <w:highlight w:val="none"/>
        </w:rPr>
      </w:pPr>
    </w:p>
    <w:p>
      <w:pPr>
        <w:pStyle w:val="2"/>
        <w:wordWrap/>
        <w:rPr>
          <w:rFonts w:ascii="仿宋" w:hAnsi="仿宋" w:eastAsia="仿宋" w:cs="仿宋"/>
          <w:color w:val="auto"/>
          <w:highlight w:val="none"/>
        </w:rPr>
      </w:pPr>
    </w:p>
    <w:p>
      <w:pPr>
        <w:pStyle w:val="2"/>
        <w:wordWrap/>
        <w:rPr>
          <w:rFonts w:ascii="仿宋" w:hAnsi="仿宋" w:eastAsia="仿宋" w:cs="仿宋"/>
          <w:color w:val="auto"/>
          <w:highlight w:val="none"/>
        </w:rPr>
      </w:pPr>
    </w:p>
    <w:p>
      <w:pPr>
        <w:spacing w:line="420" w:lineRule="exact"/>
        <w:ind w:firstLine="426" w:firstLineChars="200"/>
        <w:jc w:val="right"/>
        <w:rPr>
          <w:rFonts w:ascii="仿宋" w:hAnsi="仿宋" w:eastAsia="仿宋" w:cs="仿宋"/>
          <w:color w:val="auto"/>
          <w:highlight w:val="none"/>
        </w:rPr>
      </w:pPr>
    </w:p>
    <w:p>
      <w:pPr>
        <w:spacing w:line="420" w:lineRule="exact"/>
        <w:ind w:firstLine="426" w:firstLineChars="200"/>
        <w:jc w:val="right"/>
        <w:rPr>
          <w:rFonts w:ascii="仿宋" w:hAnsi="仿宋" w:eastAsia="仿宋" w:cs="仿宋"/>
          <w:color w:val="auto"/>
          <w:highlight w:val="none"/>
        </w:rPr>
      </w:pPr>
      <w:r>
        <w:rPr>
          <w:rFonts w:hint="eastAsia" w:ascii="仿宋" w:hAnsi="仿宋" w:eastAsia="仿宋" w:cs="仿宋"/>
          <w:color w:val="auto"/>
          <w:highlight w:val="none"/>
        </w:rPr>
        <w:t>投标人：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（公章）</w:t>
      </w:r>
    </w:p>
    <w:p>
      <w:pPr>
        <w:pStyle w:val="5"/>
        <w:ind w:firstLine="5103" w:firstLineChars="2100"/>
        <w:rPr>
          <w:rFonts w:ascii="仿宋" w:hAnsi="仿宋" w:eastAsia="仿宋" w:cs="仿宋"/>
          <w:b w:val="0"/>
          <w:bCs w:val="0"/>
          <w:color w:val="auto"/>
          <w:sz w:val="24"/>
          <w:szCs w:val="24"/>
          <w:highlight w:val="none"/>
          <w:u w:val="single"/>
          <w:lang w:eastAsia="zh-CN"/>
        </w:rPr>
      </w:pPr>
      <w:r>
        <w:rPr>
          <w:rFonts w:hint="eastAsia" w:ascii="仿宋" w:hAnsi="仿宋" w:eastAsia="仿宋" w:cs="仿宋"/>
          <w:b w:val="0"/>
          <w:bCs w:val="0"/>
          <w:color w:val="auto"/>
          <w:sz w:val="24"/>
          <w:szCs w:val="24"/>
          <w:highlight w:val="none"/>
        </w:rPr>
        <w:t>法定代表人（</w:t>
      </w:r>
      <w:r>
        <w:rPr>
          <w:rFonts w:hint="eastAsia" w:ascii="仿宋" w:hAnsi="仿宋" w:eastAsia="仿宋" w:cs="仿宋"/>
          <w:b w:val="0"/>
          <w:bCs w:val="0"/>
          <w:color w:val="auto"/>
          <w:sz w:val="24"/>
          <w:szCs w:val="24"/>
          <w:highlight w:val="none"/>
          <w:lang w:eastAsia="zh-CN"/>
        </w:rPr>
        <w:t>签章</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eastAsia="zh-CN"/>
        </w:rPr>
        <w:t xml:space="preserve"> </w:t>
      </w:r>
      <w:r>
        <w:rPr>
          <w:rFonts w:hint="eastAsia" w:ascii="仿宋" w:hAnsi="仿宋" w:eastAsia="仿宋" w:cs="仿宋"/>
          <w:b w:val="0"/>
          <w:bCs w:val="0"/>
          <w:color w:val="auto"/>
          <w:sz w:val="24"/>
          <w:szCs w:val="24"/>
          <w:highlight w:val="none"/>
          <w:u w:val="single"/>
          <w:lang w:eastAsia="zh-CN"/>
        </w:rPr>
        <w:t xml:space="preserve">         </w:t>
      </w:r>
    </w:p>
    <w:p>
      <w:pPr>
        <w:wordWrap w:val="0"/>
        <w:spacing w:line="420" w:lineRule="exact"/>
        <w:ind w:right="480" w:firstLine="426" w:firstLineChars="200"/>
        <w:jc w:val="center"/>
        <w:rPr>
          <w:rFonts w:ascii="仿宋" w:hAnsi="仿宋" w:eastAsia="仿宋" w:cs="仿宋"/>
          <w:color w:val="auto"/>
          <w:highlight w:val="non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日 </w:t>
      </w:r>
    </w:p>
    <w:p>
      <w:pPr>
        <w:pStyle w:val="9"/>
        <w:numPr>
          <w:ilvl w:val="0"/>
          <w:numId w:val="0"/>
        </w:numPr>
        <w:kinsoku w:val="0"/>
        <w:overflowPunct w:val="0"/>
        <w:spacing w:before="34" w:line="357" w:lineRule="auto"/>
        <w:ind w:left="480" w:right="126"/>
        <w:jc w:val="center"/>
        <w:rPr>
          <w:rFonts w:ascii="仿宋" w:hAnsi="仿宋" w:eastAsia="仿宋" w:cs="仿宋"/>
          <w:b/>
          <w:bCs/>
          <w:color w:val="auto"/>
          <w:szCs w:val="21"/>
          <w:highlight w:val="none"/>
        </w:rPr>
      </w:pPr>
      <w:r>
        <w:rPr>
          <w:rFonts w:hint="eastAsia" w:ascii="仿宋" w:hAnsi="仿宋" w:eastAsia="仿宋" w:cs="仿宋"/>
          <w:color w:val="auto"/>
          <w:highlight w:val="none"/>
        </w:rPr>
        <w:br w:type="page"/>
      </w:r>
      <w:r>
        <w:rPr>
          <w:rFonts w:hint="eastAsia" w:ascii="仿宋" w:hAnsi="仿宋" w:eastAsia="仿宋" w:cs="仿宋"/>
          <w:b/>
          <w:bCs/>
          <w:color w:val="auto"/>
          <w:sz w:val="36"/>
          <w:szCs w:val="36"/>
          <w:highlight w:val="none"/>
        </w:rPr>
        <w:t>三、授权委托书</w:t>
      </w:r>
    </w:p>
    <w:p>
      <w:pPr>
        <w:spacing w:line="420" w:lineRule="exact"/>
        <w:rPr>
          <w:rFonts w:ascii="仿宋" w:hAnsi="仿宋" w:eastAsia="仿宋" w:cs="仿宋"/>
          <w:color w:val="auto"/>
          <w:highlight w:val="none"/>
        </w:rPr>
      </w:pPr>
      <w:r>
        <w:rPr>
          <w:rFonts w:hint="eastAsia" w:ascii="仿宋" w:hAnsi="仿宋" w:eastAsia="仿宋" w:cs="仿宋"/>
          <w:color w:val="auto"/>
          <w:highlight w:val="none"/>
        </w:rPr>
        <w:t xml:space="preserve">致：采购人名称 </w:t>
      </w:r>
    </w:p>
    <w:p>
      <w:pPr>
        <w:spacing w:line="420" w:lineRule="exact"/>
        <w:ind w:firstLine="426" w:firstLineChars="200"/>
        <w:rPr>
          <w:rFonts w:ascii="仿宋" w:hAnsi="仿宋" w:eastAsia="仿宋" w:cs="仿宋"/>
          <w:color w:val="auto"/>
          <w:highlight w:val="none"/>
        </w:rPr>
      </w:pPr>
      <w:r>
        <w:rPr>
          <w:rFonts w:hint="eastAsia" w:ascii="仿宋" w:hAnsi="仿宋" w:eastAsia="仿宋" w:cs="仿宋"/>
          <w:color w:val="auto"/>
          <w:highlight w:val="none"/>
        </w:rPr>
        <w:t>本授权书声明：注册于</w:t>
      </w:r>
      <w:r>
        <w:rPr>
          <w:rFonts w:hint="eastAsia" w:ascii="仿宋" w:hAnsi="仿宋" w:eastAsia="仿宋" w:cs="仿宋"/>
          <w:color w:val="auto"/>
          <w:highlight w:val="none"/>
          <w:u w:val="single"/>
        </w:rPr>
        <w:t>（投标人地址）</w:t>
      </w:r>
      <w:r>
        <w:rPr>
          <w:rFonts w:hint="eastAsia" w:ascii="仿宋" w:hAnsi="仿宋" w:eastAsia="仿宋" w:cs="仿宋"/>
          <w:color w:val="auto"/>
          <w:highlight w:val="none"/>
        </w:rPr>
        <w:t>的</w:t>
      </w:r>
      <w:r>
        <w:rPr>
          <w:rFonts w:hint="eastAsia" w:ascii="仿宋" w:hAnsi="仿宋" w:eastAsia="仿宋" w:cs="仿宋"/>
          <w:color w:val="auto"/>
          <w:highlight w:val="none"/>
          <w:u w:val="single"/>
        </w:rPr>
        <w:t>（投标人名称）</w:t>
      </w:r>
      <w:r>
        <w:rPr>
          <w:rFonts w:hint="eastAsia" w:ascii="仿宋" w:hAnsi="仿宋" w:eastAsia="仿宋" w:cs="仿宋"/>
          <w:color w:val="auto"/>
          <w:highlight w:val="none"/>
        </w:rPr>
        <w:t>法定代表人（负责人）</w:t>
      </w:r>
      <w:r>
        <w:rPr>
          <w:rFonts w:hint="eastAsia" w:ascii="仿宋" w:hAnsi="仿宋" w:eastAsia="仿宋" w:cs="仿宋"/>
          <w:color w:val="auto"/>
          <w:highlight w:val="none"/>
          <w:u w:val="single"/>
        </w:rPr>
        <w:t>姓名、职务或职称）</w:t>
      </w:r>
      <w:r>
        <w:rPr>
          <w:rFonts w:hint="eastAsia" w:ascii="仿宋" w:hAnsi="仿宋" w:eastAsia="仿宋" w:cs="仿宋"/>
          <w:color w:val="auto"/>
          <w:highlight w:val="none"/>
        </w:rPr>
        <w:t>代表本公司授权</w:t>
      </w:r>
      <w:r>
        <w:rPr>
          <w:rFonts w:hint="eastAsia" w:ascii="仿宋" w:hAnsi="仿宋" w:eastAsia="仿宋" w:cs="仿宋"/>
          <w:color w:val="auto"/>
          <w:highlight w:val="none"/>
          <w:u w:val="single"/>
        </w:rPr>
        <w:t>（姓名）</w:t>
      </w:r>
      <w:r>
        <w:rPr>
          <w:rFonts w:hint="eastAsia" w:ascii="仿宋" w:hAnsi="仿宋" w:eastAsia="仿宋" w:cs="仿宋"/>
          <w:color w:val="auto"/>
          <w:highlight w:val="none"/>
        </w:rPr>
        <w:t>为本单位的合法代理人，参与贵方组织的</w:t>
      </w:r>
      <w:r>
        <w:rPr>
          <w:rFonts w:hint="eastAsia" w:ascii="仿宋" w:hAnsi="仿宋" w:eastAsia="仿宋" w:cs="仿宋"/>
          <w:color w:val="auto"/>
          <w:highlight w:val="none"/>
          <w:u w:val="single"/>
        </w:rPr>
        <w:t>（项目名称及项目编号）</w:t>
      </w:r>
      <w:r>
        <w:rPr>
          <w:rFonts w:hint="eastAsia" w:ascii="仿宋" w:hAnsi="仿宋" w:eastAsia="仿宋" w:cs="仿宋"/>
          <w:color w:val="auto"/>
          <w:highlight w:val="none"/>
        </w:rPr>
        <w:t xml:space="preserve"> 的投标、谈判、签约等具体工作，并签署全部有关文件、协议及合同。</w:t>
      </w:r>
    </w:p>
    <w:p>
      <w:pPr>
        <w:adjustRightInd w:val="0"/>
        <w:snapToGrid w:val="0"/>
        <w:spacing w:line="420" w:lineRule="exact"/>
        <w:ind w:firstLine="426" w:firstLineChars="200"/>
        <w:rPr>
          <w:rFonts w:ascii="仿宋" w:hAnsi="仿宋" w:eastAsia="仿宋" w:cs="仿宋"/>
          <w:color w:val="auto"/>
          <w:highlight w:val="none"/>
        </w:rPr>
      </w:pPr>
      <w:r>
        <w:rPr>
          <w:rFonts w:hint="eastAsia" w:ascii="仿宋" w:hAnsi="仿宋" w:eastAsia="仿宋" w:cs="仿宋"/>
          <w:color w:val="auto"/>
          <w:highlight w:val="none"/>
        </w:rPr>
        <w:t>我单位对被授权人的上述经济活动负全部责任。在撤销授权的书面通知前，本授权书一直有效。被授权人在授权书有效期内签署的所有文件不因授权的撤消而失效。</w:t>
      </w:r>
    </w:p>
    <w:p>
      <w:pPr>
        <w:pStyle w:val="9"/>
        <w:kinsoku w:val="0"/>
        <w:overflowPunct w:val="0"/>
        <w:adjustRightInd w:val="0"/>
        <w:snapToGrid w:val="0"/>
        <w:spacing w:before="12"/>
        <w:rPr>
          <w:rFonts w:ascii="仿宋" w:hAnsi="仿宋" w:eastAsia="仿宋" w:cs="仿宋"/>
          <w:color w:val="auto"/>
          <w:sz w:val="4"/>
          <w:szCs w:val="4"/>
          <w:highlight w:val="none"/>
        </w:rPr>
      </w:pPr>
    </w:p>
    <w:p>
      <w:pPr>
        <w:pStyle w:val="9"/>
        <w:numPr>
          <w:ilvl w:val="0"/>
          <w:numId w:val="0"/>
        </w:numPr>
        <w:kinsoku w:val="0"/>
        <w:overflowPunct w:val="0"/>
        <w:adjustRightInd w:val="0"/>
        <w:snapToGrid w:val="0"/>
        <w:spacing w:line="200" w:lineRule="atLeast"/>
        <w:ind w:right="1693" w:rightChars="795"/>
        <w:jc w:val="center"/>
        <w:rPr>
          <w:rFonts w:ascii="仿宋" w:hAnsi="仿宋" w:eastAsia="仿宋" w:cs="仿宋"/>
          <w:color w:val="auto"/>
          <w:sz w:val="18"/>
          <w:szCs w:val="20"/>
          <w:highlight w:val="none"/>
        </w:rPr>
      </w:pPr>
    </w:p>
    <w:p>
      <w:pPr>
        <w:pStyle w:val="9"/>
        <w:numPr>
          <w:ilvl w:val="0"/>
          <w:numId w:val="0"/>
        </w:numPr>
        <w:kinsoku w:val="0"/>
        <w:overflowPunct w:val="0"/>
        <w:adjustRightInd w:val="0"/>
        <w:snapToGrid w:val="0"/>
        <w:spacing w:line="200" w:lineRule="atLeast"/>
        <w:ind w:right="1693" w:rightChars="795"/>
        <w:jc w:val="center"/>
        <w:rPr>
          <w:rFonts w:hint="eastAsia" w:ascii="仿宋" w:hAnsi="仿宋" w:eastAsia="仿宋" w:cs="仿宋"/>
          <w:color w:val="auto"/>
          <w:sz w:val="18"/>
          <w:szCs w:val="20"/>
          <w:highlight w:val="none"/>
        </w:rPr>
      </w:pPr>
      <w:r>
        <w:rPr>
          <w:rFonts w:hint="eastAsia" w:ascii="仿宋" w:hAnsi="仿宋" w:eastAsia="仿宋" w:cs="仿宋"/>
          <w:color w:val="auto"/>
          <w:spacing w:val="0"/>
          <w:w w:val="100"/>
          <w:position w:val="0"/>
          <w:sz w:val="18"/>
          <w:szCs w:val="20"/>
          <w:highlight w:val="none"/>
          <w:shd w:val="clear" w:color="auto" w:fill="auto"/>
          <w:lang w:val="en-US" w:eastAsia="en-US" w:bidi="en-US"/>
        </w:rPr>
        <mc:AlternateContent>
          <mc:Choice Requires="wpg">
            <w:drawing>
              <wp:inline distT="0" distB="0" distL="114300" distR="114300">
                <wp:extent cx="5136515" cy="1458595"/>
                <wp:effectExtent l="1905" t="1905" r="5080" b="6350"/>
                <wp:docPr id="23" name="组合 23"/>
                <wp:cNvGraphicFramePr/>
                <a:graphic xmlns:a="http://schemas.openxmlformats.org/drawingml/2006/main">
                  <a:graphicData uri="http://schemas.microsoft.com/office/word/2010/wordprocessingGroup">
                    <wpg:wgp>
                      <wpg:cNvGrpSpPr/>
                      <wpg:grpSpPr>
                        <a:xfrm>
                          <a:off x="0" y="0"/>
                          <a:ext cx="5136515" cy="1458595"/>
                          <a:chOff x="4" y="4"/>
                          <a:chExt cx="8094" cy="2302"/>
                        </a:xfrm>
                      </wpg:grpSpPr>
                      <wps:wsp>
                        <wps:cNvPr id="11" name="任意多边形 11"/>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2" name="任意多边形 12"/>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3" name="任意多边形 13"/>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4" name="任意多边形 14"/>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5" name="任意多边形 15"/>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16" name="任意多边形 16"/>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17" name="任意多边形 17"/>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8" name="任意多边形 18"/>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9" name="任意多边形 19"/>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0" name="任意多边形 20"/>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21" name="矩形 21"/>
                        <wps:cNvSpPr/>
                        <wps:spPr>
                          <a:xfrm>
                            <a:off x="19" y="19"/>
                            <a:ext cx="4025" cy="2258"/>
                          </a:xfrm>
                          <a:prstGeom prst="rect">
                            <a:avLst/>
                          </a:prstGeom>
                          <a:noFill/>
                          <a:ln>
                            <a:noFill/>
                          </a:ln>
                        </wps:spPr>
                        <wps:txbx>
                          <w:txbxContent>
                            <w:p>
                              <w:pPr>
                                <w:pStyle w:val="9"/>
                                <w:numPr>
                                  <w:ilvl w:val="0"/>
                                  <w:numId w:val="0"/>
                                </w:numPr>
                                <w:kinsoku w:val="0"/>
                                <w:overflowPunct w:val="0"/>
                                <w:spacing w:before="12"/>
                                <w:ind w:leftChars="0" w:right="0"/>
                                <w:rPr>
                                  <w:rFonts w:hint="eastAsia"/>
                                  <w:sz w:val="28"/>
                                  <w:szCs w:val="28"/>
                                </w:rPr>
                              </w:pPr>
                            </w:p>
                            <w:p>
                              <w:pPr>
                                <w:pStyle w:val="9"/>
                                <w:numPr>
                                  <w:ilvl w:val="0"/>
                                  <w:numId w:val="0"/>
                                </w:numPr>
                                <w:kinsoku w:val="0"/>
                                <w:overflowPunct w:val="0"/>
                                <w:ind w:right="0"/>
                                <w:jc w:val="center"/>
                                <w:rPr>
                                  <w:rFonts w:hint="eastAsia"/>
                                </w:rPr>
                              </w:pPr>
                            </w:p>
                            <w:p>
                              <w:pPr>
                                <w:pStyle w:val="9"/>
                                <w:numPr>
                                  <w:ilvl w:val="0"/>
                                  <w:numId w:val="0"/>
                                </w:numPr>
                                <w:kinsoku w:val="0"/>
                                <w:overflowPunct w:val="0"/>
                                <w:ind w:right="0"/>
                                <w:jc w:val="center"/>
                              </w:pPr>
                              <w:r>
                                <w:rPr>
                                  <w:rFonts w:hint="eastAsia"/>
                                </w:rPr>
                                <w:t>授权人身份证复印件（正面）</w:t>
                              </w:r>
                            </w:p>
                          </w:txbxContent>
                        </wps:txbx>
                        <wps:bodyPr lIns="0" tIns="0" rIns="0" bIns="0" upright="1"/>
                      </wps:wsp>
                      <wps:wsp>
                        <wps:cNvPr id="22" name="矩形 22"/>
                        <wps:cNvSpPr/>
                        <wps:spPr>
                          <a:xfrm>
                            <a:off x="4044" y="19"/>
                            <a:ext cx="4025" cy="2258"/>
                          </a:xfrm>
                          <a:prstGeom prst="rect">
                            <a:avLst/>
                          </a:prstGeom>
                          <a:noFill/>
                          <a:ln>
                            <a:noFill/>
                          </a:ln>
                        </wps:spPr>
                        <wps:txbx>
                          <w:txbxContent>
                            <w:p>
                              <w:pPr>
                                <w:pStyle w:val="9"/>
                                <w:numPr>
                                  <w:ilvl w:val="0"/>
                                  <w:numId w:val="0"/>
                                </w:numPr>
                                <w:kinsoku w:val="0"/>
                                <w:overflowPunct w:val="0"/>
                                <w:ind w:right="0"/>
                                <w:rPr>
                                  <w:rFonts w:hint="eastAsia"/>
                                </w:rPr>
                              </w:pPr>
                            </w:p>
                            <w:p>
                              <w:pPr>
                                <w:pStyle w:val="9"/>
                                <w:numPr>
                                  <w:ilvl w:val="0"/>
                                  <w:numId w:val="0"/>
                                </w:numPr>
                                <w:kinsoku w:val="0"/>
                                <w:overflowPunct w:val="0"/>
                                <w:ind w:right="0"/>
                                <w:rPr>
                                  <w:rFonts w:hint="eastAsia"/>
                                </w:rPr>
                              </w:pPr>
                            </w:p>
                            <w:p>
                              <w:pPr>
                                <w:pStyle w:val="9"/>
                                <w:numPr>
                                  <w:ilvl w:val="0"/>
                                  <w:numId w:val="0"/>
                                </w:numPr>
                                <w:kinsoku w:val="0"/>
                                <w:overflowPunct w:val="0"/>
                                <w:ind w:right="0"/>
                              </w:pPr>
                              <w:r>
                                <w:rPr>
                                  <w:rFonts w:hint="eastAsia"/>
                                </w:rPr>
                                <w:t>授权人身份证复印件（反面）</w:t>
                              </w:r>
                            </w:p>
                          </w:txbxContent>
                        </wps:txbx>
                        <wps:bodyPr lIns="0" tIns="0" rIns="0" bIns="0" upright="1"/>
                      </wps:wsp>
                    </wpg:wgp>
                  </a:graphicData>
                </a:graphic>
              </wp:inline>
            </w:drawing>
          </mc:Choice>
          <mc:Fallback>
            <w:pict>
              <v:group id="_x0000_s1026" o:spid="_x0000_s1026" o:spt="203" style="height:114.85pt;width:404.45pt;" coordorigin="4,4" coordsize="8094,2302"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">
                <o:lock v:ext="edit" aspectratio="f"/>
                <v:shape id="_x0000_s1026" o:spid="_x0000_s1026" o:spt="100" style="position:absolute;left:4;top:9;height:20;width:8079;" filled="f" stroked="t" coordsize="8079,20" o:gfxdata="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6Ydd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DAVsOroAAADb&#10;AAAADwAAAGRycy9kb3ducmV2LnhtbEVPzYrCMBC+L/gOYQRva1LBZa1GD4ogLnvY6gMMzdiWNpOS&#10;RK0+vVlY2Nt8fL+z2gy2EzfyoXGsIZsqEMSlMw1XGs6n/fsniBCRDXaOScODAmzWo7cV5sbd+Ydu&#10;RaxECuGQo4Y6xj6XMpQ1WQxT1xMn7uK8xZigr6TxeE/htpMzpT6kxYZTQ409bWsq2+JqNey8P33L&#10;/lI8j187l1WqnS+GVuvJOFNLEJGG+C/+cx9Mmj+D31/SAX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BWw6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Y0nJoboAAADb&#10;AAAADwAAAGRycy9kb3ducmV2LnhtbEVPzWoCMRC+C75DmEJvmmyLxW6NHhRBFA9d+wDDZtxddjNZ&#10;klRXn94UCt7m4/udxWqwnbiQD41jDdlUgSAunWm40vBz2k7mIEJENtg5Jg03CrBajkcLzI278jdd&#10;iliJFMIhRw11jH0uZShrshimridO3Nl5izFBX0nj8ZrCbSfflPqQFhtODTX2tK6pbItfq2Hj/eko&#10;+3Nx3x82LqtUO/scWq1fXzL1BSLSEJ/if/fOpPnv8PdLOkAu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Scmh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ip4kxboAAADb&#10;AAAADwAAAGRycy9kb3ducmV2LnhtbEVPTWsCMRC9C/0PYQq9aeJSpWyNHqRqaU9uPXgcNrObxc1k&#10;SaJu/31TKPQ2j/c5q83oenGjEDvPGuYzBYK49qbjVsPpazd9ARETssHeM2n4pgib9cNkhaXxdz7S&#10;rUqtyCEcS9RgUxpKKWNtyWGc+YE4c40PDlOGoZUm4D2Hu14WSi2lw45zg8WBtpbqS3V1Gj6bprgE&#10;VXws9oc3xHHRtWe71frpca5eQSQa07/4z/1u8vxn+P0lHyDX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niTF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k1xVzLkAAADb&#10;AAAADwAAAGRycy9kb3ducmV2LnhtbEVPTWsCMRC9C/6HMAUvUhMFy7o1ehALgie3eh8242bpZrIm&#10;qdr+eiMUepvH+5zl+u46caUQW88aphMFgrj2puVGw/Hz47UAEROywc4zafihCOvVcLDE0vgbH+ha&#10;pUbkEI4larAp9aWUsbbkME58T5y5sw8OU4ahkSbgLYe7Ts6UepMOW84NFnvaWKq/qm+n4fc83s23&#10;FrdVXZzUvlhsLhgqrUcvU/UOItE9/Yv/3DuT58/h+Us+QK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NcVcy5AAAA2wAA&#10;AA8AAAAAAAAAAQAgAAAAIgAAAGRycy9kb3ducmV2LnhtbFBLAQIUABQAAAAIAIdO4kAzLwWeOwAA&#10;ADkAAAAQAAAAAAAAAAEAIAAAAAgBAABkcnMvc2hhcGV4bWwueG1sUEsFBgAAAAAGAAYAWwEAALID&#10;A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9P3jYbwAAADb&#10;AAAADwAAAGRycy9kb3ducmV2LnhtbEVPS4vCMBC+L/gfwgheFk2VRbQ2iuwi9LDg+jjobWjGttpM&#10;ShOt/nsjLHibj+85yeJuKnGjxpWWFQwHEQjizOqScwX73ao/AeE8ssbKMil4kIPFvPORYKxtyxu6&#10;bX0uQgi7GBUU3texlC4ryKAb2Jo4cCfbGPQBNrnUDbYh3FRyFEVjabDk0FBgTd8FZZft1Sho0x9Z&#10;7v06+8w3v7uv6WFZn49/SvW6w2gGwtPdv8X/7lSH+WN4/RIOkP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T942G8AAAA&#10;2wAAAA8AAAAAAAAAAQAgAAAAIgAAAGRycy9kb3ducmV2LnhtbFBLAQIUABQAAAAIAIdO4kAzLwWe&#10;OwAAADkAAAAQAAAAAAAAAAEAIAAAAAsBAABkcnMvc2hhcGV4bWwueG1sUEsFBgAAAAAGAAYAWwEA&#10;ALUDA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GgcV/7gAAADb&#10;AAAADwAAAGRycy9kb3ducmV2LnhtbEVPS4vCMBC+C/sfwgh701RFd6lGWQoLexJ89D40Y1NsJm0S&#10;H/vvjSB4m4/vOavN3bbiSj40jhVMxhkI4srphmsFx8Pv6BtEiMgaW8ek4J8CbNYfgxXm2t14R9d9&#10;rEUK4ZCjAhNjl0sZKkMWw9h1xIk7OW8xJuhrqT3eUrht5TTLFtJiw6nBYEeFoeq8v1gFvgqF7me9&#10;KYt+W/IPdm4xmyv1OZxkSxCR7vEtfrn/dJr/Bc9f0gFy/Q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gcV/7gAAADb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a5iBjbsAAADb&#10;AAAADwAAAGRycy9kb3ducmV2LnhtbEWPT2vDMAzF74N+B6PCbqvTlZaS1QkjUNhpsG65i1iLw2I5&#10;sd0/+/bTYdCbxHt676dDffOjulBMQ2AD61UBirgLduDewNfn8WkPKmVki2NgMvBLCepq8XDA0oYr&#10;f9DllHslIZxKNOBynkqtU+fIY1qFiVi07xA9Zlljr23Eq4T7UT8XxU57HFgaHE7UOOp+TmdvIHap&#10;sfNmdm0zv7f8ilPYbbbGPC7XxQuoTLd8N/9fv1nBF1j5RQbQ1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5iBjb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BNQkFrgAAADb&#10;AAAADwAAAGRycy9kb3ducmV2LnhtbEVPS4vCMBC+C/sfwgh701RF2a1GWQoLexJ89D40Y1NsJm0S&#10;H/vvjSB4m4/vOavN3bbiSj40jhVMxhkI4srphmsFx8Pv6AtEiMgaW8ek4J8CbNYfgxXm2t14R9d9&#10;rEUK4ZCjAhNjl0sZKkMWw9h1xIk7OW8xJuhrqT3eUrht5TTLFtJiw6nBYEeFoeq8v1gFvgqF7me9&#10;KYt+W/IPdm4xmyv1OZxkSxCR7vEtfrn/dJr/Dc9f0gFy/Q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NQkFrgAAADb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zjzqOLoAAADb&#10;AAAADwAAAGRycy9kb3ducmV2LnhtbEVPy4rCMBTdD/gP4QruxlQdBq1GQfG1GcQquL0216bY3JQm&#10;VufvzWJglofzni1ethItNb50rGDQT0AQ506XXCg4nzafYxA+IGusHJOCX/KwmHc+Zphq9+QjtVko&#10;RAxhn6ICE0KdSulzQxZ939XEkbu5xmKIsCmkbvAZw20lh0nyLS2WHBsM1rQylN+zh1Vw961ZXr+2&#10;u8OIJz/j7LquL7e1Ur3uIJmCCPQK/+I/914rGMb18Uv8AXL+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POo4ugAAANsA&#10;AAAPAAAAAAAAAAEAIAAAACIAAABkcnMvZG93bnJldi54bWxQSwECFAAUAAAACACHTuJAMy8FnjsA&#10;AAA5AAAAEAAAAAAAAAABACAAAAAJAQAAZHJzL3NoYXBleG1sLnhtbFBLBQYAAAAABgAGAFsBAACz&#10;AwAAAAA=&#10;" path="m0,0l0,2277e">
                  <v:fill on="f" focussize="0,0"/>
                  <v:stroke weight="0.48pt" color="#000000" joinstyle="round"/>
                  <v:imagedata o:title=""/>
                  <o:lock v:ext="edit" aspectratio="f"/>
                </v:shape>
                <v:rect id="_x0000_s1026" o:spid="_x0000_s1026" o:spt="1" style="position:absolute;left:19;top:19;height:2258;width:4025;" filled="f" stroked="f" coordsize="21600,21600" o:gfxdata="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O/OK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9"/>
                          <w:numPr>
                            <w:ilvl w:val="0"/>
                            <w:numId w:val="0"/>
                          </w:numPr>
                          <w:kinsoku w:val="0"/>
                          <w:overflowPunct w:val="0"/>
                          <w:spacing w:before="12"/>
                          <w:ind w:leftChars="0" w:right="0"/>
                          <w:rPr>
                            <w:rFonts w:hint="eastAsia"/>
                            <w:sz w:val="28"/>
                            <w:szCs w:val="28"/>
                          </w:rPr>
                        </w:pPr>
                      </w:p>
                      <w:p>
                        <w:pPr>
                          <w:pStyle w:val="9"/>
                          <w:numPr>
                            <w:ilvl w:val="0"/>
                            <w:numId w:val="0"/>
                          </w:numPr>
                          <w:kinsoku w:val="0"/>
                          <w:overflowPunct w:val="0"/>
                          <w:ind w:right="0"/>
                          <w:jc w:val="center"/>
                          <w:rPr>
                            <w:rFonts w:hint="eastAsia"/>
                          </w:rPr>
                        </w:pPr>
                      </w:p>
                      <w:p>
                        <w:pPr>
                          <w:pStyle w:val="9"/>
                          <w:numPr>
                            <w:ilvl w:val="0"/>
                            <w:numId w:val="0"/>
                          </w:numPr>
                          <w:kinsoku w:val="0"/>
                          <w:overflowPunct w:val="0"/>
                          <w:ind w:right="0"/>
                          <w:jc w:val="center"/>
                        </w:pPr>
                        <w:r>
                          <w:rPr>
                            <w:rFonts w:hint="eastAsia"/>
                          </w:rPr>
                          <w:t>授权人身份证复印件（正面）</w:t>
                        </w:r>
                      </w:p>
                    </w:txbxContent>
                  </v:textbox>
                </v:rect>
                <v:rect id="_x0000_s1026" o:spid="_x0000_s1026" o:spt="1" style="position:absolute;left:4044;top:19;height:2258;width:4025;" filled="f" stroked="f" coordsize="21600,21600" o:gfxdata="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D1QX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9"/>
                          <w:numPr>
                            <w:ilvl w:val="0"/>
                            <w:numId w:val="0"/>
                          </w:numPr>
                          <w:kinsoku w:val="0"/>
                          <w:overflowPunct w:val="0"/>
                          <w:ind w:right="0"/>
                          <w:rPr>
                            <w:rFonts w:hint="eastAsia"/>
                          </w:rPr>
                        </w:pPr>
                      </w:p>
                      <w:p>
                        <w:pPr>
                          <w:pStyle w:val="9"/>
                          <w:numPr>
                            <w:ilvl w:val="0"/>
                            <w:numId w:val="0"/>
                          </w:numPr>
                          <w:kinsoku w:val="0"/>
                          <w:overflowPunct w:val="0"/>
                          <w:ind w:right="0"/>
                          <w:rPr>
                            <w:rFonts w:hint="eastAsia"/>
                          </w:rPr>
                        </w:pPr>
                      </w:p>
                      <w:p>
                        <w:pPr>
                          <w:pStyle w:val="9"/>
                          <w:numPr>
                            <w:ilvl w:val="0"/>
                            <w:numId w:val="0"/>
                          </w:numPr>
                          <w:kinsoku w:val="0"/>
                          <w:overflowPunct w:val="0"/>
                          <w:ind w:right="0"/>
                        </w:pPr>
                        <w:r>
                          <w:rPr>
                            <w:rFonts w:hint="eastAsia"/>
                          </w:rPr>
                          <w:t>授权人身份证复印件（反面）</w:t>
                        </w:r>
                      </w:p>
                    </w:txbxContent>
                  </v:textbox>
                </v:rect>
                <w10:wrap type="none"/>
                <w10:anchorlock/>
              </v:group>
            </w:pict>
          </mc:Fallback>
        </mc:AlternateContent>
      </w:r>
    </w:p>
    <w:p>
      <w:pPr>
        <w:pStyle w:val="9"/>
        <w:numPr>
          <w:ilvl w:val="0"/>
          <w:numId w:val="0"/>
        </w:numPr>
        <w:kinsoku w:val="0"/>
        <w:overflowPunct w:val="0"/>
        <w:adjustRightInd w:val="0"/>
        <w:snapToGrid w:val="0"/>
        <w:spacing w:line="200" w:lineRule="atLeast"/>
        <w:rPr>
          <w:rFonts w:ascii="仿宋" w:hAnsi="仿宋" w:eastAsia="仿宋" w:cs="仿宋"/>
          <w:color w:val="auto"/>
          <w:sz w:val="18"/>
          <w:szCs w:val="20"/>
          <w:highlight w:val="none"/>
        </w:rPr>
      </w:pPr>
      <w:r>
        <w:rPr>
          <w:rFonts w:hint="eastAsia" w:ascii="仿宋" w:hAnsi="仿宋" w:eastAsia="仿宋" w:cs="仿宋"/>
          <w:color w:val="auto"/>
          <w:spacing w:val="0"/>
          <w:w w:val="100"/>
          <w:position w:val="0"/>
          <w:sz w:val="18"/>
          <w:szCs w:val="20"/>
          <w:highlight w:val="none"/>
          <w:shd w:val="clear" w:color="auto" w:fill="auto"/>
          <w:lang w:val="en-US" w:eastAsia="en-US" w:bidi="en-US"/>
        </w:rPr>
        <mc:AlternateContent>
          <mc:Choice Requires="wpg">
            <w:drawing>
              <wp:inline distT="0" distB="0" distL="114300" distR="114300">
                <wp:extent cx="5136515" cy="1384935"/>
                <wp:effectExtent l="1905" t="1905" r="5080" b="3810"/>
                <wp:docPr id="49" name="组合 49"/>
                <wp:cNvGraphicFramePr/>
                <a:graphic xmlns:a="http://schemas.openxmlformats.org/drawingml/2006/main">
                  <a:graphicData uri="http://schemas.microsoft.com/office/word/2010/wordprocessingGroup">
                    <wpg:wgp>
                      <wpg:cNvGrpSpPr/>
                      <wpg:grpSpPr>
                        <a:xfrm>
                          <a:off x="0" y="0"/>
                          <a:ext cx="5136515" cy="1384935"/>
                          <a:chOff x="4" y="4"/>
                          <a:chExt cx="8094" cy="2186"/>
                        </a:xfrm>
                      </wpg:grpSpPr>
                      <wps:wsp>
                        <wps:cNvPr id="37" name="任意多边形 37"/>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38" name="任意多边形 38"/>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9" name="任意多边形 39"/>
                        <wps:cNvSpPr/>
                        <wps:spPr>
                          <a:xfrm>
                            <a:off x="24" y="2151"/>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0" name="任意多边形 40"/>
                        <wps:cNvSpPr/>
                        <wps:spPr>
                          <a:xfrm>
                            <a:off x="4" y="2170"/>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41" name="任意多边形 41"/>
                        <wps:cNvSpPr/>
                        <wps:spPr>
                          <a:xfrm>
                            <a:off x="9" y="4"/>
                            <a:ext cx="20" cy="2171"/>
                          </a:xfrm>
                          <a:custGeom>
                            <a:avLst/>
                            <a:gdLst/>
                            <a:ahLst/>
                            <a:cxnLst/>
                            <a:pathLst>
                              <a:path w="20" h="2171">
                                <a:moveTo>
                                  <a:pt x="0" y="0"/>
                                </a:moveTo>
                                <a:lnTo>
                                  <a:pt x="0" y="2170"/>
                                </a:lnTo>
                              </a:path>
                            </a:pathLst>
                          </a:custGeom>
                          <a:noFill/>
                          <a:ln w="6096" cap="flat" cmpd="sng">
                            <a:solidFill>
                              <a:srgbClr val="000000"/>
                            </a:solidFill>
                            <a:prstDash val="solid"/>
                            <a:headEnd type="none" w="med" len="med"/>
                            <a:tailEnd type="none" w="med" len="med"/>
                          </a:ln>
                        </wps:spPr>
                        <wps:bodyPr upright="1"/>
                      </wps:wsp>
                      <wps:wsp>
                        <wps:cNvPr id="42" name="任意多边形 42"/>
                        <wps:cNvSpPr/>
                        <wps:spPr>
                          <a:xfrm>
                            <a:off x="28" y="24"/>
                            <a:ext cx="20" cy="2133"/>
                          </a:xfrm>
                          <a:custGeom>
                            <a:avLst/>
                            <a:gdLst/>
                            <a:ahLst/>
                            <a:cxnLst/>
                            <a:pathLst>
                              <a:path w="20" h="2133">
                                <a:moveTo>
                                  <a:pt x="0" y="0"/>
                                </a:moveTo>
                                <a:lnTo>
                                  <a:pt x="0" y="2132"/>
                                </a:lnTo>
                              </a:path>
                            </a:pathLst>
                          </a:custGeom>
                          <a:noFill/>
                          <a:ln w="6096" cap="flat" cmpd="sng">
                            <a:solidFill>
                              <a:srgbClr val="000000"/>
                            </a:solidFill>
                            <a:prstDash val="solid"/>
                            <a:headEnd type="none" w="med" len="med"/>
                            <a:tailEnd type="none" w="med" len="med"/>
                          </a:ln>
                        </wps:spPr>
                        <wps:bodyPr upright="1"/>
                      </wps:wsp>
                      <wps:wsp>
                        <wps:cNvPr id="43" name="任意多边形 43"/>
                        <wps:cNvSpPr/>
                        <wps:spPr>
                          <a:xfrm>
                            <a:off x="4034"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4" name="任意多边形 44"/>
                        <wps:cNvSpPr/>
                        <wps:spPr>
                          <a:xfrm>
                            <a:off x="4053"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5" name="任意多边形 45"/>
                        <wps:cNvSpPr/>
                        <wps:spPr>
                          <a:xfrm>
                            <a:off x="8059" y="33"/>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6" name="任意多边形 46"/>
                        <wps:cNvSpPr/>
                        <wps:spPr>
                          <a:xfrm>
                            <a:off x="8078" y="14"/>
                            <a:ext cx="20" cy="2162"/>
                          </a:xfrm>
                          <a:custGeom>
                            <a:avLst/>
                            <a:gdLst/>
                            <a:ahLst/>
                            <a:cxnLst/>
                            <a:pathLst>
                              <a:path w="20" h="2162">
                                <a:moveTo>
                                  <a:pt x="0" y="0"/>
                                </a:moveTo>
                                <a:lnTo>
                                  <a:pt x="0" y="2161"/>
                                </a:lnTo>
                              </a:path>
                            </a:pathLst>
                          </a:custGeom>
                          <a:noFill/>
                          <a:ln w="6096" cap="flat" cmpd="sng">
                            <a:solidFill>
                              <a:srgbClr val="000000"/>
                            </a:solidFill>
                            <a:prstDash val="solid"/>
                            <a:headEnd type="none" w="med" len="med"/>
                            <a:tailEnd type="none" w="med" len="med"/>
                          </a:ln>
                        </wps:spPr>
                        <wps:bodyPr upright="1"/>
                      </wps:wsp>
                      <wps:wsp>
                        <wps:cNvPr id="47" name="矩形 47"/>
                        <wps:cNvSpPr/>
                        <wps:spPr>
                          <a:xfrm>
                            <a:off x="19" y="19"/>
                            <a:ext cx="4025" cy="2142"/>
                          </a:xfrm>
                          <a:prstGeom prst="rect">
                            <a:avLst/>
                          </a:prstGeom>
                          <a:noFill/>
                          <a:ln>
                            <a:noFill/>
                          </a:ln>
                        </wps:spPr>
                        <wps:txbx>
                          <w:txbxContent>
                            <w:p>
                              <w:pPr>
                                <w:pStyle w:val="9"/>
                                <w:numPr>
                                  <w:ilvl w:val="0"/>
                                  <w:numId w:val="0"/>
                                </w:numPr>
                                <w:kinsoku w:val="0"/>
                                <w:overflowPunct w:val="0"/>
                                <w:ind w:right="0"/>
                                <w:rPr>
                                  <w:rFonts w:hint="eastAsia"/>
                                </w:rPr>
                              </w:pPr>
                            </w:p>
                            <w:p>
                              <w:pPr>
                                <w:pStyle w:val="9"/>
                                <w:numPr>
                                  <w:ilvl w:val="0"/>
                                  <w:numId w:val="0"/>
                                </w:numPr>
                                <w:kinsoku w:val="0"/>
                                <w:overflowPunct w:val="0"/>
                                <w:ind w:right="0"/>
                                <w:rPr>
                                  <w:rFonts w:hint="eastAsia"/>
                                </w:rPr>
                              </w:pPr>
                            </w:p>
                            <w:p>
                              <w:pPr>
                                <w:pStyle w:val="9"/>
                                <w:numPr>
                                  <w:ilvl w:val="0"/>
                                  <w:numId w:val="0"/>
                                </w:numPr>
                                <w:kinsoku w:val="0"/>
                                <w:overflowPunct w:val="0"/>
                                <w:ind w:right="0"/>
                                <w:jc w:val="center"/>
                              </w:pPr>
                              <w:r>
                                <w:rPr>
                                  <w:rFonts w:hint="eastAsia"/>
                                </w:rPr>
                                <w:t>被授权代表身份证复印件（正面）</w:t>
                              </w:r>
                            </w:p>
                          </w:txbxContent>
                        </wps:txbx>
                        <wps:bodyPr lIns="0" tIns="0" rIns="0" bIns="0" upright="1"/>
                      </wps:wsp>
                      <wps:wsp>
                        <wps:cNvPr id="48" name="矩形 48"/>
                        <wps:cNvSpPr/>
                        <wps:spPr>
                          <a:xfrm>
                            <a:off x="4044" y="19"/>
                            <a:ext cx="4025" cy="2142"/>
                          </a:xfrm>
                          <a:prstGeom prst="rect">
                            <a:avLst/>
                          </a:prstGeom>
                          <a:noFill/>
                          <a:ln>
                            <a:noFill/>
                          </a:ln>
                        </wps:spPr>
                        <wps:txbx>
                          <w:txbxContent>
                            <w:p>
                              <w:pPr>
                                <w:pStyle w:val="9"/>
                                <w:numPr>
                                  <w:ilvl w:val="0"/>
                                  <w:numId w:val="0"/>
                                </w:numPr>
                                <w:kinsoku w:val="0"/>
                                <w:overflowPunct w:val="0"/>
                                <w:ind w:right="0"/>
                                <w:rPr>
                                  <w:rFonts w:hint="eastAsia"/>
                                </w:rPr>
                              </w:pPr>
                            </w:p>
                            <w:p>
                              <w:pPr>
                                <w:pStyle w:val="9"/>
                                <w:numPr>
                                  <w:ilvl w:val="0"/>
                                  <w:numId w:val="0"/>
                                </w:numPr>
                                <w:kinsoku w:val="0"/>
                                <w:overflowPunct w:val="0"/>
                                <w:ind w:right="0"/>
                                <w:rPr>
                                  <w:rFonts w:hint="eastAsia"/>
                                </w:rPr>
                              </w:pPr>
                            </w:p>
                            <w:p>
                              <w:pPr>
                                <w:pStyle w:val="9"/>
                                <w:numPr>
                                  <w:ilvl w:val="0"/>
                                  <w:numId w:val="0"/>
                                </w:numPr>
                                <w:kinsoku w:val="0"/>
                                <w:overflowPunct w:val="0"/>
                                <w:ind w:right="0"/>
                              </w:pPr>
                              <w:r>
                                <w:rPr>
                                  <w:rFonts w:hint="eastAsia"/>
                                </w:rPr>
                                <w:t>被授权代表身份证复印件（反面）</w:t>
                              </w:r>
                            </w:p>
                          </w:txbxContent>
                        </wps:txbx>
                        <wps:bodyPr lIns="0" tIns="0" rIns="0" bIns="0" upright="1"/>
                      </wps:wsp>
                    </wpg:wgp>
                  </a:graphicData>
                </a:graphic>
              </wp:inline>
            </w:drawing>
          </mc:Choice>
          <mc:Fallback>
            <w:pict>
              <v:group id="_x0000_s1026" o:spid="_x0000_s1026" o:spt="203" style="height:109.05pt;width:404.45pt;" coordorigin="4,4" coordsize="8094,2186"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">
                <o:lock v:ext="edit" aspectratio="f"/>
                <v:shape id="_x0000_s1026" o:spid="_x0000_s1026" o:spt="100" style="position:absolute;left:4;top:9;height:20;width:8079;" filled="f" stroked="t" coordsize="8079,20" o:gfxdata="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ebS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JlgHsLoAAADb&#10;AAAADwAAAGRycy9kb3ducmV2LnhtbEVP3WrCMBS+H/gO4Qi706SKMqvRC2UgG17Y7gEOzbEtbU5K&#10;kmm3p18uhF1+fP+7w2h7cScfWscasrkCQVw503Kt4at8n72BCBHZYO+YNPxQgMN+8rLD3LgHX+le&#10;xFqkEA45amhiHHIpQ9WQxTB3A3Hibs5bjAn6WhqPjxRue7lQai0ttpwaGhzo2FDVFd9Ww8n78iKH&#10;W/H78XlyWa261WbstH6dZmoLItIY/8VP99loWKax6Uv6AX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WAew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_x0000_s1026" o:spid="_x0000_s1026" o:spt="100" style="position:absolute;left:24;top:2151;height:20;width:8041;" filled="f" stroked="t" coordsize="8041,20" o:gfxdata="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FKIr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4;top:2170;height:20;width:8079;" filled="f" stroked="t" coordsize="8079,20" o:gfxdata="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YWDdu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_x0000_s1026" o:spid="_x0000_s1026" o:spt="100" style="position:absolute;left:9;top:4;height:2171;width:20;" filled="f" stroked="t" coordsize="20,2171" o:gfxdata="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GrYT7sAAADb&#10;AAAADwAAAAAAAAABACAAAAAiAAAAZHJzL2Rvd25yZXYueG1sUEsBAhQAFAAAAAgAh07iQDMvBZ47&#10;AAAAOQAAABAAAAAAAAAAAQAgAAAACgEAAGRycy9zaGFwZXhtbC54bWxQSwUGAAAAAAYABgBbAQAA&#10;tAMAAAAA&#10;" path="m0,0l0,2170e">
                  <v:fill on="f" focussize="0,0"/>
                  <v:stroke weight="0.48pt" color="#000000" joinstyle="round"/>
                  <v:imagedata o:title=""/>
                  <o:lock v:ext="edit" aspectratio="f"/>
                </v:shape>
                <v:shape id="_x0000_s1026" o:spid="_x0000_s1026" o:spt="100" style="position:absolute;left:28;top:24;height:2133;width:20;" filled="f" stroked="t" coordsize="20,2133" o:gfxdata="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3Uk7y/&#10;AAAA2wAAAA8AAAAAAAAAAQAgAAAAIgAAAGRycy9kb3ducmV2LnhtbFBLAQIUABQAAAAIAIdO4kAz&#10;LwWeOwAAADkAAAAQAAAAAAAAAAEAIAAAAA4BAABkcnMvc2hhcGV4bWwueG1sUEsFBgAAAAAGAAYA&#10;WwEAALgDAAAAAA==&#10;" path="m0,0l0,2132e">
                  <v:fill on="f" focussize="0,0"/>
                  <v:stroke weight="0.48pt" color="#000000" joinstyle="round"/>
                  <v:imagedata o:title=""/>
                  <o:lock v:ext="edit" aspectratio="f"/>
                </v:shape>
                <v:shape id="_x0000_s1026" o:spid="_x0000_s1026" o:spt="100" style="position:absolute;left:4034;top:24;height:2123;width:20;" filled="f" stroked="t" coordsize="20,2123" o:gfxdata="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Y1Hb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_x0000_s1026" o:spid="_x0000_s1026" o:spt="100" style="position:absolute;left:4053;top:24;height:2123;width:20;" filled="f" stroked="t" coordsize="20,2123" o:gfxdata="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chcC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_x0000_s1026" o:spid="_x0000_s1026" o:spt="100" style="position:absolute;left:8059;top:33;height:2123;width:20;" filled="f" stroked="t" coordsize="20,2123" o:gfxdata="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QIFu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_x0000_s1026" o:spid="_x0000_s1026" o:spt="100" style="position:absolute;left:8078;top:14;height:2162;width:20;" filled="f" stroked="t" coordsize="20,2162" o:gfxdata="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2cm0z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rect id="_x0000_s1026" o:spid="_x0000_s1026" o:spt="1" style="position:absolute;left:19;top:19;height:2142;width:4025;" filled="f" stroked="f" coordsize="21600,21600" o:gfxdata="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ZUWZ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9"/>
                          <w:numPr>
                            <w:ilvl w:val="0"/>
                            <w:numId w:val="0"/>
                          </w:numPr>
                          <w:kinsoku w:val="0"/>
                          <w:overflowPunct w:val="0"/>
                          <w:ind w:right="0"/>
                          <w:rPr>
                            <w:rFonts w:hint="eastAsia"/>
                          </w:rPr>
                        </w:pPr>
                      </w:p>
                      <w:p>
                        <w:pPr>
                          <w:pStyle w:val="9"/>
                          <w:numPr>
                            <w:ilvl w:val="0"/>
                            <w:numId w:val="0"/>
                          </w:numPr>
                          <w:kinsoku w:val="0"/>
                          <w:overflowPunct w:val="0"/>
                          <w:ind w:right="0"/>
                          <w:rPr>
                            <w:rFonts w:hint="eastAsia"/>
                          </w:rPr>
                        </w:pPr>
                      </w:p>
                      <w:p>
                        <w:pPr>
                          <w:pStyle w:val="9"/>
                          <w:numPr>
                            <w:ilvl w:val="0"/>
                            <w:numId w:val="0"/>
                          </w:numPr>
                          <w:kinsoku w:val="0"/>
                          <w:overflowPunct w:val="0"/>
                          <w:ind w:right="0"/>
                          <w:jc w:val="center"/>
                        </w:pPr>
                        <w:r>
                          <w:rPr>
                            <w:rFonts w:hint="eastAsia"/>
                          </w:rPr>
                          <w:t>被授权代表身份证复印件（正面）</w:t>
                        </w:r>
                      </w:p>
                    </w:txbxContent>
                  </v:textbox>
                </v:rect>
                <v:rect id="_x0000_s1026" o:spid="_x0000_s1026" o:spt="1" style="position:absolute;left:4044;top:19;height:2142;width:4025;" filled="f" stroked="f" coordsize="21600,21600" o:gfxdata="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CoIU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pStyle w:val="9"/>
                          <w:numPr>
                            <w:ilvl w:val="0"/>
                            <w:numId w:val="0"/>
                          </w:numPr>
                          <w:kinsoku w:val="0"/>
                          <w:overflowPunct w:val="0"/>
                          <w:ind w:right="0"/>
                          <w:rPr>
                            <w:rFonts w:hint="eastAsia"/>
                          </w:rPr>
                        </w:pPr>
                      </w:p>
                      <w:p>
                        <w:pPr>
                          <w:pStyle w:val="9"/>
                          <w:numPr>
                            <w:ilvl w:val="0"/>
                            <w:numId w:val="0"/>
                          </w:numPr>
                          <w:kinsoku w:val="0"/>
                          <w:overflowPunct w:val="0"/>
                          <w:ind w:right="0"/>
                          <w:rPr>
                            <w:rFonts w:hint="eastAsia"/>
                          </w:rPr>
                        </w:pPr>
                      </w:p>
                      <w:p>
                        <w:pPr>
                          <w:pStyle w:val="9"/>
                          <w:numPr>
                            <w:ilvl w:val="0"/>
                            <w:numId w:val="0"/>
                          </w:numPr>
                          <w:kinsoku w:val="0"/>
                          <w:overflowPunct w:val="0"/>
                          <w:ind w:right="0"/>
                        </w:pPr>
                        <w:r>
                          <w:rPr>
                            <w:rFonts w:hint="eastAsia"/>
                          </w:rPr>
                          <w:t>被授权代表身份证复印件（反面）</w:t>
                        </w:r>
                      </w:p>
                    </w:txbxContent>
                  </v:textbox>
                </v:rect>
                <w10:wrap type="none"/>
                <w10:anchorlock/>
              </v:group>
            </w:pict>
          </mc:Fallback>
        </mc:AlternateContent>
      </w:r>
    </w:p>
    <w:p>
      <w:pPr>
        <w:rPr>
          <w:rFonts w:ascii="仿宋" w:hAnsi="仿宋" w:eastAsia="仿宋" w:cs="仿宋"/>
          <w:color w:val="auto"/>
          <w:sz w:val="18"/>
          <w:szCs w:val="20"/>
          <w:highlight w:val="none"/>
        </w:rPr>
      </w:pPr>
    </w:p>
    <w:p>
      <w:pPr>
        <w:pStyle w:val="2"/>
        <w:rPr>
          <w:rFonts w:ascii="仿宋" w:hAnsi="仿宋" w:eastAsia="仿宋" w:cs="仿宋"/>
          <w:color w:val="auto"/>
          <w:sz w:val="18"/>
          <w:szCs w:val="20"/>
          <w:highlight w:val="none"/>
        </w:rPr>
      </w:pPr>
    </w:p>
    <w:p>
      <w:pPr>
        <w:pStyle w:val="9"/>
        <w:numPr>
          <w:ilvl w:val="0"/>
          <w:numId w:val="0"/>
        </w:numPr>
        <w:tabs>
          <w:tab w:val="left" w:pos="5631"/>
          <w:tab w:val="left" w:pos="6591"/>
          <w:tab w:val="left" w:pos="7191"/>
          <w:tab w:val="left" w:pos="7791"/>
          <w:tab w:val="left" w:pos="8247"/>
        </w:tabs>
        <w:kinsoku w:val="0"/>
        <w:overflowPunct w:val="0"/>
        <w:adjustRightInd w:val="0"/>
        <w:snapToGrid w:val="0"/>
        <w:spacing w:line="360" w:lineRule="auto"/>
        <w:ind w:left="709" w:right="238"/>
        <w:rPr>
          <w:rFonts w:ascii="仿宋" w:hAnsi="仿宋" w:eastAsia="仿宋" w:cs="仿宋"/>
          <w:color w:val="auto"/>
          <w:sz w:val="24"/>
          <w:highlight w:val="none"/>
        </w:rPr>
      </w:pPr>
    </w:p>
    <w:p>
      <w:pPr>
        <w:pStyle w:val="9"/>
        <w:numPr>
          <w:ilvl w:val="0"/>
          <w:numId w:val="0"/>
        </w:numPr>
        <w:tabs>
          <w:tab w:val="left" w:pos="5631"/>
          <w:tab w:val="left" w:pos="6591"/>
          <w:tab w:val="left" w:pos="7191"/>
          <w:tab w:val="left" w:pos="7791"/>
          <w:tab w:val="left" w:pos="8247"/>
        </w:tabs>
        <w:kinsoku w:val="0"/>
        <w:overflowPunct w:val="0"/>
        <w:adjustRightInd w:val="0"/>
        <w:snapToGrid w:val="0"/>
        <w:spacing w:line="360" w:lineRule="auto"/>
        <w:ind w:left="709" w:right="238"/>
        <w:rPr>
          <w:rFonts w:ascii="仿宋" w:hAnsi="仿宋" w:eastAsia="仿宋" w:cs="仿宋"/>
          <w:color w:val="auto"/>
          <w:sz w:val="24"/>
          <w:highlight w:val="none"/>
        </w:rPr>
      </w:pPr>
      <w:r>
        <w:rPr>
          <w:rFonts w:hint="eastAsia" w:ascii="仿宋" w:hAnsi="仿宋" w:eastAsia="仿宋" w:cs="仿宋"/>
          <w:color w:val="auto"/>
          <w:sz w:val="24"/>
          <w:highlight w:val="none"/>
        </w:rPr>
        <w:t>投标人：</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（盖章）</w:t>
      </w:r>
    </w:p>
    <w:p>
      <w:pPr>
        <w:pStyle w:val="9"/>
        <w:numPr>
          <w:ilvl w:val="0"/>
          <w:numId w:val="0"/>
        </w:numPr>
        <w:tabs>
          <w:tab w:val="left" w:pos="5295"/>
        </w:tabs>
        <w:kinsoku w:val="0"/>
        <w:overflowPunct w:val="0"/>
        <w:adjustRightInd w:val="0"/>
        <w:snapToGrid w:val="0"/>
        <w:spacing w:line="360" w:lineRule="auto"/>
        <w:ind w:left="709"/>
        <w:rPr>
          <w:rFonts w:ascii="仿宋" w:hAnsi="仿宋" w:eastAsia="仿宋" w:cs="仿宋"/>
          <w:color w:val="auto"/>
          <w:sz w:val="24"/>
          <w:highlight w:val="none"/>
        </w:rPr>
      </w:pPr>
      <w:r>
        <w:rPr>
          <w:rFonts w:hint="eastAsia" w:ascii="仿宋" w:hAnsi="仿宋" w:eastAsia="仿宋" w:cs="仿宋"/>
          <w:color w:val="auto"/>
          <w:sz w:val="24"/>
          <w:highlight w:val="none"/>
        </w:rPr>
        <w:t>被授权代表（</w:t>
      </w:r>
      <w:r>
        <w:rPr>
          <w:rFonts w:hint="eastAsia" w:ascii="仿宋" w:hAnsi="仿宋" w:eastAsia="仿宋" w:cs="仿宋"/>
          <w:color w:val="auto"/>
          <w:sz w:val="24"/>
          <w:highlight w:val="none"/>
          <w:lang w:eastAsia="zh-CN"/>
        </w:rPr>
        <w:t>签章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 xml:space="preserve">          </w:t>
      </w:r>
      <w:r>
        <w:rPr>
          <w:rFonts w:hint="eastAsia" w:ascii="仿宋" w:hAnsi="仿宋" w:eastAsia="仿宋" w:cs="仿宋"/>
          <w:color w:val="auto"/>
          <w:sz w:val="24"/>
          <w:highlight w:val="none"/>
        </w:rPr>
        <w:t>投标人法定代表人（</w:t>
      </w:r>
      <w:r>
        <w:rPr>
          <w:rFonts w:hint="eastAsia" w:ascii="仿宋" w:hAnsi="仿宋" w:eastAsia="仿宋" w:cs="仿宋"/>
          <w:color w:val="auto"/>
          <w:sz w:val="24"/>
          <w:highlight w:val="none"/>
          <w:lang w:eastAsia="zh-CN"/>
        </w:rPr>
        <w:t>签章</w:t>
      </w:r>
      <w:r>
        <w:rPr>
          <w:rFonts w:hint="eastAsia" w:ascii="仿宋" w:hAnsi="仿宋" w:eastAsia="仿宋" w:cs="仿宋"/>
          <w:color w:val="auto"/>
          <w:sz w:val="24"/>
          <w:highlight w:val="none"/>
        </w:rPr>
        <w:t>）：</w:t>
      </w:r>
    </w:p>
    <w:p>
      <w:pPr>
        <w:pStyle w:val="9"/>
        <w:numPr>
          <w:ilvl w:val="0"/>
          <w:numId w:val="0"/>
        </w:numPr>
        <w:tabs>
          <w:tab w:val="left" w:pos="1098"/>
          <w:tab w:val="left" w:pos="5298"/>
          <w:tab w:val="left" w:pos="5778"/>
        </w:tabs>
        <w:kinsoku w:val="0"/>
        <w:overflowPunct w:val="0"/>
        <w:adjustRightInd w:val="0"/>
        <w:snapToGrid w:val="0"/>
        <w:spacing w:line="360" w:lineRule="auto"/>
        <w:ind w:left="709"/>
        <w:rPr>
          <w:rFonts w:ascii="仿宋" w:hAnsi="仿宋" w:eastAsia="仿宋" w:cs="仿宋"/>
          <w:color w:val="auto"/>
          <w:sz w:val="24"/>
          <w:highlight w:val="none"/>
        </w:rPr>
      </w:pPr>
      <w:r>
        <w:rPr>
          <w:rFonts w:hint="eastAsia" w:ascii="仿宋" w:hAnsi="仿宋" w:eastAsia="仿宋" w:cs="仿宋"/>
          <w:color w:val="auto"/>
          <w:sz w:val="24"/>
          <w:highlight w:val="none"/>
        </w:rPr>
        <w:t>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务：</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务：</w:t>
      </w:r>
    </w:p>
    <w:p>
      <w:pPr>
        <w:pStyle w:val="9"/>
        <w:numPr>
          <w:ilvl w:val="0"/>
          <w:numId w:val="0"/>
        </w:numPr>
        <w:tabs>
          <w:tab w:val="left" w:pos="1098"/>
          <w:tab w:val="left" w:pos="5298"/>
          <w:tab w:val="left" w:pos="5778"/>
        </w:tabs>
        <w:kinsoku w:val="0"/>
        <w:overflowPunct w:val="0"/>
        <w:adjustRightInd w:val="0"/>
        <w:snapToGrid w:val="0"/>
        <w:spacing w:line="360" w:lineRule="auto"/>
        <w:ind w:left="709"/>
        <w:rPr>
          <w:rFonts w:ascii="仿宋" w:hAnsi="仿宋" w:eastAsia="仿宋" w:cs="仿宋"/>
          <w:color w:val="auto"/>
          <w:sz w:val="24"/>
          <w:highlight w:val="none"/>
        </w:rPr>
      </w:pPr>
      <w:r>
        <w:rPr>
          <w:rFonts w:hint="eastAsia" w:ascii="仿宋" w:hAnsi="仿宋" w:eastAsia="仿宋" w:cs="仿宋"/>
          <w:color w:val="auto"/>
          <w:sz w:val="24"/>
          <w:highlight w:val="none"/>
        </w:rPr>
        <w:t>电</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话：</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电</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话：</w:t>
      </w:r>
    </w:p>
    <w:p>
      <w:pPr>
        <w:rPr>
          <w:rFonts w:ascii="仿宋" w:hAnsi="仿宋" w:eastAsia="仿宋" w:cs="仿宋"/>
          <w:color w:val="auto"/>
          <w:highlight w:val="none"/>
        </w:rPr>
      </w:pPr>
    </w:p>
    <w:p>
      <w:pPr>
        <w:pStyle w:val="9"/>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106" w:leftChars="50" w:right="238" w:firstLine="2916" w:firstLineChars="1200"/>
        <w:jc w:val="both"/>
        <w:rPr>
          <w:rFonts w:ascii="仿宋" w:hAnsi="仿宋" w:eastAsia="仿宋" w:cs="仿宋"/>
          <w:color w:val="auto"/>
          <w:sz w:val="20"/>
          <w:highlight w:val="none"/>
        </w:rPr>
      </w:pPr>
      <w:r>
        <w:rPr>
          <w:rFonts w:hint="eastAsia" w:ascii="仿宋" w:hAnsi="仿宋" w:eastAsia="仿宋" w:cs="仿宋"/>
          <w:color w:val="auto"/>
          <w:sz w:val="24"/>
          <w:highlight w:val="none"/>
        </w:rPr>
        <w:t xml:space="preserve"> 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日 </w:t>
      </w:r>
      <w:r>
        <w:rPr>
          <w:rFonts w:hint="eastAsia" w:ascii="仿宋" w:hAnsi="仿宋" w:eastAsia="仿宋" w:cs="仿宋"/>
          <w:color w:val="auto"/>
          <w:sz w:val="20"/>
          <w:highlight w:val="none"/>
        </w:rPr>
        <w:t xml:space="preserve">               </w:t>
      </w:r>
    </w:p>
    <w:p>
      <w:pPr>
        <w:rPr>
          <w:rFonts w:ascii="仿宋" w:hAnsi="仿宋" w:eastAsia="仿宋" w:cs="仿宋"/>
          <w:color w:val="auto"/>
          <w:sz w:val="20"/>
          <w:highlight w:val="none"/>
        </w:rPr>
      </w:pPr>
    </w:p>
    <w:p>
      <w:pPr>
        <w:pStyle w:val="61"/>
        <w:rPr>
          <w:rFonts w:ascii="仿宋" w:hAnsi="仿宋" w:eastAsia="仿宋" w:cs="仿宋"/>
          <w:color w:val="auto"/>
          <w:sz w:val="20"/>
          <w:highlight w:val="none"/>
        </w:rPr>
      </w:pPr>
    </w:p>
    <w:p>
      <w:pPr>
        <w:pStyle w:val="9"/>
        <w:numPr>
          <w:ilvl w:val="0"/>
          <w:numId w:val="0"/>
        </w:numPr>
        <w:kinsoku w:val="0"/>
        <w:overflowPunct w:val="0"/>
        <w:spacing w:before="34" w:line="357" w:lineRule="auto"/>
        <w:ind w:right="126"/>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四、上级银行授权委托书</w:t>
      </w:r>
    </w:p>
    <w:p>
      <w:pPr>
        <w:snapToGrid w:val="0"/>
        <w:spacing w:line="440" w:lineRule="exact"/>
        <w:ind w:right="-222"/>
        <w:rPr>
          <w:rFonts w:hint="eastAsia" w:ascii="宋体" w:hAnsi="宋体" w:cs="宋体"/>
          <w:b/>
          <w:color w:val="auto"/>
          <w:highlight w:val="none"/>
        </w:rPr>
      </w:pPr>
    </w:p>
    <w:p>
      <w:pPr>
        <w:autoSpaceDE w:val="0"/>
        <w:autoSpaceDN w:val="0"/>
        <w:adjustRightInd w:val="0"/>
        <w:textAlignment w:val="baseline"/>
        <w:rPr>
          <w:rFonts w:ascii="宋体" w:eastAsiaTheme="minorEastAsia"/>
          <w:color w:val="auto"/>
          <w:sz w:val="34"/>
          <w:highlight w:val="none"/>
          <w:lang w:eastAsia="zh-CN"/>
        </w:rPr>
      </w:pPr>
      <w:bookmarkStart w:id="110" w:name="_Toc18306"/>
      <w:bookmarkStart w:id="111" w:name="_Toc11309"/>
      <w:bookmarkStart w:id="112" w:name="_Toc12105"/>
      <w:r>
        <w:rPr>
          <w:rFonts w:hint="eastAsia" w:ascii="宋体" w:hAnsi="宋体" w:cs="宋体"/>
          <w:color w:val="auto"/>
          <w:sz w:val="28"/>
          <w:szCs w:val="28"/>
          <w:highlight w:val="none"/>
        </w:rPr>
        <w:t>致：</w:t>
      </w:r>
      <w:bookmarkEnd w:id="110"/>
      <w:bookmarkEnd w:id="111"/>
      <w:bookmarkEnd w:id="112"/>
      <w:r>
        <w:rPr>
          <w:rFonts w:hint="eastAsia" w:ascii="宋体" w:hAnsi="宋体" w:cs="宋体"/>
          <w:color w:val="auto"/>
          <w:sz w:val="28"/>
          <w:szCs w:val="28"/>
          <w:highlight w:val="none"/>
          <w:u w:val="single"/>
        </w:rPr>
        <w:t xml:space="preserve">  </w:t>
      </w:r>
      <w:r>
        <w:rPr>
          <w:rFonts w:hint="eastAsia" w:ascii="宋体" w:hAnsi="宋体" w:cs="宋体" w:eastAsiaTheme="minorEastAsia"/>
          <w:color w:val="auto"/>
          <w:sz w:val="28"/>
          <w:szCs w:val="28"/>
          <w:highlight w:val="none"/>
          <w:u w:val="single"/>
          <w:lang w:eastAsia="zh-CN"/>
        </w:rPr>
        <w:t xml:space="preserve">                    </w:t>
      </w:r>
      <w:r>
        <w:rPr>
          <w:rFonts w:hint="eastAsia" w:ascii="宋体" w:hAnsi="宋体" w:cs="宋体"/>
          <w:color w:val="auto"/>
          <w:sz w:val="28"/>
          <w:szCs w:val="28"/>
          <w:highlight w:val="none"/>
          <w:u w:val="single"/>
        </w:rPr>
        <w:t xml:space="preserve">    </w:t>
      </w:r>
    </w:p>
    <w:p>
      <w:pPr>
        <w:widowControl/>
        <w:snapToGrid w:val="0"/>
        <w:spacing w:line="540" w:lineRule="exact"/>
        <w:ind w:firstLine="566" w:firstLineChars="200"/>
        <w:rPr>
          <w:rFonts w:hint="eastAsia" w:ascii="宋体" w:hAnsi="宋体" w:cs="宋体" w:eastAsiaTheme="minorEastAsia"/>
          <w:color w:val="auto"/>
          <w:sz w:val="28"/>
          <w:szCs w:val="28"/>
          <w:highlight w:val="none"/>
          <w:lang w:eastAsia="zh-CN"/>
        </w:rPr>
      </w:pPr>
      <w:r>
        <w:rPr>
          <w:rFonts w:hint="eastAsia" w:ascii="宋体" w:hAnsi="宋体" w:cs="宋体" w:eastAsiaTheme="minorEastAsia"/>
          <w:color w:val="auto"/>
          <w:sz w:val="28"/>
          <w:szCs w:val="28"/>
          <w:highlight w:val="none"/>
          <w:lang w:eastAsia="zh-CN"/>
        </w:rPr>
        <w:t xml:space="preserve"> </w:t>
      </w:r>
    </w:p>
    <w:p>
      <w:pPr>
        <w:spacing w:line="560" w:lineRule="exact"/>
        <w:ind w:firstLine="426" w:firstLineChars="200"/>
        <w:rPr>
          <w:rFonts w:hint="eastAsia"/>
          <w:color w:val="auto"/>
          <w:highlight w:val="none"/>
        </w:rPr>
      </w:pPr>
      <w:r>
        <w:rPr>
          <w:rFonts w:hint="eastAsia" w:ascii="宋体" w:hAnsi="宋体" w:eastAsia="宋体" w:cs="宋体"/>
          <w:color w:val="auto"/>
          <w:highlight w:val="none"/>
        </w:rPr>
        <w:t>根据贵局关于</w:t>
      </w:r>
      <w:r>
        <w:rPr>
          <w:rFonts w:hint="eastAsia" w:eastAsiaTheme="minorEastAsia"/>
          <w:color w:val="auto"/>
          <w:highlight w:val="none"/>
          <w:lang w:eastAsia="zh-CN"/>
        </w:rPr>
        <w:t>阿克陶县</w:t>
      </w:r>
      <w:r>
        <w:rPr>
          <w:rFonts w:hint="eastAsia" w:ascii="宋体" w:hAnsi="宋体" w:eastAsia="宋体" w:cs="宋体"/>
          <w:color w:val="auto"/>
          <w:highlight w:val="none"/>
        </w:rPr>
        <w:t>财政局</w:t>
      </w:r>
      <w:r>
        <w:rPr>
          <w:rFonts w:hint="eastAsia" w:ascii="宋体" w:hAnsi="宋体" w:cs="宋体"/>
          <w:b/>
          <w:bCs/>
          <w:color w:val="auto"/>
          <w:highlight w:val="none"/>
          <w:u w:val="single"/>
          <w:lang w:eastAsia="zh-CN"/>
        </w:rPr>
        <w:t>2023年阿克陶县机关事业单位基本养老保险保值增值定期存款项目（二次）</w:t>
      </w:r>
      <w:r>
        <w:rPr>
          <w:rFonts w:hint="eastAsia" w:ascii="宋体" w:hAnsi="宋体" w:eastAsia="宋体" w:cs="宋体"/>
          <w:color w:val="auto"/>
          <w:highlight w:val="none"/>
        </w:rPr>
        <w:t>招标的要求，兹指派和授权作为授权人唯一代表行参加该项目竞标中的相关工作。</w:t>
      </w:r>
    </w:p>
    <w:p>
      <w:pPr>
        <w:spacing w:line="56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授权权限：参加投标、开标，负责合同的签订、执行，以本行名义处理一切与之有关的事务。</w:t>
      </w:r>
    </w:p>
    <w:p>
      <w:pPr>
        <w:spacing w:line="56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授权期限：本授权自   年  月  日至  年  月  日有效。</w:t>
      </w:r>
    </w:p>
    <w:p>
      <w:pPr>
        <w:ind w:firstLine="426" w:firstLineChars="200"/>
        <w:rPr>
          <w:rFonts w:hint="eastAsia" w:ascii="宋体" w:hAnsi="宋体" w:eastAsia="宋体" w:cs="宋体"/>
          <w:color w:val="auto"/>
          <w:highlight w:val="none"/>
        </w:rPr>
      </w:pPr>
    </w:p>
    <w:p>
      <w:pPr>
        <w:ind w:firstLine="426" w:firstLineChars="200"/>
        <w:rPr>
          <w:rFonts w:hint="eastAsia" w:ascii="宋体" w:hAnsi="宋体" w:eastAsia="宋体" w:cs="宋体"/>
          <w:color w:val="auto"/>
          <w:highlight w:val="none"/>
        </w:rPr>
      </w:pPr>
      <w:bookmarkStart w:id="113" w:name="_Toc84"/>
      <w:bookmarkStart w:id="114" w:name="_Toc16091"/>
      <w:bookmarkStart w:id="115" w:name="_Toc8864"/>
      <w:r>
        <w:rPr>
          <w:rFonts w:hint="eastAsia" w:ascii="宋体" w:hAnsi="宋体" w:eastAsia="宋体" w:cs="宋体"/>
          <w:color w:val="auto"/>
          <w:highlight w:val="none"/>
        </w:rPr>
        <w:t>特此授权！</w:t>
      </w:r>
      <w:bookmarkEnd w:id="113"/>
      <w:bookmarkEnd w:id="114"/>
      <w:bookmarkEnd w:id="115"/>
    </w:p>
    <w:p>
      <w:pPr>
        <w:ind w:left="4153" w:leftChars="200" w:hanging="3727" w:hangingChars="1750"/>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cs="宋体"/>
          <w:color w:val="auto"/>
          <w:sz w:val="28"/>
          <w:szCs w:val="28"/>
          <w:highlight w:val="none"/>
        </w:rPr>
        <w:t xml:space="preserve">                                    </w:t>
      </w:r>
      <w:bookmarkStart w:id="116" w:name="_Toc32394"/>
      <w:bookmarkStart w:id="117" w:name="_Toc23480"/>
      <w:bookmarkStart w:id="118" w:name="_Toc2844"/>
      <w:r>
        <w:rPr>
          <w:rFonts w:hint="eastAsia" w:ascii="宋体" w:hAnsi="宋体" w:eastAsia="宋体" w:cs="宋体"/>
          <w:color w:val="auto"/>
          <w:highlight w:val="none"/>
        </w:rPr>
        <w:t>授权人（盖章）：</w:t>
      </w:r>
      <w:bookmarkEnd w:id="116"/>
      <w:bookmarkEnd w:id="117"/>
      <w:bookmarkEnd w:id="118"/>
    </w:p>
    <w:p>
      <w:pPr>
        <w:snapToGrid w:val="0"/>
        <w:spacing w:line="540" w:lineRule="exact"/>
        <w:ind w:right="138"/>
        <w:rPr>
          <w:rFonts w:hint="eastAsia" w:ascii="宋体" w:hAnsi="宋体" w:cs="宋体"/>
          <w:color w:val="auto"/>
          <w:sz w:val="28"/>
          <w:szCs w:val="28"/>
          <w:highlight w:val="none"/>
        </w:rPr>
      </w:pPr>
    </w:p>
    <w:p>
      <w:pPr>
        <w:ind w:left="4153" w:leftChars="1950"/>
        <w:rPr>
          <w:rFonts w:hint="eastAsia" w:ascii="宋体" w:hAnsi="宋体" w:eastAsia="宋体" w:cs="宋体"/>
          <w:color w:val="auto"/>
          <w:highlight w:val="none"/>
        </w:rPr>
      </w:pPr>
      <w:r>
        <w:rPr>
          <w:rFonts w:hint="eastAsia" w:ascii="宋体" w:hAnsi="宋体" w:eastAsia="宋体" w:cs="宋体"/>
          <w:color w:val="auto"/>
          <w:highlight w:val="none"/>
        </w:rPr>
        <w:t>年  月  日</w:t>
      </w:r>
    </w:p>
    <w:p>
      <w:pPr>
        <w:ind w:left="4153" w:leftChars="200" w:hanging="3727" w:hangingChars="1750"/>
        <w:rPr>
          <w:rFonts w:hint="eastAsia" w:ascii="宋体" w:hAnsi="宋体" w:eastAsia="宋体" w:cs="宋体"/>
          <w:color w:val="auto"/>
          <w:highlight w:val="none"/>
        </w:rPr>
      </w:pPr>
    </w:p>
    <w:p>
      <w:pPr>
        <w:pStyle w:val="61"/>
        <w:rPr>
          <w:rFonts w:ascii="仿宋" w:hAnsi="仿宋" w:eastAsia="仿宋" w:cs="仿宋"/>
          <w:color w:val="auto"/>
          <w:sz w:val="20"/>
          <w:highlight w:val="none"/>
        </w:rPr>
      </w:pPr>
    </w:p>
    <w:p>
      <w:pPr>
        <w:rPr>
          <w:rFonts w:ascii="仿宋" w:hAnsi="仿宋" w:eastAsia="仿宋" w:cs="仿宋"/>
          <w:color w:val="auto"/>
          <w:sz w:val="20"/>
          <w:highlight w:val="none"/>
        </w:rPr>
      </w:pPr>
    </w:p>
    <w:p>
      <w:pPr>
        <w:pStyle w:val="61"/>
        <w:rPr>
          <w:rFonts w:ascii="仿宋" w:hAnsi="仿宋" w:eastAsia="仿宋" w:cs="仿宋"/>
          <w:color w:val="auto"/>
          <w:sz w:val="20"/>
          <w:highlight w:val="none"/>
        </w:rPr>
      </w:pPr>
    </w:p>
    <w:p>
      <w:pPr>
        <w:rPr>
          <w:rFonts w:ascii="仿宋" w:hAnsi="仿宋" w:eastAsia="仿宋" w:cs="仿宋"/>
          <w:color w:val="auto"/>
          <w:sz w:val="20"/>
          <w:highlight w:val="none"/>
        </w:rPr>
      </w:pPr>
    </w:p>
    <w:p>
      <w:pPr>
        <w:pStyle w:val="2"/>
        <w:rPr>
          <w:rFonts w:ascii="仿宋" w:hAnsi="仿宋" w:eastAsia="仿宋" w:cs="仿宋"/>
          <w:color w:val="auto"/>
          <w:sz w:val="20"/>
          <w:highlight w:val="none"/>
        </w:rPr>
      </w:pPr>
    </w:p>
    <w:p>
      <w:pPr>
        <w:pStyle w:val="2"/>
        <w:rPr>
          <w:rFonts w:ascii="仿宋" w:hAnsi="仿宋" w:eastAsia="仿宋" w:cs="仿宋"/>
          <w:color w:val="auto"/>
          <w:sz w:val="20"/>
          <w:highlight w:val="none"/>
        </w:rPr>
      </w:pPr>
    </w:p>
    <w:p>
      <w:pPr>
        <w:pStyle w:val="2"/>
        <w:rPr>
          <w:rFonts w:ascii="仿宋" w:hAnsi="仿宋" w:eastAsia="仿宋" w:cs="仿宋"/>
          <w:color w:val="auto"/>
          <w:sz w:val="20"/>
          <w:highlight w:val="none"/>
        </w:rPr>
      </w:pPr>
    </w:p>
    <w:p>
      <w:pPr>
        <w:pStyle w:val="2"/>
        <w:rPr>
          <w:rFonts w:ascii="仿宋" w:hAnsi="仿宋" w:eastAsia="仿宋" w:cs="仿宋"/>
          <w:color w:val="auto"/>
          <w:sz w:val="20"/>
          <w:highlight w:val="none"/>
        </w:rPr>
      </w:pPr>
    </w:p>
    <w:p>
      <w:pPr>
        <w:pStyle w:val="2"/>
        <w:rPr>
          <w:rFonts w:ascii="仿宋" w:hAnsi="仿宋" w:eastAsia="仿宋" w:cs="仿宋"/>
          <w:color w:val="auto"/>
          <w:sz w:val="20"/>
          <w:highlight w:val="none"/>
        </w:rPr>
      </w:pPr>
    </w:p>
    <w:p>
      <w:pPr>
        <w:pStyle w:val="2"/>
        <w:rPr>
          <w:rFonts w:ascii="仿宋" w:hAnsi="仿宋" w:eastAsia="仿宋" w:cs="仿宋"/>
          <w:color w:val="auto"/>
          <w:sz w:val="20"/>
          <w:highlight w:val="none"/>
        </w:rPr>
      </w:pPr>
    </w:p>
    <w:p>
      <w:pPr>
        <w:pStyle w:val="2"/>
        <w:rPr>
          <w:rFonts w:ascii="仿宋" w:hAnsi="仿宋" w:eastAsia="仿宋" w:cs="仿宋"/>
          <w:color w:val="auto"/>
          <w:sz w:val="20"/>
          <w:highlight w:val="none"/>
        </w:rPr>
      </w:pPr>
    </w:p>
    <w:p>
      <w:pPr>
        <w:pStyle w:val="2"/>
        <w:rPr>
          <w:rFonts w:ascii="仿宋" w:hAnsi="仿宋" w:eastAsia="仿宋" w:cs="仿宋"/>
          <w:color w:val="auto"/>
          <w:sz w:val="20"/>
          <w:highlight w:val="none"/>
        </w:rPr>
      </w:pPr>
    </w:p>
    <w:p>
      <w:pPr>
        <w:pStyle w:val="61"/>
        <w:rPr>
          <w:rFonts w:hint="eastAsia" w:ascii="仿宋" w:hAnsi="仿宋" w:eastAsia="仿宋" w:cs="仿宋"/>
          <w:color w:val="auto"/>
          <w:sz w:val="20"/>
          <w:highlight w:val="none"/>
          <w:lang w:eastAsia="zh-CN"/>
        </w:rPr>
      </w:pPr>
    </w:p>
    <w:p>
      <w:pPr>
        <w:rPr>
          <w:rFonts w:hint="eastAsia" w:eastAsia="仿宋"/>
          <w:color w:val="auto"/>
          <w:highlight w:val="none"/>
          <w:lang w:eastAsia="zh-CN"/>
        </w:rPr>
      </w:pPr>
    </w:p>
    <w:p>
      <w:pPr>
        <w:pStyle w:val="2"/>
        <w:rPr>
          <w:rFonts w:hint="eastAsia" w:eastAsia="仿宋"/>
          <w:color w:val="auto"/>
          <w:highlight w:val="none"/>
          <w:lang w:eastAsia="zh-CN"/>
        </w:rPr>
      </w:pPr>
    </w:p>
    <w:p>
      <w:pPr>
        <w:pStyle w:val="2"/>
        <w:rPr>
          <w:rFonts w:hint="eastAsia" w:eastAsia="仿宋"/>
          <w:color w:val="auto"/>
          <w:highlight w:val="none"/>
          <w:lang w:eastAsia="zh-CN"/>
        </w:rPr>
      </w:pPr>
    </w:p>
    <w:p>
      <w:pPr>
        <w:pStyle w:val="2"/>
        <w:rPr>
          <w:rFonts w:eastAsia="仿宋"/>
          <w:color w:val="auto"/>
          <w:highlight w:val="none"/>
          <w:lang w:eastAsia="zh-CN"/>
        </w:rPr>
      </w:pPr>
    </w:p>
    <w:p>
      <w:pPr>
        <w:pStyle w:val="4"/>
        <w:tabs>
          <w:tab w:val="left" w:pos="540"/>
        </w:tabs>
        <w:spacing w:line="240" w:lineRule="atLeast"/>
        <w:rPr>
          <w:rFonts w:ascii="仿宋" w:hAnsi="仿宋" w:eastAsia="仿宋" w:cs="仿宋"/>
          <w:bCs/>
          <w:color w:val="auto"/>
          <w:sz w:val="36"/>
          <w:szCs w:val="36"/>
          <w:highlight w:val="none"/>
        </w:rPr>
      </w:pPr>
      <w:r>
        <w:rPr>
          <w:rFonts w:hint="eastAsia" w:ascii="仿宋" w:hAnsi="仿宋" w:eastAsia="仿宋" w:cs="仿宋"/>
          <w:bCs/>
          <w:color w:val="auto"/>
          <w:sz w:val="36"/>
          <w:szCs w:val="36"/>
          <w:highlight w:val="none"/>
          <w:lang w:eastAsia="zh-CN"/>
        </w:rPr>
        <w:t>五、</w:t>
      </w:r>
      <w:r>
        <w:rPr>
          <w:rFonts w:hint="eastAsia" w:ascii="仿宋" w:hAnsi="仿宋" w:eastAsia="仿宋" w:cs="仿宋"/>
          <w:bCs/>
          <w:color w:val="auto"/>
          <w:sz w:val="36"/>
          <w:szCs w:val="36"/>
          <w:highlight w:val="none"/>
        </w:rPr>
        <w:t>投标保证金缴纳凭证或投标担保函</w:t>
      </w:r>
    </w:p>
    <w:p>
      <w:pPr>
        <w:ind w:firstLine="426" w:firstLineChars="200"/>
        <w:rPr>
          <w:rFonts w:ascii="仿宋" w:hAnsi="仿宋" w:eastAsia="仿宋" w:cs="仿宋"/>
          <w:color w:val="auto"/>
          <w:highlight w:val="none"/>
        </w:rPr>
      </w:pPr>
      <w:bookmarkStart w:id="119" w:name="_Toc494296665"/>
      <w:bookmarkStart w:id="120" w:name="_Toc494296991"/>
    </w:p>
    <w:bookmarkEnd w:id="119"/>
    <w:bookmarkEnd w:id="120"/>
    <w:p>
      <w:pPr>
        <w:pStyle w:val="6"/>
        <w:rPr>
          <w:rFonts w:ascii="仿宋" w:hAnsi="仿宋" w:eastAsia="仿宋" w:cs="仿宋"/>
          <w:color w:val="auto"/>
          <w:highlight w:val="none"/>
        </w:rPr>
      </w:pPr>
    </w:p>
    <w:tbl>
      <w:tblPr>
        <w:tblStyle w:val="24"/>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pPr>
              <w:rPr>
                <w:rFonts w:ascii="仿宋" w:hAnsi="仿宋" w:eastAsia="仿宋" w:cs="仿宋"/>
                <w:b/>
                <w:bCs/>
                <w:color w:val="auto"/>
                <w:sz w:val="30"/>
                <w:szCs w:val="30"/>
                <w:highlight w:val="none"/>
              </w:rPr>
            </w:pPr>
          </w:p>
          <w:p>
            <w:pPr>
              <w:jc w:val="center"/>
              <w:rPr>
                <w:rFonts w:ascii="仿宋" w:hAnsi="仿宋" w:eastAsia="仿宋" w:cs="仿宋"/>
                <w:b/>
                <w:bCs/>
                <w:color w:val="auto"/>
                <w:sz w:val="30"/>
                <w:szCs w:val="30"/>
                <w:highlight w:val="none"/>
              </w:rPr>
            </w:pPr>
          </w:p>
          <w:p>
            <w:pPr>
              <w:jc w:val="center"/>
              <w:rPr>
                <w:rFonts w:ascii="仿宋" w:hAnsi="仿宋" w:eastAsia="仿宋" w:cs="仿宋"/>
                <w:b/>
                <w:bCs/>
                <w:color w:val="auto"/>
                <w:sz w:val="30"/>
                <w:szCs w:val="30"/>
                <w:highlight w:val="none"/>
              </w:rPr>
            </w:pPr>
          </w:p>
          <w:p>
            <w:pPr>
              <w:jc w:val="center"/>
              <w:rPr>
                <w:rFonts w:ascii="仿宋" w:hAnsi="仿宋" w:eastAsia="仿宋" w:cs="仿宋"/>
                <w:b/>
                <w:bCs/>
                <w:color w:val="auto"/>
                <w:sz w:val="30"/>
                <w:szCs w:val="30"/>
                <w:highlight w:val="none"/>
              </w:rPr>
            </w:pPr>
          </w:p>
          <w:p>
            <w:pPr>
              <w:jc w:val="center"/>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投标保证金收据</w:t>
            </w:r>
          </w:p>
        </w:tc>
      </w:tr>
    </w:tbl>
    <w:p>
      <w:pPr>
        <w:pStyle w:val="6"/>
        <w:rPr>
          <w:rFonts w:ascii="仿宋" w:hAnsi="仿宋" w:eastAsia="仿宋" w:cs="仿宋"/>
          <w:color w:val="auto"/>
          <w:highlight w:val="none"/>
        </w:rPr>
      </w:pPr>
    </w:p>
    <w:p>
      <w:pPr>
        <w:spacing w:line="240" w:lineRule="atLeast"/>
        <w:ind w:left="1087" w:leftChars="257" w:hanging="540"/>
        <w:jc w:val="center"/>
        <w:rPr>
          <w:rFonts w:ascii="仿宋" w:hAnsi="仿宋" w:eastAsia="仿宋" w:cs="仿宋"/>
          <w:color w:val="auto"/>
          <w:highlight w:val="none"/>
        </w:rPr>
      </w:pPr>
    </w:p>
    <w:p>
      <w:pPr>
        <w:rPr>
          <w:rFonts w:ascii="仿宋" w:hAnsi="仿宋" w:eastAsia="仿宋" w:cs="仿宋"/>
          <w:color w:val="auto"/>
          <w:sz w:val="28"/>
          <w:szCs w:val="28"/>
          <w:highlight w:val="none"/>
        </w:rPr>
      </w:pPr>
    </w:p>
    <w:tbl>
      <w:tblPr>
        <w:tblStyle w:val="24"/>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pPr>
              <w:rPr>
                <w:rFonts w:ascii="仿宋" w:hAnsi="仿宋" w:eastAsia="仿宋" w:cs="仿宋"/>
                <w:b/>
                <w:bCs/>
                <w:color w:val="auto"/>
                <w:sz w:val="30"/>
                <w:szCs w:val="30"/>
                <w:highlight w:val="none"/>
              </w:rPr>
            </w:pPr>
          </w:p>
          <w:p>
            <w:pPr>
              <w:jc w:val="center"/>
              <w:rPr>
                <w:rFonts w:ascii="仿宋" w:hAnsi="仿宋" w:eastAsia="仿宋" w:cs="仿宋"/>
                <w:b/>
                <w:bCs/>
                <w:color w:val="auto"/>
                <w:sz w:val="30"/>
                <w:szCs w:val="30"/>
                <w:highlight w:val="none"/>
              </w:rPr>
            </w:pPr>
          </w:p>
          <w:p>
            <w:pPr>
              <w:jc w:val="center"/>
              <w:rPr>
                <w:rFonts w:ascii="仿宋" w:hAnsi="仿宋" w:eastAsia="仿宋" w:cs="仿宋"/>
                <w:b/>
                <w:bCs/>
                <w:color w:val="auto"/>
                <w:sz w:val="30"/>
                <w:szCs w:val="30"/>
                <w:highlight w:val="none"/>
              </w:rPr>
            </w:pPr>
          </w:p>
          <w:p>
            <w:pPr>
              <w:jc w:val="center"/>
              <w:rPr>
                <w:rFonts w:ascii="仿宋" w:hAnsi="仿宋" w:eastAsia="仿宋" w:cs="仿宋"/>
                <w:b/>
                <w:bCs/>
                <w:color w:val="auto"/>
                <w:sz w:val="30"/>
                <w:szCs w:val="30"/>
                <w:highlight w:val="none"/>
              </w:rPr>
            </w:pPr>
          </w:p>
          <w:p>
            <w:pPr>
              <w:jc w:val="center"/>
              <w:rPr>
                <w:rFonts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t>打款凭证</w:t>
            </w:r>
          </w:p>
        </w:tc>
      </w:tr>
    </w:tbl>
    <w:p>
      <w:pPr>
        <w:pStyle w:val="6"/>
        <w:rPr>
          <w:rFonts w:ascii="仿宋" w:hAnsi="仿宋" w:eastAsia="仿宋" w:cs="仿宋"/>
          <w:color w:val="auto"/>
          <w:highlight w:val="none"/>
        </w:rPr>
      </w:pPr>
    </w:p>
    <w:p>
      <w:pPr>
        <w:pStyle w:val="6"/>
        <w:rPr>
          <w:rFonts w:ascii="仿宋" w:hAnsi="仿宋" w:eastAsia="仿宋" w:cs="仿宋"/>
          <w:color w:val="auto"/>
          <w:highlight w:val="none"/>
        </w:rPr>
      </w:pPr>
    </w:p>
    <w:p>
      <w:pPr>
        <w:pStyle w:val="6"/>
        <w:rPr>
          <w:rFonts w:ascii="仿宋" w:hAnsi="仿宋" w:eastAsia="仿宋" w:cs="仿宋"/>
          <w:color w:val="auto"/>
          <w:highlight w:val="none"/>
        </w:rPr>
      </w:pPr>
    </w:p>
    <w:p>
      <w:pPr>
        <w:pStyle w:val="6"/>
        <w:rPr>
          <w:rFonts w:ascii="仿宋" w:hAnsi="仿宋" w:eastAsia="仿宋" w:cs="仿宋"/>
          <w:color w:val="auto"/>
          <w:highlight w:val="none"/>
        </w:rPr>
      </w:pPr>
    </w:p>
    <w:p>
      <w:pPr>
        <w:pStyle w:val="6"/>
        <w:rPr>
          <w:rFonts w:ascii="仿宋" w:hAnsi="仿宋" w:eastAsia="仿宋" w:cs="仿宋"/>
          <w:color w:val="auto"/>
          <w:highlight w:val="none"/>
        </w:rPr>
      </w:pPr>
    </w:p>
    <w:p>
      <w:pPr>
        <w:pStyle w:val="6"/>
        <w:rPr>
          <w:rFonts w:ascii="仿宋" w:hAnsi="仿宋" w:eastAsia="仿宋" w:cs="仿宋"/>
          <w:color w:val="auto"/>
          <w:highlight w:val="none"/>
        </w:rPr>
      </w:pPr>
    </w:p>
    <w:p>
      <w:pPr>
        <w:rPr>
          <w:rFonts w:ascii="仿宋" w:hAnsi="仿宋" w:eastAsia="仿宋" w:cs="仿宋"/>
          <w:color w:val="auto"/>
          <w:highlight w:val="none"/>
        </w:rPr>
      </w:pPr>
    </w:p>
    <w:p>
      <w:pPr>
        <w:pStyle w:val="5"/>
        <w:rPr>
          <w:rFonts w:ascii="仿宋" w:hAnsi="仿宋" w:eastAsia="仿宋" w:cs="仿宋"/>
          <w:color w:val="auto"/>
          <w:highlight w:val="none"/>
        </w:rPr>
      </w:pPr>
    </w:p>
    <w:p>
      <w:pPr>
        <w:rPr>
          <w:rFonts w:ascii="仿宋" w:hAnsi="仿宋" w:eastAsia="仿宋" w:cs="仿宋"/>
          <w:color w:val="auto"/>
          <w:highlight w:val="none"/>
        </w:rPr>
      </w:pPr>
    </w:p>
    <w:p>
      <w:pPr>
        <w:rPr>
          <w:rFonts w:ascii="仿宋" w:hAnsi="仿宋" w:eastAsia="仿宋" w:cs="仿宋"/>
          <w:color w:val="auto"/>
          <w:highlight w:val="none"/>
        </w:rPr>
      </w:pPr>
    </w:p>
    <w:p>
      <w:pPr>
        <w:rPr>
          <w:rFonts w:ascii="仿宋" w:hAnsi="仿宋" w:eastAsia="仿宋" w:cs="仿宋"/>
          <w:color w:val="auto"/>
          <w:highlight w:val="none"/>
        </w:rPr>
      </w:pPr>
    </w:p>
    <w:p>
      <w:pPr>
        <w:jc w:val="center"/>
        <w:rPr>
          <w:rFonts w:ascii="仿宋" w:hAnsi="仿宋" w:eastAsia="仿宋" w:cs="仿宋"/>
          <w:color w:val="auto"/>
          <w:sz w:val="28"/>
          <w:szCs w:val="28"/>
          <w:highlight w:val="none"/>
        </w:rPr>
      </w:pPr>
    </w:p>
    <w:p>
      <w:pPr>
        <w:jc w:val="center"/>
        <w:rPr>
          <w:rFonts w:ascii="仿宋" w:hAnsi="仿宋" w:eastAsia="仿宋" w:cs="仿宋"/>
          <w:color w:val="auto"/>
          <w:sz w:val="28"/>
          <w:szCs w:val="28"/>
          <w:highlight w:val="none"/>
        </w:rPr>
      </w:pPr>
    </w:p>
    <w:p>
      <w:pPr>
        <w:jc w:val="center"/>
        <w:rPr>
          <w:rFonts w:ascii="仿宋" w:hAnsi="仿宋" w:eastAsia="仿宋" w:cs="仿宋"/>
          <w:color w:val="auto"/>
          <w:sz w:val="28"/>
          <w:szCs w:val="28"/>
          <w:highlight w:val="none"/>
        </w:rPr>
      </w:pPr>
    </w:p>
    <w:p>
      <w:pPr>
        <w:jc w:val="center"/>
        <w:rPr>
          <w:rFonts w:ascii="仿宋" w:hAnsi="仿宋" w:eastAsia="仿宋" w:cs="仿宋"/>
          <w:color w:val="auto"/>
          <w:sz w:val="28"/>
          <w:szCs w:val="28"/>
          <w:highlight w:val="none"/>
        </w:rPr>
      </w:pPr>
    </w:p>
    <w:p>
      <w:pPr>
        <w:jc w:val="center"/>
        <w:rPr>
          <w:rFonts w:ascii="仿宋" w:hAnsi="仿宋" w:eastAsia="仿宋" w:cs="仿宋"/>
          <w:color w:val="auto"/>
          <w:sz w:val="28"/>
          <w:szCs w:val="28"/>
          <w:highlight w:val="none"/>
        </w:rPr>
      </w:pPr>
    </w:p>
    <w:p>
      <w:pPr>
        <w:jc w:val="center"/>
        <w:rPr>
          <w:rFonts w:ascii="仿宋" w:hAnsi="仿宋" w:eastAsia="仿宋" w:cs="仿宋"/>
          <w:color w:val="auto"/>
          <w:sz w:val="28"/>
          <w:szCs w:val="28"/>
          <w:highlight w:val="none"/>
        </w:rPr>
      </w:pPr>
    </w:p>
    <w:p>
      <w:pPr>
        <w:jc w:val="center"/>
        <w:rPr>
          <w:rFonts w:ascii="仿宋" w:hAnsi="仿宋" w:eastAsia="仿宋" w:cs="仿宋"/>
          <w:color w:val="auto"/>
          <w:sz w:val="28"/>
          <w:szCs w:val="28"/>
          <w:highlight w:val="none"/>
        </w:rPr>
      </w:pPr>
    </w:p>
    <w:p>
      <w:pPr>
        <w:jc w:val="center"/>
        <w:rPr>
          <w:rFonts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政府采购投标担保函 （项目用）</w:t>
      </w:r>
    </w:p>
    <w:p>
      <w:pP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编号：</w:t>
      </w:r>
    </w:p>
    <w:p>
      <w:pPr>
        <w:spacing w:line="280" w:lineRule="exact"/>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（采购人或采购代理机构）：</w:t>
      </w:r>
    </w:p>
    <w:p>
      <w:pPr>
        <w:spacing w:line="280" w:lineRule="exact"/>
        <w:ind w:firstLine="446"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鉴于</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（以下简称“投标人”）拟参加编号为</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的</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 xml:space="preserve">                            </w:t>
      </w:r>
    </w:p>
    <w:p>
      <w:pPr>
        <w:spacing w:line="280" w:lineRule="exact"/>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项目（以下简称“本项目”）投标，根据本项目</w:t>
      </w:r>
      <w:r>
        <w:rPr>
          <w:rFonts w:hint="eastAsia" w:ascii="仿宋" w:hAnsi="仿宋" w:eastAsia="仿宋" w:cs="仿宋"/>
          <w:color w:val="auto"/>
          <w:sz w:val="22"/>
          <w:szCs w:val="22"/>
          <w:highlight w:val="none"/>
          <w:lang w:eastAsia="zh-CN"/>
        </w:rPr>
        <w:t>招标文件</w:t>
      </w:r>
      <w:r>
        <w:rPr>
          <w:rFonts w:hint="eastAsia" w:ascii="仿宋" w:hAnsi="仿宋" w:eastAsia="仿宋" w:cs="仿宋"/>
          <w:color w:val="auto"/>
          <w:sz w:val="22"/>
          <w:szCs w:val="22"/>
          <w:highlight w:val="none"/>
        </w:rPr>
        <w:t>，供应商参加投标时应向你方交纳投标保证金，且可以投标担保函的形式交纳投标保证金。应供应商的申请，我方以保证的方式向你方提供如下投标保证金担保：</w:t>
      </w:r>
    </w:p>
    <w:p>
      <w:pPr>
        <w:spacing w:line="280" w:lineRule="exact"/>
        <w:ind w:firstLine="446"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一、保证责任的情形及保证金额</w:t>
      </w:r>
    </w:p>
    <w:p>
      <w:pPr>
        <w:spacing w:line="280" w:lineRule="exact"/>
        <w:ind w:firstLine="223" w:firstLineChars="1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（一）在投标人出现下列情形之一时，我方承担保证责任：</w:t>
      </w:r>
    </w:p>
    <w:p>
      <w:pPr>
        <w:spacing w:line="280" w:lineRule="exact"/>
        <w:ind w:firstLine="446"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1．中标后投标人无正当理由不与采购人或者采购代理机构签订《政府采购合同》；</w:t>
      </w:r>
    </w:p>
    <w:p>
      <w:pPr>
        <w:spacing w:line="280" w:lineRule="exact"/>
        <w:ind w:firstLine="446"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r>
        <w:rPr>
          <w:rFonts w:hint="eastAsia" w:ascii="仿宋" w:hAnsi="仿宋" w:eastAsia="仿宋" w:cs="仿宋"/>
          <w:color w:val="auto"/>
          <w:sz w:val="22"/>
          <w:szCs w:val="22"/>
          <w:highlight w:val="none"/>
          <w:lang w:eastAsia="zh-CN"/>
        </w:rPr>
        <w:t>询价通知书</w:t>
      </w:r>
      <w:r>
        <w:rPr>
          <w:rFonts w:hint="eastAsia" w:ascii="仿宋" w:hAnsi="仿宋" w:eastAsia="仿宋" w:cs="仿宋"/>
          <w:color w:val="auto"/>
          <w:sz w:val="22"/>
          <w:szCs w:val="22"/>
          <w:highlight w:val="none"/>
        </w:rPr>
        <w:t>规定的投标人应当缴纳保证金的其他情形。</w:t>
      </w:r>
    </w:p>
    <w:p>
      <w:pPr>
        <w:spacing w:line="280" w:lineRule="exact"/>
        <w:ind w:firstLine="223" w:firstLineChars="1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（二）我方承担保证责任的最高金额为人民币</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元（大写</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），即本项目的投标保证金金额。</w:t>
      </w:r>
    </w:p>
    <w:p>
      <w:pPr>
        <w:spacing w:line="280" w:lineRule="exact"/>
        <w:ind w:firstLine="446"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二、保证的方式及保证期间</w:t>
      </w:r>
    </w:p>
    <w:p>
      <w:pPr>
        <w:spacing w:line="280" w:lineRule="exact"/>
        <w:ind w:firstLine="446"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我方保证的方式为：连带责任保证。</w:t>
      </w:r>
    </w:p>
    <w:p>
      <w:pPr>
        <w:spacing w:line="280" w:lineRule="exact"/>
        <w:ind w:firstLine="446"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我方的保证期间为：自本保函生效之日起</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个月止。</w:t>
      </w:r>
    </w:p>
    <w:p>
      <w:pPr>
        <w:spacing w:line="280" w:lineRule="exact"/>
        <w:ind w:firstLine="446"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三、承担保证责任的程序</w:t>
      </w:r>
    </w:p>
    <w:p>
      <w:pPr>
        <w:spacing w:line="280" w:lineRule="exact"/>
        <w:ind w:firstLine="446"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pPr>
        <w:spacing w:line="280" w:lineRule="exact"/>
        <w:ind w:firstLine="446"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2．我方在收到索赔通知及相关证明材料后，在</w:t>
      </w:r>
      <w:r>
        <w:rPr>
          <w:rFonts w:hint="eastAsia" w:ascii="仿宋" w:hAnsi="仿宋" w:eastAsia="仿宋" w:cs="仿宋"/>
          <w:color w:val="auto"/>
          <w:sz w:val="22"/>
          <w:szCs w:val="22"/>
          <w:highlight w:val="none"/>
          <w:u w:val="single"/>
        </w:rPr>
        <w:t>　　　</w:t>
      </w:r>
      <w:r>
        <w:rPr>
          <w:rFonts w:hint="eastAsia" w:ascii="仿宋" w:hAnsi="仿宋" w:eastAsia="仿宋" w:cs="仿宋"/>
          <w:color w:val="auto"/>
          <w:sz w:val="22"/>
          <w:szCs w:val="22"/>
          <w:highlight w:val="none"/>
        </w:rPr>
        <w:t>个工作日内进行审查，符合应承担保证责任情形的，我方应按照你方的要求代投标人向你方支付投标保证金。</w:t>
      </w:r>
    </w:p>
    <w:p>
      <w:pPr>
        <w:spacing w:line="280" w:lineRule="exact"/>
        <w:ind w:firstLine="446"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四、保证责任的终止</w:t>
      </w:r>
    </w:p>
    <w:p>
      <w:pPr>
        <w:spacing w:line="280" w:lineRule="exact"/>
        <w:ind w:firstLine="446"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1．保证期间届满你方未向我方书面主张保证责任的，自保证期间届满次日起，我方保证责任自动终止。</w:t>
      </w:r>
    </w:p>
    <w:p>
      <w:pPr>
        <w:spacing w:line="280" w:lineRule="exact"/>
        <w:ind w:firstLine="446"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2．我方按照本保函向你贵方履行了保证责任后，自我方向你贵方支付款项（支付款项从我方账户划出）之日起，保证责任终止。</w:t>
      </w:r>
    </w:p>
    <w:p>
      <w:pPr>
        <w:spacing w:line="280" w:lineRule="exact"/>
        <w:ind w:firstLine="446"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3．按照法律法规的规定或出现我方保证责任终止的其它情形的，我方在本保函项下的保证责任亦终止。</w:t>
      </w:r>
    </w:p>
    <w:p>
      <w:pPr>
        <w:spacing w:line="280" w:lineRule="exact"/>
        <w:ind w:firstLine="446"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五、免责条款</w:t>
      </w:r>
    </w:p>
    <w:p>
      <w:pPr>
        <w:spacing w:line="280" w:lineRule="exact"/>
        <w:ind w:firstLine="446"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1．依照法律规定或你方与投标人的另行约定，全部或者部分免除投标人投标保证金义务时，我方亦免除相应的保证责任。</w:t>
      </w:r>
    </w:p>
    <w:p>
      <w:pPr>
        <w:spacing w:line="280" w:lineRule="exact"/>
        <w:ind w:firstLine="446"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2．因你方原因致使投标人发生本保函第一条第（一）款约定情形的，我方不承担保证责任。</w:t>
      </w:r>
    </w:p>
    <w:p>
      <w:pPr>
        <w:spacing w:line="280" w:lineRule="exact"/>
        <w:ind w:firstLine="446"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3．因不可抗力造成投标人发生本保函第一条约定情形的，我方不承担保证责任。</w:t>
      </w:r>
    </w:p>
    <w:p>
      <w:pPr>
        <w:spacing w:line="280" w:lineRule="exact"/>
        <w:ind w:firstLine="446"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4．你方或其他有权机关对</w:t>
      </w:r>
      <w:r>
        <w:rPr>
          <w:rFonts w:hint="eastAsia" w:ascii="仿宋" w:hAnsi="仿宋" w:eastAsia="仿宋" w:cs="仿宋"/>
          <w:color w:val="auto"/>
          <w:sz w:val="22"/>
          <w:szCs w:val="22"/>
          <w:highlight w:val="none"/>
          <w:lang w:eastAsia="zh-CN"/>
        </w:rPr>
        <w:t>询价通知书</w:t>
      </w:r>
      <w:r>
        <w:rPr>
          <w:rFonts w:hint="eastAsia" w:ascii="仿宋" w:hAnsi="仿宋" w:eastAsia="仿宋" w:cs="仿宋"/>
          <w:color w:val="auto"/>
          <w:sz w:val="22"/>
          <w:szCs w:val="22"/>
          <w:highlight w:val="none"/>
        </w:rPr>
        <w:t>进行任何澄清或修改，加重我方保证责任的，我方对加重部分不承担保证责任，但该澄清或修改经我方事先书面同意的除外。</w:t>
      </w:r>
    </w:p>
    <w:p>
      <w:pPr>
        <w:spacing w:line="280" w:lineRule="exact"/>
        <w:ind w:firstLine="446"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六、争议的解决</w:t>
      </w:r>
    </w:p>
    <w:p>
      <w:pPr>
        <w:spacing w:line="280" w:lineRule="exact"/>
        <w:ind w:firstLine="446"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因本保函发生的纠纷，由你我双方协商解决，协商不成的，通过诉讼程序解决，诉讼管辖地法院为</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法院。</w:t>
      </w:r>
    </w:p>
    <w:p>
      <w:pPr>
        <w:spacing w:line="280" w:lineRule="exact"/>
        <w:ind w:firstLine="446"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七、保函的生效</w:t>
      </w:r>
    </w:p>
    <w:p>
      <w:pPr>
        <w:spacing w:line="280" w:lineRule="exact"/>
        <w:ind w:firstLine="446"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本保函自我方加盖公章之日起生效。</w:t>
      </w:r>
    </w:p>
    <w:p>
      <w:pPr>
        <w:spacing w:line="280" w:lineRule="exact"/>
        <w:ind w:firstLine="5909" w:firstLineChars="265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保证人：（公章）</w:t>
      </w:r>
    </w:p>
    <w:p>
      <w:pPr>
        <w:spacing w:line="280" w:lineRule="exact"/>
        <w:rPr>
          <w:rFonts w:ascii="仿宋" w:hAnsi="仿宋" w:eastAsia="仿宋" w:cs="仿宋"/>
          <w:color w:val="auto"/>
          <w:highlight w:val="none"/>
        </w:rPr>
      </w:pPr>
      <w:r>
        <w:rPr>
          <w:rFonts w:hint="eastAsia" w:ascii="仿宋" w:hAnsi="仿宋" w:eastAsia="仿宋" w:cs="仿宋"/>
          <w:color w:val="auto"/>
          <w:highlight w:val="none"/>
        </w:rPr>
        <w:t xml:space="preserve">                               </w:t>
      </w:r>
    </w:p>
    <w:p>
      <w:pPr>
        <w:spacing w:line="280" w:lineRule="exact"/>
        <w:ind w:firstLine="5112" w:firstLineChars="2400"/>
        <w:rPr>
          <w:rFonts w:ascii="仿宋" w:hAnsi="仿宋" w:eastAsia="仿宋" w:cs="仿宋"/>
          <w:color w:val="auto"/>
          <w:highlight w:val="none"/>
        </w:rPr>
        <w:sectPr>
          <w:footerReference r:id="rId5" w:type="default"/>
          <w:pgSz w:w="11905" w:h="16838"/>
          <w:pgMar w:top="1440" w:right="1417" w:bottom="1440" w:left="1417" w:header="850" w:footer="992" w:gutter="0"/>
          <w:pgNumType w:start="43"/>
          <w:cols w:space="720" w:num="1"/>
          <w:docGrid w:type="linesAndChars" w:linePitch="325" w:charSpace="635"/>
        </w:sectPr>
      </w:pPr>
      <w:r>
        <w:rPr>
          <w:rFonts w:hint="eastAsia" w:ascii="仿宋" w:hAnsi="仿宋" w:eastAsia="仿宋" w:cs="仿宋"/>
          <w:color w:val="auto"/>
          <w:highlight w:val="none"/>
        </w:rPr>
        <w:t>年     月      日</w:t>
      </w:r>
    </w:p>
    <w:p>
      <w:pPr>
        <w:pStyle w:val="62"/>
        <w:keepNext/>
        <w:keepLines/>
        <w:spacing w:before="0" w:after="660"/>
        <w:ind w:firstLine="420"/>
        <w:rPr>
          <w:rFonts w:ascii="仿宋" w:hAnsi="仿宋" w:eastAsia="仿宋" w:cs="仿宋"/>
          <w:color w:val="auto"/>
          <w:highlight w:val="none"/>
          <w:lang w:eastAsia="zh-CN"/>
        </w:rPr>
      </w:pPr>
      <w:bookmarkStart w:id="121" w:name="bookmark228"/>
      <w:bookmarkStart w:id="122" w:name="bookmark225"/>
      <w:bookmarkStart w:id="123" w:name="bookmark226"/>
      <w:bookmarkStart w:id="124" w:name="bookmark235"/>
      <w:bookmarkStart w:id="125" w:name="bookmark234"/>
      <w:bookmarkStart w:id="126" w:name="bookmark236"/>
      <w:bookmarkStart w:id="127" w:name="bookmark233"/>
      <w:r>
        <w:rPr>
          <w:rFonts w:hint="eastAsia" w:ascii="仿宋" w:hAnsi="仿宋" w:eastAsia="仿宋" w:cs="仿宋"/>
          <w:color w:val="auto"/>
          <w:highlight w:val="none"/>
          <w:lang w:eastAsia="zh-CN"/>
        </w:rPr>
        <w:t>六、</w:t>
      </w:r>
      <w:bookmarkEnd w:id="121"/>
      <w:bookmarkEnd w:id="122"/>
      <w:bookmarkEnd w:id="123"/>
      <w:r>
        <w:rPr>
          <w:rFonts w:hint="eastAsia" w:ascii="仿宋" w:hAnsi="仿宋" w:eastAsia="仿宋" w:cs="仿宋"/>
          <w:color w:val="auto"/>
          <w:highlight w:val="none"/>
          <w:lang w:eastAsia="zh-CN"/>
        </w:rPr>
        <w:t>开标一览表</w:t>
      </w:r>
    </w:p>
    <w:p>
      <w:pPr>
        <w:pStyle w:val="63"/>
        <w:tabs>
          <w:tab w:val="left" w:leader="underscore" w:pos="4122"/>
        </w:tabs>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价格单位：</w:t>
      </w:r>
      <w:r>
        <w:rPr>
          <w:rFonts w:hint="eastAsia" w:ascii="仿宋" w:hAnsi="仿宋" w:eastAsia="仿宋" w:cs="仿宋"/>
          <w:color w:val="auto"/>
          <w:sz w:val="24"/>
          <w:szCs w:val="24"/>
          <w:highlight w:val="none"/>
          <w:lang w:val="en-US" w:eastAsia="zh-CN"/>
        </w:rPr>
        <w:t>%</w:t>
      </w:r>
    </w:p>
    <w:p>
      <w:pPr>
        <w:pStyle w:val="63"/>
        <w:tabs>
          <w:tab w:val="left" w:leader="underscore" w:pos="4122"/>
        </w:tabs>
        <w:ind w:left="421"/>
        <w:rPr>
          <w:rFonts w:ascii="仿宋" w:hAnsi="仿宋" w:eastAsia="仿宋" w:cs="仿宋"/>
          <w:color w:val="auto"/>
          <w:sz w:val="24"/>
          <w:szCs w:val="24"/>
          <w:highlight w:val="none"/>
        </w:rPr>
      </w:pP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2412"/>
        <w:gridCol w:w="67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42" w:hRule="exact"/>
          <w:jc w:val="center"/>
        </w:trPr>
        <w:tc>
          <w:tcPr>
            <w:tcW w:w="2412" w:type="dxa"/>
            <w:tcBorders>
              <w:top w:val="single" w:color="auto" w:sz="4" w:space="0"/>
              <w:left w:val="single" w:color="auto" w:sz="4" w:space="0"/>
            </w:tcBorders>
            <w:shd w:val="clear" w:color="auto" w:fill="FFFFFF"/>
            <w:noWrap w:val="0"/>
            <w:vAlign w:val="center"/>
          </w:tcPr>
          <w:p>
            <w:pPr>
              <w:pStyle w:val="64"/>
              <w:widowControl w:val="0"/>
              <w:shd w:val="clear" w:color="auto" w:fill="auto"/>
              <w:spacing w:before="0" w:after="0" w:line="240" w:lineRule="auto"/>
              <w:ind w:left="0" w:right="0" w:firstLine="0"/>
              <w:jc w:val="center"/>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项目名称</w:t>
            </w:r>
          </w:p>
        </w:tc>
        <w:tc>
          <w:tcPr>
            <w:tcW w:w="6768" w:type="dxa"/>
            <w:tcBorders>
              <w:top w:val="single" w:color="auto" w:sz="4" w:space="0"/>
              <w:left w:val="single" w:color="auto" w:sz="4" w:space="0"/>
              <w:right w:val="single" w:color="auto" w:sz="4" w:space="0"/>
            </w:tcBorders>
            <w:shd w:val="clear" w:color="auto" w:fill="FFFFFF"/>
            <w:noWrap w:val="0"/>
            <w:vAlign w:val="bottom"/>
          </w:tcPr>
          <w:p>
            <w:pPr>
              <w:pStyle w:val="64"/>
              <w:widowControl w:val="0"/>
              <w:shd w:val="clear" w:color="auto" w:fill="auto"/>
              <w:spacing w:before="0" w:after="0" w:line="240" w:lineRule="auto"/>
              <w:ind w:left="0" w:right="0" w:firstLine="0"/>
              <w:jc w:val="left"/>
              <w:rPr>
                <w:rFonts w:hint="eastAsia" w:ascii="仿宋" w:hAnsi="仿宋" w:eastAsia="仿宋" w:cs="仿宋"/>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055" w:hRule="exact"/>
          <w:jc w:val="center"/>
        </w:trPr>
        <w:tc>
          <w:tcPr>
            <w:tcW w:w="2412" w:type="dxa"/>
            <w:tcBorders>
              <w:top w:val="single" w:color="auto" w:sz="4" w:space="0"/>
              <w:left w:val="single" w:color="auto" w:sz="4" w:space="0"/>
            </w:tcBorders>
            <w:shd w:val="clear" w:color="auto" w:fill="FFFFFF"/>
            <w:noWrap w:val="0"/>
            <w:vAlign w:val="center"/>
          </w:tcPr>
          <w:p>
            <w:pPr>
              <w:pStyle w:val="64"/>
              <w:widowControl w:val="0"/>
              <w:shd w:val="clear" w:color="auto" w:fill="auto"/>
              <w:spacing w:before="0" w:after="0" w:line="240" w:lineRule="auto"/>
              <w:ind w:left="0" w:right="0" w:firstLine="0"/>
              <w:jc w:val="center"/>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投标总价</w:t>
            </w:r>
          </w:p>
        </w:tc>
        <w:tc>
          <w:tcPr>
            <w:tcW w:w="6768" w:type="dxa"/>
            <w:tcBorders>
              <w:top w:val="single" w:color="auto" w:sz="4" w:space="0"/>
              <w:left w:val="single" w:color="auto" w:sz="4" w:space="0"/>
              <w:right w:val="single" w:color="auto" w:sz="4" w:space="0"/>
            </w:tcBorders>
            <w:shd w:val="clear" w:color="auto" w:fill="FFFFFF"/>
            <w:noWrap w:val="0"/>
            <w:vAlign w:val="center"/>
          </w:tcPr>
          <w:p>
            <w:pPr>
              <w:pStyle w:val="64"/>
              <w:widowControl w:val="0"/>
              <w:shd w:val="clear" w:color="auto" w:fill="auto"/>
              <w:tabs>
                <w:tab w:val="left" w:leader="underscore" w:pos="4331"/>
              </w:tabs>
              <w:spacing w:before="0" w:after="0" w:line="240" w:lineRule="auto"/>
              <w:ind w:left="0" w:right="0" w:firstLine="0"/>
              <w:jc w:val="left"/>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lang w:val="en-US" w:eastAsia="zh-CN"/>
              </w:rPr>
              <w:t>人民银行基准（年）利率上浮</w:t>
            </w:r>
            <w:r>
              <w:rPr>
                <w:rFonts w:hint="eastAsia" w:ascii="仿宋" w:hAnsi="仿宋" w:eastAsia="仿宋" w:cs="仿宋"/>
                <w:color w:val="auto"/>
                <w:spacing w:val="0"/>
                <w:w w:val="100"/>
                <w:position w:val="0"/>
                <w:sz w:val="24"/>
                <w:szCs w:val="24"/>
                <w:highlight w:val="none"/>
                <w:u w:val="single"/>
                <w:lang w:val="en-US" w:eastAsia="zh-CN"/>
              </w:rPr>
              <w:t xml:space="preserve">    </w:t>
            </w:r>
            <w:r>
              <w:rPr>
                <w:rFonts w:hint="eastAsia" w:ascii="仿宋" w:hAnsi="仿宋" w:eastAsia="仿宋" w:cs="仿宋"/>
                <w:color w:val="auto"/>
                <w:spacing w:val="0"/>
                <w:w w:val="100"/>
                <w:position w:val="0"/>
                <w:sz w:val="24"/>
                <w:szCs w:val="24"/>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24" w:hRule="exact"/>
          <w:jc w:val="center"/>
        </w:trPr>
        <w:tc>
          <w:tcPr>
            <w:tcW w:w="2412" w:type="dxa"/>
            <w:tcBorders>
              <w:top w:val="single" w:color="auto" w:sz="4" w:space="0"/>
              <w:left w:val="single" w:color="auto" w:sz="4" w:space="0"/>
            </w:tcBorders>
            <w:shd w:val="clear" w:color="auto" w:fill="FFFFFF"/>
            <w:noWrap w:val="0"/>
            <w:vAlign w:val="center"/>
          </w:tcPr>
          <w:p>
            <w:pPr>
              <w:pStyle w:val="64"/>
              <w:widowControl w:val="0"/>
              <w:shd w:val="clear" w:color="auto" w:fill="auto"/>
              <w:spacing w:before="0" w:after="0" w:line="240" w:lineRule="auto"/>
              <w:ind w:left="0" w:right="0" w:firstLine="0"/>
              <w:jc w:val="center"/>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服务期</w:t>
            </w:r>
          </w:p>
        </w:tc>
        <w:tc>
          <w:tcPr>
            <w:tcW w:w="6768" w:type="dxa"/>
            <w:tcBorders>
              <w:top w:val="single" w:color="auto" w:sz="4" w:space="0"/>
              <w:left w:val="single" w:color="auto" w:sz="4" w:space="0"/>
              <w:right w:val="single" w:color="auto" w:sz="4" w:space="0"/>
            </w:tcBorders>
            <w:shd w:val="clear" w:color="auto" w:fill="FFFFFF"/>
            <w:noWrap w:val="0"/>
            <w:vAlign w:val="center"/>
          </w:tcPr>
          <w:p>
            <w:pPr>
              <w:pStyle w:val="64"/>
              <w:widowControl w:val="0"/>
              <w:shd w:val="clear" w:color="auto" w:fill="auto"/>
              <w:spacing w:before="0" w:after="0" w:line="240" w:lineRule="auto"/>
              <w:ind w:left="0" w:right="0" w:firstLine="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定期存款1年（从资金到位之日起算）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188" w:hRule="exact"/>
          <w:jc w:val="center"/>
        </w:trPr>
        <w:tc>
          <w:tcPr>
            <w:tcW w:w="9180"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64"/>
              <w:widowControl w:val="0"/>
              <w:shd w:val="clear" w:color="auto" w:fill="auto"/>
              <w:spacing w:before="140" w:after="0" w:line="240" w:lineRule="auto"/>
              <w:ind w:left="0" w:right="0" w:firstLine="0"/>
              <w:jc w:val="left"/>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备注：</w:t>
            </w:r>
          </w:p>
        </w:tc>
      </w:tr>
    </w:tbl>
    <w:p>
      <w:pPr>
        <w:pStyle w:val="63"/>
        <w:spacing w:line="470" w:lineRule="exact"/>
        <w:rPr>
          <w:rFonts w:ascii="仿宋" w:hAnsi="仿宋" w:eastAsia="仿宋" w:cs="仿宋"/>
          <w:color w:val="auto"/>
          <w:sz w:val="24"/>
          <w:szCs w:val="24"/>
          <w:highlight w:val="none"/>
        </w:rPr>
      </w:pPr>
    </w:p>
    <w:p>
      <w:pPr>
        <w:pStyle w:val="63"/>
        <w:spacing w:line="470" w:lineRule="exact"/>
        <w:ind w:left="446"/>
        <w:rPr>
          <w:rFonts w:ascii="仿宋" w:hAnsi="仿宋" w:eastAsia="仿宋" w:cs="仿宋"/>
          <w:color w:val="auto"/>
          <w:sz w:val="24"/>
          <w:szCs w:val="24"/>
          <w:highlight w:val="none"/>
        </w:rPr>
      </w:pPr>
    </w:p>
    <w:p>
      <w:pPr>
        <w:pStyle w:val="9"/>
        <w:numPr>
          <w:ilvl w:val="0"/>
          <w:numId w:val="0"/>
        </w:numPr>
        <w:tabs>
          <w:tab w:val="left" w:pos="8227"/>
        </w:tabs>
        <w:kinsoku w:val="0"/>
        <w:overflowPunct w:val="0"/>
        <w:spacing w:line="381" w:lineRule="auto"/>
        <w:ind w:left="1680" w:right="118"/>
        <w:rPr>
          <w:rFonts w:ascii="仿宋" w:hAnsi="仿宋" w:eastAsia="仿宋" w:cs="仿宋"/>
          <w:color w:val="auto"/>
          <w:sz w:val="24"/>
          <w:highlight w:val="none"/>
        </w:rPr>
      </w:pPr>
      <w:r>
        <w:rPr>
          <w:rFonts w:hint="eastAsia" w:ascii="仿宋" w:hAnsi="仿宋" w:eastAsia="仿宋" w:cs="仿宋"/>
          <w:color w:val="auto"/>
          <w:sz w:val="24"/>
          <w:highlight w:val="none"/>
        </w:rPr>
        <w:t>投标人：</w:t>
      </w:r>
      <w:r>
        <w:rPr>
          <w:rFonts w:hint="eastAsia" w:ascii="仿宋" w:hAnsi="仿宋" w:eastAsia="仿宋" w:cs="仿宋"/>
          <w:color w:val="auto"/>
          <w:sz w:val="24"/>
          <w:highlight w:val="none"/>
          <w:u w:val="single"/>
        </w:rPr>
        <w:tab/>
      </w:r>
      <w:r>
        <w:rPr>
          <w:rFonts w:hint="eastAsia" w:ascii="仿宋" w:hAnsi="仿宋" w:eastAsia="仿宋" w:cs="仿宋"/>
          <w:color w:val="auto"/>
          <w:w w:val="95"/>
          <w:sz w:val="24"/>
          <w:highlight w:val="none"/>
        </w:rPr>
        <w:t>（盖章）</w:t>
      </w:r>
      <w:r>
        <w:rPr>
          <w:rFonts w:hint="eastAsia" w:ascii="仿宋" w:hAnsi="仿宋" w:eastAsia="仿宋" w:cs="仿宋"/>
          <w:color w:val="auto"/>
          <w:sz w:val="24"/>
          <w:highlight w:val="none"/>
        </w:rPr>
        <w:t xml:space="preserve"> </w:t>
      </w:r>
    </w:p>
    <w:p>
      <w:pPr>
        <w:pStyle w:val="9"/>
        <w:numPr>
          <w:ilvl w:val="0"/>
          <w:numId w:val="0"/>
        </w:numPr>
        <w:tabs>
          <w:tab w:val="left" w:pos="8227"/>
        </w:tabs>
        <w:kinsoku w:val="0"/>
        <w:overflowPunct w:val="0"/>
        <w:spacing w:line="381" w:lineRule="auto"/>
        <w:ind w:left="1680" w:right="118"/>
        <w:rPr>
          <w:rFonts w:ascii="仿宋" w:hAnsi="仿宋" w:eastAsia="仿宋" w:cs="仿宋"/>
          <w:color w:val="auto"/>
          <w:w w:val="95"/>
          <w:sz w:val="24"/>
          <w:highlight w:val="none"/>
        </w:rPr>
      </w:pPr>
      <w:r>
        <w:rPr>
          <w:rFonts w:hint="eastAsia" w:ascii="仿宋" w:hAnsi="仿宋" w:eastAsia="仿宋" w:cs="仿宋"/>
          <w:color w:val="auto"/>
          <w:sz w:val="24"/>
          <w:highlight w:val="none"/>
        </w:rPr>
        <w:t>法定代表人或被授权人：</w:t>
      </w:r>
      <w:r>
        <w:rPr>
          <w:rFonts w:hint="eastAsia" w:ascii="仿宋" w:hAnsi="仿宋" w:eastAsia="仿宋" w:cs="仿宋"/>
          <w:color w:val="auto"/>
          <w:sz w:val="24"/>
          <w:highlight w:val="none"/>
          <w:u w:val="single"/>
        </w:rPr>
        <w:tab/>
      </w:r>
      <w:r>
        <w:rPr>
          <w:rFonts w:hint="eastAsia" w:ascii="仿宋" w:hAnsi="仿宋" w:eastAsia="仿宋" w:cs="仿宋"/>
          <w:color w:val="auto"/>
          <w:w w:val="95"/>
          <w:sz w:val="24"/>
          <w:highlight w:val="none"/>
        </w:rPr>
        <w:t>（</w:t>
      </w:r>
      <w:r>
        <w:rPr>
          <w:rFonts w:hint="eastAsia" w:ascii="仿宋" w:hAnsi="仿宋" w:eastAsia="仿宋" w:cs="仿宋"/>
          <w:color w:val="auto"/>
          <w:w w:val="95"/>
          <w:sz w:val="24"/>
          <w:highlight w:val="none"/>
          <w:lang w:eastAsia="zh-CN"/>
        </w:rPr>
        <w:t>签章</w:t>
      </w:r>
      <w:r>
        <w:rPr>
          <w:rFonts w:hint="eastAsia" w:ascii="仿宋" w:hAnsi="仿宋" w:eastAsia="仿宋" w:cs="仿宋"/>
          <w:color w:val="auto"/>
          <w:w w:val="95"/>
          <w:sz w:val="24"/>
          <w:highlight w:val="none"/>
        </w:rPr>
        <w:t>）</w:t>
      </w:r>
    </w:p>
    <w:p>
      <w:pPr>
        <w:ind w:firstLine="5538" w:firstLineChars="2600"/>
        <w:rPr>
          <w:rFonts w:ascii="仿宋" w:hAnsi="仿宋" w:eastAsia="仿宋" w:cs="仿宋"/>
          <w:color w:val="auto"/>
          <w:highlight w:val="none"/>
        </w:rPr>
      </w:pPr>
    </w:p>
    <w:p>
      <w:pPr>
        <w:ind w:firstLine="5538" w:firstLineChars="2600"/>
        <w:rPr>
          <w:rFonts w:ascii="仿宋" w:hAnsi="仿宋" w:eastAsia="仿宋" w:cs="仿宋"/>
          <w:color w:val="auto"/>
          <w:highlight w:val="none"/>
        </w:rPr>
      </w:pPr>
    </w:p>
    <w:p>
      <w:pPr>
        <w:ind w:firstLine="5538" w:firstLineChars="2600"/>
        <w:rPr>
          <w:rFonts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rPr>
        <w:tab/>
      </w:r>
      <w:r>
        <w:rPr>
          <w:rFonts w:hint="eastAsia" w:ascii="仿宋" w:hAnsi="仿宋" w:eastAsia="仿宋" w:cs="仿宋"/>
          <w:color w:val="auto"/>
          <w:highlight w:val="none"/>
        </w:rPr>
        <w:t>年</w:t>
      </w:r>
      <w:r>
        <w:rPr>
          <w:rFonts w:hint="eastAsia" w:ascii="仿宋" w:hAnsi="仿宋" w:eastAsia="仿宋" w:cs="仿宋"/>
          <w:color w:val="auto"/>
          <w:highlight w:val="none"/>
        </w:rPr>
        <w:tab/>
      </w:r>
      <w:r>
        <w:rPr>
          <w:rFonts w:hint="eastAsia" w:ascii="仿宋" w:hAnsi="仿宋" w:eastAsia="仿宋" w:cs="仿宋"/>
          <w:color w:val="auto"/>
          <w:highlight w:val="none"/>
        </w:rPr>
        <w:t>月</w:t>
      </w:r>
      <w:r>
        <w:rPr>
          <w:rFonts w:hint="eastAsia" w:ascii="仿宋" w:hAnsi="仿宋" w:eastAsia="仿宋" w:cs="仿宋"/>
          <w:color w:val="auto"/>
          <w:highlight w:val="none"/>
        </w:rPr>
        <w:tab/>
      </w:r>
      <w:r>
        <w:rPr>
          <w:rFonts w:hint="eastAsia" w:ascii="仿宋" w:hAnsi="仿宋" w:eastAsia="仿宋" w:cs="仿宋"/>
          <w:color w:val="auto"/>
          <w:highlight w:val="none"/>
        </w:rPr>
        <w:t>日</w:t>
      </w:r>
    </w:p>
    <w:p>
      <w:pP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lang w:eastAsia="zh-CN"/>
        </w:rPr>
        <w:br w:type="page"/>
      </w:r>
    </w:p>
    <w:p>
      <w:pPr>
        <w:pStyle w:val="9"/>
        <w:numPr>
          <w:ilvl w:val="0"/>
          <w:numId w:val="0"/>
        </w:numPr>
        <w:kinsoku w:val="0"/>
        <w:overflowPunct w:val="0"/>
        <w:spacing w:before="34" w:line="357" w:lineRule="auto"/>
        <w:ind w:right="126"/>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lang w:eastAsia="zh-CN"/>
        </w:rPr>
        <w:t>七、</w:t>
      </w:r>
      <w:r>
        <w:rPr>
          <w:rFonts w:hint="eastAsia" w:ascii="仿宋" w:hAnsi="仿宋" w:eastAsia="仿宋" w:cs="仿宋"/>
          <w:b/>
          <w:bCs/>
          <w:color w:val="auto"/>
          <w:sz w:val="36"/>
          <w:szCs w:val="36"/>
          <w:highlight w:val="none"/>
        </w:rPr>
        <w:t>投标人基本情况</w:t>
      </w:r>
    </w:p>
    <w:p>
      <w:pPr>
        <w:pStyle w:val="9"/>
        <w:numPr>
          <w:ilvl w:val="0"/>
          <w:numId w:val="0"/>
        </w:numPr>
        <w:kinsoku w:val="0"/>
        <w:overflowPunct w:val="0"/>
        <w:spacing w:before="34" w:line="357" w:lineRule="auto"/>
        <w:ind w:left="480" w:right="126"/>
        <w:jc w:val="center"/>
        <w:rPr>
          <w:rFonts w:ascii="仿宋" w:hAnsi="仿宋" w:eastAsia="仿宋" w:cs="仿宋"/>
          <w:color w:val="auto"/>
          <w:sz w:val="24"/>
          <w:highlight w:val="none"/>
        </w:rPr>
      </w:pPr>
      <w:r>
        <w:rPr>
          <w:rFonts w:hint="eastAsia" w:ascii="仿宋" w:hAnsi="仿宋" w:eastAsia="仿宋" w:cs="仿宋"/>
          <w:b/>
          <w:bCs/>
          <w:color w:val="auto"/>
          <w:sz w:val="24"/>
          <w:highlight w:val="none"/>
        </w:rPr>
        <w:t>（一）投标人基本情况表</w:t>
      </w:r>
    </w:p>
    <w:p>
      <w:pPr>
        <w:pStyle w:val="9"/>
        <w:numPr>
          <w:ilvl w:val="0"/>
          <w:numId w:val="0"/>
        </w:numPr>
        <w:kinsoku w:val="0"/>
        <w:overflowPunct w:val="0"/>
        <w:spacing w:before="5"/>
        <w:rPr>
          <w:rFonts w:ascii="仿宋" w:hAnsi="仿宋" w:eastAsia="仿宋" w:cs="仿宋"/>
          <w:b/>
          <w:bCs/>
          <w:color w:val="auto"/>
          <w:sz w:val="6"/>
          <w:szCs w:val="6"/>
          <w:highlight w:val="none"/>
        </w:rPr>
      </w:pPr>
    </w:p>
    <w:tbl>
      <w:tblPr>
        <w:tblStyle w:val="24"/>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55"/>
              <w:kinsoku w:val="0"/>
              <w:overflowPunct w:val="0"/>
              <w:spacing w:before="145"/>
              <w:ind w:left="137"/>
              <w:rPr>
                <w:rFonts w:ascii="仿宋" w:hAnsi="仿宋" w:eastAsia="仿宋" w:cs="仿宋"/>
                <w:color w:val="auto"/>
                <w:highlight w:val="none"/>
              </w:rPr>
            </w:pPr>
            <w:r>
              <w:rPr>
                <w:rFonts w:hint="eastAsia" w:ascii="仿宋" w:hAnsi="仿宋" w:eastAsia="仿宋" w:cs="仿宋"/>
                <w:color w:val="auto"/>
                <w:highlight w:val="none"/>
              </w:rPr>
              <w:t>单位名称</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55"/>
              <w:kinsoku w:val="0"/>
              <w:overflowPunct w:val="0"/>
              <w:spacing w:before="145"/>
              <w:ind w:left="137"/>
              <w:rPr>
                <w:rFonts w:ascii="仿宋" w:hAnsi="仿宋" w:eastAsia="仿宋" w:cs="仿宋"/>
                <w:color w:val="auto"/>
                <w:highlight w:val="none"/>
              </w:rPr>
            </w:pPr>
            <w:r>
              <w:rPr>
                <w:rFonts w:hint="eastAsia" w:ascii="仿宋" w:hAnsi="仿宋" w:eastAsia="仿宋" w:cs="仿宋"/>
                <w:color w:val="auto"/>
                <w:highlight w:val="none"/>
              </w:rPr>
              <w:t>单位地址</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55"/>
              <w:kinsoku w:val="0"/>
              <w:overflowPunct w:val="0"/>
              <w:spacing w:before="145"/>
              <w:ind w:left="137"/>
              <w:rPr>
                <w:rFonts w:ascii="仿宋" w:hAnsi="仿宋" w:eastAsia="仿宋" w:cs="仿宋"/>
                <w:color w:val="auto"/>
                <w:highlight w:val="none"/>
              </w:rPr>
            </w:pPr>
            <w:r>
              <w:rPr>
                <w:rFonts w:hint="eastAsia" w:ascii="仿宋" w:hAnsi="仿宋" w:eastAsia="仿宋" w:cs="仿宋"/>
                <w:color w:val="auto"/>
                <w:highlight w:val="none"/>
              </w:rPr>
              <w:t>主管部门</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55"/>
              <w:kinsoku w:val="0"/>
              <w:overflowPunct w:val="0"/>
              <w:spacing w:before="145"/>
              <w:ind w:left="137"/>
              <w:rPr>
                <w:rFonts w:ascii="仿宋" w:hAnsi="仿宋" w:eastAsia="仿宋" w:cs="仿宋"/>
                <w:color w:val="auto"/>
                <w:highlight w:val="none"/>
              </w:rPr>
            </w:pPr>
            <w:r>
              <w:rPr>
                <w:rFonts w:hint="eastAsia" w:ascii="仿宋" w:hAnsi="仿宋" w:eastAsia="仿宋" w:cs="仿宋"/>
                <w:color w:val="auto"/>
                <w:highlight w:val="none"/>
              </w:rPr>
              <w:t>成立时间</w:t>
            </w:r>
          </w:p>
        </w:tc>
        <w:tc>
          <w:tcPr>
            <w:tcW w:w="2294"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highlight w:val="none"/>
              </w:rPr>
            </w:pPr>
          </w:p>
        </w:tc>
        <w:tc>
          <w:tcPr>
            <w:tcW w:w="2294" w:type="dxa"/>
            <w:gridSpan w:val="4"/>
            <w:tcBorders>
              <w:top w:val="single" w:color="000000" w:sz="4" w:space="0"/>
              <w:left w:val="single" w:color="000000" w:sz="4" w:space="0"/>
              <w:bottom w:val="single" w:color="000000" w:sz="4" w:space="0"/>
              <w:right w:val="single" w:color="000000" w:sz="4" w:space="0"/>
            </w:tcBorders>
          </w:tcPr>
          <w:p>
            <w:pPr>
              <w:pStyle w:val="55"/>
              <w:kinsoku w:val="0"/>
              <w:overflowPunct w:val="0"/>
              <w:spacing w:before="145"/>
              <w:ind w:left="181"/>
              <w:rPr>
                <w:rFonts w:ascii="仿宋" w:hAnsi="仿宋" w:eastAsia="仿宋" w:cs="仿宋"/>
                <w:color w:val="auto"/>
                <w:highlight w:val="none"/>
              </w:rPr>
            </w:pPr>
            <w:r>
              <w:rPr>
                <w:rFonts w:hint="eastAsia" w:ascii="仿宋" w:hAnsi="仿宋" w:eastAsia="仿宋" w:cs="仿宋"/>
                <w:color w:val="auto"/>
                <w:highlight w:val="none"/>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55"/>
              <w:kinsoku w:val="0"/>
              <w:overflowPunct w:val="0"/>
              <w:spacing w:before="146"/>
              <w:ind w:left="137"/>
              <w:rPr>
                <w:rFonts w:ascii="仿宋" w:hAnsi="仿宋" w:eastAsia="仿宋" w:cs="仿宋"/>
                <w:color w:val="auto"/>
                <w:highlight w:val="none"/>
              </w:rPr>
            </w:pPr>
            <w:r>
              <w:rPr>
                <w:rFonts w:hint="eastAsia" w:ascii="仿宋" w:hAnsi="仿宋" w:eastAsia="仿宋" w:cs="仿宋"/>
                <w:color w:val="auto"/>
                <w:highlight w:val="none"/>
              </w:rPr>
              <w:t>单位性质</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highlight w:val="none"/>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55"/>
              <w:kinsoku w:val="0"/>
              <w:overflowPunct w:val="0"/>
              <w:spacing w:before="141" w:line="312" w:lineRule="exact"/>
              <w:ind w:left="257" w:right="133" w:hanging="120"/>
              <w:rPr>
                <w:rFonts w:ascii="仿宋" w:hAnsi="仿宋" w:eastAsia="仿宋" w:cs="仿宋"/>
                <w:color w:val="auto"/>
                <w:highlight w:val="none"/>
              </w:rPr>
            </w:pPr>
            <w:r>
              <w:rPr>
                <w:rFonts w:hint="eastAsia" w:ascii="仿宋" w:hAnsi="仿宋" w:eastAsia="仿宋" w:cs="仿宋"/>
                <w:color w:val="auto"/>
                <w:highlight w:val="none"/>
              </w:rPr>
              <w:t>投标期间 联系人</w:t>
            </w:r>
          </w:p>
        </w:tc>
        <w:tc>
          <w:tcPr>
            <w:tcW w:w="1445"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highlight w:val="none"/>
              </w:rPr>
            </w:pPr>
          </w:p>
        </w:tc>
        <w:tc>
          <w:tcPr>
            <w:tcW w:w="1342" w:type="dxa"/>
            <w:gridSpan w:val="2"/>
            <w:tcBorders>
              <w:top w:val="single" w:color="000000" w:sz="4" w:space="0"/>
              <w:left w:val="single" w:color="000000" w:sz="4" w:space="0"/>
              <w:bottom w:val="single" w:color="000000" w:sz="4" w:space="0"/>
              <w:right w:val="single" w:color="000000" w:sz="4" w:space="0"/>
            </w:tcBorders>
          </w:tcPr>
          <w:p>
            <w:pPr>
              <w:pStyle w:val="55"/>
              <w:kinsoku w:val="0"/>
              <w:overflowPunct w:val="0"/>
              <w:ind w:left="366"/>
              <w:rPr>
                <w:rFonts w:ascii="仿宋" w:hAnsi="仿宋" w:eastAsia="仿宋" w:cs="仿宋"/>
                <w:color w:val="auto"/>
                <w:highlight w:val="none"/>
              </w:rPr>
            </w:pPr>
            <w:r>
              <w:rPr>
                <w:rFonts w:hint="eastAsia" w:ascii="仿宋" w:hAnsi="仿宋" w:eastAsia="仿宋" w:cs="仿宋"/>
                <w:color w:val="auto"/>
                <w:highlight w:val="none"/>
              </w:rPr>
              <w:t>电 话</w:t>
            </w:r>
          </w:p>
        </w:tc>
        <w:tc>
          <w:tcPr>
            <w:tcW w:w="1343"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tcPr>
          <w:p>
            <w:pPr>
              <w:pStyle w:val="55"/>
              <w:kinsoku w:val="0"/>
              <w:overflowPunct w:val="0"/>
              <w:ind w:left="383"/>
              <w:rPr>
                <w:rFonts w:ascii="仿宋" w:hAnsi="仿宋" w:eastAsia="仿宋" w:cs="仿宋"/>
                <w:color w:val="auto"/>
                <w:highlight w:val="none"/>
              </w:rPr>
            </w:pPr>
            <w:r>
              <w:rPr>
                <w:rFonts w:hint="eastAsia" w:ascii="仿宋" w:hAnsi="仿宋" w:eastAsia="仿宋" w:cs="仿宋"/>
                <w:color w:val="auto"/>
                <w:highlight w:val="none"/>
              </w:rPr>
              <w:t>传 真</w:t>
            </w:r>
          </w:p>
        </w:tc>
        <w:tc>
          <w:tcPr>
            <w:tcW w:w="1965"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highlight w:val="none"/>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tcPr>
          <w:p>
            <w:pPr>
              <w:pStyle w:val="55"/>
              <w:kinsoku w:val="0"/>
              <w:overflowPunct w:val="0"/>
              <w:rPr>
                <w:rFonts w:ascii="仿宋" w:hAnsi="仿宋" w:eastAsia="仿宋" w:cs="仿宋"/>
                <w:b/>
                <w:bCs/>
                <w:color w:val="auto"/>
                <w:highlight w:val="none"/>
              </w:rPr>
            </w:pPr>
          </w:p>
          <w:p>
            <w:pPr>
              <w:pStyle w:val="55"/>
              <w:kinsoku w:val="0"/>
              <w:overflowPunct w:val="0"/>
              <w:rPr>
                <w:rFonts w:ascii="仿宋" w:hAnsi="仿宋" w:eastAsia="仿宋" w:cs="仿宋"/>
                <w:b/>
                <w:bCs/>
                <w:color w:val="auto"/>
                <w:highlight w:val="none"/>
              </w:rPr>
            </w:pPr>
          </w:p>
          <w:p>
            <w:pPr>
              <w:pStyle w:val="55"/>
              <w:kinsoku w:val="0"/>
              <w:overflowPunct w:val="0"/>
              <w:rPr>
                <w:rFonts w:ascii="仿宋" w:hAnsi="仿宋" w:eastAsia="仿宋" w:cs="仿宋"/>
                <w:b/>
                <w:bCs/>
                <w:color w:val="auto"/>
                <w:highlight w:val="none"/>
              </w:rPr>
            </w:pPr>
          </w:p>
          <w:p>
            <w:pPr>
              <w:pStyle w:val="55"/>
              <w:kinsoku w:val="0"/>
              <w:overflowPunct w:val="0"/>
              <w:spacing w:line="475" w:lineRule="auto"/>
              <w:ind w:left="497" w:right="493"/>
              <w:jc w:val="both"/>
              <w:rPr>
                <w:rFonts w:ascii="仿宋" w:hAnsi="仿宋" w:eastAsia="仿宋" w:cs="仿宋"/>
                <w:color w:val="auto"/>
                <w:highlight w:val="none"/>
              </w:rPr>
            </w:pPr>
            <w:r>
              <w:rPr>
                <w:rFonts w:hint="eastAsia" w:ascii="仿宋" w:hAnsi="仿宋" w:eastAsia="仿宋" w:cs="仿宋"/>
                <w:color w:val="auto"/>
                <w:highlight w:val="none"/>
              </w:rPr>
              <w:t>职 工 概 况</w:t>
            </w:r>
          </w:p>
        </w:tc>
        <w:tc>
          <w:tcPr>
            <w:tcW w:w="1445" w:type="dxa"/>
            <w:tcBorders>
              <w:top w:val="single" w:color="000000" w:sz="4" w:space="0"/>
              <w:left w:val="single" w:color="000000" w:sz="4" w:space="0"/>
              <w:bottom w:val="single" w:color="000000" w:sz="4" w:space="0"/>
              <w:right w:val="single" w:color="000000" w:sz="4" w:space="0"/>
            </w:tcBorders>
          </w:tcPr>
          <w:p>
            <w:pPr>
              <w:pStyle w:val="55"/>
              <w:kinsoku w:val="0"/>
              <w:overflowPunct w:val="0"/>
              <w:spacing w:before="144"/>
              <w:ind w:left="236"/>
              <w:rPr>
                <w:rFonts w:ascii="仿宋" w:hAnsi="仿宋" w:eastAsia="仿宋" w:cs="仿宋"/>
                <w:color w:val="auto"/>
                <w:highlight w:val="none"/>
              </w:rPr>
            </w:pPr>
            <w:r>
              <w:rPr>
                <w:rFonts w:hint="eastAsia" w:ascii="仿宋" w:hAnsi="仿宋" w:eastAsia="仿宋" w:cs="仿宋"/>
                <w:color w:val="auto"/>
                <w:highlight w:val="none"/>
              </w:rPr>
              <w:t>职工总数</w:t>
            </w:r>
          </w:p>
        </w:tc>
        <w:tc>
          <w:tcPr>
            <w:tcW w:w="1342"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highlight w:val="none"/>
              </w:rPr>
            </w:pPr>
          </w:p>
        </w:tc>
        <w:tc>
          <w:tcPr>
            <w:tcW w:w="2168" w:type="dxa"/>
            <w:gridSpan w:val="4"/>
            <w:tcBorders>
              <w:top w:val="single" w:color="000000" w:sz="4" w:space="0"/>
              <w:left w:val="single" w:color="000000" w:sz="4" w:space="0"/>
              <w:bottom w:val="single" w:color="000000" w:sz="4" w:space="0"/>
              <w:right w:val="single" w:color="000000" w:sz="4" w:space="0"/>
            </w:tcBorders>
          </w:tcPr>
          <w:p>
            <w:pPr>
              <w:pStyle w:val="55"/>
              <w:kinsoku w:val="0"/>
              <w:overflowPunct w:val="0"/>
              <w:spacing w:before="144"/>
              <w:ind w:left="118"/>
              <w:rPr>
                <w:rFonts w:ascii="仿宋" w:hAnsi="仿宋" w:eastAsia="仿宋" w:cs="仿宋"/>
                <w:color w:val="auto"/>
                <w:highlight w:val="none"/>
              </w:rPr>
            </w:pPr>
            <w:r>
              <w:rPr>
                <w:rFonts w:hint="eastAsia" w:ascii="仿宋" w:hAnsi="仿宋" w:eastAsia="仿宋" w:cs="仿宋"/>
                <w:color w:val="auto"/>
                <w:highlight w:val="none"/>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highlight w:val="none"/>
              </w:rPr>
            </w:pPr>
          </w:p>
        </w:tc>
        <w:tc>
          <w:tcPr>
            <w:tcW w:w="7472" w:type="dxa"/>
            <w:gridSpan w:val="9"/>
            <w:tcBorders>
              <w:top w:val="single" w:color="000000" w:sz="4" w:space="0"/>
              <w:left w:val="single" w:color="000000" w:sz="4" w:space="0"/>
              <w:bottom w:val="single" w:color="000000" w:sz="4" w:space="0"/>
              <w:right w:val="single" w:color="000000" w:sz="4" w:space="0"/>
            </w:tcBorders>
          </w:tcPr>
          <w:p>
            <w:pPr>
              <w:pStyle w:val="55"/>
              <w:kinsoku w:val="0"/>
              <w:overflowPunct w:val="0"/>
              <w:spacing w:before="145"/>
              <w:jc w:val="center"/>
              <w:rPr>
                <w:rFonts w:ascii="仿宋" w:hAnsi="仿宋" w:eastAsia="仿宋" w:cs="仿宋"/>
                <w:color w:val="auto"/>
                <w:highlight w:val="none"/>
              </w:rPr>
            </w:pPr>
            <w:r>
              <w:rPr>
                <w:rFonts w:hint="eastAsia" w:ascii="仿宋" w:hAnsi="仿宋" w:eastAsia="仿宋" w:cs="仿宋"/>
                <w:color w:val="auto"/>
                <w:highlight w:val="none"/>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pStyle w:val="55"/>
              <w:kinsoku w:val="0"/>
              <w:overflowPunct w:val="0"/>
              <w:spacing w:before="145"/>
              <w:jc w:val="center"/>
              <w:rPr>
                <w:rFonts w:ascii="仿宋" w:hAnsi="仿宋" w:eastAsia="仿宋" w:cs="仿宋"/>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tcPr>
          <w:p>
            <w:pPr>
              <w:pStyle w:val="55"/>
              <w:kinsoku w:val="0"/>
              <w:overflowPunct w:val="0"/>
              <w:spacing w:before="145"/>
              <w:ind w:left="416"/>
              <w:rPr>
                <w:rFonts w:ascii="仿宋" w:hAnsi="仿宋" w:eastAsia="仿宋" w:cs="仿宋"/>
                <w:color w:val="auto"/>
                <w:highlight w:val="none"/>
              </w:rPr>
            </w:pPr>
            <w:r>
              <w:rPr>
                <w:rFonts w:hint="eastAsia" w:ascii="仿宋" w:hAnsi="仿宋" w:eastAsia="仿宋" w:cs="仿宋"/>
                <w:color w:val="auto"/>
                <w:highlight w:val="none"/>
              </w:rPr>
              <w:t>姓 名</w:t>
            </w:r>
          </w:p>
        </w:tc>
        <w:tc>
          <w:tcPr>
            <w:tcW w:w="1997" w:type="dxa"/>
            <w:gridSpan w:val="3"/>
            <w:tcBorders>
              <w:top w:val="single" w:color="000000" w:sz="4" w:space="0"/>
              <w:left w:val="single" w:color="000000" w:sz="4" w:space="0"/>
              <w:bottom w:val="single" w:color="000000" w:sz="4" w:space="0"/>
              <w:right w:val="single" w:color="000000" w:sz="4" w:space="0"/>
            </w:tcBorders>
          </w:tcPr>
          <w:p>
            <w:pPr>
              <w:pStyle w:val="55"/>
              <w:kinsoku w:val="0"/>
              <w:overflowPunct w:val="0"/>
              <w:spacing w:before="145"/>
              <w:ind w:left="452"/>
              <w:rPr>
                <w:rFonts w:ascii="仿宋" w:hAnsi="仿宋" w:eastAsia="仿宋" w:cs="仿宋"/>
                <w:color w:val="auto"/>
                <w:highlight w:val="none"/>
              </w:rPr>
            </w:pPr>
            <w:r>
              <w:rPr>
                <w:rFonts w:hint="eastAsia" w:ascii="仿宋" w:hAnsi="仿宋" w:eastAsia="仿宋" w:cs="仿宋"/>
                <w:color w:val="auto"/>
                <w:highlight w:val="none"/>
              </w:rPr>
              <w:t>职务/职称</w:t>
            </w:r>
          </w:p>
        </w:tc>
        <w:tc>
          <w:tcPr>
            <w:tcW w:w="1513" w:type="dxa"/>
            <w:gridSpan w:val="3"/>
            <w:tcBorders>
              <w:top w:val="single" w:color="000000" w:sz="4" w:space="0"/>
              <w:left w:val="single" w:color="000000" w:sz="4" w:space="0"/>
              <w:bottom w:val="single" w:color="000000" w:sz="4" w:space="0"/>
              <w:right w:val="single" w:color="000000" w:sz="4" w:space="0"/>
            </w:tcBorders>
          </w:tcPr>
          <w:p>
            <w:pPr>
              <w:pStyle w:val="55"/>
              <w:kinsoku w:val="0"/>
              <w:overflowPunct w:val="0"/>
              <w:spacing w:before="145"/>
              <w:ind w:left="450"/>
              <w:rPr>
                <w:rFonts w:ascii="仿宋" w:hAnsi="仿宋" w:eastAsia="仿宋" w:cs="仿宋"/>
                <w:color w:val="auto"/>
                <w:highlight w:val="none"/>
              </w:rPr>
            </w:pPr>
            <w:r>
              <w:rPr>
                <w:rFonts w:hint="eastAsia" w:ascii="仿宋" w:hAnsi="仿宋" w:eastAsia="仿宋" w:cs="仿宋"/>
                <w:color w:val="auto"/>
                <w:highlight w:val="none"/>
              </w:rPr>
              <w:t>年 龄</w:t>
            </w:r>
          </w:p>
        </w:tc>
        <w:tc>
          <w:tcPr>
            <w:tcW w:w="2517" w:type="dxa"/>
            <w:gridSpan w:val="2"/>
            <w:tcBorders>
              <w:top w:val="single" w:color="000000" w:sz="4" w:space="0"/>
              <w:left w:val="single" w:color="000000" w:sz="4" w:space="0"/>
              <w:bottom w:val="single" w:color="000000" w:sz="4" w:space="0"/>
              <w:right w:val="single" w:color="000000" w:sz="4" w:space="0"/>
            </w:tcBorders>
          </w:tcPr>
          <w:p>
            <w:pPr>
              <w:pStyle w:val="55"/>
              <w:tabs>
                <w:tab w:val="left" w:pos="479"/>
              </w:tabs>
              <w:kinsoku w:val="0"/>
              <w:overflowPunct w:val="0"/>
              <w:spacing w:before="145"/>
              <w:ind w:right="1"/>
              <w:jc w:val="center"/>
              <w:rPr>
                <w:rFonts w:ascii="仿宋" w:hAnsi="仿宋" w:eastAsia="仿宋" w:cs="仿宋"/>
                <w:color w:val="auto"/>
                <w:highlight w:val="none"/>
              </w:rPr>
            </w:pPr>
            <w:r>
              <w:rPr>
                <w:rFonts w:hint="eastAsia" w:ascii="仿宋" w:hAnsi="仿宋" w:eastAsia="仿宋" w:cs="仿宋"/>
                <w:color w:val="auto"/>
                <w:highlight w:val="none"/>
              </w:rPr>
              <w:t>专</w:t>
            </w:r>
            <w:r>
              <w:rPr>
                <w:rFonts w:hint="eastAsia" w:ascii="仿宋" w:hAnsi="仿宋" w:eastAsia="仿宋" w:cs="仿宋"/>
                <w:color w:val="auto"/>
                <w:highlight w:val="none"/>
              </w:rPr>
              <w:tab/>
            </w:r>
            <w:r>
              <w:rPr>
                <w:rFonts w:hint="eastAsia" w:ascii="仿宋" w:hAnsi="仿宋" w:eastAsia="仿宋" w:cs="仿宋"/>
                <w:color w:val="auto"/>
                <w:highlight w:val="none"/>
              </w:rPr>
              <w:t>业</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pStyle w:val="55"/>
              <w:tabs>
                <w:tab w:val="left" w:pos="479"/>
              </w:tabs>
              <w:kinsoku w:val="0"/>
              <w:overflowPunct w:val="0"/>
              <w:spacing w:before="145"/>
              <w:ind w:right="1"/>
              <w:jc w:val="center"/>
              <w:rPr>
                <w:rFonts w:ascii="仿宋" w:hAnsi="仿宋" w:eastAsia="仿宋" w:cs="仿宋"/>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highlight w:val="none"/>
              </w:rPr>
            </w:pPr>
          </w:p>
        </w:tc>
      </w:tr>
      <w:tr>
        <w:tblPrEx>
          <w:tblCellMar>
            <w:top w:w="0" w:type="dxa"/>
            <w:left w:w="0" w:type="dxa"/>
            <w:bottom w:w="0" w:type="dxa"/>
            <w:right w:w="0" w:type="dxa"/>
          </w:tblCellMar>
        </w:tblPrEx>
        <w:trPr>
          <w:trHeight w:val="2563"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55"/>
              <w:kinsoku w:val="0"/>
              <w:overflowPunct w:val="0"/>
              <w:rPr>
                <w:rFonts w:ascii="仿宋" w:hAnsi="仿宋" w:eastAsia="仿宋" w:cs="仿宋"/>
                <w:b/>
                <w:bCs/>
                <w:color w:val="auto"/>
                <w:highlight w:val="none"/>
              </w:rPr>
            </w:pPr>
          </w:p>
          <w:p>
            <w:pPr>
              <w:pStyle w:val="55"/>
              <w:kinsoku w:val="0"/>
              <w:overflowPunct w:val="0"/>
              <w:spacing w:before="1"/>
              <w:rPr>
                <w:rFonts w:ascii="仿宋" w:hAnsi="仿宋" w:eastAsia="仿宋" w:cs="仿宋"/>
                <w:b/>
                <w:bCs/>
                <w:color w:val="auto"/>
                <w:sz w:val="23"/>
                <w:szCs w:val="23"/>
                <w:highlight w:val="none"/>
              </w:rPr>
            </w:pPr>
          </w:p>
          <w:p>
            <w:pPr>
              <w:pStyle w:val="55"/>
              <w:kinsoku w:val="0"/>
              <w:overflowPunct w:val="0"/>
              <w:spacing w:line="237" w:lineRule="auto"/>
              <w:ind w:left="497" w:right="493"/>
              <w:jc w:val="both"/>
              <w:rPr>
                <w:rFonts w:ascii="仿宋" w:hAnsi="仿宋" w:eastAsia="仿宋" w:cs="仿宋"/>
                <w:color w:val="auto"/>
                <w:highlight w:val="none"/>
              </w:rPr>
            </w:pPr>
            <w:r>
              <w:rPr>
                <w:rFonts w:hint="eastAsia" w:ascii="仿宋" w:hAnsi="仿宋" w:eastAsia="仿宋" w:cs="仿宋"/>
                <w:color w:val="auto"/>
                <w:highlight w:val="none"/>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highlight w:val="none"/>
              </w:rPr>
            </w:pPr>
          </w:p>
        </w:tc>
      </w:tr>
    </w:tbl>
    <w:p>
      <w:pPr>
        <w:pStyle w:val="9"/>
        <w:numPr>
          <w:ilvl w:val="0"/>
          <w:numId w:val="0"/>
        </w:numPr>
        <w:kinsoku w:val="0"/>
        <w:overflowPunct w:val="0"/>
        <w:spacing w:before="26" w:line="320" w:lineRule="auto"/>
        <w:ind w:left="1680"/>
        <w:rPr>
          <w:rFonts w:ascii="仿宋" w:hAnsi="仿宋" w:eastAsia="仿宋" w:cs="仿宋"/>
          <w:b/>
          <w:bCs/>
          <w:color w:val="auto"/>
          <w:w w:val="95"/>
          <w:highlight w:val="none"/>
        </w:rPr>
      </w:pPr>
    </w:p>
    <w:p>
      <w:pPr>
        <w:pStyle w:val="9"/>
        <w:numPr>
          <w:ilvl w:val="0"/>
          <w:numId w:val="8"/>
        </w:numPr>
        <w:kinsoku w:val="0"/>
        <w:overflowPunct w:val="0"/>
        <w:spacing w:before="26" w:line="440" w:lineRule="exact"/>
        <w:jc w:val="both"/>
        <w:rPr>
          <w:rFonts w:ascii="仿宋" w:hAnsi="仿宋" w:eastAsia="仿宋" w:cs="仿宋"/>
          <w:b/>
          <w:bCs/>
          <w:color w:val="auto"/>
          <w:sz w:val="24"/>
          <w:highlight w:val="none"/>
          <w:lang w:eastAsia="zh-CN"/>
        </w:rPr>
      </w:pPr>
      <w:r>
        <w:rPr>
          <w:rFonts w:hint="eastAsia" w:ascii="仿宋" w:hAnsi="仿宋" w:eastAsia="仿宋" w:cs="仿宋"/>
          <w:b/>
          <w:bCs/>
          <w:color w:val="auto"/>
          <w:w w:val="95"/>
          <w:highlight w:val="none"/>
        </w:rPr>
        <w:br w:type="page"/>
      </w:r>
      <w:r>
        <w:rPr>
          <w:rFonts w:hint="eastAsia" w:ascii="仿宋" w:hAnsi="仿宋" w:eastAsia="仿宋" w:cs="仿宋"/>
          <w:b/>
          <w:bCs/>
          <w:color w:val="auto"/>
          <w:w w:val="95"/>
          <w:sz w:val="24"/>
          <w:highlight w:val="none"/>
        </w:rPr>
        <w:t>三</w:t>
      </w:r>
      <w:r>
        <w:rPr>
          <w:rFonts w:hint="eastAsia" w:ascii="仿宋" w:hAnsi="仿宋" w:eastAsia="仿宋" w:cs="仿宋"/>
          <w:b/>
          <w:bCs/>
          <w:color w:val="auto"/>
          <w:spacing w:val="1"/>
          <w:w w:val="95"/>
          <w:sz w:val="24"/>
          <w:highlight w:val="none"/>
        </w:rPr>
        <w:t>证</w:t>
      </w:r>
      <w:r>
        <w:rPr>
          <w:rFonts w:hint="eastAsia" w:ascii="仿宋" w:hAnsi="仿宋" w:eastAsia="仿宋" w:cs="仿宋"/>
          <w:b/>
          <w:bCs/>
          <w:color w:val="auto"/>
          <w:w w:val="95"/>
          <w:sz w:val="24"/>
          <w:highlight w:val="none"/>
        </w:rPr>
        <w:t>合</w:t>
      </w:r>
      <w:r>
        <w:rPr>
          <w:rFonts w:hint="eastAsia" w:ascii="仿宋" w:hAnsi="仿宋" w:eastAsia="仿宋" w:cs="仿宋"/>
          <w:b/>
          <w:bCs/>
          <w:color w:val="auto"/>
          <w:spacing w:val="1"/>
          <w:w w:val="95"/>
          <w:sz w:val="24"/>
          <w:highlight w:val="none"/>
        </w:rPr>
        <w:t>一</w:t>
      </w:r>
      <w:r>
        <w:rPr>
          <w:rFonts w:hint="eastAsia" w:ascii="仿宋" w:hAnsi="仿宋" w:eastAsia="仿宋" w:cs="仿宋"/>
          <w:b/>
          <w:bCs/>
          <w:color w:val="auto"/>
          <w:w w:val="95"/>
          <w:sz w:val="24"/>
          <w:highlight w:val="none"/>
        </w:rPr>
        <w:t>的</w:t>
      </w:r>
      <w:r>
        <w:rPr>
          <w:rFonts w:hint="eastAsia" w:ascii="仿宋" w:hAnsi="仿宋" w:eastAsia="仿宋" w:cs="仿宋"/>
          <w:b/>
          <w:bCs/>
          <w:color w:val="auto"/>
          <w:sz w:val="24"/>
          <w:highlight w:val="none"/>
        </w:rPr>
        <w:t>营业执照</w:t>
      </w:r>
      <w:r>
        <w:rPr>
          <w:rFonts w:hint="eastAsia" w:ascii="仿宋" w:hAnsi="仿宋" w:eastAsia="仿宋" w:cs="仿宋"/>
          <w:b/>
          <w:bCs/>
          <w:color w:val="auto"/>
          <w:sz w:val="24"/>
          <w:highlight w:val="none"/>
          <w:lang w:eastAsia="zh-CN"/>
        </w:rPr>
        <w:t>；</w:t>
      </w:r>
    </w:p>
    <w:p>
      <w:pPr>
        <w:numPr>
          <w:ilvl w:val="0"/>
          <w:numId w:val="8"/>
        </w:numPr>
        <w:rPr>
          <w:rFonts w:ascii="仿宋" w:hAnsi="仿宋" w:eastAsia="仿宋" w:cs="仿宋"/>
          <w:b/>
          <w:bCs/>
          <w:color w:val="auto"/>
          <w:spacing w:val="1"/>
          <w:w w:val="95"/>
          <w:highlight w:val="none"/>
          <w:lang w:eastAsia="zh-CN"/>
        </w:rPr>
      </w:pPr>
      <w:r>
        <w:rPr>
          <w:rFonts w:hint="eastAsia" w:ascii="仿宋" w:hAnsi="仿宋" w:eastAsia="仿宋" w:cs="仿宋"/>
          <w:b/>
          <w:bCs/>
          <w:color w:val="auto"/>
          <w:spacing w:val="1"/>
          <w:w w:val="95"/>
          <w:highlight w:val="none"/>
          <w:lang w:eastAsia="zh-CN"/>
        </w:rPr>
        <w:t>持有中国银行业监督管理委员会有效的《中华人民共和国金融许可证》或《金融机构营业许可证》。</w:t>
      </w:r>
    </w:p>
    <w:p>
      <w:pPr>
        <w:pStyle w:val="65"/>
        <w:spacing w:line="440" w:lineRule="exact"/>
        <w:ind w:firstLine="0"/>
        <w:jc w:val="both"/>
        <w:rPr>
          <w:rFonts w:ascii="仿宋" w:hAnsi="仿宋" w:eastAsia="仿宋" w:cs="仿宋"/>
          <w:color w:val="auto"/>
          <w:sz w:val="36"/>
          <w:szCs w:val="36"/>
          <w:highlight w:val="none"/>
          <w:lang w:eastAsia="zh-CN"/>
        </w:rPr>
      </w:pPr>
      <w:r>
        <w:rPr>
          <w:rFonts w:hint="eastAsia" w:ascii="仿宋" w:hAnsi="仿宋" w:eastAsia="仿宋" w:cs="仿宋"/>
          <w:b/>
          <w:bCs/>
          <w:color w:val="auto"/>
          <w:spacing w:val="1"/>
          <w:w w:val="95"/>
          <w:sz w:val="24"/>
          <w:szCs w:val="24"/>
          <w:highlight w:val="none"/>
          <w:lang w:val="en-US" w:eastAsia="zh-CN" w:bidi="en-US"/>
        </w:rPr>
        <w:t>（四）近一年的财务状况相关材料（财务审计报告或财务报表</w:t>
      </w:r>
      <w:r>
        <w:rPr>
          <w:rFonts w:hint="eastAsia" w:ascii="仿宋" w:hAnsi="仿宋" w:eastAsia="仿宋" w:cs="仿宋"/>
          <w:b/>
          <w:bCs/>
          <w:color w:val="auto"/>
          <w:sz w:val="24"/>
          <w:szCs w:val="24"/>
          <w:highlight w:val="none"/>
          <w:lang w:eastAsia="zh-CN"/>
        </w:rPr>
        <w:t>）</w:t>
      </w:r>
    </w:p>
    <w:p>
      <w:pPr>
        <w:pStyle w:val="65"/>
        <w:spacing w:line="440" w:lineRule="exact"/>
        <w:ind w:firstLine="0"/>
        <w:jc w:val="both"/>
        <w:rPr>
          <w:rFonts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（五）单位社会保障缴费证明；</w:t>
      </w:r>
    </w:p>
    <w:p>
      <w:pPr>
        <w:pStyle w:val="65"/>
        <w:spacing w:line="440" w:lineRule="exact"/>
        <w:ind w:firstLine="0"/>
        <w:jc w:val="both"/>
        <w:rPr>
          <w:rFonts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（六）</w:t>
      </w:r>
      <w:r>
        <w:rPr>
          <w:rFonts w:hint="eastAsia" w:ascii="仿宋" w:hAnsi="仿宋" w:eastAsia="仿宋" w:cs="仿宋"/>
          <w:b/>
          <w:bCs/>
          <w:color w:val="auto"/>
          <w:sz w:val="24"/>
          <w:szCs w:val="24"/>
          <w:highlight w:val="none"/>
          <w:lang w:val="en-US" w:eastAsia="zh-CN"/>
        </w:rPr>
        <w:t>投标企业须提供投标人（被授权在职人员）近6个月有效的社保证明；</w:t>
      </w:r>
    </w:p>
    <w:p>
      <w:pPr>
        <w:pStyle w:val="62"/>
        <w:keepNext/>
        <w:keepLines/>
        <w:spacing w:before="0" w:after="160"/>
        <w:ind w:firstLine="680"/>
        <w:jc w:val="left"/>
        <w:rPr>
          <w:rFonts w:ascii="仿宋" w:hAnsi="仿宋" w:eastAsia="仿宋" w:cs="仿宋"/>
          <w:color w:val="auto"/>
          <w:highlight w:val="none"/>
        </w:rPr>
      </w:pPr>
    </w:p>
    <w:p>
      <w:pPr>
        <w:pStyle w:val="62"/>
        <w:keepNext/>
        <w:keepLines/>
        <w:spacing w:before="0" w:after="160"/>
        <w:ind w:firstLine="680"/>
        <w:jc w:val="left"/>
        <w:rPr>
          <w:rFonts w:ascii="仿宋" w:hAnsi="仿宋" w:eastAsia="仿宋" w:cs="仿宋"/>
          <w:color w:val="auto"/>
          <w:highlight w:val="none"/>
        </w:rPr>
      </w:pPr>
    </w:p>
    <w:p>
      <w:pPr>
        <w:pStyle w:val="62"/>
        <w:keepNext/>
        <w:keepLines/>
        <w:spacing w:before="0" w:after="160"/>
        <w:ind w:firstLine="680"/>
        <w:jc w:val="left"/>
        <w:rPr>
          <w:rFonts w:ascii="仿宋" w:hAnsi="仿宋" w:eastAsia="仿宋" w:cs="仿宋"/>
          <w:color w:val="auto"/>
          <w:highlight w:val="none"/>
        </w:rPr>
      </w:pPr>
    </w:p>
    <w:p>
      <w:pPr>
        <w:pStyle w:val="62"/>
        <w:keepNext/>
        <w:keepLines/>
        <w:spacing w:before="0" w:after="160"/>
        <w:jc w:val="left"/>
        <w:rPr>
          <w:rFonts w:ascii="仿宋" w:hAnsi="仿宋" w:eastAsia="仿宋" w:cs="仿宋"/>
          <w:color w:val="auto"/>
          <w:highlight w:val="none"/>
        </w:rPr>
      </w:pPr>
    </w:p>
    <w:bookmarkEnd w:id="124"/>
    <w:p>
      <w:pPr>
        <w:pStyle w:val="65"/>
        <w:spacing w:line="240" w:lineRule="auto"/>
        <w:ind w:left="1060" w:firstLine="0"/>
        <w:rPr>
          <w:rFonts w:ascii="仿宋" w:hAnsi="仿宋" w:eastAsia="仿宋" w:cs="仿宋"/>
          <w:color w:val="auto"/>
          <w:sz w:val="36"/>
          <w:szCs w:val="36"/>
          <w:highlight w:val="none"/>
          <w:lang w:eastAsia="zh-CN"/>
        </w:rPr>
      </w:pPr>
    </w:p>
    <w:bookmarkEnd w:id="125"/>
    <w:bookmarkEnd w:id="126"/>
    <w:bookmarkEnd w:id="127"/>
    <w:p>
      <w:pPr>
        <w:pStyle w:val="66"/>
        <w:spacing w:after="0"/>
        <w:ind w:firstLine="420"/>
        <w:jc w:val="center"/>
        <w:rPr>
          <w:rFonts w:ascii="仿宋" w:hAnsi="仿宋" w:eastAsia="仿宋" w:cs="仿宋"/>
          <w:color w:val="auto"/>
          <w:sz w:val="36"/>
          <w:szCs w:val="36"/>
          <w:highlight w:val="none"/>
        </w:rPr>
      </w:pPr>
    </w:p>
    <w:p>
      <w:pPr>
        <w:pStyle w:val="66"/>
        <w:spacing w:after="0"/>
        <w:ind w:firstLine="420"/>
        <w:jc w:val="center"/>
        <w:rPr>
          <w:rFonts w:ascii="仿宋" w:hAnsi="仿宋" w:eastAsia="仿宋" w:cs="仿宋"/>
          <w:color w:val="auto"/>
          <w:sz w:val="36"/>
          <w:szCs w:val="36"/>
          <w:highlight w:val="none"/>
        </w:rPr>
      </w:pPr>
    </w:p>
    <w:p>
      <w:pPr>
        <w:pStyle w:val="66"/>
        <w:spacing w:after="0"/>
        <w:ind w:firstLine="420"/>
        <w:jc w:val="center"/>
        <w:rPr>
          <w:rFonts w:ascii="仿宋" w:hAnsi="仿宋" w:eastAsia="仿宋" w:cs="仿宋"/>
          <w:color w:val="auto"/>
          <w:sz w:val="36"/>
          <w:szCs w:val="36"/>
          <w:highlight w:val="none"/>
        </w:rPr>
      </w:pPr>
    </w:p>
    <w:p>
      <w:pPr>
        <w:pStyle w:val="66"/>
        <w:spacing w:after="0"/>
        <w:ind w:firstLine="420"/>
        <w:jc w:val="center"/>
        <w:rPr>
          <w:rFonts w:ascii="仿宋" w:hAnsi="仿宋" w:eastAsia="仿宋" w:cs="仿宋"/>
          <w:color w:val="auto"/>
          <w:sz w:val="36"/>
          <w:szCs w:val="36"/>
          <w:highlight w:val="none"/>
        </w:rPr>
      </w:pPr>
    </w:p>
    <w:p>
      <w:pPr>
        <w:pStyle w:val="66"/>
        <w:spacing w:after="0"/>
        <w:ind w:firstLine="420"/>
        <w:jc w:val="center"/>
        <w:rPr>
          <w:rFonts w:ascii="仿宋" w:hAnsi="仿宋" w:eastAsia="仿宋" w:cs="仿宋"/>
          <w:color w:val="auto"/>
          <w:sz w:val="36"/>
          <w:szCs w:val="36"/>
          <w:highlight w:val="none"/>
        </w:rPr>
      </w:pPr>
    </w:p>
    <w:p>
      <w:pPr>
        <w:pStyle w:val="66"/>
        <w:spacing w:after="0"/>
        <w:ind w:firstLine="420"/>
        <w:jc w:val="center"/>
        <w:rPr>
          <w:rFonts w:ascii="仿宋" w:hAnsi="仿宋" w:eastAsia="仿宋" w:cs="仿宋"/>
          <w:color w:val="auto"/>
          <w:sz w:val="36"/>
          <w:szCs w:val="36"/>
          <w:highlight w:val="none"/>
        </w:rPr>
      </w:pPr>
    </w:p>
    <w:p>
      <w:pPr>
        <w:pStyle w:val="66"/>
        <w:spacing w:after="0"/>
        <w:ind w:firstLine="420"/>
        <w:jc w:val="center"/>
        <w:rPr>
          <w:rFonts w:ascii="仿宋" w:hAnsi="仿宋" w:eastAsia="仿宋" w:cs="仿宋"/>
          <w:color w:val="auto"/>
          <w:sz w:val="36"/>
          <w:szCs w:val="36"/>
          <w:highlight w:val="none"/>
        </w:rPr>
      </w:pPr>
    </w:p>
    <w:p>
      <w:pPr>
        <w:pStyle w:val="66"/>
        <w:spacing w:after="0"/>
        <w:ind w:firstLine="420"/>
        <w:jc w:val="center"/>
        <w:rPr>
          <w:rFonts w:ascii="仿宋" w:hAnsi="仿宋" w:eastAsia="仿宋" w:cs="仿宋"/>
          <w:color w:val="auto"/>
          <w:sz w:val="36"/>
          <w:szCs w:val="36"/>
          <w:highlight w:val="none"/>
        </w:rPr>
      </w:pPr>
    </w:p>
    <w:p>
      <w:pPr>
        <w:pStyle w:val="66"/>
        <w:spacing w:after="0"/>
        <w:ind w:firstLine="420"/>
        <w:jc w:val="center"/>
        <w:rPr>
          <w:rFonts w:ascii="仿宋" w:hAnsi="仿宋" w:eastAsia="仿宋" w:cs="仿宋"/>
          <w:color w:val="auto"/>
          <w:sz w:val="36"/>
          <w:szCs w:val="36"/>
          <w:highlight w:val="none"/>
        </w:rPr>
      </w:pPr>
    </w:p>
    <w:p>
      <w:pPr>
        <w:pStyle w:val="66"/>
        <w:spacing w:after="0"/>
        <w:ind w:firstLine="420"/>
        <w:jc w:val="center"/>
        <w:rPr>
          <w:rFonts w:ascii="仿宋" w:hAnsi="仿宋" w:eastAsia="仿宋" w:cs="仿宋"/>
          <w:color w:val="auto"/>
          <w:sz w:val="36"/>
          <w:szCs w:val="36"/>
          <w:highlight w:val="none"/>
        </w:rPr>
      </w:pPr>
    </w:p>
    <w:p>
      <w:pPr>
        <w:pStyle w:val="66"/>
        <w:spacing w:after="0"/>
        <w:ind w:firstLine="420"/>
        <w:jc w:val="center"/>
        <w:rPr>
          <w:rFonts w:ascii="仿宋" w:hAnsi="仿宋" w:eastAsia="仿宋" w:cs="仿宋"/>
          <w:color w:val="auto"/>
          <w:sz w:val="36"/>
          <w:szCs w:val="36"/>
          <w:highlight w:val="none"/>
        </w:rPr>
      </w:pPr>
    </w:p>
    <w:p>
      <w:pPr>
        <w:pStyle w:val="66"/>
        <w:spacing w:after="0"/>
        <w:ind w:left="0" w:leftChars="0" w:firstLine="0" w:firstLineChars="0"/>
        <w:jc w:val="center"/>
        <w:rPr>
          <w:rFonts w:ascii="仿宋" w:hAnsi="仿宋" w:eastAsia="仿宋" w:cs="仿宋"/>
          <w:color w:val="auto"/>
          <w:sz w:val="36"/>
          <w:szCs w:val="36"/>
          <w:highlight w:val="none"/>
          <w:lang w:eastAsia="zh-CN"/>
        </w:rPr>
      </w:pPr>
      <w:r>
        <w:rPr>
          <w:rFonts w:hint="eastAsia" w:ascii="仿宋" w:hAnsi="仿宋" w:eastAsia="仿宋" w:cs="仿宋"/>
          <w:color w:val="auto"/>
          <w:sz w:val="36"/>
          <w:szCs w:val="36"/>
          <w:highlight w:val="none"/>
          <w:lang w:eastAsia="zh-CN"/>
        </w:rPr>
        <w:t>八</w:t>
      </w:r>
      <w:r>
        <w:rPr>
          <w:rFonts w:hint="eastAsia" w:ascii="仿宋" w:hAnsi="仿宋" w:eastAsia="仿宋" w:cs="仿宋"/>
          <w:color w:val="auto"/>
          <w:sz w:val="36"/>
          <w:szCs w:val="36"/>
          <w:highlight w:val="none"/>
        </w:rPr>
        <w:t>、</w:t>
      </w:r>
      <w:r>
        <w:rPr>
          <w:rFonts w:hint="eastAsia" w:ascii="仿宋" w:hAnsi="仿宋" w:eastAsia="仿宋" w:cs="仿宋"/>
          <w:color w:val="auto"/>
          <w:sz w:val="36"/>
          <w:szCs w:val="36"/>
          <w:highlight w:val="none"/>
          <w:lang w:eastAsia="zh-CN"/>
        </w:rPr>
        <w:t>商务条款偏离表</w:t>
      </w:r>
    </w:p>
    <w:tbl>
      <w:tblPr>
        <w:tblStyle w:val="24"/>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269"/>
        <w:gridCol w:w="1134"/>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auto"/>
                <w:spacing w:val="-1"/>
                <w:highlight w:val="none"/>
              </w:rPr>
            </w:pPr>
            <w:r>
              <w:rPr>
                <w:rFonts w:hint="eastAsia" w:ascii="仿宋" w:hAnsi="仿宋" w:eastAsia="仿宋" w:cs="仿宋"/>
                <w:color w:val="auto"/>
                <w:spacing w:val="-1"/>
                <w:highlight w:val="none"/>
              </w:rPr>
              <w:t>序号</w:t>
            </w:r>
          </w:p>
        </w:tc>
        <w:tc>
          <w:tcPr>
            <w:tcW w:w="2154" w:type="dxa"/>
            <w:vAlign w:val="center"/>
          </w:tcPr>
          <w:p>
            <w:pPr>
              <w:rPr>
                <w:rFonts w:ascii="仿宋" w:hAnsi="仿宋" w:eastAsia="仿宋" w:cs="仿宋"/>
                <w:color w:val="auto"/>
                <w:spacing w:val="-1"/>
                <w:highlight w:val="none"/>
              </w:rPr>
            </w:pPr>
            <w:r>
              <w:rPr>
                <w:rFonts w:hint="eastAsia" w:ascii="仿宋" w:hAnsi="仿宋" w:eastAsia="仿宋" w:cs="仿宋"/>
                <w:color w:val="auto"/>
                <w:spacing w:val="-1"/>
                <w:highlight w:val="none"/>
              </w:rPr>
              <w:t>一般商务条款序号</w:t>
            </w:r>
          </w:p>
        </w:tc>
        <w:tc>
          <w:tcPr>
            <w:tcW w:w="2269" w:type="dxa"/>
            <w:vAlign w:val="center"/>
          </w:tcPr>
          <w:p>
            <w:pPr>
              <w:rPr>
                <w:rFonts w:ascii="仿宋" w:hAnsi="仿宋" w:eastAsia="仿宋" w:cs="仿宋"/>
                <w:color w:val="auto"/>
                <w:spacing w:val="-1"/>
                <w:highlight w:val="none"/>
              </w:rPr>
            </w:pPr>
            <w:r>
              <w:rPr>
                <w:rFonts w:hint="eastAsia" w:ascii="仿宋" w:hAnsi="仿宋" w:eastAsia="仿宋" w:cs="仿宋"/>
                <w:color w:val="auto"/>
                <w:spacing w:val="-1"/>
                <w:highlight w:val="none"/>
              </w:rPr>
              <w:t>条款内容</w:t>
            </w:r>
          </w:p>
        </w:tc>
        <w:tc>
          <w:tcPr>
            <w:tcW w:w="1134" w:type="dxa"/>
            <w:vAlign w:val="center"/>
          </w:tcPr>
          <w:p>
            <w:pPr>
              <w:rPr>
                <w:rFonts w:ascii="仿宋" w:hAnsi="仿宋" w:eastAsia="仿宋" w:cs="仿宋"/>
                <w:color w:val="auto"/>
                <w:spacing w:val="-1"/>
                <w:highlight w:val="none"/>
              </w:rPr>
            </w:pPr>
            <w:r>
              <w:rPr>
                <w:rFonts w:hint="eastAsia" w:ascii="仿宋" w:hAnsi="仿宋" w:eastAsia="仿宋" w:cs="仿宋"/>
                <w:color w:val="auto"/>
                <w:spacing w:val="-1"/>
                <w:highlight w:val="none"/>
              </w:rPr>
              <w:t>是否响应</w:t>
            </w:r>
          </w:p>
        </w:tc>
        <w:tc>
          <w:tcPr>
            <w:tcW w:w="2658" w:type="dxa"/>
            <w:vAlign w:val="center"/>
          </w:tcPr>
          <w:p>
            <w:pPr>
              <w:rPr>
                <w:rFonts w:ascii="仿宋" w:hAnsi="仿宋" w:eastAsia="仿宋" w:cs="仿宋"/>
                <w:color w:val="auto"/>
                <w:spacing w:val="-1"/>
                <w:highlight w:val="none"/>
              </w:rPr>
            </w:pPr>
            <w:r>
              <w:rPr>
                <w:rFonts w:hint="eastAsia" w:ascii="仿宋" w:hAnsi="仿宋" w:eastAsia="仿宋" w:cs="仿宋"/>
                <w:color w:val="auto"/>
                <w:spacing w:val="-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auto"/>
                <w:spacing w:val="-1"/>
                <w:highlight w:val="none"/>
              </w:rPr>
            </w:pPr>
            <w:r>
              <w:rPr>
                <w:rFonts w:hint="eastAsia" w:ascii="仿宋" w:hAnsi="仿宋" w:eastAsia="仿宋" w:cs="仿宋"/>
                <w:color w:val="auto"/>
                <w:spacing w:val="-1"/>
                <w:highlight w:val="none"/>
              </w:rPr>
              <w:t>1</w:t>
            </w:r>
          </w:p>
        </w:tc>
        <w:tc>
          <w:tcPr>
            <w:tcW w:w="2154" w:type="dxa"/>
            <w:vAlign w:val="center"/>
          </w:tcPr>
          <w:p>
            <w:pPr>
              <w:rPr>
                <w:rFonts w:ascii="仿宋" w:hAnsi="仿宋" w:eastAsia="仿宋" w:cs="仿宋"/>
                <w:color w:val="auto"/>
                <w:spacing w:val="-1"/>
                <w:highlight w:val="none"/>
              </w:rPr>
            </w:pPr>
          </w:p>
        </w:tc>
        <w:tc>
          <w:tcPr>
            <w:tcW w:w="2269" w:type="dxa"/>
            <w:vAlign w:val="center"/>
          </w:tcPr>
          <w:p>
            <w:pPr>
              <w:rPr>
                <w:rFonts w:ascii="仿宋" w:hAnsi="仿宋" w:eastAsia="仿宋" w:cs="仿宋"/>
                <w:color w:val="auto"/>
                <w:spacing w:val="-1"/>
                <w:highlight w:val="none"/>
              </w:rPr>
            </w:pPr>
          </w:p>
        </w:tc>
        <w:tc>
          <w:tcPr>
            <w:tcW w:w="1134" w:type="dxa"/>
            <w:vAlign w:val="center"/>
          </w:tcPr>
          <w:p>
            <w:pPr>
              <w:rPr>
                <w:rFonts w:ascii="仿宋" w:hAnsi="仿宋" w:eastAsia="仿宋" w:cs="仿宋"/>
                <w:color w:val="auto"/>
                <w:spacing w:val="-1"/>
                <w:highlight w:val="none"/>
              </w:rPr>
            </w:pPr>
          </w:p>
        </w:tc>
        <w:tc>
          <w:tcPr>
            <w:tcW w:w="2658" w:type="dxa"/>
            <w:vAlign w:val="center"/>
          </w:tcPr>
          <w:p>
            <w:pPr>
              <w:rPr>
                <w:rFonts w:ascii="仿宋" w:hAnsi="仿宋" w:eastAsia="仿宋" w:cs="仿宋"/>
                <w:color w:val="auto"/>
                <w:spacing w:val="-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auto"/>
                <w:spacing w:val="-1"/>
                <w:highlight w:val="none"/>
              </w:rPr>
            </w:pPr>
            <w:r>
              <w:rPr>
                <w:rFonts w:hint="eastAsia" w:ascii="仿宋" w:hAnsi="仿宋" w:eastAsia="仿宋" w:cs="仿宋"/>
                <w:color w:val="auto"/>
                <w:spacing w:val="-1"/>
                <w:highlight w:val="none"/>
              </w:rPr>
              <w:t>2</w:t>
            </w:r>
          </w:p>
        </w:tc>
        <w:tc>
          <w:tcPr>
            <w:tcW w:w="2154" w:type="dxa"/>
            <w:vAlign w:val="center"/>
          </w:tcPr>
          <w:p>
            <w:pPr>
              <w:rPr>
                <w:rFonts w:ascii="仿宋" w:hAnsi="仿宋" w:eastAsia="仿宋" w:cs="仿宋"/>
                <w:color w:val="auto"/>
                <w:spacing w:val="-1"/>
                <w:highlight w:val="none"/>
              </w:rPr>
            </w:pPr>
          </w:p>
        </w:tc>
        <w:tc>
          <w:tcPr>
            <w:tcW w:w="2269" w:type="dxa"/>
            <w:vAlign w:val="center"/>
          </w:tcPr>
          <w:p>
            <w:pPr>
              <w:rPr>
                <w:rFonts w:ascii="仿宋" w:hAnsi="仿宋" w:eastAsia="仿宋" w:cs="仿宋"/>
                <w:color w:val="auto"/>
                <w:spacing w:val="-1"/>
                <w:highlight w:val="none"/>
              </w:rPr>
            </w:pPr>
          </w:p>
        </w:tc>
        <w:tc>
          <w:tcPr>
            <w:tcW w:w="1134" w:type="dxa"/>
            <w:vAlign w:val="center"/>
          </w:tcPr>
          <w:p>
            <w:pPr>
              <w:rPr>
                <w:rFonts w:ascii="仿宋" w:hAnsi="仿宋" w:eastAsia="仿宋" w:cs="仿宋"/>
                <w:color w:val="auto"/>
                <w:spacing w:val="-1"/>
                <w:highlight w:val="none"/>
              </w:rPr>
            </w:pPr>
          </w:p>
        </w:tc>
        <w:tc>
          <w:tcPr>
            <w:tcW w:w="2658" w:type="dxa"/>
            <w:vAlign w:val="center"/>
          </w:tcPr>
          <w:p>
            <w:pPr>
              <w:rPr>
                <w:rFonts w:ascii="仿宋" w:hAnsi="仿宋" w:eastAsia="仿宋" w:cs="仿宋"/>
                <w:color w:val="auto"/>
                <w:spacing w:val="-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auto"/>
                <w:spacing w:val="-1"/>
                <w:highlight w:val="none"/>
              </w:rPr>
            </w:pPr>
            <w:r>
              <w:rPr>
                <w:rFonts w:hint="eastAsia" w:ascii="仿宋" w:hAnsi="仿宋" w:eastAsia="仿宋" w:cs="仿宋"/>
                <w:color w:val="auto"/>
                <w:spacing w:val="-1"/>
                <w:highlight w:val="none"/>
              </w:rPr>
              <w:t>3</w:t>
            </w:r>
          </w:p>
        </w:tc>
        <w:tc>
          <w:tcPr>
            <w:tcW w:w="2154" w:type="dxa"/>
            <w:vAlign w:val="center"/>
          </w:tcPr>
          <w:p>
            <w:pPr>
              <w:rPr>
                <w:rFonts w:ascii="仿宋" w:hAnsi="仿宋" w:eastAsia="仿宋" w:cs="仿宋"/>
                <w:color w:val="auto"/>
                <w:spacing w:val="-1"/>
                <w:highlight w:val="none"/>
              </w:rPr>
            </w:pPr>
          </w:p>
        </w:tc>
        <w:tc>
          <w:tcPr>
            <w:tcW w:w="2269" w:type="dxa"/>
            <w:vAlign w:val="center"/>
          </w:tcPr>
          <w:p>
            <w:pPr>
              <w:rPr>
                <w:rFonts w:ascii="仿宋" w:hAnsi="仿宋" w:eastAsia="仿宋" w:cs="仿宋"/>
                <w:color w:val="auto"/>
                <w:spacing w:val="-1"/>
                <w:highlight w:val="none"/>
              </w:rPr>
            </w:pPr>
          </w:p>
        </w:tc>
        <w:tc>
          <w:tcPr>
            <w:tcW w:w="1134" w:type="dxa"/>
            <w:vAlign w:val="center"/>
          </w:tcPr>
          <w:p>
            <w:pPr>
              <w:rPr>
                <w:rFonts w:ascii="仿宋" w:hAnsi="仿宋" w:eastAsia="仿宋" w:cs="仿宋"/>
                <w:color w:val="auto"/>
                <w:spacing w:val="-1"/>
                <w:highlight w:val="none"/>
              </w:rPr>
            </w:pPr>
          </w:p>
        </w:tc>
        <w:tc>
          <w:tcPr>
            <w:tcW w:w="2658" w:type="dxa"/>
            <w:vAlign w:val="center"/>
          </w:tcPr>
          <w:p>
            <w:pPr>
              <w:rPr>
                <w:rFonts w:ascii="仿宋" w:hAnsi="仿宋" w:eastAsia="仿宋" w:cs="仿宋"/>
                <w:color w:val="auto"/>
                <w:spacing w:val="-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auto"/>
                <w:spacing w:val="-1"/>
                <w:highlight w:val="none"/>
              </w:rPr>
            </w:pPr>
            <w:r>
              <w:rPr>
                <w:rFonts w:hint="eastAsia" w:ascii="仿宋" w:hAnsi="仿宋" w:eastAsia="仿宋" w:cs="仿宋"/>
                <w:color w:val="auto"/>
                <w:spacing w:val="-1"/>
                <w:highlight w:val="none"/>
              </w:rPr>
              <w:t>4</w:t>
            </w:r>
          </w:p>
        </w:tc>
        <w:tc>
          <w:tcPr>
            <w:tcW w:w="2154" w:type="dxa"/>
            <w:vAlign w:val="center"/>
          </w:tcPr>
          <w:p>
            <w:pPr>
              <w:rPr>
                <w:rFonts w:ascii="仿宋" w:hAnsi="仿宋" w:eastAsia="仿宋" w:cs="仿宋"/>
                <w:color w:val="auto"/>
                <w:spacing w:val="-1"/>
                <w:highlight w:val="none"/>
              </w:rPr>
            </w:pPr>
          </w:p>
        </w:tc>
        <w:tc>
          <w:tcPr>
            <w:tcW w:w="2269" w:type="dxa"/>
            <w:vAlign w:val="center"/>
          </w:tcPr>
          <w:p>
            <w:pPr>
              <w:rPr>
                <w:rFonts w:ascii="仿宋" w:hAnsi="仿宋" w:eastAsia="仿宋" w:cs="仿宋"/>
                <w:color w:val="auto"/>
                <w:spacing w:val="-1"/>
                <w:highlight w:val="none"/>
              </w:rPr>
            </w:pPr>
          </w:p>
        </w:tc>
        <w:tc>
          <w:tcPr>
            <w:tcW w:w="1134" w:type="dxa"/>
            <w:vAlign w:val="center"/>
          </w:tcPr>
          <w:p>
            <w:pPr>
              <w:rPr>
                <w:rFonts w:ascii="仿宋" w:hAnsi="仿宋" w:eastAsia="仿宋" w:cs="仿宋"/>
                <w:color w:val="auto"/>
                <w:spacing w:val="-1"/>
                <w:highlight w:val="none"/>
              </w:rPr>
            </w:pPr>
          </w:p>
        </w:tc>
        <w:tc>
          <w:tcPr>
            <w:tcW w:w="2658" w:type="dxa"/>
            <w:vAlign w:val="center"/>
          </w:tcPr>
          <w:p>
            <w:pPr>
              <w:rPr>
                <w:rFonts w:ascii="仿宋" w:hAnsi="仿宋" w:eastAsia="仿宋" w:cs="仿宋"/>
                <w:color w:val="auto"/>
                <w:spacing w:val="-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auto"/>
                <w:spacing w:val="-1"/>
                <w:highlight w:val="none"/>
              </w:rPr>
            </w:pPr>
            <w:r>
              <w:rPr>
                <w:rFonts w:hint="eastAsia" w:ascii="仿宋" w:hAnsi="仿宋" w:eastAsia="仿宋" w:cs="仿宋"/>
                <w:color w:val="auto"/>
                <w:spacing w:val="-1"/>
                <w:highlight w:val="none"/>
              </w:rPr>
              <w:t>5</w:t>
            </w:r>
          </w:p>
        </w:tc>
        <w:tc>
          <w:tcPr>
            <w:tcW w:w="2154" w:type="dxa"/>
            <w:vAlign w:val="center"/>
          </w:tcPr>
          <w:p>
            <w:pPr>
              <w:rPr>
                <w:rFonts w:ascii="仿宋" w:hAnsi="仿宋" w:eastAsia="仿宋" w:cs="仿宋"/>
                <w:color w:val="auto"/>
                <w:spacing w:val="-1"/>
                <w:highlight w:val="none"/>
              </w:rPr>
            </w:pPr>
          </w:p>
        </w:tc>
        <w:tc>
          <w:tcPr>
            <w:tcW w:w="2269" w:type="dxa"/>
            <w:vAlign w:val="center"/>
          </w:tcPr>
          <w:p>
            <w:pPr>
              <w:rPr>
                <w:rFonts w:ascii="仿宋" w:hAnsi="仿宋" w:eastAsia="仿宋" w:cs="仿宋"/>
                <w:color w:val="auto"/>
                <w:spacing w:val="-1"/>
                <w:highlight w:val="none"/>
              </w:rPr>
            </w:pPr>
          </w:p>
        </w:tc>
        <w:tc>
          <w:tcPr>
            <w:tcW w:w="1134" w:type="dxa"/>
            <w:vAlign w:val="center"/>
          </w:tcPr>
          <w:p>
            <w:pPr>
              <w:rPr>
                <w:rFonts w:ascii="仿宋" w:hAnsi="仿宋" w:eastAsia="仿宋" w:cs="仿宋"/>
                <w:color w:val="auto"/>
                <w:spacing w:val="-1"/>
                <w:highlight w:val="none"/>
              </w:rPr>
            </w:pPr>
          </w:p>
        </w:tc>
        <w:tc>
          <w:tcPr>
            <w:tcW w:w="2658" w:type="dxa"/>
            <w:vAlign w:val="center"/>
          </w:tcPr>
          <w:p>
            <w:pPr>
              <w:rPr>
                <w:rFonts w:ascii="仿宋" w:hAnsi="仿宋" w:eastAsia="仿宋" w:cs="仿宋"/>
                <w:color w:val="auto"/>
                <w:spacing w:val="-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auto"/>
                <w:spacing w:val="-1"/>
                <w:highlight w:val="none"/>
              </w:rPr>
            </w:pPr>
            <w:r>
              <w:rPr>
                <w:rFonts w:hint="eastAsia" w:ascii="仿宋" w:hAnsi="仿宋" w:eastAsia="仿宋" w:cs="仿宋"/>
                <w:color w:val="auto"/>
                <w:spacing w:val="-1"/>
                <w:highlight w:val="none"/>
              </w:rPr>
              <w:t>6</w:t>
            </w:r>
          </w:p>
        </w:tc>
        <w:tc>
          <w:tcPr>
            <w:tcW w:w="2154" w:type="dxa"/>
            <w:vAlign w:val="center"/>
          </w:tcPr>
          <w:p>
            <w:pPr>
              <w:rPr>
                <w:rFonts w:ascii="仿宋" w:hAnsi="仿宋" w:eastAsia="仿宋" w:cs="仿宋"/>
                <w:color w:val="auto"/>
                <w:spacing w:val="-1"/>
                <w:highlight w:val="none"/>
              </w:rPr>
            </w:pPr>
          </w:p>
        </w:tc>
        <w:tc>
          <w:tcPr>
            <w:tcW w:w="2269" w:type="dxa"/>
            <w:vAlign w:val="center"/>
          </w:tcPr>
          <w:p>
            <w:pPr>
              <w:rPr>
                <w:rFonts w:ascii="仿宋" w:hAnsi="仿宋" w:eastAsia="仿宋" w:cs="仿宋"/>
                <w:color w:val="auto"/>
                <w:spacing w:val="-1"/>
                <w:highlight w:val="none"/>
              </w:rPr>
            </w:pPr>
          </w:p>
        </w:tc>
        <w:tc>
          <w:tcPr>
            <w:tcW w:w="1134" w:type="dxa"/>
            <w:vAlign w:val="center"/>
          </w:tcPr>
          <w:p>
            <w:pPr>
              <w:rPr>
                <w:rFonts w:ascii="仿宋" w:hAnsi="仿宋" w:eastAsia="仿宋" w:cs="仿宋"/>
                <w:color w:val="auto"/>
                <w:spacing w:val="-1"/>
                <w:highlight w:val="none"/>
              </w:rPr>
            </w:pPr>
          </w:p>
        </w:tc>
        <w:tc>
          <w:tcPr>
            <w:tcW w:w="2658" w:type="dxa"/>
            <w:vAlign w:val="center"/>
          </w:tcPr>
          <w:p>
            <w:pPr>
              <w:rPr>
                <w:rFonts w:ascii="仿宋" w:hAnsi="仿宋" w:eastAsia="仿宋" w:cs="仿宋"/>
                <w:color w:val="auto"/>
                <w:spacing w:val="-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auto"/>
                <w:spacing w:val="-1"/>
                <w:highlight w:val="none"/>
              </w:rPr>
            </w:pPr>
            <w:r>
              <w:rPr>
                <w:rFonts w:hint="eastAsia" w:ascii="仿宋" w:hAnsi="仿宋" w:eastAsia="仿宋" w:cs="仿宋"/>
                <w:color w:val="auto"/>
                <w:spacing w:val="-1"/>
                <w:highlight w:val="none"/>
              </w:rPr>
              <w:t>7</w:t>
            </w:r>
          </w:p>
        </w:tc>
        <w:tc>
          <w:tcPr>
            <w:tcW w:w="2154" w:type="dxa"/>
            <w:vAlign w:val="center"/>
          </w:tcPr>
          <w:p>
            <w:pPr>
              <w:rPr>
                <w:rFonts w:ascii="仿宋" w:hAnsi="仿宋" w:eastAsia="仿宋" w:cs="仿宋"/>
                <w:color w:val="auto"/>
                <w:spacing w:val="-1"/>
                <w:highlight w:val="none"/>
              </w:rPr>
            </w:pPr>
          </w:p>
        </w:tc>
        <w:tc>
          <w:tcPr>
            <w:tcW w:w="2269" w:type="dxa"/>
            <w:vAlign w:val="center"/>
          </w:tcPr>
          <w:p>
            <w:pPr>
              <w:rPr>
                <w:rFonts w:ascii="仿宋" w:hAnsi="仿宋" w:eastAsia="仿宋" w:cs="仿宋"/>
                <w:color w:val="auto"/>
                <w:spacing w:val="-1"/>
                <w:highlight w:val="none"/>
              </w:rPr>
            </w:pPr>
          </w:p>
        </w:tc>
        <w:tc>
          <w:tcPr>
            <w:tcW w:w="1134" w:type="dxa"/>
            <w:vAlign w:val="center"/>
          </w:tcPr>
          <w:p>
            <w:pPr>
              <w:rPr>
                <w:rFonts w:ascii="仿宋" w:hAnsi="仿宋" w:eastAsia="仿宋" w:cs="仿宋"/>
                <w:color w:val="auto"/>
                <w:spacing w:val="-1"/>
                <w:highlight w:val="none"/>
              </w:rPr>
            </w:pPr>
          </w:p>
        </w:tc>
        <w:tc>
          <w:tcPr>
            <w:tcW w:w="2658" w:type="dxa"/>
            <w:vAlign w:val="center"/>
          </w:tcPr>
          <w:p>
            <w:pPr>
              <w:rPr>
                <w:rFonts w:ascii="仿宋" w:hAnsi="仿宋" w:eastAsia="仿宋" w:cs="仿宋"/>
                <w:color w:val="auto"/>
                <w:spacing w:val="-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auto"/>
                <w:spacing w:val="-1"/>
                <w:highlight w:val="none"/>
              </w:rPr>
            </w:pPr>
            <w:r>
              <w:rPr>
                <w:rFonts w:hint="eastAsia" w:ascii="仿宋" w:hAnsi="仿宋" w:eastAsia="仿宋" w:cs="仿宋"/>
                <w:color w:val="auto"/>
                <w:spacing w:val="-1"/>
                <w:highlight w:val="none"/>
              </w:rPr>
              <w:t>8</w:t>
            </w:r>
          </w:p>
        </w:tc>
        <w:tc>
          <w:tcPr>
            <w:tcW w:w="2154" w:type="dxa"/>
            <w:vAlign w:val="center"/>
          </w:tcPr>
          <w:p>
            <w:pPr>
              <w:rPr>
                <w:rFonts w:ascii="仿宋" w:hAnsi="仿宋" w:eastAsia="仿宋" w:cs="仿宋"/>
                <w:color w:val="auto"/>
                <w:spacing w:val="-1"/>
                <w:highlight w:val="none"/>
              </w:rPr>
            </w:pPr>
          </w:p>
        </w:tc>
        <w:tc>
          <w:tcPr>
            <w:tcW w:w="2269" w:type="dxa"/>
            <w:vAlign w:val="center"/>
          </w:tcPr>
          <w:p>
            <w:pPr>
              <w:rPr>
                <w:rFonts w:ascii="仿宋" w:hAnsi="仿宋" w:eastAsia="仿宋" w:cs="仿宋"/>
                <w:color w:val="auto"/>
                <w:spacing w:val="-1"/>
                <w:highlight w:val="none"/>
              </w:rPr>
            </w:pPr>
          </w:p>
        </w:tc>
        <w:tc>
          <w:tcPr>
            <w:tcW w:w="1134" w:type="dxa"/>
            <w:vAlign w:val="center"/>
          </w:tcPr>
          <w:p>
            <w:pPr>
              <w:rPr>
                <w:rFonts w:ascii="仿宋" w:hAnsi="仿宋" w:eastAsia="仿宋" w:cs="仿宋"/>
                <w:color w:val="auto"/>
                <w:spacing w:val="-1"/>
                <w:highlight w:val="none"/>
              </w:rPr>
            </w:pPr>
          </w:p>
        </w:tc>
        <w:tc>
          <w:tcPr>
            <w:tcW w:w="2658" w:type="dxa"/>
            <w:vAlign w:val="center"/>
          </w:tcPr>
          <w:p>
            <w:pPr>
              <w:rPr>
                <w:rFonts w:ascii="仿宋" w:hAnsi="仿宋" w:eastAsia="仿宋" w:cs="仿宋"/>
                <w:color w:val="auto"/>
                <w:spacing w:val="-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auto"/>
                <w:spacing w:val="-1"/>
                <w:highlight w:val="none"/>
              </w:rPr>
            </w:pPr>
            <w:r>
              <w:rPr>
                <w:rFonts w:hint="eastAsia" w:ascii="仿宋" w:hAnsi="仿宋" w:eastAsia="仿宋" w:cs="仿宋"/>
                <w:color w:val="auto"/>
                <w:spacing w:val="-1"/>
                <w:highlight w:val="none"/>
              </w:rPr>
              <w:t>9</w:t>
            </w:r>
          </w:p>
        </w:tc>
        <w:tc>
          <w:tcPr>
            <w:tcW w:w="2154" w:type="dxa"/>
            <w:vAlign w:val="center"/>
          </w:tcPr>
          <w:p>
            <w:pPr>
              <w:rPr>
                <w:rFonts w:ascii="仿宋" w:hAnsi="仿宋" w:eastAsia="仿宋" w:cs="仿宋"/>
                <w:color w:val="auto"/>
                <w:spacing w:val="-1"/>
                <w:highlight w:val="none"/>
              </w:rPr>
            </w:pPr>
          </w:p>
        </w:tc>
        <w:tc>
          <w:tcPr>
            <w:tcW w:w="2269" w:type="dxa"/>
            <w:vAlign w:val="center"/>
          </w:tcPr>
          <w:p>
            <w:pPr>
              <w:rPr>
                <w:rFonts w:ascii="仿宋" w:hAnsi="仿宋" w:eastAsia="仿宋" w:cs="仿宋"/>
                <w:color w:val="auto"/>
                <w:spacing w:val="-1"/>
                <w:highlight w:val="none"/>
              </w:rPr>
            </w:pPr>
          </w:p>
        </w:tc>
        <w:tc>
          <w:tcPr>
            <w:tcW w:w="1134" w:type="dxa"/>
            <w:vAlign w:val="center"/>
          </w:tcPr>
          <w:p>
            <w:pPr>
              <w:rPr>
                <w:rFonts w:ascii="仿宋" w:hAnsi="仿宋" w:eastAsia="仿宋" w:cs="仿宋"/>
                <w:color w:val="auto"/>
                <w:spacing w:val="-1"/>
                <w:highlight w:val="none"/>
              </w:rPr>
            </w:pPr>
          </w:p>
        </w:tc>
        <w:tc>
          <w:tcPr>
            <w:tcW w:w="2658" w:type="dxa"/>
            <w:vAlign w:val="center"/>
          </w:tcPr>
          <w:p>
            <w:pPr>
              <w:rPr>
                <w:rFonts w:ascii="仿宋" w:hAnsi="仿宋" w:eastAsia="仿宋" w:cs="仿宋"/>
                <w:color w:val="auto"/>
                <w:spacing w:val="-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auto"/>
                <w:spacing w:val="-1"/>
                <w:highlight w:val="none"/>
              </w:rPr>
            </w:pPr>
            <w:r>
              <w:rPr>
                <w:rFonts w:hint="eastAsia" w:ascii="仿宋" w:hAnsi="仿宋" w:eastAsia="仿宋" w:cs="仿宋"/>
                <w:color w:val="auto"/>
                <w:spacing w:val="-1"/>
                <w:highlight w:val="none"/>
              </w:rPr>
              <w:t>10</w:t>
            </w:r>
          </w:p>
        </w:tc>
        <w:tc>
          <w:tcPr>
            <w:tcW w:w="2154" w:type="dxa"/>
            <w:vAlign w:val="center"/>
          </w:tcPr>
          <w:p>
            <w:pPr>
              <w:rPr>
                <w:rFonts w:ascii="仿宋" w:hAnsi="仿宋" w:eastAsia="仿宋" w:cs="仿宋"/>
                <w:color w:val="auto"/>
                <w:spacing w:val="-1"/>
                <w:highlight w:val="none"/>
              </w:rPr>
            </w:pPr>
          </w:p>
        </w:tc>
        <w:tc>
          <w:tcPr>
            <w:tcW w:w="2269" w:type="dxa"/>
            <w:vAlign w:val="center"/>
          </w:tcPr>
          <w:p>
            <w:pPr>
              <w:rPr>
                <w:rFonts w:ascii="仿宋" w:hAnsi="仿宋" w:eastAsia="仿宋" w:cs="仿宋"/>
                <w:color w:val="auto"/>
                <w:spacing w:val="-1"/>
                <w:highlight w:val="none"/>
              </w:rPr>
            </w:pPr>
          </w:p>
        </w:tc>
        <w:tc>
          <w:tcPr>
            <w:tcW w:w="1134" w:type="dxa"/>
            <w:vAlign w:val="center"/>
          </w:tcPr>
          <w:p>
            <w:pPr>
              <w:rPr>
                <w:rFonts w:ascii="仿宋" w:hAnsi="仿宋" w:eastAsia="仿宋" w:cs="仿宋"/>
                <w:color w:val="auto"/>
                <w:spacing w:val="-1"/>
                <w:highlight w:val="none"/>
              </w:rPr>
            </w:pPr>
          </w:p>
        </w:tc>
        <w:tc>
          <w:tcPr>
            <w:tcW w:w="2658" w:type="dxa"/>
            <w:vAlign w:val="center"/>
          </w:tcPr>
          <w:p>
            <w:pPr>
              <w:rPr>
                <w:rFonts w:ascii="仿宋" w:hAnsi="仿宋" w:eastAsia="仿宋" w:cs="仿宋"/>
                <w:color w:val="auto"/>
                <w:spacing w:val="-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auto"/>
                <w:spacing w:val="-1"/>
                <w:highlight w:val="none"/>
              </w:rPr>
            </w:pPr>
            <w:r>
              <w:rPr>
                <w:rFonts w:hint="eastAsia" w:ascii="仿宋" w:hAnsi="仿宋" w:eastAsia="仿宋" w:cs="仿宋"/>
                <w:color w:val="auto"/>
                <w:spacing w:val="-1"/>
                <w:highlight w:val="none"/>
              </w:rPr>
              <w:t>11</w:t>
            </w:r>
          </w:p>
        </w:tc>
        <w:tc>
          <w:tcPr>
            <w:tcW w:w="2154" w:type="dxa"/>
            <w:vAlign w:val="center"/>
          </w:tcPr>
          <w:p>
            <w:pPr>
              <w:rPr>
                <w:rFonts w:ascii="仿宋" w:hAnsi="仿宋" w:eastAsia="仿宋" w:cs="仿宋"/>
                <w:color w:val="auto"/>
                <w:spacing w:val="-1"/>
                <w:highlight w:val="none"/>
              </w:rPr>
            </w:pPr>
          </w:p>
        </w:tc>
        <w:tc>
          <w:tcPr>
            <w:tcW w:w="2269" w:type="dxa"/>
            <w:vAlign w:val="center"/>
          </w:tcPr>
          <w:p>
            <w:pPr>
              <w:rPr>
                <w:rFonts w:ascii="仿宋" w:hAnsi="仿宋" w:eastAsia="仿宋" w:cs="仿宋"/>
                <w:color w:val="auto"/>
                <w:spacing w:val="-1"/>
                <w:highlight w:val="none"/>
              </w:rPr>
            </w:pPr>
          </w:p>
        </w:tc>
        <w:tc>
          <w:tcPr>
            <w:tcW w:w="1134" w:type="dxa"/>
            <w:vAlign w:val="center"/>
          </w:tcPr>
          <w:p>
            <w:pPr>
              <w:rPr>
                <w:rFonts w:ascii="仿宋" w:hAnsi="仿宋" w:eastAsia="仿宋" w:cs="仿宋"/>
                <w:color w:val="auto"/>
                <w:spacing w:val="-1"/>
                <w:highlight w:val="none"/>
              </w:rPr>
            </w:pPr>
          </w:p>
        </w:tc>
        <w:tc>
          <w:tcPr>
            <w:tcW w:w="2658" w:type="dxa"/>
            <w:vAlign w:val="center"/>
          </w:tcPr>
          <w:p>
            <w:pPr>
              <w:rPr>
                <w:rFonts w:ascii="仿宋" w:hAnsi="仿宋" w:eastAsia="仿宋" w:cs="仿宋"/>
                <w:color w:val="auto"/>
                <w:spacing w:val="-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auto"/>
                <w:spacing w:val="-1"/>
                <w:highlight w:val="none"/>
              </w:rPr>
            </w:pPr>
            <w:r>
              <w:rPr>
                <w:rFonts w:hint="eastAsia" w:ascii="仿宋" w:hAnsi="仿宋" w:eastAsia="仿宋" w:cs="仿宋"/>
                <w:color w:val="auto"/>
                <w:spacing w:val="-1"/>
                <w:highlight w:val="none"/>
              </w:rPr>
              <w:t>12</w:t>
            </w:r>
          </w:p>
        </w:tc>
        <w:tc>
          <w:tcPr>
            <w:tcW w:w="2154" w:type="dxa"/>
            <w:vAlign w:val="center"/>
          </w:tcPr>
          <w:p>
            <w:pPr>
              <w:rPr>
                <w:rFonts w:ascii="仿宋" w:hAnsi="仿宋" w:eastAsia="仿宋" w:cs="仿宋"/>
                <w:color w:val="auto"/>
                <w:spacing w:val="-1"/>
                <w:highlight w:val="none"/>
              </w:rPr>
            </w:pPr>
          </w:p>
        </w:tc>
        <w:tc>
          <w:tcPr>
            <w:tcW w:w="2269" w:type="dxa"/>
            <w:vAlign w:val="center"/>
          </w:tcPr>
          <w:p>
            <w:pPr>
              <w:rPr>
                <w:rFonts w:ascii="仿宋" w:hAnsi="仿宋" w:eastAsia="仿宋" w:cs="仿宋"/>
                <w:color w:val="auto"/>
                <w:spacing w:val="-1"/>
                <w:highlight w:val="none"/>
              </w:rPr>
            </w:pPr>
          </w:p>
        </w:tc>
        <w:tc>
          <w:tcPr>
            <w:tcW w:w="1134" w:type="dxa"/>
            <w:vAlign w:val="center"/>
          </w:tcPr>
          <w:p>
            <w:pPr>
              <w:rPr>
                <w:rFonts w:ascii="仿宋" w:hAnsi="仿宋" w:eastAsia="仿宋" w:cs="仿宋"/>
                <w:color w:val="auto"/>
                <w:spacing w:val="-1"/>
                <w:highlight w:val="none"/>
              </w:rPr>
            </w:pPr>
          </w:p>
        </w:tc>
        <w:tc>
          <w:tcPr>
            <w:tcW w:w="2658" w:type="dxa"/>
            <w:vAlign w:val="center"/>
          </w:tcPr>
          <w:p>
            <w:pPr>
              <w:rPr>
                <w:rFonts w:ascii="仿宋" w:hAnsi="仿宋" w:eastAsia="仿宋" w:cs="仿宋"/>
                <w:color w:val="auto"/>
                <w:spacing w:val="-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auto"/>
                <w:spacing w:val="-1"/>
                <w:highlight w:val="none"/>
              </w:rPr>
            </w:pPr>
            <w:r>
              <w:rPr>
                <w:rFonts w:hint="eastAsia" w:ascii="仿宋" w:hAnsi="仿宋" w:eastAsia="仿宋" w:cs="仿宋"/>
                <w:color w:val="auto"/>
                <w:spacing w:val="-1"/>
                <w:highlight w:val="none"/>
              </w:rPr>
              <w:t>13</w:t>
            </w:r>
          </w:p>
        </w:tc>
        <w:tc>
          <w:tcPr>
            <w:tcW w:w="2154" w:type="dxa"/>
            <w:vAlign w:val="center"/>
          </w:tcPr>
          <w:p>
            <w:pPr>
              <w:rPr>
                <w:rFonts w:ascii="仿宋" w:hAnsi="仿宋" w:eastAsia="仿宋" w:cs="仿宋"/>
                <w:color w:val="auto"/>
                <w:spacing w:val="-1"/>
                <w:highlight w:val="none"/>
              </w:rPr>
            </w:pPr>
          </w:p>
        </w:tc>
        <w:tc>
          <w:tcPr>
            <w:tcW w:w="2269" w:type="dxa"/>
            <w:vAlign w:val="center"/>
          </w:tcPr>
          <w:p>
            <w:pPr>
              <w:rPr>
                <w:rFonts w:ascii="仿宋" w:hAnsi="仿宋" w:eastAsia="仿宋" w:cs="仿宋"/>
                <w:color w:val="auto"/>
                <w:spacing w:val="-1"/>
                <w:highlight w:val="none"/>
              </w:rPr>
            </w:pPr>
          </w:p>
        </w:tc>
        <w:tc>
          <w:tcPr>
            <w:tcW w:w="1134" w:type="dxa"/>
            <w:vAlign w:val="center"/>
          </w:tcPr>
          <w:p>
            <w:pPr>
              <w:rPr>
                <w:rFonts w:ascii="仿宋" w:hAnsi="仿宋" w:eastAsia="仿宋" w:cs="仿宋"/>
                <w:color w:val="auto"/>
                <w:spacing w:val="-1"/>
                <w:highlight w:val="none"/>
              </w:rPr>
            </w:pPr>
          </w:p>
        </w:tc>
        <w:tc>
          <w:tcPr>
            <w:tcW w:w="2658" w:type="dxa"/>
            <w:vAlign w:val="center"/>
          </w:tcPr>
          <w:p>
            <w:pPr>
              <w:rPr>
                <w:rFonts w:ascii="仿宋" w:hAnsi="仿宋" w:eastAsia="仿宋" w:cs="仿宋"/>
                <w:color w:val="auto"/>
                <w:spacing w:val="-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auto"/>
                <w:spacing w:val="-1"/>
                <w:highlight w:val="none"/>
              </w:rPr>
            </w:pPr>
            <w:r>
              <w:rPr>
                <w:rFonts w:hint="eastAsia" w:ascii="仿宋" w:hAnsi="仿宋" w:eastAsia="仿宋" w:cs="仿宋"/>
                <w:color w:val="auto"/>
                <w:spacing w:val="-1"/>
                <w:highlight w:val="none"/>
              </w:rPr>
              <w:t>14</w:t>
            </w:r>
          </w:p>
        </w:tc>
        <w:tc>
          <w:tcPr>
            <w:tcW w:w="2154" w:type="dxa"/>
            <w:vAlign w:val="center"/>
          </w:tcPr>
          <w:p>
            <w:pPr>
              <w:rPr>
                <w:rFonts w:ascii="仿宋" w:hAnsi="仿宋" w:eastAsia="仿宋" w:cs="仿宋"/>
                <w:color w:val="auto"/>
                <w:spacing w:val="-1"/>
                <w:highlight w:val="none"/>
              </w:rPr>
            </w:pPr>
          </w:p>
        </w:tc>
        <w:tc>
          <w:tcPr>
            <w:tcW w:w="2269" w:type="dxa"/>
            <w:vAlign w:val="center"/>
          </w:tcPr>
          <w:p>
            <w:pPr>
              <w:rPr>
                <w:rFonts w:ascii="仿宋" w:hAnsi="仿宋" w:eastAsia="仿宋" w:cs="仿宋"/>
                <w:color w:val="auto"/>
                <w:spacing w:val="-1"/>
                <w:highlight w:val="none"/>
              </w:rPr>
            </w:pPr>
          </w:p>
        </w:tc>
        <w:tc>
          <w:tcPr>
            <w:tcW w:w="1134" w:type="dxa"/>
            <w:vAlign w:val="center"/>
          </w:tcPr>
          <w:p>
            <w:pPr>
              <w:rPr>
                <w:rFonts w:ascii="仿宋" w:hAnsi="仿宋" w:eastAsia="仿宋" w:cs="仿宋"/>
                <w:color w:val="auto"/>
                <w:spacing w:val="-1"/>
                <w:highlight w:val="none"/>
              </w:rPr>
            </w:pPr>
          </w:p>
        </w:tc>
        <w:tc>
          <w:tcPr>
            <w:tcW w:w="2658" w:type="dxa"/>
            <w:vAlign w:val="center"/>
          </w:tcPr>
          <w:p>
            <w:pPr>
              <w:rPr>
                <w:rFonts w:ascii="仿宋" w:hAnsi="仿宋" w:eastAsia="仿宋" w:cs="仿宋"/>
                <w:color w:val="auto"/>
                <w:spacing w:val="-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auto"/>
                <w:spacing w:val="-1"/>
                <w:highlight w:val="none"/>
              </w:rPr>
            </w:pPr>
            <w:r>
              <w:rPr>
                <w:rFonts w:hint="eastAsia" w:ascii="仿宋" w:hAnsi="仿宋" w:eastAsia="仿宋" w:cs="仿宋"/>
                <w:color w:val="auto"/>
                <w:spacing w:val="-1"/>
                <w:highlight w:val="none"/>
              </w:rPr>
              <w:t>15</w:t>
            </w:r>
          </w:p>
        </w:tc>
        <w:tc>
          <w:tcPr>
            <w:tcW w:w="2154" w:type="dxa"/>
            <w:vAlign w:val="center"/>
          </w:tcPr>
          <w:p>
            <w:pPr>
              <w:rPr>
                <w:rFonts w:ascii="仿宋" w:hAnsi="仿宋" w:eastAsia="仿宋" w:cs="仿宋"/>
                <w:color w:val="auto"/>
                <w:spacing w:val="-1"/>
                <w:highlight w:val="none"/>
              </w:rPr>
            </w:pPr>
          </w:p>
        </w:tc>
        <w:tc>
          <w:tcPr>
            <w:tcW w:w="2269" w:type="dxa"/>
            <w:vAlign w:val="center"/>
          </w:tcPr>
          <w:p>
            <w:pPr>
              <w:rPr>
                <w:rFonts w:ascii="仿宋" w:hAnsi="仿宋" w:eastAsia="仿宋" w:cs="仿宋"/>
                <w:color w:val="auto"/>
                <w:spacing w:val="-1"/>
                <w:highlight w:val="none"/>
              </w:rPr>
            </w:pPr>
          </w:p>
        </w:tc>
        <w:tc>
          <w:tcPr>
            <w:tcW w:w="1134" w:type="dxa"/>
            <w:vAlign w:val="center"/>
          </w:tcPr>
          <w:p>
            <w:pPr>
              <w:rPr>
                <w:rFonts w:ascii="仿宋" w:hAnsi="仿宋" w:eastAsia="仿宋" w:cs="仿宋"/>
                <w:color w:val="auto"/>
                <w:spacing w:val="-1"/>
                <w:highlight w:val="none"/>
              </w:rPr>
            </w:pPr>
          </w:p>
        </w:tc>
        <w:tc>
          <w:tcPr>
            <w:tcW w:w="2658" w:type="dxa"/>
            <w:vAlign w:val="center"/>
          </w:tcPr>
          <w:p>
            <w:pPr>
              <w:rPr>
                <w:rFonts w:ascii="仿宋" w:hAnsi="仿宋" w:eastAsia="仿宋" w:cs="仿宋"/>
                <w:color w:val="auto"/>
                <w:spacing w:val="-1"/>
                <w:highlight w:val="none"/>
              </w:rPr>
            </w:pPr>
          </w:p>
        </w:tc>
      </w:tr>
    </w:tbl>
    <w:p>
      <w:pPr>
        <w:rPr>
          <w:rFonts w:ascii="仿宋" w:hAnsi="仿宋" w:eastAsia="仿宋" w:cs="仿宋"/>
          <w:color w:val="auto"/>
          <w:spacing w:val="-1"/>
          <w:highlight w:val="none"/>
        </w:rPr>
      </w:pPr>
      <w:r>
        <w:rPr>
          <w:rFonts w:hint="eastAsia" w:ascii="仿宋" w:hAnsi="仿宋" w:eastAsia="仿宋" w:cs="仿宋"/>
          <w:color w:val="auto"/>
          <w:spacing w:val="-1"/>
          <w:highlight w:val="none"/>
        </w:rPr>
        <w:t>注：请在“偏离说明”栏内扼要说明偏离情况，如无偏离则不需列明。</w:t>
      </w:r>
    </w:p>
    <w:p>
      <w:pPr>
        <w:pStyle w:val="9"/>
        <w:numPr>
          <w:ilvl w:val="0"/>
          <w:numId w:val="0"/>
        </w:numPr>
        <w:tabs>
          <w:tab w:val="left" w:pos="8227"/>
        </w:tabs>
        <w:kinsoku w:val="0"/>
        <w:overflowPunct w:val="0"/>
        <w:spacing w:line="381" w:lineRule="auto"/>
        <w:ind w:left="1680" w:right="118"/>
        <w:rPr>
          <w:rFonts w:ascii="仿宋" w:hAnsi="仿宋" w:eastAsia="仿宋" w:cs="仿宋"/>
          <w:color w:val="auto"/>
          <w:highlight w:val="none"/>
        </w:rPr>
      </w:pPr>
    </w:p>
    <w:p>
      <w:pPr>
        <w:pStyle w:val="9"/>
        <w:numPr>
          <w:ilvl w:val="0"/>
          <w:numId w:val="0"/>
        </w:numPr>
        <w:tabs>
          <w:tab w:val="left" w:pos="8227"/>
        </w:tabs>
        <w:kinsoku w:val="0"/>
        <w:overflowPunct w:val="0"/>
        <w:spacing w:line="381" w:lineRule="auto"/>
        <w:ind w:left="1680" w:right="118"/>
        <w:rPr>
          <w:rFonts w:ascii="仿宋" w:hAnsi="仿宋" w:eastAsia="仿宋" w:cs="仿宋"/>
          <w:color w:val="auto"/>
          <w:highlight w:val="none"/>
        </w:rPr>
      </w:pPr>
    </w:p>
    <w:p>
      <w:pPr>
        <w:pStyle w:val="9"/>
        <w:numPr>
          <w:ilvl w:val="0"/>
          <w:numId w:val="0"/>
        </w:numPr>
        <w:tabs>
          <w:tab w:val="left" w:pos="8227"/>
        </w:tabs>
        <w:kinsoku w:val="0"/>
        <w:overflowPunct w:val="0"/>
        <w:spacing w:line="381" w:lineRule="auto"/>
        <w:ind w:left="1680" w:right="118"/>
        <w:rPr>
          <w:rFonts w:ascii="仿宋" w:hAnsi="仿宋" w:eastAsia="仿宋" w:cs="仿宋"/>
          <w:color w:val="auto"/>
          <w:sz w:val="24"/>
          <w:highlight w:val="none"/>
        </w:rPr>
      </w:pPr>
    </w:p>
    <w:p>
      <w:pPr>
        <w:pStyle w:val="9"/>
        <w:numPr>
          <w:ilvl w:val="0"/>
          <w:numId w:val="0"/>
        </w:numPr>
        <w:tabs>
          <w:tab w:val="left" w:pos="8227"/>
        </w:tabs>
        <w:kinsoku w:val="0"/>
        <w:overflowPunct w:val="0"/>
        <w:spacing w:line="381" w:lineRule="auto"/>
        <w:ind w:left="1680" w:right="118"/>
        <w:rPr>
          <w:rFonts w:ascii="仿宋" w:hAnsi="仿宋" w:eastAsia="仿宋" w:cs="仿宋"/>
          <w:color w:val="auto"/>
          <w:sz w:val="24"/>
          <w:highlight w:val="none"/>
        </w:rPr>
      </w:pPr>
      <w:r>
        <w:rPr>
          <w:rFonts w:hint="eastAsia" w:ascii="仿宋" w:hAnsi="仿宋" w:eastAsia="仿宋" w:cs="仿宋"/>
          <w:color w:val="auto"/>
          <w:sz w:val="24"/>
          <w:highlight w:val="none"/>
        </w:rPr>
        <w:t>投标人：</w:t>
      </w:r>
      <w:r>
        <w:rPr>
          <w:rFonts w:hint="eastAsia" w:ascii="仿宋" w:hAnsi="仿宋" w:eastAsia="仿宋" w:cs="仿宋"/>
          <w:color w:val="auto"/>
          <w:sz w:val="24"/>
          <w:highlight w:val="none"/>
          <w:u w:val="single"/>
        </w:rPr>
        <w:tab/>
      </w:r>
      <w:r>
        <w:rPr>
          <w:rFonts w:hint="eastAsia" w:ascii="仿宋" w:hAnsi="仿宋" w:eastAsia="仿宋" w:cs="仿宋"/>
          <w:color w:val="auto"/>
          <w:w w:val="95"/>
          <w:sz w:val="24"/>
          <w:highlight w:val="none"/>
        </w:rPr>
        <w:t>（盖章）</w:t>
      </w:r>
      <w:r>
        <w:rPr>
          <w:rFonts w:hint="eastAsia" w:ascii="仿宋" w:hAnsi="仿宋" w:eastAsia="仿宋" w:cs="仿宋"/>
          <w:color w:val="auto"/>
          <w:sz w:val="24"/>
          <w:highlight w:val="none"/>
        </w:rPr>
        <w:t xml:space="preserve"> </w:t>
      </w:r>
    </w:p>
    <w:p>
      <w:pPr>
        <w:pStyle w:val="9"/>
        <w:numPr>
          <w:ilvl w:val="0"/>
          <w:numId w:val="0"/>
        </w:numPr>
        <w:tabs>
          <w:tab w:val="left" w:pos="8227"/>
        </w:tabs>
        <w:kinsoku w:val="0"/>
        <w:overflowPunct w:val="0"/>
        <w:spacing w:line="381" w:lineRule="auto"/>
        <w:ind w:left="1680" w:right="118"/>
        <w:rPr>
          <w:rFonts w:ascii="仿宋" w:hAnsi="仿宋" w:eastAsia="仿宋" w:cs="仿宋"/>
          <w:color w:val="auto"/>
          <w:w w:val="95"/>
          <w:sz w:val="24"/>
          <w:highlight w:val="none"/>
        </w:rPr>
      </w:pPr>
      <w:r>
        <w:rPr>
          <w:rFonts w:hint="eastAsia" w:ascii="仿宋" w:hAnsi="仿宋" w:eastAsia="仿宋" w:cs="仿宋"/>
          <w:color w:val="auto"/>
          <w:sz w:val="24"/>
          <w:highlight w:val="none"/>
        </w:rPr>
        <w:t>法定代表人或被授权人：</w:t>
      </w:r>
      <w:r>
        <w:rPr>
          <w:rFonts w:hint="eastAsia" w:ascii="仿宋" w:hAnsi="仿宋" w:eastAsia="仿宋" w:cs="仿宋"/>
          <w:color w:val="auto"/>
          <w:sz w:val="24"/>
          <w:highlight w:val="none"/>
          <w:u w:val="single"/>
        </w:rPr>
        <w:tab/>
      </w:r>
      <w:r>
        <w:rPr>
          <w:rFonts w:hint="eastAsia" w:ascii="仿宋" w:hAnsi="仿宋" w:eastAsia="仿宋" w:cs="仿宋"/>
          <w:color w:val="auto"/>
          <w:w w:val="95"/>
          <w:sz w:val="24"/>
          <w:highlight w:val="none"/>
        </w:rPr>
        <w:t>（</w:t>
      </w:r>
      <w:r>
        <w:rPr>
          <w:rFonts w:hint="eastAsia" w:ascii="仿宋" w:hAnsi="仿宋" w:eastAsia="仿宋" w:cs="仿宋"/>
          <w:color w:val="auto"/>
          <w:w w:val="95"/>
          <w:sz w:val="24"/>
          <w:highlight w:val="none"/>
          <w:lang w:eastAsia="zh-CN"/>
        </w:rPr>
        <w:t>签章</w:t>
      </w:r>
      <w:r>
        <w:rPr>
          <w:rFonts w:hint="eastAsia" w:ascii="仿宋" w:hAnsi="仿宋" w:eastAsia="仿宋" w:cs="仿宋"/>
          <w:color w:val="auto"/>
          <w:w w:val="95"/>
          <w:sz w:val="24"/>
          <w:highlight w:val="none"/>
        </w:rPr>
        <w:t>）</w:t>
      </w:r>
    </w:p>
    <w:p>
      <w:pPr>
        <w:pStyle w:val="66"/>
        <w:spacing w:after="0"/>
        <w:ind w:firstLine="420"/>
        <w:jc w:val="center"/>
        <w:rPr>
          <w:rFonts w:ascii="仿宋" w:hAnsi="仿宋" w:eastAsia="仿宋" w:cs="仿宋"/>
          <w:color w:val="auto"/>
          <w:sz w:val="36"/>
          <w:szCs w:val="36"/>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pPr>
        <w:pStyle w:val="66"/>
        <w:spacing w:after="0"/>
        <w:ind w:firstLine="420"/>
        <w:jc w:val="center"/>
        <w:rPr>
          <w:rFonts w:ascii="仿宋" w:hAnsi="仿宋" w:eastAsia="仿宋" w:cs="仿宋"/>
          <w:color w:val="auto"/>
          <w:sz w:val="36"/>
          <w:szCs w:val="36"/>
          <w:highlight w:val="none"/>
        </w:rPr>
      </w:pPr>
    </w:p>
    <w:p>
      <w:pPr>
        <w:pStyle w:val="66"/>
        <w:spacing w:after="0"/>
        <w:ind w:firstLine="420"/>
        <w:jc w:val="center"/>
        <w:rPr>
          <w:rFonts w:ascii="仿宋" w:hAnsi="仿宋" w:eastAsia="仿宋" w:cs="仿宋"/>
          <w:color w:val="auto"/>
          <w:sz w:val="36"/>
          <w:szCs w:val="36"/>
          <w:highlight w:val="none"/>
        </w:rPr>
      </w:pPr>
    </w:p>
    <w:p>
      <w:pPr>
        <w:pStyle w:val="66"/>
        <w:spacing w:after="0"/>
        <w:ind w:firstLine="420"/>
        <w:jc w:val="center"/>
        <w:rPr>
          <w:rFonts w:ascii="仿宋" w:hAnsi="仿宋" w:eastAsia="仿宋" w:cs="仿宋"/>
          <w:color w:val="auto"/>
          <w:sz w:val="36"/>
          <w:szCs w:val="36"/>
          <w:highlight w:val="none"/>
        </w:rPr>
      </w:pPr>
    </w:p>
    <w:p>
      <w:pPr>
        <w:pStyle w:val="66"/>
        <w:spacing w:after="0"/>
        <w:ind w:firstLine="420"/>
        <w:jc w:val="center"/>
        <w:rPr>
          <w:rFonts w:ascii="仿宋" w:hAnsi="仿宋" w:eastAsia="仿宋" w:cs="仿宋"/>
          <w:color w:val="auto"/>
          <w:sz w:val="36"/>
          <w:szCs w:val="36"/>
          <w:highlight w:val="none"/>
        </w:rPr>
      </w:pPr>
    </w:p>
    <w:p>
      <w:pPr>
        <w:pStyle w:val="9"/>
        <w:numPr>
          <w:ilvl w:val="0"/>
          <w:numId w:val="0"/>
        </w:numPr>
        <w:kinsoku w:val="0"/>
        <w:overflowPunct w:val="0"/>
        <w:spacing w:before="34" w:line="357" w:lineRule="auto"/>
        <w:ind w:right="126"/>
        <w:jc w:val="both"/>
        <w:rPr>
          <w:rFonts w:ascii="仿宋" w:hAnsi="仿宋" w:eastAsia="仿宋" w:cs="仿宋"/>
          <w:b/>
          <w:bCs/>
          <w:color w:val="auto"/>
          <w:sz w:val="20"/>
          <w:szCs w:val="20"/>
          <w:highlight w:val="none"/>
        </w:rPr>
      </w:pPr>
      <w:r>
        <w:rPr>
          <w:rFonts w:hint="eastAsia" w:ascii="仿宋" w:hAnsi="仿宋" w:eastAsia="仿宋" w:cs="仿宋"/>
          <w:color w:val="auto"/>
          <w:sz w:val="32"/>
          <w:szCs w:val="32"/>
          <w:highlight w:val="none"/>
          <w:lang w:eastAsia="zh-CN"/>
        </w:rPr>
        <w:t>九、</w:t>
      </w:r>
      <w:r>
        <w:rPr>
          <w:rFonts w:hint="eastAsia" w:ascii="仿宋" w:hAnsi="仿宋" w:eastAsia="仿宋" w:cs="仿宋"/>
          <w:b/>
          <w:bCs/>
          <w:color w:val="auto"/>
          <w:sz w:val="28"/>
          <w:szCs w:val="28"/>
          <w:highlight w:val="none"/>
        </w:rPr>
        <w:t>近三年（20</w:t>
      </w:r>
      <w:r>
        <w:rPr>
          <w:rFonts w:hint="eastAsia" w:ascii="仿宋" w:hAnsi="仿宋" w:eastAsia="仿宋" w:cs="仿宋"/>
          <w:b/>
          <w:bCs/>
          <w:color w:val="auto"/>
          <w:sz w:val="28"/>
          <w:szCs w:val="28"/>
          <w:highlight w:val="none"/>
          <w:lang w:val="en-US" w:eastAsia="zh-CN"/>
        </w:rPr>
        <w:t>20</w:t>
      </w:r>
      <w:r>
        <w:rPr>
          <w:rFonts w:hint="eastAsia" w:ascii="仿宋" w:hAnsi="仿宋" w:eastAsia="仿宋" w:cs="仿宋"/>
          <w:b/>
          <w:bCs/>
          <w:color w:val="auto"/>
          <w:sz w:val="28"/>
          <w:szCs w:val="28"/>
          <w:highlight w:val="none"/>
        </w:rPr>
        <w:t>年1月1日至今）类似项目业绩</w:t>
      </w:r>
      <w:r>
        <w:rPr>
          <w:rFonts w:hint="eastAsia" w:ascii="仿宋" w:hAnsi="仿宋" w:eastAsia="仿宋" w:cs="仿宋"/>
          <w:b/>
          <w:bCs/>
          <w:color w:val="auto"/>
          <w:sz w:val="28"/>
          <w:szCs w:val="28"/>
          <w:highlight w:val="none"/>
          <w:lang w:eastAsia="zh-CN"/>
        </w:rPr>
        <w:t>（如有）</w:t>
      </w:r>
    </w:p>
    <w:tbl>
      <w:tblPr>
        <w:tblStyle w:val="24"/>
        <w:tblW w:w="9115" w:type="dxa"/>
        <w:jc w:val="center"/>
        <w:tblLayout w:type="fixed"/>
        <w:tblCellMar>
          <w:top w:w="0" w:type="dxa"/>
          <w:left w:w="10" w:type="dxa"/>
          <w:bottom w:w="0" w:type="dxa"/>
          <w:right w:w="10" w:type="dxa"/>
        </w:tblCellMar>
      </w:tblPr>
      <w:tblGrid>
        <w:gridCol w:w="1919"/>
        <w:gridCol w:w="7196"/>
      </w:tblGrid>
      <w:tr>
        <w:tblPrEx>
          <w:tblCellMar>
            <w:top w:w="0" w:type="dxa"/>
            <w:left w:w="10" w:type="dxa"/>
            <w:bottom w:w="0" w:type="dxa"/>
            <w:right w:w="10" w:type="dxa"/>
          </w:tblCellMar>
        </w:tblPrEx>
        <w:trPr>
          <w:trHeight w:val="511" w:hRule="exact"/>
          <w:jc w:val="center"/>
        </w:trPr>
        <w:tc>
          <w:tcPr>
            <w:tcW w:w="1919" w:type="dxa"/>
            <w:tcBorders>
              <w:top w:val="single" w:color="auto" w:sz="4" w:space="0"/>
              <w:left w:val="single" w:color="auto" w:sz="4" w:space="0"/>
            </w:tcBorders>
            <w:shd w:val="clear" w:color="auto" w:fill="FFFFFF"/>
            <w:vAlign w:val="center"/>
          </w:tcPr>
          <w:p>
            <w:pPr>
              <w:pStyle w:val="64"/>
              <w:spacing w:line="240" w:lineRule="auto"/>
              <w:ind w:firstLine="0"/>
              <w:jc w:val="center"/>
              <w:rPr>
                <w:rFonts w:ascii="仿宋" w:hAnsi="仿宋" w:eastAsia="仿宋" w:cs="仿宋"/>
                <w:color w:val="auto"/>
                <w:highlight w:val="none"/>
              </w:rPr>
            </w:pPr>
            <w:r>
              <w:rPr>
                <w:rFonts w:hint="eastAsia" w:ascii="仿宋" w:hAnsi="仿宋" w:eastAsia="仿宋" w:cs="仿宋"/>
                <w:color w:val="auto"/>
                <w:highlight w:val="none"/>
              </w:rPr>
              <w:t>项目名称</w:t>
            </w:r>
          </w:p>
        </w:tc>
        <w:tc>
          <w:tcPr>
            <w:tcW w:w="7196" w:type="dxa"/>
            <w:tcBorders>
              <w:top w:val="single" w:color="auto" w:sz="4" w:space="0"/>
              <w:left w:val="single" w:color="auto" w:sz="4" w:space="0"/>
              <w:right w:val="single" w:color="auto" w:sz="4" w:space="0"/>
            </w:tcBorders>
            <w:shd w:val="clear" w:color="auto" w:fill="FFFFFF"/>
          </w:tcPr>
          <w:p>
            <w:pPr>
              <w:rPr>
                <w:rFonts w:ascii="仿宋" w:hAnsi="仿宋" w:eastAsia="仿宋" w:cs="仿宋"/>
                <w:color w:val="auto"/>
                <w:sz w:val="10"/>
                <w:szCs w:val="10"/>
                <w:highlight w:val="none"/>
              </w:rPr>
            </w:pPr>
          </w:p>
        </w:tc>
      </w:tr>
      <w:tr>
        <w:tblPrEx>
          <w:tblCellMar>
            <w:top w:w="0" w:type="dxa"/>
            <w:left w:w="10" w:type="dxa"/>
            <w:bottom w:w="0" w:type="dxa"/>
            <w:right w:w="10" w:type="dxa"/>
          </w:tblCellMar>
        </w:tblPrEx>
        <w:trPr>
          <w:trHeight w:val="482" w:hRule="exact"/>
          <w:jc w:val="center"/>
        </w:trPr>
        <w:tc>
          <w:tcPr>
            <w:tcW w:w="1919" w:type="dxa"/>
            <w:tcBorders>
              <w:top w:val="single" w:color="auto" w:sz="4" w:space="0"/>
              <w:left w:val="single" w:color="auto" w:sz="4" w:space="0"/>
            </w:tcBorders>
            <w:shd w:val="clear" w:color="auto" w:fill="FFFFFF"/>
          </w:tcPr>
          <w:p>
            <w:pPr>
              <w:pStyle w:val="64"/>
              <w:spacing w:before="120" w:line="240" w:lineRule="auto"/>
              <w:ind w:firstLine="220"/>
              <w:rPr>
                <w:rFonts w:ascii="仿宋" w:hAnsi="仿宋" w:eastAsia="仿宋" w:cs="仿宋"/>
                <w:color w:val="auto"/>
                <w:highlight w:val="none"/>
              </w:rPr>
            </w:pPr>
            <w:r>
              <w:rPr>
                <w:rFonts w:hint="eastAsia" w:ascii="仿宋" w:hAnsi="仿宋" w:eastAsia="仿宋" w:cs="仿宋"/>
                <w:color w:val="auto"/>
                <w:highlight w:val="none"/>
              </w:rPr>
              <w:t>项目单位名称</w:t>
            </w:r>
          </w:p>
        </w:tc>
        <w:tc>
          <w:tcPr>
            <w:tcW w:w="7196" w:type="dxa"/>
            <w:tcBorders>
              <w:top w:val="single" w:color="auto" w:sz="4" w:space="0"/>
              <w:left w:val="single" w:color="auto" w:sz="4" w:space="0"/>
              <w:right w:val="single" w:color="auto" w:sz="4" w:space="0"/>
            </w:tcBorders>
            <w:shd w:val="clear" w:color="auto" w:fill="FFFFFF"/>
          </w:tcPr>
          <w:p>
            <w:pPr>
              <w:rPr>
                <w:rFonts w:ascii="仿宋" w:hAnsi="仿宋" w:eastAsia="仿宋" w:cs="仿宋"/>
                <w:color w:val="auto"/>
                <w:sz w:val="10"/>
                <w:szCs w:val="10"/>
                <w:highlight w:val="none"/>
              </w:rPr>
            </w:pPr>
          </w:p>
        </w:tc>
      </w:tr>
      <w:tr>
        <w:tblPrEx>
          <w:tblCellMar>
            <w:top w:w="0" w:type="dxa"/>
            <w:left w:w="10" w:type="dxa"/>
            <w:bottom w:w="0" w:type="dxa"/>
            <w:right w:w="10" w:type="dxa"/>
          </w:tblCellMar>
        </w:tblPrEx>
        <w:trPr>
          <w:trHeight w:val="641" w:hRule="exact"/>
          <w:jc w:val="center"/>
        </w:trPr>
        <w:tc>
          <w:tcPr>
            <w:tcW w:w="1919" w:type="dxa"/>
            <w:tcBorders>
              <w:top w:val="single" w:color="auto" w:sz="4" w:space="0"/>
              <w:left w:val="single" w:color="auto" w:sz="4" w:space="0"/>
            </w:tcBorders>
            <w:shd w:val="clear" w:color="auto" w:fill="FFFFFF"/>
          </w:tcPr>
          <w:p>
            <w:pPr>
              <w:pStyle w:val="64"/>
              <w:spacing w:line="320" w:lineRule="exact"/>
              <w:ind w:firstLine="0"/>
              <w:jc w:val="center"/>
              <w:rPr>
                <w:rFonts w:ascii="仿宋" w:hAnsi="仿宋" w:eastAsia="仿宋" w:cs="仿宋"/>
                <w:color w:val="auto"/>
                <w:highlight w:val="none"/>
              </w:rPr>
            </w:pPr>
            <w:r>
              <w:rPr>
                <w:rFonts w:hint="eastAsia" w:ascii="仿宋" w:hAnsi="仿宋" w:eastAsia="仿宋" w:cs="仿宋"/>
                <w:color w:val="auto"/>
                <w:highlight w:val="none"/>
              </w:rPr>
              <w:t>项目单位联系姓名及联系方式</w:t>
            </w:r>
          </w:p>
        </w:tc>
        <w:tc>
          <w:tcPr>
            <w:tcW w:w="7196" w:type="dxa"/>
            <w:tcBorders>
              <w:top w:val="single" w:color="auto" w:sz="4" w:space="0"/>
              <w:left w:val="single" w:color="auto" w:sz="4" w:space="0"/>
              <w:right w:val="single" w:color="auto" w:sz="4" w:space="0"/>
            </w:tcBorders>
            <w:shd w:val="clear" w:color="auto" w:fill="FFFFFF"/>
          </w:tcPr>
          <w:p>
            <w:pPr>
              <w:rPr>
                <w:rFonts w:ascii="仿宋" w:hAnsi="仿宋" w:eastAsia="仿宋" w:cs="仿宋"/>
                <w:color w:val="auto"/>
                <w:sz w:val="10"/>
                <w:szCs w:val="10"/>
                <w:highlight w:val="none"/>
              </w:rPr>
            </w:pPr>
          </w:p>
        </w:tc>
      </w:tr>
      <w:tr>
        <w:tblPrEx>
          <w:tblCellMar>
            <w:top w:w="0" w:type="dxa"/>
            <w:left w:w="10" w:type="dxa"/>
            <w:bottom w:w="0" w:type="dxa"/>
            <w:right w:w="10" w:type="dxa"/>
          </w:tblCellMar>
        </w:tblPrEx>
        <w:trPr>
          <w:trHeight w:val="634" w:hRule="exact"/>
          <w:jc w:val="center"/>
        </w:trPr>
        <w:tc>
          <w:tcPr>
            <w:tcW w:w="1919" w:type="dxa"/>
            <w:tcBorders>
              <w:top w:val="single" w:color="auto" w:sz="4" w:space="0"/>
              <w:left w:val="single" w:color="auto" w:sz="4" w:space="0"/>
            </w:tcBorders>
            <w:shd w:val="clear" w:color="auto" w:fill="FFFFFF"/>
            <w:vAlign w:val="center"/>
          </w:tcPr>
          <w:p>
            <w:pPr>
              <w:pStyle w:val="64"/>
              <w:spacing w:line="240" w:lineRule="auto"/>
              <w:ind w:firstLine="0"/>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合同金额</w:t>
            </w:r>
          </w:p>
        </w:tc>
        <w:tc>
          <w:tcPr>
            <w:tcW w:w="7196" w:type="dxa"/>
            <w:tcBorders>
              <w:top w:val="single" w:color="auto" w:sz="4" w:space="0"/>
              <w:left w:val="single" w:color="auto" w:sz="4" w:space="0"/>
              <w:right w:val="single" w:color="auto" w:sz="4" w:space="0"/>
            </w:tcBorders>
            <w:shd w:val="clear" w:color="auto" w:fill="FFFFFF"/>
          </w:tcPr>
          <w:p>
            <w:pPr>
              <w:rPr>
                <w:rFonts w:ascii="仿宋" w:hAnsi="仿宋" w:eastAsia="仿宋" w:cs="仿宋"/>
                <w:color w:val="auto"/>
                <w:sz w:val="10"/>
                <w:szCs w:val="10"/>
                <w:highlight w:val="none"/>
              </w:rPr>
            </w:pPr>
          </w:p>
        </w:tc>
      </w:tr>
      <w:tr>
        <w:tblPrEx>
          <w:tblCellMar>
            <w:top w:w="0" w:type="dxa"/>
            <w:left w:w="10" w:type="dxa"/>
            <w:bottom w:w="0" w:type="dxa"/>
            <w:right w:w="10" w:type="dxa"/>
          </w:tblCellMar>
        </w:tblPrEx>
        <w:trPr>
          <w:trHeight w:val="637" w:hRule="exact"/>
          <w:jc w:val="center"/>
        </w:trPr>
        <w:tc>
          <w:tcPr>
            <w:tcW w:w="1919" w:type="dxa"/>
            <w:tcBorders>
              <w:top w:val="single" w:color="auto" w:sz="4" w:space="0"/>
              <w:left w:val="single" w:color="auto" w:sz="4" w:space="0"/>
            </w:tcBorders>
            <w:shd w:val="clear" w:color="auto" w:fill="FFFFFF"/>
          </w:tcPr>
          <w:p>
            <w:pPr>
              <w:pStyle w:val="64"/>
              <w:spacing w:line="306" w:lineRule="exact"/>
              <w:ind w:firstLine="0"/>
              <w:jc w:val="center"/>
              <w:rPr>
                <w:rFonts w:ascii="仿宋" w:hAnsi="仿宋" w:eastAsia="仿宋" w:cs="仿宋"/>
                <w:color w:val="auto"/>
                <w:highlight w:val="none"/>
              </w:rPr>
            </w:pPr>
            <w:r>
              <w:rPr>
                <w:rFonts w:hint="eastAsia" w:ascii="仿宋" w:hAnsi="仿宋" w:eastAsia="仿宋" w:cs="仿宋"/>
                <w:color w:val="auto"/>
                <w:highlight w:val="none"/>
              </w:rPr>
              <w:t>项目负责人姓名</w:t>
            </w:r>
          </w:p>
        </w:tc>
        <w:tc>
          <w:tcPr>
            <w:tcW w:w="7196" w:type="dxa"/>
            <w:tcBorders>
              <w:top w:val="single" w:color="auto" w:sz="4" w:space="0"/>
              <w:left w:val="single" w:color="auto" w:sz="4" w:space="0"/>
              <w:right w:val="single" w:color="auto" w:sz="4" w:space="0"/>
            </w:tcBorders>
            <w:shd w:val="clear" w:color="auto" w:fill="FFFFFF"/>
          </w:tcPr>
          <w:p>
            <w:pPr>
              <w:rPr>
                <w:rFonts w:ascii="仿宋" w:hAnsi="仿宋" w:eastAsia="仿宋" w:cs="仿宋"/>
                <w:color w:val="auto"/>
                <w:sz w:val="10"/>
                <w:szCs w:val="10"/>
                <w:highlight w:val="none"/>
              </w:rPr>
            </w:pPr>
          </w:p>
        </w:tc>
      </w:tr>
      <w:tr>
        <w:tblPrEx>
          <w:tblCellMar>
            <w:top w:w="0" w:type="dxa"/>
            <w:left w:w="10" w:type="dxa"/>
            <w:bottom w:w="0" w:type="dxa"/>
            <w:right w:w="10" w:type="dxa"/>
          </w:tblCellMar>
        </w:tblPrEx>
        <w:trPr>
          <w:trHeight w:val="482" w:hRule="exact"/>
          <w:jc w:val="center"/>
        </w:trPr>
        <w:tc>
          <w:tcPr>
            <w:tcW w:w="1919" w:type="dxa"/>
            <w:tcBorders>
              <w:top w:val="single" w:color="auto" w:sz="4" w:space="0"/>
              <w:left w:val="single" w:color="auto" w:sz="4" w:space="0"/>
            </w:tcBorders>
            <w:shd w:val="clear" w:color="auto" w:fill="FFFFFF"/>
          </w:tcPr>
          <w:p>
            <w:pPr>
              <w:pStyle w:val="64"/>
              <w:spacing w:before="120" w:line="240" w:lineRule="auto"/>
              <w:ind w:firstLine="220"/>
              <w:rPr>
                <w:rFonts w:ascii="仿宋" w:hAnsi="仿宋" w:eastAsia="仿宋" w:cs="仿宋"/>
                <w:color w:val="auto"/>
                <w:highlight w:val="none"/>
              </w:rPr>
            </w:pPr>
            <w:r>
              <w:rPr>
                <w:rFonts w:hint="eastAsia" w:ascii="仿宋" w:hAnsi="仿宋" w:eastAsia="仿宋" w:cs="仿宋"/>
                <w:color w:val="auto"/>
                <w:highlight w:val="none"/>
              </w:rPr>
              <w:t>项目实施时间</w:t>
            </w:r>
          </w:p>
        </w:tc>
        <w:tc>
          <w:tcPr>
            <w:tcW w:w="7196" w:type="dxa"/>
            <w:tcBorders>
              <w:top w:val="single" w:color="auto" w:sz="4" w:space="0"/>
              <w:left w:val="single" w:color="auto" w:sz="4" w:space="0"/>
              <w:right w:val="single" w:color="auto" w:sz="4" w:space="0"/>
            </w:tcBorders>
            <w:shd w:val="clear" w:color="auto" w:fill="FFFFFF"/>
          </w:tcPr>
          <w:p>
            <w:pPr>
              <w:rPr>
                <w:rFonts w:ascii="仿宋" w:hAnsi="仿宋" w:eastAsia="仿宋" w:cs="仿宋"/>
                <w:color w:val="auto"/>
                <w:sz w:val="10"/>
                <w:szCs w:val="10"/>
                <w:highlight w:val="none"/>
              </w:rPr>
            </w:pPr>
          </w:p>
        </w:tc>
      </w:tr>
      <w:tr>
        <w:tblPrEx>
          <w:tblCellMar>
            <w:top w:w="0" w:type="dxa"/>
            <w:left w:w="10" w:type="dxa"/>
            <w:bottom w:w="0" w:type="dxa"/>
            <w:right w:w="10" w:type="dxa"/>
          </w:tblCellMar>
        </w:tblPrEx>
        <w:trPr>
          <w:trHeight w:val="1699" w:hRule="exact"/>
          <w:jc w:val="center"/>
        </w:trPr>
        <w:tc>
          <w:tcPr>
            <w:tcW w:w="1919" w:type="dxa"/>
            <w:tcBorders>
              <w:top w:val="single" w:color="auto" w:sz="4" w:space="0"/>
              <w:left w:val="single" w:color="auto" w:sz="4" w:space="0"/>
              <w:bottom w:val="single" w:color="auto" w:sz="4" w:space="0"/>
            </w:tcBorders>
            <w:shd w:val="clear" w:color="auto" w:fill="FFFFFF"/>
            <w:vAlign w:val="center"/>
          </w:tcPr>
          <w:p>
            <w:pPr>
              <w:pStyle w:val="64"/>
              <w:spacing w:line="240" w:lineRule="auto"/>
              <w:ind w:firstLine="220"/>
              <w:rPr>
                <w:rFonts w:ascii="仿宋" w:hAnsi="仿宋" w:eastAsia="仿宋" w:cs="仿宋"/>
                <w:color w:val="auto"/>
                <w:highlight w:val="none"/>
              </w:rPr>
            </w:pPr>
            <w:r>
              <w:rPr>
                <w:rFonts w:hint="eastAsia" w:ascii="仿宋" w:hAnsi="仿宋" w:eastAsia="仿宋" w:cs="仿宋"/>
                <w:color w:val="auto"/>
                <w:highlight w:val="none"/>
              </w:rPr>
              <w:t>项目内容说明</w:t>
            </w:r>
          </w:p>
        </w:tc>
        <w:tc>
          <w:tcPr>
            <w:tcW w:w="7196" w:type="dxa"/>
            <w:tcBorders>
              <w:top w:val="single" w:color="auto" w:sz="4" w:space="0"/>
              <w:left w:val="single" w:color="auto" w:sz="4" w:space="0"/>
              <w:bottom w:val="single" w:color="auto" w:sz="4" w:space="0"/>
              <w:right w:val="single" w:color="auto" w:sz="4" w:space="0"/>
            </w:tcBorders>
            <w:shd w:val="clear" w:color="auto" w:fill="FFFFFF"/>
          </w:tcPr>
          <w:p>
            <w:pPr>
              <w:rPr>
                <w:rFonts w:ascii="仿宋" w:hAnsi="仿宋" w:eastAsia="仿宋" w:cs="仿宋"/>
                <w:color w:val="auto"/>
                <w:sz w:val="10"/>
                <w:szCs w:val="10"/>
                <w:highlight w:val="none"/>
              </w:rPr>
            </w:pPr>
          </w:p>
        </w:tc>
      </w:tr>
    </w:tbl>
    <w:p>
      <w:pPr>
        <w:rPr>
          <w:rFonts w:ascii="仿宋" w:hAnsi="仿宋" w:eastAsia="仿宋" w:cs="仿宋"/>
          <w:color w:val="auto"/>
          <w:spacing w:val="-1"/>
          <w:highlight w:val="none"/>
        </w:rPr>
      </w:pPr>
      <w:r>
        <w:rPr>
          <w:rFonts w:hint="eastAsia" w:ascii="仿宋" w:hAnsi="仿宋" w:eastAsia="仿宋" w:cs="仿宋"/>
          <w:color w:val="auto"/>
          <w:spacing w:val="-1"/>
          <w:highlight w:val="none"/>
        </w:rPr>
        <w:t>注：每个</w:t>
      </w:r>
      <w:r>
        <w:rPr>
          <w:rFonts w:hint="eastAsia" w:ascii="仿宋" w:hAnsi="仿宋" w:eastAsia="仿宋" w:cs="仿宋"/>
          <w:color w:val="auto"/>
          <w:spacing w:val="-1"/>
          <w:highlight w:val="none"/>
          <w:lang w:eastAsia="zh-CN"/>
        </w:rPr>
        <w:t>业绩</w:t>
      </w:r>
      <w:r>
        <w:rPr>
          <w:rFonts w:hint="eastAsia" w:ascii="仿宋" w:hAnsi="仿宋" w:eastAsia="仿宋" w:cs="仿宋"/>
          <w:color w:val="auto"/>
          <w:spacing w:val="-1"/>
          <w:highlight w:val="none"/>
        </w:rPr>
        <w:t>须单独附表，并附上</w:t>
      </w:r>
      <w:r>
        <w:rPr>
          <w:rFonts w:hint="eastAsia" w:ascii="仿宋" w:hAnsi="仿宋" w:eastAsia="仿宋" w:cs="仿宋"/>
          <w:color w:val="auto"/>
          <w:spacing w:val="-1"/>
          <w:highlight w:val="none"/>
          <w:lang w:eastAsia="zh-CN"/>
        </w:rPr>
        <w:t>合同或中标通知书</w:t>
      </w:r>
      <w:r>
        <w:rPr>
          <w:rFonts w:hint="eastAsia" w:ascii="仿宋" w:hAnsi="仿宋" w:eastAsia="仿宋" w:cs="仿宋"/>
          <w:color w:val="auto"/>
          <w:spacing w:val="-1"/>
          <w:highlight w:val="none"/>
        </w:rPr>
        <w:t>相关证明材料，否则专家在评审时将不予采信。</w:t>
      </w:r>
    </w:p>
    <w:p>
      <w:pPr>
        <w:pStyle w:val="9"/>
        <w:numPr>
          <w:ilvl w:val="0"/>
          <w:numId w:val="0"/>
        </w:numPr>
        <w:tabs>
          <w:tab w:val="left" w:pos="8227"/>
        </w:tabs>
        <w:kinsoku w:val="0"/>
        <w:overflowPunct w:val="0"/>
        <w:spacing w:line="381" w:lineRule="auto"/>
        <w:ind w:left="1680" w:right="118"/>
        <w:rPr>
          <w:rFonts w:ascii="仿宋" w:hAnsi="仿宋" w:eastAsia="仿宋" w:cs="仿宋"/>
          <w:color w:val="auto"/>
          <w:sz w:val="24"/>
          <w:highlight w:val="none"/>
        </w:rPr>
      </w:pPr>
    </w:p>
    <w:p>
      <w:pPr>
        <w:pStyle w:val="9"/>
        <w:numPr>
          <w:ilvl w:val="0"/>
          <w:numId w:val="0"/>
        </w:numPr>
        <w:tabs>
          <w:tab w:val="left" w:pos="8227"/>
        </w:tabs>
        <w:kinsoku w:val="0"/>
        <w:overflowPunct w:val="0"/>
        <w:spacing w:line="381" w:lineRule="auto"/>
        <w:ind w:left="1680" w:right="118"/>
        <w:rPr>
          <w:rFonts w:ascii="仿宋" w:hAnsi="仿宋" w:eastAsia="仿宋" w:cs="仿宋"/>
          <w:color w:val="auto"/>
          <w:sz w:val="24"/>
          <w:highlight w:val="none"/>
        </w:rPr>
      </w:pPr>
    </w:p>
    <w:p>
      <w:pPr>
        <w:pStyle w:val="9"/>
        <w:numPr>
          <w:ilvl w:val="0"/>
          <w:numId w:val="0"/>
        </w:numPr>
        <w:tabs>
          <w:tab w:val="left" w:pos="8227"/>
        </w:tabs>
        <w:kinsoku w:val="0"/>
        <w:overflowPunct w:val="0"/>
        <w:spacing w:line="381" w:lineRule="auto"/>
        <w:ind w:left="1680" w:right="118"/>
        <w:rPr>
          <w:rFonts w:ascii="仿宋" w:hAnsi="仿宋" w:eastAsia="仿宋" w:cs="仿宋"/>
          <w:color w:val="auto"/>
          <w:sz w:val="24"/>
          <w:highlight w:val="none"/>
        </w:rPr>
      </w:pPr>
    </w:p>
    <w:p>
      <w:pPr>
        <w:pStyle w:val="9"/>
        <w:numPr>
          <w:ilvl w:val="0"/>
          <w:numId w:val="0"/>
        </w:numPr>
        <w:tabs>
          <w:tab w:val="left" w:pos="8227"/>
        </w:tabs>
        <w:kinsoku w:val="0"/>
        <w:overflowPunct w:val="0"/>
        <w:spacing w:line="381" w:lineRule="auto"/>
        <w:ind w:left="1680" w:right="118"/>
        <w:rPr>
          <w:rFonts w:ascii="仿宋" w:hAnsi="仿宋" w:eastAsia="仿宋" w:cs="仿宋"/>
          <w:color w:val="auto"/>
          <w:sz w:val="24"/>
          <w:highlight w:val="none"/>
        </w:rPr>
      </w:pPr>
      <w:r>
        <w:rPr>
          <w:rFonts w:hint="eastAsia" w:ascii="仿宋" w:hAnsi="仿宋" w:eastAsia="仿宋" w:cs="仿宋"/>
          <w:color w:val="auto"/>
          <w:sz w:val="24"/>
          <w:highlight w:val="none"/>
        </w:rPr>
        <w:t>投标人：</w:t>
      </w:r>
      <w:r>
        <w:rPr>
          <w:rFonts w:hint="eastAsia" w:ascii="仿宋" w:hAnsi="仿宋" w:eastAsia="仿宋" w:cs="仿宋"/>
          <w:color w:val="auto"/>
          <w:sz w:val="24"/>
          <w:highlight w:val="none"/>
          <w:lang w:eastAsia="zh-CN"/>
        </w:rPr>
        <w:t xml:space="preserve">   </w:t>
      </w:r>
      <w:r>
        <w:rPr>
          <w:rFonts w:hint="eastAsia" w:ascii="仿宋" w:hAnsi="仿宋" w:eastAsia="仿宋" w:cs="仿宋"/>
          <w:color w:val="auto"/>
          <w:w w:val="95"/>
          <w:sz w:val="24"/>
          <w:highlight w:val="none"/>
        </w:rPr>
        <w:t>（盖章）</w:t>
      </w:r>
      <w:r>
        <w:rPr>
          <w:rFonts w:hint="eastAsia" w:ascii="仿宋" w:hAnsi="仿宋" w:eastAsia="仿宋" w:cs="仿宋"/>
          <w:color w:val="auto"/>
          <w:sz w:val="24"/>
          <w:highlight w:val="none"/>
        </w:rPr>
        <w:t xml:space="preserve"> </w:t>
      </w:r>
    </w:p>
    <w:p>
      <w:pPr>
        <w:pStyle w:val="9"/>
        <w:numPr>
          <w:ilvl w:val="0"/>
          <w:numId w:val="0"/>
        </w:numPr>
        <w:tabs>
          <w:tab w:val="left" w:pos="8227"/>
        </w:tabs>
        <w:kinsoku w:val="0"/>
        <w:overflowPunct w:val="0"/>
        <w:spacing w:line="381" w:lineRule="auto"/>
        <w:ind w:left="1680" w:right="118"/>
        <w:rPr>
          <w:rFonts w:ascii="仿宋" w:hAnsi="仿宋" w:eastAsia="仿宋" w:cs="仿宋"/>
          <w:color w:val="auto"/>
          <w:w w:val="95"/>
          <w:sz w:val="24"/>
          <w:highlight w:val="none"/>
        </w:rPr>
      </w:pPr>
      <w:r>
        <w:rPr>
          <w:rFonts w:hint="eastAsia" w:ascii="仿宋" w:hAnsi="仿宋" w:eastAsia="仿宋" w:cs="仿宋"/>
          <w:color w:val="auto"/>
          <w:sz w:val="24"/>
          <w:highlight w:val="none"/>
        </w:rPr>
        <w:t>法定代表人或被授权人：</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lang w:eastAsia="zh-CN"/>
        </w:rPr>
        <w:t>(</w:t>
      </w:r>
      <w:r>
        <w:rPr>
          <w:rFonts w:hint="eastAsia" w:ascii="仿宋" w:hAnsi="仿宋" w:eastAsia="仿宋" w:cs="仿宋"/>
          <w:color w:val="auto"/>
          <w:w w:val="95"/>
          <w:sz w:val="24"/>
          <w:highlight w:val="none"/>
          <w:lang w:eastAsia="zh-CN"/>
        </w:rPr>
        <w:t>签章</w:t>
      </w:r>
      <w:r>
        <w:rPr>
          <w:rFonts w:hint="eastAsia" w:ascii="仿宋" w:hAnsi="仿宋" w:eastAsia="仿宋" w:cs="仿宋"/>
          <w:color w:val="auto"/>
          <w:w w:val="95"/>
          <w:sz w:val="24"/>
          <w:highlight w:val="none"/>
        </w:rPr>
        <w:t>）</w:t>
      </w:r>
    </w:p>
    <w:p>
      <w:pPr>
        <w:pStyle w:val="9"/>
        <w:numPr>
          <w:ilvl w:val="0"/>
          <w:numId w:val="0"/>
        </w:numPr>
        <w:tabs>
          <w:tab w:val="left" w:pos="5551"/>
          <w:tab w:val="left" w:pos="6511"/>
          <w:tab w:val="left" w:pos="7111"/>
          <w:tab w:val="left" w:pos="7711"/>
        </w:tabs>
        <w:kinsoku w:val="0"/>
        <w:overflowPunct w:val="0"/>
        <w:spacing w:before="46"/>
        <w:ind w:left="3928"/>
        <w:rPr>
          <w:rFonts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日</w:t>
      </w:r>
    </w:p>
    <w:p>
      <w:pPr>
        <w:pStyle w:val="66"/>
        <w:spacing w:after="580"/>
        <w:ind w:firstLine="360"/>
        <w:rPr>
          <w:rFonts w:ascii="仿宋" w:hAnsi="仿宋" w:eastAsia="仿宋" w:cs="仿宋"/>
          <w:color w:val="auto"/>
          <w:highlight w:val="none"/>
        </w:rPr>
      </w:pPr>
    </w:p>
    <w:p>
      <w:pPr>
        <w:pStyle w:val="66"/>
        <w:spacing w:after="580"/>
        <w:ind w:firstLine="360"/>
        <w:rPr>
          <w:rFonts w:ascii="仿宋" w:hAnsi="仿宋" w:eastAsia="仿宋" w:cs="仿宋"/>
          <w:color w:val="auto"/>
          <w:highlight w:val="none"/>
        </w:rPr>
      </w:pPr>
    </w:p>
    <w:p>
      <w:pPr>
        <w:pStyle w:val="66"/>
        <w:spacing w:after="580"/>
        <w:ind w:firstLine="0"/>
        <w:rPr>
          <w:rFonts w:ascii="仿宋" w:hAnsi="仿宋" w:eastAsia="仿宋" w:cs="仿宋"/>
          <w:color w:val="auto"/>
          <w:highlight w:val="none"/>
        </w:rPr>
      </w:pPr>
    </w:p>
    <w:p>
      <w:pPr>
        <w:spacing w:line="360" w:lineRule="auto"/>
        <w:jc w:val="center"/>
        <w:rPr>
          <w:rFonts w:hint="eastAsia" w:ascii="仿宋" w:hAnsi="仿宋" w:eastAsia="仿宋" w:cs="仿宋"/>
          <w:bCs/>
          <w:color w:val="auto"/>
          <w:sz w:val="36"/>
          <w:szCs w:val="36"/>
          <w:highlight w:val="none"/>
          <w:lang w:eastAsia="zh-CN"/>
        </w:rPr>
      </w:pPr>
      <w:r>
        <w:rPr>
          <w:rFonts w:hint="eastAsia" w:ascii="仿宋" w:hAnsi="仿宋" w:eastAsia="仿宋" w:cs="仿宋"/>
          <w:bCs/>
          <w:color w:val="auto"/>
          <w:sz w:val="36"/>
          <w:szCs w:val="36"/>
          <w:highlight w:val="none"/>
          <w:lang w:eastAsia="zh-CN"/>
        </w:rPr>
        <w:t>十</w:t>
      </w:r>
      <w:r>
        <w:rPr>
          <w:rFonts w:hint="eastAsia" w:ascii="仿宋" w:hAnsi="仿宋" w:eastAsia="仿宋" w:cs="仿宋"/>
          <w:bCs/>
          <w:color w:val="auto"/>
          <w:sz w:val="36"/>
          <w:szCs w:val="36"/>
          <w:highlight w:val="none"/>
        </w:rPr>
        <w:t>、中小企业声明函(工程、服务)</w:t>
      </w:r>
      <w:r>
        <w:rPr>
          <w:rFonts w:hint="eastAsia" w:ascii="仿宋" w:hAnsi="仿宋" w:eastAsia="仿宋" w:cs="仿宋"/>
          <w:bCs/>
          <w:color w:val="auto"/>
          <w:sz w:val="36"/>
          <w:szCs w:val="36"/>
          <w:highlight w:val="none"/>
          <w:lang w:eastAsia="zh-CN"/>
        </w:rPr>
        <w:t>（本项目不适用）</w:t>
      </w:r>
    </w:p>
    <w:p>
      <w:pPr>
        <w:ind w:left="1280"/>
        <w:rPr>
          <w:rFonts w:ascii="仿宋" w:hAnsi="仿宋" w:eastAsia="仿宋" w:cs="仿宋"/>
          <w:color w:val="auto"/>
          <w:sz w:val="32"/>
          <w:szCs w:val="32"/>
          <w:highlight w:val="none"/>
        </w:rPr>
      </w:pPr>
    </w:p>
    <w:p>
      <w:pPr>
        <w:spacing w:line="360" w:lineRule="auto"/>
        <w:ind w:firstLine="426" w:firstLineChars="200"/>
        <w:rPr>
          <w:rFonts w:ascii="仿宋" w:hAnsi="仿宋" w:eastAsia="仿宋" w:cs="仿宋"/>
          <w:color w:val="auto"/>
          <w:highlight w:val="none"/>
        </w:rPr>
      </w:pPr>
      <w:r>
        <w:rPr>
          <w:rFonts w:hint="eastAsia" w:ascii="仿宋" w:hAnsi="仿宋" w:eastAsia="仿宋" w:cs="仿宋"/>
          <w:color w:val="auto"/>
          <w:highlight w:val="none"/>
        </w:rPr>
        <w:t>本公司（联合体）郑重声明，根据《政府采购促进中小企业发展管理办法》（财库[2020]46号）的规定，本公司（联合体）参加</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rPr>
        <w:t>（单位名称）</w:t>
      </w:r>
      <w:r>
        <w:rPr>
          <w:rFonts w:hint="eastAsia" w:ascii="仿宋" w:hAnsi="仿宋" w:eastAsia="仿宋" w:cs="仿宋"/>
          <w:color w:val="auto"/>
          <w:highlight w:val="none"/>
        </w:rPr>
        <w:t>的</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rPr>
        <w:t>（项目名称）</w:t>
      </w:r>
      <w:r>
        <w:rPr>
          <w:rFonts w:hint="eastAsia" w:ascii="仿宋" w:hAnsi="仿宋" w:eastAsia="仿宋" w:cs="仿宋"/>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9"/>
        </w:numPr>
        <w:spacing w:line="360" w:lineRule="auto"/>
        <w:ind w:firstLine="426" w:firstLineChars="200"/>
        <w:rPr>
          <w:rFonts w:ascii="仿宋" w:hAnsi="仿宋" w:eastAsia="仿宋" w:cs="仿宋"/>
          <w:color w:val="auto"/>
          <w:highlight w:val="none"/>
        </w:rPr>
      </w:pP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rPr>
        <w:t>（标的名称）</w:t>
      </w:r>
      <w:r>
        <w:rPr>
          <w:rFonts w:hint="eastAsia" w:ascii="仿宋" w:hAnsi="仿宋" w:eastAsia="仿宋" w:cs="仿宋"/>
          <w:color w:val="auto"/>
          <w:highlight w:val="none"/>
        </w:rPr>
        <w:t>，属于</w:t>
      </w: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rPr>
        <w:t>（</w:t>
      </w:r>
      <w:r>
        <w:rPr>
          <w:rFonts w:hint="eastAsia" w:ascii="仿宋" w:hAnsi="仿宋" w:eastAsia="仿宋" w:cs="仿宋"/>
          <w:color w:val="auto"/>
          <w:highlight w:val="none"/>
          <w:u w:val="single"/>
          <w:lang w:eastAsia="zh-CN"/>
        </w:rPr>
        <w:t>磋商文件</w:t>
      </w:r>
      <w:r>
        <w:rPr>
          <w:rFonts w:hint="eastAsia" w:ascii="仿宋" w:hAnsi="仿宋" w:eastAsia="仿宋" w:cs="仿宋"/>
          <w:color w:val="auto"/>
          <w:highlight w:val="none"/>
          <w:u w:val="single"/>
        </w:rPr>
        <w:t>中明确的所属行业）</w:t>
      </w:r>
      <w:r>
        <w:rPr>
          <w:rFonts w:hint="eastAsia" w:ascii="仿宋" w:hAnsi="仿宋" w:eastAsia="仿宋" w:cs="仿宋"/>
          <w:color w:val="auto"/>
          <w:highlight w:val="none"/>
        </w:rPr>
        <w:t>；承建（承接）企业为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rPr>
        <w:t>（企业名称），从业人员</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人，营业收入为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rPr>
        <w:t>万元，资产总额为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万元，属于</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rPr>
        <w:t>（中型企业、小型企业、微型企业）；</w:t>
      </w:r>
    </w:p>
    <w:p>
      <w:pPr>
        <w:spacing w:line="360" w:lineRule="auto"/>
        <w:ind w:firstLine="426" w:firstLineChars="200"/>
        <w:rPr>
          <w:rFonts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rPr>
        <w:t>（标的名称）</w:t>
      </w:r>
      <w:r>
        <w:rPr>
          <w:rFonts w:hint="eastAsia" w:ascii="仿宋" w:hAnsi="仿宋" w:eastAsia="仿宋" w:cs="仿宋"/>
          <w:color w:val="auto"/>
          <w:highlight w:val="none"/>
        </w:rPr>
        <w:t>，属于</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rPr>
        <w:t>（</w:t>
      </w:r>
      <w:r>
        <w:rPr>
          <w:rFonts w:hint="eastAsia" w:ascii="仿宋" w:hAnsi="仿宋" w:eastAsia="仿宋" w:cs="仿宋"/>
          <w:color w:val="auto"/>
          <w:highlight w:val="none"/>
          <w:u w:val="single"/>
          <w:lang w:eastAsia="zh-CN"/>
        </w:rPr>
        <w:t>磋商文件</w:t>
      </w:r>
      <w:r>
        <w:rPr>
          <w:rFonts w:hint="eastAsia" w:ascii="仿宋" w:hAnsi="仿宋" w:eastAsia="仿宋" w:cs="仿宋"/>
          <w:color w:val="auto"/>
          <w:highlight w:val="none"/>
          <w:u w:val="single"/>
        </w:rPr>
        <w:t>中明确的所属行业）</w:t>
      </w:r>
      <w:r>
        <w:rPr>
          <w:rFonts w:hint="eastAsia" w:ascii="仿宋" w:hAnsi="仿宋" w:eastAsia="仿宋" w:cs="仿宋"/>
          <w:color w:val="auto"/>
          <w:highlight w:val="none"/>
        </w:rPr>
        <w:t>；承建（承接）企业为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rPr>
        <w:t>（企业名称）</w:t>
      </w:r>
      <w:r>
        <w:rPr>
          <w:rFonts w:hint="eastAsia" w:ascii="仿宋" w:hAnsi="仿宋" w:eastAsia="仿宋" w:cs="仿宋"/>
          <w:color w:val="auto"/>
          <w:highlight w:val="none"/>
        </w:rPr>
        <w:t>，从业人员</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人，营业收入为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万元，资产总额为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万元，属于</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rPr>
        <w:t>（中型企业、小型企业、微型企业）</w:t>
      </w:r>
      <w:r>
        <w:rPr>
          <w:rFonts w:hint="eastAsia" w:ascii="仿宋" w:hAnsi="仿宋" w:eastAsia="仿宋" w:cs="仿宋"/>
          <w:color w:val="auto"/>
          <w:highlight w:val="none"/>
        </w:rPr>
        <w:t>；</w:t>
      </w:r>
    </w:p>
    <w:p>
      <w:pPr>
        <w:spacing w:line="360" w:lineRule="auto"/>
        <w:ind w:firstLine="426" w:firstLineChars="200"/>
        <w:rPr>
          <w:rFonts w:ascii="仿宋" w:hAnsi="仿宋" w:eastAsia="仿宋" w:cs="仿宋"/>
          <w:color w:val="auto"/>
          <w:highlight w:val="none"/>
        </w:rPr>
      </w:pPr>
      <w:r>
        <w:rPr>
          <w:rFonts w:hint="eastAsia" w:ascii="仿宋" w:hAnsi="仿宋" w:eastAsia="仿宋" w:cs="仿宋"/>
          <w:color w:val="auto"/>
          <w:highlight w:val="none"/>
        </w:rPr>
        <w:t>……</w:t>
      </w:r>
    </w:p>
    <w:p>
      <w:pPr>
        <w:spacing w:line="360" w:lineRule="auto"/>
        <w:ind w:firstLine="426" w:firstLineChars="200"/>
        <w:rPr>
          <w:rFonts w:ascii="仿宋" w:hAnsi="仿宋" w:eastAsia="仿宋" w:cs="仿宋"/>
          <w:color w:val="auto"/>
          <w:highlight w:val="none"/>
        </w:rPr>
      </w:pPr>
      <w:r>
        <w:rPr>
          <w:rFonts w:hint="eastAsia" w:ascii="仿宋" w:hAnsi="仿宋" w:eastAsia="仿宋" w:cs="仿宋"/>
          <w:color w:val="auto"/>
          <w:highlight w:val="none"/>
        </w:rPr>
        <w:t>以上企业，不属于大企业的分支机构，不存在控股股东为大企业的情形，也不存在与大企业的负责人为同一人的情形。</w:t>
      </w:r>
    </w:p>
    <w:p>
      <w:pPr>
        <w:spacing w:line="360" w:lineRule="auto"/>
        <w:ind w:firstLine="426" w:firstLineChars="200"/>
        <w:rPr>
          <w:rFonts w:ascii="仿宋" w:hAnsi="仿宋" w:eastAsia="仿宋" w:cs="仿宋"/>
          <w:color w:val="auto"/>
          <w:highlight w:val="none"/>
        </w:rPr>
      </w:pPr>
      <w:r>
        <w:rPr>
          <w:rFonts w:hint="eastAsia" w:ascii="仿宋" w:hAnsi="仿宋" w:eastAsia="仿宋" w:cs="仿宋"/>
          <w:color w:val="auto"/>
          <w:highlight w:val="none"/>
        </w:rPr>
        <w:t>本企业对上述声明内容的真实性负责。如有虚假，将依法承担相应责任。</w:t>
      </w:r>
    </w:p>
    <w:p>
      <w:pPr>
        <w:spacing w:line="360" w:lineRule="auto"/>
        <w:ind w:firstLine="426" w:firstLineChars="200"/>
        <w:rPr>
          <w:rFonts w:ascii="仿宋" w:hAnsi="仿宋" w:eastAsia="仿宋" w:cs="仿宋"/>
          <w:color w:val="auto"/>
          <w:highlight w:val="none"/>
        </w:rPr>
      </w:pPr>
      <w:r>
        <w:rPr>
          <w:rFonts w:hint="eastAsia" w:ascii="仿宋" w:hAnsi="仿宋" w:eastAsia="仿宋" w:cs="仿宋"/>
          <w:color w:val="auto"/>
          <w:highlight w:val="none"/>
        </w:rPr>
        <w:t xml:space="preserve">                      </w:t>
      </w:r>
    </w:p>
    <w:p>
      <w:pPr>
        <w:spacing w:line="360" w:lineRule="auto"/>
        <w:ind w:firstLine="426" w:firstLineChars="200"/>
        <w:rPr>
          <w:rFonts w:ascii="仿宋" w:hAnsi="仿宋" w:eastAsia="仿宋" w:cs="仿宋"/>
          <w:color w:val="auto"/>
          <w:highlight w:val="none"/>
        </w:rPr>
      </w:pPr>
    </w:p>
    <w:p>
      <w:pPr>
        <w:spacing w:line="360" w:lineRule="auto"/>
        <w:ind w:firstLine="426" w:firstLineChars="200"/>
        <w:rPr>
          <w:rFonts w:ascii="仿宋" w:hAnsi="仿宋" w:eastAsia="仿宋" w:cs="仿宋"/>
          <w:color w:val="auto"/>
          <w:highlight w:val="none"/>
        </w:rPr>
      </w:pPr>
    </w:p>
    <w:p>
      <w:pPr>
        <w:spacing w:line="360" w:lineRule="auto"/>
        <w:ind w:firstLine="4260" w:firstLineChars="2000"/>
        <w:rPr>
          <w:rFonts w:ascii="仿宋" w:hAnsi="仿宋" w:eastAsia="仿宋" w:cs="仿宋"/>
          <w:color w:val="auto"/>
          <w:highlight w:val="none"/>
        </w:rPr>
      </w:pPr>
      <w:r>
        <w:rPr>
          <w:rFonts w:hint="eastAsia" w:ascii="仿宋" w:hAnsi="仿宋" w:eastAsia="仿宋" w:cs="仿宋"/>
          <w:color w:val="auto"/>
          <w:highlight w:val="none"/>
        </w:rPr>
        <w:t>企业名称（盖章）：</w:t>
      </w:r>
    </w:p>
    <w:p>
      <w:pPr>
        <w:spacing w:line="360" w:lineRule="auto"/>
        <w:ind w:firstLine="426" w:firstLineChars="200"/>
        <w:rPr>
          <w:rFonts w:ascii="仿宋" w:hAnsi="仿宋" w:eastAsia="仿宋" w:cs="仿宋"/>
          <w:color w:val="auto"/>
          <w:highlight w:val="non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rPr>
        <w:t>日期：</w:t>
      </w:r>
    </w:p>
    <w:p>
      <w:pPr>
        <w:pStyle w:val="5"/>
        <w:rPr>
          <w:rFonts w:ascii="仿宋" w:hAnsi="仿宋" w:eastAsia="仿宋" w:cs="仿宋"/>
          <w:color w:val="auto"/>
          <w:sz w:val="36"/>
          <w:szCs w:val="36"/>
          <w:highlight w:val="none"/>
          <w:lang w:eastAsia="zh-CN"/>
        </w:rPr>
      </w:pPr>
    </w:p>
    <w:p>
      <w:pPr>
        <w:pStyle w:val="18"/>
        <w:rPr>
          <w:rFonts w:ascii="仿宋" w:hAnsi="仿宋" w:eastAsia="仿宋" w:cs="仿宋"/>
          <w:color w:val="auto"/>
          <w:highlight w:val="none"/>
        </w:rPr>
      </w:pPr>
      <w:r>
        <w:rPr>
          <w:rFonts w:hint="eastAsia" w:ascii="仿宋" w:hAnsi="仿宋" w:eastAsia="仿宋" w:cs="仿宋"/>
          <w:color w:val="auto"/>
          <w:highlight w:val="none"/>
        </w:rPr>
        <w:t>从业人员、营业收入、资产总额填报上一年度数据，无上一年度数据的新成立企业可不填报。</w:t>
      </w:r>
    </w:p>
    <w:p>
      <w:pPr>
        <w:rPr>
          <w:rFonts w:hint="eastAsia" w:ascii="仿宋" w:hAnsi="仿宋" w:eastAsia="仿宋" w:cs="仿宋"/>
          <w:color w:val="auto"/>
          <w:sz w:val="36"/>
          <w:szCs w:val="36"/>
          <w:highlight w:val="none"/>
          <w:lang w:eastAsia="zh-CN"/>
        </w:rPr>
      </w:pPr>
      <w:r>
        <w:rPr>
          <w:rFonts w:hint="eastAsia" w:ascii="仿宋" w:hAnsi="仿宋" w:eastAsia="仿宋" w:cs="仿宋"/>
          <w:color w:val="auto"/>
          <w:sz w:val="36"/>
          <w:szCs w:val="36"/>
          <w:highlight w:val="none"/>
          <w:lang w:eastAsia="zh-CN"/>
        </w:rPr>
        <w:br w:type="page"/>
      </w:r>
    </w:p>
    <w:p>
      <w:pPr>
        <w:tabs>
          <w:tab w:val="left" w:pos="3600"/>
        </w:tabs>
        <w:adjustRightInd w:val="0"/>
        <w:snapToGrid w:val="0"/>
        <w:spacing w:line="440" w:lineRule="exact"/>
        <w:jc w:val="center"/>
        <w:rPr>
          <w:rFonts w:ascii="仿宋" w:hAnsi="仿宋" w:eastAsia="仿宋" w:cs="仿宋"/>
          <w:b/>
          <w:bCs/>
          <w:color w:val="auto"/>
          <w:spacing w:val="6"/>
          <w:sz w:val="36"/>
          <w:szCs w:val="36"/>
          <w:highlight w:val="none"/>
        </w:rPr>
      </w:pPr>
      <w:r>
        <w:rPr>
          <w:rFonts w:hint="eastAsia" w:ascii="仿宋" w:hAnsi="仿宋" w:eastAsia="仿宋" w:cs="仿宋"/>
          <w:color w:val="auto"/>
          <w:sz w:val="36"/>
          <w:szCs w:val="36"/>
          <w:highlight w:val="none"/>
          <w:lang w:eastAsia="zh-CN"/>
        </w:rPr>
        <w:t>十一、</w:t>
      </w:r>
      <w:r>
        <w:rPr>
          <w:rFonts w:hint="eastAsia" w:ascii="仿宋" w:hAnsi="仿宋" w:eastAsia="仿宋" w:cs="仿宋"/>
          <w:b/>
          <w:bCs/>
          <w:color w:val="auto"/>
          <w:spacing w:val="6"/>
          <w:sz w:val="36"/>
          <w:szCs w:val="36"/>
          <w:highlight w:val="none"/>
        </w:rPr>
        <w:t>残疾人福利性单位声明函</w:t>
      </w:r>
    </w:p>
    <w:p>
      <w:pPr>
        <w:widowControl/>
        <w:adjustRightInd w:val="0"/>
        <w:snapToGrid w:val="0"/>
        <w:spacing w:line="440" w:lineRule="exact"/>
        <w:ind w:firstLine="450" w:firstLineChars="200"/>
        <w:rPr>
          <w:rFonts w:ascii="仿宋" w:hAnsi="仿宋" w:eastAsia="仿宋" w:cs="仿宋"/>
          <w:color w:val="auto"/>
          <w:spacing w:val="6"/>
          <w:highlight w:val="none"/>
        </w:rPr>
      </w:pPr>
    </w:p>
    <w:p>
      <w:pPr>
        <w:widowControl/>
        <w:adjustRightInd w:val="0"/>
        <w:snapToGrid w:val="0"/>
        <w:spacing w:line="440" w:lineRule="exact"/>
        <w:ind w:firstLine="450" w:firstLineChars="200"/>
        <w:rPr>
          <w:rFonts w:ascii="仿宋" w:hAnsi="仿宋" w:eastAsia="仿宋" w:cs="仿宋"/>
          <w:color w:val="auto"/>
          <w:spacing w:val="6"/>
          <w:highlight w:val="none"/>
        </w:rPr>
      </w:pPr>
      <w:r>
        <w:rPr>
          <w:rFonts w:hint="eastAsia" w:ascii="仿宋" w:hAnsi="仿宋" w:eastAsia="仿宋" w:cs="仿宋"/>
          <w:color w:val="auto"/>
          <w:spacing w:val="6"/>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450" w:firstLineChars="200"/>
        <w:rPr>
          <w:rFonts w:ascii="仿宋" w:hAnsi="仿宋" w:eastAsia="仿宋" w:cs="仿宋"/>
          <w:color w:val="auto"/>
          <w:spacing w:val="6"/>
          <w:highlight w:val="none"/>
        </w:rPr>
      </w:pPr>
      <w:r>
        <w:rPr>
          <w:rFonts w:hint="eastAsia" w:ascii="仿宋" w:hAnsi="仿宋" w:eastAsia="仿宋" w:cs="仿宋"/>
          <w:color w:val="auto"/>
          <w:spacing w:val="6"/>
          <w:highlight w:val="none"/>
        </w:rPr>
        <w:t>本单位对上述声明的真实性负责。如有虚假，将依法承担相应责任。</w:t>
      </w:r>
    </w:p>
    <w:p>
      <w:pPr>
        <w:widowControl/>
        <w:adjustRightInd w:val="0"/>
        <w:snapToGrid w:val="0"/>
        <w:spacing w:line="440" w:lineRule="exact"/>
        <w:ind w:firstLine="450" w:firstLineChars="200"/>
        <w:rPr>
          <w:rFonts w:ascii="仿宋" w:hAnsi="仿宋" w:eastAsia="仿宋" w:cs="仿宋"/>
          <w:color w:val="auto"/>
          <w:spacing w:val="6"/>
          <w:highlight w:val="none"/>
        </w:rPr>
      </w:pPr>
      <w:r>
        <w:rPr>
          <w:rFonts w:hint="eastAsia" w:ascii="仿宋" w:hAnsi="仿宋" w:eastAsia="仿宋" w:cs="仿宋"/>
          <w:color w:val="auto"/>
          <w:spacing w:val="6"/>
          <w:highlight w:val="none"/>
        </w:rPr>
        <w:t xml:space="preserve">                                     </w:t>
      </w:r>
    </w:p>
    <w:p>
      <w:pPr>
        <w:widowControl/>
        <w:adjustRightInd w:val="0"/>
        <w:snapToGrid w:val="0"/>
        <w:spacing w:line="440" w:lineRule="exact"/>
        <w:ind w:firstLine="4950" w:firstLineChars="2200"/>
        <w:rPr>
          <w:rFonts w:ascii="仿宋" w:hAnsi="仿宋" w:eastAsia="仿宋" w:cs="仿宋"/>
          <w:color w:val="auto"/>
          <w:spacing w:val="6"/>
          <w:highlight w:val="none"/>
        </w:rPr>
      </w:pPr>
      <w:r>
        <w:rPr>
          <w:rFonts w:hint="eastAsia" w:ascii="仿宋" w:hAnsi="仿宋" w:eastAsia="仿宋" w:cs="仿宋"/>
          <w:color w:val="auto"/>
          <w:spacing w:val="6"/>
          <w:highlight w:val="none"/>
        </w:rPr>
        <w:t>单位名称（盖章）：</w:t>
      </w:r>
    </w:p>
    <w:p>
      <w:pPr>
        <w:widowControl/>
        <w:adjustRightInd w:val="0"/>
        <w:snapToGrid w:val="0"/>
        <w:spacing w:line="440" w:lineRule="exact"/>
        <w:ind w:firstLine="450" w:firstLineChars="200"/>
        <w:rPr>
          <w:rFonts w:ascii="仿宋" w:hAnsi="仿宋" w:eastAsia="仿宋" w:cs="仿宋"/>
          <w:color w:val="auto"/>
          <w:spacing w:val="6"/>
          <w:highlight w:val="none"/>
        </w:rPr>
      </w:pPr>
      <w:r>
        <w:rPr>
          <w:rFonts w:hint="eastAsia" w:ascii="仿宋" w:hAnsi="仿宋" w:eastAsia="仿宋" w:cs="仿宋"/>
          <w:color w:val="auto"/>
          <w:spacing w:val="6"/>
          <w:highlight w:val="none"/>
        </w:rPr>
        <w:t xml:space="preserve">                                      日  期：</w:t>
      </w:r>
    </w:p>
    <w:p>
      <w:pPr>
        <w:pStyle w:val="65"/>
        <w:spacing w:after="240" w:line="240" w:lineRule="auto"/>
        <w:ind w:firstLine="0"/>
        <w:jc w:val="both"/>
        <w:rPr>
          <w:rFonts w:ascii="仿宋" w:hAnsi="仿宋" w:eastAsia="仿宋" w:cs="仿宋"/>
          <w:color w:val="auto"/>
          <w:sz w:val="36"/>
          <w:szCs w:val="36"/>
          <w:highlight w:val="none"/>
          <w:lang w:eastAsia="zh-CN"/>
        </w:rPr>
      </w:pPr>
    </w:p>
    <w:p>
      <w:pPr>
        <w:pStyle w:val="65"/>
        <w:spacing w:after="240" w:line="240" w:lineRule="auto"/>
        <w:ind w:firstLine="0"/>
        <w:jc w:val="both"/>
        <w:rPr>
          <w:rFonts w:ascii="仿宋" w:hAnsi="仿宋" w:eastAsia="仿宋" w:cs="仿宋"/>
          <w:color w:val="auto"/>
          <w:sz w:val="36"/>
          <w:szCs w:val="36"/>
          <w:highlight w:val="none"/>
          <w:lang w:eastAsia="zh-CN"/>
        </w:rPr>
      </w:pPr>
    </w:p>
    <w:p>
      <w:pPr>
        <w:pStyle w:val="65"/>
        <w:spacing w:after="240" w:line="240" w:lineRule="auto"/>
        <w:ind w:firstLine="0"/>
        <w:jc w:val="center"/>
        <w:rPr>
          <w:rFonts w:ascii="仿宋" w:hAnsi="仿宋" w:eastAsia="仿宋" w:cs="仿宋"/>
          <w:b/>
          <w:bCs/>
          <w:color w:val="auto"/>
          <w:sz w:val="36"/>
          <w:szCs w:val="36"/>
          <w:highlight w:val="none"/>
          <w:lang w:eastAsia="zh-CN"/>
        </w:rPr>
      </w:pPr>
    </w:p>
    <w:p>
      <w:pPr>
        <w:pStyle w:val="65"/>
        <w:spacing w:after="240" w:line="240" w:lineRule="auto"/>
        <w:ind w:firstLine="0"/>
        <w:jc w:val="center"/>
        <w:rPr>
          <w:rFonts w:ascii="仿宋" w:hAnsi="仿宋" w:eastAsia="仿宋" w:cs="仿宋"/>
          <w:b/>
          <w:bCs/>
          <w:color w:val="auto"/>
          <w:sz w:val="36"/>
          <w:szCs w:val="36"/>
          <w:highlight w:val="none"/>
          <w:lang w:eastAsia="zh-CN"/>
        </w:rPr>
      </w:pPr>
    </w:p>
    <w:p>
      <w:pPr>
        <w:pStyle w:val="65"/>
        <w:spacing w:after="240" w:line="240" w:lineRule="auto"/>
        <w:ind w:firstLine="0"/>
        <w:jc w:val="center"/>
        <w:rPr>
          <w:rFonts w:ascii="仿宋" w:hAnsi="仿宋" w:eastAsia="仿宋" w:cs="仿宋"/>
          <w:b/>
          <w:bCs/>
          <w:color w:val="auto"/>
          <w:sz w:val="36"/>
          <w:szCs w:val="36"/>
          <w:highlight w:val="none"/>
          <w:lang w:eastAsia="zh-CN"/>
        </w:rPr>
      </w:pPr>
    </w:p>
    <w:p>
      <w:pPr>
        <w:pStyle w:val="65"/>
        <w:spacing w:after="240" w:line="240" w:lineRule="auto"/>
        <w:ind w:firstLine="0"/>
        <w:jc w:val="center"/>
        <w:rPr>
          <w:rFonts w:ascii="仿宋" w:hAnsi="仿宋" w:eastAsia="仿宋" w:cs="仿宋"/>
          <w:b/>
          <w:bCs/>
          <w:color w:val="auto"/>
          <w:sz w:val="36"/>
          <w:szCs w:val="36"/>
          <w:highlight w:val="none"/>
          <w:lang w:eastAsia="zh-CN"/>
        </w:rPr>
      </w:pPr>
    </w:p>
    <w:p>
      <w:pPr>
        <w:pStyle w:val="65"/>
        <w:spacing w:after="240" w:line="240" w:lineRule="auto"/>
        <w:ind w:firstLine="0"/>
        <w:jc w:val="center"/>
        <w:rPr>
          <w:rFonts w:ascii="仿宋" w:hAnsi="仿宋" w:eastAsia="仿宋" w:cs="仿宋"/>
          <w:b/>
          <w:bCs/>
          <w:color w:val="auto"/>
          <w:sz w:val="36"/>
          <w:szCs w:val="36"/>
          <w:highlight w:val="none"/>
          <w:lang w:eastAsia="zh-CN"/>
        </w:rPr>
      </w:pPr>
    </w:p>
    <w:p>
      <w:pPr>
        <w:pStyle w:val="65"/>
        <w:spacing w:after="240" w:line="240" w:lineRule="auto"/>
        <w:ind w:firstLine="0"/>
        <w:jc w:val="center"/>
        <w:rPr>
          <w:rFonts w:ascii="仿宋" w:hAnsi="仿宋" w:eastAsia="仿宋" w:cs="仿宋"/>
          <w:b/>
          <w:bCs/>
          <w:color w:val="auto"/>
          <w:sz w:val="36"/>
          <w:szCs w:val="36"/>
          <w:highlight w:val="none"/>
          <w:lang w:eastAsia="zh-CN"/>
        </w:rPr>
      </w:pPr>
    </w:p>
    <w:p>
      <w:pPr>
        <w:pStyle w:val="65"/>
        <w:spacing w:after="240" w:line="240" w:lineRule="auto"/>
        <w:ind w:firstLine="0"/>
        <w:jc w:val="center"/>
        <w:rPr>
          <w:rFonts w:ascii="仿宋" w:hAnsi="仿宋" w:eastAsia="仿宋" w:cs="仿宋"/>
          <w:b/>
          <w:bCs/>
          <w:color w:val="auto"/>
          <w:sz w:val="36"/>
          <w:szCs w:val="36"/>
          <w:highlight w:val="none"/>
          <w:lang w:eastAsia="zh-CN"/>
        </w:rPr>
      </w:pPr>
    </w:p>
    <w:p>
      <w:pPr>
        <w:pStyle w:val="65"/>
        <w:spacing w:after="240" w:line="240" w:lineRule="auto"/>
        <w:ind w:firstLine="0"/>
        <w:jc w:val="center"/>
        <w:rPr>
          <w:rFonts w:ascii="仿宋" w:hAnsi="仿宋" w:eastAsia="仿宋" w:cs="仿宋"/>
          <w:b/>
          <w:bCs/>
          <w:color w:val="auto"/>
          <w:sz w:val="36"/>
          <w:szCs w:val="36"/>
          <w:highlight w:val="none"/>
          <w:lang w:eastAsia="zh-CN"/>
        </w:rPr>
      </w:pPr>
    </w:p>
    <w:p>
      <w:pPr>
        <w:pStyle w:val="65"/>
        <w:spacing w:after="240" w:line="240" w:lineRule="auto"/>
        <w:ind w:firstLine="0"/>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lang w:eastAsia="zh-CN"/>
        </w:rPr>
        <w:t>十二、</w:t>
      </w:r>
      <w:r>
        <w:rPr>
          <w:rFonts w:hint="eastAsia" w:ascii="仿宋" w:hAnsi="仿宋" w:eastAsia="仿宋" w:cs="仿宋"/>
          <w:b/>
          <w:bCs/>
          <w:color w:val="auto"/>
          <w:sz w:val="36"/>
          <w:szCs w:val="36"/>
          <w:highlight w:val="none"/>
        </w:rPr>
        <w:t>其他商务资格证明资料</w:t>
      </w:r>
    </w:p>
    <w:p>
      <w:pPr>
        <w:pStyle w:val="65"/>
        <w:spacing w:after="240" w:line="240" w:lineRule="auto"/>
        <w:ind w:firstLine="0"/>
        <w:jc w:val="center"/>
        <w:rPr>
          <w:rFonts w:ascii="仿宋" w:hAnsi="仿宋" w:eastAsia="仿宋" w:cs="仿宋"/>
          <w:b/>
          <w:bCs/>
          <w:color w:val="auto"/>
          <w:sz w:val="36"/>
          <w:szCs w:val="36"/>
          <w:highlight w:val="none"/>
          <w:lang w:eastAsia="zh-CN"/>
        </w:rPr>
      </w:pPr>
    </w:p>
    <w:p>
      <w:pPr>
        <w:pStyle w:val="65"/>
        <w:spacing w:after="240" w:line="240" w:lineRule="auto"/>
        <w:ind w:firstLine="0"/>
        <w:jc w:val="center"/>
        <w:rPr>
          <w:rFonts w:ascii="仿宋" w:hAnsi="仿宋" w:eastAsia="仿宋" w:cs="仿宋"/>
          <w:b/>
          <w:bCs/>
          <w:color w:val="auto"/>
          <w:sz w:val="36"/>
          <w:szCs w:val="36"/>
          <w:highlight w:val="none"/>
          <w:lang w:eastAsia="zh-CN"/>
        </w:rPr>
      </w:pPr>
    </w:p>
    <w:p>
      <w:pPr>
        <w:pStyle w:val="65"/>
        <w:spacing w:after="240" w:line="240" w:lineRule="auto"/>
        <w:ind w:firstLine="0"/>
        <w:jc w:val="center"/>
        <w:rPr>
          <w:rFonts w:ascii="仿宋" w:hAnsi="仿宋" w:eastAsia="仿宋" w:cs="仿宋"/>
          <w:b/>
          <w:bCs/>
          <w:color w:val="auto"/>
          <w:sz w:val="36"/>
          <w:szCs w:val="36"/>
          <w:highlight w:val="none"/>
          <w:lang w:eastAsia="zh-CN"/>
        </w:rPr>
      </w:pPr>
    </w:p>
    <w:p>
      <w:pPr>
        <w:pStyle w:val="65"/>
        <w:spacing w:after="240" w:line="240" w:lineRule="auto"/>
        <w:ind w:firstLine="0"/>
        <w:jc w:val="center"/>
        <w:rPr>
          <w:rFonts w:ascii="仿宋" w:hAnsi="仿宋" w:eastAsia="仿宋" w:cs="仿宋"/>
          <w:b/>
          <w:bCs/>
          <w:color w:val="auto"/>
          <w:sz w:val="36"/>
          <w:szCs w:val="36"/>
          <w:highlight w:val="none"/>
          <w:lang w:eastAsia="zh-CN"/>
        </w:rPr>
      </w:pPr>
    </w:p>
    <w:p>
      <w:pPr>
        <w:pStyle w:val="65"/>
        <w:spacing w:after="240" w:line="240" w:lineRule="auto"/>
        <w:ind w:firstLine="0"/>
        <w:jc w:val="center"/>
        <w:rPr>
          <w:rFonts w:ascii="仿宋" w:hAnsi="仿宋" w:eastAsia="仿宋" w:cs="仿宋"/>
          <w:b/>
          <w:bCs/>
          <w:color w:val="auto"/>
          <w:sz w:val="36"/>
          <w:szCs w:val="36"/>
          <w:highlight w:val="none"/>
          <w:lang w:eastAsia="zh-CN"/>
        </w:rPr>
      </w:pPr>
    </w:p>
    <w:p>
      <w:pPr>
        <w:pStyle w:val="65"/>
        <w:spacing w:after="240" w:line="240" w:lineRule="auto"/>
        <w:ind w:firstLine="0"/>
        <w:jc w:val="center"/>
        <w:rPr>
          <w:rFonts w:ascii="仿宋" w:hAnsi="仿宋" w:eastAsia="仿宋" w:cs="仿宋"/>
          <w:b/>
          <w:bCs/>
          <w:color w:val="auto"/>
          <w:sz w:val="36"/>
          <w:szCs w:val="36"/>
          <w:highlight w:val="none"/>
          <w:lang w:eastAsia="zh-CN"/>
        </w:rPr>
      </w:pPr>
    </w:p>
    <w:p>
      <w:pPr>
        <w:pStyle w:val="65"/>
        <w:spacing w:after="240" w:line="240" w:lineRule="auto"/>
        <w:ind w:firstLine="0"/>
        <w:jc w:val="center"/>
        <w:rPr>
          <w:rFonts w:ascii="仿宋" w:hAnsi="仿宋" w:eastAsia="仿宋" w:cs="仿宋"/>
          <w:b/>
          <w:bCs/>
          <w:color w:val="auto"/>
          <w:sz w:val="36"/>
          <w:szCs w:val="36"/>
          <w:highlight w:val="none"/>
          <w:lang w:eastAsia="zh-CN"/>
        </w:rPr>
      </w:pPr>
    </w:p>
    <w:p>
      <w:pPr>
        <w:pStyle w:val="9"/>
        <w:numPr>
          <w:ilvl w:val="0"/>
          <w:numId w:val="0"/>
        </w:numPr>
        <w:kinsoku w:val="0"/>
        <w:overflowPunct w:val="0"/>
        <w:spacing w:before="34" w:line="357" w:lineRule="auto"/>
        <w:ind w:left="480" w:right="126"/>
        <w:jc w:val="center"/>
        <w:rPr>
          <w:rFonts w:ascii="仿宋" w:hAnsi="仿宋" w:eastAsia="仿宋" w:cs="仿宋"/>
          <w:b/>
          <w:bCs/>
          <w:color w:val="auto"/>
          <w:sz w:val="36"/>
          <w:szCs w:val="36"/>
          <w:highlight w:val="none"/>
        </w:rPr>
      </w:pPr>
    </w:p>
    <w:p>
      <w:pPr>
        <w:pStyle w:val="9"/>
        <w:numPr>
          <w:ilvl w:val="0"/>
          <w:numId w:val="0"/>
        </w:numPr>
        <w:kinsoku w:val="0"/>
        <w:overflowPunct w:val="0"/>
        <w:spacing w:before="34" w:line="357" w:lineRule="auto"/>
        <w:ind w:left="480" w:right="126"/>
        <w:jc w:val="center"/>
        <w:rPr>
          <w:rFonts w:ascii="仿宋" w:hAnsi="仿宋" w:eastAsia="仿宋" w:cs="仿宋"/>
          <w:b/>
          <w:bCs/>
          <w:color w:val="auto"/>
          <w:sz w:val="36"/>
          <w:szCs w:val="36"/>
          <w:highlight w:val="none"/>
        </w:rPr>
      </w:pPr>
    </w:p>
    <w:p>
      <w:pPr>
        <w:pStyle w:val="9"/>
        <w:numPr>
          <w:ilvl w:val="0"/>
          <w:numId w:val="0"/>
        </w:numPr>
        <w:kinsoku w:val="0"/>
        <w:overflowPunct w:val="0"/>
        <w:spacing w:before="34" w:line="357" w:lineRule="auto"/>
        <w:ind w:left="480" w:right="126"/>
        <w:jc w:val="center"/>
        <w:rPr>
          <w:rFonts w:ascii="仿宋" w:hAnsi="仿宋" w:eastAsia="仿宋" w:cs="仿宋"/>
          <w:b/>
          <w:bCs/>
          <w:color w:val="auto"/>
          <w:sz w:val="36"/>
          <w:szCs w:val="36"/>
          <w:highlight w:val="none"/>
        </w:rPr>
      </w:pPr>
    </w:p>
    <w:p>
      <w:pPr>
        <w:pStyle w:val="9"/>
        <w:numPr>
          <w:ilvl w:val="0"/>
          <w:numId w:val="0"/>
        </w:numPr>
        <w:kinsoku w:val="0"/>
        <w:overflowPunct w:val="0"/>
        <w:spacing w:before="34" w:line="357" w:lineRule="auto"/>
        <w:ind w:left="480" w:right="126"/>
        <w:jc w:val="center"/>
        <w:rPr>
          <w:rFonts w:ascii="仿宋" w:hAnsi="仿宋" w:eastAsia="仿宋" w:cs="仿宋"/>
          <w:b/>
          <w:bCs/>
          <w:color w:val="auto"/>
          <w:sz w:val="36"/>
          <w:szCs w:val="36"/>
          <w:highlight w:val="none"/>
        </w:rPr>
      </w:pPr>
    </w:p>
    <w:p>
      <w:pPr>
        <w:pStyle w:val="9"/>
        <w:numPr>
          <w:ilvl w:val="0"/>
          <w:numId w:val="0"/>
        </w:numPr>
        <w:kinsoku w:val="0"/>
        <w:overflowPunct w:val="0"/>
        <w:spacing w:before="34" w:line="357" w:lineRule="auto"/>
        <w:ind w:left="480" w:right="126"/>
        <w:jc w:val="center"/>
        <w:rPr>
          <w:rFonts w:ascii="仿宋" w:hAnsi="仿宋" w:eastAsia="仿宋" w:cs="仿宋"/>
          <w:b/>
          <w:bCs/>
          <w:color w:val="auto"/>
          <w:sz w:val="36"/>
          <w:szCs w:val="36"/>
          <w:highlight w:val="none"/>
        </w:rPr>
      </w:pPr>
    </w:p>
    <w:p>
      <w:pPr>
        <w:pStyle w:val="9"/>
        <w:numPr>
          <w:ilvl w:val="0"/>
          <w:numId w:val="0"/>
        </w:numPr>
        <w:kinsoku w:val="0"/>
        <w:overflowPunct w:val="0"/>
        <w:spacing w:before="34" w:line="357" w:lineRule="auto"/>
        <w:ind w:left="480" w:right="126"/>
        <w:jc w:val="center"/>
        <w:rPr>
          <w:rFonts w:ascii="仿宋" w:hAnsi="仿宋" w:eastAsia="仿宋" w:cs="仿宋"/>
          <w:b/>
          <w:bCs/>
          <w:color w:val="auto"/>
          <w:sz w:val="36"/>
          <w:szCs w:val="36"/>
          <w:highlight w:val="none"/>
        </w:rPr>
      </w:pPr>
    </w:p>
    <w:p>
      <w:pPr>
        <w:pStyle w:val="9"/>
        <w:numPr>
          <w:ilvl w:val="0"/>
          <w:numId w:val="0"/>
        </w:numPr>
        <w:kinsoku w:val="0"/>
        <w:overflowPunct w:val="0"/>
        <w:spacing w:before="34" w:line="357" w:lineRule="auto"/>
        <w:ind w:left="480" w:right="126"/>
        <w:jc w:val="center"/>
        <w:rPr>
          <w:rFonts w:ascii="仿宋" w:hAnsi="仿宋" w:eastAsia="仿宋" w:cs="仿宋"/>
          <w:b/>
          <w:bCs/>
          <w:color w:val="auto"/>
          <w:sz w:val="36"/>
          <w:szCs w:val="36"/>
          <w:highlight w:val="none"/>
        </w:rPr>
      </w:pPr>
    </w:p>
    <w:p>
      <w:pPr>
        <w:pStyle w:val="9"/>
        <w:numPr>
          <w:ilvl w:val="0"/>
          <w:numId w:val="0"/>
        </w:numPr>
        <w:kinsoku w:val="0"/>
        <w:overflowPunct w:val="0"/>
        <w:spacing w:before="34" w:line="357" w:lineRule="auto"/>
        <w:ind w:left="480" w:right="126"/>
        <w:jc w:val="center"/>
        <w:rPr>
          <w:rFonts w:ascii="仿宋" w:hAnsi="仿宋" w:eastAsia="仿宋" w:cs="仿宋"/>
          <w:b/>
          <w:bCs/>
          <w:color w:val="auto"/>
          <w:sz w:val="36"/>
          <w:szCs w:val="36"/>
          <w:highlight w:val="none"/>
        </w:rPr>
      </w:pPr>
    </w:p>
    <w:p>
      <w:pPr>
        <w:pStyle w:val="9"/>
        <w:numPr>
          <w:ilvl w:val="0"/>
          <w:numId w:val="0"/>
        </w:numPr>
        <w:kinsoku w:val="0"/>
        <w:overflowPunct w:val="0"/>
        <w:spacing w:before="34" w:line="357" w:lineRule="auto"/>
        <w:ind w:right="126"/>
        <w:jc w:val="center"/>
        <w:rPr>
          <w:rFonts w:ascii="仿宋" w:hAnsi="仿宋" w:eastAsia="仿宋" w:cs="仿宋"/>
          <w:b/>
          <w:bCs/>
          <w:color w:val="auto"/>
          <w:highlight w:val="none"/>
        </w:rPr>
      </w:pPr>
      <w:r>
        <w:rPr>
          <w:rFonts w:hint="eastAsia" w:ascii="仿宋" w:hAnsi="仿宋" w:eastAsia="仿宋" w:cs="仿宋"/>
          <w:b/>
          <w:bCs/>
          <w:color w:val="auto"/>
          <w:sz w:val="36"/>
          <w:szCs w:val="36"/>
          <w:highlight w:val="none"/>
        </w:rPr>
        <w:t>技术部分</w:t>
      </w:r>
    </w:p>
    <w:p>
      <w:pPr>
        <w:rPr>
          <w:rFonts w:ascii="仿宋" w:hAnsi="仿宋" w:eastAsia="仿宋" w:cs="仿宋"/>
          <w:b/>
          <w:color w:val="auto"/>
          <w:highlight w:val="none"/>
        </w:rPr>
      </w:pPr>
      <w:r>
        <w:rPr>
          <w:rFonts w:hint="eastAsia" w:ascii="仿宋" w:hAnsi="仿宋" w:eastAsia="仿宋" w:cs="仿宋"/>
          <w:b/>
          <w:color w:val="auto"/>
          <w:highlight w:val="none"/>
        </w:rPr>
        <w:t>1、技术参数响应表</w:t>
      </w:r>
    </w:p>
    <w:p>
      <w:pPr>
        <w:pStyle w:val="66"/>
        <w:spacing w:after="0"/>
        <w:ind w:firstLine="420"/>
        <w:jc w:val="center"/>
        <w:rPr>
          <w:rFonts w:ascii="仿宋" w:hAnsi="仿宋" w:eastAsia="仿宋" w:cs="仿宋"/>
          <w:color w:val="auto"/>
          <w:sz w:val="36"/>
          <w:szCs w:val="36"/>
          <w:highlight w:val="none"/>
          <w:lang w:eastAsia="zh-CN"/>
        </w:rPr>
      </w:pPr>
    </w:p>
    <w:tbl>
      <w:tblPr>
        <w:tblStyle w:val="24"/>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104"/>
        <w:gridCol w:w="1299"/>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auto"/>
                <w:spacing w:val="-1"/>
                <w:highlight w:val="none"/>
              </w:rPr>
            </w:pPr>
            <w:r>
              <w:rPr>
                <w:rFonts w:hint="eastAsia" w:ascii="仿宋" w:hAnsi="仿宋" w:eastAsia="仿宋" w:cs="仿宋"/>
                <w:color w:val="auto"/>
                <w:spacing w:val="-1"/>
                <w:highlight w:val="none"/>
              </w:rPr>
              <w:t>序号</w:t>
            </w:r>
          </w:p>
        </w:tc>
        <w:tc>
          <w:tcPr>
            <w:tcW w:w="2154" w:type="dxa"/>
            <w:vAlign w:val="center"/>
          </w:tcPr>
          <w:p>
            <w:pPr>
              <w:rPr>
                <w:rFonts w:ascii="仿宋" w:hAnsi="仿宋" w:eastAsia="仿宋" w:cs="仿宋"/>
                <w:color w:val="auto"/>
                <w:spacing w:val="-1"/>
                <w:highlight w:val="none"/>
              </w:rPr>
            </w:pPr>
            <w:r>
              <w:rPr>
                <w:rFonts w:hint="eastAsia" w:ascii="仿宋" w:hAnsi="仿宋" w:eastAsia="仿宋" w:cs="仿宋"/>
                <w:color w:val="auto"/>
                <w:spacing w:val="-1"/>
                <w:highlight w:val="none"/>
              </w:rPr>
              <w:t>一般</w:t>
            </w:r>
            <w:r>
              <w:rPr>
                <w:rFonts w:hint="eastAsia" w:ascii="仿宋" w:hAnsi="仿宋" w:eastAsia="仿宋" w:cs="仿宋"/>
                <w:color w:val="auto"/>
                <w:spacing w:val="-1"/>
                <w:highlight w:val="none"/>
                <w:lang w:eastAsia="zh-CN"/>
              </w:rPr>
              <w:t>技术</w:t>
            </w:r>
            <w:r>
              <w:rPr>
                <w:rFonts w:hint="eastAsia" w:ascii="仿宋" w:hAnsi="仿宋" w:eastAsia="仿宋" w:cs="仿宋"/>
                <w:color w:val="auto"/>
                <w:spacing w:val="-1"/>
                <w:highlight w:val="none"/>
              </w:rPr>
              <w:t>条款序号</w:t>
            </w:r>
          </w:p>
        </w:tc>
        <w:tc>
          <w:tcPr>
            <w:tcW w:w="2104" w:type="dxa"/>
            <w:vAlign w:val="center"/>
          </w:tcPr>
          <w:p>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条款内容</w:t>
            </w:r>
          </w:p>
        </w:tc>
        <w:tc>
          <w:tcPr>
            <w:tcW w:w="1299" w:type="dxa"/>
            <w:vAlign w:val="center"/>
          </w:tcPr>
          <w:p>
            <w:pPr>
              <w:rPr>
                <w:rFonts w:ascii="仿宋" w:hAnsi="仿宋" w:eastAsia="仿宋" w:cs="仿宋"/>
                <w:color w:val="auto"/>
                <w:spacing w:val="-1"/>
                <w:highlight w:val="none"/>
              </w:rPr>
            </w:pPr>
            <w:r>
              <w:rPr>
                <w:rFonts w:hint="eastAsia" w:ascii="仿宋" w:hAnsi="仿宋" w:eastAsia="仿宋" w:cs="仿宋"/>
                <w:color w:val="auto"/>
                <w:spacing w:val="-1"/>
                <w:highlight w:val="none"/>
              </w:rPr>
              <w:t>是否响应</w:t>
            </w:r>
          </w:p>
        </w:tc>
        <w:tc>
          <w:tcPr>
            <w:tcW w:w="2658" w:type="dxa"/>
            <w:vAlign w:val="center"/>
          </w:tcPr>
          <w:p>
            <w:pPr>
              <w:rPr>
                <w:rFonts w:ascii="仿宋" w:hAnsi="仿宋" w:eastAsia="仿宋" w:cs="仿宋"/>
                <w:color w:val="auto"/>
                <w:spacing w:val="-1"/>
                <w:highlight w:val="none"/>
              </w:rPr>
            </w:pPr>
            <w:r>
              <w:rPr>
                <w:rFonts w:hint="eastAsia" w:ascii="仿宋" w:hAnsi="仿宋" w:eastAsia="仿宋" w:cs="仿宋"/>
                <w:color w:val="auto"/>
                <w:spacing w:val="-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auto"/>
                <w:spacing w:val="-1"/>
                <w:highlight w:val="none"/>
              </w:rPr>
            </w:pPr>
            <w:r>
              <w:rPr>
                <w:rFonts w:hint="eastAsia" w:ascii="仿宋" w:hAnsi="仿宋" w:eastAsia="仿宋" w:cs="仿宋"/>
                <w:color w:val="auto"/>
                <w:spacing w:val="-1"/>
                <w:highlight w:val="none"/>
              </w:rPr>
              <w:t>1</w:t>
            </w:r>
          </w:p>
        </w:tc>
        <w:tc>
          <w:tcPr>
            <w:tcW w:w="2154" w:type="dxa"/>
            <w:vAlign w:val="center"/>
          </w:tcPr>
          <w:p>
            <w:pPr>
              <w:rPr>
                <w:rFonts w:ascii="仿宋" w:hAnsi="仿宋" w:eastAsia="仿宋" w:cs="仿宋"/>
                <w:color w:val="auto"/>
                <w:spacing w:val="-1"/>
                <w:highlight w:val="none"/>
              </w:rPr>
            </w:pPr>
          </w:p>
        </w:tc>
        <w:tc>
          <w:tcPr>
            <w:tcW w:w="2104" w:type="dxa"/>
            <w:vAlign w:val="center"/>
          </w:tcPr>
          <w:p>
            <w:pPr>
              <w:rPr>
                <w:rFonts w:ascii="仿宋" w:hAnsi="仿宋" w:eastAsia="仿宋" w:cs="仿宋"/>
                <w:color w:val="auto"/>
                <w:spacing w:val="-1"/>
                <w:highlight w:val="none"/>
              </w:rPr>
            </w:pPr>
          </w:p>
        </w:tc>
        <w:tc>
          <w:tcPr>
            <w:tcW w:w="1299" w:type="dxa"/>
            <w:vAlign w:val="center"/>
          </w:tcPr>
          <w:p>
            <w:pPr>
              <w:rPr>
                <w:rFonts w:ascii="仿宋" w:hAnsi="仿宋" w:eastAsia="仿宋" w:cs="仿宋"/>
                <w:color w:val="auto"/>
                <w:spacing w:val="-1"/>
                <w:highlight w:val="none"/>
              </w:rPr>
            </w:pPr>
          </w:p>
        </w:tc>
        <w:tc>
          <w:tcPr>
            <w:tcW w:w="2658" w:type="dxa"/>
            <w:vAlign w:val="center"/>
          </w:tcPr>
          <w:p>
            <w:pPr>
              <w:rPr>
                <w:rFonts w:ascii="仿宋" w:hAnsi="仿宋" w:eastAsia="仿宋" w:cs="仿宋"/>
                <w:color w:val="auto"/>
                <w:spacing w:val="-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auto"/>
                <w:spacing w:val="-1"/>
                <w:highlight w:val="none"/>
              </w:rPr>
            </w:pPr>
            <w:r>
              <w:rPr>
                <w:rFonts w:hint="eastAsia" w:ascii="仿宋" w:hAnsi="仿宋" w:eastAsia="仿宋" w:cs="仿宋"/>
                <w:color w:val="auto"/>
                <w:spacing w:val="-1"/>
                <w:highlight w:val="none"/>
              </w:rPr>
              <w:t>2</w:t>
            </w:r>
          </w:p>
        </w:tc>
        <w:tc>
          <w:tcPr>
            <w:tcW w:w="2154" w:type="dxa"/>
            <w:vAlign w:val="center"/>
          </w:tcPr>
          <w:p>
            <w:pPr>
              <w:rPr>
                <w:rFonts w:ascii="仿宋" w:hAnsi="仿宋" w:eastAsia="仿宋" w:cs="仿宋"/>
                <w:color w:val="auto"/>
                <w:spacing w:val="-1"/>
                <w:highlight w:val="none"/>
              </w:rPr>
            </w:pPr>
          </w:p>
        </w:tc>
        <w:tc>
          <w:tcPr>
            <w:tcW w:w="2104" w:type="dxa"/>
            <w:vAlign w:val="center"/>
          </w:tcPr>
          <w:p>
            <w:pPr>
              <w:rPr>
                <w:rFonts w:ascii="仿宋" w:hAnsi="仿宋" w:eastAsia="仿宋" w:cs="仿宋"/>
                <w:color w:val="auto"/>
                <w:spacing w:val="-1"/>
                <w:highlight w:val="none"/>
              </w:rPr>
            </w:pPr>
          </w:p>
        </w:tc>
        <w:tc>
          <w:tcPr>
            <w:tcW w:w="1299" w:type="dxa"/>
            <w:vAlign w:val="center"/>
          </w:tcPr>
          <w:p>
            <w:pPr>
              <w:rPr>
                <w:rFonts w:ascii="仿宋" w:hAnsi="仿宋" w:eastAsia="仿宋" w:cs="仿宋"/>
                <w:color w:val="auto"/>
                <w:spacing w:val="-1"/>
                <w:highlight w:val="none"/>
              </w:rPr>
            </w:pPr>
          </w:p>
        </w:tc>
        <w:tc>
          <w:tcPr>
            <w:tcW w:w="2658" w:type="dxa"/>
            <w:vAlign w:val="center"/>
          </w:tcPr>
          <w:p>
            <w:pPr>
              <w:rPr>
                <w:rFonts w:ascii="仿宋" w:hAnsi="仿宋" w:eastAsia="仿宋" w:cs="仿宋"/>
                <w:color w:val="auto"/>
                <w:spacing w:val="-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auto"/>
                <w:spacing w:val="-1"/>
                <w:highlight w:val="none"/>
              </w:rPr>
            </w:pPr>
            <w:r>
              <w:rPr>
                <w:rFonts w:hint="eastAsia" w:ascii="仿宋" w:hAnsi="仿宋" w:eastAsia="仿宋" w:cs="仿宋"/>
                <w:color w:val="auto"/>
                <w:spacing w:val="-1"/>
                <w:highlight w:val="none"/>
              </w:rPr>
              <w:t>3</w:t>
            </w:r>
          </w:p>
        </w:tc>
        <w:tc>
          <w:tcPr>
            <w:tcW w:w="2154" w:type="dxa"/>
            <w:vAlign w:val="center"/>
          </w:tcPr>
          <w:p>
            <w:pPr>
              <w:rPr>
                <w:rFonts w:ascii="仿宋" w:hAnsi="仿宋" w:eastAsia="仿宋" w:cs="仿宋"/>
                <w:color w:val="auto"/>
                <w:spacing w:val="-1"/>
                <w:highlight w:val="none"/>
              </w:rPr>
            </w:pPr>
          </w:p>
        </w:tc>
        <w:tc>
          <w:tcPr>
            <w:tcW w:w="2104" w:type="dxa"/>
            <w:vAlign w:val="center"/>
          </w:tcPr>
          <w:p>
            <w:pPr>
              <w:rPr>
                <w:rFonts w:ascii="仿宋" w:hAnsi="仿宋" w:eastAsia="仿宋" w:cs="仿宋"/>
                <w:color w:val="auto"/>
                <w:spacing w:val="-1"/>
                <w:highlight w:val="none"/>
              </w:rPr>
            </w:pPr>
          </w:p>
        </w:tc>
        <w:tc>
          <w:tcPr>
            <w:tcW w:w="1299" w:type="dxa"/>
            <w:vAlign w:val="center"/>
          </w:tcPr>
          <w:p>
            <w:pPr>
              <w:rPr>
                <w:rFonts w:ascii="仿宋" w:hAnsi="仿宋" w:eastAsia="仿宋" w:cs="仿宋"/>
                <w:color w:val="auto"/>
                <w:spacing w:val="-1"/>
                <w:highlight w:val="none"/>
              </w:rPr>
            </w:pPr>
          </w:p>
        </w:tc>
        <w:tc>
          <w:tcPr>
            <w:tcW w:w="2658" w:type="dxa"/>
            <w:vAlign w:val="center"/>
          </w:tcPr>
          <w:p>
            <w:pPr>
              <w:rPr>
                <w:rFonts w:ascii="仿宋" w:hAnsi="仿宋" w:eastAsia="仿宋" w:cs="仿宋"/>
                <w:color w:val="auto"/>
                <w:spacing w:val="-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auto"/>
                <w:spacing w:val="-1"/>
                <w:highlight w:val="none"/>
              </w:rPr>
            </w:pPr>
            <w:r>
              <w:rPr>
                <w:rFonts w:hint="eastAsia" w:ascii="仿宋" w:hAnsi="仿宋" w:eastAsia="仿宋" w:cs="仿宋"/>
                <w:color w:val="auto"/>
                <w:spacing w:val="-1"/>
                <w:highlight w:val="none"/>
              </w:rPr>
              <w:t>4</w:t>
            </w:r>
          </w:p>
        </w:tc>
        <w:tc>
          <w:tcPr>
            <w:tcW w:w="2154" w:type="dxa"/>
            <w:vAlign w:val="center"/>
          </w:tcPr>
          <w:p>
            <w:pPr>
              <w:rPr>
                <w:rFonts w:ascii="仿宋" w:hAnsi="仿宋" w:eastAsia="仿宋" w:cs="仿宋"/>
                <w:color w:val="auto"/>
                <w:spacing w:val="-1"/>
                <w:highlight w:val="none"/>
              </w:rPr>
            </w:pPr>
          </w:p>
        </w:tc>
        <w:tc>
          <w:tcPr>
            <w:tcW w:w="2104" w:type="dxa"/>
            <w:vAlign w:val="center"/>
          </w:tcPr>
          <w:p>
            <w:pPr>
              <w:rPr>
                <w:rFonts w:ascii="仿宋" w:hAnsi="仿宋" w:eastAsia="仿宋" w:cs="仿宋"/>
                <w:color w:val="auto"/>
                <w:spacing w:val="-1"/>
                <w:highlight w:val="none"/>
              </w:rPr>
            </w:pPr>
          </w:p>
        </w:tc>
        <w:tc>
          <w:tcPr>
            <w:tcW w:w="1299" w:type="dxa"/>
            <w:vAlign w:val="center"/>
          </w:tcPr>
          <w:p>
            <w:pPr>
              <w:rPr>
                <w:rFonts w:ascii="仿宋" w:hAnsi="仿宋" w:eastAsia="仿宋" w:cs="仿宋"/>
                <w:color w:val="auto"/>
                <w:spacing w:val="-1"/>
                <w:highlight w:val="none"/>
              </w:rPr>
            </w:pPr>
          </w:p>
        </w:tc>
        <w:tc>
          <w:tcPr>
            <w:tcW w:w="2658" w:type="dxa"/>
            <w:vAlign w:val="center"/>
          </w:tcPr>
          <w:p>
            <w:pPr>
              <w:rPr>
                <w:rFonts w:ascii="仿宋" w:hAnsi="仿宋" w:eastAsia="仿宋" w:cs="仿宋"/>
                <w:color w:val="auto"/>
                <w:spacing w:val="-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auto"/>
                <w:spacing w:val="-1"/>
                <w:highlight w:val="none"/>
              </w:rPr>
            </w:pPr>
            <w:r>
              <w:rPr>
                <w:rFonts w:hint="eastAsia" w:ascii="仿宋" w:hAnsi="仿宋" w:eastAsia="仿宋" w:cs="仿宋"/>
                <w:color w:val="auto"/>
                <w:spacing w:val="-1"/>
                <w:highlight w:val="none"/>
              </w:rPr>
              <w:t>5</w:t>
            </w:r>
          </w:p>
        </w:tc>
        <w:tc>
          <w:tcPr>
            <w:tcW w:w="2154" w:type="dxa"/>
            <w:vAlign w:val="center"/>
          </w:tcPr>
          <w:p>
            <w:pPr>
              <w:rPr>
                <w:rFonts w:ascii="仿宋" w:hAnsi="仿宋" w:eastAsia="仿宋" w:cs="仿宋"/>
                <w:color w:val="auto"/>
                <w:spacing w:val="-1"/>
                <w:highlight w:val="none"/>
              </w:rPr>
            </w:pPr>
          </w:p>
        </w:tc>
        <w:tc>
          <w:tcPr>
            <w:tcW w:w="2104" w:type="dxa"/>
            <w:vAlign w:val="center"/>
          </w:tcPr>
          <w:p>
            <w:pPr>
              <w:rPr>
                <w:rFonts w:ascii="仿宋" w:hAnsi="仿宋" w:eastAsia="仿宋" w:cs="仿宋"/>
                <w:color w:val="auto"/>
                <w:spacing w:val="-1"/>
                <w:highlight w:val="none"/>
              </w:rPr>
            </w:pPr>
          </w:p>
        </w:tc>
        <w:tc>
          <w:tcPr>
            <w:tcW w:w="1299" w:type="dxa"/>
            <w:vAlign w:val="center"/>
          </w:tcPr>
          <w:p>
            <w:pPr>
              <w:rPr>
                <w:rFonts w:ascii="仿宋" w:hAnsi="仿宋" w:eastAsia="仿宋" w:cs="仿宋"/>
                <w:color w:val="auto"/>
                <w:spacing w:val="-1"/>
                <w:highlight w:val="none"/>
              </w:rPr>
            </w:pPr>
          </w:p>
        </w:tc>
        <w:tc>
          <w:tcPr>
            <w:tcW w:w="2658" w:type="dxa"/>
            <w:vAlign w:val="center"/>
          </w:tcPr>
          <w:p>
            <w:pPr>
              <w:rPr>
                <w:rFonts w:ascii="仿宋" w:hAnsi="仿宋" w:eastAsia="仿宋" w:cs="仿宋"/>
                <w:color w:val="auto"/>
                <w:spacing w:val="-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auto"/>
                <w:spacing w:val="-1"/>
                <w:highlight w:val="none"/>
              </w:rPr>
            </w:pPr>
            <w:r>
              <w:rPr>
                <w:rFonts w:hint="eastAsia" w:ascii="仿宋" w:hAnsi="仿宋" w:eastAsia="仿宋" w:cs="仿宋"/>
                <w:color w:val="auto"/>
                <w:spacing w:val="-1"/>
                <w:highlight w:val="none"/>
              </w:rPr>
              <w:t>6</w:t>
            </w:r>
          </w:p>
        </w:tc>
        <w:tc>
          <w:tcPr>
            <w:tcW w:w="2154" w:type="dxa"/>
            <w:vAlign w:val="center"/>
          </w:tcPr>
          <w:p>
            <w:pPr>
              <w:rPr>
                <w:rFonts w:ascii="仿宋" w:hAnsi="仿宋" w:eastAsia="仿宋" w:cs="仿宋"/>
                <w:color w:val="auto"/>
                <w:spacing w:val="-1"/>
                <w:highlight w:val="none"/>
              </w:rPr>
            </w:pPr>
          </w:p>
        </w:tc>
        <w:tc>
          <w:tcPr>
            <w:tcW w:w="2104" w:type="dxa"/>
            <w:vAlign w:val="center"/>
          </w:tcPr>
          <w:p>
            <w:pPr>
              <w:rPr>
                <w:rFonts w:ascii="仿宋" w:hAnsi="仿宋" w:eastAsia="仿宋" w:cs="仿宋"/>
                <w:color w:val="auto"/>
                <w:spacing w:val="-1"/>
                <w:highlight w:val="none"/>
              </w:rPr>
            </w:pPr>
          </w:p>
        </w:tc>
        <w:tc>
          <w:tcPr>
            <w:tcW w:w="1299" w:type="dxa"/>
            <w:vAlign w:val="center"/>
          </w:tcPr>
          <w:p>
            <w:pPr>
              <w:rPr>
                <w:rFonts w:ascii="仿宋" w:hAnsi="仿宋" w:eastAsia="仿宋" w:cs="仿宋"/>
                <w:color w:val="auto"/>
                <w:spacing w:val="-1"/>
                <w:highlight w:val="none"/>
              </w:rPr>
            </w:pPr>
          </w:p>
        </w:tc>
        <w:tc>
          <w:tcPr>
            <w:tcW w:w="2658" w:type="dxa"/>
            <w:vAlign w:val="center"/>
          </w:tcPr>
          <w:p>
            <w:pPr>
              <w:rPr>
                <w:rFonts w:ascii="仿宋" w:hAnsi="仿宋" w:eastAsia="仿宋" w:cs="仿宋"/>
                <w:color w:val="auto"/>
                <w:spacing w:val="-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auto"/>
                <w:spacing w:val="-1"/>
                <w:highlight w:val="none"/>
              </w:rPr>
            </w:pPr>
            <w:r>
              <w:rPr>
                <w:rFonts w:hint="eastAsia" w:ascii="仿宋" w:hAnsi="仿宋" w:eastAsia="仿宋" w:cs="仿宋"/>
                <w:color w:val="auto"/>
                <w:spacing w:val="-1"/>
                <w:highlight w:val="none"/>
              </w:rPr>
              <w:t>7</w:t>
            </w:r>
          </w:p>
        </w:tc>
        <w:tc>
          <w:tcPr>
            <w:tcW w:w="2154" w:type="dxa"/>
            <w:vAlign w:val="center"/>
          </w:tcPr>
          <w:p>
            <w:pPr>
              <w:rPr>
                <w:rFonts w:ascii="仿宋" w:hAnsi="仿宋" w:eastAsia="仿宋" w:cs="仿宋"/>
                <w:color w:val="auto"/>
                <w:spacing w:val="-1"/>
                <w:highlight w:val="none"/>
              </w:rPr>
            </w:pPr>
          </w:p>
        </w:tc>
        <w:tc>
          <w:tcPr>
            <w:tcW w:w="2104" w:type="dxa"/>
            <w:vAlign w:val="center"/>
          </w:tcPr>
          <w:p>
            <w:pPr>
              <w:rPr>
                <w:rFonts w:ascii="仿宋" w:hAnsi="仿宋" w:eastAsia="仿宋" w:cs="仿宋"/>
                <w:color w:val="auto"/>
                <w:spacing w:val="-1"/>
                <w:highlight w:val="none"/>
              </w:rPr>
            </w:pPr>
          </w:p>
        </w:tc>
        <w:tc>
          <w:tcPr>
            <w:tcW w:w="1299" w:type="dxa"/>
            <w:vAlign w:val="center"/>
          </w:tcPr>
          <w:p>
            <w:pPr>
              <w:rPr>
                <w:rFonts w:ascii="仿宋" w:hAnsi="仿宋" w:eastAsia="仿宋" w:cs="仿宋"/>
                <w:color w:val="auto"/>
                <w:spacing w:val="-1"/>
                <w:highlight w:val="none"/>
              </w:rPr>
            </w:pPr>
          </w:p>
        </w:tc>
        <w:tc>
          <w:tcPr>
            <w:tcW w:w="2658" w:type="dxa"/>
            <w:vAlign w:val="center"/>
          </w:tcPr>
          <w:p>
            <w:pPr>
              <w:rPr>
                <w:rFonts w:ascii="仿宋" w:hAnsi="仿宋" w:eastAsia="仿宋" w:cs="仿宋"/>
                <w:color w:val="auto"/>
                <w:spacing w:val="-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auto"/>
                <w:spacing w:val="-1"/>
                <w:highlight w:val="none"/>
              </w:rPr>
            </w:pPr>
            <w:r>
              <w:rPr>
                <w:rFonts w:hint="eastAsia" w:ascii="仿宋" w:hAnsi="仿宋" w:eastAsia="仿宋" w:cs="仿宋"/>
                <w:color w:val="auto"/>
                <w:spacing w:val="-1"/>
                <w:highlight w:val="none"/>
              </w:rPr>
              <w:t>8</w:t>
            </w:r>
          </w:p>
        </w:tc>
        <w:tc>
          <w:tcPr>
            <w:tcW w:w="2154" w:type="dxa"/>
            <w:vAlign w:val="center"/>
          </w:tcPr>
          <w:p>
            <w:pPr>
              <w:rPr>
                <w:rFonts w:ascii="仿宋" w:hAnsi="仿宋" w:eastAsia="仿宋" w:cs="仿宋"/>
                <w:color w:val="auto"/>
                <w:spacing w:val="-1"/>
                <w:highlight w:val="none"/>
              </w:rPr>
            </w:pPr>
          </w:p>
        </w:tc>
        <w:tc>
          <w:tcPr>
            <w:tcW w:w="2104" w:type="dxa"/>
            <w:vAlign w:val="center"/>
          </w:tcPr>
          <w:p>
            <w:pPr>
              <w:rPr>
                <w:rFonts w:ascii="仿宋" w:hAnsi="仿宋" w:eastAsia="仿宋" w:cs="仿宋"/>
                <w:color w:val="auto"/>
                <w:spacing w:val="-1"/>
                <w:highlight w:val="none"/>
              </w:rPr>
            </w:pPr>
          </w:p>
        </w:tc>
        <w:tc>
          <w:tcPr>
            <w:tcW w:w="1299" w:type="dxa"/>
            <w:vAlign w:val="center"/>
          </w:tcPr>
          <w:p>
            <w:pPr>
              <w:rPr>
                <w:rFonts w:ascii="仿宋" w:hAnsi="仿宋" w:eastAsia="仿宋" w:cs="仿宋"/>
                <w:color w:val="auto"/>
                <w:spacing w:val="-1"/>
                <w:highlight w:val="none"/>
              </w:rPr>
            </w:pPr>
          </w:p>
        </w:tc>
        <w:tc>
          <w:tcPr>
            <w:tcW w:w="2658" w:type="dxa"/>
            <w:vAlign w:val="center"/>
          </w:tcPr>
          <w:p>
            <w:pPr>
              <w:rPr>
                <w:rFonts w:ascii="仿宋" w:hAnsi="仿宋" w:eastAsia="仿宋" w:cs="仿宋"/>
                <w:color w:val="auto"/>
                <w:spacing w:val="-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auto"/>
                <w:spacing w:val="-1"/>
                <w:highlight w:val="none"/>
              </w:rPr>
            </w:pPr>
            <w:r>
              <w:rPr>
                <w:rFonts w:hint="eastAsia" w:ascii="仿宋" w:hAnsi="仿宋" w:eastAsia="仿宋" w:cs="仿宋"/>
                <w:color w:val="auto"/>
                <w:spacing w:val="-1"/>
                <w:highlight w:val="none"/>
              </w:rPr>
              <w:t>9</w:t>
            </w:r>
          </w:p>
        </w:tc>
        <w:tc>
          <w:tcPr>
            <w:tcW w:w="2154" w:type="dxa"/>
            <w:vAlign w:val="center"/>
          </w:tcPr>
          <w:p>
            <w:pPr>
              <w:rPr>
                <w:rFonts w:ascii="仿宋" w:hAnsi="仿宋" w:eastAsia="仿宋" w:cs="仿宋"/>
                <w:color w:val="auto"/>
                <w:spacing w:val="-1"/>
                <w:highlight w:val="none"/>
              </w:rPr>
            </w:pPr>
          </w:p>
        </w:tc>
        <w:tc>
          <w:tcPr>
            <w:tcW w:w="2104" w:type="dxa"/>
            <w:vAlign w:val="center"/>
          </w:tcPr>
          <w:p>
            <w:pPr>
              <w:rPr>
                <w:rFonts w:ascii="仿宋" w:hAnsi="仿宋" w:eastAsia="仿宋" w:cs="仿宋"/>
                <w:color w:val="auto"/>
                <w:spacing w:val="-1"/>
                <w:highlight w:val="none"/>
              </w:rPr>
            </w:pPr>
          </w:p>
        </w:tc>
        <w:tc>
          <w:tcPr>
            <w:tcW w:w="1299" w:type="dxa"/>
            <w:vAlign w:val="center"/>
          </w:tcPr>
          <w:p>
            <w:pPr>
              <w:rPr>
                <w:rFonts w:ascii="仿宋" w:hAnsi="仿宋" w:eastAsia="仿宋" w:cs="仿宋"/>
                <w:color w:val="auto"/>
                <w:spacing w:val="-1"/>
                <w:highlight w:val="none"/>
              </w:rPr>
            </w:pPr>
          </w:p>
        </w:tc>
        <w:tc>
          <w:tcPr>
            <w:tcW w:w="2658" w:type="dxa"/>
            <w:vAlign w:val="center"/>
          </w:tcPr>
          <w:p>
            <w:pPr>
              <w:rPr>
                <w:rFonts w:ascii="仿宋" w:hAnsi="仿宋" w:eastAsia="仿宋" w:cs="仿宋"/>
                <w:color w:val="auto"/>
                <w:spacing w:val="-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auto"/>
                <w:spacing w:val="-1"/>
                <w:highlight w:val="none"/>
              </w:rPr>
            </w:pPr>
            <w:r>
              <w:rPr>
                <w:rFonts w:hint="eastAsia" w:ascii="仿宋" w:hAnsi="仿宋" w:eastAsia="仿宋" w:cs="仿宋"/>
                <w:color w:val="auto"/>
                <w:spacing w:val="-1"/>
                <w:highlight w:val="none"/>
              </w:rPr>
              <w:t>10</w:t>
            </w:r>
          </w:p>
        </w:tc>
        <w:tc>
          <w:tcPr>
            <w:tcW w:w="2154" w:type="dxa"/>
            <w:vAlign w:val="center"/>
          </w:tcPr>
          <w:p>
            <w:pPr>
              <w:rPr>
                <w:rFonts w:ascii="仿宋" w:hAnsi="仿宋" w:eastAsia="仿宋" w:cs="仿宋"/>
                <w:color w:val="auto"/>
                <w:spacing w:val="-1"/>
                <w:highlight w:val="none"/>
              </w:rPr>
            </w:pPr>
          </w:p>
        </w:tc>
        <w:tc>
          <w:tcPr>
            <w:tcW w:w="2104" w:type="dxa"/>
            <w:vAlign w:val="center"/>
          </w:tcPr>
          <w:p>
            <w:pPr>
              <w:rPr>
                <w:rFonts w:ascii="仿宋" w:hAnsi="仿宋" w:eastAsia="仿宋" w:cs="仿宋"/>
                <w:color w:val="auto"/>
                <w:spacing w:val="-1"/>
                <w:highlight w:val="none"/>
              </w:rPr>
            </w:pPr>
          </w:p>
        </w:tc>
        <w:tc>
          <w:tcPr>
            <w:tcW w:w="1299" w:type="dxa"/>
            <w:vAlign w:val="center"/>
          </w:tcPr>
          <w:p>
            <w:pPr>
              <w:rPr>
                <w:rFonts w:ascii="仿宋" w:hAnsi="仿宋" w:eastAsia="仿宋" w:cs="仿宋"/>
                <w:color w:val="auto"/>
                <w:spacing w:val="-1"/>
                <w:highlight w:val="none"/>
              </w:rPr>
            </w:pPr>
          </w:p>
        </w:tc>
        <w:tc>
          <w:tcPr>
            <w:tcW w:w="2658" w:type="dxa"/>
            <w:vAlign w:val="center"/>
          </w:tcPr>
          <w:p>
            <w:pPr>
              <w:rPr>
                <w:rFonts w:ascii="仿宋" w:hAnsi="仿宋" w:eastAsia="仿宋" w:cs="仿宋"/>
                <w:color w:val="auto"/>
                <w:spacing w:val="-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auto"/>
                <w:spacing w:val="-1"/>
                <w:highlight w:val="none"/>
              </w:rPr>
            </w:pPr>
            <w:r>
              <w:rPr>
                <w:rFonts w:hint="eastAsia" w:ascii="仿宋" w:hAnsi="仿宋" w:eastAsia="仿宋" w:cs="仿宋"/>
                <w:color w:val="auto"/>
                <w:spacing w:val="-1"/>
                <w:highlight w:val="none"/>
              </w:rPr>
              <w:t>11</w:t>
            </w:r>
          </w:p>
        </w:tc>
        <w:tc>
          <w:tcPr>
            <w:tcW w:w="2154" w:type="dxa"/>
            <w:vAlign w:val="center"/>
          </w:tcPr>
          <w:p>
            <w:pPr>
              <w:rPr>
                <w:rFonts w:ascii="仿宋" w:hAnsi="仿宋" w:eastAsia="仿宋" w:cs="仿宋"/>
                <w:color w:val="auto"/>
                <w:spacing w:val="-1"/>
                <w:highlight w:val="none"/>
              </w:rPr>
            </w:pPr>
          </w:p>
        </w:tc>
        <w:tc>
          <w:tcPr>
            <w:tcW w:w="2104" w:type="dxa"/>
            <w:vAlign w:val="center"/>
          </w:tcPr>
          <w:p>
            <w:pPr>
              <w:rPr>
                <w:rFonts w:ascii="仿宋" w:hAnsi="仿宋" w:eastAsia="仿宋" w:cs="仿宋"/>
                <w:color w:val="auto"/>
                <w:spacing w:val="-1"/>
                <w:highlight w:val="none"/>
              </w:rPr>
            </w:pPr>
          </w:p>
        </w:tc>
        <w:tc>
          <w:tcPr>
            <w:tcW w:w="1299" w:type="dxa"/>
            <w:vAlign w:val="center"/>
          </w:tcPr>
          <w:p>
            <w:pPr>
              <w:rPr>
                <w:rFonts w:ascii="仿宋" w:hAnsi="仿宋" w:eastAsia="仿宋" w:cs="仿宋"/>
                <w:color w:val="auto"/>
                <w:spacing w:val="-1"/>
                <w:highlight w:val="none"/>
              </w:rPr>
            </w:pPr>
          </w:p>
        </w:tc>
        <w:tc>
          <w:tcPr>
            <w:tcW w:w="2658" w:type="dxa"/>
            <w:vAlign w:val="center"/>
          </w:tcPr>
          <w:p>
            <w:pPr>
              <w:rPr>
                <w:rFonts w:ascii="仿宋" w:hAnsi="仿宋" w:eastAsia="仿宋" w:cs="仿宋"/>
                <w:color w:val="auto"/>
                <w:spacing w:val="-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auto"/>
                <w:spacing w:val="-1"/>
                <w:highlight w:val="none"/>
              </w:rPr>
            </w:pPr>
            <w:r>
              <w:rPr>
                <w:rFonts w:hint="eastAsia" w:ascii="仿宋" w:hAnsi="仿宋" w:eastAsia="仿宋" w:cs="仿宋"/>
                <w:color w:val="auto"/>
                <w:spacing w:val="-1"/>
                <w:highlight w:val="none"/>
              </w:rPr>
              <w:t>12</w:t>
            </w:r>
          </w:p>
        </w:tc>
        <w:tc>
          <w:tcPr>
            <w:tcW w:w="2154" w:type="dxa"/>
            <w:vAlign w:val="center"/>
          </w:tcPr>
          <w:p>
            <w:pPr>
              <w:rPr>
                <w:rFonts w:ascii="仿宋" w:hAnsi="仿宋" w:eastAsia="仿宋" w:cs="仿宋"/>
                <w:color w:val="auto"/>
                <w:spacing w:val="-1"/>
                <w:highlight w:val="none"/>
              </w:rPr>
            </w:pPr>
          </w:p>
        </w:tc>
        <w:tc>
          <w:tcPr>
            <w:tcW w:w="2104" w:type="dxa"/>
            <w:vAlign w:val="center"/>
          </w:tcPr>
          <w:p>
            <w:pPr>
              <w:rPr>
                <w:rFonts w:ascii="仿宋" w:hAnsi="仿宋" w:eastAsia="仿宋" w:cs="仿宋"/>
                <w:color w:val="auto"/>
                <w:spacing w:val="-1"/>
                <w:highlight w:val="none"/>
              </w:rPr>
            </w:pPr>
          </w:p>
        </w:tc>
        <w:tc>
          <w:tcPr>
            <w:tcW w:w="1299" w:type="dxa"/>
            <w:vAlign w:val="center"/>
          </w:tcPr>
          <w:p>
            <w:pPr>
              <w:rPr>
                <w:rFonts w:ascii="仿宋" w:hAnsi="仿宋" w:eastAsia="仿宋" w:cs="仿宋"/>
                <w:color w:val="auto"/>
                <w:spacing w:val="-1"/>
                <w:highlight w:val="none"/>
              </w:rPr>
            </w:pPr>
          </w:p>
        </w:tc>
        <w:tc>
          <w:tcPr>
            <w:tcW w:w="2658" w:type="dxa"/>
            <w:vAlign w:val="center"/>
          </w:tcPr>
          <w:p>
            <w:pPr>
              <w:rPr>
                <w:rFonts w:ascii="仿宋" w:hAnsi="仿宋" w:eastAsia="仿宋" w:cs="仿宋"/>
                <w:color w:val="auto"/>
                <w:spacing w:val="-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auto"/>
                <w:spacing w:val="-1"/>
                <w:highlight w:val="none"/>
              </w:rPr>
            </w:pPr>
            <w:r>
              <w:rPr>
                <w:rFonts w:hint="eastAsia" w:ascii="仿宋" w:hAnsi="仿宋" w:eastAsia="仿宋" w:cs="仿宋"/>
                <w:color w:val="auto"/>
                <w:spacing w:val="-1"/>
                <w:highlight w:val="none"/>
              </w:rPr>
              <w:t>13</w:t>
            </w:r>
          </w:p>
        </w:tc>
        <w:tc>
          <w:tcPr>
            <w:tcW w:w="2154" w:type="dxa"/>
            <w:vAlign w:val="center"/>
          </w:tcPr>
          <w:p>
            <w:pPr>
              <w:rPr>
                <w:rFonts w:ascii="仿宋" w:hAnsi="仿宋" w:eastAsia="仿宋" w:cs="仿宋"/>
                <w:color w:val="auto"/>
                <w:spacing w:val="-1"/>
                <w:highlight w:val="none"/>
              </w:rPr>
            </w:pPr>
          </w:p>
        </w:tc>
        <w:tc>
          <w:tcPr>
            <w:tcW w:w="2104" w:type="dxa"/>
            <w:vAlign w:val="center"/>
          </w:tcPr>
          <w:p>
            <w:pPr>
              <w:rPr>
                <w:rFonts w:ascii="仿宋" w:hAnsi="仿宋" w:eastAsia="仿宋" w:cs="仿宋"/>
                <w:color w:val="auto"/>
                <w:spacing w:val="-1"/>
                <w:highlight w:val="none"/>
              </w:rPr>
            </w:pPr>
          </w:p>
        </w:tc>
        <w:tc>
          <w:tcPr>
            <w:tcW w:w="1299" w:type="dxa"/>
            <w:vAlign w:val="center"/>
          </w:tcPr>
          <w:p>
            <w:pPr>
              <w:rPr>
                <w:rFonts w:ascii="仿宋" w:hAnsi="仿宋" w:eastAsia="仿宋" w:cs="仿宋"/>
                <w:color w:val="auto"/>
                <w:spacing w:val="-1"/>
                <w:highlight w:val="none"/>
              </w:rPr>
            </w:pPr>
          </w:p>
        </w:tc>
        <w:tc>
          <w:tcPr>
            <w:tcW w:w="2658" w:type="dxa"/>
            <w:vAlign w:val="center"/>
          </w:tcPr>
          <w:p>
            <w:pPr>
              <w:rPr>
                <w:rFonts w:ascii="仿宋" w:hAnsi="仿宋" w:eastAsia="仿宋" w:cs="仿宋"/>
                <w:color w:val="auto"/>
                <w:spacing w:val="-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auto"/>
                <w:spacing w:val="-1"/>
                <w:highlight w:val="none"/>
              </w:rPr>
            </w:pPr>
            <w:r>
              <w:rPr>
                <w:rFonts w:hint="eastAsia" w:ascii="仿宋" w:hAnsi="仿宋" w:eastAsia="仿宋" w:cs="仿宋"/>
                <w:color w:val="auto"/>
                <w:spacing w:val="-1"/>
                <w:highlight w:val="none"/>
              </w:rPr>
              <w:t>14</w:t>
            </w:r>
          </w:p>
        </w:tc>
        <w:tc>
          <w:tcPr>
            <w:tcW w:w="2154" w:type="dxa"/>
            <w:vAlign w:val="center"/>
          </w:tcPr>
          <w:p>
            <w:pPr>
              <w:rPr>
                <w:rFonts w:ascii="仿宋" w:hAnsi="仿宋" w:eastAsia="仿宋" w:cs="仿宋"/>
                <w:color w:val="auto"/>
                <w:spacing w:val="-1"/>
                <w:highlight w:val="none"/>
              </w:rPr>
            </w:pPr>
          </w:p>
        </w:tc>
        <w:tc>
          <w:tcPr>
            <w:tcW w:w="2104" w:type="dxa"/>
            <w:vAlign w:val="center"/>
          </w:tcPr>
          <w:p>
            <w:pPr>
              <w:rPr>
                <w:rFonts w:ascii="仿宋" w:hAnsi="仿宋" w:eastAsia="仿宋" w:cs="仿宋"/>
                <w:color w:val="auto"/>
                <w:spacing w:val="-1"/>
                <w:highlight w:val="none"/>
              </w:rPr>
            </w:pPr>
          </w:p>
        </w:tc>
        <w:tc>
          <w:tcPr>
            <w:tcW w:w="1299" w:type="dxa"/>
            <w:vAlign w:val="center"/>
          </w:tcPr>
          <w:p>
            <w:pPr>
              <w:rPr>
                <w:rFonts w:ascii="仿宋" w:hAnsi="仿宋" w:eastAsia="仿宋" w:cs="仿宋"/>
                <w:color w:val="auto"/>
                <w:spacing w:val="-1"/>
                <w:highlight w:val="none"/>
              </w:rPr>
            </w:pPr>
          </w:p>
        </w:tc>
        <w:tc>
          <w:tcPr>
            <w:tcW w:w="2658" w:type="dxa"/>
            <w:vAlign w:val="center"/>
          </w:tcPr>
          <w:p>
            <w:pPr>
              <w:rPr>
                <w:rFonts w:ascii="仿宋" w:hAnsi="仿宋" w:eastAsia="仿宋" w:cs="仿宋"/>
                <w:color w:val="auto"/>
                <w:spacing w:val="-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auto"/>
                <w:spacing w:val="-1"/>
                <w:highlight w:val="none"/>
              </w:rPr>
            </w:pPr>
            <w:r>
              <w:rPr>
                <w:rFonts w:hint="eastAsia" w:ascii="仿宋" w:hAnsi="仿宋" w:eastAsia="仿宋" w:cs="仿宋"/>
                <w:color w:val="auto"/>
                <w:spacing w:val="-1"/>
                <w:highlight w:val="none"/>
              </w:rPr>
              <w:t>15</w:t>
            </w:r>
          </w:p>
        </w:tc>
        <w:tc>
          <w:tcPr>
            <w:tcW w:w="2154" w:type="dxa"/>
            <w:vAlign w:val="center"/>
          </w:tcPr>
          <w:p>
            <w:pPr>
              <w:rPr>
                <w:rFonts w:ascii="仿宋" w:hAnsi="仿宋" w:eastAsia="仿宋" w:cs="仿宋"/>
                <w:color w:val="auto"/>
                <w:spacing w:val="-1"/>
                <w:highlight w:val="none"/>
              </w:rPr>
            </w:pPr>
          </w:p>
        </w:tc>
        <w:tc>
          <w:tcPr>
            <w:tcW w:w="2104" w:type="dxa"/>
            <w:vAlign w:val="center"/>
          </w:tcPr>
          <w:p>
            <w:pPr>
              <w:rPr>
                <w:rFonts w:ascii="仿宋" w:hAnsi="仿宋" w:eastAsia="仿宋" w:cs="仿宋"/>
                <w:color w:val="auto"/>
                <w:spacing w:val="-1"/>
                <w:highlight w:val="none"/>
              </w:rPr>
            </w:pPr>
          </w:p>
        </w:tc>
        <w:tc>
          <w:tcPr>
            <w:tcW w:w="1299" w:type="dxa"/>
            <w:vAlign w:val="center"/>
          </w:tcPr>
          <w:p>
            <w:pPr>
              <w:rPr>
                <w:rFonts w:ascii="仿宋" w:hAnsi="仿宋" w:eastAsia="仿宋" w:cs="仿宋"/>
                <w:color w:val="auto"/>
                <w:spacing w:val="-1"/>
                <w:highlight w:val="none"/>
              </w:rPr>
            </w:pPr>
          </w:p>
        </w:tc>
        <w:tc>
          <w:tcPr>
            <w:tcW w:w="2658" w:type="dxa"/>
            <w:vAlign w:val="center"/>
          </w:tcPr>
          <w:p>
            <w:pPr>
              <w:rPr>
                <w:rFonts w:ascii="仿宋" w:hAnsi="仿宋" w:eastAsia="仿宋" w:cs="仿宋"/>
                <w:color w:val="auto"/>
                <w:spacing w:val="-1"/>
                <w:highlight w:val="none"/>
              </w:rPr>
            </w:pPr>
          </w:p>
        </w:tc>
      </w:tr>
    </w:tbl>
    <w:p>
      <w:pPr>
        <w:rPr>
          <w:rFonts w:ascii="仿宋" w:hAnsi="仿宋" w:eastAsia="仿宋" w:cs="仿宋"/>
          <w:color w:val="auto"/>
          <w:spacing w:val="-1"/>
          <w:highlight w:val="none"/>
        </w:rPr>
      </w:pPr>
      <w:r>
        <w:rPr>
          <w:rFonts w:hint="eastAsia" w:ascii="仿宋" w:hAnsi="仿宋" w:eastAsia="仿宋" w:cs="仿宋"/>
          <w:color w:val="auto"/>
          <w:spacing w:val="-1"/>
          <w:highlight w:val="none"/>
        </w:rPr>
        <w:t>注：请在“偏离说明”栏内扼要说明偏离情况，如无偏离则不需列明。</w:t>
      </w:r>
    </w:p>
    <w:p>
      <w:pPr>
        <w:rPr>
          <w:rFonts w:ascii="仿宋" w:hAnsi="仿宋" w:eastAsia="仿宋" w:cs="仿宋"/>
          <w:color w:val="auto"/>
          <w:szCs w:val="21"/>
          <w:highlight w:val="none"/>
        </w:rPr>
      </w:pPr>
    </w:p>
    <w:p>
      <w:pPr>
        <w:rPr>
          <w:rFonts w:ascii="仿宋" w:hAnsi="仿宋" w:eastAsia="仿宋" w:cs="仿宋"/>
          <w:color w:val="auto"/>
          <w:szCs w:val="21"/>
          <w:highlight w:val="none"/>
        </w:rPr>
      </w:pPr>
    </w:p>
    <w:p>
      <w:pPr>
        <w:rPr>
          <w:rFonts w:ascii="仿宋" w:hAnsi="仿宋" w:eastAsia="仿宋" w:cs="仿宋"/>
          <w:color w:val="auto"/>
          <w:szCs w:val="21"/>
          <w:highlight w:val="none"/>
        </w:rPr>
      </w:pPr>
    </w:p>
    <w:p>
      <w:pPr>
        <w:rPr>
          <w:rFonts w:ascii="仿宋" w:hAnsi="仿宋" w:eastAsia="仿宋" w:cs="仿宋"/>
          <w:color w:val="auto"/>
          <w:szCs w:val="21"/>
          <w:highlight w:val="none"/>
        </w:rPr>
      </w:pPr>
    </w:p>
    <w:p>
      <w:pPr>
        <w:rPr>
          <w:rFonts w:ascii="仿宋" w:hAnsi="仿宋" w:eastAsia="仿宋" w:cs="仿宋"/>
          <w:color w:val="auto"/>
          <w:szCs w:val="21"/>
          <w:highlight w:val="none"/>
        </w:rPr>
      </w:pPr>
    </w:p>
    <w:p>
      <w:pPr>
        <w:rPr>
          <w:rFonts w:ascii="仿宋" w:hAnsi="仿宋" w:eastAsia="仿宋" w:cs="仿宋"/>
          <w:color w:val="auto"/>
          <w:szCs w:val="21"/>
          <w:highlight w:val="none"/>
        </w:rPr>
      </w:pPr>
    </w:p>
    <w:p>
      <w:pPr>
        <w:rPr>
          <w:rFonts w:ascii="仿宋" w:hAnsi="仿宋" w:eastAsia="仿宋" w:cs="仿宋"/>
          <w:color w:val="auto"/>
          <w:szCs w:val="21"/>
          <w:highlight w:val="none"/>
        </w:rPr>
      </w:pPr>
    </w:p>
    <w:p>
      <w:pPr>
        <w:rPr>
          <w:rFonts w:ascii="仿宋" w:hAnsi="仿宋" w:eastAsia="仿宋" w:cs="仿宋"/>
          <w:color w:val="auto"/>
          <w:szCs w:val="21"/>
          <w:highlight w:val="none"/>
        </w:rPr>
      </w:pPr>
    </w:p>
    <w:p>
      <w:pPr>
        <w:rPr>
          <w:rFonts w:ascii="仿宋" w:hAnsi="仿宋" w:eastAsia="仿宋" w:cs="仿宋"/>
          <w:color w:val="auto"/>
          <w:szCs w:val="21"/>
          <w:highlight w:val="none"/>
        </w:rPr>
      </w:pPr>
    </w:p>
    <w:p>
      <w:pPr>
        <w:rPr>
          <w:rFonts w:ascii="仿宋" w:hAnsi="仿宋" w:eastAsia="仿宋" w:cs="仿宋"/>
          <w:color w:val="auto"/>
          <w:szCs w:val="21"/>
          <w:highlight w:val="none"/>
        </w:rPr>
      </w:pPr>
    </w:p>
    <w:p>
      <w:pPr>
        <w:pStyle w:val="2"/>
        <w:rPr>
          <w:color w:val="auto"/>
          <w:highlight w:val="none"/>
        </w:rPr>
      </w:pPr>
    </w:p>
    <w:p>
      <w:pPr>
        <w:rPr>
          <w:rFonts w:ascii="仿宋" w:hAnsi="仿宋" w:eastAsia="仿宋" w:cs="仿宋"/>
          <w:color w:val="auto"/>
          <w:szCs w:val="21"/>
          <w:highlight w:val="none"/>
        </w:rPr>
      </w:pPr>
    </w:p>
    <w:p>
      <w:pPr>
        <w:rPr>
          <w:rFonts w:ascii="仿宋" w:hAnsi="仿宋" w:eastAsia="仿宋" w:cs="仿宋"/>
          <w:color w:val="auto"/>
          <w:szCs w:val="21"/>
          <w:highlight w:val="none"/>
        </w:rPr>
      </w:pPr>
    </w:p>
    <w:p>
      <w:pPr>
        <w:rPr>
          <w:rFonts w:ascii="仿宋" w:hAnsi="仿宋" w:eastAsia="仿宋" w:cs="仿宋"/>
          <w:color w:val="auto"/>
          <w:szCs w:val="21"/>
          <w:highlight w:val="none"/>
        </w:rPr>
      </w:pPr>
    </w:p>
    <w:p>
      <w:pPr>
        <w:rPr>
          <w:rFonts w:ascii="仿宋" w:hAnsi="仿宋" w:eastAsia="仿宋" w:cs="仿宋"/>
          <w:color w:val="auto"/>
          <w:szCs w:val="21"/>
          <w:highlight w:val="none"/>
        </w:rPr>
      </w:pPr>
    </w:p>
    <w:p>
      <w:pPr>
        <w:ind w:firstLine="363" w:firstLineChars="100"/>
        <w:jc w:val="both"/>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十</w:t>
      </w:r>
      <w:r>
        <w:rPr>
          <w:rFonts w:hint="eastAsia" w:ascii="仿宋" w:hAnsi="仿宋" w:eastAsia="仿宋" w:cs="仿宋"/>
          <w:b/>
          <w:color w:val="auto"/>
          <w:sz w:val="36"/>
          <w:szCs w:val="36"/>
          <w:highlight w:val="none"/>
          <w:lang w:eastAsia="zh-CN"/>
        </w:rPr>
        <w:t>三</w:t>
      </w:r>
      <w:r>
        <w:rPr>
          <w:rFonts w:hint="eastAsia" w:ascii="仿宋" w:hAnsi="仿宋" w:eastAsia="仿宋" w:cs="仿宋"/>
          <w:b/>
          <w:color w:val="auto"/>
          <w:sz w:val="36"/>
          <w:szCs w:val="36"/>
          <w:highlight w:val="none"/>
        </w:rPr>
        <w:t>、技术方案（投标人自行编写的技术文件）</w:t>
      </w:r>
    </w:p>
    <w:p>
      <w:pPr>
        <w:pStyle w:val="10"/>
        <w:rPr>
          <w:highlight w:val="none"/>
        </w:rPr>
      </w:pPr>
      <w:r>
        <w:rPr>
          <w:rFonts w:hint="eastAsia" w:ascii="仿宋" w:hAnsi="仿宋" w:eastAsia="仿宋" w:cs="仿宋"/>
          <w:b/>
          <w:color w:val="auto"/>
          <w:sz w:val="36"/>
          <w:szCs w:val="36"/>
          <w:highlight w:val="none"/>
        </w:rPr>
        <w:t>十</w:t>
      </w:r>
      <w:r>
        <w:rPr>
          <w:rFonts w:hint="eastAsia" w:ascii="仿宋" w:hAnsi="仿宋" w:eastAsia="仿宋" w:cs="仿宋"/>
          <w:b/>
          <w:color w:val="auto"/>
          <w:sz w:val="36"/>
          <w:szCs w:val="36"/>
          <w:highlight w:val="none"/>
          <w:lang w:eastAsia="zh-CN"/>
        </w:rPr>
        <w:t>四</w:t>
      </w:r>
      <w:r>
        <w:rPr>
          <w:rFonts w:hint="eastAsia" w:ascii="仿宋" w:hAnsi="仿宋" w:eastAsia="仿宋" w:cs="仿宋"/>
          <w:b/>
          <w:color w:val="auto"/>
          <w:sz w:val="36"/>
          <w:szCs w:val="36"/>
          <w:highlight w:val="none"/>
        </w:rPr>
        <w:t>、投标人认为需要提交的技术资料</w:t>
      </w:r>
      <w:r>
        <w:rPr>
          <w:rFonts w:hint="eastAsia" w:ascii="仿宋" w:hAnsi="仿宋" w:eastAsia="仿宋" w:cs="仿宋"/>
          <w:b/>
          <w:color w:val="auto"/>
          <w:sz w:val="36"/>
          <w:szCs w:val="36"/>
          <w:highlight w:val="none"/>
          <w:lang w:eastAsia="zh-CN"/>
        </w:rPr>
        <w:t>（根据评审标准自行添加）</w:t>
      </w:r>
    </w:p>
    <w:sectPr>
      <w:headerReference r:id="rId6" w:type="default"/>
      <w:footerReference r:id="rId7" w:type="default"/>
      <w:pgSz w:w="11905" w:h="16838"/>
      <w:pgMar w:top="1440" w:right="1797" w:bottom="1440" w:left="1797" w:header="850" w:footer="992" w:gutter="0"/>
      <w:cols w:space="720" w:num="1"/>
      <w:docGrid w:type="linesAndChars" w:linePitch="325" w:charSpace="6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ヒラギノ角ゴ Pro W3">
    <w:altName w:val="MS Mincho"/>
    <w:panose1 w:val="00000000000000000000"/>
    <w:charset w:val="80"/>
    <w:family w:val="auto"/>
    <w:pitch w:val="default"/>
    <w:sig w:usb0="00000000" w:usb1="00000000" w:usb2="00000012" w:usb3="00000000" w:csb0="0002000D" w:csb1="00000000"/>
  </w:font>
  <w:font w:name="_x000B__x000C_">
    <w:altName w:val="Courier New"/>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both"/>
      <w:rPr>
        <w:color w:val="800000"/>
        <w:sz w:val="20"/>
        <w:szCs w:val="20"/>
      </w:rPr>
    </w:pPr>
    <w:r>
      <w:rPr>
        <w:sz w:val="16"/>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8</w:t>
                          </w:r>
                          <w:r>
                            <w:fldChar w:fldCharType="end"/>
                          </w:r>
                        </w:p>
                      </w:txbxContent>
                    </wps:txbx>
                    <wps:bodyPr vert="horz" wrap="none" lIns="0" tIns="0" rIns="0" bIns="0" anchor="t" anchorCtr="0">
                      <a:spAutoFit/>
                    </wps:bodyPr>
                  </wps:wsp>
                </a:graphicData>
              </a:graphic>
            </wp:anchor>
          </w:drawing>
        </mc:Choice>
        <mc:Fallback>
          <w:pict>
            <v:shape id="文本框 18"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EwPVa/XAQAAswMAAA4AAAAAAAAAAQAgAAAA&#10;HgEAAGRycy9lMm9Eb2MueG1sUEsFBgAAAAAGAAYAWQEAAGc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8</w:t>
                    </w:r>
                    <w:r>
                      <w:fldChar w:fldCharType="end"/>
                    </w:r>
                  </w:p>
                </w:txbxContent>
              </v:textbox>
            </v:shape>
          </w:pict>
        </mc:Fallback>
      </mc:AlternateContent>
    </w:r>
    <w:r>
      <w:rPr>
        <w:rFonts w:hint="eastAsia"/>
        <w:sz w:val="16"/>
        <w:szCs w:val="16"/>
      </w:rPr>
      <w:t xml:space="preserve"> </w:t>
    </w:r>
    <w:r>
      <w:rPr>
        <w:rFonts w:hint="eastAsia"/>
        <w:color w:val="800000"/>
        <w:sz w:val="20"/>
        <w:szCs w:val="20"/>
      </w:rPr>
      <w:t>Add：阿克陶县发展大厦5楼</w:t>
    </w:r>
    <w:r>
      <w:rPr>
        <w:rFonts w:hint="eastAsia"/>
        <w:color w:val="800000"/>
        <w:sz w:val="16"/>
        <w:szCs w:val="20"/>
      </w:rPr>
      <w:t xml:space="preserve">                                        </w:t>
    </w:r>
    <w:r>
      <w:rPr>
        <w:rFonts w:hint="eastAsia"/>
        <w:color w:val="800000"/>
        <w:sz w:val="20"/>
        <w:szCs w:val="20"/>
      </w:rPr>
      <w:t xml:space="preserve">   联系电话：0908-5300777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both"/>
    </w:pPr>
    <w:r>
      <w:rPr>
        <w:sz w:val="13"/>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矩形 1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23</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wO4a5cABAACOAwAADgAAAAAAAAABACAAAAAfAQAAZHJzL2Uyb0RvYy54bWxQSwUG&#10;AAAAAAYABgBZAQAAUQ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23</w:t>
                    </w:r>
                    <w:r>
                      <w:fldChar w:fldCharType="end"/>
                    </w:r>
                  </w:p>
                </w:txbxContent>
              </v:textbox>
            </v:rect>
          </w:pict>
        </mc:Fallback>
      </mc:AlternateContent>
    </w:r>
    <w:r>
      <w:rPr>
        <w:rFonts w:hint="eastAsia"/>
        <w:sz w:val="13"/>
        <w:szCs w:val="13"/>
      </w:rPr>
      <w:t xml:space="preserve"> </w:t>
    </w:r>
    <w:r>
      <w:rPr>
        <w:rFonts w:hint="eastAsia"/>
      </w:rPr>
      <w:t xml:space="preserve">  </w:t>
    </w:r>
  </w:p>
  <w:p>
    <w:pPr>
      <w:pStyle w:val="15"/>
      <w:tabs>
        <w:tab w:val="center" w:pos="4320"/>
        <w:tab w:val="right" w:pos="8640"/>
        <w:tab w:val="clear" w:pos="4153"/>
        <w:tab w:val="clear" w:pos="8306"/>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both"/>
      <w:rPr>
        <w:rFonts w:hint="eastAsia" w:eastAsia="宋体"/>
        <w:lang w:eastAsia="zh-CN"/>
      </w:rPr>
    </w:pPr>
    <w:r>
      <w:rPr>
        <w:sz w:val="24"/>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80</w:t>
                          </w:r>
                          <w:r>
                            <w:fldChar w:fldCharType="end"/>
                          </w:r>
                        </w:p>
                      </w:txbxContent>
                    </wps:txbx>
                    <wps:bodyPr vert="horz" wrap="none" lIns="0" tIns="0" rIns="0" bIns="0" anchor="t" anchorCtr="0">
                      <a:spAutoFit/>
                    </wps:bodyPr>
                  </wps:wsp>
                </a:graphicData>
              </a:graphic>
            </wp:anchor>
          </w:drawing>
        </mc:Choice>
        <mc:Fallback>
          <w:pict>
            <v:shape id="文本框 23"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5emJ72AEAALMDAAAOAAAAAAAAAAEAIAAA&#10;AB4BAABkcnMvZTJvRG9jLnhtbFBLBQYAAAAABgAGAFkBAABo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80</w:t>
                    </w:r>
                    <w:r>
                      <w:fldChar w:fldCharType="end"/>
                    </w:r>
                  </w:p>
                </w:txbxContent>
              </v:textbox>
            </v:shape>
          </w:pict>
        </mc:Fallback>
      </mc:AlternateContent>
    </w:r>
    <w:r>
      <w:rPr>
        <w:rFonts w:hint="eastAsia" w:ascii="宋体" w:hAnsi="宋体" w:cs="宋体"/>
        <w:sz w:val="24"/>
        <w:szCs w:val="24"/>
      </w:rPr>
      <w:t xml:space="preserve">  </w:t>
    </w:r>
    <w:r>
      <w:rPr>
        <w:rFonts w:hint="eastAsia"/>
        <w:sz w:val="13"/>
        <w:szCs w:val="13"/>
      </w:rPr>
      <w:t xml:space="preserve"> </w:t>
    </w:r>
    <w:r>
      <w:rPr>
        <w:rFonts w:hint="eastAsia"/>
      </w:rPr>
      <w:t xml:space="preserve"> </w:t>
    </w:r>
    <w:r>
      <w:rPr>
        <w:rFonts w:hint="eastAsia"/>
        <w:color w:val="800000"/>
        <w:sz w:val="20"/>
        <w:szCs w:val="20"/>
      </w:rPr>
      <w:t>Add：阿克陶县发展大厦5楼</w:t>
    </w:r>
    <w:r>
      <w:rPr>
        <w:rFonts w:hint="eastAsia"/>
        <w:color w:val="800000"/>
        <w:sz w:val="16"/>
        <w:szCs w:val="20"/>
      </w:rPr>
      <w:t xml:space="preserve">                             </w:t>
    </w:r>
    <w:r>
      <w:rPr>
        <w:rFonts w:hint="eastAsia"/>
        <w:color w:val="800000"/>
        <w:sz w:val="20"/>
        <w:szCs w:val="20"/>
      </w:rPr>
      <w:t>联系电话：0908-</w:t>
    </w:r>
    <w:r>
      <w:rPr>
        <w:rFonts w:hint="eastAsia"/>
        <w:color w:val="800000"/>
        <w:sz w:val="20"/>
        <w:szCs w:val="20"/>
        <w:lang w:eastAsia="zh-CN"/>
      </w:rPr>
      <w:t>5300777</w:t>
    </w:r>
  </w:p>
  <w:p>
    <w:pPr>
      <w:pStyle w:val="15"/>
      <w:autoSpaceDE w:val="0"/>
      <w:autoSpaceDN w:val="0"/>
      <w:adjustRightInd w:val="0"/>
      <w:ind w:left="7200" w:hanging="7200" w:hangingChars="4000"/>
      <w:jc w:val="both"/>
    </w:pPr>
  </w:p>
  <w:p>
    <w:pPr>
      <w:pStyle w:val="15"/>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tabs>
        <w:tab w:val="clear" w:pos="4153"/>
        <w:tab w:val="clear" w:pos="8306"/>
      </w:tabs>
    </w:pPr>
    <w:r>
      <w:rPr>
        <w:rFonts w:hint="eastAsia"/>
      </w:rPr>
      <w:t xml:space="preserve"> </w:t>
    </w:r>
    <w:r>
      <w:rPr>
        <w:rFonts w:hint="eastAsia"/>
        <w:u w:val="single"/>
        <w:lang w:eastAsia="zh-CN"/>
      </w:rPr>
      <w:t>中科建疆工程管理有限公司</w:t>
    </w:r>
    <w:r>
      <w:rPr>
        <w:rFonts w:hint="eastAsia"/>
        <w:u w:val="single"/>
      </w:rPr>
      <w:t xml:space="preserve">           </w:t>
    </w:r>
    <w:r>
      <w:rPr>
        <w:rFonts w:hint="eastAsia"/>
        <w:u w:val="single"/>
        <w:lang w:eastAsia="zh-CN"/>
      </w:rPr>
      <w:t>2023年阿克陶县机关事业单位基本养老保险保值增值定期存款项目</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ascii="宋体" w:hAnsi="宋体" w:cs="宋体"/>
        <w:sz w:val="21"/>
        <w:szCs w:val="21"/>
      </w:rPr>
    </w:pPr>
    <w:r>
      <w:rPr>
        <w:rFonts w:hint="eastAsia"/>
        <w:szCs w:val="28"/>
        <w:lang w:eastAsia="zh-CN"/>
      </w:rPr>
      <w:t>中科建疆工程管理有限公司</w:t>
    </w:r>
    <w:r>
      <w:rPr>
        <w:rFonts w:hint="eastAsia"/>
        <w:szCs w:val="28"/>
      </w:rPr>
      <w:t xml:space="preserve"> </w:t>
    </w:r>
    <w:r>
      <w:rPr>
        <w:rFonts w:hint="eastAsia" w:ascii="宋体" w:hAnsi="宋体" w:cs="宋体"/>
        <w:sz w:val="20"/>
        <w:szCs w:val="20"/>
      </w:rPr>
      <w:t xml:space="preserve">     </w:t>
    </w:r>
    <w:r>
      <w:rPr>
        <w:rFonts w:hint="eastAsia"/>
        <w:szCs w:val="28"/>
        <w:lang w:eastAsia="zh-CN"/>
      </w:rPr>
      <w:t>2023年阿克陶县机关事业单位基本养老保险保值增值定期存款项目</w:t>
    </w:r>
    <w:r>
      <w:rPr>
        <w:rFonts w:hint="eastAsia"/>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ABFF80"/>
    <w:multiLevelType w:val="singleLevel"/>
    <w:tmpl w:val="B0ABFF80"/>
    <w:lvl w:ilvl="0" w:tentative="0">
      <w:start w:val="4"/>
      <w:numFmt w:val="chineseCounting"/>
      <w:suff w:val="space"/>
      <w:lvlText w:val="第%1章"/>
      <w:lvlJc w:val="left"/>
      <w:rPr>
        <w:rFonts w:hint="eastAsia"/>
      </w:rPr>
    </w:lvl>
  </w:abstractNum>
  <w:abstractNum w:abstractNumId="1">
    <w:nsid w:val="D208A035"/>
    <w:multiLevelType w:val="singleLevel"/>
    <w:tmpl w:val="D208A035"/>
    <w:lvl w:ilvl="0" w:tentative="0">
      <w:start w:val="2"/>
      <w:numFmt w:val="chineseCounting"/>
      <w:suff w:val="nothing"/>
      <w:lvlText w:val="（%1）"/>
      <w:lvlJc w:val="left"/>
      <w:rPr>
        <w:rFonts w:hint="eastAsia"/>
      </w:rPr>
    </w:lvl>
  </w:abstractNum>
  <w:abstractNum w:abstractNumId="2">
    <w:nsid w:val="FDD6DA7E"/>
    <w:multiLevelType w:val="singleLevel"/>
    <w:tmpl w:val="FDD6DA7E"/>
    <w:lvl w:ilvl="0" w:tentative="0">
      <w:start w:val="1"/>
      <w:numFmt w:val="decimal"/>
      <w:suff w:val="space"/>
      <w:lvlText w:val="%1."/>
      <w:lvlJc w:val="left"/>
    </w:lvl>
  </w:abstractNum>
  <w:abstractNum w:abstractNumId="3">
    <w:nsid w:val="11715540"/>
    <w:multiLevelType w:val="multilevel"/>
    <w:tmpl w:val="11715540"/>
    <w:lvl w:ilvl="0" w:tentative="0">
      <w:start w:val="1"/>
      <w:numFmt w:val="japaneseCounting"/>
      <w:lvlText w:val="（%1）"/>
      <w:lvlJc w:val="left"/>
      <w:pPr>
        <w:tabs>
          <w:tab w:val="left" w:pos="1725"/>
        </w:tabs>
        <w:ind w:left="1932"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4">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4"/>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4A90A629"/>
    <w:multiLevelType w:val="singleLevel"/>
    <w:tmpl w:val="4A90A629"/>
    <w:lvl w:ilvl="0" w:tentative="0">
      <w:start w:val="2"/>
      <w:numFmt w:val="chineseCounting"/>
      <w:suff w:val="space"/>
      <w:lvlText w:val="第%1条"/>
      <w:lvlJc w:val="left"/>
      <w:rPr>
        <w:rFonts w:hint="eastAsia"/>
      </w:rPr>
    </w:lvl>
  </w:abstractNum>
  <w:abstractNum w:abstractNumId="7">
    <w:nsid w:val="55CD4C99"/>
    <w:multiLevelType w:val="singleLevel"/>
    <w:tmpl w:val="55CD4C99"/>
    <w:lvl w:ilvl="0" w:tentative="0">
      <w:start w:val="1"/>
      <w:numFmt w:val="chineseCounting"/>
      <w:suff w:val="nothing"/>
      <w:lvlText w:val="%1、"/>
      <w:lvlJc w:val="left"/>
    </w:lvl>
  </w:abstractNum>
  <w:abstractNum w:abstractNumId="8">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4"/>
  </w:num>
  <w:num w:numId="2">
    <w:abstractNumId w:val="5"/>
  </w:num>
  <w:num w:numId="3">
    <w:abstractNumId w:val="7"/>
  </w:num>
  <w:num w:numId="4">
    <w:abstractNumId w:val="3"/>
  </w:num>
  <w:num w:numId="5">
    <w:abstractNumId w:val="8"/>
  </w:num>
  <w:num w:numId="6">
    <w:abstractNumId w:val="0"/>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6"/>
  <w:drawingGridVerticalSpacing w:val="157"/>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hNWZhYTI5ZjQ2ZDdkYjE1NmI1ZDM2NTIyMDg4MmYifQ=="/>
  </w:docVars>
  <w:rsids>
    <w:rsidRoot w:val="00AE79E0"/>
    <w:rsid w:val="000008FD"/>
    <w:rsid w:val="00003231"/>
    <w:rsid w:val="00003B78"/>
    <w:rsid w:val="00003F23"/>
    <w:rsid w:val="00005025"/>
    <w:rsid w:val="0000620B"/>
    <w:rsid w:val="0000681E"/>
    <w:rsid w:val="0000682D"/>
    <w:rsid w:val="00011FD2"/>
    <w:rsid w:val="000126C8"/>
    <w:rsid w:val="00012CFA"/>
    <w:rsid w:val="00013187"/>
    <w:rsid w:val="000137F2"/>
    <w:rsid w:val="00014B17"/>
    <w:rsid w:val="000165AB"/>
    <w:rsid w:val="000201C1"/>
    <w:rsid w:val="00021187"/>
    <w:rsid w:val="00021198"/>
    <w:rsid w:val="00021864"/>
    <w:rsid w:val="00023055"/>
    <w:rsid w:val="00023185"/>
    <w:rsid w:val="000242CE"/>
    <w:rsid w:val="00024AD6"/>
    <w:rsid w:val="00026A08"/>
    <w:rsid w:val="000279EA"/>
    <w:rsid w:val="000305D5"/>
    <w:rsid w:val="000319B0"/>
    <w:rsid w:val="00034387"/>
    <w:rsid w:val="00034B72"/>
    <w:rsid w:val="00034BA3"/>
    <w:rsid w:val="00034CDA"/>
    <w:rsid w:val="00034F63"/>
    <w:rsid w:val="0003627F"/>
    <w:rsid w:val="0003679A"/>
    <w:rsid w:val="00040E67"/>
    <w:rsid w:val="00041F06"/>
    <w:rsid w:val="000423B1"/>
    <w:rsid w:val="0004299A"/>
    <w:rsid w:val="000429F1"/>
    <w:rsid w:val="000437CC"/>
    <w:rsid w:val="00043E1C"/>
    <w:rsid w:val="00046FC5"/>
    <w:rsid w:val="00047373"/>
    <w:rsid w:val="000476D9"/>
    <w:rsid w:val="0005173F"/>
    <w:rsid w:val="00051864"/>
    <w:rsid w:val="00051ECE"/>
    <w:rsid w:val="000520FE"/>
    <w:rsid w:val="00053450"/>
    <w:rsid w:val="000538D1"/>
    <w:rsid w:val="00054A43"/>
    <w:rsid w:val="00055123"/>
    <w:rsid w:val="00055AB6"/>
    <w:rsid w:val="00055F34"/>
    <w:rsid w:val="00056350"/>
    <w:rsid w:val="00056A13"/>
    <w:rsid w:val="000576A3"/>
    <w:rsid w:val="00063B93"/>
    <w:rsid w:val="00064417"/>
    <w:rsid w:val="000649EF"/>
    <w:rsid w:val="00065388"/>
    <w:rsid w:val="00065665"/>
    <w:rsid w:val="00067D7A"/>
    <w:rsid w:val="00070288"/>
    <w:rsid w:val="00070340"/>
    <w:rsid w:val="000708C5"/>
    <w:rsid w:val="000712BD"/>
    <w:rsid w:val="000719DB"/>
    <w:rsid w:val="00072AC0"/>
    <w:rsid w:val="000738C2"/>
    <w:rsid w:val="000742BD"/>
    <w:rsid w:val="0007479D"/>
    <w:rsid w:val="00075123"/>
    <w:rsid w:val="00075390"/>
    <w:rsid w:val="0007565B"/>
    <w:rsid w:val="00075BB9"/>
    <w:rsid w:val="00076436"/>
    <w:rsid w:val="00076558"/>
    <w:rsid w:val="00077C43"/>
    <w:rsid w:val="00077D8B"/>
    <w:rsid w:val="0008094E"/>
    <w:rsid w:val="00080A6F"/>
    <w:rsid w:val="000816F2"/>
    <w:rsid w:val="00082869"/>
    <w:rsid w:val="00083463"/>
    <w:rsid w:val="00083CDC"/>
    <w:rsid w:val="00084CC1"/>
    <w:rsid w:val="000852D7"/>
    <w:rsid w:val="00085489"/>
    <w:rsid w:val="00085BF6"/>
    <w:rsid w:val="000863D1"/>
    <w:rsid w:val="00086A7A"/>
    <w:rsid w:val="00086B28"/>
    <w:rsid w:val="000874E4"/>
    <w:rsid w:val="0008796E"/>
    <w:rsid w:val="00087E9D"/>
    <w:rsid w:val="000901E9"/>
    <w:rsid w:val="00090BD9"/>
    <w:rsid w:val="00090F00"/>
    <w:rsid w:val="00091C9B"/>
    <w:rsid w:val="00091DC7"/>
    <w:rsid w:val="000926F6"/>
    <w:rsid w:val="000942A8"/>
    <w:rsid w:val="00094641"/>
    <w:rsid w:val="00094AC9"/>
    <w:rsid w:val="00095245"/>
    <w:rsid w:val="000955A6"/>
    <w:rsid w:val="00095B6E"/>
    <w:rsid w:val="0009686F"/>
    <w:rsid w:val="000A1761"/>
    <w:rsid w:val="000A184E"/>
    <w:rsid w:val="000A1B3C"/>
    <w:rsid w:val="000A2970"/>
    <w:rsid w:val="000A35E1"/>
    <w:rsid w:val="000A3813"/>
    <w:rsid w:val="000A4619"/>
    <w:rsid w:val="000A48D7"/>
    <w:rsid w:val="000A5705"/>
    <w:rsid w:val="000A6219"/>
    <w:rsid w:val="000A6DD1"/>
    <w:rsid w:val="000A7BFA"/>
    <w:rsid w:val="000A7E34"/>
    <w:rsid w:val="000B0CDF"/>
    <w:rsid w:val="000B19BA"/>
    <w:rsid w:val="000B21F3"/>
    <w:rsid w:val="000B5B49"/>
    <w:rsid w:val="000B5CD6"/>
    <w:rsid w:val="000B5D8E"/>
    <w:rsid w:val="000B71A8"/>
    <w:rsid w:val="000B7353"/>
    <w:rsid w:val="000B7627"/>
    <w:rsid w:val="000B7FDE"/>
    <w:rsid w:val="000C062A"/>
    <w:rsid w:val="000C0D0A"/>
    <w:rsid w:val="000C0D63"/>
    <w:rsid w:val="000C1047"/>
    <w:rsid w:val="000C2C5E"/>
    <w:rsid w:val="000C4AF2"/>
    <w:rsid w:val="000C58C5"/>
    <w:rsid w:val="000C627A"/>
    <w:rsid w:val="000C6774"/>
    <w:rsid w:val="000C68DD"/>
    <w:rsid w:val="000C742F"/>
    <w:rsid w:val="000C7D1B"/>
    <w:rsid w:val="000D07C7"/>
    <w:rsid w:val="000D16D6"/>
    <w:rsid w:val="000D1955"/>
    <w:rsid w:val="000D1963"/>
    <w:rsid w:val="000D260B"/>
    <w:rsid w:val="000D296C"/>
    <w:rsid w:val="000D2BE7"/>
    <w:rsid w:val="000D3BE4"/>
    <w:rsid w:val="000D3FDF"/>
    <w:rsid w:val="000D3FE5"/>
    <w:rsid w:val="000D5BFA"/>
    <w:rsid w:val="000D77C3"/>
    <w:rsid w:val="000E0018"/>
    <w:rsid w:val="000E169F"/>
    <w:rsid w:val="000E18AA"/>
    <w:rsid w:val="000E1F61"/>
    <w:rsid w:val="000E30EA"/>
    <w:rsid w:val="000E3822"/>
    <w:rsid w:val="000E416E"/>
    <w:rsid w:val="000E4260"/>
    <w:rsid w:val="000E4C55"/>
    <w:rsid w:val="000E57CE"/>
    <w:rsid w:val="000E5BD2"/>
    <w:rsid w:val="000E6242"/>
    <w:rsid w:val="000E689E"/>
    <w:rsid w:val="000E6A46"/>
    <w:rsid w:val="000E6ED7"/>
    <w:rsid w:val="000F0113"/>
    <w:rsid w:val="000F1DED"/>
    <w:rsid w:val="000F2698"/>
    <w:rsid w:val="000F3E84"/>
    <w:rsid w:val="000F3FFF"/>
    <w:rsid w:val="000F4B95"/>
    <w:rsid w:val="000F6140"/>
    <w:rsid w:val="000F6A98"/>
    <w:rsid w:val="000F6AB9"/>
    <w:rsid w:val="000F6B00"/>
    <w:rsid w:val="000F6D6B"/>
    <w:rsid w:val="000F6DA7"/>
    <w:rsid w:val="000F7DEB"/>
    <w:rsid w:val="001008C8"/>
    <w:rsid w:val="00103AEE"/>
    <w:rsid w:val="00104E2B"/>
    <w:rsid w:val="00104E64"/>
    <w:rsid w:val="0010538C"/>
    <w:rsid w:val="001057AF"/>
    <w:rsid w:val="00110A45"/>
    <w:rsid w:val="00111249"/>
    <w:rsid w:val="001123E7"/>
    <w:rsid w:val="001135FE"/>
    <w:rsid w:val="00113871"/>
    <w:rsid w:val="0011439C"/>
    <w:rsid w:val="00114702"/>
    <w:rsid w:val="00116424"/>
    <w:rsid w:val="001167DB"/>
    <w:rsid w:val="00116D76"/>
    <w:rsid w:val="00117062"/>
    <w:rsid w:val="001170CE"/>
    <w:rsid w:val="001178E2"/>
    <w:rsid w:val="00117DEA"/>
    <w:rsid w:val="00117FAC"/>
    <w:rsid w:val="0012043E"/>
    <w:rsid w:val="001209D4"/>
    <w:rsid w:val="001209D7"/>
    <w:rsid w:val="00120A18"/>
    <w:rsid w:val="00120C83"/>
    <w:rsid w:val="00121289"/>
    <w:rsid w:val="001233FB"/>
    <w:rsid w:val="0012425E"/>
    <w:rsid w:val="0012511F"/>
    <w:rsid w:val="00125392"/>
    <w:rsid w:val="001255D4"/>
    <w:rsid w:val="001263BA"/>
    <w:rsid w:val="00126A4E"/>
    <w:rsid w:val="00126AD8"/>
    <w:rsid w:val="00126DF1"/>
    <w:rsid w:val="001276ED"/>
    <w:rsid w:val="00127742"/>
    <w:rsid w:val="00130067"/>
    <w:rsid w:val="00130C17"/>
    <w:rsid w:val="0013112F"/>
    <w:rsid w:val="0013118B"/>
    <w:rsid w:val="001311ED"/>
    <w:rsid w:val="0013431D"/>
    <w:rsid w:val="00134648"/>
    <w:rsid w:val="001348DF"/>
    <w:rsid w:val="00134FD5"/>
    <w:rsid w:val="0013509E"/>
    <w:rsid w:val="00135535"/>
    <w:rsid w:val="00135667"/>
    <w:rsid w:val="00135AED"/>
    <w:rsid w:val="00135BC4"/>
    <w:rsid w:val="00135F38"/>
    <w:rsid w:val="001369C3"/>
    <w:rsid w:val="00137B6B"/>
    <w:rsid w:val="00137D64"/>
    <w:rsid w:val="00137E4C"/>
    <w:rsid w:val="00141038"/>
    <w:rsid w:val="0014151F"/>
    <w:rsid w:val="00141941"/>
    <w:rsid w:val="00142184"/>
    <w:rsid w:val="0014311D"/>
    <w:rsid w:val="00144467"/>
    <w:rsid w:val="001449E6"/>
    <w:rsid w:val="0014579A"/>
    <w:rsid w:val="00145A0C"/>
    <w:rsid w:val="00145E17"/>
    <w:rsid w:val="00147477"/>
    <w:rsid w:val="0015038C"/>
    <w:rsid w:val="001508B1"/>
    <w:rsid w:val="00152331"/>
    <w:rsid w:val="00152403"/>
    <w:rsid w:val="00152CE0"/>
    <w:rsid w:val="00155001"/>
    <w:rsid w:val="001553F5"/>
    <w:rsid w:val="001554EC"/>
    <w:rsid w:val="00155CDB"/>
    <w:rsid w:val="00156646"/>
    <w:rsid w:val="001568CF"/>
    <w:rsid w:val="00157E12"/>
    <w:rsid w:val="00160800"/>
    <w:rsid w:val="00160863"/>
    <w:rsid w:val="0016087F"/>
    <w:rsid w:val="00160A88"/>
    <w:rsid w:val="001613E7"/>
    <w:rsid w:val="0016174A"/>
    <w:rsid w:val="001620F9"/>
    <w:rsid w:val="00165DAF"/>
    <w:rsid w:val="00167DD2"/>
    <w:rsid w:val="0017046D"/>
    <w:rsid w:val="0017080E"/>
    <w:rsid w:val="00171430"/>
    <w:rsid w:val="001714A4"/>
    <w:rsid w:val="00171FC2"/>
    <w:rsid w:val="001729B3"/>
    <w:rsid w:val="00172D11"/>
    <w:rsid w:val="00172FE9"/>
    <w:rsid w:val="001736ED"/>
    <w:rsid w:val="00173D1D"/>
    <w:rsid w:val="00174925"/>
    <w:rsid w:val="00174E84"/>
    <w:rsid w:val="00175BB3"/>
    <w:rsid w:val="00176570"/>
    <w:rsid w:val="00176A44"/>
    <w:rsid w:val="00176CDE"/>
    <w:rsid w:val="00177851"/>
    <w:rsid w:val="00180275"/>
    <w:rsid w:val="0018175A"/>
    <w:rsid w:val="00182153"/>
    <w:rsid w:val="00183525"/>
    <w:rsid w:val="00183724"/>
    <w:rsid w:val="00184539"/>
    <w:rsid w:val="00184EF2"/>
    <w:rsid w:val="0018523C"/>
    <w:rsid w:val="00186A8D"/>
    <w:rsid w:val="0019046D"/>
    <w:rsid w:val="00191194"/>
    <w:rsid w:val="00192441"/>
    <w:rsid w:val="001924AF"/>
    <w:rsid w:val="00192969"/>
    <w:rsid w:val="00192AB0"/>
    <w:rsid w:val="00193398"/>
    <w:rsid w:val="001935E2"/>
    <w:rsid w:val="00193A65"/>
    <w:rsid w:val="00194057"/>
    <w:rsid w:val="0019444D"/>
    <w:rsid w:val="001966AA"/>
    <w:rsid w:val="00196974"/>
    <w:rsid w:val="00196D5E"/>
    <w:rsid w:val="00196F4B"/>
    <w:rsid w:val="001972EB"/>
    <w:rsid w:val="001A0B29"/>
    <w:rsid w:val="001A12FE"/>
    <w:rsid w:val="001A406A"/>
    <w:rsid w:val="001A62A1"/>
    <w:rsid w:val="001A74C3"/>
    <w:rsid w:val="001B0B9D"/>
    <w:rsid w:val="001B1C75"/>
    <w:rsid w:val="001B2BBF"/>
    <w:rsid w:val="001B522A"/>
    <w:rsid w:val="001B560A"/>
    <w:rsid w:val="001B5738"/>
    <w:rsid w:val="001B6E93"/>
    <w:rsid w:val="001B70B5"/>
    <w:rsid w:val="001B7B84"/>
    <w:rsid w:val="001B7F39"/>
    <w:rsid w:val="001C05AB"/>
    <w:rsid w:val="001C1F35"/>
    <w:rsid w:val="001C2A8A"/>
    <w:rsid w:val="001C3B70"/>
    <w:rsid w:val="001C5539"/>
    <w:rsid w:val="001C59BE"/>
    <w:rsid w:val="001C5DC4"/>
    <w:rsid w:val="001C5E26"/>
    <w:rsid w:val="001C6220"/>
    <w:rsid w:val="001C6B18"/>
    <w:rsid w:val="001D0A93"/>
    <w:rsid w:val="001D2F5F"/>
    <w:rsid w:val="001D446C"/>
    <w:rsid w:val="001D5688"/>
    <w:rsid w:val="001D58FF"/>
    <w:rsid w:val="001D629D"/>
    <w:rsid w:val="001D63FD"/>
    <w:rsid w:val="001D6F3F"/>
    <w:rsid w:val="001D6F45"/>
    <w:rsid w:val="001D7E45"/>
    <w:rsid w:val="001E04F1"/>
    <w:rsid w:val="001E20D3"/>
    <w:rsid w:val="001E2E22"/>
    <w:rsid w:val="001E2FC4"/>
    <w:rsid w:val="001E36B7"/>
    <w:rsid w:val="001E47CD"/>
    <w:rsid w:val="001E5159"/>
    <w:rsid w:val="001E5832"/>
    <w:rsid w:val="001E591A"/>
    <w:rsid w:val="001E68D0"/>
    <w:rsid w:val="001F07C5"/>
    <w:rsid w:val="001F1324"/>
    <w:rsid w:val="001F134E"/>
    <w:rsid w:val="001F14AE"/>
    <w:rsid w:val="001F1946"/>
    <w:rsid w:val="001F26BA"/>
    <w:rsid w:val="001F3378"/>
    <w:rsid w:val="001F4661"/>
    <w:rsid w:val="001F4719"/>
    <w:rsid w:val="001F66D5"/>
    <w:rsid w:val="001F6A1F"/>
    <w:rsid w:val="001F7137"/>
    <w:rsid w:val="001F770C"/>
    <w:rsid w:val="00200094"/>
    <w:rsid w:val="00200808"/>
    <w:rsid w:val="00200C69"/>
    <w:rsid w:val="00201148"/>
    <w:rsid w:val="00202825"/>
    <w:rsid w:val="00202D5B"/>
    <w:rsid w:val="00202F2A"/>
    <w:rsid w:val="002036F3"/>
    <w:rsid w:val="00203F5C"/>
    <w:rsid w:val="00204191"/>
    <w:rsid w:val="0020421A"/>
    <w:rsid w:val="002047D3"/>
    <w:rsid w:val="0020497C"/>
    <w:rsid w:val="00205798"/>
    <w:rsid w:val="00205A83"/>
    <w:rsid w:val="00205DEE"/>
    <w:rsid w:val="00207016"/>
    <w:rsid w:val="0021092F"/>
    <w:rsid w:val="00210BCE"/>
    <w:rsid w:val="002111F8"/>
    <w:rsid w:val="002112B7"/>
    <w:rsid w:val="0021169E"/>
    <w:rsid w:val="00211789"/>
    <w:rsid w:val="00211B64"/>
    <w:rsid w:val="00211C86"/>
    <w:rsid w:val="00211FEE"/>
    <w:rsid w:val="002122F0"/>
    <w:rsid w:val="00212CA5"/>
    <w:rsid w:val="00212EB3"/>
    <w:rsid w:val="00213256"/>
    <w:rsid w:val="0021421B"/>
    <w:rsid w:val="0021435E"/>
    <w:rsid w:val="00217577"/>
    <w:rsid w:val="00217846"/>
    <w:rsid w:val="002203C0"/>
    <w:rsid w:val="002209E8"/>
    <w:rsid w:val="002215D0"/>
    <w:rsid w:val="0022309F"/>
    <w:rsid w:val="00224266"/>
    <w:rsid w:val="002248D5"/>
    <w:rsid w:val="00224BDB"/>
    <w:rsid w:val="00225A4D"/>
    <w:rsid w:val="00225E3E"/>
    <w:rsid w:val="00225E4A"/>
    <w:rsid w:val="00227FEE"/>
    <w:rsid w:val="00230CC1"/>
    <w:rsid w:val="00230D14"/>
    <w:rsid w:val="002314E9"/>
    <w:rsid w:val="00231CB1"/>
    <w:rsid w:val="00232C8A"/>
    <w:rsid w:val="0023334B"/>
    <w:rsid w:val="00234A89"/>
    <w:rsid w:val="00234E10"/>
    <w:rsid w:val="00235478"/>
    <w:rsid w:val="002358C7"/>
    <w:rsid w:val="002362AF"/>
    <w:rsid w:val="002362CC"/>
    <w:rsid w:val="00237506"/>
    <w:rsid w:val="002378D0"/>
    <w:rsid w:val="00237B57"/>
    <w:rsid w:val="00243A1C"/>
    <w:rsid w:val="00243B5E"/>
    <w:rsid w:val="00243C20"/>
    <w:rsid w:val="00243D7D"/>
    <w:rsid w:val="00243ECE"/>
    <w:rsid w:val="00245ACA"/>
    <w:rsid w:val="00246F54"/>
    <w:rsid w:val="0025249A"/>
    <w:rsid w:val="0025326E"/>
    <w:rsid w:val="002541D3"/>
    <w:rsid w:val="00254D18"/>
    <w:rsid w:val="00255705"/>
    <w:rsid w:val="00255C2F"/>
    <w:rsid w:val="00255D4D"/>
    <w:rsid w:val="00257088"/>
    <w:rsid w:val="002574B1"/>
    <w:rsid w:val="0025775C"/>
    <w:rsid w:val="0025785F"/>
    <w:rsid w:val="0026096A"/>
    <w:rsid w:val="00260B60"/>
    <w:rsid w:val="0026120E"/>
    <w:rsid w:val="00261315"/>
    <w:rsid w:val="0026223A"/>
    <w:rsid w:val="002632DC"/>
    <w:rsid w:val="00263F02"/>
    <w:rsid w:val="002648FB"/>
    <w:rsid w:val="00264E69"/>
    <w:rsid w:val="00266892"/>
    <w:rsid w:val="00266CC0"/>
    <w:rsid w:val="002672ED"/>
    <w:rsid w:val="0027024E"/>
    <w:rsid w:val="00272390"/>
    <w:rsid w:val="0027543F"/>
    <w:rsid w:val="00275F7E"/>
    <w:rsid w:val="002760E4"/>
    <w:rsid w:val="002768B5"/>
    <w:rsid w:val="00277378"/>
    <w:rsid w:val="0028110D"/>
    <w:rsid w:val="00281371"/>
    <w:rsid w:val="002813D2"/>
    <w:rsid w:val="002819B4"/>
    <w:rsid w:val="0028291E"/>
    <w:rsid w:val="00282FBB"/>
    <w:rsid w:val="00283B88"/>
    <w:rsid w:val="00285CC4"/>
    <w:rsid w:val="00286851"/>
    <w:rsid w:val="00290235"/>
    <w:rsid w:val="00290EB7"/>
    <w:rsid w:val="00291B90"/>
    <w:rsid w:val="00291EBD"/>
    <w:rsid w:val="00293933"/>
    <w:rsid w:val="00295F38"/>
    <w:rsid w:val="00296FAA"/>
    <w:rsid w:val="002970FB"/>
    <w:rsid w:val="00297E16"/>
    <w:rsid w:val="002A07DB"/>
    <w:rsid w:val="002A1959"/>
    <w:rsid w:val="002A3638"/>
    <w:rsid w:val="002A484A"/>
    <w:rsid w:val="002A49E9"/>
    <w:rsid w:val="002A4C87"/>
    <w:rsid w:val="002A4E7F"/>
    <w:rsid w:val="002A51FE"/>
    <w:rsid w:val="002A79FB"/>
    <w:rsid w:val="002A7C46"/>
    <w:rsid w:val="002A7D6F"/>
    <w:rsid w:val="002B08C1"/>
    <w:rsid w:val="002B0A6F"/>
    <w:rsid w:val="002B12D0"/>
    <w:rsid w:val="002B17E9"/>
    <w:rsid w:val="002B1A43"/>
    <w:rsid w:val="002B1ABC"/>
    <w:rsid w:val="002B220A"/>
    <w:rsid w:val="002B28DF"/>
    <w:rsid w:val="002B3EF5"/>
    <w:rsid w:val="002B4721"/>
    <w:rsid w:val="002B635D"/>
    <w:rsid w:val="002B6423"/>
    <w:rsid w:val="002B6D27"/>
    <w:rsid w:val="002B6EAE"/>
    <w:rsid w:val="002B7C85"/>
    <w:rsid w:val="002C1472"/>
    <w:rsid w:val="002C1DFD"/>
    <w:rsid w:val="002C316D"/>
    <w:rsid w:val="002C324F"/>
    <w:rsid w:val="002C32A4"/>
    <w:rsid w:val="002C34A7"/>
    <w:rsid w:val="002C404C"/>
    <w:rsid w:val="002C44F8"/>
    <w:rsid w:val="002C48D8"/>
    <w:rsid w:val="002C50D1"/>
    <w:rsid w:val="002C53E5"/>
    <w:rsid w:val="002C5959"/>
    <w:rsid w:val="002C66EA"/>
    <w:rsid w:val="002C6EE6"/>
    <w:rsid w:val="002C76A3"/>
    <w:rsid w:val="002D16A5"/>
    <w:rsid w:val="002D1856"/>
    <w:rsid w:val="002D4063"/>
    <w:rsid w:val="002D6C02"/>
    <w:rsid w:val="002D6F6A"/>
    <w:rsid w:val="002D702A"/>
    <w:rsid w:val="002D73D4"/>
    <w:rsid w:val="002D73FE"/>
    <w:rsid w:val="002E00B8"/>
    <w:rsid w:val="002E023A"/>
    <w:rsid w:val="002E05E3"/>
    <w:rsid w:val="002E0CF1"/>
    <w:rsid w:val="002E131F"/>
    <w:rsid w:val="002E3A5F"/>
    <w:rsid w:val="002E3A69"/>
    <w:rsid w:val="002E3A88"/>
    <w:rsid w:val="002E3B8A"/>
    <w:rsid w:val="002E5DDC"/>
    <w:rsid w:val="002E6CBA"/>
    <w:rsid w:val="002E70C0"/>
    <w:rsid w:val="002E779E"/>
    <w:rsid w:val="002F0126"/>
    <w:rsid w:val="002F1C05"/>
    <w:rsid w:val="002F3E1E"/>
    <w:rsid w:val="002F5154"/>
    <w:rsid w:val="002F5668"/>
    <w:rsid w:val="002F6350"/>
    <w:rsid w:val="002F726F"/>
    <w:rsid w:val="002F7307"/>
    <w:rsid w:val="002F775E"/>
    <w:rsid w:val="003002FC"/>
    <w:rsid w:val="00301764"/>
    <w:rsid w:val="0030256A"/>
    <w:rsid w:val="003049E1"/>
    <w:rsid w:val="00304EE7"/>
    <w:rsid w:val="003064DC"/>
    <w:rsid w:val="0030763F"/>
    <w:rsid w:val="0030791A"/>
    <w:rsid w:val="00311D1C"/>
    <w:rsid w:val="00311FE2"/>
    <w:rsid w:val="00312912"/>
    <w:rsid w:val="00312B46"/>
    <w:rsid w:val="003135CA"/>
    <w:rsid w:val="00314E48"/>
    <w:rsid w:val="00315218"/>
    <w:rsid w:val="003169FF"/>
    <w:rsid w:val="0031704D"/>
    <w:rsid w:val="00317374"/>
    <w:rsid w:val="0031782B"/>
    <w:rsid w:val="00317903"/>
    <w:rsid w:val="00317929"/>
    <w:rsid w:val="00320797"/>
    <w:rsid w:val="00321351"/>
    <w:rsid w:val="003215D0"/>
    <w:rsid w:val="003219FF"/>
    <w:rsid w:val="00321B0F"/>
    <w:rsid w:val="00323327"/>
    <w:rsid w:val="003233D3"/>
    <w:rsid w:val="0032368B"/>
    <w:rsid w:val="00323B3C"/>
    <w:rsid w:val="00323B9B"/>
    <w:rsid w:val="00323EE0"/>
    <w:rsid w:val="003250B5"/>
    <w:rsid w:val="00325C3D"/>
    <w:rsid w:val="00327B00"/>
    <w:rsid w:val="00330EEC"/>
    <w:rsid w:val="00331614"/>
    <w:rsid w:val="003316A2"/>
    <w:rsid w:val="003316AA"/>
    <w:rsid w:val="00331951"/>
    <w:rsid w:val="00333612"/>
    <w:rsid w:val="00333F5A"/>
    <w:rsid w:val="00334464"/>
    <w:rsid w:val="00335143"/>
    <w:rsid w:val="0033520E"/>
    <w:rsid w:val="003355DB"/>
    <w:rsid w:val="003360C0"/>
    <w:rsid w:val="00337E3A"/>
    <w:rsid w:val="00341701"/>
    <w:rsid w:val="00341E1B"/>
    <w:rsid w:val="00342063"/>
    <w:rsid w:val="00343AFA"/>
    <w:rsid w:val="00345340"/>
    <w:rsid w:val="00345DC6"/>
    <w:rsid w:val="00347D7F"/>
    <w:rsid w:val="0035000C"/>
    <w:rsid w:val="0035054D"/>
    <w:rsid w:val="00350672"/>
    <w:rsid w:val="003520CF"/>
    <w:rsid w:val="00352130"/>
    <w:rsid w:val="00352629"/>
    <w:rsid w:val="00352961"/>
    <w:rsid w:val="00352F5E"/>
    <w:rsid w:val="003535C3"/>
    <w:rsid w:val="00355078"/>
    <w:rsid w:val="003554BE"/>
    <w:rsid w:val="00355BD8"/>
    <w:rsid w:val="0035755D"/>
    <w:rsid w:val="00357634"/>
    <w:rsid w:val="003607F7"/>
    <w:rsid w:val="0036156D"/>
    <w:rsid w:val="00361C08"/>
    <w:rsid w:val="00362C15"/>
    <w:rsid w:val="003635A5"/>
    <w:rsid w:val="003639F7"/>
    <w:rsid w:val="00363A88"/>
    <w:rsid w:val="00364D6D"/>
    <w:rsid w:val="003660EB"/>
    <w:rsid w:val="0036682B"/>
    <w:rsid w:val="00366A3F"/>
    <w:rsid w:val="00366D2F"/>
    <w:rsid w:val="00367050"/>
    <w:rsid w:val="0036779C"/>
    <w:rsid w:val="00370079"/>
    <w:rsid w:val="00370746"/>
    <w:rsid w:val="003714B5"/>
    <w:rsid w:val="003727AA"/>
    <w:rsid w:val="003730CA"/>
    <w:rsid w:val="003733A8"/>
    <w:rsid w:val="00373B52"/>
    <w:rsid w:val="00374236"/>
    <w:rsid w:val="00374A30"/>
    <w:rsid w:val="0037500F"/>
    <w:rsid w:val="00375EBC"/>
    <w:rsid w:val="00376B56"/>
    <w:rsid w:val="00377293"/>
    <w:rsid w:val="003773A5"/>
    <w:rsid w:val="003773CE"/>
    <w:rsid w:val="003773E1"/>
    <w:rsid w:val="0037755A"/>
    <w:rsid w:val="0037765D"/>
    <w:rsid w:val="0037791B"/>
    <w:rsid w:val="00380988"/>
    <w:rsid w:val="003810A2"/>
    <w:rsid w:val="00381168"/>
    <w:rsid w:val="003827D4"/>
    <w:rsid w:val="00382C45"/>
    <w:rsid w:val="00383BED"/>
    <w:rsid w:val="00385827"/>
    <w:rsid w:val="00385E4B"/>
    <w:rsid w:val="0038654B"/>
    <w:rsid w:val="00386A77"/>
    <w:rsid w:val="00386B6F"/>
    <w:rsid w:val="00387676"/>
    <w:rsid w:val="00387770"/>
    <w:rsid w:val="00390418"/>
    <w:rsid w:val="003906A3"/>
    <w:rsid w:val="00390901"/>
    <w:rsid w:val="00390A55"/>
    <w:rsid w:val="00390D6E"/>
    <w:rsid w:val="00391153"/>
    <w:rsid w:val="0039119C"/>
    <w:rsid w:val="00392149"/>
    <w:rsid w:val="00392690"/>
    <w:rsid w:val="00392DE4"/>
    <w:rsid w:val="0039363C"/>
    <w:rsid w:val="00393D4C"/>
    <w:rsid w:val="00394FFF"/>
    <w:rsid w:val="00396C19"/>
    <w:rsid w:val="003A1A8E"/>
    <w:rsid w:val="003A1C83"/>
    <w:rsid w:val="003A1CE5"/>
    <w:rsid w:val="003A1FAF"/>
    <w:rsid w:val="003A24EE"/>
    <w:rsid w:val="003A4F37"/>
    <w:rsid w:val="003A6060"/>
    <w:rsid w:val="003A797D"/>
    <w:rsid w:val="003A7E53"/>
    <w:rsid w:val="003B03F9"/>
    <w:rsid w:val="003B0499"/>
    <w:rsid w:val="003B14CC"/>
    <w:rsid w:val="003B16BA"/>
    <w:rsid w:val="003B25CE"/>
    <w:rsid w:val="003B436D"/>
    <w:rsid w:val="003B4CAB"/>
    <w:rsid w:val="003B6267"/>
    <w:rsid w:val="003B76FC"/>
    <w:rsid w:val="003C01E5"/>
    <w:rsid w:val="003C1D2A"/>
    <w:rsid w:val="003C1E0B"/>
    <w:rsid w:val="003C2AF5"/>
    <w:rsid w:val="003C36AD"/>
    <w:rsid w:val="003C4FF3"/>
    <w:rsid w:val="003C5BF9"/>
    <w:rsid w:val="003C6429"/>
    <w:rsid w:val="003C6DB2"/>
    <w:rsid w:val="003C7068"/>
    <w:rsid w:val="003C7A1D"/>
    <w:rsid w:val="003D1587"/>
    <w:rsid w:val="003D1C4D"/>
    <w:rsid w:val="003D302B"/>
    <w:rsid w:val="003D32A3"/>
    <w:rsid w:val="003D38BA"/>
    <w:rsid w:val="003D44D8"/>
    <w:rsid w:val="003D4675"/>
    <w:rsid w:val="003D6965"/>
    <w:rsid w:val="003E04A9"/>
    <w:rsid w:val="003E0849"/>
    <w:rsid w:val="003E1E30"/>
    <w:rsid w:val="003E2182"/>
    <w:rsid w:val="003E333B"/>
    <w:rsid w:val="003E37E5"/>
    <w:rsid w:val="003E3BF0"/>
    <w:rsid w:val="003E4056"/>
    <w:rsid w:val="003E44EB"/>
    <w:rsid w:val="003E4507"/>
    <w:rsid w:val="003E54FB"/>
    <w:rsid w:val="003E5587"/>
    <w:rsid w:val="003E571E"/>
    <w:rsid w:val="003E5FB3"/>
    <w:rsid w:val="003E6E74"/>
    <w:rsid w:val="003E6F20"/>
    <w:rsid w:val="003E7AEF"/>
    <w:rsid w:val="003F101A"/>
    <w:rsid w:val="003F15CD"/>
    <w:rsid w:val="003F2112"/>
    <w:rsid w:val="003F3F4E"/>
    <w:rsid w:val="003F4963"/>
    <w:rsid w:val="003F51D0"/>
    <w:rsid w:val="003F5810"/>
    <w:rsid w:val="003F5F57"/>
    <w:rsid w:val="003F6082"/>
    <w:rsid w:val="003F60E2"/>
    <w:rsid w:val="003F6180"/>
    <w:rsid w:val="003F6452"/>
    <w:rsid w:val="003F659B"/>
    <w:rsid w:val="003F7825"/>
    <w:rsid w:val="003F7D6D"/>
    <w:rsid w:val="0040044F"/>
    <w:rsid w:val="00400942"/>
    <w:rsid w:val="00400AAA"/>
    <w:rsid w:val="0040108E"/>
    <w:rsid w:val="004019B0"/>
    <w:rsid w:val="00402C0A"/>
    <w:rsid w:val="004039CF"/>
    <w:rsid w:val="00403F19"/>
    <w:rsid w:val="00404DF2"/>
    <w:rsid w:val="00404F09"/>
    <w:rsid w:val="0040537E"/>
    <w:rsid w:val="00405A3C"/>
    <w:rsid w:val="00407458"/>
    <w:rsid w:val="00407A64"/>
    <w:rsid w:val="004100F4"/>
    <w:rsid w:val="00410282"/>
    <w:rsid w:val="0041072B"/>
    <w:rsid w:val="00411E24"/>
    <w:rsid w:val="004126E0"/>
    <w:rsid w:val="00415A8A"/>
    <w:rsid w:val="00415CBE"/>
    <w:rsid w:val="00415D23"/>
    <w:rsid w:val="004161D1"/>
    <w:rsid w:val="00416645"/>
    <w:rsid w:val="00416864"/>
    <w:rsid w:val="00416D19"/>
    <w:rsid w:val="0041780A"/>
    <w:rsid w:val="00417A6E"/>
    <w:rsid w:val="00417BC7"/>
    <w:rsid w:val="00417E88"/>
    <w:rsid w:val="00420C05"/>
    <w:rsid w:val="00420E6D"/>
    <w:rsid w:val="004211C4"/>
    <w:rsid w:val="00421C2B"/>
    <w:rsid w:val="004223C5"/>
    <w:rsid w:val="00422EDA"/>
    <w:rsid w:val="0042307D"/>
    <w:rsid w:val="004237BE"/>
    <w:rsid w:val="00423B8C"/>
    <w:rsid w:val="00423FF8"/>
    <w:rsid w:val="00426294"/>
    <w:rsid w:val="00426B59"/>
    <w:rsid w:val="0042715C"/>
    <w:rsid w:val="00427EEC"/>
    <w:rsid w:val="004310A8"/>
    <w:rsid w:val="00431381"/>
    <w:rsid w:val="004313CD"/>
    <w:rsid w:val="00431502"/>
    <w:rsid w:val="0043170A"/>
    <w:rsid w:val="004321AD"/>
    <w:rsid w:val="00432D5F"/>
    <w:rsid w:val="00432EA8"/>
    <w:rsid w:val="004338B0"/>
    <w:rsid w:val="00434745"/>
    <w:rsid w:val="0043632B"/>
    <w:rsid w:val="00441BE1"/>
    <w:rsid w:val="00441FA2"/>
    <w:rsid w:val="004424AF"/>
    <w:rsid w:val="004425B4"/>
    <w:rsid w:val="00442945"/>
    <w:rsid w:val="00442AA4"/>
    <w:rsid w:val="00443251"/>
    <w:rsid w:val="0044358F"/>
    <w:rsid w:val="0044399C"/>
    <w:rsid w:val="00444061"/>
    <w:rsid w:val="004441B5"/>
    <w:rsid w:val="0044427D"/>
    <w:rsid w:val="004451E6"/>
    <w:rsid w:val="004460F3"/>
    <w:rsid w:val="0044663D"/>
    <w:rsid w:val="0044683C"/>
    <w:rsid w:val="0045012A"/>
    <w:rsid w:val="004511E3"/>
    <w:rsid w:val="00453782"/>
    <w:rsid w:val="00453849"/>
    <w:rsid w:val="004542CB"/>
    <w:rsid w:val="0045480C"/>
    <w:rsid w:val="00454D19"/>
    <w:rsid w:val="00455612"/>
    <w:rsid w:val="00460038"/>
    <w:rsid w:val="0046010D"/>
    <w:rsid w:val="0046069B"/>
    <w:rsid w:val="004607F9"/>
    <w:rsid w:val="00460B47"/>
    <w:rsid w:val="00460F46"/>
    <w:rsid w:val="00461338"/>
    <w:rsid w:val="00461382"/>
    <w:rsid w:val="00462552"/>
    <w:rsid w:val="004630FD"/>
    <w:rsid w:val="0046401C"/>
    <w:rsid w:val="00464999"/>
    <w:rsid w:val="004658CB"/>
    <w:rsid w:val="00465A0C"/>
    <w:rsid w:val="004667AD"/>
    <w:rsid w:val="004668B1"/>
    <w:rsid w:val="004670CE"/>
    <w:rsid w:val="00471C43"/>
    <w:rsid w:val="00472037"/>
    <w:rsid w:val="00473549"/>
    <w:rsid w:val="0047382F"/>
    <w:rsid w:val="00473AFE"/>
    <w:rsid w:val="00474D40"/>
    <w:rsid w:val="00474DB3"/>
    <w:rsid w:val="0047507D"/>
    <w:rsid w:val="00476EE9"/>
    <w:rsid w:val="004776DB"/>
    <w:rsid w:val="00477F37"/>
    <w:rsid w:val="00481B35"/>
    <w:rsid w:val="0048235F"/>
    <w:rsid w:val="00482CF4"/>
    <w:rsid w:val="00483728"/>
    <w:rsid w:val="004845DF"/>
    <w:rsid w:val="004849C7"/>
    <w:rsid w:val="004851F9"/>
    <w:rsid w:val="0049006E"/>
    <w:rsid w:val="0049015B"/>
    <w:rsid w:val="004918CC"/>
    <w:rsid w:val="00492569"/>
    <w:rsid w:val="00492EA5"/>
    <w:rsid w:val="00493251"/>
    <w:rsid w:val="004946A1"/>
    <w:rsid w:val="00494B71"/>
    <w:rsid w:val="004962AD"/>
    <w:rsid w:val="004974CC"/>
    <w:rsid w:val="004A381A"/>
    <w:rsid w:val="004A44AE"/>
    <w:rsid w:val="004A4C5E"/>
    <w:rsid w:val="004A5D0F"/>
    <w:rsid w:val="004A6E1F"/>
    <w:rsid w:val="004A7AB9"/>
    <w:rsid w:val="004A7B48"/>
    <w:rsid w:val="004B1083"/>
    <w:rsid w:val="004B2FCE"/>
    <w:rsid w:val="004B3258"/>
    <w:rsid w:val="004B339D"/>
    <w:rsid w:val="004B411D"/>
    <w:rsid w:val="004B4880"/>
    <w:rsid w:val="004B522D"/>
    <w:rsid w:val="004B580C"/>
    <w:rsid w:val="004B6147"/>
    <w:rsid w:val="004B6214"/>
    <w:rsid w:val="004B6278"/>
    <w:rsid w:val="004B7182"/>
    <w:rsid w:val="004B74DD"/>
    <w:rsid w:val="004B7850"/>
    <w:rsid w:val="004C0519"/>
    <w:rsid w:val="004C084D"/>
    <w:rsid w:val="004C0F35"/>
    <w:rsid w:val="004C193F"/>
    <w:rsid w:val="004C1E29"/>
    <w:rsid w:val="004C2023"/>
    <w:rsid w:val="004C2C02"/>
    <w:rsid w:val="004C36C7"/>
    <w:rsid w:val="004C4656"/>
    <w:rsid w:val="004C49F4"/>
    <w:rsid w:val="004C5351"/>
    <w:rsid w:val="004C5697"/>
    <w:rsid w:val="004C5836"/>
    <w:rsid w:val="004C6035"/>
    <w:rsid w:val="004C6194"/>
    <w:rsid w:val="004C6E98"/>
    <w:rsid w:val="004D067C"/>
    <w:rsid w:val="004D072B"/>
    <w:rsid w:val="004D0C9D"/>
    <w:rsid w:val="004D1634"/>
    <w:rsid w:val="004D1A3A"/>
    <w:rsid w:val="004D3FCF"/>
    <w:rsid w:val="004D5837"/>
    <w:rsid w:val="004D5C9E"/>
    <w:rsid w:val="004D7796"/>
    <w:rsid w:val="004E1166"/>
    <w:rsid w:val="004E33E6"/>
    <w:rsid w:val="004E355E"/>
    <w:rsid w:val="004E3A33"/>
    <w:rsid w:val="004E3FCB"/>
    <w:rsid w:val="004E4947"/>
    <w:rsid w:val="004E5558"/>
    <w:rsid w:val="004E628E"/>
    <w:rsid w:val="004F0179"/>
    <w:rsid w:val="004F07B4"/>
    <w:rsid w:val="004F0E55"/>
    <w:rsid w:val="004F1A17"/>
    <w:rsid w:val="004F2179"/>
    <w:rsid w:val="004F2F65"/>
    <w:rsid w:val="004F4107"/>
    <w:rsid w:val="004F4817"/>
    <w:rsid w:val="004F4CE8"/>
    <w:rsid w:val="004F5E5D"/>
    <w:rsid w:val="005005CA"/>
    <w:rsid w:val="00503F0C"/>
    <w:rsid w:val="005049C2"/>
    <w:rsid w:val="00505000"/>
    <w:rsid w:val="00505F35"/>
    <w:rsid w:val="00506243"/>
    <w:rsid w:val="0051007B"/>
    <w:rsid w:val="005109B4"/>
    <w:rsid w:val="00510FF3"/>
    <w:rsid w:val="0051101A"/>
    <w:rsid w:val="005110F6"/>
    <w:rsid w:val="005123B0"/>
    <w:rsid w:val="00512C46"/>
    <w:rsid w:val="005133F8"/>
    <w:rsid w:val="00516E05"/>
    <w:rsid w:val="0051736C"/>
    <w:rsid w:val="0051783C"/>
    <w:rsid w:val="00520213"/>
    <w:rsid w:val="00521398"/>
    <w:rsid w:val="005216F4"/>
    <w:rsid w:val="00521CF7"/>
    <w:rsid w:val="005230ED"/>
    <w:rsid w:val="005238A4"/>
    <w:rsid w:val="00523F17"/>
    <w:rsid w:val="005241CD"/>
    <w:rsid w:val="00524DC0"/>
    <w:rsid w:val="00525CF8"/>
    <w:rsid w:val="00527504"/>
    <w:rsid w:val="0052792F"/>
    <w:rsid w:val="00527D7D"/>
    <w:rsid w:val="00530019"/>
    <w:rsid w:val="00530C83"/>
    <w:rsid w:val="0053165F"/>
    <w:rsid w:val="005324E4"/>
    <w:rsid w:val="0053342C"/>
    <w:rsid w:val="00533A96"/>
    <w:rsid w:val="005355C1"/>
    <w:rsid w:val="005360E0"/>
    <w:rsid w:val="0053718C"/>
    <w:rsid w:val="00537E7F"/>
    <w:rsid w:val="0054056B"/>
    <w:rsid w:val="00541337"/>
    <w:rsid w:val="00541E82"/>
    <w:rsid w:val="00542409"/>
    <w:rsid w:val="0054258E"/>
    <w:rsid w:val="00543761"/>
    <w:rsid w:val="0054384F"/>
    <w:rsid w:val="005438A9"/>
    <w:rsid w:val="00543A5B"/>
    <w:rsid w:val="00544669"/>
    <w:rsid w:val="0054546A"/>
    <w:rsid w:val="00546F61"/>
    <w:rsid w:val="00547251"/>
    <w:rsid w:val="00550481"/>
    <w:rsid w:val="00550683"/>
    <w:rsid w:val="00551490"/>
    <w:rsid w:val="00551BCD"/>
    <w:rsid w:val="00551CEA"/>
    <w:rsid w:val="00552194"/>
    <w:rsid w:val="00552507"/>
    <w:rsid w:val="0055255E"/>
    <w:rsid w:val="00555A2D"/>
    <w:rsid w:val="0055608D"/>
    <w:rsid w:val="00556248"/>
    <w:rsid w:val="005567A5"/>
    <w:rsid w:val="005600B6"/>
    <w:rsid w:val="0056070C"/>
    <w:rsid w:val="0056129C"/>
    <w:rsid w:val="00561DE3"/>
    <w:rsid w:val="00562825"/>
    <w:rsid w:val="00562CB9"/>
    <w:rsid w:val="00563609"/>
    <w:rsid w:val="00563C9B"/>
    <w:rsid w:val="005651DF"/>
    <w:rsid w:val="0056536A"/>
    <w:rsid w:val="005669E9"/>
    <w:rsid w:val="00567C7B"/>
    <w:rsid w:val="005713D9"/>
    <w:rsid w:val="00573793"/>
    <w:rsid w:val="00573BFA"/>
    <w:rsid w:val="0057417D"/>
    <w:rsid w:val="00576042"/>
    <w:rsid w:val="00576110"/>
    <w:rsid w:val="00576136"/>
    <w:rsid w:val="00577870"/>
    <w:rsid w:val="0058030A"/>
    <w:rsid w:val="0058170B"/>
    <w:rsid w:val="00581D96"/>
    <w:rsid w:val="00584303"/>
    <w:rsid w:val="00584D60"/>
    <w:rsid w:val="0058516E"/>
    <w:rsid w:val="005851F3"/>
    <w:rsid w:val="00586659"/>
    <w:rsid w:val="00586D56"/>
    <w:rsid w:val="00587298"/>
    <w:rsid w:val="005904F0"/>
    <w:rsid w:val="00590CD1"/>
    <w:rsid w:val="00592D2A"/>
    <w:rsid w:val="0059415A"/>
    <w:rsid w:val="00594EC0"/>
    <w:rsid w:val="00595493"/>
    <w:rsid w:val="005A1204"/>
    <w:rsid w:val="005A2ABF"/>
    <w:rsid w:val="005A5F79"/>
    <w:rsid w:val="005A5F8B"/>
    <w:rsid w:val="005A72E5"/>
    <w:rsid w:val="005A7A1D"/>
    <w:rsid w:val="005A7AEA"/>
    <w:rsid w:val="005B06D3"/>
    <w:rsid w:val="005B0BE5"/>
    <w:rsid w:val="005B1CAE"/>
    <w:rsid w:val="005B214C"/>
    <w:rsid w:val="005B2527"/>
    <w:rsid w:val="005B2632"/>
    <w:rsid w:val="005B33BF"/>
    <w:rsid w:val="005B3815"/>
    <w:rsid w:val="005B4E15"/>
    <w:rsid w:val="005B5A7C"/>
    <w:rsid w:val="005B7348"/>
    <w:rsid w:val="005B79A8"/>
    <w:rsid w:val="005C0C02"/>
    <w:rsid w:val="005C0E14"/>
    <w:rsid w:val="005C14DC"/>
    <w:rsid w:val="005C21FF"/>
    <w:rsid w:val="005C3BA3"/>
    <w:rsid w:val="005C4719"/>
    <w:rsid w:val="005C486A"/>
    <w:rsid w:val="005C528A"/>
    <w:rsid w:val="005C53AD"/>
    <w:rsid w:val="005C5B8B"/>
    <w:rsid w:val="005C5C66"/>
    <w:rsid w:val="005C62AB"/>
    <w:rsid w:val="005C7C3E"/>
    <w:rsid w:val="005C7C54"/>
    <w:rsid w:val="005D0271"/>
    <w:rsid w:val="005D03FC"/>
    <w:rsid w:val="005D1EE1"/>
    <w:rsid w:val="005D2E94"/>
    <w:rsid w:val="005D32B9"/>
    <w:rsid w:val="005D3FF4"/>
    <w:rsid w:val="005D4094"/>
    <w:rsid w:val="005D4866"/>
    <w:rsid w:val="005D50B8"/>
    <w:rsid w:val="005E0B12"/>
    <w:rsid w:val="005E2911"/>
    <w:rsid w:val="005E3267"/>
    <w:rsid w:val="005E37AB"/>
    <w:rsid w:val="005E3CB5"/>
    <w:rsid w:val="005E645C"/>
    <w:rsid w:val="005E7A4E"/>
    <w:rsid w:val="005F0D9A"/>
    <w:rsid w:val="005F265C"/>
    <w:rsid w:val="005F328D"/>
    <w:rsid w:val="005F34DC"/>
    <w:rsid w:val="005F3DE4"/>
    <w:rsid w:val="005F3E1C"/>
    <w:rsid w:val="005F3F5F"/>
    <w:rsid w:val="005F472D"/>
    <w:rsid w:val="005F4F61"/>
    <w:rsid w:val="005F78D5"/>
    <w:rsid w:val="0060096E"/>
    <w:rsid w:val="00600A38"/>
    <w:rsid w:val="00600F75"/>
    <w:rsid w:val="006020B2"/>
    <w:rsid w:val="006026B5"/>
    <w:rsid w:val="00602AF5"/>
    <w:rsid w:val="00603A0D"/>
    <w:rsid w:val="00604420"/>
    <w:rsid w:val="00604D8B"/>
    <w:rsid w:val="0060572C"/>
    <w:rsid w:val="00605E01"/>
    <w:rsid w:val="00605FB4"/>
    <w:rsid w:val="00610392"/>
    <w:rsid w:val="006107B7"/>
    <w:rsid w:val="006130F4"/>
    <w:rsid w:val="00614329"/>
    <w:rsid w:val="006147E7"/>
    <w:rsid w:val="006148C0"/>
    <w:rsid w:val="0061506A"/>
    <w:rsid w:val="006156B1"/>
    <w:rsid w:val="00615D13"/>
    <w:rsid w:val="00615F86"/>
    <w:rsid w:val="00616603"/>
    <w:rsid w:val="00620A41"/>
    <w:rsid w:val="00621166"/>
    <w:rsid w:val="0062163B"/>
    <w:rsid w:val="00621C81"/>
    <w:rsid w:val="0062339E"/>
    <w:rsid w:val="00623D09"/>
    <w:rsid w:val="00623DFC"/>
    <w:rsid w:val="0062440C"/>
    <w:rsid w:val="00624524"/>
    <w:rsid w:val="0062472F"/>
    <w:rsid w:val="00625550"/>
    <w:rsid w:val="00626629"/>
    <w:rsid w:val="00627474"/>
    <w:rsid w:val="00627610"/>
    <w:rsid w:val="00630DA0"/>
    <w:rsid w:val="00632B09"/>
    <w:rsid w:val="00633555"/>
    <w:rsid w:val="00633D90"/>
    <w:rsid w:val="00633EC2"/>
    <w:rsid w:val="006347A2"/>
    <w:rsid w:val="00634E5B"/>
    <w:rsid w:val="00635711"/>
    <w:rsid w:val="00635DBA"/>
    <w:rsid w:val="00635EA4"/>
    <w:rsid w:val="00637445"/>
    <w:rsid w:val="00641F14"/>
    <w:rsid w:val="00642501"/>
    <w:rsid w:val="0064308A"/>
    <w:rsid w:val="00643FD1"/>
    <w:rsid w:val="00644099"/>
    <w:rsid w:val="00644E89"/>
    <w:rsid w:val="00645F55"/>
    <w:rsid w:val="00646A25"/>
    <w:rsid w:val="006476B7"/>
    <w:rsid w:val="006510E8"/>
    <w:rsid w:val="006516DC"/>
    <w:rsid w:val="00651C53"/>
    <w:rsid w:val="0065308D"/>
    <w:rsid w:val="00654004"/>
    <w:rsid w:val="0065443A"/>
    <w:rsid w:val="006600B9"/>
    <w:rsid w:val="0066164D"/>
    <w:rsid w:val="00661C1D"/>
    <w:rsid w:val="00661D5F"/>
    <w:rsid w:val="00662E06"/>
    <w:rsid w:val="00662FB6"/>
    <w:rsid w:val="00663CF3"/>
    <w:rsid w:val="00664193"/>
    <w:rsid w:val="006647FA"/>
    <w:rsid w:val="00664E12"/>
    <w:rsid w:val="0066518D"/>
    <w:rsid w:val="006653DB"/>
    <w:rsid w:val="00666349"/>
    <w:rsid w:val="006665F2"/>
    <w:rsid w:val="00666FE8"/>
    <w:rsid w:val="006671DE"/>
    <w:rsid w:val="006704EB"/>
    <w:rsid w:val="0067089D"/>
    <w:rsid w:val="00671C63"/>
    <w:rsid w:val="006723D5"/>
    <w:rsid w:val="006726D4"/>
    <w:rsid w:val="0067287C"/>
    <w:rsid w:val="00672D10"/>
    <w:rsid w:val="006733E5"/>
    <w:rsid w:val="006736C1"/>
    <w:rsid w:val="00674496"/>
    <w:rsid w:val="00674497"/>
    <w:rsid w:val="006744CD"/>
    <w:rsid w:val="0067499E"/>
    <w:rsid w:val="006756EF"/>
    <w:rsid w:val="00676BD2"/>
    <w:rsid w:val="00677784"/>
    <w:rsid w:val="0068018B"/>
    <w:rsid w:val="00680B45"/>
    <w:rsid w:val="006810F1"/>
    <w:rsid w:val="00681A38"/>
    <w:rsid w:val="00681D83"/>
    <w:rsid w:val="00682F92"/>
    <w:rsid w:val="006847D7"/>
    <w:rsid w:val="006856B6"/>
    <w:rsid w:val="0068609C"/>
    <w:rsid w:val="00686B0B"/>
    <w:rsid w:val="0068706D"/>
    <w:rsid w:val="006874D8"/>
    <w:rsid w:val="00687F19"/>
    <w:rsid w:val="00690638"/>
    <w:rsid w:val="00691076"/>
    <w:rsid w:val="00691098"/>
    <w:rsid w:val="00691980"/>
    <w:rsid w:val="00693E86"/>
    <w:rsid w:val="00694648"/>
    <w:rsid w:val="0069481D"/>
    <w:rsid w:val="00694B5F"/>
    <w:rsid w:val="00694C91"/>
    <w:rsid w:val="00695104"/>
    <w:rsid w:val="00696109"/>
    <w:rsid w:val="00696144"/>
    <w:rsid w:val="00696684"/>
    <w:rsid w:val="00696B27"/>
    <w:rsid w:val="006A10C7"/>
    <w:rsid w:val="006A10D8"/>
    <w:rsid w:val="006A10EF"/>
    <w:rsid w:val="006A1B03"/>
    <w:rsid w:val="006A2518"/>
    <w:rsid w:val="006A39AF"/>
    <w:rsid w:val="006A40CB"/>
    <w:rsid w:val="006A46F3"/>
    <w:rsid w:val="006A5308"/>
    <w:rsid w:val="006A577F"/>
    <w:rsid w:val="006A6B2B"/>
    <w:rsid w:val="006A753C"/>
    <w:rsid w:val="006B0351"/>
    <w:rsid w:val="006B0578"/>
    <w:rsid w:val="006B2A74"/>
    <w:rsid w:val="006B2C55"/>
    <w:rsid w:val="006B32A5"/>
    <w:rsid w:val="006B5339"/>
    <w:rsid w:val="006B5367"/>
    <w:rsid w:val="006B54DA"/>
    <w:rsid w:val="006B5D9B"/>
    <w:rsid w:val="006B5EF9"/>
    <w:rsid w:val="006B66C8"/>
    <w:rsid w:val="006B705F"/>
    <w:rsid w:val="006B7579"/>
    <w:rsid w:val="006B7FDD"/>
    <w:rsid w:val="006C012F"/>
    <w:rsid w:val="006C05A8"/>
    <w:rsid w:val="006C0731"/>
    <w:rsid w:val="006C1DF0"/>
    <w:rsid w:val="006C5277"/>
    <w:rsid w:val="006C61AA"/>
    <w:rsid w:val="006C6996"/>
    <w:rsid w:val="006D2000"/>
    <w:rsid w:val="006D3D6F"/>
    <w:rsid w:val="006D5E67"/>
    <w:rsid w:val="006D6704"/>
    <w:rsid w:val="006D693D"/>
    <w:rsid w:val="006E06DF"/>
    <w:rsid w:val="006E08DB"/>
    <w:rsid w:val="006E13F6"/>
    <w:rsid w:val="006E17C0"/>
    <w:rsid w:val="006E188C"/>
    <w:rsid w:val="006E190E"/>
    <w:rsid w:val="006E19E5"/>
    <w:rsid w:val="006E1FBF"/>
    <w:rsid w:val="006E37EA"/>
    <w:rsid w:val="006E3D4E"/>
    <w:rsid w:val="006E49ED"/>
    <w:rsid w:val="006E5612"/>
    <w:rsid w:val="006E56B3"/>
    <w:rsid w:val="006E6620"/>
    <w:rsid w:val="006E7385"/>
    <w:rsid w:val="006E7B1E"/>
    <w:rsid w:val="006F0A3E"/>
    <w:rsid w:val="006F1BBF"/>
    <w:rsid w:val="006F20E6"/>
    <w:rsid w:val="006F258F"/>
    <w:rsid w:val="006F2DED"/>
    <w:rsid w:val="006F3ACD"/>
    <w:rsid w:val="006F3E63"/>
    <w:rsid w:val="006F46C4"/>
    <w:rsid w:val="006F62AF"/>
    <w:rsid w:val="006F7536"/>
    <w:rsid w:val="0070173D"/>
    <w:rsid w:val="0070339D"/>
    <w:rsid w:val="007033FB"/>
    <w:rsid w:val="007040AD"/>
    <w:rsid w:val="00705C81"/>
    <w:rsid w:val="00705D76"/>
    <w:rsid w:val="0070660A"/>
    <w:rsid w:val="007068A4"/>
    <w:rsid w:val="00707CF0"/>
    <w:rsid w:val="00707F3F"/>
    <w:rsid w:val="00711531"/>
    <w:rsid w:val="00712C7E"/>
    <w:rsid w:val="00712D53"/>
    <w:rsid w:val="007132EF"/>
    <w:rsid w:val="007136B0"/>
    <w:rsid w:val="00714D93"/>
    <w:rsid w:val="00716395"/>
    <w:rsid w:val="00716C51"/>
    <w:rsid w:val="00716CC4"/>
    <w:rsid w:val="00716E17"/>
    <w:rsid w:val="007176FE"/>
    <w:rsid w:val="0071790B"/>
    <w:rsid w:val="00717D6B"/>
    <w:rsid w:val="00721CC5"/>
    <w:rsid w:val="00721D24"/>
    <w:rsid w:val="00721D81"/>
    <w:rsid w:val="00722543"/>
    <w:rsid w:val="007230A0"/>
    <w:rsid w:val="00723224"/>
    <w:rsid w:val="0072329B"/>
    <w:rsid w:val="00723C85"/>
    <w:rsid w:val="00725FB7"/>
    <w:rsid w:val="00726199"/>
    <w:rsid w:val="007272AF"/>
    <w:rsid w:val="007272F7"/>
    <w:rsid w:val="00730B1B"/>
    <w:rsid w:val="007312DA"/>
    <w:rsid w:val="0073162E"/>
    <w:rsid w:val="00731D13"/>
    <w:rsid w:val="00732771"/>
    <w:rsid w:val="007349FD"/>
    <w:rsid w:val="00734A42"/>
    <w:rsid w:val="00737C5E"/>
    <w:rsid w:val="00737D64"/>
    <w:rsid w:val="00740DCB"/>
    <w:rsid w:val="007424E4"/>
    <w:rsid w:val="00742777"/>
    <w:rsid w:val="00742D47"/>
    <w:rsid w:val="00743AB1"/>
    <w:rsid w:val="00743E21"/>
    <w:rsid w:val="0074550E"/>
    <w:rsid w:val="00745A35"/>
    <w:rsid w:val="00745A48"/>
    <w:rsid w:val="00745B06"/>
    <w:rsid w:val="00745C40"/>
    <w:rsid w:val="007471FA"/>
    <w:rsid w:val="00747369"/>
    <w:rsid w:val="007473D8"/>
    <w:rsid w:val="00747C72"/>
    <w:rsid w:val="007500CF"/>
    <w:rsid w:val="00750850"/>
    <w:rsid w:val="00750D66"/>
    <w:rsid w:val="00751160"/>
    <w:rsid w:val="00752854"/>
    <w:rsid w:val="007535AE"/>
    <w:rsid w:val="00754C61"/>
    <w:rsid w:val="00754F7F"/>
    <w:rsid w:val="00755347"/>
    <w:rsid w:val="00755C51"/>
    <w:rsid w:val="00755C99"/>
    <w:rsid w:val="00756853"/>
    <w:rsid w:val="007568B6"/>
    <w:rsid w:val="007571A1"/>
    <w:rsid w:val="00757DCD"/>
    <w:rsid w:val="00760288"/>
    <w:rsid w:val="00760490"/>
    <w:rsid w:val="00760A2B"/>
    <w:rsid w:val="007618D8"/>
    <w:rsid w:val="0076208F"/>
    <w:rsid w:val="007625DB"/>
    <w:rsid w:val="00762EF7"/>
    <w:rsid w:val="00763199"/>
    <w:rsid w:val="0076430C"/>
    <w:rsid w:val="00764A1D"/>
    <w:rsid w:val="00764DD4"/>
    <w:rsid w:val="00764F2B"/>
    <w:rsid w:val="00765C55"/>
    <w:rsid w:val="007666F9"/>
    <w:rsid w:val="007709DA"/>
    <w:rsid w:val="00770ABF"/>
    <w:rsid w:val="00770BAD"/>
    <w:rsid w:val="007719B5"/>
    <w:rsid w:val="00771D46"/>
    <w:rsid w:val="00772869"/>
    <w:rsid w:val="00772C02"/>
    <w:rsid w:val="00772F8D"/>
    <w:rsid w:val="00773132"/>
    <w:rsid w:val="00773831"/>
    <w:rsid w:val="00773B01"/>
    <w:rsid w:val="00774875"/>
    <w:rsid w:val="00774E2D"/>
    <w:rsid w:val="00774F6E"/>
    <w:rsid w:val="007802A7"/>
    <w:rsid w:val="00780F12"/>
    <w:rsid w:val="007813CF"/>
    <w:rsid w:val="0078213C"/>
    <w:rsid w:val="0078237E"/>
    <w:rsid w:val="00782936"/>
    <w:rsid w:val="0078381E"/>
    <w:rsid w:val="007844C8"/>
    <w:rsid w:val="0078470F"/>
    <w:rsid w:val="007855F1"/>
    <w:rsid w:val="00785690"/>
    <w:rsid w:val="007903F8"/>
    <w:rsid w:val="00790432"/>
    <w:rsid w:val="007904B9"/>
    <w:rsid w:val="007907E1"/>
    <w:rsid w:val="00790808"/>
    <w:rsid w:val="00790FA5"/>
    <w:rsid w:val="00791822"/>
    <w:rsid w:val="007930D5"/>
    <w:rsid w:val="007936DC"/>
    <w:rsid w:val="007936EA"/>
    <w:rsid w:val="007971A4"/>
    <w:rsid w:val="007974FA"/>
    <w:rsid w:val="00797555"/>
    <w:rsid w:val="00797F1D"/>
    <w:rsid w:val="007A0AC9"/>
    <w:rsid w:val="007A1FAF"/>
    <w:rsid w:val="007A2F88"/>
    <w:rsid w:val="007A3752"/>
    <w:rsid w:val="007A38B9"/>
    <w:rsid w:val="007A427A"/>
    <w:rsid w:val="007A45AA"/>
    <w:rsid w:val="007A4B5E"/>
    <w:rsid w:val="007A59E3"/>
    <w:rsid w:val="007A5F57"/>
    <w:rsid w:val="007A6174"/>
    <w:rsid w:val="007A6A9E"/>
    <w:rsid w:val="007A7059"/>
    <w:rsid w:val="007B13EC"/>
    <w:rsid w:val="007B233C"/>
    <w:rsid w:val="007B2825"/>
    <w:rsid w:val="007B31B9"/>
    <w:rsid w:val="007B462B"/>
    <w:rsid w:val="007B57F4"/>
    <w:rsid w:val="007B78B0"/>
    <w:rsid w:val="007B7E15"/>
    <w:rsid w:val="007C0309"/>
    <w:rsid w:val="007C03E0"/>
    <w:rsid w:val="007C0935"/>
    <w:rsid w:val="007C1BF5"/>
    <w:rsid w:val="007C1F01"/>
    <w:rsid w:val="007C27E1"/>
    <w:rsid w:val="007C31F9"/>
    <w:rsid w:val="007C3DE6"/>
    <w:rsid w:val="007C4012"/>
    <w:rsid w:val="007C460F"/>
    <w:rsid w:val="007C49DF"/>
    <w:rsid w:val="007C4CB0"/>
    <w:rsid w:val="007C57AA"/>
    <w:rsid w:val="007D2649"/>
    <w:rsid w:val="007D269D"/>
    <w:rsid w:val="007D3189"/>
    <w:rsid w:val="007D4838"/>
    <w:rsid w:val="007D51D1"/>
    <w:rsid w:val="007D548E"/>
    <w:rsid w:val="007D6896"/>
    <w:rsid w:val="007D7E77"/>
    <w:rsid w:val="007E022F"/>
    <w:rsid w:val="007E0419"/>
    <w:rsid w:val="007E0A1D"/>
    <w:rsid w:val="007E19D9"/>
    <w:rsid w:val="007E3F20"/>
    <w:rsid w:val="007E4803"/>
    <w:rsid w:val="007E4E45"/>
    <w:rsid w:val="007E61C8"/>
    <w:rsid w:val="007E62E8"/>
    <w:rsid w:val="007E6894"/>
    <w:rsid w:val="007E7E6F"/>
    <w:rsid w:val="007F0E76"/>
    <w:rsid w:val="007F1A84"/>
    <w:rsid w:val="007F411B"/>
    <w:rsid w:val="007F4373"/>
    <w:rsid w:val="007F5CC6"/>
    <w:rsid w:val="007F5DA7"/>
    <w:rsid w:val="007F6DD8"/>
    <w:rsid w:val="007F7A3F"/>
    <w:rsid w:val="00800E1B"/>
    <w:rsid w:val="008011CA"/>
    <w:rsid w:val="00802115"/>
    <w:rsid w:val="0080297F"/>
    <w:rsid w:val="00802AEB"/>
    <w:rsid w:val="00804AA7"/>
    <w:rsid w:val="008050D4"/>
    <w:rsid w:val="00805C97"/>
    <w:rsid w:val="00807409"/>
    <w:rsid w:val="00810D7D"/>
    <w:rsid w:val="0081224C"/>
    <w:rsid w:val="008122F0"/>
    <w:rsid w:val="0081255C"/>
    <w:rsid w:val="008130BC"/>
    <w:rsid w:val="008139AE"/>
    <w:rsid w:val="00814482"/>
    <w:rsid w:val="00814613"/>
    <w:rsid w:val="00815814"/>
    <w:rsid w:val="0081713C"/>
    <w:rsid w:val="00817A3E"/>
    <w:rsid w:val="00817E38"/>
    <w:rsid w:val="008203A0"/>
    <w:rsid w:val="0082098C"/>
    <w:rsid w:val="00821049"/>
    <w:rsid w:val="008221ED"/>
    <w:rsid w:val="0082324A"/>
    <w:rsid w:val="00823410"/>
    <w:rsid w:val="00823934"/>
    <w:rsid w:val="00823C0E"/>
    <w:rsid w:val="00825C04"/>
    <w:rsid w:val="00825FD1"/>
    <w:rsid w:val="0082732D"/>
    <w:rsid w:val="00827D38"/>
    <w:rsid w:val="00830D77"/>
    <w:rsid w:val="00833F56"/>
    <w:rsid w:val="00834226"/>
    <w:rsid w:val="00835041"/>
    <w:rsid w:val="00835338"/>
    <w:rsid w:val="00837C25"/>
    <w:rsid w:val="00837CF8"/>
    <w:rsid w:val="0084055A"/>
    <w:rsid w:val="008409F6"/>
    <w:rsid w:val="00841666"/>
    <w:rsid w:val="0084180C"/>
    <w:rsid w:val="00842054"/>
    <w:rsid w:val="00842DBE"/>
    <w:rsid w:val="00843E13"/>
    <w:rsid w:val="00844277"/>
    <w:rsid w:val="00844DE2"/>
    <w:rsid w:val="00844E9F"/>
    <w:rsid w:val="008477BC"/>
    <w:rsid w:val="008477D1"/>
    <w:rsid w:val="008500B8"/>
    <w:rsid w:val="00853B3C"/>
    <w:rsid w:val="00853BF2"/>
    <w:rsid w:val="008579B9"/>
    <w:rsid w:val="00857D81"/>
    <w:rsid w:val="00860125"/>
    <w:rsid w:val="00860281"/>
    <w:rsid w:val="00864DFD"/>
    <w:rsid w:val="00864EE5"/>
    <w:rsid w:val="0086594A"/>
    <w:rsid w:val="008659FF"/>
    <w:rsid w:val="00870BED"/>
    <w:rsid w:val="00871639"/>
    <w:rsid w:val="008722A9"/>
    <w:rsid w:val="00872B76"/>
    <w:rsid w:val="00874032"/>
    <w:rsid w:val="008742D4"/>
    <w:rsid w:val="00875160"/>
    <w:rsid w:val="00877D18"/>
    <w:rsid w:val="0088034E"/>
    <w:rsid w:val="0088059E"/>
    <w:rsid w:val="00880A20"/>
    <w:rsid w:val="00881014"/>
    <w:rsid w:val="00881613"/>
    <w:rsid w:val="008819D7"/>
    <w:rsid w:val="00882328"/>
    <w:rsid w:val="00882CE4"/>
    <w:rsid w:val="008842B3"/>
    <w:rsid w:val="00884581"/>
    <w:rsid w:val="008848A4"/>
    <w:rsid w:val="00885487"/>
    <w:rsid w:val="0088623C"/>
    <w:rsid w:val="00887001"/>
    <w:rsid w:val="008875EC"/>
    <w:rsid w:val="008876A1"/>
    <w:rsid w:val="00887A30"/>
    <w:rsid w:val="0089204A"/>
    <w:rsid w:val="008925C1"/>
    <w:rsid w:val="00892823"/>
    <w:rsid w:val="00892E73"/>
    <w:rsid w:val="00893590"/>
    <w:rsid w:val="00893596"/>
    <w:rsid w:val="00893C65"/>
    <w:rsid w:val="008946D9"/>
    <w:rsid w:val="00894794"/>
    <w:rsid w:val="0089578A"/>
    <w:rsid w:val="00895FEA"/>
    <w:rsid w:val="00896309"/>
    <w:rsid w:val="00896CB1"/>
    <w:rsid w:val="00896D30"/>
    <w:rsid w:val="008973DD"/>
    <w:rsid w:val="008977E0"/>
    <w:rsid w:val="00897C4E"/>
    <w:rsid w:val="008A084B"/>
    <w:rsid w:val="008A0BEC"/>
    <w:rsid w:val="008A1976"/>
    <w:rsid w:val="008A3A8C"/>
    <w:rsid w:val="008A44AB"/>
    <w:rsid w:val="008A5646"/>
    <w:rsid w:val="008A60BD"/>
    <w:rsid w:val="008A646C"/>
    <w:rsid w:val="008A6591"/>
    <w:rsid w:val="008A68A6"/>
    <w:rsid w:val="008A6CCF"/>
    <w:rsid w:val="008A7BCB"/>
    <w:rsid w:val="008B0347"/>
    <w:rsid w:val="008B20D8"/>
    <w:rsid w:val="008B2C6E"/>
    <w:rsid w:val="008B37D1"/>
    <w:rsid w:val="008B4609"/>
    <w:rsid w:val="008B4713"/>
    <w:rsid w:val="008B4CFE"/>
    <w:rsid w:val="008B6593"/>
    <w:rsid w:val="008B7D9A"/>
    <w:rsid w:val="008C0275"/>
    <w:rsid w:val="008C06ED"/>
    <w:rsid w:val="008C1255"/>
    <w:rsid w:val="008C2893"/>
    <w:rsid w:val="008C2B3A"/>
    <w:rsid w:val="008C2DDF"/>
    <w:rsid w:val="008C382F"/>
    <w:rsid w:val="008C4945"/>
    <w:rsid w:val="008C594C"/>
    <w:rsid w:val="008C59D3"/>
    <w:rsid w:val="008C6AC6"/>
    <w:rsid w:val="008C6DBE"/>
    <w:rsid w:val="008D049E"/>
    <w:rsid w:val="008D08B1"/>
    <w:rsid w:val="008D1ADD"/>
    <w:rsid w:val="008D33DB"/>
    <w:rsid w:val="008D3CBB"/>
    <w:rsid w:val="008D489B"/>
    <w:rsid w:val="008D5020"/>
    <w:rsid w:val="008D6086"/>
    <w:rsid w:val="008D6221"/>
    <w:rsid w:val="008D6FA8"/>
    <w:rsid w:val="008E0008"/>
    <w:rsid w:val="008E111A"/>
    <w:rsid w:val="008E1189"/>
    <w:rsid w:val="008E1259"/>
    <w:rsid w:val="008E265B"/>
    <w:rsid w:val="008E31C0"/>
    <w:rsid w:val="008E3C48"/>
    <w:rsid w:val="008E3C68"/>
    <w:rsid w:val="008E4E76"/>
    <w:rsid w:val="008E5C69"/>
    <w:rsid w:val="008E65EC"/>
    <w:rsid w:val="008E6792"/>
    <w:rsid w:val="008E7021"/>
    <w:rsid w:val="008E7ED9"/>
    <w:rsid w:val="008F0C15"/>
    <w:rsid w:val="008F1365"/>
    <w:rsid w:val="008F1512"/>
    <w:rsid w:val="008F1903"/>
    <w:rsid w:val="008F28AA"/>
    <w:rsid w:val="008F385E"/>
    <w:rsid w:val="008F5A54"/>
    <w:rsid w:val="008F5C39"/>
    <w:rsid w:val="008F5D8C"/>
    <w:rsid w:val="008F63D2"/>
    <w:rsid w:val="008F6C65"/>
    <w:rsid w:val="00900279"/>
    <w:rsid w:val="009009D3"/>
    <w:rsid w:val="0090149D"/>
    <w:rsid w:val="00901BC8"/>
    <w:rsid w:val="009027B1"/>
    <w:rsid w:val="00902A61"/>
    <w:rsid w:val="00902D57"/>
    <w:rsid w:val="00903801"/>
    <w:rsid w:val="009041D4"/>
    <w:rsid w:val="00905320"/>
    <w:rsid w:val="00905904"/>
    <w:rsid w:val="00906B8F"/>
    <w:rsid w:val="00907CB6"/>
    <w:rsid w:val="009100A1"/>
    <w:rsid w:val="009102B6"/>
    <w:rsid w:val="009102F3"/>
    <w:rsid w:val="009106B7"/>
    <w:rsid w:val="00910D50"/>
    <w:rsid w:val="0091102A"/>
    <w:rsid w:val="009113B6"/>
    <w:rsid w:val="009119E7"/>
    <w:rsid w:val="009131EA"/>
    <w:rsid w:val="00913747"/>
    <w:rsid w:val="00913E62"/>
    <w:rsid w:val="00914157"/>
    <w:rsid w:val="00914B70"/>
    <w:rsid w:val="00914D00"/>
    <w:rsid w:val="00916340"/>
    <w:rsid w:val="00917B17"/>
    <w:rsid w:val="00920CBB"/>
    <w:rsid w:val="009215B3"/>
    <w:rsid w:val="0092176E"/>
    <w:rsid w:val="00921771"/>
    <w:rsid w:val="00921855"/>
    <w:rsid w:val="00923804"/>
    <w:rsid w:val="009239A8"/>
    <w:rsid w:val="00924006"/>
    <w:rsid w:val="009250CC"/>
    <w:rsid w:val="009250E4"/>
    <w:rsid w:val="00925B70"/>
    <w:rsid w:val="00925D5A"/>
    <w:rsid w:val="009263DA"/>
    <w:rsid w:val="009269D9"/>
    <w:rsid w:val="00927530"/>
    <w:rsid w:val="0093028F"/>
    <w:rsid w:val="009311BF"/>
    <w:rsid w:val="00931895"/>
    <w:rsid w:val="009339B3"/>
    <w:rsid w:val="00934DF3"/>
    <w:rsid w:val="00934ED4"/>
    <w:rsid w:val="009359C1"/>
    <w:rsid w:val="00936246"/>
    <w:rsid w:val="00936BB8"/>
    <w:rsid w:val="00937A5C"/>
    <w:rsid w:val="009407CC"/>
    <w:rsid w:val="0094119C"/>
    <w:rsid w:val="00941460"/>
    <w:rsid w:val="009416A8"/>
    <w:rsid w:val="009422E8"/>
    <w:rsid w:val="00943EB7"/>
    <w:rsid w:val="00944BB1"/>
    <w:rsid w:val="00947807"/>
    <w:rsid w:val="00947CF9"/>
    <w:rsid w:val="00951727"/>
    <w:rsid w:val="00951F8F"/>
    <w:rsid w:val="00954165"/>
    <w:rsid w:val="00955535"/>
    <w:rsid w:val="00955EEC"/>
    <w:rsid w:val="00956106"/>
    <w:rsid w:val="009568E6"/>
    <w:rsid w:val="0095690D"/>
    <w:rsid w:val="00960C65"/>
    <w:rsid w:val="00960CD9"/>
    <w:rsid w:val="00960E15"/>
    <w:rsid w:val="009615D9"/>
    <w:rsid w:val="00961831"/>
    <w:rsid w:val="0096221C"/>
    <w:rsid w:val="00962495"/>
    <w:rsid w:val="009647EF"/>
    <w:rsid w:val="009670ED"/>
    <w:rsid w:val="00967352"/>
    <w:rsid w:val="00967700"/>
    <w:rsid w:val="0096771D"/>
    <w:rsid w:val="00967DB9"/>
    <w:rsid w:val="00970120"/>
    <w:rsid w:val="00970E0E"/>
    <w:rsid w:val="00971384"/>
    <w:rsid w:val="00971916"/>
    <w:rsid w:val="00971EAA"/>
    <w:rsid w:val="00972013"/>
    <w:rsid w:val="00973749"/>
    <w:rsid w:val="00974546"/>
    <w:rsid w:val="0097537A"/>
    <w:rsid w:val="00975419"/>
    <w:rsid w:val="00975464"/>
    <w:rsid w:val="00975672"/>
    <w:rsid w:val="0097685F"/>
    <w:rsid w:val="0098056A"/>
    <w:rsid w:val="009806FE"/>
    <w:rsid w:val="009816D9"/>
    <w:rsid w:val="009818C1"/>
    <w:rsid w:val="00981A95"/>
    <w:rsid w:val="00981D12"/>
    <w:rsid w:val="00983221"/>
    <w:rsid w:val="0098329F"/>
    <w:rsid w:val="00984000"/>
    <w:rsid w:val="009843FC"/>
    <w:rsid w:val="00985ECF"/>
    <w:rsid w:val="00986A3E"/>
    <w:rsid w:val="009870C7"/>
    <w:rsid w:val="009902FB"/>
    <w:rsid w:val="0099063B"/>
    <w:rsid w:val="0099116A"/>
    <w:rsid w:val="00991417"/>
    <w:rsid w:val="00991503"/>
    <w:rsid w:val="00992311"/>
    <w:rsid w:val="0099271E"/>
    <w:rsid w:val="00992C09"/>
    <w:rsid w:val="00993279"/>
    <w:rsid w:val="00993604"/>
    <w:rsid w:val="00994FDE"/>
    <w:rsid w:val="00995928"/>
    <w:rsid w:val="00995F70"/>
    <w:rsid w:val="009964C4"/>
    <w:rsid w:val="009968A9"/>
    <w:rsid w:val="00997029"/>
    <w:rsid w:val="009973BB"/>
    <w:rsid w:val="009979EA"/>
    <w:rsid w:val="009A01DD"/>
    <w:rsid w:val="009A0E02"/>
    <w:rsid w:val="009A28C4"/>
    <w:rsid w:val="009A36FE"/>
    <w:rsid w:val="009A4126"/>
    <w:rsid w:val="009A48AF"/>
    <w:rsid w:val="009A6664"/>
    <w:rsid w:val="009A786A"/>
    <w:rsid w:val="009B15F0"/>
    <w:rsid w:val="009B1E7B"/>
    <w:rsid w:val="009B20FF"/>
    <w:rsid w:val="009B2A02"/>
    <w:rsid w:val="009B2A70"/>
    <w:rsid w:val="009B572B"/>
    <w:rsid w:val="009B5D14"/>
    <w:rsid w:val="009B6080"/>
    <w:rsid w:val="009B695D"/>
    <w:rsid w:val="009B71DA"/>
    <w:rsid w:val="009B756F"/>
    <w:rsid w:val="009C0D73"/>
    <w:rsid w:val="009C11A8"/>
    <w:rsid w:val="009C3E8F"/>
    <w:rsid w:val="009C44D2"/>
    <w:rsid w:val="009C4DA6"/>
    <w:rsid w:val="009C514B"/>
    <w:rsid w:val="009C52C5"/>
    <w:rsid w:val="009C7253"/>
    <w:rsid w:val="009C796C"/>
    <w:rsid w:val="009C7D7A"/>
    <w:rsid w:val="009C7D96"/>
    <w:rsid w:val="009D176A"/>
    <w:rsid w:val="009D256C"/>
    <w:rsid w:val="009D39E9"/>
    <w:rsid w:val="009D3A7E"/>
    <w:rsid w:val="009D406F"/>
    <w:rsid w:val="009D46A1"/>
    <w:rsid w:val="009D4A03"/>
    <w:rsid w:val="009D506D"/>
    <w:rsid w:val="009D5FBF"/>
    <w:rsid w:val="009E1C4C"/>
    <w:rsid w:val="009E2240"/>
    <w:rsid w:val="009E29A8"/>
    <w:rsid w:val="009E3E09"/>
    <w:rsid w:val="009E4001"/>
    <w:rsid w:val="009E48CC"/>
    <w:rsid w:val="009E5B01"/>
    <w:rsid w:val="009F0055"/>
    <w:rsid w:val="009F113B"/>
    <w:rsid w:val="009F2064"/>
    <w:rsid w:val="009F2164"/>
    <w:rsid w:val="009F2CF8"/>
    <w:rsid w:val="009F33CE"/>
    <w:rsid w:val="009F3D24"/>
    <w:rsid w:val="009F3E85"/>
    <w:rsid w:val="009F4552"/>
    <w:rsid w:val="009F5866"/>
    <w:rsid w:val="009F587C"/>
    <w:rsid w:val="009F628B"/>
    <w:rsid w:val="009F6D38"/>
    <w:rsid w:val="009F70D5"/>
    <w:rsid w:val="00A01176"/>
    <w:rsid w:val="00A02C34"/>
    <w:rsid w:val="00A03F0D"/>
    <w:rsid w:val="00A0458E"/>
    <w:rsid w:val="00A04F33"/>
    <w:rsid w:val="00A0612A"/>
    <w:rsid w:val="00A070EA"/>
    <w:rsid w:val="00A0748F"/>
    <w:rsid w:val="00A0753F"/>
    <w:rsid w:val="00A07754"/>
    <w:rsid w:val="00A10C44"/>
    <w:rsid w:val="00A10F8C"/>
    <w:rsid w:val="00A117A1"/>
    <w:rsid w:val="00A11FFF"/>
    <w:rsid w:val="00A12A65"/>
    <w:rsid w:val="00A12B90"/>
    <w:rsid w:val="00A12DA2"/>
    <w:rsid w:val="00A13A72"/>
    <w:rsid w:val="00A15A35"/>
    <w:rsid w:val="00A16338"/>
    <w:rsid w:val="00A168AC"/>
    <w:rsid w:val="00A20282"/>
    <w:rsid w:val="00A202C8"/>
    <w:rsid w:val="00A202D9"/>
    <w:rsid w:val="00A208DF"/>
    <w:rsid w:val="00A2121E"/>
    <w:rsid w:val="00A21AA1"/>
    <w:rsid w:val="00A21C4D"/>
    <w:rsid w:val="00A21C7D"/>
    <w:rsid w:val="00A223FD"/>
    <w:rsid w:val="00A22490"/>
    <w:rsid w:val="00A22EC8"/>
    <w:rsid w:val="00A2338A"/>
    <w:rsid w:val="00A24C2E"/>
    <w:rsid w:val="00A25559"/>
    <w:rsid w:val="00A25C50"/>
    <w:rsid w:val="00A2784A"/>
    <w:rsid w:val="00A27CB5"/>
    <w:rsid w:val="00A3003E"/>
    <w:rsid w:val="00A3093E"/>
    <w:rsid w:val="00A3095C"/>
    <w:rsid w:val="00A30CD0"/>
    <w:rsid w:val="00A312FE"/>
    <w:rsid w:val="00A3196C"/>
    <w:rsid w:val="00A31CD2"/>
    <w:rsid w:val="00A31CD8"/>
    <w:rsid w:val="00A328EB"/>
    <w:rsid w:val="00A32B6C"/>
    <w:rsid w:val="00A33D86"/>
    <w:rsid w:val="00A34848"/>
    <w:rsid w:val="00A34E38"/>
    <w:rsid w:val="00A35020"/>
    <w:rsid w:val="00A35F68"/>
    <w:rsid w:val="00A3734F"/>
    <w:rsid w:val="00A374B9"/>
    <w:rsid w:val="00A37FDE"/>
    <w:rsid w:val="00A40184"/>
    <w:rsid w:val="00A4065C"/>
    <w:rsid w:val="00A4174E"/>
    <w:rsid w:val="00A41B9C"/>
    <w:rsid w:val="00A42695"/>
    <w:rsid w:val="00A42D81"/>
    <w:rsid w:val="00A443A9"/>
    <w:rsid w:val="00A444D0"/>
    <w:rsid w:val="00A44AC4"/>
    <w:rsid w:val="00A450FD"/>
    <w:rsid w:val="00A45114"/>
    <w:rsid w:val="00A45AC9"/>
    <w:rsid w:val="00A4620E"/>
    <w:rsid w:val="00A467FD"/>
    <w:rsid w:val="00A46894"/>
    <w:rsid w:val="00A501B7"/>
    <w:rsid w:val="00A50BD4"/>
    <w:rsid w:val="00A516DD"/>
    <w:rsid w:val="00A51E34"/>
    <w:rsid w:val="00A52588"/>
    <w:rsid w:val="00A567D2"/>
    <w:rsid w:val="00A572A2"/>
    <w:rsid w:val="00A6010A"/>
    <w:rsid w:val="00A605F8"/>
    <w:rsid w:val="00A60EE0"/>
    <w:rsid w:val="00A61456"/>
    <w:rsid w:val="00A6193F"/>
    <w:rsid w:val="00A629C1"/>
    <w:rsid w:val="00A62A44"/>
    <w:rsid w:val="00A62B99"/>
    <w:rsid w:val="00A632EB"/>
    <w:rsid w:val="00A632FE"/>
    <w:rsid w:val="00A63AD6"/>
    <w:rsid w:val="00A64448"/>
    <w:rsid w:val="00A64BD8"/>
    <w:rsid w:val="00A64FBA"/>
    <w:rsid w:val="00A64FCD"/>
    <w:rsid w:val="00A659F2"/>
    <w:rsid w:val="00A65BEE"/>
    <w:rsid w:val="00A67496"/>
    <w:rsid w:val="00A67AF8"/>
    <w:rsid w:val="00A705DC"/>
    <w:rsid w:val="00A70F7E"/>
    <w:rsid w:val="00A71179"/>
    <w:rsid w:val="00A715E1"/>
    <w:rsid w:val="00A71CD7"/>
    <w:rsid w:val="00A72559"/>
    <w:rsid w:val="00A72866"/>
    <w:rsid w:val="00A75B6D"/>
    <w:rsid w:val="00A75FDF"/>
    <w:rsid w:val="00A76242"/>
    <w:rsid w:val="00A76347"/>
    <w:rsid w:val="00A7657F"/>
    <w:rsid w:val="00A76874"/>
    <w:rsid w:val="00A77171"/>
    <w:rsid w:val="00A7793E"/>
    <w:rsid w:val="00A77B5C"/>
    <w:rsid w:val="00A807C2"/>
    <w:rsid w:val="00A81149"/>
    <w:rsid w:val="00A81926"/>
    <w:rsid w:val="00A81E2D"/>
    <w:rsid w:val="00A82819"/>
    <w:rsid w:val="00A8392C"/>
    <w:rsid w:val="00A84379"/>
    <w:rsid w:val="00A845F6"/>
    <w:rsid w:val="00A84C32"/>
    <w:rsid w:val="00A858B6"/>
    <w:rsid w:val="00A858E9"/>
    <w:rsid w:val="00A86180"/>
    <w:rsid w:val="00A86990"/>
    <w:rsid w:val="00A86C04"/>
    <w:rsid w:val="00A9048C"/>
    <w:rsid w:val="00A91899"/>
    <w:rsid w:val="00A91B2B"/>
    <w:rsid w:val="00A931B2"/>
    <w:rsid w:val="00A93736"/>
    <w:rsid w:val="00A93CA9"/>
    <w:rsid w:val="00A94933"/>
    <w:rsid w:val="00A94E4F"/>
    <w:rsid w:val="00A952A6"/>
    <w:rsid w:val="00A957A7"/>
    <w:rsid w:val="00A95C8D"/>
    <w:rsid w:val="00A96147"/>
    <w:rsid w:val="00A96E07"/>
    <w:rsid w:val="00A96E12"/>
    <w:rsid w:val="00A972C5"/>
    <w:rsid w:val="00AA0587"/>
    <w:rsid w:val="00AA0801"/>
    <w:rsid w:val="00AA0DE8"/>
    <w:rsid w:val="00AA273D"/>
    <w:rsid w:val="00AA2CC1"/>
    <w:rsid w:val="00AA2EFA"/>
    <w:rsid w:val="00AA3951"/>
    <w:rsid w:val="00AA3ADB"/>
    <w:rsid w:val="00AA441B"/>
    <w:rsid w:val="00AB1091"/>
    <w:rsid w:val="00AB1E5B"/>
    <w:rsid w:val="00AB227C"/>
    <w:rsid w:val="00AB2B6F"/>
    <w:rsid w:val="00AB3477"/>
    <w:rsid w:val="00AB357C"/>
    <w:rsid w:val="00AB44E6"/>
    <w:rsid w:val="00AB4A2B"/>
    <w:rsid w:val="00AB572F"/>
    <w:rsid w:val="00AB60CD"/>
    <w:rsid w:val="00AB6F2C"/>
    <w:rsid w:val="00AB7B80"/>
    <w:rsid w:val="00AC048B"/>
    <w:rsid w:val="00AC1C9C"/>
    <w:rsid w:val="00AC267E"/>
    <w:rsid w:val="00AC3246"/>
    <w:rsid w:val="00AC36A0"/>
    <w:rsid w:val="00AC399B"/>
    <w:rsid w:val="00AC47E1"/>
    <w:rsid w:val="00AC4AC9"/>
    <w:rsid w:val="00AC4EE1"/>
    <w:rsid w:val="00AC50A4"/>
    <w:rsid w:val="00AC6335"/>
    <w:rsid w:val="00AC6A0C"/>
    <w:rsid w:val="00AC7020"/>
    <w:rsid w:val="00AD0CC2"/>
    <w:rsid w:val="00AD12F6"/>
    <w:rsid w:val="00AD15B0"/>
    <w:rsid w:val="00AD1CBD"/>
    <w:rsid w:val="00AD1D1A"/>
    <w:rsid w:val="00AD1E38"/>
    <w:rsid w:val="00AD221E"/>
    <w:rsid w:val="00AD2DB6"/>
    <w:rsid w:val="00AD307C"/>
    <w:rsid w:val="00AD30C8"/>
    <w:rsid w:val="00AD34D4"/>
    <w:rsid w:val="00AD3D94"/>
    <w:rsid w:val="00AD41CC"/>
    <w:rsid w:val="00AD4205"/>
    <w:rsid w:val="00AD46EE"/>
    <w:rsid w:val="00AD50CD"/>
    <w:rsid w:val="00AD5273"/>
    <w:rsid w:val="00AD6858"/>
    <w:rsid w:val="00AD74D5"/>
    <w:rsid w:val="00AD763C"/>
    <w:rsid w:val="00AE0D5E"/>
    <w:rsid w:val="00AE22CE"/>
    <w:rsid w:val="00AE2C01"/>
    <w:rsid w:val="00AE3804"/>
    <w:rsid w:val="00AE3CBE"/>
    <w:rsid w:val="00AE5C9B"/>
    <w:rsid w:val="00AE6772"/>
    <w:rsid w:val="00AE79E0"/>
    <w:rsid w:val="00AE7D55"/>
    <w:rsid w:val="00AF0194"/>
    <w:rsid w:val="00AF0580"/>
    <w:rsid w:val="00AF06CF"/>
    <w:rsid w:val="00AF1302"/>
    <w:rsid w:val="00AF1827"/>
    <w:rsid w:val="00AF2006"/>
    <w:rsid w:val="00AF208F"/>
    <w:rsid w:val="00AF26A1"/>
    <w:rsid w:val="00AF3DAD"/>
    <w:rsid w:val="00AF5BD3"/>
    <w:rsid w:val="00AF5E95"/>
    <w:rsid w:val="00AF7329"/>
    <w:rsid w:val="00B0068A"/>
    <w:rsid w:val="00B00F74"/>
    <w:rsid w:val="00B02336"/>
    <w:rsid w:val="00B02486"/>
    <w:rsid w:val="00B04C8D"/>
    <w:rsid w:val="00B04D5F"/>
    <w:rsid w:val="00B05154"/>
    <w:rsid w:val="00B0534F"/>
    <w:rsid w:val="00B05DCC"/>
    <w:rsid w:val="00B12215"/>
    <w:rsid w:val="00B12BE1"/>
    <w:rsid w:val="00B13674"/>
    <w:rsid w:val="00B13953"/>
    <w:rsid w:val="00B16A4F"/>
    <w:rsid w:val="00B16DEE"/>
    <w:rsid w:val="00B17192"/>
    <w:rsid w:val="00B208E7"/>
    <w:rsid w:val="00B2316F"/>
    <w:rsid w:val="00B232AF"/>
    <w:rsid w:val="00B23F83"/>
    <w:rsid w:val="00B2454B"/>
    <w:rsid w:val="00B24814"/>
    <w:rsid w:val="00B2524B"/>
    <w:rsid w:val="00B2573C"/>
    <w:rsid w:val="00B25DE3"/>
    <w:rsid w:val="00B2626F"/>
    <w:rsid w:val="00B26F34"/>
    <w:rsid w:val="00B27682"/>
    <w:rsid w:val="00B319D1"/>
    <w:rsid w:val="00B330C3"/>
    <w:rsid w:val="00B336C1"/>
    <w:rsid w:val="00B34A54"/>
    <w:rsid w:val="00B34D79"/>
    <w:rsid w:val="00B36C44"/>
    <w:rsid w:val="00B379A1"/>
    <w:rsid w:val="00B37C87"/>
    <w:rsid w:val="00B4003E"/>
    <w:rsid w:val="00B400EF"/>
    <w:rsid w:val="00B41572"/>
    <w:rsid w:val="00B42D59"/>
    <w:rsid w:val="00B4334D"/>
    <w:rsid w:val="00B45C0B"/>
    <w:rsid w:val="00B45C89"/>
    <w:rsid w:val="00B47177"/>
    <w:rsid w:val="00B47A2D"/>
    <w:rsid w:val="00B5021E"/>
    <w:rsid w:val="00B502E8"/>
    <w:rsid w:val="00B5056D"/>
    <w:rsid w:val="00B506FF"/>
    <w:rsid w:val="00B50FF6"/>
    <w:rsid w:val="00B52414"/>
    <w:rsid w:val="00B5343C"/>
    <w:rsid w:val="00B535F4"/>
    <w:rsid w:val="00B53A6F"/>
    <w:rsid w:val="00B53CAD"/>
    <w:rsid w:val="00B54769"/>
    <w:rsid w:val="00B5599A"/>
    <w:rsid w:val="00B55ECC"/>
    <w:rsid w:val="00B56D38"/>
    <w:rsid w:val="00B57380"/>
    <w:rsid w:val="00B60944"/>
    <w:rsid w:val="00B61A33"/>
    <w:rsid w:val="00B61DBE"/>
    <w:rsid w:val="00B61E45"/>
    <w:rsid w:val="00B620C9"/>
    <w:rsid w:val="00B62560"/>
    <w:rsid w:val="00B634CE"/>
    <w:rsid w:val="00B635D6"/>
    <w:rsid w:val="00B639F0"/>
    <w:rsid w:val="00B6438D"/>
    <w:rsid w:val="00B6469B"/>
    <w:rsid w:val="00B6518D"/>
    <w:rsid w:val="00B652EA"/>
    <w:rsid w:val="00B65545"/>
    <w:rsid w:val="00B65886"/>
    <w:rsid w:val="00B6594F"/>
    <w:rsid w:val="00B67247"/>
    <w:rsid w:val="00B67F68"/>
    <w:rsid w:val="00B70670"/>
    <w:rsid w:val="00B71259"/>
    <w:rsid w:val="00B719E8"/>
    <w:rsid w:val="00B71C06"/>
    <w:rsid w:val="00B71FE4"/>
    <w:rsid w:val="00B723D1"/>
    <w:rsid w:val="00B72466"/>
    <w:rsid w:val="00B72A0C"/>
    <w:rsid w:val="00B74320"/>
    <w:rsid w:val="00B743FE"/>
    <w:rsid w:val="00B753CD"/>
    <w:rsid w:val="00B75D60"/>
    <w:rsid w:val="00B7710E"/>
    <w:rsid w:val="00B801AA"/>
    <w:rsid w:val="00B803B2"/>
    <w:rsid w:val="00B80855"/>
    <w:rsid w:val="00B827BF"/>
    <w:rsid w:val="00B82D67"/>
    <w:rsid w:val="00B82EB1"/>
    <w:rsid w:val="00B83506"/>
    <w:rsid w:val="00B83C43"/>
    <w:rsid w:val="00B85F5D"/>
    <w:rsid w:val="00B86290"/>
    <w:rsid w:val="00B86722"/>
    <w:rsid w:val="00B86BF9"/>
    <w:rsid w:val="00B87949"/>
    <w:rsid w:val="00B87968"/>
    <w:rsid w:val="00B87D47"/>
    <w:rsid w:val="00B907DE"/>
    <w:rsid w:val="00B90B20"/>
    <w:rsid w:val="00B91A97"/>
    <w:rsid w:val="00B92058"/>
    <w:rsid w:val="00B93275"/>
    <w:rsid w:val="00B93847"/>
    <w:rsid w:val="00B940D6"/>
    <w:rsid w:val="00B94110"/>
    <w:rsid w:val="00B95DB5"/>
    <w:rsid w:val="00B95EA9"/>
    <w:rsid w:val="00B96128"/>
    <w:rsid w:val="00BA086D"/>
    <w:rsid w:val="00BA27B9"/>
    <w:rsid w:val="00BA29A3"/>
    <w:rsid w:val="00BA2B5A"/>
    <w:rsid w:val="00BA396A"/>
    <w:rsid w:val="00BA3B4D"/>
    <w:rsid w:val="00BA440E"/>
    <w:rsid w:val="00BA46D5"/>
    <w:rsid w:val="00BA4761"/>
    <w:rsid w:val="00BA5988"/>
    <w:rsid w:val="00BA5EA9"/>
    <w:rsid w:val="00BA6677"/>
    <w:rsid w:val="00BA6CF0"/>
    <w:rsid w:val="00BA7B5F"/>
    <w:rsid w:val="00BA7D53"/>
    <w:rsid w:val="00BB07CA"/>
    <w:rsid w:val="00BB13B0"/>
    <w:rsid w:val="00BB2243"/>
    <w:rsid w:val="00BB2472"/>
    <w:rsid w:val="00BB26BD"/>
    <w:rsid w:val="00BB3071"/>
    <w:rsid w:val="00BB4DA8"/>
    <w:rsid w:val="00BB5C9B"/>
    <w:rsid w:val="00BB654C"/>
    <w:rsid w:val="00BB7259"/>
    <w:rsid w:val="00BB78E4"/>
    <w:rsid w:val="00BB7D10"/>
    <w:rsid w:val="00BC08F9"/>
    <w:rsid w:val="00BC2FB5"/>
    <w:rsid w:val="00BC7E1A"/>
    <w:rsid w:val="00BD0CCA"/>
    <w:rsid w:val="00BD0E1B"/>
    <w:rsid w:val="00BD14DA"/>
    <w:rsid w:val="00BD1520"/>
    <w:rsid w:val="00BD16A2"/>
    <w:rsid w:val="00BD17B8"/>
    <w:rsid w:val="00BD4A82"/>
    <w:rsid w:val="00BD4AF5"/>
    <w:rsid w:val="00BD581A"/>
    <w:rsid w:val="00BD6B29"/>
    <w:rsid w:val="00BE021F"/>
    <w:rsid w:val="00BE0B77"/>
    <w:rsid w:val="00BE1113"/>
    <w:rsid w:val="00BE2894"/>
    <w:rsid w:val="00BE28BA"/>
    <w:rsid w:val="00BE418D"/>
    <w:rsid w:val="00BE43EF"/>
    <w:rsid w:val="00BE4D39"/>
    <w:rsid w:val="00BE6C75"/>
    <w:rsid w:val="00BE6CE2"/>
    <w:rsid w:val="00BE6E37"/>
    <w:rsid w:val="00BE6F01"/>
    <w:rsid w:val="00BF0CD5"/>
    <w:rsid w:val="00BF2BAC"/>
    <w:rsid w:val="00BF35F2"/>
    <w:rsid w:val="00BF3885"/>
    <w:rsid w:val="00BF4700"/>
    <w:rsid w:val="00BF5832"/>
    <w:rsid w:val="00BF60FB"/>
    <w:rsid w:val="00BF61DA"/>
    <w:rsid w:val="00BF7616"/>
    <w:rsid w:val="00C012D5"/>
    <w:rsid w:val="00C03ECB"/>
    <w:rsid w:val="00C0410F"/>
    <w:rsid w:val="00C04D71"/>
    <w:rsid w:val="00C055D0"/>
    <w:rsid w:val="00C05A43"/>
    <w:rsid w:val="00C05BD9"/>
    <w:rsid w:val="00C06C13"/>
    <w:rsid w:val="00C074CA"/>
    <w:rsid w:val="00C11480"/>
    <w:rsid w:val="00C1189D"/>
    <w:rsid w:val="00C120BB"/>
    <w:rsid w:val="00C12496"/>
    <w:rsid w:val="00C124FE"/>
    <w:rsid w:val="00C12A5C"/>
    <w:rsid w:val="00C1366B"/>
    <w:rsid w:val="00C136D9"/>
    <w:rsid w:val="00C149D9"/>
    <w:rsid w:val="00C16774"/>
    <w:rsid w:val="00C20685"/>
    <w:rsid w:val="00C2267C"/>
    <w:rsid w:val="00C2287D"/>
    <w:rsid w:val="00C22FE8"/>
    <w:rsid w:val="00C23066"/>
    <w:rsid w:val="00C235C9"/>
    <w:rsid w:val="00C23A65"/>
    <w:rsid w:val="00C23C09"/>
    <w:rsid w:val="00C24E48"/>
    <w:rsid w:val="00C255CB"/>
    <w:rsid w:val="00C261D6"/>
    <w:rsid w:val="00C27ACA"/>
    <w:rsid w:val="00C308AD"/>
    <w:rsid w:val="00C30E75"/>
    <w:rsid w:val="00C31167"/>
    <w:rsid w:val="00C31EAC"/>
    <w:rsid w:val="00C348FC"/>
    <w:rsid w:val="00C34A09"/>
    <w:rsid w:val="00C35560"/>
    <w:rsid w:val="00C36D02"/>
    <w:rsid w:val="00C40878"/>
    <w:rsid w:val="00C408BB"/>
    <w:rsid w:val="00C40B12"/>
    <w:rsid w:val="00C40BF0"/>
    <w:rsid w:val="00C41E74"/>
    <w:rsid w:val="00C41EEE"/>
    <w:rsid w:val="00C42716"/>
    <w:rsid w:val="00C428C5"/>
    <w:rsid w:val="00C4294E"/>
    <w:rsid w:val="00C448B7"/>
    <w:rsid w:val="00C45DB4"/>
    <w:rsid w:val="00C45F58"/>
    <w:rsid w:val="00C469A0"/>
    <w:rsid w:val="00C46E5A"/>
    <w:rsid w:val="00C47624"/>
    <w:rsid w:val="00C47AC3"/>
    <w:rsid w:val="00C5028A"/>
    <w:rsid w:val="00C504A0"/>
    <w:rsid w:val="00C5082A"/>
    <w:rsid w:val="00C50869"/>
    <w:rsid w:val="00C51262"/>
    <w:rsid w:val="00C52038"/>
    <w:rsid w:val="00C525D6"/>
    <w:rsid w:val="00C53851"/>
    <w:rsid w:val="00C55002"/>
    <w:rsid w:val="00C55728"/>
    <w:rsid w:val="00C55B56"/>
    <w:rsid w:val="00C56EFF"/>
    <w:rsid w:val="00C6012A"/>
    <w:rsid w:val="00C612F0"/>
    <w:rsid w:val="00C61852"/>
    <w:rsid w:val="00C61AEE"/>
    <w:rsid w:val="00C625B0"/>
    <w:rsid w:val="00C631A9"/>
    <w:rsid w:val="00C633B9"/>
    <w:rsid w:val="00C63952"/>
    <w:rsid w:val="00C63D99"/>
    <w:rsid w:val="00C6488D"/>
    <w:rsid w:val="00C65AE3"/>
    <w:rsid w:val="00C66EE0"/>
    <w:rsid w:val="00C672F4"/>
    <w:rsid w:val="00C700B2"/>
    <w:rsid w:val="00C704CE"/>
    <w:rsid w:val="00C70CCA"/>
    <w:rsid w:val="00C72F5C"/>
    <w:rsid w:val="00C7318D"/>
    <w:rsid w:val="00C731B6"/>
    <w:rsid w:val="00C74632"/>
    <w:rsid w:val="00C74FB7"/>
    <w:rsid w:val="00C7504C"/>
    <w:rsid w:val="00C75318"/>
    <w:rsid w:val="00C7575F"/>
    <w:rsid w:val="00C75938"/>
    <w:rsid w:val="00C759C1"/>
    <w:rsid w:val="00C76BB7"/>
    <w:rsid w:val="00C76D91"/>
    <w:rsid w:val="00C80471"/>
    <w:rsid w:val="00C809B8"/>
    <w:rsid w:val="00C810F3"/>
    <w:rsid w:val="00C82E85"/>
    <w:rsid w:val="00C83C54"/>
    <w:rsid w:val="00C83E16"/>
    <w:rsid w:val="00C84924"/>
    <w:rsid w:val="00C84E8A"/>
    <w:rsid w:val="00C8793D"/>
    <w:rsid w:val="00C87B1E"/>
    <w:rsid w:val="00C90018"/>
    <w:rsid w:val="00C90BFA"/>
    <w:rsid w:val="00C92600"/>
    <w:rsid w:val="00C93782"/>
    <w:rsid w:val="00C93E4A"/>
    <w:rsid w:val="00C94BBA"/>
    <w:rsid w:val="00C94EA9"/>
    <w:rsid w:val="00C95513"/>
    <w:rsid w:val="00C95C89"/>
    <w:rsid w:val="00C96C17"/>
    <w:rsid w:val="00CA0FEE"/>
    <w:rsid w:val="00CA1540"/>
    <w:rsid w:val="00CA1659"/>
    <w:rsid w:val="00CA2763"/>
    <w:rsid w:val="00CA3355"/>
    <w:rsid w:val="00CA3699"/>
    <w:rsid w:val="00CA3BB0"/>
    <w:rsid w:val="00CA3D6A"/>
    <w:rsid w:val="00CA4DA6"/>
    <w:rsid w:val="00CA6301"/>
    <w:rsid w:val="00CA7A4C"/>
    <w:rsid w:val="00CB1B6F"/>
    <w:rsid w:val="00CB1E84"/>
    <w:rsid w:val="00CB289A"/>
    <w:rsid w:val="00CB328A"/>
    <w:rsid w:val="00CB37BA"/>
    <w:rsid w:val="00CB4157"/>
    <w:rsid w:val="00CB4437"/>
    <w:rsid w:val="00CB4A4F"/>
    <w:rsid w:val="00CB5402"/>
    <w:rsid w:val="00CB5AB1"/>
    <w:rsid w:val="00CB5C99"/>
    <w:rsid w:val="00CB637D"/>
    <w:rsid w:val="00CB7BB1"/>
    <w:rsid w:val="00CB7F68"/>
    <w:rsid w:val="00CC3265"/>
    <w:rsid w:val="00CC3EB7"/>
    <w:rsid w:val="00CC4C2A"/>
    <w:rsid w:val="00CC55FF"/>
    <w:rsid w:val="00CC69A1"/>
    <w:rsid w:val="00CC6EFE"/>
    <w:rsid w:val="00CC7BAB"/>
    <w:rsid w:val="00CD0675"/>
    <w:rsid w:val="00CD0684"/>
    <w:rsid w:val="00CD148C"/>
    <w:rsid w:val="00CD185E"/>
    <w:rsid w:val="00CD1D2C"/>
    <w:rsid w:val="00CD21B9"/>
    <w:rsid w:val="00CD2FC8"/>
    <w:rsid w:val="00CD3933"/>
    <w:rsid w:val="00CD3D29"/>
    <w:rsid w:val="00CD3D4F"/>
    <w:rsid w:val="00CD3E25"/>
    <w:rsid w:val="00CD3FB0"/>
    <w:rsid w:val="00CD4F6D"/>
    <w:rsid w:val="00CD5121"/>
    <w:rsid w:val="00CD5A03"/>
    <w:rsid w:val="00CD67D6"/>
    <w:rsid w:val="00CD6B69"/>
    <w:rsid w:val="00CD7CAF"/>
    <w:rsid w:val="00CE11E9"/>
    <w:rsid w:val="00CE11FE"/>
    <w:rsid w:val="00CE17F2"/>
    <w:rsid w:val="00CE24B4"/>
    <w:rsid w:val="00CE258D"/>
    <w:rsid w:val="00CE279C"/>
    <w:rsid w:val="00CE30D5"/>
    <w:rsid w:val="00CE470E"/>
    <w:rsid w:val="00CE58BA"/>
    <w:rsid w:val="00CE7CA4"/>
    <w:rsid w:val="00CE7E87"/>
    <w:rsid w:val="00CF0E20"/>
    <w:rsid w:val="00CF1B95"/>
    <w:rsid w:val="00CF210B"/>
    <w:rsid w:val="00CF2CDE"/>
    <w:rsid w:val="00CF2F34"/>
    <w:rsid w:val="00CF302C"/>
    <w:rsid w:val="00CF3462"/>
    <w:rsid w:val="00CF4433"/>
    <w:rsid w:val="00CF55CB"/>
    <w:rsid w:val="00CF572B"/>
    <w:rsid w:val="00CF5C36"/>
    <w:rsid w:val="00CF6C37"/>
    <w:rsid w:val="00CF6F8E"/>
    <w:rsid w:val="00CF711F"/>
    <w:rsid w:val="00CF7C7A"/>
    <w:rsid w:val="00CF7E51"/>
    <w:rsid w:val="00CF7F16"/>
    <w:rsid w:val="00D001EF"/>
    <w:rsid w:val="00D01418"/>
    <w:rsid w:val="00D01613"/>
    <w:rsid w:val="00D0287F"/>
    <w:rsid w:val="00D02E1A"/>
    <w:rsid w:val="00D02E6B"/>
    <w:rsid w:val="00D03026"/>
    <w:rsid w:val="00D0475A"/>
    <w:rsid w:val="00D05A65"/>
    <w:rsid w:val="00D05CE8"/>
    <w:rsid w:val="00D079E0"/>
    <w:rsid w:val="00D1002A"/>
    <w:rsid w:val="00D10107"/>
    <w:rsid w:val="00D10AE1"/>
    <w:rsid w:val="00D1291A"/>
    <w:rsid w:val="00D133F8"/>
    <w:rsid w:val="00D136C0"/>
    <w:rsid w:val="00D13798"/>
    <w:rsid w:val="00D14704"/>
    <w:rsid w:val="00D149CA"/>
    <w:rsid w:val="00D14B54"/>
    <w:rsid w:val="00D15181"/>
    <w:rsid w:val="00D153B0"/>
    <w:rsid w:val="00D16DF7"/>
    <w:rsid w:val="00D16F70"/>
    <w:rsid w:val="00D1768D"/>
    <w:rsid w:val="00D17B8B"/>
    <w:rsid w:val="00D17DCF"/>
    <w:rsid w:val="00D20F6E"/>
    <w:rsid w:val="00D21313"/>
    <w:rsid w:val="00D213C7"/>
    <w:rsid w:val="00D222CF"/>
    <w:rsid w:val="00D242C6"/>
    <w:rsid w:val="00D255C8"/>
    <w:rsid w:val="00D2600A"/>
    <w:rsid w:val="00D26BF4"/>
    <w:rsid w:val="00D3001E"/>
    <w:rsid w:val="00D31C9B"/>
    <w:rsid w:val="00D32354"/>
    <w:rsid w:val="00D328D6"/>
    <w:rsid w:val="00D32C4F"/>
    <w:rsid w:val="00D34183"/>
    <w:rsid w:val="00D3432B"/>
    <w:rsid w:val="00D353D9"/>
    <w:rsid w:val="00D3573E"/>
    <w:rsid w:val="00D36292"/>
    <w:rsid w:val="00D36BE7"/>
    <w:rsid w:val="00D400FF"/>
    <w:rsid w:val="00D402A3"/>
    <w:rsid w:val="00D405CB"/>
    <w:rsid w:val="00D414D6"/>
    <w:rsid w:val="00D429C3"/>
    <w:rsid w:val="00D438DE"/>
    <w:rsid w:val="00D441B4"/>
    <w:rsid w:val="00D4616E"/>
    <w:rsid w:val="00D463AA"/>
    <w:rsid w:val="00D50142"/>
    <w:rsid w:val="00D50CF9"/>
    <w:rsid w:val="00D51288"/>
    <w:rsid w:val="00D51578"/>
    <w:rsid w:val="00D52C26"/>
    <w:rsid w:val="00D52CB4"/>
    <w:rsid w:val="00D53932"/>
    <w:rsid w:val="00D53F62"/>
    <w:rsid w:val="00D555F9"/>
    <w:rsid w:val="00D556F1"/>
    <w:rsid w:val="00D5619D"/>
    <w:rsid w:val="00D56ADB"/>
    <w:rsid w:val="00D56C5D"/>
    <w:rsid w:val="00D56F77"/>
    <w:rsid w:val="00D6008F"/>
    <w:rsid w:val="00D60DB7"/>
    <w:rsid w:val="00D613AE"/>
    <w:rsid w:val="00D61943"/>
    <w:rsid w:val="00D62BD7"/>
    <w:rsid w:val="00D63369"/>
    <w:rsid w:val="00D63413"/>
    <w:rsid w:val="00D64361"/>
    <w:rsid w:val="00D64870"/>
    <w:rsid w:val="00D64AAF"/>
    <w:rsid w:val="00D64C8B"/>
    <w:rsid w:val="00D659E4"/>
    <w:rsid w:val="00D661E3"/>
    <w:rsid w:val="00D66282"/>
    <w:rsid w:val="00D6681A"/>
    <w:rsid w:val="00D66BEA"/>
    <w:rsid w:val="00D6722E"/>
    <w:rsid w:val="00D6731B"/>
    <w:rsid w:val="00D70410"/>
    <w:rsid w:val="00D71682"/>
    <w:rsid w:val="00D72721"/>
    <w:rsid w:val="00D74EA2"/>
    <w:rsid w:val="00D75089"/>
    <w:rsid w:val="00D75A42"/>
    <w:rsid w:val="00D81951"/>
    <w:rsid w:val="00D819E4"/>
    <w:rsid w:val="00D829CD"/>
    <w:rsid w:val="00D8305D"/>
    <w:rsid w:val="00D83759"/>
    <w:rsid w:val="00D84259"/>
    <w:rsid w:val="00D842AF"/>
    <w:rsid w:val="00D844AF"/>
    <w:rsid w:val="00D849CC"/>
    <w:rsid w:val="00D85D34"/>
    <w:rsid w:val="00D86AB3"/>
    <w:rsid w:val="00D86D1E"/>
    <w:rsid w:val="00D87115"/>
    <w:rsid w:val="00D87B1F"/>
    <w:rsid w:val="00D9013D"/>
    <w:rsid w:val="00D90539"/>
    <w:rsid w:val="00D90B62"/>
    <w:rsid w:val="00D912FA"/>
    <w:rsid w:val="00D91D17"/>
    <w:rsid w:val="00D91D38"/>
    <w:rsid w:val="00D927DD"/>
    <w:rsid w:val="00D92C17"/>
    <w:rsid w:val="00D934D8"/>
    <w:rsid w:val="00D9467E"/>
    <w:rsid w:val="00D95823"/>
    <w:rsid w:val="00D958FA"/>
    <w:rsid w:val="00D974CF"/>
    <w:rsid w:val="00D97904"/>
    <w:rsid w:val="00D97E0B"/>
    <w:rsid w:val="00DA02A1"/>
    <w:rsid w:val="00DA0F36"/>
    <w:rsid w:val="00DA21E6"/>
    <w:rsid w:val="00DA2DBF"/>
    <w:rsid w:val="00DA2F8B"/>
    <w:rsid w:val="00DA2FDB"/>
    <w:rsid w:val="00DA3FC0"/>
    <w:rsid w:val="00DA475F"/>
    <w:rsid w:val="00DA50C3"/>
    <w:rsid w:val="00DA5358"/>
    <w:rsid w:val="00DA5E0D"/>
    <w:rsid w:val="00DA618B"/>
    <w:rsid w:val="00DA6A3B"/>
    <w:rsid w:val="00DA6C8E"/>
    <w:rsid w:val="00DA6E25"/>
    <w:rsid w:val="00DA7549"/>
    <w:rsid w:val="00DA7628"/>
    <w:rsid w:val="00DA78ED"/>
    <w:rsid w:val="00DA79B2"/>
    <w:rsid w:val="00DA7AEB"/>
    <w:rsid w:val="00DA7BB8"/>
    <w:rsid w:val="00DB0546"/>
    <w:rsid w:val="00DB0570"/>
    <w:rsid w:val="00DB0B57"/>
    <w:rsid w:val="00DB1A0B"/>
    <w:rsid w:val="00DB1A8A"/>
    <w:rsid w:val="00DB22EC"/>
    <w:rsid w:val="00DB2842"/>
    <w:rsid w:val="00DB5120"/>
    <w:rsid w:val="00DB5AE9"/>
    <w:rsid w:val="00DB63E0"/>
    <w:rsid w:val="00DB67B2"/>
    <w:rsid w:val="00DB6970"/>
    <w:rsid w:val="00DB6E92"/>
    <w:rsid w:val="00DB7515"/>
    <w:rsid w:val="00DC0B7E"/>
    <w:rsid w:val="00DC1C58"/>
    <w:rsid w:val="00DC2451"/>
    <w:rsid w:val="00DC2610"/>
    <w:rsid w:val="00DC2A70"/>
    <w:rsid w:val="00DC2BB3"/>
    <w:rsid w:val="00DC4673"/>
    <w:rsid w:val="00DC4CE9"/>
    <w:rsid w:val="00DC5812"/>
    <w:rsid w:val="00DC5C08"/>
    <w:rsid w:val="00DC634F"/>
    <w:rsid w:val="00DC749B"/>
    <w:rsid w:val="00DC7FE1"/>
    <w:rsid w:val="00DD0974"/>
    <w:rsid w:val="00DD1BE8"/>
    <w:rsid w:val="00DD2808"/>
    <w:rsid w:val="00DD472F"/>
    <w:rsid w:val="00DD4954"/>
    <w:rsid w:val="00DD4C91"/>
    <w:rsid w:val="00DD5F88"/>
    <w:rsid w:val="00DD6AF7"/>
    <w:rsid w:val="00DD7F04"/>
    <w:rsid w:val="00DE03AC"/>
    <w:rsid w:val="00DE0744"/>
    <w:rsid w:val="00DE0912"/>
    <w:rsid w:val="00DE0CE7"/>
    <w:rsid w:val="00DE11AA"/>
    <w:rsid w:val="00DE250C"/>
    <w:rsid w:val="00DE2D9B"/>
    <w:rsid w:val="00DE35DC"/>
    <w:rsid w:val="00DE4C68"/>
    <w:rsid w:val="00DE5439"/>
    <w:rsid w:val="00DE547D"/>
    <w:rsid w:val="00DE69D6"/>
    <w:rsid w:val="00DE6D58"/>
    <w:rsid w:val="00DE7091"/>
    <w:rsid w:val="00DE7C48"/>
    <w:rsid w:val="00DE7F94"/>
    <w:rsid w:val="00DF05BF"/>
    <w:rsid w:val="00DF0BFC"/>
    <w:rsid w:val="00DF1933"/>
    <w:rsid w:val="00DF2054"/>
    <w:rsid w:val="00DF2B2F"/>
    <w:rsid w:val="00DF383A"/>
    <w:rsid w:val="00DF3C46"/>
    <w:rsid w:val="00DF7B68"/>
    <w:rsid w:val="00E006FE"/>
    <w:rsid w:val="00E00923"/>
    <w:rsid w:val="00E00A9F"/>
    <w:rsid w:val="00E02DFF"/>
    <w:rsid w:val="00E03F70"/>
    <w:rsid w:val="00E042CE"/>
    <w:rsid w:val="00E055A6"/>
    <w:rsid w:val="00E10940"/>
    <w:rsid w:val="00E112B0"/>
    <w:rsid w:val="00E11603"/>
    <w:rsid w:val="00E12696"/>
    <w:rsid w:val="00E12FC8"/>
    <w:rsid w:val="00E13276"/>
    <w:rsid w:val="00E133DB"/>
    <w:rsid w:val="00E140D6"/>
    <w:rsid w:val="00E14B8C"/>
    <w:rsid w:val="00E163FB"/>
    <w:rsid w:val="00E1664D"/>
    <w:rsid w:val="00E16941"/>
    <w:rsid w:val="00E16BC3"/>
    <w:rsid w:val="00E20B42"/>
    <w:rsid w:val="00E22006"/>
    <w:rsid w:val="00E2221B"/>
    <w:rsid w:val="00E22A59"/>
    <w:rsid w:val="00E236A0"/>
    <w:rsid w:val="00E26279"/>
    <w:rsid w:val="00E27B8C"/>
    <w:rsid w:val="00E3247D"/>
    <w:rsid w:val="00E329E8"/>
    <w:rsid w:val="00E32C2F"/>
    <w:rsid w:val="00E32E78"/>
    <w:rsid w:val="00E33305"/>
    <w:rsid w:val="00E3376D"/>
    <w:rsid w:val="00E33A5A"/>
    <w:rsid w:val="00E342A5"/>
    <w:rsid w:val="00E346CB"/>
    <w:rsid w:val="00E35217"/>
    <w:rsid w:val="00E373F6"/>
    <w:rsid w:val="00E37DFC"/>
    <w:rsid w:val="00E37E76"/>
    <w:rsid w:val="00E410E7"/>
    <w:rsid w:val="00E417AC"/>
    <w:rsid w:val="00E41B52"/>
    <w:rsid w:val="00E433B4"/>
    <w:rsid w:val="00E44618"/>
    <w:rsid w:val="00E4489E"/>
    <w:rsid w:val="00E453E2"/>
    <w:rsid w:val="00E46769"/>
    <w:rsid w:val="00E4694A"/>
    <w:rsid w:val="00E5115E"/>
    <w:rsid w:val="00E512E4"/>
    <w:rsid w:val="00E51AA6"/>
    <w:rsid w:val="00E53016"/>
    <w:rsid w:val="00E530BF"/>
    <w:rsid w:val="00E53911"/>
    <w:rsid w:val="00E53AD9"/>
    <w:rsid w:val="00E53EDA"/>
    <w:rsid w:val="00E546B0"/>
    <w:rsid w:val="00E54C1A"/>
    <w:rsid w:val="00E54E1B"/>
    <w:rsid w:val="00E56A0C"/>
    <w:rsid w:val="00E57FD7"/>
    <w:rsid w:val="00E605CA"/>
    <w:rsid w:val="00E60D97"/>
    <w:rsid w:val="00E62D0A"/>
    <w:rsid w:val="00E63ADC"/>
    <w:rsid w:val="00E64A01"/>
    <w:rsid w:val="00E64D67"/>
    <w:rsid w:val="00E6520C"/>
    <w:rsid w:val="00E65C38"/>
    <w:rsid w:val="00E66CE3"/>
    <w:rsid w:val="00E67725"/>
    <w:rsid w:val="00E67BE5"/>
    <w:rsid w:val="00E70134"/>
    <w:rsid w:val="00E701D5"/>
    <w:rsid w:val="00E71065"/>
    <w:rsid w:val="00E7150A"/>
    <w:rsid w:val="00E716B6"/>
    <w:rsid w:val="00E7190B"/>
    <w:rsid w:val="00E7341C"/>
    <w:rsid w:val="00E7398E"/>
    <w:rsid w:val="00E73B80"/>
    <w:rsid w:val="00E73D2F"/>
    <w:rsid w:val="00E74078"/>
    <w:rsid w:val="00E74536"/>
    <w:rsid w:val="00E74992"/>
    <w:rsid w:val="00E74C71"/>
    <w:rsid w:val="00E74E3A"/>
    <w:rsid w:val="00E7605E"/>
    <w:rsid w:val="00E76DE1"/>
    <w:rsid w:val="00E77574"/>
    <w:rsid w:val="00E77AC8"/>
    <w:rsid w:val="00E8081E"/>
    <w:rsid w:val="00E80E44"/>
    <w:rsid w:val="00E81909"/>
    <w:rsid w:val="00E84074"/>
    <w:rsid w:val="00E84877"/>
    <w:rsid w:val="00E84A88"/>
    <w:rsid w:val="00E85453"/>
    <w:rsid w:val="00E863F8"/>
    <w:rsid w:val="00E86CC2"/>
    <w:rsid w:val="00E86E07"/>
    <w:rsid w:val="00E86E5E"/>
    <w:rsid w:val="00E876B6"/>
    <w:rsid w:val="00E9005B"/>
    <w:rsid w:val="00E90F76"/>
    <w:rsid w:val="00E91F98"/>
    <w:rsid w:val="00E924F6"/>
    <w:rsid w:val="00E92561"/>
    <w:rsid w:val="00E9292D"/>
    <w:rsid w:val="00E9395D"/>
    <w:rsid w:val="00E943F3"/>
    <w:rsid w:val="00E961FD"/>
    <w:rsid w:val="00E96E96"/>
    <w:rsid w:val="00E97FDF"/>
    <w:rsid w:val="00EA0702"/>
    <w:rsid w:val="00EA1CC0"/>
    <w:rsid w:val="00EA42C7"/>
    <w:rsid w:val="00EA4449"/>
    <w:rsid w:val="00EA4579"/>
    <w:rsid w:val="00EA5675"/>
    <w:rsid w:val="00EA66D1"/>
    <w:rsid w:val="00EA7677"/>
    <w:rsid w:val="00EB2D3E"/>
    <w:rsid w:val="00EB2F2E"/>
    <w:rsid w:val="00EB3E30"/>
    <w:rsid w:val="00EB4A95"/>
    <w:rsid w:val="00EB533C"/>
    <w:rsid w:val="00EB641D"/>
    <w:rsid w:val="00EB6EC1"/>
    <w:rsid w:val="00EB6FB3"/>
    <w:rsid w:val="00EB7189"/>
    <w:rsid w:val="00EB789B"/>
    <w:rsid w:val="00EC02CD"/>
    <w:rsid w:val="00EC0ABA"/>
    <w:rsid w:val="00EC1FC3"/>
    <w:rsid w:val="00EC2D5A"/>
    <w:rsid w:val="00EC30CB"/>
    <w:rsid w:val="00EC375B"/>
    <w:rsid w:val="00EC40C3"/>
    <w:rsid w:val="00EC4F2E"/>
    <w:rsid w:val="00EC6E5C"/>
    <w:rsid w:val="00EC6F9C"/>
    <w:rsid w:val="00EC7131"/>
    <w:rsid w:val="00EC720E"/>
    <w:rsid w:val="00EC7C65"/>
    <w:rsid w:val="00EC7F98"/>
    <w:rsid w:val="00ED2248"/>
    <w:rsid w:val="00ED2A3A"/>
    <w:rsid w:val="00ED3A1F"/>
    <w:rsid w:val="00ED3EFC"/>
    <w:rsid w:val="00ED4054"/>
    <w:rsid w:val="00ED4956"/>
    <w:rsid w:val="00ED5AB8"/>
    <w:rsid w:val="00ED7B42"/>
    <w:rsid w:val="00EE124D"/>
    <w:rsid w:val="00EE332D"/>
    <w:rsid w:val="00EE3592"/>
    <w:rsid w:val="00EE36F9"/>
    <w:rsid w:val="00EE4177"/>
    <w:rsid w:val="00EE648B"/>
    <w:rsid w:val="00EE68FD"/>
    <w:rsid w:val="00EE7C38"/>
    <w:rsid w:val="00EF0BB8"/>
    <w:rsid w:val="00EF0E62"/>
    <w:rsid w:val="00EF0EBF"/>
    <w:rsid w:val="00EF1922"/>
    <w:rsid w:val="00EF1FC9"/>
    <w:rsid w:val="00EF262F"/>
    <w:rsid w:val="00EF2817"/>
    <w:rsid w:val="00EF2A7B"/>
    <w:rsid w:val="00EF3BA9"/>
    <w:rsid w:val="00EF4457"/>
    <w:rsid w:val="00EF4D8E"/>
    <w:rsid w:val="00EF52FD"/>
    <w:rsid w:val="00EF5B50"/>
    <w:rsid w:val="00EF63E9"/>
    <w:rsid w:val="00EF6CBB"/>
    <w:rsid w:val="00EF7015"/>
    <w:rsid w:val="00EF7271"/>
    <w:rsid w:val="00EF7A2C"/>
    <w:rsid w:val="00F001FE"/>
    <w:rsid w:val="00F00500"/>
    <w:rsid w:val="00F00A68"/>
    <w:rsid w:val="00F00A84"/>
    <w:rsid w:val="00F01554"/>
    <w:rsid w:val="00F02A29"/>
    <w:rsid w:val="00F033D9"/>
    <w:rsid w:val="00F03723"/>
    <w:rsid w:val="00F037C6"/>
    <w:rsid w:val="00F03E68"/>
    <w:rsid w:val="00F04239"/>
    <w:rsid w:val="00F04FEA"/>
    <w:rsid w:val="00F05A1D"/>
    <w:rsid w:val="00F0698C"/>
    <w:rsid w:val="00F06CDD"/>
    <w:rsid w:val="00F070AC"/>
    <w:rsid w:val="00F07BFF"/>
    <w:rsid w:val="00F105E7"/>
    <w:rsid w:val="00F11B1D"/>
    <w:rsid w:val="00F1226A"/>
    <w:rsid w:val="00F1258C"/>
    <w:rsid w:val="00F131AB"/>
    <w:rsid w:val="00F151AC"/>
    <w:rsid w:val="00F15514"/>
    <w:rsid w:val="00F1568B"/>
    <w:rsid w:val="00F16B36"/>
    <w:rsid w:val="00F17B6E"/>
    <w:rsid w:val="00F2036F"/>
    <w:rsid w:val="00F20924"/>
    <w:rsid w:val="00F21178"/>
    <w:rsid w:val="00F22270"/>
    <w:rsid w:val="00F22CA5"/>
    <w:rsid w:val="00F2307A"/>
    <w:rsid w:val="00F23E3B"/>
    <w:rsid w:val="00F240B0"/>
    <w:rsid w:val="00F261CC"/>
    <w:rsid w:val="00F30086"/>
    <w:rsid w:val="00F30959"/>
    <w:rsid w:val="00F312A0"/>
    <w:rsid w:val="00F3159C"/>
    <w:rsid w:val="00F31E22"/>
    <w:rsid w:val="00F31E26"/>
    <w:rsid w:val="00F31FC6"/>
    <w:rsid w:val="00F31FF4"/>
    <w:rsid w:val="00F32175"/>
    <w:rsid w:val="00F3233D"/>
    <w:rsid w:val="00F325B2"/>
    <w:rsid w:val="00F33C79"/>
    <w:rsid w:val="00F354F4"/>
    <w:rsid w:val="00F35940"/>
    <w:rsid w:val="00F36936"/>
    <w:rsid w:val="00F36A38"/>
    <w:rsid w:val="00F3735B"/>
    <w:rsid w:val="00F37467"/>
    <w:rsid w:val="00F37779"/>
    <w:rsid w:val="00F37B12"/>
    <w:rsid w:val="00F37B74"/>
    <w:rsid w:val="00F40DF4"/>
    <w:rsid w:val="00F4130C"/>
    <w:rsid w:val="00F41788"/>
    <w:rsid w:val="00F41D7B"/>
    <w:rsid w:val="00F42085"/>
    <w:rsid w:val="00F43602"/>
    <w:rsid w:val="00F43736"/>
    <w:rsid w:val="00F45082"/>
    <w:rsid w:val="00F45675"/>
    <w:rsid w:val="00F45B5A"/>
    <w:rsid w:val="00F46670"/>
    <w:rsid w:val="00F4686A"/>
    <w:rsid w:val="00F46DD5"/>
    <w:rsid w:val="00F5006D"/>
    <w:rsid w:val="00F508E4"/>
    <w:rsid w:val="00F51128"/>
    <w:rsid w:val="00F5277E"/>
    <w:rsid w:val="00F55257"/>
    <w:rsid w:val="00F553A9"/>
    <w:rsid w:val="00F558D1"/>
    <w:rsid w:val="00F55ADC"/>
    <w:rsid w:val="00F56628"/>
    <w:rsid w:val="00F5666C"/>
    <w:rsid w:val="00F566BA"/>
    <w:rsid w:val="00F56CC8"/>
    <w:rsid w:val="00F57B80"/>
    <w:rsid w:val="00F60472"/>
    <w:rsid w:val="00F604D1"/>
    <w:rsid w:val="00F61447"/>
    <w:rsid w:val="00F61698"/>
    <w:rsid w:val="00F61AF2"/>
    <w:rsid w:val="00F6209B"/>
    <w:rsid w:val="00F6252F"/>
    <w:rsid w:val="00F6253A"/>
    <w:rsid w:val="00F628FE"/>
    <w:rsid w:val="00F63A74"/>
    <w:rsid w:val="00F64798"/>
    <w:rsid w:val="00F64A4B"/>
    <w:rsid w:val="00F64B74"/>
    <w:rsid w:val="00F653F9"/>
    <w:rsid w:val="00F66F40"/>
    <w:rsid w:val="00F66FFC"/>
    <w:rsid w:val="00F6732E"/>
    <w:rsid w:val="00F67835"/>
    <w:rsid w:val="00F70005"/>
    <w:rsid w:val="00F704A5"/>
    <w:rsid w:val="00F72D0E"/>
    <w:rsid w:val="00F73507"/>
    <w:rsid w:val="00F75724"/>
    <w:rsid w:val="00F75DAA"/>
    <w:rsid w:val="00F76380"/>
    <w:rsid w:val="00F76509"/>
    <w:rsid w:val="00F7681B"/>
    <w:rsid w:val="00F76EDB"/>
    <w:rsid w:val="00F7717A"/>
    <w:rsid w:val="00F77419"/>
    <w:rsid w:val="00F80AB8"/>
    <w:rsid w:val="00F812D5"/>
    <w:rsid w:val="00F836BB"/>
    <w:rsid w:val="00F851C1"/>
    <w:rsid w:val="00F85C26"/>
    <w:rsid w:val="00F86142"/>
    <w:rsid w:val="00F8753B"/>
    <w:rsid w:val="00F92A28"/>
    <w:rsid w:val="00F92C0D"/>
    <w:rsid w:val="00F92C86"/>
    <w:rsid w:val="00F92F34"/>
    <w:rsid w:val="00F9336D"/>
    <w:rsid w:val="00F9400D"/>
    <w:rsid w:val="00F948A4"/>
    <w:rsid w:val="00F963DD"/>
    <w:rsid w:val="00F972CD"/>
    <w:rsid w:val="00F97950"/>
    <w:rsid w:val="00F97EA2"/>
    <w:rsid w:val="00FA155D"/>
    <w:rsid w:val="00FA2094"/>
    <w:rsid w:val="00FA2EB8"/>
    <w:rsid w:val="00FA365D"/>
    <w:rsid w:val="00FA36E8"/>
    <w:rsid w:val="00FA37CC"/>
    <w:rsid w:val="00FA7A2E"/>
    <w:rsid w:val="00FB1492"/>
    <w:rsid w:val="00FB1BF3"/>
    <w:rsid w:val="00FB1C90"/>
    <w:rsid w:val="00FB1EA1"/>
    <w:rsid w:val="00FB2E6A"/>
    <w:rsid w:val="00FB3ADF"/>
    <w:rsid w:val="00FB4720"/>
    <w:rsid w:val="00FB49F4"/>
    <w:rsid w:val="00FB4B82"/>
    <w:rsid w:val="00FB4F70"/>
    <w:rsid w:val="00FB67B4"/>
    <w:rsid w:val="00FB71F1"/>
    <w:rsid w:val="00FB731B"/>
    <w:rsid w:val="00FB7FB0"/>
    <w:rsid w:val="00FC052F"/>
    <w:rsid w:val="00FC2C14"/>
    <w:rsid w:val="00FC30FA"/>
    <w:rsid w:val="00FC38F4"/>
    <w:rsid w:val="00FC3C14"/>
    <w:rsid w:val="00FC45B8"/>
    <w:rsid w:val="00FC5154"/>
    <w:rsid w:val="00FC6FC5"/>
    <w:rsid w:val="00FC747E"/>
    <w:rsid w:val="00FC74B8"/>
    <w:rsid w:val="00FD134E"/>
    <w:rsid w:val="00FD173C"/>
    <w:rsid w:val="00FD1750"/>
    <w:rsid w:val="00FD1DD8"/>
    <w:rsid w:val="00FD34D9"/>
    <w:rsid w:val="00FD3564"/>
    <w:rsid w:val="00FD480F"/>
    <w:rsid w:val="00FD487A"/>
    <w:rsid w:val="00FD751A"/>
    <w:rsid w:val="00FE0B38"/>
    <w:rsid w:val="00FE1206"/>
    <w:rsid w:val="00FE1797"/>
    <w:rsid w:val="00FE190E"/>
    <w:rsid w:val="00FE1D88"/>
    <w:rsid w:val="00FE2703"/>
    <w:rsid w:val="00FE60E1"/>
    <w:rsid w:val="00FE67CB"/>
    <w:rsid w:val="00FE7E4B"/>
    <w:rsid w:val="00FF0585"/>
    <w:rsid w:val="00FF151A"/>
    <w:rsid w:val="00FF191B"/>
    <w:rsid w:val="00FF2228"/>
    <w:rsid w:val="00FF2493"/>
    <w:rsid w:val="00FF25EF"/>
    <w:rsid w:val="00FF2A4E"/>
    <w:rsid w:val="00FF3172"/>
    <w:rsid w:val="00FF366A"/>
    <w:rsid w:val="00FF41B1"/>
    <w:rsid w:val="00FF452F"/>
    <w:rsid w:val="00FF4CA8"/>
    <w:rsid w:val="00FF4E67"/>
    <w:rsid w:val="00FF4F99"/>
    <w:rsid w:val="00FF695D"/>
    <w:rsid w:val="00FF70A0"/>
    <w:rsid w:val="00FF7322"/>
    <w:rsid w:val="00FF77A2"/>
    <w:rsid w:val="00FF792F"/>
    <w:rsid w:val="00FF7B66"/>
    <w:rsid w:val="00FF7F07"/>
    <w:rsid w:val="01137C69"/>
    <w:rsid w:val="014F04E5"/>
    <w:rsid w:val="01920401"/>
    <w:rsid w:val="0195644C"/>
    <w:rsid w:val="019E4202"/>
    <w:rsid w:val="01B16E65"/>
    <w:rsid w:val="01B87B26"/>
    <w:rsid w:val="01EA1125"/>
    <w:rsid w:val="02505505"/>
    <w:rsid w:val="0255198A"/>
    <w:rsid w:val="026844A3"/>
    <w:rsid w:val="027423B3"/>
    <w:rsid w:val="028E7BDF"/>
    <w:rsid w:val="02D34744"/>
    <w:rsid w:val="0308778C"/>
    <w:rsid w:val="03634626"/>
    <w:rsid w:val="037800D1"/>
    <w:rsid w:val="037C1244"/>
    <w:rsid w:val="03EA6FAA"/>
    <w:rsid w:val="03EE2A56"/>
    <w:rsid w:val="04016320"/>
    <w:rsid w:val="04B05277"/>
    <w:rsid w:val="050D4295"/>
    <w:rsid w:val="052027CE"/>
    <w:rsid w:val="052D0A47"/>
    <w:rsid w:val="0530678A"/>
    <w:rsid w:val="05371AF0"/>
    <w:rsid w:val="054116CB"/>
    <w:rsid w:val="0548574A"/>
    <w:rsid w:val="055038BC"/>
    <w:rsid w:val="05544350"/>
    <w:rsid w:val="055D1B12"/>
    <w:rsid w:val="05C12A5E"/>
    <w:rsid w:val="060519C4"/>
    <w:rsid w:val="064F03AA"/>
    <w:rsid w:val="06783F44"/>
    <w:rsid w:val="06787432"/>
    <w:rsid w:val="06C23618"/>
    <w:rsid w:val="06C427AE"/>
    <w:rsid w:val="06DF5D71"/>
    <w:rsid w:val="074C0952"/>
    <w:rsid w:val="074E6108"/>
    <w:rsid w:val="0765096C"/>
    <w:rsid w:val="07E76B46"/>
    <w:rsid w:val="07EF451C"/>
    <w:rsid w:val="0830547E"/>
    <w:rsid w:val="08305869"/>
    <w:rsid w:val="08597DA5"/>
    <w:rsid w:val="08E421C5"/>
    <w:rsid w:val="08F4718E"/>
    <w:rsid w:val="0977292C"/>
    <w:rsid w:val="09F6762F"/>
    <w:rsid w:val="0A0A57FB"/>
    <w:rsid w:val="0A425D09"/>
    <w:rsid w:val="0A615213"/>
    <w:rsid w:val="0A761D42"/>
    <w:rsid w:val="0ACB590F"/>
    <w:rsid w:val="0ACE05D7"/>
    <w:rsid w:val="0AD361DF"/>
    <w:rsid w:val="0AD55E09"/>
    <w:rsid w:val="0BB0345C"/>
    <w:rsid w:val="0BCE4606"/>
    <w:rsid w:val="0C9B41E0"/>
    <w:rsid w:val="0CCE5B94"/>
    <w:rsid w:val="0D3B47C9"/>
    <w:rsid w:val="0D3F1B32"/>
    <w:rsid w:val="0D873BD3"/>
    <w:rsid w:val="0D9B7F82"/>
    <w:rsid w:val="0DC009E4"/>
    <w:rsid w:val="0DF72D4B"/>
    <w:rsid w:val="0E6514CE"/>
    <w:rsid w:val="0F2C78B5"/>
    <w:rsid w:val="0F8001C0"/>
    <w:rsid w:val="0FB2671F"/>
    <w:rsid w:val="0FBF4B97"/>
    <w:rsid w:val="10130368"/>
    <w:rsid w:val="1061783B"/>
    <w:rsid w:val="10BF71E9"/>
    <w:rsid w:val="11105DEF"/>
    <w:rsid w:val="1132247A"/>
    <w:rsid w:val="1204469C"/>
    <w:rsid w:val="121E04E8"/>
    <w:rsid w:val="12200177"/>
    <w:rsid w:val="123F499D"/>
    <w:rsid w:val="124047DA"/>
    <w:rsid w:val="126E04C4"/>
    <w:rsid w:val="12F61C03"/>
    <w:rsid w:val="134A0A16"/>
    <w:rsid w:val="135F18E9"/>
    <w:rsid w:val="13BF31B2"/>
    <w:rsid w:val="1405689D"/>
    <w:rsid w:val="14AD4DB8"/>
    <w:rsid w:val="14AE2E3A"/>
    <w:rsid w:val="150017B7"/>
    <w:rsid w:val="154C271C"/>
    <w:rsid w:val="15612100"/>
    <w:rsid w:val="15775A8C"/>
    <w:rsid w:val="15EC220C"/>
    <w:rsid w:val="16D451C7"/>
    <w:rsid w:val="1740319E"/>
    <w:rsid w:val="177D1D83"/>
    <w:rsid w:val="18151AED"/>
    <w:rsid w:val="186576DB"/>
    <w:rsid w:val="1870581D"/>
    <w:rsid w:val="18AE7A18"/>
    <w:rsid w:val="18B03A11"/>
    <w:rsid w:val="18FE121D"/>
    <w:rsid w:val="19491AD7"/>
    <w:rsid w:val="19940024"/>
    <w:rsid w:val="19A8476A"/>
    <w:rsid w:val="19C66C22"/>
    <w:rsid w:val="1A555846"/>
    <w:rsid w:val="1A814B26"/>
    <w:rsid w:val="1ADC3C25"/>
    <w:rsid w:val="1AE8631D"/>
    <w:rsid w:val="1B1A7868"/>
    <w:rsid w:val="1BD179B9"/>
    <w:rsid w:val="1C3B7159"/>
    <w:rsid w:val="1C8C41A9"/>
    <w:rsid w:val="1C982E58"/>
    <w:rsid w:val="1CB338B2"/>
    <w:rsid w:val="1CDA4EBF"/>
    <w:rsid w:val="1CF852BE"/>
    <w:rsid w:val="1D2A5E93"/>
    <w:rsid w:val="1D2F3EC2"/>
    <w:rsid w:val="1D644556"/>
    <w:rsid w:val="1DC96A0D"/>
    <w:rsid w:val="1DE25432"/>
    <w:rsid w:val="1DFE291F"/>
    <w:rsid w:val="1E385966"/>
    <w:rsid w:val="1FA73631"/>
    <w:rsid w:val="1FA83492"/>
    <w:rsid w:val="1FAD44AE"/>
    <w:rsid w:val="201448F3"/>
    <w:rsid w:val="205F5715"/>
    <w:rsid w:val="206B2007"/>
    <w:rsid w:val="20BD7D18"/>
    <w:rsid w:val="20C20C31"/>
    <w:rsid w:val="20C84D12"/>
    <w:rsid w:val="21543824"/>
    <w:rsid w:val="21C43CC6"/>
    <w:rsid w:val="22505310"/>
    <w:rsid w:val="226B2757"/>
    <w:rsid w:val="227F3C44"/>
    <w:rsid w:val="22D14F53"/>
    <w:rsid w:val="23C93BD9"/>
    <w:rsid w:val="240E27FB"/>
    <w:rsid w:val="24311F11"/>
    <w:rsid w:val="24DD7F37"/>
    <w:rsid w:val="24F9229C"/>
    <w:rsid w:val="25011339"/>
    <w:rsid w:val="2529314D"/>
    <w:rsid w:val="2594352C"/>
    <w:rsid w:val="26163EB5"/>
    <w:rsid w:val="264B42F1"/>
    <w:rsid w:val="26A17794"/>
    <w:rsid w:val="26AD1590"/>
    <w:rsid w:val="26D657B7"/>
    <w:rsid w:val="276B6060"/>
    <w:rsid w:val="27B2145C"/>
    <w:rsid w:val="27E403E2"/>
    <w:rsid w:val="27EB411E"/>
    <w:rsid w:val="27FA7131"/>
    <w:rsid w:val="284035F2"/>
    <w:rsid w:val="28836A4D"/>
    <w:rsid w:val="28962D82"/>
    <w:rsid w:val="28C22024"/>
    <w:rsid w:val="290129D3"/>
    <w:rsid w:val="2905171F"/>
    <w:rsid w:val="292A4047"/>
    <w:rsid w:val="2951316E"/>
    <w:rsid w:val="297468CD"/>
    <w:rsid w:val="2A1B2201"/>
    <w:rsid w:val="2A1D2EF1"/>
    <w:rsid w:val="2A3F0864"/>
    <w:rsid w:val="2A9071FF"/>
    <w:rsid w:val="2A9C2D33"/>
    <w:rsid w:val="2AC8240E"/>
    <w:rsid w:val="2AE91610"/>
    <w:rsid w:val="2B2471D4"/>
    <w:rsid w:val="2B4E7BAF"/>
    <w:rsid w:val="2B83121D"/>
    <w:rsid w:val="2B8D1001"/>
    <w:rsid w:val="2BA21234"/>
    <w:rsid w:val="2BAE7D76"/>
    <w:rsid w:val="2BCD7395"/>
    <w:rsid w:val="2CFE750E"/>
    <w:rsid w:val="2D05394C"/>
    <w:rsid w:val="2D0F7889"/>
    <w:rsid w:val="2D40315E"/>
    <w:rsid w:val="2D5B636E"/>
    <w:rsid w:val="2DA566E7"/>
    <w:rsid w:val="2DBE4083"/>
    <w:rsid w:val="2DEF1375"/>
    <w:rsid w:val="2E11396D"/>
    <w:rsid w:val="2E4C1B74"/>
    <w:rsid w:val="2EE46E89"/>
    <w:rsid w:val="2EE95C88"/>
    <w:rsid w:val="2F3B5F63"/>
    <w:rsid w:val="2F3C2100"/>
    <w:rsid w:val="2FC607EE"/>
    <w:rsid w:val="30392D61"/>
    <w:rsid w:val="307325D9"/>
    <w:rsid w:val="30C51EF2"/>
    <w:rsid w:val="30E060E4"/>
    <w:rsid w:val="30F7069D"/>
    <w:rsid w:val="311116F3"/>
    <w:rsid w:val="31F2015C"/>
    <w:rsid w:val="3204159C"/>
    <w:rsid w:val="321F1705"/>
    <w:rsid w:val="32456B21"/>
    <w:rsid w:val="329B0E37"/>
    <w:rsid w:val="32DD50BF"/>
    <w:rsid w:val="33171D0F"/>
    <w:rsid w:val="338F34FE"/>
    <w:rsid w:val="33D755DC"/>
    <w:rsid w:val="345F6B83"/>
    <w:rsid w:val="34DB703E"/>
    <w:rsid w:val="355D1BDD"/>
    <w:rsid w:val="35CD1307"/>
    <w:rsid w:val="35FF1075"/>
    <w:rsid w:val="36312BA6"/>
    <w:rsid w:val="367C6D9B"/>
    <w:rsid w:val="3681660E"/>
    <w:rsid w:val="36AB0D07"/>
    <w:rsid w:val="36D84407"/>
    <w:rsid w:val="371562DB"/>
    <w:rsid w:val="37432253"/>
    <w:rsid w:val="37825166"/>
    <w:rsid w:val="37B26BC7"/>
    <w:rsid w:val="37D843A8"/>
    <w:rsid w:val="37DF7667"/>
    <w:rsid w:val="385555E4"/>
    <w:rsid w:val="386E24EE"/>
    <w:rsid w:val="38B32C64"/>
    <w:rsid w:val="39247742"/>
    <w:rsid w:val="3927078A"/>
    <w:rsid w:val="3950329E"/>
    <w:rsid w:val="396948F7"/>
    <w:rsid w:val="39C0030D"/>
    <w:rsid w:val="3B0A0908"/>
    <w:rsid w:val="3B4E1274"/>
    <w:rsid w:val="3B4F4FB3"/>
    <w:rsid w:val="3BA20BFD"/>
    <w:rsid w:val="3BC85AEF"/>
    <w:rsid w:val="3CB5559F"/>
    <w:rsid w:val="3CB709DF"/>
    <w:rsid w:val="3D436353"/>
    <w:rsid w:val="3D6A7724"/>
    <w:rsid w:val="3DCB25D0"/>
    <w:rsid w:val="3DD13F45"/>
    <w:rsid w:val="3E421533"/>
    <w:rsid w:val="3E4E44C1"/>
    <w:rsid w:val="3E612161"/>
    <w:rsid w:val="3E8D5E6B"/>
    <w:rsid w:val="3E975D9B"/>
    <w:rsid w:val="3F796D91"/>
    <w:rsid w:val="3FA30497"/>
    <w:rsid w:val="3FBA61CD"/>
    <w:rsid w:val="3FD247CD"/>
    <w:rsid w:val="40E81C84"/>
    <w:rsid w:val="40F94293"/>
    <w:rsid w:val="41A47E1B"/>
    <w:rsid w:val="42621693"/>
    <w:rsid w:val="427D0EBF"/>
    <w:rsid w:val="42AA6865"/>
    <w:rsid w:val="42BC352D"/>
    <w:rsid w:val="432B7EEF"/>
    <w:rsid w:val="434A46EC"/>
    <w:rsid w:val="43650DD1"/>
    <w:rsid w:val="436E5BE5"/>
    <w:rsid w:val="4386267B"/>
    <w:rsid w:val="43C301D8"/>
    <w:rsid w:val="43CB2F74"/>
    <w:rsid w:val="43D46D69"/>
    <w:rsid w:val="442B7132"/>
    <w:rsid w:val="44550E45"/>
    <w:rsid w:val="44971B57"/>
    <w:rsid w:val="44B93D3A"/>
    <w:rsid w:val="450F3328"/>
    <w:rsid w:val="453252CE"/>
    <w:rsid w:val="453A4CCF"/>
    <w:rsid w:val="455117A9"/>
    <w:rsid w:val="45763405"/>
    <w:rsid w:val="45D049C6"/>
    <w:rsid w:val="45E85D49"/>
    <w:rsid w:val="46002DD3"/>
    <w:rsid w:val="46293689"/>
    <w:rsid w:val="465A35BD"/>
    <w:rsid w:val="465A6BE7"/>
    <w:rsid w:val="465F0134"/>
    <w:rsid w:val="47064679"/>
    <w:rsid w:val="47113641"/>
    <w:rsid w:val="47842674"/>
    <w:rsid w:val="4795427E"/>
    <w:rsid w:val="47A17BED"/>
    <w:rsid w:val="47AC1DC2"/>
    <w:rsid w:val="47B9126E"/>
    <w:rsid w:val="48315726"/>
    <w:rsid w:val="4866371A"/>
    <w:rsid w:val="48A67C34"/>
    <w:rsid w:val="48B84099"/>
    <w:rsid w:val="48CE652C"/>
    <w:rsid w:val="48D345A0"/>
    <w:rsid w:val="492275A4"/>
    <w:rsid w:val="493354CD"/>
    <w:rsid w:val="49610F4C"/>
    <w:rsid w:val="49AD1724"/>
    <w:rsid w:val="49C9699B"/>
    <w:rsid w:val="49EB0AB4"/>
    <w:rsid w:val="4A6632DA"/>
    <w:rsid w:val="4A804742"/>
    <w:rsid w:val="4A82495E"/>
    <w:rsid w:val="4AA76A01"/>
    <w:rsid w:val="4AC11C68"/>
    <w:rsid w:val="4AEB2504"/>
    <w:rsid w:val="4AF60B8B"/>
    <w:rsid w:val="4B036369"/>
    <w:rsid w:val="4B506EDA"/>
    <w:rsid w:val="4B6649E4"/>
    <w:rsid w:val="4B6E2804"/>
    <w:rsid w:val="4B7A0F54"/>
    <w:rsid w:val="4C8A219B"/>
    <w:rsid w:val="4CBA35FB"/>
    <w:rsid w:val="4D0E714B"/>
    <w:rsid w:val="4D141FE0"/>
    <w:rsid w:val="4D97427D"/>
    <w:rsid w:val="4DAC05E6"/>
    <w:rsid w:val="4DDF5C24"/>
    <w:rsid w:val="4E0524B6"/>
    <w:rsid w:val="4E084FD4"/>
    <w:rsid w:val="4E1C4782"/>
    <w:rsid w:val="4E487C6D"/>
    <w:rsid w:val="4E5F5F0E"/>
    <w:rsid w:val="4E677615"/>
    <w:rsid w:val="4E9F1EC2"/>
    <w:rsid w:val="4E9F2FAC"/>
    <w:rsid w:val="4ED96A7E"/>
    <w:rsid w:val="4F361873"/>
    <w:rsid w:val="4F6C1A77"/>
    <w:rsid w:val="4FB22195"/>
    <w:rsid w:val="4FBB0B69"/>
    <w:rsid w:val="500372D1"/>
    <w:rsid w:val="50533F76"/>
    <w:rsid w:val="50955F2A"/>
    <w:rsid w:val="50A21035"/>
    <w:rsid w:val="50E028B4"/>
    <w:rsid w:val="50F11F70"/>
    <w:rsid w:val="51205BE3"/>
    <w:rsid w:val="51247002"/>
    <w:rsid w:val="513D33E2"/>
    <w:rsid w:val="51B11960"/>
    <w:rsid w:val="51E517A3"/>
    <w:rsid w:val="520B596A"/>
    <w:rsid w:val="527032EE"/>
    <w:rsid w:val="52A871D4"/>
    <w:rsid w:val="53AC1EF9"/>
    <w:rsid w:val="53DE35D5"/>
    <w:rsid w:val="54056FB1"/>
    <w:rsid w:val="543E122D"/>
    <w:rsid w:val="546E6143"/>
    <w:rsid w:val="54866DF9"/>
    <w:rsid w:val="54C44B46"/>
    <w:rsid w:val="54ED35AA"/>
    <w:rsid w:val="54FF6D7A"/>
    <w:rsid w:val="551D40DC"/>
    <w:rsid w:val="55320D2F"/>
    <w:rsid w:val="55482300"/>
    <w:rsid w:val="555C5838"/>
    <w:rsid w:val="55637EE4"/>
    <w:rsid w:val="55A04CAF"/>
    <w:rsid w:val="55A91966"/>
    <w:rsid w:val="55C217A6"/>
    <w:rsid w:val="561843C9"/>
    <w:rsid w:val="564E3947"/>
    <w:rsid w:val="564F25FE"/>
    <w:rsid w:val="565A665B"/>
    <w:rsid w:val="569F4299"/>
    <w:rsid w:val="56CE1E48"/>
    <w:rsid w:val="56FB1D20"/>
    <w:rsid w:val="570B10AD"/>
    <w:rsid w:val="5752573D"/>
    <w:rsid w:val="575628A5"/>
    <w:rsid w:val="579B5FEE"/>
    <w:rsid w:val="57D27E9C"/>
    <w:rsid w:val="57DD4F82"/>
    <w:rsid w:val="580E03AC"/>
    <w:rsid w:val="584E6149"/>
    <w:rsid w:val="58580246"/>
    <w:rsid w:val="587D598D"/>
    <w:rsid w:val="58BC090E"/>
    <w:rsid w:val="59154646"/>
    <w:rsid w:val="592E6609"/>
    <w:rsid w:val="59641C90"/>
    <w:rsid w:val="59D06384"/>
    <w:rsid w:val="59F6057D"/>
    <w:rsid w:val="5AA93841"/>
    <w:rsid w:val="5B1043AE"/>
    <w:rsid w:val="5B2B19EA"/>
    <w:rsid w:val="5B314FB8"/>
    <w:rsid w:val="5B5136E8"/>
    <w:rsid w:val="5C36729C"/>
    <w:rsid w:val="5C520E7C"/>
    <w:rsid w:val="5C5611D3"/>
    <w:rsid w:val="5C5B4901"/>
    <w:rsid w:val="5CC055C4"/>
    <w:rsid w:val="5CC07DD9"/>
    <w:rsid w:val="5CCE758F"/>
    <w:rsid w:val="5CD57B38"/>
    <w:rsid w:val="5D1A6C78"/>
    <w:rsid w:val="5D2017FC"/>
    <w:rsid w:val="5D7B1E4D"/>
    <w:rsid w:val="5DB047FD"/>
    <w:rsid w:val="5DC23869"/>
    <w:rsid w:val="5E532930"/>
    <w:rsid w:val="5E6D4E5F"/>
    <w:rsid w:val="5EC4310E"/>
    <w:rsid w:val="5EFA2F5D"/>
    <w:rsid w:val="5F1405A9"/>
    <w:rsid w:val="5F553450"/>
    <w:rsid w:val="5F697A43"/>
    <w:rsid w:val="5F8968E7"/>
    <w:rsid w:val="5FA8056B"/>
    <w:rsid w:val="60736014"/>
    <w:rsid w:val="609E54CA"/>
    <w:rsid w:val="61152866"/>
    <w:rsid w:val="617A1A94"/>
    <w:rsid w:val="6222226E"/>
    <w:rsid w:val="62352A8D"/>
    <w:rsid w:val="62A36DC8"/>
    <w:rsid w:val="63154001"/>
    <w:rsid w:val="63475D27"/>
    <w:rsid w:val="63F35B2D"/>
    <w:rsid w:val="64837769"/>
    <w:rsid w:val="64BD1D66"/>
    <w:rsid w:val="64E341A7"/>
    <w:rsid w:val="64EC3D37"/>
    <w:rsid w:val="64F61D79"/>
    <w:rsid w:val="65580870"/>
    <w:rsid w:val="65D8641E"/>
    <w:rsid w:val="6612135A"/>
    <w:rsid w:val="66364FB0"/>
    <w:rsid w:val="67236729"/>
    <w:rsid w:val="674D4335"/>
    <w:rsid w:val="67BA210E"/>
    <w:rsid w:val="67ED558F"/>
    <w:rsid w:val="680F4066"/>
    <w:rsid w:val="68120612"/>
    <w:rsid w:val="68246BFD"/>
    <w:rsid w:val="683C5CF5"/>
    <w:rsid w:val="687A05CB"/>
    <w:rsid w:val="688A35DC"/>
    <w:rsid w:val="68E929F2"/>
    <w:rsid w:val="68F41093"/>
    <w:rsid w:val="68FD194E"/>
    <w:rsid w:val="695E2B47"/>
    <w:rsid w:val="69721525"/>
    <w:rsid w:val="699E6EDB"/>
    <w:rsid w:val="6A0C5CC5"/>
    <w:rsid w:val="6A580B27"/>
    <w:rsid w:val="6A9C5931"/>
    <w:rsid w:val="6B293D9A"/>
    <w:rsid w:val="6B4231FD"/>
    <w:rsid w:val="6BC3064C"/>
    <w:rsid w:val="6BD20370"/>
    <w:rsid w:val="6BDC2A11"/>
    <w:rsid w:val="6BDD7D8E"/>
    <w:rsid w:val="6BE26BB3"/>
    <w:rsid w:val="6C4179F9"/>
    <w:rsid w:val="6D806684"/>
    <w:rsid w:val="6D924ED4"/>
    <w:rsid w:val="6E0A61CA"/>
    <w:rsid w:val="6E112BCB"/>
    <w:rsid w:val="6F3D6CAA"/>
    <w:rsid w:val="6F7E2977"/>
    <w:rsid w:val="6F944336"/>
    <w:rsid w:val="6F9E54E7"/>
    <w:rsid w:val="6FAD4F96"/>
    <w:rsid w:val="6FD5201B"/>
    <w:rsid w:val="6FF5292A"/>
    <w:rsid w:val="701B2694"/>
    <w:rsid w:val="702A28D7"/>
    <w:rsid w:val="716A0369"/>
    <w:rsid w:val="71EA4A14"/>
    <w:rsid w:val="72BB5F8B"/>
    <w:rsid w:val="72BB6655"/>
    <w:rsid w:val="72DF5BFA"/>
    <w:rsid w:val="72FA1A10"/>
    <w:rsid w:val="733D0B73"/>
    <w:rsid w:val="73662167"/>
    <w:rsid w:val="737F2B52"/>
    <w:rsid w:val="73952CB3"/>
    <w:rsid w:val="73BB3031"/>
    <w:rsid w:val="73E3255B"/>
    <w:rsid w:val="74B4133C"/>
    <w:rsid w:val="74D10E1E"/>
    <w:rsid w:val="74D80B53"/>
    <w:rsid w:val="75976C60"/>
    <w:rsid w:val="75982E13"/>
    <w:rsid w:val="75BF7803"/>
    <w:rsid w:val="75ED4C66"/>
    <w:rsid w:val="75F537A2"/>
    <w:rsid w:val="761A4816"/>
    <w:rsid w:val="761C0F14"/>
    <w:rsid w:val="76992564"/>
    <w:rsid w:val="769D3F76"/>
    <w:rsid w:val="770143E1"/>
    <w:rsid w:val="7707379D"/>
    <w:rsid w:val="774769D9"/>
    <w:rsid w:val="77802750"/>
    <w:rsid w:val="77B70EF4"/>
    <w:rsid w:val="77C60C9B"/>
    <w:rsid w:val="78343564"/>
    <w:rsid w:val="78D26A7E"/>
    <w:rsid w:val="790463BB"/>
    <w:rsid w:val="79115F2B"/>
    <w:rsid w:val="79517126"/>
    <w:rsid w:val="797D2FE0"/>
    <w:rsid w:val="79940026"/>
    <w:rsid w:val="79A13787"/>
    <w:rsid w:val="7A162C99"/>
    <w:rsid w:val="7A1D1ABC"/>
    <w:rsid w:val="7B18439F"/>
    <w:rsid w:val="7B406A51"/>
    <w:rsid w:val="7B776F27"/>
    <w:rsid w:val="7BAF10A7"/>
    <w:rsid w:val="7BD303AD"/>
    <w:rsid w:val="7BE81FC4"/>
    <w:rsid w:val="7C184A57"/>
    <w:rsid w:val="7C28078E"/>
    <w:rsid w:val="7C675C0A"/>
    <w:rsid w:val="7C6B587F"/>
    <w:rsid w:val="7C7C3179"/>
    <w:rsid w:val="7CF02627"/>
    <w:rsid w:val="7CFF4E1C"/>
    <w:rsid w:val="7D690930"/>
    <w:rsid w:val="7E23216E"/>
    <w:rsid w:val="7E636592"/>
    <w:rsid w:val="7E8E57B1"/>
    <w:rsid w:val="7E977CD1"/>
    <w:rsid w:val="7EAC1347"/>
    <w:rsid w:val="7F0D5859"/>
    <w:rsid w:val="7FA22F78"/>
    <w:rsid w:val="7FA27CF2"/>
    <w:rsid w:val="7FB201B2"/>
    <w:rsid w:val="7FB3011B"/>
    <w:rsid w:val="7FBA3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5">
    <w:name w:val="heading 3"/>
    <w:basedOn w:val="1"/>
    <w:next w:val="1"/>
    <w:qFormat/>
    <w:uiPriority w:val="0"/>
    <w:pPr>
      <w:keepNext/>
      <w:keepLines/>
      <w:spacing w:before="260" w:after="260" w:line="416" w:lineRule="atLeast"/>
      <w:textAlignment w:val="baseline"/>
      <w:outlineLvl w:val="2"/>
    </w:pPr>
    <w:rPr>
      <w:b/>
      <w:bCs/>
      <w:color w:val="000000"/>
      <w:sz w:val="32"/>
      <w:szCs w:val="32"/>
      <w:u w:color="000000"/>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正文格式"/>
    <w:basedOn w:val="1"/>
    <w:qFormat/>
    <w:uiPriority w:val="99"/>
    <w:pPr>
      <w:widowControl/>
      <w:adjustRightInd w:val="0"/>
      <w:snapToGrid w:val="0"/>
      <w:spacing w:line="400" w:lineRule="atLeast"/>
      <w:ind w:firstLine="482"/>
      <w:textAlignment w:val="baseline"/>
    </w:pPr>
    <w:rPr>
      <w:kern w:val="0"/>
      <w:sz w:val="24"/>
    </w:rPr>
  </w:style>
  <w:style w:type="paragraph" w:styleId="6">
    <w:name w:val="Normal Indent"/>
    <w:basedOn w:val="1"/>
    <w:next w:val="1"/>
    <w:qFormat/>
    <w:uiPriority w:val="0"/>
    <w:pPr>
      <w:adjustRightInd w:val="0"/>
      <w:spacing w:line="360" w:lineRule="atLeast"/>
      <w:ind w:firstLine="482"/>
      <w:textAlignment w:val="baseline"/>
    </w:pPr>
    <w:rPr>
      <w:kern w:val="0"/>
      <w:sz w:val="24"/>
      <w:szCs w:val="20"/>
    </w:rPr>
  </w:style>
  <w:style w:type="paragraph" w:styleId="7">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8">
    <w:name w:val="annotation text"/>
    <w:basedOn w:val="1"/>
    <w:qFormat/>
    <w:uiPriority w:val="0"/>
    <w:pPr>
      <w:jc w:val="left"/>
    </w:pPr>
  </w:style>
  <w:style w:type="paragraph" w:styleId="9">
    <w:name w:val="Body Text"/>
    <w:basedOn w:val="1"/>
    <w:next w:val="1"/>
    <w:link w:val="37"/>
    <w:qFormat/>
    <w:uiPriority w:val="0"/>
    <w:pPr>
      <w:spacing w:after="120"/>
    </w:pPr>
  </w:style>
  <w:style w:type="paragraph" w:styleId="10">
    <w:name w:val="Body Text Indent"/>
    <w:basedOn w:val="1"/>
    <w:next w:val="1"/>
    <w:qFormat/>
    <w:uiPriority w:val="0"/>
    <w:pPr>
      <w:spacing w:after="120"/>
      <w:ind w:left="200" w:leftChars="200"/>
    </w:pPr>
  </w:style>
  <w:style w:type="paragraph" w:styleId="11">
    <w:name w:val="toc 3"/>
    <w:basedOn w:val="1"/>
    <w:next w:val="1"/>
    <w:qFormat/>
    <w:uiPriority w:val="39"/>
    <w:pPr>
      <w:tabs>
        <w:tab w:val="right" w:leader="dot" w:pos="9288"/>
      </w:tabs>
      <w:ind w:left="400" w:leftChars="400"/>
    </w:pPr>
    <w:rPr>
      <w:rFonts w:ascii="宋体"/>
    </w:rPr>
  </w:style>
  <w:style w:type="paragraph" w:styleId="12">
    <w:name w:val="Plain Text"/>
    <w:basedOn w:val="1"/>
    <w:next w:val="13"/>
    <w:link w:val="38"/>
    <w:qFormat/>
    <w:uiPriority w:val="0"/>
    <w:rPr>
      <w:rFonts w:ascii="宋体"/>
      <w:color w:val="000000"/>
      <w:szCs w:val="20"/>
      <w:u w:color="000000"/>
    </w:rPr>
  </w:style>
  <w:style w:type="paragraph" w:styleId="13">
    <w:name w:val="index 7"/>
    <w:basedOn w:val="1"/>
    <w:next w:val="1"/>
    <w:qFormat/>
    <w:uiPriority w:val="0"/>
    <w:pPr>
      <w:ind w:left="1200" w:leftChars="1200"/>
    </w:pPr>
  </w:style>
  <w:style w:type="paragraph" w:styleId="14">
    <w:name w:val="Date"/>
    <w:basedOn w:val="1"/>
    <w:next w:val="1"/>
    <w:link w:val="39"/>
    <w:qFormat/>
    <w:uiPriority w:val="0"/>
    <w:rPr>
      <w:rFonts w:ascii="Arial" w:hAnsi="Arial" w:eastAsia="仿宋_GB2312"/>
      <w:color w:val="000000"/>
      <w:sz w:val="32"/>
      <w:szCs w:val="20"/>
      <w:u w:color="000000"/>
    </w:rPr>
  </w:style>
  <w:style w:type="paragraph" w:styleId="15">
    <w:name w:val="footer"/>
    <w:basedOn w:val="1"/>
    <w:link w:val="40"/>
    <w:qFormat/>
    <w:uiPriority w:val="0"/>
    <w:pPr>
      <w:tabs>
        <w:tab w:val="center" w:pos="4153"/>
        <w:tab w:val="right" w:pos="8306"/>
      </w:tabs>
      <w:snapToGrid w:val="0"/>
      <w:jc w:val="left"/>
    </w:pPr>
    <w:rPr>
      <w:sz w:val="18"/>
      <w:szCs w:val="18"/>
    </w:rPr>
  </w:style>
  <w:style w:type="paragraph" w:styleId="16">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footnote text"/>
    <w:basedOn w:val="1"/>
    <w:qFormat/>
    <w:uiPriority w:val="0"/>
    <w:pPr>
      <w:adjustRightInd w:val="0"/>
      <w:spacing w:line="312" w:lineRule="atLeast"/>
      <w:jc w:val="left"/>
      <w:textAlignment w:val="baseline"/>
    </w:pPr>
    <w:rPr>
      <w:kern w:val="0"/>
      <w:sz w:val="18"/>
      <w:szCs w:val="20"/>
    </w:rPr>
  </w:style>
  <w:style w:type="paragraph" w:styleId="19">
    <w:name w:val="toc 2"/>
    <w:basedOn w:val="1"/>
    <w:next w:val="1"/>
    <w:qFormat/>
    <w:uiPriority w:val="39"/>
    <w:pPr>
      <w:ind w:left="200" w:leftChars="200"/>
    </w:pPr>
  </w:style>
  <w:style w:type="paragraph" w:styleId="20">
    <w:name w:val="Body Text 2"/>
    <w:basedOn w:val="1"/>
    <w:qFormat/>
    <w:uiPriority w:val="0"/>
    <w:pPr>
      <w:tabs>
        <w:tab w:val="left" w:pos="0"/>
      </w:tabs>
      <w:spacing w:line="400" w:lineRule="atLeast"/>
    </w:pPr>
    <w:rPr>
      <w:rFonts w:ascii="Arial" w:hAnsi="Arial"/>
      <w:color w:val="000000"/>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2">
    <w:name w:val="Body Text First Indent"/>
    <w:basedOn w:val="9"/>
    <w:next w:val="9"/>
    <w:unhideWhenUsed/>
    <w:qFormat/>
    <w:uiPriority w:val="0"/>
    <w:pPr>
      <w:ind w:firstLine="420" w:firstLineChars="100"/>
    </w:pPr>
  </w:style>
  <w:style w:type="paragraph" w:styleId="23">
    <w:name w:val="Body Text First Indent 2"/>
    <w:basedOn w:val="10"/>
    <w:unhideWhenUsed/>
    <w:qFormat/>
    <w:uiPriority w:val="99"/>
    <w:pPr>
      <w:ind w:left="420" w:firstLine="420"/>
    </w:pPr>
    <w:rPr>
      <w:rFonts w:cs="宋体"/>
      <w:szCs w:val="21"/>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page number"/>
    <w:basedOn w:val="26"/>
    <w:qFormat/>
    <w:uiPriority w:val="0"/>
  </w:style>
  <w:style w:type="character" w:styleId="29">
    <w:name w:val="FollowedHyperlink"/>
    <w:qFormat/>
    <w:uiPriority w:val="0"/>
    <w:rPr>
      <w:color w:val="333333"/>
      <w:u w:val="none"/>
    </w:rPr>
  </w:style>
  <w:style w:type="character" w:styleId="30">
    <w:name w:val="Hyperlink"/>
    <w:basedOn w:val="26"/>
    <w:qFormat/>
    <w:uiPriority w:val="99"/>
    <w:rPr>
      <w:color w:val="0000FF"/>
      <w:u w:val="single"/>
    </w:rPr>
  </w:style>
  <w:style w:type="character" w:styleId="31">
    <w:name w:val="HTML Sample"/>
    <w:basedOn w:val="26"/>
    <w:qFormat/>
    <w:uiPriority w:val="0"/>
    <w:rPr>
      <w:rFonts w:ascii="Courier New" w:hAnsi="Courier New"/>
    </w:rPr>
  </w:style>
  <w:style w:type="paragraph" w:customStyle="1" w:styleId="32">
    <w:name w:val="标题 5（有编号）（绿盟科技）"/>
    <w:basedOn w:val="1"/>
    <w:next w:val="33"/>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3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Normal]"/>
    <w:qFormat/>
    <w:uiPriority w:val="0"/>
    <w:rPr>
      <w:rFonts w:ascii="宋体" w:hAnsi="宋体" w:eastAsia="宋体" w:cs="Times New Roman"/>
      <w:sz w:val="24"/>
      <w:szCs w:val="22"/>
      <w:lang w:val="zh-CN" w:eastAsia="zh-CN" w:bidi="ar-SA"/>
    </w:rPr>
  </w:style>
  <w:style w:type="paragraph" w:customStyle="1" w:styleId="36">
    <w:name w:val="_Style 2"/>
    <w:basedOn w:val="1"/>
    <w:qFormat/>
    <w:uiPriority w:val="0"/>
    <w:pPr>
      <w:ind w:firstLine="200" w:firstLineChars="200"/>
    </w:pPr>
    <w:rPr>
      <w:rFonts w:ascii="Calibri" w:hAnsi="Calibri"/>
      <w:sz w:val="28"/>
      <w:szCs w:val="22"/>
    </w:rPr>
  </w:style>
  <w:style w:type="character" w:customStyle="1" w:styleId="37">
    <w:name w:val="正文文本 Char"/>
    <w:link w:val="9"/>
    <w:semiHidden/>
    <w:qFormat/>
    <w:locked/>
    <w:uiPriority w:val="0"/>
    <w:rPr>
      <w:rFonts w:eastAsia="宋体"/>
      <w:kern w:val="2"/>
      <w:sz w:val="21"/>
      <w:szCs w:val="24"/>
      <w:lang w:val="en-US" w:eastAsia="zh-CN" w:bidi="ar-SA"/>
    </w:rPr>
  </w:style>
  <w:style w:type="character" w:customStyle="1" w:styleId="38">
    <w:name w:val="纯文本 Char"/>
    <w:link w:val="12"/>
    <w:qFormat/>
    <w:uiPriority w:val="0"/>
    <w:rPr>
      <w:rFonts w:ascii="宋体"/>
      <w:color w:val="000000"/>
      <w:kern w:val="2"/>
      <w:sz w:val="21"/>
      <w:u w:val="none" w:color="000000"/>
    </w:rPr>
  </w:style>
  <w:style w:type="character" w:customStyle="1" w:styleId="39">
    <w:name w:val="日期 Char"/>
    <w:link w:val="14"/>
    <w:qFormat/>
    <w:uiPriority w:val="0"/>
    <w:rPr>
      <w:rFonts w:ascii="Arial" w:hAnsi="Arial" w:eastAsia="仿宋_GB2312"/>
      <w:color w:val="000000"/>
      <w:kern w:val="2"/>
      <w:sz w:val="32"/>
      <w:u w:val="none" w:color="000000"/>
      <w:lang w:val="en-US" w:eastAsia="zh-CN" w:bidi="ar-SA"/>
    </w:rPr>
  </w:style>
  <w:style w:type="character" w:customStyle="1" w:styleId="40">
    <w:name w:val="页脚 Char"/>
    <w:link w:val="15"/>
    <w:qFormat/>
    <w:locked/>
    <w:uiPriority w:val="0"/>
    <w:rPr>
      <w:rFonts w:eastAsia="宋体"/>
      <w:kern w:val="2"/>
      <w:sz w:val="18"/>
      <w:szCs w:val="18"/>
      <w:lang w:val="en-US" w:eastAsia="zh-CN" w:bidi="ar-SA"/>
    </w:rPr>
  </w:style>
  <w:style w:type="character" w:customStyle="1" w:styleId="41">
    <w:name w:val="页眉 Char"/>
    <w:link w:val="16"/>
    <w:qFormat/>
    <w:locked/>
    <w:uiPriority w:val="0"/>
    <w:rPr>
      <w:rFonts w:eastAsia="宋体"/>
      <w:kern w:val="2"/>
      <w:sz w:val="18"/>
      <w:szCs w:val="18"/>
      <w:lang w:val="en-US" w:eastAsia="zh-CN" w:bidi="ar-SA"/>
    </w:rPr>
  </w:style>
  <w:style w:type="character" w:customStyle="1" w:styleId="42">
    <w:name w:val="Body Text Char"/>
    <w:qFormat/>
    <w:locked/>
    <w:uiPriority w:val="0"/>
    <w:rPr>
      <w:rFonts w:ascii="宋体" w:hAnsi="Arial"/>
      <w:sz w:val="28"/>
    </w:rPr>
  </w:style>
  <w:style w:type="paragraph" w:customStyle="1" w:styleId="43">
    <w:name w:val="p0"/>
    <w:basedOn w:val="1"/>
    <w:qFormat/>
    <w:uiPriority w:val="0"/>
    <w:pPr>
      <w:widowControl/>
      <w:jc w:val="left"/>
    </w:pPr>
    <w:rPr>
      <w:rFonts w:ascii="宋体" w:hAnsi="宋体" w:cs="宋体"/>
      <w:kern w:val="0"/>
      <w:sz w:val="18"/>
      <w:szCs w:val="18"/>
    </w:rPr>
  </w:style>
  <w:style w:type="paragraph" w:customStyle="1" w:styleId="44">
    <w:name w:val="Body 1"/>
    <w:qFormat/>
    <w:uiPriority w:val="0"/>
    <w:pPr>
      <w:outlineLvl w:val="0"/>
    </w:pPr>
    <w:rPr>
      <w:rFonts w:ascii="Helvetica" w:hAnsi="Helvetica" w:eastAsia="ヒラギノ角ゴ Pro W3" w:cs="Times New Roman"/>
      <w:color w:val="000000"/>
      <w:sz w:val="22"/>
      <w:lang w:val="en-US" w:eastAsia="zh-CN" w:bidi="ar-SA"/>
    </w:rPr>
  </w:style>
  <w:style w:type="paragraph" w:customStyle="1" w:styleId="45">
    <w:name w:val="WPS Plain"/>
    <w:qFormat/>
    <w:uiPriority w:val="0"/>
    <w:rPr>
      <w:rFonts w:ascii="Times New Roman" w:hAnsi="Times New Roman" w:eastAsia="宋体" w:cs="Times New Roman"/>
      <w:lang w:val="en-US" w:eastAsia="zh-CN" w:bidi="ar-SA"/>
    </w:rPr>
  </w:style>
  <w:style w:type="paragraph" w:styleId="46">
    <w:name w:val="List Paragraph"/>
    <w:basedOn w:val="1"/>
    <w:qFormat/>
    <w:uiPriority w:val="0"/>
    <w:pPr>
      <w:spacing w:line="360" w:lineRule="auto"/>
      <w:ind w:firstLine="420" w:firstLineChars="200"/>
    </w:pPr>
    <w:rPr>
      <w:rFonts w:ascii="宋体" w:hAnsi="宋体" w:cs="宋体"/>
      <w:sz w:val="24"/>
    </w:rPr>
  </w:style>
  <w:style w:type="paragraph" w:customStyle="1" w:styleId="47">
    <w:name w:val="Char"/>
    <w:basedOn w:val="1"/>
    <w:next w:val="1"/>
    <w:qFormat/>
    <w:uiPriority w:val="0"/>
    <w:pPr>
      <w:widowControl/>
      <w:spacing w:line="360" w:lineRule="auto"/>
      <w:jc w:val="left"/>
    </w:pPr>
    <w:rPr>
      <w:kern w:val="0"/>
      <w:szCs w:val="20"/>
      <w:lang w:eastAsia="en-US"/>
    </w:rPr>
  </w:style>
  <w:style w:type="paragraph" w:customStyle="1" w:styleId="48">
    <w:name w:val="正文1"/>
    <w:qFormat/>
    <w:uiPriority w:val="0"/>
    <w:rPr>
      <w:rFonts w:ascii="Calibri" w:hAnsi="Calibri" w:eastAsia="Times New Roman" w:cs="Times New Roman"/>
      <w:sz w:val="24"/>
      <w:szCs w:val="24"/>
      <w:lang w:val="en-US" w:eastAsia="zh-CN" w:bidi="ar-SA"/>
    </w:rPr>
  </w:style>
  <w:style w:type="paragraph" w:customStyle="1" w:styleId="49">
    <w:name w:val="样式 左侧:  0 厘米 悬挂缩进: 2.5 字符"/>
    <w:basedOn w:val="1"/>
    <w:qFormat/>
    <w:uiPriority w:val="0"/>
    <w:pPr>
      <w:ind w:left="525" w:hanging="525" w:hangingChars="250"/>
    </w:pPr>
    <w:rPr>
      <w:szCs w:val="20"/>
    </w:rPr>
  </w:style>
  <w:style w:type="paragraph" w:customStyle="1" w:styleId="50">
    <w:name w:val="图例"/>
    <w:basedOn w:val="1"/>
    <w:qFormat/>
    <w:uiPriority w:val="0"/>
    <w:pPr>
      <w:spacing w:before="120" w:after="120" w:line="360" w:lineRule="auto"/>
      <w:jc w:val="center"/>
    </w:pPr>
    <w:rPr>
      <w:rFonts w:eastAsia="仿宋_GB2312"/>
      <w:b/>
      <w:sz w:val="24"/>
    </w:rPr>
  </w:style>
  <w:style w:type="paragraph" w:customStyle="1" w:styleId="51">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52">
    <w:name w:val="black1"/>
    <w:basedOn w:val="1"/>
    <w:qFormat/>
    <w:uiPriority w:val="0"/>
    <w:pPr>
      <w:widowControl/>
      <w:spacing w:before="100" w:beforeAutospacing="1" w:after="100" w:afterAutospacing="1" w:line="280" w:lineRule="atLeast"/>
      <w:jc w:val="left"/>
    </w:pPr>
    <w:rPr>
      <w:rFonts w:ascii="_x000B__x000C_" w:hAnsi="_x000B__x000C_"/>
      <w:color w:val="000000"/>
      <w:kern w:val="0"/>
      <w:sz w:val="18"/>
      <w:szCs w:val="18"/>
    </w:rPr>
  </w:style>
  <w:style w:type="paragraph" w:customStyle="1" w:styleId="53">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54">
    <w:name w:val="列出段落1"/>
    <w:basedOn w:val="1"/>
    <w:qFormat/>
    <w:uiPriority w:val="0"/>
    <w:pPr>
      <w:ind w:firstLine="420" w:firstLineChars="200"/>
    </w:pPr>
    <w:rPr>
      <w:rFonts w:ascii="Calibri" w:hAnsi="Calibri"/>
      <w:szCs w:val="22"/>
    </w:rPr>
  </w:style>
  <w:style w:type="paragraph" w:customStyle="1" w:styleId="55">
    <w:name w:val="Table Paragraph"/>
    <w:basedOn w:val="1"/>
    <w:qFormat/>
    <w:uiPriority w:val="1"/>
  </w:style>
  <w:style w:type="character" w:customStyle="1" w:styleId="56">
    <w:name w:val="font21"/>
    <w:basedOn w:val="26"/>
    <w:qFormat/>
    <w:uiPriority w:val="0"/>
    <w:rPr>
      <w:rFonts w:hint="eastAsia" w:ascii="宋体" w:hAnsi="宋体" w:eastAsia="宋体" w:cs="宋体"/>
      <w:color w:val="000000"/>
      <w:sz w:val="20"/>
      <w:szCs w:val="20"/>
      <w:u w:val="none"/>
    </w:rPr>
  </w:style>
  <w:style w:type="character" w:customStyle="1" w:styleId="57">
    <w:name w:val="font31"/>
    <w:basedOn w:val="26"/>
    <w:qFormat/>
    <w:uiPriority w:val="0"/>
    <w:rPr>
      <w:rFonts w:hint="eastAsia" w:ascii="宋体" w:hAnsi="宋体" w:eastAsia="宋体" w:cs="宋体"/>
      <w:color w:val="FF0000"/>
      <w:sz w:val="20"/>
      <w:szCs w:val="20"/>
      <w:u w:val="none"/>
    </w:rPr>
  </w:style>
  <w:style w:type="character" w:customStyle="1" w:styleId="58">
    <w:name w:val="font01"/>
    <w:basedOn w:val="26"/>
    <w:qFormat/>
    <w:uiPriority w:val="0"/>
    <w:rPr>
      <w:rFonts w:ascii="宋体" w:hAnsi="宋体" w:eastAsia="宋体" w:cs="宋体"/>
      <w:color w:val="000000"/>
      <w:sz w:val="20"/>
      <w:szCs w:val="20"/>
      <w:u w:val="none"/>
    </w:rPr>
  </w:style>
  <w:style w:type="character" w:customStyle="1" w:styleId="59">
    <w:name w:val="标题 1 Char"/>
    <w:basedOn w:val="26"/>
    <w:link w:val="3"/>
    <w:qFormat/>
    <w:uiPriority w:val="0"/>
    <w:rPr>
      <w:b/>
      <w:bCs/>
      <w:kern w:val="44"/>
      <w:sz w:val="44"/>
      <w:szCs w:val="44"/>
    </w:rPr>
  </w:style>
  <w:style w:type="paragraph" w:customStyle="1" w:styleId="60">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Times New Roman"/>
      <w:color w:val="000000"/>
      <w:kern w:val="2"/>
      <w:sz w:val="21"/>
      <w:szCs w:val="21"/>
      <w:lang w:val="en-US" w:eastAsia="zh-CN" w:bidi="ar-SA"/>
    </w:rPr>
  </w:style>
  <w:style w:type="paragraph" w:customStyle="1" w:styleId="61">
    <w:name w:val="BodyText"/>
    <w:basedOn w:val="1"/>
    <w:next w:val="1"/>
    <w:qFormat/>
    <w:uiPriority w:val="0"/>
    <w:pPr>
      <w:tabs>
        <w:tab w:val="left" w:pos="780"/>
      </w:tabs>
    </w:pPr>
    <w:rPr>
      <w:rFonts w:ascii="黑体" w:eastAsia="黑体"/>
      <w:sz w:val="22"/>
    </w:rPr>
  </w:style>
  <w:style w:type="paragraph" w:customStyle="1" w:styleId="62">
    <w:name w:val="Heading #2|1"/>
    <w:basedOn w:val="1"/>
    <w:qFormat/>
    <w:uiPriority w:val="0"/>
    <w:pPr>
      <w:spacing w:before="60" w:after="270"/>
      <w:jc w:val="center"/>
      <w:outlineLvl w:val="1"/>
    </w:pPr>
    <w:rPr>
      <w:rFonts w:ascii="宋体" w:hAnsi="宋体" w:eastAsia="宋体" w:cs="宋体"/>
      <w:sz w:val="36"/>
      <w:szCs w:val="36"/>
      <w:lang w:val="zh-TW" w:eastAsia="zh-TW" w:bidi="zh-TW"/>
    </w:rPr>
  </w:style>
  <w:style w:type="paragraph" w:customStyle="1" w:styleId="63">
    <w:name w:val="Table caption|1"/>
    <w:basedOn w:val="1"/>
    <w:qFormat/>
    <w:uiPriority w:val="0"/>
    <w:rPr>
      <w:rFonts w:ascii="宋体" w:hAnsi="宋体" w:eastAsia="宋体" w:cs="宋体"/>
      <w:sz w:val="22"/>
      <w:szCs w:val="22"/>
      <w:lang w:val="zh-TW" w:eastAsia="zh-TW" w:bidi="zh-TW"/>
    </w:rPr>
  </w:style>
  <w:style w:type="paragraph" w:customStyle="1" w:styleId="64">
    <w:name w:val="Other|1"/>
    <w:basedOn w:val="1"/>
    <w:qFormat/>
    <w:uiPriority w:val="0"/>
    <w:pPr>
      <w:spacing w:line="454" w:lineRule="auto"/>
      <w:ind w:firstLine="140"/>
    </w:pPr>
    <w:rPr>
      <w:rFonts w:ascii="宋体" w:hAnsi="宋体" w:eastAsia="宋体" w:cs="宋体"/>
      <w:sz w:val="22"/>
      <w:szCs w:val="22"/>
      <w:lang w:val="zh-TW" w:eastAsia="zh-TW" w:bidi="zh-TW"/>
    </w:rPr>
  </w:style>
  <w:style w:type="paragraph" w:customStyle="1" w:styleId="65">
    <w:name w:val="Body text|1"/>
    <w:basedOn w:val="1"/>
    <w:qFormat/>
    <w:uiPriority w:val="0"/>
    <w:pPr>
      <w:spacing w:line="454" w:lineRule="auto"/>
      <w:ind w:firstLine="140"/>
    </w:pPr>
    <w:rPr>
      <w:rFonts w:ascii="宋体" w:hAnsi="宋体" w:eastAsia="宋体" w:cs="宋体"/>
      <w:sz w:val="22"/>
      <w:szCs w:val="22"/>
      <w:lang w:val="zh-TW" w:eastAsia="zh-TW" w:bidi="zh-TW"/>
    </w:rPr>
  </w:style>
  <w:style w:type="paragraph" w:customStyle="1" w:styleId="66">
    <w:name w:val="Body text|2"/>
    <w:basedOn w:val="1"/>
    <w:qFormat/>
    <w:uiPriority w:val="0"/>
    <w:pPr>
      <w:spacing w:after="260"/>
      <w:ind w:firstLine="14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MSCD龙帝国技术社区 Htpp://Bbs.Mscode.Cc</Company>
  <Pages>78</Pages>
  <Words>47152</Words>
  <Characters>50158</Characters>
  <Lines>418</Lines>
  <Paragraphs>117</Paragraphs>
  <TotalTime>50</TotalTime>
  <ScaleCrop>false</ScaleCrop>
  <LinksUpToDate>false</LinksUpToDate>
  <CharactersWithSpaces>53892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2014-07-12T00:56:00Z</dcterms:created>
  <dc:creator>陈倩倩</dc:creator>
  <cp:lastModifiedBy>Administrator</cp:lastModifiedBy>
  <cp:lastPrinted>2023-09-07T08:39:00Z</cp:lastPrinted>
  <dcterms:modified xsi:type="dcterms:W3CDTF">2023-09-25T08:40:23Z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63BF5A2236404AF882894C2165F19389_13</vt:lpwstr>
  </property>
</Properties>
</file>