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Style w:val="29"/>
          <w:rFonts w:hint="default" w:ascii="宋体" w:hAnsi="宋体" w:eastAsia="宋体" w:cs="宋体"/>
          <w:kern w:val="36"/>
          <w:sz w:val="48"/>
          <w:szCs w:val="48"/>
          <w:highlight w:val="none"/>
          <w:lang w:eastAsia="zh-CN"/>
        </w:rPr>
      </w:pPr>
      <w:r>
        <w:rPr>
          <w:rFonts w:hint="default" w:cs="宋体"/>
          <w:b/>
          <w:bCs/>
          <w:kern w:val="2"/>
          <w:sz w:val="44"/>
          <w:szCs w:val="36"/>
          <w:highlight w:val="none"/>
          <w:lang w:eastAsia="zh-CN"/>
        </w:rPr>
        <w:t>乌鲁木齐市达坂城区财政局惠民惠农财政补贴资金发放委托银行服务项目</w:t>
      </w:r>
    </w:p>
    <w:p>
      <w:pPr>
        <w:pageBreakBefore w:val="0"/>
        <w:kinsoku/>
        <w:wordWrap/>
        <w:overflowPunct/>
        <w:topLinePunct w:val="0"/>
        <w:bidi w:val="0"/>
        <w:snapToGrid w:val="0"/>
        <w:spacing w:beforeAutospacing="0" w:afterAutospacing="0" w:line="360" w:lineRule="auto"/>
        <w:ind w:left="0" w:leftChars="0" w:right="0" w:rightChars="0"/>
        <w:jc w:val="center"/>
        <w:rPr>
          <w:rStyle w:val="29"/>
          <w:rFonts w:hint="eastAsia" w:ascii="宋体" w:hAnsi="宋体" w:eastAsia="宋体" w:cs="宋体"/>
          <w:kern w:val="36"/>
          <w:sz w:val="48"/>
          <w:szCs w:val="48"/>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Style w:val="29"/>
          <w:rFonts w:hint="eastAsia" w:ascii="宋体" w:hAnsi="宋体" w:eastAsia="宋体" w:cs="宋体"/>
          <w:kern w:val="36"/>
          <w:sz w:val="48"/>
          <w:szCs w:val="48"/>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Style w:val="29"/>
          <w:rFonts w:hint="eastAsia" w:ascii="宋体" w:hAnsi="宋体" w:eastAsia="宋体" w:cs="宋体"/>
          <w:kern w:val="36"/>
          <w:sz w:val="48"/>
          <w:szCs w:val="48"/>
          <w:highlight w:val="none"/>
          <w:lang w:eastAsia="zh-CN"/>
        </w:rPr>
      </w:pPr>
      <w:r>
        <w:rPr>
          <w:rStyle w:val="29"/>
          <w:rFonts w:hint="eastAsia" w:ascii="宋体" w:hAnsi="宋体" w:eastAsia="宋体" w:cs="宋体"/>
          <w:kern w:val="36"/>
          <w:sz w:val="48"/>
          <w:szCs w:val="48"/>
          <w:highlight w:val="none"/>
          <w:lang w:eastAsia="zh-CN"/>
        </w:rPr>
        <w:t>竞争性磋商文件</w:t>
      </w:r>
    </w:p>
    <w:p>
      <w:pPr>
        <w:pStyle w:val="35"/>
        <w:pageBreakBefore w:val="0"/>
        <w:kinsoku/>
        <w:wordWrap/>
        <w:overflowPunct/>
        <w:topLinePunct w:val="0"/>
        <w:bidi w:val="0"/>
        <w:spacing w:beforeAutospacing="0" w:afterAutospacing="0" w:line="360" w:lineRule="auto"/>
        <w:ind w:left="0" w:leftChars="0" w:right="0" w:rightChars="0"/>
        <w:rPr>
          <w:rStyle w:val="29"/>
          <w:rFonts w:hint="default" w:ascii="宋体" w:hAnsi="宋体" w:eastAsia="宋体" w:cs="宋体"/>
          <w:highlight w:val="none"/>
          <w:lang w:val="en-US" w:eastAsia="zh-CN"/>
        </w:rPr>
      </w:pPr>
      <w:r>
        <w:rPr>
          <w:rStyle w:val="29"/>
          <w:rFonts w:hint="eastAsia" w:ascii="宋体" w:hAnsi="宋体" w:eastAsia="宋体" w:cs="宋体"/>
          <w:b w:val="0"/>
          <w:bCs w:val="0"/>
          <w:kern w:val="2"/>
          <w:sz w:val="24"/>
          <w:szCs w:val="24"/>
          <w:highlight w:val="none"/>
          <w:lang w:eastAsia="zh-CN"/>
        </w:rPr>
        <w:t>项目编号：</w:t>
      </w:r>
      <w:bookmarkStart w:id="11" w:name="_GoBack"/>
      <w:r>
        <w:rPr>
          <w:rStyle w:val="29"/>
          <w:rFonts w:hint="eastAsia" w:ascii="宋体" w:hAnsi="宋体" w:eastAsia="宋体" w:cs="宋体"/>
          <w:b w:val="0"/>
          <w:bCs w:val="0"/>
          <w:kern w:val="2"/>
          <w:sz w:val="24"/>
          <w:szCs w:val="24"/>
          <w:highlight w:val="none"/>
          <w:lang w:eastAsia="zh-CN"/>
        </w:rPr>
        <w:t>202</w:t>
      </w:r>
      <w:r>
        <w:rPr>
          <w:rStyle w:val="29"/>
          <w:rFonts w:hint="eastAsia" w:ascii="宋体" w:hAnsi="宋体" w:eastAsia="宋体" w:cs="宋体"/>
          <w:b w:val="0"/>
          <w:bCs w:val="0"/>
          <w:kern w:val="2"/>
          <w:sz w:val="24"/>
          <w:szCs w:val="24"/>
          <w:highlight w:val="none"/>
          <w:lang w:val="en-US" w:eastAsia="zh-CN"/>
        </w:rPr>
        <w:t>3</w:t>
      </w:r>
      <w:bookmarkEnd w:id="11"/>
      <w:r>
        <w:rPr>
          <w:rStyle w:val="29"/>
          <w:rFonts w:hint="eastAsia" w:ascii="宋体" w:hAnsi="宋体" w:eastAsia="宋体" w:cs="宋体"/>
          <w:b w:val="0"/>
          <w:bCs w:val="0"/>
          <w:kern w:val="2"/>
          <w:sz w:val="24"/>
          <w:szCs w:val="24"/>
          <w:highlight w:val="none"/>
          <w:lang w:eastAsia="zh-CN"/>
        </w:rPr>
        <w:t>(JKJ)</w:t>
      </w:r>
      <w:r>
        <w:rPr>
          <w:rStyle w:val="29"/>
          <w:rFonts w:hint="eastAsia" w:cs="宋体"/>
          <w:b w:val="0"/>
          <w:bCs w:val="0"/>
          <w:kern w:val="2"/>
          <w:sz w:val="24"/>
          <w:szCs w:val="24"/>
          <w:highlight w:val="none"/>
          <w:lang w:val="en-US" w:eastAsia="zh-CN"/>
        </w:rPr>
        <w:t>211</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36"/>
          <w:highlight w:val="none"/>
          <w:lang w:eastAsia="zh-CN"/>
        </w:r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36"/>
          <w:highlight w:val="none"/>
          <w:lang w:eastAsia="zh-CN"/>
        </w:r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36"/>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招标人：</w:t>
      </w:r>
      <w:r>
        <w:rPr>
          <w:rStyle w:val="29"/>
          <w:rFonts w:hint="eastAsia" w:cs="宋体"/>
          <w:sz w:val="24"/>
          <w:szCs w:val="24"/>
          <w:highlight w:val="none"/>
          <w:lang w:eastAsia="zh-CN"/>
        </w:rPr>
        <w:t>乌鲁木齐市达坂城区财政局</w:t>
      </w:r>
    </w:p>
    <w:p>
      <w:pPr>
        <w:pageBreakBefore w:val="0"/>
        <w:kinsoku/>
        <w:wordWrap/>
        <w:overflowPunct/>
        <w:topLinePunct w:val="0"/>
        <w:bidi w:val="0"/>
        <w:snapToGrid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联系人:</w:t>
      </w:r>
      <w:r>
        <w:rPr>
          <w:rStyle w:val="29"/>
          <w:rFonts w:hint="eastAsia" w:cs="宋体"/>
          <w:sz w:val="24"/>
          <w:szCs w:val="24"/>
          <w:highlight w:val="none"/>
          <w:lang w:eastAsia="zh-CN"/>
        </w:rPr>
        <w:t>王梦楠</w:t>
      </w:r>
    </w:p>
    <w:p>
      <w:pPr>
        <w:pageBreakBefore w:val="0"/>
        <w:kinsoku/>
        <w:wordWrap/>
        <w:overflowPunct/>
        <w:topLinePunct w:val="0"/>
        <w:bidi w:val="0"/>
        <w:snapToGrid w:val="0"/>
        <w:spacing w:beforeAutospacing="0" w:afterAutospacing="0" w:line="360" w:lineRule="auto"/>
        <w:ind w:left="0" w:leftChars="0" w:right="0" w:rightChars="0"/>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eastAsia="zh-CN"/>
        </w:rPr>
        <w:t>电话：</w:t>
      </w:r>
      <w:r>
        <w:rPr>
          <w:rStyle w:val="29"/>
          <w:rFonts w:hint="eastAsia" w:cs="宋体"/>
          <w:sz w:val="24"/>
          <w:szCs w:val="24"/>
          <w:highlight w:val="none"/>
          <w:lang w:val="en-US" w:eastAsia="zh-CN"/>
        </w:rPr>
        <w:t>0991-5919089</w:t>
      </w:r>
    </w:p>
    <w:p>
      <w:pPr>
        <w:pageBreakBefore w:val="0"/>
        <w:kinsoku/>
        <w:wordWrap/>
        <w:overflowPunct/>
        <w:topLinePunct w:val="0"/>
        <w:bidi w:val="0"/>
        <w:snapToGrid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代理机构：新疆君凯杰工程项目管理有限公司</w:t>
      </w:r>
    </w:p>
    <w:p>
      <w:pPr>
        <w:pageBreakBefore w:val="0"/>
        <w:kinsoku/>
        <w:wordWrap/>
        <w:overflowPunct/>
        <w:topLinePunct w:val="0"/>
        <w:bidi w:val="0"/>
        <w:snapToGrid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联系人：</w:t>
      </w:r>
      <w:r>
        <w:rPr>
          <w:rStyle w:val="29"/>
          <w:rFonts w:hint="eastAsia" w:cs="宋体"/>
          <w:sz w:val="24"/>
          <w:szCs w:val="24"/>
          <w:highlight w:val="none"/>
          <w:lang w:eastAsia="zh-CN"/>
        </w:rPr>
        <w:t>陈晨</w:t>
      </w:r>
      <w:r>
        <w:rPr>
          <w:rStyle w:val="29"/>
          <w:rFonts w:hint="eastAsia" w:ascii="宋体" w:hAnsi="宋体" w:eastAsia="宋体" w:cs="宋体"/>
          <w:sz w:val="24"/>
          <w:szCs w:val="24"/>
          <w:highlight w:val="none"/>
          <w:lang w:eastAsia="zh-CN"/>
        </w:rPr>
        <w:tab/>
      </w:r>
    </w:p>
    <w:p>
      <w:pPr>
        <w:pageBreakBefore w:val="0"/>
        <w:kinsoku/>
        <w:wordWrap/>
        <w:overflowPunct/>
        <w:topLinePunct w:val="0"/>
        <w:bidi w:val="0"/>
        <w:snapToGrid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联系电话：</w:t>
      </w:r>
      <w:r>
        <w:rPr>
          <w:rStyle w:val="29"/>
          <w:rFonts w:hint="eastAsia" w:cs="宋体"/>
          <w:sz w:val="24"/>
          <w:szCs w:val="24"/>
          <w:highlight w:val="none"/>
          <w:lang w:eastAsia="zh-CN"/>
        </w:rPr>
        <w:t>16699887301</w:t>
      </w:r>
    </w:p>
    <w:p>
      <w:pPr>
        <w:pageBreakBefore w:val="0"/>
        <w:kinsoku/>
        <w:wordWrap/>
        <w:overflowPunct/>
        <w:topLinePunct w:val="0"/>
        <w:bidi w:val="0"/>
        <w:snapToGrid w:val="0"/>
        <w:spacing w:beforeAutospacing="0" w:afterAutospacing="0" w:line="360" w:lineRule="auto"/>
        <w:ind w:left="0" w:leftChars="0" w:right="0" w:rightChars="0"/>
        <w:jc w:val="center"/>
        <w:rPr>
          <w:rStyle w:val="29"/>
          <w:rFonts w:hint="eastAsia" w:ascii="宋体" w:hAnsi="宋体" w:eastAsia="宋体" w:cs="宋体"/>
          <w:sz w:val="24"/>
          <w:szCs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二〇二三年</w:t>
      </w:r>
      <w:r>
        <w:rPr>
          <w:rStyle w:val="29"/>
          <w:rFonts w:hint="eastAsia" w:cs="宋体"/>
          <w:sz w:val="24"/>
          <w:szCs w:val="24"/>
          <w:highlight w:val="none"/>
          <w:lang w:val="en-US" w:eastAsia="zh-CN"/>
        </w:rPr>
        <w:t>八</w:t>
      </w:r>
      <w:r>
        <w:rPr>
          <w:rStyle w:val="29"/>
          <w:rFonts w:hint="eastAsia" w:ascii="宋体" w:hAnsi="宋体" w:eastAsia="宋体" w:cs="宋体"/>
          <w:sz w:val="24"/>
          <w:szCs w:val="24"/>
          <w:highlight w:val="none"/>
          <w:lang w:eastAsia="zh-CN"/>
        </w:rPr>
        <w:t>月</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sz w:val="44"/>
          <w:highlight w:val="none"/>
          <w:lang w:eastAsia="zh-CN"/>
        </w:rPr>
        <w:sectPr>
          <w:footerReference r:id="rId3" w:type="default"/>
          <w:pgSz w:w="11910" w:h="16840"/>
          <w:pgMar w:top="1400" w:right="1220" w:bottom="980" w:left="1640" w:header="720" w:footer="796" w:gutter="0"/>
          <w:pgNumType w:start="1"/>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sz w:val="20"/>
          <w:highlight w:val="none"/>
          <w:lang w:eastAsia="zh-CN"/>
        </w:r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6"/>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52"/>
          <w:highlight w:val="none"/>
          <w:lang w:eastAsia="zh-CN"/>
        </w:rPr>
      </w:pPr>
      <w:r>
        <w:rPr>
          <w:rStyle w:val="29"/>
          <w:rFonts w:hint="eastAsia" w:ascii="宋体" w:hAnsi="宋体" w:eastAsia="宋体" w:cs="宋体"/>
          <w:b/>
          <w:spacing w:val="50"/>
          <w:sz w:val="52"/>
          <w:highlight w:val="none"/>
          <w:lang w:eastAsia="zh-CN"/>
        </w:rPr>
        <w:t>目录</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44"/>
          <w:highlight w:val="none"/>
          <w:lang w:eastAsia="zh-CN"/>
        </w:r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第一部分竞争性磋商公告</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第二部分投标人须知</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第一章投标人须知</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第二章竞争性磋商文件的编写</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第三章响应文件的编写</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第四章响应文件的递交</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第五章开标</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第六章评标</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第七章授予合同</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第八章其他</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第九章质疑的提出及处理</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第三部分采购内容及参数要求</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b/>
          <w:sz w:val="24"/>
          <w:szCs w:val="24"/>
          <w:highlight w:val="none"/>
          <w:lang w:eastAsia="zh-CN"/>
        </w:rPr>
        <w:t>第四部分合同条款</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第五部分附件</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响应文件编制顺序</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其他有关附件格式范本</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8"/>
          <w:highlight w:val="none"/>
          <w:lang w:eastAsia="zh-CN"/>
        </w:r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8"/>
          <w:highlight w:val="none"/>
          <w:lang w:eastAsia="zh-CN"/>
        </w:r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8"/>
          <w:highlight w:val="none"/>
          <w:lang w:eastAsia="zh-CN"/>
        </w:r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8"/>
          <w:highlight w:val="none"/>
          <w:lang w:eastAsia="zh-CN"/>
        </w:r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8"/>
          <w:highlight w:val="none"/>
          <w:lang w:eastAsia="zh-CN"/>
        </w:r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8"/>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0"/>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sz w:val="30"/>
          <w:highlight w:val="none"/>
          <w:lang w:eastAsia="zh-CN"/>
        </w:rPr>
        <w:sectPr>
          <w:footerReference r:id="rId4" w:type="default"/>
          <w:pgSz w:w="11910" w:h="16840"/>
          <w:pgMar w:top="780" w:right="1680" w:bottom="980" w:left="1680" w:header="0" w:footer="796" w:gutter="0"/>
          <w:cols w:space="720" w:num="1"/>
        </w:sectPr>
      </w:pP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8"/>
          <w:highlight w:val="none"/>
          <w:lang w:eastAsia="zh-CN"/>
        </w:rPr>
      </w:pPr>
      <w:r>
        <w:rPr>
          <w:rFonts w:hint="default" w:cs="宋体"/>
          <w:b/>
          <w:bCs/>
          <w:sz w:val="28"/>
          <w:highlight w:val="none"/>
          <w:lang w:eastAsia="zh-CN"/>
        </w:rPr>
        <w:t>乌鲁木齐市达坂城区财政局惠民惠农财政补贴资金发放委托银行服务项目</w:t>
      </w:r>
      <w:r>
        <w:rPr>
          <w:rFonts w:hint="eastAsia" w:ascii="宋体" w:hAnsi="宋体" w:eastAsia="宋体" w:cs="宋体"/>
          <w:b/>
          <w:bCs/>
          <w:sz w:val="28"/>
          <w:highlight w:val="none"/>
          <w:lang w:eastAsia="zh-CN"/>
        </w:rPr>
        <w:t>竞争性磋商公告</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8"/>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lang w:eastAsia="zh-CN"/>
        </w:rPr>
      </w:pP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项目概况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default" w:cs="宋体"/>
          <w:bCs/>
          <w:sz w:val="24"/>
          <w:szCs w:val="24"/>
          <w:highlight w:val="none"/>
          <w:u w:val="single"/>
          <w:lang w:eastAsia="zh-CN"/>
        </w:rPr>
        <w:t>乌鲁木齐市达坂城区财政局惠民惠农财政补贴资金发放委托银行服务项目</w:t>
      </w:r>
      <w:r>
        <w:rPr>
          <w:rFonts w:hint="eastAsia" w:ascii="宋体" w:hAnsi="宋体" w:eastAsia="宋体" w:cs="宋体"/>
          <w:sz w:val="24"/>
          <w:szCs w:val="24"/>
          <w:highlight w:val="none"/>
          <w:lang w:eastAsia="zh-CN"/>
        </w:rPr>
        <w:t>的潜在供</w:t>
      </w:r>
      <w:r>
        <w:rPr>
          <w:rFonts w:hint="eastAsia" w:ascii="宋体" w:hAnsi="宋体" w:eastAsia="宋体" w:cs="宋体"/>
          <w:color w:val="000000" w:themeColor="text1"/>
          <w:sz w:val="24"/>
          <w:szCs w:val="24"/>
          <w:highlight w:val="none"/>
          <w:lang w:eastAsia="zh-CN"/>
          <w14:textFill>
            <w14:solidFill>
              <w14:schemeClr w14:val="tx1"/>
            </w14:solidFill>
          </w14:textFill>
        </w:rPr>
        <w:t>应商应在登录政采云平台https://www.zcygov.cn/自行获取采购文件；并于202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10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16:00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（北京时间）前提交响应文件。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一、项目基本情况</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项目编号：</w:t>
      </w:r>
      <w:r>
        <w:rPr>
          <w:rStyle w:val="29"/>
          <w:rFonts w:hint="eastAsia" w:ascii="宋体" w:hAnsi="宋体" w:eastAsia="宋体" w:cs="宋体"/>
          <w:b w:val="0"/>
          <w:bCs w:val="0"/>
          <w:kern w:val="2"/>
          <w:sz w:val="24"/>
          <w:szCs w:val="24"/>
          <w:highlight w:val="none"/>
          <w:lang w:eastAsia="zh-CN"/>
        </w:rPr>
        <w:t>202</w:t>
      </w:r>
      <w:r>
        <w:rPr>
          <w:rStyle w:val="29"/>
          <w:rFonts w:hint="eastAsia" w:ascii="宋体" w:hAnsi="宋体" w:eastAsia="宋体" w:cs="宋体"/>
          <w:b w:val="0"/>
          <w:bCs w:val="0"/>
          <w:kern w:val="2"/>
          <w:sz w:val="24"/>
          <w:szCs w:val="24"/>
          <w:highlight w:val="none"/>
          <w:lang w:val="en-US" w:eastAsia="zh-CN"/>
        </w:rPr>
        <w:t>3</w:t>
      </w:r>
      <w:r>
        <w:rPr>
          <w:rStyle w:val="29"/>
          <w:rFonts w:hint="eastAsia" w:ascii="宋体" w:hAnsi="宋体" w:eastAsia="宋体" w:cs="宋体"/>
          <w:b w:val="0"/>
          <w:bCs w:val="0"/>
          <w:kern w:val="2"/>
          <w:sz w:val="24"/>
          <w:szCs w:val="24"/>
          <w:highlight w:val="none"/>
          <w:lang w:eastAsia="zh-CN"/>
        </w:rPr>
        <w:t>(JKJ)</w:t>
      </w:r>
      <w:r>
        <w:rPr>
          <w:rStyle w:val="29"/>
          <w:rFonts w:hint="eastAsia" w:cs="宋体"/>
          <w:b w:val="0"/>
          <w:bCs w:val="0"/>
          <w:kern w:val="2"/>
          <w:sz w:val="24"/>
          <w:szCs w:val="24"/>
          <w:highlight w:val="none"/>
          <w:lang w:val="en-US" w:eastAsia="zh-CN"/>
        </w:rPr>
        <w:t>211</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项目名称：</w:t>
      </w:r>
      <w:r>
        <w:rPr>
          <w:rFonts w:hint="default" w:cs="宋体"/>
          <w:sz w:val="24"/>
          <w:szCs w:val="24"/>
          <w:highlight w:val="none"/>
          <w:lang w:eastAsia="zh-CN"/>
        </w:rPr>
        <w:t>乌鲁木齐市达坂城区财政局惠民惠农财政补贴资金发放委托银行服务项目</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采购方式：竞争性磋商</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预算金额（元）：</w:t>
      </w:r>
      <w:r>
        <w:rPr>
          <w:rFonts w:hint="eastAsia" w:cs="宋体"/>
          <w:sz w:val="24"/>
          <w:szCs w:val="24"/>
          <w:highlight w:val="none"/>
          <w:lang w:val="en-US" w:eastAsia="zh-CN"/>
        </w:rPr>
        <w:t>1</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最高限价（元）：</w:t>
      </w:r>
      <w:r>
        <w:rPr>
          <w:rFonts w:hint="eastAsia" w:cs="宋体"/>
          <w:sz w:val="24"/>
          <w:szCs w:val="24"/>
          <w:highlight w:val="none"/>
          <w:lang w:val="en-US" w:eastAsia="zh-CN"/>
        </w:rPr>
        <w:t>1</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bCs/>
          <w:sz w:val="24"/>
          <w:szCs w:val="24"/>
          <w:highlight w:val="none"/>
          <w:lang w:eastAsia="zh-CN"/>
        </w:rPr>
      </w:pPr>
      <w:r>
        <w:rPr>
          <w:rFonts w:hint="eastAsia" w:ascii="宋体" w:hAnsi="宋体" w:eastAsia="宋体" w:cs="宋体"/>
          <w:sz w:val="24"/>
          <w:szCs w:val="24"/>
          <w:highlight w:val="none"/>
          <w:lang w:eastAsia="zh-CN"/>
        </w:rPr>
        <w:t>采购需求：</w:t>
      </w:r>
      <w:r>
        <w:rPr>
          <w:rFonts w:hint="eastAsia"/>
          <w:bCs/>
          <w:sz w:val="24"/>
          <w:szCs w:val="24"/>
          <w:highlight w:val="none"/>
          <w:lang w:eastAsia="zh-CN"/>
        </w:rPr>
        <w:t>为进一步规范惠民惠农财政资金发放，每个标段需采一家购</w:t>
      </w:r>
      <w:r>
        <w:rPr>
          <w:bCs/>
          <w:sz w:val="24"/>
          <w:szCs w:val="24"/>
          <w:highlight w:val="none"/>
          <w:lang w:eastAsia="zh-CN"/>
        </w:rPr>
        <w:t>代理银行，依据采购人提供的</w:t>
      </w:r>
      <w:r>
        <w:rPr>
          <w:rFonts w:hint="eastAsia"/>
          <w:bCs/>
          <w:sz w:val="24"/>
          <w:szCs w:val="24"/>
          <w:highlight w:val="none"/>
          <w:lang w:eastAsia="zh-CN"/>
        </w:rPr>
        <w:t>财政</w:t>
      </w:r>
      <w:r>
        <w:rPr>
          <w:bCs/>
          <w:sz w:val="24"/>
          <w:szCs w:val="24"/>
          <w:highlight w:val="none"/>
          <w:lang w:eastAsia="zh-CN"/>
        </w:rPr>
        <w:t>补贴资金发放数据，在规定的时间内将资金划拨至</w:t>
      </w:r>
      <w:r>
        <w:rPr>
          <w:rFonts w:hint="eastAsia"/>
          <w:bCs/>
          <w:sz w:val="24"/>
          <w:szCs w:val="24"/>
          <w:highlight w:val="none"/>
          <w:lang w:eastAsia="zh-CN"/>
        </w:rPr>
        <w:t>财政</w:t>
      </w:r>
      <w:r>
        <w:rPr>
          <w:bCs/>
          <w:sz w:val="24"/>
          <w:szCs w:val="24"/>
          <w:highlight w:val="none"/>
          <w:lang w:eastAsia="zh-CN"/>
        </w:rPr>
        <w:t>补贴对象账户，及时反馈发放信息，按照有关规定为</w:t>
      </w:r>
      <w:r>
        <w:rPr>
          <w:rFonts w:hint="eastAsia"/>
          <w:bCs/>
          <w:sz w:val="24"/>
          <w:szCs w:val="24"/>
          <w:highlight w:val="none"/>
          <w:lang w:eastAsia="zh-CN"/>
        </w:rPr>
        <w:t>财政</w:t>
      </w:r>
      <w:r>
        <w:rPr>
          <w:bCs/>
          <w:sz w:val="24"/>
          <w:szCs w:val="24"/>
          <w:highlight w:val="none"/>
          <w:lang w:eastAsia="zh-CN"/>
        </w:rPr>
        <w:t>补贴对象新办、补办银行账户等相关服务。</w:t>
      </w:r>
      <w:r>
        <w:rPr>
          <w:rFonts w:hint="eastAsia"/>
          <w:bCs/>
          <w:sz w:val="24"/>
          <w:szCs w:val="24"/>
          <w:highlight w:val="none"/>
          <w:lang w:eastAsia="zh-CN"/>
        </w:rPr>
        <w:t>（详见竞争性磋商文件）。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标项一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数量：1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预算金额（元）：</w:t>
      </w:r>
      <w:r>
        <w:rPr>
          <w:rFonts w:hint="eastAsia" w:cs="宋体"/>
          <w:sz w:val="24"/>
          <w:szCs w:val="24"/>
          <w:highlight w:val="none"/>
          <w:lang w:val="en-US" w:eastAsia="zh-CN"/>
        </w:rPr>
        <w:t>0.5</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单位：批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简要规格描述：新疆乌鲁木齐市达坂城区卫生健康委员会、新疆乌鲁木齐市达坂城区农业农村局（乡村振兴局）、新疆乌鲁木齐市达坂城区园林管理局</w:t>
      </w:r>
      <w:r>
        <w:rPr>
          <w:rFonts w:hint="eastAsia" w:cs="宋体"/>
          <w:sz w:val="24"/>
          <w:szCs w:val="24"/>
          <w:highlight w:val="none"/>
          <w:lang w:eastAsia="zh-CN"/>
        </w:rPr>
        <w:t>、</w:t>
      </w:r>
      <w:r>
        <w:rPr>
          <w:rFonts w:hint="eastAsia" w:ascii="宋体" w:hAnsi="宋体" w:eastAsia="宋体" w:cs="宋体"/>
          <w:sz w:val="24"/>
          <w:szCs w:val="24"/>
          <w:highlight w:val="none"/>
          <w:lang w:eastAsia="zh-CN"/>
        </w:rPr>
        <w:t>乌鲁木齐市达坂城区残疾人联合会惠民惠农财政补贴资金发放。</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标项二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数量：1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预算金额（元）：</w:t>
      </w:r>
      <w:r>
        <w:rPr>
          <w:rFonts w:hint="eastAsia" w:cs="宋体"/>
          <w:sz w:val="24"/>
          <w:szCs w:val="24"/>
          <w:highlight w:val="none"/>
          <w:lang w:val="en-US" w:eastAsia="zh-CN"/>
        </w:rPr>
        <w:t>0.5</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单位：批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规格描述：新疆乌鲁木齐市达坂城区民政局、新疆乌鲁木齐市达坂城区退役军人事务局、新疆乌鲁木齐市达坂城区建设局（乌鲁木齐市达坂城区交通局、乌鲁木齐市达坂城区人民防空办公室）、新疆乌鲁木齐市达坂城区水务局惠民惠农财政补贴资金发放。</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合同履约期限：自合同签订之日起</w:t>
      </w:r>
      <w:r>
        <w:rPr>
          <w:rFonts w:hint="eastAsia" w:cs="宋体"/>
          <w:sz w:val="24"/>
          <w:szCs w:val="24"/>
          <w:highlight w:val="none"/>
          <w:lang w:eastAsia="zh-CN"/>
        </w:rPr>
        <w:t>一年</w:t>
      </w:r>
      <w:r>
        <w:rPr>
          <w:rFonts w:hint="eastAsia" w:ascii="宋体" w:hAnsi="宋体" w:eastAsia="宋体" w:cs="宋体"/>
          <w:sz w:val="24"/>
          <w:szCs w:val="24"/>
          <w:highlight w:val="none"/>
          <w:lang w:eastAsia="zh-CN"/>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本项目不接受联合体投标。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二、申请人的资格要求：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eastAsia="zh-CN"/>
        </w:rPr>
        <w:t>2.落实政府采购政策需满足的资格要求：供应商为</w:t>
      </w:r>
      <w:r>
        <w:rPr>
          <w:rFonts w:hint="eastAsia" w:cs="宋体"/>
          <w:sz w:val="24"/>
          <w:szCs w:val="24"/>
          <w:highlight w:val="none"/>
          <w:lang w:val="en-US" w:eastAsia="zh-CN"/>
        </w:rPr>
        <w:t>小微</w:t>
      </w:r>
      <w:r>
        <w:rPr>
          <w:rFonts w:hint="eastAsia" w:ascii="宋体" w:hAnsi="宋体" w:eastAsia="宋体" w:cs="宋体"/>
          <w:sz w:val="24"/>
          <w:szCs w:val="24"/>
          <w:highlight w:val="none"/>
          <w:lang w:eastAsia="zh-CN"/>
        </w:rPr>
        <w:t>企业</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项目的特定资格要求：（1）、单位负责人为同一人或者存在直接控股、管理关系的不同供应商，不得参加同一合同项下的政府采购活动；供应商不得为该整体项目或其中分项目前期工作提供过设计、编制、监理、检测、管理等服务的法人及附属单位；（需提供书面声明）</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4、不接受联合体投标。</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三、获取采购文件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cs="宋体"/>
          <w:color w:val="000000" w:themeColor="text1"/>
          <w:sz w:val="24"/>
          <w:szCs w:val="24"/>
          <w:highlight w:val="none"/>
          <w:lang w:val="en-US" w:eastAsia="zh-CN"/>
          <w14:textFill>
            <w14:solidFill>
              <w14:schemeClr w14:val="tx1"/>
            </w14:solidFill>
          </w14:textFill>
        </w:rPr>
        <w:t xml:space="preserve">09 </w:t>
      </w:r>
      <w:r>
        <w:rPr>
          <w:rFonts w:hint="eastAsia" w:ascii="宋体" w:hAnsi="宋体" w:eastAsia="宋体" w:cs="宋体"/>
          <w:color w:val="000000" w:themeColor="text1"/>
          <w:sz w:val="24"/>
          <w:szCs w:val="24"/>
          <w:highlight w:val="none"/>
          <w:lang w:eastAsia="zh-CN"/>
          <w14:textFill>
            <w14:solidFill>
              <w14:schemeClr w14:val="tx1"/>
            </w14:solidFill>
          </w14:textFill>
        </w:rPr>
        <w:t>日，每天上午10:30至13:30，下午15:30至19:00（北京时间，法定节假日除外）</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方式：登录政采云平台（https://www.zcygov.cn/）后进入“项目采购”应用，在获取采购文件菜单中选择项目，自行获取采购文件。未按上述要求获取招标文件的，其响应文件不予接收。平台操作过中如需帮助，可联系平台客服热线 </w:t>
      </w:r>
      <w:r>
        <w:rPr>
          <w:rFonts w:hint="eastAsia"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获取支持。</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售价（元）：</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四、响应文件提交</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截止时间：202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年 </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月 </w:t>
      </w:r>
      <w:r>
        <w:rPr>
          <w:rFonts w:hint="eastAsia" w:cs="宋体"/>
          <w:color w:val="000000" w:themeColor="text1"/>
          <w:sz w:val="24"/>
          <w:szCs w:val="24"/>
          <w:highlight w:val="none"/>
          <w:lang w:val="en-US" w:eastAsia="zh-CN"/>
          <w14:textFill>
            <w14:solidFill>
              <w14:schemeClr w14:val="tx1"/>
            </w14:solidFill>
          </w14:textFill>
        </w:rPr>
        <w:t xml:space="preserve">10 </w:t>
      </w:r>
      <w:r>
        <w:rPr>
          <w:rFonts w:hint="eastAsia" w:ascii="宋体" w:hAnsi="宋体" w:eastAsia="宋体" w:cs="宋体"/>
          <w:color w:val="000000" w:themeColor="text1"/>
          <w:sz w:val="24"/>
          <w:szCs w:val="24"/>
          <w:highlight w:val="none"/>
          <w:lang w:eastAsia="zh-CN"/>
          <w14:textFill>
            <w14:solidFill>
              <w14:schemeClr w14:val="tx1"/>
            </w14:solidFill>
          </w14:textFill>
        </w:rPr>
        <w:t>日 16:00（北京时间）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五、响应文件开启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开启时间：202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年 </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月 </w:t>
      </w:r>
      <w:r>
        <w:rPr>
          <w:rFonts w:hint="eastAsia" w:cs="宋体"/>
          <w:color w:val="000000" w:themeColor="text1"/>
          <w:sz w:val="24"/>
          <w:szCs w:val="24"/>
          <w:highlight w:val="none"/>
          <w:lang w:val="en-US" w:eastAsia="zh-CN"/>
          <w14:textFill>
            <w14:solidFill>
              <w14:schemeClr w14:val="tx1"/>
            </w14:solidFill>
          </w14:textFill>
        </w:rPr>
        <w:t xml:space="preserve">10 </w:t>
      </w:r>
      <w:r>
        <w:rPr>
          <w:rFonts w:hint="eastAsia" w:ascii="宋体" w:hAnsi="宋体" w:eastAsia="宋体" w:cs="宋体"/>
          <w:color w:val="000000" w:themeColor="text1"/>
          <w:sz w:val="24"/>
          <w:szCs w:val="24"/>
          <w:highlight w:val="none"/>
          <w:lang w:eastAsia="zh-CN"/>
          <w14:textFill>
            <w14:solidFill>
              <w14:schemeClr w14:val="tx1"/>
            </w14:solidFill>
          </w14:textFill>
        </w:rPr>
        <w:t>日 16:00（北京时间）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六、公告期限</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自本公告发布之日起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个工作日。</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七、其他补充事宜</w:t>
      </w:r>
      <w:r>
        <w:rPr>
          <w:rFonts w:hint="eastAsia" w:ascii="宋体" w:hAnsi="宋体" w:eastAsia="宋体" w:cs="宋体"/>
          <w:sz w:val="24"/>
          <w:szCs w:val="24"/>
          <w:highlight w:val="none"/>
          <w:lang w:eastAsia="zh-CN"/>
        </w:rPr>
        <w:t>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无</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八、凡对本次招标提出询问，请按以下方式联系</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1.采购人信息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w:t>
      </w:r>
      <w:r>
        <w:rPr>
          <w:rFonts w:hint="eastAsia" w:cs="宋体"/>
          <w:sz w:val="24"/>
          <w:szCs w:val="24"/>
          <w:highlight w:val="none"/>
          <w:lang w:eastAsia="zh-CN"/>
        </w:rPr>
        <w:t>乌鲁木齐市达坂城区财政局</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w:t>
      </w:r>
      <w:r>
        <w:rPr>
          <w:rFonts w:hint="eastAsia" w:cs="宋体"/>
          <w:sz w:val="24"/>
          <w:szCs w:val="24"/>
          <w:highlight w:val="none"/>
          <w:lang w:eastAsia="zh-CN"/>
        </w:rPr>
        <w:t>达坂城区田园路154号</w:t>
      </w:r>
    </w:p>
    <w:p>
      <w:pPr>
        <w:keepNext w:val="0"/>
        <w:keepLines w:val="0"/>
        <w:pageBreakBefore w:val="0"/>
        <w:kinsoku/>
        <w:wordWrap/>
        <w:overflowPunct/>
        <w:topLinePunct w:val="0"/>
        <w:autoSpaceDE/>
        <w:autoSpaceDN/>
        <w:bidi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r>
        <w:rPr>
          <w:rStyle w:val="29"/>
          <w:rFonts w:hint="eastAsia" w:cs="宋体"/>
          <w:sz w:val="24"/>
          <w:szCs w:val="24"/>
          <w:highlight w:val="none"/>
          <w:lang w:val="en-US" w:eastAsia="zh-CN"/>
        </w:rPr>
        <w:t>0991-5919089</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2.采购代理机构信息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名 称：新疆君凯杰工程项目管理有限公司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地 址：新疆乌鲁木齐市会展大道1119号晚报传媒大厦A栋901室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3.项目联系方式</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cs="宋体"/>
          <w:sz w:val="24"/>
          <w:szCs w:val="24"/>
          <w:highlight w:val="none"/>
          <w:lang w:eastAsia="zh-CN"/>
        </w:rPr>
        <w:t>岑小龙</w:t>
      </w:r>
      <w:r>
        <w:rPr>
          <w:rFonts w:hint="eastAsia" w:ascii="宋体" w:hAnsi="宋体" w:eastAsia="宋体" w:cs="宋体"/>
          <w:sz w:val="24"/>
          <w:szCs w:val="24"/>
          <w:highlight w:val="none"/>
          <w:lang w:eastAsia="zh-CN"/>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r>
        <w:rPr>
          <w:rFonts w:hint="eastAsia" w:ascii="宋体" w:hAnsi="宋体" w:eastAsia="宋体" w:cs="宋体"/>
          <w:sz w:val="24"/>
          <w:szCs w:val="24"/>
          <w:highlight w:val="none"/>
          <w:lang w:eastAsia="zh-CN"/>
        </w:rPr>
        <w:t>电 话：</w:t>
      </w:r>
      <w:r>
        <w:rPr>
          <w:rFonts w:hint="eastAsia" w:cs="宋体"/>
          <w:sz w:val="24"/>
          <w:szCs w:val="24"/>
          <w:highlight w:val="none"/>
          <w:lang w:val="en-US" w:eastAsia="zh-CN"/>
        </w:rPr>
        <w:t>16699887301</w:t>
      </w:r>
      <w:r>
        <w:rPr>
          <w:rFonts w:hint="eastAsia" w:ascii="宋体" w:hAnsi="宋体" w:eastAsia="宋体" w:cs="宋体"/>
          <w:sz w:val="24"/>
          <w:szCs w:val="24"/>
          <w:highlight w:val="none"/>
          <w:lang w:eastAsia="zh-CN"/>
        </w:rPr>
        <w:t xml:space="preserve">  </w:t>
      </w: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bCs/>
          <w:w w:val="95"/>
          <w:sz w:val="30"/>
          <w:szCs w:val="30"/>
          <w:highlight w:val="none"/>
          <w:lang w:eastAsia="zh-CN"/>
        </w:rPr>
      </w:pP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bCs/>
          <w:w w:val="95"/>
          <w:sz w:val="30"/>
          <w:szCs w:val="30"/>
          <w:highlight w:val="none"/>
          <w:lang w:eastAsia="zh-CN"/>
        </w:rPr>
      </w:pP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bCs/>
          <w:w w:val="95"/>
          <w:sz w:val="30"/>
          <w:szCs w:val="30"/>
          <w:highlight w:val="none"/>
          <w:lang w:eastAsia="zh-CN"/>
        </w:rPr>
      </w:pPr>
    </w:p>
    <w:p>
      <w:pPr>
        <w:rPr>
          <w:rStyle w:val="29"/>
          <w:rFonts w:hint="eastAsia" w:ascii="宋体" w:hAnsi="宋体" w:eastAsia="宋体" w:cs="宋体"/>
          <w:b/>
          <w:bCs/>
          <w:w w:val="95"/>
          <w:sz w:val="30"/>
          <w:szCs w:val="30"/>
          <w:highlight w:val="none"/>
          <w:lang w:eastAsia="zh-CN"/>
        </w:rPr>
      </w:pPr>
      <w:r>
        <w:rPr>
          <w:rStyle w:val="29"/>
          <w:rFonts w:hint="eastAsia" w:ascii="宋体" w:hAnsi="宋体" w:eastAsia="宋体" w:cs="宋体"/>
          <w:b/>
          <w:bCs/>
          <w:w w:val="95"/>
          <w:sz w:val="30"/>
          <w:szCs w:val="30"/>
          <w:highlight w:val="none"/>
          <w:lang w:eastAsia="zh-CN"/>
        </w:rPr>
        <w:br w:type="page"/>
      </w: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bCs/>
          <w:w w:val="95"/>
          <w:sz w:val="30"/>
          <w:szCs w:val="30"/>
          <w:highlight w:val="none"/>
          <w:lang w:eastAsia="zh-CN"/>
        </w:rPr>
      </w:pPr>
      <w:r>
        <w:rPr>
          <w:rStyle w:val="29"/>
          <w:rFonts w:hint="eastAsia" w:ascii="宋体" w:hAnsi="宋体" w:eastAsia="宋体" w:cs="宋体"/>
          <w:b/>
          <w:bCs/>
          <w:w w:val="95"/>
          <w:sz w:val="30"/>
          <w:szCs w:val="30"/>
          <w:highlight w:val="none"/>
          <w:lang w:eastAsia="zh-CN"/>
        </w:rPr>
        <w:t>第二部分投标人须知</w:t>
      </w:r>
    </w:p>
    <w:p>
      <w:pPr>
        <w:pStyle w:val="36"/>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w w:val="95"/>
          <w:highlight w:val="none"/>
          <w:lang w:eastAsia="zh-CN"/>
        </w:rPr>
      </w:pPr>
      <w:r>
        <w:rPr>
          <w:rStyle w:val="29"/>
          <w:rFonts w:hint="eastAsia" w:ascii="宋体" w:hAnsi="宋体" w:eastAsia="宋体" w:cs="宋体"/>
          <w:w w:val="95"/>
          <w:highlight w:val="none"/>
          <w:lang w:eastAsia="zh-CN"/>
        </w:rPr>
        <w:t>投标人须知前附表</w:t>
      </w:r>
    </w:p>
    <w:tbl>
      <w:tblPr>
        <w:tblStyle w:val="21"/>
        <w:tblW w:w="9730" w:type="dxa"/>
        <w:tblInd w:w="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2"/>
        <w:gridCol w:w="1638"/>
        <w:gridCol w:w="72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12"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序号</w:t>
            </w:r>
          </w:p>
        </w:tc>
        <w:tc>
          <w:tcPr>
            <w:tcW w:w="1638" w:type="dxa"/>
            <w:tcBorders>
              <w:top w:val="single" w:color="000000" w:sz="12"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条款名称</w:t>
            </w:r>
          </w:p>
        </w:tc>
        <w:tc>
          <w:tcPr>
            <w:tcW w:w="7240" w:type="dxa"/>
            <w:tcBorders>
              <w:top w:val="single" w:color="000000" w:sz="12"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项目名称</w:t>
            </w:r>
          </w:p>
        </w:tc>
        <w:tc>
          <w:tcPr>
            <w:tcW w:w="7240" w:type="dxa"/>
            <w:tcBorders>
              <w:top w:val="single" w:color="000000" w:sz="6" w:space="0"/>
              <w:left w:val="single" w:color="000000" w:sz="6" w:space="0"/>
              <w:bottom w:val="single" w:color="000000" w:sz="6" w:space="0"/>
              <w:right w:val="single" w:color="000000" w:sz="12" w:space="0"/>
            </w:tcBorders>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cs="宋体"/>
                <w:color w:val="000000" w:themeColor="text1"/>
                <w:spacing w:val="-5"/>
                <w:sz w:val="24"/>
                <w:szCs w:val="24"/>
                <w:highlight w:val="none"/>
                <w:lang w:eastAsia="zh-CN"/>
                <w14:textFill>
                  <w14:solidFill>
                    <w14:schemeClr w14:val="tx1"/>
                  </w14:solidFill>
                </w14:textFill>
              </w:rPr>
            </w:pPr>
            <w:r>
              <w:rPr>
                <w:rStyle w:val="29"/>
                <w:rFonts w:hint="default" w:cs="宋体"/>
                <w:color w:val="000000" w:themeColor="text1"/>
                <w:spacing w:val="-5"/>
                <w:sz w:val="24"/>
                <w:szCs w:val="24"/>
                <w:highlight w:val="none"/>
                <w:lang w:eastAsia="zh-CN"/>
                <w14:textFill>
                  <w14:solidFill>
                    <w14:schemeClr w14:val="tx1"/>
                  </w14:solidFill>
                </w14:textFill>
              </w:rPr>
              <w:t>乌鲁木齐市达坂城区财政局惠民惠农财政补贴资金发放委托银行服务项目</w:t>
            </w:r>
            <w:r>
              <w:rPr>
                <w:rStyle w:val="29"/>
                <w:rFonts w:hint="eastAsia" w:cs="宋体"/>
                <w:color w:val="000000" w:themeColor="text1"/>
                <w:spacing w:val="-5"/>
                <w:sz w:val="24"/>
                <w:szCs w:val="24"/>
                <w:highlight w:val="none"/>
                <w:lang w:eastAsia="zh-CN"/>
                <w14:textFill>
                  <w14:solidFill>
                    <w14:schemeClr w14:val="tx1"/>
                  </w14:solidFill>
                </w14:textFill>
              </w:rPr>
              <w:t>标项一</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default" w:cs="宋体"/>
                <w:color w:val="000000" w:themeColor="text1"/>
                <w:spacing w:val="-5"/>
                <w:sz w:val="24"/>
                <w:szCs w:val="24"/>
                <w:highlight w:val="none"/>
                <w:lang w:eastAsia="zh-CN"/>
                <w14:textFill>
                  <w14:solidFill>
                    <w14:schemeClr w14:val="tx1"/>
                  </w14:solidFill>
                </w14:textFill>
              </w:rPr>
            </w:pPr>
            <w:r>
              <w:rPr>
                <w:rStyle w:val="29"/>
                <w:rFonts w:hint="eastAsia" w:cs="宋体"/>
                <w:color w:val="000000" w:themeColor="text1"/>
                <w:spacing w:val="-5"/>
                <w:sz w:val="24"/>
                <w:szCs w:val="24"/>
                <w:highlight w:val="none"/>
                <w:lang w:eastAsia="zh-CN"/>
                <w14:textFill>
                  <w14:solidFill>
                    <w14:schemeClr w14:val="tx1"/>
                  </w14:solidFill>
                </w14:textFill>
              </w:rPr>
              <w:t>乌鲁木齐市达坂城区财政局惠民惠农财政补贴资金发放委托银行服务项目</w:t>
            </w:r>
            <w:r>
              <w:rPr>
                <w:rStyle w:val="29"/>
                <w:rFonts w:hint="eastAsia" w:cs="宋体"/>
                <w:color w:val="000000" w:themeColor="text1"/>
                <w:spacing w:val="-5"/>
                <w:sz w:val="24"/>
                <w:szCs w:val="24"/>
                <w:highlight w:val="none"/>
                <w:lang w:val="en-US" w:eastAsia="zh-CN"/>
                <w14:textFill>
                  <w14:solidFill>
                    <w14:schemeClr w14:val="tx1"/>
                  </w14:solidFill>
                </w14:textFill>
              </w:rPr>
              <w:t>标项二</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项目编号：</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标项一：</w:t>
            </w:r>
            <w:r>
              <w:rPr>
                <w:rFonts w:hint="eastAsia" w:ascii="宋体" w:hAnsi="宋体" w:eastAsia="宋体" w:cs="宋体"/>
                <w:bCs/>
                <w:color w:val="000000" w:themeColor="text1"/>
                <w:sz w:val="24"/>
                <w:szCs w:val="24"/>
                <w:highlight w:val="none"/>
                <w:lang w:eastAsia="zh-CN"/>
                <w14:textFill>
                  <w14:solidFill>
                    <w14:schemeClr w14:val="tx1"/>
                  </w14:solidFill>
                </w14:textFill>
              </w:rPr>
              <w:t>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(JKJ)</w:t>
            </w:r>
            <w:r>
              <w:rPr>
                <w:rFonts w:hint="eastAsia" w:cs="宋体"/>
                <w:bCs/>
                <w:color w:val="000000" w:themeColor="text1"/>
                <w:sz w:val="24"/>
                <w:szCs w:val="24"/>
                <w:highlight w:val="none"/>
                <w:lang w:val="en-US" w:eastAsia="zh-CN"/>
                <w14:textFill>
                  <w14:solidFill>
                    <w14:schemeClr w14:val="tx1"/>
                  </w14:solidFill>
                </w14:textFill>
              </w:rPr>
              <w:t>211-01</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cs="宋体"/>
                <w:bCs/>
                <w:color w:val="000000" w:themeColor="text1"/>
                <w:sz w:val="24"/>
                <w:szCs w:val="24"/>
                <w:highlight w:val="none"/>
                <w:lang w:val="en-US" w:eastAsia="zh-CN"/>
                <w14:textFill>
                  <w14:solidFill>
                    <w14:schemeClr w14:val="tx1"/>
                  </w14:solidFill>
                </w14:textFill>
              </w:rPr>
            </w:pPr>
            <w:r>
              <w:rPr>
                <w:rFonts w:hint="eastAsia" w:cs="宋体"/>
                <w:bCs/>
                <w:color w:val="000000" w:themeColor="text1"/>
                <w:sz w:val="24"/>
                <w:szCs w:val="24"/>
                <w:highlight w:val="none"/>
                <w:lang w:val="en-US" w:eastAsia="zh-CN"/>
                <w14:textFill>
                  <w14:solidFill>
                    <w14:schemeClr w14:val="tx1"/>
                  </w14:solidFill>
                </w14:textFill>
              </w:rPr>
              <w:t>标项二：</w:t>
            </w:r>
            <w:r>
              <w:rPr>
                <w:rFonts w:hint="eastAsia" w:ascii="宋体" w:hAnsi="宋体" w:eastAsia="宋体" w:cs="宋体"/>
                <w:bCs/>
                <w:color w:val="000000" w:themeColor="text1"/>
                <w:sz w:val="24"/>
                <w:szCs w:val="24"/>
                <w:highlight w:val="none"/>
                <w:lang w:eastAsia="zh-CN"/>
                <w14:textFill>
                  <w14:solidFill>
                    <w14:schemeClr w14:val="tx1"/>
                  </w14:solidFill>
                </w14:textFill>
              </w:rPr>
              <w:t>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(JKJ)</w:t>
            </w:r>
            <w:r>
              <w:rPr>
                <w:rFonts w:hint="eastAsia" w:cs="宋体"/>
                <w:bCs/>
                <w:color w:val="000000" w:themeColor="text1"/>
                <w:sz w:val="24"/>
                <w:szCs w:val="24"/>
                <w:highlight w:val="none"/>
                <w:lang w:val="en-US" w:eastAsia="zh-CN"/>
                <w14:textFill>
                  <w14:solidFill>
                    <w14:schemeClr w14:val="tx1"/>
                  </w14:solidFill>
                </w14:textFill>
              </w:rPr>
              <w:t>211-02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采购方式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竞争性磋商；</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pacing w:val="-5"/>
                <w:sz w:val="24"/>
                <w:szCs w:val="24"/>
                <w:highlight w:val="none"/>
                <w:lang w:eastAsia="zh-CN"/>
                <w14:textFill>
                  <w14:solidFill>
                    <w14:schemeClr w14:val="tx1"/>
                  </w14:solidFill>
                </w14:textFill>
              </w:rPr>
              <w:t>待评审小组与供应商对采购标的的技术、服务等磋商结束后，评审小</w:t>
            </w:r>
            <w:r>
              <w:rPr>
                <w:rStyle w:val="29"/>
                <w:rFonts w:hint="eastAsia" w:ascii="宋体" w:hAnsi="宋体" w:eastAsia="宋体" w:cs="宋体"/>
                <w:color w:val="000000" w:themeColor="text1"/>
                <w:spacing w:val="-6"/>
                <w:sz w:val="24"/>
                <w:szCs w:val="24"/>
                <w:highlight w:val="none"/>
                <w:lang w:eastAsia="zh-CN"/>
                <w14:textFill>
                  <w14:solidFill>
                    <w14:schemeClr w14:val="tx1"/>
                  </w14:solidFill>
                </w14:textFill>
              </w:rPr>
              <w:t>组要求所有实质性响应的供应商，在规定的时间内提交最后报价（二轮报价）</w:t>
            </w:r>
            <w:r>
              <w:rPr>
                <w:rStyle w:val="29"/>
                <w:rFonts w:hint="eastAsia" w:ascii="宋体" w:hAnsi="宋体" w:eastAsia="宋体" w:cs="宋体"/>
                <w:color w:val="000000" w:themeColor="text1"/>
                <w:spacing w:val="-4"/>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采购内容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pacing w:val="-6"/>
                <w:sz w:val="24"/>
                <w:szCs w:val="24"/>
                <w:highlight w:val="none"/>
                <w:lang w:eastAsia="zh-CN"/>
                <w14:textFill>
                  <w14:solidFill>
                    <w14:schemeClr w14:val="tx1"/>
                  </w14:solidFill>
                </w14:textFill>
              </w:rPr>
              <w:t>为进一步规范惠民惠农财政资金发放，每个标段需采一家购代理银行，依据采购人提供的财政补贴资金发放数据，在规定的时间内将资金划拨至财政补贴对象账户，及时反馈发放信息，按照有关规定为财政补贴对象新办、补办银行账户等相关服务。（详见竞争性磋商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资金来源</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合同履约期限</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自合同签订之日起</w:t>
            </w:r>
            <w:r>
              <w:rPr>
                <w:rStyle w:val="29"/>
                <w:rFonts w:hint="eastAsia" w:cs="宋体"/>
                <w:color w:val="000000" w:themeColor="text1"/>
                <w:sz w:val="24"/>
                <w:szCs w:val="24"/>
                <w:highlight w:val="none"/>
                <w:lang w:eastAsia="zh-CN"/>
                <w14:textFill>
                  <w14:solidFill>
                    <w14:schemeClr w14:val="tx1"/>
                  </w14:solidFill>
                </w14:textFill>
              </w:rPr>
              <w:t>一年</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招标人</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pacing w:val="-7"/>
                <w:sz w:val="24"/>
                <w:szCs w:val="24"/>
                <w:highlight w:val="none"/>
                <w:lang w:eastAsia="zh-CN"/>
                <w14:textFill>
                  <w14:solidFill>
                    <w14:schemeClr w14:val="tx1"/>
                  </w14:solidFill>
                </w14:textFill>
              </w:rPr>
              <w:t>招标人：</w:t>
            </w:r>
            <w:r>
              <w:rPr>
                <w:rFonts w:hint="eastAsia" w:cs="宋体"/>
                <w:color w:val="000000" w:themeColor="text1"/>
                <w:sz w:val="24"/>
                <w:szCs w:val="24"/>
                <w:highlight w:val="none"/>
                <w:lang w:eastAsia="zh-CN"/>
                <w14:textFill>
                  <w14:solidFill>
                    <w14:schemeClr w14:val="tx1"/>
                  </w14:solidFill>
                </w14:textFill>
              </w:rPr>
              <w:t>乌鲁木齐市达坂城区财政局</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pacing w:val="-7"/>
                <w:sz w:val="24"/>
                <w:szCs w:val="24"/>
                <w:highlight w:val="none"/>
                <w:lang w:eastAsia="zh-CN"/>
                <w14:textFill>
                  <w14:solidFill>
                    <w14:schemeClr w14:val="tx1"/>
                  </w14:solidFill>
                </w14:textFill>
              </w:rPr>
              <w:t>联系人：</w:t>
            </w:r>
            <w:r>
              <w:rPr>
                <w:rStyle w:val="29"/>
                <w:rFonts w:hint="eastAsia" w:cs="宋体"/>
                <w:color w:val="000000" w:themeColor="text1"/>
                <w:spacing w:val="-7"/>
                <w:sz w:val="24"/>
                <w:szCs w:val="24"/>
                <w:highlight w:val="none"/>
                <w:lang w:eastAsia="zh-CN"/>
                <w14:textFill>
                  <w14:solidFill>
                    <w14:schemeClr w14:val="tx1"/>
                  </w14:solidFill>
                </w14:textFill>
              </w:rPr>
              <w:t>王梦楠</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pacing w:val="-7"/>
                <w:sz w:val="24"/>
                <w:szCs w:val="24"/>
                <w:highlight w:val="none"/>
                <w:lang w:eastAsia="zh-CN"/>
                <w14:textFill>
                  <w14:solidFill>
                    <w14:schemeClr w14:val="tx1"/>
                  </w14:solidFill>
                </w14:textFill>
              </w:rPr>
              <w:t>电话：</w:t>
            </w:r>
            <w:r>
              <w:rPr>
                <w:rStyle w:val="29"/>
                <w:rFonts w:hint="eastAsia" w:cs="宋体"/>
                <w:color w:val="000000" w:themeColor="text1"/>
                <w:sz w:val="24"/>
                <w:szCs w:val="24"/>
                <w:highlight w:val="none"/>
                <w:lang w:val="en-US" w:eastAsia="zh-CN"/>
                <w14:textFill>
                  <w14:solidFill>
                    <w14:schemeClr w14:val="tx1"/>
                  </w14:solidFill>
                </w14:textFill>
              </w:rPr>
              <w:t>0991-5919089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代理机构</w:t>
            </w:r>
          </w:p>
        </w:tc>
        <w:tc>
          <w:tcPr>
            <w:tcW w:w="7240"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名 称：新疆君凯杰工程项目管理有限公司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址：新疆乌鲁木齐市会展大道1119号晚报传媒大厦A栋901室</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项目联系人：</w:t>
            </w:r>
            <w:r>
              <w:rPr>
                <w:rFonts w:hint="eastAsia" w:cs="宋体"/>
                <w:color w:val="000000" w:themeColor="text1"/>
                <w:sz w:val="24"/>
                <w:szCs w:val="24"/>
                <w:highlight w:val="none"/>
                <w:lang w:eastAsia="zh-CN"/>
                <w14:textFill>
                  <w14:solidFill>
                    <w14:schemeClr w14:val="tx1"/>
                  </w14:solidFill>
                </w14:textFill>
              </w:rPr>
              <w:t>岑小龙</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cs="宋体"/>
                <w:color w:val="000000" w:themeColor="text1"/>
                <w:sz w:val="24"/>
                <w:szCs w:val="24"/>
                <w:highlight w:val="none"/>
                <w:lang w:val="en-US" w:eastAsia="zh-CN"/>
                <w14:textFill>
                  <w14:solidFill>
                    <w14:schemeClr w14:val="tx1"/>
                  </w14:solidFill>
                </w14:textFill>
              </w:rPr>
              <w:t>16699887301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供应商资格</w:t>
            </w:r>
          </w:p>
        </w:tc>
        <w:tc>
          <w:tcPr>
            <w:tcW w:w="7240"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2.落实政府采购政策需满足的资格要求：供应商为</w:t>
            </w:r>
            <w:r>
              <w:rPr>
                <w:rFonts w:hint="eastAsia" w:cs="宋体"/>
                <w:color w:val="000000" w:themeColor="text1"/>
                <w:sz w:val="24"/>
                <w:szCs w:val="24"/>
                <w:highlight w:val="none"/>
                <w:lang w:val="en-US" w:eastAsia="zh-CN"/>
                <w14:textFill>
                  <w14:solidFill>
                    <w14:schemeClr w14:val="tx1"/>
                  </w14:solidFill>
                </w14:textFill>
              </w:rPr>
              <w:t>小微</w:t>
            </w:r>
            <w:r>
              <w:rPr>
                <w:rFonts w:hint="eastAsia" w:ascii="宋体" w:hAnsi="宋体" w:eastAsia="宋体" w:cs="宋体"/>
                <w:color w:val="000000" w:themeColor="text1"/>
                <w:sz w:val="24"/>
                <w:szCs w:val="24"/>
                <w:highlight w:val="none"/>
                <w:lang w:eastAsia="zh-CN"/>
                <w14:textFill>
                  <w14:solidFill>
                    <w14:schemeClr w14:val="tx1"/>
                  </w14:solidFill>
                </w14:textFill>
              </w:rPr>
              <w:t>企业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的特定资格要求：（1）、单位负责人为同一人或者存在直接控股、管理关系的不同供应商，不得参加同一合同项下的政府采购活动；供应商不得为该整体项目或其中分项目前期工作提供过设计、编制、监理、检测、管理等服务的法人及附属单位；（需提供书面声明）</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偏离</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pacing w:val="-7"/>
                <w:sz w:val="24"/>
                <w:szCs w:val="24"/>
                <w:highlight w:val="none"/>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供应商资格</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是否接受联合体投标</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踏勘现场</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业绩</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pacing w:val="-10"/>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近三年（20</w:t>
            </w: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年</w:t>
            </w:r>
            <w:r>
              <w:rPr>
                <w:rStyle w:val="29"/>
                <w:rFonts w:hint="eastAsia" w:cs="宋体"/>
                <w:color w:val="000000" w:themeColor="text1"/>
                <w:sz w:val="24"/>
                <w:szCs w:val="24"/>
                <w:highlight w:val="none"/>
                <w:lang w:val="en-US" w:eastAsia="zh-CN"/>
                <w14:textFill>
                  <w14:solidFill>
                    <w14:schemeClr w14:val="tx1"/>
                  </w14:solidFill>
                </w14:textFill>
              </w:rPr>
              <w:t>8</w:t>
            </w:r>
            <w:r>
              <w:rPr>
                <w:rStyle w:val="29"/>
                <w:rFonts w:hint="eastAsia" w:ascii="宋体" w:hAnsi="宋体" w:eastAsia="宋体" w:cs="宋体"/>
                <w:color w:val="000000" w:themeColor="text1"/>
                <w:spacing w:val="-27"/>
                <w:sz w:val="24"/>
                <w:szCs w:val="24"/>
                <w:highlight w:val="none"/>
                <w:lang w:eastAsia="zh-CN"/>
                <w14:textFill>
                  <w14:solidFill>
                    <w14:schemeClr w14:val="tx1"/>
                  </w14:solidFill>
                </w14:textFill>
              </w:rPr>
              <w:t>月</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1日至今</w:t>
            </w:r>
            <w:r>
              <w:rPr>
                <w:rStyle w:val="29"/>
                <w:rFonts w:hint="eastAsia" w:ascii="宋体" w:hAnsi="宋体" w:eastAsia="宋体" w:cs="宋体"/>
                <w:color w:val="000000" w:themeColor="text1"/>
                <w:spacing w:val="-3"/>
                <w:sz w:val="24"/>
                <w:szCs w:val="24"/>
                <w:highlight w:val="none"/>
                <w:lang w:eastAsia="zh-CN"/>
                <w14:textFill>
                  <w14:solidFill>
                    <w14:schemeClr w14:val="tx1"/>
                  </w14:solidFill>
                </w14:textFill>
              </w:rPr>
              <w:t>）已完成类似项目业绩</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29"/>
                <w:rFonts w:hint="eastAsia" w:ascii="宋体" w:hAnsi="宋体" w:eastAsia="宋体" w:cs="宋体"/>
                <w:color w:val="000000" w:themeColor="text1"/>
                <w:spacing w:val="-10"/>
                <w:sz w:val="24"/>
                <w:szCs w:val="24"/>
                <w:highlight w:val="none"/>
                <w:lang w:eastAsia="zh-CN"/>
                <w14:textFill>
                  <w14:solidFill>
                    <w14:schemeClr w14:val="tx1"/>
                  </w14:solidFill>
                </w14:textFill>
              </w:rPr>
              <w:t>业绩证明材料为：合同协议书或中标通知书等相关的证明材料；合</w:t>
            </w:r>
            <w:r>
              <w:rPr>
                <w:rStyle w:val="29"/>
                <w:rFonts w:hint="eastAsia" w:ascii="宋体" w:hAnsi="宋体" w:eastAsia="宋体" w:cs="宋体"/>
                <w:color w:val="000000" w:themeColor="text1"/>
                <w:spacing w:val="-13"/>
                <w:sz w:val="24"/>
                <w:szCs w:val="24"/>
                <w:highlight w:val="none"/>
                <w:lang w:eastAsia="zh-CN"/>
                <w14:textFill>
                  <w14:solidFill>
                    <w14:schemeClr w14:val="tx1"/>
                  </w14:solidFill>
                </w14:textFill>
              </w:rPr>
              <w:t>同仅需提供包含合同首页、标的内容及金额所在页、供货合同签字盖章页即可，需加盖公章</w:t>
            </w:r>
            <w:r>
              <w:rPr>
                <w:rStyle w:val="29"/>
                <w:rFonts w:hint="eastAsia" w:ascii="宋体" w:hAnsi="宋体" w:eastAsia="宋体" w:cs="宋体"/>
                <w:color w:val="000000" w:themeColor="text1"/>
                <w:spacing w:val="-70"/>
                <w:sz w:val="24"/>
                <w:szCs w:val="24"/>
                <w:highlight w:val="none"/>
                <w:lang w:eastAsia="zh-CN"/>
                <w14:textFill>
                  <w14:solidFill>
                    <w14:schemeClr w14:val="tx1"/>
                  </w14:solidFill>
                </w14:textFill>
              </w:rPr>
              <w:t>）</w:t>
            </w:r>
            <w:r>
              <w:rPr>
                <w:rStyle w:val="29"/>
                <w:rFonts w:hint="eastAsia" w:ascii="宋体" w:hAnsi="宋体" w:eastAsia="宋体" w:cs="宋体"/>
                <w:color w:val="000000" w:themeColor="text1"/>
                <w:spacing w:val="-10"/>
                <w:sz w:val="24"/>
                <w:szCs w:val="24"/>
                <w:highlight w:val="none"/>
                <w:lang w:eastAsia="zh-CN"/>
                <w14:textFill>
                  <w14:solidFill>
                    <w14:schemeClr w14:val="tx1"/>
                  </w14:solidFill>
                </w14:textFill>
              </w:rPr>
              <w:t>。</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pacing w:val="-13"/>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pacing w:val="-10"/>
                <w:sz w:val="24"/>
                <w:szCs w:val="24"/>
                <w:highlight w:val="none"/>
                <w:lang w:eastAsia="zh-CN"/>
                <w14:textFill>
                  <w14:solidFill>
                    <w14:schemeClr w14:val="tx1"/>
                  </w14:solidFill>
                </w14:textFill>
              </w:rPr>
              <w:t>未提供业绩证明材或内容模糊不清的，</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最高投标限价（采购预</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算）</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最高投标限价(即采购预算)</w:t>
            </w:r>
            <w:r>
              <w:rPr>
                <w:rStyle w:val="29"/>
                <w:rFonts w:hint="eastAsia" w:cs="宋体"/>
                <w:color w:val="000000" w:themeColor="text1"/>
                <w:sz w:val="24"/>
                <w:szCs w:val="24"/>
                <w:highlight w:val="none"/>
                <w:lang w:eastAsia="zh-CN"/>
                <w14:textFill>
                  <w14:solidFill>
                    <w14:schemeClr w14:val="tx1"/>
                  </w14:solidFill>
                </w14:textFill>
              </w:rPr>
              <w:t>：</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cs="宋体"/>
                <w:color w:val="000000" w:themeColor="text1"/>
                <w:sz w:val="24"/>
                <w:szCs w:val="24"/>
                <w:highlight w:val="none"/>
                <w:lang w:val="en-US" w:eastAsia="zh-CN"/>
                <w14:textFill>
                  <w14:solidFill>
                    <w14:schemeClr w14:val="tx1"/>
                  </w14:solidFill>
                </w14:textFill>
              </w:rPr>
            </w:pPr>
            <w:r>
              <w:rPr>
                <w:rStyle w:val="29"/>
                <w:rFonts w:hint="eastAsia" w:cs="宋体"/>
                <w:color w:val="000000" w:themeColor="text1"/>
                <w:sz w:val="24"/>
                <w:szCs w:val="24"/>
                <w:highlight w:val="none"/>
                <w:lang w:val="en-US" w:eastAsia="zh-CN"/>
                <w14:textFill>
                  <w14:solidFill>
                    <w14:schemeClr w14:val="tx1"/>
                  </w14:solidFill>
                </w14:textFill>
              </w:rPr>
              <w:t>标项一：0.5元</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default" w:cs="宋体"/>
                <w:color w:val="000000" w:themeColor="text1"/>
                <w:sz w:val="24"/>
                <w:szCs w:val="24"/>
                <w:highlight w:val="none"/>
                <w:lang w:val="en-US" w:eastAsia="zh-CN"/>
                <w14:textFill>
                  <w14:solidFill>
                    <w14:schemeClr w14:val="tx1"/>
                  </w14:solidFill>
                </w14:textFill>
              </w:rPr>
            </w:pPr>
            <w:r>
              <w:rPr>
                <w:rStyle w:val="29"/>
                <w:rFonts w:hint="eastAsia" w:cs="宋体"/>
                <w:color w:val="000000" w:themeColor="text1"/>
                <w:sz w:val="24"/>
                <w:szCs w:val="24"/>
                <w:highlight w:val="none"/>
                <w:lang w:val="en-US" w:eastAsia="zh-CN"/>
                <w14:textFill>
                  <w14:solidFill>
                    <w14:schemeClr w14:val="tx1"/>
                  </w14:solidFill>
                </w14:textFill>
              </w:rPr>
              <w:t>标项二：0.5元</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b/>
                <w:color w:val="000000" w:themeColor="text1"/>
                <w:sz w:val="24"/>
                <w:szCs w:val="24"/>
                <w:highlight w:val="none"/>
                <w:lang w:eastAsia="zh-CN"/>
                <w14:textFill>
                  <w14:solidFill>
                    <w14:schemeClr w14:val="tx1"/>
                  </w14:solidFill>
                </w14:textFill>
              </w:rPr>
              <w:t>投标人的投标报价不得超过最高投标限价，否则其投标文件按否决投标处理。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15</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投标有效期</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16</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磋商保证金</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磋商保证金的金额：</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cs="宋体"/>
                <w:color w:val="000000" w:themeColor="text1"/>
                <w:sz w:val="24"/>
                <w:szCs w:val="24"/>
                <w:highlight w:val="none"/>
                <w:lang w:val="en-US" w:eastAsia="zh-CN"/>
                <w14:textFill>
                  <w14:solidFill>
                    <w14:schemeClr w14:val="tx1"/>
                  </w14:solidFill>
                </w14:textFill>
              </w:rPr>
              <w:t>标项一：3000</w:t>
            </w: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（大写：</w:t>
            </w:r>
            <w:r>
              <w:rPr>
                <w:rStyle w:val="29"/>
                <w:rFonts w:hint="eastAsia" w:cs="宋体"/>
                <w:color w:val="000000" w:themeColor="text1"/>
                <w:sz w:val="24"/>
                <w:szCs w:val="24"/>
                <w:highlight w:val="none"/>
                <w:lang w:val="en-US" w:eastAsia="zh-CN"/>
                <w14:textFill>
                  <w14:solidFill>
                    <w14:schemeClr w14:val="tx1"/>
                  </w14:solidFill>
                </w14:textFill>
              </w:rPr>
              <w:t>叁仟元整</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cs="宋体"/>
                <w:color w:val="000000" w:themeColor="text1"/>
                <w:sz w:val="24"/>
                <w:szCs w:val="24"/>
                <w:highlight w:val="none"/>
                <w:lang w:val="en-US" w:eastAsia="zh-CN"/>
                <w14:textFill>
                  <w14:solidFill>
                    <w14:schemeClr w14:val="tx1"/>
                  </w14:solidFill>
                </w14:textFill>
              </w:rPr>
              <w:t>标项二：3000</w:t>
            </w: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（大写：</w:t>
            </w:r>
            <w:r>
              <w:rPr>
                <w:rStyle w:val="29"/>
                <w:rFonts w:hint="eastAsia" w:cs="宋体"/>
                <w:color w:val="000000" w:themeColor="text1"/>
                <w:sz w:val="24"/>
                <w:szCs w:val="24"/>
                <w:highlight w:val="none"/>
                <w:lang w:val="en-US" w:eastAsia="zh-CN"/>
                <w14:textFill>
                  <w14:solidFill>
                    <w14:schemeClr w14:val="tx1"/>
                  </w14:solidFill>
                </w14:textFill>
              </w:rPr>
              <w:t>叁仟元整</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投标保证金的形式：电汇、网银等非现金形式。</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开户单位名称：新疆君凯杰工程项目管理有限公司</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开户银行:中国农业银行乌鲁木齐昆仑路支行</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账    号: 30006 4010 400 10690</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行    号：10388 1000 646</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采购代理服务费缴纳账号：（同上）</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附注：（编号+项目名称）投标保证金</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投标保证金必须在响应文件递交截止时间前确保到帐；供应商未按招标文件要求提交投标保证金的，响应文件无效。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保证金的退还</w:t>
            </w:r>
          </w:p>
        </w:tc>
        <w:tc>
          <w:tcPr>
            <w:tcW w:w="7240" w:type="dxa"/>
            <w:tcBorders>
              <w:top w:val="single" w:color="000000" w:sz="6" w:space="0"/>
              <w:left w:val="single" w:color="000000" w:sz="6" w:space="0"/>
              <w:bottom w:val="single" w:color="000000" w:sz="6" w:space="0"/>
              <w:right w:val="single" w:color="000000" w:sz="12" w:space="0"/>
            </w:tcBorders>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（1）供应商在投标截止时间前撤回已提交的响应文件的，招标人或者招标代理机构应当自收到供应商书面撤回通知之日起5个工作日内，退还已收取的投标保证金，但因供应商自身原因导致无法及时退还的除外。</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（2）招标人或者采购代理机构应当自中标通知书发出之日起5个工作日内退还未中标人的投标保证金，自采购合同签订之日起5个工作日内退还中标人的投标保证金。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b/>
                <w:bCs/>
                <w:color w:val="000000" w:themeColor="text1"/>
                <w:sz w:val="24"/>
                <w:szCs w:val="24"/>
                <w:highlight w:val="none"/>
                <w:lang w:eastAsia="zh-CN"/>
                <w14:textFill>
                  <w14:solidFill>
                    <w14:schemeClr w14:val="tx1"/>
                  </w14:solidFill>
                </w14:textFill>
              </w:rPr>
              <w:t>退还磋商保证金的投标人办理退款业务时需提供以下资料:</w:t>
            </w:r>
          </w:p>
          <w:p>
            <w:pPr>
              <w:pStyle w:val="4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begin"/>
            </w:r>
            <w:r>
              <w:rPr>
                <w:rStyle w:val="29"/>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instrText xml:space="preserve"> HYPERLINK "mailto:单位名称、开户银行、账号、行号、联系人及电话、项目名称、退款金额以上资料盖章扫描发送至代理公司邮箱（983542424@qq.com）" </w:instrText>
            </w:r>
            <w:r>
              <w:rPr>
                <w:rStyle w:val="29"/>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separate"/>
            </w:r>
            <w:r>
              <w:rPr>
                <w:rStyle w:val="29"/>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单位名称、开户银行、账号、行号、联系人及电话、项目名称、退款金额以上资料盖章扫描发送至代理公司邮箱（983542424@qq.com）</w:t>
            </w:r>
            <w:r>
              <w:rPr>
                <w:rStyle w:val="29"/>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end"/>
            </w:r>
          </w:p>
          <w:p>
            <w:pPr>
              <w:pStyle w:val="4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b/>
                <w:color w:val="000000" w:themeColor="text1"/>
                <w:sz w:val="24"/>
                <w:szCs w:val="24"/>
                <w:highlight w:val="none"/>
                <w:lang w:eastAsia="zh-CN"/>
                <w14:textFill>
                  <w14:solidFill>
                    <w14:schemeClr w14:val="tx1"/>
                  </w14:solidFill>
                </w14:textFill>
              </w:rPr>
              <w:t>退还中标方保证金时，中标方须提供与招标人签订的合同原</w:t>
            </w:r>
            <w:r>
              <w:rPr>
                <w:rStyle w:val="29"/>
                <w:rFonts w:hint="eastAsia" w:ascii="宋体" w:hAnsi="宋体" w:eastAsia="宋体" w:cs="宋体"/>
                <w:b/>
                <w:color w:val="000000" w:themeColor="text1"/>
                <w:spacing w:val="-8"/>
                <w:sz w:val="24"/>
                <w:szCs w:val="24"/>
                <w:highlight w:val="none"/>
                <w:lang w:eastAsia="zh-CN"/>
                <w14:textFill>
                  <w14:solidFill>
                    <w14:schemeClr w14:val="tx1"/>
                  </w14:solidFill>
                </w14:textFill>
              </w:rPr>
              <w:t>件一份</w:t>
            </w:r>
            <w:r>
              <w:rPr>
                <w:rStyle w:val="29"/>
                <w:rFonts w:hint="eastAsia" w:ascii="宋体" w:hAnsi="宋体" w:eastAsia="宋体" w:cs="宋体"/>
                <w:b/>
                <w:color w:val="000000" w:themeColor="text1"/>
                <w:sz w:val="24"/>
                <w:szCs w:val="24"/>
                <w:highlight w:val="none"/>
                <w:lang w:eastAsia="zh-CN"/>
                <w14:textFill>
                  <w14:solidFill>
                    <w14:schemeClr w14:val="tx1"/>
                  </w14:solidFill>
                </w14:textFill>
              </w:rPr>
              <w:t>（</w:t>
            </w:r>
            <w:r>
              <w:rPr>
                <w:rStyle w:val="29"/>
                <w:rFonts w:hint="eastAsia" w:ascii="宋体" w:hAnsi="宋体" w:eastAsia="宋体" w:cs="宋体"/>
                <w:b/>
                <w:color w:val="000000" w:themeColor="text1"/>
                <w:spacing w:val="-2"/>
                <w:sz w:val="24"/>
                <w:szCs w:val="24"/>
                <w:highlight w:val="none"/>
                <w:lang w:eastAsia="zh-CN"/>
                <w14:textFill>
                  <w14:solidFill>
                    <w14:schemeClr w14:val="tx1"/>
                  </w14:solidFill>
                </w14:textFill>
              </w:rPr>
              <w:t>原件核查无误后退还</w:t>
            </w:r>
            <w:r>
              <w:rPr>
                <w:rStyle w:val="29"/>
                <w:rFonts w:hint="eastAsia" w:ascii="宋体" w:hAnsi="宋体" w:eastAsia="宋体" w:cs="宋体"/>
                <w:b/>
                <w:color w:val="000000" w:themeColor="text1"/>
                <w:spacing w:val="-22"/>
                <w:sz w:val="24"/>
                <w:szCs w:val="24"/>
                <w:highlight w:val="none"/>
                <w:lang w:eastAsia="zh-CN"/>
                <w14:textFill>
                  <w14:solidFill>
                    <w14:schemeClr w14:val="tx1"/>
                  </w14:solidFill>
                </w14:textFill>
              </w:rPr>
              <w:t>）</w:t>
            </w:r>
            <w:r>
              <w:rPr>
                <w:rStyle w:val="29"/>
                <w:rFonts w:hint="eastAsia" w:ascii="宋体" w:hAnsi="宋体" w:eastAsia="宋体" w:cs="宋体"/>
                <w:b/>
                <w:color w:val="000000" w:themeColor="text1"/>
                <w:spacing w:val="-2"/>
                <w:sz w:val="24"/>
                <w:szCs w:val="24"/>
                <w:highlight w:val="none"/>
                <w:lang w:eastAsia="zh-CN"/>
                <w14:textFill>
                  <w14:solidFill>
                    <w14:schemeClr w14:val="tx1"/>
                  </w14:solidFill>
                </w14:textFill>
              </w:rPr>
              <w:t>及已加盖中标方公章的合同全本复印</w:t>
            </w:r>
            <w:r>
              <w:rPr>
                <w:rStyle w:val="29"/>
                <w:rFonts w:hint="eastAsia" w:ascii="宋体" w:hAnsi="宋体" w:eastAsia="宋体" w:cs="宋体"/>
                <w:b/>
                <w:color w:val="000000" w:themeColor="text1"/>
                <w:sz w:val="24"/>
                <w:szCs w:val="24"/>
                <w:highlight w:val="none"/>
                <w:lang w:eastAsia="zh-CN"/>
                <w14:textFill>
                  <w14:solidFill>
                    <w14:schemeClr w14:val="tx1"/>
                  </w14:solidFill>
                </w14:textFill>
              </w:rPr>
              <w:t>件一份（由代理机构存档备查）</w:t>
            </w:r>
            <w:r>
              <w:rPr>
                <w:rStyle w:val="29"/>
                <w:rFonts w:hint="eastAsia" w:ascii="宋体" w:hAnsi="宋体" w:eastAsia="宋体" w:cs="宋体"/>
                <w:b/>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不予退还保证金的情形</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有下列情形之一的，保证金不予退还：</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（1）供应商在提交响应文件截止时间后撤回响应文件的；</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（2）供应商在响应文件中提供虚假材料的；</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（3）除因不可抗力或竞争性磋商文件认可的情形以外，成交供应商不与招标人签订合同的；</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（4）供应商与招标人、其他供应商或者采购代理机构恶意串通的；</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19</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响应文件递交截止时间及地点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年 </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月 </w:t>
            </w:r>
            <w:r>
              <w:rPr>
                <w:rFonts w:hint="eastAsia" w:cs="宋体"/>
                <w:color w:val="000000" w:themeColor="text1"/>
                <w:sz w:val="24"/>
                <w:szCs w:val="24"/>
                <w:highlight w:val="none"/>
                <w:lang w:val="en-US" w:eastAsia="zh-CN"/>
                <w14:textFill>
                  <w14:solidFill>
                    <w14:schemeClr w14:val="tx1"/>
                  </w14:solidFill>
                </w14:textFill>
              </w:rPr>
              <w:t xml:space="preserve">10 </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Style w:val="29"/>
                <w:rFonts w:hint="eastAsia" w:cs="宋体"/>
                <w:b w:val="0"/>
                <w:bCs w:val="0"/>
                <w:color w:val="000000" w:themeColor="text1"/>
                <w:sz w:val="24"/>
                <w:szCs w:val="24"/>
                <w:highlight w:val="none"/>
                <w:lang w:val="en-US" w:eastAsia="zh-CN"/>
                <w14:textFill>
                  <w14:solidFill>
                    <w14:schemeClr w14:val="tx1"/>
                  </w14:solidFill>
                </w14:textFill>
              </w:rPr>
              <w:t>16</w:t>
            </w: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点</w:t>
            </w:r>
            <w:r>
              <w:rPr>
                <w:rStyle w:val="29"/>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00</w:t>
            </w: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分（北京时间）</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top"/>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cs="宋体"/>
                <w:color w:val="000000" w:themeColor="text1"/>
                <w:sz w:val="24"/>
                <w:szCs w:val="24"/>
                <w:highlight w:val="none"/>
                <w:lang w:val="en-US" w:eastAsia="zh-CN" w:bidi="ar-SA"/>
                <w14:textFill>
                  <w14:solidFill>
                    <w14:schemeClr w14:val="tx1"/>
                  </w14:solidFill>
                </w14:textFill>
              </w:rPr>
              <w:t>0</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开标时间及地点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年 </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月 </w:t>
            </w:r>
            <w:r>
              <w:rPr>
                <w:rFonts w:hint="eastAsia" w:cs="宋体"/>
                <w:color w:val="000000" w:themeColor="text1"/>
                <w:sz w:val="24"/>
                <w:szCs w:val="24"/>
                <w:highlight w:val="none"/>
                <w:lang w:val="en-US" w:eastAsia="zh-CN"/>
                <w14:textFill>
                  <w14:solidFill>
                    <w14:schemeClr w14:val="tx1"/>
                  </w14:solidFill>
                </w14:textFill>
              </w:rPr>
              <w:t xml:space="preserve">10 </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Style w:val="29"/>
                <w:rFonts w:hint="eastAsia" w:cs="宋体"/>
                <w:b w:val="0"/>
                <w:bCs w:val="0"/>
                <w:color w:val="000000" w:themeColor="text1"/>
                <w:sz w:val="24"/>
                <w:szCs w:val="24"/>
                <w:highlight w:val="none"/>
                <w:lang w:val="en-US" w:eastAsia="zh-CN"/>
                <w14:textFill>
                  <w14:solidFill>
                    <w14:schemeClr w14:val="tx1"/>
                  </w14:solidFill>
                </w14:textFill>
              </w:rPr>
              <w:t>16</w:t>
            </w: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点</w:t>
            </w:r>
            <w:r>
              <w:rPr>
                <w:rStyle w:val="29"/>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00</w:t>
            </w: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分（北京时间）</w:t>
            </w:r>
          </w:p>
          <w:p>
            <w:pPr>
              <w:pStyle w:val="37"/>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852" w:type="dxa"/>
            <w:tcBorders>
              <w:top w:val="single" w:color="000000" w:sz="6" w:space="0"/>
              <w:left w:val="single" w:color="000000" w:sz="12" w:space="0"/>
              <w:bottom w:val="single" w:color="000000" w:sz="6" w:space="0"/>
              <w:right w:val="single" w:color="000000" w:sz="6" w:space="0"/>
            </w:tcBorders>
            <w:vAlign w:val="top"/>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cs="宋体"/>
                <w:color w:val="000000" w:themeColor="text1"/>
                <w:sz w:val="24"/>
                <w:szCs w:val="24"/>
                <w:highlight w:val="none"/>
                <w:lang w:val="en-US" w:eastAsia="zh-CN" w:bidi="ar-SA"/>
                <w14:textFill>
                  <w14:solidFill>
                    <w14:schemeClr w14:val="tx1"/>
                  </w14:solidFill>
                </w14:textFill>
              </w:rPr>
              <w:t>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开标方式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b w:val="0"/>
                <w:bCs w:val="0"/>
                <w:color w:val="000000" w:themeColor="text1"/>
                <w:sz w:val="24"/>
                <w:szCs w:val="24"/>
                <w:highlight w:val="none"/>
                <w:lang w:eastAsia="zh-CN"/>
                <w14:textFill>
                  <w14:solidFill>
                    <w14:schemeClr w14:val="tx1"/>
                  </w14:solidFill>
                </w14:textFill>
              </w:rPr>
              <w:t>不见面开标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2</w:t>
            </w:r>
          </w:p>
        </w:tc>
        <w:tc>
          <w:tcPr>
            <w:tcW w:w="1638" w:type="dxa"/>
            <w:tcBorders>
              <w:top w:val="single" w:color="000000" w:sz="6" w:space="0"/>
              <w:left w:val="single" w:color="000000" w:sz="6" w:space="0"/>
              <w:bottom w:val="single" w:color="000000" w:sz="6" w:space="0"/>
              <w:right w:val="single" w:color="000000" w:sz="6" w:space="0"/>
            </w:tcBorders>
            <w:vAlign w:val="top"/>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评标方法</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推荐中标候选投标人的数量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推荐的中标候选人数量</w:t>
            </w:r>
            <w:r>
              <w:rPr>
                <w:rStyle w:val="29"/>
                <w:rFonts w:hint="eastAsia" w:ascii="宋体" w:hAnsi="宋体" w:eastAsia="宋体" w:cs="宋体"/>
                <w:color w:val="000000" w:themeColor="text1"/>
                <w:sz w:val="24"/>
                <w:szCs w:val="24"/>
                <w:highlight w:val="none"/>
                <w:u w:val="thick"/>
                <w:lang w:eastAsia="zh-CN"/>
                <w14:textFill>
                  <w14:solidFill>
                    <w14:schemeClr w14:val="tx1"/>
                  </w14:solidFill>
                </w14:textFill>
              </w:rPr>
              <w:t>3</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4</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付款方式：</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（最终签订合同以与甲方实际签订为准）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restart"/>
            <w:tcBorders>
              <w:top w:val="single" w:color="000000" w:sz="6" w:space="0"/>
              <w:left w:val="single" w:color="000000" w:sz="12"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5</w:t>
            </w:r>
          </w:p>
        </w:tc>
        <w:tc>
          <w:tcPr>
            <w:tcW w:w="1638" w:type="dxa"/>
            <w:vMerge w:val="restart"/>
            <w:tcBorders>
              <w:top w:val="single" w:color="000000" w:sz="6" w:space="0"/>
              <w:left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其他</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left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如本《投标人须知前附表》相关内容与竞争性磋商文件中的相关内容如有不一致处，则以本《投标人须知前附表》相关内容为准。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b/>
                <w:bCs/>
                <w:color w:val="000000" w:themeColor="text1"/>
                <w:sz w:val="24"/>
                <w:szCs w:val="24"/>
                <w:highlight w:val="none"/>
                <w:lang w:eastAsia="zh-CN"/>
                <w14:textFill>
                  <w14:solidFill>
                    <w14:schemeClr w14:val="tx1"/>
                  </w14:solidFill>
                </w14:textFill>
              </w:rPr>
              <w:t>所属行业：其他未列明行业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left w:val="single" w:color="000000" w:sz="6"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备注：收取标准：</w:t>
            </w:r>
            <w:r>
              <w:rPr>
                <w:rStyle w:val="29"/>
                <w:rFonts w:hint="eastAsia" w:ascii="宋体" w:hAnsi="宋体" w:eastAsia="宋体" w:cs="宋体"/>
                <w:color w:val="000000" w:themeColor="text1"/>
                <w:sz w:val="24"/>
                <w:szCs w:val="24"/>
                <w:highlight w:val="none"/>
                <w:lang w:val="zh-CN" w:eastAsia="zh-CN"/>
                <w14:textFill>
                  <w14:solidFill>
                    <w14:schemeClr w14:val="tx1"/>
                  </w14:solidFill>
                </w14:textFill>
              </w:rPr>
              <w:t>本项目招标代理费按每标段定额5000元（人民币伍仟元整）收取，由成交供应商在领取成交通知书时一次性付清</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6</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5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注意事项</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1．本项目采用不见面开标、投标人需要递交电子投标文件，加密的电子投标文件，在投标截止时间前通过</w:t>
            </w: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政采云平台上传到指定位置，无需递交纸质文件。</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2.本项目采用远程不见面交易的模式。开标当日，投标人无需到达开标现场，需在</w:t>
            </w: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政采云（www.zcygov.cn）网上开标完成远程解密、提疑澄清、开标唱标、结果公布等交互环节。投标人必须使用能正确解密投标文件的“</w:t>
            </w: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3.当出现下列情形之一，投标文件将予以退回：</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（1）投标人在投标文件递交截止时间前未成功上传加密电子投标文件；</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（2）投标人使用解密的CA数字证书与上传加密投标文件使用的CA数字证书不一致；</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（3）投标人解密时CA数字证书已过期，导致无法正常解密；</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（4）加密投标文件时，CA数字证书未过期，解密时，显示CA数字证书已过期，导致无法正常解密；</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（5）未在规定的投标文件解密时间内进行解密的；</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（6）投标人个人原因导致无法解密的其他情形。</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4.投标人应在投标截止时间前将投标时使用的计算机安装相关的浏览器、CA驱动等软件，方便投标文件解密时能够正常解密。</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5.投标人需在投标截止时间前自行测试开标时使用的计算机，如因投标人自身原因导致投标文件解密失败的，由投标人自行承担相应后果。</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6.无论何种原因，在投标文件中未提供相应材料的，评标委员会将视同其未提供。</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7.投标人应在开标前应确保成为新疆政府采购网正式注册入库投标人，并完成CA数字证书（符合国密标准）申领。如需咨询，请联系新疆CA服务热线0991-2819290；</w:t>
            </w:r>
          </w:p>
          <w:p>
            <w:pPr>
              <w:pStyle w:val="3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8.投标人将政采云电子交易客户端下载、安装完成后，可通过账号密码或CA登录客户端进行投标文件的制作。在使用政采云投标客户端时，建议使用WIN7及以上操作系统。客户端请至新疆政府采购网（www.zcygov.cn）下载专区查看，如有问题可拨打政采云客户服务热线95763进行咨询。</w:t>
            </w:r>
          </w:p>
        </w:tc>
      </w:tr>
    </w:tbl>
    <w:p>
      <w:pPr>
        <w:keepNext w:val="0"/>
        <w:keepLines w:val="0"/>
        <w:pageBreakBefore w:val="0"/>
        <w:kinsoku/>
        <w:wordWrap/>
        <w:overflowPunct/>
        <w:topLinePunct w:val="0"/>
        <w:autoSpaceDN/>
        <w:bidi w:val="0"/>
        <w:adjustRightInd/>
        <w:snapToGrid/>
        <w:spacing w:beforeAutospacing="0" w:afterAutospacing="0" w:line="360" w:lineRule="auto"/>
        <w:ind w:left="0" w:leftChars="0" w:right="0" w:rightChars="0" w:firstLine="0" w:firstLineChars="0"/>
        <w:rPr>
          <w:rStyle w:val="29"/>
          <w:rFonts w:hint="eastAsia" w:ascii="宋体" w:hAnsi="宋体" w:eastAsia="宋体" w:cs="宋体"/>
          <w:sz w:val="24"/>
          <w:szCs w:val="24"/>
          <w:highlight w:val="none"/>
          <w:lang w:eastAsia="zh-CN"/>
        </w:rPr>
        <w:sectPr>
          <w:footerReference r:id="rId5" w:type="default"/>
          <w:pgSz w:w="11910" w:h="16840"/>
          <w:pgMar w:top="1420" w:right="960" w:bottom="1100" w:left="13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firstLine="643" w:firstLineChars="200"/>
        <w:jc w:val="center"/>
        <w:rPr>
          <w:rStyle w:val="29"/>
          <w:rFonts w:hint="eastAsia" w:ascii="宋体" w:hAnsi="宋体" w:eastAsia="宋体" w:cs="宋体"/>
          <w:b/>
          <w:sz w:val="32"/>
          <w:highlight w:val="none"/>
          <w:lang w:eastAsia="zh-CN"/>
        </w:rPr>
      </w:pPr>
      <w:r>
        <w:rPr>
          <w:rStyle w:val="29"/>
          <w:rFonts w:hint="eastAsia" w:ascii="宋体" w:hAnsi="宋体" w:eastAsia="宋体" w:cs="宋体"/>
          <w:b/>
          <w:sz w:val="32"/>
          <w:highlight w:val="none"/>
          <w:lang w:eastAsia="zh-CN"/>
        </w:rPr>
        <w:t>第一章投标人须知</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1.项目概况</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b/>
          <w:sz w:val="32"/>
          <w:highlight w:val="none"/>
          <w:lang w:eastAsia="zh-CN"/>
        </w:rPr>
      </w:pPr>
      <w:r>
        <w:rPr>
          <w:rStyle w:val="29"/>
          <w:rFonts w:hint="eastAsia" w:ascii="宋体" w:hAnsi="宋体" w:eastAsia="宋体" w:cs="宋体"/>
          <w:sz w:val="24"/>
          <w:szCs w:val="24"/>
          <w:highlight w:val="none"/>
          <w:lang w:eastAsia="zh-CN"/>
        </w:rPr>
        <w:t>1.1项目名称：详见投标人须知前附表；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1.2招标方式：详见投标人须知前附表；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1.3采购内容：详见投标人须知前附表；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highlight w:val="none"/>
          <w:lang w:eastAsia="zh-CN"/>
        </w:rPr>
      </w:pPr>
      <w:r>
        <w:rPr>
          <w:rStyle w:val="29"/>
          <w:rFonts w:hint="eastAsia" w:ascii="宋体" w:hAnsi="宋体" w:eastAsia="宋体" w:cs="宋体"/>
          <w:sz w:val="24"/>
          <w:szCs w:val="24"/>
          <w:highlight w:val="none"/>
          <w:lang w:eastAsia="zh-CN"/>
        </w:rPr>
        <w:t>1.4资金来源：详见投标人须知前附表；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highlight w:val="none"/>
          <w:lang w:eastAsia="zh-CN"/>
        </w:rPr>
      </w:pPr>
      <w:r>
        <w:rPr>
          <w:rStyle w:val="29"/>
          <w:rFonts w:hint="eastAsia" w:ascii="宋体" w:hAnsi="宋体" w:eastAsia="宋体" w:cs="宋体"/>
          <w:sz w:val="24"/>
          <w:szCs w:val="24"/>
          <w:highlight w:val="none"/>
          <w:lang w:eastAsia="zh-CN"/>
        </w:rPr>
        <w:t>1.</w:t>
      </w:r>
      <w:r>
        <w:rPr>
          <w:rStyle w:val="29"/>
          <w:rFonts w:hint="eastAsia" w:ascii="宋体" w:hAnsi="宋体" w:eastAsia="宋体" w:cs="宋体"/>
          <w:sz w:val="24"/>
          <w:szCs w:val="24"/>
          <w:highlight w:val="none"/>
          <w:lang w:val="en-US" w:eastAsia="zh-CN"/>
        </w:rPr>
        <w:t>5</w:t>
      </w:r>
      <w:r>
        <w:rPr>
          <w:rStyle w:val="29"/>
          <w:rFonts w:hint="eastAsia" w:ascii="宋体" w:hAnsi="宋体" w:eastAsia="宋体" w:cs="宋体"/>
          <w:sz w:val="24"/>
          <w:szCs w:val="24"/>
          <w:highlight w:val="none"/>
          <w:lang w:eastAsia="zh-CN"/>
        </w:rPr>
        <w:t>合同履约期限：详见投标人须知前附表；</w:t>
      </w:r>
    </w:p>
    <w:p>
      <w:pPr>
        <w:pageBreakBefore w:val="0"/>
        <w:kinsoku/>
        <w:wordWrap/>
        <w:overflowPunct/>
        <w:topLinePunct w:val="0"/>
        <w:bidi w:val="0"/>
        <w:spacing w:beforeAutospacing="0" w:afterAutospacing="0" w:line="360" w:lineRule="auto"/>
        <w:ind w:left="0" w:leftChars="0" w:right="0" w:rightChars="0" w:firstLine="45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b/>
          <w:spacing w:val="-8"/>
          <w:sz w:val="24"/>
          <w:szCs w:val="24"/>
          <w:highlight w:val="none"/>
          <w:lang w:eastAsia="zh-CN"/>
        </w:rPr>
        <w:t>2</w:t>
      </w:r>
      <w:r>
        <w:rPr>
          <w:rStyle w:val="29"/>
          <w:rFonts w:hint="eastAsia" w:ascii="宋体" w:hAnsi="宋体" w:eastAsia="宋体" w:cs="宋体"/>
          <w:b/>
          <w:spacing w:val="-3"/>
          <w:sz w:val="24"/>
          <w:szCs w:val="24"/>
          <w:highlight w:val="none"/>
          <w:lang w:eastAsia="zh-CN"/>
        </w:rPr>
        <w:t>.定义</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下述术语和缩写的定义为：</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2.1“招标人”“采购人”系指依法进行政府采购的国家机关、事业单位、团体组织。本次政府采购的采购人名称、地址、联系人、电话详见投标人须知前附表。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2.2“采购代理机构”“招标代理机构”系指接受采购人委托，代理采购项目的采购代理机构。本次政府采购的采购代理机构名称、地址、联系人、电话详见投标人须知前附表。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2.3“投标人”、“供应商”系指向采购人提供货物、工程或者服务的法人、其他组织或者自然人。</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2.4“货物”系指各种形态和种类的物品，包括原材料、设备、产品等。</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2.5“工程”系指建设工程，包括建筑物和构筑物的新建、改建、扩建，装修、拆除，修缮等。</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2.6“服务”系指除货物和工程以外的其他政府采购对象。</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2.7“进口产品”系指通过中国海关报关验收进入中国境内且产自境外的产品。详见《关于政府采购进口产品管理有关问题的通知》（财库［2007］119号）。（本项目不适用）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“投标人公章”在投标文件中指与投标人标准公章一致的投标人电子签章。</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highlight w:val="none"/>
          <w:lang w:eastAsia="zh-CN"/>
        </w:rPr>
      </w:pPr>
      <w:r>
        <w:rPr>
          <w:rFonts w:hint="eastAsia" w:ascii="宋体" w:hAnsi="宋体" w:eastAsia="宋体" w:cs="宋体"/>
          <w:sz w:val="24"/>
          <w:highlight w:val="none"/>
          <w:lang w:eastAsia="zh-CN"/>
        </w:rPr>
        <w:t>2.</w:t>
      </w:r>
      <w:r>
        <w:rPr>
          <w:rFonts w:hint="eastAsia" w:ascii="宋体" w:hAnsi="宋体" w:eastAsia="宋体" w:cs="宋体"/>
          <w:sz w:val="24"/>
          <w:highlight w:val="none"/>
          <w:lang w:val="en-US" w:eastAsia="zh-CN"/>
        </w:rPr>
        <w:t>9</w:t>
      </w:r>
      <w:r>
        <w:rPr>
          <w:rStyle w:val="29"/>
          <w:rFonts w:hint="eastAsia" w:ascii="宋体" w:hAnsi="宋体" w:eastAsia="宋体" w:cs="宋体"/>
          <w:sz w:val="24"/>
          <w:szCs w:val="24"/>
          <w:highlight w:val="none"/>
          <w:lang w:eastAsia="zh-CN"/>
        </w:rPr>
        <w:t>“电子投标文件”指编制加密的投标文件。</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w:t>
      </w:r>
      <w:r>
        <w:rPr>
          <w:rStyle w:val="29"/>
          <w:rFonts w:hint="eastAsia" w:ascii="宋体" w:hAnsi="宋体" w:eastAsia="宋体" w:cs="宋体"/>
          <w:sz w:val="24"/>
          <w:szCs w:val="24"/>
          <w:highlight w:val="none"/>
          <w:lang w:val="en-US" w:eastAsia="zh-CN"/>
        </w:rPr>
        <w:t>10</w:t>
      </w:r>
      <w:r>
        <w:rPr>
          <w:rStyle w:val="29"/>
          <w:rFonts w:hint="eastAsia" w:ascii="宋体" w:hAnsi="宋体" w:eastAsia="宋体" w:cs="宋体"/>
          <w:sz w:val="24"/>
          <w:szCs w:val="24"/>
          <w:highlight w:val="none"/>
          <w:lang w:eastAsia="zh-CN"/>
        </w:rPr>
        <w:t>偏离</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w:t>
      </w:r>
      <w:r>
        <w:rPr>
          <w:rStyle w:val="29"/>
          <w:rFonts w:hint="eastAsia" w:ascii="宋体" w:hAnsi="宋体" w:eastAsia="宋体" w:cs="宋体"/>
          <w:sz w:val="24"/>
          <w:szCs w:val="24"/>
          <w:highlight w:val="none"/>
          <w:lang w:val="en-US" w:eastAsia="zh-CN"/>
        </w:rPr>
        <w:t>10</w:t>
      </w:r>
      <w:r>
        <w:rPr>
          <w:rStyle w:val="29"/>
          <w:rFonts w:hint="eastAsia" w:ascii="宋体" w:hAnsi="宋体" w:eastAsia="宋体" w:cs="宋体"/>
          <w:sz w:val="24"/>
          <w:szCs w:val="24"/>
          <w:highlight w:val="none"/>
          <w:lang w:eastAsia="zh-CN"/>
        </w:rPr>
        <w:t>.1本条所称偏离为投标文件对招标文件的偏离，即不满足、或不响应招标文件的要求。偏离分为对招标文件的实质性要求条款偏离和对招标文件的一般商务和技术条款偏离。</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w:t>
      </w:r>
      <w:r>
        <w:rPr>
          <w:rStyle w:val="29"/>
          <w:rFonts w:hint="eastAsia" w:ascii="宋体" w:hAnsi="宋体" w:eastAsia="宋体" w:cs="宋体"/>
          <w:sz w:val="24"/>
          <w:szCs w:val="24"/>
          <w:highlight w:val="none"/>
          <w:lang w:val="en-US" w:eastAsia="zh-CN"/>
        </w:rPr>
        <w:t>10</w:t>
      </w:r>
      <w:r>
        <w:rPr>
          <w:rStyle w:val="29"/>
          <w:rFonts w:hint="eastAsia" w:ascii="宋体" w:hAnsi="宋体" w:eastAsia="宋体" w:cs="宋体"/>
          <w:sz w:val="24"/>
          <w:szCs w:val="24"/>
          <w:highlight w:val="none"/>
          <w:lang w:eastAsia="zh-CN"/>
        </w:rPr>
        <w:t>.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招标人概不负责。</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w:t>
      </w:r>
      <w:r>
        <w:rPr>
          <w:rStyle w:val="29"/>
          <w:rFonts w:hint="eastAsia" w:ascii="宋体" w:hAnsi="宋体" w:eastAsia="宋体" w:cs="宋体"/>
          <w:sz w:val="24"/>
          <w:szCs w:val="24"/>
          <w:highlight w:val="none"/>
          <w:lang w:val="en-US" w:eastAsia="zh-CN"/>
        </w:rPr>
        <w:t>11</w:t>
      </w:r>
      <w:r>
        <w:rPr>
          <w:rStyle w:val="29"/>
          <w:rFonts w:hint="eastAsia" w:ascii="宋体" w:hAnsi="宋体" w:eastAsia="宋体" w:cs="宋体"/>
          <w:sz w:val="24"/>
          <w:szCs w:val="24"/>
          <w:highlight w:val="none"/>
          <w:lang w:eastAsia="zh-CN"/>
        </w:rPr>
        <w:t>特别说明</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w:t>
      </w:r>
      <w:r>
        <w:rPr>
          <w:rStyle w:val="29"/>
          <w:rFonts w:hint="eastAsia" w:ascii="宋体" w:hAnsi="宋体" w:eastAsia="宋体" w:cs="宋体"/>
          <w:sz w:val="24"/>
          <w:szCs w:val="24"/>
          <w:highlight w:val="none"/>
          <w:lang w:val="en-US" w:eastAsia="zh-CN"/>
        </w:rPr>
        <w:t>11</w:t>
      </w:r>
      <w:r>
        <w:rPr>
          <w:rStyle w:val="29"/>
          <w:rFonts w:hint="eastAsia" w:ascii="宋体" w:hAnsi="宋体" w:eastAsia="宋体" w:cs="宋体"/>
          <w:sz w:val="24"/>
          <w:szCs w:val="24"/>
          <w:highlight w:val="none"/>
          <w:lang w:eastAsia="zh-CN"/>
        </w:rPr>
        <w:t>.1供应商所使用的资格、信誉、荣誉、业绩与企业认证等必须为供应商所拥有。</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w:t>
      </w:r>
      <w:r>
        <w:rPr>
          <w:rStyle w:val="29"/>
          <w:rFonts w:hint="eastAsia" w:ascii="宋体" w:hAnsi="宋体" w:eastAsia="宋体" w:cs="宋体"/>
          <w:sz w:val="24"/>
          <w:szCs w:val="24"/>
          <w:highlight w:val="none"/>
          <w:lang w:val="en-US" w:eastAsia="zh-CN"/>
        </w:rPr>
        <w:t>11</w:t>
      </w:r>
      <w:r>
        <w:rPr>
          <w:rStyle w:val="29"/>
          <w:rFonts w:hint="eastAsia" w:ascii="宋体" w:hAnsi="宋体" w:eastAsia="宋体" w:cs="宋体"/>
          <w:sz w:val="24"/>
          <w:szCs w:val="24"/>
          <w:highlight w:val="none"/>
          <w:lang w:eastAsia="zh-CN"/>
        </w:rPr>
        <w:t>.2供应商应仔细阅读招标文件中的所有内容，按照招标文件的要求编制、提交投标文件，并对其所提供的全部资料的真实性承担法律责任。</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w:t>
      </w:r>
      <w:r>
        <w:rPr>
          <w:rStyle w:val="29"/>
          <w:rFonts w:hint="eastAsia" w:ascii="宋体" w:hAnsi="宋体" w:eastAsia="宋体" w:cs="宋体"/>
          <w:sz w:val="24"/>
          <w:szCs w:val="24"/>
          <w:highlight w:val="none"/>
          <w:lang w:val="en-US" w:eastAsia="zh-CN"/>
        </w:rPr>
        <w:t>11</w:t>
      </w:r>
      <w:r>
        <w:rPr>
          <w:rStyle w:val="29"/>
          <w:rFonts w:hint="eastAsia" w:ascii="宋体" w:hAnsi="宋体" w:eastAsia="宋体" w:cs="宋体"/>
          <w:sz w:val="24"/>
          <w:szCs w:val="24"/>
          <w:highlight w:val="none"/>
          <w:lang w:eastAsia="zh-CN"/>
        </w:rPr>
        <w:t>.3招标文件所提供的资料，是招标人现有的能被供应商利用的资料，招标人对供应商做出的任何推论、理解和结论均不负任何责任。</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3.供应商资格</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3.1供应商资格：详见投标人须知前附表。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3.2投标人应遵守中华人民共和国法律、法规和行政规章。</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3.3供应商不得存在下列情形之一：</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（1）与招标人、代理机构存在利害关系。</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（2）单位负责人为同一人或者存在控股、管理关系的不同供应商，不得参加同一合同项下的政府采购活动。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4.投标费用</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4.1无论投标过程中的做法和结果如何，投标人将自行承担所有与参加投标有关的费用。</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5.联合体形式</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5.1除投标人须知前附表中另有规定，本次招标不接受为联合体形式的供应商。</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6．现场勘察</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6.1供应商应按投标人须知前附表中规定对采购项目现场和周围环境进行考察。</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6.2勘察现场的费用由供应商自己承担，勘察期间所发生的人身伤害及财产损失由供应商自己负责。</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6.3招标人不对供应商据此而做出的推论、理解和结论负责。一旦成交，供应商不得以任何借口，而提出额外补偿，或延长合同期限的要求。</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7.采购进口产品</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7.1除投标人须知前附表另有规定外，本项目不接受进口产品参加采购活动。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8.政府采购政策的支持</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8.1政府采购有关的货物采购执行环境标志产品政府优先采购政策。在采购过程中执行最新一期的环境标志产品政府采购清单。优先采购政策规定可在：中国政府采购网（http://www.ccgp.gov.cn/）查询。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b/>
          <w:w w:val="98"/>
          <w:sz w:val="24"/>
          <w:szCs w:val="24"/>
          <w:highlight w:val="none"/>
          <w:lang w:eastAsia="zh-CN"/>
        </w:rPr>
      </w:pPr>
      <w:r>
        <w:rPr>
          <w:rStyle w:val="29"/>
          <w:rFonts w:hint="eastAsia" w:ascii="宋体" w:hAnsi="宋体" w:eastAsia="宋体" w:cs="宋体"/>
          <w:sz w:val="24"/>
          <w:szCs w:val="24"/>
          <w:highlight w:val="none"/>
          <w:lang w:eastAsia="zh-CN"/>
        </w:rPr>
        <w:t>8.3供应商在签署相关承诺、提供相关信息前，应当认真阅读财政部门的相关政策规定。符合本章第8.1-8.3款规定的，应当提供相关的证明材料。</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2"/>
          <w:highlight w:val="none"/>
          <w:lang w:eastAsia="zh-CN"/>
        </w:rPr>
      </w:pPr>
      <w:r>
        <w:rPr>
          <w:rStyle w:val="29"/>
          <w:rFonts w:hint="eastAsia" w:ascii="宋体" w:hAnsi="宋体" w:eastAsia="宋体" w:cs="宋体"/>
          <w:b/>
          <w:sz w:val="32"/>
          <w:highlight w:val="none"/>
          <w:lang w:eastAsia="zh-CN"/>
        </w:rPr>
        <w:t>第二章 竞争性磋商文件的编写</w:t>
      </w:r>
    </w:p>
    <w:p>
      <w:pPr>
        <w:pStyle w:val="39"/>
        <w:pageBreakBefore w:val="0"/>
        <w:kinsoku/>
        <w:wordWrap/>
        <w:overflowPunct/>
        <w:topLinePunct w:val="0"/>
        <w:bidi w:val="0"/>
        <w:spacing w:before="0" w:beforeAutospacing="0" w:afterAutospacing="0" w:line="360" w:lineRule="auto"/>
        <w:ind w:left="0" w:leftChars="0" w:right="0" w:rightChars="0" w:firstLine="482"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9.竞争性磋商文件的构成</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9.1竞争性磋商文件由下述部分组成：</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第一部分竞争性磋商公告</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第二部分投标人须知</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第三部分采购内容及参数要求</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第四部分合同条款</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第五部分附件</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9.2竞争性磋商文件以中文书写。</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9.3投标人被视为熟悉本招标项目的各种情况以及与履行合同有关的一切其他情况。</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pPr>
        <w:pStyle w:val="39"/>
        <w:pageBreakBefore w:val="0"/>
        <w:kinsoku/>
        <w:wordWrap/>
        <w:overflowPunct/>
        <w:topLinePunct w:val="0"/>
        <w:bidi w:val="0"/>
        <w:spacing w:before="0" w:beforeAutospacing="0" w:afterAutospacing="0" w:line="360" w:lineRule="auto"/>
        <w:ind w:left="0" w:leftChars="0" w:right="0" w:rightChars="0" w:firstLine="482"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10.竞争性磋商文件的澄清、标前会议</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pStyle w:val="39"/>
        <w:pageBreakBefore w:val="0"/>
        <w:kinsoku/>
        <w:wordWrap/>
        <w:overflowPunct/>
        <w:topLinePunct w:val="0"/>
        <w:bidi w:val="0"/>
        <w:spacing w:before="0" w:beforeAutospacing="0" w:afterAutospacing="0" w:line="360" w:lineRule="auto"/>
        <w:ind w:left="0" w:leftChars="0" w:right="0" w:rightChars="0" w:firstLine="482"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11.竞争性磋商文件的修改或补充</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11.1在投标截止期5日前的任何时间，采购人可主动或依据投标人要求澄清的问题而修改或补充竞争性磋商文件，并以书面形式通知所有投标人，投标人在收到该通知后应立即以电报或传真的形式予以确认。</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11.2为使投标人在准备投标时有适当的时间考虑响应文件的修改，采购人有权决定推迟投标截止日期和开标日期，并将此变更通知所有的投标人。</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11.3竞争性磋商文件的修改书和补充文件将构成竞争性磋商文件的一部分，并且比竞争性磋商文件对投标人具有优先的约束力。</w:t>
      </w:r>
    </w:p>
    <w:p>
      <w:pPr>
        <w:pStyle w:val="40"/>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sz w:val="24"/>
          <w:szCs w:val="24"/>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2"/>
          <w:highlight w:val="none"/>
          <w:lang w:eastAsia="zh-CN"/>
        </w:rPr>
      </w:pPr>
      <w:r>
        <w:rPr>
          <w:rStyle w:val="29"/>
          <w:rFonts w:hint="eastAsia" w:ascii="宋体" w:hAnsi="宋体" w:eastAsia="宋体" w:cs="宋体"/>
          <w:b/>
          <w:sz w:val="32"/>
          <w:highlight w:val="none"/>
          <w:lang w:eastAsia="zh-CN"/>
        </w:rPr>
        <w:t>第三章 响应文件的编写</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val="en-US" w:eastAsia="zh-CN" w:bidi="ar-SA"/>
        </w:rPr>
      </w:pPr>
      <w:r>
        <w:rPr>
          <w:rStyle w:val="29"/>
          <w:rFonts w:hint="eastAsia" w:ascii="宋体" w:hAnsi="宋体" w:eastAsia="宋体" w:cs="宋体"/>
          <w:b/>
          <w:bCs/>
          <w:sz w:val="24"/>
          <w:szCs w:val="24"/>
          <w:highlight w:val="none"/>
          <w:lang w:val="en-US" w:eastAsia="zh-CN" w:bidi="ar-SA"/>
        </w:rPr>
        <w:t>12.要求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val="en-US" w:eastAsia="zh-CN" w:bidi="ar-SA"/>
        </w:rPr>
      </w:pPr>
      <w:r>
        <w:rPr>
          <w:rStyle w:val="29"/>
          <w:rFonts w:hint="eastAsia" w:ascii="宋体" w:hAnsi="宋体" w:eastAsia="宋体" w:cs="宋体"/>
          <w:b/>
          <w:bCs/>
          <w:sz w:val="24"/>
          <w:szCs w:val="24"/>
          <w:highlight w:val="none"/>
          <w:lang w:val="en-US" w:eastAsia="zh-CN" w:bidi="ar-SA"/>
        </w:rPr>
        <w:t>13.响应文件语言和度量单位</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13.1响应文件及投标人和采购人就招标、投标交换的文件和往来信件，须以中文书写。供应商可提交其他语言的资料，但应附中文注释，在有差异时，以中文为主。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13.2除在竞争性磋商文件的技术规格中另有规定外，计量单位应使用中华人民共和国法定计量单位（国际单位制和国家选定的其它计量单位）。</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val="en-US" w:eastAsia="zh-CN" w:bidi="ar-SA"/>
        </w:rPr>
      </w:pPr>
      <w:r>
        <w:rPr>
          <w:rStyle w:val="29"/>
          <w:rFonts w:hint="eastAsia" w:ascii="宋体" w:hAnsi="宋体" w:eastAsia="宋体" w:cs="宋体"/>
          <w:b/>
          <w:bCs/>
          <w:sz w:val="24"/>
          <w:szCs w:val="24"/>
          <w:highlight w:val="none"/>
          <w:lang w:val="en-US" w:eastAsia="zh-CN" w:bidi="ar-SA"/>
        </w:rPr>
        <w:t>14.响应文件的组成</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14.1响应文件包括（但不仅限于）下列内容：</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（1）投标函（附件一）；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（2）报价一览表（附件二）；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（3）法定代表人身份证明书（附件三）；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（4）法定代表人授权委托书（附件四）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lang w:eastAsia="zh-CN"/>
        </w:rPr>
        <w:t>综合情况一览表（附件五）</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（6）近三年类似项目业绩一览表（附件六）；</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（7）商务条款偏离表（附件七）；</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（8）技术规格偏离表（附件八）；</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szCs w:val="24"/>
          <w:highlight w:val="none"/>
          <w:lang w:eastAsia="zh-CN"/>
        </w:rPr>
      </w:pPr>
      <w:r>
        <w:rPr>
          <w:rFonts w:hint="eastAsia" w:ascii="宋体" w:hAnsi="宋体" w:eastAsia="宋体" w:cs="宋体"/>
          <w:sz w:val="24"/>
          <w:highlight w:val="none"/>
          <w:lang w:eastAsia="zh-CN"/>
        </w:rPr>
        <w:t>（9）</w:t>
      </w:r>
      <w:r>
        <w:rPr>
          <w:rFonts w:hint="eastAsia" w:ascii="宋体" w:hAnsi="宋体" w:eastAsia="宋体" w:cs="宋体"/>
          <w:sz w:val="24"/>
          <w:szCs w:val="24"/>
          <w:highlight w:val="none"/>
          <w:lang w:eastAsia="zh-CN"/>
        </w:rPr>
        <w:t>组织机构及人员配备情况表；</w:t>
      </w:r>
      <w:r>
        <w:rPr>
          <w:rFonts w:hint="eastAsia" w:ascii="宋体" w:hAnsi="宋体" w:eastAsia="宋体" w:cs="宋体"/>
          <w:sz w:val="24"/>
          <w:highlight w:val="none"/>
          <w:lang w:eastAsia="zh-CN"/>
        </w:rPr>
        <w:t>（附件九）</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（10）诚信磋商供应商承诺书；</w:t>
      </w:r>
      <w:r>
        <w:rPr>
          <w:rFonts w:hint="eastAsia" w:ascii="宋体" w:hAnsi="宋体" w:eastAsia="宋体" w:cs="宋体"/>
          <w:sz w:val="24"/>
          <w:highlight w:val="none"/>
          <w:lang w:eastAsia="zh-CN"/>
        </w:rPr>
        <w:t>（附件十）</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（11）反商业贿赂承诺书；</w:t>
      </w:r>
      <w:r>
        <w:rPr>
          <w:rFonts w:hint="eastAsia" w:ascii="宋体" w:hAnsi="宋体" w:eastAsia="宋体" w:cs="宋体"/>
          <w:sz w:val="24"/>
          <w:highlight w:val="none"/>
          <w:lang w:eastAsia="zh-CN"/>
        </w:rPr>
        <w:t>（附件十一）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highlight w:val="none"/>
          <w:lang w:eastAsia="zh-CN"/>
        </w:rPr>
      </w:pPr>
      <w:r>
        <w:rPr>
          <w:rFonts w:hint="eastAsia" w:ascii="宋体" w:hAnsi="宋体" w:eastAsia="宋体" w:cs="宋体"/>
          <w:sz w:val="24"/>
          <w:szCs w:val="24"/>
          <w:highlight w:val="none"/>
          <w:lang w:eastAsia="zh-CN"/>
        </w:rPr>
        <w:t>（12）项目技术服务方案；</w:t>
      </w:r>
      <w:r>
        <w:rPr>
          <w:rFonts w:hint="eastAsia" w:ascii="宋体" w:hAnsi="宋体" w:eastAsia="宋体" w:cs="宋体"/>
          <w:sz w:val="24"/>
          <w:highlight w:val="none"/>
          <w:lang w:eastAsia="zh-CN"/>
        </w:rPr>
        <w:t>（附件十二）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（13）商务、技术标要求的内容资料；</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iCs/>
          <w:sz w:val="24"/>
          <w:highlight w:val="none"/>
          <w:u w:val="single"/>
          <w:lang w:eastAsia="zh-CN"/>
        </w:rPr>
      </w:pPr>
      <w:r>
        <w:rPr>
          <w:rFonts w:hint="eastAsia" w:ascii="宋体" w:hAnsi="宋体" w:eastAsia="宋体" w:cs="宋体"/>
          <w:sz w:val="24"/>
          <w:highlight w:val="none"/>
          <w:lang w:eastAsia="zh-CN"/>
        </w:rPr>
        <w:t>（14）投标人认为有必要提供的其它材料。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14.2所有资格证明文件，正本中的资格证明文件（如业绩、资质证书等）均须为加盖投标人公章的复印件或扫描件，副本为正本的复印件；开标结束后，可根据投标人的需要退回原件（针对本招标项目的特定授权原件不予退还）。</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14.3所有资格证明文件必须满足竞争性磋商文件的要求，否则将导致投标被否决。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14.4投标人可按竞争性磋商文件的范本格式中提供的响应文件格式填写响应文件；如提供的范本格式有不完善之处，请自行补充完善。</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val="en-US" w:eastAsia="zh-CN" w:bidi="ar-SA"/>
        </w:rPr>
      </w:pPr>
      <w:r>
        <w:rPr>
          <w:rStyle w:val="29"/>
          <w:rFonts w:hint="eastAsia" w:ascii="宋体" w:hAnsi="宋体" w:eastAsia="宋体" w:cs="宋体"/>
          <w:b/>
          <w:bCs/>
          <w:sz w:val="24"/>
          <w:szCs w:val="24"/>
          <w:highlight w:val="none"/>
          <w:lang w:val="en-US" w:eastAsia="zh-CN" w:bidi="ar-SA"/>
        </w:rPr>
        <w:t>15.符合竞争性磋商文件规定的证明文件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15.1供应商提供的资格证明材料，须满足投标人须知前附表的要求。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15.2供应商为联合体形式的，则应提交联合体各方的资格文件，否则将视为未实质性响应条款而被拒绝。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15.3投标人确保所提供货物（或服务），其质量满足中华人民共和国国家相关标准，使用的原辅材料要符合质量要求，拟投入的设备完好率足以胜任本项目的工作。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15.4投标人须提交证明拟供货物（或服务）符合竞争性磋商文件规定的技术响应文件，作为响应文件的一部分。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15.5提供的货物（或服务）符合规定的相应技术标准、环保及节能标准等。</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15.6对照采购人的采购内容及技术要求，逐条确定，指出所提供的货物（或服务）是否实质性响应竞争性磋商文件的要求，如有偏离，须填报偏离表（见附件）。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val="en-US" w:eastAsia="zh-CN" w:bidi="ar-SA"/>
        </w:rPr>
      </w:pPr>
      <w:r>
        <w:rPr>
          <w:rStyle w:val="29"/>
          <w:rFonts w:hint="eastAsia" w:ascii="宋体" w:hAnsi="宋体" w:eastAsia="宋体" w:cs="宋体"/>
          <w:b/>
          <w:bCs/>
          <w:sz w:val="24"/>
          <w:szCs w:val="24"/>
          <w:highlight w:val="none"/>
          <w:lang w:val="en-US" w:eastAsia="zh-CN" w:bidi="ar-SA"/>
        </w:rPr>
        <w:t>16.投标报价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16.2其报价须保证在投标有效期及交付期内固定不变。采购人不接受有任何选择性报价。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pStyle w:val="3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29"/>
          <w:rFonts w:hint="eastAsia" w:ascii="宋体" w:hAnsi="宋体" w:eastAsia="宋体" w:cs="宋体"/>
          <w:b w:val="0"/>
          <w:bCs w:val="0"/>
          <w:sz w:val="24"/>
          <w:szCs w:val="24"/>
          <w:highlight w:val="none"/>
          <w:lang w:val="en-US" w:eastAsia="zh-CN" w:bidi="ar-SA"/>
        </w:rPr>
      </w:pPr>
      <w:r>
        <w:rPr>
          <w:rStyle w:val="29"/>
          <w:rFonts w:hint="eastAsia" w:ascii="宋体" w:hAnsi="宋体" w:eastAsia="宋体" w:cs="宋体"/>
          <w:b w:val="0"/>
          <w:bCs w:val="0"/>
          <w:sz w:val="24"/>
          <w:szCs w:val="24"/>
          <w:highlight w:val="none"/>
          <w:lang w:val="en-US" w:eastAsia="zh-CN" w:bidi="ar-SA"/>
        </w:rPr>
        <w:t>16.4投标报价货币单位：人民币。</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val="en-US" w:eastAsia="zh-CN" w:bidi="ar-SA"/>
        </w:rPr>
      </w:pPr>
      <w:r>
        <w:rPr>
          <w:rStyle w:val="29"/>
          <w:rFonts w:hint="eastAsia" w:ascii="宋体" w:hAnsi="宋体" w:eastAsia="宋体" w:cs="宋体"/>
          <w:b/>
          <w:bCs/>
          <w:sz w:val="24"/>
          <w:szCs w:val="24"/>
          <w:highlight w:val="none"/>
          <w:lang w:val="en-US" w:eastAsia="zh-CN" w:bidi="ar-SA"/>
        </w:rPr>
        <w:t>17.投标有效期</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17.1投标有效期详见投标人须知前附表，如不满足其投标将被否决。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val="en-US" w:eastAsia="zh-CN" w:bidi="ar-SA"/>
        </w:rPr>
      </w:pPr>
      <w:r>
        <w:rPr>
          <w:rStyle w:val="29"/>
          <w:rFonts w:hint="eastAsia" w:ascii="宋体" w:hAnsi="宋体" w:eastAsia="宋体" w:cs="宋体"/>
          <w:b/>
          <w:bCs/>
          <w:sz w:val="24"/>
          <w:szCs w:val="24"/>
          <w:highlight w:val="none"/>
          <w:lang w:val="en-US" w:eastAsia="zh-CN" w:bidi="ar-SA"/>
        </w:rPr>
        <w:t>18．磋商保证金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18.1磋商保证金的缴纳详见投标人须知前附表。未按规定提交磋商保证金的投标，将被视为投标无效。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18.2磋商保证金的退还详见投标人须知前附表。</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18.3不予退还保证金的情形，详见投标人须知前附表。</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val="en-US" w:eastAsia="zh-CN" w:bidi="ar-SA"/>
        </w:rPr>
      </w:pPr>
      <w:r>
        <w:rPr>
          <w:rStyle w:val="29"/>
          <w:rFonts w:hint="eastAsia" w:ascii="宋体" w:hAnsi="宋体" w:eastAsia="宋体" w:cs="宋体"/>
          <w:b/>
          <w:bCs/>
          <w:sz w:val="24"/>
          <w:szCs w:val="24"/>
          <w:highlight w:val="none"/>
          <w:lang w:val="en-US" w:eastAsia="zh-CN" w:bidi="ar-SA"/>
        </w:rPr>
        <w:t>19.响应文件的签署及规定</w:t>
      </w:r>
    </w:p>
    <w:p>
      <w:pPr>
        <w:pStyle w:val="57"/>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b/>
          <w:sz w:val="24"/>
          <w:highlight w:val="none"/>
        </w:rPr>
      </w:pPr>
      <w:r>
        <w:rPr>
          <w:rFonts w:hint="eastAsia" w:ascii="宋体" w:hAnsi="宋体" w:eastAsia="宋体" w:cs="宋体"/>
          <w:sz w:val="24"/>
          <w:highlight w:val="none"/>
        </w:rPr>
        <w:t>19.1电子投标文件须使用投标人公章的电子签章以及法定代表人的电子签章。若无电子签章，则视为无效投标。</w:t>
      </w:r>
    </w:p>
    <w:p>
      <w:pPr>
        <w:pStyle w:val="57"/>
        <w:pageBreakBefore w:val="0"/>
        <w:kinsoku/>
        <w:wordWrap/>
        <w:overflowPunct/>
        <w:topLinePunct w:val="0"/>
        <w:bidi w:val="0"/>
        <w:spacing w:beforeAutospacing="0" w:afterAutospacing="0" w:line="360" w:lineRule="auto"/>
        <w:ind w:left="0" w:leftChars="0" w:right="0" w:rightChars="0" w:firstLine="720" w:firstLineChars="300"/>
        <w:rPr>
          <w:rFonts w:hint="eastAsia" w:ascii="宋体" w:hAnsi="宋体" w:eastAsia="宋体" w:cs="宋体"/>
          <w:b/>
          <w:sz w:val="24"/>
          <w:highlight w:val="none"/>
        </w:rPr>
      </w:pPr>
      <w:r>
        <w:rPr>
          <w:rFonts w:hint="eastAsia" w:ascii="宋体" w:hAnsi="宋体" w:eastAsia="宋体" w:cs="宋体"/>
          <w:sz w:val="24"/>
          <w:highlight w:val="none"/>
        </w:rPr>
        <w:t>19.2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p>
    <w:p>
      <w:pPr>
        <w:pStyle w:val="40"/>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w w:val="98"/>
          <w:highlight w:val="none"/>
          <w:lang w:eastAsia="zh-CN"/>
        </w:rPr>
      </w:pPr>
      <w:r>
        <w:rPr>
          <w:rStyle w:val="29"/>
          <w:rFonts w:hint="eastAsia" w:ascii="宋体" w:hAnsi="宋体" w:eastAsia="宋体" w:cs="宋体"/>
          <w:highlight w:val="none"/>
          <w:lang w:eastAsia="zh-CN"/>
        </w:rPr>
        <w:t>第四章 响应文件的递交</w:t>
      </w:r>
    </w:p>
    <w:p>
      <w:pPr>
        <w:pStyle w:val="40"/>
        <w:pageBreakBefore w:val="0"/>
        <w:kinsoku/>
        <w:wordWrap/>
        <w:overflowPunct/>
        <w:topLinePunct w:val="0"/>
        <w:bidi w:val="0"/>
        <w:spacing w:beforeAutospacing="0" w:afterAutospacing="0" w:line="360" w:lineRule="auto"/>
        <w:ind w:left="0" w:leftChars="0" w:right="0" w:rightChars="0"/>
        <w:jc w:val="left"/>
        <w:rPr>
          <w:rStyle w:val="29"/>
          <w:rFonts w:hint="eastAsia" w:ascii="宋体" w:hAnsi="宋体" w:eastAsia="宋体" w:cs="宋体"/>
          <w:highlight w:val="none"/>
          <w:lang w:eastAsia="zh-CN"/>
        </w:rPr>
      </w:pP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20.响应性文件的密封与标记（纸质标规定电子标忽略）</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20.1响应文件的密封：详见投标人须知前附表。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20.2如果投标人未按上述要求对响应文件密封及加写标记，采购代理机构对由此造成的文件的误投或过早启封概不负责，采购代理机构有权予以拒绝，并退回投标人。</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20.3由于不可抗拒的原因或无法控制的事件而导致丢失或损坏投标包装体内的响应文件，采购人将不负责任。</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b/>
          <w:color w:val="000000" w:themeColor="text1"/>
          <w:sz w:val="24"/>
          <w:szCs w:val="24"/>
          <w:highlight w:val="none"/>
          <w:lang w:eastAsia="zh-CN"/>
          <w14:textFill>
            <w14:solidFill>
              <w14:schemeClr w14:val="tx1"/>
            </w14:solidFill>
          </w14:textFill>
        </w:rPr>
        <w:t>21.响应文件递交截止时间</w:t>
      </w:r>
    </w:p>
    <w:p>
      <w:pPr>
        <w:pStyle w:val="68"/>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29"/>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21.1项目采用不见面开标。只需将加密电子投标文件在投标截止时间前通过平台上传完成。上传时必须得到电脑“上传成功”的确认回复后方为上传成功。逾期上传的或者未上传到平台的投标文件，采购人不予受理。</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color w:val="000000" w:themeColor="text1"/>
          <w:sz w:val="24"/>
          <w:szCs w:val="24"/>
          <w:highlight w:val="none"/>
          <w:lang w:eastAsia="zh-CN"/>
          <w14:textFill>
            <w14:solidFill>
              <w14:schemeClr w14:val="tx1"/>
            </w14:solidFill>
          </w14:textFill>
        </w:rPr>
      </w:pPr>
      <w:r>
        <w:rPr>
          <w:rStyle w:val="29"/>
          <w:rFonts w:hint="eastAsia" w:ascii="宋体" w:hAnsi="宋体" w:eastAsia="宋体" w:cs="宋体"/>
          <w:color w:val="000000" w:themeColor="text1"/>
          <w:sz w:val="24"/>
          <w:szCs w:val="24"/>
          <w:highlight w:val="none"/>
          <w:lang w:eastAsia="zh-CN"/>
          <w14:textFill>
            <w14:solidFill>
              <w14:schemeClr w14:val="tx1"/>
            </w14:solidFill>
          </w14:textFill>
        </w:rPr>
        <w:t>21.2</w:t>
      </w:r>
      <w:r>
        <w:rPr>
          <w:rStyle w:val="29"/>
          <w:rFonts w:hint="eastAsia" w:ascii="宋体" w:hAnsi="宋体" w:eastAsia="宋体" w:cs="宋体"/>
          <w:color w:val="000000" w:themeColor="text1"/>
          <w:sz w:val="24"/>
          <w:szCs w:val="24"/>
          <w:highlight w:val="none"/>
          <w:lang w:val="zh-CN" w:eastAsia="zh-CN"/>
          <w14:textFill>
            <w14:solidFill>
              <w14:schemeClr w14:val="tx1"/>
            </w14:solidFill>
          </w14:textFill>
        </w:rPr>
        <w:t>成交</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的供应商</w:t>
      </w:r>
      <w:r>
        <w:rPr>
          <w:rStyle w:val="29"/>
          <w:rFonts w:hint="eastAsia" w:ascii="宋体" w:hAnsi="宋体" w:eastAsia="宋体" w:cs="宋体"/>
          <w:color w:val="000000" w:themeColor="text1"/>
          <w:sz w:val="24"/>
          <w:szCs w:val="24"/>
          <w:highlight w:val="none"/>
          <w:lang w:val="zh-CN" w:eastAsia="zh-CN"/>
          <w14:textFill>
            <w14:solidFill>
              <w14:schemeClr w14:val="tx1"/>
            </w14:solidFill>
          </w14:textFill>
        </w:rPr>
        <w:t>在领取成交通知书时按照须知前附表第</w:t>
      </w:r>
      <w:r>
        <w:rPr>
          <w:rStyle w:val="29"/>
          <w:rFonts w:hint="eastAsia" w:ascii="宋体" w:hAnsi="宋体" w:eastAsia="宋体" w:cs="宋体"/>
          <w:color w:val="000000" w:themeColor="text1"/>
          <w:sz w:val="24"/>
          <w:szCs w:val="24"/>
          <w:highlight w:val="none"/>
          <w:lang w:val="en-US" w:eastAsia="zh-CN"/>
          <w14:textFill>
            <w14:solidFill>
              <w14:schemeClr w14:val="tx1"/>
            </w14:solidFill>
          </w14:textFill>
        </w:rPr>
        <w:t>19项规定</w:t>
      </w:r>
      <w:r>
        <w:rPr>
          <w:rStyle w:val="29"/>
          <w:rFonts w:hint="eastAsia" w:ascii="宋体" w:hAnsi="宋体" w:eastAsia="宋体" w:cs="宋体"/>
          <w:color w:val="000000" w:themeColor="text1"/>
          <w:sz w:val="24"/>
          <w:szCs w:val="24"/>
          <w:highlight w:val="none"/>
          <w:lang w:val="zh-CN" w:eastAsia="zh-CN"/>
          <w14:textFill>
            <w14:solidFill>
              <w14:schemeClr w14:val="tx1"/>
            </w14:solidFill>
          </w14:textFill>
        </w:rPr>
        <w:t>向</w:t>
      </w:r>
      <w:r>
        <w:rPr>
          <w:rStyle w:val="29"/>
          <w:rFonts w:hint="eastAsia" w:ascii="宋体" w:hAnsi="宋体" w:eastAsia="宋体" w:cs="宋体"/>
          <w:color w:val="000000" w:themeColor="text1"/>
          <w:sz w:val="24"/>
          <w:szCs w:val="24"/>
          <w:highlight w:val="none"/>
          <w:lang w:eastAsia="zh-CN"/>
          <w14:textFill>
            <w14:solidFill>
              <w14:schemeClr w14:val="tx1"/>
            </w14:solidFill>
          </w14:textFill>
        </w:rPr>
        <w:t>采购</w:t>
      </w:r>
      <w:r>
        <w:rPr>
          <w:rStyle w:val="29"/>
          <w:rFonts w:hint="eastAsia" w:ascii="宋体" w:hAnsi="宋体" w:eastAsia="宋体" w:cs="宋体"/>
          <w:color w:val="000000" w:themeColor="text1"/>
          <w:sz w:val="24"/>
          <w:szCs w:val="24"/>
          <w:highlight w:val="none"/>
          <w:lang w:val="zh-CN" w:eastAsia="zh-CN"/>
          <w14:textFill>
            <w14:solidFill>
              <w14:schemeClr w14:val="tx1"/>
            </w14:solidFill>
          </w14:textFill>
        </w:rPr>
        <w:t>代理机构递交纸质响应文件；</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b/>
          <w:bCs/>
          <w:sz w:val="24"/>
          <w:szCs w:val="24"/>
          <w:highlight w:val="none"/>
          <w:lang w:eastAsia="zh-CN"/>
        </w:rPr>
        <w:t>22.响应文件的修改和撤回</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22.1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22.2对响应文件修改的书面材料应于投标截止日前送达采购人，投标截止时间以后不得修改响应文件。</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22.3投标人不得在开标时间起至投标有效期期满前撤回响应文件。</w:t>
      </w:r>
    </w:p>
    <w:p>
      <w:pPr>
        <w:pStyle w:val="40"/>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第五章 开标</w:t>
      </w:r>
    </w:p>
    <w:p>
      <w:pPr>
        <w:pageBreakBefore w:val="0"/>
        <w:kinsoku/>
        <w:wordWrap/>
        <w:overflowPunct/>
        <w:topLinePunct w:val="0"/>
        <w:bidi w:val="0"/>
        <w:spacing w:beforeAutospacing="0" w:afterAutospacing="0" w:line="360" w:lineRule="auto"/>
        <w:ind w:left="0" w:leftChars="0" w:right="0" w:rightChars="0" w:firstLine="482" w:firstLineChars="200"/>
        <w:rPr>
          <w:rStyle w:val="29"/>
          <w:rFonts w:hint="eastAsia" w:ascii="宋体" w:hAnsi="宋体" w:eastAsia="宋体" w:cs="宋体"/>
          <w:b/>
          <w:bCs/>
          <w:sz w:val="24"/>
          <w:szCs w:val="24"/>
          <w:highlight w:val="none"/>
          <w:lang w:eastAsia="zh-CN"/>
        </w:rPr>
      </w:pPr>
      <w:r>
        <w:rPr>
          <w:rStyle w:val="29"/>
          <w:rFonts w:hint="eastAsia" w:ascii="宋体" w:hAnsi="宋体" w:eastAsia="宋体" w:cs="宋体"/>
          <w:b/>
          <w:bCs/>
          <w:sz w:val="24"/>
          <w:szCs w:val="24"/>
          <w:highlight w:val="none"/>
          <w:lang w:eastAsia="zh-CN"/>
        </w:rPr>
        <w:t>23．开标</w:t>
      </w:r>
    </w:p>
    <w:p>
      <w:pPr>
        <w:pStyle w:val="6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A．采用见面开标方式</w:t>
      </w:r>
    </w:p>
    <w:p>
      <w:pPr>
        <w:pStyle w:val="68"/>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 采购代理机构按照招标文件规定的时间、地点主持开标。投标人法定代表人或授权代理人应携带身份证明、电子密钥（电子证书）、未加密的电子投标文件（用信封密封）及应当提交的其他资料参加开标并签到。</w:t>
      </w:r>
    </w:p>
    <w:p>
      <w:pPr>
        <w:pStyle w:val="68"/>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 开标前，采购代理机构将会同监督人员进行验标（检查网上招标系统正常与否，检查未加密的电子投标文件，检查投标人保证金交纳情况），确认无误后开标。开标时，各投标人应对本单位的加密的电子投标文件现场解密，采购代理机构工作人员在监督人员监督下解密所有投标文件。</w:t>
      </w:r>
    </w:p>
    <w:p>
      <w:pPr>
        <w:pStyle w:val="68"/>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因网上招标系统故障导致所有投标人均解密失败时，投标人使用未加密的电子投标文件进行开评标。</w:t>
      </w:r>
    </w:p>
    <w:p>
      <w:pPr>
        <w:pStyle w:val="68"/>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pStyle w:val="68"/>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 在评审结束前，未得到采购代理机构允许，投标人法定代表人或授权代理人不得离开开标现场。</w:t>
      </w:r>
    </w:p>
    <w:p>
      <w:pPr>
        <w:pStyle w:val="69"/>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lang w:bidi="ar-SA"/>
        </w:rPr>
      </w:pPr>
      <w:r>
        <w:rPr>
          <w:rFonts w:hint="eastAsia" w:ascii="宋体" w:hAnsi="宋体" w:eastAsia="宋体" w:cs="宋体"/>
          <w:b/>
          <w:sz w:val="24"/>
          <w:szCs w:val="24"/>
          <w:highlight w:val="none"/>
          <w:lang w:bidi="ar-SA"/>
        </w:rPr>
        <w:t>B．采用不见面开标方式</w:t>
      </w:r>
      <w:r>
        <w:rPr>
          <w:rFonts w:hint="eastAsia" w:ascii="宋体" w:hAnsi="宋体" w:eastAsia="宋体" w:cs="宋体"/>
          <w:sz w:val="24"/>
          <w:szCs w:val="24"/>
          <w:highlight w:val="none"/>
          <w:lang w:bidi="ar-SA"/>
        </w:rPr>
        <w:t>（</w:t>
      </w:r>
      <w:r>
        <w:rPr>
          <w:rFonts w:hint="eastAsia" w:ascii="宋体" w:hAnsi="宋体" w:cs="宋体"/>
          <w:sz w:val="24"/>
          <w:szCs w:val="24"/>
          <w:highlight w:val="none"/>
          <w:lang w:eastAsia="zh-CN" w:bidi="ar-SA"/>
        </w:rPr>
        <w:t>开标方式</w:t>
      </w:r>
      <w:r>
        <w:rPr>
          <w:rFonts w:hint="eastAsia" w:ascii="宋体" w:hAnsi="宋体" w:eastAsia="宋体" w:cs="宋体"/>
          <w:sz w:val="24"/>
          <w:szCs w:val="24"/>
          <w:highlight w:val="none"/>
          <w:lang w:bidi="ar-SA"/>
        </w:rPr>
        <w:t>详见投标人须知前附表）</w:t>
      </w:r>
    </w:p>
    <w:p>
      <w:pPr>
        <w:pStyle w:val="69"/>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val="en-US" w:eastAsia="zh-CN" w:bidi="ar-SA"/>
        </w:rPr>
        <w:t>23.5</w:t>
      </w:r>
      <w:r>
        <w:rPr>
          <w:rFonts w:hint="eastAsia" w:ascii="宋体" w:hAnsi="宋体" w:cs="宋体"/>
          <w:sz w:val="24"/>
          <w:szCs w:val="24"/>
          <w:highlight w:val="none"/>
          <w:lang w:eastAsia="zh-CN" w:bidi="ar-SA"/>
        </w:rPr>
        <w:t>投</w:t>
      </w:r>
      <w:r>
        <w:rPr>
          <w:rFonts w:hint="eastAsia" w:ascii="宋体" w:hAnsi="宋体" w:eastAsia="宋体" w:cs="宋体"/>
          <w:sz w:val="24"/>
          <w:szCs w:val="24"/>
          <w:highlight w:val="none"/>
          <w:lang w:bidi="ar-SA"/>
        </w:rPr>
        <w:t>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68"/>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val="en-US" w:eastAsia="zh-CN" w:bidi="ar-SA"/>
        </w:rPr>
        <w:t>23.6</w:t>
      </w:r>
      <w:r>
        <w:rPr>
          <w:rFonts w:hint="eastAsia" w:ascii="宋体" w:hAnsi="宋体" w:eastAsia="宋体" w:cs="宋体"/>
          <w:sz w:val="24"/>
          <w:szCs w:val="24"/>
          <w:highlight w:val="none"/>
          <w:lang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2"/>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2"/>
          <w:highlight w:val="none"/>
          <w:lang w:eastAsia="zh-CN"/>
        </w:rPr>
      </w:pPr>
      <w:r>
        <w:rPr>
          <w:rStyle w:val="29"/>
          <w:rFonts w:hint="eastAsia" w:ascii="宋体" w:hAnsi="宋体" w:eastAsia="宋体" w:cs="宋体"/>
          <w:b/>
          <w:sz w:val="32"/>
          <w:highlight w:val="none"/>
          <w:lang w:eastAsia="zh-CN"/>
        </w:rPr>
        <w:t>第六章 评标</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24.评审小组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24.2评审小组成员名单在评标结果公告前应当保密。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24.3评审小组由采购人代表和评审专家组成，成员人数应当为3人或以上单数，其中评审专家不得少于成员总数的三分之二。</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24.6评标专家应符合下列条件：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24.6.1具有良好的职业道德，廉洁自律，遵纪守法，无行贿、受贿、欺诈等不良信用记录；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24.6.2具有中级专业技术职称或同等专业水平且从事相关领域工作满8年，或者具有高级专业技术职称或同等专业水平；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24.6.3熟悉政府采购相关政策法规；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24.6.4承诺以独立身份参加评审工作，依法履行评审专家工作职责并承担相应法律责任的中国公民；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24.6.5身体健康，能够承担评审工作；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24.6.6申请成为评审专家前三年内，无《政府采购评审专家管理办法》中规定的不良行为记录。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有下列情形之一的，不得担任评审小组成员：</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(1)参加采购活动前三年内，与供应商存在劳动关系，或者担任过供应商的董事、监事,或者是供应商的控股股东或实际控制人；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(2)与供应商的法定代表人或者负责人有夫妻、直系血亲、三代以内旁系血亲或者近姻亲关系；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(3)与供应商有其他可能影响政府采购活动公平、公正进行的关系。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24.7评审小组负责具体评标事务，并独立履行下列职责：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(1)审查、评价响应文件是否符合竞争性磋商文件的商务、技术等实质性要求；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(2)要求投标人对响应文件的有关事项作出澄清或者说明；</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(3)对响应文件进行比较和评价；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(4)确定中标候选人名单，以及根据采购人委托直接确定中标人；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(5)向采购人、采购代理机构或者有关部门报告评标中发现的违法行为。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24.8评审小组及其成员不得有下列行为：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(1)确定参与评标至评标结束前私自接触投标人；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(2)接受投标人提出的与响应文件不一致的澄清或者说明，本竞争性磋商文件第</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27.1款规定的情形除外；</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(3)违反评标纪律发表倾向性意见或者征询采购人的倾向性意见；</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(4)对需要专业判断的主观评审因素协商评分；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(5)在评标过程中擅离职守，影响评标程序正常进行的；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(6)记录、复制或者带走任何评标资料；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(7)其他不遵守评标纪律的行为。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评审小组成员有前款第(1)至(5)项行为之一的，其评审意见无效，并不得获取评审劳务报酬和报销异地评审差旅费。</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25.评审过程的保密性</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25.1采购人、采购代理机构应当采取必要措施，保证评审在严格保密的情况下进行。除采购人代表、评审现场组织人员外，采购人的其他工作人员以及与评审工作无关的人员不得进入评审现场。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25.3投标供应商在评审过程中，所进行的力图影响评审结果的、不符合《中华人民共和国政府采购法》及其相关法律、法规的、以及不符合本次招标的有关规定的活动，将被取消其中标资格。</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26.评审依据及评标办法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26.1评审的依据：采购人的竞争性磋商文件和投标人的响应文件。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sz w:val="24"/>
          <w:szCs w:val="24"/>
          <w:highlight w:val="none"/>
          <w:lang w:eastAsia="zh-CN"/>
        </w:rPr>
        <w:t>26.2评标办法：</w:t>
      </w:r>
      <w:r>
        <w:rPr>
          <w:rStyle w:val="29"/>
          <w:rFonts w:hint="eastAsia" w:ascii="宋体" w:hAnsi="宋体" w:eastAsia="宋体" w:cs="宋体"/>
          <w:b/>
          <w:sz w:val="24"/>
          <w:szCs w:val="24"/>
          <w:highlight w:val="none"/>
          <w:lang w:eastAsia="zh-CN"/>
        </w:rPr>
        <w:t>综合评分法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综合评分法，是指响应文件满足竞争性磋商文件全部实质性要求，且按照评审因素的量化指标评审得分最高的投标人为中标候选人的评标方法。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26.3评审程序：</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成立评标委员会→初步评审（资格性审查）→初步评审（符合性审查）→错误性修正→详细评审（商务、技术部分评审，报价得分计算）→推荐中标候选人→完成评标报告</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通过初步评审的响应文件，方可进入下一环节的评审。</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27.初步评审</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27.1评审小组对响应文件的有效性、完整性和响应程度进行审查时，应当以书面方式要求投标人对响应文件中含义不明确、对同类问题表述不一致或者有明显文字和计算错误的内容作必要的澄清、说明或补正。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投标人的澄清、说明或补正应以书面方式进行，并加盖公章，或者由法定代表人或其授权的代表签字。投标人的澄清、说明或者补正不得超出响应文件的范围或者改变竞争性磋商文件的实质性内容。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按上述规定，经投标人确认后，对投标人起约束作用。如果投标人不确认的，则其投标无效。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27.2采购方不接受不符合国家有关部门相关规定的投标报价或优惠方案。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27.3在评审过程中，评审小组发现投标人以他人名义投标、串通投标、以行贿手段谋取中标或者以其他弄虚作假方式投标的，该投标人的投标将被否决。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27.4有下列情形之一的，视为投标人串通投标，其投标无效：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(1)不同投标人的响应文件由同一单位或者个人编制；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(2)不同投标人委托同一单位或者个人办理投标事宜；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(3)不同投标人的响应文件载明的项目管理成员或者联系人员为同一人；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(4)不同投标人的响应文件异常一致或者投标报价呈规律性差异；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(5)不同投标人的响应文件相互混装；</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(6)不同投标人的磋商保证金从同一单位或者个人的账户转出。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27.5投标人存在下列情况之一的，投标无效：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(1)未按照竞争性磋商文件的规定提交磋商保证金的；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(2)响应文件未按竞争性磋商文件要求签署、盖章的；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(3)不具备竞争性磋商文件中规定的资格要求的；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(4)报价超过竞争性磋商文件中规定的预算金额或者最高限价的；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(5)响应文件含有采购人不能接受的附加条件的；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(6)法律、法规和竞争性磋商文件规定的其他无效情形。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27.6评审小组应当审查每一响应文件是否对竞争性磋商文件提出的所有实质性要求和条件做出响应。未能在实质上响应的投标，其投标将被否决。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27.7投标人不得误导、干扰采购方的评审活动，否则将废除其投标。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27.8评审小组根据上述规定否决不合格投标，因有效投标不足本次评审办法规定数量而使得投标明显缺乏竞争性时，根据《中华人民共和国政府采购法》的相关规定，将作流标处理。</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28.响应文件计算错误的修正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28.1响应文件中报价出现前后不一致的，评审小组按以下原则对投标报价进行修正：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a.响应文件中开标一览表（报价表）内容与响应文件中相应内容不一致的，以开标一览表（报价表）为准；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b.大写金额和小写金额不一致的，以大写金额为准；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c.单价金额小数点或者百分比有明显错位的，以开标一览表的总价为准，并修改单价；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d.总价金额与按单价汇总金额不一致的，以单价金额计算结果为准。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同时出现两种以上不一致的，按照前款规定的顺序修正。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28.2修正后的最终投标报价若超过最高投标限价（如有），评审小组应当否决其投标。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28.3按上述修正错误的原则及方法调整或修正响应文件的投标报价，经投标人确认后，对投标人起约束作用。如果投标人不确认的，则其投标无效。</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29.详细评审</w:t>
      </w:r>
    </w:p>
    <w:p>
      <w:pPr>
        <w:pStyle w:val="20"/>
        <w:pageBreakBefore w:val="0"/>
        <w:kinsoku/>
        <w:wordWrap/>
        <w:overflowPunct/>
        <w:topLinePunct w:val="0"/>
        <w:bidi w:val="0"/>
        <w:snapToGrid w:val="0"/>
        <w:spacing w:beforeAutospacing="0" w:after="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r>
        <w:rPr>
          <w:rFonts w:hint="eastAsia" w:ascii="宋体" w:hAnsi="宋体" w:eastAsia="宋体" w:cs="宋体"/>
          <w:b/>
          <w:bCs/>
          <w:sz w:val="24"/>
          <w:szCs w:val="24"/>
          <w:highlight w:val="none"/>
          <w:lang w:eastAsia="zh-CN"/>
        </w:rPr>
        <w:t xml:space="preserve"> </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29.3磋商小组所有成员应当集中与单一供应商分别进行磋商，并给予所有参加磋商的供应商平等的磋商机会。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29.4根据综合评分法完成评审工作后，评审小组应当向采购人递交书面评审报告。</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29.6评审因素及标准(详见评分细则)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评审因素：与投标人所提供货物服务的质量相关，包括投标报价、技术或者服务水平、履约能力、售后服务等。</w:t>
      </w:r>
    </w:p>
    <w:p>
      <w:pPr>
        <w:pStyle w:val="39"/>
        <w:pageBreakBefore w:val="0"/>
        <w:numPr>
          <w:ilvl w:val="0"/>
          <w:numId w:val="3"/>
        </w:numPr>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商务技术部分</w:t>
      </w:r>
      <w:r>
        <w:rPr>
          <w:rStyle w:val="29"/>
          <w:rFonts w:hint="eastAsia" w:cs="宋体"/>
          <w:highlight w:val="none"/>
          <w:lang w:val="en-US" w:eastAsia="zh-CN"/>
        </w:rPr>
        <w:t>90</w:t>
      </w:r>
      <w:r>
        <w:rPr>
          <w:rStyle w:val="29"/>
          <w:rFonts w:hint="eastAsia" w:ascii="宋体" w:hAnsi="宋体" w:eastAsia="宋体" w:cs="宋体"/>
          <w:highlight w:val="none"/>
          <w:lang w:eastAsia="zh-CN"/>
        </w:rPr>
        <w:t>分；</w:t>
      </w:r>
    </w:p>
    <w:p>
      <w:pPr>
        <w:pStyle w:val="39"/>
        <w:pageBreakBefore w:val="0"/>
        <w:numPr>
          <w:ilvl w:val="0"/>
          <w:numId w:val="3"/>
        </w:numPr>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cs="宋体"/>
          <w:highlight w:val="none"/>
          <w:lang w:val="en-US" w:eastAsia="zh-CN"/>
        </w:rPr>
        <w:t>经济部分10分</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计算各项分值时，按四舍五入的原则，保留小数点后二位。</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29.7报价</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29.7.1本次采购方式为竞争性磋商，待评审小组与供应商对采购标的的技术、服务等磋商结束后，评审小组要求所有实质性响应的供应商，在规定的时间内提交最后报价。</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29.7.</w:t>
      </w:r>
      <w:r>
        <w:rPr>
          <w:rStyle w:val="29"/>
          <w:rFonts w:hint="eastAsia" w:ascii="宋体" w:hAnsi="宋体" w:eastAsia="宋体" w:cs="宋体"/>
          <w:sz w:val="24"/>
          <w:szCs w:val="24"/>
          <w:highlight w:val="none"/>
          <w:lang w:val="en-US" w:eastAsia="zh-CN"/>
        </w:rPr>
        <w:t>2</w:t>
      </w:r>
      <w:r>
        <w:rPr>
          <w:rStyle w:val="29"/>
          <w:rFonts w:hint="eastAsia" w:ascii="宋体" w:hAnsi="宋体" w:eastAsia="宋体" w:cs="宋体"/>
          <w:sz w:val="24"/>
          <w:szCs w:val="24"/>
          <w:highlight w:val="none"/>
          <w:lang w:eastAsia="zh-CN"/>
        </w:rPr>
        <w:t>经磋商确定最终采购需求和提交最后报价的供应商后，由评审小组采用综合评分法对提交最后报价的供应商的价格得分进行计算。</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29.7.</w:t>
      </w:r>
      <w:r>
        <w:rPr>
          <w:rStyle w:val="29"/>
          <w:rFonts w:hint="eastAsia" w:ascii="宋体" w:hAnsi="宋体" w:eastAsia="宋体" w:cs="宋体"/>
          <w:sz w:val="24"/>
          <w:szCs w:val="24"/>
          <w:highlight w:val="none"/>
          <w:lang w:val="en-US" w:eastAsia="zh-CN"/>
        </w:rPr>
        <w:t>3</w:t>
      </w:r>
      <w:r>
        <w:rPr>
          <w:rStyle w:val="29"/>
          <w:rFonts w:hint="eastAsia" w:ascii="宋体" w:hAnsi="宋体" w:eastAsia="宋体" w:cs="宋体"/>
          <w:sz w:val="24"/>
          <w:szCs w:val="24"/>
          <w:highlight w:val="none"/>
          <w:lang w:eastAsia="zh-CN"/>
        </w:rPr>
        <w:t>供应商的投标报价得分计算说明：</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价格分统一采用低价优先法计算，即满足磋商文件要求且最后报价最低的供应商的价格为磋商基准价，其价格分为满分。其他供应商的价格分统一按照下列公式计算：</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磋商报价得分=（磋商基准价/最后磋商报价）×价格权值×100</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本项目的价格权值为10%</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项目评审过程中，不得去掉最终报价中的最高报价和最低报价。</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Fonts w:hint="eastAsia" w:ascii="宋体" w:hAnsi="宋体" w:eastAsia="宋体" w:cs="宋体"/>
          <w:b w:val="0"/>
          <w:bCs/>
          <w:kern w:val="2"/>
          <w:sz w:val="24"/>
          <w:szCs w:val="24"/>
          <w:highlight w:val="none"/>
          <w:lang w:val="en-US" w:eastAsia="zh-CN" w:bidi="ar-SA"/>
        </w:rPr>
        <w:t>符合政府采购优先（节约能源、保护环境）采购政策及促进中小企业（监狱企业、</w:t>
      </w:r>
      <w:r>
        <w:rPr>
          <w:rStyle w:val="29"/>
          <w:rFonts w:hint="eastAsia" w:ascii="宋体" w:hAnsi="宋体" w:eastAsia="宋体" w:cs="宋体"/>
          <w:sz w:val="24"/>
          <w:szCs w:val="24"/>
          <w:highlight w:val="none"/>
          <w:lang w:eastAsia="zh-CN"/>
        </w:rPr>
        <w:t>残疾人福利性单位）发展政策的，对小型和微型企业（监狱企业、残疾人福利性单位）产品的价格给予10%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-10%）+投标人报价中不属于小型和微型企业产品/服务的价格部分；否则，其评标价=投标人报价。</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注:小型、微型企业提供中型（或大型）企业制造的货物的，视同为中型（或大型）企业，不享受本项优惠。</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29.8综合得分</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综合得分=商务技术部分得分+投标报价部分得分。</w:t>
      </w:r>
    </w:p>
    <w:p>
      <w:pPr>
        <w:pStyle w:val="39"/>
        <w:pageBreakBefore w:val="0"/>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highlight w:val="none"/>
          <w:lang w:eastAsia="zh-CN"/>
        </w:r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8"/>
          <w:highlight w:val="none"/>
          <w:lang w:eastAsia="zh-CN"/>
        </w:rPr>
        <w:sectPr>
          <w:pgSz w:w="11910" w:h="16840"/>
          <w:pgMar w:top="148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szCs w:val="21"/>
          <w:highlight w:val="none"/>
          <w:lang w:eastAsia="zh-CN"/>
        </w:rPr>
      </w:pPr>
      <w:r>
        <w:rPr>
          <w:rStyle w:val="29"/>
          <w:rFonts w:hint="eastAsia" w:ascii="宋体" w:hAnsi="宋体" w:eastAsia="宋体" w:cs="宋体"/>
          <w:b/>
          <w:sz w:val="24"/>
          <w:szCs w:val="21"/>
          <w:highlight w:val="none"/>
          <w:lang w:eastAsia="zh-CN"/>
        </w:rPr>
        <w:t>附表1：初步评审-资格性审查表</w:t>
      </w:r>
    </w:p>
    <w:p>
      <w:pPr>
        <w:pStyle w:val="1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highlight w:val="none"/>
          <w:lang w:eastAsia="zh-CN"/>
        </w:rPr>
      </w:pPr>
      <w:r>
        <w:rPr>
          <w:rFonts w:hint="eastAsia" w:ascii="宋体" w:hAnsi="宋体" w:eastAsia="宋体" w:cs="宋体"/>
          <w:highlight w:val="none"/>
          <w:lang w:eastAsia="zh-CN"/>
        </w:rPr>
        <w:t>磋商小组依据磋商文件，对响应文件中的资格证明文件、项目保证金等进行审查，以确定供应商是否具备磋商资格。审查内容如下：</w:t>
      </w:r>
    </w:p>
    <w:tbl>
      <w:tblPr>
        <w:tblStyle w:val="22"/>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473"/>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72"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3473"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sz w:val="24"/>
                <w:szCs w:val="24"/>
                <w:highlight w:val="none"/>
              </w:rPr>
              <w:t>资格条件</w:t>
            </w:r>
          </w:p>
        </w:tc>
        <w:tc>
          <w:tcPr>
            <w:tcW w:w="5174"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sz w:val="24"/>
                <w:szCs w:val="24"/>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772"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1</w:t>
            </w:r>
          </w:p>
        </w:tc>
        <w:tc>
          <w:tcPr>
            <w:tcW w:w="3473"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具有独立承担民事责任的能力</w:t>
            </w:r>
          </w:p>
        </w:tc>
        <w:tc>
          <w:tcPr>
            <w:tcW w:w="5174"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772"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2</w:t>
            </w:r>
          </w:p>
        </w:tc>
        <w:tc>
          <w:tcPr>
            <w:tcW w:w="3473"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具有良好的商业信誉和健全的财务会计制度</w:t>
            </w:r>
          </w:p>
        </w:tc>
        <w:tc>
          <w:tcPr>
            <w:tcW w:w="5174"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lang w:val="en-US" w:eastAsia="zh-CN"/>
              </w:rPr>
            </w:pPr>
            <w:r>
              <w:rPr>
                <w:rFonts w:hint="eastAsia" w:ascii="宋体" w:hAnsi="宋体" w:eastAsia="宋体" w:cs="宋体"/>
                <w:bCs w:val="0"/>
                <w:color w:val="000000"/>
                <w:spacing w:val="0"/>
                <w:kern w:val="2"/>
                <w:sz w:val="24"/>
                <w:szCs w:val="24"/>
                <w:highlight w:val="none"/>
              </w:rPr>
              <w:t>提供响应截止日前三个月内银行出具的资信证明</w:t>
            </w:r>
            <w:r>
              <w:rPr>
                <w:rFonts w:hint="eastAsia" w:ascii="宋体" w:hAnsi="宋体" w:cs="宋体"/>
                <w:bCs w:val="0"/>
                <w:color w:val="000000"/>
                <w:spacing w:val="0"/>
                <w:kern w:val="2"/>
                <w:sz w:val="24"/>
                <w:szCs w:val="24"/>
                <w:highlight w:val="none"/>
                <w:lang w:val="en-US" w:eastAsia="zh-CN"/>
              </w:rPr>
              <w:t>或提供承诺函</w:t>
            </w:r>
            <w:r>
              <w:rPr>
                <w:rFonts w:hint="eastAsia" w:ascii="宋体" w:hAnsi="宋体" w:eastAsia="宋体" w:cs="宋体"/>
                <w:bCs w:val="0"/>
                <w:color w:val="000000"/>
                <w:spacing w:val="0"/>
                <w:kern w:val="2"/>
                <w:sz w:val="24"/>
                <w:szCs w:val="24"/>
                <w:highlight w:val="none"/>
              </w:rPr>
              <w:t>。银行资信证明可提供原件，也可提供复印件加盖公章</w:t>
            </w:r>
            <w:r>
              <w:rPr>
                <w:rFonts w:hint="eastAsia" w:ascii="宋体" w:hAnsi="宋体" w:cs="宋体"/>
                <w:bCs w:val="0"/>
                <w:color w:val="000000"/>
                <w:spacing w:val="0"/>
                <w:kern w:val="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72"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3</w:t>
            </w:r>
          </w:p>
        </w:tc>
        <w:tc>
          <w:tcPr>
            <w:tcW w:w="3473"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具有履行合同所必需的设备和专业技术能力</w:t>
            </w:r>
          </w:p>
        </w:tc>
        <w:tc>
          <w:tcPr>
            <w:tcW w:w="5174"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2" w:hRule="atLeast"/>
          <w:jc w:val="center"/>
        </w:trPr>
        <w:tc>
          <w:tcPr>
            <w:tcW w:w="772"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4</w:t>
            </w:r>
          </w:p>
        </w:tc>
        <w:tc>
          <w:tcPr>
            <w:tcW w:w="3473"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有依法缴纳税收和依法缴纳社会保障资金的记录</w:t>
            </w:r>
          </w:p>
        </w:tc>
        <w:tc>
          <w:tcPr>
            <w:tcW w:w="5174"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须提供响应文件递交截止日期之前六个月内任何一期的纳税记录或</w:t>
            </w:r>
            <w:r>
              <w:rPr>
                <w:rFonts w:hint="eastAsia" w:ascii="宋体" w:hAnsi="宋体" w:cs="宋体"/>
                <w:sz w:val="24"/>
                <w:szCs w:val="24"/>
                <w:highlight w:val="none"/>
                <w:lang w:val="en-US" w:eastAsia="zh-CN"/>
              </w:rPr>
              <w:t>承诺函</w:t>
            </w:r>
            <w:r>
              <w:rPr>
                <w:rFonts w:hint="eastAsia" w:ascii="宋体" w:hAnsi="宋体" w:eastAsia="宋体" w:cs="宋体"/>
                <w:sz w:val="24"/>
                <w:szCs w:val="24"/>
                <w:highlight w:val="none"/>
              </w:rPr>
              <w:t>（依法免税的应提供相应文件说明）</w:t>
            </w:r>
          </w:p>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须提供响应文件递交截止日期之前六个月内为员工缴纳社会保障资金的证明材料原件或复印件加盖公章（任意一个月即可），证明材料是缴纳社会保险的凭据</w:t>
            </w:r>
            <w:r>
              <w:rPr>
                <w:rFonts w:hint="eastAsia" w:ascii="宋体" w:hAnsi="宋体" w:cs="宋体"/>
                <w:sz w:val="24"/>
                <w:szCs w:val="24"/>
                <w:highlight w:val="none"/>
                <w:lang w:eastAsia="zh-CN"/>
              </w:rPr>
              <w:t>或承诺函</w:t>
            </w:r>
            <w:r>
              <w:rPr>
                <w:rFonts w:hint="eastAsia" w:ascii="宋体" w:hAnsi="宋体" w:eastAsia="宋体" w:cs="宋体"/>
                <w:sz w:val="24"/>
                <w:szCs w:val="24"/>
                <w:highlight w:val="none"/>
              </w:rPr>
              <w:t>（依法不需要缴纳社会保障资金的应提供相应文件说明）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72"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5</w:t>
            </w:r>
          </w:p>
        </w:tc>
        <w:tc>
          <w:tcPr>
            <w:tcW w:w="3473"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参加政府采购活动前三年内，在经营活动中没有重大违法记录</w:t>
            </w:r>
          </w:p>
        </w:tc>
        <w:tc>
          <w:tcPr>
            <w:tcW w:w="5174"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72" w:type="dxa"/>
            <w:vAlign w:val="center"/>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lang w:eastAsia="zh-CN"/>
              </w:rPr>
            </w:pPr>
            <w:r>
              <w:rPr>
                <w:rFonts w:hint="eastAsia" w:ascii="宋体" w:hAnsi="宋体" w:cs="宋体"/>
                <w:bCs w:val="0"/>
                <w:color w:val="000000"/>
                <w:spacing w:val="0"/>
                <w:kern w:val="2"/>
                <w:sz w:val="24"/>
                <w:szCs w:val="24"/>
                <w:highlight w:val="none"/>
                <w:lang w:val="en-US" w:eastAsia="zh-CN"/>
              </w:rPr>
              <w:t>6</w:t>
            </w:r>
          </w:p>
        </w:tc>
        <w:tc>
          <w:tcPr>
            <w:tcW w:w="3473"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cs="宋体"/>
                <w:bCs w:val="0"/>
                <w:color w:val="000000"/>
                <w:spacing w:val="0"/>
                <w:kern w:val="2"/>
                <w:sz w:val="24"/>
                <w:szCs w:val="24"/>
                <w:highlight w:val="none"/>
                <w:lang w:eastAsia="zh-CN"/>
              </w:rPr>
            </w:pPr>
            <w:r>
              <w:rPr>
                <w:rFonts w:hint="eastAsia" w:ascii="宋体" w:hAnsi="宋体" w:eastAsia="宋体" w:cs="宋体"/>
                <w:bCs w:val="0"/>
                <w:color w:val="000000"/>
                <w:spacing w:val="0"/>
                <w:kern w:val="2"/>
                <w:sz w:val="24"/>
                <w:szCs w:val="24"/>
                <w:highlight w:val="none"/>
              </w:rPr>
              <w:t>法定代表人授权委托书</w:t>
            </w:r>
          </w:p>
        </w:tc>
        <w:tc>
          <w:tcPr>
            <w:tcW w:w="5174"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72"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lang w:eastAsia="zh-CN"/>
              </w:rPr>
            </w:pPr>
            <w:r>
              <w:rPr>
                <w:rFonts w:hint="eastAsia" w:ascii="宋体" w:hAnsi="宋体" w:cs="宋体"/>
                <w:bCs w:val="0"/>
                <w:color w:val="000000"/>
                <w:spacing w:val="0"/>
                <w:kern w:val="2"/>
                <w:sz w:val="24"/>
                <w:szCs w:val="24"/>
                <w:highlight w:val="none"/>
                <w:lang w:val="en-US" w:eastAsia="zh-CN"/>
              </w:rPr>
              <w:t>7</w:t>
            </w:r>
          </w:p>
        </w:tc>
        <w:tc>
          <w:tcPr>
            <w:tcW w:w="3473" w:type="dxa"/>
            <w:shd w:val="clear" w:color="auto" w:fill="auto"/>
            <w:vAlign w:val="top"/>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lang w:val="en-US" w:eastAsia="zh-CN"/>
              </w:rPr>
              <w:t>是否为</w:t>
            </w:r>
            <w:r>
              <w:rPr>
                <w:rFonts w:hint="eastAsia" w:ascii="宋体" w:hAnsi="宋体" w:cs="宋体"/>
                <w:bCs w:val="0"/>
                <w:color w:val="000000"/>
                <w:spacing w:val="0"/>
                <w:kern w:val="2"/>
                <w:sz w:val="24"/>
                <w:szCs w:val="24"/>
                <w:highlight w:val="none"/>
                <w:lang w:val="en-US" w:eastAsia="zh-CN"/>
              </w:rPr>
              <w:t>小微</w:t>
            </w:r>
            <w:r>
              <w:rPr>
                <w:rFonts w:hint="eastAsia" w:ascii="宋体" w:hAnsi="宋体" w:eastAsia="宋体" w:cs="宋体"/>
                <w:bCs w:val="0"/>
                <w:color w:val="000000"/>
                <w:spacing w:val="0"/>
                <w:kern w:val="2"/>
                <w:sz w:val="24"/>
                <w:szCs w:val="24"/>
                <w:highlight w:val="none"/>
                <w:lang w:val="en-US" w:eastAsia="zh-CN"/>
              </w:rPr>
              <w:t>企业</w:t>
            </w:r>
          </w:p>
        </w:tc>
        <w:tc>
          <w:tcPr>
            <w:tcW w:w="5174" w:type="dxa"/>
            <w:shd w:val="clear" w:color="auto" w:fill="auto"/>
            <w:vAlign w:val="top"/>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lang w:val="en-US" w:eastAsia="zh-CN"/>
              </w:rPr>
              <w:t>提供</w:t>
            </w:r>
            <w:r>
              <w:rPr>
                <w:rFonts w:hint="eastAsia" w:ascii="宋体" w:hAnsi="宋体" w:cs="宋体"/>
                <w:bCs w:val="0"/>
                <w:color w:val="000000"/>
                <w:spacing w:val="0"/>
                <w:kern w:val="2"/>
                <w:sz w:val="24"/>
                <w:szCs w:val="24"/>
                <w:highlight w:val="none"/>
                <w:lang w:val="en-US" w:eastAsia="zh-CN"/>
              </w:rPr>
              <w:t>小微</w:t>
            </w:r>
            <w:r>
              <w:rPr>
                <w:rFonts w:hint="eastAsia" w:ascii="宋体" w:hAnsi="宋体" w:eastAsia="宋体" w:cs="宋体"/>
                <w:bCs w:val="0"/>
                <w:color w:val="000000"/>
                <w:spacing w:val="0"/>
                <w:kern w:val="2"/>
                <w:sz w:val="24"/>
                <w:szCs w:val="24"/>
                <w:highlight w:val="none"/>
                <w:lang w:val="en-US" w:eastAsia="zh-CN"/>
              </w:rPr>
              <w:t>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772" w:type="dxa"/>
          </w:tcPr>
          <w:p>
            <w:pPr>
              <w:pStyle w:val="60"/>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lang w:val="en-US" w:eastAsia="zh-CN"/>
              </w:rPr>
            </w:pPr>
            <w:r>
              <w:rPr>
                <w:rFonts w:hint="eastAsia" w:ascii="宋体" w:hAnsi="宋体" w:cs="宋体"/>
                <w:bCs w:val="0"/>
                <w:color w:val="000000"/>
                <w:spacing w:val="0"/>
                <w:kern w:val="2"/>
                <w:sz w:val="24"/>
                <w:szCs w:val="24"/>
                <w:highlight w:val="none"/>
                <w:lang w:val="en-US" w:eastAsia="zh-CN"/>
              </w:rPr>
              <w:t>8</w:t>
            </w:r>
          </w:p>
        </w:tc>
        <w:tc>
          <w:tcPr>
            <w:tcW w:w="3473" w:type="dxa"/>
            <w:shd w:val="clear" w:color="auto" w:fill="auto"/>
            <w:vAlign w:val="top"/>
          </w:tcPr>
          <w:p>
            <w:pPr>
              <w:pStyle w:val="60"/>
              <w:pageBreakBefore w:val="0"/>
              <w:widowControl/>
              <w:numPr>
                <w:ilvl w:val="0"/>
                <w:numId w:val="4"/>
              </w:numPr>
              <w:kinsoku/>
              <w:wordWrap/>
              <w:overflowPunct/>
              <w:topLinePunct w:val="0"/>
              <w:bidi w:val="0"/>
              <w:spacing w:before="0" w:beforeAutospacing="0" w:after="0" w:afterAutospacing="0" w:line="360" w:lineRule="auto"/>
              <w:ind w:left="0" w:leftChars="0" w:right="0" w:rightChars="0"/>
              <w:jc w:val="both"/>
              <w:rPr>
                <w:rFonts w:hint="default" w:ascii="宋体" w:hAnsi="宋体" w:eastAsia="宋体" w:cs="宋体"/>
                <w:bCs w:val="0"/>
                <w:color w:val="000000"/>
                <w:spacing w:val="0"/>
                <w:kern w:val="2"/>
                <w:sz w:val="24"/>
                <w:szCs w:val="24"/>
                <w:highlight w:val="none"/>
                <w:lang w:val="en-US" w:eastAsia="zh-CN"/>
              </w:rPr>
            </w:pPr>
            <w:r>
              <w:rPr>
                <w:rFonts w:hint="default" w:ascii="宋体" w:hAnsi="宋体" w:eastAsia="宋体" w:cs="宋体"/>
                <w:bCs w:val="0"/>
                <w:color w:val="000000"/>
                <w:spacing w:val="0"/>
                <w:kern w:val="2"/>
                <w:sz w:val="24"/>
                <w:szCs w:val="24"/>
                <w:highlight w:val="none"/>
                <w:lang w:val="en-US" w:eastAsia="zh-CN"/>
              </w:rPr>
              <w:t>单位负责人为同一人或者存在直接控股、管理关系的不同供应商，不得参加同一合同项下的政府采购活动；供应商不得为该整体项目或其中分项目前期工作提供过设计、编制、监理、检测、管理等服务的法人及附属单位；（需提供书面声明）</w:t>
            </w:r>
          </w:p>
        </w:tc>
        <w:tc>
          <w:tcPr>
            <w:tcW w:w="5174" w:type="dxa"/>
            <w:shd w:val="clear" w:color="auto" w:fill="auto"/>
            <w:vAlign w:val="top"/>
          </w:tcPr>
          <w:p>
            <w:pPr>
              <w:pStyle w:val="60"/>
              <w:pageBreakBefore w:val="0"/>
              <w:widowControl/>
              <w:numPr>
                <w:ilvl w:val="0"/>
                <w:numId w:val="0"/>
              </w:numPr>
              <w:kinsoku/>
              <w:wordWrap/>
              <w:overflowPunct/>
              <w:topLinePunct w:val="0"/>
              <w:bidi w:val="0"/>
              <w:spacing w:before="0" w:beforeAutospacing="0" w:after="0" w:afterAutospacing="0" w:line="360" w:lineRule="auto"/>
              <w:ind w:right="0" w:rightChars="0"/>
              <w:jc w:val="both"/>
              <w:rPr>
                <w:rFonts w:hint="default" w:ascii="宋体" w:hAnsi="宋体" w:eastAsia="宋体" w:cs="宋体"/>
                <w:bCs w:val="0"/>
                <w:color w:val="000000"/>
                <w:spacing w:val="0"/>
                <w:kern w:val="2"/>
                <w:sz w:val="24"/>
                <w:szCs w:val="24"/>
                <w:highlight w:val="none"/>
                <w:lang w:val="en-US" w:eastAsia="zh-CN"/>
              </w:rPr>
            </w:pPr>
            <w:r>
              <w:rPr>
                <w:rFonts w:hint="default" w:ascii="宋体" w:hAnsi="宋体" w:eastAsia="宋体" w:cs="宋体"/>
                <w:bCs w:val="0"/>
                <w:color w:val="000000"/>
                <w:spacing w:val="0"/>
                <w:kern w:val="2"/>
                <w:sz w:val="24"/>
                <w:szCs w:val="24"/>
                <w:highlight w:val="none"/>
                <w:lang w:val="en-US" w:eastAsia="zh-CN"/>
              </w:rPr>
              <w:t>提供书面声明</w:t>
            </w:r>
          </w:p>
        </w:tc>
      </w:tr>
    </w:tbl>
    <w:p>
      <w:pPr>
        <w:pStyle w:val="2"/>
        <w:pageBreakBefore w:val="0"/>
        <w:kinsoku/>
        <w:wordWrap/>
        <w:overflowPunct/>
        <w:topLinePunct w:val="0"/>
        <w:bidi w:val="0"/>
        <w:spacing w:beforeAutospacing="0" w:after="0" w:afterAutospacing="0" w:line="360" w:lineRule="auto"/>
        <w:ind w:left="0" w:leftChars="0" w:right="0" w:rightChars="0" w:firstLine="400"/>
        <w:rPr>
          <w:rFonts w:hint="eastAsia" w:ascii="宋体" w:hAnsi="宋体" w:eastAsia="宋体" w:cs="宋体"/>
          <w:highlight w:val="none"/>
          <w:lang w:eastAsia="zh-CN"/>
        </w:r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8"/>
          <w:highlight w:val="none"/>
          <w:lang w:eastAsia="zh-CN"/>
        </w:r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8"/>
          <w:highlight w:val="none"/>
          <w:lang w:eastAsia="zh-CN"/>
        </w:rPr>
        <w:sectPr>
          <w:pgSz w:w="11910" w:h="16840"/>
          <w:pgMar w:top="1420" w:right="1240" w:bottom="1180" w:left="14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szCs w:val="21"/>
          <w:highlight w:val="none"/>
          <w:lang w:eastAsia="zh-CN"/>
        </w:rPr>
      </w:pPr>
      <w:r>
        <w:rPr>
          <w:rStyle w:val="29"/>
          <w:rFonts w:hint="eastAsia" w:ascii="宋体" w:hAnsi="宋体" w:eastAsia="宋体" w:cs="宋体"/>
          <w:b/>
          <w:sz w:val="28"/>
          <w:highlight w:val="none"/>
          <w:lang w:eastAsia="zh-CN"/>
        </w:rPr>
        <w:t>附表2：</w:t>
      </w:r>
      <w:r>
        <w:rPr>
          <w:rStyle w:val="29"/>
          <w:rFonts w:hint="eastAsia" w:ascii="宋体" w:hAnsi="宋体" w:eastAsia="宋体" w:cs="宋体"/>
          <w:b/>
          <w:sz w:val="24"/>
          <w:szCs w:val="21"/>
          <w:highlight w:val="none"/>
          <w:lang w:eastAsia="zh-CN"/>
        </w:rPr>
        <w:t>初步评审-</w:t>
      </w:r>
      <w:r>
        <w:rPr>
          <w:rStyle w:val="29"/>
          <w:rFonts w:hint="eastAsia" w:cs="宋体"/>
          <w:b/>
          <w:sz w:val="24"/>
          <w:szCs w:val="21"/>
          <w:highlight w:val="none"/>
          <w:lang w:eastAsia="zh-CN"/>
        </w:rPr>
        <w:t>符合</w:t>
      </w:r>
      <w:r>
        <w:rPr>
          <w:rStyle w:val="29"/>
          <w:rFonts w:hint="eastAsia" w:ascii="宋体" w:hAnsi="宋体" w:eastAsia="宋体" w:cs="宋体"/>
          <w:b/>
          <w:sz w:val="24"/>
          <w:szCs w:val="21"/>
          <w:highlight w:val="none"/>
          <w:lang w:eastAsia="zh-CN"/>
        </w:rPr>
        <w:t>性审查表</w:t>
      </w:r>
    </w:p>
    <w:p>
      <w:pPr>
        <w:pStyle w:val="60"/>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highlight w:val="none"/>
        </w:rPr>
      </w:pPr>
      <w:r>
        <w:rPr>
          <w:rFonts w:hint="eastAsia" w:ascii="宋体" w:hAnsi="宋体" w:eastAsia="宋体" w:cs="宋体"/>
          <w:bCs w:val="0"/>
          <w:color w:val="000000"/>
          <w:spacing w:val="0"/>
          <w:kern w:val="2"/>
          <w:sz w:val="24"/>
          <w:szCs w:val="24"/>
          <w:highlight w:val="none"/>
        </w:rPr>
        <w:t>磋商小组依据磋商文件，对响应文件的有效性、完整性和对磋商文件的响应程度进行审查，以确定供应商是否对磋商文件的实质性要求做出响应。审查内容如下：</w:t>
      </w:r>
    </w:p>
    <w:tbl>
      <w:tblPr>
        <w:tblStyle w:val="22"/>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783"/>
        <w:gridCol w:w="3615"/>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783"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3615"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审查内容和审查标准</w:t>
            </w:r>
          </w:p>
        </w:tc>
        <w:tc>
          <w:tcPr>
            <w:tcW w:w="3248"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712"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83"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响应文件签章</w:t>
            </w:r>
          </w:p>
        </w:tc>
        <w:tc>
          <w:tcPr>
            <w:tcW w:w="3615"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是否按照规定在应由企业法人或法人授权代表在所有规定签字处逐一签章及加盖单位公章</w:t>
            </w:r>
          </w:p>
        </w:tc>
        <w:tc>
          <w:tcPr>
            <w:tcW w:w="3248"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712"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83"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3615"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响应文件是否针对同一种货物或服务出现了两个或两个以上的报价；报价是否超过项目/包预算或最高限价或经评标委员会认定低于成本的</w:t>
            </w:r>
          </w:p>
        </w:tc>
        <w:tc>
          <w:tcPr>
            <w:tcW w:w="3248"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83"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响应文件内容</w:t>
            </w:r>
          </w:p>
        </w:tc>
        <w:tc>
          <w:tcPr>
            <w:tcW w:w="3615"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是否按照响应文件规定的内容填写</w:t>
            </w:r>
          </w:p>
        </w:tc>
        <w:tc>
          <w:tcPr>
            <w:tcW w:w="3248"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是否按照响应文件规定的内容填写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12"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783"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3615"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是否按磋商文件规定递交保证金、保证金金额、保证金形式是否符合磋商文件规定的</w:t>
            </w:r>
          </w:p>
        </w:tc>
        <w:tc>
          <w:tcPr>
            <w:tcW w:w="3248"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按磋商文件规定递交保证金、保证金金额、保证金形式符合磋商文件规定的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783"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3615"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磋商有效期是否满足磋商文件要求</w:t>
            </w:r>
          </w:p>
        </w:tc>
        <w:tc>
          <w:tcPr>
            <w:tcW w:w="3248"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磋商有效期满足磋商文件要求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783"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附加条件</w:t>
            </w:r>
          </w:p>
        </w:tc>
        <w:tc>
          <w:tcPr>
            <w:tcW w:w="3615"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响应文件是否含有采购人不能接受的附加条件的</w:t>
            </w:r>
          </w:p>
        </w:tc>
        <w:tc>
          <w:tcPr>
            <w:tcW w:w="3248"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2"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783"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3615"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响应文件中是否存在违反国家法律、法规和磋商文件规定的其他无效情形</w:t>
            </w:r>
          </w:p>
        </w:tc>
        <w:tc>
          <w:tcPr>
            <w:tcW w:w="3248" w:type="dxa"/>
            <w:vAlign w:val="center"/>
          </w:tcPr>
          <w:p>
            <w:pPr>
              <w:pStyle w:val="16"/>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响应文件中不存在违反国家法律、法规和磋商文件规定的其他无效情形</w:t>
            </w:r>
          </w:p>
        </w:tc>
      </w:tr>
    </w:tbl>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color w:val="000000" w:themeColor="text1"/>
          <w:sz w:val="28"/>
          <w:highlight w:val="none"/>
          <w:lang w:eastAsia="zh-CN"/>
          <w14:textFill>
            <w14:solidFill>
              <w14:schemeClr w14:val="tx1"/>
            </w14:solidFill>
          </w14:textFill>
        </w:rPr>
      </w:pPr>
      <w:r>
        <w:rPr>
          <w:rStyle w:val="29"/>
          <w:rFonts w:hint="eastAsia" w:ascii="宋体" w:hAnsi="宋体" w:eastAsia="宋体" w:cs="宋体"/>
          <w:b/>
          <w:color w:val="000000" w:themeColor="text1"/>
          <w:sz w:val="28"/>
          <w:highlight w:val="none"/>
          <w:lang w:eastAsia="zh-CN"/>
          <w14:textFill>
            <w14:solidFill>
              <w14:schemeClr w14:val="tx1"/>
            </w14:solidFill>
          </w14:textFill>
        </w:rPr>
        <w:br w:type="page"/>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color w:val="000000" w:themeColor="text1"/>
          <w:sz w:val="28"/>
          <w:highlight w:val="none"/>
          <w:lang w:eastAsia="zh-CN"/>
          <w14:textFill>
            <w14:solidFill>
              <w14:schemeClr w14:val="tx1"/>
            </w14:solidFill>
          </w14:textFill>
        </w:rPr>
      </w:pPr>
      <w:r>
        <w:rPr>
          <w:rStyle w:val="29"/>
          <w:rFonts w:hint="eastAsia" w:ascii="宋体" w:hAnsi="宋体" w:eastAsia="宋体" w:cs="宋体"/>
          <w:b/>
          <w:color w:val="000000" w:themeColor="text1"/>
          <w:sz w:val="28"/>
          <w:highlight w:val="none"/>
          <w:lang w:eastAsia="zh-CN"/>
          <w14:textFill>
            <w14:solidFill>
              <w14:schemeClr w14:val="tx1"/>
            </w14:solidFill>
          </w14:textFill>
        </w:rPr>
        <w:t>附表3：</w:t>
      </w:r>
    </w:p>
    <w:tbl>
      <w:tblPr>
        <w:tblStyle w:val="21"/>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980" w:type="dxa"/>
            <w:gridSpan w:val="2"/>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highlight w:val="none"/>
              </w:rPr>
            </w:pPr>
            <w:r>
              <w:rPr>
                <w:rFonts w:hint="eastAsia" w:ascii="宋体" w:hAnsi="宋体" w:eastAsia="宋体" w:cs="宋体"/>
                <w:b/>
                <w:bCs/>
                <w:sz w:val="24"/>
                <w:highlight w:val="none"/>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036" w:type="dxa"/>
            <w:vAlign w:val="center"/>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（1）综合评分法中的价格分统一采用低价优先法计算，即满足招标文件要求且报价最低的供应商的价格为评标基准价，其价格分为满分10分。</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（2）其他价格供应商的价格分统一按照下列公式计算：</w:t>
            </w:r>
          </w:p>
          <w:p>
            <w:pPr>
              <w:pStyle w:val="9"/>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投标报价得分=(评标基准价/投标报价)×10×100％，计算至小数点后2位，四舍</w:t>
            </w:r>
          </w:p>
          <w:p>
            <w:pPr>
              <w:pStyle w:val="9"/>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bCs/>
                <w:sz w:val="24"/>
                <w:highlight w:val="none"/>
              </w:rPr>
            </w:pPr>
            <w:r>
              <w:rPr>
                <w:rFonts w:hint="eastAsia" w:ascii="宋体" w:hAnsi="宋体" w:eastAsia="宋体" w:cs="宋体"/>
                <w:sz w:val="24"/>
                <w:highlight w:val="none"/>
              </w:rPr>
              <w:t>五入。</w:t>
            </w:r>
          </w:p>
        </w:tc>
        <w:tc>
          <w:tcPr>
            <w:tcW w:w="94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highlight w:val="none"/>
              </w:rPr>
            </w:pPr>
            <w:r>
              <w:rPr>
                <w:rFonts w:hint="eastAsia" w:ascii="宋体" w:hAnsi="宋体" w:eastAsia="宋体" w:cs="宋体"/>
                <w:b/>
                <w:bCs/>
                <w:sz w:val="24"/>
                <w:highlight w:val="none"/>
              </w:rPr>
              <w:t>10分</w:t>
            </w:r>
          </w:p>
        </w:tc>
      </w:tr>
    </w:tbl>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highlight w:val="none"/>
          <w:lang w:eastAsia="zh-CN"/>
        </w:rPr>
      </w:pPr>
    </w:p>
    <w:p>
      <w:pPr>
        <w:pStyle w:val="10"/>
        <w:jc w:val="center"/>
        <w:rPr>
          <w:rFonts w:hint="eastAsia" w:ascii="宋体" w:hAnsi="宋体" w:eastAsia="宋体" w:cs="宋体"/>
          <w:highlight w:val="none"/>
          <w:lang w:eastAsia="zh-CN"/>
        </w:rPr>
      </w:pPr>
    </w:p>
    <w:p>
      <w:pPr>
        <w:pStyle w:val="10"/>
        <w:ind w:left="0" w:leftChars="0" w:firstLine="0" w:firstLineChars="0"/>
        <w:jc w:val="center"/>
        <w:rPr>
          <w:rFonts w:hint="default" w:ascii="宋体" w:hAnsi="宋体" w:eastAsia="宋体" w:cs="宋体"/>
          <w:b/>
          <w:bCs/>
          <w:color w:val="auto"/>
          <w:kern w:val="0"/>
          <w:sz w:val="24"/>
          <w:szCs w:val="22"/>
          <w:highlight w:val="none"/>
          <w:lang w:val="en-US" w:eastAsia="zh-CN" w:bidi="ar-SA"/>
        </w:rPr>
      </w:pPr>
      <w:r>
        <w:rPr>
          <w:rFonts w:hint="eastAsia" w:ascii="宋体" w:hAnsi="宋体" w:eastAsia="宋体" w:cs="宋体"/>
          <w:b/>
          <w:bCs/>
          <w:color w:val="auto"/>
          <w:kern w:val="0"/>
          <w:sz w:val="24"/>
          <w:szCs w:val="22"/>
          <w:highlight w:val="none"/>
          <w:lang w:val="en-US" w:eastAsia="zh-CN" w:bidi="ar-SA"/>
        </w:rPr>
        <w:t>商务技术评审</w:t>
      </w:r>
    </w:p>
    <w:p>
      <w:pPr>
        <w:pStyle w:val="10"/>
        <w:ind w:left="0" w:leftChars="0" w:firstLine="0" w:firstLineChars="0"/>
        <w:rPr>
          <w:rFonts w:hint="eastAsia" w:ascii="宋体" w:hAnsi="宋体" w:eastAsia="宋体" w:cs="宋体"/>
          <w:highlight w:val="none"/>
          <w:lang w:eastAsia="zh-CN"/>
        </w:rPr>
      </w:pPr>
    </w:p>
    <w:tbl>
      <w:tblPr>
        <w:tblStyle w:val="21"/>
        <w:tblW w:w="9990" w:type="dxa"/>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
        <w:gridCol w:w="1366"/>
        <w:gridCol w:w="781"/>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910" w:type="dxa"/>
            <w:tcMar>
              <w:top w:w="15" w:type="dxa"/>
              <w:left w:w="15" w:type="dxa"/>
              <w:right w:w="15" w:type="dxa"/>
            </w:tcMar>
            <w:vAlign w:val="center"/>
          </w:tcPr>
          <w:p>
            <w:pPr>
              <w:jc w:val="center"/>
              <w:textAlignment w:val="center"/>
              <w:rPr>
                <w:rFonts w:cs="宋体"/>
                <w:b/>
                <w:sz w:val="24"/>
                <w:szCs w:val="24"/>
                <w:highlight w:val="none"/>
              </w:rPr>
            </w:pPr>
            <w:r>
              <w:rPr>
                <w:rFonts w:cs="宋体"/>
                <w:b/>
                <w:sz w:val="24"/>
                <w:szCs w:val="24"/>
                <w:highlight w:val="none"/>
              </w:rPr>
              <w:t>序号</w:t>
            </w:r>
          </w:p>
        </w:tc>
        <w:tc>
          <w:tcPr>
            <w:tcW w:w="1366" w:type="dxa"/>
            <w:tcMar>
              <w:top w:w="15" w:type="dxa"/>
              <w:left w:w="15" w:type="dxa"/>
              <w:right w:w="15" w:type="dxa"/>
            </w:tcMar>
            <w:vAlign w:val="center"/>
          </w:tcPr>
          <w:p>
            <w:pPr>
              <w:jc w:val="center"/>
              <w:textAlignment w:val="center"/>
              <w:rPr>
                <w:rFonts w:cs="宋体"/>
                <w:b/>
                <w:sz w:val="24"/>
                <w:szCs w:val="24"/>
                <w:highlight w:val="none"/>
              </w:rPr>
            </w:pPr>
            <w:r>
              <w:rPr>
                <w:rFonts w:cs="宋体"/>
                <w:b/>
                <w:sz w:val="24"/>
                <w:szCs w:val="24"/>
                <w:highlight w:val="none"/>
              </w:rPr>
              <w:t>评审项目</w:t>
            </w:r>
          </w:p>
        </w:tc>
        <w:tc>
          <w:tcPr>
            <w:tcW w:w="781" w:type="dxa"/>
            <w:tcMar>
              <w:top w:w="15" w:type="dxa"/>
              <w:left w:w="15" w:type="dxa"/>
              <w:right w:w="15" w:type="dxa"/>
            </w:tcMar>
            <w:vAlign w:val="center"/>
          </w:tcPr>
          <w:p>
            <w:pPr>
              <w:jc w:val="center"/>
              <w:textAlignment w:val="center"/>
              <w:rPr>
                <w:rFonts w:cs="宋体"/>
                <w:b/>
                <w:sz w:val="24"/>
                <w:szCs w:val="24"/>
                <w:highlight w:val="none"/>
              </w:rPr>
            </w:pPr>
            <w:r>
              <w:rPr>
                <w:rFonts w:cs="宋体"/>
                <w:b/>
                <w:sz w:val="24"/>
                <w:szCs w:val="24"/>
                <w:highlight w:val="none"/>
              </w:rPr>
              <w:t>分值</w:t>
            </w:r>
          </w:p>
        </w:tc>
        <w:tc>
          <w:tcPr>
            <w:tcW w:w="6933" w:type="dxa"/>
            <w:noWrap/>
            <w:tcMar>
              <w:top w:w="15" w:type="dxa"/>
              <w:left w:w="15" w:type="dxa"/>
              <w:right w:w="15" w:type="dxa"/>
            </w:tcMar>
            <w:vAlign w:val="center"/>
          </w:tcPr>
          <w:p>
            <w:pPr>
              <w:jc w:val="center"/>
              <w:textAlignment w:val="center"/>
              <w:rPr>
                <w:rFonts w:cs="宋体"/>
                <w:b/>
                <w:sz w:val="24"/>
                <w:szCs w:val="24"/>
                <w:highlight w:val="none"/>
              </w:rPr>
            </w:pPr>
            <w:r>
              <w:rPr>
                <w:rFonts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910" w:type="dxa"/>
            <w:vMerge w:val="restart"/>
            <w:noWrap/>
            <w:tcMar>
              <w:top w:w="15" w:type="dxa"/>
              <w:left w:w="15" w:type="dxa"/>
              <w:right w:w="15" w:type="dxa"/>
            </w:tcMar>
            <w:vAlign w:val="center"/>
          </w:tcPr>
          <w:p>
            <w:pPr>
              <w:jc w:val="center"/>
              <w:textAlignment w:val="center"/>
              <w:rPr>
                <w:rFonts w:cs="宋体"/>
                <w:sz w:val="24"/>
                <w:szCs w:val="24"/>
                <w:highlight w:val="none"/>
              </w:rPr>
            </w:pPr>
            <w:r>
              <w:rPr>
                <w:rFonts w:cs="宋体"/>
                <w:sz w:val="24"/>
                <w:szCs w:val="24"/>
                <w:highlight w:val="none"/>
              </w:rPr>
              <w:t>一</w:t>
            </w:r>
          </w:p>
        </w:tc>
        <w:tc>
          <w:tcPr>
            <w:tcW w:w="1366" w:type="dxa"/>
            <w:vMerge w:val="restart"/>
            <w:tcMar>
              <w:top w:w="15" w:type="dxa"/>
              <w:left w:w="15" w:type="dxa"/>
              <w:right w:w="15" w:type="dxa"/>
            </w:tcMar>
            <w:vAlign w:val="center"/>
          </w:tcPr>
          <w:p>
            <w:pPr>
              <w:spacing w:line="274" w:lineRule="exact"/>
              <w:jc w:val="center"/>
              <w:rPr>
                <w:sz w:val="24"/>
                <w:szCs w:val="24"/>
                <w:highlight w:val="none"/>
              </w:rPr>
            </w:pPr>
            <w:r>
              <w:rPr>
                <w:sz w:val="24"/>
                <w:szCs w:val="24"/>
                <w:highlight w:val="none"/>
              </w:rPr>
              <w:t>商务部分  （</w:t>
            </w:r>
            <w:r>
              <w:rPr>
                <w:rFonts w:hint="eastAsia"/>
                <w:sz w:val="24"/>
                <w:szCs w:val="24"/>
                <w:highlight w:val="none"/>
              </w:rPr>
              <w:t>30</w:t>
            </w:r>
            <w:r>
              <w:rPr>
                <w:sz w:val="24"/>
                <w:szCs w:val="24"/>
                <w:highlight w:val="none"/>
              </w:rPr>
              <w:t>分）</w:t>
            </w:r>
          </w:p>
        </w:tc>
        <w:tc>
          <w:tcPr>
            <w:tcW w:w="781" w:type="dxa"/>
            <w:tcMar>
              <w:top w:w="15" w:type="dxa"/>
              <w:left w:w="15" w:type="dxa"/>
              <w:right w:w="15" w:type="dxa"/>
            </w:tcMar>
            <w:vAlign w:val="center"/>
          </w:tcPr>
          <w:p>
            <w:pPr>
              <w:spacing w:line="274" w:lineRule="exact"/>
              <w:jc w:val="center"/>
              <w:rPr>
                <w:sz w:val="24"/>
                <w:szCs w:val="24"/>
                <w:highlight w:val="none"/>
              </w:rPr>
            </w:pPr>
            <w:r>
              <w:rPr>
                <w:sz w:val="24"/>
                <w:szCs w:val="24"/>
                <w:highlight w:val="none"/>
              </w:rPr>
              <w:t>20分</w:t>
            </w:r>
          </w:p>
        </w:tc>
        <w:tc>
          <w:tcPr>
            <w:tcW w:w="6933" w:type="dxa"/>
            <w:tcMar>
              <w:top w:w="15" w:type="dxa"/>
              <w:left w:w="15" w:type="dxa"/>
              <w:right w:w="15" w:type="dxa"/>
            </w:tcMar>
            <w:vAlign w:val="center"/>
          </w:tcPr>
          <w:p>
            <w:pPr>
              <w:textAlignment w:val="center"/>
              <w:rPr>
                <w:rFonts w:cs="宋体"/>
                <w:sz w:val="24"/>
                <w:szCs w:val="24"/>
                <w:highlight w:val="none"/>
              </w:rPr>
            </w:pPr>
            <w:r>
              <w:rPr>
                <w:rFonts w:cs="宋体"/>
                <w:sz w:val="24"/>
                <w:szCs w:val="24"/>
                <w:highlight w:val="none"/>
              </w:rPr>
              <w:t>服务银行在本项目</w:t>
            </w:r>
            <w:r>
              <w:rPr>
                <w:rFonts w:hint="eastAsia" w:cs="宋体"/>
                <w:sz w:val="24"/>
                <w:szCs w:val="24"/>
                <w:highlight w:val="none"/>
              </w:rPr>
              <w:t>区域</w:t>
            </w:r>
            <w:r>
              <w:rPr>
                <w:rFonts w:cs="宋体"/>
                <w:sz w:val="24"/>
                <w:szCs w:val="24"/>
                <w:highlight w:val="none"/>
              </w:rPr>
              <w:t>内的营业网点，提供证明材料的每提供1份，得2分，（满分 20 分）（以各营业网点经营执照为依据，提供一项为2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910" w:type="dxa"/>
            <w:vMerge w:val="continue"/>
            <w:noWrap/>
            <w:tcMar>
              <w:top w:w="15" w:type="dxa"/>
              <w:left w:w="15" w:type="dxa"/>
              <w:right w:w="15" w:type="dxa"/>
            </w:tcMar>
            <w:vAlign w:val="center"/>
          </w:tcPr>
          <w:p>
            <w:pPr>
              <w:jc w:val="center"/>
              <w:textAlignment w:val="center"/>
              <w:rPr>
                <w:rFonts w:cs="宋体"/>
                <w:sz w:val="24"/>
                <w:szCs w:val="24"/>
                <w:highlight w:val="none"/>
              </w:rPr>
            </w:pPr>
          </w:p>
        </w:tc>
        <w:tc>
          <w:tcPr>
            <w:tcW w:w="1366" w:type="dxa"/>
            <w:vMerge w:val="continue"/>
            <w:tcMar>
              <w:top w:w="15" w:type="dxa"/>
              <w:left w:w="15" w:type="dxa"/>
              <w:right w:w="15" w:type="dxa"/>
            </w:tcMar>
            <w:vAlign w:val="center"/>
          </w:tcPr>
          <w:p>
            <w:pPr>
              <w:spacing w:line="274" w:lineRule="exact"/>
              <w:jc w:val="center"/>
              <w:rPr>
                <w:sz w:val="24"/>
                <w:szCs w:val="24"/>
                <w:highlight w:val="none"/>
              </w:rPr>
            </w:pPr>
          </w:p>
        </w:tc>
        <w:tc>
          <w:tcPr>
            <w:tcW w:w="781" w:type="dxa"/>
            <w:tcMar>
              <w:top w:w="15" w:type="dxa"/>
              <w:left w:w="15" w:type="dxa"/>
              <w:right w:w="15" w:type="dxa"/>
            </w:tcMar>
            <w:vAlign w:val="center"/>
          </w:tcPr>
          <w:p>
            <w:pPr>
              <w:spacing w:line="274" w:lineRule="exact"/>
              <w:jc w:val="center"/>
              <w:rPr>
                <w:sz w:val="24"/>
                <w:szCs w:val="24"/>
                <w:highlight w:val="none"/>
              </w:rPr>
            </w:pPr>
            <w:r>
              <w:rPr>
                <w:rFonts w:hint="eastAsia"/>
                <w:sz w:val="24"/>
                <w:szCs w:val="24"/>
                <w:highlight w:val="none"/>
              </w:rPr>
              <w:t>10</w:t>
            </w:r>
            <w:r>
              <w:rPr>
                <w:sz w:val="24"/>
                <w:szCs w:val="24"/>
                <w:highlight w:val="none"/>
              </w:rPr>
              <w:t>分</w:t>
            </w:r>
          </w:p>
        </w:tc>
        <w:tc>
          <w:tcPr>
            <w:tcW w:w="6933" w:type="dxa"/>
            <w:tcMar>
              <w:top w:w="15" w:type="dxa"/>
              <w:left w:w="15" w:type="dxa"/>
              <w:right w:w="15" w:type="dxa"/>
            </w:tcMar>
            <w:vAlign w:val="center"/>
          </w:tcPr>
          <w:p>
            <w:pPr>
              <w:pStyle w:val="12"/>
              <w:jc w:val="left"/>
              <w:rPr>
                <w:rFonts w:ascii="宋体" w:hAnsi="宋体"/>
                <w:sz w:val="24"/>
                <w:szCs w:val="24"/>
                <w:highlight w:val="none"/>
              </w:rPr>
            </w:pPr>
            <w:r>
              <w:rPr>
                <w:rFonts w:ascii="宋体" w:hAnsi="宋体" w:cs="宋体"/>
                <w:kern w:val="0"/>
                <w:sz w:val="24"/>
                <w:szCs w:val="24"/>
                <w:highlight w:val="none"/>
              </w:rPr>
              <w:t xml:space="preserve">能够保证资金规划系统和财政网络连接的安全性，并承担自身网络安全问题方面的责任，满足得 </w:t>
            </w:r>
            <w:r>
              <w:rPr>
                <w:rFonts w:hint="eastAsia" w:ascii="宋体" w:hAnsi="宋体" w:cs="宋体"/>
                <w:kern w:val="0"/>
                <w:sz w:val="24"/>
                <w:szCs w:val="24"/>
                <w:highlight w:val="none"/>
              </w:rPr>
              <w:t>10</w:t>
            </w:r>
            <w:r>
              <w:rPr>
                <w:rFonts w:ascii="宋体" w:hAnsi="宋体" w:cs="宋体"/>
                <w:kern w:val="0"/>
                <w:sz w:val="24"/>
                <w:szCs w:val="24"/>
                <w:highlight w:val="none"/>
              </w:rPr>
              <w:t xml:space="preserve"> 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6" w:hRule="atLeast"/>
        </w:trPr>
        <w:tc>
          <w:tcPr>
            <w:tcW w:w="910" w:type="dxa"/>
            <w:vMerge w:val="restart"/>
            <w:noWrap/>
            <w:tcMar>
              <w:top w:w="15" w:type="dxa"/>
              <w:left w:w="15" w:type="dxa"/>
              <w:right w:w="15" w:type="dxa"/>
            </w:tcMar>
            <w:vAlign w:val="center"/>
          </w:tcPr>
          <w:p>
            <w:pPr>
              <w:jc w:val="center"/>
              <w:textAlignment w:val="center"/>
              <w:rPr>
                <w:rFonts w:cs="宋体"/>
                <w:sz w:val="24"/>
                <w:szCs w:val="24"/>
                <w:highlight w:val="none"/>
              </w:rPr>
            </w:pPr>
            <w:r>
              <w:rPr>
                <w:rFonts w:cs="宋体"/>
                <w:sz w:val="24"/>
                <w:szCs w:val="24"/>
                <w:highlight w:val="none"/>
              </w:rPr>
              <w:t>二</w:t>
            </w:r>
          </w:p>
          <w:p>
            <w:pPr>
              <w:jc w:val="center"/>
              <w:textAlignment w:val="center"/>
              <w:rPr>
                <w:rFonts w:cs="宋体"/>
                <w:sz w:val="24"/>
                <w:szCs w:val="24"/>
                <w:highlight w:val="none"/>
              </w:rPr>
            </w:pPr>
          </w:p>
        </w:tc>
        <w:tc>
          <w:tcPr>
            <w:tcW w:w="1366" w:type="dxa"/>
            <w:vMerge w:val="restart"/>
            <w:tcMar>
              <w:top w:w="15" w:type="dxa"/>
              <w:left w:w="15" w:type="dxa"/>
              <w:right w:w="15" w:type="dxa"/>
            </w:tcMar>
            <w:vAlign w:val="center"/>
          </w:tcPr>
          <w:p>
            <w:pPr>
              <w:spacing w:line="274" w:lineRule="exact"/>
              <w:jc w:val="center"/>
              <w:rPr>
                <w:sz w:val="24"/>
                <w:szCs w:val="24"/>
                <w:highlight w:val="none"/>
              </w:rPr>
            </w:pPr>
            <w:r>
              <w:rPr>
                <w:sz w:val="24"/>
                <w:szCs w:val="24"/>
                <w:highlight w:val="none"/>
              </w:rPr>
              <w:t>技术部分（</w:t>
            </w:r>
            <w:r>
              <w:rPr>
                <w:rFonts w:hint="eastAsia"/>
                <w:sz w:val="24"/>
                <w:szCs w:val="24"/>
                <w:highlight w:val="none"/>
                <w:lang w:val="en-US" w:eastAsia="zh-CN"/>
              </w:rPr>
              <w:t>6</w:t>
            </w:r>
            <w:r>
              <w:rPr>
                <w:rFonts w:hint="eastAsia"/>
                <w:sz w:val="24"/>
                <w:szCs w:val="24"/>
                <w:highlight w:val="none"/>
              </w:rPr>
              <w:t>0</w:t>
            </w:r>
            <w:r>
              <w:rPr>
                <w:sz w:val="24"/>
                <w:szCs w:val="24"/>
                <w:highlight w:val="none"/>
              </w:rPr>
              <w:t>分）</w:t>
            </w:r>
          </w:p>
        </w:tc>
        <w:tc>
          <w:tcPr>
            <w:tcW w:w="781" w:type="dxa"/>
            <w:vMerge w:val="restart"/>
            <w:tcMar>
              <w:top w:w="15" w:type="dxa"/>
              <w:left w:w="15" w:type="dxa"/>
              <w:right w:w="15" w:type="dxa"/>
            </w:tcMar>
            <w:vAlign w:val="center"/>
          </w:tcPr>
          <w:p>
            <w:pPr>
              <w:jc w:val="center"/>
              <w:rPr>
                <w:sz w:val="24"/>
                <w:szCs w:val="24"/>
                <w:highlight w:val="none"/>
              </w:rPr>
            </w:pPr>
            <w:r>
              <w:rPr>
                <w:sz w:val="24"/>
                <w:szCs w:val="24"/>
                <w:highlight w:val="none"/>
              </w:rPr>
              <w:t>3</w:t>
            </w:r>
            <w:r>
              <w:rPr>
                <w:rFonts w:hint="eastAsia"/>
                <w:sz w:val="24"/>
                <w:szCs w:val="24"/>
                <w:highlight w:val="none"/>
              </w:rPr>
              <w:t>0</w:t>
            </w:r>
            <w:r>
              <w:rPr>
                <w:sz w:val="24"/>
                <w:szCs w:val="24"/>
                <w:highlight w:val="none"/>
              </w:rPr>
              <w:t>分</w:t>
            </w:r>
          </w:p>
        </w:tc>
        <w:tc>
          <w:tcPr>
            <w:tcW w:w="6933" w:type="dxa"/>
            <w:tcMar>
              <w:top w:w="15" w:type="dxa"/>
              <w:left w:w="15" w:type="dxa"/>
              <w:right w:w="15" w:type="dxa"/>
            </w:tcMar>
            <w:vAlign w:val="center"/>
          </w:tcPr>
          <w:p>
            <w:pPr>
              <w:textAlignment w:val="center"/>
              <w:rPr>
                <w:rFonts w:cs="宋体"/>
                <w:sz w:val="24"/>
                <w:szCs w:val="24"/>
                <w:highlight w:val="none"/>
              </w:rPr>
            </w:pPr>
            <w:r>
              <w:rPr>
                <w:rFonts w:cs="宋体"/>
                <w:sz w:val="24"/>
                <w:szCs w:val="24"/>
                <w:highlight w:val="none"/>
              </w:rPr>
              <w:t>积极配合财政做好国库集中支付代理业务并接受预算单位的监督满分 20 分)。</w:t>
            </w:r>
          </w:p>
          <w:p>
            <w:pPr>
              <w:textAlignment w:val="center"/>
              <w:rPr>
                <w:rFonts w:cs="宋体"/>
                <w:sz w:val="24"/>
                <w:szCs w:val="24"/>
                <w:highlight w:val="none"/>
              </w:rPr>
            </w:pPr>
            <w:r>
              <w:rPr>
                <w:rFonts w:cs="宋体"/>
                <w:sz w:val="24"/>
                <w:szCs w:val="24"/>
                <w:highlight w:val="none"/>
              </w:rPr>
              <w:t>1.采购人通知办理业务,及时办理完毕,提供限时办结服务，以承诺函为依据；</w:t>
            </w:r>
          </w:p>
          <w:p>
            <w:pPr>
              <w:textAlignment w:val="center"/>
              <w:rPr>
                <w:rFonts w:cs="宋体"/>
                <w:sz w:val="24"/>
                <w:szCs w:val="24"/>
                <w:highlight w:val="none"/>
              </w:rPr>
            </w:pPr>
            <w:r>
              <w:rPr>
                <w:rFonts w:cs="宋体"/>
                <w:sz w:val="24"/>
                <w:szCs w:val="24"/>
                <w:highlight w:val="none"/>
              </w:rPr>
              <w:t>2.</w:t>
            </w:r>
            <w:r>
              <w:rPr>
                <w:rFonts w:hint="eastAsia" w:cs="宋体"/>
                <w:sz w:val="24"/>
                <w:szCs w:val="24"/>
                <w:highlight w:val="none"/>
              </w:rPr>
              <w:t xml:space="preserve"> 积极与人行、财政对账,做到日清月结，出具承诺函；</w:t>
            </w:r>
          </w:p>
          <w:p>
            <w:pPr>
              <w:textAlignment w:val="center"/>
              <w:rPr>
                <w:rFonts w:cs="宋体"/>
                <w:sz w:val="24"/>
                <w:szCs w:val="24"/>
                <w:highlight w:val="none"/>
              </w:rPr>
            </w:pPr>
            <w:r>
              <w:rPr>
                <w:rFonts w:cs="宋体"/>
                <w:sz w:val="24"/>
                <w:szCs w:val="24"/>
                <w:highlight w:val="none"/>
              </w:rPr>
              <w:t>3.是否设立国库集中结算专柜服务预算单位，以本行出具专岗人员职位证明文件；</w:t>
            </w:r>
          </w:p>
          <w:p>
            <w:pPr>
              <w:textAlignment w:val="center"/>
              <w:rPr>
                <w:rFonts w:cs="宋体"/>
                <w:sz w:val="24"/>
                <w:szCs w:val="24"/>
                <w:highlight w:val="none"/>
              </w:rPr>
            </w:pPr>
            <w:r>
              <w:rPr>
                <w:rFonts w:cs="宋体"/>
                <w:sz w:val="24"/>
                <w:szCs w:val="24"/>
                <w:highlight w:val="none"/>
              </w:rPr>
              <w:t>4.对服务的预算单位是否提供免费账户查询等服务，出具承诺函；</w:t>
            </w:r>
          </w:p>
          <w:p>
            <w:pPr>
              <w:textAlignment w:val="center"/>
              <w:rPr>
                <w:rFonts w:cs="宋体"/>
                <w:sz w:val="24"/>
                <w:szCs w:val="24"/>
                <w:highlight w:val="none"/>
              </w:rPr>
            </w:pPr>
            <w:r>
              <w:rPr>
                <w:rFonts w:cs="宋体"/>
                <w:sz w:val="24"/>
                <w:szCs w:val="24"/>
                <w:highlight w:val="none"/>
              </w:rPr>
              <w:t>5.</w:t>
            </w:r>
            <w:r>
              <w:rPr>
                <w:rFonts w:cs="宋体"/>
                <w:spacing w:val="-2"/>
                <w:sz w:val="24"/>
                <w:szCs w:val="24"/>
                <w:highlight w:val="none"/>
              </w:rPr>
              <w:t>对服务的预算单位的同城跨行转账取消手续费，出具明文、制度等证明材料；</w:t>
            </w:r>
          </w:p>
          <w:p>
            <w:pPr>
              <w:textAlignment w:val="center"/>
              <w:rPr>
                <w:rFonts w:cs="宋体"/>
                <w:sz w:val="24"/>
                <w:szCs w:val="24"/>
                <w:highlight w:val="none"/>
              </w:rPr>
            </w:pPr>
            <w:r>
              <w:rPr>
                <w:rFonts w:cs="宋体"/>
                <w:sz w:val="24"/>
                <w:szCs w:val="24"/>
                <w:highlight w:val="none"/>
              </w:rPr>
              <w:t>6.</w:t>
            </w:r>
            <w:r>
              <w:rPr>
                <w:rFonts w:cs="宋体"/>
                <w:spacing w:val="-2"/>
                <w:sz w:val="24"/>
                <w:szCs w:val="24"/>
                <w:highlight w:val="none"/>
              </w:rPr>
              <w:t>对服务的预算单位减免账户管理费、服务费等，出具明文、制度等证明材料；</w:t>
            </w:r>
          </w:p>
          <w:p>
            <w:pPr>
              <w:textAlignment w:val="center"/>
              <w:rPr>
                <w:rFonts w:cs="宋体"/>
                <w:sz w:val="24"/>
                <w:szCs w:val="24"/>
                <w:highlight w:val="none"/>
              </w:rPr>
            </w:pPr>
            <w:r>
              <w:rPr>
                <w:rFonts w:cs="宋体"/>
                <w:sz w:val="24"/>
                <w:szCs w:val="24"/>
                <w:highlight w:val="none"/>
              </w:rPr>
              <w:t>7.每月能及时准确向服务的预算。单位提供对账单送达业务等，出具明文、制度、合作协议等证明材料；</w:t>
            </w:r>
          </w:p>
          <w:p>
            <w:pPr>
              <w:textAlignment w:val="center"/>
              <w:rPr>
                <w:rFonts w:cs="宋体"/>
                <w:sz w:val="24"/>
                <w:szCs w:val="24"/>
                <w:highlight w:val="none"/>
              </w:rPr>
            </w:pPr>
            <w:r>
              <w:rPr>
                <w:rFonts w:cs="宋体"/>
                <w:sz w:val="24"/>
                <w:szCs w:val="24"/>
                <w:highlight w:val="none"/>
              </w:rPr>
              <w:t>8.正常工作日,无特殊因素,不得推脱业务办理，出具承诺函。</w:t>
            </w:r>
          </w:p>
          <w:p>
            <w:pPr>
              <w:textAlignment w:val="center"/>
              <w:rPr>
                <w:b/>
                <w:sz w:val="24"/>
                <w:szCs w:val="24"/>
                <w:highlight w:val="none"/>
              </w:rPr>
            </w:pPr>
            <w:r>
              <w:rPr>
                <w:rFonts w:cs="宋体"/>
                <w:b/>
                <w:sz w:val="24"/>
                <w:szCs w:val="24"/>
                <w:highlight w:val="none"/>
              </w:rPr>
              <w:t>满足一项得 2.5 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910" w:type="dxa"/>
            <w:vMerge w:val="continue"/>
            <w:noWrap/>
            <w:tcMar>
              <w:top w:w="15" w:type="dxa"/>
              <w:left w:w="15" w:type="dxa"/>
              <w:right w:w="15" w:type="dxa"/>
            </w:tcMar>
            <w:vAlign w:val="center"/>
          </w:tcPr>
          <w:p>
            <w:pPr>
              <w:jc w:val="center"/>
              <w:textAlignment w:val="center"/>
              <w:rPr>
                <w:rFonts w:cs="宋体"/>
                <w:sz w:val="24"/>
                <w:szCs w:val="24"/>
                <w:highlight w:val="none"/>
              </w:rPr>
            </w:pPr>
          </w:p>
        </w:tc>
        <w:tc>
          <w:tcPr>
            <w:tcW w:w="1366" w:type="dxa"/>
            <w:vMerge w:val="continue"/>
            <w:tcMar>
              <w:top w:w="15" w:type="dxa"/>
              <w:left w:w="15" w:type="dxa"/>
              <w:right w:w="15" w:type="dxa"/>
            </w:tcMar>
            <w:vAlign w:val="bottom"/>
          </w:tcPr>
          <w:p>
            <w:pPr>
              <w:spacing w:line="274" w:lineRule="exact"/>
              <w:jc w:val="center"/>
              <w:rPr>
                <w:sz w:val="24"/>
                <w:szCs w:val="24"/>
                <w:highlight w:val="none"/>
              </w:rPr>
            </w:pPr>
          </w:p>
        </w:tc>
        <w:tc>
          <w:tcPr>
            <w:tcW w:w="781" w:type="dxa"/>
            <w:vMerge w:val="continue"/>
            <w:tcMar>
              <w:top w:w="15" w:type="dxa"/>
              <w:left w:w="15" w:type="dxa"/>
              <w:right w:w="15" w:type="dxa"/>
            </w:tcMar>
            <w:vAlign w:val="bottom"/>
          </w:tcPr>
          <w:p>
            <w:pPr>
              <w:spacing w:line="274" w:lineRule="exact"/>
              <w:jc w:val="center"/>
              <w:rPr>
                <w:sz w:val="24"/>
                <w:szCs w:val="24"/>
                <w:highlight w:val="none"/>
              </w:rPr>
            </w:pPr>
          </w:p>
        </w:tc>
        <w:tc>
          <w:tcPr>
            <w:tcW w:w="6933" w:type="dxa"/>
            <w:tcMar>
              <w:top w:w="15" w:type="dxa"/>
              <w:left w:w="15" w:type="dxa"/>
              <w:right w:w="15" w:type="dxa"/>
            </w:tcMar>
            <w:vAlign w:val="center"/>
          </w:tcPr>
          <w:p>
            <w:pPr>
              <w:textAlignment w:val="center"/>
              <w:rPr>
                <w:rFonts w:cs="宋体"/>
                <w:sz w:val="24"/>
                <w:szCs w:val="24"/>
                <w:highlight w:val="none"/>
              </w:rPr>
            </w:pPr>
            <w:r>
              <w:rPr>
                <w:rFonts w:cs="宋体"/>
                <w:sz w:val="24"/>
                <w:szCs w:val="24"/>
                <w:highlight w:val="none"/>
              </w:rPr>
              <w:t>具备先进的资金汇划清算系统,保证同城转账实时到账,异地转账两小时内到账,跨行支付 24 小时内到账。满足得 3 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910" w:type="dxa"/>
            <w:vMerge w:val="continue"/>
            <w:noWrap/>
            <w:tcMar>
              <w:top w:w="15" w:type="dxa"/>
              <w:left w:w="15" w:type="dxa"/>
              <w:right w:w="15" w:type="dxa"/>
            </w:tcMar>
            <w:vAlign w:val="center"/>
          </w:tcPr>
          <w:p>
            <w:pPr>
              <w:jc w:val="center"/>
              <w:textAlignment w:val="center"/>
              <w:rPr>
                <w:rFonts w:cs="宋体"/>
                <w:sz w:val="24"/>
                <w:szCs w:val="24"/>
                <w:highlight w:val="none"/>
              </w:rPr>
            </w:pPr>
          </w:p>
        </w:tc>
        <w:tc>
          <w:tcPr>
            <w:tcW w:w="1366" w:type="dxa"/>
            <w:vMerge w:val="continue"/>
            <w:tcMar>
              <w:top w:w="15" w:type="dxa"/>
              <w:left w:w="15" w:type="dxa"/>
              <w:right w:w="15" w:type="dxa"/>
            </w:tcMar>
            <w:vAlign w:val="bottom"/>
          </w:tcPr>
          <w:p>
            <w:pPr>
              <w:spacing w:line="274" w:lineRule="exact"/>
              <w:jc w:val="center"/>
              <w:rPr>
                <w:sz w:val="24"/>
                <w:szCs w:val="24"/>
                <w:highlight w:val="none"/>
              </w:rPr>
            </w:pPr>
          </w:p>
        </w:tc>
        <w:tc>
          <w:tcPr>
            <w:tcW w:w="781" w:type="dxa"/>
            <w:vMerge w:val="continue"/>
            <w:tcMar>
              <w:top w:w="15" w:type="dxa"/>
              <w:left w:w="15" w:type="dxa"/>
              <w:right w:w="15" w:type="dxa"/>
            </w:tcMar>
            <w:vAlign w:val="bottom"/>
          </w:tcPr>
          <w:p>
            <w:pPr>
              <w:spacing w:line="274" w:lineRule="exact"/>
              <w:jc w:val="center"/>
              <w:rPr>
                <w:sz w:val="24"/>
                <w:szCs w:val="24"/>
                <w:highlight w:val="none"/>
              </w:rPr>
            </w:pPr>
          </w:p>
        </w:tc>
        <w:tc>
          <w:tcPr>
            <w:tcW w:w="6933" w:type="dxa"/>
            <w:tcMar>
              <w:top w:w="15" w:type="dxa"/>
              <w:left w:w="15" w:type="dxa"/>
              <w:right w:w="15" w:type="dxa"/>
            </w:tcMar>
            <w:vAlign w:val="center"/>
          </w:tcPr>
          <w:p>
            <w:pPr>
              <w:textAlignment w:val="center"/>
              <w:rPr>
                <w:rFonts w:cs="宋体"/>
                <w:sz w:val="24"/>
                <w:szCs w:val="24"/>
                <w:highlight w:val="none"/>
              </w:rPr>
            </w:pPr>
            <w:r>
              <w:rPr>
                <w:rFonts w:cs="宋体"/>
                <w:sz w:val="24"/>
                <w:szCs w:val="24"/>
                <w:highlight w:val="none"/>
              </w:rPr>
              <w:t xml:space="preserve">制定财政资金加急业务办理程序,可实时办理紧急财政资金支付业务。满足得 </w:t>
            </w:r>
            <w:r>
              <w:rPr>
                <w:rFonts w:hint="eastAsia" w:cs="宋体"/>
                <w:sz w:val="24"/>
                <w:szCs w:val="24"/>
                <w:highlight w:val="none"/>
              </w:rPr>
              <w:t>2</w:t>
            </w:r>
            <w:r>
              <w:rPr>
                <w:rFonts w:cs="宋体"/>
                <w:sz w:val="24"/>
                <w:szCs w:val="24"/>
                <w:highlight w:val="none"/>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910" w:type="dxa"/>
            <w:vMerge w:val="continue"/>
            <w:noWrap/>
            <w:tcMar>
              <w:top w:w="15" w:type="dxa"/>
              <w:left w:w="15" w:type="dxa"/>
              <w:right w:w="15" w:type="dxa"/>
            </w:tcMar>
            <w:vAlign w:val="center"/>
          </w:tcPr>
          <w:p>
            <w:pPr>
              <w:jc w:val="center"/>
              <w:textAlignment w:val="center"/>
              <w:rPr>
                <w:rFonts w:cs="宋体"/>
                <w:sz w:val="24"/>
                <w:szCs w:val="24"/>
                <w:highlight w:val="none"/>
              </w:rPr>
            </w:pPr>
          </w:p>
        </w:tc>
        <w:tc>
          <w:tcPr>
            <w:tcW w:w="1366" w:type="dxa"/>
            <w:vMerge w:val="continue"/>
            <w:tcMar>
              <w:top w:w="15" w:type="dxa"/>
              <w:left w:w="15" w:type="dxa"/>
              <w:right w:w="15" w:type="dxa"/>
            </w:tcMar>
            <w:vAlign w:val="bottom"/>
          </w:tcPr>
          <w:p>
            <w:pPr>
              <w:spacing w:line="274" w:lineRule="exact"/>
              <w:jc w:val="center"/>
              <w:rPr>
                <w:sz w:val="24"/>
                <w:szCs w:val="24"/>
                <w:highlight w:val="none"/>
              </w:rPr>
            </w:pPr>
          </w:p>
        </w:tc>
        <w:tc>
          <w:tcPr>
            <w:tcW w:w="781" w:type="dxa"/>
            <w:vMerge w:val="continue"/>
            <w:tcMar>
              <w:top w:w="15" w:type="dxa"/>
              <w:left w:w="15" w:type="dxa"/>
              <w:right w:w="15" w:type="dxa"/>
            </w:tcMar>
            <w:vAlign w:val="bottom"/>
          </w:tcPr>
          <w:p>
            <w:pPr>
              <w:spacing w:line="274" w:lineRule="exact"/>
              <w:jc w:val="center"/>
              <w:rPr>
                <w:sz w:val="24"/>
                <w:szCs w:val="24"/>
                <w:highlight w:val="none"/>
              </w:rPr>
            </w:pPr>
          </w:p>
        </w:tc>
        <w:tc>
          <w:tcPr>
            <w:tcW w:w="6933" w:type="dxa"/>
            <w:tcMar>
              <w:top w:w="15" w:type="dxa"/>
              <w:left w:w="15" w:type="dxa"/>
              <w:right w:w="15" w:type="dxa"/>
            </w:tcMar>
            <w:vAlign w:val="center"/>
          </w:tcPr>
          <w:p>
            <w:pPr>
              <w:textAlignment w:val="center"/>
              <w:rPr>
                <w:rFonts w:cs="宋体"/>
                <w:sz w:val="24"/>
                <w:szCs w:val="24"/>
                <w:highlight w:val="none"/>
              </w:rPr>
            </w:pPr>
            <w:r>
              <w:rPr>
                <w:rFonts w:cs="宋体"/>
                <w:sz w:val="24"/>
                <w:szCs w:val="24"/>
                <w:highlight w:val="none"/>
              </w:rPr>
              <w:t>取消国库集中支付代理手续费。无手续费得 3 分,收手续费不得分；与人民银行清算资金前无息垫付资金。承诺无息垫资得 2 分,收取利息不得分（满分 5 分）（出具的承诺为依据）。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910" w:type="dxa"/>
            <w:vMerge w:val="continue"/>
            <w:noWrap/>
            <w:tcMar>
              <w:top w:w="15" w:type="dxa"/>
              <w:left w:w="15" w:type="dxa"/>
              <w:right w:w="15" w:type="dxa"/>
            </w:tcMar>
            <w:vAlign w:val="center"/>
          </w:tcPr>
          <w:p>
            <w:pPr>
              <w:jc w:val="center"/>
              <w:textAlignment w:val="center"/>
              <w:rPr>
                <w:rFonts w:cs="宋体"/>
                <w:sz w:val="24"/>
                <w:szCs w:val="24"/>
                <w:highlight w:val="none"/>
              </w:rPr>
            </w:pPr>
          </w:p>
        </w:tc>
        <w:tc>
          <w:tcPr>
            <w:tcW w:w="1366" w:type="dxa"/>
            <w:vMerge w:val="continue"/>
            <w:tcMar>
              <w:top w:w="15" w:type="dxa"/>
              <w:left w:w="15" w:type="dxa"/>
              <w:right w:w="15" w:type="dxa"/>
            </w:tcMar>
            <w:vAlign w:val="bottom"/>
          </w:tcPr>
          <w:p>
            <w:pPr>
              <w:spacing w:line="274" w:lineRule="exact"/>
              <w:jc w:val="center"/>
              <w:rPr>
                <w:sz w:val="24"/>
                <w:szCs w:val="24"/>
                <w:highlight w:val="none"/>
              </w:rPr>
            </w:pPr>
          </w:p>
        </w:tc>
        <w:tc>
          <w:tcPr>
            <w:tcW w:w="781" w:type="dxa"/>
            <w:vMerge w:val="restart"/>
            <w:tcMar>
              <w:top w:w="15" w:type="dxa"/>
              <w:left w:w="15" w:type="dxa"/>
              <w:right w:w="15" w:type="dxa"/>
            </w:tcMar>
            <w:vAlign w:val="center"/>
          </w:tcPr>
          <w:p>
            <w:pPr>
              <w:spacing w:line="274" w:lineRule="exact"/>
              <w:jc w:val="center"/>
              <w:rPr>
                <w:sz w:val="24"/>
                <w:szCs w:val="24"/>
                <w:highlight w:val="none"/>
              </w:rPr>
            </w:pPr>
            <w:r>
              <w:rPr>
                <w:rFonts w:hint="eastAsia"/>
                <w:sz w:val="24"/>
                <w:szCs w:val="24"/>
                <w:highlight w:val="none"/>
                <w:lang w:val="en-US" w:eastAsia="zh-CN"/>
              </w:rPr>
              <w:t>25</w:t>
            </w:r>
            <w:r>
              <w:rPr>
                <w:sz w:val="24"/>
                <w:szCs w:val="24"/>
                <w:highlight w:val="none"/>
              </w:rPr>
              <w:t>分</w:t>
            </w:r>
          </w:p>
        </w:tc>
        <w:tc>
          <w:tcPr>
            <w:tcW w:w="6933" w:type="dxa"/>
            <w:tcMar>
              <w:top w:w="15" w:type="dxa"/>
              <w:left w:w="15" w:type="dxa"/>
              <w:right w:w="15" w:type="dxa"/>
            </w:tcMar>
            <w:vAlign w:val="center"/>
          </w:tcPr>
          <w:p>
            <w:pPr>
              <w:textAlignment w:val="center"/>
              <w:rPr>
                <w:rFonts w:cs="宋体"/>
                <w:sz w:val="24"/>
                <w:szCs w:val="24"/>
                <w:highlight w:val="none"/>
              </w:rPr>
            </w:pPr>
            <w:r>
              <w:rPr>
                <w:rFonts w:cs="宋体"/>
                <w:sz w:val="24"/>
                <w:szCs w:val="24"/>
                <w:highlight w:val="none"/>
              </w:rPr>
              <w:t xml:space="preserve">投标银行提供的服务实施方案及对账服务、分账核算服务方面进行综合打分,优得 10 分，良得6 分，一般得 </w:t>
            </w:r>
            <w:r>
              <w:rPr>
                <w:rFonts w:hint="eastAsia" w:cs="宋体"/>
                <w:sz w:val="24"/>
                <w:szCs w:val="24"/>
                <w:highlight w:val="none"/>
              </w:rPr>
              <w:t>3</w:t>
            </w:r>
            <w:r>
              <w:rPr>
                <w:rFonts w:cs="宋体"/>
                <w:sz w:val="24"/>
                <w:szCs w:val="24"/>
                <w:highlight w:val="none"/>
              </w:rPr>
              <w:t xml:space="preserve"> 分</w:t>
            </w:r>
            <w:r>
              <w:rPr>
                <w:rFonts w:hint="eastAsia" w:cs="宋体"/>
                <w:sz w:val="24"/>
                <w:szCs w:val="24"/>
                <w:highlight w:val="none"/>
                <w:lang w:eastAsia="zh-CN"/>
              </w:rPr>
              <w:t>，未提供不得分；</w:t>
            </w:r>
            <w:r>
              <w:rPr>
                <w:rFonts w:cs="宋体"/>
                <w:sz w:val="24"/>
                <w:szCs w:val="24"/>
                <w:highlight w:val="none"/>
              </w:rPr>
              <w:t>（满分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910" w:type="dxa"/>
            <w:vMerge w:val="continue"/>
            <w:noWrap/>
            <w:tcMar>
              <w:top w:w="15" w:type="dxa"/>
              <w:left w:w="15" w:type="dxa"/>
              <w:right w:w="15" w:type="dxa"/>
            </w:tcMar>
            <w:vAlign w:val="center"/>
          </w:tcPr>
          <w:p>
            <w:pPr>
              <w:jc w:val="center"/>
              <w:textAlignment w:val="center"/>
              <w:rPr>
                <w:rFonts w:cs="宋体"/>
                <w:sz w:val="24"/>
                <w:szCs w:val="24"/>
                <w:highlight w:val="none"/>
              </w:rPr>
            </w:pPr>
          </w:p>
        </w:tc>
        <w:tc>
          <w:tcPr>
            <w:tcW w:w="1366" w:type="dxa"/>
            <w:vMerge w:val="continue"/>
            <w:tcMar>
              <w:top w:w="15" w:type="dxa"/>
              <w:left w:w="15" w:type="dxa"/>
              <w:right w:w="15" w:type="dxa"/>
            </w:tcMar>
            <w:vAlign w:val="bottom"/>
          </w:tcPr>
          <w:p>
            <w:pPr>
              <w:spacing w:line="274" w:lineRule="exact"/>
              <w:jc w:val="center"/>
              <w:rPr>
                <w:sz w:val="24"/>
                <w:szCs w:val="24"/>
                <w:highlight w:val="none"/>
              </w:rPr>
            </w:pPr>
          </w:p>
        </w:tc>
        <w:tc>
          <w:tcPr>
            <w:tcW w:w="781" w:type="dxa"/>
            <w:vMerge w:val="continue"/>
            <w:tcMar>
              <w:top w:w="15" w:type="dxa"/>
              <w:left w:w="15" w:type="dxa"/>
              <w:right w:w="15" w:type="dxa"/>
            </w:tcMar>
            <w:vAlign w:val="bottom"/>
          </w:tcPr>
          <w:p>
            <w:pPr>
              <w:spacing w:line="274" w:lineRule="exact"/>
              <w:jc w:val="center"/>
              <w:rPr>
                <w:sz w:val="24"/>
                <w:szCs w:val="24"/>
                <w:highlight w:val="none"/>
              </w:rPr>
            </w:pPr>
          </w:p>
        </w:tc>
        <w:tc>
          <w:tcPr>
            <w:tcW w:w="6933" w:type="dxa"/>
            <w:tcMar>
              <w:top w:w="15" w:type="dxa"/>
              <w:left w:w="15" w:type="dxa"/>
              <w:right w:w="15" w:type="dxa"/>
            </w:tcMar>
            <w:vAlign w:val="center"/>
          </w:tcPr>
          <w:p>
            <w:pPr>
              <w:textAlignment w:val="center"/>
              <w:rPr>
                <w:rFonts w:cs="宋体"/>
                <w:sz w:val="24"/>
                <w:szCs w:val="24"/>
                <w:highlight w:val="none"/>
              </w:rPr>
            </w:pPr>
            <w:r>
              <w:rPr>
                <w:rFonts w:cs="宋体"/>
                <w:sz w:val="24"/>
                <w:szCs w:val="24"/>
                <w:highlight w:val="none"/>
              </w:rPr>
              <w:t>投标银行近 2 年支持地域经济发展、重点项目、小微企业及下岗职工再就业方面信贷支持等方面进行综合打分，优得</w:t>
            </w:r>
            <w:r>
              <w:rPr>
                <w:rFonts w:hint="eastAsia" w:cs="宋体"/>
                <w:sz w:val="24"/>
                <w:szCs w:val="24"/>
                <w:highlight w:val="none"/>
              </w:rPr>
              <w:t>8</w:t>
            </w:r>
            <w:r>
              <w:rPr>
                <w:rFonts w:cs="宋体"/>
                <w:sz w:val="24"/>
                <w:szCs w:val="24"/>
                <w:highlight w:val="none"/>
              </w:rPr>
              <w:t>分，良得6分，一般得3分</w:t>
            </w:r>
            <w:r>
              <w:rPr>
                <w:rFonts w:hint="eastAsia" w:cs="宋体"/>
                <w:sz w:val="24"/>
                <w:szCs w:val="24"/>
                <w:highlight w:val="none"/>
                <w:lang w:eastAsia="zh-CN"/>
              </w:rPr>
              <w:t>，未提供不得分；</w:t>
            </w:r>
            <w:r>
              <w:rPr>
                <w:rFonts w:cs="宋体"/>
                <w:sz w:val="24"/>
                <w:szCs w:val="24"/>
                <w:highlight w:val="none"/>
              </w:rPr>
              <w:t>（满分</w:t>
            </w:r>
            <w:r>
              <w:rPr>
                <w:rFonts w:hint="eastAsia" w:cs="宋体"/>
                <w:sz w:val="24"/>
                <w:szCs w:val="24"/>
                <w:highlight w:val="none"/>
              </w:rPr>
              <w:t>8</w:t>
            </w:r>
            <w:r>
              <w:rPr>
                <w:rFonts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910" w:type="dxa"/>
            <w:vMerge w:val="continue"/>
            <w:noWrap/>
            <w:tcMar>
              <w:top w:w="15" w:type="dxa"/>
              <w:left w:w="15" w:type="dxa"/>
              <w:right w:w="15" w:type="dxa"/>
            </w:tcMar>
            <w:vAlign w:val="center"/>
          </w:tcPr>
          <w:p>
            <w:pPr>
              <w:jc w:val="center"/>
              <w:textAlignment w:val="center"/>
              <w:rPr>
                <w:rFonts w:cs="宋体"/>
                <w:sz w:val="24"/>
                <w:szCs w:val="24"/>
                <w:highlight w:val="none"/>
              </w:rPr>
            </w:pPr>
          </w:p>
        </w:tc>
        <w:tc>
          <w:tcPr>
            <w:tcW w:w="1366" w:type="dxa"/>
            <w:vMerge w:val="continue"/>
            <w:tcMar>
              <w:top w:w="15" w:type="dxa"/>
              <w:left w:w="15" w:type="dxa"/>
              <w:right w:w="15" w:type="dxa"/>
            </w:tcMar>
            <w:vAlign w:val="bottom"/>
          </w:tcPr>
          <w:p>
            <w:pPr>
              <w:spacing w:line="274" w:lineRule="exact"/>
              <w:jc w:val="center"/>
              <w:rPr>
                <w:sz w:val="24"/>
                <w:szCs w:val="24"/>
                <w:highlight w:val="none"/>
              </w:rPr>
            </w:pPr>
          </w:p>
        </w:tc>
        <w:tc>
          <w:tcPr>
            <w:tcW w:w="781" w:type="dxa"/>
            <w:vMerge w:val="continue"/>
            <w:tcMar>
              <w:top w:w="15" w:type="dxa"/>
              <w:left w:w="15" w:type="dxa"/>
              <w:right w:w="15" w:type="dxa"/>
            </w:tcMar>
            <w:vAlign w:val="bottom"/>
          </w:tcPr>
          <w:p>
            <w:pPr>
              <w:spacing w:line="274" w:lineRule="exact"/>
              <w:jc w:val="center"/>
              <w:rPr>
                <w:sz w:val="24"/>
                <w:szCs w:val="24"/>
                <w:highlight w:val="none"/>
              </w:rPr>
            </w:pPr>
          </w:p>
        </w:tc>
        <w:tc>
          <w:tcPr>
            <w:tcW w:w="6933" w:type="dxa"/>
            <w:tcMar>
              <w:top w:w="15" w:type="dxa"/>
              <w:left w:w="15" w:type="dxa"/>
              <w:right w:w="15" w:type="dxa"/>
            </w:tcMar>
            <w:vAlign w:val="center"/>
          </w:tcPr>
          <w:p>
            <w:pPr>
              <w:textAlignment w:val="center"/>
              <w:rPr>
                <w:rFonts w:cs="宋体"/>
                <w:sz w:val="24"/>
                <w:szCs w:val="24"/>
                <w:highlight w:val="none"/>
              </w:rPr>
            </w:pPr>
            <w:r>
              <w:rPr>
                <w:rFonts w:cs="宋体"/>
                <w:sz w:val="24"/>
                <w:szCs w:val="24"/>
                <w:highlight w:val="none"/>
              </w:rPr>
              <w:t xml:space="preserve">人员配备与管理方案：岗位设置齐全、分工明确，团队成员经验丰富，主要岗位人员确保办理本项目业务全过程快速、有效的优得 </w:t>
            </w:r>
            <w:r>
              <w:rPr>
                <w:rFonts w:hint="eastAsia" w:cs="宋体"/>
                <w:sz w:val="24"/>
                <w:szCs w:val="24"/>
                <w:highlight w:val="none"/>
                <w:lang w:val="en-US" w:eastAsia="zh-CN"/>
              </w:rPr>
              <w:t>7</w:t>
            </w:r>
            <w:r>
              <w:rPr>
                <w:rFonts w:cs="宋体"/>
                <w:sz w:val="24"/>
                <w:szCs w:val="24"/>
                <w:highlight w:val="none"/>
              </w:rPr>
              <w:t xml:space="preserve"> 分，良得 </w:t>
            </w:r>
            <w:r>
              <w:rPr>
                <w:rFonts w:hint="eastAsia" w:cs="宋体"/>
                <w:sz w:val="24"/>
                <w:szCs w:val="24"/>
                <w:highlight w:val="none"/>
              </w:rPr>
              <w:t>4</w:t>
            </w:r>
            <w:r>
              <w:rPr>
                <w:rFonts w:cs="宋体"/>
                <w:sz w:val="24"/>
                <w:szCs w:val="24"/>
                <w:highlight w:val="none"/>
              </w:rPr>
              <w:t xml:space="preserve">分，一般得 </w:t>
            </w:r>
            <w:r>
              <w:rPr>
                <w:rFonts w:hint="eastAsia" w:cs="宋体"/>
                <w:sz w:val="24"/>
                <w:szCs w:val="24"/>
                <w:highlight w:val="none"/>
                <w:lang w:val="en-US" w:eastAsia="zh-CN"/>
              </w:rPr>
              <w:t>2</w:t>
            </w:r>
            <w:r>
              <w:rPr>
                <w:rFonts w:cs="宋体"/>
                <w:sz w:val="24"/>
                <w:szCs w:val="24"/>
                <w:highlight w:val="none"/>
              </w:rPr>
              <w:t xml:space="preserve"> 分</w:t>
            </w:r>
            <w:r>
              <w:rPr>
                <w:rFonts w:hint="eastAsia" w:cs="宋体"/>
                <w:sz w:val="24"/>
                <w:szCs w:val="24"/>
                <w:highlight w:val="none"/>
                <w:lang w:eastAsia="zh-CN"/>
              </w:rPr>
              <w:t>，未提供不得分；</w:t>
            </w:r>
            <w:r>
              <w:rPr>
                <w:rFonts w:cs="宋体"/>
                <w:sz w:val="24"/>
                <w:szCs w:val="24"/>
                <w:highlight w:val="none"/>
              </w:rPr>
              <w:t xml:space="preserve">（满分 </w:t>
            </w:r>
            <w:r>
              <w:rPr>
                <w:rFonts w:hint="eastAsia" w:cs="宋体"/>
                <w:sz w:val="24"/>
                <w:szCs w:val="24"/>
                <w:highlight w:val="none"/>
                <w:lang w:val="en-US" w:eastAsia="zh-CN"/>
              </w:rPr>
              <w:t>7</w:t>
            </w:r>
            <w:r>
              <w:rPr>
                <w:rFonts w:cs="宋体"/>
                <w:sz w:val="24"/>
                <w:szCs w:val="24"/>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6" w:hRule="atLeast"/>
        </w:trPr>
        <w:tc>
          <w:tcPr>
            <w:tcW w:w="910" w:type="dxa"/>
            <w:vMerge w:val="continue"/>
            <w:noWrap/>
            <w:tcMar>
              <w:top w:w="15" w:type="dxa"/>
              <w:left w:w="15" w:type="dxa"/>
              <w:right w:w="15" w:type="dxa"/>
            </w:tcMar>
            <w:vAlign w:val="center"/>
          </w:tcPr>
          <w:p>
            <w:pPr>
              <w:jc w:val="center"/>
              <w:textAlignment w:val="center"/>
              <w:rPr>
                <w:rFonts w:cs="宋体"/>
                <w:sz w:val="24"/>
                <w:szCs w:val="24"/>
                <w:highlight w:val="none"/>
              </w:rPr>
            </w:pPr>
          </w:p>
        </w:tc>
        <w:tc>
          <w:tcPr>
            <w:tcW w:w="1366" w:type="dxa"/>
            <w:vMerge w:val="continue"/>
            <w:tcMar>
              <w:top w:w="15" w:type="dxa"/>
              <w:left w:w="15" w:type="dxa"/>
              <w:right w:w="15" w:type="dxa"/>
            </w:tcMar>
            <w:vAlign w:val="bottom"/>
          </w:tcPr>
          <w:p>
            <w:pPr>
              <w:spacing w:line="274" w:lineRule="exact"/>
              <w:jc w:val="center"/>
              <w:rPr>
                <w:sz w:val="24"/>
                <w:szCs w:val="24"/>
                <w:highlight w:val="none"/>
              </w:rPr>
            </w:pPr>
          </w:p>
        </w:tc>
        <w:tc>
          <w:tcPr>
            <w:tcW w:w="781" w:type="dxa"/>
            <w:tcMar>
              <w:top w:w="15" w:type="dxa"/>
              <w:left w:w="15" w:type="dxa"/>
              <w:right w:w="15" w:type="dxa"/>
            </w:tcMar>
            <w:vAlign w:val="center"/>
          </w:tcPr>
          <w:p>
            <w:pPr>
              <w:spacing w:line="274" w:lineRule="exact"/>
              <w:jc w:val="center"/>
              <w:rPr>
                <w:sz w:val="24"/>
                <w:szCs w:val="24"/>
                <w:highlight w:val="none"/>
              </w:rPr>
            </w:pPr>
            <w:r>
              <w:rPr>
                <w:rFonts w:hint="eastAsia"/>
                <w:sz w:val="24"/>
                <w:szCs w:val="24"/>
                <w:highlight w:val="none"/>
                <w:lang w:val="en-US" w:eastAsia="zh-CN"/>
              </w:rPr>
              <w:t>5</w:t>
            </w:r>
            <w:r>
              <w:rPr>
                <w:sz w:val="24"/>
                <w:szCs w:val="24"/>
                <w:highlight w:val="none"/>
              </w:rPr>
              <w:t>分</w:t>
            </w:r>
          </w:p>
        </w:tc>
        <w:tc>
          <w:tcPr>
            <w:tcW w:w="6933" w:type="dxa"/>
            <w:tcMar>
              <w:top w:w="15" w:type="dxa"/>
              <w:left w:w="15" w:type="dxa"/>
              <w:right w:w="15" w:type="dxa"/>
            </w:tcMar>
            <w:vAlign w:val="center"/>
          </w:tcPr>
          <w:p>
            <w:pPr>
              <w:spacing w:line="360" w:lineRule="exact"/>
              <w:rPr>
                <w:sz w:val="24"/>
                <w:szCs w:val="24"/>
                <w:highlight w:val="none"/>
              </w:rPr>
            </w:pPr>
            <w:r>
              <w:rPr>
                <w:rFonts w:cs="宋体"/>
                <w:sz w:val="24"/>
                <w:szCs w:val="24"/>
                <w:highlight w:val="none"/>
              </w:rPr>
              <w:t>以具备综合素质较高、熟悉代理财政业务、人员稳定的专业服务团队，且能定期组织开展财政业务代理服务专业培训并作出完整详细方案的优得</w:t>
            </w:r>
            <w:r>
              <w:rPr>
                <w:rFonts w:hint="eastAsia" w:cs="宋体"/>
                <w:sz w:val="24"/>
                <w:szCs w:val="24"/>
                <w:highlight w:val="none"/>
                <w:lang w:val="en-US" w:eastAsia="zh-CN"/>
              </w:rPr>
              <w:t>5</w:t>
            </w:r>
            <w:r>
              <w:rPr>
                <w:rFonts w:cs="宋体"/>
                <w:sz w:val="24"/>
                <w:szCs w:val="24"/>
                <w:highlight w:val="none"/>
              </w:rPr>
              <w:t xml:space="preserve"> 分，良得 </w:t>
            </w:r>
            <w:r>
              <w:rPr>
                <w:rFonts w:hint="eastAsia" w:cs="宋体"/>
                <w:sz w:val="24"/>
                <w:szCs w:val="24"/>
                <w:highlight w:val="none"/>
                <w:lang w:val="en-US" w:eastAsia="zh-CN"/>
              </w:rPr>
              <w:t>3</w:t>
            </w:r>
            <w:r>
              <w:rPr>
                <w:rFonts w:cs="宋体"/>
                <w:sz w:val="24"/>
                <w:szCs w:val="24"/>
                <w:highlight w:val="none"/>
              </w:rPr>
              <w:t xml:space="preserve"> 分，一般得 1分</w:t>
            </w:r>
            <w:r>
              <w:rPr>
                <w:rFonts w:hint="eastAsia" w:cs="宋体"/>
                <w:sz w:val="24"/>
                <w:szCs w:val="24"/>
                <w:highlight w:val="none"/>
                <w:lang w:eastAsia="zh-CN"/>
              </w:rPr>
              <w:t>未提供不得分；</w:t>
            </w:r>
            <w:r>
              <w:rPr>
                <w:rFonts w:cs="宋体"/>
                <w:sz w:val="24"/>
                <w:szCs w:val="24"/>
                <w:highlight w:val="none"/>
              </w:rPr>
              <w:t xml:space="preserve">（满分 </w:t>
            </w:r>
            <w:r>
              <w:rPr>
                <w:rFonts w:hint="eastAsia" w:cs="宋体"/>
                <w:sz w:val="24"/>
                <w:szCs w:val="24"/>
                <w:highlight w:val="none"/>
                <w:lang w:val="en-US" w:eastAsia="zh-CN"/>
              </w:rPr>
              <w:t>5</w:t>
            </w:r>
            <w:r>
              <w:rPr>
                <w:rFonts w:cs="宋体"/>
                <w:sz w:val="24"/>
                <w:szCs w:val="24"/>
                <w:highlight w:val="none"/>
              </w:rPr>
              <w:t xml:space="preserve"> 分）。</w:t>
            </w:r>
          </w:p>
        </w:tc>
      </w:tr>
    </w:tbl>
    <w:p>
      <w:pPr>
        <w:pStyle w:val="10"/>
        <w:ind w:left="0" w:leftChars="0" w:firstLine="0" w:firstLineChars="0"/>
        <w:rPr>
          <w:rFonts w:hint="eastAsia" w:ascii="宋体" w:hAnsi="宋体" w:eastAsia="宋体" w:cs="宋体"/>
          <w:highlight w:val="none"/>
          <w:lang w:eastAsia="zh-CN"/>
        </w:rPr>
        <w:sectPr>
          <w:pgSz w:w="11910" w:h="16840"/>
          <w:pgMar w:top="1480" w:right="1180" w:bottom="1180" w:left="1480" w:header="0" w:footer="912" w:gutter="0"/>
          <w:cols w:space="720" w:num="1"/>
        </w:sectPr>
      </w:pPr>
    </w:p>
    <w:p>
      <w:pPr>
        <w:pStyle w:val="39"/>
        <w:pageBreakBefore w:val="0"/>
        <w:kinsoku/>
        <w:wordWrap/>
        <w:overflowPunct/>
        <w:topLinePunct w:val="0"/>
        <w:bidi w:val="0"/>
        <w:spacing w:before="0" w:beforeAutospacing="0" w:afterAutospacing="0" w:line="360" w:lineRule="auto"/>
        <w:ind w:left="0" w:leftChars="0" w:right="0" w:rightChars="0" w:firstLine="458" w:firstLineChars="200"/>
        <w:rPr>
          <w:rStyle w:val="29"/>
          <w:rFonts w:hint="eastAsia" w:ascii="宋体" w:hAnsi="宋体" w:eastAsia="宋体" w:cs="宋体"/>
          <w:highlight w:val="none"/>
          <w:lang w:eastAsia="zh-CN"/>
        </w:rPr>
      </w:pPr>
      <w:r>
        <w:rPr>
          <w:rStyle w:val="29"/>
          <w:rFonts w:hint="eastAsia" w:ascii="宋体" w:hAnsi="宋体" w:eastAsia="宋体" w:cs="宋体"/>
          <w:w w:val="95"/>
          <w:highlight w:val="none"/>
          <w:lang w:eastAsia="zh-CN"/>
        </w:rPr>
        <w:t>30．定标原则</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30.2采购代理机构应当在评标结束后2个工作日内将评审报告送采购人。采购人应当自收到评审报告之日起5个工作日内，在评审报告确定的中标候选人名单中按顺序确定中标人。</w:t>
      </w:r>
    </w:p>
    <w:p>
      <w:pPr>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z w:val="24"/>
          <w:szCs w:val="24"/>
          <w:highlight w:val="none"/>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40"/>
        <w:pageBreakBefore w:val="0"/>
        <w:kinsoku/>
        <w:wordWrap/>
        <w:overflowPunct/>
        <w:topLinePunct w:val="0"/>
        <w:bidi w:val="0"/>
        <w:spacing w:beforeAutospacing="0" w:afterAutospacing="0" w:line="360" w:lineRule="auto"/>
        <w:ind w:left="0" w:leftChars="0" w:right="0" w:rightChars="0"/>
        <w:jc w:val="both"/>
        <w:rPr>
          <w:rStyle w:val="29"/>
          <w:rFonts w:hint="eastAsia" w:ascii="宋体" w:hAnsi="宋体" w:eastAsia="宋体" w:cs="宋体"/>
          <w:b w:val="0"/>
          <w:sz w:val="10"/>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2"/>
          <w:highlight w:val="none"/>
          <w:lang w:eastAsia="zh-CN"/>
        </w:rPr>
      </w:pPr>
      <w:r>
        <w:rPr>
          <w:rStyle w:val="29"/>
          <w:rFonts w:hint="eastAsia" w:ascii="宋体" w:hAnsi="宋体" w:eastAsia="宋体" w:cs="宋体"/>
          <w:b/>
          <w:sz w:val="32"/>
          <w:highlight w:val="none"/>
          <w:lang w:eastAsia="zh-CN"/>
        </w:rPr>
        <w:t>第七章 授予合同</w:t>
      </w:r>
    </w:p>
    <w:p>
      <w:pPr>
        <w:pStyle w:val="39"/>
        <w:pageBreakBefore w:val="0"/>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b/>
          <w:sz w:val="24"/>
          <w:szCs w:val="24"/>
          <w:highlight w:val="none"/>
          <w:lang w:eastAsia="zh-CN"/>
        </w:rPr>
        <w:t>31.合同授予标准</w:t>
      </w:r>
    </w:p>
    <w:p>
      <w:pPr>
        <w:pStyle w:val="41"/>
        <w:pageBreakBefore w:val="0"/>
        <w:tabs>
          <w:tab w:val="left" w:pos="1213"/>
        </w:tabs>
        <w:kinsoku/>
        <w:wordWrap/>
        <w:overflowPunct/>
        <w:topLinePunct w:val="0"/>
        <w:bidi w:val="0"/>
        <w:snapToGrid w:val="0"/>
        <w:spacing w:before="0" w:beforeAutospacing="0" w:afterAutospacing="0" w:line="360" w:lineRule="auto"/>
        <w:ind w:left="0" w:leftChars="0" w:right="0" w:rightChars="0" w:firstLine="468"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3"/>
          <w:sz w:val="24"/>
          <w:szCs w:val="24"/>
          <w:highlight w:val="none"/>
          <w:lang w:eastAsia="zh-CN"/>
        </w:rPr>
        <w:t>31.1合同将授予被确定为实质上响应竞争性磋商文件要求，评标认为具备履行合</w:t>
      </w:r>
      <w:r>
        <w:rPr>
          <w:rStyle w:val="29"/>
          <w:rFonts w:hint="eastAsia" w:ascii="宋体" w:hAnsi="宋体" w:eastAsia="宋体" w:cs="宋体"/>
          <w:spacing w:val="-7"/>
          <w:sz w:val="24"/>
          <w:szCs w:val="24"/>
          <w:highlight w:val="none"/>
          <w:lang w:eastAsia="zh-CN"/>
        </w:rPr>
        <w:t>同义务条件、报价合理、技术和商务条件都符合条件基础上对买方最为有利的投标人。</w:t>
      </w:r>
    </w:p>
    <w:p>
      <w:pPr>
        <w:pStyle w:val="4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5"/>
          <w:sz w:val="24"/>
          <w:szCs w:val="24"/>
          <w:highlight w:val="none"/>
          <w:lang w:eastAsia="zh-CN"/>
        </w:rPr>
        <w:t>31.2最低投标价不一定是被授予合同的保证。</w:t>
      </w:r>
    </w:p>
    <w:p>
      <w:pPr>
        <w:pStyle w:val="41"/>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29"/>
          <w:rFonts w:hint="eastAsia" w:ascii="宋体" w:hAnsi="宋体" w:eastAsia="宋体" w:cs="宋体"/>
          <w:b/>
          <w:sz w:val="24"/>
          <w:szCs w:val="24"/>
          <w:highlight w:val="none"/>
          <w:lang w:eastAsia="zh-CN"/>
        </w:rPr>
      </w:pPr>
      <w:r>
        <w:rPr>
          <w:rStyle w:val="29"/>
          <w:rFonts w:hint="eastAsia" w:ascii="宋体" w:hAnsi="宋体" w:eastAsia="宋体" w:cs="宋体"/>
          <w:spacing w:val="-3"/>
          <w:sz w:val="24"/>
          <w:szCs w:val="24"/>
          <w:highlight w:val="none"/>
          <w:lang w:eastAsia="zh-CN"/>
        </w:rPr>
        <w:t>31.3如果确定该投标人不能无条件圆满履行合同，采购人将对下一个可能中标的</w:t>
      </w:r>
      <w:r>
        <w:rPr>
          <w:rStyle w:val="29"/>
          <w:rFonts w:hint="eastAsia" w:ascii="宋体" w:hAnsi="宋体" w:eastAsia="宋体" w:cs="宋体"/>
          <w:spacing w:val="-5"/>
          <w:sz w:val="24"/>
          <w:szCs w:val="24"/>
          <w:highlight w:val="none"/>
          <w:lang w:eastAsia="zh-CN"/>
        </w:rPr>
        <w:t>投标人资格做出类似的审查。</w:t>
      </w:r>
    </w:p>
    <w:p>
      <w:pPr>
        <w:pStyle w:val="3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29"/>
          <w:rFonts w:hint="eastAsia" w:ascii="宋体" w:hAnsi="宋体" w:eastAsia="宋体" w:cs="宋体"/>
          <w:highlight w:val="none"/>
          <w:lang w:eastAsia="zh-CN"/>
        </w:rPr>
      </w:pPr>
      <w:r>
        <w:rPr>
          <w:rStyle w:val="29"/>
          <w:rFonts w:hint="eastAsia" w:ascii="宋体" w:hAnsi="宋体" w:eastAsia="宋体" w:cs="宋体"/>
          <w:w w:val="95"/>
          <w:highlight w:val="none"/>
          <w:lang w:eastAsia="zh-CN"/>
        </w:rPr>
        <w:t>32.接受和拒绝任何投标的权力</w:t>
      </w:r>
    </w:p>
    <w:p>
      <w:pPr>
        <w:pStyle w:val="32"/>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32.1为维护国家利益，采购人在授予合同之前仍有选择或拒绝任何投标的权力。</w:t>
      </w:r>
    </w:p>
    <w:p>
      <w:pPr>
        <w:pStyle w:val="3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29"/>
          <w:rFonts w:hint="eastAsia" w:ascii="宋体" w:hAnsi="宋体" w:eastAsia="宋体" w:cs="宋体"/>
          <w:highlight w:val="none"/>
          <w:lang w:eastAsia="zh-CN"/>
        </w:rPr>
      </w:pPr>
      <w:r>
        <w:rPr>
          <w:rStyle w:val="29"/>
          <w:rFonts w:hint="eastAsia" w:ascii="宋体" w:hAnsi="宋体" w:eastAsia="宋体" w:cs="宋体"/>
          <w:w w:val="95"/>
          <w:highlight w:val="none"/>
          <w:lang w:eastAsia="zh-CN"/>
        </w:rPr>
        <w:t>33.中标通知书</w:t>
      </w:r>
    </w:p>
    <w:p>
      <w:pPr>
        <w:pStyle w:val="41"/>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3"/>
          <w:sz w:val="24"/>
          <w:szCs w:val="24"/>
          <w:highlight w:val="none"/>
          <w:lang w:eastAsia="zh-CN"/>
        </w:rPr>
        <w:t>33.1中标结果公示结束后，采购人将以书面形式发出《中标通知书》，《中标通</w:t>
      </w:r>
      <w:r>
        <w:rPr>
          <w:rStyle w:val="29"/>
          <w:rFonts w:hint="eastAsia" w:ascii="宋体" w:hAnsi="宋体" w:eastAsia="宋体" w:cs="宋体"/>
          <w:spacing w:val="-5"/>
          <w:sz w:val="24"/>
          <w:szCs w:val="24"/>
          <w:highlight w:val="none"/>
          <w:lang w:eastAsia="zh-CN"/>
        </w:rPr>
        <w:t>知书》一经发出即发生法律效力。</w:t>
      </w:r>
    </w:p>
    <w:p>
      <w:pPr>
        <w:pStyle w:val="41"/>
        <w:pageBreakBefore w:val="0"/>
        <w:tabs>
          <w:tab w:val="left" w:pos="1056"/>
        </w:tabs>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5"/>
          <w:sz w:val="24"/>
          <w:szCs w:val="24"/>
          <w:highlight w:val="none"/>
          <w:lang w:eastAsia="zh-CN"/>
        </w:rPr>
        <w:t>33.2《中标通知书》将作为签订合同的依据。</w:t>
      </w:r>
    </w:p>
    <w:p>
      <w:pPr>
        <w:pStyle w:val="3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29"/>
          <w:rFonts w:hint="eastAsia" w:ascii="宋体" w:hAnsi="宋体" w:eastAsia="宋体" w:cs="宋体"/>
          <w:highlight w:val="none"/>
          <w:lang w:eastAsia="zh-CN"/>
        </w:rPr>
      </w:pPr>
      <w:r>
        <w:rPr>
          <w:rStyle w:val="29"/>
          <w:rFonts w:hint="eastAsia" w:ascii="宋体" w:hAnsi="宋体" w:eastAsia="宋体" w:cs="宋体"/>
          <w:w w:val="95"/>
          <w:highlight w:val="none"/>
          <w:lang w:eastAsia="zh-CN"/>
        </w:rPr>
        <w:t>34.履约担保</w:t>
      </w:r>
    </w:p>
    <w:p>
      <w:pPr>
        <w:pStyle w:val="4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5"/>
          <w:sz w:val="24"/>
          <w:szCs w:val="24"/>
          <w:highlight w:val="none"/>
          <w:lang w:eastAsia="zh-CN"/>
        </w:rPr>
        <w:t>34.1履约保证金：详见投标人须知前附表。</w:t>
      </w:r>
    </w:p>
    <w:p>
      <w:pPr>
        <w:pStyle w:val="4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5"/>
          <w:sz w:val="24"/>
          <w:szCs w:val="24"/>
          <w:highlight w:val="none"/>
          <w:lang w:eastAsia="zh-CN"/>
        </w:rPr>
        <w:t>34.2履约保证金在合同执行完毕后无息退还。</w:t>
      </w:r>
    </w:p>
    <w:p>
      <w:pPr>
        <w:pStyle w:val="41"/>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3"/>
          <w:sz w:val="24"/>
          <w:szCs w:val="24"/>
          <w:highlight w:val="none"/>
          <w:lang w:eastAsia="zh-CN"/>
        </w:rPr>
        <w:t>34.3如中标候选人不能提供则取消其中标资格。投标人须承诺如成为中标候选人</w:t>
      </w:r>
      <w:r>
        <w:rPr>
          <w:rStyle w:val="29"/>
          <w:rFonts w:hint="eastAsia" w:ascii="宋体" w:hAnsi="宋体" w:eastAsia="宋体" w:cs="宋体"/>
          <w:spacing w:val="-5"/>
          <w:sz w:val="24"/>
          <w:szCs w:val="24"/>
          <w:highlight w:val="none"/>
          <w:lang w:eastAsia="zh-CN"/>
        </w:rPr>
        <w:t>能够及时提供该笔资金。</w:t>
      </w:r>
    </w:p>
    <w:p>
      <w:pPr>
        <w:pStyle w:val="3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29"/>
          <w:rFonts w:hint="eastAsia" w:ascii="宋体" w:hAnsi="宋体" w:eastAsia="宋体" w:cs="宋体"/>
          <w:highlight w:val="none"/>
          <w:lang w:eastAsia="zh-CN"/>
        </w:rPr>
      </w:pPr>
      <w:r>
        <w:rPr>
          <w:rStyle w:val="29"/>
          <w:rFonts w:hint="eastAsia" w:ascii="宋体" w:hAnsi="宋体" w:eastAsia="宋体" w:cs="宋体"/>
          <w:w w:val="95"/>
          <w:highlight w:val="none"/>
          <w:lang w:eastAsia="zh-CN"/>
        </w:rPr>
        <w:t>35．签订合同</w:t>
      </w:r>
    </w:p>
    <w:p>
      <w:pPr>
        <w:pStyle w:val="4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5"/>
          <w:sz w:val="24"/>
          <w:szCs w:val="24"/>
          <w:highlight w:val="none"/>
          <w:lang w:eastAsia="zh-CN"/>
        </w:rPr>
        <w:t>35.1中标候选人在收到招标方的《中标通知书》后，须及时按照竞争性磋商文件</w:t>
      </w:r>
      <w:r>
        <w:rPr>
          <w:rStyle w:val="29"/>
          <w:rFonts w:hint="eastAsia" w:ascii="宋体" w:hAnsi="宋体" w:eastAsia="宋体" w:cs="宋体"/>
          <w:spacing w:val="-8"/>
          <w:sz w:val="24"/>
          <w:szCs w:val="24"/>
          <w:highlight w:val="none"/>
          <w:lang w:eastAsia="zh-CN"/>
        </w:rPr>
        <w:t>和其所提供的响应文件中的约定与采购单位签订书面合同，所签订的合同不得对竞争性</w:t>
      </w:r>
      <w:r>
        <w:rPr>
          <w:rStyle w:val="29"/>
          <w:rFonts w:hint="eastAsia" w:ascii="宋体" w:hAnsi="宋体" w:eastAsia="宋体" w:cs="宋体"/>
          <w:spacing w:val="-5"/>
          <w:sz w:val="24"/>
          <w:szCs w:val="24"/>
          <w:highlight w:val="none"/>
          <w:lang w:eastAsia="zh-CN"/>
        </w:rPr>
        <w:t>磋商文件和中标方的响应文件作实质性修改。</w:t>
      </w:r>
    </w:p>
    <w:p>
      <w:pPr>
        <w:pStyle w:val="4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36" w:firstLineChars="200"/>
        <w:rPr>
          <w:rStyle w:val="29"/>
          <w:rFonts w:hint="eastAsia" w:ascii="宋体" w:hAnsi="宋体" w:eastAsia="宋体" w:cs="宋体"/>
          <w:spacing w:val="-11"/>
          <w:sz w:val="24"/>
          <w:szCs w:val="24"/>
          <w:highlight w:val="none"/>
          <w:lang w:eastAsia="zh-CN"/>
        </w:rPr>
      </w:pPr>
      <w:r>
        <w:rPr>
          <w:rStyle w:val="29"/>
          <w:rFonts w:hint="eastAsia" w:ascii="宋体" w:hAnsi="宋体" w:eastAsia="宋体" w:cs="宋体"/>
          <w:spacing w:val="-11"/>
          <w:sz w:val="24"/>
          <w:szCs w:val="24"/>
          <w:highlight w:val="none"/>
          <w:lang w:eastAsia="zh-CN"/>
        </w:rPr>
        <w:t>35.2竞争性磋商文件、中标方的响应文件及其澄清文件等，均为签订合同的依据。</w:t>
      </w:r>
    </w:p>
    <w:p>
      <w:pPr>
        <w:pStyle w:val="4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8" w:firstLineChars="200"/>
        <w:rPr>
          <w:rStyle w:val="29"/>
          <w:rFonts w:hint="eastAsia" w:ascii="宋体" w:hAnsi="宋体" w:eastAsia="宋体" w:cs="宋体"/>
          <w:sz w:val="24"/>
          <w:szCs w:val="24"/>
          <w:highlight w:val="none"/>
          <w:lang w:eastAsia="zh-CN"/>
        </w:rPr>
      </w:pPr>
      <w:r>
        <w:rPr>
          <w:rStyle w:val="29"/>
          <w:rFonts w:hint="eastAsia" w:ascii="宋体" w:hAnsi="宋体" w:eastAsia="宋体" w:cs="宋体"/>
          <w:spacing w:val="-3"/>
          <w:sz w:val="24"/>
          <w:szCs w:val="24"/>
          <w:highlight w:val="none"/>
          <w:lang w:eastAsia="zh-CN"/>
        </w:rPr>
        <w:t>35.3</w:t>
      </w:r>
      <w:r>
        <w:rPr>
          <w:rStyle w:val="29"/>
          <w:rFonts w:hint="eastAsia" w:ascii="宋体" w:hAnsi="宋体" w:eastAsia="宋体" w:cs="宋体"/>
          <w:spacing w:val="-11"/>
          <w:sz w:val="24"/>
          <w:szCs w:val="24"/>
          <w:highlight w:val="none"/>
          <w:lang w:eastAsia="zh-CN"/>
        </w:rPr>
        <w:t>如果中标人不能按本须知第</w:t>
      </w:r>
      <w:r>
        <w:rPr>
          <w:rStyle w:val="29"/>
          <w:rFonts w:hint="eastAsia" w:ascii="宋体" w:hAnsi="宋体" w:eastAsia="宋体" w:cs="宋体"/>
          <w:sz w:val="24"/>
          <w:szCs w:val="24"/>
          <w:highlight w:val="none"/>
          <w:lang w:eastAsia="zh-CN"/>
        </w:rPr>
        <w:t>35.1</w:t>
      </w:r>
      <w:r>
        <w:rPr>
          <w:rStyle w:val="29"/>
          <w:rFonts w:hint="eastAsia" w:ascii="宋体" w:hAnsi="宋体" w:eastAsia="宋体" w:cs="宋体"/>
          <w:spacing w:val="-16"/>
          <w:sz w:val="24"/>
          <w:szCs w:val="24"/>
          <w:highlight w:val="none"/>
          <w:lang w:eastAsia="zh-CN"/>
        </w:rPr>
        <w:t>款的规定执行，采购人将有充分的理由废除</w:t>
      </w:r>
      <w:r>
        <w:rPr>
          <w:rStyle w:val="29"/>
          <w:rFonts w:hint="eastAsia" w:ascii="宋体" w:hAnsi="宋体" w:eastAsia="宋体" w:cs="宋体"/>
          <w:spacing w:val="-12"/>
          <w:sz w:val="24"/>
          <w:szCs w:val="24"/>
          <w:highlight w:val="none"/>
          <w:lang w:eastAsia="zh-CN"/>
        </w:rPr>
        <w:t>其中标资格，并没收其磋商保证金，给采购人造成的损失超过磋商保证金数额的，还应</w:t>
      </w:r>
      <w:r>
        <w:rPr>
          <w:rStyle w:val="29"/>
          <w:rFonts w:hint="eastAsia" w:ascii="宋体" w:hAnsi="宋体" w:eastAsia="宋体" w:cs="宋体"/>
          <w:spacing w:val="-13"/>
          <w:sz w:val="24"/>
          <w:szCs w:val="24"/>
          <w:highlight w:val="none"/>
          <w:lang w:eastAsia="zh-CN"/>
        </w:rPr>
        <w:t>当对超过部分予以赔偿，同时依法承担相应法律责任；同时，采购人有权将标授予另一</w:t>
      </w:r>
      <w:r>
        <w:rPr>
          <w:rStyle w:val="29"/>
          <w:rFonts w:hint="eastAsia" w:ascii="宋体" w:hAnsi="宋体" w:eastAsia="宋体" w:cs="宋体"/>
          <w:spacing w:val="-5"/>
          <w:sz w:val="24"/>
          <w:szCs w:val="24"/>
          <w:highlight w:val="none"/>
          <w:lang w:eastAsia="zh-CN"/>
        </w:rPr>
        <w:t>个候选中标人或重新招标。</w:t>
      </w:r>
    </w:p>
    <w:p>
      <w:pPr>
        <w:pStyle w:val="32"/>
        <w:pageBreakBefore w:val="0"/>
        <w:kinsoku/>
        <w:wordWrap/>
        <w:overflowPunct/>
        <w:topLinePunct w:val="0"/>
        <w:bidi w:val="0"/>
        <w:snapToGrid w:val="0"/>
        <w:spacing w:beforeAutospacing="0" w:afterAutospacing="0" w:line="360" w:lineRule="auto"/>
        <w:ind w:left="0" w:leftChars="0" w:right="0" w:rightChars="0" w:firstLine="468" w:firstLineChars="200"/>
        <w:jc w:val="both"/>
        <w:rPr>
          <w:rStyle w:val="29"/>
          <w:rFonts w:hint="eastAsia" w:ascii="宋体" w:hAnsi="宋体" w:eastAsia="宋体" w:cs="宋体"/>
          <w:w w:val="99"/>
          <w:highlight w:val="none"/>
          <w:lang w:eastAsia="zh-CN"/>
        </w:rPr>
      </w:pPr>
      <w:r>
        <w:rPr>
          <w:rStyle w:val="29"/>
          <w:rFonts w:hint="eastAsia" w:ascii="宋体" w:hAnsi="宋体" w:eastAsia="宋体" w:cs="宋体"/>
          <w:spacing w:val="-3"/>
          <w:highlight w:val="none"/>
          <w:lang w:eastAsia="zh-CN"/>
        </w:rPr>
        <w:t>35.4</w:t>
      </w:r>
      <w:r>
        <w:rPr>
          <w:rStyle w:val="29"/>
          <w:rFonts w:hint="eastAsia" w:ascii="宋体" w:hAnsi="宋体" w:eastAsia="宋体" w:cs="宋体"/>
          <w:spacing w:val="-5"/>
          <w:highlight w:val="none"/>
          <w:lang w:eastAsia="zh-CN"/>
        </w:rPr>
        <w:t>不允许中标人将中标项目分包或转交他人承担。特殊情况下，中标人必须与</w:t>
      </w:r>
      <w:r>
        <w:rPr>
          <w:rStyle w:val="29"/>
          <w:rFonts w:hint="eastAsia" w:ascii="宋体" w:hAnsi="宋体" w:eastAsia="宋体" w:cs="宋体"/>
          <w:spacing w:val="-8"/>
          <w:highlight w:val="none"/>
          <w:lang w:eastAsia="zh-CN"/>
        </w:rPr>
        <w:t>招标方协商后共同决定将合同标的中的部分由第三方承担供货和服务责任，但中标方必</w:t>
      </w:r>
      <w:r>
        <w:rPr>
          <w:rStyle w:val="29"/>
          <w:rFonts w:hint="eastAsia" w:ascii="宋体" w:hAnsi="宋体" w:eastAsia="宋体" w:cs="宋体"/>
          <w:spacing w:val="-9"/>
          <w:highlight w:val="none"/>
          <w:lang w:eastAsia="zh-CN"/>
        </w:rPr>
        <w:t>须对合同标的的全部内容向招标方负责，并保证第三方提供的供货和服务符合竞争性磋</w:t>
      </w:r>
      <w:r>
        <w:rPr>
          <w:rStyle w:val="29"/>
          <w:rFonts w:hint="eastAsia" w:ascii="宋体" w:hAnsi="宋体" w:eastAsia="宋体" w:cs="宋体"/>
          <w:spacing w:val="-5"/>
          <w:highlight w:val="none"/>
          <w:lang w:eastAsia="zh-CN"/>
        </w:rPr>
        <w:t>商文件的约定和响应文件的承诺及相关约定。</w:t>
      </w:r>
    </w:p>
    <w:p>
      <w:pPr>
        <w:pStyle w:val="40"/>
        <w:pageBreakBefore w:val="0"/>
        <w:kinsoku/>
        <w:wordWrap/>
        <w:overflowPunct/>
        <w:topLinePunct w:val="0"/>
        <w:bidi w:val="0"/>
        <w:spacing w:beforeAutospacing="0" w:afterAutospacing="0" w:line="360" w:lineRule="auto"/>
        <w:ind w:left="0" w:leftChars="0" w:right="0" w:rightChars="0"/>
        <w:jc w:val="both"/>
        <w:rPr>
          <w:rStyle w:val="29"/>
          <w:rFonts w:hint="eastAsia" w:ascii="宋体" w:hAnsi="宋体" w:eastAsia="宋体" w:cs="宋体"/>
          <w:highlight w:val="none"/>
          <w:lang w:eastAsia="zh-CN"/>
        </w:rPr>
      </w:pPr>
    </w:p>
    <w:p>
      <w:pPr>
        <w:pStyle w:val="40"/>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第八章 其他</w:t>
      </w:r>
    </w:p>
    <w:p>
      <w:pPr>
        <w:pStyle w:val="32"/>
        <w:pageBreakBefore w:val="0"/>
        <w:kinsoku/>
        <w:wordWrap/>
        <w:overflowPunct/>
        <w:topLinePunct w:val="0"/>
        <w:bidi w:val="0"/>
        <w:snapToGrid w:val="0"/>
        <w:spacing w:beforeAutospacing="0" w:afterAutospacing="0" w:line="360" w:lineRule="auto"/>
        <w:ind w:left="0" w:leftChars="0" w:right="0" w:rightChars="0" w:firstLine="458" w:firstLineChars="200"/>
        <w:jc w:val="both"/>
        <w:rPr>
          <w:rStyle w:val="29"/>
          <w:rFonts w:hint="eastAsia" w:ascii="宋体" w:hAnsi="宋体" w:eastAsia="宋体" w:cs="宋体"/>
          <w:b/>
          <w:w w:val="95"/>
          <w:highlight w:val="none"/>
          <w:lang w:eastAsia="zh-CN"/>
        </w:rPr>
      </w:pPr>
      <w:r>
        <w:rPr>
          <w:rStyle w:val="29"/>
          <w:rFonts w:hint="eastAsia" w:ascii="宋体" w:hAnsi="宋体" w:eastAsia="宋体" w:cs="宋体"/>
          <w:b/>
          <w:w w:val="95"/>
          <w:highlight w:val="none"/>
          <w:lang w:eastAsia="zh-CN"/>
        </w:rPr>
        <w:t>36.需要补充的其他内容</w:t>
      </w:r>
    </w:p>
    <w:p>
      <w:pPr>
        <w:pStyle w:val="32"/>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36.1需要补充的其他内容详见投标人须知前附表。</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bCs/>
          <w:sz w:val="32"/>
          <w:szCs w:val="32"/>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2"/>
          <w:highlight w:val="none"/>
          <w:lang w:eastAsia="zh-CN"/>
        </w:rPr>
      </w:pPr>
      <w:r>
        <w:rPr>
          <w:rStyle w:val="29"/>
          <w:rFonts w:hint="eastAsia" w:ascii="宋体" w:hAnsi="宋体" w:eastAsia="宋体" w:cs="宋体"/>
          <w:b/>
          <w:bCs/>
          <w:sz w:val="32"/>
          <w:szCs w:val="32"/>
          <w:highlight w:val="none"/>
          <w:lang w:eastAsia="zh-CN"/>
        </w:rPr>
        <w:t>第九章 质疑的提出及处理</w:t>
      </w:r>
    </w:p>
    <w:p>
      <w:pPr>
        <w:pStyle w:val="32"/>
        <w:pageBreakBefore w:val="0"/>
        <w:kinsoku/>
        <w:wordWrap/>
        <w:overflowPunct/>
        <w:topLinePunct w:val="0"/>
        <w:bidi w:val="0"/>
        <w:spacing w:beforeAutospacing="0" w:afterAutospacing="0" w:line="360" w:lineRule="auto"/>
        <w:ind w:left="0" w:leftChars="0" w:right="0" w:rightChars="0" w:firstLine="479"/>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政府采购供应商（以下简称供应商）提出质疑和投诉应当坚持依法依规、诚实信用原则。</w:t>
      </w:r>
    </w:p>
    <w:p>
      <w:pPr>
        <w:pStyle w:val="39"/>
        <w:pageBreakBefore w:val="0"/>
        <w:kinsoku/>
        <w:wordWrap/>
        <w:overflowPunct/>
        <w:topLinePunct w:val="0"/>
        <w:bidi w:val="0"/>
        <w:spacing w:before="0" w:beforeAutospacing="0" w:afterAutospacing="0" w:line="360" w:lineRule="auto"/>
        <w:ind w:left="0" w:leftChars="0" w:right="0" w:rightChars="0" w:firstLine="482"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37.质疑的提出</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Cs w:val="22"/>
          <w:highlight w:val="none"/>
          <w:lang w:eastAsia="zh-CN"/>
        </w:rPr>
      </w:pPr>
      <w:r>
        <w:rPr>
          <w:rStyle w:val="29"/>
          <w:rFonts w:hint="eastAsia" w:ascii="宋体" w:hAnsi="宋体" w:eastAsia="宋体" w:cs="宋体"/>
          <w:szCs w:val="22"/>
          <w:highlight w:val="none"/>
          <w:lang w:eastAsia="zh-CN"/>
        </w:rPr>
        <w:t>37.1供应商认为采购文件、采购过程、中标或者成交结果使自己的权益受到损害的，可以在知道或者应知其权益受到损害之日起七个工作日内，以书面形式向采购人、采购代理机构提出质疑。</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Cs w:val="22"/>
          <w:highlight w:val="none"/>
          <w:lang w:eastAsia="zh-CN"/>
        </w:rPr>
      </w:pPr>
      <w:r>
        <w:rPr>
          <w:rStyle w:val="29"/>
          <w:rFonts w:hint="eastAsia" w:ascii="宋体" w:hAnsi="宋体" w:eastAsia="宋体" w:cs="宋体"/>
          <w:szCs w:val="22"/>
          <w:highlight w:val="none"/>
          <w:lang w:eastAsia="zh-CN"/>
        </w:rPr>
        <w:t>采购文件可以要求供应商在法定质疑期内一次性提出针对同一采购程序环节的质疑。</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Cs w:val="22"/>
          <w:highlight w:val="none"/>
          <w:lang w:eastAsia="zh-CN"/>
        </w:rPr>
      </w:pPr>
      <w:r>
        <w:rPr>
          <w:rStyle w:val="29"/>
          <w:rFonts w:hint="eastAsia" w:ascii="宋体" w:hAnsi="宋体" w:eastAsia="宋体" w:cs="宋体"/>
          <w:szCs w:val="22"/>
          <w:highlight w:val="none"/>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Cs w:val="22"/>
          <w:highlight w:val="none"/>
          <w:lang w:eastAsia="zh-CN"/>
        </w:rPr>
      </w:pPr>
      <w:r>
        <w:rPr>
          <w:rStyle w:val="29"/>
          <w:rFonts w:hint="eastAsia" w:ascii="宋体" w:hAnsi="宋体" w:eastAsia="宋体" w:cs="宋体"/>
          <w:szCs w:val="22"/>
          <w:highlight w:val="none"/>
          <w:lang w:eastAsia="zh-CN"/>
        </w:rPr>
        <w:t>37.2提出质疑的供应商（以下简称质疑供应商）应当是参与所质疑项目采购活动的供应商。</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Cs w:val="22"/>
          <w:highlight w:val="none"/>
          <w:lang w:eastAsia="zh-CN"/>
        </w:rPr>
      </w:pPr>
      <w:r>
        <w:rPr>
          <w:rStyle w:val="29"/>
          <w:rFonts w:hint="eastAsia" w:ascii="宋体" w:hAnsi="宋体" w:eastAsia="宋体" w:cs="宋体"/>
          <w:szCs w:val="22"/>
          <w:highlight w:val="none"/>
          <w:lang w:eastAsia="zh-CN"/>
        </w:rPr>
        <w:t>潜在供应商已依法获取其可质疑的采购文件的，可以对该文件提出质疑。对采购文件提出质疑的，应当在获取采购文件或者采购文件公告期限届满之日起7个工作日内提出。</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szCs w:val="22"/>
          <w:highlight w:val="none"/>
          <w:lang w:eastAsia="zh-CN"/>
        </w:rPr>
      </w:pPr>
      <w:r>
        <w:rPr>
          <w:rStyle w:val="29"/>
          <w:rFonts w:hint="eastAsia" w:ascii="宋体" w:hAnsi="宋体" w:eastAsia="宋体" w:cs="宋体"/>
          <w:szCs w:val="22"/>
          <w:highlight w:val="none"/>
          <w:lang w:eastAsia="zh-CN"/>
        </w:rPr>
        <w:t>37.3供应商提出质疑应当提交质疑函和必要的证明材料。质疑函应当包括下列内容：</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（1）供应商的姓名或者名称、地址、邮编、联系人及联系电话；</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（2）质疑项目的名称、编号；</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（3）具体、明确的质疑事项和与质疑事项相关的请求；</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（4）事实依据；</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（5）必要的法律依据；</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（6）提出质疑的日期。</w:t>
      </w:r>
    </w:p>
    <w:p>
      <w:pPr>
        <w:pStyle w:val="3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29"/>
          <w:rFonts w:hint="eastAsia" w:ascii="宋体" w:hAnsi="宋体" w:eastAsia="宋体" w:cs="宋体"/>
          <w:b w:val="0"/>
          <w:bCs w:val="0"/>
          <w:highlight w:val="none"/>
          <w:lang w:eastAsia="zh-CN"/>
        </w:rPr>
      </w:pPr>
      <w:r>
        <w:rPr>
          <w:rStyle w:val="29"/>
          <w:rFonts w:hint="eastAsia" w:ascii="宋体" w:hAnsi="宋体" w:eastAsia="宋体" w:cs="宋体"/>
          <w:b w:val="0"/>
          <w:bCs w:val="0"/>
          <w:highlight w:val="none"/>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3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29"/>
          <w:rFonts w:hint="eastAsia" w:ascii="宋体" w:hAnsi="宋体" w:eastAsia="宋体" w:cs="宋体"/>
          <w:b w:val="0"/>
          <w:bCs w:val="0"/>
          <w:highlight w:val="none"/>
          <w:lang w:eastAsia="zh-CN"/>
        </w:rPr>
      </w:pPr>
      <w:r>
        <w:rPr>
          <w:rStyle w:val="29"/>
          <w:rFonts w:hint="eastAsia" w:ascii="宋体" w:hAnsi="宋体" w:eastAsia="宋体" w:cs="宋体"/>
          <w:b w:val="0"/>
          <w:bCs w:val="0"/>
          <w:highlight w:val="none"/>
          <w:lang w:eastAsia="zh-CN"/>
        </w:rPr>
        <w:t>代理人提出质疑和投诉，应当提交供应商签署的授权委托书。</w:t>
      </w:r>
    </w:p>
    <w:p>
      <w:pPr>
        <w:pStyle w:val="3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29"/>
          <w:rFonts w:hint="eastAsia" w:ascii="宋体" w:hAnsi="宋体" w:eastAsia="宋体" w:cs="宋体"/>
          <w:b w:val="0"/>
          <w:bCs w:val="0"/>
          <w:highlight w:val="none"/>
          <w:lang w:eastAsia="zh-CN"/>
        </w:rPr>
      </w:pPr>
      <w:r>
        <w:rPr>
          <w:rStyle w:val="29"/>
          <w:rFonts w:hint="eastAsia" w:ascii="宋体" w:hAnsi="宋体" w:eastAsia="宋体" w:cs="宋体"/>
          <w:b w:val="0"/>
          <w:bCs w:val="0"/>
          <w:highlight w:val="none"/>
          <w:lang w:eastAsia="zh-CN"/>
        </w:rPr>
        <w:t>37.5以联合体形式参加政府采购活动的，其投诉应当由组成联合体的所有供应商共同提出。</w:t>
      </w:r>
    </w:p>
    <w:p>
      <w:pPr>
        <w:pStyle w:val="3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29"/>
          <w:rFonts w:hint="eastAsia" w:ascii="宋体" w:hAnsi="宋体" w:eastAsia="宋体" w:cs="宋体"/>
          <w:b w:val="0"/>
          <w:bCs w:val="0"/>
          <w:highlight w:val="none"/>
          <w:lang w:eastAsia="zh-CN"/>
        </w:rPr>
      </w:pPr>
      <w:r>
        <w:rPr>
          <w:rStyle w:val="29"/>
          <w:rFonts w:hint="eastAsia" w:ascii="宋体" w:hAnsi="宋体" w:eastAsia="宋体" w:cs="宋体"/>
          <w:b w:val="0"/>
          <w:bCs w:val="0"/>
          <w:highlight w:val="none"/>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3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29"/>
          <w:rFonts w:hint="eastAsia" w:ascii="宋体" w:hAnsi="宋体" w:eastAsia="宋体" w:cs="宋体"/>
          <w:b w:val="0"/>
          <w:bCs w:val="0"/>
          <w:highlight w:val="none"/>
          <w:lang w:eastAsia="zh-CN"/>
        </w:rPr>
      </w:pPr>
      <w:r>
        <w:rPr>
          <w:rStyle w:val="29"/>
          <w:rFonts w:hint="eastAsia" w:ascii="宋体" w:hAnsi="宋体" w:eastAsia="宋体" w:cs="宋体"/>
          <w:b w:val="0"/>
          <w:bCs w:val="0"/>
          <w:highlight w:val="none"/>
          <w:lang w:eastAsia="zh-CN"/>
        </w:rPr>
        <w:t>37.7证明材料要具备客观性、关联性、合法性，无法查实的（如宣传册、媒体报道、猜测、推理等）不能作为证明材料。</w:t>
      </w:r>
    </w:p>
    <w:p>
      <w:pPr>
        <w:pStyle w:val="3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29"/>
          <w:rFonts w:hint="eastAsia" w:ascii="宋体" w:hAnsi="宋体" w:eastAsia="宋体" w:cs="宋体"/>
          <w:b w:val="0"/>
          <w:bCs w:val="0"/>
          <w:highlight w:val="none"/>
          <w:lang w:eastAsia="zh-CN"/>
        </w:rPr>
      </w:pPr>
      <w:r>
        <w:rPr>
          <w:rStyle w:val="29"/>
          <w:rFonts w:hint="eastAsia" w:ascii="宋体" w:hAnsi="宋体" w:eastAsia="宋体" w:cs="宋体"/>
          <w:b w:val="0"/>
          <w:bCs w:val="0"/>
          <w:highlight w:val="none"/>
          <w:lang w:eastAsia="zh-CN"/>
        </w:rPr>
        <w:t>37.8对不能提供相关证明材料的、涉及商业秘密的、非书面形式送达的、匿名的质疑将不予受理。</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38.受理和处理</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29"/>
          <w:rFonts w:hint="eastAsia" w:ascii="宋体" w:hAnsi="宋体" w:eastAsia="宋体" w:cs="宋体"/>
          <w:spacing w:val="-8"/>
          <w:sz w:val="24"/>
          <w:highlight w:val="none"/>
          <w:lang w:eastAsia="zh-CN"/>
        </w:rPr>
      </w:pPr>
      <w:r>
        <w:rPr>
          <w:rStyle w:val="29"/>
          <w:rFonts w:hint="eastAsia" w:ascii="宋体" w:hAnsi="宋体" w:eastAsia="宋体" w:cs="宋体"/>
          <w:spacing w:val="-8"/>
          <w:sz w:val="24"/>
          <w:highlight w:val="none"/>
          <w:lang w:eastAsia="zh-CN"/>
        </w:rPr>
        <w:t>38.1《质疑函》必须由质疑方的法定代表人或参与本次投标的被授权人以书面的形式送达招标方或采购单位。</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29"/>
          <w:rFonts w:hint="eastAsia" w:ascii="宋体" w:hAnsi="宋体" w:eastAsia="宋体" w:cs="宋体"/>
          <w:spacing w:val="-8"/>
          <w:sz w:val="24"/>
          <w:highlight w:val="none"/>
          <w:lang w:eastAsia="zh-CN"/>
        </w:rPr>
      </w:pPr>
      <w:r>
        <w:rPr>
          <w:rStyle w:val="29"/>
          <w:rFonts w:hint="eastAsia" w:ascii="宋体" w:hAnsi="宋体" w:eastAsia="宋体" w:cs="宋体"/>
          <w:spacing w:val="-8"/>
          <w:sz w:val="24"/>
          <w:highlight w:val="none"/>
          <w:lang w:eastAsia="zh-CN"/>
        </w:rPr>
        <w:t>38.2采购人、采购代理机构不得拒收质疑供应商在法定质疑期内发出的质疑函，应当在收到质疑函后7个工作日内作出答复，并以书面形式通知质疑供应商和其他有关供应商。</w:t>
      </w:r>
    </w:p>
    <w:p>
      <w:pPr>
        <w:pStyle w:val="32"/>
        <w:pageBreakBefore w:val="0"/>
        <w:kinsoku/>
        <w:wordWrap/>
        <w:overflowPunct/>
        <w:topLinePunct w:val="0"/>
        <w:bidi w:val="0"/>
        <w:snapToGrid w:val="0"/>
        <w:spacing w:beforeAutospacing="0" w:afterAutospacing="0" w:line="360" w:lineRule="auto"/>
        <w:ind w:left="0" w:leftChars="0" w:right="0" w:rightChars="0" w:firstLine="448" w:firstLineChars="200"/>
        <w:jc w:val="both"/>
        <w:rPr>
          <w:rStyle w:val="29"/>
          <w:rFonts w:hint="eastAsia" w:ascii="宋体" w:hAnsi="宋体" w:eastAsia="宋体" w:cs="宋体"/>
          <w:spacing w:val="-8"/>
          <w:highlight w:val="none"/>
          <w:lang w:eastAsia="zh-CN"/>
        </w:rPr>
      </w:pPr>
      <w:r>
        <w:rPr>
          <w:rStyle w:val="29"/>
          <w:rFonts w:hint="eastAsia" w:ascii="宋体" w:hAnsi="宋体" w:eastAsia="宋体" w:cs="宋体"/>
          <w:spacing w:val="-8"/>
          <w:highlight w:val="none"/>
          <w:lang w:eastAsia="zh-CN"/>
        </w:rPr>
        <w:t>38.3质疑答复的内容不得涉及商业秘密。</w:t>
      </w:r>
    </w:p>
    <w:p>
      <w:pPr>
        <w:pStyle w:val="32"/>
        <w:pageBreakBefore w:val="0"/>
        <w:kinsoku/>
        <w:wordWrap/>
        <w:overflowPunct/>
        <w:topLinePunct w:val="0"/>
        <w:bidi w:val="0"/>
        <w:snapToGrid w:val="0"/>
        <w:spacing w:beforeAutospacing="0" w:afterAutospacing="0" w:line="360" w:lineRule="auto"/>
        <w:ind w:left="0" w:leftChars="0" w:right="0" w:rightChars="0" w:firstLine="448" w:firstLineChars="200"/>
        <w:rPr>
          <w:rStyle w:val="29"/>
          <w:rFonts w:hint="eastAsia" w:ascii="宋体" w:hAnsi="宋体" w:eastAsia="宋体" w:cs="宋体"/>
          <w:spacing w:val="-8"/>
          <w:szCs w:val="22"/>
          <w:highlight w:val="none"/>
          <w:lang w:eastAsia="zh-CN"/>
        </w:rPr>
      </w:pPr>
      <w:r>
        <w:rPr>
          <w:rStyle w:val="29"/>
          <w:rFonts w:hint="eastAsia" w:ascii="宋体" w:hAnsi="宋体" w:eastAsia="宋体" w:cs="宋体"/>
          <w:spacing w:val="-8"/>
          <w:szCs w:val="22"/>
          <w:highlight w:val="none"/>
          <w:lang w:eastAsia="zh-CN"/>
        </w:rPr>
        <w:t>38.4对于不符合上述37项所述的相关条款要求的质疑，招标方将不予受理。</w:t>
      </w:r>
    </w:p>
    <w:p>
      <w:pPr>
        <w:pStyle w:val="32"/>
        <w:pageBreakBefore w:val="0"/>
        <w:kinsoku/>
        <w:wordWrap/>
        <w:overflowPunct/>
        <w:topLinePunct w:val="0"/>
        <w:bidi w:val="0"/>
        <w:snapToGrid w:val="0"/>
        <w:spacing w:beforeAutospacing="0" w:afterAutospacing="0" w:line="360" w:lineRule="auto"/>
        <w:ind w:left="0" w:leftChars="0" w:right="0" w:rightChars="0" w:firstLine="448" w:firstLineChars="200"/>
        <w:rPr>
          <w:rStyle w:val="29"/>
          <w:rFonts w:hint="eastAsia" w:ascii="宋体" w:hAnsi="宋体" w:eastAsia="宋体" w:cs="宋体"/>
          <w:spacing w:val="-8"/>
          <w:szCs w:val="22"/>
          <w:highlight w:val="none"/>
          <w:lang w:eastAsia="zh-CN"/>
        </w:rPr>
      </w:pPr>
      <w:r>
        <w:rPr>
          <w:rStyle w:val="29"/>
          <w:rFonts w:hint="eastAsia" w:ascii="宋体" w:hAnsi="宋体" w:eastAsia="宋体" w:cs="宋体"/>
          <w:spacing w:val="-8"/>
          <w:szCs w:val="22"/>
          <w:highlight w:val="none"/>
          <w:lang w:eastAsia="zh-CN"/>
        </w:rPr>
        <w:t>38.5在处理过程中，发现需要质疑人进一步补充相关佐证材料的，要求质疑人在规定时间内提供。质疑人不能按照要求提供相关佐证材料的，视同放弃质疑。</w:t>
      </w:r>
    </w:p>
    <w:p>
      <w:pPr>
        <w:pStyle w:val="32"/>
        <w:pageBreakBefore w:val="0"/>
        <w:kinsoku/>
        <w:wordWrap/>
        <w:overflowPunct/>
        <w:topLinePunct w:val="0"/>
        <w:bidi w:val="0"/>
        <w:snapToGrid w:val="0"/>
        <w:spacing w:beforeAutospacing="0" w:afterAutospacing="0" w:line="360" w:lineRule="auto"/>
        <w:ind w:left="0" w:leftChars="0" w:right="0" w:rightChars="0" w:firstLine="448" w:firstLineChars="200"/>
        <w:rPr>
          <w:rStyle w:val="29"/>
          <w:rFonts w:hint="eastAsia" w:ascii="宋体" w:hAnsi="宋体" w:eastAsia="宋体" w:cs="宋体"/>
          <w:spacing w:val="-8"/>
          <w:szCs w:val="22"/>
          <w:highlight w:val="none"/>
          <w:lang w:eastAsia="zh-CN"/>
        </w:rPr>
      </w:pPr>
      <w:r>
        <w:rPr>
          <w:rStyle w:val="29"/>
          <w:rFonts w:hint="eastAsia" w:ascii="宋体" w:hAnsi="宋体" w:eastAsia="宋体" w:cs="宋体"/>
          <w:spacing w:val="-8"/>
          <w:szCs w:val="22"/>
          <w:highlight w:val="none"/>
          <w:lang w:eastAsia="zh-CN"/>
        </w:rPr>
        <w:t>38.6招标方或采购单位负责对质疑的回复工作，将质疑人的质疑材料提供给相关专家或评审小组，并将处理意见回复质疑人。</w:t>
      </w:r>
    </w:p>
    <w:p>
      <w:pPr>
        <w:pStyle w:val="32"/>
        <w:pageBreakBefore w:val="0"/>
        <w:kinsoku/>
        <w:wordWrap/>
        <w:overflowPunct/>
        <w:topLinePunct w:val="0"/>
        <w:bidi w:val="0"/>
        <w:snapToGrid w:val="0"/>
        <w:spacing w:beforeAutospacing="0" w:afterAutospacing="0" w:line="360" w:lineRule="auto"/>
        <w:ind w:left="0" w:leftChars="0" w:right="0" w:rightChars="0" w:firstLine="448" w:firstLineChars="200"/>
        <w:rPr>
          <w:rStyle w:val="29"/>
          <w:rFonts w:hint="eastAsia" w:ascii="宋体" w:hAnsi="宋体" w:eastAsia="宋体" w:cs="宋体"/>
          <w:spacing w:val="-8"/>
          <w:szCs w:val="22"/>
          <w:highlight w:val="none"/>
          <w:lang w:eastAsia="zh-CN"/>
        </w:rPr>
      </w:pPr>
      <w:r>
        <w:rPr>
          <w:rStyle w:val="29"/>
          <w:rFonts w:hint="eastAsia" w:ascii="宋体" w:hAnsi="宋体" w:eastAsia="宋体" w:cs="宋体"/>
          <w:spacing w:val="-8"/>
          <w:szCs w:val="22"/>
          <w:highlight w:val="none"/>
          <w:lang w:eastAsia="zh-CN"/>
        </w:rPr>
        <w:t>38.7采购人、采购代理机构认为供应商质疑不成立，或者成立但未对中标、成交结果构成影响的，继续开展采购活动；认为供应商质疑成立且影响或者可能影响中标、成交结果的，按照下列情况处理：</w:t>
      </w:r>
    </w:p>
    <w:p>
      <w:pPr>
        <w:pStyle w:val="32"/>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spacing w:val="-8"/>
          <w:szCs w:val="22"/>
          <w:highlight w:val="none"/>
          <w:lang w:eastAsia="zh-CN"/>
        </w:rPr>
      </w:pPr>
      <w:r>
        <w:rPr>
          <w:rStyle w:val="29"/>
          <w:rFonts w:hint="eastAsia" w:ascii="宋体" w:hAnsi="宋体" w:eastAsia="宋体" w:cs="宋体"/>
          <w:highlight w:val="none"/>
          <w:lang w:eastAsia="zh-CN"/>
        </w:rPr>
        <w:t>（1）对采购文件提出的质疑，依法通过澄清或者修改可以继续开展采购活动的，澄清或者修改采购文件后继续开展采购活动；否则应当修改采购文件后重新开展采购活动。</w:t>
      </w:r>
    </w:p>
    <w:p>
      <w:pPr>
        <w:pStyle w:val="32"/>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2"/>
        <w:pageBreakBefore w:val="0"/>
        <w:kinsoku/>
        <w:wordWrap/>
        <w:overflowPunct/>
        <w:topLinePunct w:val="0"/>
        <w:bidi w:val="0"/>
        <w:snapToGrid w:val="0"/>
        <w:spacing w:beforeAutospacing="0" w:afterAutospacing="0" w:line="360" w:lineRule="auto"/>
        <w:ind w:left="0" w:leftChars="0" w:right="0" w:rightChars="0" w:firstLine="480"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质疑答复导致中标、成交结果改变的，采购人或者采购代理机构应当将有关情况书面报告本级财政部门。</w:t>
      </w:r>
    </w:p>
    <w:p>
      <w:pPr>
        <w:pStyle w:val="3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39.质疑无效的处理</w:t>
      </w:r>
    </w:p>
    <w:p>
      <w:pPr>
        <w:pStyle w:val="3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b w:val="0"/>
          <w:bCs w:val="0"/>
          <w:spacing w:val="-5"/>
          <w:szCs w:val="22"/>
          <w:highlight w:val="none"/>
          <w:lang w:eastAsia="zh-CN"/>
        </w:rPr>
      </w:pPr>
      <w:r>
        <w:rPr>
          <w:rStyle w:val="29"/>
          <w:rFonts w:hint="eastAsia" w:ascii="宋体" w:hAnsi="宋体" w:eastAsia="宋体" w:cs="宋体"/>
          <w:b w:val="0"/>
          <w:bCs w:val="0"/>
          <w:spacing w:val="-5"/>
          <w:szCs w:val="22"/>
          <w:highlight w:val="none"/>
          <w:lang w:eastAsia="zh-CN"/>
        </w:rPr>
        <w:t>39.1质疑人提供的相关佐证材料不能证明质疑成立的，招标方可要求质疑人补充相关佐证材料，如补充材料仍不能证明质疑成立的，将不予受理。</w:t>
      </w:r>
    </w:p>
    <w:p>
      <w:pPr>
        <w:pStyle w:val="3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b w:val="0"/>
          <w:bCs w:val="0"/>
          <w:spacing w:val="-5"/>
          <w:szCs w:val="22"/>
          <w:highlight w:val="none"/>
          <w:lang w:eastAsia="zh-CN"/>
        </w:rPr>
      </w:pPr>
      <w:r>
        <w:rPr>
          <w:rStyle w:val="29"/>
          <w:rFonts w:hint="eastAsia" w:ascii="宋体" w:hAnsi="宋体" w:eastAsia="宋体" w:cs="宋体"/>
          <w:b w:val="0"/>
          <w:bCs w:val="0"/>
          <w:spacing w:val="-5"/>
          <w:szCs w:val="22"/>
          <w:highlight w:val="none"/>
          <w:lang w:eastAsia="zh-CN"/>
        </w:rPr>
        <w:t>39.2对于质疑人在质疑期间不配合进行质疑调查处理的，视为自动放弃质疑。</w:t>
      </w:r>
    </w:p>
    <w:p>
      <w:pPr>
        <w:pStyle w:val="3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b w:val="0"/>
          <w:bCs w:val="0"/>
          <w:spacing w:val="-5"/>
          <w:szCs w:val="22"/>
          <w:highlight w:val="none"/>
          <w:lang w:eastAsia="zh-CN"/>
        </w:rPr>
      </w:pPr>
      <w:r>
        <w:rPr>
          <w:rStyle w:val="29"/>
          <w:rFonts w:hint="eastAsia" w:ascii="宋体" w:hAnsi="宋体" w:eastAsia="宋体" w:cs="宋体"/>
          <w:b w:val="0"/>
          <w:bCs w:val="0"/>
          <w:spacing w:val="-5"/>
          <w:szCs w:val="22"/>
          <w:highlight w:val="none"/>
          <w:lang w:eastAsia="zh-CN"/>
        </w:rPr>
        <w:t>39.3质疑人提出的质疑，经评标专家审定后驳回的，列为无效质疑。</w:t>
      </w:r>
    </w:p>
    <w:p>
      <w:pPr>
        <w:pStyle w:val="3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b w:val="0"/>
          <w:bCs w:val="0"/>
          <w:spacing w:val="-5"/>
          <w:szCs w:val="22"/>
          <w:highlight w:val="none"/>
          <w:lang w:eastAsia="zh-CN"/>
        </w:rPr>
      </w:pPr>
      <w:r>
        <w:rPr>
          <w:rStyle w:val="29"/>
          <w:rFonts w:hint="eastAsia" w:ascii="宋体" w:hAnsi="宋体" w:eastAsia="宋体" w:cs="宋体"/>
          <w:b w:val="0"/>
          <w:bCs w:val="0"/>
          <w:spacing w:val="-5"/>
          <w:szCs w:val="22"/>
          <w:highlight w:val="none"/>
          <w:lang w:eastAsia="zh-CN"/>
        </w:rPr>
        <w:t>39.4对于质疑中使用虚假材料或恶意方式质疑的，按无效质疑处理，并列入不良记录供应商名单。</w:t>
      </w:r>
    </w:p>
    <w:p>
      <w:pPr>
        <w:pStyle w:val="3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29"/>
          <w:rFonts w:hint="eastAsia" w:ascii="宋体" w:hAnsi="宋体" w:eastAsia="宋体" w:cs="宋体"/>
          <w:b w:val="0"/>
          <w:bCs w:val="0"/>
          <w:spacing w:val="-5"/>
          <w:szCs w:val="22"/>
          <w:highlight w:val="none"/>
          <w:lang w:eastAsia="zh-CN"/>
        </w:rPr>
      </w:pPr>
      <w:r>
        <w:rPr>
          <w:rStyle w:val="29"/>
          <w:rFonts w:hint="eastAsia" w:ascii="宋体" w:hAnsi="宋体" w:eastAsia="宋体" w:cs="宋体"/>
          <w:b w:val="0"/>
          <w:bCs w:val="0"/>
          <w:spacing w:val="-5"/>
          <w:szCs w:val="22"/>
          <w:highlight w:val="none"/>
          <w:lang w:eastAsia="zh-CN"/>
        </w:rPr>
        <w:t>39.5质疑人进行质疑后，招标方在法定时间内对质疑进行回复，质疑人认为回复不满意的，可向相关的采购管理部门进行投诉。</w:t>
      </w:r>
    </w:p>
    <w:p>
      <w:pPr>
        <w:pStyle w:val="3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29"/>
          <w:rFonts w:hint="eastAsia" w:ascii="宋体" w:hAnsi="宋体" w:eastAsia="宋体" w:cs="宋体"/>
          <w:b w:val="0"/>
          <w:bCs w:val="0"/>
          <w:spacing w:val="-5"/>
          <w:szCs w:val="22"/>
          <w:highlight w:val="none"/>
          <w:lang w:eastAsia="zh-CN"/>
        </w:rPr>
      </w:pPr>
      <w:r>
        <w:rPr>
          <w:rStyle w:val="29"/>
          <w:rFonts w:hint="eastAsia" w:ascii="宋体" w:hAnsi="宋体" w:eastAsia="宋体" w:cs="宋体"/>
          <w:w w:val="95"/>
          <w:highlight w:val="none"/>
          <w:lang w:eastAsia="zh-CN"/>
        </w:rPr>
        <w:t>40.其他</w:t>
      </w:r>
    </w:p>
    <w:p>
      <w:pPr>
        <w:pStyle w:val="39"/>
        <w:pageBreakBefore w:val="0"/>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b w:val="0"/>
          <w:bCs w:val="0"/>
          <w:szCs w:val="22"/>
          <w:highlight w:val="none"/>
          <w:lang w:eastAsia="zh-CN"/>
        </w:rPr>
      </w:pPr>
      <w:r>
        <w:rPr>
          <w:rStyle w:val="29"/>
          <w:rFonts w:hint="eastAsia" w:ascii="宋体" w:hAnsi="宋体" w:eastAsia="宋体" w:cs="宋体"/>
          <w:b w:val="0"/>
          <w:bCs w:val="0"/>
          <w:szCs w:val="22"/>
          <w:highlight w:val="none"/>
          <w:lang w:eastAsia="zh-CN"/>
        </w:rPr>
        <w:t>40.1质疑函和投诉书应当使用中文。质疑函和投诉书的范本，由财政部制定。</w:t>
      </w:r>
    </w:p>
    <w:p>
      <w:pPr>
        <w:pStyle w:val="39"/>
        <w:pageBreakBefore w:val="0"/>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b w:val="0"/>
          <w:bCs w:val="0"/>
          <w:szCs w:val="22"/>
          <w:highlight w:val="none"/>
          <w:lang w:eastAsia="zh-CN"/>
        </w:rPr>
      </w:pPr>
      <w:r>
        <w:rPr>
          <w:rStyle w:val="29"/>
          <w:rFonts w:hint="eastAsia" w:ascii="宋体" w:hAnsi="宋体" w:eastAsia="宋体" w:cs="宋体"/>
          <w:b w:val="0"/>
          <w:bCs w:val="0"/>
          <w:szCs w:val="22"/>
          <w:highlight w:val="none"/>
          <w:lang w:eastAsia="zh-CN"/>
        </w:rPr>
        <w:t>40.2对在质疑答复和投诉处理过程中知悉的国家秘密、商业秘密、个人隐私和依法不予公开的信息，财政部门、采购人、采购代理机构等相关知情人应当保密。</w:t>
      </w:r>
    </w:p>
    <w:p>
      <w:pPr>
        <w:pStyle w:val="39"/>
        <w:pageBreakBefore w:val="0"/>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w w:val="95"/>
          <w:highlight w:val="none"/>
          <w:lang w:eastAsia="zh-CN"/>
        </w:rPr>
        <w:t>质疑函制作说明:</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1.供应商提出质疑时，应提交质疑函和必要的证明材料。</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3.质疑供应商若对项目的某一分包进行质疑，质疑函中应列明具体分包号。</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4.质疑函的质疑事项应具体、明确，并有必要的事实依据和法律依据。</w:t>
      </w:r>
    </w:p>
    <w:p>
      <w:pPr>
        <w:pStyle w:val="32"/>
        <w:pageBreakBefore w:val="0"/>
        <w:kinsoku/>
        <w:wordWrap/>
        <w:overflowPunct/>
        <w:topLinePunct w:val="0"/>
        <w:bidi w:val="0"/>
        <w:spacing w:beforeAutospacing="0" w:afterAutospacing="0" w:line="360" w:lineRule="auto"/>
        <w:ind w:left="0" w:leftChars="0" w:right="0" w:rightChars="0" w:firstLine="480" w:firstLineChars="20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5.质疑函的质疑请求应与质疑事项相关。</w:t>
      </w:r>
    </w:p>
    <w:p>
      <w:pPr>
        <w:pStyle w:val="32"/>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29"/>
          <w:rFonts w:hint="eastAsia" w:ascii="宋体" w:hAnsi="宋体" w:eastAsia="宋体" w:cs="宋体"/>
          <w:sz w:val="32"/>
          <w:highlight w:val="none"/>
          <w:lang w:eastAsia="zh-CN"/>
        </w:rPr>
        <w:sectPr>
          <w:pgSz w:w="11910" w:h="16840"/>
          <w:pgMar w:top="1480" w:right="1180" w:bottom="1180" w:left="1480" w:header="0" w:footer="912" w:gutter="0"/>
          <w:cols w:space="720" w:num="1"/>
        </w:sectPr>
      </w:pPr>
      <w:r>
        <w:rPr>
          <w:rStyle w:val="29"/>
          <w:rFonts w:hint="eastAsia" w:ascii="宋体" w:hAnsi="宋体" w:eastAsia="宋体" w:cs="宋体"/>
          <w:highlight w:val="none"/>
          <w:lang w:eastAsia="zh-CN"/>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0"/>
          <w:highlight w:val="none"/>
          <w:lang w:eastAsia="zh-CN"/>
        </w:rPr>
      </w:pPr>
      <w:r>
        <w:rPr>
          <w:rStyle w:val="29"/>
          <w:rFonts w:hint="eastAsia" w:ascii="宋体" w:hAnsi="宋体" w:eastAsia="宋体" w:cs="宋体"/>
          <w:b/>
          <w:w w:val="95"/>
          <w:sz w:val="30"/>
          <w:highlight w:val="none"/>
          <w:lang w:eastAsia="zh-CN"/>
        </w:rPr>
        <w:t>质疑函范本</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highlight w:val="none"/>
          <w:lang w:eastAsia="zh-CN"/>
        </w:rPr>
      </w:pPr>
      <w:r>
        <w:rPr>
          <w:rStyle w:val="29"/>
          <w:rFonts w:hint="eastAsia" w:ascii="宋体" w:hAnsi="宋体" w:eastAsia="宋体" w:cs="宋体"/>
          <w:b/>
          <w:sz w:val="24"/>
          <w:highlight w:val="none"/>
          <w:lang w:eastAsia="zh-CN"/>
        </w:rPr>
        <w:t>一、质疑供应商基本信息</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质疑供应商：</w:t>
      </w:r>
    </w:p>
    <w:p>
      <w:pPr>
        <w:pStyle w:val="32"/>
        <w:pageBreakBefore w:val="0"/>
        <w:kinsoku/>
        <w:wordWrap/>
        <w:overflowPunct/>
        <w:topLinePunct w:val="0"/>
        <w:bidi w:val="0"/>
        <w:spacing w:beforeAutospacing="0" w:afterAutospacing="0" w:line="360" w:lineRule="auto"/>
        <w:ind w:left="0" w:leftChars="0" w:right="0" w:rightChars="0"/>
        <w:jc w:val="both"/>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地址：邮编：</w:t>
      </w:r>
    </w:p>
    <w:p>
      <w:pPr>
        <w:pStyle w:val="32"/>
        <w:pageBreakBefore w:val="0"/>
        <w:kinsoku/>
        <w:wordWrap/>
        <w:overflowPunct/>
        <w:topLinePunct w:val="0"/>
        <w:bidi w:val="0"/>
        <w:spacing w:beforeAutospacing="0" w:afterAutospacing="0" w:line="360" w:lineRule="auto"/>
        <w:ind w:left="0" w:leftChars="0" w:right="0" w:rightChars="0"/>
        <w:jc w:val="both"/>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联系人：联系电话：授权代表：</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联系电话：</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地址：邮编：</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highlight w:val="none"/>
          <w:lang w:eastAsia="zh-CN"/>
        </w:rPr>
      </w:pPr>
      <w:r>
        <w:rPr>
          <w:rStyle w:val="29"/>
          <w:rFonts w:hint="eastAsia" w:ascii="宋体" w:hAnsi="宋体" w:eastAsia="宋体" w:cs="宋体"/>
          <w:b/>
          <w:w w:val="95"/>
          <w:sz w:val="24"/>
          <w:highlight w:val="none"/>
          <w:lang w:eastAsia="zh-CN"/>
        </w:rPr>
        <w:t>二、质疑项目基本情况</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质疑项目的名称：</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质疑项目的编号：包号：</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采购人名称：</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采购文件获取日期：</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highlight w:val="none"/>
          <w:lang w:eastAsia="zh-CN"/>
        </w:rPr>
      </w:pPr>
      <w:r>
        <w:rPr>
          <w:rStyle w:val="29"/>
          <w:rFonts w:hint="eastAsia" w:ascii="宋体" w:hAnsi="宋体" w:eastAsia="宋体" w:cs="宋体"/>
          <w:b/>
          <w:sz w:val="24"/>
          <w:highlight w:val="none"/>
          <w:lang w:eastAsia="zh-CN"/>
        </w:rPr>
        <w:t>三、质疑事项具体内容</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highlight w:val="none"/>
          <w:lang w:eastAsia="zh-CN"/>
        </w:rPr>
      </w:pPr>
      <w:r>
        <w:rPr>
          <w:rStyle w:val="29"/>
          <w:rFonts w:hint="eastAsia" w:ascii="宋体" w:hAnsi="宋体" w:eastAsia="宋体" w:cs="宋体"/>
          <w:spacing w:val="-13"/>
          <w:sz w:val="24"/>
          <w:highlight w:val="none"/>
          <w:lang w:eastAsia="zh-CN"/>
        </w:rPr>
        <w:t>质疑事项</w:t>
      </w:r>
      <w:r>
        <w:rPr>
          <w:rStyle w:val="29"/>
          <w:rFonts w:hint="eastAsia" w:ascii="宋体" w:hAnsi="宋体" w:eastAsia="宋体" w:cs="宋体"/>
          <w:sz w:val="24"/>
          <w:highlight w:val="none"/>
          <w:lang w:eastAsia="zh-CN"/>
        </w:rPr>
        <w:t>1：</w:t>
      </w:r>
    </w:p>
    <w:p>
      <w:pPr>
        <w:pStyle w:val="32"/>
        <w:pageBreakBefore w:val="0"/>
        <w:kinsoku/>
        <w:wordWrap/>
        <w:overflowPunct/>
        <w:topLinePunct w:val="0"/>
        <w:bidi w:val="0"/>
        <w:spacing w:beforeAutospacing="0" w:afterAutospacing="0" w:line="360" w:lineRule="auto"/>
        <w:ind w:left="0" w:leftChars="0" w:right="0" w:rightChars="0"/>
        <w:jc w:val="both"/>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事实依据：法律依据：质疑事项2</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24"/>
          <w:highlight w:val="none"/>
          <w:lang w:eastAsia="zh-CN"/>
        </w:rPr>
      </w:pPr>
      <w:r>
        <w:rPr>
          <w:rStyle w:val="29"/>
          <w:rFonts w:hint="eastAsia" w:ascii="宋体" w:hAnsi="宋体" w:eastAsia="宋体" w:cs="宋体"/>
          <w:b/>
          <w:sz w:val="24"/>
          <w:highlight w:val="none"/>
          <w:lang w:eastAsia="zh-CN"/>
        </w:rPr>
        <w:t>四、与质疑事项相关的质疑请求</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请求：</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签字（电子公章）：</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日期：</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sectPr>
          <w:pgSz w:w="11910" w:h="16840"/>
          <w:pgMar w:top="1480" w:right="1320" w:bottom="1180" w:left="1480" w:header="0" w:footer="912" w:gutter="0"/>
          <w:cols w:space="720" w:num="1"/>
        </w:sectPr>
      </w:pPr>
    </w:p>
    <w:p>
      <w:pPr>
        <w:pageBreakBefore w:val="0"/>
        <w:tabs>
          <w:tab w:val="left" w:pos="1990"/>
        </w:tabs>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bCs/>
          <w:sz w:val="32"/>
          <w:szCs w:val="32"/>
          <w:highlight w:val="none"/>
          <w:lang w:eastAsia="zh-CN"/>
        </w:rPr>
      </w:pPr>
      <w:r>
        <w:rPr>
          <w:rStyle w:val="29"/>
          <w:rFonts w:hint="eastAsia" w:ascii="宋体" w:hAnsi="宋体" w:eastAsia="宋体" w:cs="宋体"/>
          <w:b/>
          <w:bCs/>
          <w:sz w:val="32"/>
          <w:szCs w:val="32"/>
          <w:highlight w:val="none"/>
          <w:lang w:eastAsia="zh-CN"/>
        </w:rPr>
        <w:t>第三部分采购内容及参数要求</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1</w:t>
      </w:r>
      <w:r>
        <w:rPr>
          <w:rFonts w:hint="eastAsia" w:ascii="宋体" w:hAnsi="宋体" w:eastAsia="宋体" w:cs="宋体"/>
          <w:b w:val="0"/>
          <w:color w:val="000000"/>
          <w:sz w:val="24"/>
          <w:szCs w:val="24"/>
          <w:highlight w:val="none"/>
        </w:rPr>
        <w:t>．服务代理银行须在本项目区域内至少有1家营业网点；</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2．服务代理银行需具备长期服务基层广大人民群众、服务态度好、服务质量优、群众反响好的条件；</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3</w:t>
      </w:r>
      <w:r>
        <w:rPr>
          <w:rFonts w:hint="eastAsia" w:ascii="宋体" w:hAnsi="宋体" w:eastAsia="宋体" w:cs="宋体"/>
          <w:b w:val="0"/>
          <w:color w:val="000000"/>
          <w:sz w:val="24"/>
          <w:szCs w:val="24"/>
          <w:highlight w:val="none"/>
        </w:rPr>
        <w:t>．服务代理银行需具备综合素质高、熟练代理财政业务、人员稳定的专业服务团队，能够满足3人以上专人负责办理惠民惠农财政补贴资金代发业务，全力保障财政及行业主管部门的各项业务对接。</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4</w:t>
      </w:r>
      <w:r>
        <w:rPr>
          <w:rFonts w:hint="eastAsia" w:ascii="宋体" w:hAnsi="宋体" w:eastAsia="宋体" w:cs="宋体"/>
          <w:b w:val="0"/>
          <w:color w:val="000000"/>
          <w:sz w:val="24"/>
          <w:szCs w:val="24"/>
          <w:highlight w:val="none"/>
        </w:rPr>
        <w:t>．服务代理银行需按照行业主管部门提供的实名制代发数据，先进行模拟打卡，模拟打卡无误后再进行实际打卡发放，保证支付成功率；</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5</w:t>
      </w:r>
      <w:r>
        <w:rPr>
          <w:rFonts w:hint="eastAsia" w:ascii="宋体" w:hAnsi="宋体" w:eastAsia="宋体" w:cs="宋体"/>
          <w:b w:val="0"/>
          <w:color w:val="000000"/>
          <w:sz w:val="24"/>
          <w:szCs w:val="24"/>
          <w:highlight w:val="none"/>
        </w:rPr>
        <w:t>．服务代理银行按月（次）在收到补贴资金和实名制发放表后，需在3个工作日内，将补贴资金发放到补贴对象银行卡中；</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6</w:t>
      </w:r>
      <w:r>
        <w:rPr>
          <w:rFonts w:hint="eastAsia" w:ascii="宋体" w:hAnsi="宋体" w:eastAsia="宋体" w:cs="宋体"/>
          <w:b w:val="0"/>
          <w:color w:val="000000"/>
          <w:sz w:val="24"/>
          <w:szCs w:val="24"/>
          <w:highlight w:val="none"/>
        </w:rPr>
        <w:t>．服务代理银行在发放补贴的同时，需向补贴对象免费发送短信，具体告知补贴项目名称、金额，让补贴对象及时知晓资金到账情况；无短信告知的资金项目，需向行业主管部门提供纸质版进行告知；</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7</w:t>
      </w:r>
      <w:r>
        <w:rPr>
          <w:rFonts w:hint="eastAsia" w:ascii="宋体" w:hAnsi="宋体" w:eastAsia="宋体" w:cs="宋体"/>
          <w:b w:val="0"/>
          <w:color w:val="000000"/>
          <w:sz w:val="24"/>
          <w:szCs w:val="24"/>
          <w:highlight w:val="none"/>
        </w:rPr>
        <w:t>．服务代理银行向补贴对象打卡发放后，需在2个工作日内向财政、行业主管部门反馈打卡发放情况，提供一式3联打卡发放流水清单（包含成功和未成功明细两部分笔数、内容及金额，未成功应标注原因）；</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8</w:t>
      </w:r>
      <w:r>
        <w:rPr>
          <w:rFonts w:hint="eastAsia" w:ascii="宋体" w:hAnsi="宋体" w:eastAsia="宋体" w:cs="宋体"/>
          <w:b w:val="0"/>
          <w:color w:val="000000"/>
          <w:sz w:val="24"/>
          <w:szCs w:val="24"/>
          <w:highlight w:val="none"/>
        </w:rPr>
        <w:t>．服务代理银行对发放失败的补贴资金，需主动配合行业主管部门查明原因，需在3个工作日内，由行业主管部门重新核实后，服务代理银行进行二次打卡发放，直至发放成功，同时并向财政、行业主管部门提供一式3联成功打卡发放明细清单；</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9</w:t>
      </w:r>
      <w:r>
        <w:rPr>
          <w:rFonts w:hint="eastAsia" w:ascii="宋体" w:hAnsi="宋体" w:eastAsia="宋体" w:cs="宋体"/>
          <w:b w:val="0"/>
          <w:color w:val="000000"/>
          <w:sz w:val="24"/>
          <w:szCs w:val="24"/>
          <w:highlight w:val="none"/>
        </w:rPr>
        <w:t>．服务代理银行需按照财政部门和行业主管部门的要求，在月末、季度和年终做好资金清算及对账工作；</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10</w:t>
      </w:r>
      <w:r>
        <w:rPr>
          <w:rFonts w:hint="eastAsia" w:ascii="宋体" w:hAnsi="宋体" w:eastAsia="宋体" w:cs="宋体"/>
          <w:b w:val="0"/>
          <w:color w:val="000000"/>
          <w:sz w:val="24"/>
          <w:szCs w:val="24"/>
          <w:highlight w:val="none"/>
        </w:rPr>
        <w:t>．服务代理银行需免费提供行内或跨行补贴资金代发业务，减免账户管理费、服务费等；按照“一户一卡、一卡一折”的要求，免费、及时为补贴对象新办、补办“一卡通”银行卡、免收年审费、手续费，免费开通手机短信告知业务。同时不得从代发的惠民惠农补贴资金中扣划贷款；</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11</w:t>
      </w:r>
      <w:r>
        <w:rPr>
          <w:rFonts w:hint="eastAsia" w:ascii="宋体" w:hAnsi="宋体" w:eastAsia="宋体" w:cs="宋体"/>
          <w:b w:val="0"/>
          <w:color w:val="000000"/>
          <w:sz w:val="24"/>
          <w:szCs w:val="24"/>
          <w:highlight w:val="none"/>
        </w:rPr>
        <w:t>．服务代理银行需按月向财政、行业主管部门提供代理服务问卷调查汇总评分表；</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12</w:t>
      </w:r>
      <w:r>
        <w:rPr>
          <w:rFonts w:hint="eastAsia" w:ascii="宋体" w:hAnsi="宋体" w:eastAsia="宋体" w:cs="宋体"/>
          <w:b w:val="0"/>
          <w:color w:val="000000"/>
          <w:sz w:val="24"/>
          <w:szCs w:val="24"/>
          <w:highlight w:val="none"/>
        </w:rPr>
        <w:t>．服务代理银行需在各大营业厅及网点设置惠民惠农财政补贴资金专用“绿色通道”窗口，方便农民支取，能够保证补贴对象随时取款用款，不得以库款不足、系统不稳定、业务人员外出等任何理由和借口阻碍服务对象提现取款，对行动不便等特殊人群提供上门服务，最大程度满足人民群众需求；</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14．服务代理银行需积极配合县财政惠民惠农财政补贴“一卡通”管理系统建设要求，在每个基层网点最少配置一台以上查询机，方便补贴对象实时查询补贴数据；</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15．服务代理银行需加强对广大人民群众银行卡使用常识和相关金融法规宣传，做到家喻户晓；</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480" w:firstLineChars="200"/>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16．服务代理银行务必做好代发信息及保密工作，未经批准不得向任何第三方提供农户数据和资料，如有失泄密发生，承担相应的法律责任。</w:t>
      </w:r>
    </w:p>
    <w:p>
      <w:pPr>
        <w:pStyle w:val="55"/>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560" w:firstLineChars="200"/>
        <w:jc w:val="both"/>
        <w:rPr>
          <w:rFonts w:hint="eastAsia" w:ascii="宋体" w:hAnsi="宋体" w:eastAsia="宋体" w:cs="宋体"/>
          <w:b w:val="0"/>
          <w:color w:val="000000"/>
          <w:sz w:val="28"/>
          <w:szCs w:val="28"/>
          <w:highlight w:val="none"/>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sz w:val="36"/>
          <w:highlight w:val="none"/>
          <w:lang w:eastAsia="zh-CN"/>
        </w:rPr>
        <w:sectPr>
          <w:pgSz w:w="11910" w:h="16840"/>
          <w:pgMar w:top="1320" w:right="1160" w:bottom="1180" w:left="1480" w:header="0" w:footer="912" w:gutter="0"/>
          <w:cols w:space="720" w:num="1"/>
        </w:sectPr>
      </w:pPr>
    </w:p>
    <w:p>
      <w:pPr>
        <w:pageBreakBefore w:val="0"/>
        <w:tabs>
          <w:tab w:val="left" w:pos="4742"/>
        </w:tabs>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bCs/>
          <w:sz w:val="32"/>
          <w:szCs w:val="32"/>
          <w:highlight w:val="none"/>
          <w:lang w:eastAsia="zh-CN"/>
        </w:rPr>
      </w:pPr>
      <w:r>
        <w:rPr>
          <w:rStyle w:val="29"/>
          <w:rFonts w:hint="eastAsia" w:ascii="宋体" w:hAnsi="宋体" w:eastAsia="宋体" w:cs="宋体"/>
          <w:b/>
          <w:bCs/>
          <w:sz w:val="32"/>
          <w:szCs w:val="32"/>
          <w:highlight w:val="none"/>
          <w:lang w:eastAsia="zh-CN"/>
        </w:rPr>
        <w:t>第四部分合同条款</w:t>
      </w: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sz w:val="15"/>
          <w:highlight w:val="none"/>
          <w:lang w:eastAsia="zh-CN"/>
        </w:r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15"/>
          <w:highlight w:val="none"/>
          <w:lang w:eastAsia="zh-CN"/>
        </w:rPr>
        <w:sectPr>
          <w:pgSz w:w="11910" w:h="16840"/>
          <w:pgMar w:top="144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b/>
          <w:highlight w:val="none"/>
          <w:lang w:eastAsia="zh-CN"/>
        </w:rPr>
      </w:pPr>
    </w:p>
    <w:p>
      <w:pPr>
        <w:pStyle w:val="39"/>
        <w:pageBreakBefore w:val="0"/>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w w:val="95"/>
          <w:highlight w:val="none"/>
          <w:lang w:eastAsia="zh-CN"/>
        </w:rPr>
        <w:t>1、适用范围</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20"/>
          <w:highlight w:val="none"/>
          <w:lang w:eastAsia="zh-CN"/>
        </w:rPr>
      </w:pPr>
      <w:r>
        <w:rPr>
          <w:rStyle w:val="29"/>
          <w:rFonts w:hint="eastAsia" w:ascii="宋体" w:hAnsi="宋体" w:eastAsia="宋体" w:cs="宋体"/>
          <w:b/>
          <w:w w:val="95"/>
          <w:sz w:val="20"/>
          <w:highlight w:val="none"/>
          <w:lang w:eastAsia="zh-CN"/>
        </w:rPr>
        <w:t>（本合同条款仅供参考，具体以实际签订的合同为准）</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0"/>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sz w:val="30"/>
          <w:highlight w:val="none"/>
          <w:lang w:eastAsia="zh-CN"/>
        </w:rPr>
        <w:sectPr>
          <w:type w:val="continuous"/>
          <w:pgSz w:w="11910" w:h="16840"/>
          <w:pgMar w:top="1400" w:right="1180" w:bottom="980" w:left="1480" w:header="720" w:footer="720" w:gutter="0"/>
          <w:cols w:equalWidth="0" w:num="2">
            <w:col w:w="2037" w:space="40"/>
            <w:col w:w="7173"/>
          </w:cols>
        </w:sectPr>
      </w:pPr>
    </w:p>
    <w:p>
      <w:pPr>
        <w:pStyle w:val="32"/>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本合同条款仅适用于本次招标活动。</w:t>
      </w:r>
    </w:p>
    <w:p>
      <w:pPr>
        <w:pStyle w:val="39"/>
        <w:pageBreakBefore w:val="0"/>
        <w:kinsoku/>
        <w:wordWrap/>
        <w:overflowPunct/>
        <w:topLinePunct w:val="0"/>
        <w:bidi w:val="0"/>
        <w:spacing w:before="0" w:beforeAutospacing="0" w:afterAutospacing="0" w:line="360" w:lineRule="auto"/>
        <w:ind w:left="0" w:leftChars="0" w:right="0" w:rightChars="0"/>
        <w:rPr>
          <w:rStyle w:val="29"/>
          <w:rFonts w:hint="eastAsia" w:ascii="宋体" w:hAnsi="宋体" w:eastAsia="宋体" w:cs="宋体"/>
          <w:highlight w:val="none"/>
          <w:lang w:eastAsia="zh-CN"/>
        </w:rPr>
      </w:pPr>
      <w:r>
        <w:rPr>
          <w:rStyle w:val="29"/>
          <w:rFonts w:hint="eastAsia" w:ascii="宋体" w:hAnsi="宋体" w:eastAsia="宋体" w:cs="宋体"/>
          <w:highlight w:val="none"/>
          <w:lang w:eastAsia="zh-CN"/>
        </w:rPr>
        <w:t>2、定义</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424" w:firstLineChars="177"/>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2.1“合同”系指买方和卖方(以下简称合同双方)已达成的协议，即由双方签订的合同格式文件，包括所有的竞争性磋商文件、响应文件、招标答疑纪录、澄清说明、附件、附录和组成合同的所有其他文件。</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2.2“合同价格”系指根据合同规定，在卖方全面正确地履行合同义务时，买方应支付给卖方的款项。</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2.3“货物”系指卖方按合同要求，须向买方提供的一切设备、机械、仪器仪表、备品备件、工具、手册、其它技术资料和其它材料。</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2.4“服务”系指合同规定卖方必须承担的安装、调试、技术协助、校准、培训以及其他类似义务。</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2.5“甲方”、“买方”、“招标方”均系指通过招标采购，接受合同货物及服务的自治区本级各行政事业单位、社会团体（采购单位）及自治区政府采购中心。</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2.6“乙方”、“卖方”系指中标后提供合同货物和服务的经济实体。</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2.7“现场”系指将要进行货物安装和运转的地点。</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2.8“验收”系指甲方依据国家有关法律、法规及工程建设规范、标准的规定对已完成服务要求和合同约定的各项内容，进行检验。</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2.9“交付”指投标人在双方规定的日期内交付约定数据采集的行为。但是投标人完成交付行为，并不意味着投标人已经完成了本合同项下所规定的所有义务。</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2.10“规格”是指在技术或其他开发任务上所设定的技术标准、规范。</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pPr>
      <w:r>
        <w:rPr>
          <w:rStyle w:val="29"/>
          <w:rFonts w:hint="eastAsia" w:ascii="宋体" w:hAnsi="宋体" w:eastAsia="宋体" w:cs="宋体"/>
          <w:sz w:val="24"/>
          <w:highlight w:val="none"/>
          <w:lang w:eastAsia="zh-CN"/>
        </w:rPr>
        <w:t>2.12“工作日”指国家所规定的节假日之外的所有工作日，未指明为工作日的日期指自然顺延的日期。</w:t>
      </w:r>
    </w:p>
    <w:p>
      <w:pPr>
        <w:pStyle w:val="41"/>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29"/>
          <w:rFonts w:hint="eastAsia" w:ascii="宋体" w:hAnsi="宋体" w:eastAsia="宋体" w:cs="宋体"/>
          <w:sz w:val="24"/>
          <w:highlight w:val="none"/>
          <w:lang w:eastAsia="zh-CN"/>
        </w:rPr>
        <w:sectPr>
          <w:type w:val="continuous"/>
          <w:pgSz w:w="11910" w:h="16840"/>
          <w:pgMar w:top="1400" w:right="1180" w:bottom="980" w:left="1480" w:header="720" w:footer="720" w:gutter="0"/>
          <w:cols w:space="720" w:num="1"/>
        </w:sectPr>
      </w:pPr>
    </w:p>
    <w:p>
      <w:pPr>
        <w:pStyle w:val="16"/>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jc w:val="center"/>
        <w:rPr>
          <w:rFonts w:hint="eastAsia" w:ascii="宋体" w:hAnsi="宋体" w:eastAsia="宋体" w:cs="宋体"/>
          <w:b/>
          <w:bCs/>
          <w:sz w:val="24"/>
          <w:szCs w:val="18"/>
          <w:highlight w:val="none"/>
          <w:lang w:eastAsia="zh-CN"/>
        </w:rPr>
      </w:pPr>
      <w:r>
        <w:rPr>
          <w:rFonts w:hint="eastAsia" w:ascii="宋体" w:hAnsi="宋体" w:eastAsia="宋体" w:cs="宋体"/>
          <w:b/>
          <w:bCs/>
          <w:sz w:val="24"/>
          <w:szCs w:val="18"/>
          <w:highlight w:val="none"/>
          <w:lang w:eastAsia="zh-CN"/>
        </w:rPr>
        <w:t>合同详细内容由采购人与中标人签订确定。</w:t>
      </w:r>
    </w:p>
    <w:p>
      <w:pPr>
        <w:pStyle w:val="2"/>
        <w:pageBreakBefore w:val="0"/>
        <w:kinsoku/>
        <w:wordWrap/>
        <w:overflowPunct/>
        <w:topLinePunct w:val="0"/>
        <w:bidi w:val="0"/>
        <w:spacing w:beforeAutospacing="0" w:after="0" w:afterAutospacing="0" w:line="360" w:lineRule="auto"/>
        <w:ind w:left="0" w:leftChars="0" w:right="0" w:rightChars="0" w:firstLine="482"/>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合同主要条款和格式合同</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一、合同主要条款</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1、定义</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1.1甲方（需方）即采购人，是指通过磋商采购，接受合同货物及服务的各级国家机关、事业单位和团体组织。</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1.2乙方（供方）即成交供应商，是指成交后提供合同货物和服务的自然人、法人及其他组织。</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1.3合同是指由甲乙双方按照采购文件和响应文件的实质性内容，通过协商一致达成的书面协议。</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1.4合同价格指以成交价格为依据，在供方全面履行合同义务后，需方（或财政部门）应支付给供方的金额。</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2、服务内容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合同包括以下内容：服务项目名称、服务提供地点、服务期限、服务标准等内容。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3、合同价格</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3.1合同价格即合同总价。</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3.2合同价格包括人员工资、各类社保费用、税费、为保证服务质量所购买或租赁设备的费用等。</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4、转包或分包</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4.1本合同范围的服务内容，应由乙方直接供应，不得转让他人供应；</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4.2非经甲方书面同意，乙方不得将本合同范围的服务全部或部分分包给他人；</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4.3如有转让和未经甲方同意的分包行为，甲方有权解除合同，没收履约保证金并追究乙方的违约责任。</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5、服务质量保证</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5.1乙方应按采购文件规定的服务标准向甲方提供服务。</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5.2乙方提供的服务标准达不到采购文件规定者，除承担相应责任外，将按失信行为处置。</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6、付款</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6.1本合同使用货币币制如未作特别说明均为人民币。</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6.2付款方式：银行转账、现金支票。</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6.3付款方法：同本项目“第三篇 商务条款”中关于付款方式的约定。</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7、检查考核</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7.1按甲乙双方约定的考核办法监督检查。</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8、合同争议的解决</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8.1当事人友好协商达成一致</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8.2在60天内当事人协商不能达成协议的，可提请采购人当地仲裁机构仲裁。</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9、违约责任</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按《中华人民共和国民法典》、《中华人民共和国政府采购法》有关条款，或由供需双方约定。</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10、合同生效及其它</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10.1合同生效及其效力应符合《中华人民共和国民法典》有关规定。</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10.2合同应经当事人法定代表人或委托代理人签字，加盖双方合同专用章或公章。</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10.3合同所包括附件，是合同不可分割的一部分，具有同等法律效力。</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10.4合同需提供担保的，按《中华人民共和国担保法》规定执行。</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10.5本合同条件未尽事宜依照《中华人民共和国民法典》，由供需双方共同协商确定。</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sectPr>
          <w:headerReference r:id="rId6" w:type="default"/>
          <w:pgSz w:w="11907" w:h="16840"/>
          <w:pgMar w:top="1134" w:right="1191" w:bottom="1134" w:left="1304" w:header="964" w:footer="992" w:gutter="0"/>
          <w:pgNumType w:fmt="numberInDash"/>
          <w:cols w:space="720" w:num="1"/>
          <w:docGrid w:linePitch="312" w:charSpace="0"/>
        </w:sect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bookmarkStart w:id="0" w:name="_Toc9331742"/>
      <w:bookmarkStart w:id="1" w:name="_Toc490756175"/>
      <w:r>
        <w:rPr>
          <w:rFonts w:hint="eastAsia" w:ascii="宋体" w:hAnsi="宋体" w:eastAsia="宋体" w:cs="宋体"/>
          <w:sz w:val="24"/>
          <w:highlight w:val="none"/>
          <w:lang w:eastAsia="zh-CN"/>
        </w:rPr>
        <w:t>二、合同（格式）</w:t>
      </w:r>
      <w:bookmarkEnd w:id="0"/>
      <w:bookmarkEnd w:id="1"/>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　同　书</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tbl>
      <w:tblPr>
        <w:tblStyle w:val="21"/>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采购编号：</w:t>
            </w:r>
          </w:p>
        </w:tc>
      </w:tr>
      <w:tr>
        <w:tblPrEx>
          <w:tblCellMar>
            <w:top w:w="0" w:type="dxa"/>
            <w:left w:w="108" w:type="dxa"/>
            <w:bottom w:w="0" w:type="dxa"/>
            <w:right w:w="108" w:type="dxa"/>
          </w:tblCellMar>
        </w:tblPrEx>
        <w:trPr>
          <w:trHeight w:val="446" w:hRule="atLeast"/>
          <w:jc w:val="center"/>
        </w:trPr>
        <w:tc>
          <w:tcPr>
            <w:tcW w:w="5400" w:type="dxa"/>
          </w:tcPr>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tc>
      </w:tr>
      <w:tr>
        <w:tblPrEx>
          <w:tblCellMar>
            <w:top w:w="0" w:type="dxa"/>
            <w:left w:w="108" w:type="dxa"/>
            <w:bottom w:w="0" w:type="dxa"/>
            <w:right w:w="108" w:type="dxa"/>
          </w:tblCellMar>
        </w:tblPrEx>
        <w:trPr>
          <w:trHeight w:val="446" w:hRule="atLeast"/>
          <w:jc w:val="center"/>
        </w:trPr>
        <w:tc>
          <w:tcPr>
            <w:tcW w:w="5400" w:type="dxa"/>
          </w:tcPr>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项目名称：</w:t>
            </w:r>
          </w:p>
        </w:tc>
      </w:tr>
      <w:tr>
        <w:tblPrEx>
          <w:tblCellMar>
            <w:top w:w="0" w:type="dxa"/>
            <w:left w:w="108" w:type="dxa"/>
            <w:bottom w:w="0" w:type="dxa"/>
            <w:right w:w="108" w:type="dxa"/>
          </w:tblCellMar>
        </w:tblPrEx>
        <w:trPr>
          <w:trHeight w:val="460" w:hRule="atLeast"/>
          <w:jc w:val="center"/>
        </w:trPr>
        <w:tc>
          <w:tcPr>
            <w:tcW w:w="5400" w:type="dxa"/>
          </w:tcPr>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tc>
      </w:tr>
    </w:tbl>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注：本合同仅为合同的参考文本，合同签订双方可根据项目的具体要求进行修订。</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br w:type="page"/>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甲　　方：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电　　话：　　　　　　　　传　　真：　　　　　地　　址：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乙　　方：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电　　话：　　　　　　　　传　　真：　　　　　地　　址：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项目名称：　　　　　　　　　　　　　　　　　　　　　采购编号：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根据               项目的采购结果，按照《中华人民共和国政府采购法》、《中华人民共和国民法典》的规定，经双方协商，本着平等互利和诚实信用的原则，一致同意签订本合同如下。</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服务内容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XXXXXXXXXXXXXXXXXXXXXXXXXXXXXXXXXXXXXXXXXXXXXXXXXXXX</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合同金额为（大写）：_________________元（￥_______________元）人民币。</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服务要求及标准</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XXXXXXXXXXXXXXXXXXXXXXXXXXXXXXXXXXXXXXXXXXXXXXXXXXXX</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服务期限、服务地点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w:t>
      </w: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服务期限：</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服务地点：</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付款方式</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XXXXXXXXXXXXXXXXXXXXXXXXXXXXXXXXXXXXXXXXXXXXXXXXXXXX</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服务考核办法</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XXXXXXXXXXXXXXXXXXXXXXXXXXXXXXXXXXXXXXXXXXXXXXXXXXXX</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违约责任与赔偿损失</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1.XXXXXXXXXXXXXXXXXXXXXXXXXXXXXXXXXXXXXXXXXXXXXXXXXXXX</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其它违约责任按《中华人民共和国民法典》处理。</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争议的解决</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合同执行过程中发生的任何争议，如双方不能通过友好协商解决，按相关法律法规处理(合同双方一致同意提请当地仲裁委员会仲裁或向甲方所在地的人民法院提起诉讼)。</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不可抗力</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税费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在中国境内、外发生的与本合同执行有关的一切税费均由乙方负担。</w:t>
      </w:r>
    </w:p>
    <w:p>
      <w:pPr>
        <w:pStyle w:val="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其它</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1.本合同所有附件、采购文件、响应文件、成交通知书均为合同的有效组成部分，与本合同具有同等法律效力。</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2.在执行本合同的过程中，所有经双方签署确认的文件（包括会议纪要、补充协议、往来信函）即成为本合同的有效组成部分。</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3.如一方地址、电话、传真号码有变更，应在变更当日内书面通知对方，否则，应承担相应责任。</w:t>
      </w:r>
    </w:p>
    <w:p>
      <w:pPr>
        <w:pageBreakBefore w:val="0"/>
        <w:kinsoku/>
        <w:wordWrap/>
        <w:overflowPunct/>
        <w:topLinePunct w:val="0"/>
        <w:bidi w:val="0"/>
        <w:spacing w:beforeAutospacing="0" w:afterAutospacing="0" w:line="360" w:lineRule="auto"/>
        <w:ind w:left="0" w:leftChars="0" w:right="0" w:rightChars="0"/>
        <w:rPr>
          <w:rStyle w:val="29"/>
          <w:rFonts w:hint="eastAsia" w:ascii="宋体" w:hAnsi="宋体" w:eastAsia="宋体" w:cs="宋体"/>
          <w:sz w:val="32"/>
          <w:highlight w:val="none"/>
          <w:lang w:eastAsia="zh-CN"/>
        </w:rPr>
        <w:sectPr>
          <w:pgSz w:w="11910" w:h="16840"/>
          <w:pgMar w:top="1480" w:right="130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6"/>
          <w:highlight w:val="none"/>
          <w:lang w:eastAsia="zh-CN"/>
        </w:rPr>
      </w:pPr>
      <w:r>
        <w:rPr>
          <w:rStyle w:val="29"/>
          <w:rFonts w:hint="eastAsia" w:ascii="宋体" w:hAnsi="宋体" w:eastAsia="宋体" w:cs="宋体"/>
          <w:b/>
          <w:sz w:val="36"/>
          <w:highlight w:val="none"/>
          <w:lang w:eastAsia="zh-CN"/>
        </w:rPr>
        <w:t>第五部分附件</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sz w:val="30"/>
          <w:highlight w:val="none"/>
          <w:lang w:eastAsia="zh-CN"/>
        </w:rPr>
      </w:pPr>
      <w:r>
        <w:rPr>
          <w:rStyle w:val="29"/>
          <w:rFonts w:hint="eastAsia" w:ascii="宋体" w:hAnsi="宋体" w:eastAsia="宋体" w:cs="宋体"/>
          <w:sz w:val="30"/>
          <w:highlight w:val="none"/>
          <w:lang w:eastAsia="zh-CN"/>
        </w:rPr>
        <w:t>（响应文件制作格式，仅供参考）</w:t>
      </w: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b/>
          <w:sz w:val="36"/>
          <w:highlight w:val="none"/>
          <w:lang w:eastAsia="zh-CN"/>
        </w:rPr>
      </w:pPr>
    </w:p>
    <w:p>
      <w:pPr>
        <w:pageBreakBefore w:val="0"/>
        <w:kinsoku/>
        <w:wordWrap/>
        <w:overflowPunct/>
        <w:topLinePunct w:val="0"/>
        <w:bidi w:val="0"/>
        <w:spacing w:beforeAutospacing="0" w:afterAutospacing="0" w:line="360" w:lineRule="auto"/>
        <w:ind w:left="0" w:leftChars="0" w:right="0" w:rightChars="0"/>
        <w:jc w:val="center"/>
        <w:rPr>
          <w:rStyle w:val="29"/>
          <w:rFonts w:hint="eastAsia" w:ascii="宋体" w:hAnsi="宋体" w:eastAsia="宋体" w:cs="宋体"/>
          <w:sz w:val="36"/>
          <w:highlight w:val="none"/>
          <w:lang w:eastAsia="zh-CN"/>
        </w:rPr>
        <w:sectPr>
          <w:pgSz w:w="11910" w:h="16840"/>
          <w:pgMar w:top="1520" w:right="1680" w:bottom="1180" w:left="1680" w:header="0" w:footer="912" w:gutter="0"/>
          <w:cols w:space="720" w:num="1"/>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响应文件部分格式</w:t>
      </w:r>
    </w:p>
    <w:p>
      <w:pPr>
        <w:pStyle w:val="8"/>
        <w:pageBreakBefore w:val="0"/>
        <w:kinsoku/>
        <w:wordWrap/>
        <w:overflowPunct/>
        <w:topLinePunct w:val="0"/>
        <w:bidi w:val="0"/>
        <w:spacing w:before="0" w:beforeAutospacing="0" w:afterAutospacing="0" w:line="360" w:lineRule="auto"/>
        <w:ind w:left="0" w:leftChars="0" w:right="0" w:rightChars="0"/>
        <w:rPr>
          <w:rFonts w:hint="eastAsia" w:ascii="宋体" w:hAnsi="宋体" w:eastAsia="宋体" w:cs="宋体"/>
          <w:sz w:val="32"/>
          <w:szCs w:val="32"/>
          <w:highlight w:val="none"/>
        </w:rPr>
      </w:pPr>
      <w:r>
        <w:rPr>
          <w:rFonts w:hint="eastAsia" w:ascii="宋体" w:hAnsi="宋体" w:eastAsia="宋体" w:cs="宋体"/>
          <w:sz w:val="32"/>
          <w:szCs w:val="32"/>
          <w:highlight w:val="none"/>
        </w:rPr>
        <w:t>封面格式</w:t>
      </w:r>
    </w:p>
    <w:p>
      <w:pPr>
        <w:pStyle w:val="1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highlight w:val="none"/>
        </w:rPr>
      </w:pPr>
    </w:p>
    <w:p>
      <w:pPr>
        <w:pStyle w:val="1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highlight w:val="none"/>
        </w:rPr>
      </w:pPr>
    </w:p>
    <w:p>
      <w:pPr>
        <w:pStyle w:val="1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highlight w:val="none"/>
        </w:rPr>
      </w:pPr>
    </w:p>
    <w:p>
      <w:pPr>
        <w:pStyle w:val="1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highlight w:val="none"/>
        </w:rPr>
      </w:pPr>
    </w:p>
    <w:p>
      <w:pPr>
        <w:pageBreakBefore w:val="0"/>
        <w:kinsoku/>
        <w:wordWrap/>
        <w:overflowPunct/>
        <w:topLinePunct w:val="0"/>
        <w:bidi w:val="0"/>
        <w:spacing w:beforeAutospacing="0" w:afterAutospacing="0" w:line="360" w:lineRule="auto"/>
        <w:ind w:left="0" w:leftChars="0" w:right="0" w:rightChars="0"/>
        <w:jc w:val="center"/>
        <w:outlineLvl w:val="0"/>
        <w:rPr>
          <w:rFonts w:hint="eastAsia" w:ascii="宋体" w:hAnsi="宋体" w:eastAsia="宋体" w:cs="宋体"/>
          <w:b/>
          <w:sz w:val="32"/>
          <w:szCs w:val="32"/>
          <w:highlight w:val="none"/>
        </w:rPr>
      </w:pPr>
      <w:bookmarkStart w:id="2" w:name="_Toc13737"/>
      <w:bookmarkStart w:id="3" w:name="_Toc21522"/>
      <w:r>
        <w:rPr>
          <w:rFonts w:hint="eastAsia" w:ascii="宋体" w:hAnsi="宋体" w:eastAsia="宋体" w:cs="宋体"/>
          <w:b/>
          <w:sz w:val="32"/>
          <w:szCs w:val="32"/>
          <w:highlight w:val="none"/>
        </w:rPr>
        <w:t>投标文件</w:t>
      </w:r>
      <w:bookmarkEnd w:id="2"/>
      <w:bookmarkEnd w:id="3"/>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sz w:val="32"/>
          <w:szCs w:val="32"/>
          <w:highlight w:val="none"/>
        </w:rPr>
      </w:pPr>
    </w:p>
    <w:p>
      <w:pPr>
        <w:pStyle w:val="1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b/>
          <w:sz w:val="32"/>
          <w:szCs w:val="32"/>
          <w:highlight w:val="none"/>
        </w:rPr>
      </w:pPr>
    </w:p>
    <w:p>
      <w:pPr>
        <w:pStyle w:val="6"/>
        <w:pageBreakBefore w:val="0"/>
        <w:tabs>
          <w:tab w:val="left" w:pos="730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highlight w:val="none"/>
          <w:u w:val="none"/>
        </w:rPr>
      </w:pPr>
      <w:r>
        <w:rPr>
          <w:rFonts w:hint="eastAsia" w:ascii="宋体" w:hAnsi="宋体" w:eastAsia="宋体" w:cs="宋体"/>
          <w:sz w:val="32"/>
          <w:szCs w:val="32"/>
          <w:highlight w:val="none"/>
          <w:u w:val="none"/>
          <w:lang w:eastAsia="zh-CN"/>
        </w:rPr>
        <w:t>项目</w:t>
      </w:r>
      <w:r>
        <w:rPr>
          <w:rFonts w:hint="eastAsia" w:ascii="宋体" w:hAnsi="宋体" w:eastAsia="宋体" w:cs="宋体"/>
          <w:sz w:val="32"/>
          <w:szCs w:val="32"/>
          <w:highlight w:val="none"/>
          <w:u w:val="none"/>
        </w:rPr>
        <w:t>编号</w:t>
      </w:r>
      <w:r>
        <w:rPr>
          <w:rFonts w:hint="eastAsia" w:ascii="宋体" w:hAnsi="宋体" w:eastAsia="宋体" w:cs="宋体"/>
          <w:spacing w:val="3"/>
          <w:sz w:val="32"/>
          <w:szCs w:val="32"/>
          <w:highlight w:val="none"/>
          <w:u w:val="none"/>
        </w:rPr>
        <w:t>：</w:t>
      </w:r>
    </w:p>
    <w:p>
      <w:pPr>
        <w:pStyle w:val="6"/>
        <w:pageBreakBefore w:val="0"/>
        <w:tabs>
          <w:tab w:val="left" w:pos="853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highlight w:val="none"/>
          <w:u w:val="none"/>
        </w:rPr>
      </w:pPr>
      <w:r>
        <w:rPr>
          <w:rFonts w:hint="eastAsia" w:ascii="宋体" w:hAnsi="宋体" w:eastAsia="宋体" w:cs="宋体"/>
          <w:sz w:val="32"/>
          <w:szCs w:val="32"/>
          <w:highlight w:val="none"/>
          <w:u w:val="none"/>
        </w:rPr>
        <w:t>项目名称</w:t>
      </w:r>
      <w:r>
        <w:rPr>
          <w:rFonts w:hint="eastAsia" w:ascii="宋体" w:hAnsi="宋体" w:eastAsia="宋体" w:cs="宋体"/>
          <w:spacing w:val="3"/>
          <w:sz w:val="32"/>
          <w:szCs w:val="32"/>
          <w:highlight w:val="none"/>
          <w:u w:val="none"/>
        </w:rPr>
        <w:t>：</w:t>
      </w:r>
    </w:p>
    <w:p>
      <w:pPr>
        <w:pStyle w:val="6"/>
        <w:pageBreakBefore w:val="0"/>
        <w:tabs>
          <w:tab w:val="left" w:pos="7787"/>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highlight w:val="none"/>
          <w:u w:val="none"/>
        </w:rPr>
      </w:pPr>
      <w:r>
        <w:rPr>
          <w:rFonts w:hint="eastAsia" w:ascii="宋体" w:hAnsi="宋体" w:eastAsia="宋体" w:cs="宋体"/>
          <w:sz w:val="32"/>
          <w:szCs w:val="32"/>
          <w:highlight w:val="none"/>
          <w:u w:val="none"/>
          <w:lang w:eastAsia="zh-CN"/>
        </w:rPr>
        <w:t>供应商</w:t>
      </w:r>
      <w:r>
        <w:rPr>
          <w:rFonts w:hint="eastAsia" w:ascii="宋体" w:hAnsi="宋体" w:eastAsia="宋体" w:cs="宋体"/>
          <w:sz w:val="32"/>
          <w:szCs w:val="32"/>
          <w:highlight w:val="none"/>
          <w:u w:val="none"/>
        </w:rPr>
        <w:t>名称（</w:t>
      </w:r>
      <w:r>
        <w:rPr>
          <w:rFonts w:hint="eastAsia" w:ascii="宋体" w:hAnsi="宋体" w:eastAsia="宋体" w:cs="宋体"/>
          <w:sz w:val="32"/>
          <w:szCs w:val="32"/>
          <w:highlight w:val="none"/>
          <w:u w:val="none"/>
          <w:lang w:val="en-US" w:eastAsia="zh-CN"/>
        </w:rPr>
        <w:t>签章</w:t>
      </w:r>
      <w:r>
        <w:rPr>
          <w:rFonts w:hint="eastAsia" w:ascii="宋体" w:hAnsi="宋体" w:eastAsia="宋体" w:cs="宋体"/>
          <w:sz w:val="32"/>
          <w:szCs w:val="32"/>
          <w:highlight w:val="none"/>
          <w:u w:val="none"/>
        </w:rPr>
        <w:t>）</w:t>
      </w:r>
      <w:r>
        <w:rPr>
          <w:rFonts w:hint="eastAsia" w:ascii="宋体" w:hAnsi="宋体" w:eastAsia="宋体" w:cs="宋体"/>
          <w:spacing w:val="3"/>
          <w:sz w:val="32"/>
          <w:szCs w:val="32"/>
          <w:highlight w:val="none"/>
          <w:u w:val="none"/>
        </w:rPr>
        <w:t>：</w:t>
      </w:r>
    </w:p>
    <w:p>
      <w:pPr>
        <w:pStyle w:val="8"/>
        <w:pageBreakBefore w:val="0"/>
        <w:tabs>
          <w:tab w:val="left" w:pos="9453"/>
        </w:tabs>
        <w:kinsoku/>
        <w:wordWrap/>
        <w:overflowPunct/>
        <w:topLinePunct w:val="0"/>
        <w:bidi w:val="0"/>
        <w:adjustRightInd w:val="0"/>
        <w:snapToGrid w:val="0"/>
        <w:spacing w:before="0" w:beforeAutospacing="0" w:afterAutospacing="0" w:line="360" w:lineRule="auto"/>
        <w:ind w:left="0" w:leftChars="0" w:right="0" w:rightChars="0" w:firstLine="964" w:firstLineChars="300"/>
        <w:rPr>
          <w:rFonts w:hint="eastAsia" w:ascii="宋体" w:hAnsi="宋体" w:eastAsia="宋体" w:cs="宋体"/>
          <w:b/>
          <w:sz w:val="32"/>
          <w:szCs w:val="32"/>
          <w:highlight w:val="none"/>
          <w:lang w:val="en-US"/>
        </w:rPr>
      </w:pPr>
      <w:r>
        <w:rPr>
          <w:rFonts w:hint="eastAsia" w:ascii="宋体" w:hAnsi="宋体" w:eastAsia="宋体" w:cs="宋体"/>
          <w:b/>
          <w:sz w:val="32"/>
          <w:szCs w:val="32"/>
          <w:highlight w:val="none"/>
        </w:rPr>
        <w:t>法定代</w:t>
      </w:r>
      <w:r>
        <w:rPr>
          <w:rFonts w:hint="eastAsia" w:ascii="宋体" w:hAnsi="宋体" w:eastAsia="宋体" w:cs="宋体"/>
          <w:b/>
          <w:spacing w:val="-3"/>
          <w:sz w:val="32"/>
          <w:szCs w:val="32"/>
          <w:highlight w:val="none"/>
        </w:rPr>
        <w:t>表</w:t>
      </w:r>
      <w:r>
        <w:rPr>
          <w:rFonts w:hint="eastAsia" w:ascii="宋体" w:hAnsi="宋体" w:eastAsia="宋体" w:cs="宋体"/>
          <w:b/>
          <w:sz w:val="32"/>
          <w:szCs w:val="32"/>
          <w:highlight w:val="none"/>
        </w:rPr>
        <w:t>人或</w:t>
      </w:r>
      <w:r>
        <w:rPr>
          <w:rFonts w:hint="eastAsia" w:ascii="宋体" w:hAnsi="宋体" w:eastAsia="宋体" w:cs="宋体"/>
          <w:b/>
          <w:spacing w:val="-3"/>
          <w:sz w:val="32"/>
          <w:szCs w:val="32"/>
          <w:highlight w:val="none"/>
        </w:rPr>
        <w:t>其授</w:t>
      </w:r>
      <w:r>
        <w:rPr>
          <w:rFonts w:hint="eastAsia" w:ascii="宋体" w:hAnsi="宋体" w:eastAsia="宋体" w:cs="宋体"/>
          <w:b/>
          <w:sz w:val="32"/>
          <w:szCs w:val="32"/>
          <w:highlight w:val="none"/>
        </w:rPr>
        <w:t>权代表</w:t>
      </w:r>
      <w:r>
        <w:rPr>
          <w:rFonts w:hint="eastAsia" w:ascii="宋体" w:hAnsi="宋体" w:eastAsia="宋体" w:cs="宋体"/>
          <w:b/>
          <w:spacing w:val="-3"/>
          <w:sz w:val="32"/>
          <w:szCs w:val="32"/>
          <w:highlight w:val="none"/>
        </w:rPr>
        <w:t>签</w:t>
      </w:r>
      <w:r>
        <w:rPr>
          <w:rFonts w:hint="eastAsia" w:ascii="宋体" w:hAnsi="宋体" w:eastAsia="宋体" w:cs="宋体"/>
          <w:b/>
          <w:sz w:val="32"/>
          <w:szCs w:val="32"/>
          <w:highlight w:val="none"/>
        </w:rPr>
        <w:t>字（</w:t>
      </w:r>
      <w:r>
        <w:rPr>
          <w:rFonts w:hint="eastAsia" w:ascii="宋体" w:hAnsi="宋体" w:eastAsia="宋体" w:cs="宋体"/>
          <w:b/>
          <w:spacing w:val="-3"/>
          <w:sz w:val="32"/>
          <w:szCs w:val="32"/>
          <w:highlight w:val="none"/>
          <w:lang w:val="en-US" w:eastAsia="zh-CN"/>
        </w:rPr>
        <w:t>电子签名</w:t>
      </w:r>
      <w:r>
        <w:rPr>
          <w:rFonts w:hint="eastAsia" w:ascii="宋体" w:hAnsi="宋体" w:eastAsia="宋体" w:cs="宋体"/>
          <w:b/>
          <w:sz w:val="32"/>
          <w:szCs w:val="32"/>
          <w:highlight w:val="none"/>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sz w:val="32"/>
          <w:szCs w:val="32"/>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30"/>
          <w:szCs w:val="30"/>
          <w:highlight w:val="none"/>
          <w:lang w:eastAsia="zh-CN"/>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sz w:val="30"/>
          <w:szCs w:val="30"/>
          <w:highlight w:val="none"/>
          <w:lang w:eastAsia="zh-CN"/>
        </w:rPr>
        <w:br w:type="page"/>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目录</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（1）投标函（附件一）；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（2）报价一览表（附件二）；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（3）法定代表人身份证明书（附件三）；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（4）法定代表人授权委托书（附件四）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lang w:eastAsia="zh-CN"/>
        </w:rPr>
        <w:t>综合情况一览表（附件五）</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（6）近三年类似项目业绩一览表（附件六）；</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（7）商务条款偏离表（附件七）；</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（8）技术规格偏离表（附件八）；</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szCs w:val="24"/>
          <w:highlight w:val="none"/>
          <w:lang w:eastAsia="zh-CN"/>
        </w:rPr>
      </w:pPr>
      <w:r>
        <w:rPr>
          <w:rFonts w:hint="eastAsia" w:ascii="宋体" w:hAnsi="宋体" w:eastAsia="宋体" w:cs="宋体"/>
          <w:sz w:val="24"/>
          <w:highlight w:val="none"/>
          <w:lang w:eastAsia="zh-CN"/>
        </w:rPr>
        <w:t>（9）</w:t>
      </w:r>
      <w:r>
        <w:rPr>
          <w:rFonts w:hint="eastAsia" w:ascii="宋体" w:hAnsi="宋体" w:eastAsia="宋体" w:cs="宋体"/>
          <w:sz w:val="24"/>
          <w:szCs w:val="24"/>
          <w:highlight w:val="none"/>
          <w:lang w:eastAsia="zh-CN"/>
        </w:rPr>
        <w:t>组织机构及人员配备情况表；</w:t>
      </w:r>
      <w:r>
        <w:rPr>
          <w:rFonts w:hint="eastAsia" w:ascii="宋体" w:hAnsi="宋体" w:eastAsia="宋体" w:cs="宋体"/>
          <w:sz w:val="24"/>
          <w:highlight w:val="none"/>
          <w:lang w:eastAsia="zh-CN"/>
        </w:rPr>
        <w:t>（附件九）</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（10）诚信磋商供应商承诺书；</w:t>
      </w:r>
      <w:r>
        <w:rPr>
          <w:rFonts w:hint="eastAsia" w:ascii="宋体" w:hAnsi="宋体" w:eastAsia="宋体" w:cs="宋体"/>
          <w:sz w:val="24"/>
          <w:highlight w:val="none"/>
          <w:lang w:eastAsia="zh-CN"/>
        </w:rPr>
        <w:t>（附件十）</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（11）反商业贿赂承诺书；</w:t>
      </w:r>
      <w:r>
        <w:rPr>
          <w:rFonts w:hint="eastAsia" w:ascii="宋体" w:hAnsi="宋体" w:eastAsia="宋体" w:cs="宋体"/>
          <w:sz w:val="24"/>
          <w:highlight w:val="none"/>
          <w:lang w:eastAsia="zh-CN"/>
        </w:rPr>
        <w:t>（附件十一）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highlight w:val="none"/>
          <w:lang w:eastAsia="zh-CN"/>
        </w:rPr>
      </w:pPr>
      <w:r>
        <w:rPr>
          <w:rFonts w:hint="eastAsia" w:ascii="宋体" w:hAnsi="宋体" w:eastAsia="宋体" w:cs="宋体"/>
          <w:sz w:val="24"/>
          <w:szCs w:val="24"/>
          <w:highlight w:val="none"/>
          <w:lang w:eastAsia="zh-CN"/>
        </w:rPr>
        <w:t>（12）项目技术服务方案；</w:t>
      </w:r>
      <w:r>
        <w:rPr>
          <w:rFonts w:hint="eastAsia" w:ascii="宋体" w:hAnsi="宋体" w:eastAsia="宋体" w:cs="宋体"/>
          <w:sz w:val="24"/>
          <w:highlight w:val="none"/>
          <w:lang w:eastAsia="zh-CN"/>
        </w:rPr>
        <w:t>（附件十二）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（13）商务、技术标要求的内容资料；</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r>
        <w:rPr>
          <w:rFonts w:hint="eastAsia" w:ascii="宋体" w:hAnsi="宋体" w:eastAsia="宋体" w:cs="宋体"/>
          <w:sz w:val="24"/>
          <w:highlight w:val="none"/>
          <w:lang w:eastAsia="zh-CN"/>
        </w:rPr>
        <w:t>（14）投标人认为有必要提供的其它材料。</w:t>
      </w:r>
      <w:r>
        <w:rPr>
          <w:rFonts w:hint="eastAsia" w:ascii="宋体" w:hAnsi="宋体" w:eastAsia="宋体" w:cs="宋体"/>
          <w:b/>
          <w:sz w:val="30"/>
          <w:szCs w:val="30"/>
          <w:highlight w:val="none"/>
          <w:lang w:eastAsia="zh-CN"/>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t>附件一</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投标函</w:t>
      </w: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致：</w:t>
      </w:r>
      <w:r>
        <w:rPr>
          <w:rFonts w:hint="eastAsia" w:ascii="宋体" w:hAnsi="宋体" w:eastAsia="宋体" w:cs="宋体"/>
          <w:sz w:val="24"/>
          <w:highlight w:val="none"/>
          <w:u w:val="single"/>
          <w:lang w:eastAsia="zh-CN"/>
        </w:rPr>
        <w:t>（采购人）</w:t>
      </w:r>
      <w:r>
        <w:rPr>
          <w:rFonts w:hint="eastAsia" w:ascii="宋体" w:hAnsi="宋体" w:eastAsia="宋体" w:cs="宋体"/>
          <w:sz w:val="24"/>
          <w:highlight w:val="none"/>
          <w:lang w:eastAsia="zh-CN"/>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经研究，我们决定参加项目名称：</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，项目编号：</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的招投标活动，为此，我方正式授权</w:t>
      </w:r>
      <w:r>
        <w:rPr>
          <w:rFonts w:hint="eastAsia" w:ascii="宋体" w:hAnsi="宋体" w:eastAsia="宋体" w:cs="宋体"/>
          <w:sz w:val="24"/>
          <w:highlight w:val="none"/>
          <w:u w:val="single"/>
          <w:lang w:eastAsia="zh-CN"/>
        </w:rPr>
        <w:t>（委托代理人）</w:t>
      </w:r>
      <w:r>
        <w:rPr>
          <w:rFonts w:hint="eastAsia" w:ascii="宋体" w:hAnsi="宋体" w:eastAsia="宋体" w:cs="宋体"/>
          <w:sz w:val="24"/>
          <w:highlight w:val="none"/>
          <w:lang w:eastAsia="zh-CN"/>
        </w:rPr>
        <w:t>代表我公司签署投标文件，郑重声明以下诸点，并负法律责任。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一、如果我方的投标文件被接受，我方将履行招标文件中规定的每项要求，并按我方投标文件中的承诺按期、按质、按量履约；</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二、我方理解，最低报价不是中标的唯一条件，你们有选择投标人的权利；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三、我方愿按《中华人民共和国民法典》及其他有关法律、法规的规定，自觉履行自己的全部责任；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四、我方同意按招标文件的规定交纳投标保证金、中标服务费，遵守贵方有关投标的各项规定；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六、我方的投标文件有效期为</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日历天。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firstLine="440" w:firstLineChars="200"/>
        <w:rPr>
          <w:rFonts w:hint="eastAsia" w:ascii="宋体" w:hAnsi="宋体" w:eastAsia="宋体" w:cs="宋体"/>
          <w:sz w:val="24"/>
          <w:highlight w:val="none"/>
          <w:lang w:eastAsia="zh-CN"/>
        </w:rPr>
      </w:pPr>
      <w:r>
        <w:rPr>
          <w:rFonts w:hint="eastAsia" w:ascii="宋体" w:hAnsi="宋体" w:eastAsia="宋体" w:cs="宋体"/>
          <w:highlight w:val="none"/>
        </w:rPr>
        <w:t>供应商单位</w:t>
      </w:r>
      <w:r>
        <w:rPr>
          <w:rFonts w:hint="eastAsia" w:ascii="宋体" w:hAnsi="宋体" w:eastAsia="宋体" w:cs="宋体"/>
          <w:sz w:val="24"/>
          <w:highlight w:val="none"/>
          <w:lang w:eastAsia="zh-CN"/>
        </w:rPr>
        <w:t>（</w:t>
      </w:r>
      <w:r>
        <w:rPr>
          <w:rFonts w:hint="eastAsia" w:ascii="宋体" w:hAnsi="宋体" w:eastAsia="宋体" w:cs="宋体"/>
          <w:sz w:val="24"/>
          <w:szCs w:val="24"/>
          <w:highlight w:val="none"/>
          <w:lang w:val="en-US" w:eastAsia="zh-CN"/>
        </w:rPr>
        <w:t>签章</w:t>
      </w:r>
      <w:r>
        <w:rPr>
          <w:rFonts w:hint="eastAsia" w:ascii="宋体" w:hAnsi="宋体" w:eastAsia="宋体" w:cs="宋体"/>
          <w:sz w:val="24"/>
          <w:highlight w:val="none"/>
          <w:lang w:eastAsia="zh-CN"/>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p>
    <w:p>
      <w:pPr>
        <w:pStyle w:val="2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highlight w:val="none"/>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t>附件二</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报价一览表</w:t>
      </w:r>
    </w:p>
    <w:tbl>
      <w:tblPr>
        <w:tblStyle w:val="21"/>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称</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项目编号</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tc>
        <w:tc>
          <w:tcPr>
            <w:tcW w:w="2551" w:type="dxa"/>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rPr>
            </w:pPr>
          </w:p>
        </w:tc>
        <w:tc>
          <w:tcPr>
            <w:tcW w:w="15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515" w:type="dxa"/>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法人授权代表</w:t>
            </w:r>
          </w:p>
        </w:tc>
        <w:tc>
          <w:tcPr>
            <w:tcW w:w="2551"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rPr>
            </w:pPr>
          </w:p>
        </w:tc>
        <w:tc>
          <w:tcPr>
            <w:tcW w:w="1560"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515"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投标总价</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￥：（元）</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rPr>
            </w:pPr>
          </w:p>
        </w:tc>
      </w:tr>
    </w:tbl>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highlight w:val="none"/>
        </w:rPr>
        <w:t>供应商单位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w:t>
      </w:r>
      <w:r>
        <w:rPr>
          <w:rFonts w:hint="eastAsia" w:ascii="宋体" w:hAnsi="宋体" w:eastAsia="宋体" w:cs="宋体"/>
          <w:sz w:val="24"/>
          <w:highlight w:val="none"/>
          <w:lang w:eastAsia="zh-CN"/>
        </w:rPr>
        <w:t>（电子签名或签章）</w:t>
      </w:r>
      <w:r>
        <w:rPr>
          <w:rFonts w:hint="eastAsia" w:ascii="宋体" w:hAnsi="宋体" w:eastAsia="宋体" w:cs="宋体"/>
          <w:sz w:val="24"/>
          <w:szCs w:val="24"/>
          <w:highlight w:val="none"/>
          <w:lang w:eastAsia="zh-CN"/>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highlight w:val="none"/>
          <w:lang w:eastAsia="zh-CN"/>
        </w:rPr>
      </w:pPr>
      <w:r>
        <w:rPr>
          <w:rFonts w:hint="eastAsia" w:ascii="宋体" w:hAnsi="宋体" w:eastAsia="宋体" w:cs="宋体"/>
          <w:sz w:val="24"/>
          <w:highlight w:val="none"/>
          <w:lang w:eastAsia="zh-CN"/>
        </w:rPr>
        <w:t>法人授权代表（电子签名或签章）</w:t>
      </w:r>
      <w:r>
        <w:rPr>
          <w:rFonts w:hint="eastAsia" w:ascii="宋体" w:hAnsi="宋体" w:eastAsia="宋体" w:cs="宋体"/>
          <w:sz w:val="24"/>
          <w:szCs w:val="24"/>
          <w:highlight w:val="none"/>
          <w:lang w:eastAsia="zh-CN"/>
        </w:rPr>
        <w:t>：</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注：</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1.投标货币为人民币；</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outlineLvl w:val="0"/>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2.投标总价需包括磋商文件中采购内容及参数要求涉及的所有内容；</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3.报价一览表中须填写内容严格按照招标文件中文字表述方式填写，否则按不响应招标文件内容处理。</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28"/>
          <w:szCs w:val="28"/>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p>
    <w:p>
      <w:pPr>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t>附件三</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法定代表人身份证明书</w:t>
      </w: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highlight w:val="none"/>
          <w:lang w:eastAsia="zh-CN"/>
        </w:rPr>
      </w:pP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highlight w:val="none"/>
          <w:u w:val="single"/>
          <w:lang w:eastAsia="zh-CN"/>
        </w:rPr>
      </w:pPr>
      <w:r>
        <w:rPr>
          <w:rFonts w:hint="eastAsia" w:ascii="宋体" w:hAnsi="宋体" w:eastAsia="宋体" w:cs="宋体"/>
          <w:sz w:val="24"/>
          <w:highlight w:val="none"/>
          <w:lang w:eastAsia="zh-CN"/>
        </w:rPr>
        <w:t>供应商名称：</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地址：</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姓名：性别：</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highlight w:val="none"/>
          <w:u w:val="single"/>
          <w:lang w:eastAsia="zh-CN"/>
        </w:rPr>
      </w:pPr>
      <w:r>
        <w:rPr>
          <w:rFonts w:hint="eastAsia" w:ascii="宋体" w:hAnsi="宋体" w:eastAsia="宋体" w:cs="宋体"/>
          <w:sz w:val="24"/>
          <w:highlight w:val="none"/>
          <w:lang w:eastAsia="zh-CN"/>
        </w:rPr>
        <w:t>年龄：职务：</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系</w:t>
      </w:r>
      <w:r>
        <w:rPr>
          <w:rFonts w:hint="eastAsia" w:ascii="宋体" w:hAnsi="宋体" w:eastAsia="宋体" w:cs="宋体"/>
          <w:sz w:val="24"/>
          <w:highlight w:val="none"/>
          <w:u w:val="single"/>
          <w:lang w:eastAsia="zh-CN"/>
        </w:rPr>
        <w:t>（投标人名称）</w:t>
      </w:r>
      <w:r>
        <w:rPr>
          <w:rFonts w:hint="eastAsia" w:ascii="宋体" w:hAnsi="宋体" w:eastAsia="宋体" w:cs="宋体"/>
          <w:sz w:val="24"/>
          <w:highlight w:val="none"/>
          <w:lang w:eastAsia="zh-CN"/>
        </w:rPr>
        <w:t>的法定代表人。</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特此证明。</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附：法定代表人身份证复印件（正反面）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firstLine="4400" w:firstLineChars="2000"/>
        <w:rPr>
          <w:rFonts w:hint="eastAsia" w:ascii="宋体" w:hAnsi="宋体" w:eastAsia="宋体" w:cs="宋体"/>
          <w:sz w:val="24"/>
          <w:highlight w:val="none"/>
          <w:lang w:eastAsia="zh-CN"/>
        </w:rPr>
      </w:pPr>
      <w:r>
        <w:rPr>
          <w:rFonts w:hint="eastAsia" w:ascii="宋体" w:hAnsi="宋体" w:eastAsia="宋体" w:cs="宋体"/>
          <w:highlight w:val="none"/>
        </w:rPr>
        <w:t>供应商单位</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签章</w:t>
      </w:r>
      <w:r>
        <w:rPr>
          <w:rFonts w:hint="eastAsia" w:ascii="宋体" w:hAnsi="宋体" w:eastAsia="宋体" w:cs="宋体"/>
          <w:sz w:val="24"/>
          <w:highlight w:val="none"/>
          <w:lang w:eastAsia="zh-CN"/>
        </w:rPr>
        <w:t>）：</w:t>
      </w:r>
    </w:p>
    <w:p>
      <w:pPr>
        <w:pageBreakBefore w:val="0"/>
        <w:kinsoku/>
        <w:wordWrap/>
        <w:overflowPunct/>
        <w:topLinePunct w:val="0"/>
        <w:bidi w:val="0"/>
        <w:spacing w:beforeAutospacing="0" w:afterAutospacing="0" w:line="360" w:lineRule="auto"/>
        <w:ind w:left="0" w:leftChars="0" w:right="0" w:rightChars="0" w:firstLine="4800" w:firstLineChars="20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日期：</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highlight w:val="none"/>
          <w:u w:val="singl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highlight w:val="none"/>
          <w:u w:val="single"/>
          <w:lang w:eastAsia="zh-CN"/>
        </w:rPr>
      </w:pPr>
    </w:p>
    <w:p>
      <w:pPr>
        <w:pageBreakBefore w:val="0"/>
        <w:kinsoku/>
        <w:wordWrap/>
        <w:overflowPunct/>
        <w:topLinePunct w:val="0"/>
        <w:bidi w:val="0"/>
        <w:spacing w:beforeAutospacing="0" w:afterAutospacing="0" w:line="360" w:lineRule="auto"/>
        <w:ind w:left="0" w:leftChars="0" w:right="0" w:rightChars="0" w:firstLine="4730" w:firstLineChars="2150"/>
        <w:rPr>
          <w:rFonts w:hint="eastAsia" w:ascii="宋体" w:hAnsi="宋体" w:eastAsia="宋体" w:cs="宋体"/>
          <w:highlight w:val="none"/>
          <w:u w:val="single"/>
          <w:lang w:eastAsia="zh-CN"/>
        </w:rPr>
      </w:pPr>
    </w:p>
    <w:p>
      <w:pPr>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t>附件四</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法定代表人授权委托书</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2"/>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致：</w:t>
      </w:r>
      <w:r>
        <w:rPr>
          <w:rFonts w:hint="eastAsia" w:ascii="宋体" w:hAnsi="宋体" w:eastAsia="宋体" w:cs="宋体"/>
          <w:sz w:val="24"/>
          <w:highlight w:val="none"/>
          <w:u w:val="single"/>
          <w:lang w:eastAsia="zh-CN"/>
        </w:rPr>
        <w:t>（采购人）</w:t>
      </w:r>
      <w:r>
        <w:rPr>
          <w:rFonts w:hint="eastAsia" w:ascii="宋体" w:hAnsi="宋体" w:eastAsia="宋体" w:cs="宋体"/>
          <w:sz w:val="24"/>
          <w:highlight w:val="none"/>
          <w:lang w:eastAsia="zh-CN"/>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u w:val="single"/>
          <w:lang w:eastAsia="zh-CN"/>
        </w:rPr>
        <w:t>（单位名称）</w:t>
      </w:r>
      <w:r>
        <w:rPr>
          <w:rFonts w:hint="eastAsia" w:ascii="宋体" w:hAnsi="宋体" w:eastAsia="宋体" w:cs="宋体"/>
          <w:sz w:val="24"/>
          <w:highlight w:val="none"/>
          <w:lang w:eastAsia="zh-CN"/>
        </w:rPr>
        <w:t>法定代表人授权我单位</w:t>
      </w:r>
      <w:r>
        <w:rPr>
          <w:rFonts w:hint="eastAsia" w:ascii="宋体" w:hAnsi="宋体" w:eastAsia="宋体" w:cs="宋体"/>
          <w:sz w:val="24"/>
          <w:highlight w:val="none"/>
          <w:u w:val="single"/>
          <w:lang w:eastAsia="zh-CN"/>
        </w:rPr>
        <w:t>（职务或职称）（姓名）</w:t>
      </w:r>
      <w:r>
        <w:rPr>
          <w:rFonts w:hint="eastAsia" w:ascii="宋体" w:hAnsi="宋体" w:eastAsia="宋体" w:cs="宋体"/>
          <w:sz w:val="24"/>
          <w:highlight w:val="none"/>
          <w:lang w:eastAsia="zh-CN"/>
        </w:rPr>
        <w:t>为我单位本次授权代理人，全权处理</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项目</w:t>
      </w:r>
      <w:r>
        <w:rPr>
          <w:rFonts w:hint="eastAsia" w:ascii="宋体" w:hAnsi="宋体" w:eastAsia="宋体" w:cs="宋体"/>
          <w:kern w:val="10"/>
          <w:sz w:val="24"/>
          <w:highlight w:val="none"/>
          <w:lang w:eastAsia="zh-CN"/>
        </w:rPr>
        <w:t>投标</w:t>
      </w:r>
      <w:r>
        <w:rPr>
          <w:rFonts w:hint="eastAsia" w:ascii="宋体" w:hAnsi="宋体" w:eastAsia="宋体" w:cs="宋体"/>
          <w:sz w:val="24"/>
          <w:highlight w:val="none"/>
          <w:lang w:eastAsia="zh-CN"/>
        </w:rPr>
        <w:t>活动的一切事宜。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委托期限：____________________。</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（附法定代表人、授权代理人身份证明复印件）正反面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firstLine="440" w:firstLineChars="200"/>
        <w:rPr>
          <w:rFonts w:hint="eastAsia" w:ascii="宋体" w:hAnsi="宋体" w:eastAsia="宋体" w:cs="宋体"/>
          <w:sz w:val="24"/>
          <w:highlight w:val="none"/>
          <w:lang w:eastAsia="zh-CN"/>
        </w:rPr>
      </w:pPr>
      <w:r>
        <w:rPr>
          <w:rFonts w:hint="eastAsia" w:ascii="宋体" w:hAnsi="宋体" w:eastAsia="宋体" w:cs="宋体"/>
          <w:highlight w:val="none"/>
        </w:rPr>
        <w:t>供应商单位</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签章</w:t>
      </w:r>
      <w:r>
        <w:rPr>
          <w:rFonts w:hint="eastAsia" w:ascii="宋体" w:hAnsi="宋体" w:eastAsia="宋体" w:cs="宋体"/>
          <w:sz w:val="24"/>
          <w:highlight w:val="none"/>
          <w:lang w:eastAsia="zh-CN"/>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sectPr>
          <w:pgSz w:w="11906" w:h="16838"/>
          <w:pgMar w:top="1440" w:right="1417" w:bottom="1440" w:left="1417" w:header="851" w:footer="992" w:gutter="0"/>
          <w:cols w:space="720" w:num="1"/>
          <w:docGrid w:type="lines" w:linePitch="312" w:charSpace="0"/>
        </w:sect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highlight w:val="none"/>
          <w:lang w:eastAsia="zh-CN"/>
        </w:rPr>
      </w:pPr>
      <w:r>
        <w:rPr>
          <w:rFonts w:hint="eastAsia" w:ascii="宋体" w:hAnsi="宋体" w:eastAsia="宋体" w:cs="宋体"/>
          <w:highlight w:val="none"/>
          <w:lang w:eastAsia="zh-CN"/>
        </w:rPr>
        <w:t>附件五</w:t>
      </w:r>
    </w:p>
    <w:p>
      <w:pPr>
        <w:pStyle w:val="7"/>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投标人</w:t>
      </w:r>
      <w:r>
        <w:rPr>
          <w:rFonts w:hint="eastAsia" w:ascii="宋体" w:hAnsi="宋体" w:eastAsia="宋体" w:cs="宋体"/>
          <w:highlight w:val="none"/>
          <w:lang w:eastAsia="zh-CN"/>
        </w:rPr>
        <w:t>综合情况一览表</w:t>
      </w:r>
    </w:p>
    <w:tbl>
      <w:tblPr>
        <w:tblStyle w:val="21"/>
        <w:tblW w:w="101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95"/>
        <w:gridCol w:w="1274"/>
        <w:gridCol w:w="2143"/>
        <w:gridCol w:w="846"/>
        <w:gridCol w:w="121"/>
        <w:gridCol w:w="520"/>
        <w:gridCol w:w="1102"/>
        <w:gridCol w:w="401"/>
        <w:gridCol w:w="856"/>
        <w:gridCol w:w="2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1" w:hRule="atLeast"/>
          <w:jc w:val="center"/>
        </w:trPr>
        <w:tc>
          <w:tcPr>
            <w:tcW w:w="2695" w:type="dxa"/>
            <w:tcBorders>
              <w:bottom w:val="single" w:color="000000" w:sz="6" w:space="0"/>
              <w:right w:val="single" w:color="000000" w:sz="6" w:space="0"/>
            </w:tcBorders>
            <w:vAlign w:val="center"/>
          </w:tcPr>
          <w:p>
            <w:pPr>
              <w:pStyle w:val="51"/>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w:t>
            </w:r>
          </w:p>
        </w:tc>
        <w:tc>
          <w:tcPr>
            <w:tcW w:w="7484" w:type="dxa"/>
            <w:gridSpan w:val="9"/>
            <w:tcBorders>
              <w:left w:val="single" w:color="000000" w:sz="6" w:space="0"/>
              <w:bottom w:val="single" w:color="000000" w:sz="6" w:space="0"/>
            </w:tcBorders>
            <w:vAlign w:val="center"/>
          </w:tcPr>
          <w:p>
            <w:pPr>
              <w:pStyle w:val="51"/>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4384" w:type="dxa"/>
            <w:gridSpan w:val="4"/>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78" w:type="dxa"/>
            <w:gridSpan w:val="3"/>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jc w:val="center"/>
        </w:trPr>
        <w:tc>
          <w:tcPr>
            <w:tcW w:w="2695" w:type="dxa"/>
            <w:vMerge w:val="restart"/>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274" w:type="dxa"/>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478" w:type="dxa"/>
            <w:gridSpan w:val="3"/>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vMerge w:val="continue"/>
            <w:tcBorders>
              <w:top w:val="nil"/>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1274" w:type="dxa"/>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邮箱</w:t>
            </w:r>
          </w:p>
        </w:tc>
        <w:tc>
          <w:tcPr>
            <w:tcW w:w="1478" w:type="dxa"/>
            <w:gridSpan w:val="3"/>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7484" w:type="dxa"/>
            <w:gridSpan w:val="9"/>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4"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简介</w:t>
            </w:r>
          </w:p>
        </w:tc>
        <w:tc>
          <w:tcPr>
            <w:tcW w:w="7484" w:type="dxa"/>
            <w:gridSpan w:val="9"/>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包括但不限于：企业经营范围、发展历程、经营业绩、获奖情况、</w:t>
            </w:r>
            <w:r>
              <w:rPr>
                <w:rFonts w:hint="eastAsia" w:ascii="宋体" w:hAnsi="宋体" w:eastAsia="宋体" w:cs="宋体"/>
                <w:sz w:val="24"/>
                <w:szCs w:val="24"/>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274" w:type="dxa"/>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856" w:type="dxa"/>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21" w:type="dxa"/>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1274" w:type="dxa"/>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856" w:type="dxa"/>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21" w:type="dxa"/>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4067" w:type="dxa"/>
            <w:gridSpan w:val="7"/>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企业资质等级</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846" w:type="dxa"/>
            <w:vMerge w:val="restart"/>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4"/>
                <w:szCs w:val="24"/>
                <w:highlight w:val="none"/>
              </w:rPr>
            </w:pPr>
          </w:p>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4"/>
                <w:szCs w:val="24"/>
                <w:highlight w:val="none"/>
              </w:rPr>
            </w:pPr>
          </w:p>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4"/>
                <w:szCs w:val="24"/>
                <w:highlight w:val="none"/>
              </w:rPr>
            </w:pPr>
          </w:p>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4"/>
                <w:szCs w:val="24"/>
                <w:highlight w:val="none"/>
              </w:rPr>
            </w:pPr>
          </w:p>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tc>
        <w:tc>
          <w:tcPr>
            <w:tcW w:w="2144" w:type="dxa"/>
            <w:gridSpan w:val="4"/>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1077" w:type="dxa"/>
            <w:gridSpan w:val="2"/>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1077" w:type="dxa"/>
            <w:gridSpan w:val="2"/>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初级职称人员</w:t>
            </w:r>
          </w:p>
        </w:tc>
        <w:tc>
          <w:tcPr>
            <w:tcW w:w="1077" w:type="dxa"/>
            <w:gridSpan w:val="2"/>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1077" w:type="dxa"/>
            <w:gridSpan w:val="2"/>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jc w:val="center"/>
        </w:trPr>
        <w:tc>
          <w:tcPr>
            <w:tcW w:w="2695" w:type="dxa"/>
            <w:tcBorders>
              <w:top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c>
          <w:tcPr>
            <w:tcW w:w="1077" w:type="dxa"/>
            <w:gridSpan w:val="2"/>
            <w:tcBorders>
              <w:top w:val="single" w:color="000000" w:sz="6" w:space="0"/>
              <w:left w:val="single" w:color="000000" w:sz="6" w:space="0"/>
              <w:bottom w:val="single" w:color="000000" w:sz="6" w:space="0"/>
            </w:tcBorders>
          </w:tcPr>
          <w:p>
            <w:pPr>
              <w:pStyle w:val="5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rPr>
            </w:pPr>
          </w:p>
        </w:tc>
      </w:tr>
    </w:tbl>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 w:val="0"/>
          <w:bCs w:val="0"/>
          <w:sz w:val="24"/>
          <w:szCs w:val="24"/>
          <w:highlight w:val="none"/>
          <w:lang w:val="en-US" w:eastAsia="zh-CN" w:bidi="ar-SA"/>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val="0"/>
          <w:bCs w:val="0"/>
          <w:sz w:val="24"/>
          <w:szCs w:val="24"/>
          <w:highlight w:val="none"/>
          <w:lang w:val="en-US" w:eastAsia="zh-CN" w:bidi="ar-SA"/>
        </w:rPr>
        <w:t>后附：营业执照等资质证书</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32"/>
          <w:szCs w:val="32"/>
          <w:highlight w:val="none"/>
          <w:u w:val="single"/>
          <w:lang w:eastAsia="zh-CN"/>
        </w:rPr>
      </w:pPr>
      <w:r>
        <w:rPr>
          <w:rFonts w:hint="eastAsia" w:ascii="宋体" w:hAnsi="宋体" w:eastAsia="宋体" w:cs="宋体"/>
          <w:b/>
          <w:sz w:val="30"/>
          <w:szCs w:val="30"/>
          <w:highlight w:val="none"/>
          <w:lang w:eastAsia="zh-CN"/>
        </w:rPr>
        <w:t>附件六</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bCs/>
          <w:sz w:val="28"/>
          <w:szCs w:val="28"/>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32"/>
          <w:szCs w:val="32"/>
          <w:highlight w:val="none"/>
          <w:lang w:eastAsia="zh-CN"/>
        </w:rPr>
      </w:pPr>
      <w:r>
        <w:rPr>
          <w:rFonts w:hint="eastAsia" w:ascii="宋体" w:hAnsi="宋体" w:eastAsia="宋体" w:cs="宋体"/>
          <w:b/>
          <w:bCs/>
          <w:sz w:val="28"/>
          <w:szCs w:val="28"/>
          <w:highlight w:val="none"/>
          <w:lang w:eastAsia="zh-CN"/>
        </w:rPr>
        <w:t>近三年（20</w:t>
      </w:r>
      <w:r>
        <w:rPr>
          <w:rFonts w:hint="eastAsia" w:ascii="宋体" w:hAnsi="宋体" w:eastAsia="宋体" w:cs="宋体"/>
          <w:b/>
          <w:bCs/>
          <w:sz w:val="28"/>
          <w:szCs w:val="28"/>
          <w:highlight w:val="none"/>
          <w:lang w:val="en-US" w:eastAsia="zh-CN"/>
        </w:rPr>
        <w:t>20</w:t>
      </w:r>
      <w:r>
        <w:rPr>
          <w:rFonts w:hint="eastAsia" w:ascii="宋体" w:hAnsi="宋体" w:eastAsia="宋体" w:cs="宋体"/>
          <w:b/>
          <w:bCs/>
          <w:sz w:val="28"/>
          <w:szCs w:val="28"/>
          <w:highlight w:val="none"/>
          <w:lang w:eastAsia="zh-CN"/>
        </w:rPr>
        <w:t>年</w:t>
      </w:r>
      <w:r>
        <w:rPr>
          <w:rFonts w:hint="eastAsia" w:cs="宋体"/>
          <w:b/>
          <w:bCs/>
          <w:sz w:val="28"/>
          <w:szCs w:val="28"/>
          <w:highlight w:val="none"/>
          <w:lang w:val="en-US" w:eastAsia="zh-CN"/>
        </w:rPr>
        <w:t>8</w:t>
      </w:r>
      <w:r>
        <w:rPr>
          <w:rFonts w:hint="eastAsia" w:ascii="宋体" w:hAnsi="宋体" w:eastAsia="宋体" w:cs="宋体"/>
          <w:b/>
          <w:bCs/>
          <w:sz w:val="28"/>
          <w:szCs w:val="28"/>
          <w:highlight w:val="none"/>
          <w:lang w:eastAsia="zh-CN"/>
        </w:rPr>
        <w:t>月1日至今）类似项目业绩一览表</w:t>
      </w:r>
    </w:p>
    <w:tbl>
      <w:tblPr>
        <w:tblStyle w:val="2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018"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highlight w:val="none"/>
              </w:rPr>
            </w:pPr>
            <w:r>
              <w:rPr>
                <w:rFonts w:hint="eastAsia" w:ascii="宋体" w:hAnsi="宋体" w:eastAsia="宋体" w:cs="宋体"/>
                <w:b/>
                <w:bCs/>
                <w:highlight w:val="none"/>
              </w:rPr>
              <w:t>项目名称</w:t>
            </w:r>
          </w:p>
        </w:tc>
        <w:tc>
          <w:tcPr>
            <w:tcW w:w="1401"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highlight w:val="none"/>
              </w:rPr>
            </w:pPr>
            <w:r>
              <w:rPr>
                <w:rFonts w:hint="eastAsia" w:ascii="宋体" w:hAnsi="宋体" w:eastAsia="宋体" w:cs="宋体"/>
                <w:b/>
                <w:bCs/>
                <w:highlight w:val="none"/>
              </w:rPr>
              <w:t>合同金额</w:t>
            </w:r>
          </w:p>
        </w:tc>
        <w:tc>
          <w:tcPr>
            <w:tcW w:w="130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highlight w:val="none"/>
              </w:rPr>
            </w:pPr>
            <w:r>
              <w:rPr>
                <w:rFonts w:hint="eastAsia" w:ascii="宋体" w:hAnsi="宋体" w:eastAsia="宋体" w:cs="宋体"/>
                <w:b/>
                <w:bCs/>
                <w:highlight w:val="none"/>
              </w:rPr>
              <w:t>签订时间</w:t>
            </w:r>
          </w:p>
        </w:tc>
        <w:tc>
          <w:tcPr>
            <w:tcW w:w="137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highlight w:val="none"/>
              </w:rPr>
            </w:pPr>
            <w:r>
              <w:rPr>
                <w:rFonts w:hint="eastAsia" w:ascii="宋体" w:hAnsi="宋体" w:eastAsia="宋体" w:cs="宋体"/>
                <w:b/>
                <w:bCs/>
                <w:highlight w:val="none"/>
              </w:rPr>
              <w:t>联系人及联系电话</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highlight w:val="none"/>
              </w:rPr>
            </w:pPr>
            <w:r>
              <w:rPr>
                <w:rFonts w:hint="eastAsia" w:ascii="宋体" w:hAnsi="宋体" w:eastAsia="宋体" w:cs="宋体"/>
                <w:b/>
                <w:bCs/>
                <w:highlight w:val="none"/>
              </w:rPr>
              <w:t>完成</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highlight w:val="none"/>
              </w:rPr>
            </w:pPr>
            <w:r>
              <w:rPr>
                <w:rFonts w:hint="eastAsia" w:ascii="宋体" w:hAnsi="宋体" w:eastAsia="宋体" w:cs="宋体"/>
                <w:b/>
                <w:bCs/>
                <w:highlight w:val="none"/>
              </w:rPr>
              <w:t>情况</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highlight w:val="none"/>
              </w:rPr>
            </w:pPr>
            <w:r>
              <w:rPr>
                <w:rFonts w:hint="eastAsia" w:ascii="宋体" w:hAnsi="宋体" w:eastAsia="宋体" w:cs="宋体"/>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注：供应商须附合同或中标通知书复印件。</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highlight w:val="none"/>
        </w:rPr>
        <w:t>供应商单位</w:t>
      </w:r>
      <w:r>
        <w:rPr>
          <w:rFonts w:hint="eastAsia" w:ascii="宋体" w:hAnsi="宋体" w:eastAsia="宋体" w:cs="宋体"/>
          <w:sz w:val="24"/>
          <w:highlight w:val="none"/>
          <w:lang w:eastAsia="zh-CN"/>
        </w:rPr>
        <w:t>（签章）：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br w:type="page"/>
      </w:r>
      <w:r>
        <w:rPr>
          <w:rFonts w:hint="eastAsia" w:ascii="宋体" w:hAnsi="宋体" w:eastAsia="宋体" w:cs="宋体"/>
          <w:b/>
          <w:sz w:val="30"/>
          <w:szCs w:val="30"/>
          <w:highlight w:val="none"/>
        </w:rPr>
        <w:t>附件</w:t>
      </w:r>
      <w:r>
        <w:rPr>
          <w:rFonts w:hint="eastAsia" w:ascii="宋体" w:hAnsi="宋体" w:eastAsia="宋体" w:cs="宋体"/>
          <w:b/>
          <w:sz w:val="30"/>
          <w:szCs w:val="30"/>
          <w:highlight w:val="none"/>
          <w:lang w:eastAsia="zh-CN"/>
        </w:rPr>
        <w:t>七</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商务条款偏离表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32"/>
          <w:highlight w:val="none"/>
        </w:rPr>
      </w:pPr>
    </w:p>
    <w:tbl>
      <w:tblPr>
        <w:tblStyle w:val="2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序号</w:t>
            </w:r>
          </w:p>
        </w:tc>
        <w:tc>
          <w:tcPr>
            <w:tcW w:w="226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招标商务参数</w:t>
            </w:r>
          </w:p>
        </w:tc>
        <w:tc>
          <w:tcPr>
            <w:tcW w:w="2134"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投标商务参数</w:t>
            </w:r>
          </w:p>
        </w:tc>
        <w:tc>
          <w:tcPr>
            <w:tcW w:w="1552"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偏离情况</w:t>
            </w:r>
          </w:p>
        </w:tc>
        <w:tc>
          <w:tcPr>
            <w:tcW w:w="173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r>
              <w:rPr>
                <w:rFonts w:hint="eastAsia" w:ascii="宋体" w:hAnsi="宋体" w:eastAsia="宋体" w:cs="宋体"/>
                <w:highlight w:val="none"/>
              </w:rPr>
              <w:t>……</w:t>
            </w: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凡投标文件中商务条款（包括服务期、服务地点、付款、合同条款以及其它所有商务内容）与招标文件有偏差的，均应在此表中列出（内容较多的可以标注见投标文件第几页，偏差包括正偏差和负偏差），未在此表中列出的视同完全满足招标文件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32"/>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highlight w:val="none"/>
        </w:rPr>
        <w:t>供应商单位</w:t>
      </w:r>
      <w:r>
        <w:rPr>
          <w:rFonts w:hint="eastAsia" w:ascii="宋体" w:hAnsi="宋体" w:eastAsia="宋体" w:cs="宋体"/>
          <w:sz w:val="24"/>
          <w:highlight w:val="none"/>
          <w:lang w:eastAsia="zh-CN"/>
        </w:rPr>
        <w:t>（签章）：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法定代表人或授权代表（电子签名或签章）：</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8"/>
          <w:szCs w:val="28"/>
          <w:highlight w:val="none"/>
          <w:lang w:eastAsia="zh-CN"/>
        </w:rPr>
      </w:pPr>
    </w:p>
    <w:p>
      <w:pPr>
        <w:pStyle w:val="27"/>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highlight w:val="none"/>
        </w:rPr>
      </w:pPr>
    </w:p>
    <w:p>
      <w:pPr>
        <w:pStyle w:val="27"/>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highlight w:val="none"/>
        </w:rPr>
      </w:pPr>
    </w:p>
    <w:p>
      <w:pPr>
        <w:pStyle w:val="27"/>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highlight w:val="none"/>
        </w:rPr>
      </w:pPr>
    </w:p>
    <w:p>
      <w:pPr>
        <w:pStyle w:val="27"/>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highlight w:val="none"/>
        </w:rPr>
      </w:pPr>
    </w:p>
    <w:p>
      <w:pPr>
        <w:pStyle w:val="27"/>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highlight w:val="none"/>
        </w:rPr>
      </w:pPr>
    </w:p>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rPr>
        <w:t>附件</w:t>
      </w:r>
      <w:bookmarkStart w:id="4" w:name="_Toc152042593"/>
      <w:bookmarkStart w:id="5" w:name="_Toc222043377"/>
      <w:bookmarkStart w:id="6" w:name="_Toc144974872"/>
      <w:bookmarkStart w:id="7" w:name="_Toc152045804"/>
      <w:r>
        <w:rPr>
          <w:rFonts w:hint="eastAsia" w:ascii="宋体" w:hAnsi="宋体" w:eastAsia="宋体" w:cs="宋体"/>
          <w:b/>
          <w:sz w:val="30"/>
          <w:szCs w:val="30"/>
          <w:highlight w:val="none"/>
          <w:lang w:eastAsia="zh-CN"/>
        </w:rPr>
        <w:t>八</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技术规格偏离表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32"/>
          <w:szCs w:val="32"/>
          <w:highlight w:val="none"/>
        </w:rPr>
      </w:pPr>
    </w:p>
    <w:tbl>
      <w:tblPr>
        <w:tblStyle w:val="21"/>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序号</w:t>
            </w:r>
          </w:p>
        </w:tc>
        <w:tc>
          <w:tcPr>
            <w:tcW w:w="2223"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招标技术参数</w:t>
            </w:r>
          </w:p>
        </w:tc>
        <w:tc>
          <w:tcPr>
            <w:tcW w:w="2096"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投标技术参数</w:t>
            </w:r>
          </w:p>
        </w:tc>
        <w:tc>
          <w:tcPr>
            <w:tcW w:w="152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偏离情况</w:t>
            </w:r>
          </w:p>
        </w:tc>
        <w:tc>
          <w:tcPr>
            <w:tcW w:w="169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r>
              <w:rPr>
                <w:rFonts w:hint="eastAsia" w:ascii="宋体" w:hAnsi="宋体" w:eastAsia="宋体" w:cs="宋体"/>
                <w:highlight w:val="none"/>
              </w:rPr>
              <w:t>……</w:t>
            </w: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highlight w:val="none"/>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highlight w:val="none"/>
        </w:rPr>
        <w:t>供应商单位</w:t>
      </w:r>
      <w:r>
        <w:rPr>
          <w:rFonts w:hint="eastAsia" w:ascii="宋体" w:hAnsi="宋体" w:eastAsia="宋体" w:cs="宋体"/>
          <w:sz w:val="24"/>
          <w:highlight w:val="none"/>
          <w:lang w:eastAsia="zh-CN"/>
        </w:rPr>
        <w:t>（签章）：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highlight w:val="none"/>
          <w:lang w:eastAsia="zh-CN"/>
        </w:rPr>
      </w:pPr>
    </w:p>
    <w:bookmarkEnd w:id="4"/>
    <w:bookmarkEnd w:id="5"/>
    <w:bookmarkEnd w:id="6"/>
    <w:bookmarkEnd w:id="7"/>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highlight w:val="none"/>
          <w:lang w:eastAsia="zh-CN"/>
        </w:rPr>
      </w:pPr>
    </w:p>
    <w:p>
      <w:pPr>
        <w:pStyle w:val="27"/>
        <w:pageBreakBefore w:val="0"/>
        <w:kinsoku/>
        <w:wordWrap/>
        <w:overflowPunct/>
        <w:topLinePunct w:val="0"/>
        <w:bidi w:val="0"/>
        <w:spacing w:beforeAutospacing="0" w:afterAutospacing="0" w:line="360" w:lineRule="auto"/>
        <w:ind w:left="0" w:leftChars="0" w:right="0" w:rightChars="0" w:firstLine="0"/>
        <w:rPr>
          <w:rStyle w:val="29"/>
          <w:rFonts w:hint="eastAsia" w:ascii="宋体" w:hAnsi="宋体" w:eastAsia="宋体" w:cs="宋体"/>
          <w:color w:val="auto"/>
          <w:spacing w:val="0"/>
          <w:sz w:val="22"/>
          <w:szCs w:val="22"/>
          <w:highlight w:val="none"/>
        </w:rPr>
      </w:pPr>
    </w:p>
    <w:p>
      <w:pPr>
        <w:pStyle w:val="27"/>
        <w:pageBreakBefore w:val="0"/>
        <w:kinsoku/>
        <w:wordWrap/>
        <w:overflowPunct/>
        <w:topLinePunct w:val="0"/>
        <w:bidi w:val="0"/>
        <w:spacing w:beforeAutospacing="0" w:afterAutospacing="0" w:line="360" w:lineRule="auto"/>
        <w:ind w:left="0" w:leftChars="0" w:right="0" w:rightChars="0" w:firstLine="0"/>
        <w:rPr>
          <w:rStyle w:val="29"/>
          <w:rFonts w:hint="eastAsia" w:ascii="宋体" w:hAnsi="宋体" w:eastAsia="宋体" w:cs="宋体"/>
          <w:color w:val="auto"/>
          <w:spacing w:val="0"/>
          <w:sz w:val="22"/>
          <w:szCs w:val="22"/>
          <w:highlight w:val="none"/>
        </w:rPr>
      </w:pPr>
    </w:p>
    <w:p>
      <w:pPr>
        <w:pStyle w:val="27"/>
        <w:pageBreakBefore w:val="0"/>
        <w:kinsoku/>
        <w:wordWrap/>
        <w:overflowPunct/>
        <w:topLinePunct w:val="0"/>
        <w:bidi w:val="0"/>
        <w:spacing w:beforeAutospacing="0" w:afterAutospacing="0" w:line="360" w:lineRule="auto"/>
        <w:ind w:left="0" w:leftChars="0" w:right="0" w:rightChars="0" w:firstLine="0"/>
        <w:rPr>
          <w:rStyle w:val="29"/>
          <w:rFonts w:hint="eastAsia" w:ascii="宋体" w:hAnsi="宋体" w:eastAsia="宋体" w:cs="宋体"/>
          <w:color w:val="auto"/>
          <w:spacing w:val="0"/>
          <w:sz w:val="22"/>
          <w:szCs w:val="22"/>
          <w:highlight w:val="none"/>
        </w:rPr>
      </w:pPr>
    </w:p>
    <w:p>
      <w:pPr>
        <w:pStyle w:val="27"/>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highlight w:val="none"/>
        </w:rPr>
      </w:pPr>
    </w:p>
    <w:p>
      <w:pPr>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br w:type="page"/>
      </w: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附件九：组织机构及人员配备情况表</w:t>
      </w: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r>
        <w:rPr>
          <w:rFonts w:hint="eastAsia" w:ascii="宋体" w:hAnsi="宋体" w:eastAsia="宋体" w:cs="宋体"/>
          <w:b/>
          <w:highlight w:val="none"/>
        </w:rPr>
        <w:t>格式自拟</w:t>
      </w: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highlight w:val="none"/>
        </w:rPr>
      </w:pP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sectPr>
          <w:pgSz w:w="11906" w:h="16838"/>
          <w:pgMar w:top="1440" w:right="1417" w:bottom="1440" w:left="1417" w:header="851" w:footer="992" w:gutter="0"/>
          <w:cols w:space="720" w:num="1"/>
          <w:docGrid w:type="lines" w:linePitch="312" w:charSpace="0"/>
        </w:sectPr>
      </w:pP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附件十：诚信磋商供应商承诺书</w:t>
      </w:r>
    </w:p>
    <w:p>
      <w:pPr>
        <w:pStyle w:val="18"/>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highlight w:val="none"/>
        </w:rPr>
      </w:pPr>
      <w:r>
        <w:rPr>
          <w:rFonts w:hint="eastAsia" w:ascii="宋体" w:hAnsi="宋体" w:eastAsia="宋体" w:cs="宋体"/>
          <w:highlight w:val="none"/>
        </w:rPr>
        <w:t>本人以企业法定代表人的身份郑重承诺：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一、将遵循公开、公正和诚实信用的原则自愿参加</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的磋商供应商；</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二、所提供的一切材料都是真实、有效、合法的；</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三、不出借、转让资质证书，不让他人挂靠磋商供应商，不以他人名义磋商供应商或者以其他方式弄虚作假，骗取中标；</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四、不与其他磋商供应商相互串通磋商供应商报价，不排挤其他磋商供应商的公平竞争、损害招标人的合法权益；</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五、不与招标人、招标代理机构或其他磋商供应商串通磋商供应商，损害国家利益、社会公共利益或者他人的合法权益；</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六、严格遵守开标现场纪律，服从监管人员管理；</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七、保证中标后不转包，若有分包征得采购单位同意；</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八、保证中标之后，按照磋商供应商文件承诺履约，如有违反，同意接受采购单位违约处罚；</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九、保证企业及所属相关人员在本次磋商供应商中无行贿等犯罪行为</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十、如在磋商供应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以上内容我已仔细阅读，本公司若有违反承诺内容的行为，自愿依法接受取消磋商供应商资格、记入信用档案、取消中标资格、没收磋商供应商保证金等有关处理，愿意承担法律责任，给招标人造成损失的，依法承担赔偿责任。</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开户银行：                              基本账户：</w:t>
      </w:r>
    </w:p>
    <w:p>
      <w:pPr>
        <w:pStyle w:val="18"/>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highlight w:val="none"/>
        </w:rPr>
      </w:pPr>
      <w:r>
        <w:rPr>
          <w:rFonts w:hint="eastAsia" w:ascii="宋体" w:hAnsi="宋体" w:eastAsia="宋体" w:cs="宋体"/>
          <w:highlight w:val="none"/>
        </w:rPr>
        <w:t>供应商单位（</w:t>
      </w:r>
      <w:r>
        <w:rPr>
          <w:rFonts w:hint="eastAsia" w:ascii="宋体" w:hAnsi="宋体" w:eastAsia="宋体" w:cs="宋体"/>
          <w:sz w:val="24"/>
          <w:szCs w:val="24"/>
          <w:highlight w:val="none"/>
          <w:lang w:val="en-US" w:eastAsia="zh-CN"/>
        </w:rPr>
        <w:t>签章</w:t>
      </w:r>
      <w:r>
        <w:rPr>
          <w:rFonts w:hint="eastAsia" w:ascii="宋体" w:hAnsi="宋体" w:eastAsia="宋体" w:cs="宋体"/>
          <w:highlight w:val="none"/>
        </w:rPr>
        <w:t>）：                法定代表人（电子签名或签章）：</w:t>
      </w:r>
    </w:p>
    <w:p>
      <w:pPr>
        <w:pageBreakBefore w:val="0"/>
        <w:tabs>
          <w:tab w:val="left" w:pos="5205"/>
        </w:tabs>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日   期：   年   月   日</w:t>
      </w:r>
    </w:p>
    <w:p>
      <w:pPr>
        <w:pStyle w:val="18"/>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highlight w:val="none"/>
        </w:rPr>
        <w:sectPr>
          <w:pgSz w:w="11906" w:h="16838"/>
          <w:pgMar w:top="1440" w:right="1417" w:bottom="1440" w:left="1417" w:header="851" w:footer="992" w:gutter="0"/>
          <w:cols w:space="720" w:num="1"/>
          <w:docGrid w:type="lines" w:linePitch="312" w:charSpace="0"/>
        </w:sectPr>
      </w:pP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附件十一：反商业贿赂承诺书</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我公司承诺：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在 </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项目，我方保证做到：</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一、公平竞争参加本次采购活动。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三、若出现上述行为，我方及参与磋商工作人员愿意接受按照国家法律法规等有关规定给予的处罚。</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lang w:eastAsia="zh-CN"/>
        </w:rPr>
        <w:t>供应商名称（签章）：</w:t>
      </w:r>
      <w:r>
        <w:rPr>
          <w:rFonts w:hint="eastAsia" w:ascii="宋体" w:hAnsi="宋体" w:eastAsia="宋体" w:cs="宋体"/>
          <w:sz w:val="24"/>
          <w:highlight w:val="none"/>
          <w:u w:val="single"/>
          <w:lang w:eastAsia="zh-CN"/>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法定代表人或委托代理人（电子签名或签章）：</w:t>
      </w:r>
      <w:r>
        <w:rPr>
          <w:rFonts w:hint="eastAsia" w:ascii="宋体" w:hAnsi="宋体" w:eastAsia="宋体" w:cs="宋体"/>
          <w:sz w:val="24"/>
          <w:highlight w:val="none"/>
          <w:u w:val="single"/>
          <w:lang w:eastAsia="zh-CN"/>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   日期：</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年</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月</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日</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sz w:val="24"/>
          <w:highlight w:val="none"/>
          <w:lang w:eastAsia="zh-CN"/>
        </w:rPr>
        <w:t xml:space="preserve">   </w:t>
      </w: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pPr>
      <w:bookmarkStart w:id="8" w:name="_Toc27580"/>
      <w:r>
        <w:rPr>
          <w:rFonts w:hint="eastAsia" w:ascii="宋体" w:hAnsi="宋体" w:eastAsia="宋体" w:cs="宋体"/>
          <w:bCs w:val="0"/>
          <w:sz w:val="24"/>
          <w:szCs w:val="24"/>
          <w:highlight w:val="none"/>
          <w:lang w:eastAsia="zh-CN"/>
        </w:rPr>
        <w:t>附件十二</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lang w:eastAsia="zh-CN"/>
        </w:rPr>
        <w:t>项目技术服务方案；（</w:t>
      </w:r>
      <w:r>
        <w:rPr>
          <w:rFonts w:hint="eastAsia" w:ascii="宋体" w:hAnsi="宋体" w:eastAsia="宋体" w:cs="宋体"/>
          <w:b/>
          <w:bCs/>
          <w:sz w:val="24"/>
          <w:highlight w:val="none"/>
          <w:lang w:eastAsia="zh-CN"/>
        </w:rPr>
        <w:t>参照评定内容及标准技术服务部分进行编写，</w:t>
      </w:r>
      <w:r>
        <w:rPr>
          <w:rFonts w:hint="eastAsia" w:ascii="宋体" w:hAnsi="宋体" w:eastAsia="宋体" w:cs="宋体"/>
          <w:bCs w:val="0"/>
          <w:sz w:val="24"/>
          <w:szCs w:val="24"/>
          <w:highlight w:val="none"/>
          <w:lang w:eastAsia="zh-CN"/>
        </w:rPr>
        <w:t>格式自拟）</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Cs w:val="0"/>
          <w:sz w:val="24"/>
          <w:szCs w:val="24"/>
          <w:highlight w:val="none"/>
          <w:lang w:eastAsia="zh-CN"/>
        </w:r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highlight w:val="none"/>
          <w:lang w:eastAsia="zh-CN"/>
        </w:rPr>
        <w:sectPr>
          <w:pgSz w:w="11906" w:h="16838"/>
          <w:pgMar w:top="1440" w:right="1417" w:bottom="1440" w:left="1417" w:header="851" w:footer="992" w:gutter="0"/>
          <w:cols w:space="720" w:num="1"/>
          <w:docGrid w:type="lines" w:linePitch="312" w:charSpace="0"/>
        </w:sectPr>
      </w:pP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sz w:val="24"/>
          <w:szCs w:val="20"/>
          <w:highlight w:val="none"/>
          <w:lang w:eastAsia="zh-CN"/>
        </w:rPr>
      </w:pPr>
      <w:r>
        <w:rPr>
          <w:rFonts w:hint="eastAsia" w:ascii="宋体" w:hAnsi="宋体" w:eastAsia="宋体" w:cs="宋体"/>
          <w:bCs w:val="0"/>
          <w:sz w:val="24"/>
          <w:szCs w:val="24"/>
          <w:highlight w:val="none"/>
          <w:lang w:eastAsia="zh-CN"/>
        </w:rPr>
        <w:t>附件十三：中小企业声明函（如有）</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中小企业声明函（工程、服务）</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1.（标的名称），属于（采购文件中明确的所属行业）；承建（承接）企业为（企业名称），从业人员  人，营业收入为  万元，资产总额为  万元，属于（中型企业、小型企业、微型企业）；</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2.（标的名称），属于（采购文件中明确的所属行业）；承建（承接）企业为（企业名称），从业人员  人，营业收入为  万元，资产总额为  万元，属于（中型企业、小型企业、微型企业）；</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以上企业，不属于大企业的分支机构，不存在控股股东为大企业的情形，也不存在与大企业的负责人为同一人的情形。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本企业对上述声明内容的真实性负责。如有虚假，将依法承担相应责任。</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w:t>
      </w:r>
      <w:r>
        <w:rPr>
          <w:rFonts w:hint="eastAsia" w:ascii="宋体" w:hAnsi="宋体" w:eastAsia="宋体" w:cs="宋体"/>
          <w:highlight w:val="none"/>
        </w:rPr>
        <w:t>供应商单位</w:t>
      </w:r>
      <w:r>
        <w:rPr>
          <w:rFonts w:hint="eastAsia" w:ascii="宋体" w:hAnsi="宋体" w:eastAsia="宋体" w:cs="宋体"/>
          <w:sz w:val="24"/>
          <w:highlight w:val="none"/>
          <w:lang w:eastAsia="zh-CN"/>
        </w:rPr>
        <w:t>（签章）：</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日期：</w:t>
      </w: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附件十四：残疾人福利性单位声明函（如有）</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单位的</w:t>
      </w:r>
      <w:r>
        <w:rPr>
          <w:rFonts w:hint="eastAsia" w:ascii="宋体" w:hAnsi="宋体" w:eastAsia="宋体" w:cs="宋体"/>
          <w:sz w:val="24"/>
          <w:highlight w:val="none"/>
          <w:u w:val="single"/>
          <w:lang w:eastAsia="zh-CN"/>
        </w:rPr>
        <w:t xml:space="preserve">                </w:t>
      </w:r>
      <w:r>
        <w:rPr>
          <w:rFonts w:hint="eastAsia" w:ascii="宋体" w:hAnsi="宋体" w:eastAsia="宋体" w:cs="宋体"/>
          <w:sz w:val="24"/>
          <w:highlight w:val="none"/>
          <w:lang w:eastAsia="zh-CN"/>
        </w:rPr>
        <w:t>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本单位对上述声明的真实性负责。如有虚假，将依法承担相应责任。</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sz w:val="24"/>
          <w:highlight w:val="none"/>
          <w:lang w:eastAsia="zh-CN"/>
        </w:rPr>
      </w:pPr>
      <w:r>
        <w:rPr>
          <w:rFonts w:hint="eastAsia" w:ascii="宋体" w:hAnsi="宋体" w:eastAsia="宋体" w:cs="宋体"/>
          <w:highlight w:val="none"/>
        </w:rPr>
        <w:t>供应商单位</w:t>
      </w:r>
      <w:r>
        <w:rPr>
          <w:rFonts w:hint="eastAsia" w:ascii="宋体" w:hAnsi="宋体" w:eastAsia="宋体" w:cs="宋体"/>
          <w:sz w:val="24"/>
          <w:highlight w:val="none"/>
          <w:lang w:eastAsia="zh-CN"/>
        </w:rPr>
        <w:t xml:space="preserve">（签章）： </w:t>
      </w:r>
    </w:p>
    <w:p>
      <w:pPr>
        <w:pStyle w:val="63"/>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pacing w:val="6"/>
          <w:szCs w:val="24"/>
          <w:highlight w:val="none"/>
          <w:lang w:val="en-US" w:eastAsia="zh-CN"/>
        </w:rPr>
      </w:pPr>
      <w:r>
        <w:rPr>
          <w:rFonts w:hint="eastAsia" w:ascii="宋体" w:hAnsi="宋体" w:eastAsia="宋体" w:cs="宋体"/>
          <w:highlight w:val="none"/>
          <w:lang w:val="en-US" w:eastAsia="zh-CN"/>
        </w:rPr>
        <w:t>日 期：</w:t>
      </w: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sectPr>
          <w:pgSz w:w="11906" w:h="16838"/>
          <w:pgMar w:top="1440" w:right="1417" w:bottom="1440" w:left="1417" w:header="851" w:footer="992" w:gutter="0"/>
          <w:cols w:space="720" w:num="1"/>
          <w:docGrid w:type="lines" w:linePitch="312" w:charSpace="0"/>
        </w:sectPr>
      </w:pP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附件十五：监狱企业证明资料（如有）</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附：监狱管理局、戒毒管理局等主管部门出具的证明文件的复印件，复印件须逐页加盖</w:t>
      </w:r>
      <w:r>
        <w:rPr>
          <w:rFonts w:hint="eastAsia" w:ascii="宋体" w:hAnsi="宋体" w:eastAsia="宋体" w:cs="宋体"/>
          <w:sz w:val="24"/>
          <w:szCs w:val="24"/>
          <w:highlight w:val="none"/>
          <w:lang w:val="en-US" w:eastAsia="zh-CN"/>
        </w:rPr>
        <w:t>签章</w:t>
      </w:r>
      <w:r>
        <w:rPr>
          <w:rFonts w:hint="eastAsia" w:ascii="宋体" w:hAnsi="宋体" w:eastAsia="宋体" w:cs="宋体"/>
          <w:sz w:val="24"/>
          <w:highlight w:val="none"/>
          <w:lang w:eastAsia="zh-CN"/>
        </w:rPr>
        <w:t>。</w:t>
      </w: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6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spacing w:val="6"/>
          <w:szCs w:val="24"/>
          <w:highlight w:val="none"/>
          <w:lang w:val="en-US" w:eastAsia="zh-CN"/>
        </w:rPr>
      </w:pP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sz w:val="28"/>
          <w:szCs w:val="28"/>
          <w:highlight w:val="non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8"/>
          <w:szCs w:val="28"/>
          <w:highlight w:val="none"/>
          <w:lang w:eastAsia="zh-CN"/>
        </w:rPr>
      </w:pPr>
    </w:p>
    <w:p>
      <w:pPr>
        <w:pStyle w:val="63"/>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highlight w:val="none"/>
          <w:lang w:eastAsia="zh-CN"/>
        </w:rPr>
      </w:pPr>
    </w:p>
    <w:bookmarkEnd w:id="8"/>
    <w:p>
      <w:pPr>
        <w:pageBreakBefore w:val="0"/>
        <w:tabs>
          <w:tab w:val="left" w:pos="4000"/>
        </w:tabs>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highlight w:val="none"/>
          <w:lang w:eastAsia="zh-CN"/>
        </w:rPr>
      </w:pPr>
    </w:p>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sz w:val="28"/>
          <w:szCs w:val="28"/>
          <w:highlight w:val="none"/>
          <w:lang w:eastAsia="zh-CN"/>
        </w:rPr>
        <w:sectPr>
          <w:pgSz w:w="11906" w:h="16838"/>
          <w:pgMar w:top="1440" w:right="1417" w:bottom="1440" w:left="1417" w:header="851" w:footer="992" w:gutter="0"/>
          <w:cols w:space="720" w:num="1"/>
          <w:docGrid w:type="lines" w:linePitch="312" w:charSpace="0"/>
        </w:sectPr>
      </w:pPr>
      <w:bookmarkStart w:id="9" w:name="_Toc27654"/>
    </w:p>
    <w:bookmarkEnd w:id="9"/>
    <w:p>
      <w:pPr>
        <w:pStyle w:val="5"/>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sz w:val="28"/>
          <w:szCs w:val="28"/>
          <w:highlight w:val="none"/>
        </w:rPr>
      </w:pPr>
      <w:bookmarkStart w:id="10" w:name="_Toc27590"/>
      <w:r>
        <w:rPr>
          <w:rFonts w:hint="eastAsia" w:ascii="宋体" w:hAnsi="宋体" w:eastAsia="宋体" w:cs="宋体"/>
          <w:sz w:val="28"/>
          <w:szCs w:val="28"/>
          <w:highlight w:val="none"/>
          <w:lang w:eastAsia="zh-CN"/>
        </w:rPr>
        <w:t>商务、技术标要求的内容资料</w:t>
      </w:r>
      <w:r>
        <w:rPr>
          <w:rFonts w:hint="eastAsia" w:ascii="宋体" w:hAnsi="宋体" w:eastAsia="宋体" w:cs="宋体"/>
          <w:sz w:val="28"/>
          <w:szCs w:val="28"/>
          <w:highlight w:val="none"/>
        </w:rPr>
        <w:t>其他资料</w:t>
      </w:r>
      <w:bookmarkEnd w:id="10"/>
    </w:p>
    <w:p>
      <w:pPr>
        <w:pStyle w:val="6"/>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依法缴纳税收和社会保障资金的良好记录；</w:t>
      </w:r>
    </w:p>
    <w:p>
      <w:pPr>
        <w:pStyle w:val="6"/>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具有良好的商业信誉和健全的财务会计制度证明材料；</w:t>
      </w:r>
    </w:p>
    <w:p>
      <w:pPr>
        <w:pStyle w:val="6"/>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具有履行合同所必需的设备和专业技术能力（提供书面声明）；</w:t>
      </w:r>
    </w:p>
    <w:p>
      <w:pPr>
        <w:pStyle w:val="6"/>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参加本次采购活动前三年内，在经营活动中没有重大违法记录声明函；</w:t>
      </w:r>
    </w:p>
    <w:p>
      <w:pPr>
        <w:pStyle w:val="6"/>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投标保证金缴纳凭证</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br w:type="page"/>
      </w:r>
    </w:p>
    <w:p>
      <w:pPr>
        <w:pStyle w:val="6"/>
        <w:pageBreakBefore w:val="0"/>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t>供应商认为有必要提供的其它材料。</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highlight w:val="none"/>
          <w:lang w:eastAsia="zh-CN"/>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sz w:val="24"/>
          <w:highlight w:val="none"/>
        </w:rPr>
      </w:pPr>
    </w:p>
    <w:sectPr>
      <w:headerReference r:id="rId8" w:type="first"/>
      <w:headerReference r:id="rId7" w:type="default"/>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line="14" w:lineRule="auto"/>
      <w:ind w:left="0"/>
      <w:rPr>
        <w:rStyle w:val="29"/>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line="14" w:lineRule="auto"/>
      <w:ind w:left="0"/>
      <w:rPr>
        <w:rStyle w:val="29"/>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line="14" w:lineRule="auto"/>
      <w:ind w:left="0"/>
      <w:rPr>
        <w:rStyle w:val="29"/>
        <w:sz w:val="12"/>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13530"/>
    <w:multiLevelType w:val="singleLevel"/>
    <w:tmpl w:val="9CF13530"/>
    <w:lvl w:ilvl="0" w:tentative="0">
      <w:start w:val="1"/>
      <w:numFmt w:val="decimal"/>
      <w:suff w:val="nothing"/>
      <w:lvlText w:val="%1、"/>
      <w:lvlJc w:val="left"/>
    </w:lvl>
  </w:abstractNum>
  <w:abstractNum w:abstractNumId="1">
    <w:nsid w:val="AD8A1C5C"/>
    <w:multiLevelType w:val="singleLevel"/>
    <w:tmpl w:val="AD8A1C5C"/>
    <w:lvl w:ilvl="0" w:tentative="0">
      <w:start w:val="1"/>
      <w:numFmt w:val="decimal"/>
      <w:suff w:val="nothing"/>
      <w:lvlText w:val="%1、"/>
      <w:lvlJc w:val="left"/>
      <w:pPr>
        <w:ind w:left="240"/>
      </w:pPr>
      <w:rPr>
        <w:rFonts w:hint="default"/>
        <w:b/>
        <w:bCs/>
      </w:rPr>
    </w:lvl>
  </w:abstractNum>
  <w:abstractNum w:abstractNumId="2">
    <w:nsid w:val="00000001"/>
    <w:multiLevelType w:val="multilevel"/>
    <w:tmpl w:val="00000001"/>
    <w:lvl w:ilvl="0" w:tentative="0">
      <w:start w:val="1"/>
      <w:numFmt w:val="decimalEnclosedCircle"/>
      <w:pStyle w:val="55"/>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2"/>
    <w:multiLevelType w:val="multilevel"/>
    <w:tmpl w:val="00000002"/>
    <w:lvl w:ilvl="0" w:tentative="0">
      <w:start w:val="2"/>
      <w:numFmt w:val="decimal"/>
      <w:lvlText w:val="%1"/>
      <w:lvlJc w:val="left"/>
      <w:pPr>
        <w:ind w:left="109" w:hanging="361"/>
        <w:textAlignment w:val="baseline"/>
      </w:pPr>
    </w:lvl>
    <w:lvl w:ilvl="1" w:tentative="0">
      <w:start w:val="0"/>
      <w:numFmt w:val="decimal"/>
      <w:lvlText w:val=""/>
      <w:lvlJc w:val="left"/>
      <w:pPr>
        <w:textAlignment w:val="baseline"/>
      </w:pPr>
    </w:lvl>
    <w:lvl w:ilvl="2" w:tentative="0">
      <w:start w:val="0"/>
      <w:numFmt w:val="bullet"/>
      <w:lvlText w:val="•"/>
      <w:lvlJc w:val="left"/>
      <w:pPr>
        <w:ind w:left="1929" w:hanging="361"/>
        <w:textAlignment w:val="baseline"/>
      </w:pPr>
    </w:lvl>
    <w:lvl w:ilvl="3" w:tentative="0">
      <w:start w:val="0"/>
      <w:numFmt w:val="bullet"/>
      <w:lvlText w:val="•"/>
      <w:lvlJc w:val="left"/>
      <w:pPr>
        <w:ind w:left="2843" w:hanging="361"/>
        <w:textAlignment w:val="baseline"/>
      </w:pPr>
    </w:lvl>
    <w:lvl w:ilvl="4" w:tentative="0">
      <w:start w:val="0"/>
      <w:numFmt w:val="bullet"/>
      <w:lvlText w:val="•"/>
      <w:lvlJc w:val="left"/>
      <w:pPr>
        <w:ind w:left="3758" w:hanging="361"/>
        <w:textAlignment w:val="baseline"/>
      </w:pPr>
    </w:lvl>
    <w:lvl w:ilvl="5" w:tentative="0">
      <w:start w:val="0"/>
      <w:numFmt w:val="bullet"/>
      <w:lvlText w:val="•"/>
      <w:lvlJc w:val="left"/>
      <w:pPr>
        <w:ind w:left="4673" w:hanging="361"/>
        <w:textAlignment w:val="baseline"/>
      </w:pPr>
    </w:lvl>
    <w:lvl w:ilvl="6" w:tentative="0">
      <w:start w:val="0"/>
      <w:numFmt w:val="bullet"/>
      <w:lvlText w:val="•"/>
      <w:lvlJc w:val="left"/>
      <w:pPr>
        <w:ind w:left="5587" w:hanging="361"/>
        <w:textAlignment w:val="baseline"/>
      </w:pPr>
    </w:lvl>
    <w:lvl w:ilvl="7" w:tentative="0">
      <w:start w:val="0"/>
      <w:numFmt w:val="bullet"/>
      <w:lvlText w:val="•"/>
      <w:lvlJc w:val="left"/>
      <w:pPr>
        <w:ind w:left="6502" w:hanging="361"/>
        <w:textAlignment w:val="baseline"/>
      </w:pPr>
    </w:lvl>
    <w:lvl w:ilvl="8" w:tentative="0">
      <w:start w:val="0"/>
      <w:numFmt w:val="bullet"/>
      <w:lvlText w:val="•"/>
      <w:lvlJc w:val="left"/>
      <w:pPr>
        <w:ind w:left="7417" w:hanging="361"/>
        <w:textAlignment w:val="baseline"/>
      </w:pPr>
    </w:lvl>
  </w:abstractNum>
  <w:abstractNum w:abstractNumId="4">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abstractNum w:abstractNumId="5">
    <w:nsid w:val="45D24607"/>
    <w:multiLevelType w:val="singleLevel"/>
    <w:tmpl w:val="45D24607"/>
    <w:lvl w:ilvl="0" w:tentative="0">
      <w:start w:val="1"/>
      <w:numFmt w:val="decimal"/>
      <w:suff w:val="nothing"/>
      <w:lvlText w:val="%1、"/>
      <w:lvlJc w:val="left"/>
    </w:lvl>
  </w:abstractNum>
  <w:abstractNum w:abstractNumId="6">
    <w:nsid w:val="7453E364"/>
    <w:multiLevelType w:val="singleLevel"/>
    <w:tmpl w:val="7453E364"/>
    <w:lvl w:ilvl="0" w:tentative="0">
      <w:start w:val="1"/>
      <w:numFmt w:val="decimal"/>
      <w:suff w:val="nothing"/>
      <w:lvlText w:val="（%1）"/>
      <w:lvlJc w:val="left"/>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 w:name="KSO_WPS_MARK_KEY" w:val="e2219d66-cf7f-4220-8d8f-adf595ddfa32"/>
  </w:docVars>
  <w:rsids>
    <w:rsidRoot w:val="000E3846"/>
    <w:rsid w:val="00012818"/>
    <w:rsid w:val="00014D19"/>
    <w:rsid w:val="000241B1"/>
    <w:rsid w:val="00027679"/>
    <w:rsid w:val="00042FFC"/>
    <w:rsid w:val="00053383"/>
    <w:rsid w:val="00056F4A"/>
    <w:rsid w:val="00057706"/>
    <w:rsid w:val="00062972"/>
    <w:rsid w:val="00064117"/>
    <w:rsid w:val="0008240C"/>
    <w:rsid w:val="000B0876"/>
    <w:rsid w:val="000E2751"/>
    <w:rsid w:val="000E3846"/>
    <w:rsid w:val="000F014C"/>
    <w:rsid w:val="000F0450"/>
    <w:rsid w:val="000F33A7"/>
    <w:rsid w:val="0012602B"/>
    <w:rsid w:val="00151DD7"/>
    <w:rsid w:val="00171147"/>
    <w:rsid w:val="00174387"/>
    <w:rsid w:val="00177A8E"/>
    <w:rsid w:val="001817DE"/>
    <w:rsid w:val="00182DC9"/>
    <w:rsid w:val="0018562F"/>
    <w:rsid w:val="001C13C6"/>
    <w:rsid w:val="001C1505"/>
    <w:rsid w:val="001C564C"/>
    <w:rsid w:val="001D3509"/>
    <w:rsid w:val="001D49C6"/>
    <w:rsid w:val="001D56E1"/>
    <w:rsid w:val="001E6BDE"/>
    <w:rsid w:val="0020336E"/>
    <w:rsid w:val="00207788"/>
    <w:rsid w:val="00226FD3"/>
    <w:rsid w:val="0023005A"/>
    <w:rsid w:val="002410E6"/>
    <w:rsid w:val="00247FC2"/>
    <w:rsid w:val="00252A31"/>
    <w:rsid w:val="0028793B"/>
    <w:rsid w:val="002910EE"/>
    <w:rsid w:val="002940D4"/>
    <w:rsid w:val="002A3C07"/>
    <w:rsid w:val="002B0B5C"/>
    <w:rsid w:val="002F5AC5"/>
    <w:rsid w:val="00302197"/>
    <w:rsid w:val="00326E83"/>
    <w:rsid w:val="00327357"/>
    <w:rsid w:val="003330A4"/>
    <w:rsid w:val="00335A35"/>
    <w:rsid w:val="00341A3C"/>
    <w:rsid w:val="00344B62"/>
    <w:rsid w:val="00345F74"/>
    <w:rsid w:val="00365579"/>
    <w:rsid w:val="00375408"/>
    <w:rsid w:val="003832E3"/>
    <w:rsid w:val="00392F10"/>
    <w:rsid w:val="003B3784"/>
    <w:rsid w:val="003B465B"/>
    <w:rsid w:val="003C1A92"/>
    <w:rsid w:val="003D57D9"/>
    <w:rsid w:val="003E139F"/>
    <w:rsid w:val="003F18B4"/>
    <w:rsid w:val="00404B4C"/>
    <w:rsid w:val="00414887"/>
    <w:rsid w:val="004427A9"/>
    <w:rsid w:val="00447874"/>
    <w:rsid w:val="00447ADB"/>
    <w:rsid w:val="00451735"/>
    <w:rsid w:val="00453FCE"/>
    <w:rsid w:val="00467A42"/>
    <w:rsid w:val="00484A73"/>
    <w:rsid w:val="004852A4"/>
    <w:rsid w:val="00486D7D"/>
    <w:rsid w:val="004C2864"/>
    <w:rsid w:val="004D0F29"/>
    <w:rsid w:val="004D1F29"/>
    <w:rsid w:val="004D7A73"/>
    <w:rsid w:val="004E0FF0"/>
    <w:rsid w:val="004E5949"/>
    <w:rsid w:val="004F4DCE"/>
    <w:rsid w:val="004F7D3E"/>
    <w:rsid w:val="00526B9B"/>
    <w:rsid w:val="00541D8A"/>
    <w:rsid w:val="005448DE"/>
    <w:rsid w:val="00551339"/>
    <w:rsid w:val="00564DCD"/>
    <w:rsid w:val="0057144F"/>
    <w:rsid w:val="005748DC"/>
    <w:rsid w:val="00581ADD"/>
    <w:rsid w:val="005945D8"/>
    <w:rsid w:val="00597D49"/>
    <w:rsid w:val="005A241A"/>
    <w:rsid w:val="005A517A"/>
    <w:rsid w:val="005B4A2D"/>
    <w:rsid w:val="005E12B5"/>
    <w:rsid w:val="005F7F48"/>
    <w:rsid w:val="00600625"/>
    <w:rsid w:val="0060352E"/>
    <w:rsid w:val="00612349"/>
    <w:rsid w:val="00614AA2"/>
    <w:rsid w:val="00620C64"/>
    <w:rsid w:val="00641175"/>
    <w:rsid w:val="00657B03"/>
    <w:rsid w:val="00665433"/>
    <w:rsid w:val="006667CF"/>
    <w:rsid w:val="00681C19"/>
    <w:rsid w:val="006841C7"/>
    <w:rsid w:val="006867CE"/>
    <w:rsid w:val="00686A0F"/>
    <w:rsid w:val="00693704"/>
    <w:rsid w:val="006A3AC7"/>
    <w:rsid w:val="006B247C"/>
    <w:rsid w:val="006C4F7F"/>
    <w:rsid w:val="006D6D10"/>
    <w:rsid w:val="00702DD4"/>
    <w:rsid w:val="00715C07"/>
    <w:rsid w:val="00717606"/>
    <w:rsid w:val="00726149"/>
    <w:rsid w:val="00726694"/>
    <w:rsid w:val="007368BF"/>
    <w:rsid w:val="00770A06"/>
    <w:rsid w:val="00790318"/>
    <w:rsid w:val="00792C2D"/>
    <w:rsid w:val="00797303"/>
    <w:rsid w:val="007A3EA6"/>
    <w:rsid w:val="007A537C"/>
    <w:rsid w:val="007A5603"/>
    <w:rsid w:val="007C2619"/>
    <w:rsid w:val="007D0342"/>
    <w:rsid w:val="007D118E"/>
    <w:rsid w:val="007D1BFB"/>
    <w:rsid w:val="007D4A07"/>
    <w:rsid w:val="007D5C98"/>
    <w:rsid w:val="007E3BBC"/>
    <w:rsid w:val="007E47DD"/>
    <w:rsid w:val="007F06F8"/>
    <w:rsid w:val="007F1400"/>
    <w:rsid w:val="007F18F4"/>
    <w:rsid w:val="007F3DDE"/>
    <w:rsid w:val="007F4845"/>
    <w:rsid w:val="00802F4E"/>
    <w:rsid w:val="00814DAA"/>
    <w:rsid w:val="00821CBA"/>
    <w:rsid w:val="008277CC"/>
    <w:rsid w:val="008433C2"/>
    <w:rsid w:val="00861FA9"/>
    <w:rsid w:val="00863BFB"/>
    <w:rsid w:val="00880ADE"/>
    <w:rsid w:val="00883504"/>
    <w:rsid w:val="00892716"/>
    <w:rsid w:val="00897799"/>
    <w:rsid w:val="0089788D"/>
    <w:rsid w:val="008C4CBC"/>
    <w:rsid w:val="008C5E86"/>
    <w:rsid w:val="008F2038"/>
    <w:rsid w:val="00917D28"/>
    <w:rsid w:val="009410AE"/>
    <w:rsid w:val="00941EC0"/>
    <w:rsid w:val="00955023"/>
    <w:rsid w:val="00963CC2"/>
    <w:rsid w:val="009653A2"/>
    <w:rsid w:val="00965C49"/>
    <w:rsid w:val="0096602C"/>
    <w:rsid w:val="00996FCF"/>
    <w:rsid w:val="009A0522"/>
    <w:rsid w:val="009A0C0F"/>
    <w:rsid w:val="009A4B2F"/>
    <w:rsid w:val="009A7EEB"/>
    <w:rsid w:val="009B08D8"/>
    <w:rsid w:val="009B1509"/>
    <w:rsid w:val="009B36ED"/>
    <w:rsid w:val="00A03B40"/>
    <w:rsid w:val="00A21077"/>
    <w:rsid w:val="00A239B4"/>
    <w:rsid w:val="00A41BAA"/>
    <w:rsid w:val="00A43FE8"/>
    <w:rsid w:val="00A441C8"/>
    <w:rsid w:val="00A50F74"/>
    <w:rsid w:val="00A60236"/>
    <w:rsid w:val="00A60743"/>
    <w:rsid w:val="00A709D3"/>
    <w:rsid w:val="00A741B9"/>
    <w:rsid w:val="00A87697"/>
    <w:rsid w:val="00A87C7B"/>
    <w:rsid w:val="00AA29C6"/>
    <w:rsid w:val="00AA3D9B"/>
    <w:rsid w:val="00AA4F90"/>
    <w:rsid w:val="00AB0FE6"/>
    <w:rsid w:val="00AB48E7"/>
    <w:rsid w:val="00AC1F81"/>
    <w:rsid w:val="00AC4F4E"/>
    <w:rsid w:val="00AD7027"/>
    <w:rsid w:val="00AF0086"/>
    <w:rsid w:val="00AF6A4A"/>
    <w:rsid w:val="00B06909"/>
    <w:rsid w:val="00B06D56"/>
    <w:rsid w:val="00B222CE"/>
    <w:rsid w:val="00B30077"/>
    <w:rsid w:val="00B413C5"/>
    <w:rsid w:val="00B5646A"/>
    <w:rsid w:val="00B57682"/>
    <w:rsid w:val="00B65DB7"/>
    <w:rsid w:val="00B700CC"/>
    <w:rsid w:val="00B72464"/>
    <w:rsid w:val="00B727F6"/>
    <w:rsid w:val="00BA7AD4"/>
    <w:rsid w:val="00BB7FE4"/>
    <w:rsid w:val="00BC6A43"/>
    <w:rsid w:val="00BE13B6"/>
    <w:rsid w:val="00BE7C29"/>
    <w:rsid w:val="00C137A3"/>
    <w:rsid w:val="00C26747"/>
    <w:rsid w:val="00C2691C"/>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B4"/>
    <w:rsid w:val="00CF6263"/>
    <w:rsid w:val="00D10561"/>
    <w:rsid w:val="00D1427D"/>
    <w:rsid w:val="00D16006"/>
    <w:rsid w:val="00D26C9B"/>
    <w:rsid w:val="00D33561"/>
    <w:rsid w:val="00D376C2"/>
    <w:rsid w:val="00D46115"/>
    <w:rsid w:val="00D53E73"/>
    <w:rsid w:val="00D640AF"/>
    <w:rsid w:val="00D654B5"/>
    <w:rsid w:val="00D7010C"/>
    <w:rsid w:val="00D8051F"/>
    <w:rsid w:val="00D828C8"/>
    <w:rsid w:val="00D947AE"/>
    <w:rsid w:val="00D97BC9"/>
    <w:rsid w:val="00DA3BB9"/>
    <w:rsid w:val="00DA5E90"/>
    <w:rsid w:val="00DC2A1A"/>
    <w:rsid w:val="00DD22D3"/>
    <w:rsid w:val="00DD3A02"/>
    <w:rsid w:val="00DF7958"/>
    <w:rsid w:val="00E02E55"/>
    <w:rsid w:val="00E11E85"/>
    <w:rsid w:val="00E14646"/>
    <w:rsid w:val="00E21664"/>
    <w:rsid w:val="00E23A0A"/>
    <w:rsid w:val="00E376F8"/>
    <w:rsid w:val="00E37C90"/>
    <w:rsid w:val="00E40ED8"/>
    <w:rsid w:val="00E47BA7"/>
    <w:rsid w:val="00E52620"/>
    <w:rsid w:val="00E5392D"/>
    <w:rsid w:val="00E57B45"/>
    <w:rsid w:val="00E67E28"/>
    <w:rsid w:val="00E74C2A"/>
    <w:rsid w:val="00E86DAA"/>
    <w:rsid w:val="00EA23F6"/>
    <w:rsid w:val="00EE2055"/>
    <w:rsid w:val="00EE2B89"/>
    <w:rsid w:val="00EF1584"/>
    <w:rsid w:val="00EF57B2"/>
    <w:rsid w:val="00F02510"/>
    <w:rsid w:val="00F1224B"/>
    <w:rsid w:val="00F266C4"/>
    <w:rsid w:val="00F33E93"/>
    <w:rsid w:val="00F53B5F"/>
    <w:rsid w:val="00F61498"/>
    <w:rsid w:val="00F64DEA"/>
    <w:rsid w:val="00F77128"/>
    <w:rsid w:val="00F80261"/>
    <w:rsid w:val="00F85A8D"/>
    <w:rsid w:val="00F861FF"/>
    <w:rsid w:val="00F933C9"/>
    <w:rsid w:val="00FA2E9E"/>
    <w:rsid w:val="00FB026A"/>
    <w:rsid w:val="00FB0A62"/>
    <w:rsid w:val="00FB2295"/>
    <w:rsid w:val="00FD146B"/>
    <w:rsid w:val="00FD1C7D"/>
    <w:rsid w:val="00FD27B7"/>
    <w:rsid w:val="00FD5AA6"/>
    <w:rsid w:val="00FE1C54"/>
    <w:rsid w:val="00FF6FB6"/>
    <w:rsid w:val="02293B30"/>
    <w:rsid w:val="02D037B2"/>
    <w:rsid w:val="04850EA8"/>
    <w:rsid w:val="05675ECF"/>
    <w:rsid w:val="05766206"/>
    <w:rsid w:val="08A40C2F"/>
    <w:rsid w:val="08F44636"/>
    <w:rsid w:val="0DA10224"/>
    <w:rsid w:val="12D864F4"/>
    <w:rsid w:val="135D31CF"/>
    <w:rsid w:val="17DD7839"/>
    <w:rsid w:val="185A1AA5"/>
    <w:rsid w:val="19F824A4"/>
    <w:rsid w:val="1A832FC1"/>
    <w:rsid w:val="1DAB6F5C"/>
    <w:rsid w:val="20C93A4B"/>
    <w:rsid w:val="21983000"/>
    <w:rsid w:val="233B23C4"/>
    <w:rsid w:val="255D6ECD"/>
    <w:rsid w:val="27EC2101"/>
    <w:rsid w:val="289536A8"/>
    <w:rsid w:val="28D47B5D"/>
    <w:rsid w:val="29170A26"/>
    <w:rsid w:val="2AAC064E"/>
    <w:rsid w:val="2AF15082"/>
    <w:rsid w:val="39A92DD2"/>
    <w:rsid w:val="39CA7510"/>
    <w:rsid w:val="3C8863A0"/>
    <w:rsid w:val="3DDB2936"/>
    <w:rsid w:val="3ED51E49"/>
    <w:rsid w:val="3F253C47"/>
    <w:rsid w:val="3FAC4174"/>
    <w:rsid w:val="41933C1B"/>
    <w:rsid w:val="41C1381D"/>
    <w:rsid w:val="42440BBA"/>
    <w:rsid w:val="43235FF4"/>
    <w:rsid w:val="43993D51"/>
    <w:rsid w:val="44D74953"/>
    <w:rsid w:val="455E12AB"/>
    <w:rsid w:val="456008A7"/>
    <w:rsid w:val="45D16048"/>
    <w:rsid w:val="47C4574E"/>
    <w:rsid w:val="489B6C77"/>
    <w:rsid w:val="49A63AE3"/>
    <w:rsid w:val="4A2449D5"/>
    <w:rsid w:val="4B0B6BD1"/>
    <w:rsid w:val="4C5B7185"/>
    <w:rsid w:val="4CB571D5"/>
    <w:rsid w:val="4DFC350D"/>
    <w:rsid w:val="4EFD4BC3"/>
    <w:rsid w:val="4F117CA0"/>
    <w:rsid w:val="4F86316A"/>
    <w:rsid w:val="4FC070FF"/>
    <w:rsid w:val="539A0E2A"/>
    <w:rsid w:val="581921E5"/>
    <w:rsid w:val="585767E0"/>
    <w:rsid w:val="59A53C2F"/>
    <w:rsid w:val="5A910CFF"/>
    <w:rsid w:val="5B0D236C"/>
    <w:rsid w:val="5B992327"/>
    <w:rsid w:val="5C6C0165"/>
    <w:rsid w:val="5EFD5B80"/>
    <w:rsid w:val="6075653D"/>
    <w:rsid w:val="623D03E6"/>
    <w:rsid w:val="62C6140A"/>
    <w:rsid w:val="65E36874"/>
    <w:rsid w:val="67E2425C"/>
    <w:rsid w:val="68321382"/>
    <w:rsid w:val="6B0A3222"/>
    <w:rsid w:val="6B7A2760"/>
    <w:rsid w:val="6F0C37D9"/>
    <w:rsid w:val="71AE4A1F"/>
    <w:rsid w:val="72256461"/>
    <w:rsid w:val="72B22296"/>
    <w:rsid w:val="75DE488F"/>
    <w:rsid w:val="76C34502"/>
    <w:rsid w:val="776B1C9F"/>
    <w:rsid w:val="779E08B1"/>
    <w:rsid w:val="7820063A"/>
    <w:rsid w:val="78A72549"/>
    <w:rsid w:val="78D93A14"/>
    <w:rsid w:val="78F94F04"/>
    <w:rsid w:val="7C694828"/>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4">
    <w:name w:val="heading 1"/>
    <w:basedOn w:val="1"/>
    <w:next w:val="1"/>
    <w:link w:val="46"/>
    <w:qFormat/>
    <w:uiPriority w:val="0"/>
    <w:pPr>
      <w:spacing w:before="100" w:beforeAutospacing="1" w:after="100" w:afterAutospacing="1"/>
      <w:textAlignment w:val="auto"/>
      <w:outlineLvl w:val="0"/>
    </w:pPr>
    <w:rPr>
      <w:rFonts w:cs="宋体"/>
      <w:b/>
      <w:bCs/>
      <w:kern w:val="36"/>
      <w:sz w:val="48"/>
      <w:szCs w:val="48"/>
      <w:lang w:eastAsia="zh-CN"/>
    </w:rPr>
  </w:style>
  <w:style w:type="paragraph" w:styleId="5">
    <w:name w:val="heading 2"/>
    <w:basedOn w:val="1"/>
    <w:next w:val="1"/>
    <w:link w:val="5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1"/>
    <w:pPr>
      <w:spacing w:before="36"/>
      <w:jc w:val="center"/>
      <w:outlineLvl w:val="2"/>
    </w:pPr>
    <w:rPr>
      <w:b/>
      <w:bCs/>
      <w:sz w:val="36"/>
      <w:szCs w:val="36"/>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sz w:val="20"/>
      <w:szCs w:val="24"/>
    </w:r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pPr>
    <w:rPr>
      <w:color w:val="000000"/>
      <w:kern w:val="1"/>
      <w:szCs w:val="20"/>
    </w:rPr>
  </w:style>
  <w:style w:type="paragraph" w:styleId="11">
    <w:name w:val="annotation text"/>
    <w:basedOn w:val="1"/>
    <w:link w:val="53"/>
    <w:semiHidden/>
    <w:unhideWhenUsed/>
    <w:qFormat/>
    <w:uiPriority w:val="99"/>
  </w:style>
  <w:style w:type="paragraph" w:styleId="12">
    <w:name w:val="Body Text"/>
    <w:basedOn w:val="1"/>
    <w:next w:val="13"/>
    <w:qFormat/>
    <w:uiPriority w:val="0"/>
    <w:pPr>
      <w:spacing w:after="120"/>
    </w:p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4">
    <w:name w:val="Plain Text"/>
    <w:basedOn w:val="1"/>
    <w:link w:val="52"/>
    <w:qFormat/>
    <w:uiPriority w:val="99"/>
    <w:pPr>
      <w:widowControl w:val="0"/>
      <w:jc w:val="both"/>
      <w:textAlignment w:val="auto"/>
    </w:pPr>
    <w:rPr>
      <w:rFonts w:hAnsi="Courier New" w:cs="Courier New"/>
      <w:kern w:val="2"/>
      <w:sz w:val="21"/>
      <w:szCs w:val="21"/>
      <w:lang w:eastAsia="zh-CN"/>
    </w:rPr>
  </w:style>
  <w:style w:type="paragraph" w:styleId="15">
    <w:name w:val="Balloon Text"/>
    <w:basedOn w:val="1"/>
    <w:link w:val="65"/>
    <w:semiHidden/>
    <w:unhideWhenUsed/>
    <w:qFormat/>
    <w:uiPriority w:val="99"/>
    <w:rPr>
      <w:sz w:val="18"/>
      <w:szCs w:val="18"/>
    </w:rPr>
  </w:style>
  <w:style w:type="paragraph" w:styleId="16">
    <w:name w:val="footer"/>
    <w:basedOn w:val="1"/>
    <w:link w:val="45"/>
    <w:qFormat/>
    <w:uiPriority w:val="0"/>
    <w:pPr>
      <w:tabs>
        <w:tab w:val="center" w:pos="4153"/>
        <w:tab w:val="right" w:pos="8306"/>
      </w:tabs>
      <w:snapToGrid w:val="0"/>
    </w:pPr>
    <w:rPr>
      <w:sz w:val="18"/>
      <w:szCs w:val="18"/>
    </w:rPr>
  </w:style>
  <w:style w:type="paragraph" w:styleId="17">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99"/>
    <w:pPr>
      <w:spacing w:before="100" w:beforeAutospacing="1" w:after="100" w:afterAutospacing="1"/>
      <w:textAlignment w:val="auto"/>
    </w:pPr>
    <w:rPr>
      <w:rFonts w:cs="宋体"/>
      <w:sz w:val="24"/>
      <w:szCs w:val="24"/>
      <w:lang w:eastAsia="zh-CN"/>
    </w:rPr>
  </w:style>
  <w:style w:type="paragraph" w:styleId="19">
    <w:name w:val="annotation subject"/>
    <w:basedOn w:val="11"/>
    <w:next w:val="11"/>
    <w:link w:val="54"/>
    <w:unhideWhenUsed/>
    <w:qFormat/>
    <w:uiPriority w:val="99"/>
    <w:pPr>
      <w:widowControl w:val="0"/>
      <w:textAlignment w:val="auto"/>
    </w:pPr>
    <w:rPr>
      <w:rFonts w:ascii="Calibri" w:hAnsi="Calibri"/>
      <w:b/>
      <w:bCs/>
      <w:kern w:val="2"/>
      <w:sz w:val="21"/>
      <w:lang w:eastAsia="zh-CN"/>
    </w:rPr>
  </w:style>
  <w:style w:type="paragraph" w:styleId="20">
    <w:name w:val="Body Text First Indent"/>
    <w:basedOn w:val="12"/>
    <w:qFormat/>
    <w:uiPriority w:val="0"/>
    <w:pPr>
      <w:ind w:firstLine="42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qFormat/>
    <w:uiPriority w:val="99"/>
    <w:rPr>
      <w:rFonts w:cs="Times New Roman"/>
      <w:color w:val="555555"/>
      <w:u w:val="none"/>
    </w:rPr>
  </w:style>
  <w:style w:type="paragraph" w:customStyle="1" w:styleId="26">
    <w:name w:val="_Style 1"/>
    <w:basedOn w:val="1"/>
    <w:qFormat/>
    <w:uiPriority w:val="0"/>
    <w:pPr>
      <w:ind w:firstLine="420" w:firstLineChars="200"/>
    </w:pPr>
    <w:rPr>
      <w:rFonts w:ascii="Times New Roman" w:hAnsi="Times New Roman"/>
      <w:szCs w:val="24"/>
    </w:rPr>
  </w:style>
  <w:style w:type="paragraph" w:customStyle="1" w:styleId="27">
    <w:name w:val="正"/>
    <w:basedOn w:val="28"/>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28">
    <w:name w:val="正文_1"/>
    <w:next w:val="27"/>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29">
    <w:name w:val="NormalCharacter"/>
    <w:qFormat/>
    <w:uiPriority w:val="0"/>
  </w:style>
  <w:style w:type="table" w:customStyle="1" w:styleId="30">
    <w:name w:val="TableNormal"/>
    <w:qFormat/>
    <w:uiPriority w:val="0"/>
    <w:tblPr>
      <w:tblCellMar>
        <w:top w:w="0" w:type="dxa"/>
        <w:left w:w="0" w:type="dxa"/>
        <w:bottom w:w="0" w:type="dxa"/>
        <w:right w:w="0" w:type="dxa"/>
      </w:tblCellMar>
    </w:tblPr>
  </w:style>
  <w:style w:type="paragraph" w:customStyle="1" w:styleId="31">
    <w:name w:val="UserStyle_0"/>
    <w:basedOn w:val="1"/>
    <w:qFormat/>
    <w:uiPriority w:val="0"/>
    <w:pPr>
      <w:ind w:firstLine="560"/>
    </w:pPr>
  </w:style>
  <w:style w:type="paragraph" w:customStyle="1" w:styleId="32">
    <w:name w:val="BodyText"/>
    <w:basedOn w:val="1"/>
    <w:qFormat/>
    <w:uiPriority w:val="0"/>
    <w:pPr>
      <w:ind w:left="109"/>
    </w:pPr>
    <w:rPr>
      <w:sz w:val="24"/>
      <w:szCs w:val="24"/>
    </w:rPr>
  </w:style>
  <w:style w:type="paragraph" w:customStyle="1" w:styleId="33">
    <w:name w:val="BodyText1I"/>
    <w:basedOn w:val="32"/>
    <w:qFormat/>
    <w:uiPriority w:val="0"/>
    <w:pPr>
      <w:ind w:firstLine="420" w:firstLineChars="100"/>
      <w:jc w:val="center"/>
    </w:pPr>
    <w:rPr>
      <w:rFonts w:cs="宋体"/>
      <w:b/>
      <w:bCs/>
      <w:kern w:val="2"/>
      <w:sz w:val="36"/>
    </w:rPr>
  </w:style>
  <w:style w:type="paragraph" w:customStyle="1" w:styleId="34">
    <w:name w:val="UserStyle_1"/>
    <w:basedOn w:val="1"/>
    <w:qFormat/>
    <w:uiPriority w:val="0"/>
    <w:pPr>
      <w:ind w:left="54"/>
      <w:jc w:val="center"/>
    </w:pPr>
    <w:rPr>
      <w:rFonts w:cs="宋体"/>
      <w:b/>
      <w:bCs/>
      <w:sz w:val="40"/>
      <w:szCs w:val="40"/>
    </w:rPr>
  </w:style>
  <w:style w:type="paragraph" w:customStyle="1" w:styleId="35">
    <w:name w:val="UserStyle_2"/>
    <w:basedOn w:val="1"/>
    <w:qFormat/>
    <w:uiPriority w:val="0"/>
    <w:pPr>
      <w:jc w:val="center"/>
    </w:pPr>
    <w:rPr>
      <w:rFonts w:cs="宋体"/>
      <w:b/>
      <w:bCs/>
      <w:sz w:val="36"/>
      <w:szCs w:val="36"/>
    </w:rPr>
  </w:style>
  <w:style w:type="paragraph" w:customStyle="1" w:styleId="36">
    <w:name w:val="UserStyle_3"/>
    <w:basedOn w:val="1"/>
    <w:qFormat/>
    <w:uiPriority w:val="0"/>
    <w:pPr>
      <w:ind w:left="23"/>
      <w:jc w:val="center"/>
    </w:pPr>
    <w:rPr>
      <w:rFonts w:cs="宋体"/>
      <w:b/>
      <w:bCs/>
      <w:sz w:val="30"/>
      <w:szCs w:val="30"/>
    </w:rPr>
  </w:style>
  <w:style w:type="paragraph" w:customStyle="1" w:styleId="37">
    <w:name w:val="UserStyle_4"/>
    <w:basedOn w:val="1"/>
    <w:qFormat/>
    <w:uiPriority w:val="0"/>
  </w:style>
  <w:style w:type="table" w:customStyle="1" w:styleId="38">
    <w:name w:val="UserStyle_5"/>
    <w:qFormat/>
    <w:uiPriority w:val="0"/>
    <w:tblPr>
      <w:tblCellMar>
        <w:top w:w="0" w:type="dxa"/>
        <w:left w:w="0" w:type="dxa"/>
        <w:bottom w:w="0" w:type="dxa"/>
        <w:right w:w="0" w:type="dxa"/>
      </w:tblCellMar>
    </w:tblPr>
  </w:style>
  <w:style w:type="paragraph" w:customStyle="1" w:styleId="39">
    <w:name w:val="UserStyle_6"/>
    <w:basedOn w:val="1"/>
    <w:qFormat/>
    <w:uiPriority w:val="0"/>
    <w:pPr>
      <w:spacing w:before="31"/>
      <w:ind w:left="591"/>
    </w:pPr>
    <w:rPr>
      <w:rFonts w:cs="宋体"/>
      <w:b/>
      <w:bCs/>
      <w:sz w:val="24"/>
      <w:szCs w:val="24"/>
    </w:rPr>
  </w:style>
  <w:style w:type="paragraph" w:customStyle="1" w:styleId="40">
    <w:name w:val="UserStyle_7"/>
    <w:basedOn w:val="1"/>
    <w:qFormat/>
    <w:uiPriority w:val="0"/>
    <w:pPr>
      <w:ind w:left="152"/>
      <w:jc w:val="center"/>
    </w:pPr>
    <w:rPr>
      <w:rFonts w:cs="宋体"/>
      <w:b/>
      <w:bCs/>
      <w:sz w:val="32"/>
      <w:szCs w:val="32"/>
    </w:rPr>
  </w:style>
  <w:style w:type="paragraph" w:customStyle="1" w:styleId="41">
    <w:name w:val="179"/>
    <w:basedOn w:val="1"/>
    <w:qFormat/>
    <w:uiPriority w:val="0"/>
    <w:pPr>
      <w:spacing w:before="31"/>
      <w:ind w:left="109" w:firstLine="480"/>
    </w:pPr>
  </w:style>
  <w:style w:type="paragraph" w:customStyle="1" w:styleId="42">
    <w:name w:val="UserStyle_8"/>
    <w:basedOn w:val="1"/>
    <w:qFormat/>
    <w:uiPriority w:val="0"/>
    <w:pPr>
      <w:ind w:left="109"/>
    </w:pPr>
    <w:rPr>
      <w:rFonts w:cs="宋体"/>
      <w:b/>
      <w:bCs/>
      <w:sz w:val="28"/>
      <w:szCs w:val="28"/>
    </w:rPr>
  </w:style>
  <w:style w:type="paragraph" w:customStyle="1" w:styleId="43">
    <w:name w:val="UserStyle_9"/>
    <w:basedOn w:val="1"/>
    <w:qFormat/>
    <w:uiPriority w:val="0"/>
    <w:pPr>
      <w:ind w:firstLine="420" w:firstLineChars="200"/>
    </w:pPr>
  </w:style>
  <w:style w:type="character" w:customStyle="1" w:styleId="44">
    <w:name w:val="页眉 Char"/>
    <w:basedOn w:val="23"/>
    <w:link w:val="17"/>
    <w:qFormat/>
    <w:uiPriority w:val="99"/>
    <w:rPr>
      <w:rFonts w:ascii="宋体" w:hAnsi="宋体"/>
      <w:sz w:val="18"/>
      <w:szCs w:val="18"/>
      <w:lang w:eastAsia="en-US"/>
    </w:rPr>
  </w:style>
  <w:style w:type="character" w:customStyle="1" w:styleId="45">
    <w:name w:val="页脚 Char"/>
    <w:basedOn w:val="23"/>
    <w:link w:val="16"/>
    <w:qFormat/>
    <w:uiPriority w:val="0"/>
    <w:rPr>
      <w:rFonts w:ascii="宋体" w:hAnsi="宋体"/>
      <w:sz w:val="18"/>
      <w:szCs w:val="18"/>
      <w:lang w:eastAsia="en-US"/>
    </w:rPr>
  </w:style>
  <w:style w:type="character" w:customStyle="1" w:styleId="46">
    <w:name w:val="标题 1 Char"/>
    <w:basedOn w:val="23"/>
    <w:link w:val="4"/>
    <w:qFormat/>
    <w:uiPriority w:val="9"/>
    <w:rPr>
      <w:rFonts w:ascii="宋体" w:hAnsi="宋体" w:cs="宋体"/>
      <w:b/>
      <w:bCs/>
      <w:kern w:val="36"/>
      <w:sz w:val="48"/>
      <w:szCs w:val="48"/>
    </w:rPr>
  </w:style>
  <w:style w:type="paragraph" w:customStyle="1" w:styleId="47">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48">
    <w:name w:val="bookmark-item"/>
    <w:basedOn w:val="23"/>
    <w:qFormat/>
    <w:uiPriority w:val="0"/>
  </w:style>
  <w:style w:type="paragraph" w:styleId="49">
    <w:name w:val="List Paragraph"/>
    <w:basedOn w:val="1"/>
    <w:qFormat/>
    <w:uiPriority w:val="34"/>
    <w:pPr>
      <w:ind w:firstLine="420" w:firstLineChars="200"/>
    </w:pPr>
  </w:style>
  <w:style w:type="paragraph" w:customStyle="1" w:styleId="50">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1">
    <w:name w:val="Table Paragraph"/>
    <w:basedOn w:val="1"/>
    <w:qFormat/>
    <w:uiPriority w:val="1"/>
    <w:pPr>
      <w:widowControl w:val="0"/>
      <w:autoSpaceDE w:val="0"/>
      <w:autoSpaceDN w:val="0"/>
      <w:textAlignment w:val="auto"/>
    </w:pPr>
    <w:rPr>
      <w:rFonts w:cs="宋体"/>
      <w:lang w:eastAsia="zh-CN"/>
    </w:rPr>
  </w:style>
  <w:style w:type="character" w:customStyle="1" w:styleId="52">
    <w:name w:val="纯文本 Char"/>
    <w:basedOn w:val="23"/>
    <w:link w:val="14"/>
    <w:qFormat/>
    <w:uiPriority w:val="99"/>
    <w:rPr>
      <w:rFonts w:ascii="宋体" w:hAnsi="Courier New" w:cs="Courier New"/>
      <w:kern w:val="2"/>
      <w:sz w:val="21"/>
      <w:szCs w:val="21"/>
    </w:rPr>
  </w:style>
  <w:style w:type="character" w:customStyle="1" w:styleId="53">
    <w:name w:val="批注文字 Char"/>
    <w:basedOn w:val="23"/>
    <w:link w:val="11"/>
    <w:semiHidden/>
    <w:qFormat/>
    <w:uiPriority w:val="99"/>
    <w:rPr>
      <w:rFonts w:ascii="宋体" w:hAnsi="宋体"/>
      <w:sz w:val="22"/>
      <w:szCs w:val="22"/>
      <w:lang w:eastAsia="en-US"/>
    </w:rPr>
  </w:style>
  <w:style w:type="character" w:customStyle="1" w:styleId="54">
    <w:name w:val="批注主题 Char"/>
    <w:basedOn w:val="53"/>
    <w:link w:val="19"/>
    <w:qFormat/>
    <w:uiPriority w:val="99"/>
    <w:rPr>
      <w:rFonts w:ascii="Calibri" w:hAnsi="Calibri"/>
      <w:b/>
      <w:bCs/>
      <w:kern w:val="2"/>
      <w:sz w:val="21"/>
      <w:szCs w:val="22"/>
      <w:lang w:eastAsia="en-US"/>
    </w:rPr>
  </w:style>
  <w:style w:type="paragraph" w:customStyle="1" w:styleId="55">
    <w:name w:val="采购一级"/>
    <w:basedOn w:val="4"/>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56">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57">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标题 2 Char"/>
    <w:basedOn w:val="23"/>
    <w:link w:val="5"/>
    <w:semiHidden/>
    <w:qFormat/>
    <w:uiPriority w:val="9"/>
    <w:rPr>
      <w:rFonts w:asciiTheme="majorHAnsi" w:hAnsiTheme="majorHAnsi" w:eastAsiaTheme="majorEastAsia" w:cstheme="majorBidi"/>
      <w:b/>
      <w:bCs/>
      <w:sz w:val="32"/>
      <w:szCs w:val="32"/>
      <w:lang w:eastAsia="en-US"/>
    </w:rPr>
  </w:style>
  <w:style w:type="paragraph" w:customStyle="1" w:styleId="59">
    <w:name w:val="偏离"/>
    <w:basedOn w:val="1"/>
    <w:qFormat/>
    <w:uiPriority w:val="1"/>
    <w:pPr>
      <w:spacing w:line="360" w:lineRule="auto"/>
      <w:jc w:val="center"/>
    </w:pPr>
  </w:style>
  <w:style w:type="paragraph" w:customStyle="1" w:styleId="60">
    <w:name w:val="表格文字2"/>
    <w:basedOn w:val="61"/>
    <w:qFormat/>
    <w:uiPriority w:val="99"/>
    <w:pPr>
      <w:spacing w:before="25" w:after="25"/>
      <w:jc w:val="left"/>
    </w:pPr>
    <w:rPr>
      <w:bCs/>
      <w:spacing w:val="10"/>
      <w:kern w:val="0"/>
    </w:rPr>
  </w:style>
  <w:style w:type="paragraph" w:customStyle="1" w:styleId="6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2">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63">
    <w:name w:val="首行缩进"/>
    <w:basedOn w:val="1"/>
    <w:qFormat/>
    <w:uiPriority w:val="0"/>
    <w:pPr>
      <w:spacing w:line="360" w:lineRule="auto"/>
      <w:ind w:firstLine="480" w:firstLineChars="200"/>
    </w:pPr>
    <w:rPr>
      <w:sz w:val="24"/>
      <w:lang w:val="zh-CN"/>
    </w:rPr>
  </w:style>
  <w:style w:type="paragraph" w:customStyle="1" w:styleId="64">
    <w:name w:val="正文缩进1"/>
    <w:basedOn w:val="1"/>
    <w:qFormat/>
    <w:uiPriority w:val="0"/>
    <w:pPr>
      <w:ind w:firstLine="420" w:firstLineChars="200"/>
    </w:pPr>
  </w:style>
  <w:style w:type="character" w:customStyle="1" w:styleId="65">
    <w:name w:val="批注框文本 Char"/>
    <w:basedOn w:val="23"/>
    <w:link w:val="15"/>
    <w:semiHidden/>
    <w:qFormat/>
    <w:uiPriority w:val="99"/>
    <w:rPr>
      <w:rFonts w:ascii="宋体" w:hAnsi="宋体"/>
      <w:sz w:val="18"/>
      <w:szCs w:val="18"/>
      <w:lang w:eastAsia="en-US"/>
    </w:rPr>
  </w:style>
  <w:style w:type="paragraph" w:customStyle="1" w:styleId="66">
    <w:name w:val="列出段落2"/>
    <w:basedOn w:val="1"/>
    <w:qFormat/>
    <w:uiPriority w:val="34"/>
    <w:pPr>
      <w:ind w:firstLine="420" w:firstLineChars="200"/>
    </w:pPr>
  </w:style>
  <w:style w:type="table" w:customStyle="1" w:styleId="67">
    <w:name w:val="网格型1"/>
    <w:basedOn w:val="2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8">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69">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26810</Words>
  <Characters>28509</Characters>
  <Lines>201</Lines>
  <Paragraphs>56</Paragraphs>
  <TotalTime>15</TotalTime>
  <ScaleCrop>false</ScaleCrop>
  <LinksUpToDate>false</LinksUpToDate>
  <CharactersWithSpaces>29058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2022-12-08T03:52:00Z</dcterms:created>
  <dc:creator>Administrator</dc:creator>
  <cp:lastModifiedBy>晨～曦</cp:lastModifiedBy>
  <cp:lastPrinted>2020-07-05T04:21:00Z</cp:lastPrinted>
  <dcterms:modified xsi:type="dcterms:W3CDTF">2023-09-26T04:54:57Z</dcterms:modified>
  <dc:title>新疆维吾尔自治区公安厅特警总队智能枪弹柜采购项目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B2ED4ED2CF1E4B28866F340938B45ECA_13</vt:lpwstr>
  </property>
</Properties>
</file>