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313" w:line="223" w:lineRule="auto"/>
        <w:ind w:left="3353"/>
        <w:outlineLvl w:val="0"/>
        <w:rPr>
          <w:sz w:val="40"/>
          <w:szCs w:val="40"/>
        </w:rPr>
      </w:pPr>
      <w:r>
        <w:rPr>
          <w:spacing w:val="-9"/>
          <w:sz w:val="40"/>
          <w:szCs w:val="40"/>
          <w14:textOutline w14:w="7282" w14:cap="sq" w14:cmpd="sng">
            <w14:solidFill>
              <w14:srgbClr w14:val="000000"/>
            </w14:solidFill>
            <w14:prstDash w14:val="solid"/>
            <w14:bevel/>
          </w14:textOutline>
        </w:rPr>
        <w:t>招标公告</w:t>
      </w:r>
    </w:p>
    <w:p>
      <w:pPr>
        <w:pStyle w:val="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600" w:lineRule="exact"/>
        <w:ind w:right="0"/>
        <w:jc w:val="center"/>
        <w:textAlignment w:val="auto"/>
        <w:rPr>
          <w:rFonts w:hint="default" w:ascii="仿宋" w:hAnsi="仿宋" w:eastAsia="仿宋" w:cs="仿宋"/>
          <w:b/>
          <w:bCs/>
          <w:color w:val="auto"/>
          <w:spacing w:val="-6"/>
          <w:kern w:val="0"/>
          <w:sz w:val="28"/>
          <w:szCs w:val="28"/>
          <w:highlight w:val="none"/>
          <w:u w:val="none"/>
          <w:lang w:val="en-US" w:eastAsia="zh-CN" w:bidi="ar"/>
        </w:rPr>
      </w:pPr>
      <w:r>
        <w:rPr>
          <w:rFonts w:hint="eastAsia" w:ascii="仿宋" w:hAnsi="仿宋" w:eastAsia="仿宋" w:cs="仿宋"/>
          <w:b/>
          <w:bCs/>
          <w:color w:val="auto"/>
          <w:spacing w:val="-6"/>
          <w:kern w:val="0"/>
          <w:sz w:val="28"/>
          <w:szCs w:val="28"/>
          <w:highlight w:val="none"/>
          <w:u w:val="none"/>
          <w:lang w:val="en-US" w:eastAsia="zh-CN" w:bidi="ar"/>
        </w:rPr>
        <w:t>英吉沙立诚工程咨询有限公司关于新疆喀什地区英吉沙县人民医院克孜勒乡急救站购置医疗设备、中医康复科设备采购项目竞争性磋商公告</w:t>
      </w:r>
    </w:p>
    <w:tbl>
      <w:tblPr>
        <w:tblStyle w:val="5"/>
        <w:tblpPr w:leftFromText="180" w:rightFromText="180" w:vertAnchor="page" w:horzAnchor="page" w:tblpX="963" w:tblpY="3399"/>
        <w:tblOverlap w:val="never"/>
        <w:tblW w:w="99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9984"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left="0" w:right="0"/>
              <w:jc w:val="left"/>
              <w:textAlignment w:val="auto"/>
              <w:rPr>
                <w:rFonts w:hint="eastAsia" w:ascii="仿宋" w:hAnsi="仿宋" w:eastAsia="仿宋" w:cs="仿宋"/>
                <w:color w:val="auto"/>
                <w:sz w:val="21"/>
                <w:szCs w:val="21"/>
                <w:highlight w:val="none"/>
              </w:rPr>
            </w:pPr>
            <w:r>
              <w:rPr>
                <w:rFonts w:hint="eastAsia" w:ascii="仿宋" w:hAnsi="仿宋" w:eastAsia="仿宋" w:cs="仿宋"/>
                <w:i w:val="0"/>
                <w:caps w:val="0"/>
                <w:color w:val="auto"/>
                <w:spacing w:val="0"/>
                <w:kern w:val="0"/>
                <w:sz w:val="21"/>
                <w:szCs w:val="21"/>
                <w:highlight w:val="none"/>
              </w:rPr>
              <w:t>项目概况</w:t>
            </w:r>
          </w:p>
          <w:p>
            <w:pPr>
              <w:pStyle w:val="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left="0" w:right="0"/>
              <w:textAlignment w:val="auto"/>
              <w:rPr>
                <w:rFonts w:hint="eastAsia" w:ascii="仿宋" w:hAnsi="仿宋" w:eastAsia="仿宋" w:cs="仿宋"/>
                <w:color w:val="auto"/>
                <w:sz w:val="21"/>
                <w:szCs w:val="21"/>
                <w:highlight w:val="none"/>
              </w:rPr>
            </w:pPr>
            <w:r>
              <w:rPr>
                <w:rFonts w:hint="eastAsia" w:ascii="仿宋" w:hAnsi="仿宋" w:eastAsia="仿宋" w:cs="仿宋"/>
                <w:i w:val="0"/>
                <w:caps w:val="0"/>
                <w:color w:val="auto"/>
                <w:spacing w:val="0"/>
                <w:kern w:val="0"/>
                <w:sz w:val="21"/>
                <w:szCs w:val="21"/>
                <w:highlight w:val="none"/>
              </w:rPr>
              <w:t xml:space="preserve"> </w:t>
            </w:r>
            <w:r>
              <w:rPr>
                <w:rFonts w:hint="eastAsia" w:ascii="仿宋" w:hAnsi="仿宋" w:eastAsia="仿宋" w:cs="仿宋"/>
                <w:i w:val="0"/>
                <w:caps w:val="0"/>
                <w:color w:val="auto"/>
                <w:spacing w:val="0"/>
                <w:kern w:val="0"/>
                <w:sz w:val="21"/>
                <w:szCs w:val="21"/>
                <w:highlight w:val="none"/>
                <w:lang w:val="en-US" w:eastAsia="zh-CN"/>
              </w:rPr>
              <w:t xml:space="preserve">  新疆喀什地区英吉沙县人民医院克孜勒乡急救站购置医疗设备、中医康复科设备采购项目的潜在供应商应登陆政采云平台http://www.zcygov.cn/，在线申请获取竞争性磋商文件（登录政府采购云平台→ 项目采购 → 获取竞争性磋商文件，如有操作性问题，可与政采云在线客服进行咨询，咨询电话：95763）。获取采购文件，并于2023年10月12日16:00（北京时间）前提交响应文件。    </w:t>
            </w:r>
          </w:p>
        </w:tc>
      </w:tr>
    </w:tbl>
    <w:p>
      <w:pPr>
        <w:pStyle w:val="4"/>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240" w:lineRule="auto"/>
        <w:ind w:right="0" w:rightChars="0"/>
        <w:jc w:val="both"/>
        <w:textAlignment w:val="auto"/>
        <w:rPr>
          <w:rFonts w:hint="eastAsia" w:ascii="仿宋" w:hAnsi="仿宋" w:eastAsia="仿宋" w:cs="仿宋"/>
          <w:b/>
          <w:bCs/>
          <w:color w:val="auto"/>
          <w:spacing w:val="-6"/>
          <w:kern w:val="0"/>
          <w:sz w:val="28"/>
          <w:szCs w:val="28"/>
          <w:highlight w:val="none"/>
          <w:u w:val="none"/>
          <w:lang w:val="en-US" w:eastAsia="zh-CN" w:bidi="ar"/>
        </w:rPr>
      </w:pPr>
    </w:p>
    <w:p>
      <w:pPr>
        <w:pStyle w:val="4"/>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240" w:lineRule="auto"/>
        <w:ind w:right="0" w:rightChars="0"/>
        <w:jc w:val="both"/>
        <w:textAlignment w:val="auto"/>
        <w:rPr>
          <w:rFonts w:hint="eastAsia" w:ascii="仿宋" w:hAnsi="仿宋" w:eastAsia="仿宋" w:cs="仿宋"/>
          <w:b/>
          <w:bCs/>
          <w:color w:val="auto"/>
          <w:kern w:val="0"/>
          <w:sz w:val="21"/>
          <w:szCs w:val="21"/>
          <w:highlight w:val="none"/>
          <w:u w:val="none"/>
          <w:lang w:val="en-US" w:eastAsia="zh-CN" w:bidi="ar"/>
        </w:rPr>
      </w:pPr>
      <w:r>
        <w:rPr>
          <w:rFonts w:hint="eastAsia" w:ascii="仿宋" w:hAnsi="仿宋" w:eastAsia="仿宋" w:cs="仿宋"/>
          <w:b/>
          <w:bCs/>
          <w:color w:val="auto"/>
          <w:kern w:val="0"/>
          <w:sz w:val="21"/>
          <w:szCs w:val="21"/>
          <w:highlight w:val="none"/>
          <w:u w:val="none"/>
          <w:lang w:val="en-US" w:eastAsia="zh-CN" w:bidi="ar"/>
        </w:rPr>
        <w:t>一、项目基本情况</w:t>
      </w:r>
    </w:p>
    <w:p>
      <w:pPr>
        <w:pStyle w:val="4"/>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240" w:lineRule="auto"/>
        <w:ind w:right="0" w:rightChars="0"/>
        <w:jc w:val="both"/>
        <w:textAlignment w:val="auto"/>
        <w:rPr>
          <w:rFonts w:hint="default"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项目编号：YJSLC(CGZB)-2023-006</w:t>
      </w:r>
    </w:p>
    <w:p>
      <w:pPr>
        <w:pStyle w:val="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项目名称：</w:t>
      </w:r>
      <w:r>
        <w:rPr>
          <w:rFonts w:hint="eastAsia" w:ascii="仿宋" w:hAnsi="仿宋" w:eastAsia="仿宋" w:cs="仿宋"/>
          <w:i w:val="0"/>
          <w:caps w:val="0"/>
          <w:color w:val="auto"/>
          <w:spacing w:val="0"/>
          <w:kern w:val="0"/>
          <w:sz w:val="21"/>
          <w:szCs w:val="21"/>
          <w:highlight w:val="none"/>
          <w:lang w:val="en-US" w:eastAsia="zh-CN"/>
        </w:rPr>
        <w:t>新疆喀什地区英吉沙县人民医院克孜勒乡急救站购置医疗设备、中医康复科设备采购项目</w:t>
      </w:r>
    </w:p>
    <w:p>
      <w:pPr>
        <w:pStyle w:val="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采购方式：竞争性磋商</w:t>
      </w:r>
    </w:p>
    <w:p>
      <w:pPr>
        <w:pStyle w:val="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left="0"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i w:val="0"/>
          <w:caps w:val="0"/>
          <w:color w:val="auto"/>
          <w:spacing w:val="0"/>
          <w:kern w:val="0"/>
          <w:sz w:val="21"/>
          <w:szCs w:val="21"/>
          <w:highlight w:val="none"/>
        </w:rPr>
        <w:t>预算金额（元）</w:t>
      </w:r>
      <w:r>
        <w:rPr>
          <w:rFonts w:hint="eastAsia" w:ascii="仿宋" w:hAnsi="仿宋" w:eastAsia="仿宋" w:cs="仿宋"/>
          <w:color w:val="auto"/>
          <w:kern w:val="0"/>
          <w:sz w:val="21"/>
          <w:szCs w:val="21"/>
          <w:highlight w:val="none"/>
          <w:u w:val="none"/>
          <w:lang w:val="en-US" w:eastAsia="zh-CN" w:bidi="ar"/>
        </w:rPr>
        <w:t>：419300.00</w:t>
      </w:r>
    </w:p>
    <w:p>
      <w:pPr>
        <w:pStyle w:val="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default"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最高限价（元）：361300、58000</w:t>
      </w:r>
    </w:p>
    <w:p>
      <w:pPr>
        <w:pStyle w:val="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i w:val="0"/>
          <w:caps w:val="0"/>
          <w:color w:val="auto"/>
          <w:spacing w:val="0"/>
          <w:kern w:val="0"/>
          <w:sz w:val="21"/>
          <w:szCs w:val="21"/>
          <w:highlight w:val="none"/>
        </w:rPr>
      </w:pPr>
      <w:r>
        <w:rPr>
          <w:rFonts w:hint="eastAsia" w:ascii="仿宋" w:hAnsi="仿宋" w:eastAsia="仿宋" w:cs="仿宋"/>
          <w:i w:val="0"/>
          <w:caps w:val="0"/>
          <w:color w:val="auto"/>
          <w:spacing w:val="0"/>
          <w:kern w:val="0"/>
          <w:sz w:val="21"/>
          <w:szCs w:val="21"/>
          <w:highlight w:val="none"/>
        </w:rPr>
        <w:t>采购需求：</w:t>
      </w:r>
    </w:p>
    <w:p>
      <w:pPr>
        <w:pStyle w:val="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default" w:ascii="仿宋" w:hAnsi="仿宋" w:eastAsia="仿宋" w:cs="仿宋"/>
          <w:color w:val="auto"/>
          <w:kern w:val="0"/>
          <w:sz w:val="21"/>
          <w:szCs w:val="21"/>
          <w:highlight w:val="none"/>
          <w:u w:val="none"/>
          <w:lang w:val="en-US" w:eastAsia="zh-CN" w:bidi="ar"/>
        </w:rPr>
      </w:pPr>
      <w:r>
        <w:rPr>
          <w:rFonts w:hint="eastAsia" w:ascii="仿宋" w:hAnsi="仿宋" w:eastAsia="仿宋" w:cs="仿宋"/>
          <w:i w:val="0"/>
          <w:caps w:val="0"/>
          <w:color w:val="auto"/>
          <w:spacing w:val="0"/>
          <w:kern w:val="0"/>
          <w:sz w:val="21"/>
          <w:szCs w:val="21"/>
          <w:highlight w:val="none"/>
          <w:lang w:val="en-US" w:eastAsia="zh-CN"/>
        </w:rPr>
        <w:t>标项名称: 新疆喀什地区英吉沙县人民医院克孜勒乡急救站购置医疗设备项目（一包）</w:t>
      </w:r>
    </w:p>
    <w:p>
      <w:pPr>
        <w:pStyle w:val="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i w:val="0"/>
          <w:caps w:val="0"/>
          <w:color w:val="auto"/>
          <w:spacing w:val="0"/>
          <w:kern w:val="0"/>
          <w:sz w:val="21"/>
          <w:szCs w:val="21"/>
          <w:highlight w:val="none"/>
          <w:lang w:val="en-US" w:eastAsia="zh-CN"/>
        </w:rPr>
      </w:pPr>
      <w:r>
        <w:rPr>
          <w:rFonts w:hint="eastAsia" w:ascii="仿宋" w:hAnsi="仿宋" w:eastAsia="仿宋" w:cs="仿宋"/>
          <w:i w:val="0"/>
          <w:caps w:val="0"/>
          <w:color w:val="auto"/>
          <w:spacing w:val="0"/>
          <w:kern w:val="0"/>
          <w:sz w:val="21"/>
          <w:szCs w:val="21"/>
          <w:highlight w:val="none"/>
          <w:lang w:val="en-US" w:eastAsia="zh-CN"/>
        </w:rPr>
        <w:t>数量: 1  </w:t>
      </w:r>
    </w:p>
    <w:p>
      <w:pPr>
        <w:pStyle w:val="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i w:val="0"/>
          <w:caps w:val="0"/>
          <w:color w:val="auto"/>
          <w:spacing w:val="0"/>
          <w:kern w:val="0"/>
          <w:sz w:val="21"/>
          <w:szCs w:val="21"/>
          <w:highlight w:val="none"/>
          <w:lang w:val="en-US" w:eastAsia="zh-CN"/>
        </w:rPr>
        <w:t>预算金额（元）：361300</w:t>
      </w:r>
    </w:p>
    <w:p>
      <w:pPr>
        <w:pStyle w:val="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单位：批</w:t>
      </w:r>
    </w:p>
    <w:p>
      <w:pPr>
        <w:pStyle w:val="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default" w:ascii="仿宋" w:hAnsi="仿宋" w:eastAsia="仿宋" w:cs="仿宋"/>
          <w:i w:val="0"/>
          <w:caps w:val="0"/>
          <w:color w:val="auto"/>
          <w:spacing w:val="0"/>
          <w:kern w:val="0"/>
          <w:sz w:val="21"/>
          <w:szCs w:val="21"/>
          <w:highlight w:val="none"/>
          <w:lang w:val="en-US" w:eastAsia="zh-CN"/>
        </w:rPr>
      </w:pPr>
      <w:r>
        <w:rPr>
          <w:rFonts w:hint="eastAsia" w:ascii="仿宋" w:hAnsi="仿宋" w:eastAsia="仿宋" w:cs="仿宋"/>
          <w:i w:val="0"/>
          <w:caps w:val="0"/>
          <w:color w:val="auto"/>
          <w:spacing w:val="0"/>
          <w:kern w:val="0"/>
          <w:sz w:val="21"/>
          <w:szCs w:val="21"/>
          <w:highlight w:val="none"/>
          <w:lang w:val="en-US" w:eastAsia="zh-CN"/>
        </w:rPr>
        <w:t>简要规格描述：具体详见竞争性磋商文件</w:t>
      </w:r>
    </w:p>
    <w:p>
      <w:pPr>
        <w:pStyle w:val="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i w:val="0"/>
          <w:caps w:val="0"/>
          <w:color w:val="auto"/>
          <w:spacing w:val="0"/>
          <w:kern w:val="0"/>
          <w:sz w:val="21"/>
          <w:szCs w:val="21"/>
          <w:highlight w:val="none"/>
          <w:lang w:val="en-US" w:eastAsia="zh-CN"/>
        </w:rPr>
      </w:pPr>
      <w:r>
        <w:rPr>
          <w:rFonts w:hint="eastAsia" w:ascii="仿宋" w:hAnsi="仿宋" w:eastAsia="仿宋" w:cs="仿宋"/>
          <w:i w:val="0"/>
          <w:caps w:val="0"/>
          <w:color w:val="auto"/>
          <w:spacing w:val="0"/>
          <w:kern w:val="0"/>
          <w:sz w:val="21"/>
          <w:szCs w:val="21"/>
          <w:highlight w:val="none"/>
          <w:lang w:val="en-US" w:eastAsia="zh-CN"/>
        </w:rPr>
        <w:t>备注：</w:t>
      </w:r>
    </w:p>
    <w:p>
      <w:pPr>
        <w:pStyle w:val="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i w:val="0"/>
          <w:caps w:val="0"/>
          <w:color w:val="auto"/>
          <w:spacing w:val="0"/>
          <w:kern w:val="0"/>
          <w:sz w:val="21"/>
          <w:szCs w:val="21"/>
          <w:highlight w:val="none"/>
          <w:lang w:val="en-US" w:eastAsia="zh-CN"/>
        </w:rPr>
        <w:t>标项名称: 新疆喀什地区英吉沙县人民医院中医康复科设备采购项目</w:t>
      </w:r>
      <w:r>
        <w:rPr>
          <w:rFonts w:hint="eastAsia" w:ascii="仿宋" w:hAnsi="仿宋" w:eastAsia="仿宋" w:cs="仿宋"/>
          <w:color w:val="auto"/>
          <w:kern w:val="0"/>
          <w:sz w:val="21"/>
          <w:szCs w:val="21"/>
          <w:highlight w:val="none"/>
          <w:u w:val="none"/>
          <w:lang w:val="en-US" w:eastAsia="zh-CN" w:bidi="ar"/>
        </w:rPr>
        <w:t>（二包）</w:t>
      </w:r>
    </w:p>
    <w:p>
      <w:pPr>
        <w:pStyle w:val="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i w:val="0"/>
          <w:caps w:val="0"/>
          <w:color w:val="auto"/>
          <w:spacing w:val="0"/>
          <w:kern w:val="0"/>
          <w:sz w:val="21"/>
          <w:szCs w:val="21"/>
          <w:highlight w:val="none"/>
          <w:lang w:val="en-US" w:eastAsia="zh-CN"/>
        </w:rPr>
      </w:pPr>
      <w:r>
        <w:rPr>
          <w:rFonts w:hint="eastAsia" w:ascii="仿宋" w:hAnsi="仿宋" w:eastAsia="仿宋" w:cs="仿宋"/>
          <w:i w:val="0"/>
          <w:caps w:val="0"/>
          <w:color w:val="auto"/>
          <w:spacing w:val="0"/>
          <w:kern w:val="0"/>
          <w:sz w:val="21"/>
          <w:szCs w:val="21"/>
          <w:highlight w:val="none"/>
          <w:lang w:val="en-US" w:eastAsia="zh-CN"/>
        </w:rPr>
        <w:t>数量: 1  </w:t>
      </w:r>
    </w:p>
    <w:p>
      <w:pPr>
        <w:pStyle w:val="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i w:val="0"/>
          <w:caps w:val="0"/>
          <w:color w:val="auto"/>
          <w:spacing w:val="0"/>
          <w:kern w:val="0"/>
          <w:sz w:val="21"/>
          <w:szCs w:val="21"/>
          <w:highlight w:val="none"/>
          <w:lang w:val="en-US" w:eastAsia="zh-CN"/>
        </w:rPr>
        <w:t>预算金额（元）：58000</w:t>
      </w:r>
    </w:p>
    <w:p>
      <w:pPr>
        <w:pStyle w:val="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单位：批</w:t>
      </w:r>
    </w:p>
    <w:p>
      <w:pPr>
        <w:pStyle w:val="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i w:val="0"/>
          <w:caps w:val="0"/>
          <w:color w:val="auto"/>
          <w:spacing w:val="0"/>
          <w:kern w:val="0"/>
          <w:sz w:val="21"/>
          <w:szCs w:val="21"/>
          <w:highlight w:val="none"/>
          <w:lang w:val="en-US" w:eastAsia="zh-CN"/>
        </w:rPr>
      </w:pPr>
      <w:r>
        <w:rPr>
          <w:rFonts w:hint="eastAsia" w:ascii="仿宋" w:hAnsi="仿宋" w:eastAsia="仿宋" w:cs="仿宋"/>
          <w:i w:val="0"/>
          <w:caps w:val="0"/>
          <w:color w:val="auto"/>
          <w:spacing w:val="0"/>
          <w:kern w:val="0"/>
          <w:sz w:val="21"/>
          <w:szCs w:val="21"/>
          <w:highlight w:val="none"/>
          <w:lang w:val="en-US" w:eastAsia="zh-CN"/>
        </w:rPr>
        <w:t>简要规格描述：具体详见竞争性磋商文件</w:t>
      </w:r>
    </w:p>
    <w:p>
      <w:pPr>
        <w:pStyle w:val="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i w:val="0"/>
          <w:caps w:val="0"/>
          <w:color w:val="auto"/>
          <w:spacing w:val="0"/>
          <w:kern w:val="0"/>
          <w:sz w:val="21"/>
          <w:szCs w:val="21"/>
          <w:highlight w:val="none"/>
          <w:lang w:val="en-US" w:eastAsia="zh-CN"/>
        </w:rPr>
      </w:pPr>
      <w:r>
        <w:rPr>
          <w:rFonts w:hint="eastAsia" w:ascii="仿宋" w:hAnsi="仿宋" w:eastAsia="仿宋" w:cs="仿宋"/>
          <w:i w:val="0"/>
          <w:caps w:val="0"/>
          <w:color w:val="auto"/>
          <w:spacing w:val="0"/>
          <w:kern w:val="0"/>
          <w:sz w:val="21"/>
          <w:szCs w:val="21"/>
          <w:highlight w:val="none"/>
          <w:lang w:val="en-US" w:eastAsia="zh-CN"/>
        </w:rPr>
        <w:t>备注：具体详见竞争性磋商文件服务内容及要求</w:t>
      </w:r>
    </w:p>
    <w:p>
      <w:pPr>
        <w:pStyle w:val="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i w:val="0"/>
          <w:caps w:val="0"/>
          <w:color w:val="auto"/>
          <w:spacing w:val="0"/>
          <w:kern w:val="0"/>
          <w:sz w:val="21"/>
          <w:szCs w:val="21"/>
          <w:highlight w:val="none"/>
          <w:u w:val="none"/>
          <w:lang w:val="en-US" w:eastAsia="zh-CN"/>
        </w:rPr>
      </w:pPr>
      <w:r>
        <w:rPr>
          <w:rFonts w:hint="eastAsia" w:ascii="仿宋" w:hAnsi="仿宋" w:eastAsia="仿宋" w:cs="仿宋"/>
          <w:i w:val="0"/>
          <w:caps w:val="0"/>
          <w:color w:val="auto"/>
          <w:spacing w:val="0"/>
          <w:kern w:val="0"/>
          <w:sz w:val="21"/>
          <w:szCs w:val="21"/>
          <w:highlight w:val="none"/>
        </w:rPr>
        <w:t>合同履行期限：以签订合同内容为准。</w:t>
      </w:r>
    </w:p>
    <w:p>
      <w:pPr>
        <w:pStyle w:val="2"/>
        <w:keepNext w:val="0"/>
        <w:keepLines w:val="0"/>
        <w:pageBreakBefore w:val="0"/>
        <w:tabs>
          <w:tab w:val="left" w:pos="562"/>
          <w:tab w:val="left" w:pos="3372"/>
          <w:tab w:val="left" w:pos="3653"/>
        </w:tabs>
        <w:kinsoku/>
        <w:wordWrap/>
        <w:overflowPunct/>
        <w:topLinePunct w:val="0"/>
        <w:autoSpaceDN/>
        <w:bidi w:val="0"/>
        <w:adjustRightInd/>
        <w:snapToGrid/>
        <w:spacing w:line="240" w:lineRule="auto"/>
        <w:textAlignment w:val="auto"/>
        <w:rPr>
          <w:rFonts w:hint="eastAsia" w:ascii="仿宋" w:hAnsi="仿宋" w:eastAsia="仿宋" w:cs="仿宋"/>
          <w:i w:val="0"/>
          <w:caps w:val="0"/>
          <w:color w:val="auto"/>
          <w:spacing w:val="0"/>
          <w:kern w:val="0"/>
          <w:sz w:val="21"/>
          <w:szCs w:val="21"/>
          <w:highlight w:val="none"/>
          <w:lang w:val="en-US" w:eastAsia="zh-CN" w:bidi="ar"/>
        </w:rPr>
      </w:pPr>
      <w:r>
        <w:rPr>
          <w:rFonts w:hint="eastAsia" w:ascii="仿宋" w:hAnsi="仿宋" w:eastAsia="仿宋" w:cs="仿宋"/>
          <w:i w:val="0"/>
          <w:caps w:val="0"/>
          <w:color w:val="auto"/>
          <w:spacing w:val="0"/>
          <w:kern w:val="0"/>
          <w:sz w:val="21"/>
          <w:szCs w:val="21"/>
          <w:highlight w:val="none"/>
          <w:lang w:val="en-US" w:eastAsia="zh-CN" w:bidi="ar"/>
        </w:rPr>
        <w:t>本项目（否）接受联合体投标</w:t>
      </w:r>
    </w:p>
    <w:p>
      <w:pPr>
        <w:pStyle w:val="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outlineLvl w:val="1"/>
        <w:rPr>
          <w:rFonts w:hint="eastAsia" w:ascii="仿宋" w:hAnsi="仿宋" w:eastAsia="仿宋" w:cs="仿宋"/>
          <w:b/>
          <w:bCs/>
          <w:i w:val="0"/>
          <w:caps w:val="0"/>
          <w:color w:val="auto"/>
          <w:spacing w:val="0"/>
          <w:kern w:val="0"/>
          <w:sz w:val="21"/>
          <w:szCs w:val="21"/>
          <w:highlight w:val="none"/>
          <w:lang w:val="en-US" w:eastAsia="zh-CN"/>
        </w:rPr>
      </w:pPr>
      <w:bookmarkStart w:id="0" w:name="_Toc3197"/>
      <w:r>
        <w:rPr>
          <w:rFonts w:hint="eastAsia" w:ascii="仿宋" w:hAnsi="仿宋" w:eastAsia="仿宋" w:cs="仿宋"/>
          <w:b/>
          <w:bCs/>
          <w:i w:val="0"/>
          <w:caps w:val="0"/>
          <w:color w:val="auto"/>
          <w:spacing w:val="0"/>
          <w:kern w:val="0"/>
          <w:sz w:val="21"/>
          <w:szCs w:val="21"/>
          <w:highlight w:val="none"/>
          <w:lang w:val="en-US" w:eastAsia="zh-CN"/>
        </w:rPr>
        <w:t>二、申请人的资格要求：</w:t>
      </w:r>
      <w:bookmarkEnd w:id="0"/>
    </w:p>
    <w:p>
      <w:pPr>
        <w:pStyle w:val="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i w:val="0"/>
          <w:caps w:val="0"/>
          <w:color w:val="auto"/>
          <w:spacing w:val="0"/>
          <w:kern w:val="0"/>
          <w:sz w:val="21"/>
          <w:szCs w:val="21"/>
          <w:highlight w:val="none"/>
        </w:rPr>
      </w:pPr>
      <w:r>
        <w:rPr>
          <w:rFonts w:hint="eastAsia" w:ascii="仿宋" w:hAnsi="仿宋" w:eastAsia="仿宋" w:cs="仿宋"/>
          <w:i w:val="0"/>
          <w:caps w:val="0"/>
          <w:color w:val="auto"/>
          <w:spacing w:val="0"/>
          <w:kern w:val="0"/>
          <w:sz w:val="21"/>
          <w:szCs w:val="21"/>
          <w:highlight w:val="none"/>
        </w:rPr>
        <w:t>1.满足《中华人民共和国政府采购法》第二十二条规定；</w:t>
      </w:r>
    </w:p>
    <w:p>
      <w:pPr>
        <w:pStyle w:val="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i w:val="0"/>
          <w:caps w:val="0"/>
          <w:color w:val="auto"/>
          <w:spacing w:val="0"/>
          <w:kern w:val="0"/>
          <w:sz w:val="21"/>
          <w:szCs w:val="21"/>
          <w:highlight w:val="none"/>
          <w:lang w:val="en-US" w:eastAsia="zh-CN"/>
        </w:rPr>
      </w:pPr>
      <w:r>
        <w:rPr>
          <w:rFonts w:hint="eastAsia" w:ascii="仿宋" w:hAnsi="仿宋" w:eastAsia="仿宋" w:cs="仿宋"/>
          <w:i w:val="0"/>
          <w:caps w:val="0"/>
          <w:color w:val="auto"/>
          <w:spacing w:val="0"/>
          <w:kern w:val="0"/>
          <w:sz w:val="21"/>
          <w:szCs w:val="21"/>
          <w:highlight w:val="none"/>
          <w:lang w:val="en-US" w:eastAsia="zh-CN"/>
        </w:rPr>
        <w:t>2.落实政府采购政策需满足的资格要求：标项1、标项2：无</w:t>
      </w:r>
    </w:p>
    <w:p>
      <w:pPr>
        <w:pStyle w:val="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88" w:lineRule="auto"/>
        <w:ind w:right="0"/>
        <w:jc w:val="left"/>
        <w:textAlignment w:val="auto"/>
        <w:outlineLvl w:val="1"/>
        <w:rPr>
          <w:rFonts w:hint="eastAsia" w:ascii="仿宋" w:hAnsi="仿宋" w:eastAsia="仿宋" w:cs="仿宋"/>
          <w:i w:val="0"/>
          <w:caps w:val="0"/>
          <w:color w:val="auto"/>
          <w:spacing w:val="0"/>
          <w:kern w:val="0"/>
          <w:sz w:val="21"/>
          <w:szCs w:val="21"/>
          <w:highlight w:val="none"/>
        </w:rPr>
      </w:pPr>
      <w:r>
        <w:rPr>
          <w:rFonts w:hint="eastAsia" w:ascii="仿宋" w:hAnsi="仿宋" w:eastAsia="仿宋" w:cs="仿宋"/>
          <w:i w:val="0"/>
          <w:caps w:val="0"/>
          <w:color w:val="auto"/>
          <w:spacing w:val="0"/>
          <w:kern w:val="0"/>
          <w:sz w:val="21"/>
          <w:szCs w:val="21"/>
          <w:highlight w:val="none"/>
        </w:rPr>
        <w:t>3.本项目的特定资格要求：</w:t>
      </w:r>
      <w:bookmarkStart w:id="1" w:name="_Toc8453"/>
      <w:r>
        <w:rPr>
          <w:rFonts w:hint="eastAsia" w:ascii="仿宋" w:hAnsi="仿宋" w:eastAsia="仿宋" w:cs="仿宋"/>
          <w:i w:val="0"/>
          <w:caps w:val="0"/>
          <w:color w:val="auto"/>
          <w:spacing w:val="0"/>
          <w:kern w:val="0"/>
          <w:sz w:val="21"/>
          <w:szCs w:val="21"/>
          <w:highlight w:val="none"/>
          <w:lang w:val="en-US" w:eastAsia="zh-CN"/>
        </w:rPr>
        <w:t>标项1、标项2</w:t>
      </w:r>
    </w:p>
    <w:p>
      <w:pPr>
        <w:pStyle w:val="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88" w:lineRule="auto"/>
        <w:ind w:right="0"/>
        <w:jc w:val="left"/>
        <w:textAlignment w:val="auto"/>
        <w:outlineLvl w:val="1"/>
        <w:rPr>
          <w:rFonts w:hint="eastAsia" w:ascii="仿宋" w:hAnsi="仿宋" w:eastAsia="仿宋" w:cs="仿宋"/>
          <w:i w:val="0"/>
          <w:caps w:val="0"/>
          <w:color w:val="auto"/>
          <w:spacing w:val="0"/>
          <w:kern w:val="0"/>
          <w:sz w:val="21"/>
          <w:szCs w:val="21"/>
          <w:highlight w:val="none"/>
        </w:rPr>
      </w:pPr>
      <w:r>
        <w:rPr>
          <w:rFonts w:hint="eastAsia" w:ascii="仿宋" w:hAnsi="仿宋" w:eastAsia="仿宋" w:cs="仿宋"/>
          <w:i w:val="0"/>
          <w:caps w:val="0"/>
          <w:color w:val="auto"/>
          <w:spacing w:val="0"/>
          <w:kern w:val="0"/>
          <w:sz w:val="21"/>
          <w:szCs w:val="21"/>
          <w:highlight w:val="none"/>
        </w:rPr>
        <w:t>1、具有独立法人资格 ( 三证合一的营业执照 ) ；</w:t>
      </w:r>
      <w:r>
        <w:rPr>
          <w:rFonts w:hint="eastAsia" w:ascii="仿宋" w:hAnsi="仿宋" w:eastAsia="仿宋" w:cs="仿宋"/>
          <w:i w:val="0"/>
          <w:caps w:val="0"/>
          <w:color w:val="auto"/>
          <w:spacing w:val="0"/>
          <w:kern w:val="0"/>
          <w:sz w:val="21"/>
          <w:szCs w:val="21"/>
          <w:highlight w:val="none"/>
        </w:rPr>
        <w:br w:type="textWrapping"/>
      </w:r>
      <w:r>
        <w:rPr>
          <w:rFonts w:hint="eastAsia" w:ascii="仿宋" w:hAnsi="仿宋" w:eastAsia="仿宋" w:cs="仿宋"/>
          <w:i w:val="0"/>
          <w:caps w:val="0"/>
          <w:color w:val="auto"/>
          <w:spacing w:val="0"/>
          <w:kern w:val="0"/>
          <w:sz w:val="21"/>
          <w:szCs w:val="21"/>
          <w:highlight w:val="none"/>
          <w:lang w:val="en-US" w:eastAsia="zh-CN"/>
        </w:rPr>
        <w:t>2</w:t>
      </w:r>
      <w:r>
        <w:rPr>
          <w:rFonts w:hint="eastAsia" w:ascii="仿宋" w:hAnsi="仿宋" w:eastAsia="仿宋" w:cs="仿宋"/>
          <w:i w:val="0"/>
          <w:caps w:val="0"/>
          <w:color w:val="auto"/>
          <w:spacing w:val="0"/>
          <w:kern w:val="0"/>
          <w:sz w:val="21"/>
          <w:szCs w:val="21"/>
          <w:highlight w:val="none"/>
        </w:rPr>
        <w:t>、法人代表资格证明书及授权书、被授权人身份证(法人投标具备法人身份证及法人代表资格证明书)；</w:t>
      </w:r>
    </w:p>
    <w:p>
      <w:pPr>
        <w:pStyle w:val="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88" w:lineRule="auto"/>
        <w:ind w:right="0"/>
        <w:jc w:val="left"/>
        <w:textAlignment w:val="auto"/>
        <w:outlineLvl w:val="1"/>
        <w:rPr>
          <w:rFonts w:hint="eastAsia" w:ascii="仿宋" w:hAnsi="仿宋" w:eastAsia="仿宋" w:cs="仿宋"/>
          <w:i w:val="0"/>
          <w:caps w:val="0"/>
          <w:color w:val="auto"/>
          <w:spacing w:val="0"/>
          <w:kern w:val="0"/>
          <w:sz w:val="21"/>
          <w:szCs w:val="21"/>
          <w:highlight w:val="none"/>
        </w:rPr>
      </w:pPr>
      <w:r>
        <w:rPr>
          <w:rFonts w:hint="eastAsia" w:ascii="仿宋" w:hAnsi="仿宋" w:eastAsia="仿宋" w:cs="仿宋"/>
          <w:i w:val="0"/>
          <w:caps w:val="0"/>
          <w:color w:val="auto"/>
          <w:spacing w:val="0"/>
          <w:kern w:val="0"/>
          <w:sz w:val="21"/>
          <w:szCs w:val="21"/>
          <w:highlight w:val="none"/>
          <w:lang w:val="en-US" w:eastAsia="zh-CN"/>
        </w:rPr>
        <w:t>3、提供 2022 年度的财务审计报告（成立不足一年的企业提供有效银行资信证明）</w:t>
      </w:r>
      <w:r>
        <w:rPr>
          <w:rFonts w:hint="eastAsia" w:ascii="仿宋" w:hAnsi="仿宋" w:eastAsia="仿宋" w:cs="仿宋"/>
          <w:i w:val="0"/>
          <w:caps w:val="0"/>
          <w:color w:val="auto"/>
          <w:spacing w:val="0"/>
          <w:kern w:val="0"/>
          <w:sz w:val="21"/>
          <w:szCs w:val="21"/>
          <w:highlight w:val="none"/>
        </w:rPr>
        <w:br w:type="textWrapping"/>
      </w:r>
      <w:r>
        <w:rPr>
          <w:rFonts w:hint="eastAsia" w:ascii="仿宋" w:hAnsi="仿宋" w:eastAsia="仿宋" w:cs="仿宋"/>
          <w:i w:val="0"/>
          <w:caps w:val="0"/>
          <w:color w:val="auto"/>
          <w:spacing w:val="0"/>
          <w:kern w:val="0"/>
          <w:sz w:val="21"/>
          <w:szCs w:val="21"/>
          <w:highlight w:val="none"/>
        </w:rPr>
        <w:t>4、提供依法缴纳近六个月任意一个月社会保险的凭据；</w:t>
      </w:r>
      <w:r>
        <w:rPr>
          <w:rFonts w:hint="eastAsia" w:ascii="仿宋" w:hAnsi="仿宋" w:eastAsia="仿宋" w:cs="仿宋"/>
          <w:i w:val="0"/>
          <w:caps w:val="0"/>
          <w:color w:val="auto"/>
          <w:spacing w:val="0"/>
          <w:kern w:val="0"/>
          <w:sz w:val="21"/>
          <w:szCs w:val="21"/>
          <w:highlight w:val="none"/>
        </w:rPr>
        <w:br w:type="textWrapping"/>
      </w:r>
      <w:r>
        <w:rPr>
          <w:rFonts w:hint="eastAsia" w:ascii="仿宋" w:hAnsi="仿宋" w:eastAsia="仿宋" w:cs="仿宋"/>
          <w:i w:val="0"/>
          <w:caps w:val="0"/>
          <w:color w:val="auto"/>
          <w:spacing w:val="0"/>
          <w:kern w:val="0"/>
          <w:sz w:val="21"/>
          <w:szCs w:val="21"/>
          <w:highlight w:val="none"/>
        </w:rPr>
        <w:t>5、提供税务部门出具的近六个月任意一个月的完税证明；</w:t>
      </w:r>
      <w:r>
        <w:rPr>
          <w:rFonts w:hint="eastAsia" w:ascii="仿宋" w:hAnsi="仿宋" w:eastAsia="仿宋" w:cs="仿宋"/>
          <w:i w:val="0"/>
          <w:caps w:val="0"/>
          <w:color w:val="auto"/>
          <w:spacing w:val="0"/>
          <w:kern w:val="0"/>
          <w:sz w:val="21"/>
          <w:szCs w:val="21"/>
          <w:highlight w:val="none"/>
        </w:rPr>
        <w:br w:type="textWrapping"/>
      </w:r>
      <w:r>
        <w:rPr>
          <w:rFonts w:hint="eastAsia" w:ascii="仿宋" w:hAnsi="仿宋" w:eastAsia="仿宋" w:cs="仿宋"/>
          <w:i w:val="0"/>
          <w:caps w:val="0"/>
          <w:color w:val="auto"/>
          <w:spacing w:val="0"/>
          <w:kern w:val="0"/>
          <w:sz w:val="21"/>
          <w:szCs w:val="21"/>
          <w:highlight w:val="none"/>
        </w:rPr>
        <w:t>6、根据《财政部关于在政府采购活动中查询及使用信用记录有关问题的通知》（财库﹝2016﹞125 号）的要求 ，凡拟参加本次招标项目的供应商 ，如在“信用中国” 网站被列入失信被执行人、重大税收违法失信主体(信用中国首页-点击信用服务-查询、网页打印)、中国政府采购网严重违法失信行为记录名单的（尚在处罚期内的），将拒绝其参加本次招标活动 ；</w:t>
      </w:r>
      <w:r>
        <w:rPr>
          <w:rFonts w:hint="eastAsia" w:ascii="仿宋" w:hAnsi="仿宋" w:eastAsia="仿宋" w:cs="仿宋"/>
          <w:i w:val="0"/>
          <w:caps w:val="0"/>
          <w:color w:val="auto"/>
          <w:spacing w:val="0"/>
          <w:kern w:val="0"/>
          <w:sz w:val="21"/>
          <w:szCs w:val="21"/>
          <w:highlight w:val="none"/>
        </w:rPr>
        <w:br w:type="textWrapping"/>
      </w:r>
      <w:r>
        <w:rPr>
          <w:rFonts w:hint="eastAsia" w:ascii="仿宋" w:hAnsi="仿宋" w:eastAsia="仿宋" w:cs="仿宋"/>
          <w:i w:val="0"/>
          <w:caps w:val="0"/>
          <w:color w:val="auto"/>
          <w:spacing w:val="0"/>
          <w:kern w:val="0"/>
          <w:sz w:val="21"/>
          <w:szCs w:val="21"/>
          <w:highlight w:val="none"/>
        </w:rPr>
        <w:t>7、提供针对本次项目《反商业贿赂承诺书》；</w:t>
      </w:r>
      <w:r>
        <w:rPr>
          <w:rFonts w:hint="eastAsia" w:ascii="仿宋" w:hAnsi="仿宋" w:eastAsia="仿宋" w:cs="仿宋"/>
          <w:i w:val="0"/>
          <w:caps w:val="0"/>
          <w:color w:val="auto"/>
          <w:spacing w:val="0"/>
          <w:kern w:val="0"/>
          <w:sz w:val="21"/>
          <w:szCs w:val="21"/>
          <w:highlight w:val="none"/>
        </w:rPr>
        <w:br w:type="textWrapping"/>
      </w:r>
      <w:r>
        <w:rPr>
          <w:rFonts w:hint="eastAsia" w:ascii="仿宋" w:hAnsi="仿宋" w:eastAsia="仿宋" w:cs="仿宋"/>
          <w:i w:val="0"/>
          <w:caps w:val="0"/>
          <w:color w:val="auto"/>
          <w:spacing w:val="0"/>
          <w:kern w:val="0"/>
          <w:sz w:val="21"/>
          <w:szCs w:val="21"/>
          <w:highlight w:val="none"/>
        </w:rPr>
        <w:t>8、参加政府采购活动前 3 年内在经营活动中没有重大违法违规记录的书面声明；</w:t>
      </w:r>
      <w:r>
        <w:rPr>
          <w:rFonts w:hint="eastAsia" w:ascii="仿宋" w:hAnsi="仿宋" w:eastAsia="仿宋" w:cs="仿宋"/>
          <w:i w:val="0"/>
          <w:caps w:val="0"/>
          <w:color w:val="auto"/>
          <w:spacing w:val="0"/>
          <w:kern w:val="0"/>
          <w:sz w:val="21"/>
          <w:szCs w:val="21"/>
          <w:highlight w:val="none"/>
        </w:rPr>
        <w:br w:type="textWrapping"/>
      </w:r>
      <w:r>
        <w:rPr>
          <w:rFonts w:hint="eastAsia" w:ascii="仿宋" w:hAnsi="仿宋" w:eastAsia="仿宋" w:cs="仿宋"/>
          <w:i w:val="0"/>
          <w:caps w:val="0"/>
          <w:color w:val="auto"/>
          <w:spacing w:val="0"/>
          <w:kern w:val="0"/>
          <w:sz w:val="21"/>
          <w:szCs w:val="21"/>
          <w:highlight w:val="none"/>
        </w:rPr>
        <w:t>9、所投产品属于第二类医疗器械的 ，提供有效的行政主管部门颁发的医疗器械经营备案凭证（医疗器械生产许可证或医疗器械经营许可证或其他医疗器械生产经营许可证明文件） ；所投产品属于第三类医疗器械的 ，还需提供有效的行政主管部门颁发的医疗器械生产许可证（医 疗器械经营许可证或其他医疗器械生产经营许可证明文件）。</w:t>
      </w:r>
    </w:p>
    <w:p>
      <w:pPr>
        <w:pStyle w:val="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88" w:lineRule="auto"/>
        <w:ind w:right="0"/>
        <w:jc w:val="left"/>
        <w:textAlignment w:val="auto"/>
        <w:outlineLvl w:val="1"/>
        <w:rPr>
          <w:rFonts w:hint="eastAsia" w:ascii="仿宋" w:hAnsi="仿宋" w:eastAsia="仿宋" w:cs="仿宋"/>
          <w:b/>
          <w:bCs/>
          <w:color w:val="auto"/>
          <w:kern w:val="0"/>
          <w:sz w:val="21"/>
          <w:szCs w:val="21"/>
          <w:highlight w:val="none"/>
          <w:u w:val="none"/>
          <w:lang w:val="en-US" w:eastAsia="zh-CN" w:bidi="ar"/>
        </w:rPr>
      </w:pPr>
      <w:r>
        <w:rPr>
          <w:rFonts w:hint="eastAsia" w:ascii="仿宋" w:hAnsi="仿宋" w:eastAsia="仿宋" w:cs="仿宋"/>
          <w:b/>
          <w:bCs/>
          <w:color w:val="auto"/>
          <w:kern w:val="0"/>
          <w:sz w:val="21"/>
          <w:szCs w:val="21"/>
          <w:highlight w:val="none"/>
          <w:u w:val="none"/>
          <w:lang w:val="en-US" w:eastAsia="zh-CN" w:bidi="ar"/>
        </w:rPr>
        <w:t>三、获取磋商文件</w:t>
      </w:r>
      <w:bookmarkEnd w:id="1"/>
    </w:p>
    <w:p>
      <w:pPr>
        <w:pStyle w:val="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时间：2023年09月27日至2023年10月11日，每天上午00:00至12:00，下午12:00至23:59（北京时间，法定节假日除外）</w:t>
      </w:r>
    </w:p>
    <w:p>
      <w:pPr>
        <w:pStyle w:val="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地点：政采云平台线上获取</w:t>
      </w:r>
    </w:p>
    <w:p>
      <w:pPr>
        <w:pStyle w:val="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方式：供应商登录政采云平台https://www.zcygov.cn/在线申请获取采购文件（进入“项目采购”应用，在获取采购文件菜单中选择项目，申请获取采购文件）</w:t>
      </w:r>
    </w:p>
    <w:p>
      <w:pPr>
        <w:pStyle w:val="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售价（元）：0</w:t>
      </w:r>
    </w:p>
    <w:p>
      <w:pPr>
        <w:pStyle w:val="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四、提交投标文件截止时间、开标时间和地点</w:t>
      </w:r>
    </w:p>
    <w:p>
      <w:pPr>
        <w:pStyle w:val="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提交投标文件截止时间：2023年10月12日 16:00（北京时间）</w:t>
      </w:r>
      <w:bookmarkStart w:id="2" w:name="_GoBack"/>
      <w:bookmarkEnd w:id="2"/>
    </w:p>
    <w:p>
      <w:pPr>
        <w:pStyle w:val="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投标地点：请登录政采云投标客户端投标</w:t>
      </w:r>
    </w:p>
    <w:p>
      <w:pPr>
        <w:pStyle w:val="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开标时间：2023年10月12日 16:00（北京时间）</w:t>
      </w:r>
    </w:p>
    <w:p>
      <w:pPr>
        <w:pStyle w:val="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开标地点：政采云平台（https://www.zcygov.cn/）不见面开标</w:t>
      </w:r>
    </w:p>
    <w:p>
      <w:pPr>
        <w:pStyle w:val="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五、公告期限</w:t>
      </w:r>
    </w:p>
    <w:p>
      <w:pPr>
        <w:pStyle w:val="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自本公告发布之日起5个工作日。</w:t>
      </w:r>
    </w:p>
    <w:p>
      <w:pPr>
        <w:pStyle w:val="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六、其他补充事宜</w:t>
      </w:r>
    </w:p>
    <w:p>
      <w:pPr>
        <w:pStyle w:val="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r>
        <w:rPr>
          <w:rFonts w:hint="eastAsia" w:ascii="仿宋" w:hAnsi="仿宋" w:eastAsia="仿宋" w:cs="仿宋"/>
          <w:color w:val="auto"/>
          <w:kern w:val="0"/>
          <w:sz w:val="21"/>
          <w:szCs w:val="21"/>
          <w:highlight w:val="none"/>
          <w:u w:val="none"/>
          <w:lang w:val="en-US" w:eastAsia="zh-CN" w:bidi="ar"/>
        </w:rPr>
        <w:br w:type="textWrapping"/>
      </w:r>
      <w:r>
        <w:rPr>
          <w:rFonts w:hint="eastAsia" w:ascii="仿宋" w:hAnsi="仿宋" w:eastAsia="仿宋" w:cs="仿宋"/>
          <w:color w:val="auto"/>
          <w:kern w:val="0"/>
          <w:sz w:val="21"/>
          <w:szCs w:val="21"/>
          <w:highlight w:val="none"/>
          <w:u w:val="none"/>
          <w:lang w:val="en-US" w:eastAsia="zh-CN" w:bidi="ar"/>
        </w:rPr>
        <w:t xml:space="preserve">   2.本项目实行网上投标，采用电子投标文件(供应商须使用CA加密设备通过政采云电子投标客户端制作投标文件)。若供应商参与投标，自行承担投标一切费用。</w:t>
      </w:r>
      <w:r>
        <w:rPr>
          <w:rFonts w:hint="eastAsia" w:ascii="仿宋" w:hAnsi="仿宋" w:eastAsia="仿宋" w:cs="仿宋"/>
          <w:color w:val="auto"/>
          <w:kern w:val="0"/>
          <w:sz w:val="21"/>
          <w:szCs w:val="21"/>
          <w:highlight w:val="none"/>
          <w:u w:val="none"/>
          <w:lang w:val="en-US" w:eastAsia="zh-CN" w:bidi="ar"/>
        </w:rPr>
        <w:br w:type="textWrapping"/>
      </w:r>
      <w:r>
        <w:rPr>
          <w:rFonts w:hint="eastAsia" w:ascii="仿宋" w:hAnsi="仿宋" w:eastAsia="仿宋" w:cs="仿宋"/>
          <w:color w:val="auto"/>
          <w:kern w:val="0"/>
          <w:sz w:val="21"/>
          <w:szCs w:val="21"/>
          <w:highlight w:val="none"/>
          <w:u w:val="none"/>
          <w:lang w:val="en-US" w:eastAsia="zh-CN" w:bidi="ar"/>
        </w:rPr>
        <w:t xml:space="preserve">   3.各供应商应在开标前应确保成为新疆政府采购网正式注册入库供应商，并完成CA数字证书申领。因未注册入库、未办理CA数字证书等原因造成无法投标或投标失败等后果由供应商自行承担。</w:t>
      </w:r>
      <w:r>
        <w:rPr>
          <w:rFonts w:hint="eastAsia" w:ascii="仿宋" w:hAnsi="仿宋" w:eastAsia="仿宋" w:cs="仿宋"/>
          <w:color w:val="auto"/>
          <w:kern w:val="0"/>
          <w:sz w:val="21"/>
          <w:szCs w:val="21"/>
          <w:highlight w:val="none"/>
          <w:u w:val="none"/>
          <w:lang w:val="en-US" w:eastAsia="zh-CN" w:bidi="ar"/>
        </w:rPr>
        <w:br w:type="textWrapping"/>
      </w:r>
      <w:r>
        <w:rPr>
          <w:rFonts w:hint="eastAsia" w:ascii="仿宋" w:hAnsi="仿宋" w:eastAsia="仿宋" w:cs="仿宋"/>
          <w:color w:val="auto"/>
          <w:kern w:val="0"/>
          <w:sz w:val="21"/>
          <w:szCs w:val="21"/>
          <w:highlight w:val="none"/>
          <w:u w:val="none"/>
          <w:lang w:val="en-US" w:eastAsia="zh-CN" w:bidi="ar"/>
        </w:rPr>
        <w:t xml:space="preserve">   4.供应商将政采云电子交易客户端下载、安装完成后，可通过账号密码或CA登录客户端进行投标文件制作。在使用政采云投标客户端时，建议使用WIN7及以上操作系统。客户端请至新疆政府采购网( http://www.ccgp-xinjiang.gov.cn/) 下载专区查看，如有问题可拨打政采云客户服务热线400-881-7190进行咨询。</w:t>
      </w:r>
      <w:r>
        <w:rPr>
          <w:rFonts w:hint="eastAsia" w:ascii="仿宋" w:hAnsi="仿宋" w:eastAsia="仿宋" w:cs="仿宋"/>
          <w:color w:val="auto"/>
          <w:kern w:val="0"/>
          <w:sz w:val="21"/>
          <w:szCs w:val="21"/>
          <w:highlight w:val="none"/>
          <w:u w:val="none"/>
          <w:lang w:val="en-US" w:eastAsia="zh-CN" w:bidi="ar"/>
        </w:rPr>
        <w:br w:type="textWrapping"/>
      </w:r>
      <w:r>
        <w:rPr>
          <w:rFonts w:hint="eastAsia" w:ascii="仿宋" w:hAnsi="仿宋" w:eastAsia="仿宋" w:cs="仿宋"/>
          <w:color w:val="auto"/>
          <w:kern w:val="0"/>
          <w:sz w:val="21"/>
          <w:szCs w:val="21"/>
          <w:highlight w:val="none"/>
          <w:u w:val="none"/>
          <w:lang w:val="en-US" w:eastAsia="zh-CN" w:bidi="ar"/>
        </w:rPr>
        <w:t xml:space="preserve">   5.供应商在开标时须使用制作加密电子投标文件所使用的CA锁及电脑，电脑须提前配置好浏览器 (建议使用谷歌浏览器) ，以便开标时解锁。</w:t>
      </w:r>
      <w:r>
        <w:rPr>
          <w:rFonts w:hint="eastAsia" w:ascii="仿宋" w:hAnsi="仿宋" w:eastAsia="仿宋" w:cs="仿宋"/>
          <w:color w:val="auto"/>
          <w:kern w:val="0"/>
          <w:sz w:val="21"/>
          <w:szCs w:val="21"/>
          <w:highlight w:val="none"/>
          <w:u w:val="none"/>
          <w:lang w:val="en-US" w:eastAsia="zh-CN" w:bidi="ar"/>
        </w:rPr>
        <w:br w:type="textWrapping"/>
      </w:r>
      <w:r>
        <w:rPr>
          <w:rFonts w:hint="eastAsia" w:ascii="仿宋" w:hAnsi="仿宋" w:eastAsia="仿宋" w:cs="仿宋"/>
          <w:color w:val="auto"/>
          <w:kern w:val="0"/>
          <w:sz w:val="21"/>
          <w:szCs w:val="21"/>
          <w:highlight w:val="none"/>
          <w:u w:val="none"/>
          <w:lang w:val="en-US" w:eastAsia="zh-CN" w:bidi="ar"/>
        </w:rPr>
        <w:t xml:space="preserve">   6.投标保证金缴纳及确认时间：凡拟参加本次招标项目的供应商，必须在开标前将投标保证金汇入指定账户。投标保证金汇款凭证上用途栏应注明:招标项目名称+标项号+投标保证金。以保函形式缴纳的按要求提供投标担保函。否则，届时其投标将被拒绝。</w:t>
      </w:r>
      <w:r>
        <w:rPr>
          <w:rFonts w:hint="eastAsia" w:ascii="仿宋" w:hAnsi="仿宋" w:eastAsia="仿宋" w:cs="仿宋"/>
          <w:color w:val="auto"/>
          <w:kern w:val="0"/>
          <w:sz w:val="21"/>
          <w:szCs w:val="21"/>
          <w:highlight w:val="none"/>
          <w:u w:val="none"/>
          <w:lang w:val="en-US" w:eastAsia="zh-CN" w:bidi="ar"/>
        </w:rPr>
        <w:br w:type="textWrapping"/>
      </w:r>
      <w:r>
        <w:rPr>
          <w:rFonts w:hint="eastAsia" w:ascii="仿宋" w:hAnsi="仿宋" w:eastAsia="仿宋" w:cs="仿宋"/>
          <w:color w:val="auto"/>
          <w:kern w:val="0"/>
          <w:sz w:val="21"/>
          <w:szCs w:val="21"/>
          <w:highlight w:val="none"/>
          <w:u w:val="none"/>
          <w:lang w:val="en-US" w:eastAsia="zh-CN" w:bidi="ar"/>
        </w:rPr>
        <w:t xml:space="preserve">  7.供应商对不见面开评标系统的技术操作咨询，可通过https://edu.zcygov.cn/luban/xinjiang-e-biding自助查询，也可在政采云帮助中心常见问题解答和操作流程讲解视频中自助查询，网址为：</w:t>
      </w:r>
      <w:r>
        <w:rPr>
          <w:rFonts w:hint="eastAsia" w:ascii="仿宋" w:hAnsi="仿宋" w:eastAsia="仿宋" w:cs="仿宋"/>
          <w:color w:val="auto"/>
          <w:kern w:val="0"/>
          <w:sz w:val="21"/>
          <w:szCs w:val="21"/>
          <w:highlight w:val="none"/>
          <w:u w:val="none"/>
          <w:lang w:val="en-US" w:eastAsia="zh-CN" w:bidi="ar"/>
        </w:rPr>
        <w:br w:type="textWrapping"/>
      </w:r>
      <w:r>
        <w:rPr>
          <w:rFonts w:hint="eastAsia" w:ascii="仿宋" w:hAnsi="仿宋" w:eastAsia="仿宋" w:cs="仿宋"/>
          <w:color w:val="auto"/>
          <w:kern w:val="0"/>
          <w:sz w:val="21"/>
          <w:szCs w:val="21"/>
          <w:highlight w:val="none"/>
          <w:u w:val="none"/>
          <w:lang w:val="en-US" w:eastAsia="zh-CN" w:bidi="ar"/>
        </w:rPr>
        <w:t>https://service.zcygov.cn/#/help，“项目采购”—“操作流程-电子招投标” —“政府采购项目电子交易管理操作指南-供应商”版面获取操作指南，同时对自助查询无法解决的问题可通过钉钉群及政采云在线客服获取服务支持。供应商钉钉群号：政采云新疆供应商服务1号群：30349928 (如已加入1-11群，无需重复加入，十一个群联动直播) ，钉钉工具软件具有回放功能，直播培训结束后可在钉钉群中回放观看学习。</w:t>
      </w:r>
    </w:p>
    <w:p>
      <w:pPr>
        <w:pStyle w:val="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特别提示：</w:t>
      </w:r>
    </w:p>
    <w:p>
      <w:pPr>
        <w:pStyle w:val="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1、采购限额标准以上，200万元以下的货物和服务采购项目、400万元以下的工程采购项目，适宜由中小企业提供的，采购人应当专门面向中小企业采购。</w:t>
      </w:r>
    </w:p>
    <w:p>
      <w:pPr>
        <w:pStyle w:val="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2、超过200万元的货物和服务采购项目，预留该部分采购项目预算总额的30%以上专门面向中小企业采购，其中预留给小微企业的比例不低于60%。</w:t>
      </w:r>
    </w:p>
    <w:p>
      <w:pPr>
        <w:pStyle w:val="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3、超过400万元的工程采购项目中适宜由中小企业提供的，预留该部分采购项目预算总额的40%以上专门面向中小企业采购，其中预留给小微企业的比例不低于60%。</w:t>
      </w:r>
    </w:p>
    <w:p>
      <w:pPr>
        <w:pStyle w:val="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七、对本次采购提出询问，请按以下方式联系</w:t>
      </w:r>
    </w:p>
    <w:p>
      <w:pPr>
        <w:pStyle w:val="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1.采购人信息</w:t>
      </w:r>
    </w:p>
    <w:p>
      <w:pPr>
        <w:pStyle w:val="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名 称：新疆喀什地区英吉沙县人民医院</w:t>
      </w:r>
    </w:p>
    <w:p>
      <w:pPr>
        <w:pStyle w:val="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地 址：新疆喀什地区英吉沙县克孜勒路26号</w:t>
      </w:r>
    </w:p>
    <w:p>
      <w:pPr>
        <w:pStyle w:val="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联系方式：13565672323</w:t>
      </w:r>
    </w:p>
    <w:p>
      <w:pPr>
        <w:pStyle w:val="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2.采购代理机构信息</w:t>
      </w:r>
    </w:p>
    <w:p>
      <w:pPr>
        <w:pStyle w:val="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名 称：英吉沙立诚工程咨询有限公司</w:t>
      </w:r>
    </w:p>
    <w:p>
      <w:pPr>
        <w:pStyle w:val="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地 址：新疆喀什地区英吉沙县工业园区诚祥路004号</w:t>
      </w:r>
    </w:p>
    <w:p>
      <w:pPr>
        <w:pStyle w:val="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 xml:space="preserve">联系方式：19190002004 </w:t>
      </w:r>
    </w:p>
    <w:p>
      <w:pPr>
        <w:pStyle w:val="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3.项目联系方式</w:t>
      </w:r>
    </w:p>
    <w:p>
      <w:pPr>
        <w:pStyle w:val="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项目联系人：孙承恩</w:t>
      </w:r>
    </w:p>
    <w:p>
      <w:pPr>
        <w:pStyle w:val="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default" w:ascii="仿宋" w:hAnsi="仿宋" w:eastAsia="仿宋" w:cs="仿宋"/>
          <w:color w:val="auto"/>
          <w:kern w:val="0"/>
          <w:sz w:val="21"/>
          <w:szCs w:val="21"/>
          <w:highlight w:val="none"/>
          <w:u w:val="none"/>
          <w:lang w:val="en-US" w:eastAsia="zh-CN" w:bidi="ar"/>
        </w:rPr>
        <w:sectPr>
          <w:footerReference r:id="rId5" w:type="default"/>
          <w:pgSz w:w="11906" w:h="16839"/>
          <w:pgMar w:top="400" w:right="1079" w:bottom="1169" w:left="1080" w:header="0" w:footer="992" w:gutter="0"/>
          <w:pgNumType w:fmt="decimal"/>
          <w:cols w:space="720" w:num="1"/>
        </w:sectPr>
      </w:pPr>
      <w:r>
        <w:rPr>
          <w:rFonts w:hint="eastAsia" w:ascii="仿宋" w:hAnsi="仿宋" w:eastAsia="仿宋" w:cs="仿宋"/>
          <w:color w:val="auto"/>
          <w:kern w:val="0"/>
          <w:sz w:val="21"/>
          <w:szCs w:val="21"/>
          <w:highlight w:val="none"/>
          <w:u w:val="none"/>
          <w:lang w:val="en-US" w:eastAsia="zh-CN" w:bidi="ar"/>
        </w:rPr>
        <w:t>电 话：19190002004</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792"/>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fz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GLfzszAgAAZQ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xMGNkYTJhN2NkODc0MzYwZWZhYmI0Y2E4ZDVlOGEifQ=="/>
  </w:docVars>
  <w:rsids>
    <w:rsidRoot w:val="00000000"/>
    <w:rsid w:val="429A7528"/>
    <w:rsid w:val="62D966BD"/>
    <w:rsid w:val="6AC20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2023-09-26T08:33:00Z</dcterms:created>
  <dc:creator>admin</dc:creator>
  <cp:lastModifiedBy>lenovo</cp:lastModifiedBy>
  <dcterms:modified xsi:type="dcterms:W3CDTF">2023-09-27T07:09:32Z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DCADA2AF7DA94B97BF9905EE3B070AA0_12</vt:lpwstr>
  </property>
</Properties>
</file>